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FDCF5" w14:textId="26AA8C23" w:rsidR="00030DD9" w:rsidRPr="009C0E84" w:rsidRDefault="00C45224" w:rsidP="00AC0936">
      <w:pPr>
        <w:rPr>
          <w:rFonts w:ascii="ITC Avant Garde" w:eastAsia="Calibri" w:hAnsi="ITC Avant Garde" w:cs="Times New Roman"/>
          <w:b/>
          <w:lang w:val="es-ES"/>
        </w:rPr>
      </w:pPr>
      <w:bookmarkStart w:id="0" w:name="_Toc323285056"/>
      <w:r w:rsidRPr="009C0E84">
        <w:rPr>
          <w:rFonts w:ascii="ITC Avant Garde" w:hAnsi="ITC Avant Garde"/>
          <w:b/>
        </w:rPr>
        <w:t>INFORME DE CONSIDERACIONES SOBRE LAS MANIFESTACIONES, OPINIONES, COMENTARIOS Y PROPUESTAS, PRESENTAD</w:t>
      </w:r>
      <w:r w:rsidR="0067234C" w:rsidRPr="009C0E84">
        <w:rPr>
          <w:rFonts w:ascii="ITC Avant Garde" w:hAnsi="ITC Avant Garde"/>
          <w:b/>
        </w:rPr>
        <w:t>O</w:t>
      </w:r>
      <w:r w:rsidRPr="009C0E84">
        <w:rPr>
          <w:rFonts w:ascii="ITC Avant Garde" w:hAnsi="ITC Avant Garde"/>
          <w:b/>
        </w:rPr>
        <w:t xml:space="preserve">S DURANTE LA CONSULTA PÚBLICA </w:t>
      </w:r>
      <w:r w:rsidR="00CC291D" w:rsidRPr="009C0E84">
        <w:rPr>
          <w:rFonts w:ascii="ITC Avant Garde" w:hAnsi="ITC Avant Garde"/>
          <w:b/>
        </w:rPr>
        <w:t>SOBRE</w:t>
      </w:r>
      <w:r w:rsidRPr="009C0E84">
        <w:rPr>
          <w:rFonts w:ascii="ITC Avant Garde" w:hAnsi="ITC Avant Garde"/>
          <w:b/>
        </w:rPr>
        <w:t xml:space="preserve"> LA </w:t>
      </w:r>
      <w:r w:rsidR="001A78FD" w:rsidRPr="009C0E84">
        <w:rPr>
          <w:rFonts w:ascii="ITC Avant Garde" w:hAnsi="ITC Avant Garde"/>
          <w:b/>
        </w:rPr>
        <w:t>“</w:t>
      </w:r>
      <w:r w:rsidR="00CC291D" w:rsidRPr="009C0E84">
        <w:rPr>
          <w:rFonts w:ascii="ITC Avant Garde" w:hAnsi="ITC Avant Garde"/>
          <w:b/>
          <w:i/>
        </w:rPr>
        <w:t xml:space="preserve">PROPUESTA DE </w:t>
      </w:r>
      <w:r w:rsidR="00305DC4" w:rsidRPr="00232952">
        <w:rPr>
          <w:rFonts w:ascii="ITC Avant Garde" w:eastAsia="Calibri" w:hAnsi="ITC Avant Garde" w:cs="Times New Roman"/>
          <w:b/>
          <w:i/>
          <w:lang w:val="es-ES"/>
        </w:rPr>
        <w:t>OFERTA</w:t>
      </w:r>
      <w:r w:rsidR="00305DC4" w:rsidRPr="00232952">
        <w:rPr>
          <w:rFonts w:ascii="ITC Avant Garde" w:eastAsia="Calibri" w:hAnsi="ITC Avant Garde" w:cs="Times New Roman"/>
          <w:b/>
          <w:bCs/>
          <w:i/>
          <w:lang w:val="es-ES"/>
        </w:rPr>
        <w:t xml:space="preserve"> DE REFERENCIA PARA </w:t>
      </w:r>
      <w:r w:rsidR="00305DC4" w:rsidRPr="00232952">
        <w:rPr>
          <w:rFonts w:ascii="ITC Avant Garde" w:eastAsia="Calibri" w:hAnsi="ITC Avant Garde" w:cs="Times New Roman"/>
          <w:b/>
          <w:i/>
          <w:lang w:val="es-ES"/>
        </w:rPr>
        <w:t>EL</w:t>
      </w:r>
      <w:r w:rsidR="00305DC4" w:rsidRPr="00232952">
        <w:rPr>
          <w:rFonts w:ascii="ITC Avant Garde" w:eastAsia="Calibri" w:hAnsi="ITC Avant Garde" w:cs="Times New Roman"/>
          <w:b/>
          <w:bCs/>
          <w:i/>
          <w:lang w:val="es-ES"/>
        </w:rPr>
        <w:t xml:space="preserve"> ACCESO Y USO COMPARTIDO DE INFRAESTRUCTURA</w:t>
      </w:r>
      <w:r w:rsidR="00305DC4" w:rsidRPr="00232952">
        <w:rPr>
          <w:rFonts w:ascii="ITC Avant Garde" w:eastAsia="Calibri" w:hAnsi="ITC Avant Garde" w:cs="Times New Roman"/>
          <w:b/>
          <w:i/>
          <w:lang w:val="es-ES"/>
        </w:rPr>
        <w:t xml:space="preserve"> PASIVA </w:t>
      </w:r>
      <w:r w:rsidR="00AE57D0" w:rsidRPr="009C0E84">
        <w:rPr>
          <w:rFonts w:ascii="ITC Avant Garde" w:eastAsia="Calibri" w:hAnsi="ITC Avant Garde" w:cs="Times New Roman"/>
          <w:b/>
          <w:i/>
          <w:lang w:val="es-ES"/>
        </w:rPr>
        <w:t>”.</w:t>
      </w:r>
    </w:p>
    <w:bookmarkEnd w:id="0"/>
    <w:p w14:paraId="589AC6EE" w14:textId="6B553E9E" w:rsidR="00195C02" w:rsidRPr="009C0E84" w:rsidRDefault="00195C02" w:rsidP="00195C02">
      <w:pPr>
        <w:rPr>
          <w:rFonts w:ascii="ITC Avant Garde" w:eastAsiaTheme="majorEastAsia" w:hAnsi="ITC Avant Garde" w:cstheme="majorBidi"/>
          <w:b/>
          <w:lang w:val="es-ES"/>
        </w:rPr>
      </w:pPr>
      <w:r w:rsidRPr="009C0E84">
        <w:rPr>
          <w:rFonts w:ascii="ITC Avant Garde" w:eastAsiaTheme="majorEastAsia" w:hAnsi="ITC Avant Garde" w:cstheme="majorBidi"/>
          <w:b/>
          <w:lang w:val="es-ES"/>
        </w:rPr>
        <w:t>Fecha de elaboración:</w:t>
      </w:r>
    </w:p>
    <w:p w14:paraId="45E7FC21" w14:textId="3B20061D" w:rsidR="00DF6668" w:rsidRPr="009C0E84" w:rsidRDefault="00C11420" w:rsidP="00195C02">
      <w:pPr>
        <w:rPr>
          <w:rFonts w:ascii="ITC Avant Garde" w:eastAsiaTheme="majorEastAsia" w:hAnsi="ITC Avant Garde" w:cstheme="majorBidi"/>
          <w:lang w:val="es-ES"/>
        </w:rPr>
      </w:pPr>
      <w:r w:rsidRPr="00632ABA">
        <w:rPr>
          <w:rFonts w:ascii="ITC Avant Garde" w:eastAsiaTheme="majorEastAsia" w:hAnsi="ITC Avant Garde" w:cstheme="majorBidi"/>
          <w:lang w:val="es-ES"/>
        </w:rPr>
        <w:t>21</w:t>
      </w:r>
      <w:r w:rsidR="00E21A07">
        <w:rPr>
          <w:rFonts w:ascii="ITC Avant Garde" w:eastAsiaTheme="majorEastAsia" w:hAnsi="ITC Avant Garde" w:cstheme="majorBidi"/>
          <w:lang w:val="es-ES"/>
        </w:rPr>
        <w:t xml:space="preserve"> </w:t>
      </w:r>
      <w:r w:rsidR="00AD362A" w:rsidRPr="00632ABA">
        <w:rPr>
          <w:rFonts w:ascii="ITC Avant Garde" w:eastAsiaTheme="majorEastAsia" w:hAnsi="ITC Avant Garde" w:cstheme="majorBidi"/>
          <w:lang w:val="es-ES"/>
        </w:rPr>
        <w:t>de noviembre</w:t>
      </w:r>
      <w:r w:rsidR="0067234C" w:rsidRPr="00632ABA">
        <w:rPr>
          <w:rFonts w:ascii="ITC Avant Garde" w:eastAsiaTheme="majorEastAsia" w:hAnsi="ITC Avant Garde" w:cstheme="majorBidi"/>
          <w:lang w:val="es-ES"/>
        </w:rPr>
        <w:t xml:space="preserve"> </w:t>
      </w:r>
      <w:r w:rsidR="00EB5B4B" w:rsidRPr="00632ABA">
        <w:rPr>
          <w:rFonts w:ascii="ITC Avant Garde" w:eastAsiaTheme="majorEastAsia" w:hAnsi="ITC Avant Garde" w:cstheme="majorBidi"/>
          <w:lang w:val="es-ES"/>
        </w:rPr>
        <w:t>de 20</w:t>
      </w:r>
      <w:r w:rsidR="000C2DF4" w:rsidRPr="00632ABA">
        <w:rPr>
          <w:rFonts w:ascii="ITC Avant Garde" w:eastAsiaTheme="majorEastAsia" w:hAnsi="ITC Avant Garde" w:cstheme="majorBidi"/>
          <w:lang w:val="es-ES"/>
        </w:rPr>
        <w:t>2</w:t>
      </w:r>
      <w:r w:rsidR="00232952" w:rsidRPr="00632ABA">
        <w:rPr>
          <w:rFonts w:ascii="ITC Avant Garde" w:eastAsiaTheme="majorEastAsia" w:hAnsi="ITC Avant Garde" w:cstheme="majorBidi"/>
          <w:lang w:val="es-ES"/>
        </w:rPr>
        <w:t>3</w:t>
      </w:r>
      <w:r w:rsidR="00083F9A" w:rsidRPr="00632ABA">
        <w:rPr>
          <w:rFonts w:ascii="ITC Avant Garde" w:eastAsiaTheme="majorEastAsia" w:hAnsi="ITC Avant Garde" w:cstheme="majorBidi"/>
          <w:lang w:val="es-ES"/>
        </w:rPr>
        <w:t xml:space="preserve"> </w:t>
      </w:r>
    </w:p>
    <w:p w14:paraId="7F0CF43F" w14:textId="212C91F4" w:rsidR="00195C02" w:rsidRPr="009C0E84" w:rsidRDefault="00195C02" w:rsidP="00195C02">
      <w:pPr>
        <w:rPr>
          <w:rFonts w:ascii="ITC Avant Garde" w:eastAsiaTheme="majorEastAsia" w:hAnsi="ITC Avant Garde" w:cstheme="majorBidi"/>
          <w:b/>
          <w:lang w:val="es-ES"/>
        </w:rPr>
      </w:pPr>
      <w:r w:rsidRPr="009C0E84">
        <w:rPr>
          <w:rFonts w:ascii="ITC Avant Garde" w:eastAsiaTheme="majorEastAsia" w:hAnsi="ITC Avant Garde" w:cstheme="majorBidi"/>
          <w:b/>
          <w:lang w:val="es-ES"/>
        </w:rPr>
        <w:t>Título o denominación de la consulta pública:</w:t>
      </w:r>
    </w:p>
    <w:p w14:paraId="1FB1D0F0" w14:textId="62587394" w:rsidR="00195C02" w:rsidRPr="009C0E84" w:rsidRDefault="00EB5B4B" w:rsidP="00195C02">
      <w:pPr>
        <w:rPr>
          <w:rFonts w:ascii="ITC Avant Garde" w:eastAsiaTheme="majorEastAsia" w:hAnsi="ITC Avant Garde" w:cstheme="majorBidi"/>
          <w:i/>
          <w:lang w:val="es-ES"/>
        </w:rPr>
      </w:pPr>
      <w:r w:rsidRPr="009C0E84">
        <w:rPr>
          <w:rFonts w:ascii="ITC Avant Garde" w:eastAsiaTheme="majorEastAsia" w:hAnsi="ITC Avant Garde" w:cstheme="majorBidi"/>
          <w:i/>
          <w:lang w:val="es-ES"/>
        </w:rPr>
        <w:t>“</w:t>
      </w:r>
      <w:r w:rsidR="00E91905" w:rsidRPr="009C0E84">
        <w:rPr>
          <w:rFonts w:ascii="ITC Avant Garde" w:eastAsiaTheme="majorEastAsia" w:hAnsi="ITC Avant Garde" w:cstheme="majorBidi"/>
          <w:i/>
          <w:lang w:val="es-ES"/>
        </w:rPr>
        <w:t>Propuestas de Ofertas de Referencia de los Servicios Mayoristas de Usuario Visitante; de Reventa de Servicios; de Acceso y Uso Compartido de Infraestructura presentadas por el AEP en el sector de las telecomunicaciones</w:t>
      </w:r>
      <w:r w:rsidR="00195C02" w:rsidRPr="009C0E84">
        <w:rPr>
          <w:rFonts w:ascii="ITC Avant Garde" w:eastAsiaTheme="majorEastAsia" w:hAnsi="ITC Avant Garde" w:cstheme="majorBidi"/>
          <w:i/>
          <w:lang w:val="es-ES"/>
        </w:rPr>
        <w:t>”</w:t>
      </w:r>
    </w:p>
    <w:p w14:paraId="4C0231E9" w14:textId="481539DF" w:rsidR="00195C02" w:rsidRPr="009C0E84" w:rsidRDefault="00195C02" w:rsidP="00B029FD">
      <w:pPr>
        <w:rPr>
          <w:rFonts w:ascii="ITC Avant Garde" w:eastAsiaTheme="majorEastAsia" w:hAnsi="ITC Avant Garde" w:cstheme="majorBidi"/>
          <w:b/>
          <w:lang w:val="es-ES"/>
        </w:rPr>
      </w:pPr>
      <w:r w:rsidRPr="009C0E84">
        <w:rPr>
          <w:rFonts w:ascii="ITC Avant Garde" w:eastAsiaTheme="majorEastAsia" w:hAnsi="ITC Avant Garde" w:cstheme="majorBidi"/>
          <w:b/>
          <w:lang w:val="es-ES"/>
        </w:rPr>
        <w:t>Descripción de la consulta pública:</w:t>
      </w:r>
    </w:p>
    <w:p w14:paraId="678463C4" w14:textId="7ABE0D9C" w:rsidR="008F17B2" w:rsidRPr="009C0E84" w:rsidRDefault="00651C1F" w:rsidP="00195C02">
      <w:pPr>
        <w:rPr>
          <w:rFonts w:ascii="ITC Avant Garde" w:eastAsia="Calibri" w:hAnsi="ITC Avant Garde" w:cs="Times New Roman"/>
          <w:i/>
          <w:lang w:val="es-ES"/>
        </w:rPr>
      </w:pPr>
      <w:r w:rsidRPr="009C0E84">
        <w:rPr>
          <w:rFonts w:ascii="ITC Avant Garde" w:eastAsiaTheme="majorEastAsia" w:hAnsi="ITC Avant Garde" w:cstheme="majorBidi"/>
          <w:lang w:val="es-ES"/>
        </w:rPr>
        <w:t xml:space="preserve">Del </w:t>
      </w:r>
      <w:r w:rsidR="00744429" w:rsidRPr="009C0E84">
        <w:rPr>
          <w:rFonts w:ascii="ITC Avant Garde" w:eastAsiaTheme="majorEastAsia" w:hAnsi="ITC Avant Garde" w:cstheme="majorBidi"/>
          <w:lang w:val="es-ES"/>
        </w:rPr>
        <w:t>1</w:t>
      </w:r>
      <w:r w:rsidR="00232952">
        <w:rPr>
          <w:rFonts w:ascii="ITC Avant Garde" w:eastAsiaTheme="majorEastAsia" w:hAnsi="ITC Avant Garde" w:cstheme="majorBidi"/>
          <w:lang w:val="es-ES"/>
        </w:rPr>
        <w:t>0</w:t>
      </w:r>
      <w:r w:rsidR="00E91905" w:rsidRPr="009C0E84">
        <w:rPr>
          <w:rFonts w:ascii="ITC Avant Garde" w:eastAsiaTheme="majorEastAsia" w:hAnsi="ITC Avant Garde" w:cstheme="majorBidi"/>
          <w:lang w:val="es-ES"/>
        </w:rPr>
        <w:t xml:space="preserve"> de agosto de</w:t>
      </w:r>
      <w:r w:rsidR="00D03BB2" w:rsidRPr="009C0E84">
        <w:rPr>
          <w:rFonts w:ascii="ITC Avant Garde" w:eastAsiaTheme="majorEastAsia" w:hAnsi="ITC Avant Garde" w:cstheme="majorBidi"/>
          <w:lang w:val="es-ES"/>
        </w:rPr>
        <w:t xml:space="preserve"> </w:t>
      </w:r>
      <w:r w:rsidR="00E91905" w:rsidRPr="009C0E84">
        <w:rPr>
          <w:rFonts w:ascii="ITC Avant Garde" w:eastAsiaTheme="majorEastAsia" w:hAnsi="ITC Avant Garde" w:cstheme="majorBidi"/>
          <w:lang w:val="es-ES"/>
        </w:rPr>
        <w:t>202</w:t>
      </w:r>
      <w:r w:rsidR="00232952">
        <w:rPr>
          <w:rFonts w:ascii="ITC Avant Garde" w:eastAsiaTheme="majorEastAsia" w:hAnsi="ITC Avant Garde" w:cstheme="majorBidi"/>
          <w:lang w:val="es-ES"/>
        </w:rPr>
        <w:t>3</w:t>
      </w:r>
      <w:r w:rsidRPr="009C0E84">
        <w:rPr>
          <w:rFonts w:ascii="ITC Avant Garde" w:eastAsiaTheme="majorEastAsia" w:hAnsi="ITC Avant Garde" w:cstheme="majorBidi"/>
          <w:lang w:val="es-ES"/>
        </w:rPr>
        <w:t xml:space="preserve"> al </w:t>
      </w:r>
      <w:r w:rsidR="00232952">
        <w:rPr>
          <w:rFonts w:ascii="ITC Avant Garde" w:eastAsiaTheme="majorEastAsia" w:hAnsi="ITC Avant Garde" w:cstheme="majorBidi"/>
          <w:lang w:val="es-ES"/>
        </w:rPr>
        <w:t>08</w:t>
      </w:r>
      <w:r w:rsidRPr="009C0E84">
        <w:rPr>
          <w:rFonts w:ascii="ITC Avant Garde" w:eastAsiaTheme="majorEastAsia" w:hAnsi="ITC Avant Garde" w:cstheme="majorBidi"/>
          <w:lang w:val="es-ES"/>
        </w:rPr>
        <w:t xml:space="preserve"> de </w:t>
      </w:r>
      <w:r w:rsidR="00E91905" w:rsidRPr="009C0E84">
        <w:rPr>
          <w:rFonts w:ascii="ITC Avant Garde" w:eastAsiaTheme="majorEastAsia" w:hAnsi="ITC Avant Garde" w:cstheme="majorBidi"/>
          <w:lang w:val="es-ES"/>
        </w:rPr>
        <w:t>septiembre</w:t>
      </w:r>
      <w:r w:rsidRPr="009C0E84">
        <w:rPr>
          <w:rFonts w:ascii="ITC Avant Garde" w:eastAsiaTheme="majorEastAsia" w:hAnsi="ITC Avant Garde" w:cstheme="majorBidi"/>
          <w:lang w:val="es-ES"/>
        </w:rPr>
        <w:t xml:space="preserve"> de 20</w:t>
      </w:r>
      <w:r w:rsidR="00E91905" w:rsidRPr="009C0E84">
        <w:rPr>
          <w:rFonts w:ascii="ITC Avant Garde" w:eastAsiaTheme="majorEastAsia" w:hAnsi="ITC Avant Garde" w:cstheme="majorBidi"/>
          <w:lang w:val="es-ES"/>
        </w:rPr>
        <w:t>2</w:t>
      </w:r>
      <w:r w:rsidR="00232952">
        <w:rPr>
          <w:rFonts w:ascii="ITC Avant Garde" w:eastAsiaTheme="majorEastAsia" w:hAnsi="ITC Avant Garde" w:cstheme="majorBidi"/>
          <w:lang w:val="es-ES"/>
        </w:rPr>
        <w:t>3</w:t>
      </w:r>
      <w:r w:rsidRPr="009C0E84">
        <w:rPr>
          <w:rFonts w:ascii="ITC Avant Garde" w:eastAsiaTheme="majorEastAsia" w:hAnsi="ITC Avant Garde" w:cstheme="majorBidi"/>
          <w:lang w:val="es-ES"/>
        </w:rPr>
        <w:t xml:space="preserve"> e</w:t>
      </w:r>
      <w:r w:rsidR="00195C02" w:rsidRPr="009C0E84">
        <w:rPr>
          <w:rFonts w:ascii="ITC Avant Garde" w:eastAsiaTheme="majorEastAsia" w:hAnsi="ITC Avant Garde" w:cstheme="majorBidi"/>
          <w:lang w:val="es-ES"/>
        </w:rPr>
        <w:t xml:space="preserve">l Instituto Federal de Telecomunicaciones (en lo sucesivo, “Instituto”) </w:t>
      </w:r>
      <w:r w:rsidR="0067234C" w:rsidRPr="009C0E84">
        <w:rPr>
          <w:rFonts w:ascii="ITC Avant Garde" w:eastAsiaTheme="majorEastAsia" w:hAnsi="ITC Avant Garde" w:cstheme="majorBidi"/>
          <w:lang w:val="es-ES"/>
        </w:rPr>
        <w:t xml:space="preserve">llevó a cabo el proceso de consulta pública </w:t>
      </w:r>
      <w:r w:rsidRPr="009C0E84">
        <w:rPr>
          <w:rFonts w:ascii="ITC Avant Garde" w:eastAsiaTheme="majorEastAsia" w:hAnsi="ITC Avant Garde" w:cstheme="majorBidi"/>
          <w:lang w:val="es-ES"/>
        </w:rPr>
        <w:t xml:space="preserve">de la </w:t>
      </w:r>
      <w:r w:rsidR="008F17B2" w:rsidRPr="009C0E84">
        <w:rPr>
          <w:rFonts w:ascii="ITC Avant Garde" w:eastAsiaTheme="majorEastAsia" w:hAnsi="ITC Avant Garde" w:cstheme="majorBidi"/>
          <w:lang w:val="es-ES"/>
        </w:rPr>
        <w:t>“</w:t>
      </w:r>
      <w:r w:rsidR="00195C02" w:rsidRPr="009C0E84">
        <w:rPr>
          <w:rFonts w:ascii="ITC Avant Garde" w:eastAsia="Calibri" w:hAnsi="ITC Avant Garde" w:cs="Times New Roman"/>
          <w:i/>
          <w:lang w:val="es-ES"/>
        </w:rPr>
        <w:t>Oferta</w:t>
      </w:r>
      <w:r w:rsidR="00195C02" w:rsidRPr="009C0E84">
        <w:rPr>
          <w:rFonts w:ascii="ITC Avant Garde" w:eastAsia="Calibri" w:hAnsi="ITC Avant Garde" w:cs="Times New Roman"/>
          <w:bCs/>
          <w:i/>
          <w:lang w:val="es-ES"/>
        </w:rPr>
        <w:t xml:space="preserve"> de Referencia para </w:t>
      </w:r>
      <w:r w:rsidR="00195C02" w:rsidRPr="009C0E84">
        <w:rPr>
          <w:rFonts w:ascii="ITC Avant Garde" w:eastAsia="Calibri" w:hAnsi="ITC Avant Garde" w:cs="Times New Roman"/>
          <w:i/>
          <w:lang w:val="es-ES"/>
        </w:rPr>
        <w:t>el</w:t>
      </w:r>
      <w:r w:rsidR="00195C02" w:rsidRPr="009C0E84">
        <w:rPr>
          <w:rFonts w:ascii="ITC Avant Garde" w:eastAsia="Calibri" w:hAnsi="ITC Avant Garde" w:cs="Times New Roman"/>
          <w:bCs/>
          <w:i/>
          <w:lang w:val="es-ES"/>
        </w:rPr>
        <w:t xml:space="preserve"> Acceso y Uso Compartido de Infraestructura</w:t>
      </w:r>
      <w:r w:rsidR="00195C02" w:rsidRPr="009C0E84">
        <w:rPr>
          <w:rFonts w:ascii="ITC Avant Garde" w:eastAsia="Calibri" w:hAnsi="ITC Avant Garde" w:cs="Times New Roman"/>
          <w:i/>
          <w:lang w:val="es-ES"/>
        </w:rPr>
        <w:t xml:space="preserve"> Pasiva</w:t>
      </w:r>
      <w:r w:rsidRPr="009C0E84">
        <w:rPr>
          <w:rFonts w:ascii="ITC Avant Garde" w:eastAsia="Calibri" w:hAnsi="ITC Avant Garde" w:cs="Times New Roman"/>
          <w:i/>
          <w:lang w:val="es-ES"/>
        </w:rPr>
        <w:t xml:space="preserve"> aplicable del 1 de enero de 202</w:t>
      </w:r>
      <w:r w:rsidR="00232952">
        <w:rPr>
          <w:rFonts w:ascii="ITC Avant Garde" w:eastAsia="Calibri" w:hAnsi="ITC Avant Garde" w:cs="Times New Roman"/>
          <w:i/>
          <w:lang w:val="es-ES"/>
        </w:rPr>
        <w:t>4</w:t>
      </w:r>
      <w:r w:rsidR="00195C02" w:rsidRPr="009C0E84">
        <w:rPr>
          <w:rFonts w:ascii="ITC Avant Garde" w:eastAsia="Calibri" w:hAnsi="ITC Avant Garde" w:cs="Times New Roman"/>
          <w:i/>
          <w:lang w:val="es-ES"/>
        </w:rPr>
        <w:t xml:space="preserve"> </w:t>
      </w:r>
      <w:r w:rsidRPr="009C0E84">
        <w:rPr>
          <w:rFonts w:ascii="ITC Avant Garde" w:eastAsia="Calibri" w:hAnsi="ITC Avant Garde" w:cs="Times New Roman"/>
          <w:i/>
          <w:lang w:val="es-ES"/>
        </w:rPr>
        <w:t>al 31 de diciembre de 20</w:t>
      </w:r>
      <w:r w:rsidR="00744429" w:rsidRPr="009C0E84">
        <w:rPr>
          <w:rFonts w:ascii="ITC Avant Garde" w:eastAsia="Calibri" w:hAnsi="ITC Avant Garde" w:cs="Times New Roman"/>
          <w:i/>
          <w:lang w:val="es-ES"/>
        </w:rPr>
        <w:t>2</w:t>
      </w:r>
      <w:r w:rsidR="00232952">
        <w:rPr>
          <w:rFonts w:ascii="ITC Avant Garde" w:eastAsia="Calibri" w:hAnsi="ITC Avant Garde" w:cs="Times New Roman"/>
          <w:i/>
          <w:lang w:val="es-ES"/>
        </w:rPr>
        <w:t>4</w:t>
      </w:r>
      <w:r w:rsidR="00195C02" w:rsidRPr="009C0E84">
        <w:rPr>
          <w:rFonts w:ascii="ITC Avant Garde" w:eastAsia="Calibri" w:hAnsi="ITC Avant Garde" w:cs="Times New Roman"/>
          <w:lang w:val="es-ES"/>
        </w:rPr>
        <w:t>” (en lo sucesivo “Propuesta de Oferta de Referencia”), presentada</w:t>
      </w:r>
      <w:r w:rsidR="00195C02" w:rsidRPr="009C0E84">
        <w:rPr>
          <w:rFonts w:ascii="ITC Avant Garde" w:eastAsia="Calibri" w:hAnsi="ITC Avant Garde" w:cs="Times New Roman"/>
          <w:bCs/>
          <w:lang w:val="es-ES"/>
        </w:rPr>
        <w:t xml:space="preserve"> por </w:t>
      </w:r>
      <w:r w:rsidR="008C027B" w:rsidRPr="009C0E84">
        <w:rPr>
          <w:rFonts w:ascii="ITC Avant Garde" w:eastAsia="Calibri" w:hAnsi="ITC Avant Garde" w:cs="Times New Roman"/>
          <w:bCs/>
          <w:lang w:val="es-ES"/>
        </w:rPr>
        <w:t xml:space="preserve">el apoderado legal de </w:t>
      </w:r>
      <w:r w:rsidR="00195C02" w:rsidRPr="009C0E84">
        <w:rPr>
          <w:rFonts w:ascii="ITC Avant Garde" w:eastAsia="Calibri" w:hAnsi="ITC Avant Garde" w:cs="Times New Roman"/>
          <w:lang w:val="es-ES"/>
        </w:rPr>
        <w:t xml:space="preserve">Operadora de </w:t>
      </w:r>
      <w:proofErr w:type="spellStart"/>
      <w:r w:rsidR="00195C02" w:rsidRPr="009C0E84">
        <w:rPr>
          <w:rFonts w:ascii="ITC Avant Garde" w:eastAsia="Calibri" w:hAnsi="ITC Avant Garde" w:cs="Times New Roman"/>
          <w:lang w:val="es-ES"/>
        </w:rPr>
        <w:t>Sites</w:t>
      </w:r>
      <w:proofErr w:type="spellEnd"/>
      <w:r w:rsidR="00195C02" w:rsidRPr="009C0E84">
        <w:rPr>
          <w:rFonts w:ascii="ITC Avant Garde" w:eastAsia="Calibri" w:hAnsi="ITC Avant Garde" w:cs="Times New Roman"/>
          <w:lang w:val="es-ES"/>
        </w:rPr>
        <w:t xml:space="preserve"> Mexicanos, S.A.</w:t>
      </w:r>
      <w:r w:rsidR="00232952">
        <w:rPr>
          <w:rFonts w:ascii="ITC Avant Garde" w:eastAsia="Calibri" w:hAnsi="ITC Avant Garde" w:cs="Times New Roman"/>
          <w:lang w:val="es-ES"/>
        </w:rPr>
        <w:t>B.</w:t>
      </w:r>
      <w:r w:rsidR="00195C02" w:rsidRPr="009C0E84">
        <w:rPr>
          <w:rFonts w:ascii="ITC Avant Garde" w:eastAsia="Calibri" w:hAnsi="ITC Avant Garde" w:cs="Times New Roman"/>
          <w:lang w:val="es-ES"/>
        </w:rPr>
        <w:t xml:space="preserve"> de C.V. (en lo sucesivo, “</w:t>
      </w:r>
      <w:proofErr w:type="spellStart"/>
      <w:r w:rsidR="00195C02" w:rsidRPr="009C0E84">
        <w:rPr>
          <w:rFonts w:ascii="ITC Avant Garde" w:eastAsia="Calibri" w:hAnsi="ITC Avant Garde" w:cs="Times New Roman"/>
          <w:lang w:val="es-ES"/>
        </w:rPr>
        <w:t>Telesites</w:t>
      </w:r>
      <w:proofErr w:type="spellEnd"/>
      <w:r w:rsidR="00195C02" w:rsidRPr="009C0E84">
        <w:rPr>
          <w:rFonts w:ascii="ITC Avant Garde" w:eastAsia="Calibri" w:hAnsi="ITC Avant Garde" w:cs="Times New Roman"/>
          <w:lang w:val="es-ES"/>
        </w:rPr>
        <w:t>”</w:t>
      </w:r>
      <w:r w:rsidR="00195C02" w:rsidRPr="009C0E84">
        <w:rPr>
          <w:rFonts w:ascii="ITC Avant Garde" w:hAnsi="ITC Avant Garde"/>
        </w:rPr>
        <w:t>)</w:t>
      </w:r>
      <w:r w:rsidR="008C027B" w:rsidRPr="009C0E84">
        <w:rPr>
          <w:rFonts w:ascii="ITC Avant Garde" w:hAnsi="ITC Avant Garde"/>
        </w:rPr>
        <w:t xml:space="preserve"> y Banco Actinver, S.A., Institución de Banca Múltiple, Grupo Financiero Actinver, División Fiduciaria, este último exclusivamente en su carácter de Fiduciario del “FIDEICOMISO OPSIMEX 4594”, (en lo sucesivo, “Fibra”)</w:t>
      </w:r>
      <w:r w:rsidR="004561DE">
        <w:rPr>
          <w:rFonts w:ascii="ITC Avant Garde" w:hAnsi="ITC Avant Garde"/>
        </w:rPr>
        <w:t xml:space="preserve"> tomando en cuenta los términos y condiciones de la “</w:t>
      </w:r>
      <w:r w:rsidR="004561DE" w:rsidRPr="009C0E84">
        <w:rPr>
          <w:rFonts w:ascii="ITC Avant Garde" w:eastAsia="Calibri" w:hAnsi="ITC Avant Garde" w:cs="Times New Roman"/>
          <w:i/>
          <w:lang w:val="es-ES"/>
        </w:rPr>
        <w:t>Oferta</w:t>
      </w:r>
      <w:r w:rsidR="004561DE" w:rsidRPr="009C0E84">
        <w:rPr>
          <w:rFonts w:ascii="ITC Avant Garde" w:eastAsia="Calibri" w:hAnsi="ITC Avant Garde" w:cs="Times New Roman"/>
          <w:bCs/>
          <w:i/>
          <w:lang w:val="es-ES"/>
        </w:rPr>
        <w:t xml:space="preserve"> de Referencia para </w:t>
      </w:r>
      <w:r w:rsidR="004561DE" w:rsidRPr="009C0E84">
        <w:rPr>
          <w:rFonts w:ascii="ITC Avant Garde" w:eastAsia="Calibri" w:hAnsi="ITC Avant Garde" w:cs="Times New Roman"/>
          <w:i/>
          <w:lang w:val="es-ES"/>
        </w:rPr>
        <w:t>el</w:t>
      </w:r>
      <w:r w:rsidR="004561DE" w:rsidRPr="009C0E84">
        <w:rPr>
          <w:rFonts w:ascii="ITC Avant Garde" w:eastAsia="Calibri" w:hAnsi="ITC Avant Garde" w:cs="Times New Roman"/>
          <w:bCs/>
          <w:i/>
          <w:lang w:val="es-ES"/>
        </w:rPr>
        <w:t xml:space="preserve"> Acceso y Uso Compartido de Infraestructura</w:t>
      </w:r>
      <w:r w:rsidR="004561DE" w:rsidRPr="009C0E84">
        <w:rPr>
          <w:rFonts w:ascii="ITC Avant Garde" w:eastAsia="Calibri" w:hAnsi="ITC Avant Garde" w:cs="Times New Roman"/>
          <w:i/>
          <w:lang w:val="es-ES"/>
        </w:rPr>
        <w:t xml:space="preserve"> Pasiva aplicable del 1 de enero de 202</w:t>
      </w:r>
      <w:r w:rsidR="004561DE">
        <w:rPr>
          <w:rFonts w:ascii="ITC Avant Garde" w:eastAsia="Calibri" w:hAnsi="ITC Avant Garde" w:cs="Times New Roman"/>
          <w:i/>
          <w:lang w:val="es-ES"/>
        </w:rPr>
        <w:t>2</w:t>
      </w:r>
      <w:r w:rsidR="004561DE" w:rsidRPr="009C0E84">
        <w:rPr>
          <w:rFonts w:ascii="ITC Avant Garde" w:eastAsia="Calibri" w:hAnsi="ITC Avant Garde" w:cs="Times New Roman"/>
          <w:i/>
          <w:lang w:val="es-ES"/>
        </w:rPr>
        <w:t xml:space="preserve"> al 31 de diciembre de 202</w:t>
      </w:r>
      <w:r w:rsidR="00232952">
        <w:rPr>
          <w:rFonts w:ascii="ITC Avant Garde" w:eastAsia="Calibri" w:hAnsi="ITC Avant Garde" w:cs="Times New Roman"/>
          <w:i/>
          <w:lang w:val="es-ES"/>
        </w:rPr>
        <w:t>3</w:t>
      </w:r>
      <w:r w:rsidR="004561DE" w:rsidRPr="009C0E84">
        <w:rPr>
          <w:rFonts w:ascii="ITC Avant Garde" w:eastAsia="Calibri" w:hAnsi="ITC Avant Garde" w:cs="Times New Roman"/>
          <w:lang w:val="es-ES"/>
        </w:rPr>
        <w:t>”</w:t>
      </w:r>
      <w:r w:rsidR="004561DE">
        <w:rPr>
          <w:rStyle w:val="Refdenotaalpie"/>
          <w:rFonts w:eastAsia="Calibri" w:cs="Times New Roman"/>
          <w:lang w:val="es-ES"/>
        </w:rPr>
        <w:footnoteReference w:id="2"/>
      </w:r>
      <w:r w:rsidR="0086394E">
        <w:rPr>
          <w:rFonts w:ascii="ITC Avant Garde" w:eastAsia="Calibri" w:hAnsi="ITC Avant Garde" w:cs="Times New Roman"/>
          <w:lang w:val="es-ES"/>
        </w:rPr>
        <w:t>, (en lo sucesivo, “Oferta de Referencia Autorizada”)</w:t>
      </w:r>
      <w:r w:rsidR="008F17B2" w:rsidRPr="009C0E84">
        <w:rPr>
          <w:rFonts w:ascii="ITC Avant Garde" w:hAnsi="ITC Avant Garde"/>
        </w:rPr>
        <w:t>.</w:t>
      </w:r>
    </w:p>
    <w:p w14:paraId="5658FDAB" w14:textId="54483011" w:rsidR="00195C02" w:rsidRPr="009C0E84" w:rsidRDefault="0067234C" w:rsidP="00F65678">
      <w:pPr>
        <w:rPr>
          <w:rFonts w:ascii="ITC Avant Garde" w:eastAsiaTheme="majorEastAsia" w:hAnsi="ITC Avant Garde" w:cstheme="majorBidi"/>
          <w:lang w:val="es-ES"/>
        </w:rPr>
      </w:pPr>
      <w:r w:rsidRPr="009C0E84">
        <w:rPr>
          <w:rFonts w:ascii="ITC Avant Garde" w:hAnsi="ITC Avant Garde"/>
        </w:rPr>
        <w:t>E</w:t>
      </w:r>
      <w:r w:rsidR="008F17B2" w:rsidRPr="009C0E84">
        <w:rPr>
          <w:rFonts w:ascii="ITC Avant Garde" w:hAnsi="ITC Avant Garde"/>
        </w:rPr>
        <w:t xml:space="preserve">l Instituto </w:t>
      </w:r>
      <w:r w:rsidRPr="009C0E84">
        <w:rPr>
          <w:rFonts w:ascii="ITC Avant Garde" w:hAnsi="ITC Avant Garde"/>
        </w:rPr>
        <w:t xml:space="preserve">puso a disposición de los interesados los siguientes medios para recibir </w:t>
      </w:r>
      <w:r w:rsidR="008437B4" w:rsidRPr="009C0E84">
        <w:rPr>
          <w:rFonts w:ascii="ITC Avant Garde" w:hAnsi="ITC Avant Garde"/>
        </w:rPr>
        <w:t>las participaciones</w:t>
      </w:r>
      <w:r w:rsidRPr="009C0E84">
        <w:rPr>
          <w:rFonts w:ascii="ITC Avant Garde" w:hAnsi="ITC Avant Garde"/>
        </w:rPr>
        <w:t>:</w:t>
      </w:r>
      <w:r w:rsidR="008437B4" w:rsidRPr="009C0E84">
        <w:rPr>
          <w:rFonts w:ascii="ITC Avant Garde" w:hAnsi="ITC Avant Garde"/>
        </w:rPr>
        <w:t xml:space="preserve"> </w:t>
      </w:r>
      <w:r w:rsidR="008437B4" w:rsidRPr="009C0E84">
        <w:rPr>
          <w:rFonts w:ascii="ITC Avant Garde" w:eastAsiaTheme="majorEastAsia" w:hAnsi="ITC Avant Garde" w:cstheme="majorBidi"/>
          <w:lang w:val="es-ES"/>
        </w:rPr>
        <w:t>a través de la</w:t>
      </w:r>
      <w:r w:rsidR="00195C02" w:rsidRPr="009C0E84">
        <w:rPr>
          <w:rFonts w:ascii="ITC Avant Garde" w:eastAsiaTheme="majorEastAsia" w:hAnsi="ITC Avant Garde" w:cstheme="majorBidi"/>
          <w:lang w:val="es-ES"/>
        </w:rPr>
        <w:t xml:space="preserve"> dirección de correo electrónico ofertas.referencia@ift.org.mx, o mediante escrito presentado en la Oficialía de Partes Común del Instituto ubicada en Insurgentes Sur 1143, colonia Nochebuena, Delegación Benito Juárez, C.P. 03720, Ciudad de México, de lunes a jueves de las 9:00 a las 18:30 horas y los viernes de las 9:00 a las 15:00 horas</w:t>
      </w:r>
      <w:r w:rsidRPr="009C0E84">
        <w:rPr>
          <w:rFonts w:ascii="ITC Avant Garde" w:eastAsiaTheme="majorEastAsia" w:hAnsi="ITC Avant Garde" w:cstheme="majorBidi"/>
          <w:lang w:val="es-ES"/>
        </w:rPr>
        <w:t xml:space="preserve">, así como </w:t>
      </w:r>
      <w:r w:rsidR="00195C02" w:rsidRPr="009C0E84">
        <w:rPr>
          <w:rFonts w:ascii="ITC Avant Garde" w:eastAsiaTheme="majorEastAsia" w:hAnsi="ITC Avant Garde" w:cstheme="majorBidi"/>
          <w:lang w:val="es-ES"/>
        </w:rPr>
        <w:t xml:space="preserve">el </w:t>
      </w:r>
      <w:r w:rsidR="00195C02" w:rsidRPr="009C0E84">
        <w:rPr>
          <w:rFonts w:ascii="ITC Avant Garde" w:eastAsiaTheme="majorEastAsia" w:hAnsi="ITC Avant Garde" w:cstheme="majorBidi"/>
          <w:i/>
          <w:lang w:val="es-ES"/>
        </w:rPr>
        <w:t>“Formato para participar en la Consulta Pública”</w:t>
      </w:r>
      <w:r w:rsidR="00195C02" w:rsidRPr="009C0E84">
        <w:rPr>
          <w:rFonts w:ascii="ITC Avant Garde" w:eastAsiaTheme="majorEastAsia" w:hAnsi="ITC Avant Garde" w:cstheme="majorBidi"/>
          <w:lang w:val="es-ES"/>
        </w:rPr>
        <w:t>.</w:t>
      </w:r>
    </w:p>
    <w:p w14:paraId="117E0EDD" w14:textId="7E4E2049" w:rsidR="00305DC4" w:rsidRPr="009C0E84" w:rsidRDefault="00195C02" w:rsidP="00195C02">
      <w:pPr>
        <w:rPr>
          <w:rFonts w:ascii="ITC Avant Garde" w:eastAsiaTheme="majorEastAsia" w:hAnsi="ITC Avant Garde" w:cstheme="majorBidi"/>
          <w:lang w:val="es-ES"/>
        </w:rPr>
      </w:pPr>
      <w:r w:rsidRPr="009C0E84">
        <w:rPr>
          <w:rFonts w:ascii="ITC Avant Garde" w:eastAsiaTheme="majorEastAsia" w:hAnsi="ITC Avant Garde" w:cstheme="majorBidi"/>
          <w:lang w:val="es-ES"/>
        </w:rPr>
        <w:t xml:space="preserve">La información </w:t>
      </w:r>
      <w:r w:rsidR="008529A4" w:rsidRPr="009C0E84">
        <w:rPr>
          <w:rFonts w:ascii="ITC Avant Garde" w:eastAsiaTheme="majorEastAsia" w:hAnsi="ITC Avant Garde" w:cstheme="majorBidi"/>
          <w:lang w:val="es-ES"/>
        </w:rPr>
        <w:t xml:space="preserve">y opiniones </w:t>
      </w:r>
      <w:r w:rsidRPr="009C0E84">
        <w:rPr>
          <w:rFonts w:ascii="ITC Avant Garde" w:eastAsiaTheme="majorEastAsia" w:hAnsi="ITC Avant Garde" w:cstheme="majorBidi"/>
          <w:lang w:val="es-ES"/>
        </w:rPr>
        <w:t xml:space="preserve">que los interesados </w:t>
      </w:r>
      <w:r w:rsidR="008437B4" w:rsidRPr="009C0E84">
        <w:rPr>
          <w:rFonts w:ascii="ITC Avant Garde" w:eastAsiaTheme="majorEastAsia" w:hAnsi="ITC Avant Garde" w:cstheme="majorBidi"/>
          <w:lang w:val="es-ES"/>
        </w:rPr>
        <w:t>hicieron</w:t>
      </w:r>
      <w:r w:rsidRPr="009C0E84">
        <w:rPr>
          <w:rFonts w:ascii="ITC Avant Garde" w:eastAsiaTheme="majorEastAsia" w:hAnsi="ITC Avant Garde" w:cstheme="majorBidi"/>
          <w:lang w:val="es-ES"/>
        </w:rPr>
        <w:t xml:space="preserve"> llegar al Instituto</w:t>
      </w:r>
      <w:r w:rsidR="00442011" w:rsidRPr="009C0E84">
        <w:rPr>
          <w:rFonts w:ascii="ITC Avant Garde" w:eastAsiaTheme="majorEastAsia" w:hAnsi="ITC Avant Garde" w:cstheme="majorBidi"/>
          <w:lang w:val="es-ES"/>
        </w:rPr>
        <w:t>,</w:t>
      </w:r>
      <w:r w:rsidRPr="009C0E84">
        <w:rPr>
          <w:rFonts w:ascii="ITC Avant Garde" w:eastAsiaTheme="majorEastAsia" w:hAnsi="ITC Avant Garde" w:cstheme="majorBidi"/>
          <w:lang w:val="es-ES"/>
        </w:rPr>
        <w:t xml:space="preserve"> de acuerdo </w:t>
      </w:r>
      <w:r w:rsidR="00866049" w:rsidRPr="009C0E84">
        <w:rPr>
          <w:rFonts w:ascii="ITC Avant Garde" w:eastAsiaTheme="majorEastAsia" w:hAnsi="ITC Avant Garde" w:cstheme="majorBidi"/>
          <w:lang w:val="es-ES"/>
        </w:rPr>
        <w:t>con</w:t>
      </w:r>
      <w:r w:rsidRPr="009C0E84">
        <w:rPr>
          <w:rFonts w:ascii="ITC Avant Garde" w:eastAsiaTheme="majorEastAsia" w:hAnsi="ITC Avant Garde" w:cstheme="majorBidi"/>
          <w:lang w:val="es-ES"/>
        </w:rPr>
        <w:t xml:space="preserve"> los plazos y términos descritos en esta mecánica</w:t>
      </w:r>
      <w:r w:rsidR="00442011" w:rsidRPr="009C0E84">
        <w:rPr>
          <w:rFonts w:ascii="ITC Avant Garde" w:eastAsiaTheme="majorEastAsia" w:hAnsi="ITC Avant Garde" w:cstheme="majorBidi"/>
          <w:lang w:val="es-ES"/>
        </w:rPr>
        <w:t>,</w:t>
      </w:r>
      <w:r w:rsidRPr="009C0E84">
        <w:rPr>
          <w:rFonts w:ascii="ITC Avant Garde" w:eastAsiaTheme="majorEastAsia" w:hAnsi="ITC Avant Garde" w:cstheme="majorBidi"/>
          <w:lang w:val="es-ES"/>
        </w:rPr>
        <w:t xml:space="preserve"> no tiene</w:t>
      </w:r>
      <w:r w:rsidR="00866049" w:rsidRPr="009C0E84">
        <w:rPr>
          <w:rFonts w:ascii="ITC Avant Garde" w:eastAsiaTheme="majorEastAsia" w:hAnsi="ITC Avant Garde" w:cstheme="majorBidi"/>
          <w:lang w:val="es-ES"/>
        </w:rPr>
        <w:t>n</w:t>
      </w:r>
      <w:r w:rsidRPr="009C0E84">
        <w:rPr>
          <w:rFonts w:ascii="ITC Avant Garde" w:eastAsiaTheme="majorEastAsia" w:hAnsi="ITC Avant Garde" w:cstheme="majorBidi"/>
          <w:lang w:val="es-ES"/>
        </w:rPr>
        <w:t xml:space="preserve"> carácter vinculante, sin perjuicio de que el Instituto pueda ponderarla en un documento </w:t>
      </w:r>
      <w:r w:rsidRPr="009C0E84">
        <w:rPr>
          <w:rFonts w:ascii="ITC Avant Garde" w:eastAsiaTheme="majorEastAsia" w:hAnsi="ITC Avant Garde" w:cstheme="majorBidi"/>
          <w:lang w:val="es-ES"/>
        </w:rPr>
        <w:lastRenderedPageBreak/>
        <w:t>que refleje los resultados de dicha consulta, el cual se hará público en el apartado de la página de la consulta pública.</w:t>
      </w:r>
    </w:p>
    <w:p w14:paraId="7D17BD49" w14:textId="01D732FB" w:rsidR="00195C02" w:rsidRPr="009C0E84" w:rsidRDefault="00195C02" w:rsidP="00B029FD">
      <w:pPr>
        <w:rPr>
          <w:rFonts w:ascii="ITC Avant Garde" w:eastAsiaTheme="majorEastAsia" w:hAnsi="ITC Avant Garde" w:cstheme="majorBidi"/>
          <w:b/>
          <w:lang w:val="es-ES"/>
        </w:rPr>
      </w:pPr>
      <w:r w:rsidRPr="009C0E84">
        <w:rPr>
          <w:rFonts w:ascii="ITC Avant Garde" w:eastAsiaTheme="majorEastAsia" w:hAnsi="ITC Avant Garde" w:cstheme="majorBidi"/>
          <w:b/>
          <w:lang w:val="es-ES"/>
        </w:rPr>
        <w:t>Objetivo de la consulta pública:</w:t>
      </w:r>
    </w:p>
    <w:p w14:paraId="30B2EE1D" w14:textId="77777777" w:rsidR="00744429" w:rsidRPr="009C0E84" w:rsidRDefault="008F17B2" w:rsidP="00195C02">
      <w:pPr>
        <w:rPr>
          <w:rFonts w:ascii="ITC Avant Garde" w:eastAsiaTheme="majorEastAsia" w:hAnsi="ITC Avant Garde" w:cstheme="majorBidi"/>
          <w:lang w:val="es-ES"/>
        </w:rPr>
      </w:pPr>
      <w:r w:rsidRPr="009C0E84">
        <w:rPr>
          <w:rFonts w:ascii="ITC Avant Garde" w:eastAsiaTheme="majorEastAsia" w:hAnsi="ITC Avant Garde" w:cstheme="majorBidi"/>
          <w:lang w:val="es-ES"/>
        </w:rPr>
        <w:t xml:space="preserve">Los objetivos principales de la consulta pública consistieron en: </w:t>
      </w:r>
      <w:r w:rsidR="00744429" w:rsidRPr="009C0E84">
        <w:rPr>
          <w:rFonts w:ascii="ITC Avant Garde" w:eastAsiaTheme="majorEastAsia" w:hAnsi="ITC Avant Garde" w:cstheme="majorBidi"/>
          <w:lang w:val="es-ES"/>
        </w:rPr>
        <w:t xml:space="preserve">i) contar con mayores elementos para determinar las condiciones bajo las cuales se deberán aprobar las Ofertas de Referencia impuestas al Agente Económico Preponderante en el sector de las telecomunicaciones; </w:t>
      </w:r>
      <w:proofErr w:type="spellStart"/>
      <w:r w:rsidR="00744429" w:rsidRPr="009C0E84">
        <w:rPr>
          <w:rFonts w:ascii="ITC Avant Garde" w:eastAsiaTheme="majorEastAsia" w:hAnsi="ITC Avant Garde" w:cstheme="majorBidi"/>
          <w:lang w:val="es-ES"/>
        </w:rPr>
        <w:t>ii</w:t>
      </w:r>
      <w:proofErr w:type="spellEnd"/>
      <w:r w:rsidR="00744429" w:rsidRPr="009C0E84">
        <w:rPr>
          <w:rFonts w:ascii="ITC Avant Garde" w:eastAsiaTheme="majorEastAsia" w:hAnsi="ITC Avant Garde" w:cstheme="majorBidi"/>
          <w:lang w:val="es-ES"/>
        </w:rPr>
        <w:t xml:space="preserve">) favorecer la transparencia y participación ciudadana con el fin de recibir los comentarios, opiniones y aportaciones de la industria, académicos, analistas, gobierno, ámbito internacional y sociedad en general sobre las Ofertas de Referencia, y </w:t>
      </w:r>
      <w:proofErr w:type="spellStart"/>
      <w:r w:rsidR="00744429" w:rsidRPr="009C0E84">
        <w:rPr>
          <w:rFonts w:ascii="ITC Avant Garde" w:eastAsiaTheme="majorEastAsia" w:hAnsi="ITC Avant Garde" w:cstheme="majorBidi"/>
          <w:lang w:val="es-ES"/>
        </w:rPr>
        <w:t>iii</w:t>
      </w:r>
      <w:proofErr w:type="spellEnd"/>
      <w:r w:rsidR="00744429" w:rsidRPr="009C0E84">
        <w:rPr>
          <w:rFonts w:ascii="ITC Avant Garde" w:eastAsiaTheme="majorEastAsia" w:hAnsi="ITC Avant Garde" w:cstheme="majorBidi"/>
          <w:lang w:val="es-ES"/>
        </w:rPr>
        <w:t>) establecer las bases para aprobar o modificar las mismas.</w:t>
      </w:r>
    </w:p>
    <w:p w14:paraId="0F695F97" w14:textId="0BC8C825" w:rsidR="00195C02" w:rsidRPr="009C0E84" w:rsidRDefault="00195C02" w:rsidP="00195C02">
      <w:pPr>
        <w:rPr>
          <w:rFonts w:ascii="ITC Avant Garde" w:eastAsiaTheme="majorEastAsia" w:hAnsi="ITC Avant Garde" w:cstheme="majorBidi"/>
          <w:b/>
          <w:lang w:val="es-ES"/>
        </w:rPr>
      </w:pPr>
      <w:r w:rsidRPr="009C0E84">
        <w:rPr>
          <w:rFonts w:ascii="ITC Avant Garde" w:eastAsiaTheme="majorEastAsia" w:hAnsi="ITC Avant Garde" w:cstheme="majorBidi"/>
          <w:b/>
          <w:lang w:val="es-ES"/>
        </w:rPr>
        <w:t>Unidades y/o Coordinaciones Generales responsables de la consulta pública</w:t>
      </w:r>
      <w:r w:rsidR="008F17B2" w:rsidRPr="009C0E84">
        <w:rPr>
          <w:rFonts w:ascii="ITC Avant Garde" w:eastAsiaTheme="majorEastAsia" w:hAnsi="ITC Avant Garde" w:cstheme="majorBidi"/>
          <w:b/>
          <w:lang w:val="es-ES"/>
        </w:rPr>
        <w:t>:</w:t>
      </w:r>
    </w:p>
    <w:p w14:paraId="5884EF15" w14:textId="0AA180F4" w:rsidR="00195C02" w:rsidRPr="009C0E84" w:rsidRDefault="00195C02" w:rsidP="00195C02">
      <w:pPr>
        <w:rPr>
          <w:rFonts w:ascii="ITC Avant Garde" w:eastAsiaTheme="majorEastAsia" w:hAnsi="ITC Avant Garde" w:cstheme="majorBidi"/>
          <w:lang w:val="es-ES"/>
        </w:rPr>
      </w:pPr>
      <w:r w:rsidRPr="009C0E84">
        <w:rPr>
          <w:rFonts w:ascii="ITC Avant Garde" w:eastAsiaTheme="majorEastAsia" w:hAnsi="ITC Avant Garde" w:cstheme="majorBidi"/>
          <w:lang w:val="es-ES"/>
        </w:rPr>
        <w:t>Unidad Política Regulatoria</w:t>
      </w:r>
      <w:r w:rsidR="00866049" w:rsidRPr="009C0E84">
        <w:rPr>
          <w:rFonts w:ascii="ITC Avant Garde" w:eastAsiaTheme="majorEastAsia" w:hAnsi="ITC Avant Garde" w:cstheme="majorBidi"/>
          <w:lang w:val="es-ES"/>
        </w:rPr>
        <w:t xml:space="preserve"> (en lo sucesivo, “UPR”).</w:t>
      </w:r>
    </w:p>
    <w:p w14:paraId="3421C7D8" w14:textId="782C9D1E" w:rsidR="00195C02" w:rsidRPr="009C0E84" w:rsidRDefault="00195C02" w:rsidP="00195C02">
      <w:pPr>
        <w:rPr>
          <w:rFonts w:ascii="ITC Avant Garde" w:eastAsiaTheme="majorEastAsia" w:hAnsi="ITC Avant Garde" w:cstheme="majorBidi"/>
          <w:b/>
          <w:lang w:val="es-ES"/>
        </w:rPr>
      </w:pPr>
      <w:r w:rsidRPr="009C0E84">
        <w:rPr>
          <w:rFonts w:ascii="ITC Avant Garde" w:eastAsiaTheme="majorEastAsia" w:hAnsi="ITC Avant Garde" w:cstheme="majorBidi"/>
          <w:b/>
          <w:lang w:val="es-ES"/>
        </w:rPr>
        <w:t>Descripción de los participantes en la consulta pública</w:t>
      </w:r>
      <w:r w:rsidR="008F17B2" w:rsidRPr="009C0E84">
        <w:rPr>
          <w:rFonts w:ascii="ITC Avant Garde" w:eastAsiaTheme="majorEastAsia" w:hAnsi="ITC Avant Garde" w:cstheme="majorBidi"/>
          <w:b/>
          <w:lang w:val="es-ES"/>
        </w:rPr>
        <w:t>:</w:t>
      </w:r>
    </w:p>
    <w:p w14:paraId="13BEB25F" w14:textId="3BB81D93" w:rsidR="00B029FD" w:rsidRPr="009C0E84" w:rsidRDefault="008F7AB3" w:rsidP="00B029FD">
      <w:pPr>
        <w:rPr>
          <w:rFonts w:ascii="ITC Avant Garde" w:eastAsia="Calibri" w:hAnsi="ITC Avant Garde" w:cs="Times New Roman"/>
          <w:lang w:val="es-ES"/>
        </w:rPr>
      </w:pPr>
      <w:r w:rsidRPr="009C0E84">
        <w:rPr>
          <w:rFonts w:ascii="ITC Avant Garde" w:eastAsia="Calibri" w:hAnsi="ITC Avant Garde" w:cs="Times New Roman"/>
          <w:lang w:val="es-ES"/>
        </w:rPr>
        <w:t>D</w:t>
      </w:r>
      <w:r w:rsidR="00AE57D0" w:rsidRPr="009C0E84">
        <w:rPr>
          <w:rFonts w:ascii="ITC Avant Garde" w:eastAsia="Calibri" w:hAnsi="ITC Avant Garde" w:cs="Times New Roman"/>
          <w:lang w:val="es-ES"/>
        </w:rPr>
        <w:t>urante</w:t>
      </w:r>
      <w:r w:rsidR="00B029FD" w:rsidRPr="009C0E84">
        <w:rPr>
          <w:rFonts w:ascii="ITC Avant Garde" w:eastAsia="Calibri" w:hAnsi="ITC Avant Garde" w:cs="Times New Roman"/>
          <w:lang w:val="es-ES"/>
        </w:rPr>
        <w:t xml:space="preserve"> el </w:t>
      </w:r>
      <w:r w:rsidR="00AE57D0" w:rsidRPr="009C0E84">
        <w:rPr>
          <w:rFonts w:ascii="ITC Avant Garde" w:eastAsia="Calibri" w:hAnsi="ITC Avant Garde" w:cs="Times New Roman"/>
          <w:lang w:val="es-ES"/>
        </w:rPr>
        <w:t>periodo</w:t>
      </w:r>
      <w:r w:rsidR="00B029FD" w:rsidRPr="009C0E84">
        <w:rPr>
          <w:rFonts w:ascii="ITC Avant Garde" w:eastAsia="Calibri" w:hAnsi="ITC Avant Garde" w:cs="Times New Roman"/>
          <w:lang w:val="es-ES"/>
        </w:rPr>
        <w:t xml:space="preserve"> de la consulta pública de mérito s</w:t>
      </w:r>
      <w:r w:rsidR="008529A4" w:rsidRPr="009C0E84">
        <w:rPr>
          <w:rFonts w:ascii="ITC Avant Garde" w:eastAsia="Calibri" w:hAnsi="ITC Avant Garde" w:cs="Times New Roman"/>
          <w:lang w:val="es-ES"/>
        </w:rPr>
        <w:t xml:space="preserve">ólo se </w:t>
      </w:r>
      <w:r w:rsidR="00B029FD" w:rsidRPr="009C0E84">
        <w:rPr>
          <w:rFonts w:ascii="ITC Avant Garde" w:eastAsia="Calibri" w:hAnsi="ITC Avant Garde" w:cs="Times New Roman"/>
          <w:lang w:val="es-ES"/>
        </w:rPr>
        <w:t xml:space="preserve">recibieron </w:t>
      </w:r>
      <w:r w:rsidR="00A64D68" w:rsidRPr="009C0E84">
        <w:rPr>
          <w:rFonts w:ascii="ITC Avant Garde" w:eastAsia="Calibri" w:hAnsi="ITC Avant Garde" w:cs="Times New Roman"/>
          <w:lang w:val="es-ES"/>
        </w:rPr>
        <w:t>comentarios</w:t>
      </w:r>
      <w:r w:rsidR="00AE57D0" w:rsidRPr="009C0E84">
        <w:rPr>
          <w:rFonts w:ascii="ITC Avant Garde" w:eastAsia="Calibri" w:hAnsi="ITC Avant Garde" w:cs="Times New Roman"/>
          <w:lang w:val="es-ES"/>
        </w:rPr>
        <w:t xml:space="preserve"> por parte de las</w:t>
      </w:r>
      <w:r w:rsidR="00B029FD" w:rsidRPr="009C0E84">
        <w:rPr>
          <w:rFonts w:ascii="ITC Avant Garde" w:eastAsia="Calibri" w:hAnsi="ITC Avant Garde" w:cs="Times New Roman"/>
          <w:lang w:val="es-ES"/>
        </w:rPr>
        <w:t xml:space="preserve"> siguientes </w:t>
      </w:r>
      <w:r w:rsidR="00A64D68" w:rsidRPr="009C0E84">
        <w:rPr>
          <w:rFonts w:ascii="ITC Avant Garde" w:eastAsia="Calibri" w:hAnsi="ITC Avant Garde" w:cs="Times New Roman"/>
          <w:lang w:val="es-ES"/>
        </w:rPr>
        <w:t>participantes</w:t>
      </w:r>
      <w:r w:rsidR="00B029FD" w:rsidRPr="009C0E84">
        <w:rPr>
          <w:rFonts w:ascii="ITC Avant Garde" w:eastAsia="Calibri" w:hAnsi="ITC Avant Garde" w:cs="Times New Roman"/>
          <w:lang w:val="es-ES"/>
        </w:rPr>
        <w:t>:</w:t>
      </w:r>
    </w:p>
    <w:p w14:paraId="13588EA7" w14:textId="0ADFE097" w:rsidR="00744429" w:rsidRPr="009C0E84" w:rsidRDefault="00744429" w:rsidP="00744429">
      <w:pPr>
        <w:pStyle w:val="Prrafodelista"/>
        <w:numPr>
          <w:ilvl w:val="0"/>
          <w:numId w:val="10"/>
        </w:numPr>
        <w:rPr>
          <w:rFonts w:ascii="ITC Avant Garde" w:hAnsi="ITC Avant Garde"/>
        </w:rPr>
      </w:pPr>
      <w:r w:rsidRPr="009C0E84">
        <w:rPr>
          <w:rFonts w:ascii="ITC Avant Garde" w:hAnsi="ITC Avant Garde"/>
        </w:rPr>
        <w:t xml:space="preserve">AT&amp;T Comunicaciones Digitales, S. de R.L. de C.V., Grupo AT&amp;T </w:t>
      </w:r>
      <w:proofErr w:type="spellStart"/>
      <w:r w:rsidRPr="009C0E84">
        <w:rPr>
          <w:rFonts w:ascii="ITC Avant Garde" w:hAnsi="ITC Avant Garde"/>
        </w:rPr>
        <w:t>Celullar</w:t>
      </w:r>
      <w:proofErr w:type="spellEnd"/>
      <w:r w:rsidRPr="009C0E84">
        <w:rPr>
          <w:rFonts w:ascii="ITC Avant Garde" w:hAnsi="ITC Avant Garde"/>
        </w:rPr>
        <w:t>, S. de R.L. de C.V. y AT&amp;T Comercialización Móvil, S. de R.L. de C.V. (en lo sucesivo de manera conjunta, “AT&amp;T”)</w:t>
      </w:r>
    </w:p>
    <w:p w14:paraId="16F902F3" w14:textId="77777777" w:rsidR="00744429" w:rsidRPr="009C0E84" w:rsidRDefault="00744429" w:rsidP="00744429">
      <w:pPr>
        <w:pStyle w:val="Prrafodelista"/>
        <w:ind w:left="1080"/>
        <w:rPr>
          <w:rFonts w:ascii="ITC Avant Garde" w:hAnsi="ITC Avant Garde"/>
        </w:rPr>
      </w:pPr>
    </w:p>
    <w:p w14:paraId="61840FE3" w14:textId="2063B6AE" w:rsidR="00744429" w:rsidRPr="009C0E84" w:rsidRDefault="00AE57D0" w:rsidP="00744429">
      <w:pPr>
        <w:pStyle w:val="Prrafodelista"/>
        <w:numPr>
          <w:ilvl w:val="0"/>
          <w:numId w:val="10"/>
        </w:numPr>
        <w:rPr>
          <w:rFonts w:ascii="ITC Avant Garde" w:hAnsi="ITC Avant Garde"/>
        </w:rPr>
      </w:pPr>
      <w:proofErr w:type="spellStart"/>
      <w:r w:rsidRPr="009C0E84">
        <w:rPr>
          <w:rFonts w:ascii="ITC Avant Garde" w:eastAsiaTheme="minorHAnsi" w:hAnsi="ITC Avant Garde" w:cs="ITC Avant Garde"/>
        </w:rPr>
        <w:t>Operbes</w:t>
      </w:r>
      <w:proofErr w:type="spellEnd"/>
      <w:r w:rsidRPr="009C0E84">
        <w:rPr>
          <w:rFonts w:ascii="ITC Avant Garde" w:eastAsiaTheme="minorHAnsi" w:hAnsi="ITC Avant Garde" w:cs="ITC Avant Garde"/>
        </w:rPr>
        <w:t>, S.A. de C.V.</w:t>
      </w:r>
      <w:r w:rsidR="00F63699" w:rsidRPr="009C0E84">
        <w:rPr>
          <w:rFonts w:ascii="ITC Avant Garde" w:eastAsiaTheme="minorHAnsi" w:hAnsi="ITC Avant Garde" w:cs="ITC Avant Garde"/>
        </w:rPr>
        <w:t xml:space="preserve"> </w:t>
      </w:r>
      <w:r w:rsidR="00C05A76" w:rsidRPr="009C0E84">
        <w:rPr>
          <w:rFonts w:ascii="ITC Avant Garde" w:hAnsi="ITC Avant Garde"/>
        </w:rPr>
        <w:t>(</w:t>
      </w:r>
      <w:r w:rsidR="00AC0936" w:rsidRPr="009C0E84">
        <w:rPr>
          <w:rFonts w:ascii="ITC Avant Garde" w:hAnsi="ITC Avant Garde"/>
        </w:rPr>
        <w:t>en</w:t>
      </w:r>
      <w:r w:rsidR="00C05A76" w:rsidRPr="009C0E84">
        <w:rPr>
          <w:rFonts w:ascii="ITC Avant Garde" w:hAnsi="ITC Avant Garde"/>
        </w:rPr>
        <w:t xml:space="preserve"> lo sucesivo</w:t>
      </w:r>
      <w:r w:rsidR="006C558C" w:rsidRPr="009C0E84">
        <w:rPr>
          <w:rFonts w:ascii="ITC Avant Garde" w:hAnsi="ITC Avant Garde"/>
        </w:rPr>
        <w:t>,</w:t>
      </w:r>
      <w:r w:rsidR="00C05A76" w:rsidRPr="009C0E84">
        <w:rPr>
          <w:rFonts w:ascii="ITC Avant Garde" w:hAnsi="ITC Avant Garde"/>
        </w:rPr>
        <w:t xml:space="preserve"> “</w:t>
      </w:r>
      <w:r w:rsidR="00A7790A" w:rsidRPr="009C0E84">
        <w:rPr>
          <w:rFonts w:ascii="ITC Avant Garde" w:hAnsi="ITC Avant Garde"/>
        </w:rPr>
        <w:t>Televisa</w:t>
      </w:r>
      <w:r w:rsidR="00C05A76" w:rsidRPr="009C0E84">
        <w:rPr>
          <w:rFonts w:ascii="ITC Avant Garde" w:hAnsi="ITC Avant Garde"/>
        </w:rPr>
        <w:t>”).</w:t>
      </w:r>
    </w:p>
    <w:p w14:paraId="42CADB12" w14:textId="16399C1D" w:rsidR="00744429" w:rsidRPr="009C0E84" w:rsidRDefault="00EE5B91" w:rsidP="00781DD0">
      <w:pPr>
        <w:rPr>
          <w:rFonts w:ascii="ITC Avant Garde" w:hAnsi="ITC Avant Garde"/>
        </w:rPr>
      </w:pPr>
      <w:r w:rsidRPr="009C0E84">
        <w:rPr>
          <w:rFonts w:ascii="ITC Avant Garde" w:hAnsi="ITC Avant Garde"/>
        </w:rPr>
        <w:t>Dicha</w:t>
      </w:r>
      <w:r w:rsidR="00744429" w:rsidRPr="009C0E84">
        <w:rPr>
          <w:rFonts w:ascii="ITC Avant Garde" w:hAnsi="ITC Avant Garde"/>
        </w:rPr>
        <w:t>s</w:t>
      </w:r>
      <w:r w:rsidRPr="009C0E84">
        <w:rPr>
          <w:rFonts w:ascii="ITC Avant Garde" w:hAnsi="ITC Avant Garde"/>
        </w:rPr>
        <w:t xml:space="preserve"> participaci</w:t>
      </w:r>
      <w:r w:rsidR="00744429" w:rsidRPr="009C0E84">
        <w:rPr>
          <w:rFonts w:ascii="ITC Avant Garde" w:hAnsi="ITC Avant Garde"/>
        </w:rPr>
        <w:t>ones</w:t>
      </w:r>
      <w:r w:rsidRPr="009C0E84">
        <w:rPr>
          <w:rFonts w:ascii="ITC Avant Garde" w:hAnsi="ITC Avant Garde"/>
        </w:rPr>
        <w:t xml:space="preserve"> se encuentra disponible para su consulta en la página de internet del Instituto:</w:t>
      </w:r>
      <w:r w:rsidR="00C45224" w:rsidRPr="009C0E84">
        <w:rPr>
          <w:rFonts w:ascii="ITC Avant Garde" w:hAnsi="ITC Avant Garde"/>
        </w:rPr>
        <w:t xml:space="preserve"> </w:t>
      </w:r>
      <w:hyperlink r:id="rId11" w:history="1">
        <w:r w:rsidR="00D02CBC" w:rsidRPr="00415FB2">
          <w:rPr>
            <w:rStyle w:val="Hipervnculo"/>
            <w:rFonts w:ascii="ITC Avant Garde" w:hAnsi="ITC Avant Garde"/>
          </w:rPr>
          <w:t>https://www.ift.org.mx/industria/consultas-publicas/consulta-publica-sobre-las-propuestas-de-ofertas-de-referencia-de-los-servicios-</w:t>
        </w:r>
        <w:bookmarkStart w:id="1" w:name="_GoBack"/>
        <w:bookmarkEnd w:id="1"/>
        <w:r w:rsidR="00D02CBC" w:rsidRPr="00415FB2">
          <w:rPr>
            <w:rStyle w:val="Hipervnculo"/>
            <w:rFonts w:ascii="ITC Avant Garde" w:hAnsi="ITC Avant Garde"/>
          </w:rPr>
          <w:t>mayoristas-de-3</w:t>
        </w:r>
      </w:hyperlink>
      <w:r w:rsidR="00D02CBC">
        <w:rPr>
          <w:rStyle w:val="Hipervnculo"/>
          <w:rFonts w:ascii="ITC Avant Garde" w:hAnsi="ITC Avant Garde"/>
        </w:rPr>
        <w:t xml:space="preserve"> </w:t>
      </w:r>
    </w:p>
    <w:p w14:paraId="2B85DC27" w14:textId="3B26C74C" w:rsidR="00EE5B91" w:rsidRPr="009C0E84" w:rsidRDefault="00EE5B91" w:rsidP="00EE5B91">
      <w:pPr>
        <w:pStyle w:val="IFTnormal"/>
      </w:pPr>
      <w:r w:rsidRPr="009C0E84">
        <w:rPr>
          <w:b/>
        </w:rPr>
        <w:t xml:space="preserve">Respuestas o posicionamientos por parte </w:t>
      </w:r>
      <w:r w:rsidR="00505055">
        <w:rPr>
          <w:b/>
        </w:rPr>
        <w:t>de la UPR</w:t>
      </w:r>
      <w:r w:rsidRPr="009C0E84">
        <w:rPr>
          <w:b/>
        </w:rPr>
        <w:t xml:space="preserve">: </w:t>
      </w:r>
      <w:r w:rsidRPr="009C0E84">
        <w:t>con relación a las manifestaciones, opiniones, comentarios y propuestas concretas sobre la Propuesta de Oferta de Referencia, el orden en que s</w:t>
      </w:r>
      <w:r w:rsidR="008529A4" w:rsidRPr="009C0E84">
        <w:t>erán</w:t>
      </w:r>
      <w:r w:rsidRPr="009C0E84">
        <w:t xml:space="preserve"> abordados cada uno de los temas obedece al orden en que cada uno de éstos aparecen en </w:t>
      </w:r>
      <w:r w:rsidR="00866049" w:rsidRPr="009C0E84">
        <w:t>dicha p</w:t>
      </w:r>
      <w:r w:rsidRPr="009C0E84">
        <w:t>ropuesta, así como a los anexos de la misma.</w:t>
      </w:r>
    </w:p>
    <w:p w14:paraId="62E011D1" w14:textId="540BB224" w:rsidR="00F34071" w:rsidRPr="009F3558" w:rsidRDefault="00EE5B91" w:rsidP="009F3558">
      <w:pPr>
        <w:pStyle w:val="1TitPrin"/>
        <w:outlineLvl w:val="9"/>
        <w:rPr>
          <w:lang w:val="es-ES_tradnl"/>
        </w:rPr>
      </w:pPr>
      <w:r w:rsidRPr="009C0E84">
        <w:rPr>
          <w:b w:val="0"/>
          <w:color w:val="000000"/>
          <w:u w:val="none"/>
          <w:lang w:val="es-ES_tradnl"/>
        </w:rPr>
        <w:t xml:space="preserve">Por lo anterior, </w:t>
      </w:r>
      <w:r w:rsidR="008529A4" w:rsidRPr="009C0E84">
        <w:rPr>
          <w:b w:val="0"/>
          <w:color w:val="000000"/>
          <w:u w:val="none"/>
          <w:lang w:val="es-ES_tradnl"/>
        </w:rPr>
        <w:t xml:space="preserve">la </w:t>
      </w:r>
      <w:r w:rsidR="00866049" w:rsidRPr="009C0E84">
        <w:rPr>
          <w:b w:val="0"/>
          <w:color w:val="000000"/>
          <w:u w:val="none"/>
          <w:lang w:val="es-ES_tradnl"/>
        </w:rPr>
        <w:t xml:space="preserve">UPR </w:t>
      </w:r>
      <w:r w:rsidRPr="009C0E84">
        <w:rPr>
          <w:b w:val="0"/>
          <w:color w:val="000000"/>
          <w:u w:val="none"/>
          <w:lang w:val="es-ES_tradnl"/>
        </w:rPr>
        <w:t>emite las siguientes respuestas y consideraciones:</w:t>
      </w:r>
      <w:r w:rsidR="00E91905" w:rsidRPr="009C0E84">
        <w:t xml:space="preserve"> </w:t>
      </w:r>
    </w:p>
    <w:p w14:paraId="71A5A97D" w14:textId="245F2084" w:rsidR="00F34071" w:rsidRPr="00E4019F" w:rsidRDefault="00DA70B3" w:rsidP="00730E64">
      <w:pPr>
        <w:pStyle w:val="Prrafodelista"/>
        <w:numPr>
          <w:ilvl w:val="0"/>
          <w:numId w:val="23"/>
        </w:numPr>
        <w:rPr>
          <w:rFonts w:ascii="ITC Avant Garde" w:hAnsi="ITC Avant Garde"/>
          <w:b/>
          <w:lang w:val="es-ES_tradnl"/>
        </w:rPr>
      </w:pPr>
      <w:r w:rsidRPr="00E4019F">
        <w:rPr>
          <w:rFonts w:ascii="ITC Avant Garde" w:hAnsi="ITC Avant Garde"/>
          <w:b/>
          <w:lang w:val="es-ES_tradnl"/>
        </w:rPr>
        <w:t>Anexo “I” Servicios, Consulta de información de sitios</w:t>
      </w:r>
      <w:r w:rsidR="00F34071" w:rsidRPr="00E4019F">
        <w:rPr>
          <w:rFonts w:ascii="ITC Avant Garde" w:hAnsi="ITC Avant Garde"/>
          <w:b/>
          <w:lang w:val="es-ES_tradnl"/>
        </w:rPr>
        <w:t>.</w:t>
      </w:r>
      <w:r w:rsidR="00161825" w:rsidRPr="00E4019F">
        <w:rPr>
          <w:rFonts w:ascii="ITC Avant Garde" w:hAnsi="ITC Avant Garde"/>
          <w:b/>
          <w:lang w:val="es-ES_tradnl"/>
        </w:rPr>
        <w:t xml:space="preserve">  </w:t>
      </w:r>
    </w:p>
    <w:p w14:paraId="2966CBEE" w14:textId="01C723E4" w:rsidR="008A4243" w:rsidRPr="008A4243" w:rsidRDefault="00730E64" w:rsidP="00DA70B3">
      <w:r w:rsidRPr="00E4019F">
        <w:rPr>
          <w:rFonts w:ascii="ITC Avant Garde" w:hAnsi="ITC Avant Garde"/>
          <w:lang w:val="es-ES_tradnl"/>
        </w:rPr>
        <w:t>AT&amp;T señala que dentro de</w:t>
      </w:r>
      <w:r w:rsidR="00DA70B3" w:rsidRPr="00E4019F">
        <w:rPr>
          <w:rFonts w:ascii="ITC Avant Garde" w:hAnsi="ITC Avant Garde"/>
          <w:lang w:val="es-ES_tradnl"/>
        </w:rPr>
        <w:t>l Numeral 2.2.1.</w:t>
      </w:r>
      <w:r w:rsidRPr="00E4019F">
        <w:rPr>
          <w:rFonts w:ascii="ITC Avant Garde" w:hAnsi="ITC Avant Garde"/>
          <w:i/>
          <w:lang w:val="es-ES_tradnl"/>
        </w:rPr>
        <w:t>“</w:t>
      </w:r>
      <w:r w:rsidR="00DA70B3" w:rsidRPr="00E4019F">
        <w:rPr>
          <w:rFonts w:ascii="ITC Avant Garde" w:hAnsi="ITC Avant Garde"/>
          <w:i/>
          <w:lang w:val="es-ES_tradnl"/>
        </w:rPr>
        <w:t>Consulta de información de sitios</w:t>
      </w:r>
      <w:r w:rsidR="00436A86" w:rsidRPr="00E4019F">
        <w:rPr>
          <w:rFonts w:ascii="ITC Avant Garde" w:hAnsi="ITC Avant Garde"/>
          <w:i/>
          <w:lang w:val="es-ES_tradnl"/>
        </w:rPr>
        <w:t>”</w:t>
      </w:r>
      <w:r w:rsidR="00DA70B3" w:rsidRPr="00E4019F">
        <w:rPr>
          <w:rFonts w:ascii="ITC Avant Garde" w:hAnsi="ITC Avant Garde"/>
          <w:i/>
          <w:lang w:val="es-ES_tradnl"/>
        </w:rPr>
        <w:t xml:space="preserve">, </w:t>
      </w:r>
      <w:r w:rsidR="00DA70B3" w:rsidRPr="00E4019F">
        <w:rPr>
          <w:rFonts w:ascii="ITC Avant Garde" w:hAnsi="ITC Avant Garde"/>
          <w:lang w:val="es-ES_tradnl"/>
        </w:rPr>
        <w:t>se deberá garantizar para las solicitudes de proyectos dentro del SEG la información relativa a las alturas</w:t>
      </w:r>
      <w:r w:rsidR="00DA70B3" w:rsidRPr="00FC06B8">
        <w:rPr>
          <w:rFonts w:ascii="ITC Avant Garde" w:hAnsi="ITC Avant Garde"/>
          <w:lang w:val="es-ES_tradnl"/>
        </w:rPr>
        <w:t xml:space="preserve"> disponibles de la torre, número de operadores e información </w:t>
      </w:r>
      <w:r w:rsidR="00DA70B3" w:rsidRPr="00FC06B8">
        <w:rPr>
          <w:rFonts w:ascii="ITC Avant Garde" w:hAnsi="ITC Avant Garde"/>
          <w:lang w:val="es-ES_tradnl"/>
        </w:rPr>
        <w:lastRenderedPageBreak/>
        <w:t>de la factibilidad de incremento en torre o reforzamientos. Menciona que esta información es indispensable para la debida identificación de los sitios y el análisis interno de factibilidad.</w:t>
      </w:r>
      <w:r w:rsidR="00DA70B3">
        <w:rPr>
          <w:rFonts w:ascii="ITC Avant Garde" w:hAnsi="ITC Avant Garde"/>
          <w:lang w:val="es-ES_tradnl"/>
        </w:rPr>
        <w:t xml:space="preserve"> </w:t>
      </w:r>
    </w:p>
    <w:p w14:paraId="38BB5728" w14:textId="77777777" w:rsidR="000B273F" w:rsidRPr="00BF7935" w:rsidRDefault="000B273F" w:rsidP="000B273F">
      <w:pPr>
        <w:spacing w:after="120"/>
        <w:rPr>
          <w:rFonts w:ascii="ITC Avant Garde" w:hAnsi="ITC Avant Garde"/>
          <w:u w:val="single"/>
          <w:lang w:val="es-ES_tradnl"/>
        </w:rPr>
      </w:pPr>
      <w:r w:rsidRPr="00BF7935">
        <w:rPr>
          <w:rFonts w:ascii="ITC Avant Garde" w:hAnsi="ITC Avant Garde"/>
          <w:u w:val="single"/>
          <w:lang w:val="es-ES_tradnl"/>
        </w:rPr>
        <w:t xml:space="preserve">Respuesta </w:t>
      </w:r>
      <w:r>
        <w:rPr>
          <w:rFonts w:ascii="ITC Avant Garde" w:hAnsi="ITC Avant Garde"/>
          <w:u w:val="single"/>
          <w:lang w:val="es-ES_tradnl"/>
        </w:rPr>
        <w:t>de la UPR</w:t>
      </w:r>
    </w:p>
    <w:p w14:paraId="3D46423B" w14:textId="77777777" w:rsidR="00CD2726" w:rsidRDefault="000B273F" w:rsidP="00DA70B3">
      <w:pPr>
        <w:pStyle w:val="IFTnormal"/>
      </w:pPr>
      <w:r w:rsidRPr="00BF7935">
        <w:t xml:space="preserve">Respecto a </w:t>
      </w:r>
      <w:r>
        <w:t>dichos comentarios</w:t>
      </w:r>
      <w:r w:rsidRPr="00BF7935">
        <w:t xml:space="preserve">, </w:t>
      </w:r>
      <w:r>
        <w:t>la UPR</w:t>
      </w:r>
      <w:r w:rsidRPr="00BF7935">
        <w:t xml:space="preserve"> </w:t>
      </w:r>
      <w:bookmarkStart w:id="2" w:name="_Hlk114140588"/>
      <w:r w:rsidR="00EC1987" w:rsidRPr="00EC1987">
        <w:t>consider</w:t>
      </w:r>
      <w:r w:rsidR="00EC1987">
        <w:t>a que</w:t>
      </w:r>
      <w:r w:rsidR="00821C4B">
        <w:t xml:space="preserve"> </w:t>
      </w:r>
      <w:r w:rsidR="005F7844">
        <w:t xml:space="preserve">el participante no </w:t>
      </w:r>
      <w:r w:rsidR="00C671C3">
        <w:t xml:space="preserve">da cuenta el contenido del </w:t>
      </w:r>
      <w:r w:rsidR="00CD2726" w:rsidRPr="00DA70B3">
        <w:t>Numeral 2.2.1.</w:t>
      </w:r>
      <w:r w:rsidR="00CD2726" w:rsidRPr="00DA70B3">
        <w:rPr>
          <w:i/>
        </w:rPr>
        <w:t>“</w:t>
      </w:r>
      <w:r w:rsidR="00CD2726">
        <w:rPr>
          <w:i/>
        </w:rPr>
        <w:t>Consulta de información de sitios</w:t>
      </w:r>
      <w:r w:rsidR="00CD2726" w:rsidRPr="00436A86">
        <w:rPr>
          <w:i/>
        </w:rPr>
        <w:t>”</w:t>
      </w:r>
      <w:r w:rsidR="00CD2726">
        <w:rPr>
          <w:i/>
        </w:rPr>
        <w:t xml:space="preserve">, </w:t>
      </w:r>
      <w:r w:rsidR="00CD2726" w:rsidRPr="00CD2726">
        <w:t xml:space="preserve">dentro </w:t>
      </w:r>
      <w:r w:rsidR="00CD2726">
        <w:rPr>
          <w:i/>
        </w:rPr>
        <w:t>del “</w:t>
      </w:r>
      <w:proofErr w:type="spellStart"/>
      <w:r w:rsidR="00CD2726">
        <w:rPr>
          <w:i/>
        </w:rPr>
        <w:t>Anexo”I</w:t>
      </w:r>
      <w:proofErr w:type="spellEnd"/>
      <w:r w:rsidR="00CD2726">
        <w:rPr>
          <w:i/>
        </w:rPr>
        <w:t xml:space="preserve">” Servicios” </w:t>
      </w:r>
      <w:r w:rsidR="00CD2726" w:rsidRPr="00CD2726">
        <w:t xml:space="preserve">que </w:t>
      </w:r>
      <w:r w:rsidR="00CD2726">
        <w:t>señala lo siguiente:</w:t>
      </w:r>
    </w:p>
    <w:p w14:paraId="6C3D6368" w14:textId="03D0B9B2" w:rsidR="00CD2726" w:rsidRPr="00CD2726" w:rsidRDefault="00CD2726" w:rsidP="00CD2726">
      <w:pPr>
        <w:pStyle w:val="CitaIFT"/>
        <w:rPr>
          <w:b/>
        </w:rPr>
      </w:pPr>
      <w:bookmarkStart w:id="3" w:name="_Toc435539494"/>
      <w:bookmarkStart w:id="4" w:name="_Toc435540541"/>
      <w:bookmarkStart w:id="5" w:name="_Hlk114136711"/>
      <w:r>
        <w:t>“</w:t>
      </w:r>
      <w:r w:rsidRPr="00CD2726">
        <w:rPr>
          <w:b/>
        </w:rPr>
        <w:t>2.2. ACCESO A INFORMACIÓN RELATIVA A LOS SITIOS Y DE PROYECTOS DE NUEVA OBRA CIVIL.</w:t>
      </w:r>
      <w:bookmarkEnd w:id="3"/>
      <w:bookmarkEnd w:id="4"/>
    </w:p>
    <w:p w14:paraId="0A1B6EF1" w14:textId="3930908F" w:rsidR="00CD2726" w:rsidRPr="00CD2726" w:rsidRDefault="00CD2726" w:rsidP="00CD2726">
      <w:pPr>
        <w:pStyle w:val="CitaIFT"/>
        <w:rPr>
          <w:rStyle w:val="nfasis"/>
          <w:rFonts w:ascii="ITC Avant Garde" w:eastAsia="Calibri" w:hAnsi="ITC Avant Garde" w:cs="Arial"/>
          <w:b/>
          <w:bCs/>
          <w:color w:val="000000"/>
          <w:sz w:val="18"/>
          <w:szCs w:val="18"/>
          <w:u w:val="none"/>
          <w:lang w:val="es-ES_tradnl"/>
        </w:rPr>
      </w:pPr>
      <w:r w:rsidRPr="00CD2726">
        <w:rPr>
          <w:rStyle w:val="nfasis"/>
          <w:rFonts w:ascii="ITC Avant Garde" w:eastAsia="Calibri" w:hAnsi="ITC Avant Garde" w:cs="Arial"/>
          <w:b/>
          <w:bCs/>
          <w:color w:val="000000"/>
          <w:sz w:val="18"/>
          <w:szCs w:val="18"/>
          <w:u w:val="none"/>
          <w:lang w:val="es-ES_tradnl"/>
        </w:rPr>
        <w:t>2.2.1. Consulta de información de Sitios</w:t>
      </w:r>
    </w:p>
    <w:p w14:paraId="597BC53A" w14:textId="77777777" w:rsidR="00CD2726" w:rsidRPr="00CD2726" w:rsidRDefault="00CD2726" w:rsidP="00CD2726">
      <w:pPr>
        <w:pStyle w:val="CitaIFT"/>
      </w:pPr>
      <w:proofErr w:type="spellStart"/>
      <w:r w:rsidRPr="00CD2726">
        <w:t>Telesites</w:t>
      </w:r>
      <w:proofErr w:type="spellEnd"/>
      <w:r w:rsidRPr="00CD2726">
        <w:t xml:space="preserve"> y la Fibra pondrá a disposición del Concesionario, a través del Sistema Electrónico de Gestión (SEG), la siguiente información relativa a los Sitios: </w:t>
      </w:r>
    </w:p>
    <w:p w14:paraId="7C4A2C51" w14:textId="77777777" w:rsidR="00CD2726" w:rsidRPr="00CD2726" w:rsidRDefault="00CD2726" w:rsidP="00CD2726">
      <w:pPr>
        <w:pStyle w:val="CitaIFT"/>
        <w:numPr>
          <w:ilvl w:val="0"/>
          <w:numId w:val="39"/>
        </w:numPr>
      </w:pPr>
      <w:r w:rsidRPr="00CD2726">
        <w:t>Identificación del Sitio.</w:t>
      </w:r>
    </w:p>
    <w:p w14:paraId="44930EFE" w14:textId="77777777" w:rsidR="00CD2726" w:rsidRPr="00CD2726" w:rsidRDefault="00CD2726" w:rsidP="00CD2726">
      <w:pPr>
        <w:pStyle w:val="CitaIFT"/>
        <w:numPr>
          <w:ilvl w:val="0"/>
          <w:numId w:val="39"/>
        </w:numPr>
      </w:pPr>
      <w:r w:rsidRPr="00CD2726">
        <w:t>Localización exacta en coordenadas geográficas basadas en la definición WGS84, empleando 4 cifras decimales.</w:t>
      </w:r>
    </w:p>
    <w:p w14:paraId="58B311F2" w14:textId="77777777" w:rsidR="00CD2726" w:rsidRPr="00CD2726" w:rsidRDefault="00CD2726" w:rsidP="00CD2726">
      <w:pPr>
        <w:pStyle w:val="CitaIFT"/>
        <w:numPr>
          <w:ilvl w:val="0"/>
          <w:numId w:val="39"/>
        </w:numPr>
      </w:pPr>
      <w:r w:rsidRPr="00CD2726">
        <w:t>Características técnicas específicas de la Infraestructura Pasiva en el Sitio y para determinar la Capacidad Excedente, tales como tipo de Torre, altura de Torre y altura de centro de radiación conocidos.</w:t>
      </w:r>
    </w:p>
    <w:p w14:paraId="68C44B6D" w14:textId="77777777" w:rsidR="00CD2726" w:rsidRPr="00CD2726" w:rsidRDefault="00CD2726" w:rsidP="00CD2726">
      <w:pPr>
        <w:pStyle w:val="CitaIFT"/>
        <w:numPr>
          <w:ilvl w:val="0"/>
          <w:numId w:val="39"/>
        </w:numPr>
      </w:pPr>
      <w:r w:rsidRPr="00CD2726">
        <w:t>Clasificación del Sitio según las denominaciones expuestas en el Anexo A: Tarifas y Precios</w:t>
      </w:r>
    </w:p>
    <w:p w14:paraId="4D8E7E9F" w14:textId="77777777" w:rsidR="00CD2726" w:rsidRPr="00CD2726" w:rsidRDefault="00CD2726" w:rsidP="00CD2726">
      <w:pPr>
        <w:pStyle w:val="CitaIFT"/>
        <w:numPr>
          <w:ilvl w:val="0"/>
          <w:numId w:val="39"/>
        </w:numPr>
      </w:pPr>
      <w:r w:rsidRPr="00CD2726">
        <w:t xml:space="preserve">En su caso, las normas de seguridad para el acceso adicionales a las indicadas al efecto en la Normativa Técnica, </w:t>
      </w:r>
    </w:p>
    <w:p w14:paraId="6E9C746C" w14:textId="77777777" w:rsidR="00CD2726" w:rsidRPr="00CD2726" w:rsidRDefault="00CD2726" w:rsidP="00CD2726">
      <w:pPr>
        <w:pStyle w:val="CitaIFT"/>
        <w:numPr>
          <w:ilvl w:val="0"/>
          <w:numId w:val="39"/>
        </w:numPr>
      </w:pPr>
      <w:r w:rsidRPr="00CD2726">
        <w:t>Memoria de cálculo</w:t>
      </w:r>
    </w:p>
    <w:p w14:paraId="032B4B33" w14:textId="77777777" w:rsidR="00CD2726" w:rsidRPr="00CD2726" w:rsidRDefault="00CD2726" w:rsidP="00CD2726">
      <w:pPr>
        <w:pStyle w:val="CitaIFT"/>
        <w:numPr>
          <w:ilvl w:val="0"/>
          <w:numId w:val="39"/>
        </w:numPr>
      </w:pPr>
      <w:r w:rsidRPr="00CD2726">
        <w:t>Planos del Sitio (planta arquitectónica y Alzado)</w:t>
      </w:r>
    </w:p>
    <w:p w14:paraId="2EF08FA9" w14:textId="77777777" w:rsidR="00CD2726" w:rsidRPr="00CD2726" w:rsidRDefault="00CD2726" w:rsidP="00CD2726">
      <w:pPr>
        <w:pStyle w:val="CitaIFT"/>
        <w:numPr>
          <w:ilvl w:val="0"/>
          <w:numId w:val="39"/>
        </w:numPr>
      </w:pPr>
      <w:r w:rsidRPr="00CD2726">
        <w:t>Número de concesionarios presentes en el Sitio</w:t>
      </w:r>
    </w:p>
    <w:p w14:paraId="5DC41FB6" w14:textId="77777777" w:rsidR="00CD2726" w:rsidRPr="00CD2726" w:rsidRDefault="00CD2726" w:rsidP="00CD2726">
      <w:pPr>
        <w:pStyle w:val="CitaIFT"/>
        <w:numPr>
          <w:ilvl w:val="0"/>
          <w:numId w:val="39"/>
        </w:numPr>
      </w:pPr>
      <w:r w:rsidRPr="00CD2726">
        <w:t xml:space="preserve">Cualquier otra que </w:t>
      </w:r>
      <w:proofErr w:type="spellStart"/>
      <w:r w:rsidRPr="00CD2726">
        <w:t>Telesites</w:t>
      </w:r>
      <w:proofErr w:type="spellEnd"/>
      <w:r w:rsidRPr="00CD2726">
        <w:t xml:space="preserve"> y la Fibra considere relevante.</w:t>
      </w:r>
    </w:p>
    <w:p w14:paraId="48016760" w14:textId="77777777" w:rsidR="00CD2726" w:rsidRPr="00CD2726" w:rsidRDefault="00CD2726" w:rsidP="00CD2726">
      <w:pPr>
        <w:pStyle w:val="CitaIFT"/>
      </w:pPr>
      <w:bookmarkStart w:id="6" w:name="_Hlk114141367"/>
      <w:bookmarkEnd w:id="5"/>
      <w:r w:rsidRPr="00CD2726">
        <w:t>La información relativa al numeral (</w:t>
      </w:r>
      <w:proofErr w:type="spellStart"/>
      <w:r w:rsidRPr="00CD2726">
        <w:t>viii</w:t>
      </w:r>
      <w:proofErr w:type="spellEnd"/>
      <w:r w:rsidRPr="00CD2726">
        <w:t xml:space="preserve">) deberá de actualizarse en el SEG en un plazo máximo de 5 (cinco) días hábiles posteriores a la fecha de inicio de vigencia del Acuerdo de Sitio firmado entre </w:t>
      </w:r>
      <w:proofErr w:type="spellStart"/>
      <w:r w:rsidRPr="00CD2726">
        <w:t>Telesites</w:t>
      </w:r>
      <w:proofErr w:type="spellEnd"/>
      <w:r w:rsidRPr="00CD2726">
        <w:t xml:space="preserve"> y la Fibra con cualquier CS. </w:t>
      </w:r>
    </w:p>
    <w:bookmarkEnd w:id="6"/>
    <w:p w14:paraId="78E7BB0B" w14:textId="716962E9" w:rsidR="00CD2726" w:rsidRDefault="00CD2726" w:rsidP="00CD2726">
      <w:pPr>
        <w:pStyle w:val="CitaIFT"/>
      </w:pPr>
      <w:r w:rsidRPr="00CD2726">
        <w:t xml:space="preserve">En caso de que, al momento de consultar la información de algún Sitio, la misma no esté completa o no exista, el Concesionario podrá requerírsela a </w:t>
      </w:r>
      <w:proofErr w:type="spellStart"/>
      <w:r w:rsidRPr="00CD2726">
        <w:t>Telesites</w:t>
      </w:r>
      <w:proofErr w:type="spellEnd"/>
      <w:r w:rsidRPr="00CD2726">
        <w:t xml:space="preserve">, presentando la Solicitud de Información, debiendo </w:t>
      </w:r>
      <w:proofErr w:type="spellStart"/>
      <w:r w:rsidRPr="00CD2726">
        <w:t>Telesites</w:t>
      </w:r>
      <w:proofErr w:type="spellEnd"/>
      <w:r w:rsidRPr="00CD2726">
        <w:t xml:space="preserve"> proporcionársela en un plazo máximo de 8 (ocho) días hábiles contados a partir de dicha solicitud, a través de la dirección de correo electrónico que para tal efecto señale el Concesionario y a través del SEG.</w:t>
      </w:r>
      <w:r>
        <w:t>”</w:t>
      </w:r>
    </w:p>
    <w:p w14:paraId="501EACCC" w14:textId="659776AE" w:rsidR="0012107D" w:rsidRDefault="00CD2726" w:rsidP="00CD2726">
      <w:pPr>
        <w:rPr>
          <w:rFonts w:ascii="ITC Avant Garde" w:hAnsi="ITC Avant Garde"/>
          <w:lang w:val="es-ES_tradnl"/>
        </w:rPr>
      </w:pPr>
      <w:r>
        <w:rPr>
          <w:rFonts w:ascii="ITC Avant Garde" w:hAnsi="ITC Avant Garde"/>
          <w:lang w:val="es-ES_tradnl"/>
        </w:rPr>
        <w:t xml:space="preserve">De la información anterior se puede observar </w:t>
      </w:r>
      <w:r w:rsidR="0095144F">
        <w:rPr>
          <w:rFonts w:ascii="ITC Avant Garde" w:hAnsi="ITC Avant Garde"/>
          <w:lang w:val="es-ES_tradnl"/>
        </w:rPr>
        <w:t xml:space="preserve">que a través del numeral </w:t>
      </w:r>
      <w:r w:rsidR="0012107D">
        <w:rPr>
          <w:rFonts w:ascii="ITC Avant Garde" w:hAnsi="ITC Avant Garde"/>
          <w:lang w:val="es-ES_tradnl"/>
        </w:rPr>
        <w:t xml:space="preserve">2.2.1 se menciona la información </w:t>
      </w:r>
      <w:r w:rsidR="0095144F">
        <w:rPr>
          <w:rFonts w:ascii="ITC Avant Garde" w:hAnsi="ITC Avant Garde"/>
          <w:lang w:val="es-ES_tradnl"/>
        </w:rPr>
        <w:t xml:space="preserve">que </w:t>
      </w:r>
      <w:proofErr w:type="spellStart"/>
      <w:r w:rsidR="0095144F">
        <w:rPr>
          <w:rFonts w:ascii="ITC Avant Garde" w:hAnsi="ITC Avant Garde"/>
          <w:lang w:val="es-ES_tradnl"/>
        </w:rPr>
        <w:t>Telesites</w:t>
      </w:r>
      <w:proofErr w:type="spellEnd"/>
      <w:r w:rsidR="0095144F">
        <w:rPr>
          <w:rFonts w:ascii="ITC Avant Garde" w:hAnsi="ITC Avant Garde"/>
          <w:lang w:val="es-ES_tradnl"/>
        </w:rPr>
        <w:t xml:space="preserve"> y la Fibra pondrán a disposición </w:t>
      </w:r>
      <w:r w:rsidR="0012107D">
        <w:rPr>
          <w:rFonts w:ascii="ITC Avant Garde" w:hAnsi="ITC Avant Garde"/>
          <w:lang w:val="es-ES_tradnl"/>
        </w:rPr>
        <w:t xml:space="preserve">de los interesados a través del Sistema Electrónico de Gestión (SEG). En seguimiento de </w:t>
      </w:r>
      <w:r w:rsidR="0012107D">
        <w:rPr>
          <w:rFonts w:ascii="ITC Avant Garde" w:hAnsi="ITC Avant Garde"/>
          <w:lang w:val="es-ES_tradnl"/>
        </w:rPr>
        <w:lastRenderedPageBreak/>
        <w:t xml:space="preserve">lo anterior, el numeral </w:t>
      </w:r>
      <w:r w:rsidR="0012107D" w:rsidRPr="0012107D">
        <w:rPr>
          <w:rFonts w:ascii="ITC Avant Garde" w:hAnsi="ITC Avant Garde"/>
          <w:i/>
          <w:lang w:val="es-ES_tradnl"/>
        </w:rPr>
        <w:t>(</w:t>
      </w:r>
      <w:proofErr w:type="spellStart"/>
      <w:r w:rsidR="0012107D" w:rsidRPr="0012107D">
        <w:rPr>
          <w:rFonts w:ascii="ITC Avant Garde" w:hAnsi="ITC Avant Garde"/>
          <w:i/>
          <w:lang w:val="es-ES_tradnl"/>
        </w:rPr>
        <w:t>iii</w:t>
      </w:r>
      <w:proofErr w:type="spellEnd"/>
      <w:r w:rsidR="0012107D" w:rsidRPr="0012107D">
        <w:rPr>
          <w:rFonts w:ascii="ITC Avant Garde" w:hAnsi="ITC Avant Garde"/>
          <w:i/>
          <w:lang w:val="es-ES_tradnl"/>
        </w:rPr>
        <w:t>)</w:t>
      </w:r>
      <w:r w:rsidR="0012107D">
        <w:rPr>
          <w:rFonts w:ascii="ITC Avant Garde" w:hAnsi="ITC Avant Garde"/>
          <w:lang w:val="es-ES_tradnl"/>
        </w:rPr>
        <w:t xml:space="preserve"> incluye dentro de las características técnicas específicas de la infraestructura la altura de torre y a través del numeral </w:t>
      </w:r>
      <w:r w:rsidR="0012107D" w:rsidRPr="0012107D">
        <w:rPr>
          <w:rFonts w:ascii="ITC Avant Garde" w:hAnsi="ITC Avant Garde"/>
          <w:i/>
          <w:lang w:val="es-ES_tradnl"/>
        </w:rPr>
        <w:t>(</w:t>
      </w:r>
      <w:proofErr w:type="spellStart"/>
      <w:r w:rsidR="0012107D" w:rsidRPr="0012107D">
        <w:rPr>
          <w:rFonts w:ascii="ITC Avant Garde" w:hAnsi="ITC Avant Garde"/>
          <w:i/>
          <w:lang w:val="es-ES_tradnl"/>
        </w:rPr>
        <w:t>viii</w:t>
      </w:r>
      <w:proofErr w:type="spellEnd"/>
      <w:r w:rsidR="0012107D" w:rsidRPr="0012107D">
        <w:rPr>
          <w:rFonts w:ascii="ITC Avant Garde" w:hAnsi="ITC Avant Garde"/>
          <w:i/>
          <w:lang w:val="es-ES_tradnl"/>
        </w:rPr>
        <w:t>)</w:t>
      </w:r>
      <w:r w:rsidR="0012107D">
        <w:rPr>
          <w:rFonts w:ascii="ITC Avant Garde" w:hAnsi="ITC Avant Garde"/>
          <w:lang w:val="es-ES_tradnl"/>
        </w:rPr>
        <w:t xml:space="preserve"> se incluye el número de concesionarios presentes en el sitio</w:t>
      </w:r>
      <w:r w:rsidR="00903EF6">
        <w:rPr>
          <w:rFonts w:ascii="ITC Avant Garde" w:hAnsi="ITC Avant Garde"/>
          <w:lang w:val="es-ES_tradnl"/>
        </w:rPr>
        <w:t xml:space="preserve">. Es por lo anterior que </w:t>
      </w:r>
      <w:r w:rsidR="0012107D">
        <w:rPr>
          <w:rFonts w:ascii="ITC Avant Garde" w:hAnsi="ITC Avant Garde"/>
          <w:lang w:val="es-ES_tradnl"/>
        </w:rPr>
        <w:t>se considera que</w:t>
      </w:r>
      <w:r w:rsidR="00903EF6">
        <w:rPr>
          <w:rFonts w:ascii="ITC Avant Garde" w:hAnsi="ITC Avant Garde"/>
          <w:lang w:val="es-ES_tradnl"/>
        </w:rPr>
        <w:t xml:space="preserve"> la Oferta de Referencia ya cuenta con la información que el participante solicita incluir. </w:t>
      </w:r>
    </w:p>
    <w:p w14:paraId="32219424" w14:textId="6D39187C" w:rsidR="00C152C1" w:rsidRDefault="00903EF6" w:rsidP="00CD2726">
      <w:pPr>
        <w:rPr>
          <w:rFonts w:ascii="ITC Avant Garde" w:hAnsi="ITC Avant Garde"/>
          <w:lang w:val="es-ES_tradnl"/>
        </w:rPr>
      </w:pPr>
      <w:r>
        <w:rPr>
          <w:rFonts w:ascii="ITC Avant Garde" w:hAnsi="ITC Avant Garde"/>
          <w:lang w:val="es-ES_tradnl"/>
        </w:rPr>
        <w:t>Adicional a lo anterior, el participante solicita se incluya información de factibilidad de incremento en torre o reforzamientos. Al respecto, la UPR considera que la información puesta a disposición a través del SEG es suficiente para permitir a los concesionarios planear su solicitud inicial para la prestación de servicios.</w:t>
      </w:r>
      <w:r w:rsidR="00D02CBC">
        <w:rPr>
          <w:rFonts w:ascii="ITC Avant Garde" w:hAnsi="ITC Avant Garde"/>
          <w:lang w:val="es-ES_tradnl"/>
        </w:rPr>
        <w:t xml:space="preserve"> P</w:t>
      </w:r>
      <w:r w:rsidR="00C152C1">
        <w:rPr>
          <w:rFonts w:ascii="ITC Avant Garde" w:hAnsi="ITC Avant Garde"/>
          <w:lang w:val="es-ES_tradnl"/>
        </w:rPr>
        <w:t>or lo que en caso d</w:t>
      </w:r>
      <w:r w:rsidR="00D02CBC">
        <w:rPr>
          <w:rFonts w:ascii="ITC Avant Garde" w:hAnsi="ITC Avant Garde"/>
          <w:lang w:val="es-ES_tradnl"/>
        </w:rPr>
        <w:t xml:space="preserve">e </w:t>
      </w:r>
      <w:r w:rsidR="00C152C1">
        <w:rPr>
          <w:rFonts w:ascii="ITC Avant Garde" w:hAnsi="ITC Avant Garde"/>
          <w:lang w:val="es-ES_tradnl"/>
        </w:rPr>
        <w:t xml:space="preserve">considerar información sobre </w:t>
      </w:r>
      <w:r w:rsidR="00D02CBC">
        <w:rPr>
          <w:rFonts w:ascii="ITC Avant Garde" w:hAnsi="ITC Avant Garde"/>
          <w:lang w:val="es-ES_tradnl"/>
        </w:rPr>
        <w:t xml:space="preserve">factibilidades </w:t>
      </w:r>
      <w:r w:rsidR="00C152C1">
        <w:rPr>
          <w:rFonts w:ascii="ITC Avant Garde" w:hAnsi="ITC Avant Garde"/>
          <w:lang w:val="es-ES_tradnl"/>
        </w:rPr>
        <w:t xml:space="preserve">de incremento </w:t>
      </w:r>
      <w:r w:rsidR="00D02CBC">
        <w:rPr>
          <w:rFonts w:ascii="ITC Avant Garde" w:hAnsi="ITC Avant Garde"/>
          <w:lang w:val="es-ES_tradnl"/>
        </w:rPr>
        <w:t>en torre o reforzamientos</w:t>
      </w:r>
      <w:r w:rsidR="00C152C1">
        <w:rPr>
          <w:rFonts w:ascii="ITC Avant Garde" w:hAnsi="ITC Avant Garde"/>
          <w:lang w:val="es-ES_tradnl"/>
        </w:rPr>
        <w:t xml:space="preserve"> </w:t>
      </w:r>
      <w:r w:rsidR="00D02CBC">
        <w:rPr>
          <w:rFonts w:ascii="ITC Avant Garde" w:hAnsi="ITC Avant Garde"/>
          <w:lang w:val="es-ES_tradnl"/>
        </w:rPr>
        <w:t xml:space="preserve">deberá </w:t>
      </w:r>
      <w:r w:rsidR="00C152C1">
        <w:rPr>
          <w:rFonts w:ascii="ITC Avant Garde" w:hAnsi="ITC Avant Garde"/>
          <w:lang w:val="es-ES_tradnl"/>
        </w:rPr>
        <w:t>ser analizada puntualmente a la luz de los requerimientos específicos de ocupación de los</w:t>
      </w:r>
      <w:r w:rsidR="00E21A07">
        <w:rPr>
          <w:rFonts w:ascii="ITC Avant Garde" w:hAnsi="ITC Avant Garde"/>
          <w:lang w:val="es-ES_tradnl"/>
        </w:rPr>
        <w:t xml:space="preserve"> Concesionarios Solicitantes</w:t>
      </w:r>
      <w:r w:rsidR="00C152C1">
        <w:rPr>
          <w:rFonts w:ascii="ITC Avant Garde" w:hAnsi="ITC Avant Garde"/>
          <w:lang w:val="es-ES_tradnl"/>
        </w:rPr>
        <w:t xml:space="preserve"> </w:t>
      </w:r>
      <w:r w:rsidR="00E21A07">
        <w:rPr>
          <w:rFonts w:ascii="ITC Avant Garde" w:hAnsi="ITC Avant Garde"/>
          <w:lang w:val="es-ES_tradnl"/>
        </w:rPr>
        <w:t>(en lo sucesivo, “</w:t>
      </w:r>
      <w:r w:rsidR="00C152C1">
        <w:rPr>
          <w:rFonts w:ascii="ITC Avant Garde" w:hAnsi="ITC Avant Garde"/>
          <w:lang w:val="es-ES_tradnl"/>
        </w:rPr>
        <w:t>CS</w:t>
      </w:r>
      <w:r w:rsidR="00E21A07">
        <w:rPr>
          <w:rFonts w:ascii="ITC Avant Garde" w:hAnsi="ITC Avant Garde"/>
          <w:lang w:val="es-ES_tradnl"/>
        </w:rPr>
        <w:t>”)</w:t>
      </w:r>
      <w:r w:rsidR="00C152C1">
        <w:rPr>
          <w:rFonts w:ascii="ITC Avant Garde" w:hAnsi="ITC Avant Garde"/>
          <w:lang w:val="es-ES_tradnl"/>
        </w:rPr>
        <w:t xml:space="preserve"> para que </w:t>
      </w:r>
      <w:proofErr w:type="spellStart"/>
      <w:r w:rsidR="00C152C1">
        <w:rPr>
          <w:rFonts w:ascii="ITC Avant Garde" w:hAnsi="ITC Avant Garde"/>
          <w:lang w:val="es-ES_tradnl"/>
        </w:rPr>
        <w:t>Telesites</w:t>
      </w:r>
      <w:proofErr w:type="spellEnd"/>
      <w:r w:rsidR="00C152C1">
        <w:rPr>
          <w:rFonts w:ascii="ITC Avant Garde" w:hAnsi="ITC Avant Garde"/>
          <w:lang w:val="es-ES_tradnl"/>
        </w:rPr>
        <w:t xml:space="preserve"> y Fibra puedan analizar su procedencia.</w:t>
      </w:r>
    </w:p>
    <w:p w14:paraId="41035523" w14:textId="0241EC36" w:rsidR="00903EF6" w:rsidRDefault="00C152C1" w:rsidP="00CD2726">
      <w:pPr>
        <w:rPr>
          <w:rFonts w:ascii="ITC Avant Garde" w:hAnsi="ITC Avant Garde"/>
          <w:lang w:val="es-ES_tradnl"/>
        </w:rPr>
      </w:pPr>
      <w:r>
        <w:rPr>
          <w:rFonts w:ascii="ITC Avant Garde" w:hAnsi="ITC Avant Garde"/>
          <w:lang w:val="es-ES_tradnl"/>
        </w:rPr>
        <w:t>Lo anterior, a la luz de los procedimientos de la Oferta de Referencia y sin menoscabo de que cualquier inconformidad sobre dicho análisis pueda ser atendida o incluso solicitado la intervención del Instituto a través del desacuerdo técnico correspondiente.</w:t>
      </w:r>
    </w:p>
    <w:p w14:paraId="1828759A" w14:textId="2CFA1506" w:rsidR="00CD2726" w:rsidRPr="00903EF6" w:rsidRDefault="00903EF6" w:rsidP="00903EF6">
      <w:pPr>
        <w:rPr>
          <w:rFonts w:ascii="ITC Avant Garde" w:hAnsi="ITC Avant Garde"/>
          <w:lang w:val="es-ES_tradnl"/>
        </w:rPr>
      </w:pPr>
      <w:r>
        <w:rPr>
          <w:rFonts w:ascii="ITC Avant Garde" w:hAnsi="ITC Avant Garde"/>
          <w:lang w:val="es-ES_tradnl"/>
        </w:rPr>
        <w:t xml:space="preserve">En </w:t>
      </w:r>
      <w:r w:rsidR="00C152C1">
        <w:rPr>
          <w:rFonts w:ascii="ITC Avant Garde" w:hAnsi="ITC Avant Garde"/>
          <w:lang w:val="es-ES_tradnl"/>
        </w:rPr>
        <w:t>complemento</w:t>
      </w:r>
      <w:r>
        <w:rPr>
          <w:rFonts w:ascii="ITC Avant Garde" w:hAnsi="ITC Avant Garde"/>
          <w:lang w:val="es-ES_tradnl"/>
        </w:rPr>
        <w:t xml:space="preserve"> de lo anterior, dentro del mismo numeral 2.2.1. se menciona las consideraciones a tomarse en cuenta para la determinación de capacidad excedente, además de mencionar que el interesado podrá realizar una solicitud de factibilidad, misma que </w:t>
      </w:r>
      <w:proofErr w:type="spellStart"/>
      <w:r>
        <w:rPr>
          <w:rFonts w:ascii="ITC Avant Garde" w:hAnsi="ITC Avant Garde"/>
          <w:lang w:val="es-ES_tradnl"/>
        </w:rPr>
        <w:t>Telesites</w:t>
      </w:r>
      <w:proofErr w:type="spellEnd"/>
      <w:r>
        <w:rPr>
          <w:rFonts w:ascii="ITC Avant Garde" w:hAnsi="ITC Avant Garde"/>
          <w:lang w:val="es-ES_tradnl"/>
        </w:rPr>
        <w:t xml:space="preserve"> y la Fibra analizarán para continuar con el procedimiento, tal y como se menciona a continuación:</w:t>
      </w:r>
    </w:p>
    <w:p w14:paraId="1AF24AD9" w14:textId="70C80DF4" w:rsidR="00CD2726" w:rsidRPr="00CD2726" w:rsidRDefault="00CD2726" w:rsidP="00CD2726">
      <w:pPr>
        <w:pStyle w:val="CitaIFT"/>
        <w:rPr>
          <w:b/>
        </w:rPr>
      </w:pPr>
      <w:r>
        <w:t>“</w:t>
      </w:r>
      <w:r w:rsidRPr="00CD2726">
        <w:rPr>
          <w:b/>
        </w:rPr>
        <w:t>2.2. ACCESO A INFORMACIÓN RELATIVA A LOS SITIOS Y DE PROYECTOS DE NUEVA OBRA CIVIL.</w:t>
      </w:r>
    </w:p>
    <w:p w14:paraId="5C2E2180" w14:textId="77777777" w:rsidR="00CD2726" w:rsidRPr="00CD2726" w:rsidRDefault="00CD2726" w:rsidP="00CD2726">
      <w:pPr>
        <w:pStyle w:val="CitaIFT"/>
        <w:rPr>
          <w:rStyle w:val="nfasis"/>
          <w:rFonts w:ascii="ITC Avant Garde" w:eastAsia="Calibri" w:hAnsi="ITC Avant Garde" w:cs="Arial"/>
          <w:b/>
          <w:bCs/>
          <w:color w:val="000000"/>
          <w:sz w:val="18"/>
          <w:szCs w:val="18"/>
          <w:u w:val="none"/>
          <w:lang w:val="es-ES_tradnl"/>
        </w:rPr>
      </w:pPr>
      <w:r w:rsidRPr="00CD2726">
        <w:rPr>
          <w:rStyle w:val="nfasis"/>
          <w:rFonts w:ascii="ITC Avant Garde" w:eastAsia="Calibri" w:hAnsi="ITC Avant Garde" w:cs="Arial"/>
          <w:b/>
          <w:bCs/>
          <w:color w:val="000000"/>
          <w:sz w:val="18"/>
          <w:szCs w:val="18"/>
          <w:u w:val="none"/>
          <w:lang w:val="es-ES_tradnl"/>
        </w:rPr>
        <w:t>2.2.1. Consulta de información de Sitios</w:t>
      </w:r>
    </w:p>
    <w:p w14:paraId="4A2B14C2" w14:textId="6EEF67AE" w:rsidR="00CD2726" w:rsidRPr="00CD2726" w:rsidRDefault="00CD2726" w:rsidP="00CD2726">
      <w:pPr>
        <w:pStyle w:val="CitaIFT"/>
      </w:pPr>
      <w:r>
        <w:t>[…]</w:t>
      </w:r>
    </w:p>
    <w:p w14:paraId="6CFF87C9" w14:textId="77777777" w:rsidR="00CD2726" w:rsidRPr="00CD2726" w:rsidRDefault="00CD2726" w:rsidP="00CD2726">
      <w:pPr>
        <w:pStyle w:val="CitaIFT"/>
      </w:pPr>
      <w:r w:rsidRPr="00CD2726">
        <w:t xml:space="preserve">La determinación de Capacidad Excedente para la instalación de los equipos del Concesionario en la torre, estará basada en el número de franjas sobre la torre que no sean utilizadas por el Agente Económico Preponderante o por algún otro Concesionario sobre la misma. Dichas franjas ocuparan 4 metros lineales en el cuerpo vertical en la torre con una superficie máxima de 8.5 m2. En caso de requerirse, </w:t>
      </w:r>
      <w:proofErr w:type="spellStart"/>
      <w:r w:rsidRPr="00CD2726">
        <w:t>Telesites</w:t>
      </w:r>
      <w:proofErr w:type="spellEnd"/>
      <w:r w:rsidRPr="00CD2726">
        <w:t xml:space="preserve"> ofrecerá la posibilidad de reorganizar los espacios y/o equipos instalados para liberar franjas adicionales y lograr un mejor aprovechamiento de la Infraestructura Pasiva.</w:t>
      </w:r>
    </w:p>
    <w:p w14:paraId="22090E5A" w14:textId="77777777" w:rsidR="00CD2726" w:rsidRPr="00CD2726" w:rsidRDefault="00CD2726" w:rsidP="00CD2726">
      <w:pPr>
        <w:pStyle w:val="CitaIFT"/>
      </w:pPr>
      <w:r w:rsidRPr="00CD2726">
        <w:t>Independientemente de la disponibilidad de franjas, se deberán realizar los cálculos y análisis pertinentes para asegurar que la potencial instalación cumpla con la Normativa Técnica sobre:</w:t>
      </w:r>
    </w:p>
    <w:p w14:paraId="50784E90" w14:textId="51A54446" w:rsidR="00CD2726" w:rsidRPr="00CD2726" w:rsidRDefault="00CD2726" w:rsidP="00CD2726">
      <w:pPr>
        <w:pStyle w:val="CitaIFT"/>
        <w:numPr>
          <w:ilvl w:val="0"/>
          <w:numId w:val="40"/>
        </w:numPr>
      </w:pPr>
      <w:r w:rsidRPr="00CD2726">
        <w:t>Cargas gravitacionales sobre la estructura de la torre</w:t>
      </w:r>
    </w:p>
    <w:p w14:paraId="326AC92C" w14:textId="43C583FD" w:rsidR="00CD2726" w:rsidRPr="00CD2726" w:rsidRDefault="00CD2726" w:rsidP="00CD2726">
      <w:pPr>
        <w:pStyle w:val="CitaIFT"/>
        <w:numPr>
          <w:ilvl w:val="0"/>
          <w:numId w:val="40"/>
        </w:numPr>
      </w:pPr>
      <w:r w:rsidRPr="00CD2726">
        <w:t>Fuerzas del Viento</w:t>
      </w:r>
    </w:p>
    <w:p w14:paraId="45B4752D" w14:textId="499C71D4" w:rsidR="00CD2726" w:rsidRPr="00CD2726" w:rsidRDefault="00CD2726" w:rsidP="00CD2726">
      <w:pPr>
        <w:pStyle w:val="CitaIFT"/>
        <w:numPr>
          <w:ilvl w:val="0"/>
          <w:numId w:val="40"/>
        </w:numPr>
      </w:pPr>
      <w:r w:rsidRPr="00CD2726">
        <w:t>Fuerzas de Sismo</w:t>
      </w:r>
    </w:p>
    <w:p w14:paraId="3700112C" w14:textId="77777777" w:rsidR="00CD2726" w:rsidRPr="00CD2726" w:rsidRDefault="00CD2726" w:rsidP="00CD2726">
      <w:pPr>
        <w:pStyle w:val="CitaIFT"/>
      </w:pPr>
      <w:r w:rsidRPr="00CD2726">
        <w:lastRenderedPageBreak/>
        <w:t xml:space="preserve">La saturación del espacio en la torre estará determinada por la combinación de estos dos factores, es decir la ocupación de todas las franjas disponibles y los límites establecidos para el cumplimiento de la Normativa Técnica. </w:t>
      </w:r>
    </w:p>
    <w:p w14:paraId="189F85F3" w14:textId="77777777" w:rsidR="00CD2726" w:rsidRPr="00CD2726" w:rsidRDefault="00CD2726" w:rsidP="00CD2726">
      <w:pPr>
        <w:pStyle w:val="CitaIFT"/>
      </w:pPr>
      <w:r w:rsidRPr="00CD2726">
        <w:t xml:space="preserve">Tanto la capacidad total en la torre, como el punto de saturación de dicha capacidad, son específicas para cada tipo de torre de acuerdo con las características de su construcción.    </w:t>
      </w:r>
    </w:p>
    <w:p w14:paraId="3AE28143" w14:textId="77777777" w:rsidR="00CD2726" w:rsidRPr="00CD2726" w:rsidRDefault="00CD2726" w:rsidP="00CD2726">
      <w:pPr>
        <w:pStyle w:val="CitaIFT"/>
      </w:pPr>
      <w:r w:rsidRPr="00CD2726">
        <w:t xml:space="preserve">Una vez suscrito el Convenio, el Concesionario presentará a </w:t>
      </w:r>
      <w:proofErr w:type="spellStart"/>
      <w:r w:rsidRPr="00CD2726">
        <w:t>Telesites</w:t>
      </w:r>
      <w:proofErr w:type="spellEnd"/>
      <w:r w:rsidRPr="00CD2726">
        <w:t xml:space="preserve">, mediante el SEG, su Solicitud de Factibilidad, </w:t>
      </w:r>
      <w:proofErr w:type="spellStart"/>
      <w:r w:rsidRPr="00CD2726">
        <w:t>Telesites</w:t>
      </w:r>
      <w:proofErr w:type="spellEnd"/>
      <w:r w:rsidRPr="00CD2726">
        <w:t xml:space="preserve"> emitirá en un plazo máximo de 5 (cinco) días hábiles el Resultado del Análisis de Factibilidad, la cual en su caso contendrá de ser necesario el Servicio de Adecuación/Recuperación de Espacio.</w:t>
      </w:r>
    </w:p>
    <w:p w14:paraId="1E85B3D8" w14:textId="411F5EC7" w:rsidR="00CD2726" w:rsidRDefault="00CD2726" w:rsidP="00CD2726">
      <w:pPr>
        <w:pStyle w:val="CitaIFT"/>
      </w:pPr>
      <w:r w:rsidRPr="00CD2726">
        <w:t xml:space="preserve">Cuando el Concesionario así lo considere conveniente solicitará a </w:t>
      </w:r>
      <w:proofErr w:type="spellStart"/>
      <w:r w:rsidRPr="00CD2726">
        <w:t>Telesites</w:t>
      </w:r>
      <w:proofErr w:type="spellEnd"/>
      <w:r w:rsidRPr="00CD2726">
        <w:t xml:space="preserve"> la realización de la Visita Técnica; cuyo proceso se describe en la sección 2.5 VISITA TÉCNICA.</w:t>
      </w:r>
      <w:r>
        <w:t>”</w:t>
      </w:r>
    </w:p>
    <w:p w14:paraId="6B83BEE0" w14:textId="3EAABAC6" w:rsidR="00903EF6" w:rsidRPr="00903EF6" w:rsidRDefault="00903EF6" w:rsidP="00903EF6">
      <w:pPr>
        <w:pStyle w:val="CitaIFT"/>
        <w:ind w:left="0" w:right="-59"/>
        <w:rPr>
          <w:rFonts w:eastAsiaTheme="minorHAnsi" w:cstheme="minorBidi"/>
          <w:bCs w:val="0"/>
          <w:i w:val="0"/>
          <w:color w:val="auto"/>
          <w:sz w:val="22"/>
          <w:szCs w:val="22"/>
        </w:rPr>
      </w:pPr>
      <w:r w:rsidRPr="00903EF6">
        <w:rPr>
          <w:rFonts w:eastAsiaTheme="minorHAnsi" w:cstheme="minorBidi"/>
          <w:bCs w:val="0"/>
          <w:i w:val="0"/>
          <w:color w:val="auto"/>
          <w:sz w:val="22"/>
          <w:szCs w:val="22"/>
        </w:rPr>
        <w:t>Es por lo anterior, que la propuesta</w:t>
      </w:r>
      <w:r w:rsidR="00C152C1">
        <w:rPr>
          <w:rFonts w:eastAsiaTheme="minorHAnsi" w:cstheme="minorBidi"/>
          <w:bCs w:val="0"/>
          <w:i w:val="0"/>
          <w:color w:val="auto"/>
          <w:sz w:val="22"/>
          <w:szCs w:val="22"/>
        </w:rPr>
        <w:t xml:space="preserve"> específica</w:t>
      </w:r>
      <w:r w:rsidRPr="00903EF6">
        <w:rPr>
          <w:rFonts w:eastAsiaTheme="minorHAnsi" w:cstheme="minorBidi"/>
          <w:bCs w:val="0"/>
          <w:i w:val="0"/>
          <w:color w:val="auto"/>
          <w:sz w:val="22"/>
          <w:szCs w:val="22"/>
        </w:rPr>
        <w:t xml:space="preserve"> del participante no se considera procedente, al identificar que la Oferta de Referencia ya cuenta con los elementos necesarios para el procedimiento de solicitud de servicios de compartición de infraestructura.</w:t>
      </w:r>
    </w:p>
    <w:p w14:paraId="01BC26D3" w14:textId="3F2D1F87" w:rsidR="009C0E84" w:rsidRPr="005639FD" w:rsidRDefault="00CD2726" w:rsidP="00903EF6">
      <w:pPr>
        <w:pStyle w:val="IFTnormal"/>
        <w:rPr>
          <w:b/>
        </w:rPr>
      </w:pPr>
      <w:r>
        <w:rPr>
          <w:i/>
        </w:rPr>
        <w:t xml:space="preserve"> </w:t>
      </w:r>
      <w:bookmarkEnd w:id="2"/>
      <w:r w:rsidR="00DA70B3" w:rsidRPr="005639FD">
        <w:rPr>
          <w:b/>
        </w:rPr>
        <w:t>Anexo “I” Servicios, Consulta de información de sitios.</w:t>
      </w:r>
    </w:p>
    <w:p w14:paraId="3BADBC72" w14:textId="370EE7DC" w:rsidR="009F3558" w:rsidRDefault="009C0E84" w:rsidP="00DA70B3">
      <w:pPr>
        <w:spacing w:after="0" w:line="276" w:lineRule="auto"/>
        <w:rPr>
          <w:rFonts w:ascii="ITC Avant Garde" w:hAnsi="ITC Avant Garde"/>
          <w:lang w:val="es-ES_tradnl" w:eastAsia="es-ES"/>
        </w:rPr>
      </w:pPr>
      <w:r w:rsidRPr="005639FD">
        <w:rPr>
          <w:rFonts w:ascii="ITC Avant Garde" w:hAnsi="ITC Avant Garde"/>
          <w:lang w:val="es-ES_tradnl" w:eastAsia="es-ES"/>
        </w:rPr>
        <w:t>El</w:t>
      </w:r>
      <w:r w:rsidR="00436A86" w:rsidRPr="005639FD">
        <w:rPr>
          <w:rFonts w:ascii="ITC Avant Garde" w:hAnsi="ITC Avant Garde"/>
          <w:lang w:val="es-ES_tradnl" w:eastAsia="es-ES"/>
        </w:rPr>
        <w:t xml:space="preserve"> concesionario AT&amp;T </w:t>
      </w:r>
      <w:r w:rsidR="00D72EF7" w:rsidRPr="005639FD">
        <w:rPr>
          <w:rFonts w:ascii="ITC Avant Garde" w:hAnsi="ITC Avant Garde"/>
          <w:lang w:val="es-ES_tradnl" w:eastAsia="es-ES"/>
        </w:rPr>
        <w:t>solicit</w:t>
      </w:r>
      <w:r w:rsidR="00DA70B3" w:rsidRPr="005639FD">
        <w:rPr>
          <w:rFonts w:ascii="ITC Avant Garde" w:hAnsi="ITC Avant Garde"/>
          <w:lang w:val="es-ES_tradnl" w:eastAsia="es-ES"/>
        </w:rPr>
        <w:t>a que</w:t>
      </w:r>
      <w:r w:rsidR="00293B48">
        <w:rPr>
          <w:rFonts w:ascii="ITC Avant Garde" w:hAnsi="ITC Avant Garde"/>
          <w:lang w:val="es-ES_tradnl" w:eastAsia="es-ES"/>
        </w:rPr>
        <w:t>,</w:t>
      </w:r>
      <w:r w:rsidR="00DA70B3" w:rsidRPr="005639FD">
        <w:rPr>
          <w:rFonts w:ascii="ITC Avant Garde" w:hAnsi="ITC Avant Garde"/>
          <w:lang w:val="es-ES_tradnl" w:eastAsia="es-ES"/>
        </w:rPr>
        <w:t xml:space="preserve"> </w:t>
      </w:r>
      <w:r w:rsidR="00C152C1">
        <w:rPr>
          <w:rFonts w:ascii="ITC Avant Garde" w:hAnsi="ITC Avant Garde"/>
          <w:lang w:val="es-ES_tradnl" w:eastAsia="es-ES"/>
        </w:rPr>
        <w:t>con</w:t>
      </w:r>
      <w:r w:rsidR="00C152C1" w:rsidRPr="005639FD">
        <w:rPr>
          <w:rFonts w:ascii="ITC Avant Garde" w:hAnsi="ITC Avant Garde"/>
          <w:lang w:val="es-ES_tradnl" w:eastAsia="es-ES"/>
        </w:rPr>
        <w:t xml:space="preserve"> </w:t>
      </w:r>
      <w:r w:rsidR="00DA70B3" w:rsidRPr="005639FD">
        <w:rPr>
          <w:rFonts w:ascii="ITC Avant Garde" w:hAnsi="ITC Avant Garde"/>
          <w:lang w:val="es-ES_tradnl" w:eastAsia="es-ES"/>
        </w:rPr>
        <w:t xml:space="preserve">relación </w:t>
      </w:r>
      <w:r w:rsidR="00C152C1">
        <w:rPr>
          <w:rFonts w:ascii="ITC Avant Garde" w:hAnsi="ITC Avant Garde"/>
          <w:lang w:val="es-ES_tradnl" w:eastAsia="es-ES"/>
        </w:rPr>
        <w:t>a</w:t>
      </w:r>
      <w:r w:rsidR="00C152C1" w:rsidRPr="005639FD">
        <w:rPr>
          <w:rFonts w:ascii="ITC Avant Garde" w:hAnsi="ITC Avant Garde"/>
          <w:lang w:val="es-ES_tradnl" w:eastAsia="es-ES"/>
        </w:rPr>
        <w:t xml:space="preserve"> </w:t>
      </w:r>
      <w:r w:rsidR="00DA70B3" w:rsidRPr="005639FD">
        <w:rPr>
          <w:rFonts w:ascii="ITC Avant Garde" w:hAnsi="ITC Avant Garde"/>
          <w:lang w:val="es-ES_tradnl" w:eastAsia="es-ES"/>
        </w:rPr>
        <w:t>la franja de 4 metros para la instalación de los equipos para el caso de los equipos microondas que no tengan línea de vista en la franja</w:t>
      </w:r>
      <w:r w:rsidR="00F31500">
        <w:rPr>
          <w:rFonts w:ascii="ITC Avant Garde" w:hAnsi="ITC Avant Garde"/>
          <w:lang w:val="es-ES_tradnl" w:eastAsia="es-ES"/>
        </w:rPr>
        <w:t>,</w:t>
      </w:r>
      <w:r w:rsidR="00DA70B3" w:rsidRPr="005639FD">
        <w:rPr>
          <w:rFonts w:ascii="ITC Avant Garde" w:hAnsi="ITC Avant Garde"/>
          <w:lang w:val="es-ES_tradnl" w:eastAsia="es-ES"/>
        </w:rPr>
        <w:t xml:space="preserve"> el concesionario pueda contar</w:t>
      </w:r>
      <w:r w:rsidR="00DA70B3" w:rsidRPr="00FC06B8">
        <w:rPr>
          <w:rFonts w:ascii="ITC Avant Garde" w:hAnsi="ITC Avant Garde"/>
          <w:lang w:val="es-ES_tradnl" w:eastAsia="es-ES"/>
        </w:rPr>
        <w:t xml:space="preserve"> con una franja dividida para la instalación de la misma, la cual no deberá generar un costo.</w:t>
      </w:r>
    </w:p>
    <w:p w14:paraId="277C7E05" w14:textId="77777777" w:rsidR="00DA70B3" w:rsidRPr="009C0E84" w:rsidRDefault="00DA70B3" w:rsidP="00DA70B3">
      <w:pPr>
        <w:spacing w:after="0" w:line="276" w:lineRule="auto"/>
        <w:rPr>
          <w:rFonts w:ascii="ITC Avant Garde" w:hAnsi="ITC Avant Garde"/>
          <w:lang w:val="es-ES_tradnl" w:eastAsia="es-ES"/>
        </w:rPr>
      </w:pPr>
    </w:p>
    <w:p w14:paraId="31A84D0C" w14:textId="60AE1E3E" w:rsidR="003B08EC" w:rsidRPr="00BF7935" w:rsidRDefault="000B273F" w:rsidP="000B273F">
      <w:pPr>
        <w:spacing w:after="120"/>
        <w:rPr>
          <w:rFonts w:ascii="ITC Avant Garde" w:hAnsi="ITC Avant Garde"/>
          <w:u w:val="single"/>
          <w:lang w:val="es-ES_tradnl"/>
        </w:rPr>
      </w:pPr>
      <w:r w:rsidRPr="00BF7935">
        <w:rPr>
          <w:rFonts w:ascii="ITC Avant Garde" w:hAnsi="ITC Avant Garde"/>
          <w:u w:val="single"/>
          <w:lang w:val="es-ES_tradnl"/>
        </w:rPr>
        <w:t xml:space="preserve">Respuesta </w:t>
      </w:r>
      <w:r>
        <w:rPr>
          <w:rFonts w:ascii="ITC Avant Garde" w:hAnsi="ITC Avant Garde"/>
          <w:u w:val="single"/>
          <w:lang w:val="es-ES_tradnl"/>
        </w:rPr>
        <w:t>de la UPR</w:t>
      </w:r>
    </w:p>
    <w:p w14:paraId="02F774DD" w14:textId="108384FA" w:rsidR="00FC06B8" w:rsidRPr="005639FD" w:rsidRDefault="000B273F" w:rsidP="000656AB">
      <w:pPr>
        <w:spacing w:after="0" w:line="276" w:lineRule="auto"/>
        <w:rPr>
          <w:rFonts w:ascii="ITC Avant Garde" w:hAnsi="ITC Avant Garde"/>
          <w:lang w:val="es-ES_tradnl"/>
        </w:rPr>
      </w:pPr>
      <w:r w:rsidRPr="00BF7935">
        <w:rPr>
          <w:rFonts w:ascii="ITC Avant Garde" w:hAnsi="ITC Avant Garde"/>
          <w:lang w:val="es-ES_tradnl"/>
        </w:rPr>
        <w:t xml:space="preserve">Respecto a </w:t>
      </w:r>
      <w:r>
        <w:rPr>
          <w:rFonts w:ascii="ITC Avant Garde" w:hAnsi="ITC Avant Garde"/>
          <w:lang w:val="es-ES_tradnl"/>
        </w:rPr>
        <w:t>dicho comentario</w:t>
      </w:r>
      <w:r w:rsidRPr="00BF7935">
        <w:rPr>
          <w:rFonts w:ascii="ITC Avant Garde" w:hAnsi="ITC Avant Garde"/>
          <w:lang w:val="es-ES_tradnl"/>
        </w:rPr>
        <w:t xml:space="preserve">, </w:t>
      </w:r>
      <w:r>
        <w:rPr>
          <w:rFonts w:ascii="ITC Avant Garde" w:hAnsi="ITC Avant Garde"/>
          <w:lang w:val="es-ES_tradnl"/>
        </w:rPr>
        <w:t>la UPR</w:t>
      </w:r>
      <w:r w:rsidRPr="00BF7935">
        <w:rPr>
          <w:rFonts w:ascii="ITC Avant Garde" w:hAnsi="ITC Avant Garde"/>
          <w:lang w:val="es-ES_tradnl"/>
        </w:rPr>
        <w:t xml:space="preserve"> </w:t>
      </w:r>
      <w:r w:rsidR="00CD40FD">
        <w:rPr>
          <w:rFonts w:ascii="ITC Avant Garde" w:hAnsi="ITC Avant Garde"/>
          <w:lang w:val="es-ES_tradnl"/>
        </w:rPr>
        <w:t xml:space="preserve">señala que la Oferta de Referencia proporciona términos y condiciones generales </w:t>
      </w:r>
      <w:r w:rsidR="000656AB">
        <w:rPr>
          <w:rFonts w:ascii="ITC Avant Garde" w:hAnsi="ITC Avant Garde"/>
          <w:lang w:val="es-ES_tradnl"/>
        </w:rPr>
        <w:t xml:space="preserve">para proporcionar un marco de referencia para la prestación de servicios de compartición de infraestructura pasiva. Por lo que </w:t>
      </w:r>
      <w:r w:rsidR="00F31500">
        <w:rPr>
          <w:rFonts w:ascii="ITC Avant Garde" w:hAnsi="ITC Avant Garde"/>
          <w:lang w:val="es-ES_tradnl"/>
        </w:rPr>
        <w:t>cualquier aspecto específico relacionado con la ocupación de franjas</w:t>
      </w:r>
      <w:r w:rsidR="00FC06B8" w:rsidRPr="000656AB">
        <w:rPr>
          <w:rFonts w:ascii="ITC Avant Garde" w:hAnsi="ITC Avant Garde"/>
          <w:lang w:val="es-ES_tradnl"/>
        </w:rPr>
        <w:t xml:space="preserve"> </w:t>
      </w:r>
      <w:r w:rsidR="00F31500">
        <w:rPr>
          <w:rFonts w:ascii="ITC Avant Garde" w:hAnsi="ITC Avant Garde"/>
          <w:lang w:val="es-ES_tradnl"/>
        </w:rPr>
        <w:t>deberá evaluarse de manera particular,</w:t>
      </w:r>
      <w:r w:rsidR="00FC06B8" w:rsidRPr="000656AB">
        <w:rPr>
          <w:rFonts w:ascii="ITC Avant Garde" w:hAnsi="ITC Avant Garde"/>
          <w:lang w:val="es-ES_tradnl"/>
        </w:rPr>
        <w:t xml:space="preserve"> en función de las </w:t>
      </w:r>
      <w:r w:rsidR="00FC06B8" w:rsidRPr="005639FD">
        <w:rPr>
          <w:rFonts w:ascii="ITC Avant Garde" w:hAnsi="ITC Avant Garde"/>
          <w:lang w:val="es-ES_tradnl"/>
        </w:rPr>
        <w:t xml:space="preserve">necesidades </w:t>
      </w:r>
      <w:r w:rsidR="000656AB" w:rsidRPr="005639FD">
        <w:rPr>
          <w:rFonts w:ascii="ITC Avant Garde" w:hAnsi="ITC Avant Garde"/>
          <w:lang w:val="es-ES_tradnl"/>
        </w:rPr>
        <w:t>específicas</w:t>
      </w:r>
      <w:r w:rsidR="00FC06B8" w:rsidRPr="005639FD">
        <w:rPr>
          <w:rFonts w:ascii="ITC Avant Garde" w:hAnsi="ITC Avant Garde"/>
          <w:lang w:val="es-ES_tradnl"/>
        </w:rPr>
        <w:t xml:space="preserve"> de la solicitud de servicio</w:t>
      </w:r>
      <w:r w:rsidR="005639FD" w:rsidRPr="005639FD">
        <w:rPr>
          <w:bCs/>
        </w:rPr>
        <w:t>.</w:t>
      </w:r>
    </w:p>
    <w:p w14:paraId="61A98DC9" w14:textId="77777777" w:rsidR="00FC06B8" w:rsidRPr="005639FD" w:rsidRDefault="00FC06B8" w:rsidP="00EE7A87">
      <w:pPr>
        <w:pStyle w:val="CitaIFT"/>
        <w:spacing w:after="0"/>
        <w:ind w:left="0"/>
        <w:rPr>
          <w:rFonts w:eastAsiaTheme="minorHAnsi" w:cstheme="minorBidi"/>
          <w:bCs w:val="0"/>
          <w:i w:val="0"/>
          <w:color w:val="auto"/>
          <w:sz w:val="22"/>
          <w:szCs w:val="22"/>
          <w:lang w:eastAsia="en-US"/>
        </w:rPr>
      </w:pPr>
    </w:p>
    <w:p w14:paraId="6FA12074" w14:textId="3ED8C1EB" w:rsidR="00EE7A87" w:rsidRPr="005639FD" w:rsidRDefault="00EE7A87" w:rsidP="00EE7A87">
      <w:pPr>
        <w:pStyle w:val="Prrafodelista"/>
        <w:numPr>
          <w:ilvl w:val="0"/>
          <w:numId w:val="23"/>
        </w:numPr>
        <w:rPr>
          <w:rFonts w:ascii="ITC Avant Garde" w:hAnsi="ITC Avant Garde"/>
          <w:b/>
          <w:lang w:val="es-ES_tradnl"/>
        </w:rPr>
      </w:pPr>
      <w:r w:rsidRPr="005639FD">
        <w:rPr>
          <w:rFonts w:ascii="ITC Avant Garde" w:hAnsi="ITC Avant Garde"/>
          <w:b/>
          <w:lang w:val="es-ES_tradnl"/>
        </w:rPr>
        <w:t>Anexo “I” Servicios, Consulta de información de sitios.</w:t>
      </w:r>
    </w:p>
    <w:p w14:paraId="1366F648" w14:textId="2CD38DE6" w:rsidR="00EE7A87" w:rsidRPr="00EE7A87" w:rsidRDefault="00EE7A87" w:rsidP="00EE7A87">
      <w:pPr>
        <w:rPr>
          <w:rFonts w:ascii="ITC Avant Garde" w:hAnsi="ITC Avant Garde"/>
          <w:lang w:val="es-ES_tradnl"/>
        </w:rPr>
      </w:pPr>
      <w:r w:rsidRPr="005639FD">
        <w:rPr>
          <w:rFonts w:ascii="ITC Avant Garde" w:hAnsi="ITC Avant Garde"/>
          <w:lang w:val="es-ES_tradnl"/>
        </w:rPr>
        <w:t>AT&amp;T señala que dentro del Numeral 2.2.4.</w:t>
      </w:r>
      <w:r w:rsidRPr="005639FD">
        <w:rPr>
          <w:rFonts w:ascii="ITC Avant Garde" w:hAnsi="ITC Avant Garde"/>
          <w:i/>
          <w:lang w:val="es-ES_tradnl"/>
        </w:rPr>
        <w:t xml:space="preserve">“Pago por el Servicio de Análisis de Factibilidad”, </w:t>
      </w:r>
      <w:r w:rsidRPr="005639FD">
        <w:rPr>
          <w:rFonts w:ascii="ITC Avant Garde" w:hAnsi="ITC Avant Garde"/>
          <w:lang w:val="es-ES_tradnl"/>
        </w:rPr>
        <w:t xml:space="preserve">el cobro del análisis de factibilidad por parte de </w:t>
      </w:r>
      <w:proofErr w:type="spellStart"/>
      <w:r w:rsidRPr="005639FD">
        <w:rPr>
          <w:rFonts w:ascii="ITC Avant Garde" w:hAnsi="ITC Avant Garde"/>
          <w:lang w:val="es-ES_tradnl"/>
        </w:rPr>
        <w:t>Telesites</w:t>
      </w:r>
      <w:proofErr w:type="spellEnd"/>
      <w:r w:rsidRPr="005639FD">
        <w:rPr>
          <w:rFonts w:ascii="ITC Avant Garde" w:hAnsi="ITC Avant Garde"/>
          <w:lang w:val="es-ES_tradnl"/>
        </w:rPr>
        <w:t xml:space="preserve"> debe ser inaplicable en caso de no celebrar el Acuerdo de Sitio, ya que existen valoraciones posteriores que</w:t>
      </w:r>
      <w:r>
        <w:rPr>
          <w:rFonts w:ascii="ITC Avant Garde" w:hAnsi="ITC Avant Garde"/>
          <w:lang w:val="es-ES_tradnl"/>
        </w:rPr>
        <w:t xml:space="preserve"> </w:t>
      </w:r>
      <w:r w:rsidRPr="00EE7A87">
        <w:rPr>
          <w:rFonts w:ascii="ITC Avant Garde" w:hAnsi="ITC Avant Garde"/>
          <w:lang w:val="es-ES_tradnl"/>
        </w:rPr>
        <w:t>pueden influir en la no celebración de éste, resultando en que</w:t>
      </w:r>
      <w:r>
        <w:rPr>
          <w:rFonts w:ascii="ITC Avant Garde" w:hAnsi="ITC Avant Garde"/>
          <w:lang w:val="es-ES_tradnl"/>
        </w:rPr>
        <w:t xml:space="preserve"> </w:t>
      </w:r>
      <w:r w:rsidRPr="00EE7A87">
        <w:rPr>
          <w:rFonts w:ascii="ITC Avant Garde" w:hAnsi="ITC Avant Garde"/>
          <w:lang w:val="es-ES_tradnl"/>
        </w:rPr>
        <w:t>hay un sin número de causas de no celebración que pueden ser</w:t>
      </w:r>
      <w:r>
        <w:rPr>
          <w:rFonts w:ascii="ITC Avant Garde" w:hAnsi="ITC Avant Garde"/>
          <w:lang w:val="es-ES_tradnl"/>
        </w:rPr>
        <w:t xml:space="preserve"> </w:t>
      </w:r>
      <w:r w:rsidRPr="00EE7A87">
        <w:rPr>
          <w:rFonts w:ascii="ITC Avant Garde" w:hAnsi="ITC Avant Garde"/>
          <w:lang w:val="es-ES_tradnl"/>
        </w:rPr>
        <w:t xml:space="preserve">imputables a </w:t>
      </w:r>
      <w:proofErr w:type="spellStart"/>
      <w:r w:rsidRPr="00EE7A87">
        <w:rPr>
          <w:rFonts w:ascii="ITC Avant Garde" w:hAnsi="ITC Avant Garde"/>
          <w:lang w:val="es-ES_tradnl"/>
        </w:rPr>
        <w:t>Telesites</w:t>
      </w:r>
      <w:proofErr w:type="spellEnd"/>
      <w:r w:rsidRPr="00EE7A87">
        <w:rPr>
          <w:rFonts w:ascii="ITC Avant Garde" w:hAnsi="ITC Avant Garde"/>
          <w:lang w:val="es-ES_tradnl"/>
        </w:rPr>
        <w:t>.</w:t>
      </w:r>
    </w:p>
    <w:p w14:paraId="7002F09C" w14:textId="77777777" w:rsidR="00EE7A87" w:rsidRPr="00BF7935" w:rsidRDefault="00EE7A87" w:rsidP="00EE7A87">
      <w:pPr>
        <w:spacing w:after="120"/>
        <w:rPr>
          <w:rFonts w:ascii="ITC Avant Garde" w:hAnsi="ITC Avant Garde"/>
          <w:u w:val="single"/>
          <w:lang w:val="es-ES_tradnl"/>
        </w:rPr>
      </w:pPr>
      <w:r w:rsidRPr="00BF7935">
        <w:rPr>
          <w:rFonts w:ascii="ITC Avant Garde" w:hAnsi="ITC Avant Garde"/>
          <w:u w:val="single"/>
          <w:lang w:val="es-ES_tradnl"/>
        </w:rPr>
        <w:t xml:space="preserve">Respuesta </w:t>
      </w:r>
      <w:r>
        <w:rPr>
          <w:rFonts w:ascii="ITC Avant Garde" w:hAnsi="ITC Avant Garde"/>
          <w:u w:val="single"/>
          <w:lang w:val="es-ES_tradnl"/>
        </w:rPr>
        <w:t>de la UPR</w:t>
      </w:r>
    </w:p>
    <w:p w14:paraId="7E6B7D96" w14:textId="6FFC03EA" w:rsidR="00DE77D9" w:rsidRDefault="00EE7A87" w:rsidP="00DE77D9">
      <w:pPr>
        <w:pStyle w:val="IFTnormal"/>
      </w:pPr>
      <w:r w:rsidRPr="00BF7935">
        <w:lastRenderedPageBreak/>
        <w:t xml:space="preserve">Respecto a </w:t>
      </w:r>
      <w:r>
        <w:t>dichos comentarios</w:t>
      </w:r>
      <w:r w:rsidRPr="00BF7935">
        <w:t xml:space="preserve">, </w:t>
      </w:r>
      <w:r>
        <w:t>la UPR</w:t>
      </w:r>
      <w:r w:rsidRPr="00BF7935">
        <w:t xml:space="preserve"> </w:t>
      </w:r>
      <w:r w:rsidRPr="00EC1987">
        <w:t>consider</w:t>
      </w:r>
      <w:r>
        <w:t xml:space="preserve">a que </w:t>
      </w:r>
      <w:r w:rsidR="005639FD">
        <w:t xml:space="preserve">el cobro por el análisis de factibilidad </w:t>
      </w:r>
      <w:r w:rsidR="00F31500">
        <w:t xml:space="preserve">resulta razonable en virtud de la recuperación del costo de un servicio asociado al análisis para la ocupación de una torre. </w:t>
      </w:r>
      <w:r w:rsidR="00DE77D9">
        <w:t xml:space="preserve">Por lo que deberá reconocerse el cobro por la prestación de </w:t>
      </w:r>
      <w:r w:rsidR="00065B41">
        <w:t>este</w:t>
      </w:r>
      <w:r w:rsidR="00DE77D9">
        <w:t xml:space="preserve"> servicio.</w:t>
      </w:r>
    </w:p>
    <w:p w14:paraId="30AC5744" w14:textId="7E99FCBB" w:rsidR="005639FD" w:rsidRPr="00461A9F" w:rsidRDefault="00DE77D9">
      <w:pPr>
        <w:pStyle w:val="IFTnormal"/>
        <w:rPr>
          <w:lang w:val="es-MX"/>
        </w:rPr>
      </w:pPr>
      <w:r>
        <w:t>Ahora bien, por lo que hace que “</w:t>
      </w:r>
      <w:r w:rsidRPr="00065B41">
        <w:rPr>
          <w:i/>
        </w:rPr>
        <w:t xml:space="preserve">hay un sin número de causas de no celebración que pueden ser imputables a </w:t>
      </w:r>
      <w:proofErr w:type="spellStart"/>
      <w:r w:rsidRPr="00065B41">
        <w:rPr>
          <w:i/>
        </w:rPr>
        <w:t>Telesites</w:t>
      </w:r>
      <w:proofErr w:type="spellEnd"/>
      <w:r>
        <w:t xml:space="preserve">” </w:t>
      </w:r>
      <w:r w:rsidR="00065B41">
        <w:t>se observa que dicha contribución no</w:t>
      </w:r>
      <w:r>
        <w:t xml:space="preserve"> presenta evidencia</w:t>
      </w:r>
      <w:r w:rsidR="00065B41">
        <w:t xml:space="preserve"> de dichas causales ni tampoco se observa que exista algún procedimiento asociado con lo antes mencionado. Por lo que no podrá evaluarse dicha manifestación para su consideración en la oferta de referencia</w:t>
      </w:r>
      <w:r w:rsidR="005639FD" w:rsidRPr="00461A9F">
        <w:t>.</w:t>
      </w:r>
    </w:p>
    <w:p w14:paraId="7BD58E47" w14:textId="7CCE6FA3" w:rsidR="00EE7A87" w:rsidRPr="00461A9F" w:rsidRDefault="00EE7A87" w:rsidP="00EE7A87">
      <w:pPr>
        <w:pStyle w:val="Prrafodelista"/>
        <w:numPr>
          <w:ilvl w:val="0"/>
          <w:numId w:val="23"/>
        </w:numPr>
        <w:rPr>
          <w:rFonts w:ascii="ITC Avant Garde" w:hAnsi="ITC Avant Garde"/>
          <w:b/>
          <w:lang w:val="es-ES_tradnl"/>
        </w:rPr>
      </w:pPr>
      <w:r w:rsidRPr="00461A9F">
        <w:rPr>
          <w:rFonts w:ascii="ITC Avant Garde" w:hAnsi="ITC Avant Garde"/>
          <w:b/>
          <w:lang w:val="es-ES_tradnl"/>
        </w:rPr>
        <w:t>Anexo “I” Servicios, Pago de Servicio de Visita Técnica.</w:t>
      </w:r>
    </w:p>
    <w:p w14:paraId="547B25A2" w14:textId="7097ACA6" w:rsidR="00B32F81" w:rsidRDefault="00EE7A87" w:rsidP="00EE7A87">
      <w:pPr>
        <w:spacing w:after="0" w:line="276" w:lineRule="auto"/>
        <w:rPr>
          <w:rFonts w:ascii="ITC Avant Garde" w:hAnsi="ITC Avant Garde"/>
          <w:lang w:val="es-ES_tradnl" w:eastAsia="es-ES"/>
        </w:rPr>
      </w:pPr>
      <w:r w:rsidRPr="00461A9F">
        <w:rPr>
          <w:rFonts w:ascii="ITC Avant Garde" w:hAnsi="ITC Avant Garde"/>
          <w:lang w:val="es-ES_tradnl"/>
        </w:rPr>
        <w:t>AT&amp;T considera que dentro del Numeral 2.5.2.</w:t>
      </w:r>
      <w:r w:rsidRPr="00461A9F">
        <w:rPr>
          <w:rFonts w:ascii="ITC Avant Garde" w:hAnsi="ITC Avant Garde"/>
          <w:i/>
          <w:lang w:val="es-ES_tradnl"/>
        </w:rPr>
        <w:t xml:space="preserve">“Pago del Servicio de Visita Técnica” </w:t>
      </w:r>
      <w:r w:rsidRPr="00461A9F">
        <w:rPr>
          <w:rFonts w:ascii="ITC Avant Garde" w:hAnsi="ITC Avant Garde"/>
          <w:lang w:val="es-ES_tradnl" w:eastAsia="es-ES"/>
        </w:rPr>
        <w:t>considera que el cobro de la visita técnica debe ser inaplicable en caso de no celebrar el Acuerdo de Sitio</w:t>
      </w:r>
      <w:r w:rsidRPr="00EE7A87">
        <w:rPr>
          <w:rFonts w:ascii="ITC Avant Garde" w:hAnsi="ITC Avant Garde"/>
          <w:lang w:val="es-ES_tradnl" w:eastAsia="es-ES"/>
        </w:rPr>
        <w:t xml:space="preserve"> con</w:t>
      </w:r>
      <w:r>
        <w:rPr>
          <w:rFonts w:ascii="ITC Avant Garde" w:hAnsi="ITC Avant Garde"/>
          <w:lang w:val="es-ES_tradnl" w:eastAsia="es-ES"/>
        </w:rPr>
        <w:t xml:space="preserve"> </w:t>
      </w:r>
      <w:proofErr w:type="spellStart"/>
      <w:r w:rsidRPr="00EE7A87">
        <w:rPr>
          <w:rFonts w:ascii="ITC Avant Garde" w:hAnsi="ITC Avant Garde"/>
          <w:lang w:val="es-ES_tradnl" w:eastAsia="es-ES"/>
        </w:rPr>
        <w:t>Telesites</w:t>
      </w:r>
      <w:proofErr w:type="spellEnd"/>
      <w:r w:rsidRPr="00EE7A87">
        <w:rPr>
          <w:rFonts w:ascii="ITC Avant Garde" w:hAnsi="ITC Avant Garde"/>
          <w:lang w:val="es-ES_tradnl" w:eastAsia="es-ES"/>
        </w:rPr>
        <w:t xml:space="preserve">. Lo anterior, </w:t>
      </w:r>
      <w:r>
        <w:rPr>
          <w:rFonts w:ascii="ITC Avant Garde" w:hAnsi="ITC Avant Garde"/>
          <w:lang w:val="es-ES_tradnl" w:eastAsia="es-ES"/>
        </w:rPr>
        <w:t>debido a que menciona</w:t>
      </w:r>
      <w:r w:rsidRPr="00EE7A87">
        <w:rPr>
          <w:rFonts w:ascii="ITC Avant Garde" w:hAnsi="ITC Avant Garde"/>
          <w:lang w:val="es-ES_tradnl" w:eastAsia="es-ES"/>
        </w:rPr>
        <w:t xml:space="preserve"> en las visitas técnicas puede</w:t>
      </w:r>
      <w:r>
        <w:rPr>
          <w:rFonts w:ascii="ITC Avant Garde" w:hAnsi="ITC Avant Garde"/>
          <w:lang w:val="es-ES_tradnl" w:eastAsia="es-ES"/>
        </w:rPr>
        <w:t xml:space="preserve"> </w:t>
      </w:r>
      <w:r w:rsidRPr="00EE7A87">
        <w:rPr>
          <w:rFonts w:ascii="ITC Avant Garde" w:hAnsi="ITC Avant Garde"/>
          <w:lang w:val="es-ES_tradnl" w:eastAsia="es-ES"/>
        </w:rPr>
        <w:t>determinarse que no es factible la colocación del equipo de</w:t>
      </w:r>
      <w:r>
        <w:rPr>
          <w:rFonts w:ascii="ITC Avant Garde" w:hAnsi="ITC Avant Garde"/>
          <w:lang w:val="es-ES_tradnl" w:eastAsia="es-ES"/>
        </w:rPr>
        <w:t xml:space="preserve"> </w:t>
      </w:r>
      <w:r w:rsidRPr="00EE7A87">
        <w:rPr>
          <w:rFonts w:ascii="ITC Avant Garde" w:hAnsi="ITC Avant Garde"/>
          <w:lang w:val="es-ES_tradnl" w:eastAsia="es-ES"/>
        </w:rPr>
        <w:t>AT&amp;T por diversos factores, tales como la condición del espacio</w:t>
      </w:r>
      <w:r>
        <w:rPr>
          <w:rFonts w:ascii="ITC Avant Garde" w:hAnsi="ITC Avant Garde"/>
          <w:lang w:val="es-ES_tradnl" w:eastAsia="es-ES"/>
        </w:rPr>
        <w:t xml:space="preserve"> </w:t>
      </w:r>
      <w:r w:rsidRPr="00EE7A87">
        <w:rPr>
          <w:rFonts w:ascii="ITC Avant Garde" w:hAnsi="ITC Avant Garde"/>
          <w:lang w:val="es-ES_tradnl" w:eastAsia="es-ES"/>
        </w:rPr>
        <w:t>en torre o piso de la que resulte evidente que el sitio no cuenta</w:t>
      </w:r>
      <w:r>
        <w:rPr>
          <w:rFonts w:ascii="ITC Avant Garde" w:hAnsi="ITC Avant Garde"/>
          <w:lang w:val="es-ES_tradnl" w:eastAsia="es-ES"/>
        </w:rPr>
        <w:t xml:space="preserve"> </w:t>
      </w:r>
      <w:r w:rsidRPr="00EE7A87">
        <w:rPr>
          <w:rFonts w:ascii="ITC Avant Garde" w:hAnsi="ITC Avant Garde"/>
          <w:lang w:val="es-ES_tradnl" w:eastAsia="es-ES"/>
        </w:rPr>
        <w:t>con la capacidad o condiciones para la colocación del equipo.</w:t>
      </w:r>
      <w:r w:rsidR="00B32F81">
        <w:rPr>
          <w:rFonts w:ascii="ITC Avant Garde" w:hAnsi="ITC Avant Garde"/>
          <w:lang w:val="es-ES_tradnl" w:eastAsia="es-ES"/>
        </w:rPr>
        <w:t xml:space="preserve"> </w:t>
      </w:r>
      <w:r>
        <w:rPr>
          <w:rFonts w:ascii="ITC Avant Garde" w:hAnsi="ITC Avant Garde"/>
          <w:lang w:val="es-ES_tradnl" w:eastAsia="es-ES"/>
        </w:rPr>
        <w:t xml:space="preserve">Afirma que lo anterior </w:t>
      </w:r>
      <w:r w:rsidRPr="00EE7A87">
        <w:rPr>
          <w:rFonts w:ascii="ITC Avant Garde" w:hAnsi="ITC Avant Garde"/>
          <w:lang w:val="es-ES_tradnl" w:eastAsia="es-ES"/>
        </w:rPr>
        <w:t>contraviene el apartado 14, inciso a) de la</w:t>
      </w:r>
      <w:r>
        <w:rPr>
          <w:rFonts w:ascii="ITC Avant Garde" w:hAnsi="ITC Avant Garde"/>
          <w:lang w:val="es-ES_tradnl" w:eastAsia="es-ES"/>
        </w:rPr>
        <w:t xml:space="preserve"> </w:t>
      </w:r>
      <w:r w:rsidRPr="00EE7A87">
        <w:rPr>
          <w:rFonts w:ascii="ITC Avant Garde" w:hAnsi="ITC Avant Garde"/>
          <w:lang w:val="es-ES_tradnl" w:eastAsia="es-ES"/>
        </w:rPr>
        <w:t>oferta de referencia relativa al espacio.</w:t>
      </w:r>
      <w:r>
        <w:rPr>
          <w:rFonts w:ascii="ITC Avant Garde" w:hAnsi="ITC Avant Garde"/>
          <w:lang w:val="es-ES_tradnl" w:eastAsia="es-ES"/>
        </w:rPr>
        <w:t xml:space="preserve"> </w:t>
      </w:r>
    </w:p>
    <w:p w14:paraId="588F74FE" w14:textId="77777777" w:rsidR="00B32F81" w:rsidRDefault="00B32F81" w:rsidP="00EE7A87">
      <w:pPr>
        <w:spacing w:after="0" w:line="276" w:lineRule="auto"/>
        <w:rPr>
          <w:rFonts w:ascii="ITC Avant Garde" w:hAnsi="ITC Avant Garde"/>
          <w:lang w:val="es-ES_tradnl" w:eastAsia="es-ES"/>
        </w:rPr>
      </w:pPr>
    </w:p>
    <w:p w14:paraId="49DA1044" w14:textId="135FAD7E" w:rsidR="00EE7A87" w:rsidRDefault="00EE7A87" w:rsidP="00EE7A87">
      <w:pPr>
        <w:spacing w:after="0" w:line="276" w:lineRule="auto"/>
        <w:rPr>
          <w:rFonts w:ascii="ITC Avant Garde" w:hAnsi="ITC Avant Garde"/>
          <w:lang w:val="es-ES_tradnl" w:eastAsia="es-ES"/>
        </w:rPr>
      </w:pPr>
      <w:r>
        <w:rPr>
          <w:rFonts w:ascii="ITC Avant Garde" w:hAnsi="ITC Avant Garde"/>
          <w:lang w:val="es-ES_tradnl" w:eastAsia="es-ES"/>
        </w:rPr>
        <w:t>Además de lo anterior,</w:t>
      </w:r>
      <w:r w:rsidRPr="00EE7A87">
        <w:rPr>
          <w:rFonts w:ascii="ITC Avant Garde" w:hAnsi="ITC Avant Garde"/>
          <w:lang w:val="es-ES_tradnl" w:eastAsia="es-ES"/>
        </w:rPr>
        <w:t xml:space="preserve"> AT&amp;T considera que </w:t>
      </w:r>
      <w:proofErr w:type="spellStart"/>
      <w:r w:rsidRPr="00EE7A87">
        <w:rPr>
          <w:rFonts w:ascii="ITC Avant Garde" w:hAnsi="ITC Avant Garde"/>
          <w:lang w:val="es-ES_tradnl" w:eastAsia="es-ES"/>
        </w:rPr>
        <w:t>Telesites</w:t>
      </w:r>
      <w:proofErr w:type="spellEnd"/>
      <w:r>
        <w:rPr>
          <w:rFonts w:ascii="ITC Avant Garde" w:hAnsi="ITC Avant Garde"/>
          <w:lang w:val="es-ES_tradnl" w:eastAsia="es-ES"/>
        </w:rPr>
        <w:t xml:space="preserve"> </w:t>
      </w:r>
      <w:r w:rsidRPr="00EE7A87">
        <w:rPr>
          <w:rFonts w:ascii="ITC Avant Garde" w:hAnsi="ITC Avant Garde"/>
          <w:lang w:val="es-ES_tradnl" w:eastAsia="es-ES"/>
        </w:rPr>
        <w:t>tampoco debe aplicar costo extra en las visitas, sea la primera o</w:t>
      </w:r>
      <w:r>
        <w:rPr>
          <w:rFonts w:ascii="ITC Avant Garde" w:hAnsi="ITC Avant Garde"/>
          <w:lang w:val="es-ES_tradnl" w:eastAsia="es-ES"/>
        </w:rPr>
        <w:t xml:space="preserve"> </w:t>
      </w:r>
      <w:r w:rsidRPr="00EE7A87">
        <w:rPr>
          <w:rFonts w:ascii="ITC Avant Garde" w:hAnsi="ITC Avant Garde"/>
          <w:lang w:val="es-ES_tradnl" w:eastAsia="es-ES"/>
        </w:rPr>
        <w:t>subsecuentes en aquellos casos en que no se hubiera cumplido</w:t>
      </w:r>
      <w:r>
        <w:rPr>
          <w:rFonts w:ascii="ITC Avant Garde" w:hAnsi="ITC Avant Garde"/>
          <w:lang w:val="es-ES_tradnl" w:eastAsia="es-ES"/>
        </w:rPr>
        <w:t xml:space="preserve"> </w:t>
      </w:r>
      <w:r w:rsidRPr="00EE7A87">
        <w:rPr>
          <w:rFonts w:ascii="ITC Avant Garde" w:hAnsi="ITC Avant Garde"/>
          <w:lang w:val="es-ES_tradnl" w:eastAsia="es-ES"/>
        </w:rPr>
        <w:t>el objetivo de la vista en una sola, pues los factores por los que</w:t>
      </w:r>
      <w:r>
        <w:rPr>
          <w:rFonts w:ascii="ITC Avant Garde" w:hAnsi="ITC Avant Garde"/>
          <w:lang w:val="es-ES_tradnl" w:eastAsia="es-ES"/>
        </w:rPr>
        <w:t xml:space="preserve"> </w:t>
      </w:r>
      <w:r w:rsidRPr="00EE7A87">
        <w:rPr>
          <w:rFonts w:ascii="ITC Avant Garde" w:hAnsi="ITC Avant Garde"/>
          <w:lang w:val="es-ES_tradnl" w:eastAsia="es-ES"/>
        </w:rPr>
        <w:t>no se pueda concluir pueden ser diversos, incluyendo causas</w:t>
      </w:r>
      <w:r>
        <w:rPr>
          <w:rFonts w:ascii="ITC Avant Garde" w:hAnsi="ITC Avant Garde"/>
          <w:lang w:val="es-ES_tradnl" w:eastAsia="es-ES"/>
        </w:rPr>
        <w:t xml:space="preserve"> </w:t>
      </w:r>
      <w:r w:rsidRPr="00EE7A87">
        <w:rPr>
          <w:rFonts w:ascii="ITC Avant Garde" w:hAnsi="ITC Avant Garde"/>
          <w:lang w:val="es-ES_tradnl" w:eastAsia="es-ES"/>
        </w:rPr>
        <w:t xml:space="preserve">atribuibles a </w:t>
      </w:r>
      <w:proofErr w:type="spellStart"/>
      <w:r w:rsidRPr="00EE7A87">
        <w:rPr>
          <w:rFonts w:ascii="ITC Avant Garde" w:hAnsi="ITC Avant Garde"/>
          <w:lang w:val="es-ES_tradnl" w:eastAsia="es-ES"/>
        </w:rPr>
        <w:t>Telesites</w:t>
      </w:r>
      <w:proofErr w:type="spellEnd"/>
      <w:r w:rsidRPr="00EE7A87">
        <w:rPr>
          <w:rFonts w:ascii="ITC Avant Garde" w:hAnsi="ITC Avant Garde"/>
          <w:lang w:val="es-ES_tradnl" w:eastAsia="es-ES"/>
        </w:rPr>
        <w:t xml:space="preserve"> como problemas derivados de accesos,</w:t>
      </w:r>
      <w:r>
        <w:rPr>
          <w:rFonts w:ascii="ITC Avant Garde" w:hAnsi="ITC Avant Garde"/>
          <w:lang w:val="es-ES_tradnl" w:eastAsia="es-ES"/>
        </w:rPr>
        <w:t xml:space="preserve"> </w:t>
      </w:r>
      <w:r w:rsidRPr="00EE7A87">
        <w:rPr>
          <w:rFonts w:ascii="ITC Avant Garde" w:hAnsi="ITC Avant Garde"/>
          <w:lang w:val="es-ES_tradnl" w:eastAsia="es-ES"/>
        </w:rPr>
        <w:t>permanencias  no  garantizadas  en  el  sitio,  arrendadores</w:t>
      </w:r>
      <w:r>
        <w:rPr>
          <w:rFonts w:ascii="ITC Avant Garde" w:hAnsi="ITC Avant Garde"/>
          <w:lang w:val="es-ES_tradnl" w:eastAsia="es-ES"/>
        </w:rPr>
        <w:t xml:space="preserve"> </w:t>
      </w:r>
      <w:r w:rsidRPr="00EE7A87">
        <w:rPr>
          <w:rFonts w:ascii="ITC Avant Garde" w:hAnsi="ITC Avant Garde"/>
          <w:lang w:val="es-ES_tradnl" w:eastAsia="es-ES"/>
        </w:rPr>
        <w:t>problemáticos, entre</w:t>
      </w:r>
      <w:r>
        <w:rPr>
          <w:rFonts w:ascii="ITC Avant Garde" w:hAnsi="ITC Avant Garde"/>
          <w:lang w:val="es-ES_tradnl" w:eastAsia="es-ES"/>
        </w:rPr>
        <w:t xml:space="preserve"> </w:t>
      </w:r>
      <w:r w:rsidRPr="00EE7A87">
        <w:rPr>
          <w:rFonts w:ascii="ITC Avant Garde" w:hAnsi="ITC Avant Garde"/>
          <w:lang w:val="es-ES_tradnl" w:eastAsia="es-ES"/>
        </w:rPr>
        <w:t>otros, y que no se establecen en dicho</w:t>
      </w:r>
      <w:r>
        <w:rPr>
          <w:rFonts w:ascii="ITC Avant Garde" w:hAnsi="ITC Avant Garde"/>
          <w:lang w:val="es-ES_tradnl" w:eastAsia="es-ES"/>
        </w:rPr>
        <w:t xml:space="preserve"> </w:t>
      </w:r>
      <w:r w:rsidRPr="00EE7A87">
        <w:rPr>
          <w:rFonts w:ascii="ITC Avant Garde" w:hAnsi="ITC Avant Garde"/>
          <w:lang w:val="es-ES_tradnl" w:eastAsia="es-ES"/>
        </w:rPr>
        <w:t>apartado</w:t>
      </w:r>
      <w:r>
        <w:rPr>
          <w:rFonts w:ascii="ITC Avant Garde" w:hAnsi="ITC Avant Garde"/>
          <w:lang w:val="es-ES_tradnl" w:eastAsia="es-ES"/>
        </w:rPr>
        <w:t>.</w:t>
      </w:r>
    </w:p>
    <w:p w14:paraId="612A6812" w14:textId="77777777" w:rsidR="002B55CA" w:rsidRPr="009C0E84" w:rsidRDefault="002B55CA" w:rsidP="00EE7A87">
      <w:pPr>
        <w:spacing w:after="0" w:line="276" w:lineRule="auto"/>
        <w:rPr>
          <w:rFonts w:ascii="ITC Avant Garde" w:hAnsi="ITC Avant Garde"/>
          <w:lang w:val="es-ES_tradnl" w:eastAsia="es-ES"/>
        </w:rPr>
      </w:pPr>
    </w:p>
    <w:p w14:paraId="472B41DE" w14:textId="4D19F9D4" w:rsidR="00EE7A87" w:rsidRPr="00BF7935" w:rsidRDefault="00EE7A87" w:rsidP="00EE7A87">
      <w:pPr>
        <w:spacing w:after="120"/>
        <w:rPr>
          <w:rFonts w:ascii="ITC Avant Garde" w:hAnsi="ITC Avant Garde"/>
          <w:u w:val="single"/>
          <w:lang w:val="es-ES_tradnl"/>
        </w:rPr>
      </w:pPr>
      <w:r w:rsidRPr="00BF7935">
        <w:rPr>
          <w:rFonts w:ascii="ITC Avant Garde" w:hAnsi="ITC Avant Garde"/>
          <w:u w:val="single"/>
          <w:lang w:val="es-ES_tradnl"/>
        </w:rPr>
        <w:t xml:space="preserve">Respuesta </w:t>
      </w:r>
      <w:r>
        <w:rPr>
          <w:rFonts w:ascii="ITC Avant Garde" w:hAnsi="ITC Avant Garde"/>
          <w:u w:val="single"/>
          <w:lang w:val="es-ES_tradnl"/>
        </w:rPr>
        <w:t>de la UPR</w:t>
      </w:r>
    </w:p>
    <w:p w14:paraId="03357F32" w14:textId="40817176" w:rsidR="00B32F81" w:rsidRDefault="00EE7A87" w:rsidP="00890434">
      <w:pPr>
        <w:spacing w:after="0" w:line="276" w:lineRule="auto"/>
        <w:rPr>
          <w:rFonts w:ascii="ITC Avant Garde" w:hAnsi="ITC Avant Garde"/>
          <w:lang w:val="es-ES_tradnl"/>
        </w:rPr>
      </w:pPr>
      <w:r w:rsidRPr="00BF7935">
        <w:rPr>
          <w:rFonts w:ascii="ITC Avant Garde" w:hAnsi="ITC Avant Garde"/>
          <w:lang w:val="es-ES_tradnl"/>
        </w:rPr>
        <w:t xml:space="preserve">Respecto a </w:t>
      </w:r>
      <w:r>
        <w:rPr>
          <w:rFonts w:ascii="ITC Avant Garde" w:hAnsi="ITC Avant Garde"/>
          <w:lang w:val="es-ES_tradnl"/>
        </w:rPr>
        <w:t>dicho comentario</w:t>
      </w:r>
      <w:r w:rsidRPr="00BF7935">
        <w:rPr>
          <w:rFonts w:ascii="ITC Avant Garde" w:hAnsi="ITC Avant Garde"/>
          <w:lang w:val="es-ES_tradnl"/>
        </w:rPr>
        <w:t xml:space="preserve">, </w:t>
      </w:r>
      <w:r>
        <w:rPr>
          <w:rFonts w:ascii="ITC Avant Garde" w:hAnsi="ITC Avant Garde"/>
          <w:lang w:val="es-ES_tradnl"/>
        </w:rPr>
        <w:t>la UPR</w:t>
      </w:r>
      <w:r w:rsidRPr="00BF7935">
        <w:rPr>
          <w:rFonts w:ascii="ITC Avant Garde" w:hAnsi="ITC Avant Garde"/>
          <w:lang w:val="es-ES_tradnl"/>
        </w:rPr>
        <w:t xml:space="preserve"> </w:t>
      </w:r>
      <w:r w:rsidR="00890434">
        <w:rPr>
          <w:rFonts w:ascii="ITC Avant Garde" w:hAnsi="ITC Avant Garde"/>
          <w:lang w:val="es-ES_tradnl"/>
        </w:rPr>
        <w:t>considera que</w:t>
      </w:r>
      <w:r w:rsidR="00890434" w:rsidRPr="00890434">
        <w:rPr>
          <w:rFonts w:ascii="ITC Avant Garde" w:hAnsi="ITC Avant Garde"/>
          <w:lang w:val="es-ES_tradnl"/>
        </w:rPr>
        <w:t xml:space="preserve"> es esencial reconocer que una visita técnica conlleva recursos por parte del proveedor del servicio. </w:t>
      </w:r>
      <w:r w:rsidR="002B37D3">
        <w:rPr>
          <w:rFonts w:ascii="ITC Avant Garde" w:hAnsi="ITC Avant Garde"/>
          <w:lang w:val="es-ES_tradnl"/>
        </w:rPr>
        <w:t>C</w:t>
      </w:r>
      <w:r w:rsidR="00890434" w:rsidRPr="00890434">
        <w:rPr>
          <w:rFonts w:ascii="ITC Avant Garde" w:hAnsi="ITC Avant Garde"/>
          <w:lang w:val="es-ES_tradnl"/>
        </w:rPr>
        <w:t xml:space="preserve">ada visita técnica representa un costo operativo que debe ser considerado en el contexto general de la prestación del servicio. </w:t>
      </w:r>
      <w:r w:rsidR="002B37D3">
        <w:rPr>
          <w:rFonts w:ascii="ITC Avant Garde" w:hAnsi="ITC Avant Garde"/>
          <w:lang w:val="es-ES_tradnl"/>
        </w:rPr>
        <w:t>De forma tal que no puede omitirse el cobro por dicha actividad, asegurando la retribución de los recursos asignado</w:t>
      </w:r>
      <w:r w:rsidR="00505055">
        <w:rPr>
          <w:rFonts w:ascii="ITC Avant Garde" w:hAnsi="ITC Avant Garde"/>
          <w:lang w:val="es-ES_tradnl"/>
        </w:rPr>
        <w:t>s</w:t>
      </w:r>
      <w:r w:rsidR="00B32F81">
        <w:rPr>
          <w:rFonts w:ascii="ITC Avant Garde" w:hAnsi="ITC Avant Garde"/>
          <w:lang w:val="es-ES_tradnl"/>
        </w:rPr>
        <w:t>, particularmente en aquellos casos en los que no se celebre un Acuerdo de Sitio.</w:t>
      </w:r>
    </w:p>
    <w:p w14:paraId="4AAB0336" w14:textId="77777777" w:rsidR="00B32F81" w:rsidRDefault="00B32F81" w:rsidP="00890434">
      <w:pPr>
        <w:spacing w:after="0" w:line="276" w:lineRule="auto"/>
        <w:rPr>
          <w:rFonts w:ascii="ITC Avant Garde" w:hAnsi="ITC Avant Garde"/>
          <w:lang w:val="es-ES_tradnl"/>
        </w:rPr>
      </w:pPr>
    </w:p>
    <w:p w14:paraId="7668DFF7" w14:textId="129456C6" w:rsidR="00890434" w:rsidRPr="00890434" w:rsidRDefault="00B32F81" w:rsidP="00890434">
      <w:pPr>
        <w:spacing w:after="0" w:line="276" w:lineRule="auto"/>
        <w:rPr>
          <w:rFonts w:ascii="ITC Avant Garde" w:hAnsi="ITC Avant Garde"/>
          <w:lang w:val="es-ES_tradnl"/>
        </w:rPr>
      </w:pPr>
      <w:r>
        <w:rPr>
          <w:rFonts w:ascii="ITC Avant Garde" w:hAnsi="ITC Avant Garde"/>
          <w:lang w:val="es-ES_tradnl"/>
        </w:rPr>
        <w:t xml:space="preserve">Lo anterior, sin menoscabo de que cualquier inconsistencia que derive en un trato discriminatorio por parte de </w:t>
      </w:r>
      <w:proofErr w:type="spellStart"/>
      <w:r>
        <w:rPr>
          <w:rFonts w:ascii="ITC Avant Garde" w:hAnsi="ITC Avant Garde"/>
          <w:lang w:val="es-ES_tradnl"/>
        </w:rPr>
        <w:t>Telesites</w:t>
      </w:r>
      <w:proofErr w:type="spellEnd"/>
      <w:r>
        <w:rPr>
          <w:rFonts w:ascii="ITC Avant Garde" w:hAnsi="ITC Avant Garde"/>
          <w:lang w:val="es-ES_tradnl"/>
        </w:rPr>
        <w:t xml:space="preserve"> que no esté considerado como parte de las condiciones técnicas autorizadas en la Oferta de Referencia podrá ser acreditado ante el Instituto, a efecto de que se resuelva lo conducente como parte de la prestación de los servicios</w:t>
      </w:r>
      <w:r w:rsidR="002B37D3">
        <w:rPr>
          <w:rFonts w:ascii="ITC Avant Garde" w:hAnsi="ITC Avant Garde"/>
          <w:lang w:val="es-ES_tradnl"/>
        </w:rPr>
        <w:t>.</w:t>
      </w:r>
    </w:p>
    <w:p w14:paraId="30650C1B" w14:textId="77777777" w:rsidR="00890434" w:rsidRPr="00890434" w:rsidRDefault="00890434" w:rsidP="00890434">
      <w:pPr>
        <w:spacing w:after="0" w:line="276" w:lineRule="auto"/>
        <w:rPr>
          <w:rFonts w:ascii="ITC Avant Garde" w:hAnsi="ITC Avant Garde"/>
          <w:lang w:val="es-ES_tradnl"/>
        </w:rPr>
      </w:pPr>
    </w:p>
    <w:p w14:paraId="2F8E2793" w14:textId="585FA1CC" w:rsidR="00890434" w:rsidRPr="00890434" w:rsidRDefault="00890434" w:rsidP="00890434">
      <w:pPr>
        <w:spacing w:after="0" w:line="276" w:lineRule="auto"/>
        <w:rPr>
          <w:rFonts w:ascii="ITC Avant Garde" w:hAnsi="ITC Avant Garde"/>
          <w:lang w:val="es-ES_tradnl"/>
        </w:rPr>
      </w:pPr>
      <w:r w:rsidRPr="00890434">
        <w:rPr>
          <w:rFonts w:ascii="ITC Avant Garde" w:hAnsi="ITC Avant Garde"/>
          <w:lang w:val="es-ES_tradnl"/>
        </w:rPr>
        <w:lastRenderedPageBreak/>
        <w:t xml:space="preserve">Por otro lado, la no factibilidad de la colocación del equipo de AT&amp;T puede derivar de aspectos </w:t>
      </w:r>
      <w:r w:rsidR="002B37D3">
        <w:rPr>
          <w:rFonts w:ascii="ITC Avant Garde" w:hAnsi="ITC Avant Garde"/>
          <w:lang w:val="es-ES_tradnl"/>
        </w:rPr>
        <w:t>particulares que</w:t>
      </w:r>
      <w:r w:rsidRPr="00890434">
        <w:rPr>
          <w:rFonts w:ascii="ITC Avant Garde" w:hAnsi="ITC Avant Garde"/>
          <w:lang w:val="es-ES_tradnl"/>
        </w:rPr>
        <w:t xml:space="preserve"> </w:t>
      </w:r>
      <w:proofErr w:type="spellStart"/>
      <w:r w:rsidRPr="00890434">
        <w:rPr>
          <w:rFonts w:ascii="ITC Avant Garde" w:hAnsi="ITC Avant Garde"/>
          <w:lang w:val="es-ES_tradnl"/>
        </w:rPr>
        <w:t>Telesites</w:t>
      </w:r>
      <w:proofErr w:type="spellEnd"/>
      <w:r>
        <w:rPr>
          <w:rFonts w:ascii="ITC Avant Garde" w:hAnsi="ITC Avant Garde"/>
          <w:lang w:val="es-ES_tradnl"/>
        </w:rPr>
        <w:t xml:space="preserve"> y la Fibra</w:t>
      </w:r>
      <w:r w:rsidR="002B37D3">
        <w:rPr>
          <w:rFonts w:ascii="ITC Avant Garde" w:hAnsi="ITC Avant Garde"/>
          <w:lang w:val="es-ES_tradnl"/>
        </w:rPr>
        <w:t xml:space="preserve"> y el CS deben analizar sobre la compartición de espacios</w:t>
      </w:r>
      <w:r w:rsidRPr="00890434">
        <w:rPr>
          <w:rFonts w:ascii="ITC Avant Garde" w:hAnsi="ITC Avant Garde"/>
          <w:lang w:val="es-ES_tradnl"/>
        </w:rPr>
        <w:t xml:space="preserve">. Si la visita técnica revela limitaciones inherentes al lugar que hacen imposible o poco viable </w:t>
      </w:r>
      <w:r w:rsidR="00E21A07">
        <w:rPr>
          <w:rFonts w:ascii="ITC Avant Garde" w:hAnsi="ITC Avant Garde"/>
          <w:lang w:val="es-ES_tradnl"/>
        </w:rPr>
        <w:t xml:space="preserve">técnicamente </w:t>
      </w:r>
      <w:r w:rsidRPr="00890434">
        <w:rPr>
          <w:rFonts w:ascii="ITC Avant Garde" w:hAnsi="ITC Avant Garde"/>
          <w:lang w:val="es-ES_tradnl"/>
        </w:rPr>
        <w:t xml:space="preserve">la instalación del equipo, </w:t>
      </w:r>
      <w:r w:rsidR="002B37D3">
        <w:rPr>
          <w:rFonts w:ascii="ITC Avant Garde" w:hAnsi="ITC Avant Garde"/>
          <w:lang w:val="es-ES_tradnl"/>
        </w:rPr>
        <w:t>resulta</w:t>
      </w:r>
      <w:r w:rsidR="002B37D3" w:rsidRPr="00890434">
        <w:rPr>
          <w:rFonts w:ascii="ITC Avant Garde" w:hAnsi="ITC Avant Garde"/>
          <w:lang w:val="es-ES_tradnl"/>
        </w:rPr>
        <w:t xml:space="preserve"> </w:t>
      </w:r>
      <w:r w:rsidR="002B37D3">
        <w:rPr>
          <w:rFonts w:ascii="ITC Avant Garde" w:hAnsi="ITC Avant Garde"/>
          <w:lang w:val="es-ES_tradnl"/>
        </w:rPr>
        <w:t>razonable</w:t>
      </w:r>
      <w:r w:rsidR="002B37D3" w:rsidRPr="00890434">
        <w:rPr>
          <w:rFonts w:ascii="ITC Avant Garde" w:hAnsi="ITC Avant Garde"/>
          <w:lang w:val="es-ES_tradnl"/>
        </w:rPr>
        <w:t xml:space="preserve"> </w:t>
      </w:r>
      <w:r w:rsidRPr="00890434">
        <w:rPr>
          <w:rFonts w:ascii="ITC Avant Garde" w:hAnsi="ITC Avant Garde"/>
          <w:lang w:val="es-ES_tradnl"/>
        </w:rPr>
        <w:t xml:space="preserve">argumentar que el costo asociado a esta visita debería ser asumido por la parte </w:t>
      </w:r>
      <w:r w:rsidR="002B37D3">
        <w:rPr>
          <w:rFonts w:ascii="ITC Avant Garde" w:hAnsi="ITC Avant Garde"/>
          <w:lang w:val="es-ES_tradnl"/>
        </w:rPr>
        <w:t>solicitante</w:t>
      </w:r>
      <w:r w:rsidRPr="00890434">
        <w:rPr>
          <w:rFonts w:ascii="ITC Avant Garde" w:hAnsi="ITC Avant Garde"/>
          <w:lang w:val="es-ES_tradnl"/>
        </w:rPr>
        <w:t>, en este caso, AT&amp;T.</w:t>
      </w:r>
    </w:p>
    <w:p w14:paraId="7B90FBFB" w14:textId="77777777" w:rsidR="00890434" w:rsidRPr="00890434" w:rsidRDefault="00890434" w:rsidP="00890434">
      <w:pPr>
        <w:spacing w:after="0" w:line="276" w:lineRule="auto"/>
        <w:rPr>
          <w:rFonts w:ascii="ITC Avant Garde" w:hAnsi="ITC Avant Garde"/>
          <w:lang w:val="es-ES_tradnl"/>
        </w:rPr>
      </w:pPr>
    </w:p>
    <w:p w14:paraId="01A0804F" w14:textId="5801B80A" w:rsidR="00546A51" w:rsidRDefault="00890434" w:rsidP="00890434">
      <w:pPr>
        <w:spacing w:after="0" w:line="276" w:lineRule="auto"/>
        <w:rPr>
          <w:rFonts w:ascii="ITC Avant Garde" w:hAnsi="ITC Avant Garde"/>
          <w:lang w:val="es-ES_tradnl"/>
        </w:rPr>
      </w:pPr>
      <w:r w:rsidRPr="00890434">
        <w:rPr>
          <w:rFonts w:ascii="ITC Avant Garde" w:hAnsi="ITC Avant Garde"/>
          <w:lang w:val="es-ES_tradnl"/>
        </w:rPr>
        <w:t xml:space="preserve">En cuanto </w:t>
      </w:r>
      <w:r w:rsidR="00B32F81">
        <w:rPr>
          <w:rFonts w:ascii="ITC Avant Garde" w:hAnsi="ITC Avant Garde"/>
          <w:lang w:val="es-ES_tradnl"/>
        </w:rPr>
        <w:t>al comentario recibido para</w:t>
      </w:r>
      <w:r w:rsidRPr="00890434">
        <w:rPr>
          <w:rFonts w:ascii="ITC Avant Garde" w:hAnsi="ITC Avant Garde"/>
          <w:lang w:val="es-ES_tradnl"/>
        </w:rPr>
        <w:t xml:space="preserve"> aplicar costos adicionales en visitas subsecuentes</w:t>
      </w:r>
      <w:r w:rsidR="00546A51">
        <w:rPr>
          <w:rFonts w:ascii="ITC Avant Garde" w:hAnsi="ITC Avant Garde"/>
          <w:lang w:val="es-ES_tradnl"/>
        </w:rPr>
        <w:t xml:space="preserve">, la UPR afirma que el numeral “2.5.5 </w:t>
      </w:r>
      <w:r w:rsidR="00546A51" w:rsidRPr="00546A51">
        <w:rPr>
          <w:rFonts w:ascii="ITC Avant Garde" w:hAnsi="ITC Avant Garde"/>
          <w:lang w:val="es-ES_tradnl"/>
        </w:rPr>
        <w:t>Pago del Servicio de Visita Técnica</w:t>
      </w:r>
      <w:r w:rsidR="00546A51">
        <w:rPr>
          <w:rFonts w:ascii="ITC Avant Garde" w:hAnsi="ITC Avant Garde"/>
          <w:lang w:val="es-ES_tradnl"/>
        </w:rPr>
        <w:t xml:space="preserve">” es claro al respecto, al mencionar </w:t>
      </w:r>
      <w:r w:rsidR="00B32F81">
        <w:rPr>
          <w:rFonts w:ascii="ITC Avant Garde" w:hAnsi="ITC Avant Garde"/>
          <w:lang w:val="es-ES_tradnl"/>
        </w:rPr>
        <w:t>las condiciones en las cuales aplicará el cobro por visita técnica</w:t>
      </w:r>
      <w:r w:rsidR="00546A51">
        <w:rPr>
          <w:rFonts w:ascii="ITC Avant Garde" w:hAnsi="ITC Avant Garde"/>
          <w:lang w:val="es-ES_tradnl"/>
        </w:rPr>
        <w:t>:</w:t>
      </w:r>
    </w:p>
    <w:p w14:paraId="5AFE890A" w14:textId="77777777" w:rsidR="00546A51" w:rsidRDefault="00546A51" w:rsidP="00890434">
      <w:pPr>
        <w:spacing w:after="0" w:line="276" w:lineRule="auto"/>
        <w:rPr>
          <w:rFonts w:ascii="ITC Avant Garde" w:hAnsi="ITC Avant Garde"/>
          <w:lang w:val="es-ES_tradnl"/>
        </w:rPr>
      </w:pPr>
    </w:p>
    <w:p w14:paraId="6E794CFE" w14:textId="38626673" w:rsidR="00546A51" w:rsidRPr="00546A51" w:rsidRDefault="00546A51" w:rsidP="00546A51">
      <w:pPr>
        <w:pStyle w:val="CitaIFT"/>
      </w:pPr>
      <w:r>
        <w:t>“</w:t>
      </w:r>
      <w:r w:rsidRPr="00546A51">
        <w:rPr>
          <w:b/>
        </w:rPr>
        <w:t>2.5.2</w:t>
      </w:r>
      <w:r w:rsidRPr="00546A51">
        <w:rPr>
          <w:b/>
        </w:rPr>
        <w:tab/>
        <w:t>Pago del Servicio de Visita Técnica</w:t>
      </w:r>
    </w:p>
    <w:p w14:paraId="3E8B92A0" w14:textId="77777777" w:rsidR="00546A51" w:rsidRPr="00546A51" w:rsidRDefault="00546A51" w:rsidP="00546A51">
      <w:pPr>
        <w:pStyle w:val="CitaIFT"/>
      </w:pPr>
      <w:r w:rsidRPr="00546A51">
        <w:t xml:space="preserve">En caso de que el Concesionario suscriba el Acuerdo de Sitio correspondiente a aquel objeto de la Visita Técnica, </w:t>
      </w:r>
      <w:proofErr w:type="spellStart"/>
      <w:r w:rsidRPr="00546A51">
        <w:t>Telesites</w:t>
      </w:r>
      <w:proofErr w:type="spellEnd"/>
      <w:r w:rsidRPr="00546A51">
        <w:t xml:space="preserve"> y la Fibra convienen en que dicho servicio no tendrá costo alguno para el Concesionario; en el entendido de que, de proceder el cobro de estos servicios, solo se podrá a través de </w:t>
      </w:r>
      <w:proofErr w:type="spellStart"/>
      <w:r w:rsidRPr="00546A51">
        <w:t>Telesites</w:t>
      </w:r>
      <w:proofErr w:type="spellEnd"/>
      <w:r w:rsidRPr="00546A51">
        <w:t>.</w:t>
      </w:r>
    </w:p>
    <w:p w14:paraId="0B84E2C3" w14:textId="77777777" w:rsidR="00546A51" w:rsidRPr="00546A51" w:rsidRDefault="00546A51" w:rsidP="00546A51">
      <w:pPr>
        <w:pStyle w:val="CitaIFT"/>
      </w:pPr>
      <w:r w:rsidRPr="00546A51">
        <w:t xml:space="preserve">En caso de que el Concesionario no suscriba el Acuerdo de Sitio correspondiente a aquel Sitio objeto de la Visita Técnica, pagará a </w:t>
      </w:r>
      <w:proofErr w:type="spellStart"/>
      <w:r w:rsidRPr="00546A51">
        <w:t>Telesites</w:t>
      </w:r>
      <w:proofErr w:type="spellEnd"/>
      <w:r w:rsidRPr="00546A51">
        <w:t xml:space="preserve"> el costo de la misma, conforme a los precios que al efecto se establecen en el Anexo “A” Precios y Tarifas del Convenio.  Para tal caso, la contraprestación será facturada dentro del término de 10 (diez) días hábiles contados a partir de la declinación del Sitio. El Concesionario deberá pagar de conformidad con lo estipulado en el punto 4.6.2 del Convenio.</w:t>
      </w:r>
    </w:p>
    <w:p w14:paraId="557F3F26" w14:textId="77777777" w:rsidR="00546A51" w:rsidRDefault="00546A51" w:rsidP="00546A51">
      <w:pPr>
        <w:pStyle w:val="CitaIFT"/>
      </w:pPr>
      <w:r w:rsidRPr="00546A51">
        <w:t>Si por alguna razón el Concesionario solicitase más de una Visita Técnica en el mismo Sitio, a partir de la segunda Visita se cobrará el costo correspondiente, para lo cual, el Concesionario deberá adjuntar el comprobante del pago correspondiente para la realización de la misma, conforme a los precios que al efecto se establecen en el Anexo “A” Precios y Tarifas del Convenio”</w:t>
      </w:r>
      <w:r>
        <w:t>.</w:t>
      </w:r>
    </w:p>
    <w:p w14:paraId="26E3E092" w14:textId="02278001" w:rsidR="00546A51" w:rsidRPr="00546A51" w:rsidRDefault="00546A51" w:rsidP="00546A51">
      <w:pPr>
        <w:pStyle w:val="CitaIFT"/>
      </w:pPr>
      <w:r>
        <w:t>[…]”</w:t>
      </w:r>
    </w:p>
    <w:p w14:paraId="7E383A85" w14:textId="77777777" w:rsidR="00546A51" w:rsidRDefault="00546A51" w:rsidP="00890434">
      <w:pPr>
        <w:spacing w:after="0" w:line="276" w:lineRule="auto"/>
        <w:rPr>
          <w:rFonts w:ascii="ITC Avant Garde" w:hAnsi="ITC Avant Garde"/>
          <w:lang w:val="es-ES_tradnl"/>
        </w:rPr>
      </w:pPr>
    </w:p>
    <w:p w14:paraId="618ABD36" w14:textId="10E91D1C" w:rsidR="00EE7A87" w:rsidRPr="00546A51" w:rsidRDefault="00546A51" w:rsidP="00890434">
      <w:pPr>
        <w:spacing w:after="0" w:line="276" w:lineRule="auto"/>
        <w:rPr>
          <w:rFonts w:ascii="ITC Avant Garde" w:hAnsi="ITC Avant Garde"/>
          <w:lang w:val="es-ES_tradnl"/>
        </w:rPr>
      </w:pPr>
      <w:r>
        <w:rPr>
          <w:rFonts w:ascii="ITC Avant Garde" w:hAnsi="ITC Avant Garde"/>
          <w:lang w:val="es-ES_tradnl"/>
        </w:rPr>
        <w:t xml:space="preserve">Por lo anterior, se considera que </w:t>
      </w:r>
      <w:r w:rsidR="00B32F81">
        <w:rPr>
          <w:rFonts w:ascii="ITC Avant Garde" w:hAnsi="ITC Avant Garde"/>
          <w:lang w:val="es-ES_tradnl"/>
        </w:rPr>
        <w:t xml:space="preserve">en todo caso, cualquier inconsistencia en la prestación de los servicios deberá ser acreditada </w:t>
      </w:r>
      <w:r w:rsidR="006D33A5">
        <w:rPr>
          <w:rFonts w:ascii="ITC Avant Garde" w:hAnsi="ITC Avant Garde"/>
          <w:lang w:val="es-ES_tradnl"/>
        </w:rPr>
        <w:t xml:space="preserve">al Instituto </w:t>
      </w:r>
      <w:r w:rsidR="00B32F81">
        <w:rPr>
          <w:rFonts w:ascii="ITC Avant Garde" w:hAnsi="ITC Avant Garde"/>
          <w:lang w:val="es-ES_tradnl"/>
        </w:rPr>
        <w:t xml:space="preserve">ante cualquier desacuerdo de carácter técnico o tarifario del que derive por parte de </w:t>
      </w:r>
      <w:proofErr w:type="spellStart"/>
      <w:r w:rsidR="00B32F81">
        <w:rPr>
          <w:rFonts w:ascii="ITC Avant Garde" w:hAnsi="ITC Avant Garde"/>
          <w:lang w:val="es-ES_tradnl"/>
        </w:rPr>
        <w:t>Telesites</w:t>
      </w:r>
      <w:proofErr w:type="spellEnd"/>
      <w:r w:rsidR="00B32F81">
        <w:rPr>
          <w:rFonts w:ascii="ITC Avant Garde" w:hAnsi="ITC Avant Garde"/>
          <w:lang w:val="es-ES_tradnl"/>
        </w:rPr>
        <w:t xml:space="preserve"> algún trato discriminatorio o no considerado como parte de la prestación de los servicios</w:t>
      </w:r>
      <w:r w:rsidR="00890434" w:rsidRPr="00546A51">
        <w:rPr>
          <w:rFonts w:ascii="ITC Avant Garde" w:hAnsi="ITC Avant Garde"/>
          <w:lang w:val="es-ES_tradnl"/>
        </w:rPr>
        <w:t xml:space="preserve">. </w:t>
      </w:r>
    </w:p>
    <w:p w14:paraId="1CACE2FE" w14:textId="2F8CF1FB" w:rsidR="000A1FBE" w:rsidRPr="00546A51" w:rsidRDefault="000A1FBE" w:rsidP="00F44F84">
      <w:pPr>
        <w:pStyle w:val="CitaIFT"/>
        <w:spacing w:after="0"/>
        <w:rPr>
          <w:lang w:val="es-MX"/>
        </w:rPr>
      </w:pPr>
    </w:p>
    <w:p w14:paraId="1501CEDA" w14:textId="2EF5BCC2" w:rsidR="00EE7A87" w:rsidRPr="00546A51" w:rsidRDefault="00EE7A87" w:rsidP="00EE7A87">
      <w:pPr>
        <w:pStyle w:val="Prrafodelista"/>
        <w:numPr>
          <w:ilvl w:val="0"/>
          <w:numId w:val="23"/>
        </w:numPr>
        <w:rPr>
          <w:rFonts w:ascii="ITC Avant Garde" w:hAnsi="ITC Avant Garde"/>
          <w:b/>
          <w:lang w:val="es-ES_tradnl"/>
        </w:rPr>
      </w:pPr>
      <w:r w:rsidRPr="00546A51">
        <w:rPr>
          <w:rFonts w:ascii="ITC Avant Garde" w:hAnsi="ITC Avant Garde"/>
          <w:b/>
          <w:lang w:val="es-ES_tradnl"/>
        </w:rPr>
        <w:t>Anexo “I” Servicios. Plazo de revisión de la Solicitud de Colocación.</w:t>
      </w:r>
    </w:p>
    <w:p w14:paraId="01694070" w14:textId="746E0D9F" w:rsidR="00EE7A87" w:rsidRPr="00231C6F" w:rsidRDefault="00EE7A87" w:rsidP="00EE7A87">
      <w:pPr>
        <w:rPr>
          <w:rFonts w:ascii="ITC Avant Garde" w:hAnsi="ITC Avant Garde"/>
          <w:lang w:val="es-ES_tradnl"/>
        </w:rPr>
      </w:pPr>
      <w:r w:rsidRPr="00231C6F">
        <w:rPr>
          <w:rFonts w:ascii="ITC Avant Garde" w:hAnsi="ITC Avant Garde"/>
          <w:lang w:val="es-ES_tradnl"/>
        </w:rPr>
        <w:t>AT&amp;T señala que dentro del Numeral 2.6.2.</w:t>
      </w:r>
      <w:r w:rsidRPr="00231C6F">
        <w:rPr>
          <w:rFonts w:ascii="ITC Avant Garde" w:hAnsi="ITC Avant Garde"/>
          <w:i/>
          <w:lang w:val="es-ES_tradnl"/>
        </w:rPr>
        <w:t xml:space="preserve">“Plazo de revisión de la Solicitud de Colocación”, </w:t>
      </w:r>
      <w:r w:rsidRPr="00231C6F">
        <w:rPr>
          <w:rFonts w:ascii="ITC Avant Garde" w:hAnsi="ITC Avant Garde"/>
          <w:lang w:val="es-ES_tradnl"/>
        </w:rPr>
        <w:t xml:space="preserve">debe incluirse que si </w:t>
      </w:r>
      <w:proofErr w:type="spellStart"/>
      <w:r w:rsidRPr="00231C6F">
        <w:rPr>
          <w:rFonts w:ascii="ITC Avant Garde" w:hAnsi="ITC Avant Garde"/>
          <w:lang w:val="es-ES_tradnl"/>
        </w:rPr>
        <w:t>Telesites</w:t>
      </w:r>
      <w:proofErr w:type="spellEnd"/>
      <w:r w:rsidRPr="00231C6F">
        <w:rPr>
          <w:rFonts w:ascii="ITC Avant Garde" w:hAnsi="ITC Avant Garde"/>
          <w:lang w:val="es-ES_tradnl"/>
        </w:rPr>
        <w:t xml:space="preserve"> no cumple con los plazos establecidos para entrega de modificaciones, la solicitud será cancelada sin penalidad alguna.</w:t>
      </w:r>
    </w:p>
    <w:p w14:paraId="3DD9C7DA" w14:textId="77777777" w:rsidR="00EE7A87" w:rsidRPr="00231C6F" w:rsidRDefault="00EE7A87" w:rsidP="00EE7A87">
      <w:pPr>
        <w:spacing w:after="120"/>
        <w:rPr>
          <w:rFonts w:ascii="ITC Avant Garde" w:hAnsi="ITC Avant Garde"/>
          <w:u w:val="single"/>
          <w:lang w:val="es-ES_tradnl"/>
        </w:rPr>
      </w:pPr>
      <w:r w:rsidRPr="00231C6F">
        <w:rPr>
          <w:rFonts w:ascii="ITC Avant Garde" w:hAnsi="ITC Avant Garde"/>
          <w:u w:val="single"/>
          <w:lang w:val="es-ES_tradnl"/>
        </w:rPr>
        <w:t>Respuesta de la UPR</w:t>
      </w:r>
    </w:p>
    <w:p w14:paraId="71B9E398" w14:textId="29F5D0F0" w:rsidR="00B50ECB" w:rsidRDefault="00EE7A87" w:rsidP="00EE7A87">
      <w:pPr>
        <w:pStyle w:val="IFTnormal"/>
      </w:pPr>
      <w:r w:rsidRPr="00231C6F">
        <w:lastRenderedPageBreak/>
        <w:t xml:space="preserve">Respecto a dichos comentarios, </w:t>
      </w:r>
      <w:r w:rsidR="00DC6CAB">
        <w:t>la UPR</w:t>
      </w:r>
      <w:r w:rsidR="00DC6CAB" w:rsidRPr="00BF7935">
        <w:t xml:space="preserve"> </w:t>
      </w:r>
      <w:r w:rsidR="00DC6CAB">
        <w:t xml:space="preserve">considera que dentro de la Oferta de Referencia ya se contempla dentro del apartado </w:t>
      </w:r>
      <w:r w:rsidR="00DC6CAB" w:rsidRPr="004A3644">
        <w:rPr>
          <w:i/>
        </w:rPr>
        <w:t>“2.14 Penas Convencionales”</w:t>
      </w:r>
      <w:r w:rsidR="00DC6CAB">
        <w:t xml:space="preserve"> </w:t>
      </w:r>
      <w:r w:rsidR="004A3644">
        <w:t xml:space="preserve">dentro del </w:t>
      </w:r>
      <w:r w:rsidR="004A3644" w:rsidRPr="006D3374">
        <w:rPr>
          <w:i/>
        </w:rPr>
        <w:t xml:space="preserve">“Anexo </w:t>
      </w:r>
      <w:r w:rsidR="00C9698C" w:rsidRPr="006D3374">
        <w:rPr>
          <w:i/>
        </w:rPr>
        <w:t>“I”: Servicios”</w:t>
      </w:r>
      <w:r w:rsidR="00C9698C">
        <w:t xml:space="preserve"> </w:t>
      </w:r>
      <w:r w:rsidR="00DC6CAB" w:rsidRPr="00DC6CAB">
        <w:t xml:space="preserve">las compensaciones por el cumplimiento tardío en las obligaciones a cargo de </w:t>
      </w:r>
      <w:proofErr w:type="spellStart"/>
      <w:r w:rsidR="00DC6CAB" w:rsidRPr="00DC6CAB">
        <w:t>Telesites</w:t>
      </w:r>
      <w:proofErr w:type="spellEnd"/>
      <w:r w:rsidR="00DC6CAB" w:rsidRPr="00DC6CAB">
        <w:t xml:space="preserve"> </w:t>
      </w:r>
      <w:r w:rsidR="00DC6CAB">
        <w:t xml:space="preserve">y la Fibra </w:t>
      </w:r>
      <w:r w:rsidR="00DC6CAB" w:rsidRPr="00DC6CAB">
        <w:t xml:space="preserve">respecto de los plazos comprometidos para la realización de un </w:t>
      </w:r>
      <w:r w:rsidR="00DC6CAB">
        <w:t>s</w:t>
      </w:r>
      <w:r w:rsidR="00DC6CAB" w:rsidRPr="00DC6CAB">
        <w:t>ervicio en específico bajo los términos de la Oferta de Referencia</w:t>
      </w:r>
      <w:r w:rsidR="00DC6CAB">
        <w:t>.</w:t>
      </w:r>
    </w:p>
    <w:p w14:paraId="39456444" w14:textId="3575C305" w:rsidR="00EE7A87" w:rsidRPr="00C9698C" w:rsidRDefault="00EE7A87" w:rsidP="00EE7A87">
      <w:pPr>
        <w:pStyle w:val="Prrafodelista"/>
        <w:numPr>
          <w:ilvl w:val="0"/>
          <w:numId w:val="23"/>
        </w:numPr>
        <w:rPr>
          <w:rFonts w:ascii="ITC Avant Garde" w:hAnsi="ITC Avant Garde"/>
          <w:b/>
          <w:lang w:val="es-ES_tradnl"/>
        </w:rPr>
      </w:pPr>
      <w:r w:rsidRPr="00C9698C">
        <w:rPr>
          <w:rFonts w:ascii="ITC Avant Garde" w:hAnsi="ITC Avant Garde"/>
          <w:b/>
          <w:lang w:val="es-ES_tradnl"/>
        </w:rPr>
        <w:t>Anexo “I” Servicios. Colocación de Equipo Aprobado.</w:t>
      </w:r>
    </w:p>
    <w:p w14:paraId="362459D3" w14:textId="1779A6F5" w:rsidR="00EE7A87" w:rsidRDefault="00EE7A87" w:rsidP="00664DD7">
      <w:pPr>
        <w:spacing w:after="0" w:line="276" w:lineRule="auto"/>
        <w:rPr>
          <w:rFonts w:ascii="ITC Avant Garde" w:hAnsi="ITC Avant Garde"/>
          <w:lang w:val="es-ES_tradnl" w:eastAsia="es-ES"/>
        </w:rPr>
      </w:pPr>
      <w:r w:rsidRPr="00C9698C">
        <w:rPr>
          <w:rFonts w:ascii="ITC Avant Garde" w:hAnsi="ITC Avant Garde"/>
          <w:lang w:val="es-ES_tradnl"/>
        </w:rPr>
        <w:t xml:space="preserve">AT&amp;T considera que dentro del Numeral </w:t>
      </w:r>
      <w:r w:rsidR="00C9698C" w:rsidRPr="00C9698C">
        <w:rPr>
          <w:rFonts w:ascii="ITC Avant Garde" w:hAnsi="ITC Avant Garde"/>
          <w:i/>
          <w:lang w:val="es-ES_tradnl"/>
        </w:rPr>
        <w:t>“</w:t>
      </w:r>
      <w:r w:rsidRPr="00C9698C">
        <w:rPr>
          <w:rFonts w:ascii="ITC Avant Garde" w:hAnsi="ITC Avant Garde"/>
          <w:i/>
          <w:lang w:val="es-ES_tradnl"/>
        </w:rPr>
        <w:t>2.</w:t>
      </w:r>
      <w:r w:rsidR="00664DD7" w:rsidRPr="00C9698C">
        <w:rPr>
          <w:rFonts w:ascii="ITC Avant Garde" w:hAnsi="ITC Avant Garde"/>
          <w:i/>
          <w:lang w:val="es-ES_tradnl"/>
        </w:rPr>
        <w:t>11.3</w:t>
      </w:r>
      <w:r w:rsidRPr="00C9698C">
        <w:rPr>
          <w:rFonts w:ascii="ITC Avant Garde" w:hAnsi="ITC Avant Garde"/>
          <w:i/>
          <w:lang w:val="es-ES_tradnl"/>
        </w:rPr>
        <w:t xml:space="preserve">.Colocación de Equipo Aprobado” </w:t>
      </w:r>
      <w:r w:rsidRPr="00C9698C">
        <w:rPr>
          <w:rFonts w:ascii="ITC Avant Garde" w:hAnsi="ITC Avant Garde"/>
          <w:lang w:val="es-ES_tradnl" w:eastAsia="es-ES"/>
        </w:rPr>
        <w:t>señala que el plazo de 30 días que se otorga para instalar el Equipo Aprobado no es un plazo viable en virtud de los siguientes factores: (a) las partes ya tienen celebrado un Acuerdo de Sitio para su instalación y el contratante ya realizó un pago por ese espacio, por lo que</w:t>
      </w:r>
      <w:r w:rsidRPr="00EE7A87">
        <w:rPr>
          <w:rFonts w:ascii="ITC Avant Garde" w:hAnsi="ITC Avant Garde"/>
          <w:lang w:val="es-ES_tradnl" w:eastAsia="es-ES"/>
        </w:rPr>
        <w:t xml:space="preserve"> limitar a un periodo </w:t>
      </w:r>
      <w:r w:rsidR="00CB4A6A" w:rsidRPr="00EE7A87">
        <w:rPr>
          <w:rFonts w:ascii="ITC Avant Garde" w:hAnsi="ITC Avant Garde"/>
          <w:lang w:val="es-ES_tradnl" w:eastAsia="es-ES"/>
        </w:rPr>
        <w:t>l</w:t>
      </w:r>
      <w:r w:rsidR="00CB4A6A">
        <w:rPr>
          <w:rFonts w:ascii="ITC Avant Garde" w:hAnsi="ITC Avant Garde"/>
          <w:lang w:val="es-ES_tradnl" w:eastAsia="es-ES"/>
        </w:rPr>
        <w:t>a</w:t>
      </w:r>
      <w:r w:rsidRPr="00EE7A87">
        <w:rPr>
          <w:rFonts w:ascii="ITC Avant Garde" w:hAnsi="ITC Avant Garde"/>
          <w:lang w:val="es-ES_tradnl" w:eastAsia="es-ES"/>
        </w:rPr>
        <w:t xml:space="preserve"> instalación de algo ya</w:t>
      </w:r>
      <w:r w:rsidR="00E21A07">
        <w:rPr>
          <w:rFonts w:ascii="ITC Avant Garde" w:hAnsi="ITC Avant Garde"/>
          <w:lang w:val="es-ES_tradnl" w:eastAsia="es-ES"/>
        </w:rPr>
        <w:t xml:space="preserve"> </w:t>
      </w:r>
      <w:r w:rsidRPr="00EE7A87">
        <w:rPr>
          <w:rFonts w:ascii="ITC Avant Garde" w:hAnsi="ITC Avant Garde"/>
          <w:lang w:val="es-ES_tradnl" w:eastAsia="es-ES"/>
        </w:rPr>
        <w:t>pagado atenta contra los derechos del concesionario; y (b) el</w:t>
      </w:r>
      <w:r w:rsidR="00664DD7">
        <w:rPr>
          <w:rFonts w:ascii="ITC Avant Garde" w:hAnsi="ITC Avant Garde"/>
          <w:lang w:val="es-ES_tradnl" w:eastAsia="es-ES"/>
        </w:rPr>
        <w:t xml:space="preserve"> </w:t>
      </w:r>
      <w:r w:rsidR="00664DD7" w:rsidRPr="00664DD7">
        <w:rPr>
          <w:rFonts w:ascii="ITC Avant Garde" w:hAnsi="ITC Avant Garde"/>
          <w:lang w:val="es-ES_tradnl" w:eastAsia="es-ES"/>
        </w:rPr>
        <w:t>plazo puede resultar insuficiente debido a la coordinación que debe hacerse con proveedores y terceros para la instalación.</w:t>
      </w:r>
      <w:r w:rsidR="00664DD7">
        <w:rPr>
          <w:rFonts w:ascii="ITC Avant Garde" w:hAnsi="ITC Avant Garde"/>
          <w:lang w:val="es-ES_tradnl" w:eastAsia="es-ES"/>
        </w:rPr>
        <w:t xml:space="preserve"> </w:t>
      </w:r>
      <w:r w:rsidR="00664DD7" w:rsidRPr="00664DD7">
        <w:rPr>
          <w:rFonts w:ascii="ITC Avant Garde" w:hAnsi="ITC Avant Garde"/>
          <w:lang w:val="es-ES_tradnl" w:eastAsia="es-ES"/>
        </w:rPr>
        <w:t>AT&amp;T sugiere establecer un plazo de 90 días.</w:t>
      </w:r>
    </w:p>
    <w:p w14:paraId="6F88EF8A" w14:textId="77777777" w:rsidR="00EE7A87" w:rsidRPr="009C0E84" w:rsidRDefault="00EE7A87" w:rsidP="00EE7A87">
      <w:pPr>
        <w:spacing w:after="0" w:line="276" w:lineRule="auto"/>
        <w:rPr>
          <w:rFonts w:ascii="ITC Avant Garde" w:hAnsi="ITC Avant Garde"/>
          <w:lang w:val="es-ES_tradnl" w:eastAsia="es-ES"/>
        </w:rPr>
      </w:pPr>
    </w:p>
    <w:p w14:paraId="6EC51894" w14:textId="47661649" w:rsidR="00EE7A87" w:rsidRPr="00BF7935" w:rsidRDefault="00EE7A87" w:rsidP="00EE7A87">
      <w:pPr>
        <w:spacing w:after="120"/>
        <w:rPr>
          <w:rFonts w:ascii="ITC Avant Garde" w:hAnsi="ITC Avant Garde"/>
          <w:u w:val="single"/>
          <w:lang w:val="es-ES_tradnl"/>
        </w:rPr>
      </w:pPr>
      <w:r w:rsidRPr="00BF7935">
        <w:rPr>
          <w:rFonts w:ascii="ITC Avant Garde" w:hAnsi="ITC Avant Garde"/>
          <w:u w:val="single"/>
          <w:lang w:val="es-ES_tradnl"/>
        </w:rPr>
        <w:t xml:space="preserve">Respuesta </w:t>
      </w:r>
      <w:r>
        <w:rPr>
          <w:rFonts w:ascii="ITC Avant Garde" w:hAnsi="ITC Avant Garde"/>
          <w:u w:val="single"/>
          <w:lang w:val="es-ES_tradnl"/>
        </w:rPr>
        <w:t>de la UPR</w:t>
      </w:r>
    </w:p>
    <w:p w14:paraId="0531AA66" w14:textId="3106CAD7" w:rsidR="00495B85" w:rsidRDefault="00EE7A87" w:rsidP="00EE7A87">
      <w:pPr>
        <w:spacing w:after="0" w:line="276" w:lineRule="auto"/>
        <w:rPr>
          <w:rFonts w:ascii="ITC Avant Garde" w:hAnsi="ITC Avant Garde"/>
          <w:lang w:val="es-ES_tradnl"/>
        </w:rPr>
      </w:pPr>
      <w:r w:rsidRPr="00BF7935">
        <w:rPr>
          <w:rFonts w:ascii="ITC Avant Garde" w:hAnsi="ITC Avant Garde"/>
          <w:lang w:val="es-ES_tradnl"/>
        </w:rPr>
        <w:t xml:space="preserve">Respecto a </w:t>
      </w:r>
      <w:r>
        <w:rPr>
          <w:rFonts w:ascii="ITC Avant Garde" w:hAnsi="ITC Avant Garde"/>
          <w:lang w:val="es-ES_tradnl"/>
        </w:rPr>
        <w:t>dicho comentario</w:t>
      </w:r>
      <w:r w:rsidRPr="00BF7935">
        <w:rPr>
          <w:rFonts w:ascii="ITC Avant Garde" w:hAnsi="ITC Avant Garde"/>
          <w:lang w:val="es-ES_tradnl"/>
        </w:rPr>
        <w:t>,</w:t>
      </w:r>
      <w:r w:rsidR="00DC6CAB">
        <w:rPr>
          <w:rFonts w:ascii="ITC Avant Garde" w:hAnsi="ITC Avant Garde"/>
          <w:lang w:val="es-ES_tradnl"/>
        </w:rPr>
        <w:t xml:space="preserve"> </w:t>
      </w:r>
      <w:r w:rsidR="00C9698C">
        <w:rPr>
          <w:rFonts w:ascii="ITC Avant Garde" w:hAnsi="ITC Avant Garde"/>
          <w:lang w:val="es-ES_tradnl"/>
        </w:rPr>
        <w:t xml:space="preserve">la UPR considera que </w:t>
      </w:r>
      <w:r w:rsidR="00E21A07">
        <w:rPr>
          <w:rFonts w:ascii="ITC Avant Garde" w:hAnsi="ITC Avant Garde"/>
          <w:lang w:val="es-ES_tradnl"/>
        </w:rPr>
        <w:t>e</w:t>
      </w:r>
      <w:r w:rsidR="00C9698C">
        <w:rPr>
          <w:rFonts w:ascii="ITC Avant Garde" w:hAnsi="ITC Avant Garde"/>
          <w:lang w:val="es-ES_tradnl"/>
        </w:rPr>
        <w:t xml:space="preserve">l plazo establecido por 30 días hábiles </w:t>
      </w:r>
      <w:r w:rsidR="00495B85">
        <w:rPr>
          <w:rFonts w:ascii="ITC Avant Garde" w:hAnsi="ITC Avant Garde"/>
          <w:lang w:val="es-ES_tradnl"/>
        </w:rPr>
        <w:t xml:space="preserve">se encuentra considerado en virtud del Programa de Colocación acordado a través del Acuerdo de Sitio respectivo, en consistencia con la Normativa Técnica aplicable, por lo cual se considera que el plazo de 30 días hábiles resulta pertinente para la colocación de los equipos por parte del CS. </w:t>
      </w:r>
    </w:p>
    <w:p w14:paraId="7153DC01" w14:textId="581CDF87" w:rsidR="00495B85" w:rsidRDefault="00495B85" w:rsidP="00EE7A87">
      <w:pPr>
        <w:spacing w:after="0" w:line="276" w:lineRule="auto"/>
        <w:rPr>
          <w:rFonts w:ascii="ITC Avant Garde" w:hAnsi="ITC Avant Garde"/>
          <w:lang w:val="es-ES_tradnl"/>
        </w:rPr>
      </w:pPr>
    </w:p>
    <w:p w14:paraId="66B821D8" w14:textId="58AAB132" w:rsidR="00495B85" w:rsidRDefault="00495B85" w:rsidP="00EE7A87">
      <w:pPr>
        <w:spacing w:after="0" w:line="276" w:lineRule="auto"/>
        <w:rPr>
          <w:rFonts w:ascii="ITC Avant Garde" w:hAnsi="ITC Avant Garde"/>
          <w:lang w:val="es-ES_tradnl"/>
        </w:rPr>
      </w:pPr>
      <w:r>
        <w:rPr>
          <w:rFonts w:ascii="ITC Avant Garde" w:hAnsi="ITC Avant Garde"/>
          <w:lang w:val="es-ES_tradnl"/>
        </w:rPr>
        <w:t xml:space="preserve">Lo anterior, sin menoscabo de que cualquier inconsistencia en la prestación del servicio de carácter técnico pueda ser acreditada ante el Instituto, a efecto de que puedan resolverse las condiciones conducentes para </w:t>
      </w:r>
      <w:r w:rsidR="00C11420">
        <w:rPr>
          <w:rFonts w:ascii="ITC Avant Garde" w:hAnsi="ITC Avant Garde"/>
          <w:lang w:val="es-ES_tradnl"/>
        </w:rPr>
        <w:t>modificar</w:t>
      </w:r>
      <w:r>
        <w:rPr>
          <w:rFonts w:ascii="ITC Avant Garde" w:hAnsi="ITC Avant Garde"/>
          <w:lang w:val="es-ES_tradnl"/>
        </w:rPr>
        <w:t xml:space="preserve"> dicho plazo.</w:t>
      </w:r>
    </w:p>
    <w:p w14:paraId="7A8A8C56" w14:textId="77777777" w:rsidR="00231C6F" w:rsidRDefault="00231C6F" w:rsidP="00EE7A87">
      <w:pPr>
        <w:spacing w:after="0" w:line="276" w:lineRule="auto"/>
        <w:rPr>
          <w:rFonts w:ascii="ITC Avant Garde" w:hAnsi="ITC Avant Garde"/>
          <w:lang w:val="es-ES_tradnl"/>
        </w:rPr>
      </w:pPr>
    </w:p>
    <w:p w14:paraId="7CBFD9BB" w14:textId="46ADC11C" w:rsidR="00664DD7" w:rsidRPr="00EF575D" w:rsidRDefault="00664DD7" w:rsidP="00664DD7">
      <w:pPr>
        <w:pStyle w:val="Prrafodelista"/>
        <w:numPr>
          <w:ilvl w:val="0"/>
          <w:numId w:val="23"/>
        </w:numPr>
        <w:rPr>
          <w:rFonts w:ascii="ITC Avant Garde" w:hAnsi="ITC Avant Garde"/>
          <w:b/>
          <w:lang w:val="es-ES_tradnl"/>
        </w:rPr>
      </w:pPr>
      <w:r w:rsidRPr="00EF575D">
        <w:rPr>
          <w:rFonts w:ascii="ITC Avant Garde" w:hAnsi="ITC Avant Garde"/>
          <w:b/>
          <w:lang w:val="es-ES_tradnl"/>
        </w:rPr>
        <w:t xml:space="preserve">Anexo “IV” Modelo de Convenio. Anexo “A” Precios y Tarifas. </w:t>
      </w:r>
    </w:p>
    <w:p w14:paraId="6710E6AC" w14:textId="59E5AC89" w:rsidR="00664DD7" w:rsidRPr="00EE7A87" w:rsidRDefault="00664DD7" w:rsidP="00664DD7">
      <w:pPr>
        <w:rPr>
          <w:rFonts w:ascii="ITC Avant Garde" w:hAnsi="ITC Avant Garde"/>
          <w:lang w:val="es-ES_tradnl"/>
        </w:rPr>
      </w:pPr>
      <w:r w:rsidRPr="00EF575D">
        <w:rPr>
          <w:rFonts w:ascii="ITC Avant Garde" w:hAnsi="ITC Avant Garde"/>
          <w:lang w:val="es-ES_tradnl"/>
        </w:rPr>
        <w:t xml:space="preserve">AT&amp;T señala que dentro del </w:t>
      </w:r>
      <w:r w:rsidR="006D3374" w:rsidRPr="006D3374">
        <w:rPr>
          <w:rFonts w:ascii="ITC Avant Garde" w:hAnsi="ITC Avant Garde"/>
          <w:i/>
          <w:lang w:val="es-ES_tradnl"/>
        </w:rPr>
        <w:t>“Anexo “A” Precios y Tarifas”</w:t>
      </w:r>
      <w:r w:rsidRPr="00EF575D">
        <w:rPr>
          <w:rFonts w:ascii="ITC Avant Garde" w:hAnsi="ITC Avant Garde"/>
          <w:lang w:val="es-ES_tradnl"/>
        </w:rPr>
        <w:t>,</w:t>
      </w:r>
      <w:r w:rsidRPr="00EF575D">
        <w:rPr>
          <w:rFonts w:ascii="ITC Avant Garde" w:hAnsi="ITC Avant Garde"/>
          <w:i/>
          <w:lang w:val="es-ES_tradnl"/>
        </w:rPr>
        <w:t xml:space="preserve"> </w:t>
      </w:r>
      <w:proofErr w:type="spellStart"/>
      <w:r w:rsidRPr="00EF575D">
        <w:rPr>
          <w:rFonts w:ascii="ITC Avant Garde" w:hAnsi="ITC Avant Garde"/>
          <w:lang w:val="es-ES_tradnl"/>
        </w:rPr>
        <w:t>Telesites</w:t>
      </w:r>
      <w:proofErr w:type="spellEnd"/>
      <w:r w:rsidRPr="00EF575D">
        <w:rPr>
          <w:rFonts w:ascii="ITC Avant Garde" w:hAnsi="ITC Avant Garde"/>
          <w:lang w:val="es-ES_tradnl"/>
        </w:rPr>
        <w:t xml:space="preserve"> debe establecer los precios y tarifas para cada uno</w:t>
      </w:r>
      <w:r w:rsidRPr="00664DD7">
        <w:rPr>
          <w:rFonts w:ascii="ITC Avant Garde" w:hAnsi="ITC Avant Garde"/>
          <w:lang w:val="es-ES_tradnl"/>
        </w:rPr>
        <w:t xml:space="preserve"> de los servicios que generan un gasto respecto del análisis y</w:t>
      </w:r>
      <w:r>
        <w:rPr>
          <w:rFonts w:ascii="ITC Avant Garde" w:hAnsi="ITC Avant Garde"/>
          <w:lang w:val="es-ES_tradnl"/>
        </w:rPr>
        <w:t xml:space="preserve"> </w:t>
      </w:r>
      <w:r w:rsidRPr="00664DD7">
        <w:rPr>
          <w:rFonts w:ascii="ITC Avant Garde" w:hAnsi="ITC Avant Garde"/>
          <w:lang w:val="es-ES_tradnl"/>
        </w:rPr>
        <w:t xml:space="preserve">dictamen de la colocación que se solicita. </w:t>
      </w:r>
      <w:r>
        <w:rPr>
          <w:rFonts w:ascii="ITC Avant Garde" w:hAnsi="ITC Avant Garde"/>
          <w:lang w:val="es-ES_tradnl"/>
        </w:rPr>
        <w:t xml:space="preserve">Menciona que estos </w:t>
      </w:r>
      <w:r w:rsidRPr="00664DD7">
        <w:rPr>
          <w:rFonts w:ascii="ITC Avant Garde" w:hAnsi="ITC Avant Garde"/>
          <w:lang w:val="es-ES_tradnl"/>
        </w:rPr>
        <w:t>costos no están mapeados en</w:t>
      </w:r>
      <w:r>
        <w:rPr>
          <w:rFonts w:ascii="ITC Avant Garde" w:hAnsi="ITC Avant Garde"/>
          <w:lang w:val="es-ES_tradnl"/>
        </w:rPr>
        <w:t xml:space="preserve"> l</w:t>
      </w:r>
      <w:r w:rsidRPr="00664DD7">
        <w:rPr>
          <w:rFonts w:ascii="ITC Avant Garde" w:hAnsi="ITC Avant Garde"/>
          <w:lang w:val="es-ES_tradnl"/>
        </w:rPr>
        <w:t>a oferta y su cobro se solicita en la</w:t>
      </w:r>
      <w:r>
        <w:rPr>
          <w:rFonts w:ascii="ITC Avant Garde" w:hAnsi="ITC Avant Garde"/>
          <w:lang w:val="es-ES_tradnl"/>
        </w:rPr>
        <w:t xml:space="preserve"> i</w:t>
      </w:r>
      <w:r w:rsidRPr="00664DD7">
        <w:rPr>
          <w:rFonts w:ascii="ITC Avant Garde" w:hAnsi="ITC Avant Garde"/>
          <w:lang w:val="es-ES_tradnl"/>
        </w:rPr>
        <w:t>mplementación de los proyectos.</w:t>
      </w:r>
    </w:p>
    <w:p w14:paraId="0E6E4B8C" w14:textId="77777777" w:rsidR="00664DD7" w:rsidRPr="00BF7935" w:rsidRDefault="00664DD7" w:rsidP="00664DD7">
      <w:pPr>
        <w:spacing w:after="120"/>
        <w:rPr>
          <w:rFonts w:ascii="ITC Avant Garde" w:hAnsi="ITC Avant Garde"/>
          <w:u w:val="single"/>
          <w:lang w:val="es-ES_tradnl"/>
        </w:rPr>
      </w:pPr>
      <w:r w:rsidRPr="00BF7935">
        <w:rPr>
          <w:rFonts w:ascii="ITC Avant Garde" w:hAnsi="ITC Avant Garde"/>
          <w:u w:val="single"/>
          <w:lang w:val="es-ES_tradnl"/>
        </w:rPr>
        <w:t xml:space="preserve">Respuesta </w:t>
      </w:r>
      <w:r>
        <w:rPr>
          <w:rFonts w:ascii="ITC Avant Garde" w:hAnsi="ITC Avant Garde"/>
          <w:u w:val="single"/>
          <w:lang w:val="es-ES_tradnl"/>
        </w:rPr>
        <w:t>de la UPR</w:t>
      </w:r>
    </w:p>
    <w:p w14:paraId="790DBC83" w14:textId="0532B9CA" w:rsidR="00D21020" w:rsidRDefault="00664DD7" w:rsidP="00D21020">
      <w:pPr>
        <w:pStyle w:val="IFTnormal"/>
      </w:pPr>
      <w:r w:rsidRPr="00BF7935">
        <w:t xml:space="preserve">Respecto a </w:t>
      </w:r>
      <w:r>
        <w:t>dichos comentarios</w:t>
      </w:r>
      <w:r w:rsidRPr="00BF7935">
        <w:t xml:space="preserve">, </w:t>
      </w:r>
      <w:r>
        <w:t>la UPR</w:t>
      </w:r>
      <w:r w:rsidRPr="00BF7935">
        <w:t xml:space="preserve"> </w:t>
      </w:r>
      <w:r w:rsidRPr="00EC1987">
        <w:t>consider</w:t>
      </w:r>
      <w:r>
        <w:t xml:space="preserve">a que </w:t>
      </w:r>
      <w:r w:rsidR="00D21020">
        <w:t xml:space="preserve">los costos a los que se hace referencia AT&amp;T están intrínsecamente ligados a las características técnicas y particulares de cada solicitud de servicio. Dado que estas solicitudes pueden variar ampliamente en sus especificaciones y requisitos, es razonable que los costos asociados a cada una sean evaluados y definidos de manera individual, </w:t>
      </w:r>
      <w:r w:rsidR="00D21020">
        <w:lastRenderedPageBreak/>
        <w:t>considerando elementos como la complejidad técnica, los recursos necesarios y el alcance del análisis requerido.</w:t>
      </w:r>
    </w:p>
    <w:p w14:paraId="3EC8B5CA" w14:textId="6D6B0EEB" w:rsidR="00D21020" w:rsidRDefault="00D21020" w:rsidP="00D21020">
      <w:pPr>
        <w:pStyle w:val="IFTnormal"/>
      </w:pPr>
      <w:r>
        <w:t xml:space="preserve">Es crucial destacar que la Oferta de Referencia establece un marco general para la prestación de servicios, pero no puede detallar todas las posibles eventualidades o solicitudes específicas que puedan surgir. </w:t>
      </w:r>
    </w:p>
    <w:p w14:paraId="30BC8467" w14:textId="5E768BA9" w:rsidR="00664DD7" w:rsidRPr="0044302A" w:rsidRDefault="00D21020" w:rsidP="00664DD7">
      <w:pPr>
        <w:pStyle w:val="IFTnormal"/>
      </w:pPr>
      <w:r>
        <w:t xml:space="preserve">Los acuerdos entre las partes involucradas son fundamentales en este proceso. </w:t>
      </w:r>
      <w:r w:rsidR="00E21A07">
        <w:t>Sin embargo, las propias Medidas Móviles prevén que e</w:t>
      </w:r>
      <w:r>
        <w:t xml:space="preserve">n </w:t>
      </w:r>
      <w:r w:rsidRPr="0044302A">
        <w:t xml:space="preserve">situaciones donde existan discrepancias en cuanto a los costos o tarifas propuestas, las partes </w:t>
      </w:r>
      <w:r w:rsidR="00C11420">
        <w:t>podr</w:t>
      </w:r>
      <w:r w:rsidR="00E21A07">
        <w:t>án</w:t>
      </w:r>
      <w:r w:rsidR="00C11420" w:rsidRPr="0044302A">
        <w:t xml:space="preserve"> </w:t>
      </w:r>
      <w:r w:rsidRPr="0044302A">
        <w:t>recurrir al Instituto para resolver los desacuerdos. Estos mecanismos proporcionan un marco legal para abordar situaciones en las que no se alcance un consenso entre las partes involucradas.</w:t>
      </w:r>
    </w:p>
    <w:p w14:paraId="3F882BE3" w14:textId="7440FB67" w:rsidR="00664DD7" w:rsidRPr="0044302A" w:rsidRDefault="00664DD7" w:rsidP="00664DD7">
      <w:pPr>
        <w:pStyle w:val="Prrafodelista"/>
        <w:numPr>
          <w:ilvl w:val="0"/>
          <w:numId w:val="23"/>
        </w:numPr>
        <w:rPr>
          <w:rFonts w:ascii="ITC Avant Garde" w:hAnsi="ITC Avant Garde"/>
          <w:b/>
          <w:lang w:val="es-ES_tradnl"/>
        </w:rPr>
      </w:pPr>
      <w:r w:rsidRPr="0044302A">
        <w:rPr>
          <w:rFonts w:ascii="ITC Avant Garde" w:hAnsi="ITC Avant Garde"/>
          <w:b/>
          <w:lang w:val="es-ES_tradnl"/>
        </w:rPr>
        <w:t xml:space="preserve">Anexo “IV” Modelo de Convenio. Anexo “A” Precios y Tarifas. </w:t>
      </w:r>
    </w:p>
    <w:p w14:paraId="55D1293F" w14:textId="2C57669F" w:rsidR="00664DD7" w:rsidRPr="0044302A" w:rsidRDefault="00664DD7" w:rsidP="00664DD7">
      <w:pPr>
        <w:spacing w:after="120"/>
        <w:rPr>
          <w:rFonts w:ascii="ITC Avant Garde" w:hAnsi="ITC Avant Garde"/>
          <w:lang w:val="es-ES_tradnl"/>
        </w:rPr>
      </w:pPr>
      <w:r w:rsidRPr="0044302A">
        <w:rPr>
          <w:rFonts w:ascii="ITC Avant Garde" w:hAnsi="ITC Avant Garde"/>
          <w:lang w:val="es-ES_tradnl"/>
        </w:rPr>
        <w:t xml:space="preserve">AT&amp;T señala que dentro del </w:t>
      </w:r>
      <w:r w:rsidR="006D3374" w:rsidRPr="0044302A">
        <w:rPr>
          <w:rFonts w:ascii="ITC Avant Garde" w:hAnsi="ITC Avant Garde"/>
          <w:i/>
          <w:lang w:val="es-ES_tradnl"/>
        </w:rPr>
        <w:t>“</w:t>
      </w:r>
      <w:r w:rsidRPr="0044302A">
        <w:rPr>
          <w:rFonts w:ascii="ITC Avant Garde" w:hAnsi="ITC Avant Garde"/>
          <w:i/>
          <w:lang w:val="es-ES_tradnl"/>
        </w:rPr>
        <w:t>Anexo “A” Precios y Tarifas</w:t>
      </w:r>
      <w:r w:rsidR="006D3374" w:rsidRPr="0044302A">
        <w:rPr>
          <w:rFonts w:ascii="ITC Avant Garde" w:hAnsi="ITC Avant Garde"/>
          <w:i/>
          <w:lang w:val="es-ES_tradnl"/>
        </w:rPr>
        <w:t>”</w:t>
      </w:r>
      <w:r w:rsidRPr="0044302A">
        <w:rPr>
          <w:rFonts w:ascii="ITC Avant Garde" w:hAnsi="ITC Avant Garde"/>
          <w:lang w:val="es-ES_tradnl"/>
        </w:rPr>
        <w:t xml:space="preserve">, </w:t>
      </w:r>
      <w:proofErr w:type="spellStart"/>
      <w:r w:rsidRPr="0044302A">
        <w:rPr>
          <w:rFonts w:ascii="ITC Avant Garde" w:hAnsi="ITC Avant Garde"/>
          <w:lang w:val="es-ES_tradnl"/>
        </w:rPr>
        <w:t>Telesites</w:t>
      </w:r>
      <w:proofErr w:type="spellEnd"/>
      <w:r w:rsidRPr="0044302A">
        <w:rPr>
          <w:rFonts w:ascii="ITC Avant Garde" w:hAnsi="ITC Avant Garde"/>
          <w:lang w:val="es-ES_tradnl"/>
        </w:rPr>
        <w:t xml:space="preserve"> no deberá cobrar rentas por aquellos sitios en los que, por causas imputables a éste, los concesionarios no puedan instalar sus equipos.</w:t>
      </w:r>
    </w:p>
    <w:p w14:paraId="3DCFE3A6" w14:textId="53143EEB" w:rsidR="00664DD7" w:rsidRPr="0044302A" w:rsidRDefault="00664DD7" w:rsidP="00664DD7">
      <w:pPr>
        <w:spacing w:after="120"/>
        <w:rPr>
          <w:rFonts w:ascii="ITC Avant Garde" w:hAnsi="ITC Avant Garde"/>
          <w:u w:val="single"/>
          <w:lang w:val="es-ES_tradnl"/>
        </w:rPr>
      </w:pPr>
      <w:r w:rsidRPr="0044302A">
        <w:rPr>
          <w:rFonts w:ascii="ITC Avant Garde" w:hAnsi="ITC Avant Garde"/>
          <w:u w:val="single"/>
          <w:lang w:val="es-ES_tradnl"/>
        </w:rPr>
        <w:t>Respuesta de la UPR</w:t>
      </w:r>
    </w:p>
    <w:p w14:paraId="7F6710F3" w14:textId="58DEDA3C" w:rsidR="00664DD7" w:rsidRPr="00141AE5" w:rsidRDefault="00664DD7" w:rsidP="00DF48ED">
      <w:pPr>
        <w:pStyle w:val="IFTnormal"/>
      </w:pPr>
      <w:r w:rsidRPr="0044302A">
        <w:t>Respecto a dicho</w:t>
      </w:r>
      <w:r w:rsidRPr="00141AE5">
        <w:t xml:space="preserve"> comentario, la UPR </w:t>
      </w:r>
      <w:r w:rsidR="007832E1">
        <w:t xml:space="preserve">considera que </w:t>
      </w:r>
      <w:r w:rsidR="005916DF">
        <w:t>dentro del apartado</w:t>
      </w:r>
      <w:r w:rsidR="005916DF" w:rsidRPr="00DF48ED">
        <w:rPr>
          <w:i/>
        </w:rPr>
        <w:t xml:space="preserve"> “2.11 SERVICIO DE ACCESO Y USO COMPARTIDO DE INFRAESTRUCTURA PASIVA”</w:t>
      </w:r>
      <w:r w:rsidR="005916DF">
        <w:t xml:space="preserve"> del </w:t>
      </w:r>
      <w:r w:rsidR="005916DF" w:rsidRPr="00DF48ED">
        <w:rPr>
          <w:i/>
        </w:rPr>
        <w:t>“Anexo “I”: Servicios”</w:t>
      </w:r>
      <w:r w:rsidR="005916DF" w:rsidRPr="005916DF">
        <w:t xml:space="preserve"> </w:t>
      </w:r>
      <w:r w:rsidR="007832E1">
        <w:t xml:space="preserve">la Oferta de Referencia </w:t>
      </w:r>
      <w:r w:rsidR="005916DF">
        <w:t>se establece detalladamente el proceso para la instalación del equipo, además de incluir parámetros e indicadores de calidad</w:t>
      </w:r>
      <w:r w:rsidR="00C11420">
        <w:t>. P</w:t>
      </w:r>
      <w:r w:rsidR="00DF48ED">
        <w:t xml:space="preserve">or lo que en caso </w:t>
      </w:r>
      <w:r w:rsidR="00C11420">
        <w:t xml:space="preserve">de que dichos parámetros e indicadores no sean cumplidos </w:t>
      </w:r>
      <w:r w:rsidR="00DF48ED">
        <w:t xml:space="preserve">serán aplicables </w:t>
      </w:r>
      <w:r w:rsidR="00DF48ED" w:rsidRPr="00DC6CAB">
        <w:t xml:space="preserve">las compensaciones por el cumplimiento tardío en las obligaciones a cargo de </w:t>
      </w:r>
      <w:proofErr w:type="spellStart"/>
      <w:r w:rsidR="00DF48ED" w:rsidRPr="00DC6CAB">
        <w:t>Telesites</w:t>
      </w:r>
      <w:proofErr w:type="spellEnd"/>
      <w:r w:rsidR="00DF48ED" w:rsidRPr="00DC6CAB">
        <w:t xml:space="preserve"> </w:t>
      </w:r>
      <w:r w:rsidR="00DF48ED">
        <w:t xml:space="preserve">y la Fibra </w:t>
      </w:r>
      <w:r w:rsidR="00DF48ED" w:rsidRPr="00DC6CAB">
        <w:t xml:space="preserve">respecto de los plazos comprometidos para la realización </w:t>
      </w:r>
      <w:r w:rsidR="00DF48ED">
        <w:t>del servicio de accesos y uso compartido de infraestructura pasiva.</w:t>
      </w:r>
    </w:p>
    <w:p w14:paraId="2F7DFC02" w14:textId="77777777" w:rsidR="00664DD7" w:rsidRPr="00141AE5" w:rsidRDefault="00664DD7" w:rsidP="00664DD7">
      <w:pPr>
        <w:pStyle w:val="Prrafodelista"/>
        <w:numPr>
          <w:ilvl w:val="0"/>
          <w:numId w:val="23"/>
        </w:numPr>
        <w:rPr>
          <w:rFonts w:ascii="ITC Avant Garde" w:hAnsi="ITC Avant Garde"/>
          <w:b/>
          <w:lang w:val="es-ES_tradnl"/>
        </w:rPr>
      </w:pPr>
      <w:r w:rsidRPr="00141AE5">
        <w:rPr>
          <w:rFonts w:ascii="ITC Avant Garde" w:hAnsi="ITC Avant Garde"/>
          <w:b/>
          <w:lang w:val="es-ES_tradnl"/>
        </w:rPr>
        <w:t xml:space="preserve">Anexo “IV” Modelo de Convenio. Anexo “A” Precios y Tarifas. </w:t>
      </w:r>
    </w:p>
    <w:p w14:paraId="0F39B424" w14:textId="3D458D96" w:rsidR="00664DD7" w:rsidRPr="00EE7A87" w:rsidRDefault="00664DD7" w:rsidP="00664DD7">
      <w:pPr>
        <w:rPr>
          <w:rFonts w:ascii="ITC Avant Garde" w:hAnsi="ITC Avant Garde"/>
          <w:lang w:val="es-ES_tradnl"/>
        </w:rPr>
      </w:pPr>
      <w:r w:rsidRPr="00141AE5">
        <w:rPr>
          <w:rFonts w:ascii="ITC Avant Garde" w:hAnsi="ITC Avant Garde"/>
          <w:lang w:val="es-ES_tradnl"/>
        </w:rPr>
        <w:t xml:space="preserve">AT&amp;T señala que dentro del </w:t>
      </w:r>
      <w:r w:rsidR="006D3374" w:rsidRPr="006D3374">
        <w:rPr>
          <w:rFonts w:ascii="ITC Avant Garde" w:hAnsi="ITC Avant Garde"/>
          <w:i/>
          <w:lang w:val="es-ES_tradnl"/>
        </w:rPr>
        <w:t>“Anexo “A” Precios y Tarifas”</w:t>
      </w:r>
      <w:r w:rsidRPr="00141AE5">
        <w:rPr>
          <w:rFonts w:ascii="ITC Avant Garde" w:hAnsi="ITC Avant Garde"/>
          <w:lang w:val="es-ES_tradnl"/>
        </w:rPr>
        <w:t xml:space="preserve">, </w:t>
      </w:r>
      <w:proofErr w:type="spellStart"/>
      <w:r w:rsidRPr="00141AE5">
        <w:rPr>
          <w:rFonts w:ascii="ITC Avant Garde" w:hAnsi="ITC Avant Garde"/>
          <w:lang w:val="es-ES_tradnl"/>
        </w:rPr>
        <w:t>Telesites</w:t>
      </w:r>
      <w:proofErr w:type="spellEnd"/>
      <w:r w:rsidRPr="00141AE5">
        <w:rPr>
          <w:rFonts w:ascii="ITC Avant Garde" w:hAnsi="ITC Avant Garde"/>
          <w:lang w:val="es-ES_tradnl"/>
        </w:rPr>
        <w:t xml:space="preserve"> debe informar a los concesionarios, cuando se incorpore un nuevo concesionario al sitio, la fecha de celebración del Acuerdo de Sitio con dicho concesionario. Lo anterior, para que los otros concesionarios</w:t>
      </w:r>
      <w:r w:rsidRPr="00664DD7">
        <w:rPr>
          <w:rFonts w:ascii="ITC Avant Garde" w:hAnsi="ITC Avant Garde"/>
          <w:lang w:val="es-ES_tradnl"/>
        </w:rPr>
        <w:t xml:space="preserve"> sepan con certeza a</w:t>
      </w:r>
      <w:r>
        <w:rPr>
          <w:rFonts w:ascii="ITC Avant Garde" w:hAnsi="ITC Avant Garde"/>
          <w:lang w:val="es-ES_tradnl"/>
        </w:rPr>
        <w:t xml:space="preserve"> </w:t>
      </w:r>
      <w:r w:rsidRPr="00664DD7">
        <w:rPr>
          <w:rFonts w:ascii="ITC Avant Garde" w:hAnsi="ITC Avant Garde"/>
          <w:lang w:val="es-ES_tradnl"/>
        </w:rPr>
        <w:t>partir de qué fecha se debe dividir proporcionalmente la renta</w:t>
      </w:r>
      <w:r>
        <w:rPr>
          <w:rFonts w:ascii="ITC Avant Garde" w:hAnsi="ITC Avant Garde"/>
          <w:lang w:val="es-ES_tradnl"/>
        </w:rPr>
        <w:t xml:space="preserve"> </w:t>
      </w:r>
      <w:r w:rsidRPr="00664DD7">
        <w:rPr>
          <w:rFonts w:ascii="ITC Avant Garde" w:hAnsi="ITC Avant Garde"/>
          <w:lang w:val="es-ES_tradnl"/>
        </w:rPr>
        <w:t>del sitio.</w:t>
      </w:r>
    </w:p>
    <w:p w14:paraId="33C093A2" w14:textId="77777777" w:rsidR="00664DD7" w:rsidRPr="00BF7935" w:rsidRDefault="00664DD7" w:rsidP="00664DD7">
      <w:pPr>
        <w:spacing w:after="120"/>
        <w:rPr>
          <w:rFonts w:ascii="ITC Avant Garde" w:hAnsi="ITC Avant Garde"/>
          <w:u w:val="single"/>
          <w:lang w:val="es-ES_tradnl"/>
        </w:rPr>
      </w:pPr>
      <w:r w:rsidRPr="00BF7935">
        <w:rPr>
          <w:rFonts w:ascii="ITC Avant Garde" w:hAnsi="ITC Avant Garde"/>
          <w:u w:val="single"/>
          <w:lang w:val="es-ES_tradnl"/>
        </w:rPr>
        <w:t xml:space="preserve">Respuesta </w:t>
      </w:r>
      <w:r>
        <w:rPr>
          <w:rFonts w:ascii="ITC Avant Garde" w:hAnsi="ITC Avant Garde"/>
          <w:u w:val="single"/>
          <w:lang w:val="es-ES_tradnl"/>
        </w:rPr>
        <w:t>de la UPR</w:t>
      </w:r>
    </w:p>
    <w:p w14:paraId="4A76D246" w14:textId="25E08D42" w:rsidR="007F61DE" w:rsidRDefault="00664DD7" w:rsidP="007F61DE">
      <w:pPr>
        <w:pStyle w:val="IFTnormal"/>
      </w:pPr>
      <w:r w:rsidRPr="00BF7935">
        <w:t xml:space="preserve">Respecto a </w:t>
      </w:r>
      <w:r w:rsidR="007F61DE">
        <w:t xml:space="preserve">este comentario, la UPR </w:t>
      </w:r>
      <w:r w:rsidR="00C11420">
        <w:t>destaca</w:t>
      </w:r>
      <w:r w:rsidR="007F61DE">
        <w:t xml:space="preserve"> el contenido del </w:t>
      </w:r>
      <w:r w:rsidR="007F61DE" w:rsidRPr="00DA70B3">
        <w:t>Numeral 2.2.1.</w:t>
      </w:r>
      <w:r w:rsidR="007F61DE" w:rsidRPr="00DA70B3">
        <w:rPr>
          <w:i/>
        </w:rPr>
        <w:t>“</w:t>
      </w:r>
      <w:r w:rsidR="007F61DE">
        <w:rPr>
          <w:i/>
        </w:rPr>
        <w:t>Consulta de información de sitios</w:t>
      </w:r>
      <w:r w:rsidR="007F61DE" w:rsidRPr="00436A86">
        <w:rPr>
          <w:i/>
        </w:rPr>
        <w:t>”</w:t>
      </w:r>
      <w:r w:rsidR="007F61DE">
        <w:rPr>
          <w:i/>
        </w:rPr>
        <w:t xml:space="preserve">, </w:t>
      </w:r>
      <w:r w:rsidR="007F61DE" w:rsidRPr="00CD2726">
        <w:t xml:space="preserve">dentro </w:t>
      </w:r>
      <w:r w:rsidR="007F61DE">
        <w:rPr>
          <w:i/>
        </w:rPr>
        <w:t>del “</w:t>
      </w:r>
      <w:proofErr w:type="spellStart"/>
      <w:r w:rsidR="007F61DE">
        <w:rPr>
          <w:i/>
        </w:rPr>
        <w:t>Anexo”I</w:t>
      </w:r>
      <w:proofErr w:type="spellEnd"/>
      <w:r w:rsidR="007F61DE">
        <w:rPr>
          <w:i/>
        </w:rPr>
        <w:t xml:space="preserve">” Servicios” </w:t>
      </w:r>
      <w:r w:rsidR="007F61DE" w:rsidRPr="00CD2726">
        <w:t xml:space="preserve">que </w:t>
      </w:r>
      <w:r w:rsidR="007F61DE">
        <w:t>señala lo siguiente:</w:t>
      </w:r>
    </w:p>
    <w:p w14:paraId="4B6DA95D" w14:textId="77777777" w:rsidR="007F61DE" w:rsidRPr="00CD2726" w:rsidRDefault="007F61DE" w:rsidP="007F61DE">
      <w:pPr>
        <w:pStyle w:val="CitaIFT"/>
        <w:rPr>
          <w:b/>
        </w:rPr>
      </w:pPr>
      <w:r>
        <w:t>“</w:t>
      </w:r>
      <w:r w:rsidRPr="00CD2726">
        <w:rPr>
          <w:b/>
        </w:rPr>
        <w:t>2.2. ACCESO A INFORMACIÓN RELATIVA A LOS SITIOS Y DE PROYECTOS DE NUEVA OBRA CIVIL.</w:t>
      </w:r>
    </w:p>
    <w:p w14:paraId="4907233C" w14:textId="77777777" w:rsidR="007F61DE" w:rsidRPr="00CD2726" w:rsidRDefault="007F61DE" w:rsidP="007F61DE">
      <w:pPr>
        <w:pStyle w:val="CitaIFT"/>
        <w:rPr>
          <w:rStyle w:val="nfasis"/>
          <w:rFonts w:ascii="ITC Avant Garde" w:eastAsia="Calibri" w:hAnsi="ITC Avant Garde" w:cs="Arial"/>
          <w:b/>
          <w:bCs/>
          <w:color w:val="000000"/>
          <w:sz w:val="18"/>
          <w:szCs w:val="18"/>
          <w:u w:val="none"/>
          <w:lang w:val="es-ES_tradnl"/>
        </w:rPr>
      </w:pPr>
      <w:r w:rsidRPr="00CD2726">
        <w:rPr>
          <w:rStyle w:val="nfasis"/>
          <w:rFonts w:ascii="ITC Avant Garde" w:eastAsia="Calibri" w:hAnsi="ITC Avant Garde" w:cs="Arial"/>
          <w:b/>
          <w:bCs/>
          <w:color w:val="000000"/>
          <w:sz w:val="18"/>
          <w:szCs w:val="18"/>
          <w:u w:val="none"/>
          <w:lang w:val="es-ES_tradnl"/>
        </w:rPr>
        <w:lastRenderedPageBreak/>
        <w:t>2.2.1. Consulta de información de Sitios</w:t>
      </w:r>
    </w:p>
    <w:p w14:paraId="31DF9575" w14:textId="77777777" w:rsidR="007F61DE" w:rsidRPr="00CD2726" w:rsidRDefault="007F61DE" w:rsidP="007F61DE">
      <w:pPr>
        <w:pStyle w:val="CitaIFT"/>
      </w:pPr>
      <w:proofErr w:type="spellStart"/>
      <w:r w:rsidRPr="00CD2726">
        <w:t>Telesites</w:t>
      </w:r>
      <w:proofErr w:type="spellEnd"/>
      <w:r w:rsidRPr="00CD2726">
        <w:t xml:space="preserve"> y la Fibra pondrá a disposición del Concesionario, a través del Sistema Electrónico de Gestión (SEG), la siguiente información relativa a los Sitios: </w:t>
      </w:r>
    </w:p>
    <w:p w14:paraId="6975691E" w14:textId="77777777" w:rsidR="007F61DE" w:rsidRPr="00CD2726" w:rsidRDefault="007F61DE" w:rsidP="007F61DE">
      <w:pPr>
        <w:pStyle w:val="CitaIFT"/>
        <w:numPr>
          <w:ilvl w:val="0"/>
          <w:numId w:val="41"/>
        </w:numPr>
      </w:pPr>
      <w:r w:rsidRPr="00CD2726">
        <w:t>Identificación del Sitio.</w:t>
      </w:r>
    </w:p>
    <w:p w14:paraId="584E85E7" w14:textId="77777777" w:rsidR="007F61DE" w:rsidRPr="00CD2726" w:rsidRDefault="007F61DE" w:rsidP="007F61DE">
      <w:pPr>
        <w:pStyle w:val="CitaIFT"/>
        <w:numPr>
          <w:ilvl w:val="0"/>
          <w:numId w:val="41"/>
        </w:numPr>
      </w:pPr>
      <w:r w:rsidRPr="00CD2726">
        <w:t>Localización exacta en coordenadas geográficas basadas en la definición WGS84, empleando 4 cifras decimales.</w:t>
      </w:r>
    </w:p>
    <w:p w14:paraId="5773DF3C" w14:textId="77777777" w:rsidR="007F61DE" w:rsidRPr="00CD2726" w:rsidRDefault="007F61DE" w:rsidP="007F61DE">
      <w:pPr>
        <w:pStyle w:val="CitaIFT"/>
        <w:numPr>
          <w:ilvl w:val="0"/>
          <w:numId w:val="41"/>
        </w:numPr>
      </w:pPr>
      <w:r w:rsidRPr="00CD2726">
        <w:t>Características técnicas específicas de la Infraestructura Pasiva en el Sitio y para determinar la Capacidad Excedente, tales como tipo de Torre, altura de Torre y altura de centro de radiación conocidos.</w:t>
      </w:r>
    </w:p>
    <w:p w14:paraId="1347E55B" w14:textId="77777777" w:rsidR="007F61DE" w:rsidRPr="00CD2726" w:rsidRDefault="007F61DE" w:rsidP="007F61DE">
      <w:pPr>
        <w:pStyle w:val="CitaIFT"/>
        <w:numPr>
          <w:ilvl w:val="0"/>
          <w:numId w:val="41"/>
        </w:numPr>
      </w:pPr>
      <w:r w:rsidRPr="00CD2726">
        <w:t>Clasificación del Sitio según las denominaciones expuestas en el Anexo A: Tarifas y Precios</w:t>
      </w:r>
    </w:p>
    <w:p w14:paraId="48367E65" w14:textId="77777777" w:rsidR="007F61DE" w:rsidRPr="00CD2726" w:rsidRDefault="007F61DE" w:rsidP="007F61DE">
      <w:pPr>
        <w:pStyle w:val="CitaIFT"/>
        <w:numPr>
          <w:ilvl w:val="0"/>
          <w:numId w:val="41"/>
        </w:numPr>
      </w:pPr>
      <w:r w:rsidRPr="00CD2726">
        <w:t xml:space="preserve">En su caso, las normas de seguridad para el acceso adicionales a las indicadas al efecto en la Normativa Técnica, </w:t>
      </w:r>
    </w:p>
    <w:p w14:paraId="6D9BB437" w14:textId="77777777" w:rsidR="007F61DE" w:rsidRPr="00CD2726" w:rsidRDefault="007F61DE" w:rsidP="007F61DE">
      <w:pPr>
        <w:pStyle w:val="CitaIFT"/>
        <w:numPr>
          <w:ilvl w:val="0"/>
          <w:numId w:val="41"/>
        </w:numPr>
      </w:pPr>
      <w:r w:rsidRPr="00CD2726">
        <w:t>Memoria de cálculo</w:t>
      </w:r>
    </w:p>
    <w:p w14:paraId="6F4BEBD4" w14:textId="77777777" w:rsidR="00141AE5" w:rsidRDefault="007F61DE" w:rsidP="00141AE5">
      <w:pPr>
        <w:pStyle w:val="CitaIFT"/>
        <w:numPr>
          <w:ilvl w:val="0"/>
          <w:numId w:val="41"/>
        </w:numPr>
      </w:pPr>
      <w:r w:rsidRPr="00CD2726">
        <w:t>Planos del Sitio (planta arquitectónica y Alzado)</w:t>
      </w:r>
    </w:p>
    <w:p w14:paraId="68ADB09C" w14:textId="6036322E" w:rsidR="007F61DE" w:rsidRPr="00141AE5" w:rsidRDefault="007F61DE" w:rsidP="00141AE5">
      <w:pPr>
        <w:pStyle w:val="CitaIFT"/>
        <w:numPr>
          <w:ilvl w:val="0"/>
          <w:numId w:val="41"/>
        </w:numPr>
      </w:pPr>
      <w:r w:rsidRPr="00141AE5">
        <w:rPr>
          <w:b/>
          <w:u w:val="single"/>
        </w:rPr>
        <w:t>Número de concesionarios presentes en el Sitio</w:t>
      </w:r>
    </w:p>
    <w:p w14:paraId="6A5D5165" w14:textId="77777777" w:rsidR="007F61DE" w:rsidRPr="00CD2726" w:rsidRDefault="007F61DE" w:rsidP="007F61DE">
      <w:pPr>
        <w:pStyle w:val="CitaIFT"/>
        <w:numPr>
          <w:ilvl w:val="0"/>
          <w:numId w:val="41"/>
        </w:numPr>
      </w:pPr>
      <w:r w:rsidRPr="00CD2726">
        <w:t xml:space="preserve">Cualquier otra que </w:t>
      </w:r>
      <w:proofErr w:type="spellStart"/>
      <w:r w:rsidRPr="00CD2726">
        <w:t>Telesites</w:t>
      </w:r>
      <w:proofErr w:type="spellEnd"/>
      <w:r w:rsidRPr="00CD2726">
        <w:t xml:space="preserve"> y la Fibra considere relevante.</w:t>
      </w:r>
    </w:p>
    <w:p w14:paraId="19089225" w14:textId="77777777" w:rsidR="007F61DE" w:rsidRPr="00141AE5" w:rsidRDefault="007F61DE" w:rsidP="007F61DE">
      <w:pPr>
        <w:pStyle w:val="CitaIFT"/>
        <w:rPr>
          <w:b/>
          <w:u w:val="single"/>
        </w:rPr>
      </w:pPr>
      <w:r w:rsidRPr="00141AE5">
        <w:rPr>
          <w:b/>
          <w:u w:val="single"/>
        </w:rPr>
        <w:t>La información relativa al numeral (</w:t>
      </w:r>
      <w:proofErr w:type="spellStart"/>
      <w:r w:rsidRPr="00141AE5">
        <w:rPr>
          <w:b/>
          <w:u w:val="single"/>
        </w:rPr>
        <w:t>viii</w:t>
      </w:r>
      <w:proofErr w:type="spellEnd"/>
      <w:r w:rsidRPr="00141AE5">
        <w:rPr>
          <w:b/>
          <w:u w:val="single"/>
        </w:rPr>
        <w:t xml:space="preserve">) deberá de actualizarse en el SEG en un plazo máximo de 5 (cinco) días hábiles posteriores a la fecha de inicio de vigencia del Acuerdo de Sitio firmado entre </w:t>
      </w:r>
      <w:proofErr w:type="spellStart"/>
      <w:r w:rsidRPr="00141AE5">
        <w:rPr>
          <w:b/>
          <w:u w:val="single"/>
        </w:rPr>
        <w:t>Telesites</w:t>
      </w:r>
      <w:proofErr w:type="spellEnd"/>
      <w:r w:rsidRPr="00141AE5">
        <w:rPr>
          <w:b/>
          <w:u w:val="single"/>
        </w:rPr>
        <w:t xml:space="preserve"> y la Fibra con cualquier CS. </w:t>
      </w:r>
    </w:p>
    <w:p w14:paraId="3DADFBBA" w14:textId="3D83E902" w:rsidR="00141AE5" w:rsidRDefault="007F61DE" w:rsidP="00141AE5">
      <w:pPr>
        <w:pStyle w:val="CitaIFT"/>
      </w:pPr>
      <w:r w:rsidRPr="00CD2726">
        <w:t xml:space="preserve">En caso de que, al momento de consultar la información de algún Sitio, la misma no esté completa o no exista, el Concesionario podrá requerírsela a </w:t>
      </w:r>
      <w:proofErr w:type="spellStart"/>
      <w:r w:rsidRPr="00CD2726">
        <w:t>Telesites</w:t>
      </w:r>
      <w:proofErr w:type="spellEnd"/>
      <w:r w:rsidRPr="00CD2726">
        <w:t xml:space="preserve">, presentando la Solicitud de Información, debiendo </w:t>
      </w:r>
      <w:proofErr w:type="spellStart"/>
      <w:r w:rsidRPr="00CD2726">
        <w:t>Telesites</w:t>
      </w:r>
      <w:proofErr w:type="spellEnd"/>
      <w:r w:rsidRPr="00CD2726">
        <w:t xml:space="preserve"> proporcionársela en un plazo máximo de 8 (ocho) días hábiles contados a partir de dicha solicitud, a través de la dirección de correo electrónico que para tal efecto señale el Concesionario y a través del SEG.</w:t>
      </w:r>
      <w:r>
        <w:t>”</w:t>
      </w:r>
    </w:p>
    <w:p w14:paraId="29D96F39" w14:textId="4F858DB7" w:rsidR="00141AE5" w:rsidRDefault="00141AE5" w:rsidP="00141AE5">
      <w:pPr>
        <w:pStyle w:val="CitaIFT"/>
        <w:jc w:val="right"/>
      </w:pPr>
      <w:r>
        <w:t>(Énfasis añadido)</w:t>
      </w:r>
    </w:p>
    <w:p w14:paraId="749494B0" w14:textId="3CDA1EAB" w:rsidR="00664DD7" w:rsidRPr="00E83A9C" w:rsidRDefault="00141AE5" w:rsidP="00664DD7">
      <w:pPr>
        <w:pStyle w:val="IFTnormal"/>
      </w:pPr>
      <w:r>
        <w:t>De lo anterior, se observa que dentro de la información disponible en el SEG se encuentra la relativa a número de concesionarios presentes en el Sitio, además de que esta información deberá ser actualizada en el SEG en un plazo máximo de 5 días hábiles posteriores a la fecha de inicio de la vigencia de un Acuerdo, por lo que al momento de estar disponible dentro del SEG ya es aplicable la división por el espacio</w:t>
      </w:r>
      <w:r w:rsidRPr="00E83A9C">
        <w:t>.</w:t>
      </w:r>
    </w:p>
    <w:p w14:paraId="031918E8" w14:textId="2F3B26B5" w:rsidR="00664DD7" w:rsidRPr="00E83A9C" w:rsidRDefault="00664DD7" w:rsidP="00664DD7">
      <w:pPr>
        <w:pStyle w:val="Prrafodelista"/>
        <w:numPr>
          <w:ilvl w:val="0"/>
          <w:numId w:val="23"/>
        </w:numPr>
        <w:rPr>
          <w:rFonts w:ascii="ITC Avant Garde" w:hAnsi="ITC Avant Garde"/>
          <w:b/>
          <w:lang w:val="es-ES_tradnl"/>
        </w:rPr>
      </w:pPr>
      <w:r w:rsidRPr="00E83A9C">
        <w:rPr>
          <w:rFonts w:ascii="ITC Avant Garde" w:hAnsi="ITC Avant Garde"/>
          <w:b/>
          <w:lang w:val="es-ES_tradnl"/>
        </w:rPr>
        <w:t xml:space="preserve">Anexo “IV” Modelo de Convenio. Anexo “A” Precios y Tarifas. </w:t>
      </w:r>
    </w:p>
    <w:p w14:paraId="01A03C8E" w14:textId="7979F38C" w:rsidR="00664DD7" w:rsidRPr="00664DD7" w:rsidRDefault="00664DD7" w:rsidP="00664DD7">
      <w:pPr>
        <w:spacing w:after="120"/>
        <w:rPr>
          <w:rFonts w:ascii="ITC Avant Garde" w:hAnsi="ITC Avant Garde"/>
          <w:lang w:val="es-ES_tradnl"/>
        </w:rPr>
      </w:pPr>
      <w:r w:rsidRPr="00E83A9C">
        <w:rPr>
          <w:rFonts w:ascii="ITC Avant Garde" w:hAnsi="ITC Avant Garde"/>
          <w:lang w:val="es-ES_tradnl"/>
        </w:rPr>
        <w:t>AT&amp;T señala</w:t>
      </w:r>
      <w:r w:rsidRPr="00664DD7">
        <w:rPr>
          <w:rFonts w:ascii="ITC Avant Garde" w:hAnsi="ITC Avant Garde"/>
          <w:lang w:val="es-ES_tradnl"/>
        </w:rPr>
        <w:t xml:space="preserve"> que dentro del Anexo “A” Precios y Tarifas, </w:t>
      </w:r>
      <w:r>
        <w:rPr>
          <w:rFonts w:ascii="ITC Avant Garde" w:hAnsi="ITC Avant Garde"/>
          <w:lang w:val="es-ES_tradnl"/>
        </w:rPr>
        <w:t>s</w:t>
      </w:r>
      <w:r w:rsidRPr="00664DD7">
        <w:rPr>
          <w:rFonts w:ascii="ITC Avant Garde" w:hAnsi="ITC Avant Garde"/>
          <w:lang w:val="es-ES_tradnl"/>
        </w:rPr>
        <w:t>e debe establecer de forma clara cuál es el espacio mínimo que tienen los concesionarios en piso, ya que la oferta es omisa en establecerlo. La oferta sólo establece cómo debe hacerse el pago y los distintos supuestos sin hacer referencia a un área en particular.</w:t>
      </w:r>
    </w:p>
    <w:p w14:paraId="7B3FD60B" w14:textId="6A1ECEC9" w:rsidR="00664DD7" w:rsidRPr="00664DD7" w:rsidRDefault="00664DD7" w:rsidP="00664DD7">
      <w:pPr>
        <w:spacing w:after="120"/>
        <w:rPr>
          <w:rFonts w:ascii="ITC Avant Garde" w:hAnsi="ITC Avant Garde"/>
          <w:lang w:val="es-ES_tradnl"/>
        </w:rPr>
      </w:pPr>
      <w:r>
        <w:rPr>
          <w:rFonts w:ascii="ITC Avant Garde" w:hAnsi="ITC Avant Garde"/>
          <w:lang w:val="es-ES_tradnl"/>
        </w:rPr>
        <w:lastRenderedPageBreak/>
        <w:t>Menciona un ejemplo</w:t>
      </w:r>
      <w:r w:rsidRPr="00664DD7">
        <w:rPr>
          <w:rFonts w:ascii="ITC Avant Garde" w:hAnsi="ITC Avant Garde"/>
          <w:lang w:val="es-ES_tradnl"/>
        </w:rPr>
        <w:t>, en la oferta de referencia de 2018 se establecieron 5 metros, en ésta no se observa lenguaje similar.</w:t>
      </w:r>
    </w:p>
    <w:p w14:paraId="75C2BEAE" w14:textId="77777777" w:rsidR="00132579" w:rsidRDefault="00664DD7" w:rsidP="00664DD7">
      <w:pPr>
        <w:spacing w:after="120"/>
        <w:rPr>
          <w:rFonts w:ascii="ITC Avant Garde" w:hAnsi="ITC Avant Garde"/>
          <w:lang w:val="es-ES_tradnl"/>
        </w:rPr>
      </w:pPr>
      <w:r w:rsidRPr="00664DD7">
        <w:rPr>
          <w:rFonts w:ascii="ITC Avant Garde" w:hAnsi="ITC Avant Garde"/>
          <w:lang w:val="es-ES_tradnl"/>
        </w:rPr>
        <w:t>Debido al cambio tecnológico y las necesidades de los concesionarios, AT&amp;T sugiere que se establezcan 7 metros para el espacio mínimo en piso.</w:t>
      </w:r>
    </w:p>
    <w:p w14:paraId="032292DC" w14:textId="7393F9D4" w:rsidR="00664DD7" w:rsidRPr="00BF7935" w:rsidRDefault="00664DD7" w:rsidP="00664DD7">
      <w:pPr>
        <w:spacing w:after="120"/>
        <w:rPr>
          <w:rFonts w:ascii="ITC Avant Garde" w:hAnsi="ITC Avant Garde"/>
          <w:u w:val="single"/>
          <w:lang w:val="es-ES_tradnl"/>
        </w:rPr>
      </w:pPr>
      <w:r w:rsidRPr="00BF7935">
        <w:rPr>
          <w:rFonts w:ascii="ITC Avant Garde" w:hAnsi="ITC Avant Garde"/>
          <w:u w:val="single"/>
          <w:lang w:val="es-ES_tradnl"/>
        </w:rPr>
        <w:t xml:space="preserve">Respuesta </w:t>
      </w:r>
      <w:r>
        <w:rPr>
          <w:rFonts w:ascii="ITC Avant Garde" w:hAnsi="ITC Avant Garde"/>
          <w:u w:val="single"/>
          <w:lang w:val="es-ES_tradnl"/>
        </w:rPr>
        <w:t>de la UPR</w:t>
      </w:r>
    </w:p>
    <w:p w14:paraId="1C766C36" w14:textId="04D8AFD6" w:rsidR="00630C2C" w:rsidRPr="00630C2C" w:rsidRDefault="00630C2C" w:rsidP="00630C2C">
      <w:pPr>
        <w:spacing w:after="0" w:line="276" w:lineRule="auto"/>
        <w:rPr>
          <w:rFonts w:ascii="ITC Avant Garde" w:hAnsi="ITC Avant Garde"/>
          <w:lang w:val="es-ES_tradnl"/>
        </w:rPr>
      </w:pPr>
      <w:r>
        <w:rPr>
          <w:rFonts w:ascii="ITC Avant Garde" w:hAnsi="ITC Avant Garde"/>
          <w:lang w:val="es-ES_tradnl"/>
        </w:rPr>
        <w:t>Al respecto e</w:t>
      </w:r>
      <w:r w:rsidRPr="00630C2C">
        <w:rPr>
          <w:rFonts w:ascii="ITC Avant Garde" w:hAnsi="ITC Avant Garde"/>
          <w:lang w:val="es-ES_tradnl"/>
        </w:rPr>
        <w:t xml:space="preserve">s importante considerar que </w:t>
      </w:r>
      <w:r>
        <w:rPr>
          <w:rFonts w:ascii="ITC Avant Garde" w:hAnsi="ITC Avant Garde"/>
          <w:lang w:val="es-ES_tradnl"/>
        </w:rPr>
        <w:t xml:space="preserve">dentro del </w:t>
      </w:r>
      <w:r w:rsidRPr="00630C2C">
        <w:rPr>
          <w:rFonts w:ascii="ITC Avant Garde" w:hAnsi="ITC Avant Garde"/>
          <w:i/>
          <w:lang w:val="es-ES_tradnl"/>
        </w:rPr>
        <w:t xml:space="preserve">“Anexo “A” Precios y Tarifas” </w:t>
      </w:r>
      <w:r>
        <w:rPr>
          <w:rFonts w:ascii="ITC Avant Garde" w:hAnsi="ITC Avant Garde"/>
          <w:lang w:val="es-ES_tradnl"/>
        </w:rPr>
        <w:t>de la O</w:t>
      </w:r>
      <w:r w:rsidRPr="00630C2C">
        <w:rPr>
          <w:rFonts w:ascii="ITC Avant Garde" w:hAnsi="ITC Avant Garde"/>
          <w:lang w:val="es-ES_tradnl"/>
        </w:rPr>
        <w:t xml:space="preserve">ferta de </w:t>
      </w:r>
      <w:r>
        <w:rPr>
          <w:rFonts w:ascii="ITC Avant Garde" w:hAnsi="ITC Avant Garde"/>
          <w:lang w:val="es-ES_tradnl"/>
        </w:rPr>
        <w:t>R</w:t>
      </w:r>
      <w:r w:rsidRPr="00630C2C">
        <w:rPr>
          <w:rFonts w:ascii="ITC Avant Garde" w:hAnsi="ITC Avant Garde"/>
          <w:lang w:val="es-ES_tradnl"/>
        </w:rPr>
        <w:t xml:space="preserve">eferencia se enfoca en establecer tarifas por metro utilizado por el concesionario, en lugar de imponer un espacio mínimo predeterminado. </w:t>
      </w:r>
      <w:r w:rsidR="00C75335">
        <w:rPr>
          <w:rFonts w:ascii="ITC Avant Garde" w:hAnsi="ITC Avant Garde"/>
          <w:lang w:val="es-ES_tradnl"/>
        </w:rPr>
        <w:t>Se considera que e</w:t>
      </w:r>
      <w:r w:rsidRPr="00630C2C">
        <w:rPr>
          <w:rFonts w:ascii="ITC Avant Garde" w:hAnsi="ITC Avant Garde"/>
          <w:lang w:val="es-ES_tradnl"/>
        </w:rPr>
        <w:t>sta metodología brinda flexibilidad a los concesionarios, permitiéndoles pagar únicamente por el espacio efectivamente utilizado, ajustándose así a sus necesidades específicas.</w:t>
      </w:r>
    </w:p>
    <w:p w14:paraId="0622249E" w14:textId="77777777" w:rsidR="00630C2C" w:rsidRPr="00630C2C" w:rsidRDefault="00630C2C" w:rsidP="00630C2C">
      <w:pPr>
        <w:spacing w:after="0" w:line="276" w:lineRule="auto"/>
        <w:rPr>
          <w:rFonts w:ascii="ITC Avant Garde" w:hAnsi="ITC Avant Garde"/>
          <w:lang w:val="es-ES_tradnl"/>
        </w:rPr>
      </w:pPr>
    </w:p>
    <w:p w14:paraId="410FCFA4" w14:textId="07DE4544" w:rsidR="00630C2C" w:rsidRPr="00630C2C" w:rsidRDefault="00630C2C" w:rsidP="00630C2C">
      <w:pPr>
        <w:spacing w:after="0" w:line="276" w:lineRule="auto"/>
        <w:rPr>
          <w:rFonts w:ascii="ITC Avant Garde" w:hAnsi="ITC Avant Garde"/>
          <w:lang w:val="es-ES_tradnl"/>
        </w:rPr>
      </w:pPr>
      <w:r w:rsidRPr="00630C2C">
        <w:rPr>
          <w:rFonts w:ascii="ITC Avant Garde" w:hAnsi="ITC Avant Garde"/>
          <w:lang w:val="es-ES_tradnl"/>
        </w:rPr>
        <w:t xml:space="preserve">La ausencia de un espacio mínimo predeterminado no limita la capacidad de los concesionarios de adquirir la cantidad de metros necesarios para sus operaciones. </w:t>
      </w:r>
      <w:r w:rsidR="00C11420">
        <w:rPr>
          <w:rFonts w:ascii="ITC Avant Garde" w:hAnsi="ITC Avant Garde"/>
          <w:lang w:val="es-ES_tradnl"/>
        </w:rPr>
        <w:t>Por lo</w:t>
      </w:r>
      <w:r w:rsidRPr="00630C2C">
        <w:rPr>
          <w:rFonts w:ascii="ITC Avant Garde" w:hAnsi="ITC Avant Garde"/>
          <w:lang w:val="es-ES_tradnl"/>
        </w:rPr>
        <w:t xml:space="preserve"> que </w:t>
      </w:r>
      <w:r w:rsidR="00C11420">
        <w:rPr>
          <w:rFonts w:ascii="ITC Avant Garde" w:hAnsi="ITC Avant Garde"/>
          <w:lang w:val="es-ES_tradnl"/>
        </w:rPr>
        <w:t xml:space="preserve">dicho esquema </w:t>
      </w:r>
      <w:r w:rsidRPr="00630C2C">
        <w:rPr>
          <w:rFonts w:ascii="ITC Avant Garde" w:hAnsi="ITC Avant Garde"/>
          <w:lang w:val="es-ES_tradnl"/>
        </w:rPr>
        <w:t>proporciona una flexibilidad adaptativa que se ajusta a las demandas cambiantes de la tecnología y las necesidades comerciales.</w:t>
      </w:r>
    </w:p>
    <w:p w14:paraId="4E931CAC" w14:textId="0A842FCE" w:rsidR="00664DD7" w:rsidRPr="00332A20" w:rsidRDefault="00664DD7" w:rsidP="00EE7A87">
      <w:pPr>
        <w:spacing w:after="0" w:line="276" w:lineRule="auto"/>
      </w:pPr>
    </w:p>
    <w:p w14:paraId="5E679974" w14:textId="3CDE0AA4" w:rsidR="00664DD7" w:rsidRPr="00332A20" w:rsidRDefault="00664DD7" w:rsidP="00664DD7">
      <w:pPr>
        <w:pStyle w:val="Prrafodelista"/>
        <w:numPr>
          <w:ilvl w:val="0"/>
          <w:numId w:val="23"/>
        </w:numPr>
        <w:rPr>
          <w:rFonts w:ascii="ITC Avant Garde" w:hAnsi="ITC Avant Garde"/>
          <w:b/>
          <w:lang w:val="es-ES_tradnl"/>
        </w:rPr>
      </w:pPr>
      <w:r w:rsidRPr="00332A20">
        <w:rPr>
          <w:rFonts w:ascii="ITC Avant Garde" w:hAnsi="ITC Avant Garde"/>
          <w:b/>
          <w:lang w:val="es-ES_tradnl"/>
        </w:rPr>
        <w:t xml:space="preserve">Anexo “IV” Modelo de Convenio. Anexo “A” Precios y Tarifas. </w:t>
      </w:r>
    </w:p>
    <w:p w14:paraId="4776D853" w14:textId="77777777" w:rsidR="00664DD7" w:rsidRPr="00332A20" w:rsidRDefault="00664DD7" w:rsidP="00664DD7">
      <w:pPr>
        <w:spacing w:after="120"/>
        <w:rPr>
          <w:rFonts w:ascii="ITC Avant Garde" w:hAnsi="ITC Avant Garde"/>
          <w:lang w:val="es-ES_tradnl"/>
        </w:rPr>
      </w:pPr>
      <w:r w:rsidRPr="00332A20">
        <w:rPr>
          <w:rFonts w:ascii="ITC Avant Garde" w:hAnsi="ITC Avant Garde"/>
          <w:lang w:val="es-ES_tradnl"/>
        </w:rPr>
        <w:t xml:space="preserve">AT&amp;T señala que dentro del Anexo “A” Precios y Tarifas, Los concesionarios no tienen visibilidad sobre los sitios que </w:t>
      </w:r>
      <w:proofErr w:type="spellStart"/>
      <w:r w:rsidRPr="00332A20">
        <w:rPr>
          <w:rFonts w:ascii="ITC Avant Garde" w:hAnsi="ITC Avant Garde"/>
          <w:lang w:val="es-ES_tradnl"/>
        </w:rPr>
        <w:t>Telesites</w:t>
      </w:r>
      <w:proofErr w:type="spellEnd"/>
      <w:r w:rsidRPr="00332A20">
        <w:rPr>
          <w:rFonts w:ascii="ITC Avant Garde" w:hAnsi="ITC Avant Garde"/>
          <w:lang w:val="es-ES_tradnl"/>
        </w:rPr>
        <w:t xml:space="preserve"> incluye en cada clasificación (</w:t>
      </w:r>
      <w:proofErr w:type="spellStart"/>
      <w:r w:rsidRPr="00332A20">
        <w:rPr>
          <w:rFonts w:ascii="ITC Avant Garde" w:hAnsi="ITC Avant Garde"/>
          <w:lang w:val="es-ES_tradnl"/>
        </w:rPr>
        <w:t>e.g</w:t>
      </w:r>
      <w:proofErr w:type="spellEnd"/>
      <w:r w:rsidRPr="00332A20">
        <w:rPr>
          <w:rFonts w:ascii="ITC Avant Garde" w:hAnsi="ITC Avant Garde"/>
          <w:lang w:val="es-ES_tradnl"/>
        </w:rPr>
        <w:t>. Alto, Medio Alto, Medio, Medio Bajo y Bajo), lo que resulta en que no tengan certeza jurídica de la clasificación a la que pertenece el sitio que solicitan y el monto que deberán pagar.</w:t>
      </w:r>
    </w:p>
    <w:p w14:paraId="3555B22F" w14:textId="77777777" w:rsidR="00664DD7" w:rsidRPr="00332A20" w:rsidRDefault="00664DD7" w:rsidP="00664DD7">
      <w:pPr>
        <w:spacing w:after="120"/>
        <w:rPr>
          <w:rFonts w:ascii="ITC Avant Garde" w:hAnsi="ITC Avant Garde"/>
          <w:lang w:val="es-ES_tradnl"/>
        </w:rPr>
      </w:pPr>
      <w:r w:rsidRPr="00332A20">
        <w:rPr>
          <w:rFonts w:ascii="ITC Avant Garde" w:hAnsi="ITC Avant Garde"/>
          <w:lang w:val="es-ES_tradnl"/>
        </w:rPr>
        <w:t xml:space="preserve">Mencionan que el proceso hasta hoy consiste en que </w:t>
      </w:r>
      <w:proofErr w:type="spellStart"/>
      <w:r w:rsidRPr="00332A20">
        <w:rPr>
          <w:rFonts w:ascii="ITC Avant Garde" w:hAnsi="ITC Avant Garde"/>
          <w:lang w:val="es-ES_tradnl"/>
        </w:rPr>
        <w:t>Telesites</w:t>
      </w:r>
      <w:proofErr w:type="spellEnd"/>
      <w:r w:rsidRPr="00332A20">
        <w:rPr>
          <w:rFonts w:ascii="ITC Avant Garde" w:hAnsi="ITC Avant Garde"/>
          <w:lang w:val="es-ES_tradnl"/>
        </w:rPr>
        <w:t xml:space="preserve"> de manera discrecional informa a los concesionarios la clasificación y monto, sin que el concesionario pueda verificar en una base que lo anterior sea correcto. Se debe incluir la obligación a </w:t>
      </w:r>
      <w:proofErr w:type="spellStart"/>
      <w:r w:rsidRPr="00332A20">
        <w:rPr>
          <w:rFonts w:ascii="ITC Avant Garde" w:hAnsi="ITC Avant Garde"/>
          <w:lang w:val="es-ES_tradnl"/>
        </w:rPr>
        <w:t>Telesites</w:t>
      </w:r>
      <w:proofErr w:type="spellEnd"/>
      <w:r w:rsidRPr="00332A20">
        <w:rPr>
          <w:rFonts w:ascii="ITC Avant Garde" w:hAnsi="ITC Avant Garde"/>
          <w:lang w:val="es-ES_tradnl"/>
        </w:rPr>
        <w:t xml:space="preserve"> de transparentar la base de sitios conforme a su clasificación.</w:t>
      </w:r>
    </w:p>
    <w:p w14:paraId="54DB1C5F" w14:textId="66DC00D2" w:rsidR="00664DD7" w:rsidRPr="00332A20" w:rsidRDefault="00664DD7" w:rsidP="00664DD7">
      <w:pPr>
        <w:spacing w:after="120"/>
        <w:rPr>
          <w:rFonts w:ascii="ITC Avant Garde" w:hAnsi="ITC Avant Garde"/>
          <w:u w:val="single"/>
          <w:lang w:val="es-ES_tradnl"/>
        </w:rPr>
      </w:pPr>
      <w:r w:rsidRPr="00332A20">
        <w:rPr>
          <w:rFonts w:ascii="ITC Avant Garde" w:hAnsi="ITC Avant Garde"/>
          <w:u w:val="single"/>
          <w:lang w:val="es-ES_tradnl"/>
        </w:rPr>
        <w:t>Respuesta de la UPR</w:t>
      </w:r>
    </w:p>
    <w:p w14:paraId="74DC5AC6" w14:textId="7899A2A8" w:rsidR="00664DD7" w:rsidRDefault="00664DD7" w:rsidP="00664DD7">
      <w:pPr>
        <w:spacing w:after="0" w:line="276" w:lineRule="auto"/>
        <w:rPr>
          <w:rFonts w:ascii="ITC Avant Garde" w:hAnsi="ITC Avant Garde"/>
          <w:lang w:val="es-ES_tradnl"/>
        </w:rPr>
      </w:pPr>
      <w:r w:rsidRPr="00332A20">
        <w:rPr>
          <w:rFonts w:ascii="ITC Avant Garde" w:hAnsi="ITC Avant Garde"/>
          <w:lang w:val="es-ES_tradnl"/>
        </w:rPr>
        <w:t>Respecto a dicho comentario, la UPR</w:t>
      </w:r>
      <w:r w:rsidRPr="00BF7935">
        <w:rPr>
          <w:rFonts w:ascii="ITC Avant Garde" w:hAnsi="ITC Avant Garde"/>
          <w:lang w:val="es-ES_tradnl"/>
        </w:rPr>
        <w:t xml:space="preserve"> </w:t>
      </w:r>
      <w:r w:rsidR="009D21C1">
        <w:rPr>
          <w:rFonts w:ascii="ITC Avant Garde" w:hAnsi="ITC Avant Garde"/>
          <w:lang w:val="es-ES_tradnl"/>
        </w:rPr>
        <w:t xml:space="preserve">afirma que de acuerdo a lo establecido en el </w:t>
      </w:r>
      <w:r w:rsidR="004D5956" w:rsidRPr="004D5956">
        <w:rPr>
          <w:rFonts w:ascii="ITC Avant Garde" w:hAnsi="ITC Avant Garde"/>
          <w:lang w:val="es-ES_tradnl"/>
        </w:rPr>
        <w:t xml:space="preserve">Numeral </w:t>
      </w:r>
      <w:r w:rsidR="004D5956" w:rsidRPr="004D5956">
        <w:rPr>
          <w:rFonts w:ascii="ITC Avant Garde" w:hAnsi="ITC Avant Garde"/>
          <w:i/>
          <w:lang w:val="es-ES_tradnl"/>
        </w:rPr>
        <w:t xml:space="preserve">“2.2.1.Consulta de información de sitios”, </w:t>
      </w:r>
      <w:r w:rsidR="004D5956" w:rsidRPr="004D5956">
        <w:rPr>
          <w:rFonts w:ascii="ITC Avant Garde" w:hAnsi="ITC Avant Garde"/>
          <w:lang w:val="es-ES_tradnl"/>
        </w:rPr>
        <w:t xml:space="preserve">dentro del </w:t>
      </w:r>
      <w:r w:rsidR="004D5956" w:rsidRPr="004D5956">
        <w:rPr>
          <w:rFonts w:ascii="ITC Avant Garde" w:hAnsi="ITC Avant Garde"/>
          <w:i/>
          <w:lang w:val="es-ES_tradnl"/>
        </w:rPr>
        <w:t>“</w:t>
      </w:r>
      <w:proofErr w:type="spellStart"/>
      <w:r w:rsidR="004D5956" w:rsidRPr="004D5956">
        <w:rPr>
          <w:rFonts w:ascii="ITC Avant Garde" w:hAnsi="ITC Avant Garde"/>
          <w:i/>
          <w:lang w:val="es-ES_tradnl"/>
        </w:rPr>
        <w:t>Anexo”I</w:t>
      </w:r>
      <w:proofErr w:type="spellEnd"/>
      <w:r w:rsidR="004D5956" w:rsidRPr="004D5956">
        <w:rPr>
          <w:rFonts w:ascii="ITC Avant Garde" w:hAnsi="ITC Avant Garde"/>
          <w:i/>
          <w:lang w:val="es-ES_tradnl"/>
        </w:rPr>
        <w:t>” Servicios”</w:t>
      </w:r>
      <w:r w:rsidR="004D5956">
        <w:rPr>
          <w:rFonts w:ascii="ITC Avant Garde" w:hAnsi="ITC Avant Garde"/>
          <w:lang w:val="es-ES_tradnl"/>
        </w:rPr>
        <w:t xml:space="preserve"> se establece que dentro del SEG deberá de incluirse la información sobre la clasificación de sitio y que en caso de que </w:t>
      </w:r>
      <w:r w:rsidR="004D5956" w:rsidRPr="004D5956">
        <w:rPr>
          <w:rFonts w:ascii="ITC Avant Garde" w:hAnsi="ITC Avant Garde"/>
          <w:lang w:val="es-ES_tradnl"/>
        </w:rPr>
        <w:t xml:space="preserve">al momento de consultar la información de algún Sitio, la misma no esté completa o no exista, el </w:t>
      </w:r>
      <w:r w:rsidR="004D5956">
        <w:rPr>
          <w:rFonts w:ascii="ITC Avant Garde" w:hAnsi="ITC Avant Garde"/>
          <w:lang w:val="es-ES_tradnl"/>
        </w:rPr>
        <w:t>c</w:t>
      </w:r>
      <w:r w:rsidR="004D5956" w:rsidRPr="004D5956">
        <w:rPr>
          <w:rFonts w:ascii="ITC Avant Garde" w:hAnsi="ITC Avant Garde"/>
          <w:lang w:val="es-ES_tradnl"/>
        </w:rPr>
        <w:t xml:space="preserve">oncesionario podrá requerírsela a </w:t>
      </w:r>
      <w:proofErr w:type="spellStart"/>
      <w:r w:rsidR="004D5956" w:rsidRPr="004D5956">
        <w:rPr>
          <w:rFonts w:ascii="ITC Avant Garde" w:hAnsi="ITC Avant Garde"/>
          <w:lang w:val="es-ES_tradnl"/>
        </w:rPr>
        <w:t>Telesites</w:t>
      </w:r>
      <w:proofErr w:type="spellEnd"/>
      <w:r w:rsidR="004D5956" w:rsidRPr="004D5956">
        <w:rPr>
          <w:rFonts w:ascii="ITC Avant Garde" w:hAnsi="ITC Avant Garde"/>
          <w:lang w:val="es-ES_tradnl"/>
        </w:rPr>
        <w:t xml:space="preserve">, presentando </w:t>
      </w:r>
      <w:r w:rsidR="004D5956">
        <w:rPr>
          <w:rFonts w:ascii="ITC Avant Garde" w:hAnsi="ITC Avant Garde"/>
          <w:lang w:val="es-ES_tradnl"/>
        </w:rPr>
        <w:t>una solicitud</w:t>
      </w:r>
      <w:r w:rsidR="004D5956" w:rsidRPr="004D5956">
        <w:rPr>
          <w:rFonts w:ascii="ITC Avant Garde" w:hAnsi="ITC Avant Garde"/>
          <w:lang w:val="es-ES_tradnl"/>
        </w:rPr>
        <w:t xml:space="preserve">, debiendo </w:t>
      </w:r>
      <w:proofErr w:type="spellStart"/>
      <w:r w:rsidR="004D5956" w:rsidRPr="004D5956">
        <w:rPr>
          <w:rFonts w:ascii="ITC Avant Garde" w:hAnsi="ITC Avant Garde"/>
          <w:lang w:val="es-ES_tradnl"/>
        </w:rPr>
        <w:t>Telesites</w:t>
      </w:r>
      <w:proofErr w:type="spellEnd"/>
      <w:r w:rsidR="004D5956" w:rsidRPr="004D5956">
        <w:rPr>
          <w:rFonts w:ascii="ITC Avant Garde" w:hAnsi="ITC Avant Garde"/>
          <w:lang w:val="es-ES_tradnl"/>
        </w:rPr>
        <w:t xml:space="preserve"> proporcionársela en un plazo máximo de 8 días hábiles</w:t>
      </w:r>
      <w:r w:rsidR="004D5956">
        <w:rPr>
          <w:rFonts w:ascii="ITC Avant Garde" w:hAnsi="ITC Avant Garde"/>
          <w:lang w:val="es-ES_tradnl"/>
        </w:rPr>
        <w:t xml:space="preserve">. </w:t>
      </w:r>
    </w:p>
    <w:p w14:paraId="3901F301" w14:textId="1AD43D77" w:rsidR="00C11420" w:rsidRDefault="00C11420" w:rsidP="00664DD7">
      <w:pPr>
        <w:spacing w:after="0" w:line="276" w:lineRule="auto"/>
      </w:pPr>
    </w:p>
    <w:p w14:paraId="5B46B860" w14:textId="77777777" w:rsidR="00C11420" w:rsidRDefault="00C11420" w:rsidP="00664DD7">
      <w:pPr>
        <w:spacing w:after="0" w:line="276" w:lineRule="auto"/>
      </w:pPr>
    </w:p>
    <w:p w14:paraId="0C2ABB7E" w14:textId="77777777" w:rsidR="00664DD7" w:rsidRDefault="00664DD7" w:rsidP="00EE7A87">
      <w:pPr>
        <w:spacing w:after="0" w:line="276" w:lineRule="auto"/>
      </w:pPr>
    </w:p>
    <w:p w14:paraId="352E0287" w14:textId="4E0EC992" w:rsidR="00664DD7" w:rsidRPr="00664DD7" w:rsidRDefault="00664DD7" w:rsidP="00664DD7">
      <w:pPr>
        <w:pStyle w:val="Prrafodelista"/>
        <w:numPr>
          <w:ilvl w:val="0"/>
          <w:numId w:val="23"/>
        </w:numPr>
        <w:rPr>
          <w:rFonts w:ascii="ITC Avant Garde" w:hAnsi="ITC Avant Garde"/>
          <w:b/>
          <w:lang w:val="es-ES_tradnl"/>
        </w:rPr>
      </w:pPr>
      <w:r w:rsidRPr="00664DD7">
        <w:rPr>
          <w:rFonts w:ascii="ITC Avant Garde" w:hAnsi="ITC Avant Garde"/>
          <w:b/>
          <w:lang w:val="es-ES_tradnl"/>
        </w:rPr>
        <w:t xml:space="preserve">Anexo “IV” Modelo de Convenio. </w:t>
      </w:r>
    </w:p>
    <w:p w14:paraId="2B23D791" w14:textId="5E3DB725" w:rsidR="004E7A77" w:rsidRDefault="004E7A77" w:rsidP="00664DD7">
      <w:pPr>
        <w:spacing w:after="120"/>
        <w:rPr>
          <w:rFonts w:ascii="ITC Avant Garde" w:hAnsi="ITC Avant Garde"/>
          <w:lang w:val="es-ES_tradnl"/>
        </w:rPr>
      </w:pPr>
      <w:proofErr w:type="spellStart"/>
      <w:r w:rsidRPr="004E7A77">
        <w:rPr>
          <w:rFonts w:ascii="ITC Avant Garde" w:hAnsi="ITC Avant Garde"/>
          <w:lang w:val="es-ES_tradnl"/>
        </w:rPr>
        <w:lastRenderedPageBreak/>
        <w:t>Telesites</w:t>
      </w:r>
      <w:proofErr w:type="spellEnd"/>
      <w:r w:rsidRPr="004E7A77">
        <w:rPr>
          <w:rFonts w:ascii="ITC Avant Garde" w:hAnsi="ITC Avant Garde"/>
          <w:lang w:val="es-ES_tradnl"/>
        </w:rPr>
        <w:t xml:space="preserve"> y Fibra señalaron en su Propuesta de Oferta de Referencia que hicieron modificaciones, respecto a la Oferta de Referencia Vigente para incluir que el pago por los servicios se realizará por periodos completos de acuerdo a lo establecido dentro del </w:t>
      </w:r>
      <w:r w:rsidRPr="004E7A77">
        <w:rPr>
          <w:rFonts w:ascii="ITC Avant Garde" w:hAnsi="ITC Avant Garde"/>
          <w:i/>
          <w:lang w:val="es-ES_tradnl"/>
        </w:rPr>
        <w:t>“Anexo “IV”: Modelo de Convenio”</w:t>
      </w:r>
      <w:r w:rsidRPr="004E7A77">
        <w:rPr>
          <w:rFonts w:ascii="ITC Avant Garde" w:hAnsi="ITC Avant Garde"/>
          <w:lang w:val="es-ES_tradnl"/>
        </w:rPr>
        <w:t>, ya que indica que algunos CS consideran erróneamente que el pago es por los días utilizados</w:t>
      </w:r>
      <w:r>
        <w:rPr>
          <w:rFonts w:ascii="ITC Avant Garde" w:hAnsi="ITC Avant Garde"/>
          <w:lang w:val="es-ES_tradnl"/>
        </w:rPr>
        <w:t>.</w:t>
      </w:r>
    </w:p>
    <w:p w14:paraId="4123C225" w14:textId="06D8029A" w:rsidR="00664DD7" w:rsidRDefault="004E7A77" w:rsidP="00664DD7">
      <w:pPr>
        <w:spacing w:after="120"/>
        <w:rPr>
          <w:rFonts w:ascii="ITC Avant Garde" w:hAnsi="ITC Avant Garde"/>
          <w:lang w:val="es-ES_tradnl"/>
        </w:rPr>
      </w:pPr>
      <w:r>
        <w:rPr>
          <w:rFonts w:ascii="ITC Avant Garde" w:hAnsi="ITC Avant Garde"/>
          <w:lang w:val="es-ES_tradnl"/>
        </w:rPr>
        <w:t xml:space="preserve">Al respecto </w:t>
      </w:r>
      <w:r w:rsidR="00664DD7">
        <w:rPr>
          <w:rFonts w:ascii="ITC Avant Garde" w:hAnsi="ITC Avant Garde"/>
          <w:lang w:val="es-ES_tradnl"/>
        </w:rPr>
        <w:t xml:space="preserve">Televisa </w:t>
      </w:r>
      <w:r>
        <w:rPr>
          <w:rFonts w:ascii="ITC Avant Garde" w:hAnsi="ITC Avant Garde"/>
          <w:lang w:val="es-ES_tradnl"/>
        </w:rPr>
        <w:t xml:space="preserve">solicita no realizar la adición propuesta ya que sería una desmejora en las condiciones actuales de la ORCI Móvil vigente, por lo cual solicita que se establezca que los CS pagarán la parte proporcional al uso de la renta pactada. </w:t>
      </w:r>
    </w:p>
    <w:p w14:paraId="0119938C" w14:textId="77A468CA" w:rsidR="00664DD7" w:rsidRPr="00BF7935" w:rsidRDefault="00664DD7" w:rsidP="00664DD7">
      <w:pPr>
        <w:spacing w:after="120"/>
        <w:rPr>
          <w:rFonts w:ascii="ITC Avant Garde" w:hAnsi="ITC Avant Garde"/>
          <w:u w:val="single"/>
          <w:lang w:val="es-ES_tradnl"/>
        </w:rPr>
      </w:pPr>
      <w:r w:rsidRPr="00BF7935">
        <w:rPr>
          <w:rFonts w:ascii="ITC Avant Garde" w:hAnsi="ITC Avant Garde"/>
          <w:u w:val="single"/>
          <w:lang w:val="es-ES_tradnl"/>
        </w:rPr>
        <w:t xml:space="preserve">Respuesta </w:t>
      </w:r>
      <w:r>
        <w:rPr>
          <w:rFonts w:ascii="ITC Avant Garde" w:hAnsi="ITC Avant Garde"/>
          <w:u w:val="single"/>
          <w:lang w:val="es-ES_tradnl"/>
        </w:rPr>
        <w:t>de la UPR</w:t>
      </w:r>
    </w:p>
    <w:p w14:paraId="754EEF62" w14:textId="143BDB04" w:rsidR="00971E9E" w:rsidRPr="00971E9E" w:rsidRDefault="00664DD7" w:rsidP="00971E9E">
      <w:pPr>
        <w:pStyle w:val="IFTnormal"/>
      </w:pPr>
      <w:r w:rsidRPr="00971E9E">
        <w:t xml:space="preserve">Respecto a dicho comentario, la UPR </w:t>
      </w:r>
      <w:r w:rsidR="00971E9E" w:rsidRPr="00971E9E">
        <w:t xml:space="preserve">considera que tanto en el </w:t>
      </w:r>
      <w:r w:rsidR="00971E9E" w:rsidRPr="00971E9E">
        <w:rPr>
          <w:i/>
        </w:rPr>
        <w:t>“Anexo “IV”: Modelo de Convenio”</w:t>
      </w:r>
      <w:r w:rsidR="00971E9E" w:rsidRPr="00971E9E">
        <w:t>, como en el “</w:t>
      </w:r>
      <w:r w:rsidR="00971E9E" w:rsidRPr="00971E9E">
        <w:rPr>
          <w:i/>
        </w:rPr>
        <w:t>ANEXO “B”: FORMATO DE ACUERDO DE SITIO</w:t>
      </w:r>
      <w:r w:rsidR="00971E9E" w:rsidRPr="00971E9E">
        <w:t xml:space="preserve">” se establecen las condiciones de vigencia de la prestación de los servicios, así como el periodo de pago por el que deberán cubrirse las contraprestaciones por mensualidades corrientes. </w:t>
      </w:r>
    </w:p>
    <w:p w14:paraId="7042898B" w14:textId="77777777" w:rsidR="00971E9E" w:rsidRPr="00971E9E" w:rsidRDefault="00971E9E" w:rsidP="00971E9E">
      <w:pPr>
        <w:pStyle w:val="IFTnormal"/>
      </w:pPr>
      <w:r w:rsidRPr="00971E9E">
        <w:t>Para ello se destaca, además de lo citado en el contenido de la “</w:t>
      </w:r>
      <w:r w:rsidRPr="00971E9E">
        <w:rPr>
          <w:i/>
        </w:rPr>
        <w:t>CLÁUSULA CUARTA. CONDICIONES DE PAGO</w:t>
      </w:r>
      <w:r w:rsidRPr="00971E9E">
        <w:t xml:space="preserve">” del </w:t>
      </w:r>
      <w:r w:rsidRPr="00971E9E">
        <w:rPr>
          <w:i/>
        </w:rPr>
        <w:t>“Anexo “IV”: Modelo de Convenio”</w:t>
      </w:r>
      <w:r w:rsidRPr="00971E9E">
        <w:t>, el contenido del numeral 4.3 de la cláusula antes referida:</w:t>
      </w:r>
    </w:p>
    <w:p w14:paraId="43A39EF2" w14:textId="77777777" w:rsidR="00971E9E" w:rsidRPr="00971E9E" w:rsidRDefault="00971E9E" w:rsidP="00971E9E">
      <w:pPr>
        <w:pStyle w:val="CitaIFT"/>
      </w:pPr>
      <w:r w:rsidRPr="00971E9E">
        <w:t>“</w:t>
      </w:r>
      <w:r w:rsidRPr="00971E9E">
        <w:rPr>
          <w:b/>
        </w:rPr>
        <w:t>ANEXO “IV”: MODELO DE CONVENIO</w:t>
      </w:r>
    </w:p>
    <w:p w14:paraId="771570B8" w14:textId="77777777" w:rsidR="00971E9E" w:rsidRPr="00971E9E" w:rsidRDefault="00971E9E" w:rsidP="00971E9E">
      <w:pPr>
        <w:pStyle w:val="Citaift0"/>
      </w:pPr>
      <w:r w:rsidRPr="00971E9E">
        <w:t>[…]</w:t>
      </w:r>
    </w:p>
    <w:p w14:paraId="0C9235A3" w14:textId="77777777" w:rsidR="00971E9E" w:rsidRPr="00971E9E" w:rsidRDefault="00971E9E" w:rsidP="00971E9E">
      <w:pPr>
        <w:pStyle w:val="Citaift0"/>
        <w:rPr>
          <w:b/>
        </w:rPr>
      </w:pPr>
      <w:r w:rsidRPr="00971E9E">
        <w:rPr>
          <w:b/>
        </w:rPr>
        <w:t>CLÁUSULA CUARTA.  CONDICIONES DE PAGO.</w:t>
      </w:r>
    </w:p>
    <w:p w14:paraId="60206C2E" w14:textId="77777777" w:rsidR="00971E9E" w:rsidRPr="00971E9E" w:rsidRDefault="00971E9E" w:rsidP="00971E9E">
      <w:pPr>
        <w:pStyle w:val="Citaift0"/>
      </w:pPr>
      <w:r w:rsidRPr="00971E9E">
        <w:t>[…]</w:t>
      </w:r>
    </w:p>
    <w:p w14:paraId="56E302DE" w14:textId="77777777" w:rsidR="00971E9E" w:rsidRPr="00971E9E" w:rsidRDefault="00971E9E" w:rsidP="00971E9E">
      <w:pPr>
        <w:pStyle w:val="Citaift0"/>
        <w:rPr>
          <w:b/>
        </w:rPr>
      </w:pPr>
      <w:r w:rsidRPr="00971E9E">
        <w:rPr>
          <w:b/>
        </w:rPr>
        <w:t>4.3</w:t>
      </w:r>
      <w:r w:rsidRPr="00971E9E">
        <w:rPr>
          <w:b/>
        </w:rPr>
        <w:tab/>
        <w:t>Vigencia</w:t>
      </w:r>
    </w:p>
    <w:p w14:paraId="5DF1D68A" w14:textId="77777777" w:rsidR="00971E9E" w:rsidRPr="00971E9E" w:rsidRDefault="00971E9E" w:rsidP="00971E9E">
      <w:pPr>
        <w:pStyle w:val="Citaift0"/>
      </w:pPr>
      <w:r w:rsidRPr="00971E9E">
        <w:rPr>
          <w:b/>
          <w:u w:val="single"/>
        </w:rPr>
        <w:t>La vigencia de los precios y Tarifas será la acordada entre las Partes en el Anexo A – Precios y Tarifas, así como la señalada de manera específica en el Acuerdo de Sitio respectivo</w:t>
      </w:r>
      <w:r w:rsidRPr="00971E9E">
        <w:t>.</w:t>
      </w:r>
    </w:p>
    <w:p w14:paraId="21C04872" w14:textId="77777777" w:rsidR="00971E9E" w:rsidRPr="00971E9E" w:rsidRDefault="00971E9E" w:rsidP="00971E9E">
      <w:pPr>
        <w:pStyle w:val="Citaift0"/>
      </w:pPr>
      <w:r w:rsidRPr="00971E9E">
        <w:t xml:space="preserve">Previamente a la terminación de la vigencia de los precios y Tarifas, </w:t>
      </w:r>
      <w:proofErr w:type="spellStart"/>
      <w:r w:rsidRPr="00971E9E">
        <w:t>Telesites</w:t>
      </w:r>
      <w:proofErr w:type="spellEnd"/>
      <w:r w:rsidRPr="00971E9E">
        <w:t xml:space="preserve"> y la Fibra podrán negociar con el Concesionario de buena fe y convenir nuevos precios y Tarifas por la prestación de los Servicios, conforme al siguiente procedimiento.” </w:t>
      </w:r>
    </w:p>
    <w:p w14:paraId="68A80EDC" w14:textId="77777777" w:rsidR="00971E9E" w:rsidRPr="00971E9E" w:rsidRDefault="00971E9E" w:rsidP="00971E9E">
      <w:pPr>
        <w:pStyle w:val="Citaift0"/>
        <w:jc w:val="right"/>
      </w:pPr>
      <w:r w:rsidRPr="00971E9E">
        <w:t>(Énfasis añadido)</w:t>
      </w:r>
    </w:p>
    <w:p w14:paraId="124EF8C6" w14:textId="77777777" w:rsidR="00971E9E" w:rsidRPr="00971E9E" w:rsidRDefault="00971E9E" w:rsidP="00971E9E">
      <w:pPr>
        <w:pStyle w:val="IFTnormal"/>
      </w:pPr>
      <w:r w:rsidRPr="00971E9E">
        <w:t>En este caso se señala que la vigencia de precios y tarifas se define de manera específica en el Acuerdo de Sitio respectivo. En este caso, las contraprestaciones se ajustan a dicho horizonte de tiempo a efecto del cómputo del tiempo de vigencia de la contraprestación.</w:t>
      </w:r>
    </w:p>
    <w:p w14:paraId="7AAA7827" w14:textId="77777777" w:rsidR="00971E9E" w:rsidRPr="00971E9E" w:rsidRDefault="00971E9E" w:rsidP="00971E9E">
      <w:pPr>
        <w:pStyle w:val="IFTnormal"/>
      </w:pPr>
      <w:r w:rsidRPr="00971E9E">
        <w:t xml:space="preserve">Ahora bien, en los numerales </w:t>
      </w:r>
      <w:r w:rsidRPr="00971E9E">
        <w:rPr>
          <w:i/>
          <w:iCs/>
        </w:rPr>
        <w:t>“2. APROBACIÓN DE COLOCACIÓN”</w:t>
      </w:r>
      <w:r w:rsidRPr="00971E9E">
        <w:t>, “</w:t>
      </w:r>
      <w:r w:rsidRPr="00971E9E">
        <w:rPr>
          <w:i/>
        </w:rPr>
        <w:t>3. VIGENCIA</w:t>
      </w:r>
      <w:r w:rsidRPr="00971E9E">
        <w:t>” y “</w:t>
      </w:r>
      <w:r w:rsidRPr="00971E9E">
        <w:rPr>
          <w:i/>
        </w:rPr>
        <w:t>4. CONTRAPRESTACIONES</w:t>
      </w:r>
      <w:r w:rsidRPr="00971E9E">
        <w:t>” del “</w:t>
      </w:r>
      <w:r w:rsidRPr="00971E9E">
        <w:rPr>
          <w:i/>
        </w:rPr>
        <w:t>ANEXO “B”: FORMATO DE ACUERDO DE SITIO</w:t>
      </w:r>
      <w:r w:rsidRPr="00971E9E">
        <w:t xml:space="preserve">” se establece el periodo de vigencia, definida a partir de la fecha efectiva de la </w:t>
      </w:r>
      <w:r w:rsidRPr="00971E9E">
        <w:lastRenderedPageBreak/>
        <w:t xml:space="preserve">prestación de los servicios como la fecha de terminación de la infraestructura, así como la obligación para que las contraprestaciones del Acuerdo de Sitio deberán pagarse por mensualidades corrientes. </w:t>
      </w:r>
    </w:p>
    <w:p w14:paraId="78D06128" w14:textId="77777777" w:rsidR="00971E9E" w:rsidRPr="00971E9E" w:rsidRDefault="00971E9E" w:rsidP="00971E9E">
      <w:pPr>
        <w:pStyle w:val="IFTnormal"/>
      </w:pPr>
      <w:r w:rsidRPr="00971E9E">
        <w:t>Para ilustrar lo anterior y tener una lectura integrada de dichas disposiciones se cita a continuación el contenido de dichos numerales.</w:t>
      </w:r>
    </w:p>
    <w:p w14:paraId="6D2C386F" w14:textId="77777777" w:rsidR="00971E9E" w:rsidRPr="00971E9E" w:rsidRDefault="00971E9E" w:rsidP="00971E9E">
      <w:pPr>
        <w:pStyle w:val="CitaIFT"/>
      </w:pPr>
      <w:bookmarkStart w:id="7" w:name="_Toc389663785"/>
      <w:bookmarkStart w:id="8" w:name="_Toc435539440"/>
      <w:bookmarkStart w:id="9" w:name="_Toc435549968"/>
      <w:bookmarkStart w:id="10" w:name="_Toc435558967"/>
      <w:bookmarkStart w:id="11" w:name="_Toc435569081"/>
      <w:bookmarkStart w:id="12" w:name="_Toc435569713"/>
      <w:r w:rsidRPr="00971E9E">
        <w:t>“</w:t>
      </w:r>
      <w:r w:rsidRPr="00971E9E">
        <w:rPr>
          <w:b/>
        </w:rPr>
        <w:t>2. APROBACIÓN DE COLOCACIÓN.</w:t>
      </w:r>
      <w:r w:rsidRPr="00971E9E">
        <w:t xml:space="preserve"> </w:t>
      </w:r>
    </w:p>
    <w:p w14:paraId="547DF2BC" w14:textId="77777777" w:rsidR="00971E9E" w:rsidRPr="00971E9E" w:rsidRDefault="00971E9E" w:rsidP="00971E9E">
      <w:pPr>
        <w:pStyle w:val="CitaIFT"/>
        <w:rPr>
          <w:b/>
        </w:rPr>
      </w:pPr>
      <w:r w:rsidRPr="00971E9E">
        <w:rPr>
          <w:b/>
        </w:rPr>
        <w:t>Infraestructura Pasiva y Equipo Aprobado</w:t>
      </w:r>
      <w:bookmarkEnd w:id="7"/>
      <w:bookmarkEnd w:id="8"/>
      <w:bookmarkEnd w:id="9"/>
      <w:bookmarkEnd w:id="10"/>
      <w:bookmarkEnd w:id="11"/>
      <w:bookmarkEnd w:id="12"/>
    </w:p>
    <w:p w14:paraId="7ED5EC3C" w14:textId="77777777" w:rsidR="00971E9E" w:rsidRPr="00971E9E" w:rsidRDefault="00971E9E" w:rsidP="00971E9E">
      <w:pPr>
        <w:pStyle w:val="CitaIFT"/>
        <w:rPr>
          <w:b/>
        </w:rPr>
      </w:pPr>
      <w:r w:rsidRPr="00971E9E">
        <w:rPr>
          <w:b/>
        </w:rPr>
        <w:t>[…]</w:t>
      </w:r>
    </w:p>
    <w:p w14:paraId="6FD4C71C" w14:textId="77777777" w:rsidR="00971E9E" w:rsidRPr="00971E9E" w:rsidRDefault="00971E9E" w:rsidP="00971E9E">
      <w:pPr>
        <w:pStyle w:val="CitaIFT"/>
      </w:pPr>
      <w:bookmarkStart w:id="13" w:name="_Toc389663786"/>
      <w:bookmarkStart w:id="14" w:name="_Toc435539441"/>
      <w:bookmarkStart w:id="15" w:name="_Toc435549969"/>
      <w:bookmarkStart w:id="16" w:name="_Toc435558968"/>
      <w:bookmarkStart w:id="17" w:name="_Toc435569082"/>
      <w:bookmarkStart w:id="18" w:name="_Toc435569714"/>
      <w:r w:rsidRPr="00971E9E">
        <w:rPr>
          <w:b/>
        </w:rPr>
        <w:t>Vigencia</w:t>
      </w:r>
      <w:bookmarkEnd w:id="13"/>
      <w:bookmarkEnd w:id="14"/>
      <w:bookmarkEnd w:id="15"/>
      <w:bookmarkEnd w:id="16"/>
      <w:bookmarkEnd w:id="17"/>
      <w:bookmarkEnd w:id="18"/>
    </w:p>
    <w:tbl>
      <w:tblPr>
        <w:tblW w:w="779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4978"/>
      </w:tblGrid>
      <w:tr w:rsidR="00971E9E" w:rsidRPr="00971E9E" w14:paraId="225F64BD" w14:textId="77777777" w:rsidTr="006818AF">
        <w:tc>
          <w:tcPr>
            <w:tcW w:w="2818" w:type="dxa"/>
            <w:tcBorders>
              <w:top w:val="nil"/>
              <w:left w:val="nil"/>
              <w:bottom w:val="nil"/>
              <w:right w:val="nil"/>
            </w:tcBorders>
            <w:shd w:val="clear" w:color="auto" w:fill="auto"/>
          </w:tcPr>
          <w:p w14:paraId="50E76D30" w14:textId="77777777" w:rsidR="00971E9E" w:rsidRPr="00971E9E" w:rsidRDefault="00971E9E" w:rsidP="006818AF">
            <w:pPr>
              <w:pStyle w:val="CitaIFT"/>
              <w:ind w:left="0"/>
            </w:pPr>
            <w:r w:rsidRPr="00971E9E">
              <w:t>Fecha Efectiva:</w:t>
            </w:r>
          </w:p>
        </w:tc>
        <w:tc>
          <w:tcPr>
            <w:tcW w:w="4978" w:type="dxa"/>
            <w:tcBorders>
              <w:top w:val="nil"/>
              <w:left w:val="nil"/>
              <w:bottom w:val="single" w:sz="4" w:space="0" w:color="auto"/>
              <w:right w:val="nil"/>
            </w:tcBorders>
            <w:shd w:val="clear" w:color="auto" w:fill="auto"/>
          </w:tcPr>
          <w:p w14:paraId="5954B98E" w14:textId="77777777" w:rsidR="00971E9E" w:rsidRPr="00971E9E" w:rsidRDefault="00971E9E" w:rsidP="006818AF">
            <w:pPr>
              <w:pStyle w:val="CitaIFT"/>
            </w:pPr>
          </w:p>
        </w:tc>
      </w:tr>
      <w:tr w:rsidR="00971E9E" w:rsidRPr="00971E9E" w14:paraId="4B55EA75" w14:textId="77777777" w:rsidTr="006818AF">
        <w:tc>
          <w:tcPr>
            <w:tcW w:w="2818" w:type="dxa"/>
            <w:tcBorders>
              <w:top w:val="nil"/>
              <w:left w:val="nil"/>
              <w:bottom w:val="nil"/>
              <w:right w:val="nil"/>
            </w:tcBorders>
            <w:shd w:val="clear" w:color="auto" w:fill="auto"/>
          </w:tcPr>
          <w:p w14:paraId="40A86C92" w14:textId="77777777" w:rsidR="00971E9E" w:rsidRPr="00971E9E" w:rsidRDefault="00971E9E" w:rsidP="006818AF">
            <w:pPr>
              <w:pStyle w:val="CitaIFT"/>
              <w:ind w:left="0"/>
            </w:pPr>
            <w:r w:rsidRPr="00971E9E">
              <w:t>Fecha de Terminación</w:t>
            </w:r>
          </w:p>
        </w:tc>
        <w:tc>
          <w:tcPr>
            <w:tcW w:w="4978" w:type="dxa"/>
            <w:tcBorders>
              <w:top w:val="single" w:sz="4" w:space="0" w:color="auto"/>
              <w:left w:val="nil"/>
              <w:bottom w:val="single" w:sz="4" w:space="0" w:color="auto"/>
              <w:right w:val="nil"/>
            </w:tcBorders>
            <w:shd w:val="clear" w:color="auto" w:fill="auto"/>
          </w:tcPr>
          <w:p w14:paraId="1859E293" w14:textId="77777777" w:rsidR="00971E9E" w:rsidRPr="00971E9E" w:rsidRDefault="00971E9E" w:rsidP="006818AF">
            <w:pPr>
              <w:pStyle w:val="CitaIFT"/>
            </w:pPr>
          </w:p>
        </w:tc>
      </w:tr>
      <w:tr w:rsidR="00971E9E" w:rsidRPr="00971E9E" w14:paraId="14776665" w14:textId="77777777" w:rsidTr="006818AF">
        <w:tc>
          <w:tcPr>
            <w:tcW w:w="2818" w:type="dxa"/>
            <w:tcBorders>
              <w:top w:val="nil"/>
              <w:left w:val="nil"/>
              <w:bottom w:val="nil"/>
              <w:right w:val="nil"/>
            </w:tcBorders>
            <w:shd w:val="clear" w:color="auto" w:fill="auto"/>
          </w:tcPr>
          <w:p w14:paraId="3A10682A" w14:textId="77777777" w:rsidR="00971E9E" w:rsidRPr="00971E9E" w:rsidRDefault="00971E9E" w:rsidP="006818AF">
            <w:pPr>
              <w:pStyle w:val="CitaIFT"/>
              <w:ind w:left="0"/>
            </w:pPr>
            <w:r w:rsidRPr="00971E9E">
              <w:t>Plazo</w:t>
            </w:r>
          </w:p>
        </w:tc>
        <w:tc>
          <w:tcPr>
            <w:tcW w:w="4978" w:type="dxa"/>
            <w:tcBorders>
              <w:top w:val="single" w:sz="4" w:space="0" w:color="auto"/>
              <w:left w:val="nil"/>
              <w:bottom w:val="single" w:sz="4" w:space="0" w:color="auto"/>
              <w:right w:val="nil"/>
            </w:tcBorders>
            <w:shd w:val="clear" w:color="auto" w:fill="auto"/>
          </w:tcPr>
          <w:p w14:paraId="2278EF0C" w14:textId="77777777" w:rsidR="00971E9E" w:rsidRPr="00971E9E" w:rsidRDefault="00971E9E" w:rsidP="006818AF">
            <w:pPr>
              <w:pStyle w:val="CitaIFT"/>
            </w:pPr>
          </w:p>
        </w:tc>
      </w:tr>
    </w:tbl>
    <w:p w14:paraId="439FEBA9" w14:textId="77777777" w:rsidR="00971E9E" w:rsidRPr="00971E9E" w:rsidRDefault="00971E9E" w:rsidP="00971E9E">
      <w:pPr>
        <w:pStyle w:val="CitaIFT"/>
      </w:pPr>
      <w:r w:rsidRPr="00971E9E">
        <w:t>[…]</w:t>
      </w:r>
    </w:p>
    <w:p w14:paraId="69208A5C" w14:textId="77777777" w:rsidR="00971E9E" w:rsidRPr="00971E9E" w:rsidRDefault="00971E9E" w:rsidP="00971E9E">
      <w:pPr>
        <w:pStyle w:val="CitaIFT"/>
      </w:pPr>
      <w:r w:rsidRPr="00971E9E">
        <w:rPr>
          <w:b/>
        </w:rPr>
        <w:t>3. VIGENCIA</w:t>
      </w:r>
      <w:r w:rsidRPr="00971E9E">
        <w:t xml:space="preserve"> </w:t>
      </w:r>
    </w:p>
    <w:p w14:paraId="2068CEB4" w14:textId="77777777" w:rsidR="00971E9E" w:rsidRPr="00971E9E" w:rsidRDefault="00971E9E" w:rsidP="00971E9E">
      <w:pPr>
        <w:pStyle w:val="CitaIFT"/>
      </w:pPr>
      <w:r w:rsidRPr="00971E9E">
        <w:t xml:space="preserve">a) </w:t>
      </w:r>
      <w:r w:rsidRPr="00971E9E">
        <w:rPr>
          <w:b/>
          <w:u w:val="single"/>
        </w:rPr>
        <w:t>El presente Acuerdo tendrá una vigencia a partir de la Fecha Efectiva y concluirá en la Fecha de Terminación</w:t>
      </w:r>
      <w:r w:rsidRPr="00971E9E">
        <w:t xml:space="preserve">. </w:t>
      </w:r>
    </w:p>
    <w:p w14:paraId="6FCE9CB7" w14:textId="77777777" w:rsidR="00971E9E" w:rsidRPr="00971E9E" w:rsidRDefault="00971E9E" w:rsidP="00971E9E">
      <w:pPr>
        <w:pStyle w:val="CitaIFT"/>
      </w:pPr>
      <w:r w:rsidRPr="00971E9E">
        <w:t>b) La vigencia del Acuerdo será forzosa para ambas Partes, por lo que solo podrá ser terminado o rescindido por las causas y en los términos señalados en el presente Acuerdo y, de ser el caso, en el Convenio.</w:t>
      </w:r>
    </w:p>
    <w:p w14:paraId="645F03B3" w14:textId="77777777" w:rsidR="00971E9E" w:rsidRPr="00971E9E" w:rsidRDefault="00971E9E" w:rsidP="00971E9E">
      <w:pPr>
        <w:pStyle w:val="CitaIFT"/>
      </w:pPr>
      <w:r w:rsidRPr="00971E9E">
        <w:rPr>
          <w:b/>
          <w:u w:val="single"/>
        </w:rPr>
        <w:t>En caso de que los Acuerdos de Sitio tengan una vigencia mayor a la del Convenio estos se regirán hasta su Fecha de Terminación bajo los mismos términos y condiciones determinadas en el Convenio</w:t>
      </w:r>
      <w:r w:rsidRPr="00971E9E">
        <w:t>.</w:t>
      </w:r>
    </w:p>
    <w:p w14:paraId="2C1DE789" w14:textId="77777777" w:rsidR="00971E9E" w:rsidRPr="00971E9E" w:rsidRDefault="00971E9E" w:rsidP="00971E9E">
      <w:pPr>
        <w:pStyle w:val="CitaIFT"/>
      </w:pPr>
      <w:r w:rsidRPr="00971E9E">
        <w:t>[…]</w:t>
      </w:r>
    </w:p>
    <w:p w14:paraId="12482FC4" w14:textId="77777777" w:rsidR="00971E9E" w:rsidRPr="00971E9E" w:rsidRDefault="00971E9E" w:rsidP="00971E9E">
      <w:pPr>
        <w:pStyle w:val="Citaift0"/>
      </w:pPr>
      <w:r w:rsidRPr="00971E9E">
        <w:rPr>
          <w:b/>
        </w:rPr>
        <w:t>4. CONTRAPRESTACIONES</w:t>
      </w:r>
    </w:p>
    <w:p w14:paraId="765D2022" w14:textId="77777777" w:rsidR="00971E9E" w:rsidRPr="00971E9E" w:rsidRDefault="00971E9E" w:rsidP="00971E9E">
      <w:pPr>
        <w:pStyle w:val="CitaIFT"/>
      </w:pPr>
      <w:r w:rsidRPr="00971E9E">
        <w:rPr>
          <w:b/>
          <w:u w:val="single"/>
        </w:rPr>
        <w:t>Las contraprestaciones bajo el presente Acuerdo indicadas en el apartado de Particularidades, relativas a la prestación del servicio de Acceso y Uso Compartido de Infraestructura Pasiva, que comprende entre otros el uso de Espacio Aprobado en Torre y de Espacio Aprobado en Piso, deberán pagarse por mensualidades corrientes</w:t>
      </w:r>
      <w:r w:rsidRPr="00971E9E">
        <w:t>, dentro del término y la forma señalados en el Convenio.”</w:t>
      </w:r>
    </w:p>
    <w:p w14:paraId="6DA69F73" w14:textId="77777777" w:rsidR="00971E9E" w:rsidRPr="00971E9E" w:rsidRDefault="00971E9E" w:rsidP="00971E9E">
      <w:pPr>
        <w:pStyle w:val="Citaift0"/>
        <w:jc w:val="right"/>
      </w:pPr>
      <w:r w:rsidRPr="00971E9E">
        <w:t>(Énfasis añadido)</w:t>
      </w:r>
    </w:p>
    <w:p w14:paraId="6F4D0E1C" w14:textId="66C51B46" w:rsidR="009F3558" w:rsidRDefault="00971E9E" w:rsidP="00971E9E">
      <w:pPr>
        <w:pStyle w:val="IFTnormal"/>
        <w:spacing w:after="0"/>
        <w:rPr>
          <w:color w:val="auto"/>
        </w:rPr>
      </w:pPr>
      <w:r w:rsidRPr="00971E9E">
        <w:t xml:space="preserve">Bajo este contexto, </w:t>
      </w:r>
      <w:r>
        <w:t>se</w:t>
      </w:r>
      <w:r w:rsidRPr="00971E9E">
        <w:t xml:space="preserve"> considera que la Oferta de Referencia Vigente</w:t>
      </w:r>
      <w:r w:rsidRPr="00971E9E">
        <w:rPr>
          <w:color w:val="auto"/>
        </w:rPr>
        <w:t xml:space="preserve"> cuenta con términos y condiciones claras para las partes respecto al periodo de pago y el tipo de contraprestación mensual corriente dentro de la Oferta de </w:t>
      </w:r>
      <w:r>
        <w:rPr>
          <w:color w:val="auto"/>
        </w:rPr>
        <w:t xml:space="preserve">Referencia. </w:t>
      </w:r>
    </w:p>
    <w:p w14:paraId="6D96164E" w14:textId="77777777" w:rsidR="00C11420" w:rsidRDefault="00C11420" w:rsidP="00971E9E">
      <w:pPr>
        <w:pStyle w:val="IFTnormal"/>
        <w:spacing w:after="0"/>
        <w:rPr>
          <w:color w:val="auto"/>
        </w:rPr>
      </w:pPr>
    </w:p>
    <w:p w14:paraId="18C693B9" w14:textId="77777777" w:rsidR="00971E9E" w:rsidRPr="00971E9E" w:rsidRDefault="00971E9E" w:rsidP="00971E9E">
      <w:pPr>
        <w:pStyle w:val="IFTnormal"/>
        <w:spacing w:after="0"/>
        <w:rPr>
          <w:rFonts w:ascii="Arial" w:hAnsi="Arial"/>
        </w:rPr>
      </w:pPr>
    </w:p>
    <w:p w14:paraId="7A234A18" w14:textId="16689E3F" w:rsidR="009F3558" w:rsidRPr="00664DD7" w:rsidRDefault="009F3558" w:rsidP="00664DD7">
      <w:pPr>
        <w:pStyle w:val="Prrafodelista"/>
        <w:numPr>
          <w:ilvl w:val="0"/>
          <w:numId w:val="23"/>
        </w:numPr>
        <w:spacing w:after="120"/>
        <w:rPr>
          <w:rFonts w:ascii="ITC Avant Garde" w:hAnsi="ITC Avant Garde"/>
          <w:b/>
          <w:lang w:val="es-ES_tradnl"/>
        </w:rPr>
      </w:pPr>
      <w:r w:rsidRPr="00664DD7">
        <w:rPr>
          <w:rFonts w:ascii="ITC Avant Garde" w:hAnsi="ITC Avant Garde"/>
          <w:b/>
          <w:lang w:val="es-ES_tradnl"/>
        </w:rPr>
        <w:t>Intereses Moratorios Oferta de Referencia Apartado II. Definiciones</w:t>
      </w:r>
    </w:p>
    <w:p w14:paraId="0FF0838E" w14:textId="4E8DEA33" w:rsidR="009F3558" w:rsidRDefault="009F3558" w:rsidP="009F3558">
      <w:pPr>
        <w:spacing w:after="120"/>
        <w:rPr>
          <w:rFonts w:ascii="ITC Avant Garde" w:hAnsi="ITC Avant Garde"/>
          <w:lang w:val="es-ES_tradnl"/>
        </w:rPr>
      </w:pPr>
      <w:r>
        <w:rPr>
          <w:rFonts w:ascii="ITC Avant Garde" w:hAnsi="ITC Avant Garde"/>
          <w:lang w:val="es-ES_tradnl"/>
        </w:rPr>
        <w:lastRenderedPageBreak/>
        <w:t xml:space="preserve">Respecto el apartado </w:t>
      </w:r>
      <w:r w:rsidRPr="00D71C9B">
        <w:rPr>
          <w:rFonts w:ascii="ITC Avant Garde" w:hAnsi="ITC Avant Garde"/>
          <w:i/>
          <w:lang w:val="es-ES_tradnl"/>
        </w:rPr>
        <w:t xml:space="preserve">“II. DEFINICIONES” </w:t>
      </w:r>
      <w:r>
        <w:rPr>
          <w:rFonts w:ascii="ITC Avant Garde" w:hAnsi="ITC Avant Garde"/>
          <w:lang w:val="es-ES_tradnl"/>
        </w:rPr>
        <w:t>dentro de la Propuesta de Oferta de Referencia, Televisa coment</w:t>
      </w:r>
      <w:r w:rsidR="00372826">
        <w:rPr>
          <w:rFonts w:ascii="ITC Avant Garde" w:hAnsi="ITC Avant Garde"/>
          <w:lang w:val="es-ES_tradnl"/>
        </w:rPr>
        <w:t>ó</w:t>
      </w:r>
      <w:r>
        <w:rPr>
          <w:rFonts w:ascii="ITC Avant Garde" w:hAnsi="ITC Avant Garde"/>
          <w:lang w:val="es-ES_tradnl"/>
        </w:rPr>
        <w:t xml:space="preserve"> que </w:t>
      </w:r>
      <w:r w:rsidRPr="009C0E84">
        <w:rPr>
          <w:rFonts w:ascii="ITC Avant Garde" w:hAnsi="ITC Avant Garde"/>
          <w:lang w:val="es-ES_tradnl"/>
        </w:rPr>
        <w:t xml:space="preserve">en la definición de Intereses Moratorios </w:t>
      </w:r>
      <w:r>
        <w:rPr>
          <w:rFonts w:ascii="ITC Avant Garde" w:hAnsi="ITC Avant Garde"/>
          <w:lang w:val="es-ES_tradnl"/>
        </w:rPr>
        <w:t xml:space="preserve">se indica </w:t>
      </w:r>
      <w:r w:rsidRPr="009C0E84">
        <w:rPr>
          <w:rFonts w:ascii="ITC Avant Garde" w:hAnsi="ITC Avant Garde"/>
          <w:lang w:val="es-ES_tradnl"/>
        </w:rPr>
        <w:t xml:space="preserve">que la </w:t>
      </w:r>
      <w:r w:rsidRPr="00821616">
        <w:rPr>
          <w:rFonts w:ascii="ITC Avant Garde" w:hAnsi="ITC Avant Garde"/>
          <w:lang w:val="es-ES_tradnl"/>
        </w:rPr>
        <w:t>Tasa de Interés Interbancaria de Equilibrio (conocida como TIIE)</w:t>
      </w:r>
      <w:r w:rsidRPr="009C0E84">
        <w:rPr>
          <w:rFonts w:ascii="ITC Avant Garde" w:hAnsi="ITC Avant Garde"/>
          <w:lang w:val="es-ES_tradnl"/>
        </w:rPr>
        <w:t xml:space="preserve">, se multiplicará a razón de 3 veces, lo cual </w:t>
      </w:r>
      <w:r>
        <w:rPr>
          <w:rFonts w:ascii="ITC Avant Garde" w:hAnsi="ITC Avant Garde"/>
          <w:lang w:val="es-ES_tradnl"/>
        </w:rPr>
        <w:t>considera un cobro excesivo, además de</w:t>
      </w:r>
      <w:r w:rsidRPr="009C0E84">
        <w:rPr>
          <w:rFonts w:ascii="ITC Avant Garde" w:hAnsi="ITC Avant Garde"/>
          <w:lang w:val="es-ES_tradnl"/>
        </w:rPr>
        <w:t xml:space="preserve"> elevado en relación con los términos utilizados en el mercado</w:t>
      </w:r>
      <w:r>
        <w:rPr>
          <w:rFonts w:ascii="ITC Avant Garde" w:hAnsi="ITC Avant Garde"/>
          <w:lang w:val="es-ES_tradnl"/>
        </w:rPr>
        <w:t xml:space="preserve">. </w:t>
      </w:r>
    </w:p>
    <w:p w14:paraId="18F38DCB" w14:textId="19E2BA57" w:rsidR="009F3558" w:rsidRPr="00BF7935" w:rsidRDefault="00372826" w:rsidP="009F3558">
      <w:pPr>
        <w:spacing w:after="120"/>
        <w:rPr>
          <w:rFonts w:ascii="ITC Avant Garde" w:hAnsi="ITC Avant Garde"/>
          <w:lang w:val="es-ES_tradnl"/>
        </w:rPr>
      </w:pPr>
      <w:r>
        <w:rPr>
          <w:rFonts w:ascii="ITC Avant Garde" w:hAnsi="ITC Avant Garde"/>
          <w:lang w:val="es-ES_tradnl"/>
        </w:rPr>
        <w:t>En consideración de lo anterior sugirió</w:t>
      </w:r>
      <w:r w:rsidR="009F3558" w:rsidRPr="00BF7935">
        <w:rPr>
          <w:rFonts w:ascii="ITC Avant Garde" w:hAnsi="ITC Avant Garde"/>
          <w:lang w:val="es-ES_tradnl"/>
        </w:rPr>
        <w:t xml:space="preserve"> la modificación de la </w:t>
      </w:r>
      <w:r w:rsidR="009F3558">
        <w:rPr>
          <w:rFonts w:ascii="ITC Avant Garde" w:hAnsi="ITC Avant Garde"/>
          <w:lang w:val="es-ES_tradnl"/>
        </w:rPr>
        <w:t xml:space="preserve">definición </w:t>
      </w:r>
      <w:r w:rsidR="009F3558" w:rsidRPr="00D71C9B">
        <w:rPr>
          <w:rFonts w:ascii="ITC Avant Garde" w:hAnsi="ITC Avant Garde"/>
          <w:i/>
          <w:lang w:val="es-ES_tradnl"/>
        </w:rPr>
        <w:t>“Intereses Moratorios”</w:t>
      </w:r>
      <w:r w:rsidR="009F3558" w:rsidRPr="00BF7935">
        <w:rPr>
          <w:rFonts w:ascii="ITC Avant Garde" w:hAnsi="ITC Avant Garde"/>
          <w:lang w:val="es-ES_tradnl"/>
        </w:rPr>
        <w:t xml:space="preserve"> </w:t>
      </w:r>
      <w:r w:rsidR="009F3558">
        <w:rPr>
          <w:rFonts w:ascii="ITC Avant Garde" w:hAnsi="ITC Avant Garde"/>
          <w:lang w:val="es-ES_tradnl"/>
        </w:rPr>
        <w:t>dentro de la Propuesta de Oferta de Referencia para que se indique que la TIIE será multiplicada por una vez</w:t>
      </w:r>
      <w:r w:rsidR="009F3558" w:rsidRPr="00BF7935">
        <w:rPr>
          <w:rFonts w:ascii="ITC Avant Garde" w:hAnsi="ITC Avant Garde"/>
          <w:lang w:val="es-ES_tradnl"/>
        </w:rPr>
        <w:t>.</w:t>
      </w:r>
    </w:p>
    <w:p w14:paraId="529368DB" w14:textId="77777777" w:rsidR="009F3558" w:rsidRPr="00BF7935" w:rsidRDefault="009F3558" w:rsidP="009F3558">
      <w:pPr>
        <w:spacing w:after="120"/>
        <w:rPr>
          <w:rFonts w:ascii="ITC Avant Garde" w:hAnsi="ITC Avant Garde"/>
          <w:u w:val="single"/>
          <w:lang w:val="es-ES_tradnl"/>
        </w:rPr>
      </w:pPr>
      <w:r w:rsidRPr="00BF7935">
        <w:rPr>
          <w:rFonts w:ascii="ITC Avant Garde" w:hAnsi="ITC Avant Garde"/>
          <w:u w:val="single"/>
          <w:lang w:val="es-ES_tradnl"/>
        </w:rPr>
        <w:t>Respuesta de</w:t>
      </w:r>
      <w:r>
        <w:rPr>
          <w:rFonts w:ascii="ITC Avant Garde" w:hAnsi="ITC Avant Garde"/>
          <w:u w:val="single"/>
          <w:lang w:val="es-ES_tradnl"/>
        </w:rPr>
        <w:t xml:space="preserve"> </w:t>
      </w:r>
      <w:r w:rsidRPr="00BF7935">
        <w:rPr>
          <w:rFonts w:ascii="ITC Avant Garde" w:hAnsi="ITC Avant Garde"/>
          <w:u w:val="single"/>
          <w:lang w:val="es-ES_tradnl"/>
        </w:rPr>
        <w:t>l</w:t>
      </w:r>
      <w:r>
        <w:rPr>
          <w:rFonts w:ascii="ITC Avant Garde" w:hAnsi="ITC Avant Garde"/>
          <w:u w:val="single"/>
          <w:lang w:val="es-ES_tradnl"/>
        </w:rPr>
        <w:t>a</w:t>
      </w:r>
      <w:r w:rsidRPr="00BF7935">
        <w:rPr>
          <w:rFonts w:ascii="ITC Avant Garde" w:hAnsi="ITC Avant Garde"/>
          <w:u w:val="single"/>
          <w:lang w:val="es-ES_tradnl"/>
        </w:rPr>
        <w:t xml:space="preserve"> </w:t>
      </w:r>
      <w:r>
        <w:rPr>
          <w:rFonts w:ascii="ITC Avant Garde" w:hAnsi="ITC Avant Garde"/>
          <w:u w:val="single"/>
          <w:lang w:val="es-ES_tradnl"/>
        </w:rPr>
        <w:t>UPR</w:t>
      </w:r>
    </w:p>
    <w:p w14:paraId="7C2A77AA" w14:textId="7C103E1B" w:rsidR="009F3558" w:rsidRDefault="009F3558" w:rsidP="009F3558">
      <w:pPr>
        <w:pStyle w:val="Textoindependiente"/>
        <w:rPr>
          <w:rFonts w:ascii="ITC Avant Garde" w:hAnsi="ITC Avant Garde"/>
          <w:lang w:val="es-ES_tradnl"/>
        </w:rPr>
      </w:pPr>
      <w:r w:rsidRPr="00BF7935">
        <w:rPr>
          <w:rFonts w:ascii="ITC Avant Garde" w:hAnsi="ITC Avant Garde"/>
          <w:lang w:val="es-ES_tradnl"/>
        </w:rPr>
        <w:t xml:space="preserve">Por lo que hace </w:t>
      </w:r>
      <w:r w:rsidR="00372826">
        <w:rPr>
          <w:rFonts w:ascii="ITC Avant Garde" w:hAnsi="ITC Avant Garde"/>
          <w:lang w:val="es-ES_tradnl"/>
        </w:rPr>
        <w:t>a dichas manifestaciones,</w:t>
      </w:r>
      <w:r>
        <w:rPr>
          <w:rFonts w:ascii="ITC Avant Garde" w:hAnsi="ITC Avant Garde"/>
          <w:lang w:val="es-ES_tradnl"/>
        </w:rPr>
        <w:t xml:space="preserve"> la UPR considera que la TIIE establecida ha prevalecido de Ofertas de Referencia </w:t>
      </w:r>
      <w:r w:rsidR="00372826">
        <w:rPr>
          <w:rFonts w:ascii="ITC Avant Garde" w:hAnsi="ITC Avant Garde"/>
          <w:lang w:val="es-ES_tradnl"/>
        </w:rPr>
        <w:t>autorizadas por el Instituto en ejercicios previos</w:t>
      </w:r>
      <w:r>
        <w:rPr>
          <w:rFonts w:ascii="ITC Avant Garde" w:hAnsi="ITC Avant Garde"/>
          <w:lang w:val="es-ES_tradnl"/>
        </w:rPr>
        <w:t xml:space="preserve">, mismas que han </w:t>
      </w:r>
      <w:r w:rsidR="00372826">
        <w:rPr>
          <w:rFonts w:ascii="ITC Avant Garde" w:hAnsi="ITC Avant Garde"/>
          <w:lang w:val="es-ES_tradnl"/>
        </w:rPr>
        <w:t>sido</w:t>
      </w:r>
      <w:r>
        <w:rPr>
          <w:rFonts w:ascii="ITC Avant Garde" w:hAnsi="ITC Avant Garde"/>
          <w:lang w:val="es-ES_tradnl"/>
        </w:rPr>
        <w:t xml:space="preserve"> </w:t>
      </w:r>
      <w:r w:rsidR="00372826">
        <w:rPr>
          <w:rFonts w:ascii="ITC Avant Garde" w:hAnsi="ITC Avant Garde"/>
          <w:lang w:val="es-ES_tradnl"/>
        </w:rPr>
        <w:t>acordadas por diversos CS para</w:t>
      </w:r>
      <w:r>
        <w:rPr>
          <w:rFonts w:ascii="ITC Avant Garde" w:hAnsi="ITC Avant Garde"/>
          <w:lang w:val="es-ES_tradnl"/>
        </w:rPr>
        <w:t xml:space="preserve"> la prestación de servicios de compartición de infraestructura pasiva</w:t>
      </w:r>
      <w:r w:rsidR="00372826">
        <w:rPr>
          <w:rFonts w:ascii="ITC Avant Garde" w:hAnsi="ITC Avant Garde"/>
          <w:lang w:val="es-ES_tradnl"/>
        </w:rPr>
        <w:t>, sin que de ello hubiera resultado alguna afectación o desacuerdo promovido ante el Instituto sobre la aplicación de dicho parámetro</w:t>
      </w:r>
      <w:r>
        <w:rPr>
          <w:rFonts w:ascii="ITC Avant Garde" w:hAnsi="ITC Avant Garde"/>
          <w:lang w:val="es-ES_tradnl"/>
        </w:rPr>
        <w:t xml:space="preserve">. </w:t>
      </w:r>
    </w:p>
    <w:p w14:paraId="4F2309CD" w14:textId="31E2A83F" w:rsidR="009F3558" w:rsidRDefault="00372826" w:rsidP="00971E9E">
      <w:pPr>
        <w:pStyle w:val="Textoindependiente"/>
        <w:rPr>
          <w:rFonts w:ascii="ITC Avant Garde" w:hAnsi="ITC Avant Garde"/>
          <w:lang w:val="es-ES_tradnl"/>
        </w:rPr>
      </w:pPr>
      <w:r>
        <w:rPr>
          <w:rFonts w:ascii="ITC Avant Garde" w:hAnsi="ITC Avant Garde"/>
          <w:lang w:val="es-ES_tradnl"/>
        </w:rPr>
        <w:t>De cualquier forma,</w:t>
      </w:r>
      <w:r w:rsidR="009F3558">
        <w:rPr>
          <w:rFonts w:ascii="ITC Avant Garde" w:hAnsi="ITC Avant Garde"/>
          <w:lang w:val="es-ES_tradnl"/>
        </w:rPr>
        <w:t xml:space="preserve"> es importante resaltar que </w:t>
      </w:r>
      <w:r>
        <w:rPr>
          <w:rFonts w:ascii="ITC Avant Garde" w:hAnsi="ITC Avant Garde"/>
          <w:lang w:val="es-ES_tradnl"/>
        </w:rPr>
        <w:t xml:space="preserve">utilizar como referencia a la </w:t>
      </w:r>
      <w:r w:rsidR="009F3558">
        <w:rPr>
          <w:rFonts w:ascii="ITC Avant Garde" w:hAnsi="ITC Avant Garde"/>
          <w:lang w:val="es-ES_tradnl"/>
        </w:rPr>
        <w:t xml:space="preserve">TIIE </w:t>
      </w:r>
      <w:r>
        <w:rPr>
          <w:rFonts w:ascii="ITC Avant Garde" w:hAnsi="ITC Avant Garde"/>
          <w:lang w:val="es-ES_tradnl"/>
        </w:rPr>
        <w:t>tiene aplicación exclusivamente para aquellos casos de</w:t>
      </w:r>
      <w:r w:rsidR="009F3558">
        <w:rPr>
          <w:rFonts w:ascii="ITC Avant Garde" w:hAnsi="ITC Avant Garde"/>
          <w:lang w:val="es-ES_tradnl"/>
        </w:rPr>
        <w:t xml:space="preserve"> </w:t>
      </w:r>
      <w:r w:rsidR="00FE485E">
        <w:rPr>
          <w:rFonts w:ascii="ITC Avant Garde" w:hAnsi="ITC Avant Garde"/>
          <w:lang w:val="es-ES_tradnl"/>
        </w:rPr>
        <w:t>in</w:t>
      </w:r>
      <w:r w:rsidR="009F3558">
        <w:rPr>
          <w:rFonts w:ascii="ITC Avant Garde" w:hAnsi="ITC Avant Garde"/>
          <w:lang w:val="es-ES_tradnl"/>
        </w:rPr>
        <w:t>cumplimiento de los acuerdos establecidos</w:t>
      </w:r>
      <w:r>
        <w:rPr>
          <w:rFonts w:ascii="ITC Avant Garde" w:hAnsi="ITC Avant Garde"/>
          <w:lang w:val="es-ES_tradnl"/>
        </w:rPr>
        <w:t xml:space="preserve"> </w:t>
      </w:r>
      <w:r w:rsidR="00FE485E">
        <w:rPr>
          <w:rFonts w:ascii="ITC Avant Garde" w:hAnsi="ITC Avant Garde"/>
          <w:lang w:val="es-ES_tradnl"/>
        </w:rPr>
        <w:t xml:space="preserve">para </w:t>
      </w:r>
      <w:r>
        <w:rPr>
          <w:rFonts w:ascii="ITC Avant Garde" w:hAnsi="ITC Avant Garde"/>
          <w:lang w:val="es-ES_tradnl"/>
        </w:rPr>
        <w:t xml:space="preserve">el cálculo de intereses moratorios. </w:t>
      </w:r>
      <w:r w:rsidR="00FE485E">
        <w:rPr>
          <w:rFonts w:ascii="ITC Avant Garde" w:hAnsi="ITC Avant Garde"/>
          <w:lang w:val="es-ES_tradnl"/>
        </w:rPr>
        <w:t>Lo anterior, sin menoscabo de que ante cualquier desacuerdo técnico y tarifario pueda ser solicitado al Instituto para la atención y resolución correspondiente.</w:t>
      </w:r>
      <w:r>
        <w:rPr>
          <w:rFonts w:ascii="ITC Avant Garde" w:hAnsi="ITC Avant Garde"/>
          <w:lang w:val="es-ES_tradnl"/>
        </w:rPr>
        <w:t xml:space="preserve">   </w:t>
      </w:r>
      <w:r w:rsidR="009F3558">
        <w:rPr>
          <w:rFonts w:ascii="ITC Avant Garde" w:hAnsi="ITC Avant Garde"/>
          <w:lang w:val="es-ES_tradnl"/>
        </w:rPr>
        <w:t xml:space="preserve"> </w:t>
      </w:r>
    </w:p>
    <w:p w14:paraId="5F5D40BE" w14:textId="77777777" w:rsidR="00C11420" w:rsidRPr="00971E9E" w:rsidRDefault="00C11420" w:rsidP="00971E9E">
      <w:pPr>
        <w:pStyle w:val="Textoindependiente"/>
      </w:pPr>
    </w:p>
    <w:p w14:paraId="0E3BE806" w14:textId="77777777" w:rsidR="009F3558" w:rsidRPr="000B273F" w:rsidRDefault="009F3558" w:rsidP="00664DD7">
      <w:pPr>
        <w:pStyle w:val="Prrafodelista"/>
        <w:numPr>
          <w:ilvl w:val="0"/>
          <w:numId w:val="23"/>
        </w:numPr>
        <w:spacing w:after="120"/>
        <w:rPr>
          <w:rFonts w:ascii="ITC Avant Garde" w:hAnsi="ITC Avant Garde"/>
          <w:lang w:val="es-ES_tradnl"/>
        </w:rPr>
      </w:pPr>
      <w:r w:rsidRPr="009C0E84">
        <w:rPr>
          <w:rFonts w:ascii="ITC Avant Garde" w:hAnsi="ITC Avant Garde"/>
          <w:b/>
          <w:lang w:val="es-ES_tradnl"/>
        </w:rPr>
        <w:t>CLÁUSULA VIGÉSIMA PRIMERA. SOLUCIÓN DE CONTROVERSIAS</w:t>
      </w:r>
      <w:r>
        <w:rPr>
          <w:rFonts w:ascii="ITC Avant Garde" w:hAnsi="ITC Avant Garde"/>
          <w:b/>
          <w:lang w:val="es-ES_tradnl"/>
        </w:rPr>
        <w:t xml:space="preserve">. </w:t>
      </w:r>
      <w:r w:rsidRPr="009C0E84">
        <w:rPr>
          <w:rFonts w:ascii="ITC Avant Garde" w:hAnsi="ITC Avant Garde"/>
          <w:b/>
          <w:lang w:val="es-ES_tradnl"/>
        </w:rPr>
        <w:t>Anexo IV. Convenio</w:t>
      </w:r>
      <w:r>
        <w:rPr>
          <w:rFonts w:ascii="ITC Avant Garde" w:hAnsi="ITC Avant Garde"/>
          <w:b/>
          <w:lang w:val="es-ES_tradnl"/>
        </w:rPr>
        <w:t xml:space="preserve">. </w:t>
      </w:r>
    </w:p>
    <w:p w14:paraId="2B40ECE5" w14:textId="77777777" w:rsidR="009F3558" w:rsidRPr="005A2274" w:rsidRDefault="009F3558" w:rsidP="009F3558">
      <w:pPr>
        <w:pStyle w:val="Prrafodelista"/>
        <w:spacing w:after="120"/>
        <w:rPr>
          <w:rFonts w:ascii="ITC Avant Garde" w:hAnsi="ITC Avant Garde"/>
          <w:lang w:val="es-ES_tradnl"/>
        </w:rPr>
      </w:pPr>
    </w:p>
    <w:p w14:paraId="74CCE84D" w14:textId="77777777" w:rsidR="009F3558" w:rsidRPr="005A2274" w:rsidRDefault="009F3558" w:rsidP="009F3558">
      <w:pPr>
        <w:spacing w:after="120"/>
        <w:rPr>
          <w:rFonts w:ascii="ITC Avant Garde" w:hAnsi="ITC Avant Garde"/>
          <w:lang w:val="es-ES_tradnl"/>
        </w:rPr>
      </w:pPr>
      <w:r>
        <w:rPr>
          <w:rFonts w:ascii="ITC Avant Garde" w:hAnsi="ITC Avant Garde"/>
          <w:lang w:val="es-ES_tradnl"/>
        </w:rPr>
        <w:t xml:space="preserve">Televisa señala que la </w:t>
      </w:r>
      <w:r w:rsidRPr="00D71C9B">
        <w:rPr>
          <w:rFonts w:ascii="ITC Avant Garde" w:hAnsi="ITC Avant Garde"/>
          <w:i/>
          <w:lang w:val="es-ES_tradnl" w:eastAsia="es-ES"/>
        </w:rPr>
        <w:t>“CLÁUSULA VIGÉSIMA PRIMERA. SOLUCIÓN DE CONTROVERSIAS”</w:t>
      </w:r>
      <w:r>
        <w:rPr>
          <w:rFonts w:ascii="ITC Avant Garde" w:hAnsi="ITC Avant Garde"/>
          <w:lang w:val="es-ES_tradnl"/>
        </w:rPr>
        <w:t xml:space="preserve">, dentro del Anexo IV. Convenio </w:t>
      </w:r>
      <w:r w:rsidRPr="005A2274">
        <w:rPr>
          <w:rFonts w:ascii="ITC Avant Garde" w:hAnsi="ITC Avant Garde"/>
          <w:lang w:val="es-ES_tradnl"/>
        </w:rPr>
        <w:t xml:space="preserve">no se encuentra establecida en otras Ofertas de Referencia del Agente Económico Preponderante, </w:t>
      </w:r>
      <w:r>
        <w:rPr>
          <w:rFonts w:ascii="ITC Avant Garde" w:hAnsi="ITC Avant Garde"/>
          <w:lang w:val="es-ES_tradnl"/>
        </w:rPr>
        <w:t xml:space="preserve">por lo que </w:t>
      </w:r>
      <w:r w:rsidRPr="005A2274">
        <w:rPr>
          <w:rFonts w:ascii="ITC Avant Garde" w:hAnsi="ITC Avant Garde"/>
          <w:lang w:val="es-ES_tradnl"/>
        </w:rPr>
        <w:t>solicita que esta cláusula se suprima, para que se aplique lo establecido en la Cláusula de Jurisdicción Aplicable.</w:t>
      </w:r>
      <w:r w:rsidRPr="005A2274">
        <w:rPr>
          <w:rFonts w:ascii="ITC Avant Garde" w:hAnsi="ITC Avant Garde"/>
          <w:lang w:val="es-ES_tradnl"/>
        </w:rPr>
        <w:cr/>
      </w:r>
    </w:p>
    <w:p w14:paraId="3CF909F6" w14:textId="77777777" w:rsidR="00FE485E" w:rsidRDefault="009F3558" w:rsidP="009F3558">
      <w:pPr>
        <w:spacing w:after="120"/>
        <w:rPr>
          <w:rFonts w:ascii="ITC Avant Garde" w:hAnsi="ITC Avant Garde"/>
          <w:lang w:val="es-ES_tradnl"/>
        </w:rPr>
      </w:pPr>
      <w:r>
        <w:rPr>
          <w:rFonts w:ascii="ITC Avant Garde" w:hAnsi="ITC Avant Garde"/>
          <w:lang w:val="es-ES_tradnl"/>
        </w:rPr>
        <w:t>Adicional a lo anterior, el participante señala</w:t>
      </w:r>
      <w:r w:rsidRPr="009C0E84">
        <w:rPr>
          <w:rFonts w:ascii="ITC Avant Garde" w:hAnsi="ITC Avant Garde"/>
          <w:lang w:val="es-ES_tradnl"/>
        </w:rPr>
        <w:t xml:space="preserve"> que tal procedimiento de solución de controversias</w:t>
      </w:r>
      <w:r>
        <w:rPr>
          <w:rFonts w:ascii="ITC Avant Garde" w:hAnsi="ITC Avant Garde"/>
          <w:lang w:val="es-ES_tradnl"/>
        </w:rPr>
        <w:t>:</w:t>
      </w:r>
      <w:r w:rsidRPr="009C0E84">
        <w:rPr>
          <w:rFonts w:ascii="ITC Avant Garde" w:hAnsi="ITC Avant Garde"/>
          <w:lang w:val="es-ES_tradnl"/>
        </w:rPr>
        <w:t xml:space="preserve"> </w:t>
      </w:r>
    </w:p>
    <w:p w14:paraId="2AEBE25F" w14:textId="60C7AE8F" w:rsidR="009F3558" w:rsidRDefault="009F3558" w:rsidP="009F3558">
      <w:pPr>
        <w:spacing w:after="120"/>
        <w:rPr>
          <w:rFonts w:ascii="ITC Avant Garde" w:hAnsi="ITC Avant Garde"/>
          <w:lang w:val="es-ES_tradnl"/>
        </w:rPr>
      </w:pPr>
      <w:r w:rsidRPr="00730E64">
        <w:rPr>
          <w:rFonts w:ascii="ITC Avant Garde" w:hAnsi="ITC Avant Garde"/>
          <w:i/>
          <w:lang w:val="es-ES_tradnl"/>
        </w:rPr>
        <w:t xml:space="preserve">“i) involucra procedimientos que al incluir al Centro de Arbitraje de México generaría costos adicionales a las partes en caso de acudir a solucionar una controversia, adicionalmente una vez que se emita el laudo arbitral, se tendría que acudir ante Tribunales Federales para su ejecución; </w:t>
      </w:r>
      <w:proofErr w:type="spellStart"/>
      <w:r w:rsidRPr="00730E64">
        <w:rPr>
          <w:rFonts w:ascii="ITC Avant Garde" w:hAnsi="ITC Avant Garde"/>
          <w:i/>
          <w:lang w:val="es-ES_tradnl"/>
        </w:rPr>
        <w:t>ii</w:t>
      </w:r>
      <w:proofErr w:type="spellEnd"/>
      <w:r w:rsidRPr="00730E64">
        <w:rPr>
          <w:rFonts w:ascii="ITC Avant Garde" w:hAnsi="ITC Avant Garde"/>
          <w:i/>
          <w:lang w:val="es-ES_tradnl"/>
        </w:rPr>
        <w:t xml:space="preserve">) generaría incertidumbre jurídica ya que al utilizar el término “cualquier otra controversia” resultan muy ambiguos los posibles acontecimientos aplicables a un proceso de Arbitraje; y </w:t>
      </w:r>
      <w:proofErr w:type="spellStart"/>
      <w:r w:rsidRPr="00730E64">
        <w:rPr>
          <w:rFonts w:ascii="ITC Avant Garde" w:hAnsi="ITC Avant Garde"/>
          <w:i/>
          <w:lang w:val="es-ES_tradnl"/>
        </w:rPr>
        <w:t>iii</w:t>
      </w:r>
      <w:proofErr w:type="spellEnd"/>
      <w:r w:rsidRPr="00730E64">
        <w:rPr>
          <w:rFonts w:ascii="ITC Avant Garde" w:hAnsi="ITC Avant Garde"/>
          <w:i/>
          <w:lang w:val="es-ES_tradnl"/>
        </w:rPr>
        <w:t xml:space="preserve">) lo más relevante es que la solución de controversias técnicas y tarifarias del numeral 21.1 de la CLÁUSULA VIGÉSIMA PRIMERA. SOLUCIÓN DE CONTROVERSIAS, </w:t>
      </w:r>
      <w:r w:rsidRPr="00730E64">
        <w:rPr>
          <w:rFonts w:ascii="ITC Avant Garde" w:hAnsi="ITC Avant Garde"/>
          <w:i/>
          <w:lang w:val="es-ES_tradnl"/>
        </w:rPr>
        <w:lastRenderedPageBreak/>
        <w:t>es una facultad del órgano regulador especializado en la materia, en este caso ese Instituto Federal de Telecomunicaciones y en el caso de las demás controversias en otras materias los Tribunales Federales que tengan residencia en la Ciudad de México, así se establece en el numeral 23.11 Jurisdicción de la CLÁUSULA VIGÉSIMA TERCERA. DIVERSOS., el mismo incluso establece el orden de aplicación de los preceptos jurídicos aplicables para la correcta interpretación de la ORCI Móvil”</w:t>
      </w:r>
      <w:r w:rsidRPr="009C0E84">
        <w:rPr>
          <w:rFonts w:ascii="ITC Avant Garde" w:hAnsi="ITC Avant Garde"/>
          <w:lang w:val="es-ES_tradnl"/>
        </w:rPr>
        <w:t>.</w:t>
      </w:r>
    </w:p>
    <w:p w14:paraId="36583226" w14:textId="77777777" w:rsidR="009F3558" w:rsidRPr="00BF7935" w:rsidRDefault="009F3558" w:rsidP="009F3558">
      <w:pPr>
        <w:spacing w:after="120"/>
        <w:rPr>
          <w:rFonts w:ascii="ITC Avant Garde" w:hAnsi="ITC Avant Garde"/>
          <w:u w:val="single"/>
          <w:lang w:val="es-ES_tradnl"/>
        </w:rPr>
      </w:pPr>
      <w:r w:rsidRPr="00BF7935">
        <w:rPr>
          <w:rFonts w:ascii="ITC Avant Garde" w:hAnsi="ITC Avant Garde"/>
          <w:u w:val="single"/>
          <w:lang w:val="es-ES_tradnl"/>
        </w:rPr>
        <w:t xml:space="preserve">Respuesta </w:t>
      </w:r>
      <w:r>
        <w:rPr>
          <w:rFonts w:ascii="ITC Avant Garde" w:hAnsi="ITC Avant Garde"/>
          <w:u w:val="single"/>
          <w:lang w:val="es-ES_tradnl"/>
        </w:rPr>
        <w:t>de la UPR</w:t>
      </w:r>
    </w:p>
    <w:p w14:paraId="7088BB43" w14:textId="77777777" w:rsidR="009F3558" w:rsidRDefault="009F3558" w:rsidP="009F3558">
      <w:pPr>
        <w:spacing w:after="120"/>
        <w:rPr>
          <w:rFonts w:ascii="ITC Avant Garde" w:hAnsi="ITC Avant Garde"/>
          <w:lang w:val="es-ES_tradnl"/>
        </w:rPr>
      </w:pPr>
      <w:r w:rsidRPr="00BF7935">
        <w:rPr>
          <w:rFonts w:ascii="ITC Avant Garde" w:hAnsi="ITC Avant Garde"/>
          <w:lang w:val="es-ES_tradnl"/>
        </w:rPr>
        <w:t xml:space="preserve">Respecto a </w:t>
      </w:r>
      <w:r>
        <w:rPr>
          <w:rFonts w:ascii="ITC Avant Garde" w:hAnsi="ITC Avant Garde"/>
          <w:lang w:val="es-ES_tradnl"/>
        </w:rPr>
        <w:t>dichos comentarios</w:t>
      </w:r>
      <w:r w:rsidRPr="00BF7935">
        <w:rPr>
          <w:rFonts w:ascii="ITC Avant Garde" w:hAnsi="ITC Avant Garde"/>
          <w:lang w:val="es-ES_tradnl"/>
        </w:rPr>
        <w:t xml:space="preserve">, </w:t>
      </w:r>
      <w:r>
        <w:rPr>
          <w:rFonts w:ascii="ITC Avant Garde" w:hAnsi="ITC Avant Garde"/>
          <w:lang w:val="es-ES_tradnl"/>
        </w:rPr>
        <w:t>la UPR</w:t>
      </w:r>
      <w:r w:rsidRPr="00BF7935">
        <w:rPr>
          <w:rFonts w:ascii="ITC Avant Garde" w:hAnsi="ITC Avant Garde"/>
          <w:lang w:val="es-ES_tradnl"/>
        </w:rPr>
        <w:t xml:space="preserve"> señala </w:t>
      </w:r>
      <w:r>
        <w:rPr>
          <w:rFonts w:ascii="ITC Avant Garde" w:hAnsi="ITC Avant Garde"/>
          <w:lang w:val="es-ES_tradnl"/>
        </w:rPr>
        <w:t xml:space="preserve">que </w:t>
      </w:r>
      <w:r w:rsidRPr="00D71C9B">
        <w:rPr>
          <w:rFonts w:ascii="ITC Avant Garde" w:hAnsi="ITC Avant Garde"/>
          <w:i/>
          <w:lang w:val="es-ES_tradnl" w:eastAsia="es-ES"/>
        </w:rPr>
        <w:t>“CLÁUSULA VIGÉSIMA PRIMERA. SOLUCIÓN DE CONTROVERSIAS”</w:t>
      </w:r>
      <w:r>
        <w:rPr>
          <w:rFonts w:ascii="ITC Avant Garde" w:hAnsi="ITC Avant Garde"/>
          <w:lang w:val="es-ES_tradnl"/>
        </w:rPr>
        <w:t xml:space="preserve"> menciona a través de su primer párrafo la mención sobre los desacuerdos sobre aspectos técnicos y sobre la determinación de tarifas, dentro de los cuales el Instituto forma parte para la resolución de controversias. </w:t>
      </w:r>
    </w:p>
    <w:p w14:paraId="4884E2EA" w14:textId="636A3C86" w:rsidR="009F3558" w:rsidRDefault="00FE485E" w:rsidP="009F3558">
      <w:pPr>
        <w:spacing w:after="120"/>
        <w:rPr>
          <w:rFonts w:ascii="ITC Avant Garde" w:hAnsi="ITC Avant Garde"/>
          <w:lang w:val="es-ES_tradnl"/>
        </w:rPr>
      </w:pPr>
      <w:r>
        <w:rPr>
          <w:rFonts w:ascii="ITC Avant Garde" w:hAnsi="ITC Avant Garde"/>
          <w:lang w:val="es-ES_tradnl"/>
        </w:rPr>
        <w:t>Lo anterior tiene sustento en lo señalado en las</w:t>
      </w:r>
      <w:r w:rsidR="009F3558">
        <w:rPr>
          <w:rFonts w:ascii="ITC Avant Garde" w:hAnsi="ITC Avant Garde"/>
          <w:lang w:val="es-ES_tradnl"/>
        </w:rPr>
        <w:t xml:space="preserve"> Medidas Móviles </w:t>
      </w:r>
      <w:r>
        <w:rPr>
          <w:rFonts w:ascii="ITC Avant Garde" w:hAnsi="ITC Avant Garde"/>
          <w:lang w:val="es-ES_tradnl"/>
        </w:rPr>
        <w:t xml:space="preserve">para la resolución de </w:t>
      </w:r>
      <w:r w:rsidR="00C34345">
        <w:rPr>
          <w:rFonts w:ascii="ITC Avant Garde" w:hAnsi="ITC Avant Garde"/>
          <w:lang w:val="es-ES_tradnl"/>
        </w:rPr>
        <w:t>desacuerdos</w:t>
      </w:r>
      <w:r w:rsidR="009F3558">
        <w:rPr>
          <w:rFonts w:ascii="ITC Avant Garde" w:hAnsi="ITC Avant Garde"/>
          <w:lang w:val="es-ES_tradnl"/>
        </w:rPr>
        <w:t xml:space="preserve"> </w:t>
      </w:r>
      <w:r>
        <w:rPr>
          <w:rFonts w:ascii="ITC Avant Garde" w:hAnsi="ITC Avant Garde"/>
          <w:lang w:val="es-ES_tradnl"/>
        </w:rPr>
        <w:t>que formen parte de</w:t>
      </w:r>
      <w:r w:rsidR="009F3558">
        <w:rPr>
          <w:rFonts w:ascii="ITC Avant Garde" w:hAnsi="ITC Avant Garde"/>
          <w:lang w:val="es-ES_tradnl"/>
        </w:rPr>
        <w:t xml:space="preserve"> l</w:t>
      </w:r>
      <w:r w:rsidR="00C34345">
        <w:rPr>
          <w:rFonts w:ascii="ITC Avant Garde" w:hAnsi="ITC Avant Garde"/>
          <w:lang w:val="es-ES_tradnl"/>
        </w:rPr>
        <w:t xml:space="preserve">os servicios mayoristas ofrecidos en la </w:t>
      </w:r>
      <w:r w:rsidR="009F3558">
        <w:rPr>
          <w:rFonts w:ascii="ITC Avant Garde" w:hAnsi="ITC Avant Garde"/>
          <w:lang w:val="es-ES_tradnl"/>
        </w:rPr>
        <w:t>oferta de referencia.</w:t>
      </w:r>
      <w:r>
        <w:rPr>
          <w:rFonts w:ascii="ITC Avant Garde" w:hAnsi="ITC Avant Garde"/>
          <w:lang w:val="es-ES_tradnl"/>
        </w:rPr>
        <w:t xml:space="preserve"> Lo anterior, sin menoscabo de que cualquier otra controversia puedan ser atendidos por otro tipo de jurisdicciones o tribunales competentes.</w:t>
      </w:r>
    </w:p>
    <w:p w14:paraId="2D02024D" w14:textId="5498EB5B" w:rsidR="009F3558" w:rsidRDefault="009F3558" w:rsidP="009F3558">
      <w:pPr>
        <w:spacing w:after="120"/>
        <w:rPr>
          <w:rFonts w:ascii="ITC Avant Garde" w:hAnsi="ITC Avant Garde"/>
          <w:lang w:val="es-ES_tradnl"/>
        </w:rPr>
      </w:pPr>
      <w:r>
        <w:rPr>
          <w:rFonts w:ascii="ITC Avant Garde" w:hAnsi="ITC Avant Garde"/>
          <w:lang w:val="es-ES_tradnl"/>
        </w:rPr>
        <w:t xml:space="preserve">Es así que de conformidad con lo dispuesto en la Medida SEXÁGESIMA SEGUNDA, </w:t>
      </w:r>
      <w:r w:rsidR="00BE13A3">
        <w:rPr>
          <w:rFonts w:ascii="ITC Avant Garde" w:hAnsi="ITC Avant Garde"/>
          <w:lang w:val="es-ES_tradnl"/>
        </w:rPr>
        <w:t xml:space="preserve">SEPTUAGÉSIMA CUARTA y SEPTUAGÉSIMA QUINTA </w:t>
      </w:r>
      <w:r>
        <w:rPr>
          <w:rFonts w:ascii="ITC Avant Garde" w:hAnsi="ITC Avant Garde"/>
          <w:lang w:val="es-ES_tradnl"/>
        </w:rPr>
        <w:t xml:space="preserve">de las Medidas Móviles </w:t>
      </w:r>
      <w:r w:rsidR="00C34345">
        <w:rPr>
          <w:rFonts w:ascii="ITC Avant Garde" w:hAnsi="ITC Avant Garde"/>
          <w:lang w:val="es-ES_tradnl"/>
        </w:rPr>
        <w:t>establecen el marco normativo para</w:t>
      </w:r>
      <w:r>
        <w:rPr>
          <w:rFonts w:ascii="ITC Avant Garde" w:hAnsi="ITC Avant Garde"/>
          <w:lang w:val="es-ES_tradnl"/>
        </w:rPr>
        <w:t xml:space="preserve"> solicitar la intervención del Instituto para la resolución de</w:t>
      </w:r>
      <w:r w:rsidR="00C34345">
        <w:rPr>
          <w:rFonts w:ascii="ITC Avant Garde" w:hAnsi="ITC Avant Garde"/>
          <w:lang w:val="es-ES_tradnl"/>
        </w:rPr>
        <w:t xml:space="preserve"> este tipo de desacuerdos</w:t>
      </w:r>
      <w:r>
        <w:rPr>
          <w:rFonts w:ascii="ITC Avant Garde" w:hAnsi="ITC Avant Garde"/>
          <w:lang w:val="es-ES_tradnl"/>
        </w:rPr>
        <w:t xml:space="preserve">. </w:t>
      </w:r>
    </w:p>
    <w:p w14:paraId="351774DC" w14:textId="5036618E" w:rsidR="00971E9E" w:rsidRPr="00FB0FE0" w:rsidRDefault="00C34345" w:rsidP="009F3558">
      <w:pPr>
        <w:spacing w:after="120"/>
        <w:rPr>
          <w:rFonts w:ascii="ITC Avant Garde" w:hAnsi="ITC Avant Garde"/>
          <w:lang w:val="es-ES_tradnl"/>
        </w:rPr>
      </w:pPr>
      <w:r>
        <w:rPr>
          <w:rFonts w:ascii="ITC Avant Garde" w:hAnsi="ITC Avant Garde"/>
          <w:lang w:val="es-ES_tradnl"/>
        </w:rPr>
        <w:t>Con el objeto de clarificar dicho enfoque, el numeral</w:t>
      </w:r>
      <w:r w:rsidR="002047B5">
        <w:rPr>
          <w:rFonts w:ascii="ITC Avant Garde" w:hAnsi="ITC Avant Garde"/>
          <w:lang w:val="es-ES_tradnl"/>
        </w:rPr>
        <w:t xml:space="preserve"> 21.2</w:t>
      </w:r>
      <w:r w:rsidR="009F3558">
        <w:rPr>
          <w:rFonts w:ascii="ITC Avant Garde" w:hAnsi="ITC Avant Garde"/>
          <w:lang w:val="es-ES_tradnl"/>
        </w:rPr>
        <w:t xml:space="preserve"> </w:t>
      </w:r>
      <w:r>
        <w:rPr>
          <w:rFonts w:ascii="ITC Avant Garde" w:hAnsi="ITC Avant Garde"/>
          <w:lang w:val="es-ES_tradnl"/>
        </w:rPr>
        <w:t>de la CLÁUSULA VIGÉSIMA PRIMERA</w:t>
      </w:r>
      <w:r w:rsidR="009F3558">
        <w:rPr>
          <w:rFonts w:ascii="ITC Avant Garde" w:hAnsi="ITC Avant Garde"/>
          <w:lang w:val="es-ES_tradnl"/>
        </w:rPr>
        <w:t xml:space="preserve"> menciona lo siguiente:</w:t>
      </w:r>
    </w:p>
    <w:p w14:paraId="05B934F3" w14:textId="77777777" w:rsidR="009F3558" w:rsidRPr="00FB0FE0" w:rsidRDefault="009F3558" w:rsidP="009F3558">
      <w:pPr>
        <w:pStyle w:val="CitaIFT"/>
      </w:pPr>
      <w:bookmarkStart w:id="19" w:name="_Toc435539925"/>
      <w:bookmarkStart w:id="20" w:name="_Toc435570581"/>
      <w:r>
        <w:t>“</w:t>
      </w:r>
      <w:r w:rsidRPr="00FB0FE0">
        <w:rPr>
          <w:b/>
        </w:rPr>
        <w:t>CLÁUSULA VIGÉSIMA PRIMERA. SOLUCIÓN DE CONTROVERSIAS</w:t>
      </w:r>
      <w:bookmarkEnd w:id="19"/>
      <w:bookmarkEnd w:id="20"/>
    </w:p>
    <w:p w14:paraId="2D30F850" w14:textId="77777777" w:rsidR="009F3558" w:rsidRPr="00FB0FE0" w:rsidRDefault="009F3558" w:rsidP="009F3558">
      <w:pPr>
        <w:pStyle w:val="CitaIFT"/>
      </w:pPr>
      <w:r>
        <w:t>[…]</w:t>
      </w:r>
    </w:p>
    <w:p w14:paraId="4AB2EB14" w14:textId="77777777" w:rsidR="009F3558" w:rsidRPr="00FB0FE0" w:rsidRDefault="009F3558" w:rsidP="009F3558">
      <w:pPr>
        <w:pStyle w:val="CitaIFT"/>
      </w:pPr>
      <w:r w:rsidRPr="00FB0FE0">
        <w:t>21.2 Cualesquiera otras controversias que deriven del presente Convenio o que guarden relación con éste serán resueltas definitivamente de acuerdo a cualquiera de las siguientes opciones, a elección de la Parte Demandante.</w:t>
      </w:r>
    </w:p>
    <w:p w14:paraId="4CF14C2F" w14:textId="77777777" w:rsidR="009F3558" w:rsidRPr="00FB0FE0" w:rsidRDefault="009F3558" w:rsidP="009F3558">
      <w:pPr>
        <w:pStyle w:val="CitaIFT"/>
        <w:ind w:left="1440"/>
      </w:pPr>
      <w:r w:rsidRPr="00FB0FE0">
        <w:t>a)</w:t>
      </w:r>
      <w:r>
        <w:t xml:space="preserve"> </w:t>
      </w:r>
      <w:r w:rsidRPr="00FB0FE0">
        <w:t xml:space="preserve">Procedimiento arbitral, conforme a las Reglas de Arbitraje del Centro de Arbitraje de México (CAM), vigentes al momento del inicio del procedimiento arbitral, por 3 (tres) árbitros nombrados conforme a dichas Reglas de Arbitraje. </w:t>
      </w:r>
    </w:p>
    <w:p w14:paraId="600492D2" w14:textId="77777777" w:rsidR="009F3558" w:rsidRPr="00FB0FE0" w:rsidRDefault="009F3558" w:rsidP="009F3558">
      <w:pPr>
        <w:pStyle w:val="CitaIFT"/>
        <w:ind w:left="1440"/>
      </w:pPr>
      <w:r w:rsidRPr="00FB0FE0">
        <w:t>Las Partes acuerdan que el derecho aplicable al fondo de la controversia será el de los Estados Unidos Mexicanos. La sede del arbitraje será la Ciudad de México, Distrito Federal y que el idioma del arbitraje será el español.</w:t>
      </w:r>
    </w:p>
    <w:p w14:paraId="2A8163C6" w14:textId="77777777" w:rsidR="009F3558" w:rsidRPr="00FB0FE0" w:rsidRDefault="009F3558" w:rsidP="009F3558">
      <w:pPr>
        <w:pStyle w:val="CitaIFT"/>
        <w:ind w:left="1440"/>
      </w:pPr>
      <w:r w:rsidRPr="00FB0FE0">
        <w:t>b)</w:t>
      </w:r>
      <w:r>
        <w:t xml:space="preserve"> </w:t>
      </w:r>
      <w:r w:rsidRPr="00FB0FE0">
        <w:rPr>
          <w:rFonts w:eastAsia="Calibri"/>
        </w:rPr>
        <w:t>L</w:t>
      </w:r>
      <w:r w:rsidRPr="00FB0FE0">
        <w:t xml:space="preserve">as Partes acuerdan expresamente someterse a la jurisdicción de los Tribunales Federales competentes con residencia en la Ciudad de México. </w:t>
      </w:r>
    </w:p>
    <w:p w14:paraId="40DD6278" w14:textId="77777777" w:rsidR="009F3558" w:rsidRPr="00FB0FE0" w:rsidRDefault="009F3558" w:rsidP="009F3558">
      <w:pPr>
        <w:pStyle w:val="CitaIFT"/>
      </w:pPr>
      <w:r w:rsidRPr="00FB0FE0">
        <w:t xml:space="preserve">Las Partes se someten de manera única y exclusiva a cualquiera de las dos opciones detalladas en la presente cláusula, renunciando expresamente a cualquier otro fuero que pudiera corresponderles por razón de sus domicilios presentes o futuros o por cualquier otra causa, con la consigna de intentar optar </w:t>
      </w:r>
      <w:r w:rsidRPr="00FB0FE0">
        <w:lastRenderedPageBreak/>
        <w:t>por aquella opción que resulte más ágil y eficaz para la resolución de controversias.</w:t>
      </w:r>
      <w:r>
        <w:t>”</w:t>
      </w:r>
    </w:p>
    <w:p w14:paraId="081770A3" w14:textId="77777777" w:rsidR="009F3558" w:rsidRPr="00FB0FE0" w:rsidRDefault="009F3558" w:rsidP="009F3558">
      <w:pPr>
        <w:pStyle w:val="CitaIFT"/>
        <w:jc w:val="right"/>
      </w:pPr>
      <w:r>
        <w:t>(Énfasis añadido)</w:t>
      </w:r>
    </w:p>
    <w:p w14:paraId="70CE35C0" w14:textId="3E0CD25E" w:rsidR="002047B5" w:rsidRDefault="00C34345" w:rsidP="009F3558">
      <w:pPr>
        <w:spacing w:after="0" w:line="276" w:lineRule="auto"/>
        <w:rPr>
          <w:rFonts w:ascii="ITC Avant Garde" w:hAnsi="ITC Avant Garde"/>
          <w:lang w:val="es-ES_tradnl" w:eastAsia="es-ES"/>
        </w:rPr>
      </w:pPr>
      <w:r>
        <w:rPr>
          <w:rFonts w:ascii="ITC Avant Garde" w:hAnsi="ITC Avant Garde"/>
          <w:lang w:val="es-ES_tradnl" w:eastAsia="es-ES"/>
        </w:rPr>
        <w:t>En este caso</w:t>
      </w:r>
      <w:r w:rsidR="009F3558">
        <w:rPr>
          <w:rFonts w:ascii="ITC Avant Garde" w:hAnsi="ITC Avant Garde"/>
          <w:lang w:val="es-ES_tradnl" w:eastAsia="es-ES"/>
        </w:rPr>
        <w:t xml:space="preserve"> se observa que la cláusula contempla otras controversias, </w:t>
      </w:r>
      <w:r>
        <w:rPr>
          <w:rFonts w:ascii="ITC Avant Garde" w:hAnsi="ITC Avant Garde"/>
          <w:lang w:val="es-ES_tradnl" w:eastAsia="es-ES"/>
        </w:rPr>
        <w:t>es decir,</w:t>
      </w:r>
      <w:r w:rsidR="009F3558">
        <w:rPr>
          <w:rFonts w:ascii="ITC Avant Garde" w:hAnsi="ITC Avant Garde"/>
          <w:lang w:val="es-ES_tradnl" w:eastAsia="es-ES"/>
        </w:rPr>
        <w:t xml:space="preserve"> aquellas </w:t>
      </w:r>
      <w:r>
        <w:rPr>
          <w:rFonts w:ascii="ITC Avant Garde" w:hAnsi="ITC Avant Garde"/>
          <w:lang w:val="es-ES_tradnl" w:eastAsia="es-ES"/>
        </w:rPr>
        <w:t>que no versan sobre</w:t>
      </w:r>
      <w:r w:rsidR="009F3558">
        <w:rPr>
          <w:rFonts w:ascii="ITC Avant Garde" w:hAnsi="ITC Avant Garde"/>
          <w:lang w:val="es-ES_tradnl" w:eastAsia="es-ES"/>
        </w:rPr>
        <w:t xml:space="preserve"> aspectos </w:t>
      </w:r>
      <w:r>
        <w:rPr>
          <w:rFonts w:ascii="ITC Avant Garde" w:hAnsi="ITC Avant Garde"/>
          <w:lang w:val="es-ES_tradnl" w:eastAsia="es-ES"/>
        </w:rPr>
        <w:t xml:space="preserve">tarifarios o </w:t>
      </w:r>
      <w:r w:rsidR="009F3558">
        <w:rPr>
          <w:rFonts w:ascii="ITC Avant Garde" w:hAnsi="ITC Avant Garde"/>
          <w:lang w:val="es-ES_tradnl" w:eastAsia="es-ES"/>
        </w:rPr>
        <w:t>técnicos</w:t>
      </w:r>
      <w:r>
        <w:rPr>
          <w:rFonts w:ascii="ITC Avant Garde" w:hAnsi="ITC Avant Garde"/>
          <w:lang w:val="es-ES_tradnl" w:eastAsia="es-ES"/>
        </w:rPr>
        <w:t>, las cuales</w:t>
      </w:r>
      <w:r w:rsidR="009F3558">
        <w:rPr>
          <w:rFonts w:ascii="ITC Avant Garde" w:hAnsi="ITC Avant Garde"/>
          <w:lang w:val="es-ES_tradnl" w:eastAsia="es-ES"/>
        </w:rPr>
        <w:t xml:space="preserve"> deberán de ser resueltas de acuerdo </w:t>
      </w:r>
      <w:r>
        <w:rPr>
          <w:rFonts w:ascii="ITC Avant Garde" w:hAnsi="ITC Avant Garde"/>
          <w:lang w:val="es-ES_tradnl" w:eastAsia="es-ES"/>
        </w:rPr>
        <w:t xml:space="preserve">con lo señalado en </w:t>
      </w:r>
      <w:r w:rsidR="009F3558">
        <w:rPr>
          <w:rFonts w:ascii="ITC Avant Garde" w:hAnsi="ITC Avant Garde"/>
          <w:lang w:val="es-ES_tradnl" w:eastAsia="es-ES"/>
        </w:rPr>
        <w:t xml:space="preserve">la </w:t>
      </w:r>
      <w:r w:rsidR="009F3558" w:rsidRPr="00D71C9B">
        <w:rPr>
          <w:rFonts w:ascii="ITC Avant Garde" w:hAnsi="ITC Avant Garde"/>
          <w:i/>
          <w:lang w:val="es-ES_tradnl" w:eastAsia="es-ES"/>
        </w:rPr>
        <w:t>“CLÁUSULA VIGÉSIMA PRIMERA. SOLUCIÓN DE CONTROVERSIAS”</w:t>
      </w:r>
      <w:r w:rsidR="009F3558">
        <w:rPr>
          <w:rFonts w:ascii="ITC Avant Garde" w:hAnsi="ITC Avant Garde"/>
          <w:lang w:val="es-ES_tradnl" w:eastAsia="es-ES"/>
        </w:rPr>
        <w:t xml:space="preserve">. </w:t>
      </w:r>
    </w:p>
    <w:p w14:paraId="079045C9" w14:textId="77777777" w:rsidR="002047B5" w:rsidRDefault="002047B5" w:rsidP="009F3558">
      <w:pPr>
        <w:spacing w:after="0" w:line="276" w:lineRule="auto"/>
        <w:rPr>
          <w:rFonts w:ascii="ITC Avant Garde" w:hAnsi="ITC Avant Garde"/>
          <w:lang w:val="es-ES_tradnl" w:eastAsia="es-ES"/>
        </w:rPr>
      </w:pPr>
    </w:p>
    <w:p w14:paraId="0648C4EE" w14:textId="31F10D19" w:rsidR="009F3558" w:rsidRPr="009C0E84" w:rsidRDefault="009F3558" w:rsidP="009F3558">
      <w:pPr>
        <w:spacing w:after="0" w:line="276" w:lineRule="auto"/>
        <w:rPr>
          <w:rFonts w:ascii="ITC Avant Garde" w:hAnsi="ITC Avant Garde"/>
          <w:lang w:val="es-ES_tradnl" w:eastAsia="es-ES"/>
        </w:rPr>
      </w:pPr>
      <w:r>
        <w:rPr>
          <w:rFonts w:ascii="ITC Avant Garde" w:hAnsi="ITC Avant Garde"/>
          <w:lang w:val="es-ES_tradnl" w:eastAsia="es-ES"/>
        </w:rPr>
        <w:t>Además de lo anterior, es importante señalar que el artículo 5 de la Ley Federal de Telecomunicaciones y Radiodifusión señala lo siguiente:</w:t>
      </w:r>
    </w:p>
    <w:p w14:paraId="30B79C47" w14:textId="77777777" w:rsidR="009F3558" w:rsidRDefault="009F3558" w:rsidP="009F3558">
      <w:pPr>
        <w:spacing w:after="0" w:line="276" w:lineRule="auto"/>
        <w:rPr>
          <w:rFonts w:ascii="ITC Avant Garde" w:hAnsi="ITC Avant Garde"/>
          <w:lang w:val="es-ES_tradnl" w:eastAsia="es-ES"/>
        </w:rPr>
      </w:pPr>
    </w:p>
    <w:p w14:paraId="0EF32404" w14:textId="77777777" w:rsidR="009F3558" w:rsidRPr="003B08EC" w:rsidRDefault="009F3558" w:rsidP="009F3558">
      <w:pPr>
        <w:pStyle w:val="CitaIFT"/>
      </w:pPr>
      <w:r>
        <w:t>“</w:t>
      </w:r>
      <w:r w:rsidRPr="00BB5BC1">
        <w:rPr>
          <w:b/>
        </w:rPr>
        <w:t>Artículo 5.</w:t>
      </w:r>
      <w:r w:rsidRPr="003B08EC">
        <w:t xml:space="preserve"> Las vías generales de comunicación, la obra civil y los derechos de paso, uso o vía,</w:t>
      </w:r>
      <w:r>
        <w:t xml:space="preserve"> </w:t>
      </w:r>
      <w:r w:rsidRPr="003B08EC">
        <w:t>asociados a las redes públicas de telecomunicaciones, las estaciones de radiodifusión y equipos</w:t>
      </w:r>
      <w:r>
        <w:t xml:space="preserve"> </w:t>
      </w:r>
      <w:r w:rsidRPr="003B08EC">
        <w:t>complementarios, así como los sistemas de comunicación vía satélite materia de la Ley y los servicios</w:t>
      </w:r>
      <w:r>
        <w:t xml:space="preserve"> </w:t>
      </w:r>
      <w:r w:rsidRPr="003B08EC">
        <w:t>que con ellas se presten, son de jurisdicción federal.</w:t>
      </w:r>
    </w:p>
    <w:p w14:paraId="0A9E1C8F" w14:textId="07DB657E" w:rsidR="009F3558" w:rsidRPr="00BB5BC1" w:rsidRDefault="00C34345" w:rsidP="009F3558">
      <w:pPr>
        <w:pStyle w:val="CitaIFT"/>
      </w:pPr>
      <w:r>
        <w:t>[…].</w:t>
      </w:r>
    </w:p>
    <w:p w14:paraId="6EBA6147" w14:textId="77777777" w:rsidR="009F3558" w:rsidRDefault="009F3558" w:rsidP="009F3558">
      <w:pPr>
        <w:pStyle w:val="CitaIFT"/>
      </w:pPr>
      <w:r w:rsidRPr="00FB0FE0">
        <w:rPr>
          <w:b/>
          <w:u w:val="single"/>
        </w:rPr>
        <w:t>Las controversias entre los concesionarios y la Federación, las Entidades Federativas y los Municipios, relacionadas con lo previsto en el presente artículo, serán resueltas por los tribunales especializados en materia de competencia económica, radiodifusión y telecomunicaciones.</w:t>
      </w:r>
      <w:r>
        <w:t>”</w:t>
      </w:r>
    </w:p>
    <w:p w14:paraId="7F32DDFF" w14:textId="77777777" w:rsidR="009F3558" w:rsidRDefault="009F3558" w:rsidP="009F3558">
      <w:pPr>
        <w:pStyle w:val="CitaIFT"/>
        <w:jc w:val="right"/>
      </w:pPr>
      <w:r>
        <w:t>(Énfasis añadido)</w:t>
      </w:r>
    </w:p>
    <w:p w14:paraId="5D7B6D8E" w14:textId="41B803B8" w:rsidR="009F3558" w:rsidRPr="009C0E84" w:rsidRDefault="00C34345" w:rsidP="009F3558">
      <w:pPr>
        <w:rPr>
          <w:rFonts w:ascii="ITC Avant Garde" w:hAnsi="ITC Avant Garde"/>
          <w:lang w:val="es-ES_tradnl"/>
        </w:rPr>
      </w:pPr>
      <w:r>
        <w:rPr>
          <w:rFonts w:ascii="ITC Avant Garde" w:hAnsi="ITC Avant Garde"/>
          <w:lang w:val="es-ES_tradnl"/>
        </w:rPr>
        <w:t>Con ello</w:t>
      </w:r>
      <w:r w:rsidR="009F3558">
        <w:rPr>
          <w:rFonts w:ascii="ITC Avant Garde" w:hAnsi="ITC Avant Garde"/>
          <w:lang w:val="es-ES_tradnl"/>
        </w:rPr>
        <w:t xml:space="preserve"> se observa que tanto la Oferta de Referencia</w:t>
      </w:r>
      <w:r w:rsidR="00237900">
        <w:rPr>
          <w:rFonts w:ascii="ITC Avant Garde" w:hAnsi="ITC Avant Garde"/>
          <w:lang w:val="es-ES_tradnl"/>
        </w:rPr>
        <w:t xml:space="preserve"> Autorizada</w:t>
      </w:r>
      <w:r w:rsidR="009F3558">
        <w:rPr>
          <w:rFonts w:ascii="ITC Avant Garde" w:hAnsi="ITC Avant Garde"/>
          <w:lang w:val="es-ES_tradnl"/>
        </w:rPr>
        <w:t xml:space="preserve">, las Medidas Móviles y la LFTR establecen las características de las </w:t>
      </w:r>
      <w:r w:rsidR="009F3558" w:rsidRPr="000C67AC">
        <w:rPr>
          <w:rFonts w:ascii="ITC Avant Garde" w:hAnsi="ITC Avant Garde"/>
          <w:lang w:val="es-ES_tradnl"/>
        </w:rPr>
        <w:t xml:space="preserve">controversias </w:t>
      </w:r>
      <w:r w:rsidR="009F3558">
        <w:rPr>
          <w:rFonts w:ascii="ITC Avant Garde" w:hAnsi="ITC Avant Garde"/>
          <w:lang w:val="es-ES_tradnl"/>
        </w:rPr>
        <w:t xml:space="preserve">que aplicarán para la resolución de tribunales especializados por lo que se considera que la </w:t>
      </w:r>
      <w:r w:rsidR="009F3558" w:rsidRPr="00D71C9B">
        <w:rPr>
          <w:rFonts w:ascii="ITC Avant Garde" w:hAnsi="ITC Avant Garde"/>
          <w:i/>
          <w:lang w:val="es-ES_tradnl" w:eastAsia="es-ES"/>
        </w:rPr>
        <w:t>“CLÁUSULA VIGÉSIMA PRIMERA. SOLUCIÓN DE CONTROVERSIAS”</w:t>
      </w:r>
      <w:r w:rsidR="009F3558">
        <w:rPr>
          <w:rFonts w:ascii="ITC Avant Garde" w:hAnsi="ITC Avant Garde"/>
          <w:lang w:val="es-ES_tradnl"/>
        </w:rPr>
        <w:t xml:space="preserve"> debe de prevalecer, ya que genera certidumbre entre las partes sobre los términos y condiciones </w:t>
      </w:r>
      <w:r>
        <w:rPr>
          <w:rFonts w:ascii="ITC Avant Garde" w:hAnsi="ITC Avant Garde"/>
          <w:lang w:val="es-ES_tradnl"/>
        </w:rPr>
        <w:t xml:space="preserve">para </w:t>
      </w:r>
      <w:r w:rsidR="009F3558">
        <w:rPr>
          <w:rFonts w:ascii="ITC Avant Garde" w:hAnsi="ITC Avant Garde"/>
          <w:lang w:val="es-ES_tradnl"/>
        </w:rPr>
        <w:t xml:space="preserve">la prestación de servicios. </w:t>
      </w:r>
    </w:p>
    <w:p w14:paraId="4E2FF981" w14:textId="6A8256FD" w:rsidR="009F3558" w:rsidRPr="0050326D" w:rsidRDefault="00AE6611" w:rsidP="0050326D">
      <w:pPr>
        <w:pStyle w:val="IFTnormal"/>
        <w:spacing w:after="0"/>
        <w:rPr>
          <w:sz w:val="18"/>
        </w:rPr>
      </w:pPr>
      <w:r>
        <w:rPr>
          <w:sz w:val="18"/>
        </w:rPr>
        <w:t xml:space="preserve"> </w:t>
      </w:r>
    </w:p>
    <w:sectPr w:rsidR="009F3558" w:rsidRPr="0050326D" w:rsidSect="001438D2">
      <w:headerReference w:type="default" r:id="rId12"/>
      <w:footerReference w:type="default" r:id="rId13"/>
      <w:footerReference w:type="first" r:id="rId14"/>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C9982" w14:textId="77777777" w:rsidR="004328F8" w:rsidRDefault="004328F8" w:rsidP="003C6172">
      <w:pPr>
        <w:spacing w:after="0" w:line="240" w:lineRule="auto"/>
      </w:pPr>
      <w:r>
        <w:separator/>
      </w:r>
    </w:p>
  </w:endnote>
  <w:endnote w:type="continuationSeparator" w:id="0">
    <w:p w14:paraId="0119F52D" w14:textId="77777777" w:rsidR="004328F8" w:rsidRDefault="004328F8" w:rsidP="003C6172">
      <w:pPr>
        <w:spacing w:after="0" w:line="240" w:lineRule="auto"/>
      </w:pPr>
      <w:r>
        <w:continuationSeparator/>
      </w:r>
    </w:p>
  </w:endnote>
  <w:endnote w:type="continuationNotice" w:id="1">
    <w:p w14:paraId="239E78D9" w14:textId="77777777" w:rsidR="004328F8" w:rsidRDefault="00432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482973"/>
      <w:docPartObj>
        <w:docPartGallery w:val="Page Numbers (Bottom of Page)"/>
        <w:docPartUnique/>
      </w:docPartObj>
    </w:sdtPr>
    <w:sdtEndPr/>
    <w:sdtContent>
      <w:p w14:paraId="3011266C" w14:textId="4E7A8B34" w:rsidR="00FB0FE0" w:rsidRDefault="00FB0FE0" w:rsidP="008958B5">
        <w:pPr>
          <w:pStyle w:val="Piedepgina"/>
          <w:jc w:val="right"/>
        </w:pPr>
        <w:r>
          <w:fldChar w:fldCharType="begin"/>
        </w:r>
        <w:r>
          <w:instrText>PAGE   \* MERGEFORMAT</w:instrText>
        </w:r>
        <w:r>
          <w:fldChar w:fldCharType="separate"/>
        </w:r>
        <w:r w:rsidRPr="00FA1565">
          <w:rPr>
            <w:noProof/>
            <w:lang w:val="es-ES"/>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092483"/>
      <w:docPartObj>
        <w:docPartGallery w:val="Page Numbers (Bottom of Page)"/>
        <w:docPartUnique/>
      </w:docPartObj>
    </w:sdtPr>
    <w:sdtEndPr/>
    <w:sdtContent>
      <w:p w14:paraId="0088B2D8" w14:textId="66C817DB" w:rsidR="00FB0FE0" w:rsidRPr="008958B5" w:rsidRDefault="00FB0FE0" w:rsidP="008958B5">
        <w:pPr>
          <w:pStyle w:val="Piedepgina"/>
          <w:jc w:val="right"/>
        </w:pPr>
        <w:r>
          <w:fldChar w:fldCharType="begin"/>
        </w:r>
        <w:r>
          <w:instrText>PAGE   \* MERGEFORMAT</w:instrText>
        </w:r>
        <w:r>
          <w:fldChar w:fldCharType="separate"/>
        </w:r>
        <w:r w:rsidRPr="00FA1565">
          <w:rPr>
            <w:noProof/>
            <w:lang w:val="es-ES"/>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A242F" w14:textId="77777777" w:rsidR="004328F8" w:rsidRDefault="004328F8" w:rsidP="003C6172">
      <w:pPr>
        <w:spacing w:after="0" w:line="240" w:lineRule="auto"/>
      </w:pPr>
      <w:r>
        <w:separator/>
      </w:r>
    </w:p>
  </w:footnote>
  <w:footnote w:type="continuationSeparator" w:id="0">
    <w:p w14:paraId="313C8BDD" w14:textId="77777777" w:rsidR="004328F8" w:rsidRDefault="004328F8" w:rsidP="003C6172">
      <w:pPr>
        <w:spacing w:after="0" w:line="240" w:lineRule="auto"/>
      </w:pPr>
      <w:r>
        <w:continuationSeparator/>
      </w:r>
    </w:p>
  </w:footnote>
  <w:footnote w:type="continuationNotice" w:id="1">
    <w:p w14:paraId="5E525192" w14:textId="77777777" w:rsidR="004328F8" w:rsidRDefault="004328F8">
      <w:pPr>
        <w:spacing w:after="0" w:line="240" w:lineRule="auto"/>
      </w:pPr>
    </w:p>
  </w:footnote>
  <w:footnote w:id="2">
    <w:p w14:paraId="50B96914" w14:textId="6464E310" w:rsidR="004561DE" w:rsidRPr="0086394E" w:rsidRDefault="004561DE" w:rsidP="0086394E">
      <w:pPr>
        <w:pStyle w:val="Textonotapie"/>
        <w:ind w:left="0" w:firstLine="0"/>
        <w:rPr>
          <w:lang w:val="es-MX"/>
        </w:rPr>
      </w:pPr>
      <w:r w:rsidRPr="0086394E">
        <w:rPr>
          <w:rFonts w:ascii="ITC Avant Garde" w:hAnsi="ITC Avant Garde"/>
          <w:sz w:val="14"/>
          <w:szCs w:val="14"/>
          <w:lang w:val="es-MX"/>
        </w:rPr>
        <w:footnoteRef/>
      </w:r>
      <w:r w:rsidRPr="0086394E">
        <w:rPr>
          <w:rFonts w:ascii="ITC Avant Garde" w:hAnsi="ITC Avant Garde"/>
          <w:sz w:val="14"/>
          <w:szCs w:val="14"/>
          <w:lang w:val="es-MX"/>
        </w:rPr>
        <w:t xml:space="preserve"> Disponible a través de la siguiente dirección electrónica: </w:t>
      </w:r>
      <w:hyperlink r:id="rId1" w:history="1">
        <w:r w:rsidR="004C5249" w:rsidRPr="00DC52BD">
          <w:rPr>
            <w:rStyle w:val="Hipervnculo"/>
            <w:rFonts w:ascii="ITC Avant Garde" w:hAnsi="ITC Avant Garde"/>
            <w:sz w:val="14"/>
            <w:szCs w:val="14"/>
            <w:lang w:val="es-MX"/>
          </w:rPr>
          <w:t>https://www.ift.org.mx/sites/default/files/contenidogeneral/politica-regulatoria/ofertadereferencia2023telesitesfibra.pdf</w:t>
        </w:r>
      </w:hyperlink>
      <w:r w:rsidR="00A12A96">
        <w:rPr>
          <w:rStyle w:val="Hipervnculo"/>
          <w:rFonts w:ascii="ITC Avant Garde" w:hAnsi="ITC Avant Garde"/>
          <w:sz w:val="14"/>
          <w:szCs w:val="14"/>
          <w:lang w:val="es-MX"/>
        </w:rPr>
        <w:t xml:space="preserve"> </w:t>
      </w:r>
      <w:r w:rsidR="004C5249">
        <w:rPr>
          <w:rFonts w:ascii="ITC Avant Garde" w:hAnsi="ITC Avant Garde"/>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4E21B" w14:textId="77777777" w:rsidR="00FB0FE0" w:rsidRPr="00FD6F5F" w:rsidRDefault="00FB0FE0" w:rsidP="00FD6F5F">
    <w:pPr>
      <w:pStyle w:val="Encabezado"/>
      <w:rPr>
        <w:lang w:val="es-E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2" w15:restartNumberingAfterBreak="0">
    <w:nsid w:val="00FF69BB"/>
    <w:multiLevelType w:val="hybridMultilevel"/>
    <w:tmpl w:val="33EEAD82"/>
    <w:lvl w:ilvl="0" w:tplc="2862A180">
      <w:start w:val="1"/>
      <w:numFmt w:val="lowerRoman"/>
      <w:lvlText w:val="(%1)"/>
      <w:lvlJc w:val="left"/>
      <w:pPr>
        <w:ind w:left="1713"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4A02049"/>
    <w:multiLevelType w:val="hybridMultilevel"/>
    <w:tmpl w:val="DF6E2768"/>
    <w:lvl w:ilvl="0" w:tplc="30DCD5DC">
      <w:start w:val="1"/>
      <w:numFmt w:val="lowerRoman"/>
      <w:lvlText w:val="(%1)"/>
      <w:lvlJc w:val="left"/>
      <w:pPr>
        <w:ind w:left="1728" w:hanging="10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C1C495C"/>
    <w:multiLevelType w:val="hybridMultilevel"/>
    <w:tmpl w:val="0596A578"/>
    <w:lvl w:ilvl="0" w:tplc="19924FB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298067A"/>
    <w:multiLevelType w:val="hybridMultilevel"/>
    <w:tmpl w:val="50702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BF4D6E"/>
    <w:multiLevelType w:val="hybridMultilevel"/>
    <w:tmpl w:val="C1045ECA"/>
    <w:lvl w:ilvl="0" w:tplc="EBEE90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955B6"/>
    <w:multiLevelType w:val="hybridMultilevel"/>
    <w:tmpl w:val="1F545D86"/>
    <w:lvl w:ilvl="0" w:tplc="0366A7F6">
      <w:start w:val="1"/>
      <w:numFmt w:val="low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0"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1E8E59F8"/>
    <w:multiLevelType w:val="hybridMultilevel"/>
    <w:tmpl w:val="537085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8913C3"/>
    <w:multiLevelType w:val="hybridMultilevel"/>
    <w:tmpl w:val="C1045ECA"/>
    <w:lvl w:ilvl="0" w:tplc="EBEE90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F3099D"/>
    <w:multiLevelType w:val="hybridMultilevel"/>
    <w:tmpl w:val="1AC2D8C2"/>
    <w:lvl w:ilvl="0" w:tplc="30DCD5DC">
      <w:start w:val="1"/>
      <w:numFmt w:val="lowerRoman"/>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2AC74748"/>
    <w:multiLevelType w:val="multilevel"/>
    <w:tmpl w:val="9CD4189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7F1C8D"/>
    <w:multiLevelType w:val="hybridMultilevel"/>
    <w:tmpl w:val="C1045ECA"/>
    <w:lvl w:ilvl="0" w:tplc="EBEE90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3735F4"/>
    <w:multiLevelType w:val="multilevel"/>
    <w:tmpl w:val="010EE54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7" w15:restartNumberingAfterBreak="0">
    <w:nsid w:val="303230DD"/>
    <w:multiLevelType w:val="hybridMultilevel"/>
    <w:tmpl w:val="32009F40"/>
    <w:lvl w:ilvl="0" w:tplc="83363504">
      <w:start w:val="1"/>
      <w:numFmt w:val="lowerRoman"/>
      <w:lvlText w:val="(%1)"/>
      <w:lvlJc w:val="left"/>
      <w:pPr>
        <w:ind w:left="1571" w:hanging="360"/>
      </w:pPr>
      <w:rPr>
        <w:rFonts w:ascii="Arial" w:eastAsia="Times New Roman" w:hAnsi="Arial" w:cs="Times New Roman"/>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8" w15:restartNumberingAfterBreak="0">
    <w:nsid w:val="32F646C7"/>
    <w:multiLevelType w:val="hybridMultilevel"/>
    <w:tmpl w:val="B0C89450"/>
    <w:lvl w:ilvl="0" w:tplc="BC6C07A8">
      <w:start w:val="17"/>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5C15E7"/>
    <w:multiLevelType w:val="hybridMultilevel"/>
    <w:tmpl w:val="F3FEDCD4"/>
    <w:lvl w:ilvl="0" w:tplc="19924FB4">
      <w:numFmt w:val="bullet"/>
      <w:lvlText w:val="-"/>
      <w:lvlJc w:val="left"/>
      <w:pPr>
        <w:ind w:left="1571" w:hanging="360"/>
      </w:pPr>
      <w:rPr>
        <w:rFonts w:ascii="ITC Avant Garde" w:eastAsiaTheme="minorHAnsi" w:hAnsi="ITC Avant Garde" w:cstheme="minorBidi"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0" w15:restartNumberingAfterBreak="0">
    <w:nsid w:val="3B974BC6"/>
    <w:multiLevelType w:val="hybridMultilevel"/>
    <w:tmpl w:val="9754EDE0"/>
    <w:lvl w:ilvl="0" w:tplc="546E5EF6">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6D7B3A"/>
    <w:multiLevelType w:val="hybridMultilevel"/>
    <w:tmpl w:val="DB7CA2EC"/>
    <w:lvl w:ilvl="0" w:tplc="B03EC4D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44926491"/>
    <w:multiLevelType w:val="hybridMultilevel"/>
    <w:tmpl w:val="C1045ECA"/>
    <w:lvl w:ilvl="0" w:tplc="EBEE90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D648AB"/>
    <w:multiLevelType w:val="hybridMultilevel"/>
    <w:tmpl w:val="0E2AA37E"/>
    <w:lvl w:ilvl="0" w:tplc="83363504">
      <w:start w:val="1"/>
      <w:numFmt w:val="lowerRoman"/>
      <w:lvlText w:val="(%1)"/>
      <w:lvlJc w:val="left"/>
      <w:pPr>
        <w:ind w:left="720" w:hanging="360"/>
      </w:pPr>
      <w:rPr>
        <w:rFonts w:ascii="Arial" w:eastAsia="Times New Roman" w:hAnsi="Arial" w:cs="Times New Roman"/>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DB278A"/>
    <w:multiLevelType w:val="hybridMultilevel"/>
    <w:tmpl w:val="2620DC94"/>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7" w15:restartNumberingAfterBreak="0">
    <w:nsid w:val="50F759CB"/>
    <w:multiLevelType w:val="multilevel"/>
    <w:tmpl w:val="3A6CA5BC"/>
    <w:lvl w:ilvl="0">
      <w:start w:val="1"/>
      <w:numFmt w:val="bullet"/>
      <w:lvlText w:val=""/>
      <w:lvlJc w:val="left"/>
      <w:pPr>
        <w:ind w:left="1080" w:hanging="720"/>
      </w:pPr>
      <w:rPr>
        <w:rFonts w:ascii="Symbol" w:hAnsi="Symbol" w:hint="default"/>
      </w:rPr>
    </w:lvl>
    <w:lvl w:ilvl="1">
      <w:start w:val="11"/>
      <w:numFmt w:val="decimal"/>
      <w:isLgl/>
      <w:lvlText w:val="%1.%2"/>
      <w:lvlJc w:val="left"/>
      <w:pPr>
        <w:ind w:left="1155" w:hanging="55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060" w:hanging="72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10" w:hanging="108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3760" w:hanging="1440"/>
      </w:pPr>
      <w:rPr>
        <w:rFonts w:hint="default"/>
      </w:rPr>
    </w:lvl>
  </w:abstractNum>
  <w:abstractNum w:abstractNumId="28" w15:restartNumberingAfterBreak="0">
    <w:nsid w:val="566B0B4C"/>
    <w:multiLevelType w:val="hybridMultilevel"/>
    <w:tmpl w:val="0FFEF53C"/>
    <w:lvl w:ilvl="0" w:tplc="080A0019">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9"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44EEA"/>
    <w:multiLevelType w:val="multilevel"/>
    <w:tmpl w:val="7C30BCE0"/>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1" w15:restartNumberingAfterBreak="0">
    <w:nsid w:val="6326627B"/>
    <w:multiLevelType w:val="hybridMultilevel"/>
    <w:tmpl w:val="C1045ECA"/>
    <w:lvl w:ilvl="0" w:tplc="EBEE90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285498"/>
    <w:multiLevelType w:val="hybridMultilevel"/>
    <w:tmpl w:val="C1045ECA"/>
    <w:lvl w:ilvl="0" w:tplc="EBEE90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B72431"/>
    <w:multiLevelType w:val="hybridMultilevel"/>
    <w:tmpl w:val="C1045ECA"/>
    <w:lvl w:ilvl="0" w:tplc="EBEE90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6076FBA"/>
    <w:multiLevelType w:val="hybridMultilevel"/>
    <w:tmpl w:val="C1045ECA"/>
    <w:lvl w:ilvl="0" w:tplc="EBEE90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9A27D4"/>
    <w:multiLevelType w:val="hybridMultilevel"/>
    <w:tmpl w:val="C1045ECA"/>
    <w:lvl w:ilvl="0" w:tplc="EBEE90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24348A"/>
    <w:multiLevelType w:val="hybridMultilevel"/>
    <w:tmpl w:val="A29A621C"/>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671039"/>
    <w:multiLevelType w:val="hybridMultilevel"/>
    <w:tmpl w:val="32009F40"/>
    <w:lvl w:ilvl="0" w:tplc="83363504">
      <w:start w:val="1"/>
      <w:numFmt w:val="lowerRoman"/>
      <w:lvlText w:val="(%1)"/>
      <w:lvlJc w:val="left"/>
      <w:pPr>
        <w:ind w:left="1571" w:hanging="360"/>
      </w:pPr>
      <w:rPr>
        <w:rFonts w:ascii="Arial" w:eastAsia="Times New Roman" w:hAnsi="Arial" w:cs="Times New Roman"/>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8" w15:restartNumberingAfterBreak="0">
    <w:nsid w:val="798656F7"/>
    <w:multiLevelType w:val="hybridMultilevel"/>
    <w:tmpl w:val="1BD03EA8"/>
    <w:lvl w:ilvl="0" w:tplc="30DCD5DC">
      <w:start w:val="1"/>
      <w:numFmt w:val="lowerRoman"/>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9" w15:restartNumberingAfterBreak="0">
    <w:nsid w:val="7EBA6AE1"/>
    <w:multiLevelType w:val="hybridMultilevel"/>
    <w:tmpl w:val="07B87E84"/>
    <w:lvl w:ilvl="0" w:tplc="FD6E047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C2062F"/>
    <w:multiLevelType w:val="hybridMultilevel"/>
    <w:tmpl w:val="D0B0B09E"/>
    <w:lvl w:ilvl="0" w:tplc="0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0"/>
  </w:num>
  <w:num w:numId="5">
    <w:abstractNumId w:val="21"/>
  </w:num>
  <w:num w:numId="6">
    <w:abstractNumId w:val="8"/>
  </w:num>
  <w:num w:numId="7">
    <w:abstractNumId w:val="16"/>
  </w:num>
  <w:num w:numId="8">
    <w:abstractNumId w:val="29"/>
  </w:num>
  <w:num w:numId="9">
    <w:abstractNumId w:val="23"/>
  </w:num>
  <w:num w:numId="10">
    <w:abstractNumId w:val="27"/>
  </w:num>
  <w:num w:numId="11">
    <w:abstractNumId w:val="18"/>
  </w:num>
  <w:num w:numId="12">
    <w:abstractNumId w:val="4"/>
  </w:num>
  <w:num w:numId="13">
    <w:abstractNumId w:val="9"/>
  </w:num>
  <w:num w:numId="14">
    <w:abstractNumId w:val="20"/>
  </w:num>
  <w:num w:numId="15">
    <w:abstractNumId w:val="11"/>
  </w:num>
  <w:num w:numId="16">
    <w:abstractNumId w:val="39"/>
  </w:num>
  <w:num w:numId="17">
    <w:abstractNumId w:val="30"/>
  </w:num>
  <w:num w:numId="18">
    <w:abstractNumId w:val="26"/>
  </w:num>
  <w:num w:numId="19">
    <w:abstractNumId w:val="40"/>
  </w:num>
  <w:num w:numId="20">
    <w:abstractNumId w:val="36"/>
  </w:num>
  <w:num w:numId="21">
    <w:abstractNumId w:val="22"/>
  </w:num>
  <w:num w:numId="22">
    <w:abstractNumId w:val="6"/>
  </w:num>
  <w:num w:numId="23">
    <w:abstractNumId w:val="15"/>
  </w:num>
  <w:num w:numId="24">
    <w:abstractNumId w:val="38"/>
  </w:num>
  <w:num w:numId="25">
    <w:abstractNumId w:val="14"/>
  </w:num>
  <w:num w:numId="26">
    <w:abstractNumId w:val="2"/>
  </w:num>
  <w:num w:numId="27">
    <w:abstractNumId w:val="25"/>
  </w:num>
  <w:num w:numId="28">
    <w:abstractNumId w:val="13"/>
  </w:num>
  <w:num w:numId="29">
    <w:abstractNumId w:val="28"/>
  </w:num>
  <w:num w:numId="30">
    <w:abstractNumId w:val="31"/>
  </w:num>
  <w:num w:numId="31">
    <w:abstractNumId w:val="33"/>
  </w:num>
  <w:num w:numId="32">
    <w:abstractNumId w:val="12"/>
  </w:num>
  <w:num w:numId="33">
    <w:abstractNumId w:val="7"/>
  </w:num>
  <w:num w:numId="34">
    <w:abstractNumId w:val="35"/>
  </w:num>
  <w:num w:numId="35">
    <w:abstractNumId w:val="34"/>
  </w:num>
  <w:num w:numId="36">
    <w:abstractNumId w:val="24"/>
  </w:num>
  <w:num w:numId="37">
    <w:abstractNumId w:val="32"/>
  </w:num>
  <w:num w:numId="38">
    <w:abstractNumId w:val="3"/>
  </w:num>
  <w:num w:numId="39">
    <w:abstractNumId w:val="37"/>
  </w:num>
  <w:num w:numId="40">
    <w:abstractNumId w:val="19"/>
  </w:num>
  <w:num w:numId="4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EB"/>
    <w:rsid w:val="00001E14"/>
    <w:rsid w:val="00004E98"/>
    <w:rsid w:val="000056FC"/>
    <w:rsid w:val="00005E3D"/>
    <w:rsid w:val="00007C69"/>
    <w:rsid w:val="00011374"/>
    <w:rsid w:val="0001177D"/>
    <w:rsid w:val="000123D8"/>
    <w:rsid w:val="00012F9A"/>
    <w:rsid w:val="000133C6"/>
    <w:rsid w:val="00014B39"/>
    <w:rsid w:val="000164CB"/>
    <w:rsid w:val="00016DF3"/>
    <w:rsid w:val="00021D46"/>
    <w:rsid w:val="00021E60"/>
    <w:rsid w:val="00025921"/>
    <w:rsid w:val="00025D89"/>
    <w:rsid w:val="00030012"/>
    <w:rsid w:val="00030DD9"/>
    <w:rsid w:val="0003128C"/>
    <w:rsid w:val="000318C3"/>
    <w:rsid w:val="00033AFD"/>
    <w:rsid w:val="00034576"/>
    <w:rsid w:val="00035F53"/>
    <w:rsid w:val="0003714D"/>
    <w:rsid w:val="00040A2B"/>
    <w:rsid w:val="0004267F"/>
    <w:rsid w:val="0004283B"/>
    <w:rsid w:val="00042BDD"/>
    <w:rsid w:val="00043A7C"/>
    <w:rsid w:val="00043CD0"/>
    <w:rsid w:val="00043D29"/>
    <w:rsid w:val="000466BB"/>
    <w:rsid w:val="00046D4E"/>
    <w:rsid w:val="00050F2F"/>
    <w:rsid w:val="0005524C"/>
    <w:rsid w:val="00057B5C"/>
    <w:rsid w:val="000606B4"/>
    <w:rsid w:val="0006115B"/>
    <w:rsid w:val="00061A7F"/>
    <w:rsid w:val="00063BCC"/>
    <w:rsid w:val="00064EE6"/>
    <w:rsid w:val="000656AB"/>
    <w:rsid w:val="00065B41"/>
    <w:rsid w:val="00066589"/>
    <w:rsid w:val="000703E1"/>
    <w:rsid w:val="000708E6"/>
    <w:rsid w:val="000714A8"/>
    <w:rsid w:val="000721ED"/>
    <w:rsid w:val="00072415"/>
    <w:rsid w:val="00072505"/>
    <w:rsid w:val="00073654"/>
    <w:rsid w:val="00075AB9"/>
    <w:rsid w:val="000774F6"/>
    <w:rsid w:val="00077AA6"/>
    <w:rsid w:val="00077F62"/>
    <w:rsid w:val="000809B1"/>
    <w:rsid w:val="00082955"/>
    <w:rsid w:val="00082E27"/>
    <w:rsid w:val="00083F9A"/>
    <w:rsid w:val="00084741"/>
    <w:rsid w:val="00087919"/>
    <w:rsid w:val="00092915"/>
    <w:rsid w:val="00094B13"/>
    <w:rsid w:val="00094C52"/>
    <w:rsid w:val="00094E69"/>
    <w:rsid w:val="000979CE"/>
    <w:rsid w:val="000A0E4D"/>
    <w:rsid w:val="000A1FBE"/>
    <w:rsid w:val="000A2AC3"/>
    <w:rsid w:val="000A4129"/>
    <w:rsid w:val="000A59A7"/>
    <w:rsid w:val="000A7C0A"/>
    <w:rsid w:val="000B273F"/>
    <w:rsid w:val="000B2BF0"/>
    <w:rsid w:val="000B2F3C"/>
    <w:rsid w:val="000B3373"/>
    <w:rsid w:val="000C21E9"/>
    <w:rsid w:val="000C2DF4"/>
    <w:rsid w:val="000C49E3"/>
    <w:rsid w:val="000C67AC"/>
    <w:rsid w:val="000C6C0D"/>
    <w:rsid w:val="000C7D84"/>
    <w:rsid w:val="000D1296"/>
    <w:rsid w:val="000D137F"/>
    <w:rsid w:val="000D3A27"/>
    <w:rsid w:val="000D3E75"/>
    <w:rsid w:val="000D40DA"/>
    <w:rsid w:val="000D588A"/>
    <w:rsid w:val="000E3372"/>
    <w:rsid w:val="000E6F40"/>
    <w:rsid w:val="000E7A23"/>
    <w:rsid w:val="000F1744"/>
    <w:rsid w:val="000F34B4"/>
    <w:rsid w:val="000F44F2"/>
    <w:rsid w:val="000F4CB9"/>
    <w:rsid w:val="000F5D76"/>
    <w:rsid w:val="000F6957"/>
    <w:rsid w:val="0010011E"/>
    <w:rsid w:val="00101199"/>
    <w:rsid w:val="001020A1"/>
    <w:rsid w:val="00103F80"/>
    <w:rsid w:val="001042DF"/>
    <w:rsid w:val="00105C1D"/>
    <w:rsid w:val="00112C83"/>
    <w:rsid w:val="00114213"/>
    <w:rsid w:val="0011464D"/>
    <w:rsid w:val="00114B2A"/>
    <w:rsid w:val="00115749"/>
    <w:rsid w:val="001167C4"/>
    <w:rsid w:val="001178BC"/>
    <w:rsid w:val="00120164"/>
    <w:rsid w:val="0012107D"/>
    <w:rsid w:val="001226FC"/>
    <w:rsid w:val="0012797F"/>
    <w:rsid w:val="00130536"/>
    <w:rsid w:val="00131DDE"/>
    <w:rsid w:val="0013240E"/>
    <w:rsid w:val="00132579"/>
    <w:rsid w:val="001352D9"/>
    <w:rsid w:val="00136869"/>
    <w:rsid w:val="0013763A"/>
    <w:rsid w:val="001378A6"/>
    <w:rsid w:val="00137ACA"/>
    <w:rsid w:val="00137ED3"/>
    <w:rsid w:val="00140483"/>
    <w:rsid w:val="00141AE5"/>
    <w:rsid w:val="001438D2"/>
    <w:rsid w:val="00145144"/>
    <w:rsid w:val="001451F8"/>
    <w:rsid w:val="00150628"/>
    <w:rsid w:val="00157D64"/>
    <w:rsid w:val="00161825"/>
    <w:rsid w:val="00162A06"/>
    <w:rsid w:val="00163B82"/>
    <w:rsid w:val="00165F67"/>
    <w:rsid w:val="00166905"/>
    <w:rsid w:val="00166C6E"/>
    <w:rsid w:val="00166F41"/>
    <w:rsid w:val="0017023A"/>
    <w:rsid w:val="001726EE"/>
    <w:rsid w:val="001735AA"/>
    <w:rsid w:val="0017397A"/>
    <w:rsid w:val="001748FD"/>
    <w:rsid w:val="0017547F"/>
    <w:rsid w:val="00176438"/>
    <w:rsid w:val="00177636"/>
    <w:rsid w:val="00181E5E"/>
    <w:rsid w:val="001820C8"/>
    <w:rsid w:val="00182F0F"/>
    <w:rsid w:val="00183930"/>
    <w:rsid w:val="00186A11"/>
    <w:rsid w:val="00187F10"/>
    <w:rsid w:val="00190FBE"/>
    <w:rsid w:val="00191189"/>
    <w:rsid w:val="001922AD"/>
    <w:rsid w:val="00193324"/>
    <w:rsid w:val="001944EE"/>
    <w:rsid w:val="00195C02"/>
    <w:rsid w:val="00197B95"/>
    <w:rsid w:val="001A0DC4"/>
    <w:rsid w:val="001A1F90"/>
    <w:rsid w:val="001A42F1"/>
    <w:rsid w:val="001A5353"/>
    <w:rsid w:val="001A6A44"/>
    <w:rsid w:val="001A7449"/>
    <w:rsid w:val="001A7894"/>
    <w:rsid w:val="001A78FD"/>
    <w:rsid w:val="001B0607"/>
    <w:rsid w:val="001B1C3C"/>
    <w:rsid w:val="001B2785"/>
    <w:rsid w:val="001B3581"/>
    <w:rsid w:val="001B4D64"/>
    <w:rsid w:val="001B5FDD"/>
    <w:rsid w:val="001B7A6E"/>
    <w:rsid w:val="001C05BC"/>
    <w:rsid w:val="001C0A8F"/>
    <w:rsid w:val="001C12FC"/>
    <w:rsid w:val="001C54DD"/>
    <w:rsid w:val="001C5876"/>
    <w:rsid w:val="001C5893"/>
    <w:rsid w:val="001C6BE6"/>
    <w:rsid w:val="001C6FC1"/>
    <w:rsid w:val="001C7A0D"/>
    <w:rsid w:val="001D6DF7"/>
    <w:rsid w:val="001D72F2"/>
    <w:rsid w:val="001D7735"/>
    <w:rsid w:val="001D7C61"/>
    <w:rsid w:val="001E0D16"/>
    <w:rsid w:val="001E3327"/>
    <w:rsid w:val="001E3A5D"/>
    <w:rsid w:val="001E4098"/>
    <w:rsid w:val="001E42C6"/>
    <w:rsid w:val="001F06DC"/>
    <w:rsid w:val="001F0B96"/>
    <w:rsid w:val="001F1890"/>
    <w:rsid w:val="001F32AA"/>
    <w:rsid w:val="001F37C4"/>
    <w:rsid w:val="001F4DFF"/>
    <w:rsid w:val="001F57FB"/>
    <w:rsid w:val="001F77DB"/>
    <w:rsid w:val="00201BDE"/>
    <w:rsid w:val="002043E0"/>
    <w:rsid w:val="002047B5"/>
    <w:rsid w:val="002048EF"/>
    <w:rsid w:val="002061B5"/>
    <w:rsid w:val="00210F78"/>
    <w:rsid w:val="00213E01"/>
    <w:rsid w:val="00217218"/>
    <w:rsid w:val="0022058F"/>
    <w:rsid w:val="002211DC"/>
    <w:rsid w:val="002222A7"/>
    <w:rsid w:val="00222572"/>
    <w:rsid w:val="00225C3B"/>
    <w:rsid w:val="00227FDB"/>
    <w:rsid w:val="00231B56"/>
    <w:rsid w:val="00231C6F"/>
    <w:rsid w:val="00232952"/>
    <w:rsid w:val="00233139"/>
    <w:rsid w:val="0023789E"/>
    <w:rsid w:val="00237900"/>
    <w:rsid w:val="00237A2C"/>
    <w:rsid w:val="00242C7B"/>
    <w:rsid w:val="00245939"/>
    <w:rsid w:val="00250C3D"/>
    <w:rsid w:val="0025274D"/>
    <w:rsid w:val="00253DC7"/>
    <w:rsid w:val="002549FC"/>
    <w:rsid w:val="002554A5"/>
    <w:rsid w:val="00257057"/>
    <w:rsid w:val="0025753D"/>
    <w:rsid w:val="00261D11"/>
    <w:rsid w:val="00261F34"/>
    <w:rsid w:val="00261F43"/>
    <w:rsid w:val="002629B3"/>
    <w:rsid w:val="00263060"/>
    <w:rsid w:val="002640AC"/>
    <w:rsid w:val="0026545D"/>
    <w:rsid w:val="00265ABD"/>
    <w:rsid w:val="00265B26"/>
    <w:rsid w:val="002662FB"/>
    <w:rsid w:val="00266C8E"/>
    <w:rsid w:val="00266D6A"/>
    <w:rsid w:val="00266DEE"/>
    <w:rsid w:val="00266FA3"/>
    <w:rsid w:val="002678EB"/>
    <w:rsid w:val="00270092"/>
    <w:rsid w:val="002712DD"/>
    <w:rsid w:val="00271D19"/>
    <w:rsid w:val="00273C1F"/>
    <w:rsid w:val="00273C56"/>
    <w:rsid w:val="00274DA3"/>
    <w:rsid w:val="002750D4"/>
    <w:rsid w:val="002761AF"/>
    <w:rsid w:val="0027632B"/>
    <w:rsid w:val="002765F0"/>
    <w:rsid w:val="00276C41"/>
    <w:rsid w:val="00276E91"/>
    <w:rsid w:val="002800BD"/>
    <w:rsid w:val="00282B1C"/>
    <w:rsid w:val="00283E99"/>
    <w:rsid w:val="0029238A"/>
    <w:rsid w:val="0029355D"/>
    <w:rsid w:val="002938A6"/>
    <w:rsid w:val="00293B48"/>
    <w:rsid w:val="002966F9"/>
    <w:rsid w:val="00296EF6"/>
    <w:rsid w:val="002970D2"/>
    <w:rsid w:val="002972DD"/>
    <w:rsid w:val="002A0EF5"/>
    <w:rsid w:val="002A19F2"/>
    <w:rsid w:val="002A1FA3"/>
    <w:rsid w:val="002A5B23"/>
    <w:rsid w:val="002B041F"/>
    <w:rsid w:val="002B14D2"/>
    <w:rsid w:val="002B2056"/>
    <w:rsid w:val="002B258A"/>
    <w:rsid w:val="002B2945"/>
    <w:rsid w:val="002B37D3"/>
    <w:rsid w:val="002B53BC"/>
    <w:rsid w:val="002B55CA"/>
    <w:rsid w:val="002B7B1F"/>
    <w:rsid w:val="002C1549"/>
    <w:rsid w:val="002C2016"/>
    <w:rsid w:val="002C5826"/>
    <w:rsid w:val="002C5F6E"/>
    <w:rsid w:val="002C5F8F"/>
    <w:rsid w:val="002C7B2A"/>
    <w:rsid w:val="002D0566"/>
    <w:rsid w:val="002D092A"/>
    <w:rsid w:val="002D0B0C"/>
    <w:rsid w:val="002D18F6"/>
    <w:rsid w:val="002D4050"/>
    <w:rsid w:val="002D4935"/>
    <w:rsid w:val="002D4F88"/>
    <w:rsid w:val="002D5AAC"/>
    <w:rsid w:val="002D7683"/>
    <w:rsid w:val="002E4109"/>
    <w:rsid w:val="002E6322"/>
    <w:rsid w:val="002F084D"/>
    <w:rsid w:val="002F0A74"/>
    <w:rsid w:val="002F1BFE"/>
    <w:rsid w:val="002F1ED4"/>
    <w:rsid w:val="002F1F37"/>
    <w:rsid w:val="002F24A5"/>
    <w:rsid w:val="002F31DB"/>
    <w:rsid w:val="002F4E92"/>
    <w:rsid w:val="002F6530"/>
    <w:rsid w:val="0030180E"/>
    <w:rsid w:val="003027D0"/>
    <w:rsid w:val="00305DC4"/>
    <w:rsid w:val="0030615E"/>
    <w:rsid w:val="003064E2"/>
    <w:rsid w:val="003069F0"/>
    <w:rsid w:val="00307792"/>
    <w:rsid w:val="003110D4"/>
    <w:rsid w:val="00311803"/>
    <w:rsid w:val="003122D5"/>
    <w:rsid w:val="003136A0"/>
    <w:rsid w:val="00314973"/>
    <w:rsid w:val="00320F3B"/>
    <w:rsid w:val="00321EF8"/>
    <w:rsid w:val="003226EB"/>
    <w:rsid w:val="003242AE"/>
    <w:rsid w:val="00324B8A"/>
    <w:rsid w:val="003262FA"/>
    <w:rsid w:val="00330717"/>
    <w:rsid w:val="00332A20"/>
    <w:rsid w:val="0033323C"/>
    <w:rsid w:val="00333F88"/>
    <w:rsid w:val="00335961"/>
    <w:rsid w:val="00336042"/>
    <w:rsid w:val="00337289"/>
    <w:rsid w:val="00337756"/>
    <w:rsid w:val="0033789D"/>
    <w:rsid w:val="00342D97"/>
    <w:rsid w:val="00343F42"/>
    <w:rsid w:val="003442D2"/>
    <w:rsid w:val="00346D0B"/>
    <w:rsid w:val="00347686"/>
    <w:rsid w:val="00350098"/>
    <w:rsid w:val="00354834"/>
    <w:rsid w:val="00355028"/>
    <w:rsid w:val="0035505B"/>
    <w:rsid w:val="00355284"/>
    <w:rsid w:val="00356CC9"/>
    <w:rsid w:val="0035710A"/>
    <w:rsid w:val="00357E7C"/>
    <w:rsid w:val="00363744"/>
    <w:rsid w:val="00363A2A"/>
    <w:rsid w:val="003640E2"/>
    <w:rsid w:val="00365395"/>
    <w:rsid w:val="0036737C"/>
    <w:rsid w:val="00367404"/>
    <w:rsid w:val="00371888"/>
    <w:rsid w:val="00372826"/>
    <w:rsid w:val="00372B67"/>
    <w:rsid w:val="00372BF7"/>
    <w:rsid w:val="00372E2A"/>
    <w:rsid w:val="00374205"/>
    <w:rsid w:val="00375395"/>
    <w:rsid w:val="003756C8"/>
    <w:rsid w:val="0038108B"/>
    <w:rsid w:val="00381C57"/>
    <w:rsid w:val="00381E23"/>
    <w:rsid w:val="0038482A"/>
    <w:rsid w:val="00386C98"/>
    <w:rsid w:val="00387978"/>
    <w:rsid w:val="00387DBC"/>
    <w:rsid w:val="00391310"/>
    <w:rsid w:val="00391623"/>
    <w:rsid w:val="003934A0"/>
    <w:rsid w:val="0039371D"/>
    <w:rsid w:val="00394E69"/>
    <w:rsid w:val="003A2070"/>
    <w:rsid w:val="003A2843"/>
    <w:rsid w:val="003A3073"/>
    <w:rsid w:val="003A4B20"/>
    <w:rsid w:val="003A5D6B"/>
    <w:rsid w:val="003A66EA"/>
    <w:rsid w:val="003B08EC"/>
    <w:rsid w:val="003B13F8"/>
    <w:rsid w:val="003B1AD2"/>
    <w:rsid w:val="003B47F3"/>
    <w:rsid w:val="003B4EFA"/>
    <w:rsid w:val="003B4F10"/>
    <w:rsid w:val="003B5645"/>
    <w:rsid w:val="003B6396"/>
    <w:rsid w:val="003B63AE"/>
    <w:rsid w:val="003B6673"/>
    <w:rsid w:val="003B6752"/>
    <w:rsid w:val="003C1F76"/>
    <w:rsid w:val="003C304F"/>
    <w:rsid w:val="003C3B11"/>
    <w:rsid w:val="003C6172"/>
    <w:rsid w:val="003C6B83"/>
    <w:rsid w:val="003D05E2"/>
    <w:rsid w:val="003D1FB5"/>
    <w:rsid w:val="003D2CB9"/>
    <w:rsid w:val="003D489A"/>
    <w:rsid w:val="003D521E"/>
    <w:rsid w:val="003D68C6"/>
    <w:rsid w:val="003E397A"/>
    <w:rsid w:val="003E3A99"/>
    <w:rsid w:val="003E3C3E"/>
    <w:rsid w:val="003E490C"/>
    <w:rsid w:val="003E4F87"/>
    <w:rsid w:val="003E51A3"/>
    <w:rsid w:val="003E74AF"/>
    <w:rsid w:val="003F2680"/>
    <w:rsid w:val="003F51D3"/>
    <w:rsid w:val="003F544E"/>
    <w:rsid w:val="003F5875"/>
    <w:rsid w:val="003F5FF4"/>
    <w:rsid w:val="003F62BB"/>
    <w:rsid w:val="004005AA"/>
    <w:rsid w:val="0040076E"/>
    <w:rsid w:val="00404CFC"/>
    <w:rsid w:val="0041250B"/>
    <w:rsid w:val="004125B6"/>
    <w:rsid w:val="00414199"/>
    <w:rsid w:val="00414DBD"/>
    <w:rsid w:val="00415243"/>
    <w:rsid w:val="00415A2B"/>
    <w:rsid w:val="00415E28"/>
    <w:rsid w:val="004160D8"/>
    <w:rsid w:val="00417405"/>
    <w:rsid w:val="0041764F"/>
    <w:rsid w:val="00417CB6"/>
    <w:rsid w:val="00417CD0"/>
    <w:rsid w:val="004203F7"/>
    <w:rsid w:val="004220EE"/>
    <w:rsid w:val="00422108"/>
    <w:rsid w:val="0042328E"/>
    <w:rsid w:val="00423489"/>
    <w:rsid w:val="004244F2"/>
    <w:rsid w:val="004251A9"/>
    <w:rsid w:val="00427B9C"/>
    <w:rsid w:val="00430F1F"/>
    <w:rsid w:val="004328F8"/>
    <w:rsid w:val="0043403A"/>
    <w:rsid w:val="004347CD"/>
    <w:rsid w:val="00435CB8"/>
    <w:rsid w:val="00436A86"/>
    <w:rsid w:val="00436AEE"/>
    <w:rsid w:val="00437703"/>
    <w:rsid w:val="00441D51"/>
    <w:rsid w:val="00442011"/>
    <w:rsid w:val="0044302A"/>
    <w:rsid w:val="00443A73"/>
    <w:rsid w:val="00444DA5"/>
    <w:rsid w:val="004457BE"/>
    <w:rsid w:val="00447110"/>
    <w:rsid w:val="004511F9"/>
    <w:rsid w:val="00453F3C"/>
    <w:rsid w:val="004561DE"/>
    <w:rsid w:val="00457F76"/>
    <w:rsid w:val="00461A9F"/>
    <w:rsid w:val="004630CC"/>
    <w:rsid w:val="00464D1F"/>
    <w:rsid w:val="004713CC"/>
    <w:rsid w:val="00472070"/>
    <w:rsid w:val="004727D7"/>
    <w:rsid w:val="00472BAF"/>
    <w:rsid w:val="004735C5"/>
    <w:rsid w:val="00473CAC"/>
    <w:rsid w:val="00473E02"/>
    <w:rsid w:val="00475B37"/>
    <w:rsid w:val="004803DB"/>
    <w:rsid w:val="00480565"/>
    <w:rsid w:val="00482D9A"/>
    <w:rsid w:val="00483983"/>
    <w:rsid w:val="0048552F"/>
    <w:rsid w:val="00485E26"/>
    <w:rsid w:val="00486181"/>
    <w:rsid w:val="00486AAD"/>
    <w:rsid w:val="004907B1"/>
    <w:rsid w:val="00491F91"/>
    <w:rsid w:val="00492A8D"/>
    <w:rsid w:val="00493D87"/>
    <w:rsid w:val="004955CB"/>
    <w:rsid w:val="00495B85"/>
    <w:rsid w:val="00495BBE"/>
    <w:rsid w:val="00496224"/>
    <w:rsid w:val="00496AA4"/>
    <w:rsid w:val="00496AB3"/>
    <w:rsid w:val="004A0261"/>
    <w:rsid w:val="004A0591"/>
    <w:rsid w:val="004A213D"/>
    <w:rsid w:val="004A30F8"/>
    <w:rsid w:val="004A3644"/>
    <w:rsid w:val="004A3695"/>
    <w:rsid w:val="004A4A39"/>
    <w:rsid w:val="004A4DD7"/>
    <w:rsid w:val="004A62D1"/>
    <w:rsid w:val="004A69CB"/>
    <w:rsid w:val="004B1994"/>
    <w:rsid w:val="004B3917"/>
    <w:rsid w:val="004B3D61"/>
    <w:rsid w:val="004B3FBE"/>
    <w:rsid w:val="004B79FE"/>
    <w:rsid w:val="004C01E3"/>
    <w:rsid w:val="004C0A30"/>
    <w:rsid w:val="004C143A"/>
    <w:rsid w:val="004C3635"/>
    <w:rsid w:val="004C3DB8"/>
    <w:rsid w:val="004C5249"/>
    <w:rsid w:val="004C5EF2"/>
    <w:rsid w:val="004C7191"/>
    <w:rsid w:val="004C73E5"/>
    <w:rsid w:val="004D205E"/>
    <w:rsid w:val="004D35C9"/>
    <w:rsid w:val="004D5956"/>
    <w:rsid w:val="004D6425"/>
    <w:rsid w:val="004E0BD2"/>
    <w:rsid w:val="004E17BB"/>
    <w:rsid w:val="004E19F3"/>
    <w:rsid w:val="004E3222"/>
    <w:rsid w:val="004E5D44"/>
    <w:rsid w:val="004E6780"/>
    <w:rsid w:val="004E7021"/>
    <w:rsid w:val="004E7A77"/>
    <w:rsid w:val="004F1639"/>
    <w:rsid w:val="004F1793"/>
    <w:rsid w:val="004F1823"/>
    <w:rsid w:val="004F2277"/>
    <w:rsid w:val="004F39A5"/>
    <w:rsid w:val="004F55E9"/>
    <w:rsid w:val="004F64B4"/>
    <w:rsid w:val="00500212"/>
    <w:rsid w:val="005013F3"/>
    <w:rsid w:val="0050326D"/>
    <w:rsid w:val="00505055"/>
    <w:rsid w:val="00506345"/>
    <w:rsid w:val="0051361D"/>
    <w:rsid w:val="00513E19"/>
    <w:rsid w:val="00513E42"/>
    <w:rsid w:val="00514DD9"/>
    <w:rsid w:val="00515900"/>
    <w:rsid w:val="0051672C"/>
    <w:rsid w:val="005171F9"/>
    <w:rsid w:val="00517391"/>
    <w:rsid w:val="00520A74"/>
    <w:rsid w:val="005228A6"/>
    <w:rsid w:val="00523476"/>
    <w:rsid w:val="00523B52"/>
    <w:rsid w:val="0052799C"/>
    <w:rsid w:val="0053181C"/>
    <w:rsid w:val="00532C69"/>
    <w:rsid w:val="005366B7"/>
    <w:rsid w:val="0054254E"/>
    <w:rsid w:val="00544386"/>
    <w:rsid w:val="005446DB"/>
    <w:rsid w:val="00546A51"/>
    <w:rsid w:val="005527FD"/>
    <w:rsid w:val="0055595A"/>
    <w:rsid w:val="00556DFE"/>
    <w:rsid w:val="00557C1C"/>
    <w:rsid w:val="00560A7C"/>
    <w:rsid w:val="00560FA7"/>
    <w:rsid w:val="005639FD"/>
    <w:rsid w:val="005655EE"/>
    <w:rsid w:val="00571F56"/>
    <w:rsid w:val="00572001"/>
    <w:rsid w:val="005722CB"/>
    <w:rsid w:val="0057330A"/>
    <w:rsid w:val="00574C9A"/>
    <w:rsid w:val="00574DE8"/>
    <w:rsid w:val="005751E1"/>
    <w:rsid w:val="0058057E"/>
    <w:rsid w:val="00581CE1"/>
    <w:rsid w:val="00582E9C"/>
    <w:rsid w:val="005839B3"/>
    <w:rsid w:val="00584946"/>
    <w:rsid w:val="00584DDF"/>
    <w:rsid w:val="0058548D"/>
    <w:rsid w:val="00586307"/>
    <w:rsid w:val="00587D27"/>
    <w:rsid w:val="005916DF"/>
    <w:rsid w:val="00592F58"/>
    <w:rsid w:val="00593071"/>
    <w:rsid w:val="005950C2"/>
    <w:rsid w:val="005A07C1"/>
    <w:rsid w:val="005A0EF0"/>
    <w:rsid w:val="005A2274"/>
    <w:rsid w:val="005A2D79"/>
    <w:rsid w:val="005A58F0"/>
    <w:rsid w:val="005A5979"/>
    <w:rsid w:val="005A7919"/>
    <w:rsid w:val="005B122E"/>
    <w:rsid w:val="005B23CF"/>
    <w:rsid w:val="005B61F5"/>
    <w:rsid w:val="005C291B"/>
    <w:rsid w:val="005C3F58"/>
    <w:rsid w:val="005C4C52"/>
    <w:rsid w:val="005C4E88"/>
    <w:rsid w:val="005C4F3F"/>
    <w:rsid w:val="005C513E"/>
    <w:rsid w:val="005C65AD"/>
    <w:rsid w:val="005D07A3"/>
    <w:rsid w:val="005D225C"/>
    <w:rsid w:val="005D45C8"/>
    <w:rsid w:val="005E3B94"/>
    <w:rsid w:val="005E55F5"/>
    <w:rsid w:val="005E7BED"/>
    <w:rsid w:val="005F08DB"/>
    <w:rsid w:val="005F0D61"/>
    <w:rsid w:val="005F0E87"/>
    <w:rsid w:val="005F73F3"/>
    <w:rsid w:val="005F7844"/>
    <w:rsid w:val="005F79F0"/>
    <w:rsid w:val="00600331"/>
    <w:rsid w:val="00602FB6"/>
    <w:rsid w:val="00604CD2"/>
    <w:rsid w:val="00606EDA"/>
    <w:rsid w:val="00607E5F"/>
    <w:rsid w:val="00610037"/>
    <w:rsid w:val="00610A85"/>
    <w:rsid w:val="00610E5C"/>
    <w:rsid w:val="00611FD8"/>
    <w:rsid w:val="006168DA"/>
    <w:rsid w:val="00620036"/>
    <w:rsid w:val="00620ABE"/>
    <w:rsid w:val="00622D11"/>
    <w:rsid w:val="0062341E"/>
    <w:rsid w:val="00624121"/>
    <w:rsid w:val="00625D84"/>
    <w:rsid w:val="00626D55"/>
    <w:rsid w:val="0063054D"/>
    <w:rsid w:val="00630C2C"/>
    <w:rsid w:val="00631289"/>
    <w:rsid w:val="00632ABA"/>
    <w:rsid w:val="00632C3B"/>
    <w:rsid w:val="00634925"/>
    <w:rsid w:val="00636D57"/>
    <w:rsid w:val="00637B9E"/>
    <w:rsid w:val="00637CEA"/>
    <w:rsid w:val="0064112D"/>
    <w:rsid w:val="00641CB9"/>
    <w:rsid w:val="00642166"/>
    <w:rsid w:val="00643405"/>
    <w:rsid w:val="006435B5"/>
    <w:rsid w:val="006436F3"/>
    <w:rsid w:val="00647B4E"/>
    <w:rsid w:val="00650C3B"/>
    <w:rsid w:val="00651C1F"/>
    <w:rsid w:val="006528FC"/>
    <w:rsid w:val="006534F4"/>
    <w:rsid w:val="00656E80"/>
    <w:rsid w:val="00657A72"/>
    <w:rsid w:val="006626B7"/>
    <w:rsid w:val="00663094"/>
    <w:rsid w:val="00664DD7"/>
    <w:rsid w:val="00670815"/>
    <w:rsid w:val="00670AAF"/>
    <w:rsid w:val="0067121E"/>
    <w:rsid w:val="0067149E"/>
    <w:rsid w:val="00671F39"/>
    <w:rsid w:val="00672149"/>
    <w:rsid w:val="0067234C"/>
    <w:rsid w:val="00677547"/>
    <w:rsid w:val="00677978"/>
    <w:rsid w:val="00682B77"/>
    <w:rsid w:val="0068491B"/>
    <w:rsid w:val="00685F22"/>
    <w:rsid w:val="00685FD3"/>
    <w:rsid w:val="00686395"/>
    <w:rsid w:val="006865BB"/>
    <w:rsid w:val="00690B0C"/>
    <w:rsid w:val="0069500B"/>
    <w:rsid w:val="00696783"/>
    <w:rsid w:val="00696966"/>
    <w:rsid w:val="006A1C1E"/>
    <w:rsid w:val="006A3FAB"/>
    <w:rsid w:val="006A5331"/>
    <w:rsid w:val="006A64D8"/>
    <w:rsid w:val="006B26A0"/>
    <w:rsid w:val="006B3C08"/>
    <w:rsid w:val="006B4487"/>
    <w:rsid w:val="006B48D2"/>
    <w:rsid w:val="006B51E1"/>
    <w:rsid w:val="006B5229"/>
    <w:rsid w:val="006B6CC5"/>
    <w:rsid w:val="006C03BB"/>
    <w:rsid w:val="006C1DDD"/>
    <w:rsid w:val="006C4934"/>
    <w:rsid w:val="006C4E86"/>
    <w:rsid w:val="006C558C"/>
    <w:rsid w:val="006C5E5F"/>
    <w:rsid w:val="006C7103"/>
    <w:rsid w:val="006D1D1F"/>
    <w:rsid w:val="006D3374"/>
    <w:rsid w:val="006D33A5"/>
    <w:rsid w:val="006D4AE8"/>
    <w:rsid w:val="006D4EF0"/>
    <w:rsid w:val="006D5382"/>
    <w:rsid w:val="006D5613"/>
    <w:rsid w:val="006D757D"/>
    <w:rsid w:val="006D7C3C"/>
    <w:rsid w:val="006E3221"/>
    <w:rsid w:val="006E7727"/>
    <w:rsid w:val="006F2A0B"/>
    <w:rsid w:val="006F33E0"/>
    <w:rsid w:val="006F358C"/>
    <w:rsid w:val="006F56C4"/>
    <w:rsid w:val="006F5810"/>
    <w:rsid w:val="006F6B48"/>
    <w:rsid w:val="0070208E"/>
    <w:rsid w:val="00702EDC"/>
    <w:rsid w:val="00703750"/>
    <w:rsid w:val="007077C7"/>
    <w:rsid w:val="00707DD2"/>
    <w:rsid w:val="00711130"/>
    <w:rsid w:val="00711B6D"/>
    <w:rsid w:val="007126C0"/>
    <w:rsid w:val="0071567E"/>
    <w:rsid w:val="00717A74"/>
    <w:rsid w:val="007224FA"/>
    <w:rsid w:val="00722F0D"/>
    <w:rsid w:val="007236F8"/>
    <w:rsid w:val="00723AA8"/>
    <w:rsid w:val="00723C4E"/>
    <w:rsid w:val="007242C3"/>
    <w:rsid w:val="00725297"/>
    <w:rsid w:val="0072570D"/>
    <w:rsid w:val="0072745C"/>
    <w:rsid w:val="00730B43"/>
    <w:rsid w:val="00730E64"/>
    <w:rsid w:val="0074046F"/>
    <w:rsid w:val="00740540"/>
    <w:rsid w:val="007409C0"/>
    <w:rsid w:val="00741FFC"/>
    <w:rsid w:val="00742BF5"/>
    <w:rsid w:val="007431AB"/>
    <w:rsid w:val="00743DCD"/>
    <w:rsid w:val="00744208"/>
    <w:rsid w:val="00744429"/>
    <w:rsid w:val="00744BF9"/>
    <w:rsid w:val="007454F3"/>
    <w:rsid w:val="00746C4F"/>
    <w:rsid w:val="007510B9"/>
    <w:rsid w:val="00751AC6"/>
    <w:rsid w:val="00752327"/>
    <w:rsid w:val="00753400"/>
    <w:rsid w:val="00757C1B"/>
    <w:rsid w:val="00761EAE"/>
    <w:rsid w:val="00764C06"/>
    <w:rsid w:val="0076581D"/>
    <w:rsid w:val="007663DE"/>
    <w:rsid w:val="00766668"/>
    <w:rsid w:val="007713C5"/>
    <w:rsid w:val="00772BA2"/>
    <w:rsid w:val="00772C6E"/>
    <w:rsid w:val="00772EDF"/>
    <w:rsid w:val="007753AE"/>
    <w:rsid w:val="007772B0"/>
    <w:rsid w:val="007778FA"/>
    <w:rsid w:val="007803C3"/>
    <w:rsid w:val="007807B4"/>
    <w:rsid w:val="00780CD0"/>
    <w:rsid w:val="007810F8"/>
    <w:rsid w:val="007816AA"/>
    <w:rsid w:val="00781C49"/>
    <w:rsid w:val="00781DD0"/>
    <w:rsid w:val="00782085"/>
    <w:rsid w:val="00782204"/>
    <w:rsid w:val="00782410"/>
    <w:rsid w:val="00782CF3"/>
    <w:rsid w:val="007832E1"/>
    <w:rsid w:val="007858A7"/>
    <w:rsid w:val="007935F3"/>
    <w:rsid w:val="00793F88"/>
    <w:rsid w:val="007A0692"/>
    <w:rsid w:val="007A291D"/>
    <w:rsid w:val="007A2BB9"/>
    <w:rsid w:val="007A37C1"/>
    <w:rsid w:val="007A4C8D"/>
    <w:rsid w:val="007B0EDF"/>
    <w:rsid w:val="007B138B"/>
    <w:rsid w:val="007B1D81"/>
    <w:rsid w:val="007B2DD1"/>
    <w:rsid w:val="007B6BDE"/>
    <w:rsid w:val="007B6E9B"/>
    <w:rsid w:val="007B760F"/>
    <w:rsid w:val="007C0C23"/>
    <w:rsid w:val="007C324B"/>
    <w:rsid w:val="007C60C8"/>
    <w:rsid w:val="007D0D90"/>
    <w:rsid w:val="007D1957"/>
    <w:rsid w:val="007D2579"/>
    <w:rsid w:val="007D382C"/>
    <w:rsid w:val="007D387B"/>
    <w:rsid w:val="007D697A"/>
    <w:rsid w:val="007E130C"/>
    <w:rsid w:val="007E2539"/>
    <w:rsid w:val="007E38A3"/>
    <w:rsid w:val="007E50D1"/>
    <w:rsid w:val="007E5B50"/>
    <w:rsid w:val="007E6A10"/>
    <w:rsid w:val="007F1122"/>
    <w:rsid w:val="007F1D20"/>
    <w:rsid w:val="007F2274"/>
    <w:rsid w:val="007F2502"/>
    <w:rsid w:val="007F2A33"/>
    <w:rsid w:val="007F3D26"/>
    <w:rsid w:val="007F61DE"/>
    <w:rsid w:val="007F6C1D"/>
    <w:rsid w:val="007F6EBA"/>
    <w:rsid w:val="007F6F92"/>
    <w:rsid w:val="008034AB"/>
    <w:rsid w:val="00805AE8"/>
    <w:rsid w:val="0080772B"/>
    <w:rsid w:val="008104C6"/>
    <w:rsid w:val="008116DA"/>
    <w:rsid w:val="00812832"/>
    <w:rsid w:val="00813050"/>
    <w:rsid w:val="0081424D"/>
    <w:rsid w:val="0081467A"/>
    <w:rsid w:val="00815100"/>
    <w:rsid w:val="00816925"/>
    <w:rsid w:val="00817475"/>
    <w:rsid w:val="00821616"/>
    <w:rsid w:val="00821C4B"/>
    <w:rsid w:val="008222A9"/>
    <w:rsid w:val="00823B08"/>
    <w:rsid w:val="00825726"/>
    <w:rsid w:val="0082620E"/>
    <w:rsid w:val="00826A70"/>
    <w:rsid w:val="0082787C"/>
    <w:rsid w:val="00830B7D"/>
    <w:rsid w:val="0083441B"/>
    <w:rsid w:val="008359DD"/>
    <w:rsid w:val="008410FE"/>
    <w:rsid w:val="0084114E"/>
    <w:rsid w:val="0084204E"/>
    <w:rsid w:val="008437B4"/>
    <w:rsid w:val="008472FF"/>
    <w:rsid w:val="00847F11"/>
    <w:rsid w:val="0085033B"/>
    <w:rsid w:val="008506E7"/>
    <w:rsid w:val="00850ECB"/>
    <w:rsid w:val="00851767"/>
    <w:rsid w:val="00852647"/>
    <w:rsid w:val="008529A4"/>
    <w:rsid w:val="00852FC1"/>
    <w:rsid w:val="00855B57"/>
    <w:rsid w:val="00861DA1"/>
    <w:rsid w:val="00861F3B"/>
    <w:rsid w:val="00862275"/>
    <w:rsid w:val="00863720"/>
    <w:rsid w:val="0086385E"/>
    <w:rsid w:val="0086394E"/>
    <w:rsid w:val="008659AE"/>
    <w:rsid w:val="00866049"/>
    <w:rsid w:val="008665A7"/>
    <w:rsid w:val="00867E9F"/>
    <w:rsid w:val="00870324"/>
    <w:rsid w:val="00871925"/>
    <w:rsid w:val="00871A12"/>
    <w:rsid w:val="008737D0"/>
    <w:rsid w:val="00874992"/>
    <w:rsid w:val="0087649D"/>
    <w:rsid w:val="00876B8D"/>
    <w:rsid w:val="00876FA6"/>
    <w:rsid w:val="008773DB"/>
    <w:rsid w:val="00880D6C"/>
    <w:rsid w:val="008811F2"/>
    <w:rsid w:val="0088139D"/>
    <w:rsid w:val="0088307C"/>
    <w:rsid w:val="00886324"/>
    <w:rsid w:val="0088698F"/>
    <w:rsid w:val="00886B3B"/>
    <w:rsid w:val="00890434"/>
    <w:rsid w:val="00890AE6"/>
    <w:rsid w:val="0089104A"/>
    <w:rsid w:val="00892A1B"/>
    <w:rsid w:val="008941F2"/>
    <w:rsid w:val="008955B6"/>
    <w:rsid w:val="008958B5"/>
    <w:rsid w:val="00895B9A"/>
    <w:rsid w:val="008969D4"/>
    <w:rsid w:val="00896B81"/>
    <w:rsid w:val="008A14A4"/>
    <w:rsid w:val="008A14F4"/>
    <w:rsid w:val="008A4243"/>
    <w:rsid w:val="008A4A3F"/>
    <w:rsid w:val="008A515A"/>
    <w:rsid w:val="008B0B9D"/>
    <w:rsid w:val="008B1EDD"/>
    <w:rsid w:val="008B23C5"/>
    <w:rsid w:val="008B3F33"/>
    <w:rsid w:val="008B640E"/>
    <w:rsid w:val="008B74FA"/>
    <w:rsid w:val="008C027B"/>
    <w:rsid w:val="008C02C6"/>
    <w:rsid w:val="008C107C"/>
    <w:rsid w:val="008C15FF"/>
    <w:rsid w:val="008C3D00"/>
    <w:rsid w:val="008C4621"/>
    <w:rsid w:val="008C59F4"/>
    <w:rsid w:val="008C5AAE"/>
    <w:rsid w:val="008C69F9"/>
    <w:rsid w:val="008C6A95"/>
    <w:rsid w:val="008D3D7E"/>
    <w:rsid w:val="008D3F8A"/>
    <w:rsid w:val="008D496E"/>
    <w:rsid w:val="008D721B"/>
    <w:rsid w:val="008D723D"/>
    <w:rsid w:val="008E087D"/>
    <w:rsid w:val="008E0DD6"/>
    <w:rsid w:val="008E1FBD"/>
    <w:rsid w:val="008E296D"/>
    <w:rsid w:val="008E306F"/>
    <w:rsid w:val="008E5165"/>
    <w:rsid w:val="008E7A89"/>
    <w:rsid w:val="008F0058"/>
    <w:rsid w:val="008F0150"/>
    <w:rsid w:val="008F104C"/>
    <w:rsid w:val="008F173D"/>
    <w:rsid w:val="008F17B2"/>
    <w:rsid w:val="008F41D1"/>
    <w:rsid w:val="008F4A51"/>
    <w:rsid w:val="008F4C6E"/>
    <w:rsid w:val="008F4FCF"/>
    <w:rsid w:val="008F5BAC"/>
    <w:rsid w:val="008F66F9"/>
    <w:rsid w:val="008F6FBD"/>
    <w:rsid w:val="008F777C"/>
    <w:rsid w:val="008F7AB3"/>
    <w:rsid w:val="00900AA7"/>
    <w:rsid w:val="009017A6"/>
    <w:rsid w:val="00901BA2"/>
    <w:rsid w:val="00903EF6"/>
    <w:rsid w:val="00904E46"/>
    <w:rsid w:val="009068B9"/>
    <w:rsid w:val="00911298"/>
    <w:rsid w:val="0091295E"/>
    <w:rsid w:val="009135B4"/>
    <w:rsid w:val="00917514"/>
    <w:rsid w:val="00920D59"/>
    <w:rsid w:val="0092380C"/>
    <w:rsid w:val="009256D4"/>
    <w:rsid w:val="009258E7"/>
    <w:rsid w:val="009278CE"/>
    <w:rsid w:val="00927C6A"/>
    <w:rsid w:val="009301E8"/>
    <w:rsid w:val="0093182A"/>
    <w:rsid w:val="00931AF2"/>
    <w:rsid w:val="00932E6C"/>
    <w:rsid w:val="00932FED"/>
    <w:rsid w:val="00934D49"/>
    <w:rsid w:val="00935D4B"/>
    <w:rsid w:val="00936300"/>
    <w:rsid w:val="00936A7C"/>
    <w:rsid w:val="00936AD5"/>
    <w:rsid w:val="00943F9D"/>
    <w:rsid w:val="00946DD7"/>
    <w:rsid w:val="009472D0"/>
    <w:rsid w:val="0095144F"/>
    <w:rsid w:val="00951EE4"/>
    <w:rsid w:val="009526DF"/>
    <w:rsid w:val="00952B60"/>
    <w:rsid w:val="00953294"/>
    <w:rsid w:val="00961542"/>
    <w:rsid w:val="00961CBF"/>
    <w:rsid w:val="0096776D"/>
    <w:rsid w:val="00970481"/>
    <w:rsid w:val="0097064E"/>
    <w:rsid w:val="009710EE"/>
    <w:rsid w:val="00971E9E"/>
    <w:rsid w:val="00974459"/>
    <w:rsid w:val="00975189"/>
    <w:rsid w:val="00976EA6"/>
    <w:rsid w:val="00976F27"/>
    <w:rsid w:val="009803EB"/>
    <w:rsid w:val="00983C74"/>
    <w:rsid w:val="00985537"/>
    <w:rsid w:val="009859CA"/>
    <w:rsid w:val="00985D8C"/>
    <w:rsid w:val="00987145"/>
    <w:rsid w:val="00987891"/>
    <w:rsid w:val="00990C53"/>
    <w:rsid w:val="00991D90"/>
    <w:rsid w:val="00994555"/>
    <w:rsid w:val="009962D7"/>
    <w:rsid w:val="009964B3"/>
    <w:rsid w:val="00996F5D"/>
    <w:rsid w:val="009A10B5"/>
    <w:rsid w:val="009A5290"/>
    <w:rsid w:val="009A77B7"/>
    <w:rsid w:val="009B0DA3"/>
    <w:rsid w:val="009B454B"/>
    <w:rsid w:val="009B5283"/>
    <w:rsid w:val="009B5711"/>
    <w:rsid w:val="009B6E56"/>
    <w:rsid w:val="009B7065"/>
    <w:rsid w:val="009C0E84"/>
    <w:rsid w:val="009C14F9"/>
    <w:rsid w:val="009C6A6E"/>
    <w:rsid w:val="009D1589"/>
    <w:rsid w:val="009D21C1"/>
    <w:rsid w:val="009D6BAF"/>
    <w:rsid w:val="009D6CD7"/>
    <w:rsid w:val="009D6EB2"/>
    <w:rsid w:val="009D71CA"/>
    <w:rsid w:val="009D75EF"/>
    <w:rsid w:val="009D7A9F"/>
    <w:rsid w:val="009E3E10"/>
    <w:rsid w:val="009E4796"/>
    <w:rsid w:val="009E53C1"/>
    <w:rsid w:val="009E5591"/>
    <w:rsid w:val="009E60E1"/>
    <w:rsid w:val="009E75CE"/>
    <w:rsid w:val="009E7860"/>
    <w:rsid w:val="009E7889"/>
    <w:rsid w:val="009F1C9B"/>
    <w:rsid w:val="009F3558"/>
    <w:rsid w:val="009F4E52"/>
    <w:rsid w:val="009F75E4"/>
    <w:rsid w:val="00A0076A"/>
    <w:rsid w:val="00A00A4F"/>
    <w:rsid w:val="00A01142"/>
    <w:rsid w:val="00A01F5A"/>
    <w:rsid w:val="00A02A1D"/>
    <w:rsid w:val="00A03419"/>
    <w:rsid w:val="00A03FBC"/>
    <w:rsid w:val="00A0450C"/>
    <w:rsid w:val="00A069CD"/>
    <w:rsid w:val="00A07629"/>
    <w:rsid w:val="00A079B6"/>
    <w:rsid w:val="00A114D4"/>
    <w:rsid w:val="00A11FE9"/>
    <w:rsid w:val="00A12399"/>
    <w:rsid w:val="00A12A96"/>
    <w:rsid w:val="00A14682"/>
    <w:rsid w:val="00A14949"/>
    <w:rsid w:val="00A15173"/>
    <w:rsid w:val="00A16328"/>
    <w:rsid w:val="00A20395"/>
    <w:rsid w:val="00A239F1"/>
    <w:rsid w:val="00A30236"/>
    <w:rsid w:val="00A31F2A"/>
    <w:rsid w:val="00A321F0"/>
    <w:rsid w:val="00A3227C"/>
    <w:rsid w:val="00A35A1F"/>
    <w:rsid w:val="00A36CBD"/>
    <w:rsid w:val="00A37939"/>
    <w:rsid w:val="00A40576"/>
    <w:rsid w:val="00A406A5"/>
    <w:rsid w:val="00A41362"/>
    <w:rsid w:val="00A418AD"/>
    <w:rsid w:val="00A41AB9"/>
    <w:rsid w:val="00A42BF0"/>
    <w:rsid w:val="00A43C5D"/>
    <w:rsid w:val="00A4583C"/>
    <w:rsid w:val="00A465B1"/>
    <w:rsid w:val="00A465CE"/>
    <w:rsid w:val="00A46724"/>
    <w:rsid w:val="00A46A18"/>
    <w:rsid w:val="00A50287"/>
    <w:rsid w:val="00A50DA6"/>
    <w:rsid w:val="00A52EAF"/>
    <w:rsid w:val="00A5424F"/>
    <w:rsid w:val="00A57B75"/>
    <w:rsid w:val="00A605C5"/>
    <w:rsid w:val="00A64D68"/>
    <w:rsid w:val="00A66381"/>
    <w:rsid w:val="00A6743B"/>
    <w:rsid w:val="00A705E9"/>
    <w:rsid w:val="00A7105B"/>
    <w:rsid w:val="00A71409"/>
    <w:rsid w:val="00A724C9"/>
    <w:rsid w:val="00A72918"/>
    <w:rsid w:val="00A72BDD"/>
    <w:rsid w:val="00A73836"/>
    <w:rsid w:val="00A73CDD"/>
    <w:rsid w:val="00A73DB2"/>
    <w:rsid w:val="00A74CF5"/>
    <w:rsid w:val="00A75587"/>
    <w:rsid w:val="00A75AF2"/>
    <w:rsid w:val="00A76038"/>
    <w:rsid w:val="00A7640C"/>
    <w:rsid w:val="00A7790A"/>
    <w:rsid w:val="00A81644"/>
    <w:rsid w:val="00A8191D"/>
    <w:rsid w:val="00A82721"/>
    <w:rsid w:val="00A8475E"/>
    <w:rsid w:val="00A84B18"/>
    <w:rsid w:val="00A850D3"/>
    <w:rsid w:val="00A85B6F"/>
    <w:rsid w:val="00A86529"/>
    <w:rsid w:val="00A879F9"/>
    <w:rsid w:val="00A87F8A"/>
    <w:rsid w:val="00A91308"/>
    <w:rsid w:val="00A913C0"/>
    <w:rsid w:val="00A916BD"/>
    <w:rsid w:val="00A91ADF"/>
    <w:rsid w:val="00A921D4"/>
    <w:rsid w:val="00A92FE7"/>
    <w:rsid w:val="00A94AEC"/>
    <w:rsid w:val="00A96947"/>
    <w:rsid w:val="00A972C3"/>
    <w:rsid w:val="00AA02E1"/>
    <w:rsid w:val="00AA045A"/>
    <w:rsid w:val="00AA7C68"/>
    <w:rsid w:val="00AB061A"/>
    <w:rsid w:val="00AB3012"/>
    <w:rsid w:val="00AB3D6F"/>
    <w:rsid w:val="00AB704F"/>
    <w:rsid w:val="00AC0936"/>
    <w:rsid w:val="00AC1318"/>
    <w:rsid w:val="00AC45B0"/>
    <w:rsid w:val="00AC4A09"/>
    <w:rsid w:val="00AC51DF"/>
    <w:rsid w:val="00AC6407"/>
    <w:rsid w:val="00AD06B7"/>
    <w:rsid w:val="00AD2E01"/>
    <w:rsid w:val="00AD362A"/>
    <w:rsid w:val="00AD5A72"/>
    <w:rsid w:val="00AD7E0E"/>
    <w:rsid w:val="00AD7E1B"/>
    <w:rsid w:val="00AE0F00"/>
    <w:rsid w:val="00AE1407"/>
    <w:rsid w:val="00AE15E8"/>
    <w:rsid w:val="00AE1783"/>
    <w:rsid w:val="00AE3316"/>
    <w:rsid w:val="00AE5562"/>
    <w:rsid w:val="00AE57D0"/>
    <w:rsid w:val="00AE6611"/>
    <w:rsid w:val="00AE7D90"/>
    <w:rsid w:val="00AF1823"/>
    <w:rsid w:val="00AF1BD9"/>
    <w:rsid w:val="00AF1EA6"/>
    <w:rsid w:val="00AF23C9"/>
    <w:rsid w:val="00AF57D5"/>
    <w:rsid w:val="00B001F8"/>
    <w:rsid w:val="00B00BDF"/>
    <w:rsid w:val="00B02122"/>
    <w:rsid w:val="00B02595"/>
    <w:rsid w:val="00B029E7"/>
    <w:rsid w:val="00B029F2"/>
    <w:rsid w:val="00B029FD"/>
    <w:rsid w:val="00B03471"/>
    <w:rsid w:val="00B03489"/>
    <w:rsid w:val="00B0389E"/>
    <w:rsid w:val="00B04EE1"/>
    <w:rsid w:val="00B07286"/>
    <w:rsid w:val="00B07BBE"/>
    <w:rsid w:val="00B10E77"/>
    <w:rsid w:val="00B13207"/>
    <w:rsid w:val="00B203C5"/>
    <w:rsid w:val="00B2076F"/>
    <w:rsid w:val="00B209A2"/>
    <w:rsid w:val="00B22B00"/>
    <w:rsid w:val="00B22E88"/>
    <w:rsid w:val="00B24DF3"/>
    <w:rsid w:val="00B27F62"/>
    <w:rsid w:val="00B31FE6"/>
    <w:rsid w:val="00B32F81"/>
    <w:rsid w:val="00B36AE6"/>
    <w:rsid w:val="00B40810"/>
    <w:rsid w:val="00B4265F"/>
    <w:rsid w:val="00B4647A"/>
    <w:rsid w:val="00B46F94"/>
    <w:rsid w:val="00B47665"/>
    <w:rsid w:val="00B476C9"/>
    <w:rsid w:val="00B503F6"/>
    <w:rsid w:val="00B50ECB"/>
    <w:rsid w:val="00B5500D"/>
    <w:rsid w:val="00B55172"/>
    <w:rsid w:val="00B55986"/>
    <w:rsid w:val="00B574E6"/>
    <w:rsid w:val="00B66265"/>
    <w:rsid w:val="00B662C0"/>
    <w:rsid w:val="00B6661B"/>
    <w:rsid w:val="00B6781B"/>
    <w:rsid w:val="00B67870"/>
    <w:rsid w:val="00B711DE"/>
    <w:rsid w:val="00B734D2"/>
    <w:rsid w:val="00B7734B"/>
    <w:rsid w:val="00B87550"/>
    <w:rsid w:val="00B87C5E"/>
    <w:rsid w:val="00B9051D"/>
    <w:rsid w:val="00B905B0"/>
    <w:rsid w:val="00B91D9C"/>
    <w:rsid w:val="00B923A9"/>
    <w:rsid w:val="00B926B5"/>
    <w:rsid w:val="00B928DC"/>
    <w:rsid w:val="00B93220"/>
    <w:rsid w:val="00B93BD1"/>
    <w:rsid w:val="00B943D1"/>
    <w:rsid w:val="00B94E1A"/>
    <w:rsid w:val="00B95767"/>
    <w:rsid w:val="00B95D00"/>
    <w:rsid w:val="00B96939"/>
    <w:rsid w:val="00B972B2"/>
    <w:rsid w:val="00B97BF8"/>
    <w:rsid w:val="00BA05DE"/>
    <w:rsid w:val="00BA15E8"/>
    <w:rsid w:val="00BA40E9"/>
    <w:rsid w:val="00BA510F"/>
    <w:rsid w:val="00BA5269"/>
    <w:rsid w:val="00BA6121"/>
    <w:rsid w:val="00BA6AD0"/>
    <w:rsid w:val="00BA6F72"/>
    <w:rsid w:val="00BB1C4F"/>
    <w:rsid w:val="00BB2A10"/>
    <w:rsid w:val="00BB2F98"/>
    <w:rsid w:val="00BB38B5"/>
    <w:rsid w:val="00BB3B88"/>
    <w:rsid w:val="00BB4033"/>
    <w:rsid w:val="00BB505A"/>
    <w:rsid w:val="00BB5BC1"/>
    <w:rsid w:val="00BB769F"/>
    <w:rsid w:val="00BC07C7"/>
    <w:rsid w:val="00BC521F"/>
    <w:rsid w:val="00BC5274"/>
    <w:rsid w:val="00BC5411"/>
    <w:rsid w:val="00BC56F6"/>
    <w:rsid w:val="00BD35E6"/>
    <w:rsid w:val="00BD6CFF"/>
    <w:rsid w:val="00BD73D8"/>
    <w:rsid w:val="00BE0356"/>
    <w:rsid w:val="00BE13A3"/>
    <w:rsid w:val="00BE2FE3"/>
    <w:rsid w:val="00BE3108"/>
    <w:rsid w:val="00BE4026"/>
    <w:rsid w:val="00BE4AB6"/>
    <w:rsid w:val="00BE7B4C"/>
    <w:rsid w:val="00BF0AB8"/>
    <w:rsid w:val="00BF2438"/>
    <w:rsid w:val="00BF2746"/>
    <w:rsid w:val="00BF2C4A"/>
    <w:rsid w:val="00BF3B76"/>
    <w:rsid w:val="00BF45FB"/>
    <w:rsid w:val="00BF584F"/>
    <w:rsid w:val="00BF5A19"/>
    <w:rsid w:val="00BF5ED7"/>
    <w:rsid w:val="00BF5FDA"/>
    <w:rsid w:val="00BF65BB"/>
    <w:rsid w:val="00BF7449"/>
    <w:rsid w:val="00BF7935"/>
    <w:rsid w:val="00C0112E"/>
    <w:rsid w:val="00C019EC"/>
    <w:rsid w:val="00C01C68"/>
    <w:rsid w:val="00C02C66"/>
    <w:rsid w:val="00C036A6"/>
    <w:rsid w:val="00C04D64"/>
    <w:rsid w:val="00C05A76"/>
    <w:rsid w:val="00C07666"/>
    <w:rsid w:val="00C11420"/>
    <w:rsid w:val="00C11591"/>
    <w:rsid w:val="00C1254F"/>
    <w:rsid w:val="00C12F65"/>
    <w:rsid w:val="00C13FED"/>
    <w:rsid w:val="00C14679"/>
    <w:rsid w:val="00C14ABC"/>
    <w:rsid w:val="00C14BC4"/>
    <w:rsid w:val="00C152C1"/>
    <w:rsid w:val="00C15B53"/>
    <w:rsid w:val="00C164D3"/>
    <w:rsid w:val="00C2174A"/>
    <w:rsid w:val="00C21F9B"/>
    <w:rsid w:val="00C239AD"/>
    <w:rsid w:val="00C2553E"/>
    <w:rsid w:val="00C26B4C"/>
    <w:rsid w:val="00C31B9C"/>
    <w:rsid w:val="00C33871"/>
    <w:rsid w:val="00C34345"/>
    <w:rsid w:val="00C349B9"/>
    <w:rsid w:val="00C3522F"/>
    <w:rsid w:val="00C3580A"/>
    <w:rsid w:val="00C41330"/>
    <w:rsid w:val="00C41CAC"/>
    <w:rsid w:val="00C41EE5"/>
    <w:rsid w:val="00C428A4"/>
    <w:rsid w:val="00C43BE0"/>
    <w:rsid w:val="00C43E41"/>
    <w:rsid w:val="00C4453B"/>
    <w:rsid w:val="00C44ACE"/>
    <w:rsid w:val="00C45082"/>
    <w:rsid w:val="00C45224"/>
    <w:rsid w:val="00C45283"/>
    <w:rsid w:val="00C46257"/>
    <w:rsid w:val="00C47C10"/>
    <w:rsid w:val="00C50030"/>
    <w:rsid w:val="00C50C93"/>
    <w:rsid w:val="00C52986"/>
    <w:rsid w:val="00C5565B"/>
    <w:rsid w:val="00C556AB"/>
    <w:rsid w:val="00C55B5D"/>
    <w:rsid w:val="00C56987"/>
    <w:rsid w:val="00C57867"/>
    <w:rsid w:val="00C60256"/>
    <w:rsid w:val="00C602BE"/>
    <w:rsid w:val="00C61037"/>
    <w:rsid w:val="00C61241"/>
    <w:rsid w:val="00C62435"/>
    <w:rsid w:val="00C63343"/>
    <w:rsid w:val="00C6387C"/>
    <w:rsid w:val="00C664CC"/>
    <w:rsid w:val="00C671C3"/>
    <w:rsid w:val="00C72B26"/>
    <w:rsid w:val="00C73865"/>
    <w:rsid w:val="00C75335"/>
    <w:rsid w:val="00C77F62"/>
    <w:rsid w:val="00C80269"/>
    <w:rsid w:val="00C81F10"/>
    <w:rsid w:val="00C824EA"/>
    <w:rsid w:val="00C83A51"/>
    <w:rsid w:val="00C8448E"/>
    <w:rsid w:val="00C855DD"/>
    <w:rsid w:val="00C86653"/>
    <w:rsid w:val="00C911BF"/>
    <w:rsid w:val="00C93F95"/>
    <w:rsid w:val="00C9698C"/>
    <w:rsid w:val="00C97CC0"/>
    <w:rsid w:val="00CA0B92"/>
    <w:rsid w:val="00CA2269"/>
    <w:rsid w:val="00CA3F64"/>
    <w:rsid w:val="00CA4618"/>
    <w:rsid w:val="00CA5EC8"/>
    <w:rsid w:val="00CA747F"/>
    <w:rsid w:val="00CB3487"/>
    <w:rsid w:val="00CB367F"/>
    <w:rsid w:val="00CB4A6A"/>
    <w:rsid w:val="00CB5C96"/>
    <w:rsid w:val="00CB6CCB"/>
    <w:rsid w:val="00CB7257"/>
    <w:rsid w:val="00CB7AE8"/>
    <w:rsid w:val="00CC09F0"/>
    <w:rsid w:val="00CC2310"/>
    <w:rsid w:val="00CC291D"/>
    <w:rsid w:val="00CC29CF"/>
    <w:rsid w:val="00CC47BC"/>
    <w:rsid w:val="00CC4A7B"/>
    <w:rsid w:val="00CC6F60"/>
    <w:rsid w:val="00CD09B7"/>
    <w:rsid w:val="00CD0FE8"/>
    <w:rsid w:val="00CD2726"/>
    <w:rsid w:val="00CD3809"/>
    <w:rsid w:val="00CD40FD"/>
    <w:rsid w:val="00CD58B3"/>
    <w:rsid w:val="00CD5D80"/>
    <w:rsid w:val="00CD650B"/>
    <w:rsid w:val="00CD77F1"/>
    <w:rsid w:val="00CE3A89"/>
    <w:rsid w:val="00CE3EBB"/>
    <w:rsid w:val="00CE6974"/>
    <w:rsid w:val="00CE7411"/>
    <w:rsid w:val="00CE782F"/>
    <w:rsid w:val="00CF14D8"/>
    <w:rsid w:val="00CF1858"/>
    <w:rsid w:val="00CF3B7D"/>
    <w:rsid w:val="00CF497E"/>
    <w:rsid w:val="00CF5021"/>
    <w:rsid w:val="00CF6277"/>
    <w:rsid w:val="00D02CBC"/>
    <w:rsid w:val="00D02D6E"/>
    <w:rsid w:val="00D03BB2"/>
    <w:rsid w:val="00D04352"/>
    <w:rsid w:val="00D04C21"/>
    <w:rsid w:val="00D055C1"/>
    <w:rsid w:val="00D05F54"/>
    <w:rsid w:val="00D068DB"/>
    <w:rsid w:val="00D073A1"/>
    <w:rsid w:val="00D0795C"/>
    <w:rsid w:val="00D07A2A"/>
    <w:rsid w:val="00D11763"/>
    <w:rsid w:val="00D14660"/>
    <w:rsid w:val="00D14DBB"/>
    <w:rsid w:val="00D163B7"/>
    <w:rsid w:val="00D16F6D"/>
    <w:rsid w:val="00D17968"/>
    <w:rsid w:val="00D17D19"/>
    <w:rsid w:val="00D21020"/>
    <w:rsid w:val="00D21702"/>
    <w:rsid w:val="00D247C6"/>
    <w:rsid w:val="00D24C32"/>
    <w:rsid w:val="00D2549A"/>
    <w:rsid w:val="00D3143E"/>
    <w:rsid w:val="00D32FAB"/>
    <w:rsid w:val="00D34F31"/>
    <w:rsid w:val="00D358FE"/>
    <w:rsid w:val="00D413C6"/>
    <w:rsid w:val="00D42ECD"/>
    <w:rsid w:val="00D43558"/>
    <w:rsid w:val="00D440B1"/>
    <w:rsid w:val="00D445BE"/>
    <w:rsid w:val="00D4486D"/>
    <w:rsid w:val="00D464E3"/>
    <w:rsid w:val="00D52943"/>
    <w:rsid w:val="00D53197"/>
    <w:rsid w:val="00D5396B"/>
    <w:rsid w:val="00D53D86"/>
    <w:rsid w:val="00D549D8"/>
    <w:rsid w:val="00D55CCD"/>
    <w:rsid w:val="00D63674"/>
    <w:rsid w:val="00D67154"/>
    <w:rsid w:val="00D70A15"/>
    <w:rsid w:val="00D71C9B"/>
    <w:rsid w:val="00D72240"/>
    <w:rsid w:val="00D72EF7"/>
    <w:rsid w:val="00D74D08"/>
    <w:rsid w:val="00D76C99"/>
    <w:rsid w:val="00D77C8F"/>
    <w:rsid w:val="00D80A94"/>
    <w:rsid w:val="00D81352"/>
    <w:rsid w:val="00D829E5"/>
    <w:rsid w:val="00D84F7B"/>
    <w:rsid w:val="00D8718E"/>
    <w:rsid w:val="00D879B6"/>
    <w:rsid w:val="00D87B15"/>
    <w:rsid w:val="00D9098B"/>
    <w:rsid w:val="00D92EA9"/>
    <w:rsid w:val="00D93E36"/>
    <w:rsid w:val="00D95A3C"/>
    <w:rsid w:val="00D95F90"/>
    <w:rsid w:val="00DA2AEF"/>
    <w:rsid w:val="00DA70B3"/>
    <w:rsid w:val="00DA790E"/>
    <w:rsid w:val="00DB0127"/>
    <w:rsid w:val="00DB0285"/>
    <w:rsid w:val="00DB2804"/>
    <w:rsid w:val="00DB3AE9"/>
    <w:rsid w:val="00DB4001"/>
    <w:rsid w:val="00DB41B3"/>
    <w:rsid w:val="00DB4294"/>
    <w:rsid w:val="00DC0E74"/>
    <w:rsid w:val="00DC0F0D"/>
    <w:rsid w:val="00DC1A0B"/>
    <w:rsid w:val="00DC617A"/>
    <w:rsid w:val="00DC6AE7"/>
    <w:rsid w:val="00DC6CAB"/>
    <w:rsid w:val="00DC7D0E"/>
    <w:rsid w:val="00DD156C"/>
    <w:rsid w:val="00DD225D"/>
    <w:rsid w:val="00DD359B"/>
    <w:rsid w:val="00DD5FA4"/>
    <w:rsid w:val="00DD6A82"/>
    <w:rsid w:val="00DE0EDF"/>
    <w:rsid w:val="00DE240D"/>
    <w:rsid w:val="00DE301F"/>
    <w:rsid w:val="00DE571B"/>
    <w:rsid w:val="00DE5B61"/>
    <w:rsid w:val="00DE77D9"/>
    <w:rsid w:val="00DF26F1"/>
    <w:rsid w:val="00DF294E"/>
    <w:rsid w:val="00DF3294"/>
    <w:rsid w:val="00DF3AEB"/>
    <w:rsid w:val="00DF48ED"/>
    <w:rsid w:val="00DF5956"/>
    <w:rsid w:val="00DF6668"/>
    <w:rsid w:val="00E048BC"/>
    <w:rsid w:val="00E04E89"/>
    <w:rsid w:val="00E0543D"/>
    <w:rsid w:val="00E05F55"/>
    <w:rsid w:val="00E07DF8"/>
    <w:rsid w:val="00E1033F"/>
    <w:rsid w:val="00E1058D"/>
    <w:rsid w:val="00E122F6"/>
    <w:rsid w:val="00E134B7"/>
    <w:rsid w:val="00E14049"/>
    <w:rsid w:val="00E17267"/>
    <w:rsid w:val="00E21A07"/>
    <w:rsid w:val="00E23445"/>
    <w:rsid w:val="00E2748A"/>
    <w:rsid w:val="00E32852"/>
    <w:rsid w:val="00E33B44"/>
    <w:rsid w:val="00E348D3"/>
    <w:rsid w:val="00E360C0"/>
    <w:rsid w:val="00E3626E"/>
    <w:rsid w:val="00E4019F"/>
    <w:rsid w:val="00E41214"/>
    <w:rsid w:val="00E42C2F"/>
    <w:rsid w:val="00E430AE"/>
    <w:rsid w:val="00E43A41"/>
    <w:rsid w:val="00E43D39"/>
    <w:rsid w:val="00E43DB9"/>
    <w:rsid w:val="00E47FC2"/>
    <w:rsid w:val="00E50025"/>
    <w:rsid w:val="00E50BE7"/>
    <w:rsid w:val="00E520E8"/>
    <w:rsid w:val="00E5291E"/>
    <w:rsid w:val="00E52A15"/>
    <w:rsid w:val="00E537E4"/>
    <w:rsid w:val="00E5383D"/>
    <w:rsid w:val="00E5398A"/>
    <w:rsid w:val="00E55DCB"/>
    <w:rsid w:val="00E60171"/>
    <w:rsid w:val="00E609D2"/>
    <w:rsid w:val="00E61BF1"/>
    <w:rsid w:val="00E652F1"/>
    <w:rsid w:val="00E661EC"/>
    <w:rsid w:val="00E668F4"/>
    <w:rsid w:val="00E71E25"/>
    <w:rsid w:val="00E7236D"/>
    <w:rsid w:val="00E74082"/>
    <w:rsid w:val="00E74427"/>
    <w:rsid w:val="00E74967"/>
    <w:rsid w:val="00E76063"/>
    <w:rsid w:val="00E81A68"/>
    <w:rsid w:val="00E81B4B"/>
    <w:rsid w:val="00E8223B"/>
    <w:rsid w:val="00E82859"/>
    <w:rsid w:val="00E8302F"/>
    <w:rsid w:val="00E83A9C"/>
    <w:rsid w:val="00E83F7A"/>
    <w:rsid w:val="00E91905"/>
    <w:rsid w:val="00E92DAB"/>
    <w:rsid w:val="00E930B2"/>
    <w:rsid w:val="00E93F05"/>
    <w:rsid w:val="00E95246"/>
    <w:rsid w:val="00E96093"/>
    <w:rsid w:val="00E96BC4"/>
    <w:rsid w:val="00E96D98"/>
    <w:rsid w:val="00E96FDD"/>
    <w:rsid w:val="00EA03AA"/>
    <w:rsid w:val="00EA03B5"/>
    <w:rsid w:val="00EA1157"/>
    <w:rsid w:val="00EA3B12"/>
    <w:rsid w:val="00EA56AF"/>
    <w:rsid w:val="00EA6EF9"/>
    <w:rsid w:val="00EA7B6F"/>
    <w:rsid w:val="00EB1884"/>
    <w:rsid w:val="00EB2917"/>
    <w:rsid w:val="00EB5887"/>
    <w:rsid w:val="00EB5B4B"/>
    <w:rsid w:val="00EB5BF3"/>
    <w:rsid w:val="00EB6E10"/>
    <w:rsid w:val="00EB780F"/>
    <w:rsid w:val="00EC1987"/>
    <w:rsid w:val="00EC31C6"/>
    <w:rsid w:val="00EC31CB"/>
    <w:rsid w:val="00EC7E10"/>
    <w:rsid w:val="00ED002D"/>
    <w:rsid w:val="00ED01FC"/>
    <w:rsid w:val="00ED1428"/>
    <w:rsid w:val="00ED223D"/>
    <w:rsid w:val="00ED34F4"/>
    <w:rsid w:val="00ED3FDF"/>
    <w:rsid w:val="00ED41CD"/>
    <w:rsid w:val="00ED5A91"/>
    <w:rsid w:val="00EE00CC"/>
    <w:rsid w:val="00EE0BEB"/>
    <w:rsid w:val="00EE3015"/>
    <w:rsid w:val="00EE4AA5"/>
    <w:rsid w:val="00EE5676"/>
    <w:rsid w:val="00EE5B91"/>
    <w:rsid w:val="00EE7027"/>
    <w:rsid w:val="00EE74BA"/>
    <w:rsid w:val="00EE7A87"/>
    <w:rsid w:val="00EF3C0E"/>
    <w:rsid w:val="00EF4442"/>
    <w:rsid w:val="00EF5026"/>
    <w:rsid w:val="00EF56D1"/>
    <w:rsid w:val="00EF575D"/>
    <w:rsid w:val="00EF69DF"/>
    <w:rsid w:val="00EF6FC9"/>
    <w:rsid w:val="00EF764D"/>
    <w:rsid w:val="00F03DFC"/>
    <w:rsid w:val="00F0426A"/>
    <w:rsid w:val="00F04DDF"/>
    <w:rsid w:val="00F06000"/>
    <w:rsid w:val="00F0613B"/>
    <w:rsid w:val="00F06C36"/>
    <w:rsid w:val="00F06ED5"/>
    <w:rsid w:val="00F07078"/>
    <w:rsid w:val="00F1055E"/>
    <w:rsid w:val="00F13FF6"/>
    <w:rsid w:val="00F14690"/>
    <w:rsid w:val="00F15014"/>
    <w:rsid w:val="00F153BF"/>
    <w:rsid w:val="00F1570E"/>
    <w:rsid w:val="00F2049F"/>
    <w:rsid w:val="00F21B70"/>
    <w:rsid w:val="00F21D36"/>
    <w:rsid w:val="00F21F86"/>
    <w:rsid w:val="00F230C6"/>
    <w:rsid w:val="00F2318F"/>
    <w:rsid w:val="00F24051"/>
    <w:rsid w:val="00F24FCD"/>
    <w:rsid w:val="00F26B1D"/>
    <w:rsid w:val="00F30CAB"/>
    <w:rsid w:val="00F31500"/>
    <w:rsid w:val="00F34071"/>
    <w:rsid w:val="00F366FF"/>
    <w:rsid w:val="00F36867"/>
    <w:rsid w:val="00F373A1"/>
    <w:rsid w:val="00F40A20"/>
    <w:rsid w:val="00F41332"/>
    <w:rsid w:val="00F43706"/>
    <w:rsid w:val="00F43A22"/>
    <w:rsid w:val="00F44F69"/>
    <w:rsid w:val="00F44F84"/>
    <w:rsid w:val="00F550E6"/>
    <w:rsid w:val="00F57B69"/>
    <w:rsid w:val="00F62E55"/>
    <w:rsid w:val="00F63699"/>
    <w:rsid w:val="00F647AF"/>
    <w:rsid w:val="00F6492F"/>
    <w:rsid w:val="00F64F41"/>
    <w:rsid w:val="00F6509D"/>
    <w:rsid w:val="00F65678"/>
    <w:rsid w:val="00F67700"/>
    <w:rsid w:val="00F67EE5"/>
    <w:rsid w:val="00F704EC"/>
    <w:rsid w:val="00F7078F"/>
    <w:rsid w:val="00F70C4A"/>
    <w:rsid w:val="00F72FAB"/>
    <w:rsid w:val="00F739F7"/>
    <w:rsid w:val="00F741A1"/>
    <w:rsid w:val="00F77466"/>
    <w:rsid w:val="00F774DB"/>
    <w:rsid w:val="00F80067"/>
    <w:rsid w:val="00F84B14"/>
    <w:rsid w:val="00F85C68"/>
    <w:rsid w:val="00F86409"/>
    <w:rsid w:val="00F86B41"/>
    <w:rsid w:val="00F903B2"/>
    <w:rsid w:val="00F90A2E"/>
    <w:rsid w:val="00F914B5"/>
    <w:rsid w:val="00F91A02"/>
    <w:rsid w:val="00F9278A"/>
    <w:rsid w:val="00F92864"/>
    <w:rsid w:val="00F94AE3"/>
    <w:rsid w:val="00F95E2F"/>
    <w:rsid w:val="00F97458"/>
    <w:rsid w:val="00F97585"/>
    <w:rsid w:val="00F97C60"/>
    <w:rsid w:val="00FA10C9"/>
    <w:rsid w:val="00FA1565"/>
    <w:rsid w:val="00FA19B9"/>
    <w:rsid w:val="00FA1F4F"/>
    <w:rsid w:val="00FA276E"/>
    <w:rsid w:val="00FA3692"/>
    <w:rsid w:val="00FA3BFC"/>
    <w:rsid w:val="00FA3CB0"/>
    <w:rsid w:val="00FA4881"/>
    <w:rsid w:val="00FA48A0"/>
    <w:rsid w:val="00FA573C"/>
    <w:rsid w:val="00FA65B9"/>
    <w:rsid w:val="00FA71BF"/>
    <w:rsid w:val="00FB05AD"/>
    <w:rsid w:val="00FB0FE0"/>
    <w:rsid w:val="00FB2237"/>
    <w:rsid w:val="00FB321F"/>
    <w:rsid w:val="00FB34D2"/>
    <w:rsid w:val="00FB6A8D"/>
    <w:rsid w:val="00FC06B8"/>
    <w:rsid w:val="00FC226E"/>
    <w:rsid w:val="00FC5BEE"/>
    <w:rsid w:val="00FC5DA9"/>
    <w:rsid w:val="00FC6E17"/>
    <w:rsid w:val="00FC71B1"/>
    <w:rsid w:val="00FC7642"/>
    <w:rsid w:val="00FC7BFF"/>
    <w:rsid w:val="00FD0C35"/>
    <w:rsid w:val="00FD16A2"/>
    <w:rsid w:val="00FD2088"/>
    <w:rsid w:val="00FD5934"/>
    <w:rsid w:val="00FD5EC2"/>
    <w:rsid w:val="00FD6F5F"/>
    <w:rsid w:val="00FE002D"/>
    <w:rsid w:val="00FE0218"/>
    <w:rsid w:val="00FE1F05"/>
    <w:rsid w:val="00FE485E"/>
    <w:rsid w:val="00FE5BAC"/>
    <w:rsid w:val="00FF223F"/>
    <w:rsid w:val="00FF24DA"/>
    <w:rsid w:val="00FF5185"/>
    <w:rsid w:val="00FF55BB"/>
    <w:rsid w:val="00FF5F78"/>
    <w:rsid w:val="00FF6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8D528"/>
  <w15:docId w15:val="{FEDB2982-1584-4A1D-98E1-B3B2F7A5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AAC"/>
    <w:pPr>
      <w:spacing w:after="240" w:line="320" w:lineRule="atLeast"/>
      <w:jc w:val="both"/>
    </w:pPr>
    <w:rPr>
      <w:rFonts w:ascii="Times New Roman" w:hAnsi="Times New Roman"/>
      <w:lang w:val="es-MX"/>
    </w:rPr>
  </w:style>
  <w:style w:type="paragraph" w:styleId="Ttulo1">
    <w:name w:val="heading 1"/>
    <w:next w:val="Normal"/>
    <w:link w:val="Ttulo1Car"/>
    <w:uiPriority w:val="99"/>
    <w:qFormat/>
    <w:rsid w:val="00DE301F"/>
    <w:pPr>
      <w:keepNext/>
      <w:keepLines/>
      <w:pageBreakBefore/>
      <w:numPr>
        <w:numId w:val="7"/>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7"/>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7"/>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7"/>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2"/>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spacing w:after="360" w:line="320" w:lineRule="atLeast"/>
      <w:jc w:val="center"/>
    </w:pPr>
    <w:rPr>
      <w:rFonts w:ascii="Times New Roman" w:hAnsi="Times New Roman"/>
    </w:rPr>
  </w:style>
  <w:style w:type="paragraph" w:styleId="Descripcin">
    <w:name w:val="caption"/>
    <w:next w:val="Normal"/>
    <w:uiPriority w:val="35"/>
    <w:qFormat/>
    <w:rsid w:val="00FC226E"/>
    <w:pPr>
      <w:keepNext/>
      <w:pBdr>
        <w:bottom w:val="single" w:sz="6" w:space="3" w:color="A6A6A6"/>
      </w:pBdr>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517391"/>
    <w:pP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link w:val="TextonotapieCar"/>
    <w:unhideWhenUsed/>
    <w:qFormat/>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9"/>
      </w:numPr>
      <w:spacing w:after="0"/>
      <w:ind w:left="714" w:hanging="357"/>
    </w:pPr>
  </w:style>
  <w:style w:type="paragraph" w:styleId="Listaconnmeros">
    <w:name w:val="List Number"/>
    <w:basedOn w:val="Normal"/>
    <w:uiPriority w:val="99"/>
    <w:semiHidden/>
    <w:unhideWhenUsed/>
    <w:rsid w:val="003934A0"/>
    <w:pPr>
      <w:numPr>
        <w:numId w:val="3"/>
      </w:numPr>
      <w:contextualSpacing/>
    </w:pPr>
  </w:style>
  <w:style w:type="paragraph" w:customStyle="1" w:styleId="Annex1">
    <w:name w:val="Annex 1"/>
    <w:next w:val="Normal"/>
    <w:qFormat/>
    <w:rsid w:val="00444DA5"/>
    <w:pPr>
      <w:keepNext/>
      <w:pageBreakBefore/>
      <w:numPr>
        <w:numId w:val="4"/>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9"/>
    <w:rsid w:val="00BE4026"/>
    <w:rPr>
      <w:rFonts w:ascii="Times New Roman" w:eastAsiaTheme="majorEastAsia" w:hAnsi="Times New Roman" w:cstheme="majorBidi"/>
      <w:b/>
      <w:bCs/>
      <w:sz w:val="24"/>
      <w:szCs w:val="26"/>
      <w:lang w:val="es-MX"/>
    </w:rPr>
  </w:style>
  <w:style w:type="character" w:customStyle="1" w:styleId="Ttulo3Car">
    <w:name w:val="Título 3 Car"/>
    <w:basedOn w:val="Fuentedeprrafopredeter"/>
    <w:link w:val="Ttulo3"/>
    <w:uiPriority w:val="99"/>
    <w:rsid w:val="0013763A"/>
    <w:rPr>
      <w:rFonts w:ascii="Times New Roman" w:eastAsiaTheme="majorEastAsia" w:hAnsi="Times New Roman" w:cstheme="majorBidi"/>
      <w:b/>
      <w:bCs/>
      <w:lang w:val="es-MX"/>
    </w:rPr>
  </w:style>
  <w:style w:type="numbering" w:styleId="1ai">
    <w:name w:val="Outline List 1"/>
    <w:basedOn w:val="Sinlista"/>
    <w:uiPriority w:val="99"/>
    <w:unhideWhenUsed/>
    <w:rsid w:val="003C6172"/>
    <w:pPr>
      <w:numPr>
        <w:numId w:val="5"/>
      </w:numPr>
    </w:p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rsid w:val="00A705E9"/>
    <w:rPr>
      <w:rFonts w:ascii="Arial" w:hAnsi="Arial"/>
      <w:sz w:val="16"/>
      <w:szCs w:val="20"/>
    </w:rPr>
  </w:style>
  <w:style w:type="character" w:styleId="Refdenotaalpie">
    <w:name w:val="footnote reference"/>
    <w:aliases w:val="Ref,de nota al pie,(NECG) Footnote Reference,o,fr,Style 3,Appel note de bas de p,Style 12,Style 124,Ref. de nota al pie 2,Style 6,Footnote Reference Superscript,Style 13,FR,Style 17,Footnote Reference/,Texto de nota al pie,註腳內容,11 pt"/>
    <w:basedOn w:val="Fuentedeprrafopredeter"/>
    <w:uiPriority w:val="99"/>
    <w:unhideWhenUsed/>
    <w:qFormat/>
    <w:rsid w:val="00486181"/>
    <w:rPr>
      <w:rFonts w:ascii="Arial" w:hAnsi="Arial"/>
      <w:b w:val="0"/>
      <w:i w:val="0"/>
      <w:sz w:val="20"/>
      <w:vertAlign w:val="superscript"/>
    </w:rPr>
  </w:style>
  <w:style w:type="paragraph" w:styleId="Piedepgina">
    <w:name w:val="footer"/>
    <w:link w:val="PiedepginaCar"/>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lang w:val="es-MX"/>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6"/>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8"/>
      </w:numPr>
      <w:spacing w:after="200"/>
      <w:ind w:left="357" w:hanging="357"/>
    </w:pPr>
    <w:rPr>
      <w:i/>
    </w:rPr>
  </w:style>
  <w:style w:type="character" w:customStyle="1" w:styleId="H5Char">
    <w:name w:val="H5 Char"/>
    <w:basedOn w:val="Fuentedeprrafopredeter"/>
    <w:link w:val="H5"/>
    <w:rsid w:val="00696966"/>
    <w:rPr>
      <w:rFonts w:ascii="Times New Roman" w:hAnsi="Times New Roman"/>
      <w:i/>
      <w:lang w:val="es-MX"/>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lang w:val="es-MX"/>
    </w:rPr>
  </w:style>
  <w:style w:type="paragraph" w:customStyle="1" w:styleId="Annex2">
    <w:name w:val="Annex 2"/>
    <w:next w:val="Normal"/>
    <w:qFormat/>
    <w:rsid w:val="000C49E3"/>
    <w:pPr>
      <w:keepNext/>
      <w:numPr>
        <w:ilvl w:val="1"/>
        <w:numId w:val="4"/>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4"/>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4"/>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basedOn w:val="Normal"/>
    <w:uiPriority w:val="1"/>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unhideWhenUsed/>
    <w:rsid w:val="001438D2"/>
    <w:rPr>
      <w:sz w:val="16"/>
      <w:szCs w:val="16"/>
    </w:rPr>
  </w:style>
  <w:style w:type="paragraph" w:customStyle="1" w:styleId="Default">
    <w:name w:val="Default"/>
    <w:rsid w:val="00D5396B"/>
    <w:pPr>
      <w:autoSpaceDE w:val="0"/>
      <w:autoSpaceDN w:val="0"/>
      <w:adjustRightInd w:val="0"/>
      <w:spacing w:after="0" w:line="240" w:lineRule="auto"/>
    </w:pPr>
    <w:rPr>
      <w:rFonts w:ascii="Courier New" w:hAnsi="Courier New" w:cs="Courier New"/>
      <w:color w:val="000000"/>
      <w:sz w:val="24"/>
      <w:szCs w:val="24"/>
    </w:rPr>
  </w:style>
  <w:style w:type="paragraph" w:customStyle="1" w:styleId="IFTnormal">
    <w:name w:val="IFT normal"/>
    <w:basedOn w:val="Normal"/>
    <w:link w:val="IFTnormalCar"/>
    <w:qFormat/>
    <w:rsid w:val="00574C9A"/>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574C9A"/>
    <w:rPr>
      <w:rFonts w:ascii="ITC Avant Garde" w:eastAsia="Calibri" w:hAnsi="ITC Avant Garde" w:cs="Arial"/>
      <w:color w:val="000000"/>
      <w:lang w:val="es-ES_tradnl" w:eastAsia="es-ES"/>
    </w:rPr>
  </w:style>
  <w:style w:type="paragraph" w:customStyle="1" w:styleId="TableCaption">
    <w:name w:val="Table Caption"/>
    <w:basedOn w:val="Normal"/>
    <w:link w:val="TableCaptionChar"/>
    <w:rsid w:val="006D5382"/>
    <w:pPr>
      <w:keepNext/>
      <w:spacing w:after="160" w:line="280" w:lineRule="atLeast"/>
      <w:jc w:val="left"/>
    </w:pPr>
    <w:rPr>
      <w:rFonts w:ascii="Arial" w:hAnsi="Arial" w:cs="Arial"/>
      <w:i/>
      <w:color w:val="548DD4" w:themeColor="text2" w:themeTint="99"/>
      <w:sz w:val="18"/>
      <w:szCs w:val="18"/>
      <w:lang w:val="es-ES_tradnl"/>
    </w:rPr>
  </w:style>
  <w:style w:type="character" w:customStyle="1" w:styleId="TableCaptionChar">
    <w:name w:val="Table Caption Char"/>
    <w:basedOn w:val="Fuentedeprrafopredeter"/>
    <w:link w:val="TableCaption"/>
    <w:rsid w:val="006D5382"/>
    <w:rPr>
      <w:rFonts w:ascii="Arial" w:hAnsi="Arial" w:cs="Arial"/>
      <w:i/>
      <w:color w:val="548DD4" w:themeColor="text2" w:themeTint="99"/>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36CBD"/>
    <w:rPr>
      <w:b/>
      <w:bCs/>
    </w:rPr>
  </w:style>
  <w:style w:type="character" w:customStyle="1" w:styleId="AsuntodelcomentarioCar">
    <w:name w:val="Asunto del comentario Car"/>
    <w:basedOn w:val="TextocomentarioCar"/>
    <w:link w:val="Asuntodelcomentario"/>
    <w:uiPriority w:val="99"/>
    <w:semiHidden/>
    <w:rsid w:val="00A36CBD"/>
    <w:rPr>
      <w:rFonts w:ascii="Times New Roman" w:hAnsi="Times New Roman"/>
      <w:b/>
      <w:bCs/>
      <w:sz w:val="20"/>
      <w:szCs w:val="20"/>
    </w:rPr>
  </w:style>
  <w:style w:type="paragraph" w:customStyle="1" w:styleId="IFTTexto">
    <w:name w:val="IFT Texto"/>
    <w:link w:val="IFTTextoCar"/>
    <w:qFormat/>
    <w:rsid w:val="007713C5"/>
    <w:pPr>
      <w:spacing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713C5"/>
    <w:rPr>
      <w:rFonts w:ascii="ITC Avant Garde" w:eastAsia="Calibri" w:hAnsi="ITC Avant Garde" w:cs="Arial"/>
      <w:color w:val="000000"/>
      <w:lang w:val="es-ES_tradnl" w:eastAsia="es-ES"/>
    </w:rPr>
  </w:style>
  <w:style w:type="paragraph" w:styleId="Textoindependiente">
    <w:name w:val="Body Text"/>
    <w:basedOn w:val="Normal"/>
    <w:link w:val="TextoindependienteCar"/>
    <w:uiPriority w:val="99"/>
    <w:unhideWhenUsed/>
    <w:rsid w:val="00E50025"/>
    <w:pPr>
      <w:spacing w:after="120"/>
    </w:pPr>
  </w:style>
  <w:style w:type="character" w:customStyle="1" w:styleId="TextoindependienteCar">
    <w:name w:val="Texto independiente Car"/>
    <w:basedOn w:val="Fuentedeprrafopredeter"/>
    <w:link w:val="Textoindependiente"/>
    <w:uiPriority w:val="99"/>
    <w:rsid w:val="00E50025"/>
    <w:rPr>
      <w:rFonts w:ascii="Times New Roman" w:hAnsi="Times New Roman"/>
    </w:rPr>
  </w:style>
  <w:style w:type="paragraph" w:styleId="Cita">
    <w:name w:val="Quote"/>
    <w:basedOn w:val="Normal"/>
    <w:next w:val="Normal"/>
    <w:link w:val="CitaCar"/>
    <w:uiPriority w:val="29"/>
    <w:qFormat/>
    <w:rsid w:val="008F4FCF"/>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8F4FCF"/>
    <w:rPr>
      <w:rFonts w:ascii="Times New Roman" w:hAnsi="Times New Roman"/>
      <w:i/>
      <w:iCs/>
      <w:color w:val="404040" w:themeColor="text1" w:themeTint="BF"/>
    </w:rPr>
  </w:style>
  <w:style w:type="paragraph" w:customStyle="1" w:styleId="CitaIFT">
    <w:name w:val="Cita IFT"/>
    <w:basedOn w:val="Normal"/>
    <w:link w:val="CitaIFTCar"/>
    <w:qFormat/>
    <w:rsid w:val="00005E3D"/>
    <w:pPr>
      <w:adjustRightInd w:val="0"/>
      <w:spacing w:after="200" w:line="276" w:lineRule="auto"/>
      <w:ind w:left="851" w:right="760"/>
    </w:pPr>
    <w:rPr>
      <w:rFonts w:ascii="ITC Avant Garde" w:eastAsia="Times New Roman" w:hAnsi="ITC Avant Garde" w:cs="Arial"/>
      <w:bCs/>
      <w:i/>
      <w:color w:val="000000"/>
      <w:sz w:val="18"/>
      <w:szCs w:val="18"/>
      <w:lang w:val="es-ES_tradnl" w:eastAsia="es-ES"/>
    </w:rPr>
  </w:style>
  <w:style w:type="character" w:customStyle="1" w:styleId="CitaIFTCar">
    <w:name w:val="Cita IFT Car"/>
    <w:link w:val="CitaIFT"/>
    <w:qFormat/>
    <w:rsid w:val="00005E3D"/>
    <w:rPr>
      <w:rFonts w:ascii="ITC Avant Garde" w:eastAsia="Times New Roman" w:hAnsi="ITC Avant Garde" w:cs="Arial"/>
      <w:bCs/>
      <w:i/>
      <w:color w:val="000000"/>
      <w:sz w:val="18"/>
      <w:szCs w:val="18"/>
      <w:lang w:val="es-ES_tradnl" w:eastAsia="es-ES"/>
    </w:rPr>
  </w:style>
  <w:style w:type="paragraph" w:customStyle="1" w:styleId="CondicionesFinales">
    <w:name w:val="CondicionesFinales"/>
    <w:basedOn w:val="Normal"/>
    <w:qFormat/>
    <w:rsid w:val="00043A7C"/>
    <w:pPr>
      <w:adjustRightInd w:val="0"/>
      <w:spacing w:after="200" w:line="276" w:lineRule="auto"/>
      <w:ind w:left="851" w:right="760"/>
    </w:pPr>
    <w:rPr>
      <w:rFonts w:ascii="ITC Avant Garde" w:eastAsia="Times New Roman" w:hAnsi="ITC Avant Garde" w:cs="Arial"/>
      <w:bCs/>
      <w:color w:val="000000"/>
      <w:lang w:val="es-ES_tradnl" w:eastAsia="es-ES"/>
    </w:rPr>
  </w:style>
  <w:style w:type="numbering" w:customStyle="1" w:styleId="1ai1">
    <w:name w:val="1 / a / i1"/>
    <w:basedOn w:val="Sinlista"/>
    <w:next w:val="1ai"/>
    <w:uiPriority w:val="99"/>
    <w:unhideWhenUsed/>
    <w:rsid w:val="00A12399"/>
  </w:style>
  <w:style w:type="character" w:styleId="Mencinsinresolver">
    <w:name w:val="Unresolved Mention"/>
    <w:basedOn w:val="Fuentedeprrafopredeter"/>
    <w:uiPriority w:val="99"/>
    <w:semiHidden/>
    <w:unhideWhenUsed/>
    <w:rsid w:val="00E91905"/>
    <w:rPr>
      <w:color w:val="605E5C"/>
      <w:shd w:val="clear" w:color="auto" w:fill="E1DFDD"/>
    </w:rPr>
  </w:style>
  <w:style w:type="character" w:customStyle="1" w:styleId="1TitPrinCar">
    <w:name w:val="1TitPrin Car"/>
    <w:link w:val="1TitPrin"/>
    <w:locked/>
    <w:rsid w:val="00EE5B91"/>
    <w:rPr>
      <w:rFonts w:ascii="ITC Avant Garde" w:eastAsia="Calibri" w:hAnsi="ITC Avant Garde" w:cs="Arial"/>
      <w:b/>
      <w:u w:val="single"/>
      <w:lang w:val="es-ES" w:eastAsia="es-ES"/>
    </w:rPr>
  </w:style>
  <w:style w:type="paragraph" w:customStyle="1" w:styleId="1TitPrin">
    <w:name w:val="1TitPrin"/>
    <w:basedOn w:val="Ttulo1"/>
    <w:link w:val="1TitPrinCar"/>
    <w:autoRedefine/>
    <w:qFormat/>
    <w:rsid w:val="00EE5B91"/>
    <w:pPr>
      <w:keepNext w:val="0"/>
      <w:keepLines w:val="0"/>
      <w:pageBreakBefore w:val="0"/>
      <w:numPr>
        <w:numId w:val="0"/>
      </w:numPr>
      <w:spacing w:after="200" w:line="276" w:lineRule="auto"/>
      <w:jc w:val="both"/>
    </w:pPr>
    <w:rPr>
      <w:rFonts w:ascii="ITC Avant Garde" w:eastAsia="Calibri" w:hAnsi="ITC Avant Garde" w:cs="Arial"/>
      <w:b/>
      <w:bCs w:val="0"/>
      <w:sz w:val="22"/>
      <w:szCs w:val="22"/>
      <w:u w:val="single"/>
      <w:lang w:val="es-ES" w:eastAsia="es-ES"/>
    </w:rPr>
  </w:style>
  <w:style w:type="table" w:customStyle="1" w:styleId="Tablaconcuadrcula2">
    <w:name w:val="Tabla con cuadrícula2"/>
    <w:basedOn w:val="Tablanormal"/>
    <w:next w:val="Tablaconcuadrcula"/>
    <w:uiPriority w:val="59"/>
    <w:rsid w:val="007409C0"/>
    <w:pPr>
      <w:spacing w:after="0" w:line="240" w:lineRule="auto"/>
    </w:pPr>
    <w:rPr>
      <w:rFonts w:ascii="Times New Roman" w:eastAsia="Times New Roman" w:hAnsi="Times New Roman" w:cs="Times New Roman"/>
      <w:sz w:val="20"/>
      <w:szCs w:val="20"/>
      <w:lang w:val="es-MX"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7409C0"/>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fasis">
    <w:name w:val="Emphasis"/>
    <w:aliases w:val="Título 4 (1.1.1)"/>
    <w:uiPriority w:val="20"/>
    <w:qFormat/>
    <w:rsid w:val="00EC1987"/>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table" w:customStyle="1" w:styleId="Cuadrculadetablaclara1">
    <w:name w:val="Cuadrícula de tabla clara1"/>
    <w:basedOn w:val="Tablanormal"/>
    <w:uiPriority w:val="40"/>
    <w:rsid w:val="00F41332"/>
    <w:pPr>
      <w:spacing w:after="0" w:line="240" w:lineRule="auto"/>
    </w:pPr>
    <w:rPr>
      <w:rFonts w:ascii="Calibri" w:eastAsia="Calibri" w:hAnsi="Calibri" w:cs="Times New Roman"/>
      <w:sz w:val="20"/>
      <w:szCs w:val="20"/>
      <w:lang w:val="es-MX"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itaift0">
    <w:name w:val="Cita ift"/>
    <w:basedOn w:val="Normal"/>
    <w:link w:val="CitaiftCar0"/>
    <w:qFormat/>
    <w:rsid w:val="00971E9E"/>
    <w:pPr>
      <w:adjustRightInd w:val="0"/>
      <w:spacing w:after="200" w:line="276" w:lineRule="auto"/>
      <w:ind w:left="851" w:right="760"/>
    </w:pPr>
    <w:rPr>
      <w:rFonts w:ascii="ITC Avant Garde" w:eastAsia="Times New Roman" w:hAnsi="ITC Avant Garde" w:cs="Arial"/>
      <w:i/>
      <w:color w:val="000000"/>
      <w:sz w:val="18"/>
      <w:szCs w:val="18"/>
      <w:lang w:eastAsia="es-ES"/>
    </w:rPr>
  </w:style>
  <w:style w:type="character" w:customStyle="1" w:styleId="CitaiftCar0">
    <w:name w:val="Cita ift Car"/>
    <w:link w:val="Citaift0"/>
    <w:rsid w:val="00971E9E"/>
    <w:rPr>
      <w:rFonts w:ascii="ITC Avant Garde" w:eastAsia="Times New Roman" w:hAnsi="ITC Avant Garde" w:cs="Arial"/>
      <w:i/>
      <w:color w:val="000000"/>
      <w:sz w:val="18"/>
      <w:szCs w:val="18"/>
      <w:lang w:val="es-MX" w:eastAsia="es-ES"/>
    </w:rPr>
  </w:style>
  <w:style w:type="paragraph" w:styleId="Revisin">
    <w:name w:val="Revision"/>
    <w:hidden/>
    <w:uiPriority w:val="99"/>
    <w:semiHidden/>
    <w:rsid w:val="00E21A07"/>
    <w:pPr>
      <w:spacing w:after="0" w:line="240" w:lineRule="auto"/>
    </w:pPr>
    <w:rPr>
      <w:rFonts w:ascii="Times New Roman" w:hAnsi="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101346312">
      <w:bodyDiv w:val="1"/>
      <w:marLeft w:val="0"/>
      <w:marRight w:val="0"/>
      <w:marTop w:val="0"/>
      <w:marBottom w:val="0"/>
      <w:divBdr>
        <w:top w:val="none" w:sz="0" w:space="0" w:color="auto"/>
        <w:left w:val="none" w:sz="0" w:space="0" w:color="auto"/>
        <w:bottom w:val="none" w:sz="0" w:space="0" w:color="auto"/>
        <w:right w:val="none" w:sz="0" w:space="0" w:color="auto"/>
      </w:divBdr>
      <w:divsChild>
        <w:div w:id="1655134927">
          <w:marLeft w:val="0"/>
          <w:marRight w:val="0"/>
          <w:marTop w:val="0"/>
          <w:marBottom w:val="0"/>
          <w:divBdr>
            <w:top w:val="single" w:sz="2" w:space="0" w:color="D9D9E3"/>
            <w:left w:val="single" w:sz="2" w:space="0" w:color="D9D9E3"/>
            <w:bottom w:val="single" w:sz="2" w:space="0" w:color="D9D9E3"/>
            <w:right w:val="single" w:sz="2" w:space="0" w:color="D9D9E3"/>
          </w:divBdr>
          <w:divsChild>
            <w:div w:id="498890406">
              <w:marLeft w:val="0"/>
              <w:marRight w:val="0"/>
              <w:marTop w:val="0"/>
              <w:marBottom w:val="0"/>
              <w:divBdr>
                <w:top w:val="single" w:sz="2" w:space="0" w:color="D9D9E3"/>
                <w:left w:val="single" w:sz="2" w:space="0" w:color="D9D9E3"/>
                <w:bottom w:val="single" w:sz="2" w:space="0" w:color="D9D9E3"/>
                <w:right w:val="single" w:sz="2" w:space="0" w:color="D9D9E3"/>
              </w:divBdr>
              <w:divsChild>
                <w:div w:id="444227725">
                  <w:marLeft w:val="0"/>
                  <w:marRight w:val="0"/>
                  <w:marTop w:val="0"/>
                  <w:marBottom w:val="0"/>
                  <w:divBdr>
                    <w:top w:val="single" w:sz="2" w:space="0" w:color="D9D9E3"/>
                    <w:left w:val="single" w:sz="2" w:space="0" w:color="D9D9E3"/>
                    <w:bottom w:val="single" w:sz="2" w:space="0" w:color="D9D9E3"/>
                    <w:right w:val="single" w:sz="2" w:space="0" w:color="D9D9E3"/>
                  </w:divBdr>
                  <w:divsChild>
                    <w:div w:id="426118179">
                      <w:marLeft w:val="0"/>
                      <w:marRight w:val="0"/>
                      <w:marTop w:val="0"/>
                      <w:marBottom w:val="0"/>
                      <w:divBdr>
                        <w:top w:val="single" w:sz="2" w:space="0" w:color="D9D9E3"/>
                        <w:left w:val="single" w:sz="2" w:space="0" w:color="D9D9E3"/>
                        <w:bottom w:val="single" w:sz="2" w:space="0" w:color="D9D9E3"/>
                        <w:right w:val="single" w:sz="2" w:space="0" w:color="D9D9E3"/>
                      </w:divBdr>
                      <w:divsChild>
                        <w:div w:id="88896180">
                          <w:marLeft w:val="0"/>
                          <w:marRight w:val="0"/>
                          <w:marTop w:val="0"/>
                          <w:marBottom w:val="0"/>
                          <w:divBdr>
                            <w:top w:val="single" w:sz="2" w:space="0" w:color="D9D9E3"/>
                            <w:left w:val="single" w:sz="2" w:space="0" w:color="D9D9E3"/>
                            <w:bottom w:val="single" w:sz="2" w:space="0" w:color="D9D9E3"/>
                            <w:right w:val="single" w:sz="2" w:space="0" w:color="D9D9E3"/>
                          </w:divBdr>
                          <w:divsChild>
                            <w:div w:id="201750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621187224">
                                  <w:marLeft w:val="0"/>
                                  <w:marRight w:val="0"/>
                                  <w:marTop w:val="0"/>
                                  <w:marBottom w:val="0"/>
                                  <w:divBdr>
                                    <w:top w:val="single" w:sz="2" w:space="0" w:color="D9D9E3"/>
                                    <w:left w:val="single" w:sz="2" w:space="0" w:color="D9D9E3"/>
                                    <w:bottom w:val="single" w:sz="2" w:space="0" w:color="D9D9E3"/>
                                    <w:right w:val="single" w:sz="2" w:space="0" w:color="D9D9E3"/>
                                  </w:divBdr>
                                  <w:divsChild>
                                    <w:div w:id="1641883610">
                                      <w:marLeft w:val="0"/>
                                      <w:marRight w:val="0"/>
                                      <w:marTop w:val="0"/>
                                      <w:marBottom w:val="0"/>
                                      <w:divBdr>
                                        <w:top w:val="single" w:sz="2" w:space="0" w:color="D9D9E3"/>
                                        <w:left w:val="single" w:sz="2" w:space="0" w:color="D9D9E3"/>
                                        <w:bottom w:val="single" w:sz="2" w:space="0" w:color="D9D9E3"/>
                                        <w:right w:val="single" w:sz="2" w:space="0" w:color="D9D9E3"/>
                                      </w:divBdr>
                                      <w:divsChild>
                                        <w:div w:id="825129688">
                                          <w:marLeft w:val="0"/>
                                          <w:marRight w:val="0"/>
                                          <w:marTop w:val="0"/>
                                          <w:marBottom w:val="0"/>
                                          <w:divBdr>
                                            <w:top w:val="single" w:sz="2" w:space="0" w:color="D9D9E3"/>
                                            <w:left w:val="single" w:sz="2" w:space="0" w:color="D9D9E3"/>
                                            <w:bottom w:val="single" w:sz="2" w:space="0" w:color="D9D9E3"/>
                                            <w:right w:val="single" w:sz="2" w:space="0" w:color="D9D9E3"/>
                                          </w:divBdr>
                                          <w:divsChild>
                                            <w:div w:id="783767065">
                                              <w:marLeft w:val="0"/>
                                              <w:marRight w:val="0"/>
                                              <w:marTop w:val="0"/>
                                              <w:marBottom w:val="0"/>
                                              <w:divBdr>
                                                <w:top w:val="single" w:sz="2" w:space="0" w:color="D9D9E3"/>
                                                <w:left w:val="single" w:sz="2" w:space="0" w:color="D9D9E3"/>
                                                <w:bottom w:val="single" w:sz="2" w:space="0" w:color="D9D9E3"/>
                                                <w:right w:val="single" w:sz="2" w:space="0" w:color="D9D9E3"/>
                                              </w:divBdr>
                                              <w:divsChild>
                                                <w:div w:id="1115174587">
                                                  <w:marLeft w:val="0"/>
                                                  <w:marRight w:val="0"/>
                                                  <w:marTop w:val="0"/>
                                                  <w:marBottom w:val="0"/>
                                                  <w:divBdr>
                                                    <w:top w:val="single" w:sz="2" w:space="0" w:color="D9D9E3"/>
                                                    <w:left w:val="single" w:sz="2" w:space="0" w:color="D9D9E3"/>
                                                    <w:bottom w:val="single" w:sz="2" w:space="0" w:color="D9D9E3"/>
                                                    <w:right w:val="single" w:sz="2" w:space="0" w:color="D9D9E3"/>
                                                  </w:divBdr>
                                                  <w:divsChild>
                                                    <w:div w:id="247665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61888353">
          <w:marLeft w:val="0"/>
          <w:marRight w:val="0"/>
          <w:marTop w:val="0"/>
          <w:marBottom w:val="0"/>
          <w:divBdr>
            <w:top w:val="none" w:sz="0" w:space="0" w:color="auto"/>
            <w:left w:val="none" w:sz="0" w:space="0" w:color="auto"/>
            <w:bottom w:val="none" w:sz="0" w:space="0" w:color="auto"/>
            <w:right w:val="none" w:sz="0" w:space="0" w:color="auto"/>
          </w:divBdr>
        </w:div>
      </w:divsChild>
    </w:div>
    <w:div w:id="315453693">
      <w:bodyDiv w:val="1"/>
      <w:marLeft w:val="0"/>
      <w:marRight w:val="0"/>
      <w:marTop w:val="0"/>
      <w:marBottom w:val="0"/>
      <w:divBdr>
        <w:top w:val="none" w:sz="0" w:space="0" w:color="auto"/>
        <w:left w:val="none" w:sz="0" w:space="0" w:color="auto"/>
        <w:bottom w:val="none" w:sz="0" w:space="0" w:color="auto"/>
        <w:right w:val="none" w:sz="0" w:space="0" w:color="auto"/>
      </w:divBdr>
    </w:div>
    <w:div w:id="361978225">
      <w:bodyDiv w:val="1"/>
      <w:marLeft w:val="0"/>
      <w:marRight w:val="0"/>
      <w:marTop w:val="0"/>
      <w:marBottom w:val="0"/>
      <w:divBdr>
        <w:top w:val="none" w:sz="0" w:space="0" w:color="auto"/>
        <w:left w:val="none" w:sz="0" w:space="0" w:color="auto"/>
        <w:bottom w:val="none" w:sz="0" w:space="0" w:color="auto"/>
        <w:right w:val="none" w:sz="0" w:space="0" w:color="auto"/>
      </w:divBdr>
      <w:divsChild>
        <w:div w:id="172886584">
          <w:marLeft w:val="274"/>
          <w:marRight w:val="0"/>
          <w:marTop w:val="0"/>
          <w:marBottom w:val="120"/>
          <w:divBdr>
            <w:top w:val="none" w:sz="0" w:space="0" w:color="auto"/>
            <w:left w:val="none" w:sz="0" w:space="0" w:color="auto"/>
            <w:bottom w:val="none" w:sz="0" w:space="0" w:color="auto"/>
            <w:right w:val="none" w:sz="0" w:space="0" w:color="auto"/>
          </w:divBdr>
        </w:div>
        <w:div w:id="1193765011">
          <w:marLeft w:val="274"/>
          <w:marRight w:val="0"/>
          <w:marTop w:val="0"/>
          <w:marBottom w:val="120"/>
          <w:divBdr>
            <w:top w:val="none" w:sz="0" w:space="0" w:color="auto"/>
            <w:left w:val="none" w:sz="0" w:space="0" w:color="auto"/>
            <w:bottom w:val="none" w:sz="0" w:space="0" w:color="auto"/>
            <w:right w:val="none" w:sz="0" w:space="0" w:color="auto"/>
          </w:divBdr>
        </w:div>
        <w:div w:id="1543708176">
          <w:marLeft w:val="274"/>
          <w:marRight w:val="0"/>
          <w:marTop w:val="0"/>
          <w:marBottom w:val="120"/>
          <w:divBdr>
            <w:top w:val="none" w:sz="0" w:space="0" w:color="auto"/>
            <w:left w:val="none" w:sz="0" w:space="0" w:color="auto"/>
            <w:bottom w:val="none" w:sz="0" w:space="0" w:color="auto"/>
            <w:right w:val="none" w:sz="0" w:space="0" w:color="auto"/>
          </w:divBdr>
        </w:div>
      </w:divsChild>
    </w:div>
    <w:div w:id="387918300">
      <w:bodyDiv w:val="1"/>
      <w:marLeft w:val="0"/>
      <w:marRight w:val="0"/>
      <w:marTop w:val="0"/>
      <w:marBottom w:val="0"/>
      <w:divBdr>
        <w:top w:val="none" w:sz="0" w:space="0" w:color="auto"/>
        <w:left w:val="none" w:sz="0" w:space="0" w:color="auto"/>
        <w:bottom w:val="none" w:sz="0" w:space="0" w:color="auto"/>
        <w:right w:val="none" w:sz="0" w:space="0" w:color="auto"/>
      </w:divBdr>
    </w:div>
    <w:div w:id="519247937">
      <w:bodyDiv w:val="1"/>
      <w:marLeft w:val="0"/>
      <w:marRight w:val="0"/>
      <w:marTop w:val="0"/>
      <w:marBottom w:val="0"/>
      <w:divBdr>
        <w:top w:val="none" w:sz="0" w:space="0" w:color="auto"/>
        <w:left w:val="none" w:sz="0" w:space="0" w:color="auto"/>
        <w:bottom w:val="none" w:sz="0" w:space="0" w:color="auto"/>
        <w:right w:val="none" w:sz="0" w:space="0" w:color="auto"/>
      </w:divBdr>
    </w:div>
    <w:div w:id="641890972">
      <w:bodyDiv w:val="1"/>
      <w:marLeft w:val="0"/>
      <w:marRight w:val="0"/>
      <w:marTop w:val="0"/>
      <w:marBottom w:val="0"/>
      <w:divBdr>
        <w:top w:val="none" w:sz="0" w:space="0" w:color="auto"/>
        <w:left w:val="none" w:sz="0" w:space="0" w:color="auto"/>
        <w:bottom w:val="none" w:sz="0" w:space="0" w:color="auto"/>
        <w:right w:val="none" w:sz="0" w:space="0" w:color="auto"/>
      </w:divBdr>
    </w:div>
    <w:div w:id="795372983">
      <w:bodyDiv w:val="1"/>
      <w:marLeft w:val="0"/>
      <w:marRight w:val="0"/>
      <w:marTop w:val="0"/>
      <w:marBottom w:val="0"/>
      <w:divBdr>
        <w:top w:val="none" w:sz="0" w:space="0" w:color="auto"/>
        <w:left w:val="none" w:sz="0" w:space="0" w:color="auto"/>
        <w:bottom w:val="none" w:sz="0" w:space="0" w:color="auto"/>
        <w:right w:val="none" w:sz="0" w:space="0" w:color="auto"/>
      </w:divBdr>
    </w:div>
    <w:div w:id="797257157">
      <w:bodyDiv w:val="1"/>
      <w:marLeft w:val="0"/>
      <w:marRight w:val="0"/>
      <w:marTop w:val="0"/>
      <w:marBottom w:val="0"/>
      <w:divBdr>
        <w:top w:val="none" w:sz="0" w:space="0" w:color="auto"/>
        <w:left w:val="none" w:sz="0" w:space="0" w:color="auto"/>
        <w:bottom w:val="none" w:sz="0" w:space="0" w:color="auto"/>
        <w:right w:val="none" w:sz="0" w:space="0" w:color="auto"/>
      </w:divBdr>
    </w:div>
    <w:div w:id="835537106">
      <w:bodyDiv w:val="1"/>
      <w:marLeft w:val="0"/>
      <w:marRight w:val="0"/>
      <w:marTop w:val="0"/>
      <w:marBottom w:val="0"/>
      <w:divBdr>
        <w:top w:val="none" w:sz="0" w:space="0" w:color="auto"/>
        <w:left w:val="none" w:sz="0" w:space="0" w:color="auto"/>
        <w:bottom w:val="none" w:sz="0" w:space="0" w:color="auto"/>
        <w:right w:val="none" w:sz="0" w:space="0" w:color="auto"/>
      </w:divBdr>
    </w:div>
    <w:div w:id="839153882">
      <w:bodyDiv w:val="1"/>
      <w:marLeft w:val="0"/>
      <w:marRight w:val="0"/>
      <w:marTop w:val="0"/>
      <w:marBottom w:val="0"/>
      <w:divBdr>
        <w:top w:val="none" w:sz="0" w:space="0" w:color="auto"/>
        <w:left w:val="none" w:sz="0" w:space="0" w:color="auto"/>
        <w:bottom w:val="none" w:sz="0" w:space="0" w:color="auto"/>
        <w:right w:val="none" w:sz="0" w:space="0" w:color="auto"/>
      </w:divBdr>
    </w:div>
    <w:div w:id="885727419">
      <w:bodyDiv w:val="1"/>
      <w:marLeft w:val="0"/>
      <w:marRight w:val="0"/>
      <w:marTop w:val="0"/>
      <w:marBottom w:val="0"/>
      <w:divBdr>
        <w:top w:val="none" w:sz="0" w:space="0" w:color="auto"/>
        <w:left w:val="none" w:sz="0" w:space="0" w:color="auto"/>
        <w:bottom w:val="none" w:sz="0" w:space="0" w:color="auto"/>
        <w:right w:val="none" w:sz="0" w:space="0" w:color="auto"/>
      </w:divBdr>
    </w:div>
    <w:div w:id="945356842">
      <w:bodyDiv w:val="1"/>
      <w:marLeft w:val="0"/>
      <w:marRight w:val="0"/>
      <w:marTop w:val="0"/>
      <w:marBottom w:val="0"/>
      <w:divBdr>
        <w:top w:val="none" w:sz="0" w:space="0" w:color="auto"/>
        <w:left w:val="none" w:sz="0" w:space="0" w:color="auto"/>
        <w:bottom w:val="none" w:sz="0" w:space="0" w:color="auto"/>
        <w:right w:val="none" w:sz="0" w:space="0" w:color="auto"/>
      </w:divBdr>
    </w:div>
    <w:div w:id="1088383481">
      <w:bodyDiv w:val="1"/>
      <w:marLeft w:val="0"/>
      <w:marRight w:val="0"/>
      <w:marTop w:val="0"/>
      <w:marBottom w:val="0"/>
      <w:divBdr>
        <w:top w:val="none" w:sz="0" w:space="0" w:color="auto"/>
        <w:left w:val="none" w:sz="0" w:space="0" w:color="auto"/>
        <w:bottom w:val="none" w:sz="0" w:space="0" w:color="auto"/>
        <w:right w:val="none" w:sz="0" w:space="0" w:color="auto"/>
      </w:divBdr>
    </w:div>
    <w:div w:id="1093165117">
      <w:bodyDiv w:val="1"/>
      <w:marLeft w:val="0"/>
      <w:marRight w:val="0"/>
      <w:marTop w:val="0"/>
      <w:marBottom w:val="0"/>
      <w:divBdr>
        <w:top w:val="none" w:sz="0" w:space="0" w:color="auto"/>
        <w:left w:val="none" w:sz="0" w:space="0" w:color="auto"/>
        <w:bottom w:val="none" w:sz="0" w:space="0" w:color="auto"/>
        <w:right w:val="none" w:sz="0" w:space="0" w:color="auto"/>
      </w:divBdr>
    </w:div>
    <w:div w:id="1160268641">
      <w:bodyDiv w:val="1"/>
      <w:marLeft w:val="0"/>
      <w:marRight w:val="0"/>
      <w:marTop w:val="0"/>
      <w:marBottom w:val="0"/>
      <w:divBdr>
        <w:top w:val="none" w:sz="0" w:space="0" w:color="auto"/>
        <w:left w:val="none" w:sz="0" w:space="0" w:color="auto"/>
        <w:bottom w:val="none" w:sz="0" w:space="0" w:color="auto"/>
        <w:right w:val="none" w:sz="0" w:space="0" w:color="auto"/>
      </w:divBdr>
    </w:div>
    <w:div w:id="1275475830">
      <w:bodyDiv w:val="1"/>
      <w:marLeft w:val="0"/>
      <w:marRight w:val="0"/>
      <w:marTop w:val="0"/>
      <w:marBottom w:val="0"/>
      <w:divBdr>
        <w:top w:val="none" w:sz="0" w:space="0" w:color="auto"/>
        <w:left w:val="none" w:sz="0" w:space="0" w:color="auto"/>
        <w:bottom w:val="none" w:sz="0" w:space="0" w:color="auto"/>
        <w:right w:val="none" w:sz="0" w:space="0" w:color="auto"/>
      </w:divBdr>
    </w:div>
    <w:div w:id="1532495289">
      <w:bodyDiv w:val="1"/>
      <w:marLeft w:val="0"/>
      <w:marRight w:val="0"/>
      <w:marTop w:val="0"/>
      <w:marBottom w:val="0"/>
      <w:divBdr>
        <w:top w:val="none" w:sz="0" w:space="0" w:color="auto"/>
        <w:left w:val="none" w:sz="0" w:space="0" w:color="auto"/>
        <w:bottom w:val="none" w:sz="0" w:space="0" w:color="auto"/>
        <w:right w:val="none" w:sz="0" w:space="0" w:color="auto"/>
      </w:divBdr>
    </w:div>
    <w:div w:id="1582905497">
      <w:bodyDiv w:val="1"/>
      <w:marLeft w:val="0"/>
      <w:marRight w:val="0"/>
      <w:marTop w:val="0"/>
      <w:marBottom w:val="0"/>
      <w:divBdr>
        <w:top w:val="none" w:sz="0" w:space="0" w:color="auto"/>
        <w:left w:val="none" w:sz="0" w:space="0" w:color="auto"/>
        <w:bottom w:val="none" w:sz="0" w:space="0" w:color="auto"/>
        <w:right w:val="none" w:sz="0" w:space="0" w:color="auto"/>
      </w:divBdr>
    </w:div>
    <w:div w:id="1625309030">
      <w:bodyDiv w:val="1"/>
      <w:marLeft w:val="0"/>
      <w:marRight w:val="0"/>
      <w:marTop w:val="0"/>
      <w:marBottom w:val="0"/>
      <w:divBdr>
        <w:top w:val="none" w:sz="0" w:space="0" w:color="auto"/>
        <w:left w:val="none" w:sz="0" w:space="0" w:color="auto"/>
        <w:bottom w:val="none" w:sz="0" w:space="0" w:color="auto"/>
        <w:right w:val="none" w:sz="0" w:space="0" w:color="auto"/>
      </w:divBdr>
    </w:div>
    <w:div w:id="1659307656">
      <w:bodyDiv w:val="1"/>
      <w:marLeft w:val="0"/>
      <w:marRight w:val="0"/>
      <w:marTop w:val="0"/>
      <w:marBottom w:val="0"/>
      <w:divBdr>
        <w:top w:val="none" w:sz="0" w:space="0" w:color="auto"/>
        <w:left w:val="none" w:sz="0" w:space="0" w:color="auto"/>
        <w:bottom w:val="none" w:sz="0" w:space="0" w:color="auto"/>
        <w:right w:val="none" w:sz="0" w:space="0" w:color="auto"/>
      </w:divBdr>
    </w:div>
    <w:div w:id="1677534564">
      <w:bodyDiv w:val="1"/>
      <w:marLeft w:val="0"/>
      <w:marRight w:val="0"/>
      <w:marTop w:val="0"/>
      <w:marBottom w:val="0"/>
      <w:divBdr>
        <w:top w:val="none" w:sz="0" w:space="0" w:color="auto"/>
        <w:left w:val="none" w:sz="0" w:space="0" w:color="auto"/>
        <w:bottom w:val="none" w:sz="0" w:space="0" w:color="auto"/>
        <w:right w:val="none" w:sz="0" w:space="0" w:color="auto"/>
      </w:divBdr>
    </w:div>
    <w:div w:id="1771461321">
      <w:bodyDiv w:val="1"/>
      <w:marLeft w:val="0"/>
      <w:marRight w:val="0"/>
      <w:marTop w:val="0"/>
      <w:marBottom w:val="0"/>
      <w:divBdr>
        <w:top w:val="none" w:sz="0" w:space="0" w:color="auto"/>
        <w:left w:val="none" w:sz="0" w:space="0" w:color="auto"/>
        <w:bottom w:val="none" w:sz="0" w:space="0" w:color="auto"/>
        <w:right w:val="none" w:sz="0" w:space="0" w:color="auto"/>
      </w:divBdr>
    </w:div>
    <w:div w:id="1994022045">
      <w:bodyDiv w:val="1"/>
      <w:marLeft w:val="0"/>
      <w:marRight w:val="0"/>
      <w:marTop w:val="0"/>
      <w:marBottom w:val="0"/>
      <w:divBdr>
        <w:top w:val="none" w:sz="0" w:space="0" w:color="auto"/>
        <w:left w:val="none" w:sz="0" w:space="0" w:color="auto"/>
        <w:bottom w:val="none" w:sz="0" w:space="0" w:color="auto"/>
        <w:right w:val="none" w:sz="0" w:space="0" w:color="auto"/>
      </w:divBdr>
    </w:div>
    <w:div w:id="2055809868">
      <w:bodyDiv w:val="1"/>
      <w:marLeft w:val="0"/>
      <w:marRight w:val="0"/>
      <w:marTop w:val="0"/>
      <w:marBottom w:val="0"/>
      <w:divBdr>
        <w:top w:val="none" w:sz="0" w:space="0" w:color="auto"/>
        <w:left w:val="none" w:sz="0" w:space="0" w:color="auto"/>
        <w:bottom w:val="none" w:sz="0" w:space="0" w:color="auto"/>
        <w:right w:val="none" w:sz="0" w:space="0" w:color="auto"/>
      </w:divBdr>
    </w:div>
    <w:div w:id="2067605735">
      <w:bodyDiv w:val="1"/>
      <w:marLeft w:val="0"/>
      <w:marRight w:val="0"/>
      <w:marTop w:val="0"/>
      <w:marBottom w:val="0"/>
      <w:divBdr>
        <w:top w:val="none" w:sz="0" w:space="0" w:color="auto"/>
        <w:left w:val="none" w:sz="0" w:space="0" w:color="auto"/>
        <w:bottom w:val="none" w:sz="0" w:space="0" w:color="auto"/>
        <w:right w:val="none" w:sz="0" w:space="0" w:color="auto"/>
      </w:divBdr>
    </w:div>
    <w:div w:id="213629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t.org.mx/industria/consultas-publicas/consulta-publica-sobre-las-propuestas-de-ofertas-de-referencia-de-los-servicios-mayoristas-de-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contenidogeneral/politica-regulatoria/ofertadereferencia2023telesitesfibr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37E3D-70AC-43AC-92DE-A5AAF7183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2B441-1141-4CED-815B-EE78941C8B1E}">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A4CCF452-1D2B-4AAA-8886-D3B2FA8A7A06}">
  <ds:schemaRefs>
    <ds:schemaRef ds:uri="http://schemas.microsoft.com/sharepoint/v3/contenttype/forms"/>
  </ds:schemaRefs>
</ds:datastoreItem>
</file>

<file path=customXml/itemProps4.xml><?xml version="1.0" encoding="utf-8"?>
<ds:datastoreItem xmlns:ds="http://schemas.openxmlformats.org/officeDocument/2006/customXml" ds:itemID="{63A31658-5673-4A90-AE9E-6CE3A10D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5</TotalTime>
  <Pages>1</Pages>
  <Words>5854</Words>
  <Characters>32201</Characters>
  <Application>Microsoft Office Word</Application>
  <DocSecurity>0</DocSecurity>
  <Lines>268</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nager>
  <Company>Analysys Mason</Company>
  <LinksUpToDate>false</LinksUpToDate>
  <CharactersWithSpaces>37980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dc:creator>
  <cp:keywords/>
  <dc:description/>
  <cp:lastModifiedBy>Primitivo Ortiz Maldonado</cp:lastModifiedBy>
  <cp:revision>5</cp:revision>
  <cp:lastPrinted>2024-01-24T17:42:00Z</cp:lastPrinted>
  <dcterms:created xsi:type="dcterms:W3CDTF">2024-01-24T01:45:00Z</dcterms:created>
  <dcterms:modified xsi:type="dcterms:W3CDTF">2024-01-24T17:42:00Z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