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F4930" w14:textId="77777777" w:rsidR="002140C8" w:rsidRDefault="002140C8" w:rsidP="002140C8">
      <w:pPr>
        <w:pStyle w:val="IFTnormal"/>
        <w:tabs>
          <w:tab w:val="left" w:pos="5103"/>
        </w:tabs>
        <w:jc w:val="center"/>
        <w:rPr>
          <w:rFonts w:ascii="Arial" w:hAnsi="Arial" w:cs="Arial"/>
          <w:b/>
          <w:sz w:val="22"/>
          <w:szCs w:val="22"/>
          <w:u w:val="single"/>
          <w:lang w:val="es-ES" w:eastAsia="en-US"/>
        </w:rPr>
      </w:pPr>
    </w:p>
    <w:p w14:paraId="7DB79B4A" w14:textId="77777777" w:rsidR="002140C8" w:rsidRDefault="002140C8" w:rsidP="002140C8">
      <w:pPr>
        <w:pStyle w:val="IFTnormal"/>
        <w:jc w:val="center"/>
        <w:rPr>
          <w:rFonts w:ascii="Arial" w:hAnsi="Arial" w:cs="Arial"/>
          <w:b/>
          <w:u w:val="single"/>
          <w:lang w:val="es-ES"/>
        </w:rPr>
      </w:pPr>
    </w:p>
    <w:p w14:paraId="07CD529C" w14:textId="77777777" w:rsidR="002140C8" w:rsidRDefault="002140C8" w:rsidP="002140C8">
      <w:pPr>
        <w:pStyle w:val="IFTnormal"/>
        <w:jc w:val="center"/>
        <w:rPr>
          <w:rFonts w:ascii="Arial" w:hAnsi="Arial" w:cs="Arial"/>
          <w:b/>
          <w:u w:val="single"/>
          <w:lang w:val="es-ES"/>
        </w:rPr>
      </w:pPr>
    </w:p>
    <w:p w14:paraId="6AE6CD5D" w14:textId="77777777" w:rsidR="002140C8" w:rsidRDefault="002140C8" w:rsidP="002140C8">
      <w:pPr>
        <w:pStyle w:val="IFTnormal"/>
        <w:jc w:val="center"/>
        <w:rPr>
          <w:rFonts w:ascii="Arial" w:hAnsi="Arial" w:cs="Arial"/>
          <w:b/>
          <w:u w:val="single"/>
          <w:lang w:val="es-ES"/>
        </w:rPr>
      </w:pPr>
    </w:p>
    <w:p w14:paraId="33614672" w14:textId="77777777" w:rsidR="002140C8" w:rsidRDefault="002140C8" w:rsidP="002140C8">
      <w:pPr>
        <w:pStyle w:val="IFTnormal"/>
        <w:jc w:val="center"/>
        <w:rPr>
          <w:rFonts w:ascii="Arial" w:hAnsi="Arial" w:cs="Arial"/>
          <w:b/>
          <w:u w:val="single"/>
          <w:lang w:val="es-ES"/>
        </w:rPr>
      </w:pPr>
    </w:p>
    <w:p w14:paraId="35D85F5A" w14:textId="77777777" w:rsidR="002140C8" w:rsidRDefault="002140C8" w:rsidP="002140C8">
      <w:pPr>
        <w:pStyle w:val="IFTnormal"/>
        <w:ind w:left="708" w:hanging="708"/>
        <w:jc w:val="center"/>
        <w:rPr>
          <w:rFonts w:ascii="Arial" w:hAnsi="Arial" w:cs="Arial"/>
          <w:b/>
          <w:u w:val="single"/>
          <w:lang w:val="es-ES"/>
        </w:rPr>
      </w:pPr>
    </w:p>
    <w:p w14:paraId="48CED4AA" w14:textId="77777777" w:rsidR="002140C8" w:rsidRDefault="002140C8" w:rsidP="002140C8">
      <w:pPr>
        <w:pStyle w:val="IFTnormal"/>
        <w:jc w:val="center"/>
        <w:rPr>
          <w:rFonts w:ascii="Arial" w:hAnsi="Arial" w:cs="Arial"/>
          <w:b/>
          <w:u w:val="single"/>
          <w:lang w:val="es-ES"/>
        </w:rPr>
      </w:pPr>
    </w:p>
    <w:p w14:paraId="41C156D9" w14:textId="44AFF683" w:rsidR="002140C8" w:rsidRDefault="002140C8" w:rsidP="002140C8">
      <w:pPr>
        <w:pStyle w:val="IFTnormal"/>
        <w:jc w:val="center"/>
        <w:rPr>
          <w:rFonts w:ascii="Arial" w:hAnsi="Arial" w:cs="Arial"/>
          <w:b/>
          <w:sz w:val="36"/>
          <w:lang w:val="es-ES"/>
        </w:rPr>
      </w:pPr>
      <w:r>
        <w:rPr>
          <w:rFonts w:ascii="Arial" w:hAnsi="Arial" w:cs="Arial"/>
          <w:b/>
          <w:sz w:val="36"/>
          <w:lang w:val="es-ES"/>
        </w:rPr>
        <w:t>ANEXO 4</w:t>
      </w:r>
    </w:p>
    <w:p w14:paraId="312D9B8C" w14:textId="77777777" w:rsidR="002140C8" w:rsidRDefault="002140C8" w:rsidP="002140C8">
      <w:pPr>
        <w:pStyle w:val="IFTnormal"/>
        <w:jc w:val="center"/>
        <w:rPr>
          <w:rFonts w:ascii="Arial" w:hAnsi="Arial" w:cs="Arial"/>
          <w:b/>
          <w:sz w:val="36"/>
          <w:u w:val="single"/>
          <w:lang w:val="es-ES"/>
        </w:rPr>
      </w:pPr>
    </w:p>
    <w:p w14:paraId="3DB52619" w14:textId="4FFE933D" w:rsidR="002140C8" w:rsidRPr="001643F5" w:rsidRDefault="002140C8" w:rsidP="002140C8">
      <w:pPr>
        <w:pStyle w:val="IFTnormal"/>
        <w:jc w:val="center"/>
        <w:outlineLvl w:val="0"/>
        <w:rPr>
          <w:rFonts w:ascii="Arial" w:hAnsi="Arial" w:cs="Arial"/>
          <w:b/>
          <w:caps/>
          <w:color w:val="000000" w:themeColor="text1"/>
          <w:sz w:val="36"/>
          <w:lang w:val="es-ES"/>
        </w:rPr>
      </w:pPr>
      <w:r w:rsidRPr="002140C8">
        <w:rPr>
          <w:rFonts w:ascii="Arial" w:hAnsi="Arial" w:cs="Arial"/>
          <w:b/>
          <w:caps/>
          <w:color w:val="000000" w:themeColor="text1"/>
          <w:sz w:val="36"/>
          <w:lang w:val="es-ES"/>
        </w:rPr>
        <w:t>PARÁMETROS E INDICADORES DE LOS NIVELES DE CALIDAD</w:t>
      </w:r>
      <w:r>
        <w:rPr>
          <w:rFonts w:ascii="Arial" w:hAnsi="Arial" w:cs="Arial"/>
          <w:b/>
          <w:caps/>
          <w:color w:val="000000" w:themeColor="text1"/>
          <w:sz w:val="36"/>
          <w:lang w:val="es-ES"/>
        </w:rPr>
        <w:t xml:space="preserve"> </w:t>
      </w:r>
      <w:r w:rsidRPr="002140C8">
        <w:rPr>
          <w:rFonts w:ascii="Arial" w:hAnsi="Arial" w:cs="Arial"/>
          <w:b/>
          <w:caps/>
          <w:color w:val="000000" w:themeColor="text1"/>
          <w:sz w:val="36"/>
          <w:lang w:val="es-ES"/>
        </w:rPr>
        <w:t>Y PENAS CONVENCIONALES</w:t>
      </w:r>
      <w:r w:rsidRPr="001643F5">
        <w:rPr>
          <w:rFonts w:ascii="Arial" w:hAnsi="Arial" w:cs="Arial"/>
          <w:b/>
          <w:caps/>
          <w:color w:val="000000" w:themeColor="text1"/>
          <w:sz w:val="36"/>
          <w:lang w:val="es-ES"/>
        </w:rPr>
        <w:t xml:space="preserve"> </w:t>
      </w:r>
    </w:p>
    <w:p w14:paraId="6983578F" w14:textId="77777777" w:rsidR="002140C8" w:rsidRDefault="002140C8" w:rsidP="002140C8">
      <w:pPr>
        <w:pStyle w:val="IFTnormal"/>
        <w:jc w:val="center"/>
        <w:rPr>
          <w:rFonts w:ascii="Arial" w:hAnsi="Arial" w:cs="Arial"/>
          <w:b/>
          <w:sz w:val="28"/>
          <w:szCs w:val="32"/>
        </w:rPr>
      </w:pPr>
      <w:r>
        <w:rPr>
          <w:rFonts w:ascii="Arial" w:hAnsi="Arial" w:cs="Arial"/>
          <w:b/>
          <w:sz w:val="28"/>
          <w:szCs w:val="32"/>
          <w:lang w:val="es-ES"/>
        </w:rPr>
        <w:t>(</w:t>
      </w:r>
      <w:r>
        <w:rPr>
          <w:rFonts w:ascii="Arial" w:hAnsi="Arial" w:cs="Arial"/>
          <w:b/>
          <w:sz w:val="28"/>
          <w:szCs w:val="32"/>
        </w:rPr>
        <w:t>Servicio de Acceso y Uso Compartido de Torres y Servicio de Uso Compartido de Sitios, Predios y Espacios Físicos)</w:t>
      </w:r>
    </w:p>
    <w:p w14:paraId="6EC2F7EA" w14:textId="77777777" w:rsidR="002140C8" w:rsidRDefault="002140C8" w:rsidP="002140C8">
      <w:pPr>
        <w:pStyle w:val="IFTnormal"/>
        <w:rPr>
          <w:rFonts w:ascii="Arial" w:hAnsi="Arial" w:cs="Arial"/>
          <w:b/>
          <w:sz w:val="22"/>
          <w:szCs w:val="22"/>
          <w:u w:val="single"/>
          <w:lang w:val="es-ES"/>
        </w:rPr>
      </w:pPr>
    </w:p>
    <w:p w14:paraId="48ADCC96" w14:textId="77777777" w:rsidR="002140C8" w:rsidRDefault="002140C8" w:rsidP="002140C8">
      <w:pPr>
        <w:pStyle w:val="IFTnormal"/>
        <w:rPr>
          <w:rFonts w:ascii="Arial" w:hAnsi="Arial" w:cs="Arial"/>
          <w:b/>
          <w:u w:val="single"/>
          <w:lang w:val="es-ES"/>
        </w:rPr>
      </w:pPr>
    </w:p>
    <w:p w14:paraId="469A4172" w14:textId="0E5D591E" w:rsidR="00412FA6" w:rsidRPr="0059421B" w:rsidRDefault="00412FA6" w:rsidP="005C1C06">
      <w:pPr>
        <w:jc w:val="center"/>
        <w:rPr>
          <w:rFonts w:ascii="Arial" w:hAnsi="Arial" w:cs="Arial"/>
          <w:b/>
          <w:sz w:val="72"/>
          <w:szCs w:val="72"/>
        </w:rPr>
      </w:pPr>
    </w:p>
    <w:p w14:paraId="469A4175" w14:textId="2836AFFC" w:rsidR="00412FA6" w:rsidRPr="006B524C" w:rsidRDefault="00412FA6" w:rsidP="006039D9">
      <w:pPr>
        <w:spacing w:before="0" w:after="0" w:line="276" w:lineRule="auto"/>
        <w:jc w:val="center"/>
        <w:rPr>
          <w:rFonts w:ascii="Arial" w:hAnsi="Arial" w:cs="Arial"/>
          <w:b/>
          <w:sz w:val="26"/>
          <w:szCs w:val="26"/>
        </w:rPr>
      </w:pPr>
      <w:r w:rsidRPr="0059421B">
        <w:rPr>
          <w:rFonts w:ascii="Arial" w:hAnsi="Arial" w:cs="Arial"/>
        </w:rPr>
        <w:br w:type="page"/>
      </w:r>
      <w:r w:rsidRPr="006B524C">
        <w:rPr>
          <w:rFonts w:ascii="Arial" w:hAnsi="Arial" w:cs="Arial"/>
          <w:b/>
          <w:sz w:val="26"/>
          <w:szCs w:val="26"/>
        </w:rPr>
        <w:lastRenderedPageBreak/>
        <w:t xml:space="preserve">ANEXO </w:t>
      </w:r>
      <w:r w:rsidR="003E5B38" w:rsidRPr="006B524C">
        <w:rPr>
          <w:rFonts w:ascii="Arial" w:hAnsi="Arial" w:cs="Arial"/>
          <w:b/>
          <w:sz w:val="26"/>
          <w:szCs w:val="26"/>
        </w:rPr>
        <w:t>4</w:t>
      </w:r>
    </w:p>
    <w:p w14:paraId="469A4176" w14:textId="401EBE40" w:rsidR="00412FA6" w:rsidRDefault="00412FA6" w:rsidP="006039D9">
      <w:pPr>
        <w:spacing w:before="0" w:after="0" w:line="276" w:lineRule="auto"/>
        <w:jc w:val="center"/>
        <w:rPr>
          <w:rFonts w:ascii="Arial" w:hAnsi="Arial" w:cs="Arial"/>
          <w:b/>
          <w:sz w:val="26"/>
          <w:szCs w:val="26"/>
        </w:rPr>
      </w:pPr>
      <w:r w:rsidRPr="006B524C">
        <w:rPr>
          <w:rFonts w:ascii="Arial" w:hAnsi="Arial" w:cs="Arial"/>
          <w:b/>
          <w:sz w:val="26"/>
          <w:szCs w:val="26"/>
        </w:rPr>
        <w:t xml:space="preserve">Parámetros e Indicadores de los Niveles de Calidad </w:t>
      </w:r>
      <w:r w:rsidR="006B524C">
        <w:rPr>
          <w:rFonts w:ascii="Arial" w:hAnsi="Arial" w:cs="Arial"/>
          <w:b/>
          <w:sz w:val="26"/>
          <w:szCs w:val="26"/>
        </w:rPr>
        <w:br/>
      </w:r>
      <w:r w:rsidRPr="006B524C">
        <w:rPr>
          <w:rFonts w:ascii="Arial" w:hAnsi="Arial" w:cs="Arial"/>
          <w:b/>
          <w:sz w:val="26"/>
          <w:szCs w:val="26"/>
        </w:rPr>
        <w:t>y Penas Convencionales</w:t>
      </w:r>
    </w:p>
    <w:p w14:paraId="76757F07" w14:textId="77777777" w:rsidR="006039D9" w:rsidRPr="006B524C" w:rsidRDefault="006039D9" w:rsidP="006039D9">
      <w:pPr>
        <w:spacing w:before="0" w:after="0" w:line="276" w:lineRule="auto"/>
        <w:jc w:val="center"/>
        <w:rPr>
          <w:rFonts w:ascii="Arial" w:hAnsi="Arial" w:cs="Arial"/>
          <w:b/>
          <w:sz w:val="26"/>
          <w:szCs w:val="26"/>
        </w:rPr>
      </w:pPr>
    </w:p>
    <w:p w14:paraId="469A4177" w14:textId="23D50FEC" w:rsidR="00412FA6" w:rsidRDefault="00412FA6" w:rsidP="006039D9">
      <w:pPr>
        <w:pStyle w:val="Ttulo2"/>
        <w:spacing w:before="0" w:after="0" w:line="276" w:lineRule="auto"/>
        <w:rPr>
          <w:rFonts w:ascii="Arial" w:hAnsi="Arial" w:cs="Arial"/>
          <w:sz w:val="22"/>
          <w:szCs w:val="22"/>
        </w:rPr>
      </w:pPr>
      <w:r w:rsidRPr="0059421B">
        <w:rPr>
          <w:rFonts w:ascii="Arial" w:hAnsi="Arial" w:cs="Arial"/>
          <w:sz w:val="22"/>
          <w:szCs w:val="22"/>
        </w:rPr>
        <w:t>Introducción</w:t>
      </w:r>
    </w:p>
    <w:p w14:paraId="3FD09631" w14:textId="77777777" w:rsidR="006039D9" w:rsidRPr="006039D9" w:rsidRDefault="006039D9" w:rsidP="006039D9">
      <w:pPr>
        <w:spacing w:before="0" w:after="0" w:line="276" w:lineRule="auto"/>
        <w:jc w:val="center"/>
      </w:pPr>
    </w:p>
    <w:p w14:paraId="469A4178" w14:textId="2050A525" w:rsidR="00147D42" w:rsidRDefault="00147D42" w:rsidP="006039D9">
      <w:pPr>
        <w:spacing w:before="0" w:after="0" w:line="276" w:lineRule="auto"/>
        <w:rPr>
          <w:rFonts w:ascii="Arial" w:hAnsi="Arial" w:cs="Arial"/>
          <w:sz w:val="22"/>
          <w:szCs w:val="22"/>
        </w:rPr>
      </w:pPr>
      <w:r w:rsidRPr="0059421B">
        <w:rPr>
          <w:rFonts w:ascii="Arial" w:hAnsi="Arial" w:cs="Arial"/>
          <w:sz w:val="22"/>
          <w:szCs w:val="22"/>
        </w:rPr>
        <w:t>Para cada uno de los servicios que forman parte de la Oferta de Referencia han sido definidos los parámetros e indicadores de los niveles de calidad. Dichos parámetros serán validados trimestralmente y se aplicarán penas convencionales en aquellos casos en los que los parámetros de calidad no hayan sido cumplidos</w:t>
      </w:r>
      <w:r w:rsidR="00C43FD0" w:rsidRPr="0059421B">
        <w:rPr>
          <w:rFonts w:ascii="Arial" w:hAnsi="Arial" w:cs="Arial"/>
          <w:sz w:val="22"/>
          <w:szCs w:val="22"/>
        </w:rPr>
        <w:t xml:space="preserve">. Cabe señalar que derivado de la </w:t>
      </w:r>
      <w:r w:rsidR="00E50DFE" w:rsidRPr="0059421B">
        <w:rPr>
          <w:rFonts w:ascii="Arial" w:hAnsi="Arial" w:cs="Arial"/>
          <w:sz w:val="22"/>
          <w:szCs w:val="22"/>
        </w:rPr>
        <w:t xml:space="preserve">información obtenida </w:t>
      </w:r>
      <w:r w:rsidR="00C43FD0" w:rsidRPr="0059421B">
        <w:rPr>
          <w:rFonts w:ascii="Arial" w:hAnsi="Arial" w:cs="Arial"/>
          <w:sz w:val="22"/>
          <w:szCs w:val="22"/>
        </w:rPr>
        <w:t xml:space="preserve">a través del </w:t>
      </w:r>
      <w:r w:rsidR="002F7002" w:rsidRPr="0059421B">
        <w:rPr>
          <w:rFonts w:ascii="Arial" w:hAnsi="Arial" w:cs="Arial"/>
          <w:sz w:val="22"/>
          <w:szCs w:val="22"/>
        </w:rPr>
        <w:t>SEG</w:t>
      </w:r>
      <w:r w:rsidR="00C43FD0" w:rsidRPr="0059421B">
        <w:rPr>
          <w:rFonts w:ascii="Arial" w:hAnsi="Arial" w:cs="Arial"/>
          <w:sz w:val="22"/>
          <w:szCs w:val="22"/>
        </w:rPr>
        <w:t xml:space="preserve"> de todos los procedimientos, los parámetros e indicadores de niveles de calidad se establecen</w:t>
      </w:r>
      <w:r w:rsidR="003E5B38" w:rsidRPr="0059421B">
        <w:rPr>
          <w:rFonts w:ascii="Arial" w:hAnsi="Arial" w:cs="Arial"/>
          <w:sz w:val="22"/>
          <w:szCs w:val="22"/>
        </w:rPr>
        <w:t xml:space="preserve"> conforme a lo siguiente:</w:t>
      </w:r>
    </w:p>
    <w:p w14:paraId="50DC3875" w14:textId="77777777" w:rsidR="006039D9" w:rsidRPr="0059421B" w:rsidRDefault="006039D9" w:rsidP="006039D9">
      <w:pPr>
        <w:spacing w:before="0" w:after="0" w:line="276" w:lineRule="auto"/>
        <w:rPr>
          <w:rFonts w:ascii="Arial" w:hAnsi="Arial" w:cs="Arial"/>
          <w:sz w:val="22"/>
          <w:szCs w:val="22"/>
        </w:rPr>
      </w:pPr>
    </w:p>
    <w:p w14:paraId="469A4179" w14:textId="2B6ECD4D" w:rsidR="00412FA6" w:rsidRDefault="00412FA6" w:rsidP="006039D9">
      <w:pPr>
        <w:pStyle w:val="Ttulo2"/>
        <w:spacing w:before="0" w:after="0" w:line="276" w:lineRule="auto"/>
        <w:rPr>
          <w:rFonts w:ascii="Arial" w:hAnsi="Arial" w:cs="Arial"/>
          <w:sz w:val="22"/>
          <w:szCs w:val="22"/>
        </w:rPr>
      </w:pPr>
      <w:r w:rsidRPr="0059421B">
        <w:rPr>
          <w:rFonts w:ascii="Arial" w:hAnsi="Arial" w:cs="Arial"/>
          <w:sz w:val="22"/>
          <w:szCs w:val="22"/>
        </w:rPr>
        <w:t>Parámetros de Calidad para los Servicios de Acceso y Uso Compartido de la Infraestructura Pasiva</w:t>
      </w:r>
    </w:p>
    <w:p w14:paraId="54C6D2EC" w14:textId="77777777" w:rsidR="006039D9" w:rsidRPr="006039D9" w:rsidRDefault="006039D9" w:rsidP="006039D9">
      <w:pPr>
        <w:spacing w:before="0" w:after="0" w:line="276" w:lineRule="auto"/>
      </w:pPr>
    </w:p>
    <w:p w14:paraId="469A417A" w14:textId="1AB6C21C" w:rsidR="00E50DFE" w:rsidRDefault="00147D42" w:rsidP="006039D9">
      <w:pPr>
        <w:spacing w:before="0" w:after="0" w:line="276" w:lineRule="auto"/>
        <w:rPr>
          <w:rFonts w:ascii="Arial" w:hAnsi="Arial" w:cs="Arial"/>
          <w:sz w:val="22"/>
          <w:szCs w:val="22"/>
          <w:lang w:val="es-MX" w:eastAsia="es-MX"/>
        </w:rPr>
      </w:pPr>
      <w:r w:rsidRPr="0059421B">
        <w:rPr>
          <w:rFonts w:ascii="Arial" w:hAnsi="Arial" w:cs="Arial"/>
          <w:sz w:val="22"/>
          <w:szCs w:val="22"/>
          <w:lang w:val="es-MX" w:eastAsia="es-MX"/>
        </w:rPr>
        <w:t xml:space="preserve">La medición de todos los parámetros e indicadores se realizará de forma trimestral y por cada </w:t>
      </w:r>
      <w:r w:rsidR="00E50DFE" w:rsidRPr="0059421B">
        <w:rPr>
          <w:rFonts w:ascii="Arial" w:hAnsi="Arial" w:cs="Arial"/>
          <w:sz w:val="22"/>
          <w:szCs w:val="22"/>
          <w:lang w:val="es-MX" w:eastAsia="es-MX"/>
        </w:rPr>
        <w:t>uno de los CS o AS</w:t>
      </w:r>
      <w:r w:rsidR="000D7034" w:rsidRPr="0059421B">
        <w:rPr>
          <w:rFonts w:ascii="Arial" w:hAnsi="Arial" w:cs="Arial"/>
          <w:sz w:val="22"/>
          <w:szCs w:val="22"/>
          <w:lang w:val="es-MX" w:eastAsia="es-MX"/>
        </w:rPr>
        <w:t>,</w:t>
      </w:r>
      <w:r w:rsidR="00E50DFE" w:rsidRPr="0059421B">
        <w:rPr>
          <w:rFonts w:ascii="Arial" w:hAnsi="Arial" w:cs="Arial"/>
          <w:sz w:val="22"/>
          <w:szCs w:val="22"/>
          <w:lang w:val="es-MX" w:eastAsia="es-MX"/>
        </w:rPr>
        <w:t xml:space="preserve"> información </w:t>
      </w:r>
      <w:r w:rsidR="000D7034" w:rsidRPr="0059421B">
        <w:rPr>
          <w:rFonts w:ascii="Arial" w:hAnsi="Arial" w:cs="Arial"/>
          <w:sz w:val="22"/>
          <w:szCs w:val="22"/>
          <w:lang w:val="es-MX" w:eastAsia="es-MX"/>
        </w:rPr>
        <w:t xml:space="preserve">que </w:t>
      </w:r>
      <w:r w:rsidR="00E50DFE" w:rsidRPr="0059421B">
        <w:rPr>
          <w:rFonts w:ascii="Arial" w:hAnsi="Arial" w:cs="Arial"/>
          <w:sz w:val="22"/>
          <w:szCs w:val="22"/>
          <w:lang w:val="es-MX" w:eastAsia="es-MX"/>
        </w:rPr>
        <w:t xml:space="preserve">deberá estar disponible </w:t>
      </w:r>
      <w:r w:rsidR="000D7034" w:rsidRPr="0059421B">
        <w:rPr>
          <w:rFonts w:ascii="Arial" w:hAnsi="Arial" w:cs="Arial"/>
          <w:sz w:val="22"/>
          <w:szCs w:val="22"/>
          <w:lang w:val="es-MX" w:eastAsia="es-MX"/>
        </w:rPr>
        <w:t xml:space="preserve">para los CS, AS y el Instituto </w:t>
      </w:r>
      <w:r w:rsidR="00F051BD">
        <w:rPr>
          <w:rFonts w:ascii="Arial" w:hAnsi="Arial" w:cs="Arial"/>
          <w:sz w:val="22"/>
          <w:szCs w:val="22"/>
          <w:lang w:val="es-MX" w:eastAsia="es-MX"/>
        </w:rPr>
        <w:t>cinco</w:t>
      </w:r>
      <w:r w:rsidR="000D7034" w:rsidRPr="0059421B">
        <w:rPr>
          <w:rFonts w:ascii="Arial" w:hAnsi="Arial" w:cs="Arial"/>
          <w:sz w:val="22"/>
          <w:szCs w:val="22"/>
          <w:lang w:val="es-MX" w:eastAsia="es-MX"/>
        </w:rPr>
        <w:t xml:space="preserve"> días hábiles después de la conclusión de cada trimestre</w:t>
      </w:r>
      <w:r w:rsidR="00E50DFE" w:rsidRPr="0059421B">
        <w:rPr>
          <w:rFonts w:ascii="Arial" w:hAnsi="Arial" w:cs="Arial"/>
          <w:sz w:val="22"/>
          <w:szCs w:val="22"/>
          <w:lang w:val="es-MX" w:eastAsia="es-MX"/>
        </w:rPr>
        <w:t xml:space="preserve">. </w:t>
      </w:r>
    </w:p>
    <w:p w14:paraId="709737CD" w14:textId="77777777" w:rsidR="006039D9" w:rsidRDefault="006039D9" w:rsidP="006039D9">
      <w:pPr>
        <w:spacing w:before="0" w:after="0" w:line="276" w:lineRule="auto"/>
        <w:rPr>
          <w:rFonts w:ascii="Arial" w:hAnsi="Arial" w:cs="Arial"/>
          <w:sz w:val="22"/>
          <w:szCs w:val="22"/>
          <w:lang w:val="es-MX" w:eastAsia="es-MX"/>
        </w:rPr>
      </w:pPr>
    </w:p>
    <w:p w14:paraId="469A417C" w14:textId="375E6AC2" w:rsidR="00147D42" w:rsidRDefault="00147D42" w:rsidP="006039D9">
      <w:pPr>
        <w:spacing w:before="0" w:after="0" w:line="276" w:lineRule="auto"/>
        <w:rPr>
          <w:rFonts w:ascii="Arial" w:hAnsi="Arial" w:cs="Arial"/>
          <w:sz w:val="22"/>
          <w:szCs w:val="22"/>
          <w:lang w:val="es-MX" w:eastAsia="es-MX"/>
        </w:rPr>
      </w:pPr>
      <w:r w:rsidRPr="0059421B">
        <w:rPr>
          <w:rFonts w:ascii="Arial" w:hAnsi="Arial" w:cs="Arial"/>
          <w:sz w:val="22"/>
          <w:szCs w:val="22"/>
          <w:lang w:val="es-MX" w:eastAsia="es-MX"/>
        </w:rPr>
        <w:t>Para todos los parámetros, el tiempo de ejecución está dado en Días Hábiles (DH).</w:t>
      </w:r>
    </w:p>
    <w:p w14:paraId="08048453" w14:textId="77777777" w:rsidR="006039D9" w:rsidRPr="0059421B" w:rsidRDefault="006039D9" w:rsidP="006039D9">
      <w:pPr>
        <w:spacing w:before="0" w:after="0" w:line="276" w:lineRule="auto"/>
        <w:rPr>
          <w:rFonts w:ascii="Arial" w:hAnsi="Arial" w:cs="Arial"/>
          <w:sz w:val="22"/>
          <w:szCs w:val="22"/>
          <w:lang w:val="es-MX" w:eastAsia="es-MX"/>
        </w:rPr>
      </w:pPr>
    </w:p>
    <w:p w14:paraId="469A417E" w14:textId="30551070" w:rsidR="00B955F7" w:rsidRDefault="00412FA6" w:rsidP="006039D9">
      <w:pPr>
        <w:pStyle w:val="Ttulo3"/>
        <w:spacing w:before="0" w:line="276" w:lineRule="auto"/>
        <w:rPr>
          <w:rFonts w:ascii="Arial" w:hAnsi="Arial" w:cs="Arial"/>
          <w:sz w:val="22"/>
          <w:szCs w:val="22"/>
          <w:u w:val="none"/>
        </w:rPr>
      </w:pPr>
      <w:r w:rsidRPr="0059421B">
        <w:rPr>
          <w:rStyle w:val="Ttulodellibro"/>
          <w:rFonts w:ascii="Arial" w:hAnsi="Arial" w:cs="Arial"/>
          <w:sz w:val="22"/>
          <w:szCs w:val="22"/>
          <w:u w:val="none"/>
        </w:rPr>
        <w:t>2.1.</w:t>
      </w:r>
      <w:r w:rsidRPr="0059421B">
        <w:rPr>
          <w:rStyle w:val="Ttulodellibro"/>
          <w:rFonts w:ascii="Arial" w:hAnsi="Arial" w:cs="Arial"/>
          <w:sz w:val="22"/>
          <w:szCs w:val="22"/>
          <w:u w:val="none"/>
        </w:rPr>
        <w:tab/>
      </w:r>
      <w:r w:rsidRPr="0059421B">
        <w:rPr>
          <w:rFonts w:ascii="Arial" w:hAnsi="Arial" w:cs="Arial"/>
          <w:sz w:val="22"/>
          <w:szCs w:val="22"/>
          <w:u w:val="none"/>
        </w:rPr>
        <w:t xml:space="preserve">Solicitud de </w:t>
      </w:r>
      <w:r w:rsidR="003E5B38" w:rsidRPr="0059421B">
        <w:rPr>
          <w:rFonts w:ascii="Arial" w:hAnsi="Arial" w:cs="Arial"/>
          <w:sz w:val="22"/>
          <w:szCs w:val="22"/>
          <w:u w:val="none"/>
        </w:rPr>
        <w:t xml:space="preserve">acceso al </w:t>
      </w:r>
      <w:r w:rsidR="002F7002" w:rsidRPr="0059421B">
        <w:rPr>
          <w:rFonts w:ascii="Arial" w:hAnsi="Arial" w:cs="Arial"/>
          <w:sz w:val="22"/>
          <w:szCs w:val="22"/>
          <w:u w:val="none"/>
        </w:rPr>
        <w:t>SEG</w:t>
      </w:r>
      <w:r w:rsidR="003E5B38" w:rsidRPr="0059421B">
        <w:rPr>
          <w:rFonts w:ascii="Arial" w:hAnsi="Arial" w:cs="Arial"/>
          <w:sz w:val="22"/>
          <w:szCs w:val="22"/>
          <w:u w:val="none"/>
        </w:rPr>
        <w:t>.</w:t>
      </w:r>
    </w:p>
    <w:p w14:paraId="4A645993" w14:textId="77777777" w:rsidR="006039D9" w:rsidRPr="006039D9" w:rsidRDefault="006039D9" w:rsidP="006039D9">
      <w:pPr>
        <w:spacing w:before="0" w:after="0" w:line="276" w:lineRule="auto"/>
      </w:pPr>
    </w:p>
    <w:tbl>
      <w:tblPr>
        <w:tblW w:w="43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685"/>
        <w:gridCol w:w="1591"/>
      </w:tblGrid>
      <w:tr w:rsidR="00B955F7" w:rsidRPr="0059421B" w14:paraId="469A4182" w14:textId="77777777" w:rsidTr="003E5B38">
        <w:trPr>
          <w:trHeight w:val="225"/>
          <w:jc w:val="center"/>
        </w:trPr>
        <w:tc>
          <w:tcPr>
            <w:tcW w:w="2396" w:type="pct"/>
            <w:shd w:val="clear" w:color="auto" w:fill="548DD4"/>
            <w:vAlign w:val="center"/>
          </w:tcPr>
          <w:p w14:paraId="469A417F" w14:textId="77777777" w:rsidR="00B955F7" w:rsidRPr="0059421B" w:rsidRDefault="00B955F7" w:rsidP="006039D9">
            <w:pPr>
              <w:suppressAutoHyphens/>
              <w:spacing w:before="0" w:after="0" w:line="276"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Actividad</w:t>
            </w:r>
          </w:p>
        </w:tc>
        <w:tc>
          <w:tcPr>
            <w:tcW w:w="1635" w:type="pct"/>
            <w:shd w:val="clear" w:color="auto" w:fill="548DD4"/>
            <w:vAlign w:val="center"/>
          </w:tcPr>
          <w:p w14:paraId="469A4180" w14:textId="77777777" w:rsidR="00B955F7" w:rsidRPr="0059421B" w:rsidRDefault="00B955F7" w:rsidP="006039D9">
            <w:pPr>
              <w:suppressAutoHyphens/>
              <w:spacing w:before="0" w:after="0" w:line="276"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Tiempo</w:t>
            </w:r>
            <w:r w:rsidR="00B31C44" w:rsidRPr="0059421B">
              <w:rPr>
                <w:rFonts w:ascii="Arial" w:hAnsi="Arial" w:cs="Arial"/>
                <w:b/>
                <w:color w:val="FFFFFF"/>
                <w:sz w:val="20"/>
                <w:szCs w:val="20"/>
                <w:lang w:val="es-MX" w:eastAsia="es-MX"/>
              </w:rPr>
              <w:t xml:space="preserve"> máximo.</w:t>
            </w:r>
          </w:p>
        </w:tc>
        <w:tc>
          <w:tcPr>
            <w:tcW w:w="969" w:type="pct"/>
            <w:shd w:val="clear" w:color="auto" w:fill="548DD4"/>
            <w:vAlign w:val="center"/>
          </w:tcPr>
          <w:p w14:paraId="469A4181" w14:textId="77777777" w:rsidR="00B955F7" w:rsidRPr="0059421B" w:rsidRDefault="00B955F7" w:rsidP="006039D9">
            <w:pPr>
              <w:suppressAutoHyphens/>
              <w:spacing w:before="0" w:after="0" w:line="276"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Cumplimiento</w:t>
            </w:r>
          </w:p>
        </w:tc>
      </w:tr>
      <w:tr w:rsidR="00B662E7" w:rsidRPr="0059421B" w14:paraId="469A4186" w14:textId="77777777" w:rsidTr="003E5B38">
        <w:trPr>
          <w:trHeight w:val="225"/>
          <w:jc w:val="center"/>
        </w:trPr>
        <w:tc>
          <w:tcPr>
            <w:tcW w:w="2396" w:type="pct"/>
            <w:vAlign w:val="center"/>
          </w:tcPr>
          <w:p w14:paraId="469A4183" w14:textId="401B9DF2" w:rsidR="00B662E7" w:rsidRPr="0059421B" w:rsidRDefault="003E5B38" w:rsidP="006039D9">
            <w:pPr>
              <w:suppressAutoHyphens/>
              <w:spacing w:before="0" w:after="0" w:line="276" w:lineRule="auto"/>
              <w:contextualSpacing/>
              <w:rPr>
                <w:rFonts w:ascii="Arial" w:hAnsi="Arial" w:cs="Arial"/>
                <w:sz w:val="20"/>
                <w:szCs w:val="20"/>
                <w:lang w:val="es-MX" w:eastAsia="es-MX"/>
              </w:rPr>
            </w:pPr>
            <w:r w:rsidRPr="0059421B">
              <w:rPr>
                <w:rFonts w:ascii="Arial" w:hAnsi="Arial" w:cs="Arial"/>
                <w:sz w:val="20"/>
                <w:szCs w:val="20"/>
                <w:lang w:val="es-MX" w:eastAsia="es-MX"/>
              </w:rPr>
              <w:t>Envío de Formato para Administrador de Usuarios (ABC) por parte del CS</w:t>
            </w:r>
            <w:r w:rsidR="009615EA">
              <w:rPr>
                <w:rFonts w:ascii="Arial" w:hAnsi="Arial" w:cs="Arial"/>
                <w:sz w:val="20"/>
                <w:szCs w:val="20"/>
                <w:lang w:val="es-MX" w:eastAsia="es-MX"/>
              </w:rPr>
              <w:t xml:space="preserve"> o AS</w:t>
            </w:r>
            <w:r w:rsidRPr="0059421B">
              <w:rPr>
                <w:rFonts w:ascii="Arial" w:hAnsi="Arial" w:cs="Arial"/>
                <w:sz w:val="20"/>
                <w:szCs w:val="20"/>
                <w:lang w:val="es-MX" w:eastAsia="es-MX"/>
              </w:rPr>
              <w:t>.</w:t>
            </w:r>
          </w:p>
        </w:tc>
        <w:tc>
          <w:tcPr>
            <w:tcW w:w="1635" w:type="pct"/>
            <w:vAlign w:val="center"/>
          </w:tcPr>
          <w:p w14:paraId="469A4184" w14:textId="77777777" w:rsidR="00B662E7" w:rsidRPr="0059421B" w:rsidRDefault="00B662E7" w:rsidP="006039D9">
            <w:pPr>
              <w:suppressAutoHyphens/>
              <w:spacing w:before="0" w:after="0" w:line="276"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c>
          <w:tcPr>
            <w:tcW w:w="969" w:type="pct"/>
            <w:vAlign w:val="center"/>
          </w:tcPr>
          <w:p w14:paraId="469A4185" w14:textId="77777777" w:rsidR="00B662E7" w:rsidRPr="0059421B" w:rsidRDefault="003E5B38" w:rsidP="006039D9">
            <w:pPr>
              <w:suppressAutoHyphens/>
              <w:spacing w:before="0" w:after="0" w:line="276"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r>
      <w:tr w:rsidR="00B955F7" w:rsidRPr="0059421B" w14:paraId="469A418A" w14:textId="77777777" w:rsidTr="003E5B38">
        <w:trPr>
          <w:trHeight w:val="225"/>
          <w:jc w:val="center"/>
        </w:trPr>
        <w:tc>
          <w:tcPr>
            <w:tcW w:w="2396" w:type="pct"/>
            <w:vAlign w:val="center"/>
          </w:tcPr>
          <w:p w14:paraId="469A4187" w14:textId="18B2197C" w:rsidR="00B955F7" w:rsidRPr="0059421B" w:rsidRDefault="00B662E7" w:rsidP="006039D9">
            <w:pPr>
              <w:suppressAutoHyphens/>
              <w:spacing w:before="0" w:after="0" w:line="276" w:lineRule="auto"/>
              <w:contextualSpacing/>
              <w:rPr>
                <w:rFonts w:ascii="Arial" w:hAnsi="Arial" w:cs="Arial"/>
                <w:sz w:val="20"/>
                <w:szCs w:val="20"/>
                <w:lang w:val="es-MX" w:eastAsia="es-MX"/>
              </w:rPr>
            </w:pPr>
            <w:r w:rsidRPr="0059421B">
              <w:rPr>
                <w:rFonts w:ascii="Arial" w:hAnsi="Arial" w:cs="Arial"/>
                <w:sz w:val="20"/>
                <w:szCs w:val="20"/>
                <w:lang w:val="es-MX" w:eastAsia="es-MX"/>
              </w:rPr>
              <w:t xml:space="preserve">Entrega </w:t>
            </w:r>
            <w:r w:rsidR="003E5B38" w:rsidRPr="0059421B">
              <w:rPr>
                <w:rFonts w:ascii="Arial" w:hAnsi="Arial" w:cs="Arial"/>
                <w:sz w:val="20"/>
                <w:szCs w:val="20"/>
                <w:lang w:val="es-MX" w:eastAsia="es-MX"/>
              </w:rPr>
              <w:t>al CS</w:t>
            </w:r>
            <w:r w:rsidR="009615EA">
              <w:rPr>
                <w:rFonts w:ascii="Arial" w:hAnsi="Arial" w:cs="Arial"/>
                <w:sz w:val="20"/>
                <w:szCs w:val="20"/>
                <w:lang w:val="es-MX" w:eastAsia="es-MX"/>
              </w:rPr>
              <w:t xml:space="preserve"> o AS</w:t>
            </w:r>
            <w:r w:rsidR="003E5B38" w:rsidRPr="0059421B">
              <w:rPr>
                <w:rFonts w:ascii="Arial" w:hAnsi="Arial" w:cs="Arial"/>
                <w:sz w:val="20"/>
                <w:szCs w:val="20"/>
                <w:lang w:val="es-MX" w:eastAsia="es-MX"/>
              </w:rPr>
              <w:t xml:space="preserve"> de credenciales </w:t>
            </w:r>
            <w:r w:rsidRPr="0059421B">
              <w:rPr>
                <w:rFonts w:ascii="Arial" w:hAnsi="Arial" w:cs="Arial"/>
                <w:sz w:val="20"/>
                <w:szCs w:val="20"/>
                <w:lang w:val="es-MX" w:eastAsia="es-MX"/>
              </w:rPr>
              <w:t xml:space="preserve">de acceso al </w:t>
            </w:r>
            <w:r w:rsidR="002F7002" w:rsidRPr="0059421B">
              <w:rPr>
                <w:rFonts w:ascii="Arial" w:hAnsi="Arial" w:cs="Arial"/>
                <w:sz w:val="20"/>
                <w:szCs w:val="20"/>
                <w:lang w:val="es-MX" w:eastAsia="es-MX"/>
              </w:rPr>
              <w:t>SEG</w:t>
            </w:r>
            <w:r w:rsidR="003E5B38" w:rsidRPr="0059421B">
              <w:rPr>
                <w:rFonts w:ascii="Arial" w:hAnsi="Arial" w:cs="Arial"/>
                <w:sz w:val="20"/>
                <w:szCs w:val="20"/>
                <w:lang w:val="es-MX" w:eastAsia="es-MX"/>
              </w:rPr>
              <w:t xml:space="preserve"> por parte </w:t>
            </w:r>
            <w:r w:rsidR="002F7002" w:rsidRPr="0059421B">
              <w:rPr>
                <w:rFonts w:ascii="Arial" w:hAnsi="Arial" w:cs="Arial"/>
                <w:sz w:val="20"/>
                <w:szCs w:val="20"/>
                <w:lang w:val="es-MX" w:eastAsia="es-MX"/>
              </w:rPr>
              <w:t xml:space="preserve">de </w:t>
            </w:r>
            <w:r w:rsidR="00C15150" w:rsidRPr="0059421B">
              <w:rPr>
                <w:rFonts w:ascii="Arial" w:hAnsi="Arial" w:cs="Arial"/>
                <w:sz w:val="20"/>
                <w:szCs w:val="20"/>
                <w:lang w:val="es-MX" w:eastAsia="es-MX"/>
              </w:rPr>
              <w:t>las Divisiones Mayoristas</w:t>
            </w:r>
            <w:r w:rsidR="000B7EA3">
              <w:rPr>
                <w:rFonts w:ascii="Arial" w:hAnsi="Arial" w:cs="Arial"/>
                <w:sz w:val="20"/>
                <w:szCs w:val="20"/>
                <w:lang w:val="es-MX" w:eastAsia="es-MX"/>
              </w:rPr>
              <w:t xml:space="preserve"> (En lo sucesivo “Telmex y Telnor o las DM de Telmex y Telnor)</w:t>
            </w:r>
            <w:r w:rsidRPr="0059421B">
              <w:rPr>
                <w:rFonts w:ascii="Arial" w:hAnsi="Arial" w:cs="Arial"/>
                <w:sz w:val="20"/>
                <w:szCs w:val="20"/>
                <w:lang w:val="es-MX" w:eastAsia="es-MX"/>
              </w:rPr>
              <w:t>.</w:t>
            </w:r>
          </w:p>
        </w:tc>
        <w:tc>
          <w:tcPr>
            <w:tcW w:w="1635" w:type="pct"/>
            <w:vAlign w:val="center"/>
          </w:tcPr>
          <w:p w14:paraId="469A4188" w14:textId="5DF220DE" w:rsidR="00B955F7" w:rsidRPr="0059421B" w:rsidRDefault="00F051BD" w:rsidP="00B20AD8">
            <w:pPr>
              <w:suppressAutoHyphens/>
              <w:spacing w:before="0" w:after="0" w:line="276" w:lineRule="auto"/>
              <w:contextualSpacing/>
              <w:jc w:val="center"/>
              <w:rPr>
                <w:rFonts w:ascii="Arial" w:hAnsi="Arial" w:cs="Arial"/>
                <w:sz w:val="20"/>
                <w:szCs w:val="20"/>
                <w:lang w:val="es-MX" w:eastAsia="es-MX"/>
              </w:rPr>
            </w:pPr>
            <w:r>
              <w:rPr>
                <w:rFonts w:ascii="Arial" w:hAnsi="Arial" w:cs="Arial"/>
                <w:sz w:val="20"/>
                <w:szCs w:val="20"/>
                <w:lang w:val="es-MX" w:eastAsia="es-MX"/>
              </w:rPr>
              <w:t>tres</w:t>
            </w:r>
            <w:r w:rsidR="00B955F7" w:rsidRPr="0059421B">
              <w:rPr>
                <w:rFonts w:ascii="Arial" w:hAnsi="Arial" w:cs="Arial"/>
                <w:sz w:val="20"/>
                <w:szCs w:val="20"/>
                <w:lang w:val="es-MX" w:eastAsia="es-MX"/>
              </w:rPr>
              <w:t xml:space="preserve"> DH</w:t>
            </w:r>
            <w:r w:rsidR="00B20AD8">
              <w:rPr>
                <w:rFonts w:ascii="Arial" w:hAnsi="Arial" w:cs="Arial"/>
                <w:sz w:val="20"/>
                <w:szCs w:val="20"/>
                <w:lang w:val="es-MX" w:eastAsia="es-MX"/>
              </w:rPr>
              <w:t xml:space="preserve"> </w:t>
            </w:r>
            <w:r w:rsidR="00B20AD8" w:rsidRPr="00501938">
              <w:rPr>
                <w:rFonts w:ascii="Arial" w:hAnsi="Arial" w:cs="Arial"/>
                <w:sz w:val="20"/>
                <w:szCs w:val="20"/>
                <w:lang w:val="es-MX" w:eastAsia="es-MX"/>
              </w:rPr>
              <w:t xml:space="preserve">contados a partir del día hábil siguiente del envío del </w:t>
            </w:r>
            <w:r w:rsidR="00B20AD8" w:rsidRPr="0025217B">
              <w:rPr>
                <w:rFonts w:ascii="Arial" w:hAnsi="Arial" w:cs="Arial"/>
                <w:sz w:val="20"/>
                <w:szCs w:val="20"/>
                <w:lang w:val="es-MX" w:eastAsia="es-MX"/>
              </w:rPr>
              <w:t xml:space="preserve">Formato para </w:t>
            </w:r>
            <w:r w:rsidR="00B20AD8" w:rsidRPr="00501938">
              <w:rPr>
                <w:rFonts w:ascii="Arial" w:hAnsi="Arial" w:cs="Arial"/>
                <w:sz w:val="20"/>
                <w:szCs w:val="20"/>
                <w:lang w:val="es-MX" w:eastAsia="es-MX"/>
              </w:rPr>
              <w:t>A</w:t>
            </w:r>
            <w:r w:rsidR="00B20AD8" w:rsidRPr="0025217B">
              <w:rPr>
                <w:rFonts w:ascii="Arial" w:hAnsi="Arial" w:cs="Arial"/>
                <w:sz w:val="20"/>
                <w:szCs w:val="20"/>
                <w:lang w:val="es-MX" w:eastAsia="es-MX"/>
              </w:rPr>
              <w:t>dministrador de Usuarios (ABC)</w:t>
            </w:r>
          </w:p>
        </w:tc>
        <w:tc>
          <w:tcPr>
            <w:tcW w:w="969" w:type="pct"/>
            <w:vAlign w:val="center"/>
          </w:tcPr>
          <w:p w14:paraId="469A4189" w14:textId="77777777" w:rsidR="00B955F7" w:rsidRPr="0059421B" w:rsidRDefault="00B955F7" w:rsidP="006039D9">
            <w:pPr>
              <w:suppressAutoHyphens/>
              <w:spacing w:before="0" w:after="0" w:line="276"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90%</w:t>
            </w:r>
          </w:p>
        </w:tc>
      </w:tr>
    </w:tbl>
    <w:p w14:paraId="490DCA68" w14:textId="14F64DBC" w:rsidR="0025217B" w:rsidRDefault="0025217B" w:rsidP="006039D9">
      <w:pPr>
        <w:spacing w:before="0" w:after="0" w:line="276" w:lineRule="auto"/>
        <w:rPr>
          <w:rFonts w:ascii="Arial" w:hAnsi="Arial" w:cs="Arial"/>
          <w:sz w:val="28"/>
          <w:szCs w:val="22"/>
        </w:rPr>
      </w:pPr>
    </w:p>
    <w:p w14:paraId="4810D3C1" w14:textId="77777777" w:rsidR="0025217B" w:rsidRDefault="0025217B">
      <w:pPr>
        <w:spacing w:before="0" w:after="0" w:line="240" w:lineRule="auto"/>
        <w:jc w:val="left"/>
        <w:rPr>
          <w:rFonts w:ascii="Arial" w:hAnsi="Arial" w:cs="Arial"/>
          <w:sz w:val="28"/>
          <w:szCs w:val="22"/>
        </w:rPr>
      </w:pPr>
      <w:r>
        <w:rPr>
          <w:rFonts w:ascii="Arial" w:hAnsi="Arial" w:cs="Arial"/>
          <w:sz w:val="28"/>
          <w:szCs w:val="22"/>
        </w:rPr>
        <w:br w:type="page"/>
      </w:r>
    </w:p>
    <w:p w14:paraId="469A418F" w14:textId="72321823" w:rsidR="006814AD" w:rsidRDefault="00684B5C" w:rsidP="006039D9">
      <w:pPr>
        <w:pStyle w:val="Ttulo3"/>
        <w:spacing w:before="0" w:line="276" w:lineRule="auto"/>
        <w:rPr>
          <w:rFonts w:ascii="Arial" w:hAnsi="Arial" w:cs="Arial"/>
          <w:sz w:val="22"/>
          <w:szCs w:val="22"/>
          <w:u w:val="none"/>
        </w:rPr>
      </w:pPr>
      <w:r w:rsidRPr="0059421B">
        <w:rPr>
          <w:rFonts w:ascii="Arial" w:hAnsi="Arial" w:cs="Arial"/>
          <w:sz w:val="22"/>
          <w:szCs w:val="22"/>
          <w:u w:val="none"/>
        </w:rPr>
        <w:lastRenderedPageBreak/>
        <w:t>2.2</w:t>
      </w:r>
      <w:r w:rsidRPr="0059421B">
        <w:rPr>
          <w:rFonts w:ascii="Arial" w:hAnsi="Arial" w:cs="Arial"/>
          <w:u w:val="none"/>
        </w:rPr>
        <w:t xml:space="preserve"> </w:t>
      </w:r>
      <w:r w:rsidR="006814AD" w:rsidRPr="0059421B">
        <w:rPr>
          <w:rFonts w:ascii="Arial" w:hAnsi="Arial" w:cs="Arial"/>
          <w:sz w:val="22"/>
          <w:szCs w:val="22"/>
          <w:u w:val="none"/>
        </w:rPr>
        <w:t>Servicio de Acceso y Uso Compartido de Torres</w:t>
      </w:r>
    </w:p>
    <w:p w14:paraId="06D4F400" w14:textId="77777777" w:rsidR="006039D9" w:rsidRPr="006039D9" w:rsidRDefault="006039D9" w:rsidP="006039D9">
      <w:pPr>
        <w:spacing w:before="0" w:after="0" w:line="276" w:lineRule="auto"/>
      </w:pPr>
    </w:p>
    <w:p w14:paraId="469A4190" w14:textId="604E6E48" w:rsidR="00567A04" w:rsidRDefault="00567A04" w:rsidP="006039D9">
      <w:pPr>
        <w:spacing w:before="0" w:after="0" w:line="276" w:lineRule="auto"/>
        <w:jc w:val="left"/>
        <w:rPr>
          <w:rFonts w:ascii="Arial" w:hAnsi="Arial" w:cs="Arial"/>
          <w:b/>
          <w:sz w:val="22"/>
          <w:u w:val="single"/>
        </w:rPr>
      </w:pPr>
      <w:r w:rsidRPr="0059421B">
        <w:rPr>
          <w:rFonts w:ascii="Arial" w:hAnsi="Arial" w:cs="Arial"/>
          <w:b/>
          <w:sz w:val="22"/>
          <w:u w:val="single"/>
        </w:rPr>
        <w:t>Contratación</w:t>
      </w:r>
    </w:p>
    <w:p w14:paraId="2288011D" w14:textId="77777777" w:rsidR="00B20AD8" w:rsidRPr="0059421B" w:rsidRDefault="00B20AD8" w:rsidP="006039D9">
      <w:pPr>
        <w:spacing w:before="0" w:after="0" w:line="276" w:lineRule="auto"/>
        <w:jc w:val="left"/>
        <w:rPr>
          <w:rFonts w:ascii="Arial" w:hAnsi="Arial" w:cs="Arial"/>
          <w:b/>
          <w:sz w:val="22"/>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93" w14:textId="77777777" w:rsidTr="00567A04">
        <w:trPr>
          <w:trHeight w:val="467"/>
          <w:jc w:val="center"/>
        </w:trPr>
        <w:tc>
          <w:tcPr>
            <w:tcW w:w="5000" w:type="pct"/>
            <w:gridSpan w:val="3"/>
            <w:shd w:val="clear" w:color="auto" w:fill="5B9BD5"/>
            <w:vAlign w:val="center"/>
          </w:tcPr>
          <w:p w14:paraId="469A4192" w14:textId="66355C0F"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 del CS</w:t>
            </w:r>
          </w:p>
        </w:tc>
      </w:tr>
      <w:tr w:rsidR="0028148B" w:rsidRPr="0059421B" w14:paraId="469A4197" w14:textId="77777777" w:rsidTr="00B1344C">
        <w:trPr>
          <w:trHeight w:val="467"/>
          <w:jc w:val="center"/>
        </w:trPr>
        <w:tc>
          <w:tcPr>
            <w:tcW w:w="2364" w:type="pct"/>
            <w:shd w:val="clear" w:color="auto" w:fill="5B9BD5"/>
            <w:vAlign w:val="center"/>
          </w:tcPr>
          <w:p w14:paraId="469A4194"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9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9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Cumplimiento</w:t>
            </w:r>
          </w:p>
        </w:tc>
      </w:tr>
      <w:tr w:rsidR="00567A04" w:rsidRPr="0059421B" w14:paraId="469A419B" w14:textId="77777777" w:rsidTr="00B1344C">
        <w:trPr>
          <w:trHeight w:val="467"/>
          <w:jc w:val="center"/>
        </w:trPr>
        <w:tc>
          <w:tcPr>
            <w:tcW w:w="2364" w:type="pct"/>
            <w:vAlign w:val="center"/>
          </w:tcPr>
          <w:p w14:paraId="469A4198" w14:textId="2E74EE80" w:rsidR="00567A04" w:rsidRPr="0059421B" w:rsidRDefault="00567A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w:t>
            </w:r>
            <w:r w:rsidR="008B255E" w:rsidRPr="0059421B">
              <w:rPr>
                <w:rFonts w:ascii="Arial" w:hAnsi="Arial" w:cs="Arial"/>
                <w:sz w:val="20"/>
                <w:szCs w:val="20"/>
                <w:lang w:val="es-ES"/>
              </w:rPr>
              <w:t>icitud de contratación</w:t>
            </w:r>
            <w:r w:rsidR="00970516" w:rsidRPr="0059421B">
              <w:rPr>
                <w:rFonts w:ascii="Arial" w:hAnsi="Arial" w:cs="Arial"/>
                <w:sz w:val="20"/>
                <w:szCs w:val="20"/>
                <w:lang w:val="es-ES"/>
              </w:rPr>
              <w:t xml:space="preserve"> y, en su caso, el Anteproyecto</w:t>
            </w:r>
          </w:p>
        </w:tc>
        <w:tc>
          <w:tcPr>
            <w:tcW w:w="1545" w:type="pct"/>
            <w:vAlign w:val="center"/>
          </w:tcPr>
          <w:p w14:paraId="469A4199"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14:paraId="469A419A"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14:paraId="469A419F" w14:textId="77777777" w:rsidTr="00B1344C">
        <w:trPr>
          <w:trHeight w:val="467"/>
          <w:jc w:val="center"/>
        </w:trPr>
        <w:tc>
          <w:tcPr>
            <w:tcW w:w="2364" w:type="pct"/>
            <w:vAlign w:val="center"/>
          </w:tcPr>
          <w:p w14:paraId="469A419C" w14:textId="2FD39085" w:rsidR="008B255E"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w:t>
            </w:r>
            <w:r w:rsidR="00447D04" w:rsidRPr="0059421B">
              <w:rPr>
                <w:rFonts w:ascii="Arial" w:hAnsi="Arial" w:cs="Arial"/>
                <w:sz w:val="20"/>
                <w:szCs w:val="20"/>
                <w:lang w:val="es-ES"/>
              </w:rPr>
              <w:t>s</w:t>
            </w:r>
            <w:r w:rsidRPr="0059421B">
              <w:rPr>
                <w:rFonts w:ascii="Arial" w:hAnsi="Arial" w:cs="Arial"/>
                <w:sz w:val="20"/>
                <w:szCs w:val="20"/>
                <w:lang w:val="es-ES"/>
              </w:rPr>
              <w:t xml:space="preserve"> </w:t>
            </w:r>
            <w:r w:rsidR="000B7EA3">
              <w:rPr>
                <w:rFonts w:ascii="Arial" w:hAnsi="Arial" w:cs="Arial"/>
                <w:sz w:val="20"/>
                <w:szCs w:val="20"/>
                <w:lang w:val="es-ES"/>
              </w:rPr>
              <w:t>DM de Telmex y Telnor</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el resultado de la solicitud</w:t>
            </w:r>
            <w:r w:rsidR="00EA5FC3" w:rsidRPr="0059421B">
              <w:rPr>
                <w:rFonts w:ascii="Arial" w:hAnsi="Arial" w:cs="Arial"/>
                <w:sz w:val="20"/>
                <w:szCs w:val="20"/>
                <w:lang w:val="es-ES"/>
              </w:rPr>
              <w:t>.</w:t>
            </w:r>
          </w:p>
        </w:tc>
        <w:tc>
          <w:tcPr>
            <w:tcW w:w="1545" w:type="pct"/>
            <w:vAlign w:val="center"/>
          </w:tcPr>
          <w:p w14:paraId="469A419D" w14:textId="468AAAD7" w:rsidR="008B255E" w:rsidRPr="0059421B" w:rsidRDefault="00F051BD">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8B255E" w:rsidRPr="0059421B">
              <w:rPr>
                <w:rFonts w:ascii="Arial" w:hAnsi="Arial" w:cs="Arial"/>
                <w:sz w:val="20"/>
                <w:szCs w:val="20"/>
                <w:lang w:val="es-ES"/>
              </w:rPr>
              <w:t xml:space="preserve"> DH</w:t>
            </w:r>
            <w:r w:rsidR="00B20AD8">
              <w:rPr>
                <w:rFonts w:ascii="Arial" w:hAnsi="Arial" w:cs="Arial"/>
                <w:sz w:val="20"/>
                <w:szCs w:val="20"/>
                <w:lang w:val="es-ES"/>
              </w:rPr>
              <w:t xml:space="preserve"> </w:t>
            </w:r>
            <w:r w:rsidR="00B20AD8" w:rsidRPr="00501938">
              <w:rPr>
                <w:rFonts w:ascii="Arial" w:hAnsi="Arial" w:cs="Arial"/>
                <w:sz w:val="20"/>
                <w:szCs w:val="20"/>
                <w:lang w:val="es-ES"/>
              </w:rPr>
              <w:t>contados a partir del día hábil</w:t>
            </w:r>
            <w:r w:rsidR="00B20AD8" w:rsidRPr="00430622">
              <w:rPr>
                <w:rFonts w:asciiTheme="minorHAnsi" w:hAnsiTheme="minorHAnsi" w:cs="Arial"/>
                <w:sz w:val="20"/>
                <w:szCs w:val="20"/>
                <w:lang w:eastAsia="es-MX"/>
              </w:rPr>
              <w:t xml:space="preserve"> </w:t>
            </w:r>
          </w:p>
        </w:tc>
        <w:tc>
          <w:tcPr>
            <w:tcW w:w="1091" w:type="pct"/>
            <w:vAlign w:val="center"/>
          </w:tcPr>
          <w:p w14:paraId="469A419E"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EA5FC3" w:rsidRPr="0059421B" w14:paraId="469A41A3" w14:textId="77777777" w:rsidTr="00B1344C">
        <w:trPr>
          <w:trHeight w:val="467"/>
          <w:jc w:val="center"/>
        </w:trPr>
        <w:tc>
          <w:tcPr>
            <w:tcW w:w="2364" w:type="pct"/>
            <w:vAlign w:val="center"/>
          </w:tcPr>
          <w:p w14:paraId="469A41A0" w14:textId="69BCDA42" w:rsidR="00EA5FC3" w:rsidRPr="0059421B" w:rsidRDefault="0077702B" w:rsidP="006039D9">
            <w:pPr>
              <w:suppressAutoHyphens/>
              <w:spacing w:before="0" w:after="0" w:line="276" w:lineRule="auto"/>
              <w:contextualSpacing/>
              <w:rPr>
                <w:rFonts w:ascii="Arial" w:hAnsi="Arial" w:cs="Arial"/>
                <w:sz w:val="20"/>
                <w:szCs w:val="20"/>
                <w:lang w:val="es-ES"/>
              </w:rPr>
            </w:pPr>
            <w:r w:rsidRPr="0059421B">
              <w:rPr>
                <w:rFonts w:ascii="Arial" w:hAnsi="Arial" w:cs="Arial"/>
                <w:sz w:val="20"/>
                <w:szCs w:val="20"/>
                <w:lang w:val="es-ES"/>
              </w:rPr>
              <w:t xml:space="preserve">En caso de que la solicitud haya sido rechazados, </w:t>
            </w:r>
            <w:r w:rsidR="000B7EA3">
              <w:rPr>
                <w:rFonts w:ascii="Arial" w:hAnsi="Arial" w:cs="Arial"/>
                <w:sz w:val="20"/>
                <w:szCs w:val="20"/>
                <w:lang w:val="es-ES"/>
              </w:rPr>
              <w:t>Telmex y Telnor</w:t>
            </w:r>
            <w:r w:rsidRPr="0059421B">
              <w:rPr>
                <w:rFonts w:ascii="Arial" w:hAnsi="Arial" w:cs="Arial"/>
                <w:sz w:val="20"/>
                <w:szCs w:val="20"/>
                <w:lang w:val="es-ES"/>
              </w:rPr>
              <w:t xml:space="preserve"> enviará</w:t>
            </w:r>
            <w:r w:rsidR="000B7EA3">
              <w:rPr>
                <w:rFonts w:ascii="Arial" w:hAnsi="Arial" w:cs="Arial"/>
                <w:sz w:val="20"/>
                <w:szCs w:val="20"/>
                <w:lang w:val="es-ES"/>
              </w:rPr>
              <w:t>n</w:t>
            </w:r>
            <w:r w:rsidRPr="0059421B">
              <w:rPr>
                <w:rFonts w:ascii="Arial" w:hAnsi="Arial" w:cs="Arial"/>
                <w:sz w:val="20"/>
                <w:szCs w:val="20"/>
                <w:lang w:val="es-ES"/>
              </w:rPr>
              <w:t xml:space="preserve"> la prevención, de tal forma que el CS o AS pueda subsanar y reenviar la solicitud</w:t>
            </w:r>
          </w:p>
        </w:tc>
        <w:tc>
          <w:tcPr>
            <w:tcW w:w="1545" w:type="pct"/>
            <w:vAlign w:val="center"/>
          </w:tcPr>
          <w:p w14:paraId="469A41A1" w14:textId="7BAE8069" w:rsidR="00EA5FC3"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18655C">
              <w:rPr>
                <w:rFonts w:ascii="Arial" w:hAnsi="Arial" w:cs="Arial"/>
                <w:sz w:val="20"/>
                <w:szCs w:val="20"/>
                <w:lang w:val="es-ES"/>
              </w:rPr>
              <w:t xml:space="preserve"> </w:t>
            </w:r>
            <w:r w:rsidR="00EA5FC3" w:rsidRPr="0059421B">
              <w:rPr>
                <w:rFonts w:ascii="Arial" w:hAnsi="Arial" w:cs="Arial"/>
                <w:sz w:val="20"/>
                <w:szCs w:val="20"/>
                <w:lang w:val="es-ES"/>
              </w:rPr>
              <w:t>DH</w:t>
            </w:r>
            <w:r w:rsidR="00B20AD8">
              <w:rPr>
                <w:rFonts w:ascii="Arial" w:hAnsi="Arial" w:cs="Arial"/>
                <w:sz w:val="20"/>
                <w:szCs w:val="20"/>
                <w:lang w:val="es-ES"/>
              </w:rPr>
              <w:t xml:space="preserve"> </w:t>
            </w:r>
            <w:r w:rsidR="00B20AD8" w:rsidRPr="00501938">
              <w:rPr>
                <w:rFonts w:ascii="Arial" w:hAnsi="Arial" w:cs="Arial"/>
                <w:sz w:val="20"/>
                <w:szCs w:val="20"/>
                <w:lang w:val="es-ES"/>
              </w:rPr>
              <w:t>contados a partir del día hábil</w:t>
            </w:r>
            <w:r w:rsidR="00B20AD8">
              <w:rPr>
                <w:rFonts w:asciiTheme="minorHAnsi" w:hAnsiTheme="minorHAnsi" w:cs="Arial"/>
                <w:sz w:val="20"/>
                <w:szCs w:val="20"/>
                <w:lang w:eastAsia="es-MX"/>
              </w:rPr>
              <w:t xml:space="preserve"> </w:t>
            </w:r>
          </w:p>
        </w:tc>
        <w:tc>
          <w:tcPr>
            <w:tcW w:w="1091" w:type="pct"/>
            <w:vAlign w:val="center"/>
          </w:tcPr>
          <w:p w14:paraId="469A41A2" w14:textId="77777777" w:rsidR="00EA5FC3" w:rsidRPr="0059421B" w:rsidRDefault="00EA5FC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1A4"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A6" w14:textId="77777777" w:rsidTr="00567A04">
        <w:trPr>
          <w:trHeight w:val="467"/>
          <w:jc w:val="center"/>
        </w:trPr>
        <w:tc>
          <w:tcPr>
            <w:tcW w:w="5000" w:type="pct"/>
            <w:gridSpan w:val="3"/>
            <w:shd w:val="clear" w:color="auto" w:fill="5B9BD5"/>
            <w:vAlign w:val="center"/>
          </w:tcPr>
          <w:p w14:paraId="469A41A5" w14:textId="77777777"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Programación y realización de Visita Técnica</w:t>
            </w:r>
          </w:p>
        </w:tc>
      </w:tr>
      <w:tr w:rsidR="0028148B" w:rsidRPr="0059421B" w14:paraId="469A41AA" w14:textId="77777777" w:rsidTr="00B1344C">
        <w:trPr>
          <w:jc w:val="center"/>
        </w:trPr>
        <w:tc>
          <w:tcPr>
            <w:tcW w:w="2364" w:type="pct"/>
            <w:shd w:val="clear" w:color="auto" w:fill="5B9BD5"/>
            <w:vAlign w:val="center"/>
          </w:tcPr>
          <w:p w14:paraId="469A41A7"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A8"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A9"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8B255E" w:rsidRPr="0059421B" w14:paraId="469A41AF" w14:textId="77777777" w:rsidTr="00B1344C">
        <w:trPr>
          <w:jc w:val="center"/>
        </w:trPr>
        <w:tc>
          <w:tcPr>
            <w:tcW w:w="2364" w:type="pct"/>
            <w:shd w:val="clear" w:color="auto" w:fill="auto"/>
            <w:vAlign w:val="center"/>
          </w:tcPr>
          <w:p w14:paraId="469A41AB" w14:textId="77777777" w:rsidR="008B255E" w:rsidRPr="0059421B" w:rsidRDefault="008B255E" w:rsidP="006039D9">
            <w:pPr>
              <w:suppressAutoHyphens/>
              <w:spacing w:before="0" w:after="0" w:line="276" w:lineRule="auto"/>
              <w:contextualSpacing/>
              <w:jc w:val="left"/>
              <w:rPr>
                <w:rFonts w:ascii="Arial" w:hAnsi="Arial" w:cs="Arial"/>
                <w:b/>
                <w:sz w:val="20"/>
                <w:szCs w:val="20"/>
                <w:lang w:val="es-ES"/>
              </w:rPr>
            </w:pPr>
            <w:r w:rsidRPr="0059421B">
              <w:rPr>
                <w:rFonts w:ascii="Arial" w:hAnsi="Arial" w:cs="Arial"/>
                <w:sz w:val="20"/>
                <w:szCs w:val="20"/>
                <w:lang w:val="es-ES"/>
              </w:rPr>
              <w:t>Ejecución de la Visita Técnica</w:t>
            </w:r>
          </w:p>
        </w:tc>
        <w:tc>
          <w:tcPr>
            <w:tcW w:w="1545" w:type="pct"/>
            <w:shd w:val="clear" w:color="auto" w:fill="auto"/>
            <w:vAlign w:val="center"/>
          </w:tcPr>
          <w:p w14:paraId="469A41AC"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20 DH</w:t>
            </w:r>
          </w:p>
          <w:p w14:paraId="469A41AD" w14:textId="33052E28" w:rsidR="008B255E" w:rsidRPr="0059421B" w:rsidRDefault="008B255E">
            <w:pPr>
              <w:suppressAutoHyphens/>
              <w:spacing w:before="0" w:after="0" w:line="276" w:lineRule="auto"/>
              <w:contextualSpacing/>
              <w:jc w:val="center"/>
              <w:rPr>
                <w:rFonts w:ascii="Arial" w:hAnsi="Arial" w:cs="Arial"/>
                <w:b/>
                <w:sz w:val="20"/>
                <w:szCs w:val="20"/>
                <w:lang w:val="es-ES"/>
              </w:rPr>
            </w:pPr>
            <w:r w:rsidRPr="0059421B">
              <w:rPr>
                <w:rFonts w:ascii="Arial" w:hAnsi="Arial" w:cs="Arial"/>
                <w:sz w:val="20"/>
                <w:szCs w:val="20"/>
                <w:lang w:val="es-ES"/>
              </w:rPr>
              <w:t>(</w:t>
            </w:r>
            <w:r w:rsidR="00B20AD8">
              <w:rPr>
                <w:rFonts w:ascii="Arial" w:hAnsi="Arial" w:cs="Arial"/>
                <w:sz w:val="20"/>
                <w:szCs w:val="20"/>
                <w:lang w:val="es-ES"/>
              </w:rPr>
              <w:t>C</w:t>
            </w:r>
            <w:r w:rsidR="00B20AD8" w:rsidRPr="00430622">
              <w:rPr>
                <w:rFonts w:ascii="Arial" w:hAnsi="Arial" w:cs="Arial"/>
                <w:sz w:val="20"/>
                <w:szCs w:val="20"/>
                <w:lang w:val="es-ES"/>
              </w:rPr>
              <w:t xml:space="preserve">ontados a partir del </w:t>
            </w:r>
            <w:r w:rsidR="00B20AD8">
              <w:rPr>
                <w:rFonts w:ascii="Arial" w:hAnsi="Arial" w:cs="Arial"/>
                <w:sz w:val="20"/>
                <w:szCs w:val="20"/>
                <w:lang w:val="es-ES"/>
              </w:rPr>
              <w:t xml:space="preserve">siguiente </w:t>
            </w:r>
            <w:r w:rsidR="00B20AD8" w:rsidRPr="00430622">
              <w:rPr>
                <w:rFonts w:ascii="Arial" w:hAnsi="Arial" w:cs="Arial"/>
                <w:sz w:val="20"/>
                <w:szCs w:val="20"/>
                <w:lang w:val="es-ES"/>
              </w:rPr>
              <w:t>día hábil</w:t>
            </w:r>
            <w:r w:rsidRPr="0059421B">
              <w:rPr>
                <w:rFonts w:ascii="Arial" w:hAnsi="Arial" w:cs="Arial"/>
                <w:sz w:val="20"/>
                <w:szCs w:val="20"/>
                <w:lang w:val="es-ES"/>
              </w:rPr>
              <w:t xml:space="preserve"> del ingreso de la solicitud del CS)</w:t>
            </w:r>
          </w:p>
        </w:tc>
        <w:tc>
          <w:tcPr>
            <w:tcW w:w="1091" w:type="pct"/>
            <w:shd w:val="clear" w:color="auto" w:fill="auto"/>
            <w:vAlign w:val="center"/>
          </w:tcPr>
          <w:p w14:paraId="469A41AE" w14:textId="77777777" w:rsidR="008B255E" w:rsidRPr="0059421B" w:rsidRDefault="008B255E" w:rsidP="006039D9">
            <w:pPr>
              <w:suppressAutoHyphens/>
              <w:spacing w:before="0" w:after="0" w:line="276" w:lineRule="auto"/>
              <w:contextualSpacing/>
              <w:jc w:val="center"/>
              <w:rPr>
                <w:rFonts w:ascii="Arial" w:hAnsi="Arial" w:cs="Arial"/>
                <w:b/>
                <w:sz w:val="20"/>
                <w:szCs w:val="20"/>
                <w:lang w:val="es-ES"/>
              </w:rPr>
            </w:pPr>
            <w:r w:rsidRPr="0059421B">
              <w:rPr>
                <w:rFonts w:ascii="Arial" w:hAnsi="Arial" w:cs="Arial"/>
                <w:sz w:val="20"/>
                <w:szCs w:val="20"/>
                <w:lang w:val="es-ES"/>
              </w:rPr>
              <w:t>90 %</w:t>
            </w:r>
          </w:p>
        </w:tc>
      </w:tr>
      <w:tr w:rsidR="008B255E" w:rsidRPr="0059421B" w14:paraId="469A41B4" w14:textId="77777777" w:rsidTr="00B1344C">
        <w:trPr>
          <w:jc w:val="center"/>
        </w:trPr>
        <w:tc>
          <w:tcPr>
            <w:tcW w:w="2364" w:type="pct"/>
            <w:vAlign w:val="center"/>
          </w:tcPr>
          <w:p w14:paraId="469A41B0" w14:textId="1C729973" w:rsidR="008B255E"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w:t>
            </w:r>
            <w:r w:rsidR="00447D04" w:rsidRPr="0059421B">
              <w:rPr>
                <w:rFonts w:ascii="Arial" w:hAnsi="Arial" w:cs="Arial"/>
                <w:sz w:val="20"/>
                <w:szCs w:val="20"/>
                <w:lang w:val="es-ES"/>
              </w:rPr>
              <w:t>s</w:t>
            </w:r>
            <w:r w:rsidRPr="0059421B">
              <w:rPr>
                <w:rFonts w:ascii="Arial" w:hAnsi="Arial" w:cs="Arial"/>
                <w:sz w:val="20"/>
                <w:szCs w:val="20"/>
                <w:lang w:val="es-ES"/>
              </w:rPr>
              <w:t xml:space="preserve"> </w:t>
            </w:r>
            <w:r w:rsidR="000B7EA3">
              <w:rPr>
                <w:rFonts w:ascii="Arial" w:hAnsi="Arial" w:cs="Arial"/>
                <w:sz w:val="20"/>
                <w:szCs w:val="20"/>
                <w:lang w:val="es-ES"/>
              </w:rPr>
              <w:t>DM de Telmex y Telnor</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w:t>
            </w:r>
            <w:r w:rsidR="0018655C">
              <w:rPr>
                <w:rFonts w:ascii="Arial" w:hAnsi="Arial" w:cs="Arial"/>
                <w:sz w:val="20"/>
                <w:szCs w:val="20"/>
                <w:lang w:val="es-ES"/>
              </w:rPr>
              <w:t>3</w:t>
            </w:r>
            <w:r w:rsidR="00447D04" w:rsidRPr="0059421B">
              <w:rPr>
                <w:rFonts w:ascii="Arial" w:hAnsi="Arial" w:cs="Arial"/>
                <w:sz w:val="20"/>
                <w:szCs w:val="20"/>
                <w:lang w:val="es-ES"/>
              </w:rPr>
              <w:t xml:space="preserve"> propuestas de fecha para </w:t>
            </w:r>
            <w:r w:rsidR="008B255E" w:rsidRPr="0059421B">
              <w:rPr>
                <w:rFonts w:ascii="Arial" w:hAnsi="Arial" w:cs="Arial"/>
                <w:sz w:val="20"/>
                <w:szCs w:val="20"/>
                <w:lang w:val="es-ES"/>
              </w:rPr>
              <w:t>la programación de Visitas Técnica.</w:t>
            </w:r>
          </w:p>
        </w:tc>
        <w:tc>
          <w:tcPr>
            <w:tcW w:w="1545" w:type="pct"/>
            <w:vAlign w:val="center"/>
          </w:tcPr>
          <w:p w14:paraId="469A41B1" w14:textId="6945BB7C" w:rsidR="008B255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8B255E" w:rsidRPr="0059421B">
              <w:rPr>
                <w:rFonts w:ascii="Arial" w:hAnsi="Arial" w:cs="Arial"/>
                <w:sz w:val="20"/>
                <w:szCs w:val="20"/>
                <w:lang w:val="es-ES"/>
              </w:rPr>
              <w:t xml:space="preserve"> DH</w:t>
            </w:r>
          </w:p>
          <w:p w14:paraId="469A41B2" w14:textId="44C2C848"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(Contados a partir</w:t>
            </w:r>
            <w:r w:rsidR="00B20AD8" w:rsidRPr="00430622">
              <w:rPr>
                <w:rFonts w:ascii="Arial" w:hAnsi="Arial" w:cs="Arial"/>
                <w:sz w:val="20"/>
                <w:szCs w:val="20"/>
                <w:lang w:val="es-ES"/>
              </w:rPr>
              <w:t xml:space="preserve"> del </w:t>
            </w:r>
            <w:r w:rsidR="00B20AD8">
              <w:rPr>
                <w:rFonts w:ascii="Arial" w:hAnsi="Arial" w:cs="Arial"/>
                <w:sz w:val="20"/>
                <w:szCs w:val="20"/>
                <w:lang w:val="es-ES"/>
              </w:rPr>
              <w:t xml:space="preserve">siguiente </w:t>
            </w:r>
            <w:r w:rsidR="00B20AD8" w:rsidRPr="00430622">
              <w:rPr>
                <w:rFonts w:ascii="Arial" w:hAnsi="Arial" w:cs="Arial"/>
                <w:sz w:val="20"/>
                <w:szCs w:val="20"/>
                <w:lang w:val="es-ES"/>
              </w:rPr>
              <w:t>día hábil</w:t>
            </w:r>
            <w:r w:rsidRPr="0059421B">
              <w:rPr>
                <w:rFonts w:ascii="Arial" w:hAnsi="Arial" w:cs="Arial"/>
                <w:sz w:val="20"/>
                <w:szCs w:val="20"/>
                <w:lang w:val="es-ES"/>
              </w:rPr>
              <w:t xml:space="preserve"> de</w:t>
            </w:r>
            <w:r w:rsidR="00B20AD8">
              <w:rPr>
                <w:rFonts w:ascii="Arial" w:hAnsi="Arial" w:cs="Arial"/>
                <w:sz w:val="20"/>
                <w:szCs w:val="20"/>
                <w:lang w:val="es-ES"/>
              </w:rPr>
              <w:t xml:space="preserve"> </w:t>
            </w:r>
            <w:r w:rsidRPr="0059421B">
              <w:rPr>
                <w:rFonts w:ascii="Arial" w:hAnsi="Arial" w:cs="Arial"/>
                <w:sz w:val="20"/>
                <w:szCs w:val="20"/>
                <w:lang w:val="es-ES"/>
              </w:rPr>
              <w:t>l</w:t>
            </w:r>
            <w:r w:rsidR="00B20AD8">
              <w:rPr>
                <w:rFonts w:ascii="Arial" w:hAnsi="Arial" w:cs="Arial"/>
                <w:sz w:val="20"/>
                <w:szCs w:val="20"/>
                <w:lang w:val="es-ES"/>
              </w:rPr>
              <w:t>a</w:t>
            </w:r>
            <w:r w:rsidRPr="0059421B">
              <w:rPr>
                <w:rFonts w:ascii="Arial" w:hAnsi="Arial" w:cs="Arial"/>
                <w:sz w:val="20"/>
                <w:szCs w:val="20"/>
                <w:lang w:val="es-ES"/>
              </w:rPr>
              <w:t xml:space="preserve"> asignación del NIS)</w:t>
            </w:r>
          </w:p>
        </w:tc>
        <w:tc>
          <w:tcPr>
            <w:tcW w:w="1091" w:type="pct"/>
            <w:vAlign w:val="center"/>
          </w:tcPr>
          <w:p w14:paraId="469A41B3"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447D04" w:rsidRPr="0059421B" w14:paraId="469A41B9" w14:textId="77777777" w:rsidTr="00B1344C">
        <w:trPr>
          <w:jc w:val="center"/>
        </w:trPr>
        <w:tc>
          <w:tcPr>
            <w:tcW w:w="2364" w:type="pct"/>
            <w:vAlign w:val="center"/>
          </w:tcPr>
          <w:p w14:paraId="469A41B5" w14:textId="2FF10215" w:rsidR="00447D04" w:rsidRPr="0059421B" w:rsidRDefault="00447D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aceptan/rechazan la propuesta de programación de Visita Técnica. </w:t>
            </w:r>
          </w:p>
        </w:tc>
        <w:tc>
          <w:tcPr>
            <w:tcW w:w="1545" w:type="pct"/>
            <w:vAlign w:val="center"/>
          </w:tcPr>
          <w:p w14:paraId="469A41B6" w14:textId="33366A53" w:rsidR="00447D0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Dos</w:t>
            </w:r>
            <w:r w:rsidR="00447D04" w:rsidRPr="0059421B">
              <w:rPr>
                <w:rFonts w:ascii="Arial" w:hAnsi="Arial" w:cs="Arial"/>
                <w:sz w:val="20"/>
                <w:szCs w:val="20"/>
                <w:lang w:val="es-ES"/>
              </w:rPr>
              <w:t xml:space="preserve"> DH (Plazo máximo)</w:t>
            </w:r>
          </w:p>
          <w:p w14:paraId="469A41B7" w14:textId="7F8A4C37" w:rsidR="00447D04" w:rsidRPr="0059421B" w:rsidRDefault="00447D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(Contados a partir </w:t>
            </w:r>
            <w:r w:rsidR="00B20AD8" w:rsidRPr="00430622">
              <w:rPr>
                <w:rFonts w:ascii="Arial" w:hAnsi="Arial" w:cs="Arial"/>
                <w:sz w:val="20"/>
                <w:szCs w:val="20"/>
                <w:lang w:val="es-ES"/>
              </w:rPr>
              <w:t xml:space="preserve">del </w:t>
            </w:r>
            <w:r w:rsidR="00B20AD8">
              <w:rPr>
                <w:rFonts w:ascii="Arial" w:hAnsi="Arial" w:cs="Arial"/>
                <w:sz w:val="20"/>
                <w:szCs w:val="20"/>
                <w:lang w:val="es-ES"/>
              </w:rPr>
              <w:t xml:space="preserve">siguiente </w:t>
            </w:r>
            <w:r w:rsidR="00B20AD8" w:rsidRPr="00430622">
              <w:rPr>
                <w:rFonts w:ascii="Arial" w:hAnsi="Arial" w:cs="Arial"/>
                <w:sz w:val="20"/>
                <w:szCs w:val="20"/>
                <w:lang w:val="es-ES"/>
              </w:rPr>
              <w:t>día hábil</w:t>
            </w:r>
            <w:r w:rsidR="00B20AD8" w:rsidRPr="0059421B">
              <w:rPr>
                <w:rFonts w:ascii="Arial" w:hAnsi="Arial" w:cs="Arial"/>
                <w:sz w:val="20"/>
                <w:szCs w:val="20"/>
                <w:lang w:val="es-ES"/>
              </w:rPr>
              <w:t xml:space="preserve"> </w:t>
            </w:r>
            <w:r w:rsidRPr="0059421B">
              <w:rPr>
                <w:rFonts w:ascii="Arial" w:hAnsi="Arial" w:cs="Arial"/>
                <w:sz w:val="20"/>
                <w:szCs w:val="20"/>
                <w:lang w:val="es-ES"/>
              </w:rPr>
              <w:t xml:space="preserve">de la recepción de dichas propuestas por </w:t>
            </w:r>
            <w:r w:rsidR="00B1344C"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Pr="0059421B">
              <w:rPr>
                <w:rFonts w:ascii="Arial" w:hAnsi="Arial" w:cs="Arial"/>
                <w:sz w:val="20"/>
                <w:szCs w:val="20"/>
                <w:lang w:val="es-ES"/>
              </w:rPr>
              <w:t>)</w:t>
            </w:r>
          </w:p>
        </w:tc>
        <w:tc>
          <w:tcPr>
            <w:tcW w:w="1091" w:type="pct"/>
            <w:vAlign w:val="center"/>
          </w:tcPr>
          <w:p w14:paraId="469A41B8" w14:textId="77777777" w:rsidR="00447D04" w:rsidRPr="0059421B" w:rsidRDefault="00447D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14:paraId="469A41BE" w14:textId="77777777" w:rsidTr="00B1344C">
        <w:trPr>
          <w:jc w:val="center"/>
        </w:trPr>
        <w:tc>
          <w:tcPr>
            <w:tcW w:w="2364" w:type="pct"/>
            <w:vAlign w:val="center"/>
          </w:tcPr>
          <w:p w14:paraId="469A41BA" w14:textId="3789D79B" w:rsidR="008B255E" w:rsidRPr="0059421B" w:rsidRDefault="008B255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447D04" w:rsidRPr="0059421B">
              <w:rPr>
                <w:rFonts w:ascii="Arial" w:hAnsi="Arial" w:cs="Arial"/>
                <w:sz w:val="20"/>
                <w:szCs w:val="20"/>
                <w:lang w:val="es-ES"/>
              </w:rPr>
              <w:t xml:space="preserve">o AS </w:t>
            </w:r>
            <w:r w:rsidRPr="0059421B">
              <w:rPr>
                <w:rFonts w:ascii="Arial" w:hAnsi="Arial" w:cs="Arial"/>
                <w:sz w:val="20"/>
                <w:szCs w:val="20"/>
                <w:lang w:val="es-ES"/>
              </w:rPr>
              <w:t xml:space="preserve">solicita modificación de la propuesta de programación de Visita Técnica. </w:t>
            </w:r>
          </w:p>
        </w:tc>
        <w:tc>
          <w:tcPr>
            <w:tcW w:w="1545" w:type="pct"/>
            <w:vAlign w:val="center"/>
          </w:tcPr>
          <w:p w14:paraId="469A41BB" w14:textId="46EDD19F" w:rsidR="008B255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495731" w:rsidRPr="0059421B">
              <w:rPr>
                <w:rFonts w:ascii="Arial" w:hAnsi="Arial" w:cs="Arial"/>
                <w:sz w:val="20"/>
                <w:szCs w:val="20"/>
                <w:lang w:val="es-ES"/>
              </w:rPr>
              <w:t xml:space="preserve"> DH</w:t>
            </w:r>
            <w:r w:rsidR="00B20AD8">
              <w:rPr>
                <w:rFonts w:ascii="Arial" w:hAnsi="Arial" w:cs="Arial"/>
                <w:sz w:val="20"/>
                <w:szCs w:val="20"/>
                <w:lang w:val="es-ES"/>
              </w:rPr>
              <w:t xml:space="preserve"> contados a partir del siguiente </w:t>
            </w:r>
            <w:r w:rsidR="00B20AD8" w:rsidRPr="00430622">
              <w:rPr>
                <w:rFonts w:ascii="Arial" w:hAnsi="Arial" w:cs="Arial"/>
                <w:sz w:val="20"/>
                <w:szCs w:val="20"/>
                <w:lang w:val="es-ES"/>
              </w:rPr>
              <w:t>día hábil</w:t>
            </w:r>
          </w:p>
          <w:p w14:paraId="469A41BC" w14:textId="510A5E14"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2F7002" w:rsidRPr="0059421B">
              <w:rPr>
                <w:rFonts w:ascii="Arial" w:hAnsi="Arial" w:cs="Arial"/>
                <w:sz w:val="20"/>
                <w:szCs w:val="20"/>
                <w:lang w:val="es-ES"/>
              </w:rPr>
              <w:t>la</w:t>
            </w:r>
            <w:r w:rsidR="00447D04" w:rsidRPr="0059421B">
              <w:rPr>
                <w:rFonts w:ascii="Arial" w:hAnsi="Arial" w:cs="Arial"/>
                <w:sz w:val="20"/>
                <w:szCs w:val="20"/>
                <w:lang w:val="es-ES"/>
              </w:rPr>
              <w:t>s</w:t>
            </w:r>
            <w:r w:rsidR="002F7002" w:rsidRPr="0059421B">
              <w:rPr>
                <w:rFonts w:ascii="Arial" w:hAnsi="Arial" w:cs="Arial"/>
                <w:sz w:val="20"/>
                <w:szCs w:val="20"/>
                <w:lang w:val="es-ES"/>
              </w:rPr>
              <w:t xml:space="preserve"> </w:t>
            </w:r>
            <w:r w:rsidR="000B7EA3">
              <w:rPr>
                <w:rFonts w:ascii="Arial" w:hAnsi="Arial" w:cs="Arial"/>
                <w:sz w:val="20"/>
                <w:szCs w:val="20"/>
                <w:lang w:val="es-ES"/>
              </w:rPr>
              <w:t>DM de Telmex y Telnor</w:t>
            </w:r>
            <w:r w:rsidRPr="0059421B">
              <w:rPr>
                <w:rFonts w:ascii="Arial" w:hAnsi="Arial" w:cs="Arial"/>
                <w:sz w:val="20"/>
                <w:szCs w:val="20"/>
                <w:lang w:val="es-ES"/>
              </w:rPr>
              <w:t>)</w:t>
            </w:r>
          </w:p>
        </w:tc>
        <w:tc>
          <w:tcPr>
            <w:tcW w:w="1091" w:type="pct"/>
            <w:vAlign w:val="center"/>
          </w:tcPr>
          <w:p w14:paraId="469A41BD"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567A04" w:rsidRPr="0059421B" w14:paraId="469A41C3" w14:textId="77777777" w:rsidTr="00B1344C">
        <w:trPr>
          <w:jc w:val="center"/>
        </w:trPr>
        <w:tc>
          <w:tcPr>
            <w:tcW w:w="2364" w:type="pct"/>
            <w:vAlign w:val="center"/>
          </w:tcPr>
          <w:p w14:paraId="469A41BF" w14:textId="7F67BDB7" w:rsidR="00567A04"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lastRenderedPageBreak/>
              <w:t>La</w:t>
            </w:r>
            <w:r w:rsidR="00447D04" w:rsidRPr="0059421B">
              <w:rPr>
                <w:rFonts w:ascii="Arial" w:hAnsi="Arial" w:cs="Arial"/>
                <w:sz w:val="20"/>
                <w:szCs w:val="20"/>
                <w:lang w:val="es-ES"/>
              </w:rPr>
              <w:t>s</w:t>
            </w:r>
            <w:r w:rsidRPr="0059421B">
              <w:rPr>
                <w:rFonts w:ascii="Arial" w:hAnsi="Arial" w:cs="Arial"/>
                <w:sz w:val="20"/>
                <w:szCs w:val="20"/>
                <w:lang w:val="es-ES"/>
              </w:rPr>
              <w:t xml:space="preserve"> </w:t>
            </w:r>
            <w:r w:rsidR="000B7EA3">
              <w:rPr>
                <w:rFonts w:ascii="Arial" w:hAnsi="Arial" w:cs="Arial"/>
                <w:sz w:val="20"/>
                <w:szCs w:val="20"/>
                <w:lang w:val="es-ES"/>
              </w:rPr>
              <w:t>DM de Telmex y Telnor</w:t>
            </w:r>
            <w:r w:rsidR="005A05E3" w:rsidRPr="0059421B">
              <w:rPr>
                <w:rFonts w:ascii="Arial" w:hAnsi="Arial" w:cs="Arial"/>
                <w:sz w:val="20"/>
                <w:szCs w:val="20"/>
                <w:lang w:val="es-ES"/>
              </w:rPr>
              <w:t xml:space="preserve"> digitaliza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y registra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el “Reporte de Visita Técnica” y, en su caso, señala si requiere un trabajo especial (acondicionamiento de infraestructura, recuperación de espacio)</w:t>
            </w:r>
          </w:p>
        </w:tc>
        <w:tc>
          <w:tcPr>
            <w:tcW w:w="1545" w:type="pct"/>
            <w:vAlign w:val="center"/>
          </w:tcPr>
          <w:p w14:paraId="469A41C0" w14:textId="2BDA84F5" w:rsidR="00567A0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567A04" w:rsidRPr="0059421B">
              <w:rPr>
                <w:rFonts w:ascii="Arial" w:hAnsi="Arial" w:cs="Arial"/>
                <w:sz w:val="20"/>
                <w:szCs w:val="20"/>
                <w:lang w:val="es-ES"/>
              </w:rPr>
              <w:t xml:space="preserve"> DH</w:t>
            </w:r>
            <w:r w:rsidR="00567A04" w:rsidRPr="0059421B">
              <w:rPr>
                <w:rStyle w:val="Refdenotaalpie"/>
                <w:rFonts w:ascii="Arial" w:hAnsi="Arial" w:cs="Arial"/>
                <w:sz w:val="20"/>
                <w:szCs w:val="20"/>
                <w:lang w:val="es-ES"/>
              </w:rPr>
              <w:footnoteReference w:id="2"/>
            </w:r>
          </w:p>
          <w:p w14:paraId="469A41C1" w14:textId="5220977E" w:rsidR="00567A04" w:rsidRPr="0059421B" w:rsidRDefault="00567A04">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B20AD8">
              <w:rPr>
                <w:rFonts w:ascii="Arial" w:hAnsi="Arial" w:cs="Arial"/>
                <w:sz w:val="20"/>
                <w:szCs w:val="20"/>
                <w:lang w:val="es-ES"/>
              </w:rPr>
              <w:t xml:space="preserve">contados a partir del siguiente </w:t>
            </w:r>
            <w:r w:rsidR="00B20AD8" w:rsidRPr="00430622">
              <w:rPr>
                <w:rFonts w:ascii="Arial" w:hAnsi="Arial" w:cs="Arial"/>
                <w:sz w:val="20"/>
                <w:szCs w:val="20"/>
                <w:lang w:val="es-ES"/>
              </w:rPr>
              <w:t>día hábil</w:t>
            </w:r>
            <w:r w:rsidR="00B20AD8" w:rsidRPr="0059421B">
              <w:rPr>
                <w:rFonts w:ascii="Arial" w:hAnsi="Arial" w:cs="Arial"/>
                <w:sz w:val="20"/>
                <w:szCs w:val="20"/>
                <w:lang w:val="es-ES"/>
              </w:rPr>
              <w:t xml:space="preserve"> </w:t>
            </w:r>
            <w:r w:rsidRPr="0059421B">
              <w:rPr>
                <w:rFonts w:ascii="Arial" w:hAnsi="Arial" w:cs="Arial"/>
                <w:sz w:val="20"/>
                <w:szCs w:val="20"/>
                <w:lang w:val="es-ES"/>
              </w:rPr>
              <w:t>de la realización de la Visita Técnica)</w:t>
            </w:r>
          </w:p>
        </w:tc>
        <w:tc>
          <w:tcPr>
            <w:tcW w:w="1091" w:type="pct"/>
            <w:vAlign w:val="center"/>
          </w:tcPr>
          <w:p w14:paraId="469A41C2"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C4" w14:textId="77777777" w:rsidR="000F7C9D" w:rsidRDefault="000F7C9D" w:rsidP="006039D9">
      <w:pPr>
        <w:spacing w:before="0" w:after="0" w:line="276" w:lineRule="auto"/>
        <w:rPr>
          <w:rFonts w:ascii="Arial" w:hAnsi="Arial" w:cs="Arial"/>
        </w:rPr>
      </w:pPr>
    </w:p>
    <w:p w14:paraId="7A6DE28A" w14:textId="77777777" w:rsidR="00B20AD8" w:rsidRPr="0059421B" w:rsidRDefault="00B20AD8"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C6" w14:textId="77777777" w:rsidTr="00567A04">
        <w:trPr>
          <w:jc w:val="center"/>
        </w:trPr>
        <w:tc>
          <w:tcPr>
            <w:tcW w:w="5000" w:type="pct"/>
            <w:gridSpan w:val="3"/>
            <w:shd w:val="clear" w:color="auto" w:fill="5B9BD5"/>
            <w:vAlign w:val="center"/>
          </w:tcPr>
          <w:p w14:paraId="469A41C5"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14:paraId="469A41CA" w14:textId="77777777" w:rsidTr="00B1344C">
        <w:trPr>
          <w:jc w:val="center"/>
        </w:trPr>
        <w:tc>
          <w:tcPr>
            <w:tcW w:w="2364" w:type="pct"/>
            <w:shd w:val="clear" w:color="auto" w:fill="5B9BD5"/>
            <w:vAlign w:val="center"/>
          </w:tcPr>
          <w:p w14:paraId="469A41C7"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C8"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C9"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14:paraId="469A41CF" w14:textId="77777777" w:rsidTr="005F2493">
        <w:trPr>
          <w:trHeight w:val="727"/>
          <w:jc w:val="center"/>
        </w:trPr>
        <w:tc>
          <w:tcPr>
            <w:tcW w:w="2364" w:type="pct"/>
            <w:vAlign w:val="center"/>
          </w:tcPr>
          <w:p w14:paraId="469A41CB" w14:textId="2EFB5B8A" w:rsidR="00567A04" w:rsidRPr="0059421B" w:rsidRDefault="00567A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w:t>
            </w:r>
            <w:r w:rsidR="000A690E" w:rsidRPr="0059421B">
              <w:rPr>
                <w:rFonts w:ascii="Arial" w:hAnsi="Arial" w:cs="Arial"/>
                <w:sz w:val="20"/>
                <w:szCs w:val="20"/>
                <w:lang w:val="es-ES"/>
              </w:rPr>
              <w:t>somete</w:t>
            </w:r>
            <w:r w:rsidR="00673FBC" w:rsidRPr="0059421B">
              <w:rPr>
                <w:rFonts w:ascii="Arial" w:hAnsi="Arial" w:cs="Arial"/>
                <w:sz w:val="20"/>
                <w:szCs w:val="20"/>
                <w:lang w:val="es-ES"/>
              </w:rPr>
              <w:t xml:space="preserve"> </w:t>
            </w:r>
            <w:r w:rsidRPr="0059421B">
              <w:rPr>
                <w:rFonts w:ascii="Arial" w:hAnsi="Arial" w:cs="Arial"/>
                <w:sz w:val="20"/>
                <w:szCs w:val="20"/>
                <w:lang w:val="es-ES"/>
              </w:rPr>
              <w:t>el Anteproyecto.</w:t>
            </w:r>
          </w:p>
        </w:tc>
        <w:tc>
          <w:tcPr>
            <w:tcW w:w="1545" w:type="pct"/>
            <w:vAlign w:val="center"/>
          </w:tcPr>
          <w:p w14:paraId="469A41CC" w14:textId="77777777" w:rsidR="00567A04" w:rsidRPr="0059421B" w:rsidRDefault="00F55DB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Hasta </w:t>
            </w:r>
            <w:r w:rsidR="00567A04" w:rsidRPr="0059421B">
              <w:rPr>
                <w:rFonts w:ascii="Arial" w:hAnsi="Arial" w:cs="Arial"/>
                <w:sz w:val="20"/>
                <w:szCs w:val="20"/>
                <w:lang w:val="es-ES"/>
              </w:rPr>
              <w:t>20 DH</w:t>
            </w:r>
            <w:r w:rsidR="00567A04" w:rsidRPr="0059421B">
              <w:rPr>
                <w:rStyle w:val="Refdenotaalpie"/>
                <w:rFonts w:ascii="Arial" w:hAnsi="Arial" w:cs="Arial"/>
                <w:sz w:val="20"/>
                <w:szCs w:val="20"/>
                <w:lang w:val="es-ES"/>
              </w:rPr>
              <w:footnoteReference w:id="3"/>
            </w:r>
            <w:r w:rsidR="00567A04" w:rsidRPr="0059421B">
              <w:rPr>
                <w:rFonts w:ascii="Arial" w:hAnsi="Arial" w:cs="Arial"/>
                <w:sz w:val="20"/>
                <w:szCs w:val="20"/>
                <w:lang w:val="es-ES"/>
              </w:rPr>
              <w:t xml:space="preserve"> </w:t>
            </w:r>
          </w:p>
          <w:p w14:paraId="469A41CD" w14:textId="03F87426" w:rsidR="00567A04" w:rsidRPr="0059421B" w:rsidRDefault="00567A04">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20AD8">
              <w:rPr>
                <w:rFonts w:ascii="Arial" w:hAnsi="Arial" w:cs="Arial"/>
                <w:sz w:val="20"/>
                <w:szCs w:val="20"/>
                <w:lang w:val="es-ES"/>
              </w:rPr>
              <w:t xml:space="preserve">del siguiente </w:t>
            </w:r>
            <w:r w:rsidR="00B20AD8" w:rsidRPr="00430622">
              <w:rPr>
                <w:rFonts w:ascii="Arial" w:hAnsi="Arial" w:cs="Arial"/>
                <w:sz w:val="20"/>
                <w:szCs w:val="20"/>
                <w:lang w:val="es-ES"/>
              </w:rPr>
              <w:t>día hábil</w:t>
            </w:r>
            <w:r w:rsidR="00B20AD8" w:rsidRPr="0059421B">
              <w:rPr>
                <w:rFonts w:ascii="Arial" w:hAnsi="Arial" w:cs="Arial"/>
                <w:sz w:val="20"/>
                <w:szCs w:val="20"/>
                <w:lang w:val="es-ES"/>
              </w:rPr>
              <w:t xml:space="preserve"> </w:t>
            </w:r>
            <w:r w:rsidRPr="0059421B">
              <w:rPr>
                <w:rFonts w:ascii="Arial" w:hAnsi="Arial" w:cs="Arial"/>
                <w:sz w:val="20"/>
                <w:szCs w:val="20"/>
                <w:lang w:val="es-ES"/>
              </w:rPr>
              <w:t xml:space="preserve">de la entrega </w:t>
            </w:r>
            <w:r w:rsidR="00673FBC" w:rsidRPr="0059421B">
              <w:rPr>
                <w:rFonts w:ascii="Arial" w:hAnsi="Arial" w:cs="Arial"/>
                <w:sz w:val="20"/>
                <w:szCs w:val="20"/>
                <w:lang w:val="es-ES"/>
              </w:rPr>
              <w:t xml:space="preserve">del </w:t>
            </w:r>
            <w:r w:rsidR="00F94302" w:rsidRPr="0059421B">
              <w:rPr>
                <w:rFonts w:ascii="Arial" w:hAnsi="Arial" w:cs="Arial"/>
                <w:sz w:val="20"/>
                <w:szCs w:val="20"/>
                <w:lang w:val="es-ES"/>
              </w:rPr>
              <w:t>formato correspondiente</w:t>
            </w:r>
            <w:r w:rsidRPr="0059421B">
              <w:rPr>
                <w:rFonts w:ascii="Arial" w:hAnsi="Arial" w:cs="Arial"/>
                <w:sz w:val="20"/>
                <w:szCs w:val="20"/>
                <w:lang w:val="es-ES"/>
              </w:rPr>
              <w:t>)</w:t>
            </w:r>
          </w:p>
        </w:tc>
        <w:tc>
          <w:tcPr>
            <w:tcW w:w="1091" w:type="pct"/>
            <w:vAlign w:val="center"/>
          </w:tcPr>
          <w:p w14:paraId="469A41CE"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24AE9B13" w14:textId="77777777" w:rsidR="005F2493" w:rsidRDefault="005F2493" w:rsidP="006039D9">
      <w:pPr>
        <w:spacing w:before="0" w:after="0" w:line="276" w:lineRule="auto"/>
        <w:rPr>
          <w:rFonts w:ascii="Arial" w:hAnsi="Arial" w:cs="Arial"/>
        </w:rPr>
      </w:pPr>
    </w:p>
    <w:p w14:paraId="47ECAC54" w14:textId="77777777" w:rsidR="00A17D1A" w:rsidRDefault="00A17D1A"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A17D1A" w:rsidRPr="0059421B" w14:paraId="26268191" w14:textId="77777777" w:rsidTr="00B20AD8">
        <w:trPr>
          <w:jc w:val="center"/>
        </w:trPr>
        <w:tc>
          <w:tcPr>
            <w:tcW w:w="5000" w:type="pct"/>
            <w:gridSpan w:val="3"/>
            <w:shd w:val="clear" w:color="auto" w:fill="5B9BD5"/>
            <w:vAlign w:val="center"/>
          </w:tcPr>
          <w:p w14:paraId="594E2677" w14:textId="77777777" w:rsidR="00A17D1A" w:rsidRPr="0059421B" w:rsidRDefault="00A17D1A" w:rsidP="00B20AD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w:t>
            </w:r>
            <w:r>
              <w:rPr>
                <w:rFonts w:ascii="Arial" w:hAnsi="Arial" w:cs="Arial"/>
                <w:b/>
                <w:color w:val="FFFFFF"/>
                <w:sz w:val="20"/>
                <w:szCs w:val="20"/>
                <w:lang w:val="es-ES"/>
              </w:rPr>
              <w:t>tapa 4: Proyecto y Presupuesto</w:t>
            </w:r>
          </w:p>
        </w:tc>
      </w:tr>
      <w:tr w:rsidR="00A17D1A" w:rsidRPr="0059421B" w14:paraId="2B052289" w14:textId="77777777" w:rsidTr="00B20AD8">
        <w:trPr>
          <w:jc w:val="center"/>
        </w:trPr>
        <w:tc>
          <w:tcPr>
            <w:tcW w:w="2364" w:type="pct"/>
            <w:shd w:val="clear" w:color="auto" w:fill="5B9BD5"/>
            <w:vAlign w:val="center"/>
          </w:tcPr>
          <w:p w14:paraId="2E456574" w14:textId="77777777" w:rsidR="00A17D1A" w:rsidRPr="0059421B" w:rsidRDefault="00A17D1A" w:rsidP="00B20AD8">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3751DB73" w14:textId="77777777" w:rsidR="00A17D1A" w:rsidRPr="0059421B" w:rsidRDefault="00A17D1A" w:rsidP="00B20AD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5A5C891E" w14:textId="77777777" w:rsidR="00A17D1A" w:rsidRPr="0059421B" w:rsidRDefault="00A17D1A" w:rsidP="00B20AD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A17D1A" w:rsidRPr="0059421B" w14:paraId="2E3C6CE2" w14:textId="77777777" w:rsidTr="00B20AD8">
        <w:trPr>
          <w:jc w:val="center"/>
        </w:trPr>
        <w:tc>
          <w:tcPr>
            <w:tcW w:w="2364" w:type="pct"/>
            <w:vAlign w:val="center"/>
          </w:tcPr>
          <w:p w14:paraId="7F0AA50D" w14:textId="77777777" w:rsidR="00A17D1A" w:rsidRPr="0059421B" w:rsidRDefault="00A17D1A" w:rsidP="00B20AD8">
            <w:pPr>
              <w:suppressAutoHyphens/>
              <w:spacing w:before="0" w:after="120" w:line="240" w:lineRule="auto"/>
              <w:contextualSpacing/>
              <w:jc w:val="left"/>
              <w:rPr>
                <w:rFonts w:ascii="Arial" w:hAnsi="Arial" w:cs="Arial"/>
                <w:sz w:val="20"/>
                <w:szCs w:val="20"/>
                <w:lang w:val="es-ES"/>
              </w:rPr>
            </w:pPr>
            <w:r>
              <w:rPr>
                <w:rFonts w:ascii="Arial" w:hAnsi="Arial" w:cs="Arial"/>
                <w:sz w:val="20"/>
                <w:szCs w:val="20"/>
                <w:lang w:val="es-ES"/>
              </w:rPr>
              <w:t>El CS o AS debe entregar la solicitud de Proyecto y Presupuesto</w:t>
            </w:r>
          </w:p>
        </w:tc>
        <w:tc>
          <w:tcPr>
            <w:tcW w:w="1545" w:type="pct"/>
            <w:vAlign w:val="center"/>
          </w:tcPr>
          <w:p w14:paraId="566AE845" w14:textId="77777777" w:rsidR="00A17D1A" w:rsidRPr="0059421B" w:rsidRDefault="00A17D1A" w:rsidP="00B20AD8">
            <w:pPr>
              <w:suppressAutoHyphens/>
              <w:spacing w:before="0" w:after="120" w:line="240" w:lineRule="auto"/>
              <w:contextualSpacing/>
              <w:jc w:val="center"/>
              <w:rPr>
                <w:rFonts w:ascii="Arial" w:hAnsi="Arial" w:cs="Arial"/>
                <w:sz w:val="20"/>
                <w:szCs w:val="20"/>
                <w:lang w:val="es-ES"/>
              </w:rPr>
            </w:pPr>
            <w:r>
              <w:rPr>
                <w:rFonts w:ascii="Arial" w:hAnsi="Arial" w:cs="Arial"/>
                <w:sz w:val="20"/>
                <w:szCs w:val="20"/>
                <w:lang w:val="es-ES"/>
              </w:rPr>
              <w:t>10</w:t>
            </w:r>
            <w:r w:rsidRPr="0059421B">
              <w:rPr>
                <w:rFonts w:ascii="Arial" w:hAnsi="Arial" w:cs="Arial"/>
                <w:sz w:val="20"/>
                <w:szCs w:val="20"/>
                <w:lang w:val="es-ES"/>
              </w:rPr>
              <w:t xml:space="preserve"> DH</w:t>
            </w:r>
          </w:p>
          <w:p w14:paraId="5E5D8558" w14:textId="3C7514A5" w:rsidR="00A17D1A" w:rsidRPr="0059421B" w:rsidRDefault="00A17D1A" w:rsidP="00B20AD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20AD8">
              <w:rPr>
                <w:rFonts w:ascii="Arial" w:hAnsi="Arial" w:cs="Arial"/>
                <w:sz w:val="20"/>
                <w:szCs w:val="20"/>
                <w:lang w:val="es-ES"/>
              </w:rPr>
              <w:t xml:space="preserve">del siguiente </w:t>
            </w:r>
            <w:r w:rsidR="00B20AD8" w:rsidRPr="00430622">
              <w:rPr>
                <w:rFonts w:ascii="Arial" w:hAnsi="Arial" w:cs="Arial"/>
                <w:sz w:val="20"/>
                <w:szCs w:val="20"/>
                <w:lang w:val="es-ES"/>
              </w:rPr>
              <w:t>día hábil</w:t>
            </w:r>
            <w:r w:rsidR="00B20AD8" w:rsidRPr="0059421B">
              <w:rPr>
                <w:rFonts w:ascii="Arial" w:hAnsi="Arial" w:cs="Arial"/>
                <w:sz w:val="20"/>
                <w:szCs w:val="20"/>
                <w:lang w:val="es-ES"/>
              </w:rPr>
              <w:t xml:space="preserve"> </w:t>
            </w:r>
            <w:r w:rsidRPr="0059421B">
              <w:rPr>
                <w:rFonts w:ascii="Arial" w:hAnsi="Arial" w:cs="Arial"/>
                <w:sz w:val="20"/>
                <w:szCs w:val="20"/>
                <w:lang w:val="es-ES"/>
              </w:rPr>
              <w:t xml:space="preserve">de que </w:t>
            </w:r>
            <w:r>
              <w:rPr>
                <w:rFonts w:ascii="Arial" w:hAnsi="Arial" w:cs="Arial"/>
                <w:sz w:val="20"/>
                <w:szCs w:val="20"/>
                <w:lang w:val="es-ES"/>
              </w:rPr>
              <w:t>se le notifique al</w:t>
            </w:r>
            <w:r w:rsidRPr="0059421B">
              <w:rPr>
                <w:rFonts w:ascii="Arial" w:hAnsi="Arial" w:cs="Arial"/>
                <w:sz w:val="20"/>
                <w:szCs w:val="20"/>
                <w:lang w:val="es-ES"/>
              </w:rPr>
              <w:t xml:space="preserve"> CS o AS </w:t>
            </w:r>
            <w:r>
              <w:rPr>
                <w:rFonts w:ascii="Arial" w:hAnsi="Arial" w:cs="Arial"/>
                <w:sz w:val="20"/>
                <w:szCs w:val="20"/>
                <w:lang w:val="es-ES"/>
              </w:rPr>
              <w:t>la realización de un trabajo</w:t>
            </w:r>
            <w:r w:rsidRPr="0059421B">
              <w:rPr>
                <w:rFonts w:ascii="Arial" w:hAnsi="Arial" w:cs="Arial"/>
                <w:sz w:val="20"/>
                <w:szCs w:val="20"/>
                <w:lang w:val="es-ES"/>
              </w:rPr>
              <w:t>)</w:t>
            </w:r>
          </w:p>
        </w:tc>
        <w:tc>
          <w:tcPr>
            <w:tcW w:w="1091" w:type="pct"/>
            <w:vAlign w:val="center"/>
          </w:tcPr>
          <w:p w14:paraId="44D1587C" w14:textId="77777777" w:rsidR="00A17D1A" w:rsidRPr="0059421B" w:rsidRDefault="00A17D1A" w:rsidP="00B20AD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A17D1A" w:rsidRPr="0059421B" w14:paraId="3814D1AC" w14:textId="77777777" w:rsidTr="00B20AD8">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5F29D9CA" w14:textId="77777777" w:rsidR="00A17D1A" w:rsidRPr="0059421B" w:rsidRDefault="00A17D1A" w:rsidP="00B20AD8">
            <w:pPr>
              <w:suppressAutoHyphens/>
              <w:spacing w:before="0" w:after="120" w:line="240" w:lineRule="auto"/>
              <w:contextualSpacing/>
              <w:jc w:val="left"/>
              <w:rPr>
                <w:rFonts w:ascii="Arial" w:hAnsi="Arial" w:cs="Arial"/>
                <w:sz w:val="20"/>
                <w:szCs w:val="20"/>
                <w:lang w:val="es-ES"/>
              </w:rPr>
            </w:pPr>
            <w:r>
              <w:rPr>
                <w:rFonts w:ascii="Arial" w:hAnsi="Arial" w:cs="Arial"/>
                <w:sz w:val="20"/>
                <w:szCs w:val="20"/>
                <w:lang w:val="es-ES"/>
              </w:rPr>
              <w:t xml:space="preserve">Telmex y Telnor elaborarán el </w:t>
            </w:r>
            <w:r w:rsidRPr="00F95529">
              <w:rPr>
                <w:rFonts w:ascii="Arial" w:hAnsi="Arial" w:cs="Arial"/>
                <w:sz w:val="20"/>
                <w:szCs w:val="20"/>
                <w:lang w:val="es-ES"/>
              </w:rPr>
              <w:t>Proyecto y Presupuesto</w:t>
            </w:r>
          </w:p>
        </w:tc>
        <w:tc>
          <w:tcPr>
            <w:tcW w:w="1545" w:type="pct"/>
            <w:tcBorders>
              <w:top w:val="single" w:sz="4" w:space="0" w:color="auto"/>
              <w:left w:val="single" w:sz="4" w:space="0" w:color="auto"/>
              <w:bottom w:val="single" w:sz="4" w:space="0" w:color="auto"/>
              <w:right w:val="single" w:sz="4" w:space="0" w:color="auto"/>
            </w:tcBorders>
            <w:vAlign w:val="center"/>
          </w:tcPr>
          <w:p w14:paraId="6395035B" w14:textId="77777777" w:rsidR="00A17D1A" w:rsidRDefault="00A17D1A" w:rsidP="00B20AD8">
            <w:pPr>
              <w:suppressAutoHyphens/>
              <w:spacing w:before="0" w:after="120" w:line="240" w:lineRule="auto"/>
              <w:contextualSpacing/>
              <w:jc w:val="center"/>
              <w:rPr>
                <w:rFonts w:ascii="Arial" w:hAnsi="Arial" w:cs="Arial"/>
                <w:sz w:val="20"/>
                <w:szCs w:val="20"/>
                <w:lang w:val="es-ES"/>
              </w:rPr>
            </w:pPr>
            <w:r>
              <w:rPr>
                <w:rFonts w:ascii="Arial" w:hAnsi="Arial" w:cs="Arial"/>
                <w:sz w:val="20"/>
                <w:szCs w:val="20"/>
                <w:lang w:val="es-ES"/>
              </w:rPr>
              <w:t>2</w:t>
            </w:r>
            <w:r w:rsidRPr="0059421B">
              <w:rPr>
                <w:rFonts w:ascii="Arial" w:hAnsi="Arial" w:cs="Arial"/>
                <w:sz w:val="20"/>
                <w:szCs w:val="20"/>
                <w:lang w:val="es-ES"/>
              </w:rPr>
              <w:t>5DH</w:t>
            </w:r>
          </w:p>
          <w:p w14:paraId="66AEA641" w14:textId="72A5CD10" w:rsidR="00A17D1A" w:rsidRPr="0059421B" w:rsidRDefault="00A17D1A" w:rsidP="00B20AD8">
            <w:pPr>
              <w:suppressAutoHyphens/>
              <w:spacing w:before="0" w:after="120" w:line="240" w:lineRule="auto"/>
              <w:contextualSpacing/>
              <w:jc w:val="center"/>
              <w:rPr>
                <w:rFonts w:ascii="Arial" w:hAnsi="Arial" w:cs="Arial"/>
                <w:sz w:val="20"/>
                <w:szCs w:val="20"/>
                <w:lang w:val="es-ES"/>
              </w:rPr>
            </w:pPr>
            <w:r>
              <w:rPr>
                <w:rFonts w:ascii="Arial" w:hAnsi="Arial" w:cs="Arial"/>
                <w:sz w:val="20"/>
                <w:szCs w:val="20"/>
                <w:lang w:val="es-ES"/>
              </w:rPr>
              <w:t xml:space="preserve">(a partir </w:t>
            </w:r>
            <w:r w:rsidR="00B20AD8">
              <w:rPr>
                <w:rFonts w:ascii="Arial" w:hAnsi="Arial" w:cs="Arial"/>
                <w:sz w:val="20"/>
                <w:szCs w:val="20"/>
                <w:lang w:val="es-ES"/>
              </w:rPr>
              <w:t xml:space="preserve">del siguiente </w:t>
            </w:r>
            <w:r w:rsidR="00B20AD8" w:rsidRPr="00430622">
              <w:rPr>
                <w:rFonts w:ascii="Arial" w:hAnsi="Arial" w:cs="Arial"/>
                <w:sz w:val="20"/>
                <w:szCs w:val="20"/>
                <w:lang w:val="es-ES"/>
              </w:rPr>
              <w:t>día hábil</w:t>
            </w:r>
            <w:r w:rsidR="00B20AD8" w:rsidRPr="0059421B">
              <w:rPr>
                <w:rFonts w:ascii="Arial" w:hAnsi="Arial" w:cs="Arial"/>
                <w:sz w:val="20"/>
                <w:szCs w:val="20"/>
                <w:lang w:val="es-ES"/>
              </w:rPr>
              <w:t xml:space="preserve"> </w:t>
            </w:r>
            <w:r>
              <w:rPr>
                <w:rFonts w:ascii="Arial" w:hAnsi="Arial" w:cs="Arial"/>
                <w:sz w:val="20"/>
                <w:szCs w:val="20"/>
                <w:lang w:val="es-ES"/>
              </w:rPr>
              <w:t>de la solicitud del CS o AS)</w:t>
            </w:r>
          </w:p>
        </w:tc>
        <w:tc>
          <w:tcPr>
            <w:tcW w:w="1091" w:type="pct"/>
            <w:tcBorders>
              <w:top w:val="single" w:sz="4" w:space="0" w:color="auto"/>
              <w:left w:val="single" w:sz="4" w:space="0" w:color="auto"/>
              <w:bottom w:val="single" w:sz="4" w:space="0" w:color="auto"/>
              <w:right w:val="single" w:sz="4" w:space="0" w:color="auto"/>
            </w:tcBorders>
            <w:vAlign w:val="center"/>
          </w:tcPr>
          <w:p w14:paraId="552CF08A" w14:textId="77777777" w:rsidR="00A17D1A" w:rsidRPr="0059421B" w:rsidRDefault="00A17D1A" w:rsidP="00B20AD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A17D1A" w:rsidRPr="0059421B" w14:paraId="44E6C76F" w14:textId="77777777" w:rsidTr="00B20AD8">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11BC90C6" w14:textId="77777777" w:rsidR="00A17D1A" w:rsidRPr="0059421B" w:rsidRDefault="00A17D1A" w:rsidP="00B20AD8">
            <w:pPr>
              <w:suppressAutoHyphens/>
              <w:spacing w:before="0" w:after="120" w:line="240" w:lineRule="auto"/>
              <w:contextualSpacing/>
              <w:jc w:val="left"/>
              <w:rPr>
                <w:rFonts w:ascii="Arial" w:hAnsi="Arial" w:cs="Arial"/>
                <w:sz w:val="20"/>
                <w:szCs w:val="20"/>
                <w:lang w:val="es-ES"/>
              </w:rPr>
            </w:pPr>
            <w:r>
              <w:rPr>
                <w:rFonts w:ascii="Arial" w:hAnsi="Arial" w:cs="Arial"/>
                <w:sz w:val="20"/>
                <w:szCs w:val="20"/>
                <w:lang w:val="es-ES"/>
              </w:rPr>
              <w:t xml:space="preserve">Telmex y Telnor elaborarán el Proyecto y Presupuesto </w:t>
            </w:r>
            <w:r w:rsidRPr="00F95529">
              <w:rPr>
                <w:rFonts w:ascii="Arial" w:hAnsi="Arial" w:cs="Arial"/>
                <w:sz w:val="20"/>
                <w:szCs w:val="20"/>
                <w:lang w:val="es-ES"/>
              </w:rPr>
              <w:t>tratándose de despliegue de nueva Obra Civil</w:t>
            </w:r>
          </w:p>
        </w:tc>
        <w:tc>
          <w:tcPr>
            <w:tcW w:w="1545" w:type="pct"/>
            <w:tcBorders>
              <w:top w:val="single" w:sz="4" w:space="0" w:color="auto"/>
              <w:left w:val="single" w:sz="4" w:space="0" w:color="auto"/>
              <w:bottom w:val="single" w:sz="4" w:space="0" w:color="auto"/>
              <w:right w:val="single" w:sz="4" w:space="0" w:color="auto"/>
            </w:tcBorders>
            <w:vAlign w:val="center"/>
          </w:tcPr>
          <w:p w14:paraId="0A0AB4E1" w14:textId="77777777" w:rsidR="00A17D1A" w:rsidRDefault="00A17D1A" w:rsidP="00B20AD8">
            <w:pPr>
              <w:suppressAutoHyphens/>
              <w:spacing w:before="0" w:after="120" w:line="240" w:lineRule="auto"/>
              <w:contextualSpacing/>
              <w:jc w:val="center"/>
              <w:rPr>
                <w:rFonts w:ascii="Arial" w:hAnsi="Arial" w:cs="Arial"/>
                <w:sz w:val="20"/>
                <w:szCs w:val="20"/>
                <w:lang w:val="es-ES"/>
              </w:rPr>
            </w:pPr>
            <w:r>
              <w:rPr>
                <w:rFonts w:ascii="Arial" w:hAnsi="Arial" w:cs="Arial"/>
                <w:sz w:val="20"/>
                <w:szCs w:val="20"/>
                <w:lang w:val="es-ES"/>
              </w:rPr>
              <w:t xml:space="preserve">15 </w:t>
            </w:r>
            <w:r w:rsidRPr="0059421B">
              <w:rPr>
                <w:rFonts w:ascii="Arial" w:hAnsi="Arial" w:cs="Arial"/>
                <w:sz w:val="20"/>
                <w:szCs w:val="20"/>
                <w:lang w:val="es-ES"/>
              </w:rPr>
              <w:t>DH</w:t>
            </w:r>
          </w:p>
          <w:p w14:paraId="57C9D103" w14:textId="1BDB503C" w:rsidR="00A17D1A" w:rsidRPr="0059421B" w:rsidRDefault="00A17D1A" w:rsidP="00B20AD8">
            <w:pPr>
              <w:suppressAutoHyphens/>
              <w:spacing w:before="0" w:after="120" w:line="240" w:lineRule="auto"/>
              <w:contextualSpacing/>
              <w:jc w:val="center"/>
              <w:rPr>
                <w:rFonts w:ascii="Arial" w:hAnsi="Arial" w:cs="Arial"/>
                <w:sz w:val="20"/>
                <w:szCs w:val="20"/>
                <w:lang w:val="es-ES"/>
              </w:rPr>
            </w:pPr>
            <w:r>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Pr>
                <w:rFonts w:ascii="Arial" w:hAnsi="Arial" w:cs="Arial"/>
                <w:sz w:val="20"/>
                <w:szCs w:val="20"/>
                <w:lang w:val="es-ES"/>
              </w:rPr>
              <w:t>de la solicitud del CS o AS</w:t>
            </w:r>
          </w:p>
        </w:tc>
        <w:tc>
          <w:tcPr>
            <w:tcW w:w="1091" w:type="pct"/>
            <w:tcBorders>
              <w:top w:val="single" w:sz="4" w:space="0" w:color="auto"/>
              <w:left w:val="single" w:sz="4" w:space="0" w:color="auto"/>
              <w:bottom w:val="single" w:sz="4" w:space="0" w:color="auto"/>
              <w:right w:val="single" w:sz="4" w:space="0" w:color="auto"/>
            </w:tcBorders>
            <w:vAlign w:val="center"/>
          </w:tcPr>
          <w:p w14:paraId="74643F8C" w14:textId="77777777" w:rsidR="00A17D1A" w:rsidRPr="0059421B" w:rsidRDefault="00A17D1A" w:rsidP="00B20AD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62F482E3" w14:textId="77777777" w:rsidR="00A17D1A" w:rsidRPr="0059421B" w:rsidRDefault="00A17D1A"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D2" w14:textId="77777777" w:rsidTr="00567A04">
        <w:trPr>
          <w:jc w:val="center"/>
        </w:trPr>
        <w:tc>
          <w:tcPr>
            <w:tcW w:w="5000" w:type="pct"/>
            <w:gridSpan w:val="3"/>
            <w:shd w:val="clear" w:color="auto" w:fill="5B9BD5"/>
            <w:vAlign w:val="center"/>
          </w:tcPr>
          <w:p w14:paraId="469A41D1" w14:textId="47608E85" w:rsidR="00567A04" w:rsidRPr="0059421B" w:rsidRDefault="00567A04" w:rsidP="00B20AD8">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Etapa </w:t>
            </w:r>
            <w:r w:rsidR="00A17D1A">
              <w:rPr>
                <w:rFonts w:ascii="Arial" w:hAnsi="Arial" w:cs="Arial"/>
                <w:b/>
                <w:color w:val="FFFFFF"/>
                <w:sz w:val="20"/>
                <w:szCs w:val="20"/>
                <w:lang w:val="es-ES"/>
              </w:rPr>
              <w:t>5</w:t>
            </w:r>
            <w:r w:rsidRPr="0059421B">
              <w:rPr>
                <w:rFonts w:ascii="Arial" w:hAnsi="Arial" w:cs="Arial"/>
                <w:b/>
                <w:color w:val="FFFFFF"/>
                <w:sz w:val="20"/>
                <w:szCs w:val="20"/>
                <w:lang w:val="es-ES"/>
              </w:rPr>
              <w:t>: Análisis de Factibilidad</w:t>
            </w:r>
          </w:p>
        </w:tc>
      </w:tr>
      <w:tr w:rsidR="0028148B" w:rsidRPr="0059421B" w14:paraId="469A41D6" w14:textId="77777777" w:rsidTr="00B1344C">
        <w:trPr>
          <w:jc w:val="center"/>
        </w:trPr>
        <w:tc>
          <w:tcPr>
            <w:tcW w:w="2364" w:type="pct"/>
            <w:shd w:val="clear" w:color="auto" w:fill="5B9BD5"/>
            <w:vAlign w:val="center"/>
          </w:tcPr>
          <w:p w14:paraId="469A41D3"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D4"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D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14:paraId="469A41DB" w14:textId="77777777" w:rsidTr="00B1344C">
        <w:trPr>
          <w:jc w:val="center"/>
        </w:trPr>
        <w:tc>
          <w:tcPr>
            <w:tcW w:w="2364" w:type="pct"/>
            <w:vAlign w:val="center"/>
          </w:tcPr>
          <w:p w14:paraId="469A41D7" w14:textId="6CF5A4BA" w:rsidR="006D75BE"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w:t>
            </w:r>
            <w:r w:rsidR="00673FBC" w:rsidRPr="0059421B">
              <w:rPr>
                <w:rFonts w:ascii="Arial" w:hAnsi="Arial" w:cs="Arial"/>
                <w:sz w:val="20"/>
                <w:szCs w:val="20"/>
                <w:lang w:val="es-ES"/>
              </w:rPr>
              <w:t>s</w:t>
            </w:r>
            <w:r w:rsidRPr="0059421B">
              <w:rPr>
                <w:rFonts w:ascii="Arial" w:hAnsi="Arial" w:cs="Arial"/>
                <w:sz w:val="20"/>
                <w:szCs w:val="20"/>
                <w:lang w:val="es-ES"/>
              </w:rPr>
              <w:t xml:space="preserve"> </w:t>
            </w:r>
            <w:r w:rsidR="000B7EA3">
              <w:rPr>
                <w:rFonts w:ascii="Arial" w:hAnsi="Arial" w:cs="Arial"/>
                <w:sz w:val="20"/>
                <w:szCs w:val="20"/>
                <w:lang w:val="es-ES"/>
              </w:rPr>
              <w:t>DM de Telmex y Telnor</w:t>
            </w:r>
            <w:r w:rsidR="006D75BE" w:rsidRPr="0059421B">
              <w:rPr>
                <w:rFonts w:ascii="Arial" w:hAnsi="Arial" w:cs="Arial"/>
                <w:sz w:val="20"/>
                <w:szCs w:val="20"/>
                <w:lang w:val="es-ES"/>
              </w:rPr>
              <w:t xml:space="preserve"> notifica</w:t>
            </w:r>
            <w:r w:rsidR="00673FBC" w:rsidRPr="0059421B">
              <w:rPr>
                <w:rFonts w:ascii="Arial" w:hAnsi="Arial" w:cs="Arial"/>
                <w:sz w:val="20"/>
                <w:szCs w:val="20"/>
                <w:lang w:val="es-ES"/>
              </w:rPr>
              <w:t>n</w:t>
            </w:r>
            <w:r w:rsidR="006D75BE" w:rsidRPr="0059421B">
              <w:rPr>
                <w:rFonts w:ascii="Arial" w:hAnsi="Arial" w:cs="Arial"/>
                <w:sz w:val="20"/>
                <w:szCs w:val="20"/>
                <w:lang w:val="es-ES"/>
              </w:rPr>
              <w:t xml:space="preserve"> al CS</w:t>
            </w:r>
            <w:r w:rsidR="00B15B85">
              <w:rPr>
                <w:rFonts w:ascii="Arial" w:hAnsi="Arial" w:cs="Arial"/>
                <w:sz w:val="20"/>
                <w:szCs w:val="20"/>
                <w:lang w:val="es-ES"/>
              </w:rPr>
              <w:t xml:space="preserve"> o AS</w:t>
            </w:r>
            <w:r w:rsidR="006D75BE" w:rsidRPr="0059421B">
              <w:rPr>
                <w:rFonts w:ascii="Arial" w:hAnsi="Arial" w:cs="Arial"/>
                <w:sz w:val="20"/>
                <w:szCs w:val="20"/>
                <w:lang w:val="es-ES"/>
              </w:rPr>
              <w:t xml:space="preserve"> el resultado del Análisis de Factibilidad.</w:t>
            </w:r>
          </w:p>
        </w:tc>
        <w:tc>
          <w:tcPr>
            <w:tcW w:w="1545" w:type="pct"/>
            <w:vAlign w:val="center"/>
          </w:tcPr>
          <w:p w14:paraId="5916D5B5" w14:textId="792B6AB1" w:rsidR="006D75B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6D75BE" w:rsidRPr="0059421B">
              <w:rPr>
                <w:rFonts w:ascii="Arial" w:hAnsi="Arial" w:cs="Arial"/>
                <w:sz w:val="20"/>
                <w:szCs w:val="20"/>
                <w:lang w:val="es-ES"/>
              </w:rPr>
              <w:t xml:space="preserve"> DH</w:t>
            </w:r>
          </w:p>
          <w:p w14:paraId="469A41D9" w14:textId="5E4864AC" w:rsidR="006D75BE" w:rsidRPr="0059421B" w:rsidRDefault="006D75BE">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 xml:space="preserve">que el CS </w:t>
            </w:r>
            <w:r w:rsidR="00673FBC" w:rsidRPr="0059421B">
              <w:rPr>
                <w:rFonts w:ascii="Arial" w:hAnsi="Arial" w:cs="Arial"/>
                <w:sz w:val="20"/>
                <w:szCs w:val="20"/>
                <w:lang w:val="es-ES"/>
              </w:rPr>
              <w:t xml:space="preserve">o AS </w:t>
            </w:r>
            <w:r w:rsidRPr="0059421B">
              <w:rPr>
                <w:rFonts w:ascii="Arial" w:hAnsi="Arial" w:cs="Arial"/>
                <w:sz w:val="20"/>
                <w:szCs w:val="20"/>
                <w:lang w:val="es-ES"/>
              </w:rPr>
              <w:t>entregue el Anteproyecto)</w:t>
            </w:r>
          </w:p>
        </w:tc>
        <w:tc>
          <w:tcPr>
            <w:tcW w:w="1091" w:type="pct"/>
            <w:vAlign w:val="center"/>
          </w:tcPr>
          <w:p w14:paraId="469A41DA" w14:textId="77777777" w:rsidR="006D75BE" w:rsidRPr="0059421B" w:rsidRDefault="006D75B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673FBC" w:rsidRPr="0059421B" w14:paraId="469A41E0"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DC" w14:textId="0262C70B" w:rsidR="00673FBC" w:rsidRPr="0059421B" w:rsidRDefault="00673FB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Los CS o AS podrán corregir la información y reenviar el Anteproyecto.</w:t>
            </w:r>
          </w:p>
        </w:tc>
        <w:tc>
          <w:tcPr>
            <w:tcW w:w="1545" w:type="pct"/>
            <w:tcBorders>
              <w:top w:val="single" w:sz="4" w:space="0" w:color="auto"/>
              <w:left w:val="single" w:sz="4" w:space="0" w:color="auto"/>
              <w:bottom w:val="single" w:sz="4" w:space="0" w:color="auto"/>
              <w:right w:val="single" w:sz="4" w:space="0" w:color="auto"/>
            </w:tcBorders>
            <w:vAlign w:val="center"/>
          </w:tcPr>
          <w:p w14:paraId="469A41DD" w14:textId="11A8F147" w:rsidR="00673FB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18655C">
              <w:rPr>
                <w:rFonts w:ascii="Arial" w:hAnsi="Arial" w:cs="Arial"/>
                <w:sz w:val="20"/>
                <w:szCs w:val="20"/>
                <w:lang w:val="es-ES"/>
              </w:rPr>
              <w:t xml:space="preserve"> </w:t>
            </w:r>
            <w:r w:rsidR="00673FBC" w:rsidRPr="0059421B">
              <w:rPr>
                <w:rFonts w:ascii="Arial" w:hAnsi="Arial" w:cs="Arial"/>
                <w:sz w:val="20"/>
                <w:szCs w:val="20"/>
                <w:lang w:val="es-ES"/>
              </w:rPr>
              <w:t>DH</w:t>
            </w:r>
          </w:p>
          <w:p w14:paraId="469A41DE" w14:textId="3A4C266E"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del resultado de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14:paraId="469A41DF" w14:textId="77777777"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673FBC" w:rsidRPr="0059421B" w14:paraId="469A41E5"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E1" w14:textId="26BD7593" w:rsidR="00673FBC" w:rsidRPr="0059421B" w:rsidRDefault="00673FB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lastRenderedPageBreak/>
              <w:t xml:space="preserve">Las </w:t>
            </w:r>
            <w:r w:rsidR="000B7EA3">
              <w:rPr>
                <w:rFonts w:ascii="Arial" w:hAnsi="Arial" w:cs="Arial"/>
                <w:sz w:val="20"/>
                <w:szCs w:val="20"/>
                <w:lang w:val="es-ES"/>
              </w:rPr>
              <w:t>DM de Telmex y Telnor</w:t>
            </w:r>
            <w:r w:rsidRPr="0059421B">
              <w:rPr>
                <w:rFonts w:ascii="Arial" w:hAnsi="Arial" w:cs="Arial"/>
                <w:sz w:val="20"/>
                <w:szCs w:val="20"/>
                <w:lang w:val="es-ES"/>
              </w:rPr>
              <w:t xml:space="preserve"> revalidan la corrección para la aprobación del Anteproyecto.</w:t>
            </w:r>
          </w:p>
        </w:tc>
        <w:tc>
          <w:tcPr>
            <w:tcW w:w="1545" w:type="pct"/>
            <w:tcBorders>
              <w:top w:val="single" w:sz="4" w:space="0" w:color="auto"/>
              <w:left w:val="single" w:sz="4" w:space="0" w:color="auto"/>
              <w:bottom w:val="single" w:sz="4" w:space="0" w:color="auto"/>
              <w:right w:val="single" w:sz="4" w:space="0" w:color="auto"/>
            </w:tcBorders>
            <w:vAlign w:val="center"/>
          </w:tcPr>
          <w:p w14:paraId="469A41E2" w14:textId="193CF6B4" w:rsidR="00673FB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18655C">
              <w:rPr>
                <w:rFonts w:ascii="Arial" w:hAnsi="Arial" w:cs="Arial"/>
                <w:sz w:val="20"/>
                <w:szCs w:val="20"/>
                <w:lang w:val="es-ES"/>
              </w:rPr>
              <w:t xml:space="preserve"> </w:t>
            </w:r>
            <w:r w:rsidR="00673FBC" w:rsidRPr="0059421B">
              <w:rPr>
                <w:rFonts w:ascii="Arial" w:hAnsi="Arial" w:cs="Arial"/>
                <w:sz w:val="20"/>
                <w:szCs w:val="20"/>
                <w:lang w:val="es-ES"/>
              </w:rPr>
              <w:t>DH</w:t>
            </w:r>
          </w:p>
          <w:p w14:paraId="469A41E3" w14:textId="1A4B0AF4" w:rsidR="00673FBC" w:rsidRPr="0059421B" w:rsidRDefault="00673FBC">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que los CS o AS renvían el Anteproyecto)</w:t>
            </w:r>
          </w:p>
        </w:tc>
        <w:tc>
          <w:tcPr>
            <w:tcW w:w="1091" w:type="pct"/>
            <w:tcBorders>
              <w:top w:val="single" w:sz="4" w:space="0" w:color="auto"/>
              <w:left w:val="single" w:sz="4" w:space="0" w:color="auto"/>
              <w:bottom w:val="single" w:sz="4" w:space="0" w:color="auto"/>
              <w:right w:val="single" w:sz="4" w:space="0" w:color="auto"/>
            </w:tcBorders>
            <w:vAlign w:val="center"/>
          </w:tcPr>
          <w:p w14:paraId="469A41E4" w14:textId="77777777"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E8"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EA" w14:textId="77777777" w:rsidTr="00567A04">
        <w:trPr>
          <w:jc w:val="center"/>
        </w:trPr>
        <w:tc>
          <w:tcPr>
            <w:tcW w:w="5000" w:type="pct"/>
            <w:gridSpan w:val="3"/>
            <w:shd w:val="clear" w:color="auto" w:fill="5B9BD5"/>
            <w:vAlign w:val="center"/>
          </w:tcPr>
          <w:p w14:paraId="469A41E9" w14:textId="4BEFFEC4" w:rsidR="00567A04" w:rsidRPr="0059421B" w:rsidRDefault="00567A04" w:rsidP="00B20AD8">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Etapa </w:t>
            </w:r>
            <w:r w:rsidR="00A17D1A">
              <w:rPr>
                <w:rFonts w:ascii="Arial" w:hAnsi="Arial" w:cs="Arial"/>
                <w:b/>
                <w:color w:val="FFFFFF"/>
                <w:sz w:val="20"/>
                <w:szCs w:val="20"/>
                <w:lang w:val="es-ES"/>
              </w:rPr>
              <w:t>6</w:t>
            </w:r>
            <w:r w:rsidRPr="0059421B">
              <w:rPr>
                <w:rFonts w:ascii="Arial" w:hAnsi="Arial" w:cs="Arial"/>
                <w:b/>
                <w:color w:val="FFFFFF"/>
                <w:sz w:val="20"/>
                <w:szCs w:val="20"/>
                <w:lang w:val="es-ES"/>
              </w:rPr>
              <w:t>: Instalación de Infraestructura</w:t>
            </w:r>
          </w:p>
        </w:tc>
      </w:tr>
      <w:tr w:rsidR="0028148B" w:rsidRPr="0059421B" w14:paraId="469A41EE" w14:textId="77777777" w:rsidTr="00B1344C">
        <w:trPr>
          <w:jc w:val="center"/>
        </w:trPr>
        <w:tc>
          <w:tcPr>
            <w:tcW w:w="2364" w:type="pct"/>
            <w:shd w:val="clear" w:color="auto" w:fill="5B9BD5"/>
            <w:vAlign w:val="center"/>
          </w:tcPr>
          <w:p w14:paraId="469A41EB"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EC"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ED"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14:paraId="469A41F2" w14:textId="77777777" w:rsidTr="00B1344C">
        <w:trPr>
          <w:jc w:val="center"/>
        </w:trPr>
        <w:tc>
          <w:tcPr>
            <w:tcW w:w="2364" w:type="pct"/>
            <w:vAlign w:val="center"/>
          </w:tcPr>
          <w:p w14:paraId="469A41EF" w14:textId="28A6F856" w:rsidR="006D75BE" w:rsidRPr="0059421B" w:rsidRDefault="006D75B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inicia la Instalación de Infraestructura.</w:t>
            </w:r>
          </w:p>
        </w:tc>
        <w:tc>
          <w:tcPr>
            <w:tcW w:w="1545" w:type="pct"/>
            <w:vAlign w:val="center"/>
          </w:tcPr>
          <w:p w14:paraId="469A41F0" w14:textId="77777777" w:rsidR="006D75BE" w:rsidRPr="0059421B" w:rsidRDefault="00F1269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De acuerdo al </w:t>
            </w:r>
            <w:r w:rsidR="009C5BA6" w:rsidRPr="0059421B">
              <w:rPr>
                <w:rFonts w:ascii="Arial" w:hAnsi="Arial" w:cs="Arial"/>
                <w:sz w:val="20"/>
                <w:szCs w:val="20"/>
                <w:lang w:val="es-ES"/>
              </w:rPr>
              <w:t xml:space="preserve">Anteproyecto y al </w:t>
            </w:r>
            <w:r w:rsidRPr="0059421B">
              <w:rPr>
                <w:rFonts w:ascii="Arial" w:hAnsi="Arial" w:cs="Arial"/>
                <w:sz w:val="20"/>
                <w:szCs w:val="20"/>
                <w:lang w:val="es-ES"/>
              </w:rPr>
              <w:t>Programa de Trabajo</w:t>
            </w:r>
            <w:r w:rsidR="006D75BE" w:rsidRPr="0059421B">
              <w:rPr>
                <w:rFonts w:ascii="Arial" w:hAnsi="Arial" w:cs="Arial"/>
                <w:sz w:val="20"/>
                <w:szCs w:val="20"/>
                <w:lang w:val="es-ES"/>
              </w:rPr>
              <w:t>.</w:t>
            </w:r>
          </w:p>
        </w:tc>
        <w:tc>
          <w:tcPr>
            <w:tcW w:w="1091" w:type="pct"/>
            <w:vAlign w:val="center"/>
          </w:tcPr>
          <w:p w14:paraId="469A41F1" w14:textId="77777777" w:rsidR="006D75BE" w:rsidRPr="0059421B" w:rsidRDefault="006D75B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14:paraId="469A41F7"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F3" w14:textId="72E7AAD3" w:rsidR="009C5BA6" w:rsidRPr="0059421B" w:rsidRDefault="009C5BA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envían las </w:t>
            </w:r>
            <w:r w:rsidR="00F051BD">
              <w:rPr>
                <w:rFonts w:ascii="Arial" w:hAnsi="Arial" w:cs="Arial"/>
                <w:sz w:val="20"/>
                <w:szCs w:val="20"/>
                <w:lang w:val="es-ES"/>
              </w:rPr>
              <w:t>t</w:t>
            </w:r>
            <w:r w:rsidR="0018655C">
              <w:rPr>
                <w:rFonts w:ascii="Arial" w:hAnsi="Arial" w:cs="Arial"/>
                <w:sz w:val="20"/>
                <w:szCs w:val="20"/>
                <w:lang w:val="es-ES"/>
              </w:rPr>
              <w:t>res</w:t>
            </w:r>
            <w:r w:rsidR="00863BD5" w:rsidRPr="0059421B">
              <w:rPr>
                <w:rFonts w:ascii="Arial" w:hAnsi="Arial" w:cs="Arial"/>
                <w:sz w:val="20"/>
                <w:szCs w:val="20"/>
                <w:lang w:val="es-ES"/>
              </w:rPr>
              <w:t xml:space="preserve"> posibles </w:t>
            </w:r>
            <w:r w:rsidRPr="0059421B">
              <w:rPr>
                <w:rFonts w:ascii="Arial" w:hAnsi="Arial" w:cs="Arial"/>
                <w:sz w:val="20"/>
                <w:szCs w:val="20"/>
                <w:lang w:val="es-ES"/>
              </w:rPr>
              <w:t>fechas de inicio y conclusión de los trabajos de Instalación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14:paraId="469A41F4" w14:textId="3C9162CE" w:rsidR="009C5BA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9C5BA6" w:rsidRPr="0059421B">
              <w:rPr>
                <w:rFonts w:ascii="Arial" w:hAnsi="Arial" w:cs="Arial"/>
                <w:sz w:val="20"/>
                <w:szCs w:val="20"/>
                <w:lang w:val="es-ES"/>
              </w:rPr>
              <w:t xml:space="preserve"> DH</w:t>
            </w:r>
          </w:p>
          <w:p w14:paraId="469A41F5" w14:textId="0B475C9D" w:rsidR="009C5BA6" w:rsidRPr="0059421B" w:rsidRDefault="009C5BA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 la notificación del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14:paraId="469A41F6" w14:textId="77777777" w:rsidR="009C5BA6" w:rsidRPr="0059421B" w:rsidRDefault="009C5BA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14:paraId="469A41FB"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F8" w14:textId="34646E95" w:rsidR="009C5BA6" w:rsidRPr="0059421B" w:rsidRDefault="00863BD5"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009C5BA6" w:rsidRPr="0059421B">
              <w:rPr>
                <w:rFonts w:ascii="Arial" w:hAnsi="Arial" w:cs="Arial"/>
                <w:sz w:val="20"/>
                <w:szCs w:val="20"/>
                <w:lang w:val="es-ES"/>
              </w:rPr>
              <w:t xml:space="preserve"> aceptan</w:t>
            </w:r>
            <w:r w:rsidRPr="0059421B">
              <w:rPr>
                <w:rFonts w:ascii="Arial" w:hAnsi="Arial" w:cs="Arial"/>
                <w:sz w:val="20"/>
                <w:szCs w:val="20"/>
                <w:lang w:val="es-ES"/>
              </w:rPr>
              <w:t xml:space="preserve"> una de las tres</w:t>
            </w:r>
            <w:r w:rsidR="009C5BA6" w:rsidRPr="0059421B">
              <w:rPr>
                <w:rFonts w:ascii="Arial" w:hAnsi="Arial" w:cs="Arial"/>
                <w:sz w:val="20"/>
                <w:szCs w:val="20"/>
                <w:lang w:val="es-ES"/>
              </w:rPr>
              <w:t xml:space="preserve"> propuesta</w:t>
            </w:r>
            <w:r w:rsidRPr="0059421B">
              <w:rPr>
                <w:rFonts w:ascii="Arial" w:hAnsi="Arial" w:cs="Arial"/>
                <w:sz w:val="20"/>
                <w:szCs w:val="20"/>
                <w:lang w:val="es-ES"/>
              </w:rPr>
              <w:t>s</w:t>
            </w:r>
            <w:r w:rsidR="009C5BA6" w:rsidRPr="0059421B">
              <w:rPr>
                <w:rFonts w:ascii="Arial" w:hAnsi="Arial" w:cs="Arial"/>
                <w:sz w:val="20"/>
                <w:szCs w:val="20"/>
                <w:lang w:val="es-ES"/>
              </w:rPr>
              <w:t xml:space="preserve"> de inicio de trabajos de instalación</w:t>
            </w:r>
            <w:r w:rsidRPr="0059421B">
              <w:rPr>
                <w:rFonts w:ascii="Arial" w:hAnsi="Arial" w:cs="Arial"/>
                <w:sz w:val="20"/>
                <w:szCs w:val="20"/>
                <w:lang w:val="es-ES"/>
              </w:rPr>
              <w:t xml:space="preserve">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14:paraId="469A41F9" w14:textId="26687198" w:rsidR="009C5BA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9C5BA6" w:rsidRPr="0059421B">
              <w:rPr>
                <w:rFonts w:ascii="Arial" w:hAnsi="Arial" w:cs="Arial"/>
                <w:sz w:val="20"/>
                <w:szCs w:val="20"/>
                <w:lang w:val="es-ES"/>
              </w:rPr>
              <w:t xml:space="preserve"> DH</w:t>
            </w:r>
            <w:r w:rsidR="00B8173C">
              <w:rPr>
                <w:rFonts w:ascii="Arial" w:hAnsi="Arial" w:cs="Arial"/>
                <w:sz w:val="20"/>
                <w:szCs w:val="20"/>
                <w:lang w:val="es-ES"/>
              </w:rPr>
              <w:t xml:space="preserve"> del siguiente </w:t>
            </w:r>
            <w:r w:rsidR="00B8173C" w:rsidRPr="00430622">
              <w:rPr>
                <w:rFonts w:ascii="Arial" w:hAnsi="Arial" w:cs="Arial"/>
                <w:sz w:val="20"/>
                <w:szCs w:val="20"/>
                <w:lang w:val="es-ES"/>
              </w:rPr>
              <w:t>día hábil</w:t>
            </w:r>
            <w:r w:rsidR="00B8173C">
              <w:rPr>
                <w:rFonts w:ascii="Arial" w:hAnsi="Arial" w:cs="Arial"/>
                <w:sz w:val="20"/>
                <w:szCs w:val="20"/>
                <w:lang w:val="es-ES"/>
              </w:rPr>
              <w:t xml:space="preserve"> a partir de la propuestas</w:t>
            </w:r>
          </w:p>
        </w:tc>
        <w:tc>
          <w:tcPr>
            <w:tcW w:w="1091" w:type="pct"/>
            <w:tcBorders>
              <w:top w:val="single" w:sz="4" w:space="0" w:color="auto"/>
              <w:left w:val="single" w:sz="4" w:space="0" w:color="auto"/>
              <w:bottom w:val="single" w:sz="4" w:space="0" w:color="auto"/>
              <w:right w:val="single" w:sz="4" w:space="0" w:color="auto"/>
            </w:tcBorders>
            <w:vAlign w:val="center"/>
          </w:tcPr>
          <w:p w14:paraId="469A41FA" w14:textId="77777777" w:rsidR="009C5BA6" w:rsidRPr="0059421B" w:rsidRDefault="009C5BA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FC"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3F44B6" w:rsidRPr="0059421B" w14:paraId="469A41FE" w14:textId="77777777" w:rsidTr="00567A04">
        <w:trPr>
          <w:jc w:val="center"/>
        </w:trPr>
        <w:tc>
          <w:tcPr>
            <w:tcW w:w="5000" w:type="pct"/>
            <w:gridSpan w:val="3"/>
            <w:shd w:val="clear" w:color="auto" w:fill="5B9BD5"/>
            <w:vAlign w:val="center"/>
          </w:tcPr>
          <w:p w14:paraId="469A41FD" w14:textId="510D9405" w:rsidR="003F44B6" w:rsidRPr="0059421B" w:rsidRDefault="003F44B6" w:rsidP="00B20AD8">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Etapa </w:t>
            </w:r>
            <w:r w:rsidR="00A17D1A">
              <w:rPr>
                <w:rFonts w:ascii="Arial" w:hAnsi="Arial" w:cs="Arial"/>
                <w:b/>
                <w:color w:val="FFFFFF"/>
                <w:sz w:val="20"/>
                <w:szCs w:val="20"/>
                <w:lang w:val="es-ES"/>
              </w:rPr>
              <w:t>7</w:t>
            </w:r>
            <w:r w:rsidRPr="0059421B">
              <w:rPr>
                <w:rFonts w:ascii="Arial" w:hAnsi="Arial" w:cs="Arial"/>
                <w:b/>
                <w:color w:val="FFFFFF"/>
                <w:sz w:val="20"/>
                <w:szCs w:val="20"/>
                <w:lang w:val="es-ES"/>
              </w:rPr>
              <w:t>: Verificación de Instalación de Infraestructura</w:t>
            </w:r>
          </w:p>
        </w:tc>
      </w:tr>
      <w:tr w:rsidR="003F44B6" w:rsidRPr="0059421B" w14:paraId="469A4202" w14:textId="77777777" w:rsidTr="000F7C9D">
        <w:trPr>
          <w:jc w:val="center"/>
        </w:trPr>
        <w:tc>
          <w:tcPr>
            <w:tcW w:w="2364" w:type="pct"/>
            <w:tcBorders>
              <w:bottom w:val="single" w:sz="4" w:space="0" w:color="auto"/>
            </w:tcBorders>
            <w:shd w:val="clear" w:color="auto" w:fill="5B9BD5"/>
            <w:vAlign w:val="center"/>
          </w:tcPr>
          <w:p w14:paraId="469A41FF" w14:textId="77777777" w:rsidR="003F44B6" w:rsidRPr="0059421B" w:rsidRDefault="003F44B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00" w14:textId="77777777" w:rsidR="003F44B6" w:rsidRPr="0059421B" w:rsidRDefault="003F44B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01" w14:textId="77777777" w:rsidR="003F44B6" w:rsidRPr="0059421B" w:rsidRDefault="003F44B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07110" w:rsidRPr="0059421B" w14:paraId="469A4207" w14:textId="77777777"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469A4203" w14:textId="0BF31D3A" w:rsidR="00D07110" w:rsidRPr="0059421B" w:rsidRDefault="00D0711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Pr="0059421B">
              <w:rPr>
                <w:rFonts w:ascii="Arial" w:hAnsi="Arial" w:cs="Arial"/>
                <w:sz w:val="20"/>
                <w:szCs w:val="20"/>
                <w:lang w:val="es-ES"/>
              </w:rPr>
              <w:t xml:space="preserve">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469A4204" w14:textId="7609E8D9" w:rsidR="00D07110"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18655C">
              <w:rPr>
                <w:rFonts w:ascii="Arial" w:hAnsi="Arial" w:cs="Arial"/>
                <w:sz w:val="20"/>
                <w:szCs w:val="20"/>
                <w:lang w:val="es-ES"/>
              </w:rPr>
              <w:t xml:space="preserve"> </w:t>
            </w:r>
            <w:r w:rsidR="00D07110" w:rsidRPr="0059421B">
              <w:rPr>
                <w:rFonts w:ascii="Arial" w:hAnsi="Arial" w:cs="Arial"/>
                <w:sz w:val="20"/>
                <w:szCs w:val="20"/>
                <w:lang w:val="es-ES"/>
              </w:rPr>
              <w:t>DH</w:t>
            </w:r>
          </w:p>
          <w:p w14:paraId="469A4205" w14:textId="10F47676" w:rsidR="00D07110" w:rsidRPr="0059421B" w:rsidRDefault="00D07110">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469A4206" w14:textId="77777777" w:rsidR="00D07110" w:rsidRPr="0059421B"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D07110" w:rsidRPr="0059421B" w14:paraId="469A420B" w14:textId="77777777" w:rsidTr="000F7C9D">
        <w:trPr>
          <w:jc w:val="center"/>
        </w:trPr>
        <w:tc>
          <w:tcPr>
            <w:tcW w:w="2364" w:type="pct"/>
            <w:tcBorders>
              <w:top w:val="single" w:sz="4" w:space="0" w:color="auto"/>
            </w:tcBorders>
            <w:shd w:val="clear" w:color="auto" w:fill="auto"/>
            <w:vAlign w:val="center"/>
          </w:tcPr>
          <w:p w14:paraId="469A4208" w14:textId="2290A86F" w:rsidR="00D07110" w:rsidRPr="0059421B" w:rsidRDefault="00D07110" w:rsidP="006039D9">
            <w:pPr>
              <w:suppressAutoHyphens/>
              <w:spacing w:before="0" w:after="0" w:line="276" w:lineRule="auto"/>
              <w:contextualSpacing/>
              <w:jc w:val="left"/>
              <w:rPr>
                <w:rFonts w:ascii="Arial" w:hAnsi="Arial" w:cs="Arial"/>
                <w:b/>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Pr="0059421B">
              <w:rPr>
                <w:rFonts w:ascii="Arial" w:hAnsi="Arial" w:cs="Arial"/>
                <w:sz w:val="20"/>
                <w:szCs w:val="20"/>
                <w:lang w:val="es-ES"/>
              </w:rPr>
              <w:t xml:space="preserve">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14:paraId="469A4209" w14:textId="77777777" w:rsidR="00D07110" w:rsidRPr="0059421B" w:rsidDel="00324AB3"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14:paraId="469A420A" w14:textId="77777777" w:rsidR="00D07110" w:rsidRPr="0059421B" w:rsidDel="00324AB3"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6608BBC2" w14:textId="0D01CF16" w:rsidR="005F2493" w:rsidRDefault="005F2493" w:rsidP="006039D9">
      <w:pPr>
        <w:tabs>
          <w:tab w:val="left" w:pos="4143"/>
        </w:tabs>
        <w:spacing w:before="0" w:after="0" w:line="276" w:lineRule="auto"/>
        <w:rPr>
          <w:rFonts w:ascii="Arial" w:hAnsi="Arial" w:cs="Arial"/>
          <w:b/>
          <w:sz w:val="20"/>
          <w:szCs w:val="20"/>
          <w:u w:val="single"/>
        </w:rPr>
      </w:pPr>
    </w:p>
    <w:p w14:paraId="469A420D" w14:textId="477DC2D6" w:rsidR="00D75094" w:rsidRDefault="00D75094"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Modificación</w:t>
      </w:r>
    </w:p>
    <w:p w14:paraId="3EA862BC" w14:textId="77777777" w:rsidR="005F2493" w:rsidRPr="0059421B" w:rsidRDefault="005F2493"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0F" w14:textId="77777777" w:rsidTr="000A690E">
        <w:trPr>
          <w:trHeight w:val="467"/>
          <w:jc w:val="center"/>
        </w:trPr>
        <w:tc>
          <w:tcPr>
            <w:tcW w:w="5000" w:type="pct"/>
            <w:gridSpan w:val="3"/>
            <w:shd w:val="clear" w:color="auto" w:fill="5B9BD5"/>
            <w:vAlign w:val="center"/>
          </w:tcPr>
          <w:p w14:paraId="469A420E" w14:textId="77777777" w:rsidR="00D75094" w:rsidRPr="0059421B" w:rsidRDefault="00D7509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D75094" w:rsidRPr="0059421B" w14:paraId="469A4213" w14:textId="77777777" w:rsidTr="000A690E">
        <w:trPr>
          <w:trHeight w:val="467"/>
          <w:jc w:val="center"/>
        </w:trPr>
        <w:tc>
          <w:tcPr>
            <w:tcW w:w="2402" w:type="pct"/>
            <w:shd w:val="clear" w:color="auto" w:fill="5B9BD5"/>
            <w:vAlign w:val="center"/>
          </w:tcPr>
          <w:p w14:paraId="469A4210"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11"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12"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17" w14:textId="77777777" w:rsidTr="000A690E">
        <w:trPr>
          <w:trHeight w:val="467"/>
          <w:jc w:val="center"/>
        </w:trPr>
        <w:tc>
          <w:tcPr>
            <w:tcW w:w="2402" w:type="pct"/>
            <w:tcBorders>
              <w:bottom w:val="single" w:sz="4" w:space="0" w:color="auto"/>
            </w:tcBorders>
            <w:vAlign w:val="center"/>
          </w:tcPr>
          <w:p w14:paraId="469A4214" w14:textId="00E6BD55"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modificación del Proyecto de Instalación</w:t>
            </w:r>
          </w:p>
        </w:tc>
        <w:tc>
          <w:tcPr>
            <w:tcW w:w="1582" w:type="pct"/>
            <w:tcBorders>
              <w:bottom w:val="single" w:sz="4" w:space="0" w:color="auto"/>
            </w:tcBorders>
            <w:vAlign w:val="center"/>
          </w:tcPr>
          <w:p w14:paraId="469A4215"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216"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D75094" w:rsidRPr="0059421B" w14:paraId="469A421C" w14:textId="77777777" w:rsidTr="000A690E">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218" w14:textId="229A7D32"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Pr="0059421B">
              <w:rPr>
                <w:rFonts w:ascii="Arial" w:hAnsi="Arial" w:cs="Arial"/>
                <w:sz w:val="20"/>
                <w:szCs w:val="20"/>
                <w:lang w:val="es-ES"/>
              </w:rPr>
              <w:t xml:space="preserve"> validan la solicitud de modificación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14:paraId="469A4219" w14:textId="7536C70A" w:rsidR="00D7509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18655C">
              <w:rPr>
                <w:rFonts w:ascii="Arial" w:hAnsi="Arial" w:cs="Arial"/>
                <w:sz w:val="20"/>
                <w:szCs w:val="20"/>
                <w:lang w:val="es-ES"/>
              </w:rPr>
              <w:t xml:space="preserve"> </w:t>
            </w:r>
            <w:r w:rsidR="00D75094" w:rsidRPr="0059421B">
              <w:rPr>
                <w:rFonts w:ascii="Arial" w:hAnsi="Arial" w:cs="Arial"/>
                <w:sz w:val="20"/>
                <w:szCs w:val="20"/>
                <w:lang w:val="es-ES"/>
              </w:rPr>
              <w:t>DH</w:t>
            </w:r>
          </w:p>
          <w:p w14:paraId="469A421A" w14:textId="0D713CE6"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B8173C">
              <w:rPr>
                <w:rFonts w:ascii="Arial" w:hAnsi="Arial" w:cs="Arial"/>
                <w:sz w:val="20"/>
                <w:szCs w:val="20"/>
                <w:lang w:val="es-ES"/>
              </w:rPr>
              <w:t>A</w:t>
            </w:r>
            <w:r w:rsidRPr="0059421B">
              <w:rPr>
                <w:rFonts w:ascii="Arial" w:hAnsi="Arial" w:cs="Arial"/>
                <w:sz w:val="20"/>
                <w:szCs w:val="20"/>
                <w:lang w:val="es-ES"/>
              </w:rPr>
              <w:t xml:space="preserve">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 la recepción de la solicitud de modificación)</w:t>
            </w:r>
          </w:p>
        </w:tc>
        <w:tc>
          <w:tcPr>
            <w:tcW w:w="1016" w:type="pct"/>
            <w:tcBorders>
              <w:left w:val="single" w:sz="4" w:space="0" w:color="auto"/>
            </w:tcBorders>
            <w:vAlign w:val="center"/>
          </w:tcPr>
          <w:p w14:paraId="469A421B"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1D" w14:textId="77777777" w:rsidR="00D75094" w:rsidRDefault="00D75094" w:rsidP="006039D9">
      <w:pPr>
        <w:spacing w:before="0" w:after="0" w:line="276" w:lineRule="auto"/>
        <w:rPr>
          <w:rFonts w:ascii="Arial" w:hAnsi="Arial" w:cs="Arial"/>
        </w:rPr>
      </w:pPr>
    </w:p>
    <w:p w14:paraId="7E1529E1" w14:textId="77777777" w:rsidR="0025217B" w:rsidRPr="0059421B" w:rsidRDefault="0025217B"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1F" w14:textId="77777777" w:rsidTr="000A690E">
        <w:trPr>
          <w:trHeight w:val="467"/>
          <w:jc w:val="center"/>
        </w:trPr>
        <w:tc>
          <w:tcPr>
            <w:tcW w:w="5000" w:type="pct"/>
            <w:gridSpan w:val="3"/>
            <w:shd w:val="clear" w:color="auto" w:fill="5B9BD5"/>
            <w:vAlign w:val="center"/>
          </w:tcPr>
          <w:p w14:paraId="469A421E" w14:textId="77777777" w:rsidR="00D75094" w:rsidRPr="0059421B" w:rsidRDefault="00D7509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lastRenderedPageBreak/>
              <w:t>Etapa 2: Actualización de Anteproyecto y Programa de Trabajo</w:t>
            </w:r>
          </w:p>
        </w:tc>
      </w:tr>
      <w:tr w:rsidR="00D75094" w:rsidRPr="0059421B" w14:paraId="469A4223" w14:textId="77777777" w:rsidTr="000A690E">
        <w:trPr>
          <w:jc w:val="center"/>
        </w:trPr>
        <w:tc>
          <w:tcPr>
            <w:tcW w:w="2402" w:type="pct"/>
            <w:shd w:val="clear" w:color="auto" w:fill="5B9BD5"/>
            <w:vAlign w:val="center"/>
          </w:tcPr>
          <w:p w14:paraId="469A4220" w14:textId="77777777" w:rsidR="00D75094" w:rsidRPr="0059421B" w:rsidRDefault="00D75094"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21" w14:textId="77777777" w:rsidR="00D75094" w:rsidRPr="0059421B" w:rsidRDefault="00D75094"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22" w14:textId="77777777" w:rsidR="00D75094" w:rsidRPr="0059421B" w:rsidRDefault="00D75094"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28" w14:textId="77777777" w:rsidTr="000A690E">
        <w:trPr>
          <w:jc w:val="center"/>
        </w:trPr>
        <w:tc>
          <w:tcPr>
            <w:tcW w:w="2402" w:type="pct"/>
            <w:vAlign w:val="center"/>
          </w:tcPr>
          <w:p w14:paraId="469A4224" w14:textId="18797289"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los cambios para modificar el Anteproyecto.</w:t>
            </w:r>
          </w:p>
        </w:tc>
        <w:tc>
          <w:tcPr>
            <w:tcW w:w="1582" w:type="pct"/>
            <w:vAlign w:val="center"/>
          </w:tcPr>
          <w:p w14:paraId="469A4225"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14:paraId="469A4226" w14:textId="1A7A6711"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 que apruebe los cambios para modificar el Anteproyecto)</w:t>
            </w:r>
          </w:p>
        </w:tc>
        <w:tc>
          <w:tcPr>
            <w:tcW w:w="1016" w:type="pct"/>
            <w:vAlign w:val="center"/>
          </w:tcPr>
          <w:p w14:paraId="469A4227"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29" w14:textId="77777777" w:rsidR="00D75094" w:rsidRPr="0059421B" w:rsidRDefault="00D75094"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2B" w14:textId="77777777" w:rsidTr="000A690E">
        <w:trPr>
          <w:jc w:val="center"/>
        </w:trPr>
        <w:tc>
          <w:tcPr>
            <w:tcW w:w="5000" w:type="pct"/>
            <w:gridSpan w:val="3"/>
            <w:shd w:val="clear" w:color="auto" w:fill="5B9BD5"/>
            <w:vAlign w:val="center"/>
          </w:tcPr>
          <w:p w14:paraId="469A422A"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D75094" w:rsidRPr="0059421B" w14:paraId="469A422F" w14:textId="77777777" w:rsidTr="000A690E">
        <w:trPr>
          <w:jc w:val="center"/>
        </w:trPr>
        <w:tc>
          <w:tcPr>
            <w:tcW w:w="2402" w:type="pct"/>
            <w:shd w:val="clear" w:color="auto" w:fill="5B9BD5"/>
            <w:vAlign w:val="center"/>
          </w:tcPr>
          <w:p w14:paraId="469A422C"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2D"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2E"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34" w14:textId="77777777" w:rsidTr="000A690E">
        <w:trPr>
          <w:jc w:val="center"/>
        </w:trPr>
        <w:tc>
          <w:tcPr>
            <w:tcW w:w="2402" w:type="pct"/>
            <w:vAlign w:val="center"/>
          </w:tcPr>
          <w:p w14:paraId="469A4230" w14:textId="1BC1BCF6"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Pr="0059421B">
              <w:rPr>
                <w:rFonts w:ascii="Arial" w:hAnsi="Arial" w:cs="Arial"/>
                <w:sz w:val="20"/>
                <w:szCs w:val="20"/>
                <w:lang w:val="es-ES"/>
              </w:rPr>
              <w:t xml:space="preserve"> notificarán el resultado del Análisis de Factibilidad.</w:t>
            </w:r>
          </w:p>
        </w:tc>
        <w:tc>
          <w:tcPr>
            <w:tcW w:w="1582" w:type="pct"/>
            <w:vAlign w:val="center"/>
          </w:tcPr>
          <w:p w14:paraId="469A4231" w14:textId="517EAE5D" w:rsidR="00D7509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D75094" w:rsidRPr="0059421B">
              <w:rPr>
                <w:rFonts w:ascii="Arial" w:hAnsi="Arial" w:cs="Arial"/>
                <w:sz w:val="20"/>
                <w:szCs w:val="20"/>
                <w:lang w:val="es-ES"/>
              </w:rPr>
              <w:t xml:space="preserve"> DH</w:t>
            </w:r>
          </w:p>
          <w:p w14:paraId="469A4232" w14:textId="4C3A0797" w:rsidR="00D75094" w:rsidRPr="0059421B" w:rsidRDefault="00D75094">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que el CS o AS entregue el Anteproyecto)</w:t>
            </w:r>
          </w:p>
        </w:tc>
        <w:tc>
          <w:tcPr>
            <w:tcW w:w="1016" w:type="pct"/>
            <w:vAlign w:val="center"/>
          </w:tcPr>
          <w:p w14:paraId="469A4233"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35" w14:textId="77777777" w:rsidR="00D75094" w:rsidRPr="0059421B" w:rsidRDefault="00D75094"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37" w14:textId="77777777" w:rsidTr="000A690E">
        <w:trPr>
          <w:jc w:val="center"/>
        </w:trPr>
        <w:tc>
          <w:tcPr>
            <w:tcW w:w="5000" w:type="pct"/>
            <w:gridSpan w:val="3"/>
            <w:shd w:val="clear" w:color="auto" w:fill="5B9BD5"/>
            <w:vAlign w:val="center"/>
          </w:tcPr>
          <w:p w14:paraId="469A4236"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D75094" w:rsidRPr="0059421B" w14:paraId="469A423B" w14:textId="77777777" w:rsidTr="000A690E">
        <w:trPr>
          <w:jc w:val="center"/>
        </w:trPr>
        <w:tc>
          <w:tcPr>
            <w:tcW w:w="2402" w:type="pct"/>
            <w:shd w:val="clear" w:color="auto" w:fill="5B9BD5"/>
            <w:vAlign w:val="center"/>
          </w:tcPr>
          <w:p w14:paraId="469A4238"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39"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3A"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3F" w14:textId="77777777" w:rsidTr="000A690E">
        <w:trPr>
          <w:jc w:val="center"/>
        </w:trPr>
        <w:tc>
          <w:tcPr>
            <w:tcW w:w="2402" w:type="pct"/>
            <w:vAlign w:val="center"/>
          </w:tcPr>
          <w:p w14:paraId="469A423C" w14:textId="1A4B77CC"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 o AS inicia la Instalación de Infraestructura.</w:t>
            </w:r>
          </w:p>
        </w:tc>
        <w:tc>
          <w:tcPr>
            <w:tcW w:w="1582" w:type="pct"/>
            <w:vAlign w:val="center"/>
          </w:tcPr>
          <w:p w14:paraId="469A423D"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 y el Programa de Trabajo aprobados.</w:t>
            </w:r>
          </w:p>
        </w:tc>
        <w:tc>
          <w:tcPr>
            <w:tcW w:w="1016" w:type="pct"/>
            <w:vAlign w:val="center"/>
          </w:tcPr>
          <w:p w14:paraId="469A423E"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40" w14:textId="347B0DD0" w:rsidR="00D75094" w:rsidRDefault="00D75094"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93EFE" w:rsidRPr="0059421B" w14:paraId="6AEDC25E" w14:textId="77777777" w:rsidTr="0018655C">
        <w:trPr>
          <w:jc w:val="center"/>
        </w:trPr>
        <w:tc>
          <w:tcPr>
            <w:tcW w:w="5000" w:type="pct"/>
            <w:gridSpan w:val="3"/>
            <w:shd w:val="clear" w:color="auto" w:fill="5B9BD5"/>
            <w:vAlign w:val="center"/>
          </w:tcPr>
          <w:p w14:paraId="1568A77A" w14:textId="63D17AFF"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Etapa </w:t>
            </w:r>
            <w:r w:rsidR="00FE0C52">
              <w:rPr>
                <w:rFonts w:ascii="Arial" w:hAnsi="Arial" w:cs="Arial"/>
                <w:b/>
                <w:color w:val="FFFFFF"/>
                <w:sz w:val="20"/>
                <w:szCs w:val="20"/>
                <w:lang w:val="es-ES"/>
              </w:rPr>
              <w:t>5</w:t>
            </w:r>
            <w:r w:rsidRPr="0059421B">
              <w:rPr>
                <w:rFonts w:ascii="Arial" w:hAnsi="Arial" w:cs="Arial"/>
                <w:b/>
                <w:color w:val="FFFFFF"/>
                <w:sz w:val="20"/>
                <w:szCs w:val="20"/>
                <w:lang w:val="es-ES"/>
              </w:rPr>
              <w:t>: Verificación de Instalación de Infraestructura</w:t>
            </w:r>
          </w:p>
        </w:tc>
      </w:tr>
      <w:tr w:rsidR="00593EFE" w:rsidRPr="0059421B" w14:paraId="4DB7FAD1" w14:textId="77777777" w:rsidTr="0018655C">
        <w:trPr>
          <w:jc w:val="center"/>
        </w:trPr>
        <w:tc>
          <w:tcPr>
            <w:tcW w:w="2364" w:type="pct"/>
            <w:tcBorders>
              <w:bottom w:val="single" w:sz="4" w:space="0" w:color="auto"/>
            </w:tcBorders>
            <w:shd w:val="clear" w:color="auto" w:fill="5B9BD5"/>
            <w:vAlign w:val="center"/>
          </w:tcPr>
          <w:p w14:paraId="3E468231" w14:textId="77777777" w:rsidR="00593EFE" w:rsidRPr="0059421B" w:rsidRDefault="00593EF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31FD56F6" w14:textId="77777777"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5EFDE7F1" w14:textId="77777777"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93EFE" w:rsidRPr="0059421B" w14:paraId="510B2F28" w14:textId="77777777" w:rsidTr="0018655C">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261DFDD7" w14:textId="727ADC04" w:rsidR="00593EFE" w:rsidRPr="0059421B" w:rsidRDefault="00593EF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Pr="0059421B">
              <w:rPr>
                <w:rFonts w:ascii="Arial" w:hAnsi="Arial" w:cs="Arial"/>
                <w:sz w:val="20"/>
                <w:szCs w:val="20"/>
                <w:lang w:val="es-ES"/>
              </w:rPr>
              <w:t xml:space="preserve">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679FF9BE" w14:textId="03F3F6A3" w:rsidR="00593EF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593EFE" w:rsidRPr="0059421B">
              <w:rPr>
                <w:rFonts w:ascii="Arial" w:hAnsi="Arial" w:cs="Arial"/>
                <w:sz w:val="20"/>
                <w:szCs w:val="20"/>
                <w:lang w:val="es-ES"/>
              </w:rPr>
              <w:t xml:space="preserve"> DH</w:t>
            </w:r>
          </w:p>
          <w:p w14:paraId="7F3CE9A7" w14:textId="694202FF" w:rsidR="00593EFE" w:rsidRPr="0059421B" w:rsidRDefault="00593EFE">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5EDCA0A1" w14:textId="77777777"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593EFE" w:rsidRPr="0059421B" w14:paraId="492679DB" w14:textId="77777777" w:rsidTr="0018655C">
        <w:trPr>
          <w:jc w:val="center"/>
        </w:trPr>
        <w:tc>
          <w:tcPr>
            <w:tcW w:w="2364" w:type="pct"/>
            <w:tcBorders>
              <w:top w:val="single" w:sz="4" w:space="0" w:color="auto"/>
            </w:tcBorders>
            <w:shd w:val="clear" w:color="auto" w:fill="auto"/>
            <w:vAlign w:val="center"/>
          </w:tcPr>
          <w:p w14:paraId="351CF63C" w14:textId="2D78DDBF" w:rsidR="00593EFE" w:rsidRPr="0059421B" w:rsidRDefault="00593EFE" w:rsidP="006039D9">
            <w:pPr>
              <w:suppressAutoHyphens/>
              <w:spacing w:before="0" w:after="0" w:line="276" w:lineRule="auto"/>
              <w:contextualSpacing/>
              <w:jc w:val="left"/>
              <w:rPr>
                <w:rFonts w:ascii="Arial" w:hAnsi="Arial" w:cs="Arial"/>
                <w:b/>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Pr="0059421B">
              <w:rPr>
                <w:rFonts w:ascii="Arial" w:hAnsi="Arial" w:cs="Arial"/>
                <w:sz w:val="20"/>
                <w:szCs w:val="20"/>
                <w:lang w:val="es-ES"/>
              </w:rPr>
              <w:t xml:space="preserve">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14:paraId="331F3A6F" w14:textId="77777777" w:rsidR="00593EFE" w:rsidRPr="0059421B" w:rsidDel="00324AB3"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14:paraId="5011779C" w14:textId="77777777" w:rsidR="00593EFE" w:rsidRPr="0059421B" w:rsidDel="00324AB3"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5DDB6A41" w14:textId="77777777" w:rsidR="005F2493" w:rsidRPr="00D75094" w:rsidRDefault="005F2493" w:rsidP="006039D9">
      <w:pPr>
        <w:spacing w:before="0" w:after="0" w:line="276" w:lineRule="auto"/>
        <w:rPr>
          <w:rFonts w:ascii="Arial" w:hAnsi="Arial" w:cs="Arial"/>
          <w:sz w:val="20"/>
          <w:szCs w:val="20"/>
        </w:rPr>
      </w:pPr>
    </w:p>
    <w:p w14:paraId="469A4241" w14:textId="6EDB859E" w:rsidR="00567A04" w:rsidRDefault="00567A04"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Baja</w:t>
      </w:r>
    </w:p>
    <w:p w14:paraId="76A1F77B" w14:textId="77777777" w:rsidR="006039D9" w:rsidRPr="0059421B" w:rsidRDefault="006039D9"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243" w14:textId="77777777" w:rsidTr="009434E8">
        <w:trPr>
          <w:trHeight w:val="467"/>
          <w:jc w:val="center"/>
        </w:trPr>
        <w:tc>
          <w:tcPr>
            <w:tcW w:w="5000" w:type="pct"/>
            <w:gridSpan w:val="3"/>
            <w:shd w:val="clear" w:color="auto" w:fill="5B9BD5"/>
            <w:vAlign w:val="center"/>
          </w:tcPr>
          <w:p w14:paraId="469A4242" w14:textId="77777777"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47" w14:textId="77777777" w:rsidTr="00B1344C">
        <w:trPr>
          <w:trHeight w:val="467"/>
          <w:jc w:val="center"/>
        </w:trPr>
        <w:tc>
          <w:tcPr>
            <w:tcW w:w="2364" w:type="pct"/>
            <w:shd w:val="clear" w:color="auto" w:fill="5B9BD5"/>
            <w:vAlign w:val="center"/>
          </w:tcPr>
          <w:p w14:paraId="469A4244"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4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4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14:paraId="469A424B" w14:textId="77777777" w:rsidTr="00806A2F">
        <w:trPr>
          <w:trHeight w:val="467"/>
          <w:jc w:val="center"/>
        </w:trPr>
        <w:tc>
          <w:tcPr>
            <w:tcW w:w="2364" w:type="pct"/>
            <w:tcBorders>
              <w:bottom w:val="single" w:sz="4" w:space="0" w:color="auto"/>
            </w:tcBorders>
            <w:vAlign w:val="center"/>
          </w:tcPr>
          <w:p w14:paraId="469A4248" w14:textId="2243B6CF" w:rsidR="00567A04" w:rsidRPr="0059421B" w:rsidRDefault="00567A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BE71F4" w:rsidRPr="0059421B">
              <w:rPr>
                <w:rFonts w:ascii="Arial" w:hAnsi="Arial" w:cs="Arial"/>
                <w:sz w:val="20"/>
                <w:szCs w:val="20"/>
                <w:lang w:val="es-ES"/>
              </w:rPr>
              <w:t xml:space="preserve">o AS </w:t>
            </w:r>
            <w:r w:rsidRPr="0059421B">
              <w:rPr>
                <w:rFonts w:ascii="Arial" w:hAnsi="Arial" w:cs="Arial"/>
                <w:sz w:val="20"/>
                <w:szCs w:val="20"/>
                <w:lang w:val="es-ES"/>
              </w:rPr>
              <w:t>presenta</w:t>
            </w:r>
            <w:r w:rsidR="00BE71F4" w:rsidRPr="0059421B">
              <w:rPr>
                <w:rFonts w:ascii="Arial" w:hAnsi="Arial" w:cs="Arial"/>
                <w:sz w:val="20"/>
                <w:szCs w:val="20"/>
                <w:lang w:val="es-ES"/>
              </w:rPr>
              <w:t>n</w:t>
            </w:r>
            <w:r w:rsidRPr="0059421B">
              <w:rPr>
                <w:rFonts w:ascii="Arial" w:hAnsi="Arial" w:cs="Arial"/>
                <w:sz w:val="20"/>
                <w:szCs w:val="20"/>
                <w:lang w:val="es-ES"/>
              </w:rPr>
              <w:t xml:space="preserve"> solicitud de baja</w:t>
            </w:r>
          </w:p>
        </w:tc>
        <w:tc>
          <w:tcPr>
            <w:tcW w:w="1545" w:type="pct"/>
            <w:tcBorders>
              <w:bottom w:val="single" w:sz="4" w:space="0" w:color="auto"/>
            </w:tcBorders>
            <w:vAlign w:val="center"/>
          </w:tcPr>
          <w:p w14:paraId="469A4249"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tcBorders>
              <w:bottom w:val="single" w:sz="4" w:space="0" w:color="auto"/>
            </w:tcBorders>
            <w:vAlign w:val="center"/>
          </w:tcPr>
          <w:p w14:paraId="469A424A"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50" w14:textId="77777777" w:rsidTr="00806A2F">
        <w:trPr>
          <w:trHeight w:val="467"/>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24C" w14:textId="10DFB98A" w:rsidR="009D5796"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009D5796" w:rsidRPr="0059421B">
              <w:rPr>
                <w:rFonts w:ascii="Arial" w:hAnsi="Arial" w:cs="Arial"/>
                <w:sz w:val="20"/>
                <w:szCs w:val="20"/>
                <w:lang w:val="es-ES"/>
              </w:rPr>
              <w:t xml:space="preserve"> notifica</w:t>
            </w:r>
            <w:r w:rsidRPr="0059421B">
              <w:rPr>
                <w:rFonts w:ascii="Arial" w:hAnsi="Arial" w:cs="Arial"/>
                <w:sz w:val="20"/>
                <w:szCs w:val="20"/>
                <w:lang w:val="es-ES"/>
              </w:rPr>
              <w:t>rán</w:t>
            </w:r>
            <w:r w:rsidR="009D5796" w:rsidRPr="0059421B">
              <w:rPr>
                <w:rFonts w:ascii="Arial" w:hAnsi="Arial" w:cs="Arial"/>
                <w:sz w:val="20"/>
                <w:szCs w:val="20"/>
                <w:lang w:val="es-ES"/>
              </w:rPr>
              <w:t xml:space="preserve"> la validación de la solicitud.</w:t>
            </w:r>
          </w:p>
        </w:tc>
        <w:tc>
          <w:tcPr>
            <w:tcW w:w="1545" w:type="pct"/>
            <w:tcBorders>
              <w:top w:val="single" w:sz="4" w:space="0" w:color="auto"/>
              <w:left w:val="single" w:sz="4" w:space="0" w:color="auto"/>
              <w:bottom w:val="single" w:sz="4" w:space="0" w:color="auto"/>
              <w:right w:val="single" w:sz="4" w:space="0" w:color="auto"/>
            </w:tcBorders>
            <w:vAlign w:val="center"/>
          </w:tcPr>
          <w:p w14:paraId="469A424D" w14:textId="3B7FBE9F"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18655C">
              <w:rPr>
                <w:rFonts w:ascii="Arial" w:hAnsi="Arial" w:cs="Arial"/>
                <w:sz w:val="20"/>
                <w:szCs w:val="20"/>
                <w:lang w:val="es-ES"/>
              </w:rPr>
              <w:t xml:space="preserve"> </w:t>
            </w:r>
            <w:r w:rsidR="009D5796" w:rsidRPr="0059421B">
              <w:rPr>
                <w:rFonts w:ascii="Arial" w:hAnsi="Arial" w:cs="Arial"/>
                <w:sz w:val="20"/>
                <w:szCs w:val="20"/>
                <w:lang w:val="es-ES"/>
              </w:rPr>
              <w:t>DH</w:t>
            </w:r>
          </w:p>
          <w:p w14:paraId="469A424E" w14:textId="0F6C75B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lastRenderedPageBreak/>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 la recepción de la solicitud)</w:t>
            </w:r>
          </w:p>
        </w:tc>
        <w:tc>
          <w:tcPr>
            <w:tcW w:w="1091" w:type="pct"/>
            <w:tcBorders>
              <w:left w:val="single" w:sz="4" w:space="0" w:color="auto"/>
              <w:bottom w:val="single" w:sz="4" w:space="0" w:color="auto"/>
            </w:tcBorders>
            <w:vAlign w:val="center"/>
          </w:tcPr>
          <w:p w14:paraId="469A424F"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lastRenderedPageBreak/>
              <w:t>90%</w:t>
            </w:r>
          </w:p>
        </w:tc>
      </w:tr>
      <w:tr w:rsidR="00806A2F" w:rsidRPr="0059421B" w14:paraId="4C1C80E1" w14:textId="77777777" w:rsidTr="00806A2F">
        <w:trPr>
          <w:trHeight w:val="538"/>
          <w:jc w:val="center"/>
        </w:trPr>
        <w:tc>
          <w:tcPr>
            <w:tcW w:w="2364" w:type="pct"/>
            <w:tcBorders>
              <w:top w:val="single" w:sz="4" w:space="0" w:color="auto"/>
              <w:left w:val="nil"/>
              <w:bottom w:val="single" w:sz="4" w:space="0" w:color="auto"/>
              <w:right w:val="nil"/>
            </w:tcBorders>
            <w:vAlign w:val="center"/>
          </w:tcPr>
          <w:p w14:paraId="1965B93D" w14:textId="77777777" w:rsidR="00806A2F" w:rsidRPr="0059421B" w:rsidRDefault="00806A2F" w:rsidP="006039D9">
            <w:pPr>
              <w:spacing w:before="0" w:after="0" w:line="276" w:lineRule="auto"/>
              <w:rPr>
                <w:rFonts w:ascii="Arial" w:hAnsi="Arial" w:cs="Arial"/>
                <w:sz w:val="20"/>
                <w:szCs w:val="20"/>
                <w:lang w:val="es-ES"/>
              </w:rPr>
            </w:pPr>
          </w:p>
        </w:tc>
        <w:tc>
          <w:tcPr>
            <w:tcW w:w="1545" w:type="pct"/>
            <w:tcBorders>
              <w:top w:val="single" w:sz="4" w:space="0" w:color="auto"/>
              <w:left w:val="nil"/>
              <w:bottom w:val="single" w:sz="4" w:space="0" w:color="auto"/>
              <w:right w:val="nil"/>
            </w:tcBorders>
            <w:vAlign w:val="center"/>
          </w:tcPr>
          <w:p w14:paraId="6E800C09"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c>
          <w:tcPr>
            <w:tcW w:w="1091" w:type="pct"/>
            <w:tcBorders>
              <w:top w:val="single" w:sz="4" w:space="0" w:color="auto"/>
              <w:left w:val="nil"/>
              <w:bottom w:val="single" w:sz="4" w:space="0" w:color="auto"/>
              <w:right w:val="nil"/>
            </w:tcBorders>
            <w:vAlign w:val="center"/>
          </w:tcPr>
          <w:p w14:paraId="415A9BEC"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r>
      <w:tr w:rsidR="00567A04" w:rsidRPr="0059421B" w14:paraId="469A4253" w14:textId="77777777" w:rsidTr="00806A2F">
        <w:trPr>
          <w:trHeight w:val="467"/>
          <w:jc w:val="center"/>
        </w:trPr>
        <w:tc>
          <w:tcPr>
            <w:tcW w:w="5000" w:type="pct"/>
            <w:gridSpan w:val="3"/>
            <w:tcBorders>
              <w:top w:val="single" w:sz="4" w:space="0" w:color="auto"/>
            </w:tcBorders>
            <w:shd w:val="clear" w:color="auto" w:fill="5B9BD5"/>
            <w:vAlign w:val="center"/>
          </w:tcPr>
          <w:p w14:paraId="469A4252" w14:textId="54605AAE"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28148B" w:rsidRPr="0059421B" w14:paraId="469A4257" w14:textId="77777777" w:rsidTr="005F2493">
        <w:trPr>
          <w:jc w:val="center"/>
        </w:trPr>
        <w:tc>
          <w:tcPr>
            <w:tcW w:w="2364" w:type="pct"/>
            <w:shd w:val="clear" w:color="auto" w:fill="5B9BD5"/>
            <w:vAlign w:val="center"/>
          </w:tcPr>
          <w:p w14:paraId="469A4254"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55"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56"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5C" w14:textId="77777777" w:rsidTr="005F2493">
        <w:trPr>
          <w:jc w:val="center"/>
        </w:trPr>
        <w:tc>
          <w:tcPr>
            <w:tcW w:w="2364" w:type="pct"/>
            <w:vAlign w:val="center"/>
          </w:tcPr>
          <w:p w14:paraId="469A4258" w14:textId="1EC1A9AA"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D825E2" w:rsidRPr="0059421B">
              <w:rPr>
                <w:rFonts w:ascii="Arial" w:hAnsi="Arial" w:cs="Arial"/>
                <w:sz w:val="20"/>
                <w:szCs w:val="20"/>
                <w:lang w:val="es-ES"/>
              </w:rPr>
              <w:t xml:space="preserve">o AS </w:t>
            </w:r>
            <w:r w:rsidRPr="0059421B">
              <w:rPr>
                <w:rFonts w:ascii="Arial" w:hAnsi="Arial" w:cs="Arial"/>
                <w:sz w:val="20"/>
                <w:szCs w:val="20"/>
                <w:lang w:val="es-ES"/>
              </w:rPr>
              <w:t>elabora</w:t>
            </w:r>
            <w:r w:rsidR="00D825E2" w:rsidRPr="0059421B">
              <w:rPr>
                <w:rFonts w:ascii="Arial" w:hAnsi="Arial" w:cs="Arial"/>
                <w:sz w:val="20"/>
                <w:szCs w:val="20"/>
                <w:lang w:val="es-ES"/>
              </w:rPr>
              <w:t>n</w:t>
            </w:r>
            <w:r w:rsidRPr="0059421B">
              <w:rPr>
                <w:rFonts w:ascii="Arial" w:hAnsi="Arial" w:cs="Arial"/>
                <w:sz w:val="20"/>
                <w:szCs w:val="20"/>
                <w:lang w:val="es-ES"/>
              </w:rPr>
              <w:t xml:space="preserve"> el Programa de Trabajo</w:t>
            </w:r>
          </w:p>
        </w:tc>
        <w:tc>
          <w:tcPr>
            <w:tcW w:w="1545" w:type="pct"/>
            <w:vAlign w:val="center"/>
          </w:tcPr>
          <w:p w14:paraId="469A4259" w14:textId="2EC0A165"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18655C">
              <w:rPr>
                <w:rFonts w:ascii="Arial" w:hAnsi="Arial" w:cs="Arial"/>
                <w:sz w:val="20"/>
                <w:szCs w:val="20"/>
                <w:lang w:val="es-ES"/>
              </w:rPr>
              <w:t xml:space="preserve"> </w:t>
            </w:r>
            <w:r w:rsidR="009D5796" w:rsidRPr="0059421B">
              <w:rPr>
                <w:rFonts w:ascii="Arial" w:hAnsi="Arial" w:cs="Arial"/>
                <w:sz w:val="20"/>
                <w:szCs w:val="20"/>
                <w:lang w:val="es-ES"/>
              </w:rPr>
              <w:t xml:space="preserve">DH </w:t>
            </w:r>
          </w:p>
          <w:p w14:paraId="469A425A" w14:textId="2479D3FE" w:rsidR="009D5796" w:rsidRPr="0059421B" w:rsidRDefault="003936B8">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 xml:space="preserve">que </w:t>
            </w:r>
            <w:r w:rsidR="002F7002" w:rsidRPr="0059421B">
              <w:rPr>
                <w:rFonts w:ascii="Arial" w:hAnsi="Arial" w:cs="Arial"/>
                <w:sz w:val="20"/>
                <w:szCs w:val="20"/>
                <w:lang w:val="es-ES"/>
              </w:rPr>
              <w:t>la</w:t>
            </w:r>
            <w:r w:rsidR="00D825E2" w:rsidRPr="0059421B">
              <w:rPr>
                <w:rFonts w:ascii="Arial" w:hAnsi="Arial" w:cs="Arial"/>
                <w:sz w:val="20"/>
                <w:szCs w:val="20"/>
                <w:lang w:val="es-ES"/>
              </w:rPr>
              <w:t>s</w:t>
            </w:r>
            <w:r w:rsidR="002F7002" w:rsidRPr="0059421B">
              <w:rPr>
                <w:rFonts w:ascii="Arial" w:hAnsi="Arial" w:cs="Arial"/>
                <w:sz w:val="20"/>
                <w:szCs w:val="20"/>
                <w:lang w:val="es-ES"/>
              </w:rPr>
              <w:t xml:space="preserve"> </w:t>
            </w:r>
            <w:r w:rsidR="000B7EA3">
              <w:rPr>
                <w:rFonts w:ascii="Arial" w:hAnsi="Arial" w:cs="Arial"/>
                <w:sz w:val="20"/>
                <w:szCs w:val="20"/>
                <w:lang w:val="es-ES"/>
              </w:rPr>
              <w:t>DM de Telmex y Telnor</w:t>
            </w:r>
            <w:r w:rsidR="009D5796" w:rsidRPr="0059421B">
              <w:rPr>
                <w:rFonts w:ascii="Arial" w:hAnsi="Arial" w:cs="Arial"/>
                <w:sz w:val="20"/>
                <w:szCs w:val="20"/>
                <w:lang w:val="es-ES"/>
              </w:rPr>
              <w:t xml:space="preserve"> aprob</w:t>
            </w:r>
            <w:r w:rsidR="00D825E2" w:rsidRPr="0059421B">
              <w:rPr>
                <w:rFonts w:ascii="Arial" w:hAnsi="Arial" w:cs="Arial"/>
                <w:sz w:val="20"/>
                <w:szCs w:val="20"/>
                <w:lang w:val="es-ES"/>
              </w:rPr>
              <w:t>aron</w:t>
            </w:r>
            <w:r w:rsidR="009D5796" w:rsidRPr="0059421B">
              <w:rPr>
                <w:rFonts w:ascii="Arial" w:hAnsi="Arial" w:cs="Arial"/>
                <w:sz w:val="20"/>
                <w:szCs w:val="20"/>
                <w:lang w:val="es-ES"/>
              </w:rPr>
              <w:t xml:space="preserve"> la baja de los servicios)</w:t>
            </w:r>
          </w:p>
        </w:tc>
        <w:tc>
          <w:tcPr>
            <w:tcW w:w="1091" w:type="pct"/>
            <w:vAlign w:val="center"/>
          </w:tcPr>
          <w:p w14:paraId="469A425B"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61" w14:textId="77777777" w:rsidTr="005F2493">
        <w:trPr>
          <w:jc w:val="center"/>
        </w:trPr>
        <w:tc>
          <w:tcPr>
            <w:tcW w:w="2364" w:type="pct"/>
            <w:vAlign w:val="center"/>
          </w:tcPr>
          <w:p w14:paraId="469A425D" w14:textId="7EBDA0AE" w:rsidR="009D5796"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w:t>
            </w:r>
            <w:r w:rsidR="00D825E2" w:rsidRPr="0059421B">
              <w:rPr>
                <w:rFonts w:ascii="Arial" w:hAnsi="Arial" w:cs="Arial"/>
                <w:sz w:val="20"/>
                <w:szCs w:val="20"/>
                <w:lang w:val="es-ES"/>
              </w:rPr>
              <w:t>s</w:t>
            </w:r>
            <w:r w:rsidRPr="0059421B">
              <w:rPr>
                <w:rFonts w:ascii="Arial" w:hAnsi="Arial" w:cs="Arial"/>
                <w:sz w:val="20"/>
                <w:szCs w:val="20"/>
                <w:lang w:val="es-ES"/>
              </w:rPr>
              <w:t xml:space="preserve"> </w:t>
            </w:r>
            <w:r w:rsidR="000B7EA3">
              <w:rPr>
                <w:rFonts w:ascii="Arial" w:hAnsi="Arial" w:cs="Arial"/>
                <w:sz w:val="20"/>
                <w:szCs w:val="20"/>
                <w:lang w:val="es-ES"/>
              </w:rPr>
              <w:t>DM de Telmex y Telnor</w:t>
            </w:r>
            <w:r w:rsidR="009D5796" w:rsidRPr="0059421B">
              <w:rPr>
                <w:rFonts w:ascii="Arial" w:hAnsi="Arial" w:cs="Arial"/>
                <w:sz w:val="20"/>
                <w:szCs w:val="20"/>
                <w:lang w:val="es-ES"/>
              </w:rPr>
              <w:t xml:space="preserve"> valida el Programa de Trabajo.</w:t>
            </w:r>
          </w:p>
        </w:tc>
        <w:tc>
          <w:tcPr>
            <w:tcW w:w="1545" w:type="pct"/>
            <w:vAlign w:val="center"/>
          </w:tcPr>
          <w:p w14:paraId="469A425E" w14:textId="2EFC6C0B"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9D5796" w:rsidRPr="0059421B">
              <w:rPr>
                <w:rFonts w:ascii="Arial" w:hAnsi="Arial" w:cs="Arial"/>
                <w:sz w:val="20"/>
                <w:szCs w:val="20"/>
                <w:lang w:val="es-ES"/>
              </w:rPr>
              <w:t xml:space="preserve"> DH</w:t>
            </w:r>
          </w:p>
          <w:p w14:paraId="469A425F" w14:textId="70C68B91" w:rsidR="009D5796" w:rsidRPr="0059421B" w:rsidRDefault="009D5796">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 partir</w:t>
            </w:r>
            <w:r w:rsidR="00B8173C">
              <w:rPr>
                <w:rFonts w:ascii="Arial" w:hAnsi="Arial" w:cs="Arial"/>
                <w:sz w:val="20"/>
                <w:szCs w:val="20"/>
                <w:lang w:val="es-ES"/>
              </w:rPr>
              <w:t xml:space="preserve"> del siguiente </w:t>
            </w:r>
            <w:r w:rsidR="00B8173C" w:rsidRPr="00430622">
              <w:rPr>
                <w:rFonts w:ascii="Arial" w:hAnsi="Arial" w:cs="Arial"/>
                <w:sz w:val="20"/>
                <w:szCs w:val="20"/>
                <w:lang w:val="es-ES"/>
              </w:rPr>
              <w:t>día hábil</w:t>
            </w:r>
            <w:r w:rsidRPr="0059421B">
              <w:rPr>
                <w:rFonts w:ascii="Arial" w:hAnsi="Arial" w:cs="Arial"/>
                <w:sz w:val="20"/>
                <w:szCs w:val="20"/>
                <w:lang w:val="es-ES"/>
              </w:rPr>
              <w:t xml:space="preserve"> 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entreg</w:t>
            </w:r>
            <w:r w:rsidR="00D825E2" w:rsidRPr="0059421B">
              <w:rPr>
                <w:rFonts w:ascii="Arial" w:hAnsi="Arial" w:cs="Arial"/>
                <w:sz w:val="20"/>
                <w:szCs w:val="20"/>
                <w:lang w:val="es-ES"/>
              </w:rPr>
              <w:t>aron</w:t>
            </w:r>
            <w:r w:rsidRPr="0059421B">
              <w:rPr>
                <w:rFonts w:ascii="Arial" w:hAnsi="Arial" w:cs="Arial"/>
                <w:sz w:val="20"/>
                <w:szCs w:val="20"/>
                <w:lang w:val="es-ES"/>
              </w:rPr>
              <w:t xml:space="preserve"> el Programa de Trabajo)</w:t>
            </w:r>
          </w:p>
        </w:tc>
        <w:tc>
          <w:tcPr>
            <w:tcW w:w="1091" w:type="pct"/>
            <w:vAlign w:val="center"/>
          </w:tcPr>
          <w:p w14:paraId="469A4260"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62" w14:textId="77777777" w:rsidR="003A4771" w:rsidRPr="0059421B" w:rsidRDefault="003A4771"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567A04" w:rsidRPr="0059421B" w14:paraId="469A4264" w14:textId="77777777" w:rsidTr="009434E8">
        <w:trPr>
          <w:jc w:val="center"/>
        </w:trPr>
        <w:tc>
          <w:tcPr>
            <w:tcW w:w="5000" w:type="pct"/>
            <w:gridSpan w:val="3"/>
            <w:shd w:val="clear" w:color="auto" w:fill="5B9BD5"/>
            <w:vAlign w:val="center"/>
          </w:tcPr>
          <w:p w14:paraId="469A4263"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Retiro de Infraestructura</w:t>
            </w:r>
          </w:p>
        </w:tc>
      </w:tr>
      <w:tr w:rsidR="0028148B" w:rsidRPr="0059421B" w14:paraId="469A4268" w14:textId="77777777" w:rsidTr="003A4771">
        <w:trPr>
          <w:jc w:val="center"/>
        </w:trPr>
        <w:tc>
          <w:tcPr>
            <w:tcW w:w="2365" w:type="pct"/>
            <w:shd w:val="clear" w:color="auto" w:fill="5B9BD5"/>
            <w:vAlign w:val="center"/>
          </w:tcPr>
          <w:p w14:paraId="469A4265"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6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67"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6C" w14:textId="77777777" w:rsidTr="003A4771">
        <w:trPr>
          <w:jc w:val="center"/>
        </w:trPr>
        <w:tc>
          <w:tcPr>
            <w:tcW w:w="2365" w:type="pct"/>
            <w:vAlign w:val="center"/>
          </w:tcPr>
          <w:p w14:paraId="469A4269" w14:textId="6A75A1C5"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realiza</w:t>
            </w:r>
            <w:r w:rsidR="00D825E2" w:rsidRPr="0059421B">
              <w:rPr>
                <w:rFonts w:ascii="Arial" w:hAnsi="Arial" w:cs="Arial"/>
                <w:sz w:val="20"/>
                <w:szCs w:val="20"/>
                <w:lang w:val="es-ES"/>
              </w:rPr>
              <w:t>n</w:t>
            </w:r>
            <w:r w:rsidRPr="0059421B">
              <w:rPr>
                <w:rFonts w:ascii="Arial" w:hAnsi="Arial" w:cs="Arial"/>
                <w:sz w:val="20"/>
                <w:szCs w:val="20"/>
                <w:lang w:val="es-ES"/>
              </w:rPr>
              <w:t xml:space="preserve"> el retiro de su infraestructura.</w:t>
            </w:r>
          </w:p>
        </w:tc>
        <w:tc>
          <w:tcPr>
            <w:tcW w:w="1545" w:type="pct"/>
            <w:vAlign w:val="center"/>
          </w:tcPr>
          <w:p w14:paraId="469A426A"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91" w:type="pct"/>
            <w:vAlign w:val="center"/>
          </w:tcPr>
          <w:p w14:paraId="469A426B"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6D" w14:textId="77777777" w:rsidR="00D825E2" w:rsidRPr="0059421B" w:rsidRDefault="00D825E2"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567A04" w:rsidRPr="0059421B" w14:paraId="469A426F" w14:textId="77777777" w:rsidTr="009434E8">
        <w:trPr>
          <w:jc w:val="center"/>
        </w:trPr>
        <w:tc>
          <w:tcPr>
            <w:tcW w:w="5000" w:type="pct"/>
            <w:gridSpan w:val="3"/>
            <w:shd w:val="clear" w:color="auto" w:fill="5B9BD5"/>
            <w:vAlign w:val="center"/>
          </w:tcPr>
          <w:p w14:paraId="469A426E"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14:paraId="469A4273" w14:textId="77777777" w:rsidTr="003A4771">
        <w:trPr>
          <w:jc w:val="center"/>
        </w:trPr>
        <w:tc>
          <w:tcPr>
            <w:tcW w:w="2365" w:type="pct"/>
            <w:shd w:val="clear" w:color="auto" w:fill="5B9BD5"/>
            <w:vAlign w:val="center"/>
          </w:tcPr>
          <w:p w14:paraId="469A4270"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71"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72"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78" w14:textId="77777777" w:rsidTr="003A4771">
        <w:trPr>
          <w:jc w:val="center"/>
        </w:trPr>
        <w:tc>
          <w:tcPr>
            <w:tcW w:w="2365" w:type="pct"/>
            <w:vAlign w:val="center"/>
          </w:tcPr>
          <w:p w14:paraId="469A4274" w14:textId="154C11E0" w:rsidR="009D5796"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w:t>
            </w:r>
            <w:r w:rsidR="00D825E2" w:rsidRPr="0059421B">
              <w:rPr>
                <w:rFonts w:ascii="Arial" w:hAnsi="Arial" w:cs="Arial"/>
                <w:sz w:val="20"/>
                <w:szCs w:val="20"/>
                <w:lang w:val="es-ES"/>
              </w:rPr>
              <w:t>s</w:t>
            </w:r>
            <w:r w:rsidRPr="0059421B">
              <w:rPr>
                <w:rFonts w:ascii="Arial" w:hAnsi="Arial" w:cs="Arial"/>
                <w:sz w:val="20"/>
                <w:szCs w:val="20"/>
                <w:lang w:val="es-ES"/>
              </w:rPr>
              <w:t xml:space="preserve"> </w:t>
            </w:r>
            <w:r w:rsidR="000B7EA3">
              <w:rPr>
                <w:rFonts w:ascii="Arial" w:hAnsi="Arial" w:cs="Arial"/>
                <w:sz w:val="20"/>
                <w:szCs w:val="20"/>
                <w:lang w:val="es-ES"/>
              </w:rPr>
              <w:t>DM de Telmex y Telnor</w:t>
            </w:r>
            <w:r w:rsidR="009D5796" w:rsidRPr="0059421B">
              <w:rPr>
                <w:rFonts w:ascii="Arial" w:hAnsi="Arial" w:cs="Arial"/>
                <w:sz w:val="20"/>
                <w:szCs w:val="20"/>
                <w:lang w:val="es-ES"/>
              </w:rPr>
              <w:t xml:space="preserve"> realizará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la verificación de la Desinstalación de Infraestructura.</w:t>
            </w:r>
          </w:p>
        </w:tc>
        <w:tc>
          <w:tcPr>
            <w:tcW w:w="1545" w:type="pct"/>
            <w:vAlign w:val="center"/>
          </w:tcPr>
          <w:p w14:paraId="469A4275" w14:textId="24C9BF5C"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9D5796" w:rsidRPr="0059421B">
              <w:rPr>
                <w:rFonts w:ascii="Arial" w:hAnsi="Arial" w:cs="Arial"/>
                <w:sz w:val="20"/>
                <w:szCs w:val="20"/>
                <w:lang w:val="es-ES"/>
              </w:rPr>
              <w:t xml:space="preserve"> DH</w:t>
            </w:r>
          </w:p>
          <w:p w14:paraId="469A4276" w14:textId="0BE520C8" w:rsidR="009D5796" w:rsidRPr="0059421B" w:rsidRDefault="009D5796">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14:paraId="469A4277"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7D" w14:textId="77777777" w:rsidTr="003A4771">
        <w:trPr>
          <w:jc w:val="center"/>
        </w:trPr>
        <w:tc>
          <w:tcPr>
            <w:tcW w:w="2365" w:type="pct"/>
            <w:vAlign w:val="center"/>
          </w:tcPr>
          <w:p w14:paraId="469A4279" w14:textId="492DA23A" w:rsidR="009D5796"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La</w:t>
            </w:r>
            <w:r w:rsidR="00D825E2" w:rsidRPr="0059421B">
              <w:rPr>
                <w:rFonts w:ascii="Arial" w:hAnsi="Arial" w:cs="Arial"/>
                <w:sz w:val="20"/>
                <w:szCs w:val="20"/>
                <w:lang w:val="es-ES"/>
              </w:rPr>
              <w:t>s</w:t>
            </w:r>
            <w:r w:rsidRPr="0059421B">
              <w:rPr>
                <w:rFonts w:ascii="Arial" w:hAnsi="Arial" w:cs="Arial"/>
                <w:sz w:val="20"/>
                <w:szCs w:val="20"/>
                <w:lang w:val="es-ES"/>
              </w:rPr>
              <w:t xml:space="preserve"> </w:t>
            </w:r>
            <w:r w:rsidR="000B7EA3">
              <w:rPr>
                <w:rFonts w:ascii="Arial" w:hAnsi="Arial" w:cs="Arial"/>
                <w:sz w:val="20"/>
                <w:szCs w:val="20"/>
                <w:lang w:val="es-ES"/>
              </w:rPr>
              <w:t>DM de Telmex y Telnor</w:t>
            </w:r>
            <w:r w:rsidR="009D5796" w:rsidRPr="0059421B">
              <w:rPr>
                <w:rFonts w:ascii="Arial" w:hAnsi="Arial" w:cs="Arial"/>
                <w:sz w:val="20"/>
                <w:szCs w:val="20"/>
                <w:lang w:val="es-ES"/>
              </w:rPr>
              <w:t xml:space="preserve"> propone</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fecha y hora para realizar la Verificación de Desinstalación de Infraestructura.</w:t>
            </w:r>
          </w:p>
        </w:tc>
        <w:tc>
          <w:tcPr>
            <w:tcW w:w="1545" w:type="pct"/>
            <w:vAlign w:val="center"/>
          </w:tcPr>
          <w:p w14:paraId="469A427A" w14:textId="6ABEEC55"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9D5796" w:rsidRPr="0059421B">
              <w:rPr>
                <w:rFonts w:ascii="Arial" w:hAnsi="Arial" w:cs="Arial"/>
                <w:sz w:val="20"/>
                <w:szCs w:val="20"/>
                <w:lang w:val="es-ES"/>
              </w:rPr>
              <w:t xml:space="preserve"> DH </w:t>
            </w:r>
          </w:p>
          <w:p w14:paraId="469A427B" w14:textId="702749BB" w:rsidR="009D5796" w:rsidRPr="0059421B" w:rsidRDefault="009D5796">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 xml:space="preserve">que el CS </w:t>
            </w:r>
            <w:r w:rsidR="00D825E2" w:rsidRPr="0059421B">
              <w:rPr>
                <w:rFonts w:ascii="Arial" w:hAnsi="Arial" w:cs="Arial"/>
                <w:sz w:val="20"/>
                <w:szCs w:val="20"/>
                <w:lang w:val="es-ES"/>
              </w:rPr>
              <w:t xml:space="preserve">o AS </w:t>
            </w:r>
            <w:r w:rsidRPr="0059421B">
              <w:rPr>
                <w:rFonts w:ascii="Arial" w:hAnsi="Arial" w:cs="Arial"/>
                <w:sz w:val="20"/>
                <w:szCs w:val="20"/>
                <w:lang w:val="es-ES"/>
              </w:rPr>
              <w:t>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14:paraId="469A427C"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9D5796" w:rsidRPr="0059421B" w14:paraId="469A4282" w14:textId="77777777" w:rsidTr="003A4771">
        <w:trPr>
          <w:jc w:val="center"/>
        </w:trPr>
        <w:tc>
          <w:tcPr>
            <w:tcW w:w="2365" w:type="pct"/>
            <w:vAlign w:val="center"/>
          </w:tcPr>
          <w:p w14:paraId="469A427E" w14:textId="20E4B984" w:rsidR="009D5796" w:rsidRPr="0059421B" w:rsidRDefault="002F7002"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 </w:t>
            </w:r>
            <w:r w:rsidR="000B7EA3">
              <w:rPr>
                <w:rFonts w:ascii="Arial" w:hAnsi="Arial" w:cs="Arial"/>
                <w:sz w:val="20"/>
                <w:szCs w:val="20"/>
                <w:lang w:val="es-ES"/>
              </w:rPr>
              <w:t>DM de Telmex y Telnor</w:t>
            </w:r>
            <w:r w:rsidR="009D5796" w:rsidRPr="0059421B">
              <w:rPr>
                <w:rFonts w:ascii="Arial" w:hAnsi="Arial" w:cs="Arial"/>
                <w:sz w:val="20"/>
                <w:szCs w:val="20"/>
                <w:lang w:val="es-ES"/>
              </w:rPr>
              <w:t xml:space="preserve"> digitaliza</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 integrará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en el </w:t>
            </w:r>
            <w:r w:rsidRPr="0059421B">
              <w:rPr>
                <w:rFonts w:ascii="Arial" w:hAnsi="Arial" w:cs="Arial"/>
                <w:sz w:val="20"/>
                <w:szCs w:val="20"/>
                <w:lang w:val="es-ES"/>
              </w:rPr>
              <w:t>SEG</w:t>
            </w:r>
            <w:r w:rsidR="009D5796" w:rsidRPr="0059421B">
              <w:rPr>
                <w:rFonts w:ascii="Arial" w:hAnsi="Arial" w:cs="Arial"/>
                <w:sz w:val="20"/>
                <w:szCs w:val="20"/>
                <w:lang w:val="es-ES"/>
              </w:rPr>
              <w:t xml:space="preserve"> el Formato de Acuerdo de Compartición de Infraestructura.</w:t>
            </w:r>
          </w:p>
        </w:tc>
        <w:tc>
          <w:tcPr>
            <w:tcW w:w="1545" w:type="pct"/>
            <w:vAlign w:val="center"/>
          </w:tcPr>
          <w:p w14:paraId="469A427F" w14:textId="397D76C2"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9D5796" w:rsidRPr="0059421B">
              <w:rPr>
                <w:rFonts w:ascii="Arial" w:hAnsi="Arial" w:cs="Arial"/>
                <w:sz w:val="20"/>
                <w:szCs w:val="20"/>
                <w:lang w:val="es-ES"/>
              </w:rPr>
              <w:t xml:space="preserve"> DH</w:t>
            </w:r>
          </w:p>
          <w:p w14:paraId="469A4280" w14:textId="2E448A2A" w:rsidR="009D5796" w:rsidRPr="0059421B" w:rsidRDefault="009D5796">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00B8173C">
              <w:rPr>
                <w:rFonts w:ascii="Arial" w:hAnsi="Arial" w:cs="Arial"/>
                <w:sz w:val="20"/>
                <w:szCs w:val="20"/>
                <w:lang w:val="es-ES"/>
              </w:rPr>
              <w:t>de</w:t>
            </w:r>
            <w:r w:rsidRPr="0059421B">
              <w:rPr>
                <w:rFonts w:ascii="Arial" w:hAnsi="Arial" w:cs="Arial"/>
                <w:sz w:val="20"/>
                <w:szCs w:val="20"/>
                <w:lang w:val="es-ES"/>
              </w:rPr>
              <w:t xml:space="preserve"> la firma del Formato de Acuerdo de Compartición de Infraestructura)</w:t>
            </w:r>
          </w:p>
        </w:tc>
        <w:tc>
          <w:tcPr>
            <w:tcW w:w="1091" w:type="pct"/>
            <w:vAlign w:val="center"/>
          </w:tcPr>
          <w:p w14:paraId="469A4281"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84" w14:textId="76C8AC7A" w:rsidR="006814AD" w:rsidRDefault="006814AD" w:rsidP="006039D9">
      <w:pPr>
        <w:pStyle w:val="Ttulo3"/>
        <w:spacing w:before="0" w:line="276" w:lineRule="auto"/>
        <w:rPr>
          <w:rFonts w:ascii="Arial" w:hAnsi="Arial" w:cs="Arial"/>
          <w:sz w:val="20"/>
          <w:szCs w:val="20"/>
          <w:u w:val="none"/>
        </w:rPr>
      </w:pPr>
      <w:r w:rsidRPr="0059421B">
        <w:rPr>
          <w:rFonts w:ascii="Arial" w:hAnsi="Arial" w:cs="Arial"/>
          <w:sz w:val="20"/>
          <w:szCs w:val="20"/>
          <w:u w:val="none"/>
        </w:rPr>
        <w:lastRenderedPageBreak/>
        <w:t>2.</w:t>
      </w:r>
      <w:r w:rsidR="00A77409" w:rsidRPr="0059421B">
        <w:rPr>
          <w:rFonts w:ascii="Arial" w:hAnsi="Arial" w:cs="Arial"/>
          <w:sz w:val="20"/>
          <w:szCs w:val="20"/>
          <w:u w:val="none"/>
        </w:rPr>
        <w:t>3</w:t>
      </w:r>
      <w:r w:rsidRPr="0059421B">
        <w:rPr>
          <w:rFonts w:ascii="Arial" w:hAnsi="Arial" w:cs="Arial"/>
          <w:sz w:val="20"/>
          <w:szCs w:val="20"/>
          <w:u w:val="none"/>
        </w:rPr>
        <w:t xml:space="preserve"> </w:t>
      </w:r>
      <w:r w:rsidRPr="0059421B">
        <w:rPr>
          <w:rFonts w:ascii="Arial" w:hAnsi="Arial" w:cs="Arial"/>
          <w:sz w:val="20"/>
          <w:szCs w:val="20"/>
          <w:u w:val="none"/>
        </w:rPr>
        <w:tab/>
        <w:t>Servicio de Uso de Sitios, Predios y Espacios Físicos</w:t>
      </w:r>
    </w:p>
    <w:p w14:paraId="0B8DB7CA" w14:textId="77777777" w:rsidR="006039D9" w:rsidRPr="006039D9" w:rsidRDefault="006039D9" w:rsidP="006039D9">
      <w:pPr>
        <w:spacing w:before="0" w:after="0" w:line="276" w:lineRule="auto"/>
        <w:jc w:val="left"/>
      </w:pPr>
    </w:p>
    <w:p w14:paraId="469A4285" w14:textId="598585BC" w:rsidR="004A595B" w:rsidRDefault="004A595B" w:rsidP="006039D9">
      <w:pPr>
        <w:spacing w:before="0" w:after="0" w:line="276" w:lineRule="auto"/>
        <w:jc w:val="left"/>
        <w:rPr>
          <w:rFonts w:ascii="Arial" w:hAnsi="Arial" w:cs="Arial"/>
          <w:b/>
          <w:sz w:val="20"/>
          <w:szCs w:val="20"/>
          <w:u w:val="single"/>
        </w:rPr>
      </w:pPr>
      <w:r w:rsidRPr="0059421B">
        <w:rPr>
          <w:rFonts w:ascii="Arial" w:hAnsi="Arial" w:cs="Arial"/>
          <w:b/>
          <w:sz w:val="20"/>
          <w:szCs w:val="20"/>
          <w:u w:val="single"/>
        </w:rPr>
        <w:t>Contratación</w:t>
      </w:r>
    </w:p>
    <w:p w14:paraId="72685350" w14:textId="77777777" w:rsidR="006039D9" w:rsidRPr="0059421B" w:rsidRDefault="006039D9" w:rsidP="006039D9">
      <w:pPr>
        <w:spacing w:before="0" w:after="0" w:line="276" w:lineRule="auto"/>
        <w:jc w:val="left"/>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4A595B" w:rsidRPr="0059421B" w14:paraId="469A4287" w14:textId="77777777" w:rsidTr="004A595B">
        <w:trPr>
          <w:trHeight w:val="467"/>
          <w:jc w:val="center"/>
        </w:trPr>
        <w:tc>
          <w:tcPr>
            <w:tcW w:w="5000" w:type="pct"/>
            <w:gridSpan w:val="3"/>
            <w:shd w:val="clear" w:color="auto" w:fill="5B9BD5"/>
            <w:vAlign w:val="center"/>
          </w:tcPr>
          <w:p w14:paraId="469A4286"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8B" w14:textId="77777777" w:rsidTr="003A4771">
        <w:trPr>
          <w:trHeight w:val="467"/>
          <w:jc w:val="center"/>
        </w:trPr>
        <w:tc>
          <w:tcPr>
            <w:tcW w:w="2365" w:type="pct"/>
            <w:shd w:val="clear" w:color="auto" w:fill="5B9BD5"/>
            <w:vAlign w:val="center"/>
          </w:tcPr>
          <w:p w14:paraId="469A4288"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89"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8A"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8F" w14:textId="77777777" w:rsidTr="003A4771">
        <w:trPr>
          <w:trHeight w:val="467"/>
          <w:jc w:val="center"/>
        </w:trPr>
        <w:tc>
          <w:tcPr>
            <w:tcW w:w="2365" w:type="pct"/>
            <w:vAlign w:val="center"/>
          </w:tcPr>
          <w:p w14:paraId="469A428C" w14:textId="355D59AF"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contratación.</w:t>
            </w:r>
          </w:p>
        </w:tc>
        <w:tc>
          <w:tcPr>
            <w:tcW w:w="1545" w:type="pct"/>
            <w:vAlign w:val="center"/>
          </w:tcPr>
          <w:p w14:paraId="469A428D"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14:paraId="469A428E"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93" w14:textId="77777777" w:rsidTr="003A4771">
        <w:trPr>
          <w:trHeight w:val="467"/>
          <w:jc w:val="center"/>
        </w:trPr>
        <w:tc>
          <w:tcPr>
            <w:tcW w:w="2365" w:type="pct"/>
            <w:vAlign w:val="center"/>
          </w:tcPr>
          <w:p w14:paraId="469A4290" w14:textId="01ADCEDB" w:rsidR="009D5796"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009D5796" w:rsidRPr="0059421B">
              <w:rPr>
                <w:rFonts w:ascii="Arial" w:hAnsi="Arial" w:cs="Arial"/>
                <w:sz w:val="20"/>
                <w:szCs w:val="20"/>
                <w:lang w:val="es-ES"/>
              </w:rPr>
              <w:t xml:space="preserve"> notifica</w:t>
            </w:r>
            <w:r w:rsidRPr="0059421B">
              <w:rPr>
                <w:rFonts w:ascii="Arial" w:hAnsi="Arial" w:cs="Arial"/>
                <w:sz w:val="20"/>
                <w:szCs w:val="20"/>
                <w:lang w:val="es-ES"/>
              </w:rPr>
              <w:t>rán</w:t>
            </w:r>
            <w:r w:rsidR="009D5796" w:rsidRPr="0059421B">
              <w:rPr>
                <w:rFonts w:ascii="Arial" w:hAnsi="Arial" w:cs="Arial"/>
                <w:sz w:val="20"/>
                <w:szCs w:val="20"/>
                <w:lang w:val="es-ES"/>
              </w:rPr>
              <w:t xml:space="preserve"> el resultado de la solicitud.</w:t>
            </w:r>
          </w:p>
        </w:tc>
        <w:tc>
          <w:tcPr>
            <w:tcW w:w="1545" w:type="pct"/>
            <w:vAlign w:val="center"/>
          </w:tcPr>
          <w:p w14:paraId="469A4291" w14:textId="5FB83E21"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9D5796" w:rsidRPr="0059421B">
              <w:rPr>
                <w:rFonts w:ascii="Arial" w:hAnsi="Arial" w:cs="Arial"/>
                <w:sz w:val="20"/>
                <w:szCs w:val="20"/>
                <w:lang w:val="es-ES"/>
              </w:rPr>
              <w:t xml:space="preserve"> DH</w:t>
            </w:r>
            <w:r w:rsidR="00B8173C">
              <w:rPr>
                <w:rFonts w:ascii="Arial" w:hAnsi="Arial" w:cs="Arial"/>
                <w:sz w:val="20"/>
                <w:szCs w:val="20"/>
                <w:lang w:val="es-ES"/>
              </w:rPr>
              <w:t xml:space="preserve"> del siguiente </w:t>
            </w:r>
            <w:r w:rsidR="00B8173C" w:rsidRPr="00430622">
              <w:rPr>
                <w:rFonts w:ascii="Arial" w:hAnsi="Arial" w:cs="Arial"/>
                <w:sz w:val="20"/>
                <w:szCs w:val="20"/>
                <w:lang w:val="es-ES"/>
              </w:rPr>
              <w:t>día hábil</w:t>
            </w:r>
            <w:r w:rsidR="00B8173C">
              <w:rPr>
                <w:rFonts w:ascii="Arial" w:hAnsi="Arial" w:cs="Arial"/>
                <w:sz w:val="20"/>
                <w:szCs w:val="20"/>
                <w:lang w:val="es-ES"/>
              </w:rPr>
              <w:t xml:space="preserve"> a la notificación</w:t>
            </w:r>
          </w:p>
        </w:tc>
        <w:tc>
          <w:tcPr>
            <w:tcW w:w="1091" w:type="pct"/>
            <w:vAlign w:val="center"/>
          </w:tcPr>
          <w:p w14:paraId="469A4292"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94" w14:textId="77777777" w:rsidR="003A4771" w:rsidRPr="0059421B" w:rsidRDefault="003A4771"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96" w14:textId="77777777" w:rsidTr="004A595B">
        <w:trPr>
          <w:trHeight w:val="467"/>
          <w:jc w:val="center"/>
        </w:trPr>
        <w:tc>
          <w:tcPr>
            <w:tcW w:w="5000" w:type="pct"/>
            <w:gridSpan w:val="3"/>
            <w:shd w:val="clear" w:color="auto" w:fill="5B9BD5"/>
            <w:vAlign w:val="center"/>
          </w:tcPr>
          <w:p w14:paraId="469A4295"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Programación y realización de Visita Técnica</w:t>
            </w:r>
          </w:p>
        </w:tc>
      </w:tr>
      <w:tr w:rsidR="0028148B" w:rsidRPr="0059421B" w14:paraId="469A429A" w14:textId="77777777" w:rsidTr="000F7C9D">
        <w:trPr>
          <w:jc w:val="center"/>
        </w:trPr>
        <w:tc>
          <w:tcPr>
            <w:tcW w:w="2364" w:type="pct"/>
            <w:shd w:val="clear" w:color="auto" w:fill="5B9BD5"/>
            <w:vAlign w:val="center"/>
          </w:tcPr>
          <w:p w14:paraId="469A4297"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98"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0" w:type="pct"/>
            <w:shd w:val="clear" w:color="auto" w:fill="5B9BD5"/>
            <w:vAlign w:val="center"/>
          </w:tcPr>
          <w:p w14:paraId="469A4299"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9F" w14:textId="77777777" w:rsidTr="000F7C9D">
        <w:trPr>
          <w:jc w:val="center"/>
        </w:trPr>
        <w:tc>
          <w:tcPr>
            <w:tcW w:w="2364" w:type="pct"/>
            <w:vAlign w:val="center"/>
          </w:tcPr>
          <w:p w14:paraId="469A429B" w14:textId="77777777"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Ejecución de la Visita Técnica</w:t>
            </w:r>
          </w:p>
        </w:tc>
        <w:tc>
          <w:tcPr>
            <w:tcW w:w="1545" w:type="pct"/>
            <w:vAlign w:val="center"/>
          </w:tcPr>
          <w:p w14:paraId="469A429C"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20 DH</w:t>
            </w:r>
          </w:p>
          <w:p w14:paraId="469A429D" w14:textId="3A346DED"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del ingreso de la solicitud del CS</w:t>
            </w:r>
            <w:r w:rsidR="009615EA">
              <w:rPr>
                <w:rFonts w:ascii="Arial" w:hAnsi="Arial" w:cs="Arial"/>
                <w:sz w:val="20"/>
                <w:szCs w:val="20"/>
                <w:lang w:val="es-ES"/>
              </w:rPr>
              <w:t xml:space="preserve"> o AS</w:t>
            </w:r>
            <w:r w:rsidRPr="0059421B">
              <w:rPr>
                <w:rFonts w:ascii="Arial" w:hAnsi="Arial" w:cs="Arial"/>
                <w:sz w:val="20"/>
                <w:szCs w:val="20"/>
                <w:lang w:val="es-ES"/>
              </w:rPr>
              <w:t>)</w:t>
            </w:r>
          </w:p>
        </w:tc>
        <w:tc>
          <w:tcPr>
            <w:tcW w:w="1090" w:type="pct"/>
            <w:vAlign w:val="center"/>
          </w:tcPr>
          <w:p w14:paraId="469A429E"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A4" w14:textId="77777777" w:rsidTr="000F7C9D">
        <w:trPr>
          <w:jc w:val="center"/>
        </w:trPr>
        <w:tc>
          <w:tcPr>
            <w:tcW w:w="2364" w:type="pct"/>
            <w:vAlign w:val="center"/>
          </w:tcPr>
          <w:p w14:paraId="469A42A0" w14:textId="0E3338DB" w:rsidR="009D5796"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009D5796" w:rsidRPr="0059421B">
              <w:rPr>
                <w:rFonts w:ascii="Arial" w:hAnsi="Arial" w:cs="Arial"/>
                <w:sz w:val="20"/>
                <w:szCs w:val="20"/>
                <w:lang w:val="es-ES"/>
              </w:rPr>
              <w:t xml:space="preserve"> notifica</w:t>
            </w:r>
            <w:r w:rsidRPr="0059421B">
              <w:rPr>
                <w:rFonts w:ascii="Arial" w:hAnsi="Arial" w:cs="Arial"/>
                <w:sz w:val="20"/>
                <w:szCs w:val="20"/>
                <w:lang w:val="es-ES"/>
              </w:rPr>
              <w:t>n</w:t>
            </w:r>
            <w:r w:rsidR="009D5796" w:rsidRPr="0059421B">
              <w:rPr>
                <w:rFonts w:ascii="Arial" w:hAnsi="Arial" w:cs="Arial"/>
                <w:sz w:val="20"/>
                <w:szCs w:val="20"/>
                <w:lang w:val="es-ES"/>
              </w:rPr>
              <w:t xml:space="preserve"> la prop</w:t>
            </w:r>
            <w:r w:rsidR="00F94302" w:rsidRPr="0059421B">
              <w:rPr>
                <w:rFonts w:ascii="Arial" w:hAnsi="Arial" w:cs="Arial"/>
                <w:sz w:val="20"/>
                <w:szCs w:val="20"/>
                <w:lang w:val="es-ES"/>
              </w:rPr>
              <w:t>uesta de programación de Visita</w:t>
            </w:r>
            <w:r w:rsidR="009D5796" w:rsidRPr="0059421B">
              <w:rPr>
                <w:rFonts w:ascii="Arial" w:hAnsi="Arial" w:cs="Arial"/>
                <w:sz w:val="20"/>
                <w:szCs w:val="20"/>
                <w:lang w:val="es-ES"/>
              </w:rPr>
              <w:t xml:space="preserve"> Técnica.</w:t>
            </w:r>
          </w:p>
        </w:tc>
        <w:tc>
          <w:tcPr>
            <w:tcW w:w="1545" w:type="pct"/>
            <w:vAlign w:val="center"/>
          </w:tcPr>
          <w:p w14:paraId="469A42A1" w14:textId="00E14CC1"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9D5796" w:rsidRPr="0059421B">
              <w:rPr>
                <w:rFonts w:ascii="Arial" w:hAnsi="Arial" w:cs="Arial"/>
                <w:sz w:val="20"/>
                <w:szCs w:val="20"/>
                <w:lang w:val="es-ES"/>
              </w:rPr>
              <w:t xml:space="preserve"> DH</w:t>
            </w:r>
          </w:p>
          <w:p w14:paraId="469A42A2" w14:textId="63A36D53"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(Contados</w:t>
            </w:r>
            <w:r w:rsidR="00B8173C">
              <w:rPr>
                <w:rFonts w:ascii="Arial" w:hAnsi="Arial" w:cs="Arial"/>
                <w:sz w:val="20"/>
                <w:szCs w:val="20"/>
                <w:lang w:val="es-ES"/>
              </w:rPr>
              <w:t xml:space="preserve"> del siguiente </w:t>
            </w:r>
            <w:r w:rsidR="00B8173C" w:rsidRPr="00430622">
              <w:rPr>
                <w:rFonts w:ascii="Arial" w:hAnsi="Arial" w:cs="Arial"/>
                <w:sz w:val="20"/>
                <w:szCs w:val="20"/>
                <w:lang w:val="es-ES"/>
              </w:rPr>
              <w:t>día hábil</w:t>
            </w:r>
            <w:r w:rsidRPr="0059421B">
              <w:rPr>
                <w:rFonts w:ascii="Arial" w:hAnsi="Arial" w:cs="Arial"/>
                <w:sz w:val="20"/>
                <w:szCs w:val="20"/>
                <w:lang w:val="es-ES"/>
              </w:rPr>
              <w:t xml:space="preserve"> a partir del asignación del NIS)</w:t>
            </w:r>
          </w:p>
        </w:tc>
        <w:tc>
          <w:tcPr>
            <w:tcW w:w="1090" w:type="pct"/>
            <w:vAlign w:val="center"/>
          </w:tcPr>
          <w:p w14:paraId="469A42A3"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A9" w14:textId="77777777" w:rsidTr="000F7C9D">
        <w:trPr>
          <w:jc w:val="center"/>
        </w:trPr>
        <w:tc>
          <w:tcPr>
            <w:tcW w:w="2364" w:type="pct"/>
            <w:vAlign w:val="center"/>
          </w:tcPr>
          <w:p w14:paraId="469A42A5" w14:textId="7AFDC5F4"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solicita modificación de la propuesta de programación de Visita Técnica. </w:t>
            </w:r>
          </w:p>
        </w:tc>
        <w:tc>
          <w:tcPr>
            <w:tcW w:w="1545" w:type="pct"/>
            <w:vAlign w:val="center"/>
          </w:tcPr>
          <w:p w14:paraId="469A42A6" w14:textId="5E4A4AB9"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18655C">
              <w:rPr>
                <w:rFonts w:ascii="Arial" w:hAnsi="Arial" w:cs="Arial"/>
                <w:sz w:val="20"/>
                <w:szCs w:val="20"/>
                <w:lang w:val="es-ES"/>
              </w:rPr>
              <w:t xml:space="preserve"> </w:t>
            </w:r>
            <w:r w:rsidR="003E7661" w:rsidRPr="0059421B">
              <w:rPr>
                <w:rFonts w:ascii="Arial" w:hAnsi="Arial" w:cs="Arial"/>
                <w:sz w:val="20"/>
                <w:szCs w:val="20"/>
                <w:lang w:val="es-ES"/>
              </w:rPr>
              <w:t>DH</w:t>
            </w:r>
          </w:p>
          <w:p w14:paraId="469A42A7" w14:textId="5E18E710"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C15150"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Pr="0059421B">
              <w:rPr>
                <w:rFonts w:ascii="Arial" w:hAnsi="Arial" w:cs="Arial"/>
                <w:sz w:val="20"/>
                <w:szCs w:val="20"/>
                <w:lang w:val="es-ES"/>
              </w:rPr>
              <w:t>)</w:t>
            </w:r>
          </w:p>
        </w:tc>
        <w:tc>
          <w:tcPr>
            <w:tcW w:w="1090" w:type="pct"/>
            <w:vAlign w:val="center"/>
          </w:tcPr>
          <w:p w14:paraId="469A42A8"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AE" w14:textId="77777777" w:rsidTr="000F7C9D">
        <w:trPr>
          <w:jc w:val="center"/>
        </w:trPr>
        <w:tc>
          <w:tcPr>
            <w:tcW w:w="2364" w:type="pct"/>
            <w:vAlign w:val="center"/>
          </w:tcPr>
          <w:p w14:paraId="469A42AA" w14:textId="7C6546A2" w:rsidR="009D5796"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009D5796" w:rsidRPr="0059421B">
              <w:rPr>
                <w:rFonts w:ascii="Arial" w:hAnsi="Arial" w:cs="Arial"/>
                <w:sz w:val="20"/>
                <w:szCs w:val="20"/>
                <w:lang w:val="es-ES"/>
              </w:rPr>
              <w:t xml:space="preserve"> digitaliza</w:t>
            </w:r>
            <w:r w:rsidRPr="0059421B">
              <w:rPr>
                <w:rFonts w:ascii="Arial" w:hAnsi="Arial" w:cs="Arial"/>
                <w:sz w:val="20"/>
                <w:szCs w:val="20"/>
                <w:lang w:val="es-ES"/>
              </w:rPr>
              <w:t>n</w:t>
            </w:r>
            <w:r w:rsidR="009D5796" w:rsidRPr="0059421B">
              <w:rPr>
                <w:rFonts w:ascii="Arial" w:hAnsi="Arial" w:cs="Arial"/>
                <w:sz w:val="20"/>
                <w:szCs w:val="20"/>
                <w:lang w:val="es-ES"/>
              </w:rPr>
              <w:t xml:space="preserve"> y registra</w:t>
            </w:r>
            <w:r w:rsidRPr="0059421B">
              <w:rPr>
                <w:rFonts w:ascii="Arial" w:hAnsi="Arial" w:cs="Arial"/>
                <w:sz w:val="20"/>
                <w:szCs w:val="20"/>
                <w:lang w:val="es-ES"/>
              </w:rPr>
              <w:t>n</w:t>
            </w:r>
            <w:r w:rsidR="009D5796" w:rsidRPr="0059421B">
              <w:rPr>
                <w:rFonts w:ascii="Arial" w:hAnsi="Arial" w:cs="Arial"/>
                <w:sz w:val="20"/>
                <w:szCs w:val="20"/>
                <w:lang w:val="es-ES"/>
              </w:rPr>
              <w:t xml:space="preserve"> el “Reporte de Visita Técnica”</w:t>
            </w:r>
            <w:r w:rsidR="002839FC" w:rsidRPr="0059421B">
              <w:rPr>
                <w:rFonts w:ascii="Arial" w:hAnsi="Arial" w:cs="Arial"/>
                <w:sz w:val="20"/>
                <w:szCs w:val="20"/>
                <w:lang w:val="es-ES"/>
              </w:rPr>
              <w:t xml:space="preserve"> y, en su caso, señala si requiere un trabajo especial (acondicionamiento de infraestructura, recuperación de espacio)</w:t>
            </w:r>
            <w:r w:rsidR="009D5796" w:rsidRPr="0059421B">
              <w:rPr>
                <w:rFonts w:ascii="Arial" w:hAnsi="Arial" w:cs="Arial"/>
                <w:sz w:val="20"/>
                <w:szCs w:val="20"/>
                <w:lang w:val="es-ES"/>
              </w:rPr>
              <w:t>.</w:t>
            </w:r>
          </w:p>
        </w:tc>
        <w:tc>
          <w:tcPr>
            <w:tcW w:w="1545" w:type="pct"/>
            <w:vAlign w:val="center"/>
          </w:tcPr>
          <w:p w14:paraId="469A42AB" w14:textId="18546AD0"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18655C">
              <w:rPr>
                <w:rFonts w:ascii="Arial" w:hAnsi="Arial" w:cs="Arial"/>
                <w:sz w:val="20"/>
                <w:szCs w:val="20"/>
                <w:lang w:val="es-ES"/>
              </w:rPr>
              <w:t xml:space="preserve"> </w:t>
            </w:r>
            <w:r w:rsidR="009D5796" w:rsidRPr="0059421B">
              <w:rPr>
                <w:rFonts w:ascii="Arial" w:hAnsi="Arial" w:cs="Arial"/>
                <w:sz w:val="20"/>
                <w:szCs w:val="20"/>
                <w:lang w:val="es-ES"/>
              </w:rPr>
              <w:t>DH</w:t>
            </w:r>
            <w:r w:rsidR="009D5796" w:rsidRPr="0059421B">
              <w:rPr>
                <w:rStyle w:val="Refdenotaalpie"/>
                <w:rFonts w:ascii="Arial" w:hAnsi="Arial" w:cs="Arial"/>
                <w:sz w:val="20"/>
                <w:szCs w:val="20"/>
                <w:lang w:val="es-ES"/>
              </w:rPr>
              <w:footnoteReference w:id="4"/>
            </w:r>
          </w:p>
          <w:p w14:paraId="469A42AC" w14:textId="6B0C22D4"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(Contados 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 la realización de la Visita Técnica)</w:t>
            </w:r>
          </w:p>
        </w:tc>
        <w:tc>
          <w:tcPr>
            <w:tcW w:w="1090" w:type="pct"/>
            <w:vAlign w:val="center"/>
          </w:tcPr>
          <w:p w14:paraId="469A42AD"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469A42AF" w14:textId="77777777" w:rsidR="000F7C9D" w:rsidRDefault="000F7C9D" w:rsidP="006039D9">
      <w:pPr>
        <w:spacing w:before="0" w:after="0" w:line="276" w:lineRule="auto"/>
        <w:rPr>
          <w:rFonts w:ascii="Arial" w:hAnsi="Arial" w:cs="Arial"/>
          <w:sz w:val="8"/>
        </w:rPr>
      </w:pPr>
    </w:p>
    <w:p w14:paraId="4BA0FFAC" w14:textId="77777777" w:rsidR="00B8173C" w:rsidRDefault="00B8173C" w:rsidP="006039D9">
      <w:pPr>
        <w:spacing w:before="0" w:after="0" w:line="276" w:lineRule="auto"/>
        <w:rPr>
          <w:rFonts w:ascii="Arial" w:hAnsi="Arial" w:cs="Arial"/>
          <w:sz w:val="8"/>
        </w:rPr>
      </w:pPr>
    </w:p>
    <w:p w14:paraId="7A7D4F9C" w14:textId="77777777" w:rsidR="00B8173C" w:rsidRDefault="00B8173C" w:rsidP="006039D9">
      <w:pPr>
        <w:spacing w:before="0" w:after="0" w:line="276" w:lineRule="auto"/>
        <w:rPr>
          <w:rFonts w:ascii="Arial" w:hAnsi="Arial" w:cs="Arial"/>
          <w:sz w:val="8"/>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B1" w14:textId="77777777" w:rsidTr="004A595B">
        <w:trPr>
          <w:jc w:val="center"/>
        </w:trPr>
        <w:tc>
          <w:tcPr>
            <w:tcW w:w="5000" w:type="pct"/>
            <w:gridSpan w:val="3"/>
            <w:shd w:val="clear" w:color="auto" w:fill="5B9BD5"/>
            <w:vAlign w:val="center"/>
          </w:tcPr>
          <w:p w14:paraId="469A42B0"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14:paraId="469A42B5" w14:textId="77777777" w:rsidTr="000F7C9D">
        <w:trPr>
          <w:jc w:val="center"/>
        </w:trPr>
        <w:tc>
          <w:tcPr>
            <w:tcW w:w="2364" w:type="pct"/>
            <w:shd w:val="clear" w:color="auto" w:fill="5B9BD5"/>
            <w:vAlign w:val="center"/>
          </w:tcPr>
          <w:p w14:paraId="469A42B2"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B3"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B4"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BA" w14:textId="77777777" w:rsidTr="000F7C9D">
        <w:trPr>
          <w:jc w:val="center"/>
        </w:trPr>
        <w:tc>
          <w:tcPr>
            <w:tcW w:w="2364" w:type="pct"/>
            <w:vAlign w:val="center"/>
          </w:tcPr>
          <w:p w14:paraId="469A42B6" w14:textId="64B4F1A1"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el Anteproyecto.</w:t>
            </w:r>
          </w:p>
        </w:tc>
        <w:tc>
          <w:tcPr>
            <w:tcW w:w="1545" w:type="pct"/>
            <w:vAlign w:val="center"/>
          </w:tcPr>
          <w:p w14:paraId="469A42B7" w14:textId="0EFE45F8"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20 DH</w:t>
            </w:r>
            <w:r w:rsidRPr="0059421B">
              <w:rPr>
                <w:rStyle w:val="Refdenotaalpie"/>
                <w:rFonts w:ascii="Arial" w:hAnsi="Arial" w:cs="Arial"/>
                <w:sz w:val="20"/>
                <w:szCs w:val="20"/>
                <w:lang w:val="es-ES"/>
              </w:rPr>
              <w:footnoteReference w:id="5"/>
            </w:r>
            <w:r w:rsidRPr="0059421B">
              <w:rPr>
                <w:rFonts w:ascii="Arial" w:hAnsi="Arial" w:cs="Arial"/>
                <w:sz w:val="20"/>
                <w:szCs w:val="20"/>
                <w:lang w:val="es-ES"/>
              </w:rPr>
              <w:t xml:space="preserve"> </w:t>
            </w:r>
          </w:p>
          <w:p w14:paraId="469A42B8" w14:textId="0980A981"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 xml:space="preserve">de la entrega del </w:t>
            </w:r>
            <w:r w:rsidRPr="0059421B">
              <w:rPr>
                <w:rFonts w:ascii="Arial" w:hAnsi="Arial" w:cs="Arial"/>
                <w:sz w:val="20"/>
                <w:szCs w:val="20"/>
                <w:lang w:val="es-ES"/>
              </w:rPr>
              <w:lastRenderedPageBreak/>
              <w:t>resultado de la Visita Técnica)</w:t>
            </w:r>
          </w:p>
        </w:tc>
        <w:tc>
          <w:tcPr>
            <w:tcW w:w="1091" w:type="pct"/>
            <w:vAlign w:val="center"/>
          </w:tcPr>
          <w:p w14:paraId="469A42B9"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lastRenderedPageBreak/>
              <w:t>N.A.</w:t>
            </w:r>
          </w:p>
        </w:tc>
      </w:tr>
    </w:tbl>
    <w:p w14:paraId="469A42BB" w14:textId="733E594B" w:rsidR="000F7C9D" w:rsidRDefault="000F7C9D" w:rsidP="006039D9">
      <w:pPr>
        <w:spacing w:before="0" w:after="0" w:line="276" w:lineRule="auto"/>
        <w:rPr>
          <w:rFonts w:ascii="Arial" w:hAnsi="Arial" w:cs="Arial"/>
          <w:sz w:val="8"/>
        </w:rPr>
      </w:pPr>
    </w:p>
    <w:p w14:paraId="39F49572" w14:textId="488A6826" w:rsidR="00806A2F" w:rsidRDefault="00806A2F" w:rsidP="006039D9">
      <w:pPr>
        <w:spacing w:before="0" w:after="0" w:line="276" w:lineRule="auto"/>
        <w:rPr>
          <w:rFonts w:ascii="Arial" w:hAnsi="Arial" w:cs="Arial"/>
          <w:sz w:val="8"/>
        </w:rPr>
      </w:pPr>
    </w:p>
    <w:p w14:paraId="00CA5A2B" w14:textId="77777777" w:rsidR="00806A2F" w:rsidRPr="009615EA" w:rsidRDefault="00806A2F" w:rsidP="006039D9">
      <w:pPr>
        <w:spacing w:before="0" w:after="0" w:line="276" w:lineRule="auto"/>
        <w:rPr>
          <w:rFonts w:ascii="Arial" w:hAnsi="Arial" w:cs="Arial"/>
          <w:sz w:val="8"/>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BD" w14:textId="77777777" w:rsidTr="004A595B">
        <w:trPr>
          <w:jc w:val="center"/>
        </w:trPr>
        <w:tc>
          <w:tcPr>
            <w:tcW w:w="5000" w:type="pct"/>
            <w:gridSpan w:val="3"/>
            <w:shd w:val="clear" w:color="auto" w:fill="5B9BD5"/>
            <w:vAlign w:val="center"/>
          </w:tcPr>
          <w:p w14:paraId="469A42BC"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Análisis de Factibilidad</w:t>
            </w:r>
          </w:p>
        </w:tc>
      </w:tr>
      <w:tr w:rsidR="0028148B" w:rsidRPr="0059421B" w14:paraId="469A42C1" w14:textId="77777777" w:rsidTr="00806A2F">
        <w:trPr>
          <w:jc w:val="center"/>
        </w:trPr>
        <w:tc>
          <w:tcPr>
            <w:tcW w:w="2364" w:type="pct"/>
            <w:tcBorders>
              <w:bottom w:val="single" w:sz="4" w:space="0" w:color="auto"/>
            </w:tcBorders>
            <w:shd w:val="clear" w:color="auto" w:fill="5B9BD5"/>
            <w:vAlign w:val="center"/>
          </w:tcPr>
          <w:p w14:paraId="469A42BE"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BF"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C0"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C6" w14:textId="77777777" w:rsidTr="00806A2F">
        <w:trPr>
          <w:jc w:val="center"/>
        </w:trPr>
        <w:tc>
          <w:tcPr>
            <w:tcW w:w="2364" w:type="pct"/>
            <w:tcBorders>
              <w:bottom w:val="single" w:sz="4" w:space="0" w:color="auto"/>
            </w:tcBorders>
            <w:vAlign w:val="center"/>
          </w:tcPr>
          <w:p w14:paraId="469A42C2" w14:textId="5453BA13" w:rsidR="004A595B"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002839FC" w:rsidRPr="0059421B">
              <w:rPr>
                <w:rFonts w:ascii="Arial" w:hAnsi="Arial" w:cs="Arial"/>
                <w:sz w:val="20"/>
                <w:szCs w:val="20"/>
                <w:lang w:val="es-ES"/>
              </w:rPr>
              <w:t xml:space="preserve"> notifica</w:t>
            </w:r>
            <w:r w:rsidRPr="0059421B">
              <w:rPr>
                <w:rFonts w:ascii="Arial" w:hAnsi="Arial" w:cs="Arial"/>
                <w:sz w:val="20"/>
                <w:szCs w:val="20"/>
                <w:lang w:val="es-ES"/>
              </w:rPr>
              <w:t>n</w:t>
            </w:r>
            <w:r w:rsidR="002839FC" w:rsidRPr="0059421B">
              <w:rPr>
                <w:rFonts w:ascii="Arial" w:hAnsi="Arial" w:cs="Arial"/>
                <w:sz w:val="20"/>
                <w:szCs w:val="20"/>
                <w:lang w:val="es-ES"/>
              </w:rPr>
              <w:t xml:space="preserve"> al CS </w:t>
            </w:r>
            <w:r w:rsidRPr="0059421B">
              <w:rPr>
                <w:rFonts w:ascii="Arial" w:hAnsi="Arial" w:cs="Arial"/>
                <w:sz w:val="20"/>
                <w:szCs w:val="20"/>
                <w:lang w:val="es-ES"/>
              </w:rPr>
              <w:t xml:space="preserve">o AS </w:t>
            </w:r>
            <w:r w:rsidR="002839FC" w:rsidRPr="0059421B">
              <w:rPr>
                <w:rFonts w:ascii="Arial" w:hAnsi="Arial" w:cs="Arial"/>
                <w:sz w:val="20"/>
                <w:szCs w:val="20"/>
                <w:lang w:val="es-ES"/>
              </w:rPr>
              <w:t>el resultado del Análisis de Factibilidad.</w:t>
            </w:r>
          </w:p>
        </w:tc>
        <w:tc>
          <w:tcPr>
            <w:tcW w:w="1545" w:type="pct"/>
            <w:tcBorders>
              <w:bottom w:val="single" w:sz="4" w:space="0" w:color="auto"/>
            </w:tcBorders>
            <w:vAlign w:val="center"/>
          </w:tcPr>
          <w:p w14:paraId="469A42C3" w14:textId="799272B8" w:rsidR="004A595B"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18655C">
              <w:rPr>
                <w:rFonts w:ascii="Arial" w:hAnsi="Arial" w:cs="Arial"/>
                <w:sz w:val="20"/>
                <w:szCs w:val="20"/>
                <w:lang w:val="es-ES"/>
              </w:rPr>
              <w:t xml:space="preserve"> </w:t>
            </w:r>
            <w:r w:rsidR="004A595B" w:rsidRPr="0059421B">
              <w:rPr>
                <w:rFonts w:ascii="Arial" w:hAnsi="Arial" w:cs="Arial"/>
                <w:sz w:val="20"/>
                <w:szCs w:val="20"/>
                <w:lang w:val="es-ES"/>
              </w:rPr>
              <w:t>DH</w:t>
            </w:r>
          </w:p>
          <w:p w14:paraId="469A42C4" w14:textId="16753138" w:rsidR="004A595B" w:rsidRPr="0059421B" w:rsidRDefault="002839FC">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w:t>
            </w:r>
            <w:r w:rsidR="004A595B" w:rsidRPr="0059421B">
              <w:rPr>
                <w:rFonts w:ascii="Arial" w:hAnsi="Arial" w:cs="Arial"/>
                <w:sz w:val="20"/>
                <w:szCs w:val="20"/>
                <w:lang w:val="es-ES"/>
              </w:rPr>
              <w:t xml:space="preserve">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004A595B" w:rsidRPr="0059421B">
              <w:rPr>
                <w:rFonts w:ascii="Arial" w:hAnsi="Arial" w:cs="Arial"/>
                <w:sz w:val="20"/>
                <w:szCs w:val="20"/>
                <w:lang w:val="es-ES"/>
              </w:rPr>
              <w:t>que el CS</w:t>
            </w:r>
            <w:r w:rsidR="009615EA">
              <w:rPr>
                <w:rFonts w:ascii="Arial" w:hAnsi="Arial" w:cs="Arial"/>
                <w:sz w:val="20"/>
                <w:szCs w:val="20"/>
                <w:lang w:val="es-ES"/>
              </w:rPr>
              <w:t xml:space="preserve"> o AS</w:t>
            </w:r>
            <w:r w:rsidR="004A595B" w:rsidRPr="0059421B">
              <w:rPr>
                <w:rFonts w:ascii="Arial" w:hAnsi="Arial" w:cs="Arial"/>
                <w:sz w:val="20"/>
                <w:szCs w:val="20"/>
                <w:lang w:val="es-ES"/>
              </w:rPr>
              <w:t xml:space="preserve"> entregue el Anteproyecto)</w:t>
            </w:r>
          </w:p>
        </w:tc>
        <w:tc>
          <w:tcPr>
            <w:tcW w:w="1091" w:type="pct"/>
            <w:tcBorders>
              <w:bottom w:val="single" w:sz="4" w:space="0" w:color="auto"/>
            </w:tcBorders>
            <w:vAlign w:val="center"/>
          </w:tcPr>
          <w:p w14:paraId="469A42C5"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806A2F" w:rsidRPr="0059421B" w14:paraId="76B24AEB" w14:textId="77777777" w:rsidTr="00806A2F">
        <w:trPr>
          <w:jc w:val="center"/>
        </w:trPr>
        <w:tc>
          <w:tcPr>
            <w:tcW w:w="2364" w:type="pct"/>
            <w:tcBorders>
              <w:top w:val="single" w:sz="4" w:space="0" w:color="auto"/>
              <w:left w:val="nil"/>
              <w:bottom w:val="single" w:sz="4" w:space="0" w:color="auto"/>
              <w:right w:val="nil"/>
            </w:tcBorders>
            <w:vAlign w:val="center"/>
          </w:tcPr>
          <w:p w14:paraId="48D3FE1E" w14:textId="35A68A5E" w:rsidR="00806A2F" w:rsidRPr="0059421B" w:rsidRDefault="00806A2F" w:rsidP="006039D9">
            <w:pPr>
              <w:suppressAutoHyphens/>
              <w:spacing w:before="0" w:after="0" w:line="276" w:lineRule="auto"/>
              <w:contextualSpacing/>
              <w:jc w:val="left"/>
              <w:rPr>
                <w:rFonts w:ascii="Arial" w:hAnsi="Arial" w:cs="Arial"/>
                <w:sz w:val="20"/>
                <w:szCs w:val="20"/>
                <w:lang w:val="es-ES"/>
              </w:rPr>
            </w:pPr>
          </w:p>
        </w:tc>
        <w:tc>
          <w:tcPr>
            <w:tcW w:w="1545" w:type="pct"/>
            <w:tcBorders>
              <w:top w:val="single" w:sz="4" w:space="0" w:color="auto"/>
              <w:left w:val="nil"/>
              <w:bottom w:val="single" w:sz="4" w:space="0" w:color="auto"/>
              <w:right w:val="nil"/>
            </w:tcBorders>
            <w:vAlign w:val="center"/>
          </w:tcPr>
          <w:p w14:paraId="07C894B3"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c>
          <w:tcPr>
            <w:tcW w:w="1091" w:type="pct"/>
            <w:tcBorders>
              <w:top w:val="single" w:sz="4" w:space="0" w:color="auto"/>
              <w:left w:val="nil"/>
              <w:bottom w:val="single" w:sz="4" w:space="0" w:color="auto"/>
              <w:right w:val="nil"/>
            </w:tcBorders>
            <w:vAlign w:val="center"/>
          </w:tcPr>
          <w:p w14:paraId="34FD5BAA"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r>
      <w:tr w:rsidR="004A595B" w:rsidRPr="0059421B" w14:paraId="469A42C9" w14:textId="77777777" w:rsidTr="00806A2F">
        <w:trPr>
          <w:jc w:val="center"/>
        </w:trPr>
        <w:tc>
          <w:tcPr>
            <w:tcW w:w="5000" w:type="pct"/>
            <w:gridSpan w:val="3"/>
            <w:tcBorders>
              <w:top w:val="single" w:sz="4" w:space="0" w:color="auto"/>
            </w:tcBorders>
            <w:shd w:val="clear" w:color="auto" w:fill="5B9BD5"/>
            <w:vAlign w:val="center"/>
          </w:tcPr>
          <w:p w14:paraId="469A42C8"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5: Instalación de Infraestructura</w:t>
            </w:r>
          </w:p>
        </w:tc>
      </w:tr>
      <w:tr w:rsidR="0028148B" w:rsidRPr="0059421B" w14:paraId="469A42CD" w14:textId="77777777" w:rsidTr="000F7C9D">
        <w:trPr>
          <w:jc w:val="center"/>
        </w:trPr>
        <w:tc>
          <w:tcPr>
            <w:tcW w:w="2364" w:type="pct"/>
            <w:shd w:val="clear" w:color="auto" w:fill="5B9BD5"/>
            <w:vAlign w:val="center"/>
          </w:tcPr>
          <w:p w14:paraId="469A42CA"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CB"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CC"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2839FC" w:rsidRPr="0059421B" w14:paraId="469A42D1" w14:textId="77777777" w:rsidTr="000F7C9D">
        <w:trPr>
          <w:jc w:val="center"/>
        </w:trPr>
        <w:tc>
          <w:tcPr>
            <w:tcW w:w="2364" w:type="pct"/>
            <w:vAlign w:val="center"/>
          </w:tcPr>
          <w:p w14:paraId="469A42CE" w14:textId="0496A30D" w:rsidR="002839FC" w:rsidRPr="0059421B" w:rsidRDefault="002839F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inicia la Instalación de Infraestructura.</w:t>
            </w:r>
          </w:p>
        </w:tc>
        <w:tc>
          <w:tcPr>
            <w:tcW w:w="1545" w:type="pct"/>
            <w:vAlign w:val="center"/>
          </w:tcPr>
          <w:p w14:paraId="469A42CF"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w:t>
            </w:r>
          </w:p>
        </w:tc>
        <w:tc>
          <w:tcPr>
            <w:tcW w:w="1091" w:type="pct"/>
            <w:vAlign w:val="center"/>
          </w:tcPr>
          <w:p w14:paraId="469A42D0"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14:paraId="469A42D6" w14:textId="77777777" w:rsidTr="000F7C9D">
        <w:trPr>
          <w:jc w:val="center"/>
        </w:trPr>
        <w:tc>
          <w:tcPr>
            <w:tcW w:w="2364" w:type="pct"/>
            <w:vAlign w:val="center"/>
          </w:tcPr>
          <w:p w14:paraId="469A42D2" w14:textId="136A8F2B" w:rsidR="002839FC" w:rsidRPr="0059421B" w:rsidRDefault="002839F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envía las fechas de inicio y conclusión de los trabajos de Instalación de Infraestructura.</w:t>
            </w:r>
          </w:p>
        </w:tc>
        <w:tc>
          <w:tcPr>
            <w:tcW w:w="1545" w:type="pct"/>
            <w:vAlign w:val="center"/>
          </w:tcPr>
          <w:p w14:paraId="469A42D3" w14:textId="0247EFCA" w:rsidR="002839F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2839FC" w:rsidRPr="0059421B">
              <w:rPr>
                <w:rFonts w:ascii="Arial" w:hAnsi="Arial" w:cs="Arial"/>
                <w:sz w:val="20"/>
                <w:szCs w:val="20"/>
                <w:lang w:val="es-ES"/>
              </w:rPr>
              <w:t xml:space="preserve"> DH</w:t>
            </w:r>
          </w:p>
          <w:p w14:paraId="469A42D4" w14:textId="74B89C32"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 la notificación del Análisis de Factibilidad)</w:t>
            </w:r>
          </w:p>
        </w:tc>
        <w:tc>
          <w:tcPr>
            <w:tcW w:w="1091" w:type="pct"/>
            <w:vAlign w:val="center"/>
          </w:tcPr>
          <w:p w14:paraId="469A42D5"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14:paraId="469A42DB" w14:textId="77777777" w:rsidTr="000F7C9D">
        <w:trPr>
          <w:jc w:val="center"/>
        </w:trPr>
        <w:tc>
          <w:tcPr>
            <w:tcW w:w="2364" w:type="pct"/>
            <w:vAlign w:val="center"/>
          </w:tcPr>
          <w:p w14:paraId="469A42D7" w14:textId="2B16433F" w:rsidR="002839FC"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002839FC" w:rsidRPr="0059421B">
              <w:rPr>
                <w:rFonts w:ascii="Arial" w:hAnsi="Arial" w:cs="Arial"/>
                <w:sz w:val="20"/>
                <w:szCs w:val="20"/>
                <w:lang w:val="es-ES"/>
              </w:rPr>
              <w:t xml:space="preserve"> acordará</w:t>
            </w:r>
            <w:r w:rsidRPr="0059421B">
              <w:rPr>
                <w:rFonts w:ascii="Arial" w:hAnsi="Arial" w:cs="Arial"/>
                <w:sz w:val="20"/>
                <w:szCs w:val="20"/>
                <w:lang w:val="es-ES"/>
              </w:rPr>
              <w:t>n</w:t>
            </w:r>
            <w:r w:rsidR="002839FC" w:rsidRPr="0059421B">
              <w:rPr>
                <w:rFonts w:ascii="Arial" w:hAnsi="Arial" w:cs="Arial"/>
                <w:sz w:val="20"/>
                <w:szCs w:val="20"/>
                <w:lang w:val="es-ES"/>
              </w:rPr>
              <w:t xml:space="preserve"> fechas de Instalación de Infraestructura.</w:t>
            </w:r>
          </w:p>
        </w:tc>
        <w:tc>
          <w:tcPr>
            <w:tcW w:w="1545" w:type="pct"/>
            <w:vAlign w:val="center"/>
          </w:tcPr>
          <w:p w14:paraId="469A42D8" w14:textId="1CC6BE13" w:rsidR="002839F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18655C">
              <w:rPr>
                <w:rFonts w:ascii="Arial" w:hAnsi="Arial" w:cs="Arial"/>
                <w:sz w:val="20"/>
                <w:szCs w:val="20"/>
                <w:lang w:val="es-ES"/>
              </w:rPr>
              <w:t xml:space="preserve"> </w:t>
            </w:r>
            <w:r w:rsidR="002839FC" w:rsidRPr="0059421B">
              <w:rPr>
                <w:rFonts w:ascii="Arial" w:hAnsi="Arial" w:cs="Arial"/>
                <w:sz w:val="20"/>
                <w:szCs w:val="20"/>
                <w:lang w:val="es-ES"/>
              </w:rPr>
              <w:t>DH</w:t>
            </w:r>
          </w:p>
          <w:p w14:paraId="469A42D9" w14:textId="694D1250"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 la recepción de fechas para la Instalación de Infraestructura)</w:t>
            </w:r>
          </w:p>
        </w:tc>
        <w:tc>
          <w:tcPr>
            <w:tcW w:w="1091" w:type="pct"/>
            <w:vAlign w:val="center"/>
          </w:tcPr>
          <w:p w14:paraId="469A42DA"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2839FC" w:rsidRPr="0059421B" w14:paraId="469A42E0" w14:textId="77777777" w:rsidTr="000F7C9D">
        <w:trPr>
          <w:jc w:val="center"/>
        </w:trPr>
        <w:tc>
          <w:tcPr>
            <w:tcW w:w="2364" w:type="pct"/>
            <w:vAlign w:val="center"/>
          </w:tcPr>
          <w:p w14:paraId="469A42DC" w14:textId="101E8149" w:rsidR="002839FC"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002839FC" w:rsidRPr="0059421B">
              <w:rPr>
                <w:rFonts w:ascii="Arial" w:hAnsi="Arial" w:cs="Arial"/>
                <w:sz w:val="20"/>
                <w:szCs w:val="20"/>
                <w:lang w:val="es-ES"/>
              </w:rPr>
              <w:t xml:space="preserve"> acepta</w:t>
            </w:r>
            <w:r w:rsidRPr="0059421B">
              <w:rPr>
                <w:rFonts w:ascii="Arial" w:hAnsi="Arial" w:cs="Arial"/>
                <w:sz w:val="20"/>
                <w:szCs w:val="20"/>
                <w:lang w:val="es-ES"/>
              </w:rPr>
              <w:t>n</w:t>
            </w:r>
            <w:r w:rsidR="002839FC" w:rsidRPr="0059421B">
              <w:rPr>
                <w:rFonts w:ascii="Arial" w:hAnsi="Arial" w:cs="Arial"/>
                <w:sz w:val="20"/>
                <w:szCs w:val="20"/>
                <w:lang w:val="es-ES"/>
              </w:rPr>
              <w:t xml:space="preserve"> o rechaza</w:t>
            </w:r>
            <w:r w:rsidRPr="0059421B">
              <w:rPr>
                <w:rFonts w:ascii="Arial" w:hAnsi="Arial" w:cs="Arial"/>
                <w:sz w:val="20"/>
                <w:szCs w:val="20"/>
                <w:lang w:val="es-ES"/>
              </w:rPr>
              <w:t>n</w:t>
            </w:r>
            <w:r w:rsidR="002839FC" w:rsidRPr="0059421B">
              <w:rPr>
                <w:rFonts w:ascii="Arial" w:hAnsi="Arial" w:cs="Arial"/>
                <w:sz w:val="20"/>
                <w:szCs w:val="20"/>
                <w:lang w:val="es-ES"/>
              </w:rPr>
              <w:t xml:space="preserve"> el inicio de los trabajos de Instalación de Infraestructura del CS</w:t>
            </w:r>
            <w:r w:rsidRPr="0059421B">
              <w:rPr>
                <w:rFonts w:ascii="Arial" w:hAnsi="Arial" w:cs="Arial"/>
                <w:sz w:val="20"/>
                <w:szCs w:val="20"/>
                <w:lang w:val="es-ES"/>
              </w:rPr>
              <w:t xml:space="preserve"> o AS</w:t>
            </w:r>
            <w:r w:rsidR="002839FC" w:rsidRPr="0059421B">
              <w:rPr>
                <w:rFonts w:ascii="Arial" w:hAnsi="Arial" w:cs="Arial"/>
                <w:sz w:val="20"/>
                <w:szCs w:val="20"/>
                <w:lang w:val="es-ES"/>
              </w:rPr>
              <w:t>.</w:t>
            </w:r>
          </w:p>
        </w:tc>
        <w:tc>
          <w:tcPr>
            <w:tcW w:w="1545" w:type="pct"/>
            <w:vAlign w:val="center"/>
          </w:tcPr>
          <w:p w14:paraId="469A42DD" w14:textId="0F76A065" w:rsidR="002839F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2839FC" w:rsidRPr="0059421B">
              <w:rPr>
                <w:rFonts w:ascii="Arial" w:hAnsi="Arial" w:cs="Arial"/>
                <w:sz w:val="20"/>
                <w:szCs w:val="20"/>
                <w:lang w:val="es-ES"/>
              </w:rPr>
              <w:t xml:space="preserve"> DH</w:t>
            </w:r>
          </w:p>
          <w:p w14:paraId="469A42DE" w14:textId="4CC4737C" w:rsidR="002839FC" w:rsidRPr="0059421B" w:rsidRDefault="00DA34B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(A</w:t>
            </w:r>
            <w:r w:rsidR="002839FC" w:rsidRPr="0059421B">
              <w:rPr>
                <w:rFonts w:ascii="Arial" w:hAnsi="Arial" w:cs="Arial"/>
                <w:sz w:val="20"/>
                <w:szCs w:val="20"/>
                <w:lang w:val="es-ES"/>
              </w:rPr>
              <w:t xml:space="preserve">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002839FC" w:rsidRPr="0059421B">
              <w:rPr>
                <w:rFonts w:ascii="Arial" w:hAnsi="Arial" w:cs="Arial"/>
                <w:sz w:val="20"/>
                <w:szCs w:val="20"/>
                <w:lang w:val="es-ES"/>
              </w:rPr>
              <w:t>de la recepción de la propuesta de inicio de los trabajos de Instalación de Infraestructura)</w:t>
            </w:r>
          </w:p>
        </w:tc>
        <w:tc>
          <w:tcPr>
            <w:tcW w:w="1091" w:type="pct"/>
            <w:vAlign w:val="center"/>
          </w:tcPr>
          <w:p w14:paraId="469A42DF"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E1" w14:textId="77777777" w:rsidR="00BC4093" w:rsidRPr="0059421B" w:rsidRDefault="00BC4093"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BC4093" w:rsidRPr="0059421B" w14:paraId="469A42E3" w14:textId="77777777" w:rsidTr="00535492">
        <w:trPr>
          <w:jc w:val="center"/>
        </w:trPr>
        <w:tc>
          <w:tcPr>
            <w:tcW w:w="5000" w:type="pct"/>
            <w:gridSpan w:val="3"/>
            <w:shd w:val="clear" w:color="auto" w:fill="5B9BD5"/>
            <w:vAlign w:val="center"/>
          </w:tcPr>
          <w:p w14:paraId="469A42E2" w14:textId="77777777" w:rsidR="00BC4093" w:rsidRPr="0059421B" w:rsidRDefault="00BC409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6: Verificación de Instalación de Infraestructura</w:t>
            </w:r>
          </w:p>
        </w:tc>
      </w:tr>
      <w:tr w:rsidR="00BC4093" w:rsidRPr="0059421B" w14:paraId="469A42E7" w14:textId="77777777" w:rsidTr="000F7C9D">
        <w:trPr>
          <w:jc w:val="center"/>
        </w:trPr>
        <w:tc>
          <w:tcPr>
            <w:tcW w:w="2364" w:type="pct"/>
            <w:tcBorders>
              <w:bottom w:val="single" w:sz="4" w:space="0" w:color="auto"/>
            </w:tcBorders>
            <w:shd w:val="clear" w:color="auto" w:fill="5B9BD5"/>
            <w:vAlign w:val="center"/>
          </w:tcPr>
          <w:p w14:paraId="469A42E4" w14:textId="77777777" w:rsidR="00BC4093" w:rsidRPr="0059421B" w:rsidRDefault="00BC4093"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E5" w14:textId="77777777" w:rsidR="00BC4093" w:rsidRPr="0059421B" w:rsidRDefault="00BC409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E6" w14:textId="77777777" w:rsidR="00BC4093" w:rsidRPr="0059421B" w:rsidRDefault="00BC409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F7C9D" w:rsidRPr="0059421B" w14:paraId="469A42EC" w14:textId="77777777"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469A42E8" w14:textId="7D52863D" w:rsidR="00C15150" w:rsidRPr="0059421B" w:rsidRDefault="00C15150" w:rsidP="006039D9">
            <w:pPr>
              <w:suppressAutoHyphens/>
              <w:spacing w:before="0" w:after="0" w:line="276" w:lineRule="auto"/>
              <w:contextualSpacing/>
              <w:jc w:val="left"/>
              <w:rPr>
                <w:rFonts w:ascii="Arial" w:hAnsi="Arial" w:cs="Arial"/>
                <w:color w:val="000000" w:themeColor="text1"/>
                <w:sz w:val="20"/>
                <w:szCs w:val="20"/>
                <w:lang w:val="es-ES"/>
              </w:rPr>
            </w:pPr>
            <w:r w:rsidRPr="0059421B">
              <w:rPr>
                <w:rFonts w:ascii="Arial" w:hAnsi="Arial" w:cs="Arial"/>
                <w:color w:val="000000" w:themeColor="text1"/>
                <w:sz w:val="20"/>
                <w:szCs w:val="20"/>
                <w:lang w:val="es-ES"/>
              </w:rPr>
              <w:t xml:space="preserve">Las </w:t>
            </w:r>
            <w:r w:rsidR="000B7EA3">
              <w:rPr>
                <w:rFonts w:ascii="Arial" w:hAnsi="Arial" w:cs="Arial"/>
                <w:color w:val="000000" w:themeColor="text1"/>
                <w:sz w:val="20"/>
                <w:szCs w:val="20"/>
                <w:lang w:val="es-ES"/>
              </w:rPr>
              <w:t>DM de Telmex y Telnor</w:t>
            </w:r>
            <w:r w:rsidRPr="0059421B">
              <w:rPr>
                <w:rFonts w:ascii="Arial" w:hAnsi="Arial" w:cs="Arial"/>
                <w:color w:val="000000" w:themeColor="text1"/>
                <w:sz w:val="20"/>
                <w:szCs w:val="20"/>
                <w:lang w:val="es-ES"/>
              </w:rPr>
              <w:t xml:space="preserve">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469A42E9" w14:textId="54F403BA" w:rsidR="00C15150" w:rsidRPr="0059421B" w:rsidRDefault="00F051BD" w:rsidP="006039D9">
            <w:pPr>
              <w:suppressAutoHyphens/>
              <w:spacing w:before="0" w:after="0" w:line="276" w:lineRule="auto"/>
              <w:contextualSpacing/>
              <w:jc w:val="center"/>
              <w:rPr>
                <w:rFonts w:ascii="Arial" w:hAnsi="Arial" w:cs="Arial"/>
                <w:color w:val="000000" w:themeColor="text1"/>
                <w:sz w:val="20"/>
                <w:szCs w:val="20"/>
                <w:lang w:val="es-ES"/>
              </w:rPr>
            </w:pPr>
            <w:r>
              <w:rPr>
                <w:rFonts w:ascii="Arial" w:hAnsi="Arial" w:cs="Arial"/>
                <w:color w:val="000000" w:themeColor="text1"/>
                <w:sz w:val="20"/>
                <w:szCs w:val="20"/>
                <w:lang w:val="es-ES"/>
              </w:rPr>
              <w:t>Cinco</w:t>
            </w:r>
            <w:r w:rsidR="0018655C">
              <w:rPr>
                <w:rFonts w:ascii="Arial" w:hAnsi="Arial" w:cs="Arial"/>
                <w:color w:val="000000" w:themeColor="text1"/>
                <w:sz w:val="20"/>
                <w:szCs w:val="20"/>
                <w:lang w:val="es-ES"/>
              </w:rPr>
              <w:t xml:space="preserve"> </w:t>
            </w:r>
            <w:r w:rsidR="00C15150" w:rsidRPr="0059421B">
              <w:rPr>
                <w:rFonts w:ascii="Arial" w:hAnsi="Arial" w:cs="Arial"/>
                <w:color w:val="000000" w:themeColor="text1"/>
                <w:sz w:val="20"/>
                <w:szCs w:val="20"/>
                <w:lang w:val="es-ES"/>
              </w:rPr>
              <w:t>DH</w:t>
            </w:r>
          </w:p>
          <w:p w14:paraId="469A42EA" w14:textId="28EE0185" w:rsidR="00C15150" w:rsidRPr="0059421B" w:rsidRDefault="00C15150">
            <w:pPr>
              <w:suppressAutoHyphens/>
              <w:spacing w:before="0" w:after="0" w:line="276"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color w:val="000000" w:themeColor="text1"/>
                <w:sz w:val="20"/>
                <w:szCs w:val="20"/>
                <w:lang w:val="es-ES"/>
              </w:rPr>
              <w:t>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469A42EB" w14:textId="77777777" w:rsidR="00C15150" w:rsidRPr="0059421B" w:rsidRDefault="00C15150" w:rsidP="006039D9">
            <w:pPr>
              <w:suppressAutoHyphens/>
              <w:spacing w:before="0" w:after="0" w:line="276"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90 %</w:t>
            </w:r>
          </w:p>
        </w:tc>
      </w:tr>
    </w:tbl>
    <w:p w14:paraId="469A42ED" w14:textId="63E0ED6B" w:rsidR="0059421B" w:rsidRDefault="0059421B" w:rsidP="006039D9">
      <w:pPr>
        <w:spacing w:before="0" w:after="0" w:line="276" w:lineRule="auto"/>
        <w:rPr>
          <w:rFonts w:ascii="Arial" w:hAnsi="Arial" w:cs="Arial"/>
          <w:b/>
          <w:sz w:val="20"/>
          <w:szCs w:val="20"/>
          <w:u w:val="single"/>
        </w:rPr>
      </w:pPr>
    </w:p>
    <w:p w14:paraId="469A42EE" w14:textId="746C3DBA" w:rsidR="004A595B" w:rsidRDefault="004A595B"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Modificación</w:t>
      </w:r>
    </w:p>
    <w:p w14:paraId="7788FC7B" w14:textId="77777777" w:rsidR="00806A2F" w:rsidRPr="0059421B" w:rsidRDefault="00806A2F"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2F0" w14:textId="77777777" w:rsidTr="009434E8">
        <w:trPr>
          <w:trHeight w:val="467"/>
          <w:jc w:val="center"/>
        </w:trPr>
        <w:tc>
          <w:tcPr>
            <w:tcW w:w="5000" w:type="pct"/>
            <w:gridSpan w:val="3"/>
            <w:shd w:val="clear" w:color="auto" w:fill="5B9BD5"/>
            <w:vAlign w:val="center"/>
          </w:tcPr>
          <w:p w14:paraId="469A42EF"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F4" w14:textId="77777777" w:rsidTr="009434E8">
        <w:trPr>
          <w:trHeight w:val="467"/>
          <w:jc w:val="center"/>
        </w:trPr>
        <w:tc>
          <w:tcPr>
            <w:tcW w:w="2402" w:type="pct"/>
            <w:shd w:val="clear" w:color="auto" w:fill="5B9BD5"/>
            <w:vAlign w:val="center"/>
          </w:tcPr>
          <w:p w14:paraId="469A42F1"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F2"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F3"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F8" w14:textId="77777777" w:rsidTr="009434E8">
        <w:trPr>
          <w:trHeight w:val="467"/>
          <w:jc w:val="center"/>
        </w:trPr>
        <w:tc>
          <w:tcPr>
            <w:tcW w:w="2402" w:type="pct"/>
            <w:tcBorders>
              <w:bottom w:val="single" w:sz="4" w:space="0" w:color="auto"/>
            </w:tcBorders>
            <w:vAlign w:val="center"/>
          </w:tcPr>
          <w:p w14:paraId="469A42F5" w14:textId="15AB0E66"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w:t>
            </w:r>
            <w:r w:rsidR="00DA34B3" w:rsidRPr="0059421B">
              <w:rPr>
                <w:rFonts w:ascii="Arial" w:hAnsi="Arial" w:cs="Arial"/>
                <w:sz w:val="20"/>
                <w:szCs w:val="20"/>
                <w:lang w:val="es-ES"/>
              </w:rPr>
              <w:t>icitud de modificación</w:t>
            </w:r>
            <w:r w:rsidR="000925F3" w:rsidRPr="0059421B">
              <w:rPr>
                <w:rFonts w:ascii="Arial" w:hAnsi="Arial" w:cs="Arial"/>
                <w:sz w:val="20"/>
                <w:szCs w:val="20"/>
                <w:lang w:val="es-ES"/>
              </w:rPr>
              <w:t xml:space="preserve"> del Proyecto de Instalación</w:t>
            </w:r>
          </w:p>
        </w:tc>
        <w:tc>
          <w:tcPr>
            <w:tcW w:w="1582" w:type="pct"/>
            <w:tcBorders>
              <w:bottom w:val="single" w:sz="4" w:space="0" w:color="auto"/>
            </w:tcBorders>
            <w:vAlign w:val="center"/>
          </w:tcPr>
          <w:p w14:paraId="469A42F6"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2F7"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4A595B" w:rsidRPr="0059421B" w14:paraId="469A42FD" w14:textId="77777777"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2F9" w14:textId="61F4BF41" w:rsidR="004A595B"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lastRenderedPageBreak/>
              <w:t xml:space="preserve">Las </w:t>
            </w:r>
            <w:r w:rsidR="000B7EA3">
              <w:rPr>
                <w:rFonts w:ascii="Arial" w:hAnsi="Arial" w:cs="Arial"/>
                <w:sz w:val="20"/>
                <w:szCs w:val="20"/>
                <w:lang w:val="es-ES"/>
              </w:rPr>
              <w:t>DM de Telmex y Telnor</w:t>
            </w:r>
            <w:r w:rsidR="004A595B" w:rsidRPr="0059421B">
              <w:rPr>
                <w:rFonts w:ascii="Arial" w:hAnsi="Arial" w:cs="Arial"/>
                <w:sz w:val="20"/>
                <w:szCs w:val="20"/>
                <w:lang w:val="es-ES"/>
              </w:rPr>
              <w:t xml:space="preserve"> valida</w:t>
            </w:r>
            <w:r w:rsidRPr="0059421B">
              <w:rPr>
                <w:rFonts w:ascii="Arial" w:hAnsi="Arial" w:cs="Arial"/>
                <w:sz w:val="20"/>
                <w:szCs w:val="20"/>
                <w:lang w:val="es-ES"/>
              </w:rPr>
              <w:t>n</w:t>
            </w:r>
            <w:r w:rsidR="004A595B" w:rsidRPr="0059421B">
              <w:rPr>
                <w:rFonts w:ascii="Arial" w:hAnsi="Arial" w:cs="Arial"/>
                <w:sz w:val="20"/>
                <w:szCs w:val="20"/>
                <w:lang w:val="es-ES"/>
              </w:rPr>
              <w:t xml:space="preserve"> </w:t>
            </w:r>
            <w:r w:rsidRPr="0059421B">
              <w:rPr>
                <w:rFonts w:ascii="Arial" w:hAnsi="Arial" w:cs="Arial"/>
                <w:sz w:val="20"/>
                <w:szCs w:val="20"/>
                <w:lang w:val="es-ES"/>
              </w:rPr>
              <w:t>la</w:t>
            </w:r>
            <w:r w:rsidR="004A595B" w:rsidRPr="0059421B">
              <w:rPr>
                <w:rFonts w:ascii="Arial" w:hAnsi="Arial" w:cs="Arial"/>
                <w:sz w:val="20"/>
                <w:szCs w:val="20"/>
                <w:lang w:val="es-ES"/>
              </w:rPr>
              <w:t xml:space="preserve"> solicitud de modificación</w:t>
            </w:r>
            <w:r w:rsidR="000925F3" w:rsidRPr="0059421B">
              <w:rPr>
                <w:rFonts w:ascii="Arial" w:hAnsi="Arial" w:cs="Arial"/>
                <w:sz w:val="20"/>
                <w:szCs w:val="20"/>
                <w:lang w:val="es-ES"/>
              </w:rPr>
              <w:t xml:space="preserve">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14:paraId="469A42FA" w14:textId="303FE9E3" w:rsidR="004A595B"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w:t>
            </w:r>
            <w:r w:rsidR="00F051BD">
              <w:rPr>
                <w:rFonts w:ascii="Arial" w:hAnsi="Arial" w:cs="Arial"/>
                <w:sz w:val="20"/>
                <w:szCs w:val="20"/>
                <w:lang w:val="es-ES"/>
              </w:rPr>
              <w:t>n</w:t>
            </w:r>
            <w:r w:rsidR="004A595B" w:rsidRPr="0059421B">
              <w:rPr>
                <w:rFonts w:ascii="Arial" w:hAnsi="Arial" w:cs="Arial"/>
                <w:sz w:val="20"/>
                <w:szCs w:val="20"/>
                <w:lang w:val="es-ES"/>
              </w:rPr>
              <w:t xml:space="preserve"> DH</w:t>
            </w:r>
          </w:p>
          <w:p w14:paraId="469A42FB" w14:textId="4D661FA8"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 la recepción de la solicitud</w:t>
            </w:r>
            <w:r w:rsidR="000925F3" w:rsidRPr="0059421B">
              <w:rPr>
                <w:rFonts w:ascii="Arial" w:hAnsi="Arial" w:cs="Arial"/>
                <w:sz w:val="20"/>
                <w:szCs w:val="20"/>
                <w:lang w:val="es-ES"/>
              </w:rPr>
              <w:t xml:space="preserve"> de modificación</w:t>
            </w:r>
            <w:r w:rsidRPr="0059421B">
              <w:rPr>
                <w:rFonts w:ascii="Arial" w:hAnsi="Arial" w:cs="Arial"/>
                <w:sz w:val="20"/>
                <w:szCs w:val="20"/>
                <w:lang w:val="es-ES"/>
              </w:rPr>
              <w:t>)</w:t>
            </w:r>
          </w:p>
        </w:tc>
        <w:tc>
          <w:tcPr>
            <w:tcW w:w="1016" w:type="pct"/>
            <w:tcBorders>
              <w:left w:val="single" w:sz="4" w:space="0" w:color="auto"/>
            </w:tcBorders>
            <w:vAlign w:val="center"/>
          </w:tcPr>
          <w:p w14:paraId="469A42FC"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FE"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00" w14:textId="77777777" w:rsidTr="009434E8">
        <w:trPr>
          <w:trHeight w:val="467"/>
          <w:jc w:val="center"/>
        </w:trPr>
        <w:tc>
          <w:tcPr>
            <w:tcW w:w="5000" w:type="pct"/>
            <w:gridSpan w:val="3"/>
            <w:shd w:val="clear" w:color="auto" w:fill="5B9BD5"/>
            <w:vAlign w:val="center"/>
          </w:tcPr>
          <w:p w14:paraId="469A42FF"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Actualización de Anteproyecto y Programa de Trabajo</w:t>
            </w:r>
          </w:p>
        </w:tc>
      </w:tr>
      <w:tr w:rsidR="0028148B" w:rsidRPr="0059421B" w14:paraId="469A4304" w14:textId="77777777" w:rsidTr="009434E8">
        <w:trPr>
          <w:jc w:val="center"/>
        </w:trPr>
        <w:tc>
          <w:tcPr>
            <w:tcW w:w="2402" w:type="pct"/>
            <w:shd w:val="clear" w:color="auto" w:fill="5B9BD5"/>
            <w:vAlign w:val="center"/>
          </w:tcPr>
          <w:p w14:paraId="469A4301"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02"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03"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09" w14:textId="77777777" w:rsidTr="009434E8">
        <w:trPr>
          <w:jc w:val="center"/>
        </w:trPr>
        <w:tc>
          <w:tcPr>
            <w:tcW w:w="2402" w:type="pct"/>
            <w:vAlign w:val="center"/>
          </w:tcPr>
          <w:p w14:paraId="469A4305" w14:textId="408E8E49"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los cambios para modificar el Anteproyecto.</w:t>
            </w:r>
          </w:p>
        </w:tc>
        <w:tc>
          <w:tcPr>
            <w:tcW w:w="1582" w:type="pct"/>
            <w:vAlign w:val="center"/>
          </w:tcPr>
          <w:p w14:paraId="469A4306"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14:paraId="469A4307" w14:textId="61D95542"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 que</w:t>
            </w:r>
            <w:r w:rsidR="00E01E01" w:rsidRPr="0059421B">
              <w:rPr>
                <w:rFonts w:ascii="Arial" w:hAnsi="Arial" w:cs="Arial"/>
                <w:sz w:val="20"/>
                <w:szCs w:val="20"/>
                <w:lang w:val="es-ES"/>
              </w:rPr>
              <w:t xml:space="preserve"> apruebe</w:t>
            </w:r>
            <w:r w:rsidRPr="0059421B">
              <w:rPr>
                <w:rFonts w:ascii="Arial" w:hAnsi="Arial" w:cs="Arial"/>
                <w:sz w:val="20"/>
                <w:szCs w:val="20"/>
                <w:lang w:val="es-ES"/>
              </w:rPr>
              <w:t xml:space="preserve"> los cambios para modificar el Anteproyecto)</w:t>
            </w:r>
          </w:p>
        </w:tc>
        <w:tc>
          <w:tcPr>
            <w:tcW w:w="1016" w:type="pct"/>
            <w:vAlign w:val="center"/>
          </w:tcPr>
          <w:p w14:paraId="469A4308"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30A" w14:textId="41FEABDD" w:rsidR="000F7C9D" w:rsidRDefault="000F7C9D" w:rsidP="006039D9">
      <w:pPr>
        <w:spacing w:before="0" w:after="0" w:line="276" w:lineRule="auto"/>
        <w:rPr>
          <w:rFonts w:ascii="Arial" w:hAnsi="Arial" w:cs="Arial"/>
          <w:sz w:val="2"/>
        </w:rPr>
      </w:pPr>
    </w:p>
    <w:p w14:paraId="621405AF" w14:textId="77777777" w:rsidR="00806A2F" w:rsidRPr="00295C86" w:rsidRDefault="00806A2F" w:rsidP="006039D9">
      <w:pPr>
        <w:spacing w:before="0" w:after="0" w:line="276" w:lineRule="auto"/>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0C" w14:textId="77777777" w:rsidTr="009434E8">
        <w:trPr>
          <w:jc w:val="center"/>
        </w:trPr>
        <w:tc>
          <w:tcPr>
            <w:tcW w:w="5000" w:type="pct"/>
            <w:gridSpan w:val="3"/>
            <w:shd w:val="clear" w:color="auto" w:fill="5B9BD5"/>
            <w:vAlign w:val="center"/>
          </w:tcPr>
          <w:p w14:paraId="469A430B"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28148B" w:rsidRPr="0059421B" w14:paraId="469A4310" w14:textId="77777777" w:rsidTr="009434E8">
        <w:trPr>
          <w:jc w:val="center"/>
        </w:trPr>
        <w:tc>
          <w:tcPr>
            <w:tcW w:w="2402" w:type="pct"/>
            <w:shd w:val="clear" w:color="auto" w:fill="5B9BD5"/>
            <w:vAlign w:val="center"/>
          </w:tcPr>
          <w:p w14:paraId="469A430D"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0E"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0F"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15" w14:textId="77777777" w:rsidTr="009434E8">
        <w:trPr>
          <w:jc w:val="center"/>
        </w:trPr>
        <w:tc>
          <w:tcPr>
            <w:tcW w:w="2402" w:type="pct"/>
            <w:vAlign w:val="center"/>
          </w:tcPr>
          <w:p w14:paraId="469A4311" w14:textId="055A0C70" w:rsidR="004A595B"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000925F3" w:rsidRPr="0059421B">
              <w:rPr>
                <w:rFonts w:ascii="Arial" w:hAnsi="Arial" w:cs="Arial"/>
                <w:sz w:val="20"/>
                <w:szCs w:val="20"/>
                <w:lang w:val="es-ES"/>
              </w:rPr>
              <w:t xml:space="preserve"> notificará</w:t>
            </w:r>
            <w:r w:rsidRPr="0059421B">
              <w:rPr>
                <w:rFonts w:ascii="Arial" w:hAnsi="Arial" w:cs="Arial"/>
                <w:sz w:val="20"/>
                <w:szCs w:val="20"/>
                <w:lang w:val="es-ES"/>
              </w:rPr>
              <w:t>n</w:t>
            </w:r>
            <w:r w:rsidR="000925F3" w:rsidRPr="0059421B">
              <w:rPr>
                <w:rFonts w:ascii="Arial" w:hAnsi="Arial" w:cs="Arial"/>
                <w:sz w:val="20"/>
                <w:szCs w:val="20"/>
                <w:lang w:val="es-ES"/>
              </w:rPr>
              <w:t xml:space="preserve"> el resultado del Análisis de Factibilidad</w:t>
            </w:r>
            <w:r w:rsidR="004A595B" w:rsidRPr="0059421B">
              <w:rPr>
                <w:rFonts w:ascii="Arial" w:hAnsi="Arial" w:cs="Arial"/>
                <w:sz w:val="20"/>
                <w:szCs w:val="20"/>
                <w:lang w:val="es-ES"/>
              </w:rPr>
              <w:t>.</w:t>
            </w:r>
          </w:p>
        </w:tc>
        <w:tc>
          <w:tcPr>
            <w:tcW w:w="1582" w:type="pct"/>
            <w:vAlign w:val="center"/>
          </w:tcPr>
          <w:p w14:paraId="469A4312" w14:textId="1EFC71D9" w:rsidR="004A595B"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4A595B" w:rsidRPr="0059421B">
              <w:rPr>
                <w:rFonts w:ascii="Arial" w:hAnsi="Arial" w:cs="Arial"/>
                <w:sz w:val="20"/>
                <w:szCs w:val="20"/>
                <w:lang w:val="es-ES"/>
              </w:rPr>
              <w:t xml:space="preserve"> DH</w:t>
            </w:r>
          </w:p>
          <w:p w14:paraId="469A4313" w14:textId="69A8AE06"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 que el CS</w:t>
            </w:r>
            <w:r w:rsidR="00C15150" w:rsidRPr="0059421B">
              <w:rPr>
                <w:rFonts w:ascii="Arial" w:hAnsi="Arial" w:cs="Arial"/>
                <w:sz w:val="20"/>
                <w:szCs w:val="20"/>
                <w:lang w:val="es-ES"/>
              </w:rPr>
              <w:t xml:space="preserve"> o AS</w:t>
            </w:r>
            <w:r w:rsidRPr="0059421B">
              <w:rPr>
                <w:rFonts w:ascii="Arial" w:hAnsi="Arial" w:cs="Arial"/>
                <w:sz w:val="20"/>
                <w:szCs w:val="20"/>
                <w:lang w:val="es-ES"/>
              </w:rPr>
              <w:t xml:space="preserve"> entregue el Anteproyecto)</w:t>
            </w:r>
          </w:p>
        </w:tc>
        <w:tc>
          <w:tcPr>
            <w:tcW w:w="1016" w:type="pct"/>
            <w:vAlign w:val="center"/>
          </w:tcPr>
          <w:p w14:paraId="469A4314"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16" w14:textId="71D62F3F" w:rsidR="000F7C9D" w:rsidRDefault="000F7C9D" w:rsidP="006039D9">
      <w:pPr>
        <w:spacing w:before="0" w:after="0" w:line="276" w:lineRule="auto"/>
        <w:rPr>
          <w:rFonts w:ascii="Arial" w:hAnsi="Arial" w:cs="Arial"/>
          <w:sz w:val="2"/>
        </w:rPr>
      </w:pPr>
    </w:p>
    <w:p w14:paraId="40DF7BC6" w14:textId="77777777" w:rsidR="00806A2F" w:rsidRPr="00295C86" w:rsidRDefault="00806A2F" w:rsidP="006039D9">
      <w:pPr>
        <w:spacing w:before="0" w:after="0" w:line="276" w:lineRule="auto"/>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18" w14:textId="77777777" w:rsidTr="009434E8">
        <w:trPr>
          <w:jc w:val="center"/>
        </w:trPr>
        <w:tc>
          <w:tcPr>
            <w:tcW w:w="5000" w:type="pct"/>
            <w:gridSpan w:val="3"/>
            <w:shd w:val="clear" w:color="auto" w:fill="5B9BD5"/>
            <w:vAlign w:val="center"/>
          </w:tcPr>
          <w:p w14:paraId="469A4317"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28148B" w:rsidRPr="0059421B" w14:paraId="469A431C" w14:textId="77777777" w:rsidTr="009434E8">
        <w:trPr>
          <w:jc w:val="center"/>
        </w:trPr>
        <w:tc>
          <w:tcPr>
            <w:tcW w:w="2402" w:type="pct"/>
            <w:shd w:val="clear" w:color="auto" w:fill="5B9BD5"/>
            <w:vAlign w:val="center"/>
          </w:tcPr>
          <w:p w14:paraId="469A4319"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1A"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1B"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20" w14:textId="77777777" w:rsidTr="009434E8">
        <w:trPr>
          <w:jc w:val="center"/>
        </w:trPr>
        <w:tc>
          <w:tcPr>
            <w:tcW w:w="2402" w:type="pct"/>
            <w:vAlign w:val="center"/>
          </w:tcPr>
          <w:p w14:paraId="469A431D" w14:textId="356EB8F8"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C15150" w:rsidRPr="0059421B">
              <w:rPr>
                <w:rFonts w:ascii="Arial" w:hAnsi="Arial" w:cs="Arial"/>
                <w:sz w:val="20"/>
                <w:szCs w:val="20"/>
                <w:lang w:val="es-ES"/>
              </w:rPr>
              <w:t xml:space="preserve">o AS </w:t>
            </w:r>
            <w:r w:rsidRPr="0059421B">
              <w:rPr>
                <w:rFonts w:ascii="Arial" w:hAnsi="Arial" w:cs="Arial"/>
                <w:sz w:val="20"/>
                <w:szCs w:val="20"/>
                <w:lang w:val="es-ES"/>
              </w:rPr>
              <w:t>inicia la Instalación de Infraestructura.</w:t>
            </w:r>
          </w:p>
        </w:tc>
        <w:tc>
          <w:tcPr>
            <w:tcW w:w="1582" w:type="pct"/>
            <w:vAlign w:val="center"/>
          </w:tcPr>
          <w:p w14:paraId="469A431E"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Antep</w:t>
            </w:r>
            <w:r w:rsidR="000925F3" w:rsidRPr="0059421B">
              <w:rPr>
                <w:rFonts w:ascii="Arial" w:hAnsi="Arial" w:cs="Arial"/>
                <w:sz w:val="20"/>
                <w:szCs w:val="20"/>
                <w:lang w:val="es-ES"/>
              </w:rPr>
              <w:t>ro</w:t>
            </w:r>
            <w:r w:rsidRPr="0059421B">
              <w:rPr>
                <w:rFonts w:ascii="Arial" w:hAnsi="Arial" w:cs="Arial"/>
                <w:sz w:val="20"/>
                <w:szCs w:val="20"/>
                <w:lang w:val="es-ES"/>
              </w:rPr>
              <w:t>yecto y el Programa de Trabajo aprobados.</w:t>
            </w:r>
          </w:p>
        </w:tc>
        <w:tc>
          <w:tcPr>
            <w:tcW w:w="1016" w:type="pct"/>
            <w:vAlign w:val="center"/>
          </w:tcPr>
          <w:p w14:paraId="469A431F"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685B7A05" w14:textId="64F9AE93" w:rsidR="00806A2F" w:rsidRDefault="00806A2F"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82B61" w:rsidRPr="0059421B" w14:paraId="66D23FDC" w14:textId="77777777" w:rsidTr="0018655C">
        <w:trPr>
          <w:jc w:val="center"/>
        </w:trPr>
        <w:tc>
          <w:tcPr>
            <w:tcW w:w="5000" w:type="pct"/>
            <w:gridSpan w:val="3"/>
            <w:shd w:val="clear" w:color="auto" w:fill="5B9BD5"/>
            <w:vAlign w:val="center"/>
          </w:tcPr>
          <w:p w14:paraId="1702F088" w14:textId="18011190"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Etapa </w:t>
            </w:r>
            <w:r>
              <w:rPr>
                <w:rFonts w:ascii="Arial" w:hAnsi="Arial" w:cs="Arial"/>
                <w:b/>
                <w:color w:val="FFFFFF"/>
                <w:sz w:val="20"/>
                <w:szCs w:val="20"/>
                <w:lang w:val="es-ES"/>
              </w:rPr>
              <w:t>5</w:t>
            </w:r>
            <w:r w:rsidRPr="0059421B">
              <w:rPr>
                <w:rFonts w:ascii="Arial" w:hAnsi="Arial" w:cs="Arial"/>
                <w:b/>
                <w:color w:val="FFFFFF"/>
                <w:sz w:val="20"/>
                <w:szCs w:val="20"/>
                <w:lang w:val="es-ES"/>
              </w:rPr>
              <w:t>: Verificación de Instalación de Infraestructura</w:t>
            </w:r>
          </w:p>
        </w:tc>
      </w:tr>
      <w:tr w:rsidR="00582B61" w:rsidRPr="0059421B" w14:paraId="2CDD1B7C" w14:textId="77777777" w:rsidTr="0018655C">
        <w:trPr>
          <w:jc w:val="center"/>
        </w:trPr>
        <w:tc>
          <w:tcPr>
            <w:tcW w:w="2364" w:type="pct"/>
            <w:tcBorders>
              <w:bottom w:val="single" w:sz="4" w:space="0" w:color="auto"/>
            </w:tcBorders>
            <w:shd w:val="clear" w:color="auto" w:fill="5B9BD5"/>
            <w:vAlign w:val="center"/>
          </w:tcPr>
          <w:p w14:paraId="2AE8CC71" w14:textId="77777777" w:rsidR="00582B61" w:rsidRPr="0059421B" w:rsidRDefault="00582B61"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3FF7C5A5" w14:textId="77777777"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1F66266E" w14:textId="77777777"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82B61" w:rsidRPr="0059421B" w14:paraId="4A5FA32D" w14:textId="77777777" w:rsidTr="0018655C">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39742F80" w14:textId="6A9BE6C6" w:rsidR="00582B61" w:rsidRPr="0059421B" w:rsidRDefault="00582B61"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Pr="0059421B">
              <w:rPr>
                <w:rFonts w:ascii="Arial" w:hAnsi="Arial" w:cs="Arial"/>
                <w:sz w:val="20"/>
                <w:szCs w:val="20"/>
                <w:lang w:val="es-ES"/>
              </w:rPr>
              <w:t xml:space="preserve">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394F17F8" w14:textId="55A85724" w:rsidR="00582B61"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4341E7">
              <w:rPr>
                <w:rFonts w:ascii="Arial" w:hAnsi="Arial" w:cs="Arial"/>
                <w:sz w:val="20"/>
                <w:szCs w:val="20"/>
                <w:lang w:val="es-ES"/>
              </w:rPr>
              <w:t xml:space="preserve"> </w:t>
            </w:r>
            <w:r w:rsidR="00582B61" w:rsidRPr="0059421B">
              <w:rPr>
                <w:rFonts w:ascii="Arial" w:hAnsi="Arial" w:cs="Arial"/>
                <w:sz w:val="20"/>
                <w:szCs w:val="20"/>
                <w:lang w:val="es-ES"/>
              </w:rPr>
              <w:t>DH</w:t>
            </w:r>
          </w:p>
          <w:p w14:paraId="2A575019" w14:textId="4DBD0C6E" w:rsidR="00582B61" w:rsidRPr="0059421B" w:rsidRDefault="00582B61">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72A8A21A" w14:textId="77777777"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582B61" w:rsidRPr="0059421B" w14:paraId="62E82F47" w14:textId="77777777" w:rsidTr="0018655C">
        <w:trPr>
          <w:jc w:val="center"/>
        </w:trPr>
        <w:tc>
          <w:tcPr>
            <w:tcW w:w="2364" w:type="pct"/>
            <w:tcBorders>
              <w:top w:val="single" w:sz="4" w:space="0" w:color="auto"/>
            </w:tcBorders>
            <w:shd w:val="clear" w:color="auto" w:fill="auto"/>
            <w:vAlign w:val="center"/>
          </w:tcPr>
          <w:p w14:paraId="5203C632" w14:textId="31C0F088" w:rsidR="00582B61" w:rsidRPr="0059421B" w:rsidRDefault="00582B61" w:rsidP="006039D9">
            <w:pPr>
              <w:suppressAutoHyphens/>
              <w:spacing w:before="0" w:after="0" w:line="276" w:lineRule="auto"/>
              <w:contextualSpacing/>
              <w:jc w:val="left"/>
              <w:rPr>
                <w:rFonts w:ascii="Arial" w:hAnsi="Arial" w:cs="Arial"/>
                <w:b/>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Pr="0059421B">
              <w:rPr>
                <w:rFonts w:ascii="Arial" w:hAnsi="Arial" w:cs="Arial"/>
                <w:sz w:val="20"/>
                <w:szCs w:val="20"/>
                <w:lang w:val="es-ES"/>
              </w:rPr>
              <w:t xml:space="preserve">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14:paraId="75D745A0" w14:textId="77777777" w:rsidR="00582B61" w:rsidRPr="0059421B" w:rsidDel="00324AB3"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14:paraId="5E9706AE" w14:textId="77777777" w:rsidR="00582B61" w:rsidRPr="0059421B" w:rsidDel="00324AB3"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63592DF4" w14:textId="5EB7BC50" w:rsidR="0025217B" w:rsidRDefault="0025217B" w:rsidP="006039D9">
      <w:pPr>
        <w:spacing w:before="0" w:after="0" w:line="276" w:lineRule="auto"/>
        <w:rPr>
          <w:rFonts w:ascii="Arial" w:hAnsi="Arial" w:cs="Arial"/>
          <w:b/>
          <w:sz w:val="20"/>
          <w:szCs w:val="20"/>
          <w:u w:val="single"/>
        </w:rPr>
      </w:pPr>
    </w:p>
    <w:p w14:paraId="49C04106" w14:textId="77777777" w:rsidR="0025217B" w:rsidRDefault="0025217B">
      <w:pPr>
        <w:spacing w:before="0" w:after="0" w:line="240" w:lineRule="auto"/>
        <w:jc w:val="left"/>
        <w:rPr>
          <w:rFonts w:ascii="Arial" w:hAnsi="Arial" w:cs="Arial"/>
          <w:b/>
          <w:sz w:val="20"/>
          <w:szCs w:val="20"/>
          <w:u w:val="single"/>
        </w:rPr>
      </w:pPr>
      <w:r>
        <w:rPr>
          <w:rFonts w:ascii="Arial" w:hAnsi="Arial" w:cs="Arial"/>
          <w:b/>
          <w:sz w:val="20"/>
          <w:szCs w:val="20"/>
          <w:u w:val="single"/>
        </w:rPr>
        <w:br w:type="page"/>
      </w:r>
    </w:p>
    <w:p w14:paraId="469A4321" w14:textId="6C9676D1" w:rsidR="004A595B" w:rsidRDefault="004A595B"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lastRenderedPageBreak/>
        <w:t>Baja</w:t>
      </w:r>
    </w:p>
    <w:p w14:paraId="2E0453A4" w14:textId="77777777" w:rsidR="00806A2F" w:rsidRDefault="00806A2F"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23" w14:textId="77777777" w:rsidTr="009434E8">
        <w:trPr>
          <w:trHeight w:val="467"/>
          <w:jc w:val="center"/>
        </w:trPr>
        <w:tc>
          <w:tcPr>
            <w:tcW w:w="5000" w:type="pct"/>
            <w:gridSpan w:val="3"/>
            <w:shd w:val="clear" w:color="auto" w:fill="5B9BD5"/>
            <w:vAlign w:val="center"/>
          </w:tcPr>
          <w:p w14:paraId="469A4322"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327" w14:textId="77777777" w:rsidTr="009434E8">
        <w:trPr>
          <w:trHeight w:val="467"/>
          <w:jc w:val="center"/>
        </w:trPr>
        <w:tc>
          <w:tcPr>
            <w:tcW w:w="2402" w:type="pct"/>
            <w:shd w:val="clear" w:color="auto" w:fill="5B9BD5"/>
            <w:vAlign w:val="center"/>
          </w:tcPr>
          <w:p w14:paraId="469A4324"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2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2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2B" w14:textId="77777777" w:rsidTr="009434E8">
        <w:trPr>
          <w:trHeight w:val="467"/>
          <w:jc w:val="center"/>
        </w:trPr>
        <w:tc>
          <w:tcPr>
            <w:tcW w:w="2402" w:type="pct"/>
            <w:tcBorders>
              <w:bottom w:val="single" w:sz="4" w:space="0" w:color="auto"/>
            </w:tcBorders>
            <w:vAlign w:val="center"/>
          </w:tcPr>
          <w:p w14:paraId="469A4328" w14:textId="60B5E168"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baja</w:t>
            </w:r>
          </w:p>
        </w:tc>
        <w:tc>
          <w:tcPr>
            <w:tcW w:w="1582" w:type="pct"/>
            <w:tcBorders>
              <w:bottom w:val="single" w:sz="4" w:space="0" w:color="auto"/>
            </w:tcBorders>
            <w:vAlign w:val="center"/>
          </w:tcPr>
          <w:p w14:paraId="469A4329"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32A"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0925F3" w:rsidRPr="0059421B" w14:paraId="469A4330" w14:textId="77777777"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32C" w14:textId="51D85BF6" w:rsidR="000925F3"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000925F3" w:rsidRPr="0059421B">
              <w:rPr>
                <w:rFonts w:ascii="Arial" w:hAnsi="Arial" w:cs="Arial"/>
                <w:sz w:val="20"/>
                <w:szCs w:val="20"/>
                <w:lang w:val="es-ES"/>
              </w:rPr>
              <w:t xml:space="preserve"> notifica</w:t>
            </w:r>
            <w:r w:rsidRPr="0059421B">
              <w:rPr>
                <w:rFonts w:ascii="Arial" w:hAnsi="Arial" w:cs="Arial"/>
                <w:sz w:val="20"/>
                <w:szCs w:val="20"/>
                <w:lang w:val="es-ES"/>
              </w:rPr>
              <w:t>rán</w:t>
            </w:r>
            <w:r w:rsidR="000925F3" w:rsidRPr="0059421B">
              <w:rPr>
                <w:rFonts w:ascii="Arial" w:hAnsi="Arial" w:cs="Arial"/>
                <w:sz w:val="20"/>
                <w:szCs w:val="20"/>
                <w:lang w:val="es-ES"/>
              </w:rPr>
              <w:t xml:space="preserve"> la validación de la solicitud.</w:t>
            </w:r>
          </w:p>
        </w:tc>
        <w:tc>
          <w:tcPr>
            <w:tcW w:w="1582" w:type="pct"/>
            <w:tcBorders>
              <w:top w:val="single" w:sz="4" w:space="0" w:color="auto"/>
              <w:left w:val="single" w:sz="4" w:space="0" w:color="auto"/>
              <w:bottom w:val="single" w:sz="4" w:space="0" w:color="auto"/>
              <w:right w:val="single" w:sz="4" w:space="0" w:color="auto"/>
            </w:tcBorders>
            <w:vAlign w:val="center"/>
          </w:tcPr>
          <w:p w14:paraId="469A432D" w14:textId="3623DA98"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w:t>
            </w:r>
            <w:r w:rsidR="00F051BD">
              <w:rPr>
                <w:rFonts w:ascii="Arial" w:hAnsi="Arial" w:cs="Arial"/>
                <w:sz w:val="20"/>
                <w:szCs w:val="20"/>
                <w:lang w:val="es-ES"/>
              </w:rPr>
              <w:t>n</w:t>
            </w:r>
            <w:r w:rsidR="000925F3" w:rsidRPr="0059421B">
              <w:rPr>
                <w:rFonts w:ascii="Arial" w:hAnsi="Arial" w:cs="Arial"/>
                <w:sz w:val="20"/>
                <w:szCs w:val="20"/>
                <w:lang w:val="es-ES"/>
              </w:rPr>
              <w:t xml:space="preserve"> DH</w:t>
            </w:r>
          </w:p>
          <w:p w14:paraId="469A432E" w14:textId="6F3D86A6"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 la recepción de la solicitud)</w:t>
            </w:r>
          </w:p>
        </w:tc>
        <w:tc>
          <w:tcPr>
            <w:tcW w:w="1016" w:type="pct"/>
            <w:tcBorders>
              <w:left w:val="single" w:sz="4" w:space="0" w:color="auto"/>
            </w:tcBorders>
            <w:vAlign w:val="center"/>
          </w:tcPr>
          <w:p w14:paraId="469A432F"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31" w14:textId="77777777" w:rsidR="000F7C9D" w:rsidRPr="00295C86" w:rsidRDefault="000F7C9D" w:rsidP="006039D9">
      <w:pPr>
        <w:spacing w:before="0" w:after="0" w:line="276" w:lineRule="auto"/>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33" w14:textId="77777777" w:rsidTr="009434E8">
        <w:trPr>
          <w:trHeight w:val="467"/>
          <w:jc w:val="center"/>
        </w:trPr>
        <w:tc>
          <w:tcPr>
            <w:tcW w:w="5000" w:type="pct"/>
            <w:gridSpan w:val="3"/>
            <w:shd w:val="clear" w:color="auto" w:fill="5B9BD5"/>
            <w:vAlign w:val="center"/>
          </w:tcPr>
          <w:p w14:paraId="469A4332"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28148B" w:rsidRPr="0059421B" w14:paraId="469A4337" w14:textId="77777777" w:rsidTr="009434E8">
        <w:trPr>
          <w:jc w:val="center"/>
        </w:trPr>
        <w:tc>
          <w:tcPr>
            <w:tcW w:w="2402" w:type="pct"/>
            <w:shd w:val="clear" w:color="auto" w:fill="5B9BD5"/>
            <w:vAlign w:val="center"/>
          </w:tcPr>
          <w:p w14:paraId="469A4334"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35"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36"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0925F3" w:rsidRPr="0059421B" w14:paraId="469A433C" w14:textId="77777777" w:rsidTr="009434E8">
        <w:trPr>
          <w:jc w:val="center"/>
        </w:trPr>
        <w:tc>
          <w:tcPr>
            <w:tcW w:w="2402" w:type="pct"/>
            <w:vAlign w:val="center"/>
          </w:tcPr>
          <w:p w14:paraId="469A4338" w14:textId="29813D3F" w:rsidR="000925F3" w:rsidRPr="0059421B" w:rsidRDefault="000925F3"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el Programa de Trabajo</w:t>
            </w:r>
          </w:p>
        </w:tc>
        <w:tc>
          <w:tcPr>
            <w:tcW w:w="1582" w:type="pct"/>
            <w:vAlign w:val="center"/>
          </w:tcPr>
          <w:p w14:paraId="469A4339" w14:textId="1885BCE2"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w:t>
            </w:r>
            <w:r w:rsidR="00F051BD">
              <w:rPr>
                <w:rFonts w:ascii="Arial" w:hAnsi="Arial" w:cs="Arial"/>
                <w:sz w:val="20"/>
                <w:szCs w:val="20"/>
                <w:lang w:val="es-ES"/>
              </w:rPr>
              <w:t>iez</w:t>
            </w:r>
            <w:r w:rsidR="004341E7">
              <w:rPr>
                <w:rFonts w:ascii="Arial" w:hAnsi="Arial" w:cs="Arial"/>
                <w:sz w:val="20"/>
                <w:szCs w:val="20"/>
                <w:lang w:val="es-ES"/>
              </w:rPr>
              <w:t xml:space="preserve"> </w:t>
            </w:r>
            <w:r w:rsidR="000925F3" w:rsidRPr="0059421B">
              <w:rPr>
                <w:rFonts w:ascii="Arial" w:hAnsi="Arial" w:cs="Arial"/>
                <w:sz w:val="20"/>
                <w:szCs w:val="20"/>
                <w:lang w:val="es-ES"/>
              </w:rPr>
              <w:t xml:space="preserve">DH </w:t>
            </w:r>
          </w:p>
          <w:p w14:paraId="469A433A" w14:textId="5DD8C15C"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 xml:space="preserve">de que </w:t>
            </w:r>
            <w:r w:rsidR="00B8173C">
              <w:rPr>
                <w:rFonts w:ascii="Arial" w:hAnsi="Arial" w:cs="Arial"/>
                <w:sz w:val="20"/>
                <w:szCs w:val="20"/>
                <w:lang w:val="es-ES"/>
              </w:rPr>
              <w:t>l</w:t>
            </w:r>
            <w:r w:rsidR="00C15150" w:rsidRPr="0059421B">
              <w:rPr>
                <w:rFonts w:ascii="Arial" w:hAnsi="Arial" w:cs="Arial"/>
                <w:sz w:val="20"/>
                <w:szCs w:val="20"/>
                <w:lang w:val="es-ES"/>
              </w:rPr>
              <w:t xml:space="preserve">as </w:t>
            </w:r>
            <w:r w:rsidR="000B7EA3">
              <w:rPr>
                <w:rFonts w:ascii="Arial" w:hAnsi="Arial" w:cs="Arial"/>
                <w:sz w:val="20"/>
                <w:szCs w:val="20"/>
                <w:lang w:val="es-ES"/>
              </w:rPr>
              <w:t>DM de Telmex y Telnor</w:t>
            </w:r>
            <w:r w:rsidRPr="0059421B">
              <w:rPr>
                <w:rFonts w:ascii="Arial" w:hAnsi="Arial" w:cs="Arial"/>
                <w:sz w:val="20"/>
                <w:szCs w:val="20"/>
                <w:lang w:val="es-ES"/>
              </w:rPr>
              <w:t xml:space="preserve"> aprob</w:t>
            </w:r>
            <w:r w:rsidR="00C15150" w:rsidRPr="0059421B">
              <w:rPr>
                <w:rFonts w:ascii="Arial" w:hAnsi="Arial" w:cs="Arial"/>
                <w:sz w:val="20"/>
                <w:szCs w:val="20"/>
                <w:lang w:val="es-ES"/>
              </w:rPr>
              <w:t>aron</w:t>
            </w:r>
            <w:r w:rsidRPr="0059421B">
              <w:rPr>
                <w:rFonts w:ascii="Arial" w:hAnsi="Arial" w:cs="Arial"/>
                <w:sz w:val="20"/>
                <w:szCs w:val="20"/>
                <w:lang w:val="es-ES"/>
              </w:rPr>
              <w:t xml:space="preserve"> la baja de los servicios)</w:t>
            </w:r>
          </w:p>
        </w:tc>
        <w:tc>
          <w:tcPr>
            <w:tcW w:w="1016" w:type="pct"/>
            <w:vAlign w:val="center"/>
          </w:tcPr>
          <w:p w14:paraId="469A433B"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0925F3" w:rsidRPr="0059421B" w14:paraId="469A4341" w14:textId="77777777" w:rsidTr="009434E8">
        <w:trPr>
          <w:jc w:val="center"/>
        </w:trPr>
        <w:tc>
          <w:tcPr>
            <w:tcW w:w="2402" w:type="pct"/>
            <w:vAlign w:val="center"/>
          </w:tcPr>
          <w:p w14:paraId="469A433D" w14:textId="3ED2E2A5" w:rsidR="000925F3"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000925F3" w:rsidRPr="0059421B">
              <w:rPr>
                <w:rFonts w:ascii="Arial" w:hAnsi="Arial" w:cs="Arial"/>
                <w:sz w:val="20"/>
                <w:szCs w:val="20"/>
                <w:lang w:val="es-ES"/>
              </w:rPr>
              <w:t xml:space="preserve"> valida</w:t>
            </w:r>
            <w:r w:rsidRPr="0059421B">
              <w:rPr>
                <w:rFonts w:ascii="Arial" w:hAnsi="Arial" w:cs="Arial"/>
                <w:sz w:val="20"/>
                <w:szCs w:val="20"/>
                <w:lang w:val="es-ES"/>
              </w:rPr>
              <w:t>n</w:t>
            </w:r>
            <w:r w:rsidR="000925F3" w:rsidRPr="0059421B">
              <w:rPr>
                <w:rFonts w:ascii="Arial" w:hAnsi="Arial" w:cs="Arial"/>
                <w:sz w:val="20"/>
                <w:szCs w:val="20"/>
                <w:lang w:val="es-ES"/>
              </w:rPr>
              <w:t xml:space="preserve"> el Programa de Trabajo.</w:t>
            </w:r>
          </w:p>
        </w:tc>
        <w:tc>
          <w:tcPr>
            <w:tcW w:w="1582" w:type="pct"/>
            <w:vAlign w:val="center"/>
          </w:tcPr>
          <w:p w14:paraId="469A433E" w14:textId="5DABDE66"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0925F3" w:rsidRPr="0059421B">
              <w:rPr>
                <w:rFonts w:ascii="Arial" w:hAnsi="Arial" w:cs="Arial"/>
                <w:sz w:val="20"/>
                <w:szCs w:val="20"/>
                <w:lang w:val="es-ES"/>
              </w:rPr>
              <w:t xml:space="preserve"> DH</w:t>
            </w:r>
          </w:p>
          <w:p w14:paraId="469A433F" w14:textId="050896FA"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de que 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entregó el Programa de Trabajo)</w:t>
            </w:r>
          </w:p>
        </w:tc>
        <w:tc>
          <w:tcPr>
            <w:tcW w:w="1016" w:type="pct"/>
            <w:vAlign w:val="center"/>
          </w:tcPr>
          <w:p w14:paraId="469A4340"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42"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44" w14:textId="77777777" w:rsidTr="009434E8">
        <w:trPr>
          <w:jc w:val="center"/>
        </w:trPr>
        <w:tc>
          <w:tcPr>
            <w:tcW w:w="5000" w:type="pct"/>
            <w:gridSpan w:val="3"/>
            <w:shd w:val="clear" w:color="auto" w:fill="5B9BD5"/>
            <w:vAlign w:val="center"/>
          </w:tcPr>
          <w:p w14:paraId="469A4343"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Retiro de Infraestructura</w:t>
            </w:r>
          </w:p>
        </w:tc>
      </w:tr>
      <w:tr w:rsidR="0028148B" w:rsidRPr="0059421B" w14:paraId="469A4348" w14:textId="77777777" w:rsidTr="009434E8">
        <w:trPr>
          <w:jc w:val="center"/>
        </w:trPr>
        <w:tc>
          <w:tcPr>
            <w:tcW w:w="2402" w:type="pct"/>
            <w:shd w:val="clear" w:color="auto" w:fill="5B9BD5"/>
            <w:vAlign w:val="center"/>
          </w:tcPr>
          <w:p w14:paraId="469A4345"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4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47"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925F3" w:rsidRPr="0059421B" w14:paraId="469A434C" w14:textId="77777777" w:rsidTr="009434E8">
        <w:trPr>
          <w:jc w:val="center"/>
        </w:trPr>
        <w:tc>
          <w:tcPr>
            <w:tcW w:w="2402" w:type="pct"/>
            <w:vAlign w:val="center"/>
          </w:tcPr>
          <w:p w14:paraId="469A4349" w14:textId="7EF8496B" w:rsidR="000925F3" w:rsidRPr="0059421B" w:rsidRDefault="000925F3"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realiza el retiro de su infraestructura.</w:t>
            </w:r>
          </w:p>
        </w:tc>
        <w:tc>
          <w:tcPr>
            <w:tcW w:w="1582" w:type="pct"/>
            <w:vAlign w:val="center"/>
          </w:tcPr>
          <w:p w14:paraId="469A434A"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16" w:type="pct"/>
            <w:vAlign w:val="center"/>
          </w:tcPr>
          <w:p w14:paraId="469A434B"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34D" w14:textId="77777777" w:rsidR="001A02F3" w:rsidRPr="009615EA" w:rsidRDefault="001A02F3" w:rsidP="006039D9">
      <w:pPr>
        <w:spacing w:before="0" w:after="0" w:line="276" w:lineRule="auto"/>
        <w:rPr>
          <w:rFonts w:ascii="Arial" w:hAnsi="Arial" w:cs="Arial"/>
          <w:sz w:val="6"/>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4F" w14:textId="77777777" w:rsidTr="009434E8">
        <w:trPr>
          <w:jc w:val="center"/>
        </w:trPr>
        <w:tc>
          <w:tcPr>
            <w:tcW w:w="5000" w:type="pct"/>
            <w:gridSpan w:val="3"/>
            <w:shd w:val="clear" w:color="auto" w:fill="5B9BD5"/>
            <w:vAlign w:val="center"/>
          </w:tcPr>
          <w:p w14:paraId="469A434E"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14:paraId="469A4353" w14:textId="77777777" w:rsidTr="009434E8">
        <w:trPr>
          <w:jc w:val="center"/>
        </w:trPr>
        <w:tc>
          <w:tcPr>
            <w:tcW w:w="2402" w:type="pct"/>
            <w:shd w:val="clear" w:color="auto" w:fill="5B9BD5"/>
            <w:vAlign w:val="center"/>
          </w:tcPr>
          <w:p w14:paraId="469A4350"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51"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52"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925F3" w:rsidRPr="0059421B" w14:paraId="469A4358" w14:textId="77777777" w:rsidTr="009434E8">
        <w:trPr>
          <w:jc w:val="center"/>
        </w:trPr>
        <w:tc>
          <w:tcPr>
            <w:tcW w:w="2402" w:type="pct"/>
            <w:vAlign w:val="center"/>
          </w:tcPr>
          <w:p w14:paraId="469A4354" w14:textId="3B4DA28B" w:rsidR="000925F3"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000925F3" w:rsidRPr="0059421B">
              <w:rPr>
                <w:rFonts w:ascii="Arial" w:hAnsi="Arial" w:cs="Arial"/>
                <w:sz w:val="20"/>
                <w:szCs w:val="20"/>
                <w:lang w:val="es-ES"/>
              </w:rPr>
              <w:t xml:space="preserve"> realizará</w:t>
            </w:r>
            <w:r w:rsidRPr="0059421B">
              <w:rPr>
                <w:rFonts w:ascii="Arial" w:hAnsi="Arial" w:cs="Arial"/>
                <w:sz w:val="20"/>
                <w:szCs w:val="20"/>
                <w:lang w:val="es-ES"/>
              </w:rPr>
              <w:t>n</w:t>
            </w:r>
            <w:r w:rsidR="000925F3" w:rsidRPr="0059421B">
              <w:rPr>
                <w:rFonts w:ascii="Arial" w:hAnsi="Arial" w:cs="Arial"/>
                <w:sz w:val="20"/>
                <w:szCs w:val="20"/>
                <w:lang w:val="es-ES"/>
              </w:rPr>
              <w:t xml:space="preserve"> la verificación de la Desinstalación de Infraestructura.</w:t>
            </w:r>
          </w:p>
        </w:tc>
        <w:tc>
          <w:tcPr>
            <w:tcW w:w="1582" w:type="pct"/>
            <w:vAlign w:val="center"/>
          </w:tcPr>
          <w:p w14:paraId="469A4355" w14:textId="257FE704"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w:t>
            </w:r>
            <w:r w:rsidR="00F051BD">
              <w:rPr>
                <w:rFonts w:ascii="Arial" w:hAnsi="Arial" w:cs="Arial"/>
                <w:sz w:val="20"/>
                <w:szCs w:val="20"/>
                <w:lang w:val="es-ES"/>
              </w:rPr>
              <w:t>iez</w:t>
            </w:r>
            <w:r w:rsidR="004341E7">
              <w:rPr>
                <w:rFonts w:ascii="Arial" w:hAnsi="Arial" w:cs="Arial"/>
                <w:sz w:val="20"/>
                <w:szCs w:val="20"/>
                <w:lang w:val="es-ES"/>
              </w:rPr>
              <w:t xml:space="preserve"> </w:t>
            </w:r>
            <w:r w:rsidR="000925F3" w:rsidRPr="0059421B">
              <w:rPr>
                <w:rFonts w:ascii="Arial" w:hAnsi="Arial" w:cs="Arial"/>
                <w:sz w:val="20"/>
                <w:szCs w:val="20"/>
                <w:lang w:val="es-ES"/>
              </w:rPr>
              <w:t>DH</w:t>
            </w:r>
          </w:p>
          <w:p w14:paraId="469A4356" w14:textId="35949FC1"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 xml:space="preserve">de que el CS </w:t>
            </w:r>
            <w:r w:rsidR="00C15150" w:rsidRPr="0059421B">
              <w:rPr>
                <w:rFonts w:ascii="Arial" w:hAnsi="Arial" w:cs="Arial"/>
                <w:sz w:val="20"/>
                <w:szCs w:val="20"/>
                <w:lang w:val="es-ES"/>
              </w:rPr>
              <w:t xml:space="preserve">o AS </w:t>
            </w:r>
            <w:r w:rsidRPr="0059421B">
              <w:rPr>
                <w:rFonts w:ascii="Arial" w:hAnsi="Arial" w:cs="Arial"/>
                <w:sz w:val="20"/>
                <w:szCs w:val="20"/>
                <w:lang w:val="es-ES"/>
              </w:rPr>
              <w:t>notifique</w:t>
            </w:r>
            <w:r w:rsidR="00C15150"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16" w:type="pct"/>
            <w:vAlign w:val="center"/>
          </w:tcPr>
          <w:p w14:paraId="469A4357"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0925F3" w:rsidRPr="0059421B" w14:paraId="469A435D" w14:textId="77777777" w:rsidTr="009434E8">
        <w:trPr>
          <w:jc w:val="center"/>
        </w:trPr>
        <w:tc>
          <w:tcPr>
            <w:tcW w:w="2402" w:type="pct"/>
            <w:vAlign w:val="center"/>
          </w:tcPr>
          <w:p w14:paraId="469A4359" w14:textId="2C6176BA" w:rsidR="000925F3" w:rsidRPr="0059421B" w:rsidRDefault="00C15150"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Las </w:t>
            </w:r>
            <w:r w:rsidR="000B7EA3">
              <w:rPr>
                <w:rFonts w:ascii="Arial" w:hAnsi="Arial" w:cs="Arial"/>
                <w:sz w:val="20"/>
                <w:szCs w:val="20"/>
                <w:lang w:val="es-ES"/>
              </w:rPr>
              <w:t>DM de Telmex y Telnor</w:t>
            </w:r>
            <w:r w:rsidR="000925F3" w:rsidRPr="0059421B">
              <w:rPr>
                <w:rFonts w:ascii="Arial" w:hAnsi="Arial" w:cs="Arial"/>
                <w:sz w:val="20"/>
                <w:szCs w:val="20"/>
                <w:lang w:val="es-ES"/>
              </w:rPr>
              <w:t xml:space="preserve"> propone</w:t>
            </w:r>
            <w:r w:rsidRPr="0059421B">
              <w:rPr>
                <w:rFonts w:ascii="Arial" w:hAnsi="Arial" w:cs="Arial"/>
                <w:sz w:val="20"/>
                <w:szCs w:val="20"/>
                <w:lang w:val="es-ES"/>
              </w:rPr>
              <w:t>n</w:t>
            </w:r>
            <w:r w:rsidR="000925F3" w:rsidRPr="0059421B">
              <w:rPr>
                <w:rFonts w:ascii="Arial" w:hAnsi="Arial" w:cs="Arial"/>
                <w:sz w:val="20"/>
                <w:szCs w:val="20"/>
                <w:lang w:val="es-ES"/>
              </w:rPr>
              <w:t xml:space="preserve"> fecha y hora para realizar la Verificación de Desinstalación de Infraestructura.</w:t>
            </w:r>
          </w:p>
        </w:tc>
        <w:tc>
          <w:tcPr>
            <w:tcW w:w="1582" w:type="pct"/>
            <w:vAlign w:val="center"/>
          </w:tcPr>
          <w:p w14:paraId="469A435A" w14:textId="36CE56E0"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0925F3" w:rsidRPr="0059421B">
              <w:rPr>
                <w:rFonts w:ascii="Arial" w:hAnsi="Arial" w:cs="Arial"/>
                <w:sz w:val="20"/>
                <w:szCs w:val="20"/>
                <w:lang w:val="es-ES"/>
              </w:rPr>
              <w:t xml:space="preserve"> DH </w:t>
            </w:r>
          </w:p>
          <w:p w14:paraId="469A435B" w14:textId="5F7ED278" w:rsidR="000925F3" w:rsidRPr="0059421B" w:rsidRDefault="000925F3">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w:t>
            </w:r>
            <w:r w:rsidR="00B8173C">
              <w:rPr>
                <w:rFonts w:ascii="Arial" w:hAnsi="Arial" w:cs="Arial"/>
                <w:sz w:val="20"/>
                <w:szCs w:val="20"/>
                <w:lang w:val="es-ES"/>
              </w:rPr>
              <w:t xml:space="preserve">del siguiente </w:t>
            </w:r>
            <w:r w:rsidR="00B8173C" w:rsidRPr="00430622">
              <w:rPr>
                <w:rFonts w:ascii="Arial" w:hAnsi="Arial" w:cs="Arial"/>
                <w:sz w:val="20"/>
                <w:szCs w:val="20"/>
                <w:lang w:val="es-ES"/>
              </w:rPr>
              <w:t>día hábil</w:t>
            </w:r>
            <w:r w:rsidR="00B8173C" w:rsidRPr="0059421B">
              <w:rPr>
                <w:rFonts w:ascii="Arial" w:hAnsi="Arial" w:cs="Arial"/>
                <w:sz w:val="20"/>
                <w:szCs w:val="20"/>
                <w:lang w:val="es-ES"/>
              </w:rPr>
              <w:t xml:space="preserve"> </w:t>
            </w:r>
            <w:r w:rsidRPr="0059421B">
              <w:rPr>
                <w:rFonts w:ascii="Arial" w:hAnsi="Arial" w:cs="Arial"/>
                <w:sz w:val="20"/>
                <w:szCs w:val="20"/>
                <w:lang w:val="es-ES"/>
              </w:rPr>
              <w:t>que el CS</w:t>
            </w:r>
            <w:r w:rsidR="009615EA">
              <w:rPr>
                <w:rFonts w:ascii="Arial" w:hAnsi="Arial" w:cs="Arial"/>
                <w:sz w:val="20"/>
                <w:szCs w:val="20"/>
                <w:lang w:val="es-ES"/>
              </w:rPr>
              <w:t xml:space="preserve"> o AS</w:t>
            </w:r>
            <w:r w:rsidRPr="0059421B">
              <w:rPr>
                <w:rFonts w:ascii="Arial" w:hAnsi="Arial" w:cs="Arial"/>
                <w:sz w:val="20"/>
                <w:szCs w:val="20"/>
                <w:lang w:val="es-ES"/>
              </w:rPr>
              <w:t xml:space="preserve"> notifique que ha concluido los trabajos de Desinstalación de Infraestructura)</w:t>
            </w:r>
          </w:p>
        </w:tc>
        <w:tc>
          <w:tcPr>
            <w:tcW w:w="1016" w:type="pct"/>
            <w:vAlign w:val="center"/>
          </w:tcPr>
          <w:p w14:paraId="469A435C"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8F4D092" w14:textId="77777777" w:rsidR="006039D9" w:rsidRDefault="006039D9" w:rsidP="006039D9">
      <w:pPr>
        <w:spacing w:before="0" w:after="0" w:line="276" w:lineRule="auto"/>
        <w:jc w:val="left"/>
        <w:rPr>
          <w:rFonts w:ascii="Arial" w:hAnsi="Arial" w:cs="Arial"/>
          <w:sz w:val="22"/>
          <w:szCs w:val="22"/>
        </w:rPr>
      </w:pPr>
    </w:p>
    <w:p w14:paraId="469A435F" w14:textId="15EFCE4F" w:rsidR="006814AD" w:rsidRDefault="006814AD" w:rsidP="006039D9">
      <w:pPr>
        <w:pStyle w:val="Ttulo2"/>
        <w:spacing w:before="0" w:after="0" w:line="276" w:lineRule="auto"/>
        <w:rPr>
          <w:rFonts w:ascii="Arial" w:hAnsi="Arial" w:cs="Arial"/>
          <w:sz w:val="22"/>
          <w:szCs w:val="22"/>
        </w:rPr>
      </w:pPr>
      <w:r w:rsidRPr="0059421B">
        <w:rPr>
          <w:rFonts w:ascii="Arial" w:hAnsi="Arial" w:cs="Arial"/>
          <w:sz w:val="22"/>
          <w:szCs w:val="22"/>
        </w:rPr>
        <w:lastRenderedPageBreak/>
        <w:t>Penas Convencionales</w:t>
      </w:r>
    </w:p>
    <w:p w14:paraId="2BCA730F" w14:textId="77777777" w:rsidR="006039D9" w:rsidRPr="006039D9" w:rsidRDefault="006039D9" w:rsidP="006039D9">
      <w:pPr>
        <w:spacing w:before="0" w:after="0" w:line="276" w:lineRule="auto"/>
        <w:jc w:val="left"/>
      </w:pPr>
    </w:p>
    <w:p w14:paraId="469A4360" w14:textId="6C7A3793"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En caso de 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no alcance el indicador de calidad correspondiente a cualquier parámetro de algún Servicio objeto </w:t>
      </w:r>
      <w:r w:rsidR="009615EA">
        <w:rPr>
          <w:rFonts w:ascii="Arial" w:hAnsi="Arial" w:cs="Arial"/>
          <w:bCs/>
          <w:color w:val="000000"/>
          <w:sz w:val="22"/>
          <w:szCs w:val="22"/>
        </w:rPr>
        <w:t xml:space="preserve">de la Oferta de Referencia, el CS o AS </w:t>
      </w:r>
      <w:r w:rsidRPr="0059421B">
        <w:rPr>
          <w:rFonts w:ascii="Arial" w:hAnsi="Arial" w:cs="Arial"/>
          <w:bCs/>
          <w:color w:val="000000"/>
          <w:sz w:val="22"/>
          <w:szCs w:val="22"/>
        </w:rPr>
        <w:t xml:space="preserve">tendrá el derecho a requerir y obtener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xml:space="preserve"> el pago de la compensación que corresponda conforme a lo siguiente:</w:t>
      </w:r>
    </w:p>
    <w:p w14:paraId="27B2EF6D"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1" w14:textId="026C969D" w:rsidR="006814AD" w:rsidRPr="006039D9" w:rsidRDefault="006814AD" w:rsidP="006039D9">
      <w:pPr>
        <w:pStyle w:val="N2Telmex"/>
        <w:rPr>
          <w:rFonts w:ascii="Arial" w:hAnsi="Arial" w:cs="Arial"/>
          <w:sz w:val="22"/>
          <w:szCs w:val="22"/>
        </w:rPr>
      </w:pPr>
      <w:r w:rsidRPr="006039D9">
        <w:rPr>
          <w:rFonts w:ascii="Arial" w:hAnsi="Arial" w:cs="Arial"/>
          <w:sz w:val="22"/>
          <w:szCs w:val="22"/>
        </w:rPr>
        <w:t>Bloques</w:t>
      </w:r>
    </w:p>
    <w:p w14:paraId="469A4362" w14:textId="65340195"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Para cada uno de los Servicios han sido definidos los parámetros e indicadores de calidad. Dichos parámetros serán validados por bloques de 100 eventos consecutivos, considerando el orden en el que fueron presentadas sus respectivas solicitudes, comenzando por la primera solicitud presentada, en el entendido de que alcanzados tales 100 eventos consecutivos respecto del mismo parámetro, iniciará la contabilización de un nuevo bloque.</w:t>
      </w:r>
    </w:p>
    <w:p w14:paraId="6C324D78"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3" w14:textId="4D6C2D66"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Únicamente en el caso que si cumplido un trimestre de recibida la primera solicitud del Servicio de que se trate correspondiente a un bloque, la cantidad de eventos correspondientes al parámetro de calidad en validación no </w:t>
      </w:r>
      <w:r w:rsidR="00B31C44" w:rsidRPr="0059421B">
        <w:rPr>
          <w:rFonts w:ascii="Arial" w:hAnsi="Arial" w:cs="Arial"/>
          <w:bCs/>
          <w:color w:val="000000"/>
          <w:sz w:val="22"/>
          <w:szCs w:val="22"/>
        </w:rPr>
        <w:t>llegará</w:t>
      </w:r>
      <w:r w:rsidRPr="0059421B">
        <w:rPr>
          <w:rFonts w:ascii="Arial" w:hAnsi="Arial" w:cs="Arial"/>
          <w:bCs/>
          <w:color w:val="000000"/>
          <w:sz w:val="22"/>
          <w:szCs w:val="22"/>
        </w:rPr>
        <w:t xml:space="preserve"> a 100 , la medición de calidad se realizará con el número de eventos efectivamente alcanzados.</w:t>
      </w:r>
    </w:p>
    <w:p w14:paraId="1551471A"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4" w14:textId="6A216D23"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No contabilizará para cálculo del cumplimiento de los parámetros e indicadores de calidad los hechos, situaciones y/o eventos señalados como limitantes de la responsabilidad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hubiesen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14:paraId="1F64B680"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5" w14:textId="75BA1DB8" w:rsidR="006814AD" w:rsidRDefault="007357A4" w:rsidP="006039D9">
      <w:pPr>
        <w:pStyle w:val="Ttulo3"/>
        <w:spacing w:before="0" w:line="276" w:lineRule="auto"/>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.2.</w:t>
      </w:r>
      <w:r w:rsidR="006814AD" w:rsidRPr="0059421B">
        <w:rPr>
          <w:rFonts w:ascii="Arial" w:hAnsi="Arial" w:cs="Arial"/>
          <w:sz w:val="22"/>
          <w:szCs w:val="22"/>
          <w:u w:val="none"/>
        </w:rPr>
        <w:tab/>
        <w:t>Bases de Cálculo</w:t>
      </w:r>
    </w:p>
    <w:p w14:paraId="00131827" w14:textId="77777777" w:rsidR="006039D9" w:rsidRPr="006039D9" w:rsidRDefault="006039D9" w:rsidP="006039D9">
      <w:pPr>
        <w:adjustRightInd w:val="0"/>
        <w:spacing w:before="0" w:after="0" w:line="276" w:lineRule="auto"/>
      </w:pPr>
    </w:p>
    <w:p w14:paraId="469A4366" w14:textId="352054F8"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La compensación será calculada respecto de los eventos en que, de acuerdo con el orden con el que fueron presentadas las solicitudes de servicio respectivas, se encuentren fuera del indicador de calidad correspondiente.</w:t>
      </w:r>
    </w:p>
    <w:p w14:paraId="346881B7"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7" w14:textId="4A1674B3"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Si en el bloque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alcanza el 90% del cumplimiento de los plazos establecidos, entonces el 10% restante podrá alcanzarse en un extra de tiempo no mayor al 50% del plazo original sin que esto genere una pena; por lo tanto, sólo generarán pena los eventos que superen el 150% del plazo original.</w:t>
      </w:r>
    </w:p>
    <w:p w14:paraId="7DBF6599"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8" w14:textId="32A99A71"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lastRenderedPageBreak/>
        <w:t>Para el cumplimiento, en los casos en que un cálculo arroje números decimales se tomará como válido el número entero inmediato superior.</w:t>
      </w:r>
    </w:p>
    <w:p w14:paraId="2F969E45"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9" w14:textId="77777777" w:rsidR="006814AD" w:rsidRPr="0059421B"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Queda entendido entre las Partes que todas las compensaciones son por el cumplimiento tardío en las obligaciones a cargo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xml:space="preserve"> respecto de los plazos comprometidos para la realización de un Servicio en específico bajo los términos de la Oferta de Referencia.</w:t>
      </w:r>
    </w:p>
    <w:p w14:paraId="52319BA8" w14:textId="77777777" w:rsidR="006039D9" w:rsidRDefault="006039D9" w:rsidP="006039D9">
      <w:pPr>
        <w:adjustRightInd w:val="0"/>
        <w:spacing w:before="0" w:after="0" w:line="276" w:lineRule="auto"/>
        <w:ind w:right="760"/>
        <w:rPr>
          <w:rFonts w:ascii="Arial" w:hAnsi="Arial" w:cs="Arial"/>
          <w:bCs/>
          <w:color w:val="000000"/>
          <w:sz w:val="22"/>
          <w:szCs w:val="22"/>
        </w:rPr>
      </w:pPr>
    </w:p>
    <w:p w14:paraId="469A436A" w14:textId="40427FE7" w:rsidR="006814AD" w:rsidRPr="0059421B" w:rsidRDefault="006814AD" w:rsidP="006039D9">
      <w:pPr>
        <w:adjustRightInd w:val="0"/>
        <w:spacing w:before="0" w:after="0" w:line="276" w:lineRule="auto"/>
        <w:ind w:right="760"/>
        <w:rPr>
          <w:rFonts w:ascii="Arial" w:hAnsi="Arial" w:cs="Arial"/>
          <w:bCs/>
          <w:color w:val="000000"/>
          <w:sz w:val="22"/>
          <w:szCs w:val="22"/>
        </w:rPr>
      </w:pPr>
      <w:r w:rsidRPr="0059421B">
        <w:rPr>
          <w:rFonts w:ascii="Arial" w:hAnsi="Arial" w:cs="Arial"/>
          <w:bCs/>
          <w:color w:val="000000"/>
          <w:sz w:val="22"/>
          <w:szCs w:val="22"/>
        </w:rPr>
        <w:t>Ejemplo:</w:t>
      </w:r>
    </w:p>
    <w:p w14:paraId="60101CFC" w14:textId="77777777" w:rsidR="009B121F" w:rsidRDefault="009B121F" w:rsidP="00CA6788">
      <w:pPr>
        <w:adjustRightInd w:val="0"/>
        <w:spacing w:before="0" w:after="0" w:line="276" w:lineRule="auto"/>
        <w:ind w:right="760"/>
        <w:rPr>
          <w:rFonts w:eastAsia="Calibri"/>
          <w:sz w:val="20"/>
          <w:szCs w:val="20"/>
          <w:lang w:val="es-MX" w:eastAsia="es-MX"/>
        </w:rPr>
      </w:pPr>
      <w:r>
        <w:fldChar w:fldCharType="begin"/>
      </w:r>
      <w:r>
        <w:instrText xml:space="preserve"> LINK Excel.Sheet.12 "Libro1" "Hoja1!F1C6:F9C9" \a \f 4 \h </w:instrText>
      </w:r>
      <w:r>
        <w:fldChar w:fldCharType="separate"/>
      </w:r>
    </w:p>
    <w:tbl>
      <w:tblPr>
        <w:tblW w:w="5220" w:type="dxa"/>
        <w:jc w:val="center"/>
        <w:tblCellMar>
          <w:left w:w="70" w:type="dxa"/>
          <w:right w:w="70" w:type="dxa"/>
        </w:tblCellMar>
        <w:tblLook w:val="04A0" w:firstRow="1" w:lastRow="0" w:firstColumn="1" w:lastColumn="0" w:noHBand="0" w:noVBand="1"/>
      </w:tblPr>
      <w:tblGrid>
        <w:gridCol w:w="1204"/>
        <w:gridCol w:w="1617"/>
        <w:gridCol w:w="1204"/>
        <w:gridCol w:w="1195"/>
      </w:tblGrid>
      <w:tr w:rsidR="009B121F" w:rsidRPr="009B121F" w14:paraId="7855B09B" w14:textId="77777777" w:rsidTr="009B121F">
        <w:trPr>
          <w:trHeight w:val="870"/>
          <w:jc w:val="center"/>
        </w:trPr>
        <w:tc>
          <w:tcPr>
            <w:tcW w:w="1200" w:type="dxa"/>
            <w:tcBorders>
              <w:top w:val="single" w:sz="8" w:space="0" w:color="auto"/>
              <w:left w:val="single" w:sz="8" w:space="0" w:color="auto"/>
              <w:bottom w:val="single" w:sz="8" w:space="0" w:color="auto"/>
              <w:right w:val="single" w:sz="8" w:space="0" w:color="auto"/>
            </w:tcBorders>
            <w:shd w:val="clear" w:color="000000" w:fill="548DD4"/>
            <w:vAlign w:val="center"/>
            <w:hideMark/>
          </w:tcPr>
          <w:p w14:paraId="5A68BFDD" w14:textId="77777777" w:rsidR="009B121F" w:rsidRPr="009B121F" w:rsidRDefault="009B121F" w:rsidP="009B121F">
            <w:pPr>
              <w:spacing w:before="0" w:after="0" w:line="240" w:lineRule="auto"/>
              <w:jc w:val="center"/>
              <w:rPr>
                <w:rFonts w:ascii="Arial" w:hAnsi="Arial" w:cs="Arial"/>
                <w:b/>
                <w:bCs/>
                <w:color w:val="FFFFFF"/>
                <w:sz w:val="22"/>
                <w:szCs w:val="22"/>
                <w:lang w:val="es-MX" w:eastAsia="es-MX"/>
              </w:rPr>
            </w:pPr>
            <w:r w:rsidRPr="009B121F">
              <w:rPr>
                <w:rFonts w:ascii="Arial" w:hAnsi="Arial" w:cs="Arial"/>
                <w:b/>
                <w:bCs/>
                <w:color w:val="FFFFFF"/>
                <w:sz w:val="22"/>
                <w:szCs w:val="22"/>
                <w:lang w:val="es-MX" w:eastAsia="es-MX"/>
              </w:rPr>
              <w:t>Actividad:</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7F956011"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Entrega de Análisis de Factibilidad</w:t>
            </w:r>
          </w:p>
        </w:tc>
        <w:tc>
          <w:tcPr>
            <w:tcW w:w="1200" w:type="dxa"/>
            <w:tcBorders>
              <w:top w:val="single" w:sz="8" w:space="0" w:color="auto"/>
              <w:left w:val="nil"/>
              <w:bottom w:val="single" w:sz="8" w:space="0" w:color="auto"/>
              <w:right w:val="single" w:sz="8" w:space="0" w:color="auto"/>
            </w:tcBorders>
            <w:shd w:val="clear" w:color="000000" w:fill="548DD4"/>
            <w:vAlign w:val="center"/>
            <w:hideMark/>
          </w:tcPr>
          <w:p w14:paraId="209363C3" w14:textId="77777777" w:rsidR="009B121F" w:rsidRPr="009B121F" w:rsidRDefault="009B121F" w:rsidP="009B121F">
            <w:pPr>
              <w:spacing w:before="0" w:after="0" w:line="240" w:lineRule="auto"/>
              <w:jc w:val="center"/>
              <w:rPr>
                <w:rFonts w:ascii="Arial" w:hAnsi="Arial" w:cs="Arial"/>
                <w:b/>
                <w:bCs/>
                <w:color w:val="FFFFFF"/>
                <w:sz w:val="22"/>
                <w:szCs w:val="22"/>
                <w:lang w:val="es-MX" w:eastAsia="es-MX"/>
              </w:rPr>
            </w:pPr>
            <w:r w:rsidRPr="009B121F">
              <w:rPr>
                <w:rFonts w:ascii="Arial" w:hAnsi="Arial" w:cs="Arial"/>
                <w:b/>
                <w:bCs/>
                <w:color w:val="FFFFFF"/>
                <w:sz w:val="22"/>
                <w:szCs w:val="22"/>
                <w:lang w:val="es-MX" w:eastAsia="es-MX"/>
              </w:rPr>
              <w:t>Indicador:</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516705C8"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90%</w:t>
            </w:r>
          </w:p>
        </w:tc>
      </w:tr>
      <w:tr w:rsidR="009B121F" w:rsidRPr="009B121F" w14:paraId="093BA26A" w14:textId="77777777" w:rsidTr="009B121F">
        <w:trPr>
          <w:trHeight w:val="165"/>
          <w:jc w:val="center"/>
        </w:trPr>
        <w:tc>
          <w:tcPr>
            <w:tcW w:w="1200" w:type="dxa"/>
            <w:tcBorders>
              <w:top w:val="nil"/>
              <w:left w:val="nil"/>
              <w:bottom w:val="nil"/>
              <w:right w:val="nil"/>
            </w:tcBorders>
            <w:shd w:val="clear" w:color="auto" w:fill="auto"/>
            <w:vAlign w:val="center"/>
            <w:hideMark/>
          </w:tcPr>
          <w:p w14:paraId="0A651A2E"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p>
        </w:tc>
        <w:tc>
          <w:tcPr>
            <w:tcW w:w="1620" w:type="dxa"/>
            <w:tcBorders>
              <w:top w:val="nil"/>
              <w:left w:val="nil"/>
              <w:bottom w:val="nil"/>
              <w:right w:val="nil"/>
            </w:tcBorders>
            <w:shd w:val="clear" w:color="auto" w:fill="auto"/>
            <w:vAlign w:val="center"/>
            <w:hideMark/>
          </w:tcPr>
          <w:p w14:paraId="63AA1187" w14:textId="77777777" w:rsidR="009B121F" w:rsidRPr="009B121F" w:rsidRDefault="009B121F" w:rsidP="009B121F">
            <w:pPr>
              <w:spacing w:before="0" w:after="0" w:line="240" w:lineRule="auto"/>
              <w:jc w:val="left"/>
              <w:rPr>
                <w:rFonts w:ascii="Times New Roman" w:hAnsi="Times New Roman"/>
                <w:sz w:val="20"/>
                <w:szCs w:val="20"/>
                <w:lang w:val="es-MX" w:eastAsia="es-MX"/>
              </w:rPr>
            </w:pPr>
          </w:p>
        </w:tc>
        <w:tc>
          <w:tcPr>
            <w:tcW w:w="1200" w:type="dxa"/>
            <w:tcBorders>
              <w:top w:val="nil"/>
              <w:left w:val="nil"/>
              <w:bottom w:val="nil"/>
              <w:right w:val="nil"/>
            </w:tcBorders>
            <w:shd w:val="clear" w:color="auto" w:fill="auto"/>
            <w:vAlign w:val="center"/>
            <w:hideMark/>
          </w:tcPr>
          <w:p w14:paraId="0E6F5870" w14:textId="77777777" w:rsidR="009B121F" w:rsidRPr="009B121F" w:rsidRDefault="009B121F" w:rsidP="009B121F">
            <w:pPr>
              <w:spacing w:before="0" w:after="0" w:line="240" w:lineRule="auto"/>
              <w:jc w:val="left"/>
              <w:rPr>
                <w:rFonts w:ascii="Times New Roman" w:hAnsi="Times New Roman"/>
                <w:sz w:val="20"/>
                <w:szCs w:val="20"/>
                <w:lang w:val="es-MX" w:eastAsia="es-MX"/>
              </w:rPr>
            </w:pPr>
          </w:p>
        </w:tc>
        <w:tc>
          <w:tcPr>
            <w:tcW w:w="1200" w:type="dxa"/>
            <w:tcBorders>
              <w:top w:val="nil"/>
              <w:left w:val="nil"/>
              <w:bottom w:val="nil"/>
              <w:right w:val="nil"/>
            </w:tcBorders>
            <w:shd w:val="clear" w:color="auto" w:fill="auto"/>
            <w:vAlign w:val="center"/>
            <w:hideMark/>
          </w:tcPr>
          <w:p w14:paraId="60A085D8" w14:textId="77777777" w:rsidR="009B121F" w:rsidRPr="009B121F" w:rsidRDefault="009B121F" w:rsidP="009B121F">
            <w:pPr>
              <w:spacing w:before="0" w:after="0" w:line="240" w:lineRule="auto"/>
              <w:jc w:val="left"/>
              <w:rPr>
                <w:rFonts w:ascii="Times New Roman" w:hAnsi="Times New Roman"/>
                <w:sz w:val="20"/>
                <w:szCs w:val="20"/>
                <w:lang w:val="es-MX" w:eastAsia="es-MX"/>
              </w:rPr>
            </w:pPr>
          </w:p>
        </w:tc>
      </w:tr>
      <w:tr w:rsidR="009B121F" w:rsidRPr="009B121F" w14:paraId="42D3A4CD" w14:textId="77777777" w:rsidTr="009B121F">
        <w:trPr>
          <w:trHeight w:val="315"/>
          <w:jc w:val="center"/>
        </w:trPr>
        <w:tc>
          <w:tcPr>
            <w:tcW w:w="1200" w:type="dxa"/>
            <w:tcBorders>
              <w:top w:val="nil"/>
              <w:left w:val="nil"/>
              <w:bottom w:val="single" w:sz="8" w:space="0" w:color="auto"/>
              <w:right w:val="nil"/>
            </w:tcBorders>
            <w:shd w:val="clear" w:color="auto" w:fill="auto"/>
            <w:vAlign w:val="center"/>
            <w:hideMark/>
          </w:tcPr>
          <w:p w14:paraId="4FD2620C" w14:textId="77777777" w:rsidR="009B121F" w:rsidRPr="009B121F" w:rsidRDefault="009B121F" w:rsidP="009B121F">
            <w:pPr>
              <w:spacing w:before="0" w:after="0" w:line="240" w:lineRule="auto"/>
              <w:jc w:val="left"/>
              <w:rPr>
                <w:rFonts w:ascii="Arial" w:hAnsi="Arial" w:cs="Arial"/>
                <w:color w:val="000000"/>
                <w:sz w:val="22"/>
                <w:szCs w:val="22"/>
                <w:lang w:val="es-MX" w:eastAsia="es-MX"/>
              </w:rPr>
            </w:pPr>
            <w:r w:rsidRPr="009B121F">
              <w:rPr>
                <w:rFonts w:ascii="Arial" w:hAnsi="Arial" w:cs="Arial"/>
                <w:color w:val="000000"/>
                <w:sz w:val="22"/>
                <w:szCs w:val="22"/>
                <w:lang w:val="es-MX" w:eastAsia="es-MX"/>
              </w:rPr>
              <w:t>Bloque:</w:t>
            </w:r>
          </w:p>
        </w:tc>
        <w:tc>
          <w:tcPr>
            <w:tcW w:w="1620" w:type="dxa"/>
            <w:tcBorders>
              <w:top w:val="nil"/>
              <w:left w:val="nil"/>
              <w:bottom w:val="single" w:sz="8" w:space="0" w:color="auto"/>
              <w:right w:val="nil"/>
            </w:tcBorders>
            <w:shd w:val="clear" w:color="auto" w:fill="auto"/>
            <w:vAlign w:val="center"/>
            <w:hideMark/>
          </w:tcPr>
          <w:p w14:paraId="55084046" w14:textId="77777777" w:rsidR="009B121F" w:rsidRPr="009B121F" w:rsidRDefault="009B121F" w:rsidP="009B121F">
            <w:pPr>
              <w:spacing w:before="0" w:after="0" w:line="240" w:lineRule="auto"/>
              <w:jc w:val="left"/>
              <w:rPr>
                <w:rFonts w:ascii="Arial" w:hAnsi="Arial" w:cs="Arial"/>
                <w:color w:val="000000"/>
                <w:sz w:val="22"/>
                <w:szCs w:val="22"/>
                <w:lang w:val="es-MX" w:eastAsia="es-MX"/>
              </w:rPr>
            </w:pPr>
            <w:r w:rsidRPr="009B121F">
              <w:rPr>
                <w:rFonts w:ascii="Arial" w:hAnsi="Arial" w:cs="Arial"/>
                <w:color w:val="000000"/>
                <w:sz w:val="22"/>
                <w:szCs w:val="22"/>
                <w:lang w:val="es-MX" w:eastAsia="es-MX"/>
              </w:rPr>
              <w:t> </w:t>
            </w:r>
          </w:p>
        </w:tc>
        <w:tc>
          <w:tcPr>
            <w:tcW w:w="1200" w:type="dxa"/>
            <w:tcBorders>
              <w:top w:val="nil"/>
              <w:left w:val="nil"/>
              <w:bottom w:val="single" w:sz="8" w:space="0" w:color="auto"/>
              <w:right w:val="nil"/>
            </w:tcBorders>
            <w:shd w:val="clear" w:color="auto" w:fill="auto"/>
            <w:vAlign w:val="center"/>
            <w:hideMark/>
          </w:tcPr>
          <w:p w14:paraId="38969612" w14:textId="77777777" w:rsidR="009B121F" w:rsidRPr="009B121F" w:rsidRDefault="009B121F" w:rsidP="009B121F">
            <w:pPr>
              <w:spacing w:before="0" w:after="0" w:line="240" w:lineRule="auto"/>
              <w:jc w:val="left"/>
              <w:rPr>
                <w:rFonts w:ascii="Arial" w:hAnsi="Arial" w:cs="Arial"/>
                <w:color w:val="000000"/>
                <w:sz w:val="22"/>
                <w:szCs w:val="22"/>
                <w:lang w:val="es-MX" w:eastAsia="es-MX"/>
              </w:rPr>
            </w:pPr>
            <w:r w:rsidRPr="009B121F">
              <w:rPr>
                <w:rFonts w:ascii="Arial" w:hAnsi="Arial" w:cs="Arial"/>
                <w:color w:val="000000"/>
                <w:sz w:val="22"/>
                <w:szCs w:val="22"/>
                <w:lang w:val="es-MX" w:eastAsia="es-MX"/>
              </w:rPr>
              <w:t> </w:t>
            </w:r>
          </w:p>
        </w:tc>
        <w:tc>
          <w:tcPr>
            <w:tcW w:w="1200" w:type="dxa"/>
            <w:tcBorders>
              <w:top w:val="nil"/>
              <w:left w:val="nil"/>
              <w:bottom w:val="single" w:sz="8" w:space="0" w:color="auto"/>
              <w:right w:val="nil"/>
            </w:tcBorders>
            <w:shd w:val="clear" w:color="auto" w:fill="auto"/>
            <w:vAlign w:val="center"/>
            <w:hideMark/>
          </w:tcPr>
          <w:p w14:paraId="040805D0" w14:textId="77777777" w:rsidR="009B121F" w:rsidRPr="009B121F" w:rsidRDefault="009B121F" w:rsidP="009B121F">
            <w:pPr>
              <w:spacing w:before="0" w:after="0" w:line="240" w:lineRule="auto"/>
              <w:jc w:val="left"/>
              <w:rPr>
                <w:rFonts w:ascii="Arial" w:hAnsi="Arial" w:cs="Arial"/>
                <w:color w:val="000000"/>
                <w:sz w:val="22"/>
                <w:szCs w:val="22"/>
                <w:lang w:val="es-MX" w:eastAsia="es-MX"/>
              </w:rPr>
            </w:pPr>
            <w:r w:rsidRPr="009B121F">
              <w:rPr>
                <w:rFonts w:ascii="Arial" w:hAnsi="Arial" w:cs="Arial"/>
                <w:color w:val="000000"/>
                <w:sz w:val="22"/>
                <w:szCs w:val="22"/>
                <w:lang w:val="es-MX" w:eastAsia="es-MX"/>
              </w:rPr>
              <w:t> </w:t>
            </w:r>
          </w:p>
        </w:tc>
      </w:tr>
      <w:tr w:rsidR="009B121F" w:rsidRPr="009B121F" w14:paraId="757E294C" w14:textId="77777777" w:rsidTr="009B121F">
        <w:trPr>
          <w:trHeight w:val="315"/>
          <w:jc w:val="center"/>
        </w:trPr>
        <w:tc>
          <w:tcPr>
            <w:tcW w:w="1200" w:type="dxa"/>
            <w:tcBorders>
              <w:top w:val="nil"/>
              <w:left w:val="single" w:sz="8" w:space="0" w:color="auto"/>
              <w:bottom w:val="single" w:sz="8" w:space="0" w:color="auto"/>
              <w:right w:val="single" w:sz="8" w:space="0" w:color="auto"/>
            </w:tcBorders>
            <w:shd w:val="clear" w:color="000000" w:fill="548DD4"/>
            <w:vAlign w:val="center"/>
            <w:hideMark/>
          </w:tcPr>
          <w:p w14:paraId="4C6614B4" w14:textId="77777777" w:rsidR="009B121F" w:rsidRPr="009B121F" w:rsidRDefault="009B121F" w:rsidP="009B121F">
            <w:pPr>
              <w:spacing w:before="0" w:after="0" w:line="240" w:lineRule="auto"/>
              <w:jc w:val="left"/>
              <w:rPr>
                <w:rFonts w:ascii="Arial" w:hAnsi="Arial" w:cs="Arial"/>
                <w:b/>
                <w:bCs/>
                <w:color w:val="FFFFFF"/>
                <w:sz w:val="22"/>
                <w:szCs w:val="22"/>
                <w:lang w:val="es-MX" w:eastAsia="es-MX"/>
              </w:rPr>
            </w:pPr>
            <w:r w:rsidRPr="009B121F">
              <w:rPr>
                <w:rFonts w:ascii="Arial" w:hAnsi="Arial" w:cs="Arial"/>
                <w:b/>
                <w:bCs/>
                <w:color w:val="FFFFFF"/>
                <w:sz w:val="22"/>
                <w:szCs w:val="22"/>
                <w:lang w:val="es-MX" w:eastAsia="es-MX"/>
              </w:rPr>
              <w:t>Mes</w:t>
            </w:r>
          </w:p>
        </w:tc>
        <w:tc>
          <w:tcPr>
            <w:tcW w:w="1620" w:type="dxa"/>
            <w:tcBorders>
              <w:top w:val="nil"/>
              <w:left w:val="nil"/>
              <w:bottom w:val="single" w:sz="8" w:space="0" w:color="auto"/>
              <w:right w:val="single" w:sz="8" w:space="0" w:color="auto"/>
            </w:tcBorders>
            <w:shd w:val="clear" w:color="000000" w:fill="548DD4"/>
            <w:vAlign w:val="center"/>
            <w:hideMark/>
          </w:tcPr>
          <w:p w14:paraId="03351B21" w14:textId="77777777" w:rsidR="009B121F" w:rsidRPr="009B121F" w:rsidRDefault="009B121F" w:rsidP="009B121F">
            <w:pPr>
              <w:spacing w:before="0" w:after="0" w:line="240" w:lineRule="auto"/>
              <w:jc w:val="center"/>
              <w:rPr>
                <w:rFonts w:ascii="Arial" w:hAnsi="Arial" w:cs="Arial"/>
                <w:b/>
                <w:bCs/>
                <w:color w:val="FFFFFF"/>
                <w:sz w:val="22"/>
                <w:szCs w:val="22"/>
                <w:lang w:val="es-MX" w:eastAsia="es-MX"/>
              </w:rPr>
            </w:pPr>
            <w:r w:rsidRPr="009B121F">
              <w:rPr>
                <w:rFonts w:ascii="Arial" w:hAnsi="Arial" w:cs="Arial"/>
                <w:b/>
                <w:bCs/>
                <w:color w:val="FFFFFF"/>
                <w:sz w:val="22"/>
                <w:szCs w:val="22"/>
                <w:lang w:val="es-MX" w:eastAsia="es-MX"/>
              </w:rPr>
              <w:t>A tiempo:</w:t>
            </w:r>
          </w:p>
        </w:tc>
        <w:tc>
          <w:tcPr>
            <w:tcW w:w="1200" w:type="dxa"/>
            <w:tcBorders>
              <w:top w:val="nil"/>
              <w:left w:val="nil"/>
              <w:bottom w:val="single" w:sz="8" w:space="0" w:color="auto"/>
              <w:right w:val="single" w:sz="8" w:space="0" w:color="auto"/>
            </w:tcBorders>
            <w:shd w:val="clear" w:color="000000" w:fill="548DD4"/>
            <w:vAlign w:val="center"/>
            <w:hideMark/>
          </w:tcPr>
          <w:p w14:paraId="275E7D62" w14:textId="77777777" w:rsidR="009B121F" w:rsidRPr="009B121F" w:rsidRDefault="009B121F" w:rsidP="009B121F">
            <w:pPr>
              <w:spacing w:before="0" w:after="0" w:line="240" w:lineRule="auto"/>
              <w:jc w:val="center"/>
              <w:rPr>
                <w:rFonts w:ascii="Arial" w:hAnsi="Arial" w:cs="Arial"/>
                <w:b/>
                <w:bCs/>
                <w:color w:val="FFFFFF"/>
                <w:sz w:val="22"/>
                <w:szCs w:val="22"/>
                <w:lang w:val="es-MX" w:eastAsia="es-MX"/>
              </w:rPr>
            </w:pPr>
            <w:r w:rsidRPr="009B121F">
              <w:rPr>
                <w:rFonts w:ascii="Arial" w:hAnsi="Arial" w:cs="Arial"/>
                <w:b/>
                <w:bCs/>
                <w:color w:val="FFFFFF"/>
                <w:sz w:val="22"/>
                <w:szCs w:val="22"/>
                <w:lang w:val="es-MX" w:eastAsia="es-MX"/>
              </w:rPr>
              <w:t>Tardío</w:t>
            </w:r>
          </w:p>
        </w:tc>
        <w:tc>
          <w:tcPr>
            <w:tcW w:w="1200" w:type="dxa"/>
            <w:tcBorders>
              <w:top w:val="nil"/>
              <w:left w:val="nil"/>
              <w:bottom w:val="single" w:sz="8" w:space="0" w:color="auto"/>
              <w:right w:val="single" w:sz="8" w:space="0" w:color="auto"/>
            </w:tcBorders>
            <w:shd w:val="clear" w:color="000000" w:fill="548DD4"/>
            <w:vAlign w:val="center"/>
            <w:hideMark/>
          </w:tcPr>
          <w:p w14:paraId="6EFCDB83" w14:textId="77777777" w:rsidR="009B121F" w:rsidRPr="009B121F" w:rsidRDefault="009B121F" w:rsidP="009B121F">
            <w:pPr>
              <w:spacing w:before="0" w:after="0" w:line="240" w:lineRule="auto"/>
              <w:jc w:val="center"/>
              <w:rPr>
                <w:rFonts w:ascii="Arial" w:hAnsi="Arial" w:cs="Arial"/>
                <w:b/>
                <w:bCs/>
                <w:color w:val="FFFFFF"/>
                <w:sz w:val="22"/>
                <w:szCs w:val="22"/>
                <w:lang w:val="es-MX" w:eastAsia="es-MX"/>
              </w:rPr>
            </w:pPr>
            <w:r w:rsidRPr="009B121F">
              <w:rPr>
                <w:rFonts w:ascii="Arial" w:hAnsi="Arial" w:cs="Arial"/>
                <w:b/>
                <w:bCs/>
                <w:color w:val="FFFFFF"/>
                <w:sz w:val="22"/>
                <w:szCs w:val="22"/>
                <w:lang w:val="es-MX" w:eastAsia="es-MX"/>
              </w:rPr>
              <w:t>Total</w:t>
            </w:r>
          </w:p>
        </w:tc>
      </w:tr>
      <w:tr w:rsidR="009B121F" w:rsidRPr="009B121F" w14:paraId="45F939DE" w14:textId="77777777" w:rsidTr="009B121F">
        <w:trPr>
          <w:trHeight w:val="315"/>
          <w:jc w:val="center"/>
        </w:trPr>
        <w:tc>
          <w:tcPr>
            <w:tcW w:w="1200" w:type="dxa"/>
            <w:tcBorders>
              <w:top w:val="nil"/>
              <w:left w:val="single" w:sz="8" w:space="0" w:color="BFBFBF"/>
              <w:bottom w:val="single" w:sz="8" w:space="0" w:color="BFBFBF"/>
              <w:right w:val="single" w:sz="8" w:space="0" w:color="BFBFBF"/>
            </w:tcBorders>
            <w:shd w:val="clear" w:color="auto" w:fill="auto"/>
            <w:vAlign w:val="center"/>
            <w:hideMark/>
          </w:tcPr>
          <w:p w14:paraId="04033A6E" w14:textId="77777777" w:rsidR="009B121F" w:rsidRPr="009B121F" w:rsidRDefault="009B121F" w:rsidP="009B121F">
            <w:pPr>
              <w:spacing w:before="0" w:after="0" w:line="240" w:lineRule="auto"/>
              <w:jc w:val="left"/>
              <w:rPr>
                <w:rFonts w:ascii="Arial" w:hAnsi="Arial" w:cs="Arial"/>
                <w:color w:val="000000"/>
                <w:sz w:val="22"/>
                <w:szCs w:val="22"/>
                <w:lang w:val="es-MX" w:eastAsia="es-MX"/>
              </w:rPr>
            </w:pPr>
            <w:r w:rsidRPr="009B121F">
              <w:rPr>
                <w:rFonts w:ascii="Arial" w:hAnsi="Arial" w:cs="Arial"/>
                <w:color w:val="000000"/>
                <w:sz w:val="22"/>
                <w:szCs w:val="22"/>
                <w:lang w:val="es-MX" w:eastAsia="es-MX"/>
              </w:rPr>
              <w:t>Enero</w:t>
            </w:r>
          </w:p>
        </w:tc>
        <w:tc>
          <w:tcPr>
            <w:tcW w:w="1620" w:type="dxa"/>
            <w:tcBorders>
              <w:top w:val="nil"/>
              <w:left w:val="nil"/>
              <w:bottom w:val="single" w:sz="8" w:space="0" w:color="BFBFBF"/>
              <w:right w:val="single" w:sz="8" w:space="0" w:color="BFBFBF"/>
            </w:tcBorders>
            <w:shd w:val="clear" w:color="auto" w:fill="auto"/>
            <w:vAlign w:val="center"/>
            <w:hideMark/>
          </w:tcPr>
          <w:p w14:paraId="0AE53E25"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22</w:t>
            </w:r>
          </w:p>
        </w:tc>
        <w:tc>
          <w:tcPr>
            <w:tcW w:w="1200" w:type="dxa"/>
            <w:tcBorders>
              <w:top w:val="nil"/>
              <w:left w:val="nil"/>
              <w:bottom w:val="single" w:sz="8" w:space="0" w:color="BFBFBF"/>
              <w:right w:val="single" w:sz="8" w:space="0" w:color="BFBFBF"/>
            </w:tcBorders>
            <w:shd w:val="clear" w:color="auto" w:fill="auto"/>
            <w:vAlign w:val="center"/>
            <w:hideMark/>
          </w:tcPr>
          <w:p w14:paraId="178DBD0D"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8</w:t>
            </w:r>
          </w:p>
        </w:tc>
        <w:tc>
          <w:tcPr>
            <w:tcW w:w="1200" w:type="dxa"/>
            <w:tcBorders>
              <w:top w:val="nil"/>
              <w:left w:val="nil"/>
              <w:bottom w:val="single" w:sz="8" w:space="0" w:color="BFBFBF"/>
              <w:right w:val="single" w:sz="8" w:space="0" w:color="BFBFBF"/>
            </w:tcBorders>
            <w:shd w:val="clear" w:color="auto" w:fill="auto"/>
            <w:vAlign w:val="center"/>
            <w:hideMark/>
          </w:tcPr>
          <w:p w14:paraId="339A6AA0"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30</w:t>
            </w:r>
          </w:p>
        </w:tc>
      </w:tr>
      <w:tr w:rsidR="009B121F" w:rsidRPr="009B121F" w14:paraId="5767ECC2" w14:textId="77777777" w:rsidTr="009B121F">
        <w:trPr>
          <w:trHeight w:val="315"/>
          <w:jc w:val="center"/>
        </w:trPr>
        <w:tc>
          <w:tcPr>
            <w:tcW w:w="1200" w:type="dxa"/>
            <w:tcBorders>
              <w:top w:val="nil"/>
              <w:left w:val="single" w:sz="8" w:space="0" w:color="BFBFBF"/>
              <w:bottom w:val="single" w:sz="8" w:space="0" w:color="BFBFBF"/>
              <w:right w:val="single" w:sz="8" w:space="0" w:color="BFBFBF"/>
            </w:tcBorders>
            <w:shd w:val="clear" w:color="auto" w:fill="auto"/>
            <w:vAlign w:val="center"/>
            <w:hideMark/>
          </w:tcPr>
          <w:p w14:paraId="052DC6E7" w14:textId="77777777" w:rsidR="009B121F" w:rsidRPr="009B121F" w:rsidRDefault="009B121F" w:rsidP="009B121F">
            <w:pPr>
              <w:spacing w:before="0" w:after="0" w:line="240" w:lineRule="auto"/>
              <w:jc w:val="left"/>
              <w:rPr>
                <w:rFonts w:ascii="Arial" w:hAnsi="Arial" w:cs="Arial"/>
                <w:color w:val="000000"/>
                <w:sz w:val="22"/>
                <w:szCs w:val="22"/>
                <w:lang w:val="es-MX" w:eastAsia="es-MX"/>
              </w:rPr>
            </w:pPr>
            <w:r w:rsidRPr="009B121F">
              <w:rPr>
                <w:rFonts w:ascii="Arial" w:hAnsi="Arial" w:cs="Arial"/>
                <w:color w:val="000000"/>
                <w:sz w:val="22"/>
                <w:szCs w:val="22"/>
                <w:lang w:val="es-MX" w:eastAsia="es-MX"/>
              </w:rPr>
              <w:t>Febrero</w:t>
            </w:r>
          </w:p>
        </w:tc>
        <w:tc>
          <w:tcPr>
            <w:tcW w:w="1620" w:type="dxa"/>
            <w:tcBorders>
              <w:top w:val="nil"/>
              <w:left w:val="nil"/>
              <w:bottom w:val="single" w:sz="8" w:space="0" w:color="BFBFBF"/>
              <w:right w:val="single" w:sz="8" w:space="0" w:color="BFBFBF"/>
            </w:tcBorders>
            <w:shd w:val="clear" w:color="auto" w:fill="auto"/>
            <w:vAlign w:val="center"/>
            <w:hideMark/>
          </w:tcPr>
          <w:p w14:paraId="483449CF"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18</w:t>
            </w:r>
          </w:p>
        </w:tc>
        <w:tc>
          <w:tcPr>
            <w:tcW w:w="1200" w:type="dxa"/>
            <w:tcBorders>
              <w:top w:val="nil"/>
              <w:left w:val="nil"/>
              <w:bottom w:val="single" w:sz="8" w:space="0" w:color="BFBFBF"/>
              <w:right w:val="single" w:sz="8" w:space="0" w:color="BFBFBF"/>
            </w:tcBorders>
            <w:shd w:val="clear" w:color="auto" w:fill="auto"/>
            <w:vAlign w:val="center"/>
            <w:hideMark/>
          </w:tcPr>
          <w:p w14:paraId="19006564"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2</w:t>
            </w:r>
          </w:p>
        </w:tc>
        <w:tc>
          <w:tcPr>
            <w:tcW w:w="1200" w:type="dxa"/>
            <w:tcBorders>
              <w:top w:val="nil"/>
              <w:left w:val="nil"/>
              <w:bottom w:val="single" w:sz="8" w:space="0" w:color="BFBFBF"/>
              <w:right w:val="single" w:sz="8" w:space="0" w:color="BFBFBF"/>
            </w:tcBorders>
            <w:shd w:val="clear" w:color="auto" w:fill="auto"/>
            <w:vAlign w:val="center"/>
            <w:hideMark/>
          </w:tcPr>
          <w:p w14:paraId="3F3E62FA"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20</w:t>
            </w:r>
          </w:p>
        </w:tc>
      </w:tr>
      <w:tr w:rsidR="009B121F" w:rsidRPr="009B121F" w14:paraId="6BF1A0EA" w14:textId="77777777" w:rsidTr="009B121F">
        <w:trPr>
          <w:trHeight w:val="315"/>
          <w:jc w:val="center"/>
        </w:trPr>
        <w:tc>
          <w:tcPr>
            <w:tcW w:w="1200" w:type="dxa"/>
            <w:tcBorders>
              <w:top w:val="nil"/>
              <w:left w:val="single" w:sz="8" w:space="0" w:color="BFBFBF"/>
              <w:bottom w:val="single" w:sz="8" w:space="0" w:color="BFBFBF"/>
              <w:right w:val="single" w:sz="8" w:space="0" w:color="BFBFBF"/>
            </w:tcBorders>
            <w:shd w:val="clear" w:color="auto" w:fill="auto"/>
            <w:vAlign w:val="center"/>
            <w:hideMark/>
          </w:tcPr>
          <w:p w14:paraId="48F2A372" w14:textId="77777777" w:rsidR="009B121F" w:rsidRPr="009B121F" w:rsidRDefault="009B121F" w:rsidP="009B121F">
            <w:pPr>
              <w:spacing w:before="0" w:after="0" w:line="240" w:lineRule="auto"/>
              <w:jc w:val="left"/>
              <w:rPr>
                <w:rFonts w:ascii="Arial" w:hAnsi="Arial" w:cs="Arial"/>
                <w:color w:val="000000"/>
                <w:sz w:val="22"/>
                <w:szCs w:val="22"/>
                <w:lang w:val="es-MX" w:eastAsia="es-MX"/>
              </w:rPr>
            </w:pPr>
            <w:r w:rsidRPr="009B121F">
              <w:rPr>
                <w:rFonts w:ascii="Arial" w:hAnsi="Arial" w:cs="Arial"/>
                <w:color w:val="000000"/>
                <w:sz w:val="22"/>
                <w:szCs w:val="22"/>
                <w:lang w:val="es-MX" w:eastAsia="es-MX"/>
              </w:rPr>
              <w:t>Marzo</w:t>
            </w:r>
          </w:p>
        </w:tc>
        <w:tc>
          <w:tcPr>
            <w:tcW w:w="1620" w:type="dxa"/>
            <w:tcBorders>
              <w:top w:val="nil"/>
              <w:left w:val="nil"/>
              <w:bottom w:val="single" w:sz="8" w:space="0" w:color="BFBFBF"/>
              <w:right w:val="single" w:sz="8" w:space="0" w:color="BFBFBF"/>
            </w:tcBorders>
            <w:shd w:val="clear" w:color="auto" w:fill="auto"/>
            <w:vAlign w:val="center"/>
            <w:hideMark/>
          </w:tcPr>
          <w:p w14:paraId="1F752582"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15</w:t>
            </w:r>
          </w:p>
        </w:tc>
        <w:tc>
          <w:tcPr>
            <w:tcW w:w="1200" w:type="dxa"/>
            <w:tcBorders>
              <w:top w:val="nil"/>
              <w:left w:val="nil"/>
              <w:bottom w:val="single" w:sz="8" w:space="0" w:color="BFBFBF"/>
              <w:right w:val="single" w:sz="8" w:space="0" w:color="BFBFBF"/>
            </w:tcBorders>
            <w:shd w:val="clear" w:color="auto" w:fill="auto"/>
            <w:vAlign w:val="center"/>
            <w:hideMark/>
          </w:tcPr>
          <w:p w14:paraId="6C2C9E93"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5</w:t>
            </w:r>
          </w:p>
        </w:tc>
        <w:tc>
          <w:tcPr>
            <w:tcW w:w="1200" w:type="dxa"/>
            <w:tcBorders>
              <w:top w:val="nil"/>
              <w:left w:val="nil"/>
              <w:bottom w:val="single" w:sz="8" w:space="0" w:color="BFBFBF"/>
              <w:right w:val="single" w:sz="8" w:space="0" w:color="BFBFBF"/>
            </w:tcBorders>
            <w:shd w:val="clear" w:color="auto" w:fill="auto"/>
            <w:vAlign w:val="center"/>
            <w:hideMark/>
          </w:tcPr>
          <w:p w14:paraId="06CC7002"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20</w:t>
            </w:r>
          </w:p>
        </w:tc>
      </w:tr>
      <w:tr w:rsidR="009B121F" w:rsidRPr="009B121F" w14:paraId="15F594A4" w14:textId="77777777" w:rsidTr="009B121F">
        <w:trPr>
          <w:trHeight w:val="315"/>
          <w:jc w:val="center"/>
        </w:trPr>
        <w:tc>
          <w:tcPr>
            <w:tcW w:w="1200" w:type="dxa"/>
            <w:tcBorders>
              <w:top w:val="nil"/>
              <w:left w:val="single" w:sz="8" w:space="0" w:color="BFBFBF"/>
              <w:bottom w:val="single" w:sz="8" w:space="0" w:color="auto"/>
              <w:right w:val="single" w:sz="8" w:space="0" w:color="BFBFBF"/>
            </w:tcBorders>
            <w:shd w:val="clear" w:color="auto" w:fill="auto"/>
            <w:vAlign w:val="center"/>
            <w:hideMark/>
          </w:tcPr>
          <w:p w14:paraId="2FB726F2" w14:textId="77777777" w:rsidR="009B121F" w:rsidRPr="009B121F" w:rsidRDefault="009B121F" w:rsidP="009B121F">
            <w:pPr>
              <w:spacing w:before="0" w:after="0" w:line="240" w:lineRule="auto"/>
              <w:jc w:val="left"/>
              <w:rPr>
                <w:rFonts w:ascii="Arial" w:hAnsi="Arial" w:cs="Arial"/>
                <w:color w:val="000000"/>
                <w:sz w:val="22"/>
                <w:szCs w:val="22"/>
                <w:lang w:val="es-MX" w:eastAsia="es-MX"/>
              </w:rPr>
            </w:pPr>
            <w:r w:rsidRPr="009B121F">
              <w:rPr>
                <w:rFonts w:ascii="Arial" w:hAnsi="Arial" w:cs="Arial"/>
                <w:color w:val="000000"/>
                <w:sz w:val="22"/>
                <w:szCs w:val="22"/>
                <w:lang w:val="es-MX" w:eastAsia="es-MX"/>
              </w:rPr>
              <w:t>Abril</w:t>
            </w:r>
          </w:p>
        </w:tc>
        <w:tc>
          <w:tcPr>
            <w:tcW w:w="1620" w:type="dxa"/>
            <w:tcBorders>
              <w:top w:val="nil"/>
              <w:left w:val="nil"/>
              <w:bottom w:val="single" w:sz="8" w:space="0" w:color="auto"/>
              <w:right w:val="single" w:sz="8" w:space="0" w:color="BFBFBF"/>
            </w:tcBorders>
            <w:shd w:val="clear" w:color="auto" w:fill="auto"/>
            <w:vAlign w:val="center"/>
            <w:hideMark/>
          </w:tcPr>
          <w:p w14:paraId="205DE829"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15</w:t>
            </w:r>
          </w:p>
        </w:tc>
        <w:tc>
          <w:tcPr>
            <w:tcW w:w="1200" w:type="dxa"/>
            <w:tcBorders>
              <w:top w:val="nil"/>
              <w:left w:val="nil"/>
              <w:bottom w:val="single" w:sz="8" w:space="0" w:color="auto"/>
              <w:right w:val="single" w:sz="8" w:space="0" w:color="BFBFBF"/>
            </w:tcBorders>
            <w:shd w:val="clear" w:color="auto" w:fill="auto"/>
            <w:vAlign w:val="center"/>
            <w:hideMark/>
          </w:tcPr>
          <w:p w14:paraId="4DA022FE"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15</w:t>
            </w:r>
          </w:p>
        </w:tc>
        <w:tc>
          <w:tcPr>
            <w:tcW w:w="1200" w:type="dxa"/>
            <w:tcBorders>
              <w:top w:val="nil"/>
              <w:left w:val="nil"/>
              <w:bottom w:val="single" w:sz="8" w:space="0" w:color="auto"/>
              <w:right w:val="single" w:sz="8" w:space="0" w:color="BFBFBF"/>
            </w:tcBorders>
            <w:shd w:val="clear" w:color="auto" w:fill="auto"/>
            <w:vAlign w:val="center"/>
            <w:hideMark/>
          </w:tcPr>
          <w:p w14:paraId="136B49A9" w14:textId="77777777" w:rsidR="009B121F" w:rsidRPr="009B121F" w:rsidRDefault="009B121F" w:rsidP="009B121F">
            <w:pPr>
              <w:spacing w:before="0" w:after="0" w:line="240" w:lineRule="auto"/>
              <w:jc w:val="center"/>
              <w:rPr>
                <w:rFonts w:ascii="Arial" w:hAnsi="Arial" w:cs="Arial"/>
                <w:color w:val="000000"/>
                <w:sz w:val="22"/>
                <w:szCs w:val="22"/>
                <w:lang w:val="es-MX" w:eastAsia="es-MX"/>
              </w:rPr>
            </w:pPr>
            <w:r w:rsidRPr="009B121F">
              <w:rPr>
                <w:rFonts w:ascii="Arial" w:hAnsi="Arial" w:cs="Arial"/>
                <w:color w:val="000000"/>
                <w:sz w:val="22"/>
                <w:szCs w:val="22"/>
                <w:lang w:val="es-MX" w:eastAsia="es-MX"/>
              </w:rPr>
              <w:t>30</w:t>
            </w:r>
          </w:p>
        </w:tc>
      </w:tr>
      <w:tr w:rsidR="009B121F" w:rsidRPr="009B121F" w14:paraId="4BB7AA61" w14:textId="77777777" w:rsidTr="009B121F">
        <w:trPr>
          <w:trHeight w:val="300"/>
          <w:jc w:val="center"/>
        </w:trPr>
        <w:tc>
          <w:tcPr>
            <w:tcW w:w="1200" w:type="dxa"/>
            <w:tcBorders>
              <w:top w:val="nil"/>
              <w:left w:val="nil"/>
              <w:bottom w:val="nil"/>
              <w:right w:val="nil"/>
            </w:tcBorders>
            <w:shd w:val="clear" w:color="auto" w:fill="auto"/>
            <w:vAlign w:val="center"/>
            <w:hideMark/>
          </w:tcPr>
          <w:p w14:paraId="09540C8E" w14:textId="77777777" w:rsidR="009B121F" w:rsidRPr="009B121F" w:rsidRDefault="009B121F" w:rsidP="009B121F">
            <w:pPr>
              <w:spacing w:before="0" w:after="0" w:line="240" w:lineRule="auto"/>
              <w:jc w:val="right"/>
              <w:rPr>
                <w:rFonts w:ascii="Arial" w:hAnsi="Arial" w:cs="Arial"/>
                <w:b/>
                <w:bCs/>
                <w:color w:val="000000"/>
                <w:sz w:val="22"/>
                <w:szCs w:val="22"/>
                <w:lang w:val="es-MX" w:eastAsia="es-MX"/>
              </w:rPr>
            </w:pPr>
            <w:r w:rsidRPr="009B121F">
              <w:rPr>
                <w:rFonts w:ascii="Arial" w:hAnsi="Arial" w:cs="Arial"/>
                <w:b/>
                <w:bCs/>
                <w:color w:val="000000"/>
                <w:sz w:val="22"/>
                <w:szCs w:val="22"/>
                <w:lang w:val="es-MX" w:eastAsia="es-MX"/>
              </w:rPr>
              <w:t>Total</w:t>
            </w:r>
          </w:p>
        </w:tc>
        <w:tc>
          <w:tcPr>
            <w:tcW w:w="1620" w:type="dxa"/>
            <w:tcBorders>
              <w:top w:val="nil"/>
              <w:left w:val="nil"/>
              <w:bottom w:val="nil"/>
              <w:right w:val="nil"/>
            </w:tcBorders>
            <w:shd w:val="clear" w:color="auto" w:fill="auto"/>
            <w:vAlign w:val="center"/>
            <w:hideMark/>
          </w:tcPr>
          <w:p w14:paraId="7872672B" w14:textId="77777777" w:rsidR="009B121F" w:rsidRPr="009B121F" w:rsidRDefault="009B121F" w:rsidP="009B121F">
            <w:pPr>
              <w:spacing w:before="0" w:after="0" w:line="240" w:lineRule="auto"/>
              <w:jc w:val="center"/>
              <w:rPr>
                <w:rFonts w:ascii="Arial" w:hAnsi="Arial" w:cs="Arial"/>
                <w:b/>
                <w:bCs/>
                <w:color w:val="000000"/>
                <w:sz w:val="22"/>
                <w:szCs w:val="22"/>
                <w:lang w:val="es-MX" w:eastAsia="es-MX"/>
              </w:rPr>
            </w:pPr>
            <w:r w:rsidRPr="009B121F">
              <w:rPr>
                <w:rFonts w:ascii="Arial" w:hAnsi="Arial" w:cs="Arial"/>
                <w:b/>
                <w:bCs/>
                <w:color w:val="000000"/>
                <w:sz w:val="22"/>
                <w:szCs w:val="22"/>
                <w:lang w:val="es-MX" w:eastAsia="es-MX"/>
              </w:rPr>
              <w:t>70</w:t>
            </w:r>
          </w:p>
        </w:tc>
        <w:tc>
          <w:tcPr>
            <w:tcW w:w="1200" w:type="dxa"/>
            <w:tcBorders>
              <w:top w:val="nil"/>
              <w:left w:val="nil"/>
              <w:bottom w:val="nil"/>
              <w:right w:val="nil"/>
            </w:tcBorders>
            <w:shd w:val="clear" w:color="auto" w:fill="auto"/>
            <w:vAlign w:val="center"/>
            <w:hideMark/>
          </w:tcPr>
          <w:p w14:paraId="57ECD6AE" w14:textId="77777777" w:rsidR="009B121F" w:rsidRPr="009B121F" w:rsidRDefault="009B121F" w:rsidP="009B121F">
            <w:pPr>
              <w:spacing w:before="0" w:after="0" w:line="240" w:lineRule="auto"/>
              <w:jc w:val="center"/>
              <w:rPr>
                <w:rFonts w:ascii="Arial" w:hAnsi="Arial" w:cs="Arial"/>
                <w:b/>
                <w:bCs/>
                <w:color w:val="000000"/>
                <w:sz w:val="22"/>
                <w:szCs w:val="22"/>
                <w:lang w:val="es-MX" w:eastAsia="es-MX"/>
              </w:rPr>
            </w:pPr>
            <w:r w:rsidRPr="009B121F">
              <w:rPr>
                <w:rFonts w:ascii="Arial" w:hAnsi="Arial" w:cs="Arial"/>
                <w:b/>
                <w:bCs/>
                <w:color w:val="000000"/>
                <w:sz w:val="22"/>
                <w:szCs w:val="22"/>
                <w:lang w:val="es-MX" w:eastAsia="es-MX"/>
              </w:rPr>
              <w:t>30</w:t>
            </w:r>
          </w:p>
        </w:tc>
        <w:tc>
          <w:tcPr>
            <w:tcW w:w="1200" w:type="dxa"/>
            <w:tcBorders>
              <w:top w:val="nil"/>
              <w:left w:val="nil"/>
              <w:bottom w:val="nil"/>
              <w:right w:val="nil"/>
            </w:tcBorders>
            <w:shd w:val="clear" w:color="auto" w:fill="auto"/>
            <w:vAlign w:val="center"/>
            <w:hideMark/>
          </w:tcPr>
          <w:p w14:paraId="33F4A701" w14:textId="77777777" w:rsidR="009B121F" w:rsidRPr="009B121F" w:rsidRDefault="009B121F" w:rsidP="009B121F">
            <w:pPr>
              <w:spacing w:before="0" w:after="0" w:line="240" w:lineRule="auto"/>
              <w:jc w:val="center"/>
              <w:rPr>
                <w:rFonts w:ascii="Arial" w:hAnsi="Arial" w:cs="Arial"/>
                <w:b/>
                <w:bCs/>
                <w:color w:val="000000"/>
                <w:sz w:val="22"/>
                <w:szCs w:val="22"/>
                <w:lang w:val="es-MX" w:eastAsia="es-MX"/>
              </w:rPr>
            </w:pPr>
            <w:r w:rsidRPr="009B121F">
              <w:rPr>
                <w:rFonts w:ascii="Arial" w:hAnsi="Arial" w:cs="Arial"/>
                <w:b/>
                <w:bCs/>
                <w:color w:val="000000"/>
                <w:sz w:val="22"/>
                <w:szCs w:val="22"/>
                <w:lang w:val="es-MX" w:eastAsia="es-MX"/>
              </w:rPr>
              <w:t>100</w:t>
            </w:r>
          </w:p>
        </w:tc>
      </w:tr>
    </w:tbl>
    <w:p w14:paraId="469A4398" w14:textId="31815852" w:rsidR="002B16AB" w:rsidRPr="0059421B" w:rsidRDefault="009B121F" w:rsidP="00CA6788">
      <w:pPr>
        <w:adjustRightInd w:val="0"/>
        <w:spacing w:before="0" w:after="0" w:line="276" w:lineRule="auto"/>
        <w:ind w:right="760"/>
        <w:rPr>
          <w:rFonts w:ascii="Arial" w:hAnsi="Arial" w:cs="Arial"/>
          <w:bCs/>
          <w:sz w:val="22"/>
          <w:szCs w:val="22"/>
        </w:rPr>
      </w:pPr>
      <w:r>
        <w:rPr>
          <w:rFonts w:ascii="Arial" w:hAnsi="Arial" w:cs="Arial"/>
          <w:bCs/>
          <w:sz w:val="22"/>
          <w:szCs w:val="22"/>
        </w:rPr>
        <w:fldChar w:fldCharType="end"/>
      </w:r>
    </w:p>
    <w:p w14:paraId="469A4399" w14:textId="29672F2C"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En el ejemplo, el cumplimiento del bloque se encuentra al 70%, por lo tanto, la compensación se calcularía respecto del 30% restante. </w:t>
      </w:r>
    </w:p>
    <w:p w14:paraId="35D93EEF" w14:textId="77777777" w:rsidR="00CA6788" w:rsidRDefault="00CA6788" w:rsidP="00CA6788">
      <w:pPr>
        <w:pStyle w:val="N2Telmex"/>
        <w:numPr>
          <w:ilvl w:val="0"/>
          <w:numId w:val="0"/>
        </w:numPr>
        <w:spacing w:before="0" w:after="0" w:line="276" w:lineRule="auto"/>
        <w:ind w:left="567"/>
        <w:rPr>
          <w:rFonts w:ascii="Arial" w:hAnsi="Arial" w:cs="Arial"/>
          <w:sz w:val="22"/>
          <w:szCs w:val="22"/>
        </w:rPr>
      </w:pPr>
    </w:p>
    <w:p w14:paraId="64BC9B98" w14:textId="66A165A8" w:rsidR="00CA6788" w:rsidRDefault="006814AD" w:rsidP="00CA6788">
      <w:pPr>
        <w:pStyle w:val="N2Telmex"/>
        <w:spacing w:before="0" w:after="0" w:line="276" w:lineRule="auto"/>
        <w:rPr>
          <w:rFonts w:ascii="Arial" w:hAnsi="Arial" w:cs="Arial"/>
          <w:sz w:val="22"/>
          <w:szCs w:val="22"/>
        </w:rPr>
      </w:pPr>
      <w:r w:rsidRPr="006039D9">
        <w:rPr>
          <w:rFonts w:ascii="Arial" w:hAnsi="Arial" w:cs="Arial"/>
          <w:sz w:val="22"/>
          <w:szCs w:val="22"/>
        </w:rPr>
        <w:t>Valor de las Penas</w:t>
      </w:r>
    </w:p>
    <w:p w14:paraId="58C5D2C5" w14:textId="77777777" w:rsidR="00CA6788" w:rsidRPr="00CA6788" w:rsidRDefault="00CA6788" w:rsidP="00CA6788">
      <w:pPr>
        <w:adjustRightInd w:val="0"/>
        <w:spacing w:before="0" w:after="0" w:line="276" w:lineRule="auto"/>
      </w:pPr>
    </w:p>
    <w:p w14:paraId="469A439B" w14:textId="06F42654"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Salvo indicación diversa, el valor empleado para el cálculo de las compensaciones será el precio pactado por las partes respecto del Servicio respectivo.</w:t>
      </w:r>
    </w:p>
    <w:p w14:paraId="5F6F0616"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C" w14:textId="414952D9"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Las Partes convienen en que el valor agregado de la totalidad de compensaciones que pudiera aplicar respecto de un mismo Servicio no podrá exceder el 100% del valor total del mismo y si el Servicio no se entrega en un tiempo extra máximo de 100% del plazo original, sólo tomando en consideración los plazos atribuibles a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las Partes entenderán que el servicio fue denegado por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salvo que se acuerde lo contrario.</w:t>
      </w:r>
    </w:p>
    <w:p w14:paraId="34FC29B9"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D" w14:textId="48D95E58"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Para cada uno de los indicadores y parámetros de calidad la pena asociada se calculará por día de retraso. Se tomará como referencia el plazo original plasmado para el indicador dividido en cuatro sub-periodos en los cuales, al primero se la </w:t>
      </w:r>
      <w:r w:rsidR="002A4AE0" w:rsidRPr="0059421B">
        <w:rPr>
          <w:rFonts w:ascii="Arial" w:hAnsi="Arial" w:cs="Arial"/>
          <w:bCs/>
          <w:color w:val="000000"/>
          <w:sz w:val="22"/>
          <w:szCs w:val="22"/>
        </w:rPr>
        <w:t>aplicará</w:t>
      </w:r>
      <w:r w:rsidRPr="0059421B">
        <w:rPr>
          <w:rFonts w:ascii="Arial" w:hAnsi="Arial" w:cs="Arial"/>
          <w:bCs/>
          <w:color w:val="000000"/>
          <w:sz w:val="22"/>
          <w:szCs w:val="22"/>
        </w:rPr>
        <w:t xml:space="preserve"> una pena del 10% del valor del servicio, al segundo un 20% del valor del servicio, al tercero un 30% del valor del servicio y al cuarto un 40% del valor del servicio. El valor de la penalización de cada sub-periodo se repartirá entre los días que los comprenden, así </w:t>
      </w:r>
      <w:r w:rsidR="00607D84" w:rsidRPr="0059421B">
        <w:rPr>
          <w:rFonts w:ascii="Arial" w:hAnsi="Arial" w:cs="Arial"/>
          <w:bCs/>
          <w:color w:val="000000"/>
          <w:sz w:val="22"/>
          <w:szCs w:val="22"/>
        </w:rPr>
        <w:t>el cálculo de las penalizaciones por día de retraso se calculará</w:t>
      </w:r>
      <w:r w:rsidRPr="0059421B">
        <w:rPr>
          <w:rFonts w:ascii="Arial" w:hAnsi="Arial" w:cs="Arial"/>
          <w:bCs/>
          <w:color w:val="000000"/>
          <w:sz w:val="22"/>
          <w:szCs w:val="22"/>
        </w:rPr>
        <w:t xml:space="preserve"> de la siguiente forma:</w:t>
      </w:r>
    </w:p>
    <w:p w14:paraId="56054264"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E" w14:textId="22D0C9CD" w:rsidR="006814AD" w:rsidRPr="006039D9" w:rsidRDefault="003D3157" w:rsidP="00CA6788">
      <w:pPr>
        <w:adjustRightInd w:val="0"/>
        <w:spacing w:before="0" w:after="0" w:line="276" w:lineRule="auto"/>
        <w:rPr>
          <w:rFonts w:ascii="Arial" w:hAnsi="Arial" w:cs="Arial"/>
          <w:bCs/>
          <w:color w:val="000000"/>
          <w:sz w:val="22"/>
          <w:szCs w:val="22"/>
        </w:rPr>
      </w:pPr>
      <m:oMathPara>
        <m:oMath>
          <m:r>
            <w:rPr>
              <w:rFonts w:ascii="Cambria Math" w:hAnsi="Cambria Math" w:cs="Arial"/>
              <w:color w:val="000000"/>
              <w:sz w:val="22"/>
              <w:szCs w:val="22"/>
            </w:rPr>
            <w:lastRenderedPageBreak/>
            <m:t xml:space="preserve">Penalización por día hábil de retraso= </m:t>
          </m:r>
          <m:f>
            <m:fPr>
              <m:ctrlPr>
                <w:rPr>
                  <w:rFonts w:ascii="Cambria Math" w:hAnsi="Cambria Math" w:cs="Arial"/>
                  <w:bCs/>
                  <w:i/>
                  <w:color w:val="000000"/>
                  <w:sz w:val="22"/>
                  <w:szCs w:val="22"/>
                </w:rPr>
              </m:ctrlPr>
            </m:fPr>
            <m:num>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i</m:t>
                  </m:r>
                </m:sub>
              </m:sSub>
            </m:num>
            <m:den>
              <m:sSub>
                <m:sSubPr>
                  <m:ctrlPr>
                    <w:rPr>
                      <w:rFonts w:ascii="Cambria Math" w:hAnsi="Cambria Math" w:cs="Arial"/>
                      <w:bCs/>
                      <w:i/>
                      <w:color w:val="000000"/>
                      <w:sz w:val="22"/>
                      <w:szCs w:val="22"/>
                    </w:rPr>
                  </m:ctrlPr>
                </m:sSubPr>
                <m:e>
                  <m:r>
                    <w:rPr>
                      <w:rFonts w:ascii="Cambria Math" w:hAnsi="Cambria Math" w:cs="Arial"/>
                      <w:color w:val="000000"/>
                      <w:sz w:val="22"/>
                      <w:szCs w:val="22"/>
                    </w:rPr>
                    <m:t>t</m:t>
                  </m:r>
                </m:e>
                <m:sub>
                  <m:r>
                    <w:rPr>
                      <w:rFonts w:ascii="Cambria Math" w:hAnsi="Cambria Math" w:cs="Arial"/>
                      <w:color w:val="000000"/>
                      <w:sz w:val="22"/>
                      <w:szCs w:val="22"/>
                    </w:rPr>
                    <m:t>i</m:t>
                  </m:r>
                </m:sub>
              </m:sSub>
            </m:den>
          </m:f>
          <m:d>
            <m:dPr>
              <m:ctrlPr>
                <w:rPr>
                  <w:rFonts w:ascii="Cambria Math" w:hAnsi="Cambria Math" w:cs="Arial"/>
                  <w:bCs/>
                  <w:i/>
                  <w:color w:val="000000"/>
                  <w:sz w:val="22"/>
                  <w:szCs w:val="22"/>
                </w:rPr>
              </m:ctrlPr>
            </m:dPr>
            <m:e>
              <m:r>
                <w:rPr>
                  <w:rFonts w:ascii="Cambria Math" w:hAnsi="Cambria Math" w:cs="Arial"/>
                  <w:color w:val="000000"/>
                  <w:sz w:val="22"/>
                  <w:szCs w:val="22"/>
                </w:rPr>
                <m:t>Valor del servicio</m:t>
              </m:r>
            </m:e>
          </m:d>
          <m:r>
            <w:rPr>
              <w:rFonts w:ascii="Cambria Math" w:hAnsi="Cambria Math" w:cs="Arial"/>
              <w:color w:val="000000"/>
              <w:sz w:val="22"/>
              <w:szCs w:val="22"/>
            </w:rPr>
            <m:t xml:space="preserve">   con i=</m:t>
          </m:r>
          <m:d>
            <m:dPr>
              <m:begChr m:val="{"/>
              <m:endChr m:val="}"/>
              <m:ctrlPr>
                <w:rPr>
                  <w:rFonts w:ascii="Cambria Math" w:hAnsi="Cambria Math" w:cs="Arial"/>
                  <w:bCs/>
                  <w:i/>
                  <w:color w:val="000000"/>
                  <w:sz w:val="22"/>
                  <w:szCs w:val="22"/>
                </w:rPr>
              </m:ctrlPr>
            </m:dPr>
            <m:e>
              <m:r>
                <w:rPr>
                  <w:rFonts w:ascii="Cambria Math" w:hAnsi="Cambria Math" w:cs="Arial"/>
                  <w:color w:val="000000"/>
                  <w:sz w:val="22"/>
                  <w:szCs w:val="22"/>
                </w:rPr>
                <m:t>1, 2, 3, 4</m:t>
              </m:r>
            </m:e>
          </m:d>
        </m:oMath>
      </m:oMathPara>
    </w:p>
    <w:p w14:paraId="3EDA7E49"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F" w14:textId="5F2B94ED"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Donde:</w:t>
      </w:r>
    </w:p>
    <w:p w14:paraId="25FD4335"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A0" w14:textId="77777777" w:rsidR="006814AD" w:rsidRPr="0059421B" w:rsidRDefault="00F14598" w:rsidP="00CA6788">
      <w:pPr>
        <w:adjustRightInd w:val="0"/>
        <w:spacing w:before="0" w:after="0" w:line="276" w:lineRule="auto"/>
        <w:rPr>
          <w:rFonts w:ascii="Arial" w:hAnsi="Arial" w:cs="Arial"/>
          <w:bCs/>
          <w:color w:val="000000"/>
          <w:sz w:val="22"/>
          <w:szCs w:val="22"/>
        </w:rPr>
      </w:pPr>
      <m:oMathPara>
        <m:oMath>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1</m:t>
              </m:r>
            </m:sub>
          </m:sSub>
          <m:r>
            <w:rPr>
              <w:rFonts w:ascii="Cambria Math" w:hAnsi="Cambria Math" w:cs="Arial"/>
              <w:color w:val="000000"/>
              <w:sz w:val="22"/>
              <w:szCs w:val="22"/>
            </w:rPr>
            <m:t xml:space="preserve">=10%;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2</m:t>
              </m:r>
            </m:sub>
          </m:sSub>
          <m:r>
            <w:rPr>
              <w:rFonts w:ascii="Cambria Math" w:hAnsi="Cambria Math" w:cs="Arial"/>
              <w:color w:val="000000"/>
              <w:sz w:val="22"/>
              <w:szCs w:val="22"/>
            </w:rPr>
            <m:t xml:space="preserve">=20%;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3</m:t>
              </m:r>
            </m:sub>
          </m:sSub>
          <m:r>
            <w:rPr>
              <w:rFonts w:ascii="Cambria Math" w:hAnsi="Cambria Math" w:cs="Arial"/>
              <w:color w:val="000000"/>
              <w:sz w:val="22"/>
              <w:szCs w:val="22"/>
            </w:rPr>
            <m:t xml:space="preserve">=30%  y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4</m:t>
              </m:r>
            </m:sub>
          </m:sSub>
          <m:r>
            <w:rPr>
              <w:rFonts w:ascii="Cambria Math" w:hAnsi="Cambria Math" w:cs="Arial"/>
              <w:color w:val="000000"/>
              <w:sz w:val="22"/>
              <w:szCs w:val="22"/>
            </w:rPr>
            <m:t>=40%</m:t>
          </m:r>
        </m:oMath>
      </m:oMathPara>
    </w:p>
    <w:p w14:paraId="4FD209C4" w14:textId="77777777" w:rsidR="006039D9" w:rsidRDefault="006039D9" w:rsidP="00CA6788">
      <w:pPr>
        <w:adjustRightInd w:val="0"/>
        <w:spacing w:before="0" w:after="0" w:line="276" w:lineRule="auto"/>
        <w:rPr>
          <w:rFonts w:ascii="Arial" w:hAnsi="Arial" w:cs="Arial"/>
          <w:bCs/>
          <w:color w:val="000000"/>
          <w:sz w:val="22"/>
          <w:szCs w:val="22"/>
        </w:rPr>
      </w:pPr>
    </w:p>
    <w:p w14:paraId="469A43A1" w14:textId="00080C71" w:rsidR="006814AD" w:rsidRPr="0059421B"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Así, </w:t>
      </w:r>
    </w:p>
    <w:p w14:paraId="469A43A2" w14:textId="77777777" w:rsidR="00362C1E" w:rsidRPr="0059421B" w:rsidRDefault="00362C1E" w:rsidP="00CA6788">
      <w:pPr>
        <w:adjustRightInd w:val="0"/>
        <w:spacing w:before="0" w:after="0" w:line="276" w:lineRule="auto"/>
        <w:rPr>
          <w:rFonts w:ascii="Arial" w:hAnsi="Arial" w:cs="Arial"/>
          <w:bCs/>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93"/>
        <w:gridCol w:w="2296"/>
        <w:gridCol w:w="2316"/>
      </w:tblGrid>
      <w:tr w:rsidR="000F3DBC" w:rsidRPr="0059421B" w14:paraId="469A43A6" w14:textId="77777777" w:rsidTr="00760651">
        <w:trPr>
          <w:trHeight w:val="453"/>
          <w:jc w:val="center"/>
        </w:trPr>
        <w:tc>
          <w:tcPr>
            <w:tcW w:w="2593" w:type="dxa"/>
            <w:shd w:val="clear" w:color="auto" w:fill="548DD4"/>
            <w:vAlign w:val="center"/>
          </w:tcPr>
          <w:p w14:paraId="469A43A3" w14:textId="77777777" w:rsidR="000F3DBC" w:rsidRPr="0059421B" w:rsidRDefault="000F3DBC" w:rsidP="00CA6788">
            <w:pPr>
              <w:suppressAutoHyphens/>
              <w:spacing w:before="0" w:after="0" w:line="276" w:lineRule="auto"/>
              <w:contextualSpacing/>
              <w:jc w:val="center"/>
              <w:rPr>
                <w:rFonts w:ascii="Arial" w:hAnsi="Arial" w:cs="Arial"/>
                <w:b/>
                <w:color w:val="FFFFFF"/>
                <w:sz w:val="20"/>
                <w:szCs w:val="20"/>
                <w:lang w:val="es-MX"/>
              </w:rPr>
            </w:pPr>
            <w:r w:rsidRPr="0059421B">
              <w:rPr>
                <w:rFonts w:ascii="Arial" w:hAnsi="Arial" w:cs="Arial"/>
                <w:b/>
                <w:color w:val="FFFFFF"/>
                <w:sz w:val="20"/>
                <w:szCs w:val="20"/>
                <w:lang w:val="es-MX" w:eastAsia="es-MX"/>
              </w:rPr>
              <w:t>Plazos de indicadores</w:t>
            </w:r>
          </w:p>
        </w:tc>
        <w:tc>
          <w:tcPr>
            <w:tcW w:w="2296" w:type="dxa"/>
            <w:shd w:val="clear" w:color="auto" w:fill="548DD4"/>
            <w:vAlign w:val="center"/>
          </w:tcPr>
          <w:p w14:paraId="469A43A4" w14:textId="77777777" w:rsidR="000F3DBC" w:rsidRPr="0059421B" w:rsidRDefault="003D3157" w:rsidP="00CA6788">
            <w:pPr>
              <w:suppressAutoHyphens/>
              <w:spacing w:before="0" w:after="0" w:line="276"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14:anchorId="469A43FC" wp14:editId="469A43FD">
                  <wp:extent cx="1003300" cy="247650"/>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3300" cy="247650"/>
                          </a:xfrm>
                          <a:prstGeom prst="rect">
                            <a:avLst/>
                          </a:prstGeom>
                          <a:noFill/>
                          <a:ln>
                            <a:noFill/>
                          </a:ln>
                        </pic:spPr>
                      </pic:pic>
                    </a:graphicData>
                  </a:graphic>
                </wp:inline>
              </w:drawing>
            </w:r>
          </w:p>
        </w:tc>
        <w:tc>
          <w:tcPr>
            <w:tcW w:w="2316" w:type="dxa"/>
            <w:shd w:val="clear" w:color="auto" w:fill="548DD4"/>
            <w:vAlign w:val="center"/>
          </w:tcPr>
          <w:p w14:paraId="469A43A5" w14:textId="77777777" w:rsidR="000F3DBC" w:rsidRPr="0059421B" w:rsidRDefault="003D3157" w:rsidP="00CA6788">
            <w:pPr>
              <w:suppressAutoHyphens/>
              <w:spacing w:before="0" w:after="0" w:line="276"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14:anchorId="469A43FE" wp14:editId="469A43FF">
                  <wp:extent cx="209550" cy="2349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 cy="234950"/>
                          </a:xfrm>
                          <a:prstGeom prst="rect">
                            <a:avLst/>
                          </a:prstGeom>
                          <a:noFill/>
                          <a:ln>
                            <a:noFill/>
                          </a:ln>
                        </pic:spPr>
                      </pic:pic>
                    </a:graphicData>
                  </a:graphic>
                </wp:inline>
              </w:drawing>
            </w:r>
          </w:p>
        </w:tc>
      </w:tr>
      <w:tr w:rsidR="000F3DBC" w:rsidRPr="0059421B" w14:paraId="469A43AA" w14:textId="77777777" w:rsidTr="00760651">
        <w:trPr>
          <w:jc w:val="center"/>
        </w:trPr>
        <w:tc>
          <w:tcPr>
            <w:tcW w:w="2593" w:type="dxa"/>
          </w:tcPr>
          <w:p w14:paraId="469A43A7" w14:textId="3C3274E9"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cuatro</w:t>
            </w:r>
            <w:r w:rsidR="00CE49C4">
              <w:rPr>
                <w:rFonts w:ascii="Arial" w:hAnsi="Arial" w:cs="Arial"/>
                <w:sz w:val="20"/>
                <w:szCs w:val="20"/>
                <w:lang w:val="es-MX"/>
              </w:rPr>
              <w:t xml:space="preserve"> </w:t>
            </w:r>
            <w:r w:rsidRPr="0059421B">
              <w:rPr>
                <w:rFonts w:ascii="Arial" w:hAnsi="Arial" w:cs="Arial"/>
                <w:sz w:val="20"/>
                <w:szCs w:val="20"/>
                <w:lang w:val="es-MX"/>
              </w:rPr>
              <w:t>días hábiles</w:t>
            </w:r>
            <w:r w:rsidR="003E576C">
              <w:rPr>
                <w:rFonts w:ascii="Arial" w:hAnsi="Arial" w:cs="Arial"/>
                <w:sz w:val="20"/>
                <w:szCs w:val="20"/>
                <w:lang w:val="es-MX"/>
              </w:rPr>
              <w:t xml:space="preserve"> </w:t>
            </w:r>
          </w:p>
        </w:tc>
        <w:tc>
          <w:tcPr>
            <w:tcW w:w="2296" w:type="dxa"/>
          </w:tcPr>
          <w:p w14:paraId="469A43A8" w14:textId="1357D43C"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A9" w14:textId="2B75BD11"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AE" w14:textId="77777777" w:rsidTr="00760651">
        <w:trPr>
          <w:jc w:val="center"/>
        </w:trPr>
        <w:tc>
          <w:tcPr>
            <w:tcW w:w="2593" w:type="dxa"/>
          </w:tcPr>
          <w:p w14:paraId="469A43AB" w14:textId="5EE302A6"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cinco</w:t>
            </w:r>
            <w:r w:rsidR="00CE49C4">
              <w:rPr>
                <w:rFonts w:ascii="Arial" w:hAnsi="Arial" w:cs="Arial"/>
                <w:sz w:val="20"/>
                <w:szCs w:val="20"/>
                <w:lang w:val="es-MX"/>
              </w:rPr>
              <w:t xml:space="preserve"> </w:t>
            </w:r>
            <w:r w:rsidRPr="0059421B">
              <w:rPr>
                <w:rFonts w:ascii="Arial" w:hAnsi="Arial" w:cs="Arial"/>
                <w:sz w:val="20"/>
                <w:szCs w:val="20"/>
                <w:lang w:val="es-MX"/>
              </w:rPr>
              <w:t>días hábiles</w:t>
            </w:r>
          </w:p>
        </w:tc>
        <w:tc>
          <w:tcPr>
            <w:tcW w:w="2296" w:type="dxa"/>
          </w:tcPr>
          <w:p w14:paraId="469A43AC" w14:textId="45E99377"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AD" w14:textId="2CCB0B0E"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D</w:t>
            </w:r>
            <w:r w:rsidR="00F051BD">
              <w:rPr>
                <w:rFonts w:ascii="Arial" w:hAnsi="Arial" w:cs="Arial"/>
                <w:sz w:val="20"/>
                <w:szCs w:val="20"/>
                <w:lang w:val="es-MX"/>
              </w:rPr>
              <w:t>os</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2" w14:textId="77777777" w:rsidTr="00760651">
        <w:trPr>
          <w:jc w:val="center"/>
        </w:trPr>
        <w:tc>
          <w:tcPr>
            <w:tcW w:w="2593" w:type="dxa"/>
          </w:tcPr>
          <w:p w14:paraId="469A43AF" w14:textId="0473F53A"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ocho</w:t>
            </w:r>
            <w:r w:rsidRPr="0059421B">
              <w:rPr>
                <w:rFonts w:ascii="Arial" w:hAnsi="Arial" w:cs="Arial"/>
                <w:sz w:val="20"/>
                <w:szCs w:val="20"/>
                <w:lang w:val="es-MX"/>
              </w:rPr>
              <w:t xml:space="preserve"> días hábiles</w:t>
            </w:r>
          </w:p>
        </w:tc>
        <w:tc>
          <w:tcPr>
            <w:tcW w:w="2296" w:type="dxa"/>
          </w:tcPr>
          <w:p w14:paraId="469A43B0" w14:textId="6F935D14"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D</w:t>
            </w:r>
            <w:r w:rsidR="00F051BD">
              <w:rPr>
                <w:rFonts w:ascii="Arial" w:hAnsi="Arial" w:cs="Arial"/>
                <w:sz w:val="20"/>
                <w:szCs w:val="20"/>
                <w:lang w:val="es-MX"/>
              </w:rPr>
              <w:t>os</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1" w14:textId="0366AC26"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D</w:t>
            </w:r>
            <w:r w:rsidR="00F051BD">
              <w:rPr>
                <w:rFonts w:ascii="Arial" w:hAnsi="Arial" w:cs="Arial"/>
                <w:sz w:val="20"/>
                <w:szCs w:val="20"/>
                <w:lang w:val="es-MX"/>
              </w:rPr>
              <w:t>os</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6" w14:textId="77777777" w:rsidTr="00760651">
        <w:trPr>
          <w:jc w:val="center"/>
        </w:trPr>
        <w:tc>
          <w:tcPr>
            <w:tcW w:w="2593" w:type="dxa"/>
          </w:tcPr>
          <w:p w14:paraId="469A43B3" w14:textId="14E6E63B"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diez</w:t>
            </w:r>
            <w:r w:rsidRPr="0059421B">
              <w:rPr>
                <w:rFonts w:ascii="Arial" w:hAnsi="Arial" w:cs="Arial"/>
                <w:sz w:val="20"/>
                <w:szCs w:val="20"/>
                <w:lang w:val="es-MX"/>
              </w:rPr>
              <w:t xml:space="preserve"> días hábiles</w:t>
            </w:r>
          </w:p>
        </w:tc>
        <w:tc>
          <w:tcPr>
            <w:tcW w:w="2296" w:type="dxa"/>
          </w:tcPr>
          <w:p w14:paraId="469A43B4" w14:textId="791B104A"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T</w:t>
            </w:r>
            <w:r w:rsidR="00F051BD">
              <w:rPr>
                <w:rFonts w:ascii="Arial" w:hAnsi="Arial" w:cs="Arial"/>
                <w:sz w:val="20"/>
                <w:szCs w:val="20"/>
                <w:lang w:val="es-MX"/>
              </w:rPr>
              <w:t>res</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5" w14:textId="1E4CE331"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A" w14:textId="77777777" w:rsidTr="00760651">
        <w:trPr>
          <w:jc w:val="center"/>
        </w:trPr>
        <w:tc>
          <w:tcPr>
            <w:tcW w:w="2593" w:type="dxa"/>
          </w:tcPr>
          <w:p w14:paraId="469A43B7"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Plazos de 15 días hábiles</w:t>
            </w:r>
          </w:p>
        </w:tc>
        <w:tc>
          <w:tcPr>
            <w:tcW w:w="2296" w:type="dxa"/>
          </w:tcPr>
          <w:p w14:paraId="469A43B8" w14:textId="06B48F78"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C</w:t>
            </w:r>
            <w:r w:rsidR="00F051BD">
              <w:rPr>
                <w:rFonts w:ascii="Arial" w:hAnsi="Arial" w:cs="Arial"/>
                <w:sz w:val="20"/>
                <w:szCs w:val="20"/>
                <w:lang w:val="es-MX"/>
              </w:rPr>
              <w:t>uatro</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9" w14:textId="57F098B4"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T</w:t>
            </w:r>
            <w:r w:rsidR="00F051BD">
              <w:rPr>
                <w:rFonts w:ascii="Arial" w:hAnsi="Arial" w:cs="Arial"/>
                <w:sz w:val="20"/>
                <w:szCs w:val="20"/>
                <w:lang w:val="es-MX"/>
              </w:rPr>
              <w:t>res</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E" w14:textId="77777777" w:rsidTr="00760651">
        <w:trPr>
          <w:jc w:val="center"/>
        </w:trPr>
        <w:tc>
          <w:tcPr>
            <w:tcW w:w="2593" w:type="dxa"/>
          </w:tcPr>
          <w:p w14:paraId="469A43BB"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Plazos de 25 días hábiles</w:t>
            </w:r>
          </w:p>
        </w:tc>
        <w:tc>
          <w:tcPr>
            <w:tcW w:w="2296" w:type="dxa"/>
          </w:tcPr>
          <w:p w14:paraId="469A43BC" w14:textId="441F0E60"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S</w:t>
            </w:r>
            <w:r w:rsidR="00F051BD">
              <w:rPr>
                <w:rFonts w:ascii="Arial" w:hAnsi="Arial" w:cs="Arial"/>
                <w:sz w:val="20"/>
                <w:szCs w:val="20"/>
                <w:lang w:val="es-MX"/>
              </w:rPr>
              <w:t>iete</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D" w14:textId="767762AC"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C</w:t>
            </w:r>
            <w:r w:rsidR="00F051BD">
              <w:rPr>
                <w:rFonts w:ascii="Arial" w:hAnsi="Arial" w:cs="Arial"/>
                <w:sz w:val="20"/>
                <w:szCs w:val="20"/>
                <w:lang w:val="es-MX"/>
              </w:rPr>
              <w:t>uatro</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C2" w14:textId="77777777" w:rsidTr="00760651">
        <w:trPr>
          <w:jc w:val="center"/>
        </w:trPr>
        <w:tc>
          <w:tcPr>
            <w:tcW w:w="2593" w:type="dxa"/>
          </w:tcPr>
          <w:p w14:paraId="469A43BF"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Plazos de 30 días hábiles</w:t>
            </w:r>
          </w:p>
        </w:tc>
        <w:tc>
          <w:tcPr>
            <w:tcW w:w="2296" w:type="dxa"/>
          </w:tcPr>
          <w:p w14:paraId="469A43C0" w14:textId="5D114C9B"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O</w:t>
            </w:r>
            <w:r w:rsidR="00F051BD">
              <w:rPr>
                <w:rFonts w:ascii="Arial" w:hAnsi="Arial" w:cs="Arial"/>
                <w:sz w:val="20"/>
                <w:szCs w:val="20"/>
                <w:lang w:val="es-MX"/>
              </w:rPr>
              <w:t>cho</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C1" w14:textId="7BB4B457"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S</w:t>
            </w:r>
            <w:r w:rsidR="00F051BD">
              <w:rPr>
                <w:rFonts w:ascii="Arial" w:hAnsi="Arial" w:cs="Arial"/>
                <w:sz w:val="20"/>
                <w:szCs w:val="20"/>
                <w:lang w:val="es-MX"/>
              </w:rPr>
              <w:t>eis</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C6" w14:textId="77777777" w:rsidTr="00760651">
        <w:trPr>
          <w:jc w:val="center"/>
        </w:trPr>
        <w:tc>
          <w:tcPr>
            <w:tcW w:w="2593" w:type="dxa"/>
          </w:tcPr>
          <w:p w14:paraId="469A43C3"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 no definido</w:t>
            </w:r>
          </w:p>
        </w:tc>
        <w:tc>
          <w:tcPr>
            <w:tcW w:w="2296" w:type="dxa"/>
          </w:tcPr>
          <w:p w14:paraId="469A43C4"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 definido/4</w:t>
            </w:r>
          </w:p>
        </w:tc>
        <w:tc>
          <w:tcPr>
            <w:tcW w:w="2316" w:type="dxa"/>
          </w:tcPr>
          <w:p w14:paraId="469A43C5" w14:textId="77777777" w:rsidR="000F3DBC" w:rsidRPr="0059421B" w:rsidRDefault="000F3DBC" w:rsidP="00CA6788">
            <w:pPr>
              <w:suppressAutoHyphens/>
              <w:spacing w:before="0" w:after="0" w:line="276" w:lineRule="auto"/>
              <w:contextualSpacing/>
              <w:rPr>
                <w:rFonts w:ascii="Arial" w:hAnsi="Arial" w:cs="Arial"/>
                <w:sz w:val="20"/>
                <w:szCs w:val="20"/>
                <w:vertAlign w:val="subscript"/>
                <w:lang w:val="es-MX"/>
              </w:rPr>
            </w:pPr>
            <w:r w:rsidRPr="0059421B">
              <w:rPr>
                <w:rFonts w:ascii="Arial" w:hAnsi="Arial" w:cs="Arial"/>
                <w:sz w:val="20"/>
                <w:szCs w:val="20"/>
                <w:lang w:val="es-MX"/>
              </w:rPr>
              <w:t>Plazo definido – (t</w:t>
            </w:r>
            <w:r w:rsidRPr="0059421B">
              <w:rPr>
                <w:rFonts w:ascii="Arial" w:hAnsi="Arial" w:cs="Arial"/>
                <w:sz w:val="20"/>
                <w:szCs w:val="20"/>
                <w:vertAlign w:val="subscript"/>
                <w:lang w:val="es-MX"/>
              </w:rPr>
              <w:t>1</w:t>
            </w:r>
            <w:r w:rsidRPr="0059421B">
              <w:rPr>
                <w:rFonts w:ascii="Arial" w:hAnsi="Arial" w:cs="Arial"/>
                <w:sz w:val="20"/>
                <w:szCs w:val="20"/>
                <w:lang w:val="es-MX"/>
              </w:rPr>
              <w:t>+t</w:t>
            </w:r>
            <w:r w:rsidRPr="0059421B">
              <w:rPr>
                <w:rFonts w:ascii="Arial" w:hAnsi="Arial" w:cs="Arial"/>
                <w:sz w:val="20"/>
                <w:szCs w:val="20"/>
                <w:vertAlign w:val="subscript"/>
                <w:lang w:val="es-MX"/>
              </w:rPr>
              <w:t>2</w:t>
            </w:r>
            <w:r w:rsidRPr="0059421B">
              <w:rPr>
                <w:rFonts w:ascii="Arial" w:hAnsi="Arial" w:cs="Arial"/>
                <w:sz w:val="20"/>
                <w:szCs w:val="20"/>
                <w:lang w:val="es-MX"/>
              </w:rPr>
              <w:t>+t</w:t>
            </w:r>
            <w:r w:rsidRPr="0059421B">
              <w:rPr>
                <w:rFonts w:ascii="Arial" w:hAnsi="Arial" w:cs="Arial"/>
                <w:sz w:val="20"/>
                <w:szCs w:val="20"/>
                <w:vertAlign w:val="subscript"/>
                <w:lang w:val="es-MX"/>
              </w:rPr>
              <w:t>3</w:t>
            </w:r>
            <w:r w:rsidRPr="0059421B">
              <w:rPr>
                <w:rFonts w:ascii="Arial" w:hAnsi="Arial" w:cs="Arial"/>
                <w:sz w:val="20"/>
                <w:szCs w:val="20"/>
                <w:lang w:val="es-MX"/>
              </w:rPr>
              <w:t>)</w:t>
            </w:r>
          </w:p>
        </w:tc>
      </w:tr>
    </w:tbl>
    <w:p w14:paraId="469A43C7" w14:textId="77777777" w:rsidR="0059421B" w:rsidRDefault="0059421B" w:rsidP="00CA6788">
      <w:pPr>
        <w:adjustRightInd w:val="0"/>
        <w:spacing w:before="0" w:after="0" w:line="276" w:lineRule="auto"/>
        <w:rPr>
          <w:rFonts w:ascii="Arial" w:hAnsi="Arial" w:cs="Arial"/>
          <w:bCs/>
          <w:color w:val="000000"/>
        </w:rPr>
      </w:pPr>
    </w:p>
    <w:p w14:paraId="469A43C8" w14:textId="47CD7F51"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Ejemplo:</w:t>
      </w:r>
    </w:p>
    <w:p w14:paraId="319A291C"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C9" w14:textId="0D8B1338"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En un indicador que se debe cumplir en </w:t>
      </w:r>
      <w:r w:rsidRPr="0059421B">
        <w:rPr>
          <w:rFonts w:ascii="Arial" w:hAnsi="Arial" w:cs="Arial"/>
          <w:b/>
          <w:bCs/>
          <w:color w:val="000000"/>
          <w:sz w:val="22"/>
          <w:szCs w:val="22"/>
        </w:rPr>
        <w:t>15 días hábiles</w:t>
      </w:r>
      <w:r w:rsidRPr="0059421B">
        <w:rPr>
          <w:rFonts w:ascii="Arial" w:hAnsi="Arial" w:cs="Arial"/>
          <w:bCs/>
          <w:color w:val="000000"/>
          <w:sz w:val="22"/>
          <w:szCs w:val="22"/>
        </w:rPr>
        <w:t>:</w:t>
      </w:r>
    </w:p>
    <w:p w14:paraId="2B6CFD8C" w14:textId="77777777" w:rsidR="009D3AC6" w:rsidRPr="0059421B" w:rsidRDefault="009D3AC6" w:rsidP="00CA6788">
      <w:pPr>
        <w:adjustRightInd w:val="0"/>
        <w:spacing w:before="0" w:after="0" w:line="276" w:lineRule="auto"/>
        <w:rPr>
          <w:rFonts w:ascii="Arial" w:hAnsi="Arial" w:cs="Arial"/>
          <w:bCs/>
          <w:color w:val="000000"/>
          <w:sz w:val="22"/>
          <w:szCs w:val="22"/>
        </w:rPr>
      </w:pPr>
    </w:p>
    <w:p w14:paraId="469A43CA" w14:textId="77777777" w:rsidR="006814AD"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hábiles 16, 17, 18 y 19 generan una pena por día del 2.5 % del valor del servicio; </w:t>
      </w:r>
    </w:p>
    <w:p w14:paraId="469A43CB" w14:textId="77777777" w:rsidR="002B16AB" w:rsidRPr="0059421B" w:rsidRDefault="002B16AB" w:rsidP="00CA6788">
      <w:pPr>
        <w:suppressAutoHyphens/>
        <w:adjustRightInd w:val="0"/>
        <w:spacing w:before="0" w:after="0" w:line="276" w:lineRule="auto"/>
        <w:ind w:left="723"/>
        <w:contextualSpacing/>
        <w:rPr>
          <w:rFonts w:ascii="Arial" w:hAnsi="Arial" w:cs="Arial"/>
          <w:bCs/>
          <w:color w:val="000000"/>
          <w:sz w:val="22"/>
          <w:szCs w:val="22"/>
        </w:rPr>
      </w:pPr>
    </w:p>
    <w:p w14:paraId="469A43CC" w14:textId="77777777" w:rsidR="002B16AB"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20, 21, 22 y 23 generan una pena por día del 5 % del valor del servicio, </w:t>
      </w:r>
    </w:p>
    <w:p w14:paraId="469A43CD" w14:textId="77777777" w:rsidR="002B16AB" w:rsidRPr="0059421B" w:rsidRDefault="002B16AB" w:rsidP="00CA6788">
      <w:pPr>
        <w:suppressAutoHyphens/>
        <w:adjustRightInd w:val="0"/>
        <w:spacing w:before="0" w:after="0" w:line="276" w:lineRule="auto"/>
        <w:contextualSpacing/>
        <w:rPr>
          <w:rFonts w:ascii="Arial" w:hAnsi="Arial" w:cs="Arial"/>
          <w:bCs/>
          <w:color w:val="000000"/>
          <w:sz w:val="22"/>
          <w:szCs w:val="22"/>
        </w:rPr>
      </w:pPr>
    </w:p>
    <w:p w14:paraId="469A43CE" w14:textId="77777777" w:rsidR="002B16AB"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24, 25, 26 y 27 generan una pena por día del 7.5 % del valor del servicio y </w:t>
      </w:r>
    </w:p>
    <w:p w14:paraId="469A43CF" w14:textId="77777777" w:rsidR="002B16AB" w:rsidRPr="0059421B" w:rsidRDefault="002B16AB" w:rsidP="00CA6788">
      <w:pPr>
        <w:suppressAutoHyphens/>
        <w:adjustRightInd w:val="0"/>
        <w:spacing w:before="0" w:after="0" w:line="276" w:lineRule="auto"/>
        <w:contextualSpacing/>
        <w:rPr>
          <w:rFonts w:ascii="Arial" w:hAnsi="Arial" w:cs="Arial"/>
          <w:bCs/>
          <w:color w:val="000000"/>
          <w:sz w:val="22"/>
          <w:szCs w:val="22"/>
        </w:rPr>
      </w:pPr>
    </w:p>
    <w:p w14:paraId="469A43D0" w14:textId="77777777" w:rsidR="006814AD"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28, 29 y 30 generan una pena de 13.33% del valor del servicio. </w:t>
      </w:r>
    </w:p>
    <w:p w14:paraId="469A43D1" w14:textId="77777777" w:rsidR="005841AB" w:rsidRPr="0059421B" w:rsidRDefault="005841AB" w:rsidP="00CA6788">
      <w:pPr>
        <w:adjustRightInd w:val="0"/>
        <w:spacing w:before="0" w:after="0" w:line="276" w:lineRule="auto"/>
        <w:rPr>
          <w:rFonts w:ascii="Arial" w:hAnsi="Arial" w:cs="Arial"/>
          <w:bCs/>
          <w:color w:val="000000"/>
          <w:sz w:val="22"/>
          <w:szCs w:val="22"/>
        </w:rPr>
      </w:pPr>
    </w:p>
    <w:p w14:paraId="469A43D3" w14:textId="78429E41"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Para los siguientes casos, la pena será plana por cada día de retraso hasta sumar el 50% del valor d</w:t>
      </w:r>
      <w:r w:rsidR="00CE49C4">
        <w:rPr>
          <w:rFonts w:ascii="Arial" w:hAnsi="Arial" w:cs="Arial"/>
          <w:bCs/>
          <w:color w:val="000000"/>
          <w:sz w:val="22"/>
          <w:szCs w:val="22"/>
        </w:rPr>
        <w:t>e</w:t>
      </w:r>
      <w:r w:rsidRPr="0059421B">
        <w:rPr>
          <w:rFonts w:ascii="Arial" w:hAnsi="Arial" w:cs="Arial"/>
          <w:bCs/>
          <w:color w:val="000000"/>
          <w:sz w:val="22"/>
          <w:szCs w:val="22"/>
        </w:rPr>
        <w:t xml:space="preserve"> la actividad de apoyo asociada:</w:t>
      </w:r>
    </w:p>
    <w:p w14:paraId="608E42A2" w14:textId="77777777" w:rsidR="00806A2F" w:rsidRPr="0059421B" w:rsidRDefault="00806A2F" w:rsidP="00CA6788">
      <w:pPr>
        <w:adjustRightInd w:val="0"/>
        <w:spacing w:before="0" w:after="0" w:line="276" w:lineRule="auto"/>
        <w:rPr>
          <w:rFonts w:ascii="Arial" w:hAnsi="Arial" w:cs="Arial"/>
          <w:bCs/>
          <w:color w:val="000000"/>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3"/>
        <w:gridCol w:w="4765"/>
      </w:tblGrid>
      <w:tr w:rsidR="006814AD" w:rsidRPr="0059421B" w14:paraId="469A43D6" w14:textId="77777777" w:rsidTr="002B16AB">
        <w:tc>
          <w:tcPr>
            <w:tcW w:w="4023" w:type="dxa"/>
            <w:shd w:val="clear" w:color="auto" w:fill="548DD4"/>
          </w:tcPr>
          <w:p w14:paraId="469A43D4"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Parámetro</w:t>
            </w:r>
          </w:p>
        </w:tc>
        <w:tc>
          <w:tcPr>
            <w:tcW w:w="4765" w:type="dxa"/>
            <w:shd w:val="clear" w:color="auto" w:fill="548DD4"/>
          </w:tcPr>
          <w:p w14:paraId="469A43D5"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14:paraId="469A43D9" w14:textId="77777777" w:rsidTr="002B16AB">
        <w:tc>
          <w:tcPr>
            <w:tcW w:w="4023" w:type="dxa"/>
          </w:tcPr>
          <w:p w14:paraId="469A43D7" w14:textId="77777777" w:rsidR="006814AD" w:rsidRPr="0059421B" w:rsidRDefault="006814AD" w:rsidP="00CA6788">
            <w:pPr>
              <w:suppressAutoHyphens/>
              <w:spacing w:before="0" w:after="0" w:line="276" w:lineRule="auto"/>
              <w:contextualSpacing/>
              <w:rPr>
                <w:rFonts w:ascii="Arial" w:hAnsi="Arial" w:cs="Arial"/>
                <w:sz w:val="22"/>
                <w:szCs w:val="22"/>
                <w:lang w:val="es-MX"/>
              </w:rPr>
            </w:pPr>
            <w:r w:rsidRPr="0059421B">
              <w:rPr>
                <w:rFonts w:ascii="Arial" w:hAnsi="Arial" w:cs="Arial"/>
                <w:sz w:val="22"/>
                <w:szCs w:val="22"/>
                <w:lang w:val="es-MX"/>
              </w:rPr>
              <w:t xml:space="preserve">Respuesta a solicitudes ingresadas </w:t>
            </w:r>
          </w:p>
        </w:tc>
        <w:tc>
          <w:tcPr>
            <w:tcW w:w="4765" w:type="dxa"/>
          </w:tcPr>
          <w:p w14:paraId="469A43D8"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r w:rsidR="006814AD" w:rsidRPr="0059421B" w14:paraId="469A43DC" w14:textId="77777777" w:rsidTr="002B16AB">
        <w:tc>
          <w:tcPr>
            <w:tcW w:w="4023" w:type="dxa"/>
          </w:tcPr>
          <w:p w14:paraId="469A43DA" w14:textId="77777777" w:rsidR="006814AD" w:rsidRPr="0059421B" w:rsidRDefault="006814AD" w:rsidP="00CA6788">
            <w:pPr>
              <w:suppressAutoHyphens/>
              <w:spacing w:before="0" w:after="0" w:line="276" w:lineRule="auto"/>
              <w:contextualSpacing/>
              <w:rPr>
                <w:rFonts w:ascii="Arial" w:hAnsi="Arial" w:cs="Arial"/>
                <w:sz w:val="22"/>
                <w:szCs w:val="22"/>
                <w:lang w:val="es-MX"/>
              </w:rPr>
            </w:pPr>
            <w:r w:rsidRPr="0059421B">
              <w:rPr>
                <w:rFonts w:ascii="Arial" w:hAnsi="Arial" w:cs="Arial"/>
                <w:sz w:val="22"/>
                <w:szCs w:val="22"/>
                <w:lang w:val="es-MX"/>
              </w:rPr>
              <w:t>Envío de Información Técnica Relevante</w:t>
            </w:r>
          </w:p>
        </w:tc>
        <w:tc>
          <w:tcPr>
            <w:tcW w:w="4765" w:type="dxa"/>
          </w:tcPr>
          <w:p w14:paraId="469A43DB"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bl>
    <w:p w14:paraId="469A43DD" w14:textId="77777777" w:rsidR="006814AD" w:rsidRPr="0059421B" w:rsidRDefault="006814AD" w:rsidP="00CA6788">
      <w:pPr>
        <w:adjustRightInd w:val="0"/>
        <w:spacing w:before="0" w:after="0" w:line="276" w:lineRule="auto"/>
        <w:ind w:left="851" w:right="760"/>
        <w:rPr>
          <w:rFonts w:ascii="Arial" w:hAnsi="Arial" w:cs="Arial"/>
          <w:bCs/>
          <w:color w:val="000000"/>
          <w:sz w:val="22"/>
          <w:szCs w:val="22"/>
        </w:rPr>
      </w:pPr>
    </w:p>
    <w:p w14:paraId="469A43DE" w14:textId="0A303BDB" w:rsidR="00BF2BAA"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lastRenderedPageBreak/>
        <w:t xml:space="preserve">Para los accesos y reparación de fallas y/o averías, la pena será plana por cada día de retraso hasta sumar el 50% del valor de la renta mensual del servicio asociado. De alcanzar esta suma y no haber cumplido con el evento, las Partes entenderán 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ha incumplido con la correcta prestación de los servicios, salvo que se acuerde lo contrario.</w:t>
      </w:r>
    </w:p>
    <w:p w14:paraId="7774FF6C" w14:textId="4EC1F65B" w:rsidR="00806A2F" w:rsidRDefault="00806A2F" w:rsidP="00CA6788">
      <w:pPr>
        <w:adjustRightInd w:val="0"/>
        <w:spacing w:before="0" w:after="0" w:line="276" w:lineRule="auto"/>
        <w:rPr>
          <w:rFonts w:ascii="Arial" w:hAnsi="Arial" w:cs="Arial"/>
          <w:bCs/>
          <w:color w:val="000000"/>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8"/>
        <w:gridCol w:w="3798"/>
      </w:tblGrid>
      <w:tr w:rsidR="006814AD" w:rsidRPr="0059421B" w14:paraId="469A43E1" w14:textId="77777777" w:rsidTr="00D65A2E">
        <w:tc>
          <w:tcPr>
            <w:tcW w:w="4848" w:type="dxa"/>
            <w:shd w:val="clear" w:color="auto" w:fill="548DD4"/>
          </w:tcPr>
          <w:p w14:paraId="469A43DF"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Parámetro</w:t>
            </w:r>
          </w:p>
        </w:tc>
        <w:tc>
          <w:tcPr>
            <w:tcW w:w="3798" w:type="dxa"/>
            <w:shd w:val="clear" w:color="auto" w:fill="548DD4"/>
          </w:tcPr>
          <w:p w14:paraId="469A43E0"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14:paraId="469A43E4" w14:textId="77777777" w:rsidTr="00D65A2E">
        <w:tc>
          <w:tcPr>
            <w:tcW w:w="4848" w:type="dxa"/>
            <w:vAlign w:val="center"/>
          </w:tcPr>
          <w:p w14:paraId="469A43E2" w14:textId="77777777" w:rsidR="006814AD" w:rsidRPr="0059421B" w:rsidRDefault="006814AD" w:rsidP="00CA6788">
            <w:pPr>
              <w:suppressAutoHyphens/>
              <w:spacing w:before="0" w:after="0" w:line="276" w:lineRule="auto"/>
              <w:contextualSpacing/>
              <w:jc w:val="left"/>
              <w:rPr>
                <w:rFonts w:ascii="Arial" w:hAnsi="Arial" w:cs="Arial"/>
                <w:sz w:val="22"/>
                <w:szCs w:val="22"/>
                <w:lang w:val="es-MX"/>
              </w:rPr>
            </w:pPr>
            <w:r w:rsidRPr="0059421B">
              <w:rPr>
                <w:rFonts w:ascii="Arial" w:hAnsi="Arial" w:cs="Arial"/>
                <w:sz w:val="22"/>
                <w:szCs w:val="22"/>
                <w:lang w:val="es-MX"/>
              </w:rPr>
              <w:t xml:space="preserve">Acceso por Emergencia </w:t>
            </w:r>
          </w:p>
        </w:tc>
        <w:tc>
          <w:tcPr>
            <w:tcW w:w="3798" w:type="dxa"/>
          </w:tcPr>
          <w:p w14:paraId="469A43E3"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7" w14:textId="77777777" w:rsidTr="00D65A2E">
        <w:tc>
          <w:tcPr>
            <w:tcW w:w="4848" w:type="dxa"/>
            <w:vAlign w:val="center"/>
          </w:tcPr>
          <w:p w14:paraId="469A43E5" w14:textId="77777777" w:rsidR="006814AD" w:rsidRPr="0059421B" w:rsidRDefault="006814AD" w:rsidP="00CA6788">
            <w:pPr>
              <w:suppressAutoHyphens/>
              <w:spacing w:before="0" w:after="0" w:line="276" w:lineRule="auto"/>
              <w:contextualSpacing/>
              <w:jc w:val="left"/>
              <w:rPr>
                <w:rFonts w:ascii="Arial" w:hAnsi="Arial" w:cs="Arial"/>
                <w:sz w:val="22"/>
                <w:szCs w:val="22"/>
                <w:lang w:val="es-MX"/>
              </w:rPr>
            </w:pPr>
            <w:r w:rsidRPr="0059421B">
              <w:rPr>
                <w:rFonts w:ascii="Arial" w:hAnsi="Arial" w:cs="Arial"/>
                <w:sz w:val="22"/>
                <w:szCs w:val="22"/>
                <w:lang w:val="es-ES"/>
              </w:rPr>
              <w:t>Acceso para Mantenimiento Correctivo (Falla)</w:t>
            </w:r>
          </w:p>
        </w:tc>
        <w:tc>
          <w:tcPr>
            <w:tcW w:w="3798" w:type="dxa"/>
          </w:tcPr>
          <w:p w14:paraId="469A43E6"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A" w14:textId="77777777" w:rsidTr="00D65A2E">
        <w:tc>
          <w:tcPr>
            <w:tcW w:w="4848" w:type="dxa"/>
            <w:vAlign w:val="center"/>
          </w:tcPr>
          <w:p w14:paraId="469A43E8" w14:textId="77777777" w:rsidR="006814AD" w:rsidRPr="0059421B" w:rsidRDefault="006814AD" w:rsidP="00CA6788">
            <w:pPr>
              <w:suppressAutoHyphens/>
              <w:spacing w:before="0" w:after="0" w:line="276" w:lineRule="auto"/>
              <w:contextualSpacing/>
              <w:jc w:val="left"/>
              <w:rPr>
                <w:rFonts w:ascii="Arial" w:hAnsi="Arial" w:cs="Arial"/>
                <w:sz w:val="22"/>
                <w:szCs w:val="22"/>
                <w:lang w:val="es-MX"/>
              </w:rPr>
            </w:pPr>
            <w:r w:rsidRPr="0059421B">
              <w:rPr>
                <w:rFonts w:ascii="Arial" w:hAnsi="Arial" w:cs="Arial"/>
                <w:sz w:val="22"/>
                <w:szCs w:val="22"/>
                <w:lang w:val="es-ES"/>
              </w:rPr>
              <w:t xml:space="preserve">Acceso para Mantenimiento Preventivo </w:t>
            </w:r>
          </w:p>
        </w:tc>
        <w:tc>
          <w:tcPr>
            <w:tcW w:w="3798" w:type="dxa"/>
          </w:tcPr>
          <w:p w14:paraId="469A43E9"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D" w14:textId="77777777" w:rsidTr="00D65A2E">
        <w:tc>
          <w:tcPr>
            <w:tcW w:w="4848" w:type="dxa"/>
            <w:vAlign w:val="center"/>
          </w:tcPr>
          <w:p w14:paraId="469A43EB" w14:textId="77777777" w:rsidR="006814AD" w:rsidRPr="0059421B" w:rsidRDefault="006814AD" w:rsidP="00CA6788">
            <w:pPr>
              <w:suppressAutoHyphens/>
              <w:spacing w:before="0" w:after="0" w:line="276" w:lineRule="auto"/>
              <w:contextualSpacing/>
              <w:jc w:val="left"/>
              <w:rPr>
                <w:rFonts w:ascii="Arial" w:hAnsi="Arial" w:cs="Arial"/>
                <w:sz w:val="22"/>
                <w:szCs w:val="22"/>
                <w:lang w:val="es-ES"/>
              </w:rPr>
            </w:pPr>
            <w:r w:rsidRPr="0059421B">
              <w:rPr>
                <w:rFonts w:ascii="Arial" w:hAnsi="Arial" w:cs="Arial"/>
                <w:sz w:val="22"/>
                <w:szCs w:val="22"/>
                <w:lang w:val="es-ES"/>
              </w:rPr>
              <w:t xml:space="preserve">Reparación de fallas atribuidas a </w:t>
            </w:r>
            <w:r w:rsidR="002F7002" w:rsidRPr="0059421B">
              <w:rPr>
                <w:rFonts w:ascii="Arial" w:hAnsi="Arial" w:cs="Arial"/>
                <w:sz w:val="22"/>
                <w:szCs w:val="22"/>
                <w:lang w:val="es-ES"/>
              </w:rPr>
              <w:t>la División Mayorista</w:t>
            </w:r>
          </w:p>
        </w:tc>
        <w:tc>
          <w:tcPr>
            <w:tcW w:w="3798" w:type="dxa"/>
          </w:tcPr>
          <w:p w14:paraId="469A43EC"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bl>
    <w:p w14:paraId="469A43EE" w14:textId="77777777" w:rsidR="00061344" w:rsidRPr="0059421B" w:rsidRDefault="00061344" w:rsidP="00CA6788">
      <w:pPr>
        <w:adjustRightInd w:val="0"/>
        <w:spacing w:before="0" w:after="0" w:line="276" w:lineRule="auto"/>
        <w:rPr>
          <w:rFonts w:ascii="Arial" w:hAnsi="Arial" w:cs="Arial"/>
          <w:sz w:val="22"/>
          <w:szCs w:val="22"/>
        </w:rPr>
      </w:pPr>
    </w:p>
    <w:p w14:paraId="469A43EF" w14:textId="78091A97" w:rsidR="006814AD" w:rsidRDefault="00A77409" w:rsidP="00CA6788">
      <w:pPr>
        <w:pStyle w:val="Ttulo3"/>
        <w:spacing w:before="0" w:line="276" w:lineRule="auto"/>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.4.</w:t>
      </w:r>
      <w:r w:rsidR="006814AD" w:rsidRPr="0059421B">
        <w:rPr>
          <w:rFonts w:ascii="Arial" w:hAnsi="Arial" w:cs="Arial"/>
          <w:sz w:val="22"/>
          <w:szCs w:val="22"/>
          <w:u w:val="none"/>
        </w:rPr>
        <w:tab/>
        <w:t xml:space="preserve">Procedimiento de Conciliación y Aplicación de Penas Convencionales </w:t>
      </w:r>
    </w:p>
    <w:p w14:paraId="469A43F0" w14:textId="7668CD44"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rPr>
        <w:t xml:space="preserve">El cumplimiento de </w:t>
      </w:r>
      <w:r w:rsidRPr="0059421B">
        <w:rPr>
          <w:rFonts w:ascii="Arial" w:hAnsi="Arial" w:cs="Arial"/>
          <w:sz w:val="22"/>
          <w:szCs w:val="22"/>
          <w:lang w:val="es-ES" w:eastAsia="en-US"/>
        </w:rPr>
        <w:t>los parámetros de calidad será validado trimestralmente y las penas convencionales serán aplicadas para los servicios en los que los parámetros de calidad no hayan sido cumplidos.</w:t>
      </w:r>
    </w:p>
    <w:p w14:paraId="2D97ACC1"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1" w14:textId="2ECB361D"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El análisis de indicadores para el cálculo de penalizaciones se realizará de la siguiente forma:</w:t>
      </w:r>
    </w:p>
    <w:p w14:paraId="44E7D3BF"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2" w14:textId="71DA3B7E"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 xml:space="preserve">Enero: análisis de periodo Octubre – Diciembre </w:t>
      </w:r>
      <w:r w:rsidRPr="0059421B">
        <w:rPr>
          <w:rFonts w:ascii="Arial" w:hAnsi="Arial" w:cs="Arial"/>
          <w:sz w:val="22"/>
          <w:szCs w:val="22"/>
          <w:lang w:val="es-ES" w:eastAsia="en-US"/>
        </w:rPr>
        <w:t>del año anterior</w:t>
      </w:r>
      <w:r w:rsidR="00806A2F">
        <w:rPr>
          <w:rFonts w:ascii="Arial" w:hAnsi="Arial" w:cs="Arial"/>
          <w:sz w:val="22"/>
          <w:szCs w:val="22"/>
          <w:lang w:val="es-ES" w:eastAsia="en-US"/>
        </w:rPr>
        <w:t>.</w:t>
      </w:r>
    </w:p>
    <w:p w14:paraId="469A43F3" w14:textId="73BFBB8C"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Abril: análisis de periodo Enero – Marzo del año en curso</w:t>
      </w:r>
      <w:r w:rsidR="00806A2F">
        <w:rPr>
          <w:rFonts w:ascii="Arial" w:hAnsi="Arial" w:cs="Arial"/>
          <w:bCs/>
          <w:color w:val="000000"/>
          <w:sz w:val="22"/>
          <w:szCs w:val="22"/>
          <w:lang w:eastAsia="en-US"/>
        </w:rPr>
        <w:t>.</w:t>
      </w:r>
    </w:p>
    <w:p w14:paraId="469A43F4" w14:textId="0C84920D"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Julio: análisis de periodo Abril – Junio del año en curso</w:t>
      </w:r>
      <w:r w:rsidR="00806A2F">
        <w:rPr>
          <w:rFonts w:ascii="Arial" w:hAnsi="Arial" w:cs="Arial"/>
          <w:bCs/>
          <w:color w:val="000000"/>
          <w:sz w:val="22"/>
          <w:szCs w:val="22"/>
          <w:lang w:eastAsia="en-US"/>
        </w:rPr>
        <w:t>.</w:t>
      </w:r>
    </w:p>
    <w:p w14:paraId="469A43F5" w14:textId="29C1FC45"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Octubre: análisis de periodo Julio – Septiembre del año en curso</w:t>
      </w:r>
      <w:r w:rsidR="00806A2F">
        <w:rPr>
          <w:rFonts w:ascii="Arial" w:hAnsi="Arial" w:cs="Arial"/>
          <w:bCs/>
          <w:color w:val="000000"/>
          <w:sz w:val="22"/>
          <w:szCs w:val="22"/>
          <w:lang w:eastAsia="en-US"/>
        </w:rPr>
        <w:t>.</w:t>
      </w:r>
    </w:p>
    <w:p w14:paraId="469A43F6" w14:textId="77777777" w:rsidR="00D65A2E" w:rsidRPr="0059421B" w:rsidRDefault="00D65A2E" w:rsidP="00CA6788">
      <w:pPr>
        <w:suppressAutoHyphens/>
        <w:adjustRightInd w:val="0"/>
        <w:spacing w:before="0" w:after="0" w:line="276" w:lineRule="auto"/>
        <w:ind w:left="870"/>
        <w:contextualSpacing/>
        <w:rPr>
          <w:rFonts w:ascii="Arial" w:hAnsi="Arial" w:cs="Arial"/>
          <w:sz w:val="22"/>
          <w:szCs w:val="22"/>
          <w:lang w:val="es-ES" w:eastAsia="en-US"/>
        </w:rPr>
      </w:pPr>
    </w:p>
    <w:p w14:paraId="469A43F7" w14:textId="5E776C3C"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Trimestralmente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elaborará un reporte de cumplimiento de cada uno de los servicios y actividades de acuerdo a lo señalado en este documento dentro de los primeros </w:t>
      </w:r>
      <w:r w:rsidR="00CE49C4">
        <w:rPr>
          <w:rFonts w:ascii="Arial" w:hAnsi="Arial" w:cs="Arial"/>
          <w:sz w:val="22"/>
          <w:szCs w:val="22"/>
          <w:lang w:val="es-ES" w:eastAsia="en-US"/>
        </w:rPr>
        <w:t xml:space="preserve">diez </w:t>
      </w:r>
      <w:r w:rsidRPr="0059421B">
        <w:rPr>
          <w:rFonts w:ascii="Arial" w:hAnsi="Arial" w:cs="Arial"/>
          <w:sz w:val="22"/>
          <w:szCs w:val="22"/>
          <w:lang w:val="es-ES" w:eastAsia="en-US"/>
        </w:rPr>
        <w:t xml:space="preserve">días hábiles al trimestre que concluyó. </w:t>
      </w:r>
    </w:p>
    <w:p w14:paraId="4EAEA554"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8" w14:textId="1D09669A"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Con base en este, se realizará el cálculo de las penalizaciones a las cuales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se hace acreedor y por las que elaborará una Nota de Crédito que se enviará al CS</w:t>
      </w:r>
      <w:r w:rsidR="009615EA">
        <w:rPr>
          <w:rFonts w:ascii="Arial" w:hAnsi="Arial" w:cs="Arial"/>
          <w:sz w:val="22"/>
          <w:szCs w:val="22"/>
          <w:lang w:val="es-ES" w:eastAsia="en-US"/>
        </w:rPr>
        <w:t xml:space="preserve"> o AS</w:t>
      </w:r>
      <w:r w:rsidRPr="0059421B">
        <w:rPr>
          <w:rFonts w:ascii="Arial" w:hAnsi="Arial" w:cs="Arial"/>
          <w:sz w:val="22"/>
          <w:szCs w:val="22"/>
          <w:lang w:val="es-ES" w:eastAsia="en-US"/>
        </w:rPr>
        <w:t>.</w:t>
      </w:r>
    </w:p>
    <w:p w14:paraId="0CB1E8AE"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9" w14:textId="268012BD"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lang w:eastAsia="en-US"/>
        </w:rPr>
        <w:t>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contará con un plazo de </w:t>
      </w:r>
      <w:r w:rsidR="00F051BD">
        <w:rPr>
          <w:rFonts w:ascii="Arial" w:hAnsi="Arial" w:cs="Arial"/>
          <w:bCs/>
          <w:color w:val="000000"/>
          <w:sz w:val="22"/>
          <w:szCs w:val="22"/>
          <w:lang w:eastAsia="en-US"/>
        </w:rPr>
        <w:t>diez</w:t>
      </w:r>
      <w:r w:rsidRPr="0059421B">
        <w:rPr>
          <w:rFonts w:ascii="Arial" w:hAnsi="Arial" w:cs="Arial"/>
          <w:bCs/>
          <w:color w:val="000000"/>
          <w:sz w:val="22"/>
          <w:szCs w:val="22"/>
          <w:lang w:eastAsia="en-US"/>
        </w:rPr>
        <w:t xml:space="preserve"> días hábiles para verificar y aceptar las penalizaciones correspondientes, en cuyo caso la Nota de Crédito se aceptará y utilizará en el pago de la siguiente facturación del servicio. En caso contrario, enviará a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una nota aclaratoria con el debido sustento (notificaciones de entrega de los servicios) y con base en ello se realizará el cálculo de las penas correspondientes. </w:t>
      </w:r>
    </w:p>
    <w:p w14:paraId="469A43FB" w14:textId="1F5D1C96" w:rsidR="006814AD" w:rsidRPr="00501938" w:rsidRDefault="006814AD" w:rsidP="0050193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lang w:eastAsia="en-US"/>
        </w:rPr>
        <w:t xml:space="preserve">Una vez que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haya recibido la aclaración por parte del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contará con </w:t>
      </w:r>
      <w:r w:rsidR="00F051BD">
        <w:rPr>
          <w:rFonts w:ascii="Arial" w:hAnsi="Arial" w:cs="Arial"/>
          <w:bCs/>
          <w:color w:val="000000"/>
          <w:sz w:val="22"/>
          <w:szCs w:val="22"/>
          <w:lang w:eastAsia="en-US"/>
        </w:rPr>
        <w:t>diez</w:t>
      </w:r>
      <w:r w:rsidR="00CE49C4">
        <w:rPr>
          <w:rFonts w:ascii="Arial" w:hAnsi="Arial" w:cs="Arial"/>
          <w:bCs/>
          <w:color w:val="000000"/>
          <w:sz w:val="22"/>
          <w:szCs w:val="22"/>
          <w:lang w:eastAsia="en-US"/>
        </w:rPr>
        <w:t xml:space="preserve"> </w:t>
      </w:r>
      <w:r w:rsidRPr="0059421B">
        <w:rPr>
          <w:rFonts w:ascii="Arial" w:hAnsi="Arial" w:cs="Arial"/>
          <w:bCs/>
          <w:color w:val="000000"/>
          <w:sz w:val="22"/>
          <w:szCs w:val="22"/>
          <w:lang w:eastAsia="en-US"/>
        </w:rPr>
        <w:t>días hábiles para verificar y validar la información</w:t>
      </w:r>
      <w:r w:rsidR="00BE2BE1">
        <w:rPr>
          <w:rFonts w:ascii="Arial" w:hAnsi="Arial" w:cs="Arial"/>
          <w:bCs/>
          <w:color w:val="000000"/>
          <w:sz w:val="22"/>
          <w:szCs w:val="22"/>
          <w:lang w:eastAsia="en-US"/>
        </w:rPr>
        <w:t xml:space="preserve"> contados a partir de día hábil siguiente a la recepción de la </w:t>
      </w:r>
      <w:r w:rsidR="00A17D1A">
        <w:rPr>
          <w:rFonts w:ascii="Arial" w:hAnsi="Arial" w:cs="Arial"/>
          <w:bCs/>
          <w:color w:val="000000"/>
          <w:sz w:val="22"/>
          <w:szCs w:val="22"/>
          <w:lang w:eastAsia="en-US"/>
        </w:rPr>
        <w:t>aclaración</w:t>
      </w:r>
      <w:r w:rsidRPr="0059421B">
        <w:rPr>
          <w:rFonts w:ascii="Arial" w:hAnsi="Arial" w:cs="Arial"/>
          <w:bCs/>
          <w:color w:val="000000"/>
          <w:sz w:val="22"/>
          <w:szCs w:val="22"/>
          <w:lang w:eastAsia="en-US"/>
        </w:rPr>
        <w:t xml:space="preserve">. En caso de aceptación del nuevo cálculo de las penas,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elaborará una nueva Nota de Crédito en un plazo máximo de </w:t>
      </w:r>
      <w:r w:rsidR="00F051BD">
        <w:rPr>
          <w:rFonts w:ascii="Arial" w:hAnsi="Arial" w:cs="Arial"/>
          <w:bCs/>
          <w:color w:val="000000"/>
          <w:sz w:val="22"/>
          <w:szCs w:val="22"/>
          <w:lang w:eastAsia="en-US"/>
        </w:rPr>
        <w:t>tres</w:t>
      </w:r>
      <w:r w:rsidRPr="0059421B">
        <w:rPr>
          <w:rFonts w:ascii="Arial" w:hAnsi="Arial" w:cs="Arial"/>
          <w:bCs/>
          <w:color w:val="000000"/>
          <w:sz w:val="22"/>
          <w:szCs w:val="22"/>
          <w:lang w:eastAsia="en-US"/>
        </w:rPr>
        <w:t xml:space="preserve"> días hábiles que 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podrá utilizar en su siguiente facturación. En caso contrario,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deberá presentar la información que sustente el cálculo de las penas al IFT, quien tendrá la potestad de resolver dicho desacuerdo.</w:t>
      </w:r>
      <w:bookmarkStart w:id="0" w:name="_GoBack"/>
      <w:bookmarkEnd w:id="0"/>
    </w:p>
    <w:sectPr w:rsidR="006814AD" w:rsidRPr="00501938" w:rsidSect="005F2493">
      <w:headerReference w:type="default" r:id="rId13"/>
      <w:footerReference w:type="even" r:id="rId14"/>
      <w:footerReference w:type="default" r:id="rId15"/>
      <w:footerReference w:type="first" r:id="rId16"/>
      <w:pgSz w:w="12242" w:h="15842" w:code="1"/>
      <w:pgMar w:top="2098" w:right="1418" w:bottom="1021" w:left="1418" w:header="851" w:footer="73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FAFBC" w14:textId="77777777" w:rsidR="00F14598" w:rsidRDefault="00F14598" w:rsidP="005C1C06">
      <w:r>
        <w:separator/>
      </w:r>
    </w:p>
    <w:p w14:paraId="28F56117" w14:textId="77777777" w:rsidR="00F14598" w:rsidRDefault="00F14598" w:rsidP="005C1C06"/>
  </w:endnote>
  <w:endnote w:type="continuationSeparator" w:id="0">
    <w:p w14:paraId="0B185125" w14:textId="77777777" w:rsidR="00F14598" w:rsidRDefault="00F14598" w:rsidP="005C1C06">
      <w:r>
        <w:continuationSeparator/>
      </w:r>
    </w:p>
    <w:p w14:paraId="3EEDB1E9" w14:textId="77777777" w:rsidR="00F14598" w:rsidRDefault="00F14598" w:rsidP="005C1C06"/>
  </w:endnote>
  <w:endnote w:type="continuationNotice" w:id="1">
    <w:p w14:paraId="07B31EA4" w14:textId="77777777" w:rsidR="00F14598" w:rsidRDefault="00F1459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ITC Avant Garde">
    <w:altName w:val="Arial"/>
    <w:charset w:val="00"/>
    <w:family w:val="swiss"/>
    <w:pitch w:val="variable"/>
    <w:sig w:usb0="00000001"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A440C" w14:textId="77777777" w:rsidR="00B20AD8" w:rsidRPr="00AB270C" w:rsidRDefault="00B20AD8" w:rsidP="00AB270C">
    <w:pPr>
      <w:pStyle w:val="Encabezado"/>
      <w:spacing w:before="0" w:after="0" w:line="240" w:lineRule="auto"/>
      <w:jc w:val="left"/>
      <w:rPr>
        <w:b/>
        <w:color w:val="548DD4"/>
        <w:szCs w:val="22"/>
        <w:lang w:val="es-ES"/>
      </w:rPr>
    </w:pPr>
    <w:r w:rsidRPr="00AB270C">
      <w:rPr>
        <w:b/>
        <w:color w:val="548DD4"/>
        <w:szCs w:val="22"/>
        <w:lang w:val="es-ES"/>
      </w:rPr>
      <w:t>ANEXO 3</w:t>
    </w:r>
  </w:p>
  <w:p w14:paraId="469A440D" w14:textId="77777777" w:rsidR="00B20AD8" w:rsidRDefault="00B20AD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A440E" w14:textId="6F6D3332" w:rsidR="00B20AD8" w:rsidRPr="0059421B" w:rsidRDefault="00B20AD8" w:rsidP="005F2493">
    <w:pPr>
      <w:pStyle w:val="Piedepgina"/>
      <w:spacing w:before="0" w:after="0"/>
      <w:jc w:val="right"/>
      <w:rPr>
        <w:rFonts w:cs="Arial"/>
        <w:sz w:val="18"/>
        <w:szCs w:val="22"/>
      </w:rPr>
    </w:pPr>
    <w:r w:rsidRPr="0059421B">
      <w:rPr>
        <w:rFonts w:cs="Arial"/>
        <w:sz w:val="18"/>
        <w:szCs w:val="22"/>
      </w:rPr>
      <w:t xml:space="preserve">Página </w:t>
    </w:r>
    <w:r w:rsidRPr="0059421B">
      <w:rPr>
        <w:rFonts w:cs="Arial"/>
        <w:sz w:val="18"/>
        <w:szCs w:val="22"/>
      </w:rPr>
      <w:fldChar w:fldCharType="begin"/>
    </w:r>
    <w:r w:rsidRPr="0059421B">
      <w:rPr>
        <w:rFonts w:cs="Arial"/>
        <w:sz w:val="18"/>
        <w:szCs w:val="22"/>
      </w:rPr>
      <w:instrText xml:space="preserve"> PAGE  </w:instrText>
    </w:r>
    <w:r w:rsidRPr="0059421B">
      <w:rPr>
        <w:rFonts w:cs="Arial"/>
        <w:sz w:val="18"/>
        <w:szCs w:val="22"/>
      </w:rPr>
      <w:fldChar w:fldCharType="separate"/>
    </w:r>
    <w:r w:rsidR="00501938">
      <w:rPr>
        <w:rFonts w:cs="Arial"/>
        <w:noProof/>
        <w:sz w:val="18"/>
        <w:szCs w:val="22"/>
      </w:rPr>
      <w:t>15</w:t>
    </w:r>
    <w:r w:rsidRPr="0059421B">
      <w:rPr>
        <w:rFonts w:cs="Arial"/>
        <w:sz w:val="18"/>
        <w:szCs w:val="22"/>
      </w:rPr>
      <w:fldChar w:fldCharType="end"/>
    </w:r>
    <w:r w:rsidRPr="0059421B">
      <w:rPr>
        <w:rFonts w:cs="Arial"/>
        <w:sz w:val="18"/>
        <w:szCs w:val="22"/>
      </w:rPr>
      <w:t xml:space="preserve"> de </w:t>
    </w:r>
    <w:r w:rsidRPr="0059421B">
      <w:rPr>
        <w:rFonts w:cs="Arial"/>
        <w:sz w:val="18"/>
        <w:szCs w:val="22"/>
      </w:rPr>
      <w:fldChar w:fldCharType="begin"/>
    </w:r>
    <w:r w:rsidRPr="0059421B">
      <w:rPr>
        <w:rFonts w:cs="Arial"/>
        <w:sz w:val="18"/>
        <w:szCs w:val="22"/>
      </w:rPr>
      <w:instrText>NUMPAGES</w:instrText>
    </w:r>
    <w:r w:rsidRPr="0059421B">
      <w:rPr>
        <w:rFonts w:cs="Arial"/>
        <w:sz w:val="18"/>
        <w:szCs w:val="22"/>
      </w:rPr>
      <w:fldChar w:fldCharType="separate"/>
    </w:r>
    <w:r w:rsidR="00501938">
      <w:rPr>
        <w:rFonts w:cs="Arial"/>
        <w:noProof/>
        <w:sz w:val="18"/>
        <w:szCs w:val="22"/>
      </w:rPr>
      <w:t>15</w:t>
    </w:r>
    <w:r w:rsidRPr="0059421B">
      <w:rPr>
        <w:rFonts w:cs="Arial"/>
        <w:sz w:val="18"/>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B4902" w14:textId="2AA5BCB7" w:rsidR="00B20AD8" w:rsidRPr="0059421B" w:rsidRDefault="00B20AD8" w:rsidP="005F2493">
    <w:pPr>
      <w:pStyle w:val="Piedepgina"/>
      <w:spacing w:before="0" w:after="0"/>
      <w:jc w:val="right"/>
      <w:rPr>
        <w:rFonts w:cs="Arial"/>
        <w:sz w:val="18"/>
        <w:szCs w:val="22"/>
      </w:rPr>
    </w:pPr>
    <w:r w:rsidRPr="0059421B">
      <w:rPr>
        <w:rFonts w:cs="Arial"/>
        <w:sz w:val="18"/>
        <w:szCs w:val="22"/>
      </w:rPr>
      <w:t xml:space="preserve">Página </w:t>
    </w:r>
    <w:r w:rsidRPr="0059421B">
      <w:rPr>
        <w:rFonts w:cs="Arial"/>
        <w:sz w:val="18"/>
        <w:szCs w:val="22"/>
      </w:rPr>
      <w:fldChar w:fldCharType="begin"/>
    </w:r>
    <w:r w:rsidRPr="0059421B">
      <w:rPr>
        <w:rFonts w:cs="Arial"/>
        <w:sz w:val="18"/>
        <w:szCs w:val="22"/>
      </w:rPr>
      <w:instrText xml:space="preserve"> PAGE  </w:instrText>
    </w:r>
    <w:r w:rsidRPr="0059421B">
      <w:rPr>
        <w:rFonts w:cs="Arial"/>
        <w:sz w:val="18"/>
        <w:szCs w:val="22"/>
      </w:rPr>
      <w:fldChar w:fldCharType="separate"/>
    </w:r>
    <w:r w:rsidR="00501938">
      <w:rPr>
        <w:rFonts w:cs="Arial"/>
        <w:noProof/>
        <w:sz w:val="18"/>
        <w:szCs w:val="22"/>
      </w:rPr>
      <w:t>1</w:t>
    </w:r>
    <w:r w:rsidRPr="0059421B">
      <w:rPr>
        <w:rFonts w:cs="Arial"/>
        <w:sz w:val="18"/>
        <w:szCs w:val="22"/>
      </w:rPr>
      <w:fldChar w:fldCharType="end"/>
    </w:r>
    <w:r w:rsidRPr="0059421B">
      <w:rPr>
        <w:rFonts w:cs="Arial"/>
        <w:sz w:val="18"/>
        <w:szCs w:val="22"/>
      </w:rPr>
      <w:t xml:space="preserve"> de </w:t>
    </w:r>
    <w:r w:rsidRPr="0059421B">
      <w:rPr>
        <w:rFonts w:cs="Arial"/>
        <w:sz w:val="18"/>
        <w:szCs w:val="22"/>
      </w:rPr>
      <w:fldChar w:fldCharType="begin"/>
    </w:r>
    <w:r w:rsidRPr="0059421B">
      <w:rPr>
        <w:rFonts w:cs="Arial"/>
        <w:sz w:val="18"/>
        <w:szCs w:val="22"/>
      </w:rPr>
      <w:instrText>NUMPAGES</w:instrText>
    </w:r>
    <w:r w:rsidRPr="0059421B">
      <w:rPr>
        <w:rFonts w:cs="Arial"/>
        <w:sz w:val="18"/>
        <w:szCs w:val="22"/>
      </w:rPr>
      <w:fldChar w:fldCharType="separate"/>
    </w:r>
    <w:r w:rsidR="00501938">
      <w:rPr>
        <w:rFonts w:cs="Arial"/>
        <w:noProof/>
        <w:sz w:val="18"/>
        <w:szCs w:val="22"/>
      </w:rPr>
      <w:t>15</w:t>
    </w:r>
    <w:r w:rsidRPr="0059421B">
      <w:rPr>
        <w:rFonts w:cs="Arial"/>
        <w:sz w:val="18"/>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BF7D8" w14:textId="77777777" w:rsidR="00F14598" w:rsidRDefault="00F14598" w:rsidP="005F2493">
      <w:pPr>
        <w:spacing w:before="0" w:after="0"/>
      </w:pPr>
      <w:r>
        <w:separator/>
      </w:r>
    </w:p>
  </w:footnote>
  <w:footnote w:type="continuationSeparator" w:id="0">
    <w:p w14:paraId="2B71C1A0" w14:textId="77777777" w:rsidR="00F14598" w:rsidRDefault="00F14598" w:rsidP="005C1C06">
      <w:r>
        <w:continuationSeparator/>
      </w:r>
    </w:p>
    <w:p w14:paraId="461DD670" w14:textId="77777777" w:rsidR="00F14598" w:rsidRDefault="00F14598" w:rsidP="005C1C06"/>
  </w:footnote>
  <w:footnote w:type="continuationNotice" w:id="1">
    <w:p w14:paraId="1C27AC84" w14:textId="77777777" w:rsidR="00F14598" w:rsidRDefault="00F14598">
      <w:pPr>
        <w:spacing w:before="0" w:after="0" w:line="240" w:lineRule="auto"/>
      </w:pPr>
    </w:p>
  </w:footnote>
  <w:footnote w:id="2">
    <w:p w14:paraId="469A4411" w14:textId="77777777" w:rsidR="00B20AD8" w:rsidRPr="005F2493" w:rsidRDefault="00B20AD8" w:rsidP="005F2493">
      <w:pPr>
        <w:pStyle w:val="Textonotapie"/>
        <w:spacing w:before="0" w:after="0" w:line="276" w:lineRule="auto"/>
        <w:rPr>
          <w:lang w:val="es-MX"/>
        </w:rPr>
      </w:pPr>
      <w:r w:rsidRPr="005F2493">
        <w:rPr>
          <w:rStyle w:val="Refdenotaalpie"/>
          <w:sz w:val="14"/>
        </w:rPr>
        <w:footnoteRef/>
      </w:r>
      <w:r w:rsidRPr="005F2493">
        <w:rPr>
          <w:sz w:val="14"/>
        </w:rPr>
        <w:t xml:space="preserve"> </w:t>
      </w:r>
      <w:r w:rsidRPr="005F2493">
        <w:rPr>
          <w:sz w:val="14"/>
          <w:lang w:val="es-MX"/>
        </w:rPr>
        <w:t>Se entiende que dentro de este mismo plazo la División Mayorista deberá actualizar la información correspondiente en el SEG y registrará el resultado de la Visita Técnica.</w:t>
      </w:r>
    </w:p>
  </w:footnote>
  <w:footnote w:id="3">
    <w:p w14:paraId="469A4412" w14:textId="38125E00" w:rsidR="00B20AD8" w:rsidRPr="00BC7574" w:rsidRDefault="00B20AD8" w:rsidP="005F2493">
      <w:pPr>
        <w:pStyle w:val="Textonotapie"/>
        <w:spacing w:before="0" w:after="0" w:line="276" w:lineRule="auto"/>
        <w:rPr>
          <w:lang w:val="es-MX"/>
        </w:rPr>
      </w:pPr>
      <w:r w:rsidRPr="005F2493">
        <w:rPr>
          <w:rStyle w:val="Refdenotaalpie"/>
          <w:sz w:val="14"/>
        </w:rPr>
        <w:footnoteRef/>
      </w:r>
      <w:r w:rsidRPr="005F2493">
        <w:rPr>
          <w:sz w:val="14"/>
        </w:rPr>
        <w:t xml:space="preserve"> </w:t>
      </w:r>
      <w:r w:rsidRPr="005F2493">
        <w:rPr>
          <w:sz w:val="14"/>
          <w:lang w:val="es-MX"/>
        </w:rPr>
        <w:t>Se considera que, en caso de ser necesario, el CS o AS podrá solicitar a la División Mayorista mediante el SEG un plazo adicional de hasta 20 DH para la elaboración y entrega del Anteproyecto, mismo que deberá ser otorgado y aprobado por la División Mayorista mediante el SEG de manera inmediata y empezarán a correr nuevamente los 20 DH a partir de la fecha de solicitud registrada en el SEG.</w:t>
      </w:r>
    </w:p>
  </w:footnote>
  <w:footnote w:id="4">
    <w:p w14:paraId="469A4413" w14:textId="77777777" w:rsidR="00B20AD8" w:rsidRPr="00806A2F" w:rsidRDefault="00B20AD8" w:rsidP="00806A2F">
      <w:pPr>
        <w:pStyle w:val="Textonotapie"/>
        <w:spacing w:before="0" w:after="0" w:line="276" w:lineRule="auto"/>
        <w:rPr>
          <w:lang w:val="es-MX"/>
        </w:rPr>
      </w:pPr>
      <w:r w:rsidRPr="00806A2F">
        <w:rPr>
          <w:rStyle w:val="Refdenotaalpie"/>
          <w:sz w:val="14"/>
        </w:rPr>
        <w:footnoteRef/>
      </w:r>
      <w:r w:rsidRPr="00806A2F">
        <w:rPr>
          <w:sz w:val="14"/>
        </w:rPr>
        <w:t xml:space="preserve"> </w:t>
      </w:r>
      <w:r w:rsidRPr="00806A2F">
        <w:rPr>
          <w:sz w:val="14"/>
          <w:lang w:val="es-MX"/>
        </w:rPr>
        <w:t>Dentro de este mismo plazo la División Mayorista deberá actualizar la información correspondiente en el SEG y registrará el resultado de la Visita Técnica.</w:t>
      </w:r>
    </w:p>
  </w:footnote>
  <w:footnote w:id="5">
    <w:p w14:paraId="469A4414" w14:textId="268FDBA3" w:rsidR="00B20AD8" w:rsidRPr="00BA6E34" w:rsidRDefault="00B20AD8" w:rsidP="00806A2F">
      <w:pPr>
        <w:pStyle w:val="Textonotapie"/>
        <w:spacing w:before="0" w:after="0" w:line="276" w:lineRule="auto"/>
        <w:rPr>
          <w:sz w:val="22"/>
          <w:lang w:val="es-MX"/>
        </w:rPr>
      </w:pPr>
      <w:r w:rsidRPr="00806A2F">
        <w:rPr>
          <w:rStyle w:val="Refdenotaalpie"/>
          <w:sz w:val="14"/>
        </w:rPr>
        <w:footnoteRef/>
      </w:r>
      <w:r w:rsidRPr="00806A2F">
        <w:rPr>
          <w:sz w:val="14"/>
        </w:rPr>
        <w:t xml:space="preserve"> </w:t>
      </w:r>
      <w:r w:rsidRPr="00806A2F">
        <w:rPr>
          <w:sz w:val="14"/>
          <w:lang w:val="es-MX"/>
        </w:rPr>
        <w:t>Se considera que, en caso de ser necesario, el CS o AS podrá solicitar a la División Mayorista mediante el SEG un plazo adicional de hasta 20 DH para la elaboración y entrega del Anteproyecto, mismo que deberá ser otorgado y aprobado por la División Mayorista mediante el SEG de manera inmediata y empezarán a correr nuevamente los 20 DH a partir de la fecha de solicitud registrada en el SEG.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93D47" w14:textId="77777777" w:rsidR="00B20AD8" w:rsidRPr="002E3B61" w:rsidRDefault="00B20AD8" w:rsidP="009B121F">
    <w:pPr>
      <w:spacing w:after="0" w:line="240" w:lineRule="auto"/>
      <w:rPr>
        <w:b/>
        <w:bCs/>
      </w:rPr>
    </w:pPr>
    <w:r w:rsidRPr="00B53F9D">
      <w:rPr>
        <w:b/>
        <w:bCs/>
      </w:rPr>
      <w:t xml:space="preserve">Anexo </w:t>
    </w:r>
    <w:r>
      <w:rPr>
        <w:b/>
        <w:bCs/>
      </w:rPr>
      <w:t>4</w:t>
    </w:r>
    <w:r w:rsidRPr="00B53F9D">
      <w:rPr>
        <w:b/>
        <w:bCs/>
      </w:rPr>
      <w:t xml:space="preserve">. </w:t>
    </w:r>
    <w:r w:rsidRPr="002E3B61">
      <w:rPr>
        <w:b/>
        <w:bCs/>
      </w:rPr>
      <w:t xml:space="preserve">Parámetros </w:t>
    </w:r>
    <w:r>
      <w:rPr>
        <w:b/>
        <w:bCs/>
      </w:rPr>
      <w:t>e</w:t>
    </w:r>
    <w:r w:rsidRPr="002E3B61">
      <w:rPr>
        <w:b/>
        <w:bCs/>
      </w:rPr>
      <w:t xml:space="preserve"> Indicadores </w:t>
    </w:r>
    <w:r>
      <w:rPr>
        <w:b/>
        <w:bCs/>
      </w:rPr>
      <w:t>d</w:t>
    </w:r>
    <w:r w:rsidRPr="002E3B61">
      <w:rPr>
        <w:b/>
        <w:bCs/>
      </w:rPr>
      <w:t xml:space="preserve">e </w:t>
    </w:r>
    <w:r>
      <w:rPr>
        <w:b/>
        <w:bCs/>
      </w:rPr>
      <w:t>l</w:t>
    </w:r>
    <w:r w:rsidRPr="002E3B61">
      <w:rPr>
        <w:b/>
        <w:bCs/>
      </w:rPr>
      <w:t xml:space="preserve">os Niveles </w:t>
    </w:r>
    <w:r>
      <w:rPr>
        <w:b/>
        <w:bCs/>
      </w:rPr>
      <w:t>d</w:t>
    </w:r>
    <w:r w:rsidRPr="002E3B61">
      <w:rPr>
        <w:b/>
        <w:bCs/>
      </w:rPr>
      <w:t xml:space="preserve">e Calidad </w:t>
    </w:r>
    <w:r>
      <w:rPr>
        <w:b/>
        <w:bCs/>
      </w:rPr>
      <w:t>y</w:t>
    </w:r>
    <w:r w:rsidRPr="002E3B61">
      <w:rPr>
        <w:b/>
        <w:bCs/>
      </w:rPr>
      <w:t xml:space="preserve"> Penas Convencionales</w:t>
    </w:r>
  </w:p>
  <w:p w14:paraId="469A440B" w14:textId="3E07F462" w:rsidR="00B20AD8" w:rsidRPr="009B121F" w:rsidRDefault="00B20AD8" w:rsidP="00AB270C">
    <w:pPr>
      <w:pStyle w:val="Encabezado"/>
      <w:spacing w:before="0" w:after="0" w:line="240" w:lineRule="auto"/>
      <w:jc w:val="left"/>
      <w:rPr>
        <w:rFonts w:cs="Arial"/>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5F661F7"/>
    <w:multiLevelType w:val="multilevel"/>
    <w:tmpl w:val="0C0A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9012F3D"/>
    <w:multiLevelType w:val="hybridMultilevel"/>
    <w:tmpl w:val="EFA09670"/>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 w15:restartNumberingAfterBreak="0">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0A267A6B"/>
    <w:multiLevelType w:val="hybridMultilevel"/>
    <w:tmpl w:val="87E61E3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15:restartNumberingAfterBreak="0">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8D7CC1"/>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9" w15:restartNumberingAfterBreak="0">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11" w15:restartNumberingAfterBreak="0">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C07CDE"/>
    <w:multiLevelType w:val="multilevel"/>
    <w:tmpl w:val="0809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15:restartNumberingAfterBreak="0">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9" w15:restartNumberingAfterBreak="0">
    <w:nsid w:val="53900134"/>
    <w:multiLevelType w:val="multilevel"/>
    <w:tmpl w:val="58BEFCB2"/>
    <w:lvl w:ilvl="0">
      <w:start w:val="1"/>
      <w:numFmt w:val="decimal"/>
      <w:lvlText w:val="%1."/>
      <w:lvlJc w:val="left"/>
      <w:pPr>
        <w:tabs>
          <w:tab w:val="num" w:pos="737"/>
        </w:tabs>
        <w:ind w:left="737" w:hanging="340"/>
      </w:pPr>
      <w:rPr>
        <w:rFonts w:cs="Times New Roman"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25" w:hanging="720"/>
      </w:pPr>
      <w:rPr>
        <w:rFonts w:hint="default"/>
      </w:rPr>
    </w:lvl>
    <w:lvl w:ilvl="3">
      <w:start w:val="1"/>
      <w:numFmt w:val="decimal"/>
      <w:isLgl/>
      <w:lvlText w:val="%1.%2.%3.%4."/>
      <w:lvlJc w:val="left"/>
      <w:pPr>
        <w:ind w:left="2839" w:hanging="1080"/>
      </w:pPr>
      <w:rPr>
        <w:rFonts w:hint="default"/>
      </w:rPr>
    </w:lvl>
    <w:lvl w:ilvl="4">
      <w:start w:val="1"/>
      <w:numFmt w:val="decimal"/>
      <w:isLgl/>
      <w:lvlText w:val="%1.%2.%3.%4.%5."/>
      <w:lvlJc w:val="left"/>
      <w:pPr>
        <w:ind w:left="3293" w:hanging="1080"/>
      </w:pPr>
      <w:rPr>
        <w:rFonts w:hint="default"/>
      </w:rPr>
    </w:lvl>
    <w:lvl w:ilvl="5">
      <w:start w:val="1"/>
      <w:numFmt w:val="decimal"/>
      <w:isLgl/>
      <w:lvlText w:val="%1.%2.%3.%4.%5.%6."/>
      <w:lvlJc w:val="left"/>
      <w:pPr>
        <w:ind w:left="4107" w:hanging="1440"/>
      </w:pPr>
      <w:rPr>
        <w:rFonts w:hint="default"/>
      </w:rPr>
    </w:lvl>
    <w:lvl w:ilvl="6">
      <w:start w:val="1"/>
      <w:numFmt w:val="decimal"/>
      <w:isLgl/>
      <w:lvlText w:val="%1.%2.%3.%4.%5.%6.%7."/>
      <w:lvlJc w:val="left"/>
      <w:pPr>
        <w:ind w:left="4561" w:hanging="1440"/>
      </w:pPr>
      <w:rPr>
        <w:rFonts w:hint="default"/>
      </w:rPr>
    </w:lvl>
    <w:lvl w:ilvl="7">
      <w:start w:val="1"/>
      <w:numFmt w:val="decimal"/>
      <w:isLgl/>
      <w:lvlText w:val="%1.%2.%3.%4.%5.%6.%7.%8."/>
      <w:lvlJc w:val="left"/>
      <w:pPr>
        <w:ind w:left="5375" w:hanging="1800"/>
      </w:pPr>
      <w:rPr>
        <w:rFonts w:hint="default"/>
      </w:rPr>
    </w:lvl>
    <w:lvl w:ilvl="8">
      <w:start w:val="1"/>
      <w:numFmt w:val="decimal"/>
      <w:isLgl/>
      <w:lvlText w:val="%1.%2.%3.%4.%5.%6.%7.%8.%9."/>
      <w:lvlJc w:val="left"/>
      <w:pPr>
        <w:ind w:left="5829" w:hanging="1800"/>
      </w:pPr>
      <w:rPr>
        <w:rFonts w:hint="default"/>
      </w:rPr>
    </w:lvl>
  </w:abstractNum>
  <w:abstractNum w:abstractNumId="20" w15:restartNumberingAfterBreak="0">
    <w:nsid w:val="598B670E"/>
    <w:multiLevelType w:val="hybridMultilevel"/>
    <w:tmpl w:val="9A1828B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15:restartNumberingAfterBreak="0">
    <w:nsid w:val="61F52E3F"/>
    <w:multiLevelType w:val="hybridMultilevel"/>
    <w:tmpl w:val="9880DF0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15:restartNumberingAfterBreak="0">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4" w15:restartNumberingAfterBreak="0">
    <w:nsid w:val="7B3E4A7A"/>
    <w:multiLevelType w:val="hybridMultilevel"/>
    <w:tmpl w:val="EDF46F5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3"/>
  </w:num>
  <w:num w:numId="2">
    <w:abstractNumId w:val="15"/>
  </w:num>
  <w:num w:numId="3">
    <w:abstractNumId w:val="22"/>
  </w:num>
  <w:num w:numId="4">
    <w:abstractNumId w:val="13"/>
  </w:num>
  <w:num w:numId="5">
    <w:abstractNumId w:val="10"/>
  </w:num>
  <w:num w:numId="6">
    <w:abstractNumId w:val="8"/>
  </w:num>
  <w:num w:numId="7">
    <w:abstractNumId w:val="18"/>
  </w:num>
  <w:num w:numId="8">
    <w:abstractNumId w:val="0"/>
  </w:num>
  <w:num w:numId="9">
    <w:abstractNumId w:val="14"/>
  </w:num>
  <w:num w:numId="10">
    <w:abstractNumId w:val="11"/>
  </w:num>
  <w:num w:numId="11">
    <w:abstractNumId w:val="9"/>
  </w:num>
  <w:num w:numId="12">
    <w:abstractNumId w:val="23"/>
  </w:num>
  <w:num w:numId="13">
    <w:abstractNumId w:val="6"/>
  </w:num>
  <w:num w:numId="14">
    <w:abstractNumId w:val="5"/>
  </w:num>
  <w:num w:numId="15">
    <w:abstractNumId w:val="16"/>
  </w:num>
  <w:num w:numId="16">
    <w:abstractNumId w:val="17"/>
  </w:num>
  <w:num w:numId="17">
    <w:abstractNumId w:val="21"/>
  </w:num>
  <w:num w:numId="18">
    <w:abstractNumId w:val="4"/>
  </w:num>
  <w:num w:numId="19">
    <w:abstractNumId w:val="24"/>
  </w:num>
  <w:num w:numId="20">
    <w:abstractNumId w:val="12"/>
  </w:num>
  <w:num w:numId="21">
    <w:abstractNumId w:val="1"/>
  </w:num>
  <w:num w:numId="22">
    <w:abstractNumId w:val="7"/>
  </w:num>
  <w:num w:numId="23">
    <w:abstractNumId w:val="19"/>
  </w:num>
  <w:num w:numId="24">
    <w:abstractNumId w:val="2"/>
  </w:num>
  <w:num w:numId="2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4D"/>
    <w:rsid w:val="00002E42"/>
    <w:rsid w:val="00013E12"/>
    <w:rsid w:val="00024A99"/>
    <w:rsid w:val="000269BF"/>
    <w:rsid w:val="000378AA"/>
    <w:rsid w:val="0004478A"/>
    <w:rsid w:val="00046AB5"/>
    <w:rsid w:val="00052AB2"/>
    <w:rsid w:val="00057632"/>
    <w:rsid w:val="00060DEB"/>
    <w:rsid w:val="00061344"/>
    <w:rsid w:val="00061AE3"/>
    <w:rsid w:val="000714D5"/>
    <w:rsid w:val="00073500"/>
    <w:rsid w:val="00073CE4"/>
    <w:rsid w:val="00073F24"/>
    <w:rsid w:val="00075E64"/>
    <w:rsid w:val="000774DB"/>
    <w:rsid w:val="0007787F"/>
    <w:rsid w:val="0008037F"/>
    <w:rsid w:val="00084893"/>
    <w:rsid w:val="0008751A"/>
    <w:rsid w:val="00091BB5"/>
    <w:rsid w:val="000925F3"/>
    <w:rsid w:val="00094D64"/>
    <w:rsid w:val="000959EB"/>
    <w:rsid w:val="00095C24"/>
    <w:rsid w:val="000A13BD"/>
    <w:rsid w:val="000A4BAD"/>
    <w:rsid w:val="000A690E"/>
    <w:rsid w:val="000A7598"/>
    <w:rsid w:val="000B5183"/>
    <w:rsid w:val="000B588C"/>
    <w:rsid w:val="000B7EA3"/>
    <w:rsid w:val="000C03B4"/>
    <w:rsid w:val="000C565B"/>
    <w:rsid w:val="000C677B"/>
    <w:rsid w:val="000C783C"/>
    <w:rsid w:val="000D0BFC"/>
    <w:rsid w:val="000D3F63"/>
    <w:rsid w:val="000D7034"/>
    <w:rsid w:val="000E1F01"/>
    <w:rsid w:val="000F3DBC"/>
    <w:rsid w:val="000F7C9D"/>
    <w:rsid w:val="0010278E"/>
    <w:rsid w:val="00106CD8"/>
    <w:rsid w:val="00107993"/>
    <w:rsid w:val="00110286"/>
    <w:rsid w:val="00110DEF"/>
    <w:rsid w:val="00110EA9"/>
    <w:rsid w:val="00113FC9"/>
    <w:rsid w:val="00115E54"/>
    <w:rsid w:val="001203E9"/>
    <w:rsid w:val="00125B59"/>
    <w:rsid w:val="00130154"/>
    <w:rsid w:val="001302E2"/>
    <w:rsid w:val="001309DD"/>
    <w:rsid w:val="0013488C"/>
    <w:rsid w:val="0013527A"/>
    <w:rsid w:val="0014573D"/>
    <w:rsid w:val="00146D5C"/>
    <w:rsid w:val="00147D42"/>
    <w:rsid w:val="00151588"/>
    <w:rsid w:val="001518BC"/>
    <w:rsid w:val="001539AF"/>
    <w:rsid w:val="001566B4"/>
    <w:rsid w:val="00181C77"/>
    <w:rsid w:val="0018655C"/>
    <w:rsid w:val="00190B87"/>
    <w:rsid w:val="00191F43"/>
    <w:rsid w:val="001923CF"/>
    <w:rsid w:val="00194574"/>
    <w:rsid w:val="00197BE3"/>
    <w:rsid w:val="001A02F3"/>
    <w:rsid w:val="001A4867"/>
    <w:rsid w:val="001B3F1B"/>
    <w:rsid w:val="001B6D0B"/>
    <w:rsid w:val="001D732E"/>
    <w:rsid w:val="001E2258"/>
    <w:rsid w:val="001E5A8A"/>
    <w:rsid w:val="001E7AEE"/>
    <w:rsid w:val="001E7C19"/>
    <w:rsid w:val="001F440A"/>
    <w:rsid w:val="001F5062"/>
    <w:rsid w:val="001F5951"/>
    <w:rsid w:val="001F7C97"/>
    <w:rsid w:val="00203A05"/>
    <w:rsid w:val="00205813"/>
    <w:rsid w:val="00205C37"/>
    <w:rsid w:val="0020603D"/>
    <w:rsid w:val="00206425"/>
    <w:rsid w:val="00212DBE"/>
    <w:rsid w:val="002135BA"/>
    <w:rsid w:val="002140C8"/>
    <w:rsid w:val="0021471D"/>
    <w:rsid w:val="0021629D"/>
    <w:rsid w:val="002165CD"/>
    <w:rsid w:val="00217CBD"/>
    <w:rsid w:val="00220AFC"/>
    <w:rsid w:val="0022523E"/>
    <w:rsid w:val="002257DC"/>
    <w:rsid w:val="00234BD2"/>
    <w:rsid w:val="00244A3E"/>
    <w:rsid w:val="002512CA"/>
    <w:rsid w:val="0025217B"/>
    <w:rsid w:val="0025352E"/>
    <w:rsid w:val="00255BA1"/>
    <w:rsid w:val="0026070F"/>
    <w:rsid w:val="00260852"/>
    <w:rsid w:val="00260E1B"/>
    <w:rsid w:val="002639CE"/>
    <w:rsid w:val="00267359"/>
    <w:rsid w:val="002675CE"/>
    <w:rsid w:val="00270041"/>
    <w:rsid w:val="00273869"/>
    <w:rsid w:val="002742A7"/>
    <w:rsid w:val="00280008"/>
    <w:rsid w:val="0028086D"/>
    <w:rsid w:val="0028148B"/>
    <w:rsid w:val="002839FC"/>
    <w:rsid w:val="0028485B"/>
    <w:rsid w:val="002849C5"/>
    <w:rsid w:val="002856A5"/>
    <w:rsid w:val="00294399"/>
    <w:rsid w:val="00295C86"/>
    <w:rsid w:val="002A080F"/>
    <w:rsid w:val="002A4480"/>
    <w:rsid w:val="002A4AE0"/>
    <w:rsid w:val="002A54A7"/>
    <w:rsid w:val="002B16AB"/>
    <w:rsid w:val="002B1E7A"/>
    <w:rsid w:val="002C1C56"/>
    <w:rsid w:val="002C275F"/>
    <w:rsid w:val="002C287A"/>
    <w:rsid w:val="002C3A47"/>
    <w:rsid w:val="002C536E"/>
    <w:rsid w:val="002C75CD"/>
    <w:rsid w:val="002D218D"/>
    <w:rsid w:val="002D4638"/>
    <w:rsid w:val="002D73B2"/>
    <w:rsid w:val="002D7BA7"/>
    <w:rsid w:val="002D7EFF"/>
    <w:rsid w:val="002E1B57"/>
    <w:rsid w:val="002E3B61"/>
    <w:rsid w:val="002E7144"/>
    <w:rsid w:val="002E7875"/>
    <w:rsid w:val="002F7002"/>
    <w:rsid w:val="002F78E3"/>
    <w:rsid w:val="00311D6F"/>
    <w:rsid w:val="00312143"/>
    <w:rsid w:val="00313528"/>
    <w:rsid w:val="003163DF"/>
    <w:rsid w:val="00324AB3"/>
    <w:rsid w:val="00330F7E"/>
    <w:rsid w:val="003333E4"/>
    <w:rsid w:val="003335A9"/>
    <w:rsid w:val="0034025D"/>
    <w:rsid w:val="00341D88"/>
    <w:rsid w:val="003431AC"/>
    <w:rsid w:val="00343A33"/>
    <w:rsid w:val="00351D91"/>
    <w:rsid w:val="00354DED"/>
    <w:rsid w:val="00362C1E"/>
    <w:rsid w:val="00363F27"/>
    <w:rsid w:val="00366D67"/>
    <w:rsid w:val="0037049F"/>
    <w:rsid w:val="00375630"/>
    <w:rsid w:val="00382BDF"/>
    <w:rsid w:val="003936B8"/>
    <w:rsid w:val="003A35A9"/>
    <w:rsid w:val="003A4771"/>
    <w:rsid w:val="003A7E52"/>
    <w:rsid w:val="003B406F"/>
    <w:rsid w:val="003B6ACE"/>
    <w:rsid w:val="003B7AB1"/>
    <w:rsid w:val="003C0ED6"/>
    <w:rsid w:val="003D3157"/>
    <w:rsid w:val="003D7035"/>
    <w:rsid w:val="003E576C"/>
    <w:rsid w:val="003E5B38"/>
    <w:rsid w:val="003E7661"/>
    <w:rsid w:val="003F44B6"/>
    <w:rsid w:val="003F6474"/>
    <w:rsid w:val="004054A1"/>
    <w:rsid w:val="00407003"/>
    <w:rsid w:val="004078A6"/>
    <w:rsid w:val="00410E4B"/>
    <w:rsid w:val="00412FA6"/>
    <w:rsid w:val="00414197"/>
    <w:rsid w:val="00415ABC"/>
    <w:rsid w:val="00423A22"/>
    <w:rsid w:val="00430B0B"/>
    <w:rsid w:val="00432B87"/>
    <w:rsid w:val="00433EB5"/>
    <w:rsid w:val="004341E7"/>
    <w:rsid w:val="00434324"/>
    <w:rsid w:val="00435C6F"/>
    <w:rsid w:val="00437441"/>
    <w:rsid w:val="00447D04"/>
    <w:rsid w:val="0045206E"/>
    <w:rsid w:val="00467A0B"/>
    <w:rsid w:val="004752AC"/>
    <w:rsid w:val="00476C77"/>
    <w:rsid w:val="004865C1"/>
    <w:rsid w:val="0049136C"/>
    <w:rsid w:val="004943AC"/>
    <w:rsid w:val="00494B82"/>
    <w:rsid w:val="00495731"/>
    <w:rsid w:val="00496322"/>
    <w:rsid w:val="004A0BB4"/>
    <w:rsid w:val="004A0E8E"/>
    <w:rsid w:val="004A1044"/>
    <w:rsid w:val="004A337C"/>
    <w:rsid w:val="004A595B"/>
    <w:rsid w:val="004B06BE"/>
    <w:rsid w:val="004B1C9D"/>
    <w:rsid w:val="004B2A21"/>
    <w:rsid w:val="004B5CF4"/>
    <w:rsid w:val="004B7F09"/>
    <w:rsid w:val="004C0A5D"/>
    <w:rsid w:val="004C1478"/>
    <w:rsid w:val="004D0648"/>
    <w:rsid w:val="004D1B33"/>
    <w:rsid w:val="004D218F"/>
    <w:rsid w:val="004D2807"/>
    <w:rsid w:val="004D79E0"/>
    <w:rsid w:val="004E4120"/>
    <w:rsid w:val="0050045F"/>
    <w:rsid w:val="00500656"/>
    <w:rsid w:val="005008E0"/>
    <w:rsid w:val="00501938"/>
    <w:rsid w:val="00503CDB"/>
    <w:rsid w:val="005075DC"/>
    <w:rsid w:val="00515D0E"/>
    <w:rsid w:val="00524B1D"/>
    <w:rsid w:val="00525155"/>
    <w:rsid w:val="00527834"/>
    <w:rsid w:val="005304C8"/>
    <w:rsid w:val="0053196B"/>
    <w:rsid w:val="0053275D"/>
    <w:rsid w:val="00535492"/>
    <w:rsid w:val="00541210"/>
    <w:rsid w:val="005445B3"/>
    <w:rsid w:val="005446A9"/>
    <w:rsid w:val="0054763F"/>
    <w:rsid w:val="00554FD8"/>
    <w:rsid w:val="00562CD8"/>
    <w:rsid w:val="00567A04"/>
    <w:rsid w:val="005727D1"/>
    <w:rsid w:val="005772B8"/>
    <w:rsid w:val="0058003C"/>
    <w:rsid w:val="0058006A"/>
    <w:rsid w:val="005803DE"/>
    <w:rsid w:val="005816FA"/>
    <w:rsid w:val="00582B61"/>
    <w:rsid w:val="005841AB"/>
    <w:rsid w:val="00584AB0"/>
    <w:rsid w:val="00592305"/>
    <w:rsid w:val="00593EFE"/>
    <w:rsid w:val="0059421B"/>
    <w:rsid w:val="0059760A"/>
    <w:rsid w:val="005A05E3"/>
    <w:rsid w:val="005A2803"/>
    <w:rsid w:val="005A29F8"/>
    <w:rsid w:val="005A6538"/>
    <w:rsid w:val="005A6DC5"/>
    <w:rsid w:val="005B0DEC"/>
    <w:rsid w:val="005B2F21"/>
    <w:rsid w:val="005B4E41"/>
    <w:rsid w:val="005B5011"/>
    <w:rsid w:val="005B6834"/>
    <w:rsid w:val="005B6E36"/>
    <w:rsid w:val="005B7A4A"/>
    <w:rsid w:val="005C1BB4"/>
    <w:rsid w:val="005C1C06"/>
    <w:rsid w:val="005D394C"/>
    <w:rsid w:val="005E4800"/>
    <w:rsid w:val="005F2493"/>
    <w:rsid w:val="005F3D69"/>
    <w:rsid w:val="005F491E"/>
    <w:rsid w:val="005F5021"/>
    <w:rsid w:val="006039D9"/>
    <w:rsid w:val="006042C1"/>
    <w:rsid w:val="00607D84"/>
    <w:rsid w:val="00616442"/>
    <w:rsid w:val="0062371D"/>
    <w:rsid w:val="00626931"/>
    <w:rsid w:val="00633977"/>
    <w:rsid w:val="0063609B"/>
    <w:rsid w:val="00641387"/>
    <w:rsid w:val="00642F33"/>
    <w:rsid w:val="006437EE"/>
    <w:rsid w:val="006458FB"/>
    <w:rsid w:val="00650658"/>
    <w:rsid w:val="00654DF0"/>
    <w:rsid w:val="00656AEA"/>
    <w:rsid w:val="00661533"/>
    <w:rsid w:val="00663B3E"/>
    <w:rsid w:val="00664CEA"/>
    <w:rsid w:val="0067349B"/>
    <w:rsid w:val="00673FBC"/>
    <w:rsid w:val="006814AD"/>
    <w:rsid w:val="00682827"/>
    <w:rsid w:val="006831F9"/>
    <w:rsid w:val="00684B5C"/>
    <w:rsid w:val="0069062C"/>
    <w:rsid w:val="00691161"/>
    <w:rsid w:val="00697B1B"/>
    <w:rsid w:val="006A2398"/>
    <w:rsid w:val="006A249E"/>
    <w:rsid w:val="006A500B"/>
    <w:rsid w:val="006A6730"/>
    <w:rsid w:val="006B0C19"/>
    <w:rsid w:val="006B1142"/>
    <w:rsid w:val="006B48C0"/>
    <w:rsid w:val="006B524C"/>
    <w:rsid w:val="006C5A8C"/>
    <w:rsid w:val="006C61AE"/>
    <w:rsid w:val="006C6C2F"/>
    <w:rsid w:val="006D02AB"/>
    <w:rsid w:val="006D75BE"/>
    <w:rsid w:val="006E0B03"/>
    <w:rsid w:val="007028DD"/>
    <w:rsid w:val="00702A48"/>
    <w:rsid w:val="007144C2"/>
    <w:rsid w:val="00720E9A"/>
    <w:rsid w:val="00724119"/>
    <w:rsid w:val="0072538C"/>
    <w:rsid w:val="007338DC"/>
    <w:rsid w:val="007357A4"/>
    <w:rsid w:val="00737DCB"/>
    <w:rsid w:val="0074269F"/>
    <w:rsid w:val="00747AEF"/>
    <w:rsid w:val="00751458"/>
    <w:rsid w:val="00756398"/>
    <w:rsid w:val="00756DC1"/>
    <w:rsid w:val="00756EEF"/>
    <w:rsid w:val="00760086"/>
    <w:rsid w:val="00760651"/>
    <w:rsid w:val="00765E57"/>
    <w:rsid w:val="00765EF3"/>
    <w:rsid w:val="00766A0E"/>
    <w:rsid w:val="00770BF1"/>
    <w:rsid w:val="00773E78"/>
    <w:rsid w:val="0077702B"/>
    <w:rsid w:val="00777A85"/>
    <w:rsid w:val="00782D15"/>
    <w:rsid w:val="007903A9"/>
    <w:rsid w:val="00790B70"/>
    <w:rsid w:val="007940C0"/>
    <w:rsid w:val="00794F59"/>
    <w:rsid w:val="007A1E09"/>
    <w:rsid w:val="007B1696"/>
    <w:rsid w:val="007B3AB7"/>
    <w:rsid w:val="007B4B4D"/>
    <w:rsid w:val="007B7A80"/>
    <w:rsid w:val="007C00E6"/>
    <w:rsid w:val="007C1AB7"/>
    <w:rsid w:val="007C2B79"/>
    <w:rsid w:val="007D5372"/>
    <w:rsid w:val="007D7331"/>
    <w:rsid w:val="007E2B94"/>
    <w:rsid w:val="007E49B2"/>
    <w:rsid w:val="007F23B7"/>
    <w:rsid w:val="00800B5C"/>
    <w:rsid w:val="00806A2F"/>
    <w:rsid w:val="00806CE0"/>
    <w:rsid w:val="008235B3"/>
    <w:rsid w:val="008250B0"/>
    <w:rsid w:val="00825BCD"/>
    <w:rsid w:val="0083186C"/>
    <w:rsid w:val="0083597D"/>
    <w:rsid w:val="0083644D"/>
    <w:rsid w:val="00840BA6"/>
    <w:rsid w:val="008412C1"/>
    <w:rsid w:val="00850509"/>
    <w:rsid w:val="00850BC7"/>
    <w:rsid w:val="008533AA"/>
    <w:rsid w:val="008559DF"/>
    <w:rsid w:val="00857B8E"/>
    <w:rsid w:val="00860B1A"/>
    <w:rsid w:val="00862348"/>
    <w:rsid w:val="0086334B"/>
    <w:rsid w:val="00863BD5"/>
    <w:rsid w:val="008722CC"/>
    <w:rsid w:val="008733A5"/>
    <w:rsid w:val="00876F7A"/>
    <w:rsid w:val="008772A6"/>
    <w:rsid w:val="00883967"/>
    <w:rsid w:val="008853ED"/>
    <w:rsid w:val="008933F4"/>
    <w:rsid w:val="008A4CC9"/>
    <w:rsid w:val="008A4E5E"/>
    <w:rsid w:val="008B255E"/>
    <w:rsid w:val="008B2D5D"/>
    <w:rsid w:val="008B40E7"/>
    <w:rsid w:val="008B4F35"/>
    <w:rsid w:val="008B55D7"/>
    <w:rsid w:val="008C3074"/>
    <w:rsid w:val="008C4645"/>
    <w:rsid w:val="008C6E44"/>
    <w:rsid w:val="008C7499"/>
    <w:rsid w:val="008D015B"/>
    <w:rsid w:val="008D0FEB"/>
    <w:rsid w:val="008D20FA"/>
    <w:rsid w:val="008D2172"/>
    <w:rsid w:val="008D2B5A"/>
    <w:rsid w:val="008D3414"/>
    <w:rsid w:val="008D69EE"/>
    <w:rsid w:val="008E0939"/>
    <w:rsid w:val="008E3159"/>
    <w:rsid w:val="008E42C1"/>
    <w:rsid w:val="008E4600"/>
    <w:rsid w:val="008E64F1"/>
    <w:rsid w:val="008F0DB3"/>
    <w:rsid w:val="008F3589"/>
    <w:rsid w:val="00901896"/>
    <w:rsid w:val="00901DB9"/>
    <w:rsid w:val="00910886"/>
    <w:rsid w:val="00910E8C"/>
    <w:rsid w:val="00913A10"/>
    <w:rsid w:val="0091404F"/>
    <w:rsid w:val="00914FC3"/>
    <w:rsid w:val="00922AE0"/>
    <w:rsid w:val="00922F80"/>
    <w:rsid w:val="00923A69"/>
    <w:rsid w:val="00923FA5"/>
    <w:rsid w:val="0092536D"/>
    <w:rsid w:val="00930B54"/>
    <w:rsid w:val="009434E8"/>
    <w:rsid w:val="00944C6D"/>
    <w:rsid w:val="00946448"/>
    <w:rsid w:val="009551CC"/>
    <w:rsid w:val="009615EA"/>
    <w:rsid w:val="009641A4"/>
    <w:rsid w:val="009648DA"/>
    <w:rsid w:val="00967DD0"/>
    <w:rsid w:val="00970516"/>
    <w:rsid w:val="00970D9B"/>
    <w:rsid w:val="00974239"/>
    <w:rsid w:val="00976548"/>
    <w:rsid w:val="00982A9C"/>
    <w:rsid w:val="009A39D4"/>
    <w:rsid w:val="009A7612"/>
    <w:rsid w:val="009B00D0"/>
    <w:rsid w:val="009B121F"/>
    <w:rsid w:val="009B1FDC"/>
    <w:rsid w:val="009B25CC"/>
    <w:rsid w:val="009B2FE0"/>
    <w:rsid w:val="009B4A14"/>
    <w:rsid w:val="009B7819"/>
    <w:rsid w:val="009C14C7"/>
    <w:rsid w:val="009C1ACB"/>
    <w:rsid w:val="009C3BDA"/>
    <w:rsid w:val="009C4473"/>
    <w:rsid w:val="009C5BA6"/>
    <w:rsid w:val="009D3AB0"/>
    <w:rsid w:val="009D3AC6"/>
    <w:rsid w:val="009D5796"/>
    <w:rsid w:val="009F2449"/>
    <w:rsid w:val="009F3D36"/>
    <w:rsid w:val="009F756F"/>
    <w:rsid w:val="00A06B2B"/>
    <w:rsid w:val="00A07695"/>
    <w:rsid w:val="00A10E46"/>
    <w:rsid w:val="00A15E78"/>
    <w:rsid w:val="00A17D1A"/>
    <w:rsid w:val="00A22F96"/>
    <w:rsid w:val="00A231A7"/>
    <w:rsid w:val="00A23425"/>
    <w:rsid w:val="00A24688"/>
    <w:rsid w:val="00A2573C"/>
    <w:rsid w:val="00A31D28"/>
    <w:rsid w:val="00A3304F"/>
    <w:rsid w:val="00A35D95"/>
    <w:rsid w:val="00A40620"/>
    <w:rsid w:val="00A453ED"/>
    <w:rsid w:val="00A52D8F"/>
    <w:rsid w:val="00A60701"/>
    <w:rsid w:val="00A72C73"/>
    <w:rsid w:val="00A7420E"/>
    <w:rsid w:val="00A77409"/>
    <w:rsid w:val="00A77AC4"/>
    <w:rsid w:val="00A857A8"/>
    <w:rsid w:val="00A91A02"/>
    <w:rsid w:val="00A92915"/>
    <w:rsid w:val="00A93984"/>
    <w:rsid w:val="00AA0D65"/>
    <w:rsid w:val="00AA3BBC"/>
    <w:rsid w:val="00AB1643"/>
    <w:rsid w:val="00AB23B8"/>
    <w:rsid w:val="00AB270C"/>
    <w:rsid w:val="00AB7B71"/>
    <w:rsid w:val="00AB7CEA"/>
    <w:rsid w:val="00AC438F"/>
    <w:rsid w:val="00AC7752"/>
    <w:rsid w:val="00AD7783"/>
    <w:rsid w:val="00AF0727"/>
    <w:rsid w:val="00AF12A9"/>
    <w:rsid w:val="00AF2532"/>
    <w:rsid w:val="00AF3674"/>
    <w:rsid w:val="00B010A7"/>
    <w:rsid w:val="00B11F64"/>
    <w:rsid w:val="00B1344C"/>
    <w:rsid w:val="00B145BA"/>
    <w:rsid w:val="00B1598A"/>
    <w:rsid w:val="00B15B85"/>
    <w:rsid w:val="00B20AD8"/>
    <w:rsid w:val="00B22A50"/>
    <w:rsid w:val="00B24EB2"/>
    <w:rsid w:val="00B31660"/>
    <w:rsid w:val="00B31C44"/>
    <w:rsid w:val="00B412A9"/>
    <w:rsid w:val="00B46489"/>
    <w:rsid w:val="00B51F24"/>
    <w:rsid w:val="00B64A41"/>
    <w:rsid w:val="00B660A0"/>
    <w:rsid w:val="00B662E7"/>
    <w:rsid w:val="00B70414"/>
    <w:rsid w:val="00B7272C"/>
    <w:rsid w:val="00B80555"/>
    <w:rsid w:val="00B8173C"/>
    <w:rsid w:val="00B838B1"/>
    <w:rsid w:val="00B9410E"/>
    <w:rsid w:val="00B955F7"/>
    <w:rsid w:val="00BA09AF"/>
    <w:rsid w:val="00BA6E34"/>
    <w:rsid w:val="00BB02AA"/>
    <w:rsid w:val="00BB0901"/>
    <w:rsid w:val="00BB5E95"/>
    <w:rsid w:val="00BC132A"/>
    <w:rsid w:val="00BC37E0"/>
    <w:rsid w:val="00BC4093"/>
    <w:rsid w:val="00BD0FD5"/>
    <w:rsid w:val="00BD1469"/>
    <w:rsid w:val="00BD6094"/>
    <w:rsid w:val="00BE122B"/>
    <w:rsid w:val="00BE1FA5"/>
    <w:rsid w:val="00BE2BE1"/>
    <w:rsid w:val="00BE3215"/>
    <w:rsid w:val="00BE4E01"/>
    <w:rsid w:val="00BE6103"/>
    <w:rsid w:val="00BE71F4"/>
    <w:rsid w:val="00BF2BAA"/>
    <w:rsid w:val="00BF2C86"/>
    <w:rsid w:val="00C05C7B"/>
    <w:rsid w:val="00C07089"/>
    <w:rsid w:val="00C13FB8"/>
    <w:rsid w:val="00C14487"/>
    <w:rsid w:val="00C15150"/>
    <w:rsid w:val="00C154EA"/>
    <w:rsid w:val="00C17832"/>
    <w:rsid w:val="00C2091C"/>
    <w:rsid w:val="00C23940"/>
    <w:rsid w:val="00C23941"/>
    <w:rsid w:val="00C250E2"/>
    <w:rsid w:val="00C36127"/>
    <w:rsid w:val="00C37009"/>
    <w:rsid w:val="00C43FD0"/>
    <w:rsid w:val="00C45881"/>
    <w:rsid w:val="00C45ACB"/>
    <w:rsid w:val="00C46B15"/>
    <w:rsid w:val="00C46ED3"/>
    <w:rsid w:val="00C546BE"/>
    <w:rsid w:val="00C65A93"/>
    <w:rsid w:val="00C701E7"/>
    <w:rsid w:val="00C73116"/>
    <w:rsid w:val="00C741DE"/>
    <w:rsid w:val="00C74ACF"/>
    <w:rsid w:val="00C8428A"/>
    <w:rsid w:val="00C91E7F"/>
    <w:rsid w:val="00C97458"/>
    <w:rsid w:val="00CA075A"/>
    <w:rsid w:val="00CA0FB7"/>
    <w:rsid w:val="00CA1436"/>
    <w:rsid w:val="00CA2B78"/>
    <w:rsid w:val="00CA6788"/>
    <w:rsid w:val="00CA785D"/>
    <w:rsid w:val="00CB187A"/>
    <w:rsid w:val="00CB1CBD"/>
    <w:rsid w:val="00CB6438"/>
    <w:rsid w:val="00CC428D"/>
    <w:rsid w:val="00CC6AF6"/>
    <w:rsid w:val="00CC6CF0"/>
    <w:rsid w:val="00CD46C9"/>
    <w:rsid w:val="00CD6140"/>
    <w:rsid w:val="00CD68CD"/>
    <w:rsid w:val="00CD6A6C"/>
    <w:rsid w:val="00CE49C4"/>
    <w:rsid w:val="00CF0907"/>
    <w:rsid w:val="00CF1C92"/>
    <w:rsid w:val="00CF3E72"/>
    <w:rsid w:val="00D00C42"/>
    <w:rsid w:val="00D046BF"/>
    <w:rsid w:val="00D05877"/>
    <w:rsid w:val="00D07110"/>
    <w:rsid w:val="00D100B1"/>
    <w:rsid w:val="00D14AD5"/>
    <w:rsid w:val="00D1557B"/>
    <w:rsid w:val="00D23AD9"/>
    <w:rsid w:val="00D25317"/>
    <w:rsid w:val="00D267EA"/>
    <w:rsid w:val="00D4560A"/>
    <w:rsid w:val="00D4628F"/>
    <w:rsid w:val="00D5398F"/>
    <w:rsid w:val="00D65A2E"/>
    <w:rsid w:val="00D7389C"/>
    <w:rsid w:val="00D75094"/>
    <w:rsid w:val="00D77AAB"/>
    <w:rsid w:val="00D805B7"/>
    <w:rsid w:val="00D825E2"/>
    <w:rsid w:val="00D85B7A"/>
    <w:rsid w:val="00D873DD"/>
    <w:rsid w:val="00D945DB"/>
    <w:rsid w:val="00D9517F"/>
    <w:rsid w:val="00D9604D"/>
    <w:rsid w:val="00DA1DB8"/>
    <w:rsid w:val="00DA2FB6"/>
    <w:rsid w:val="00DA34B3"/>
    <w:rsid w:val="00DA3726"/>
    <w:rsid w:val="00DA571A"/>
    <w:rsid w:val="00DB1071"/>
    <w:rsid w:val="00DB2E16"/>
    <w:rsid w:val="00DB345C"/>
    <w:rsid w:val="00DB45D0"/>
    <w:rsid w:val="00DB5E44"/>
    <w:rsid w:val="00DB7DAD"/>
    <w:rsid w:val="00DC3852"/>
    <w:rsid w:val="00DC413E"/>
    <w:rsid w:val="00DD488D"/>
    <w:rsid w:val="00DD4A32"/>
    <w:rsid w:val="00DD4B13"/>
    <w:rsid w:val="00DD4B4F"/>
    <w:rsid w:val="00DE0748"/>
    <w:rsid w:val="00DE3050"/>
    <w:rsid w:val="00DE3AD2"/>
    <w:rsid w:val="00DE47A5"/>
    <w:rsid w:val="00DF4882"/>
    <w:rsid w:val="00DF71D7"/>
    <w:rsid w:val="00E01269"/>
    <w:rsid w:val="00E01E01"/>
    <w:rsid w:val="00E028D0"/>
    <w:rsid w:val="00E03F0D"/>
    <w:rsid w:val="00E04E51"/>
    <w:rsid w:val="00E10F2F"/>
    <w:rsid w:val="00E25810"/>
    <w:rsid w:val="00E32997"/>
    <w:rsid w:val="00E32F84"/>
    <w:rsid w:val="00E33293"/>
    <w:rsid w:val="00E348EC"/>
    <w:rsid w:val="00E406B7"/>
    <w:rsid w:val="00E426EF"/>
    <w:rsid w:val="00E45836"/>
    <w:rsid w:val="00E46AD6"/>
    <w:rsid w:val="00E50DFE"/>
    <w:rsid w:val="00E6130F"/>
    <w:rsid w:val="00E722A1"/>
    <w:rsid w:val="00E7264D"/>
    <w:rsid w:val="00E74743"/>
    <w:rsid w:val="00E75EDF"/>
    <w:rsid w:val="00E81120"/>
    <w:rsid w:val="00E84088"/>
    <w:rsid w:val="00E84F29"/>
    <w:rsid w:val="00E850B9"/>
    <w:rsid w:val="00E858AF"/>
    <w:rsid w:val="00E92C13"/>
    <w:rsid w:val="00E9455A"/>
    <w:rsid w:val="00EA064A"/>
    <w:rsid w:val="00EA1796"/>
    <w:rsid w:val="00EA450A"/>
    <w:rsid w:val="00EA5FC3"/>
    <w:rsid w:val="00EA6B55"/>
    <w:rsid w:val="00EA6F54"/>
    <w:rsid w:val="00EB35B4"/>
    <w:rsid w:val="00EC3780"/>
    <w:rsid w:val="00EC49D3"/>
    <w:rsid w:val="00EC56A4"/>
    <w:rsid w:val="00EC59B8"/>
    <w:rsid w:val="00ED0704"/>
    <w:rsid w:val="00EE234D"/>
    <w:rsid w:val="00EF3743"/>
    <w:rsid w:val="00EF38FB"/>
    <w:rsid w:val="00EF70DB"/>
    <w:rsid w:val="00F04CD4"/>
    <w:rsid w:val="00F051BD"/>
    <w:rsid w:val="00F07C19"/>
    <w:rsid w:val="00F12690"/>
    <w:rsid w:val="00F14598"/>
    <w:rsid w:val="00F203A1"/>
    <w:rsid w:val="00F205CB"/>
    <w:rsid w:val="00F21372"/>
    <w:rsid w:val="00F24D8A"/>
    <w:rsid w:val="00F310A9"/>
    <w:rsid w:val="00F317C8"/>
    <w:rsid w:val="00F36889"/>
    <w:rsid w:val="00F37E12"/>
    <w:rsid w:val="00F505F0"/>
    <w:rsid w:val="00F54EDD"/>
    <w:rsid w:val="00F55DB4"/>
    <w:rsid w:val="00F575CE"/>
    <w:rsid w:val="00F57F8B"/>
    <w:rsid w:val="00F604D1"/>
    <w:rsid w:val="00F65456"/>
    <w:rsid w:val="00F65AFC"/>
    <w:rsid w:val="00F66DE5"/>
    <w:rsid w:val="00F7071B"/>
    <w:rsid w:val="00F72F11"/>
    <w:rsid w:val="00F75E70"/>
    <w:rsid w:val="00F81156"/>
    <w:rsid w:val="00F83D85"/>
    <w:rsid w:val="00F84C1E"/>
    <w:rsid w:val="00F854BF"/>
    <w:rsid w:val="00F929C8"/>
    <w:rsid w:val="00F94302"/>
    <w:rsid w:val="00F94883"/>
    <w:rsid w:val="00F94921"/>
    <w:rsid w:val="00F97AA4"/>
    <w:rsid w:val="00F97CD3"/>
    <w:rsid w:val="00FA1CBC"/>
    <w:rsid w:val="00FA5825"/>
    <w:rsid w:val="00FA7655"/>
    <w:rsid w:val="00FB722B"/>
    <w:rsid w:val="00FC2816"/>
    <w:rsid w:val="00FC41D1"/>
    <w:rsid w:val="00FD3859"/>
    <w:rsid w:val="00FD4E96"/>
    <w:rsid w:val="00FD5761"/>
    <w:rsid w:val="00FE01D3"/>
    <w:rsid w:val="00FE0C52"/>
    <w:rsid w:val="00FE6445"/>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9A4171"/>
  <w15:docId w15:val="{BE2D92F9-9DFB-4E15-9332-82981F76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398"/>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rPr>
  </w:style>
  <w:style w:type="paragraph" w:styleId="Ttulo3">
    <w:name w:val="heading 3"/>
    <w:basedOn w:val="Normal"/>
    <w:next w:val="Normal"/>
    <w:link w:val="Ttulo3Car"/>
    <w:uiPriority w:val="99"/>
    <w:qFormat/>
    <w:locked/>
    <w:rsid w:val="00C23941"/>
    <w:pPr>
      <w:keepNext/>
      <w:keepLines/>
      <w:spacing w:before="40" w:after="0"/>
      <w:ind w:left="567" w:hanging="567"/>
      <w:outlineLvl w:val="2"/>
    </w:pPr>
    <w:rPr>
      <w:rFonts w:eastAsia="Calibri"/>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ascii="Calibri" w:hAnsi="Calibri" w:cs="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D9604D"/>
    <w:pPr>
      <w:tabs>
        <w:tab w:val="center" w:pos="4252"/>
        <w:tab w:val="right" w:pos="8504"/>
      </w:tabs>
    </w:pPr>
    <w:rPr>
      <w:rFonts w:ascii="Arial" w:eastAsia="Calibri" w:hAnsi="Arial"/>
      <w:sz w:val="20"/>
      <w:szCs w:val="20"/>
    </w:r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ascii="Arial" w:hAnsi="Arial" w:cs="Times New Roman"/>
      <w:sz w:val="20"/>
      <w:szCs w:val="20"/>
      <w:lang w:val="es-ES_tradnl" w:eastAsia="es-ES"/>
    </w:rPr>
  </w:style>
  <w:style w:type="paragraph" w:styleId="Piedepgina">
    <w:name w:val="footer"/>
    <w:basedOn w:val="Normal"/>
    <w:link w:val="PiedepginaCar"/>
    <w:uiPriority w:val="99"/>
    <w:rsid w:val="00D9604D"/>
    <w:pPr>
      <w:tabs>
        <w:tab w:val="center" w:pos="4252"/>
        <w:tab w:val="right" w:pos="8504"/>
      </w:tabs>
    </w:pPr>
    <w:rPr>
      <w:rFonts w:ascii="Arial" w:eastAsia="Calibri" w:hAnsi="Arial"/>
      <w:sz w:val="20"/>
      <w:szCs w:val="20"/>
    </w:rPr>
  </w:style>
  <w:style w:type="character" w:customStyle="1" w:styleId="PiedepginaCar">
    <w:name w:val="Pie de página Car"/>
    <w:link w:val="Piedepgina"/>
    <w:uiPriority w:val="99"/>
    <w:locked/>
    <w:rsid w:val="00D9604D"/>
    <w:rPr>
      <w:rFonts w:ascii="Arial" w:hAnsi="Arial" w:cs="Times New Roman"/>
      <w:sz w:val="20"/>
      <w:szCs w:val="20"/>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D9604D"/>
    <w:pPr>
      <w:ind w:left="708"/>
    </w:pPr>
    <w:rPr>
      <w:szCs w:val="20"/>
    </w:r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eastAsia="Calibri" w:hAnsi="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eastAsia="Calibri" w:hAnsi="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DA1DB8"/>
    <w:rPr>
      <w:rFonts w:ascii="Arial" w:eastAsia="Calibri" w:hAnsi="Arial"/>
      <w:sz w:val="20"/>
      <w:szCs w:val="20"/>
    </w:rPr>
  </w:style>
  <w:style w:type="character" w:customStyle="1" w:styleId="TextonotapieCar">
    <w:name w:val="Texto nota pie Car"/>
    <w:link w:val="Textonotapie"/>
    <w:uiPriority w:val="99"/>
    <w:semiHidden/>
    <w:locked/>
    <w:rsid w:val="00DA1DB8"/>
    <w:rPr>
      <w:rFonts w:ascii="Arial" w:hAnsi="Arial" w:cs="Times New Roman"/>
      <w:sz w:val="20"/>
      <w:szCs w:val="20"/>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rsid w:val="00923A69"/>
    <w:rPr>
      <w:rFonts w:cs="Times New Roman"/>
      <w:sz w:val="16"/>
      <w:szCs w:val="16"/>
    </w:rPr>
  </w:style>
  <w:style w:type="paragraph" w:styleId="Textocomentario">
    <w:name w:val="annotation text"/>
    <w:basedOn w:val="Normal"/>
    <w:link w:val="TextocomentarioCar"/>
    <w:uiPriority w:val="99"/>
    <w:rsid w:val="00923A69"/>
    <w:rPr>
      <w:rFonts w:ascii="Arial" w:eastAsia="Calibri" w:hAnsi="Arial"/>
      <w:sz w:val="20"/>
      <w:szCs w:val="20"/>
    </w:rPr>
  </w:style>
  <w:style w:type="character" w:customStyle="1" w:styleId="TextocomentarioCar">
    <w:name w:val="Texto comentario Car"/>
    <w:link w:val="Textocomentario"/>
    <w:uiPriority w:val="99"/>
    <w:qFormat/>
    <w:locked/>
    <w:rsid w:val="00923A69"/>
    <w:rPr>
      <w:rFonts w:ascii="Arial"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lang w:val="es-ES_tradnl" w:eastAsia="es-ES"/>
    </w:rPr>
  </w:style>
  <w:style w:type="paragraph" w:customStyle="1" w:styleId="CitaIFT">
    <w:name w:val="Cita IFT"/>
    <w:basedOn w:val="Normal"/>
    <w:link w:val="CitaIFTCar"/>
    <w:uiPriority w:val="99"/>
    <w:rsid w:val="00BA09AF"/>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
    <w:name w:val="Cita IFT Car"/>
    <w:link w:val="CitaIFT"/>
    <w:uiPriority w:val="99"/>
    <w:locked/>
    <w:rsid w:val="00BA09AF"/>
    <w:rPr>
      <w:rFonts w:ascii="ITC Avant Garde" w:hAnsi="ITC Avant Garde"/>
      <w:i/>
      <w:color w:val="000000"/>
      <w:sz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table" w:customStyle="1" w:styleId="Cuadrculadetablaclara1">
    <w:name w:val="Cuadrícula de tabla clara1"/>
    <w:uiPriority w:val="99"/>
    <w:rsid w:val="006B48C0"/>
    <w:rPr>
      <w:rFonts w:cs="Arial"/>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itaift0">
    <w:name w:val="Cita ift"/>
    <w:basedOn w:val="Normal"/>
    <w:link w:val="CitaiftCar0"/>
    <w:uiPriority w:val="99"/>
    <w:rsid w:val="00883967"/>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0">
    <w:name w:val="Cita ift Car"/>
    <w:link w:val="Citaift0"/>
    <w:uiPriority w:val="99"/>
    <w:locked/>
    <w:rsid w:val="00883967"/>
    <w:rPr>
      <w:rFonts w:ascii="ITC Avant Garde" w:hAnsi="ITC Avant Garde"/>
      <w:i/>
      <w:color w:val="000000"/>
      <w:sz w:val="18"/>
      <w:lang w:eastAsia="es-ES"/>
    </w:rPr>
  </w:style>
  <w:style w:type="paragraph" w:customStyle="1" w:styleId="NumeracinIFT">
    <w:name w:val="Numeración IFT"/>
    <w:basedOn w:val="Normal"/>
    <w:link w:val="NumeracinIFTCar"/>
    <w:uiPriority w:val="99"/>
    <w:rsid w:val="009C1ACB"/>
    <w:pPr>
      <w:tabs>
        <w:tab w:val="left" w:pos="1134"/>
      </w:tabs>
      <w:adjustRightInd w:val="0"/>
      <w:spacing w:before="0" w:after="200" w:line="276" w:lineRule="auto"/>
      <w:ind w:left="1134" w:hanging="992"/>
    </w:pPr>
    <w:rPr>
      <w:rFonts w:ascii="ITC Avant Garde" w:eastAsia="Calibri" w:hAnsi="ITC Avant Garde"/>
      <w:sz w:val="20"/>
      <w:szCs w:val="20"/>
    </w:rPr>
  </w:style>
  <w:style w:type="character" w:customStyle="1" w:styleId="NumeracinIFTCar">
    <w:name w:val="Numeración IFT Car"/>
    <w:link w:val="NumeracinIFT"/>
    <w:uiPriority w:val="99"/>
    <w:locked/>
    <w:rsid w:val="009C1ACB"/>
    <w:rPr>
      <w:rFonts w:ascii="ITC Avant Garde" w:hAnsi="ITC Avant Garde"/>
      <w:lang w:eastAsia="es-ES"/>
    </w:rPr>
  </w:style>
  <w:style w:type="numbering" w:styleId="1ai">
    <w:name w:val="Outline List 1"/>
    <w:basedOn w:val="Sinlista"/>
    <w:uiPriority w:val="99"/>
    <w:semiHidden/>
    <w:unhideWhenUsed/>
    <w:rsid w:val="00F01876"/>
    <w:pPr>
      <w:numPr>
        <w:numId w:val="20"/>
      </w:numPr>
    </w:pPr>
  </w:style>
  <w:style w:type="paragraph" w:customStyle="1" w:styleId="CondicionesFinales">
    <w:name w:val="CondicionesFinales"/>
    <w:basedOn w:val="Citaift0"/>
    <w:qFormat/>
    <w:rsid w:val="00B955F7"/>
    <w:rPr>
      <w:rFonts w:cs="Arial"/>
      <w:bCs/>
      <w:i w:val="0"/>
      <w:sz w:val="22"/>
      <w:szCs w:val="22"/>
    </w:rPr>
  </w:style>
  <w:style w:type="paragraph" w:styleId="Revisin">
    <w:name w:val="Revision"/>
    <w:hidden/>
    <w:uiPriority w:val="99"/>
    <w:semiHidden/>
    <w:rsid w:val="007B4B4D"/>
    <w:rPr>
      <w:rFonts w:eastAsia="Times New Roman"/>
      <w:sz w:val="24"/>
      <w:szCs w:val="24"/>
      <w:lang w:val="es-ES_tradnl" w:eastAsia="es-ES"/>
    </w:rPr>
  </w:style>
  <w:style w:type="character" w:customStyle="1" w:styleId="IFTnormalCar">
    <w:name w:val="IFT normal Car"/>
    <w:link w:val="IFTnormal"/>
    <w:qFormat/>
    <w:locked/>
    <w:rsid w:val="002140C8"/>
    <w:rPr>
      <w:rFonts w:ascii="ITC Avant Garde" w:eastAsia="MS Mincho" w:hAnsi="ITC Avant Garde" w:cs="Calibri"/>
      <w:bCs/>
    </w:rPr>
  </w:style>
  <w:style w:type="paragraph" w:customStyle="1" w:styleId="IFTnormal">
    <w:name w:val="IFT normal"/>
    <w:basedOn w:val="Normal"/>
    <w:link w:val="IFTnormalCar"/>
    <w:qFormat/>
    <w:rsid w:val="002140C8"/>
    <w:pPr>
      <w:spacing w:before="0" w:after="200" w:line="276" w:lineRule="auto"/>
    </w:pPr>
    <w:rPr>
      <w:rFonts w:ascii="ITC Avant Garde" w:eastAsia="MS Mincho" w:hAnsi="ITC Avant Garde" w:cs="Calibri"/>
      <w:bCs/>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071544">
      <w:bodyDiv w:val="1"/>
      <w:marLeft w:val="0"/>
      <w:marRight w:val="0"/>
      <w:marTop w:val="0"/>
      <w:marBottom w:val="0"/>
      <w:divBdr>
        <w:top w:val="none" w:sz="0" w:space="0" w:color="auto"/>
        <w:left w:val="none" w:sz="0" w:space="0" w:color="auto"/>
        <w:bottom w:val="none" w:sz="0" w:space="0" w:color="auto"/>
        <w:right w:val="none" w:sz="0" w:space="0" w:color="auto"/>
      </w:divBdr>
    </w:div>
    <w:div w:id="1274097121">
      <w:marLeft w:val="0"/>
      <w:marRight w:val="0"/>
      <w:marTop w:val="0"/>
      <w:marBottom w:val="0"/>
      <w:divBdr>
        <w:top w:val="none" w:sz="0" w:space="0" w:color="auto"/>
        <w:left w:val="none" w:sz="0" w:space="0" w:color="auto"/>
        <w:bottom w:val="none" w:sz="0" w:space="0" w:color="auto"/>
        <w:right w:val="none" w:sz="0" w:space="0" w:color="auto"/>
      </w:divBdr>
    </w:div>
    <w:div w:id="1274097122">
      <w:marLeft w:val="0"/>
      <w:marRight w:val="0"/>
      <w:marTop w:val="0"/>
      <w:marBottom w:val="0"/>
      <w:divBdr>
        <w:top w:val="none" w:sz="0" w:space="0" w:color="auto"/>
        <w:left w:val="none" w:sz="0" w:space="0" w:color="auto"/>
        <w:bottom w:val="none" w:sz="0" w:space="0" w:color="auto"/>
        <w:right w:val="none" w:sz="0" w:space="0" w:color="auto"/>
      </w:divBdr>
    </w:div>
    <w:div w:id="1274097123">
      <w:marLeft w:val="0"/>
      <w:marRight w:val="0"/>
      <w:marTop w:val="0"/>
      <w:marBottom w:val="0"/>
      <w:divBdr>
        <w:top w:val="none" w:sz="0" w:space="0" w:color="auto"/>
        <w:left w:val="none" w:sz="0" w:space="0" w:color="auto"/>
        <w:bottom w:val="none" w:sz="0" w:space="0" w:color="auto"/>
        <w:right w:val="none" w:sz="0" w:space="0" w:color="auto"/>
      </w:divBdr>
    </w:div>
    <w:div w:id="1274097124">
      <w:marLeft w:val="0"/>
      <w:marRight w:val="0"/>
      <w:marTop w:val="0"/>
      <w:marBottom w:val="0"/>
      <w:divBdr>
        <w:top w:val="none" w:sz="0" w:space="0" w:color="auto"/>
        <w:left w:val="none" w:sz="0" w:space="0" w:color="auto"/>
        <w:bottom w:val="none" w:sz="0" w:space="0" w:color="auto"/>
        <w:right w:val="none" w:sz="0" w:space="0" w:color="auto"/>
      </w:divBdr>
    </w:div>
    <w:div w:id="143670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26dd018fdb0d52ff877185fae2f4b2d4">
  <xsd:schema xmlns:xsd="http://www.w3.org/2001/XMLSchema" xmlns:xs="http://www.w3.org/2001/XMLSchema" xmlns:p="http://schemas.microsoft.com/office/2006/metadata/properties" xmlns:ns2="http://schemas.microsoft.com/sharepoint/v4" targetNamespace="http://schemas.microsoft.com/office/2006/metadata/properties" ma:root="true" ma:fieldsID="c90194199c3d9d7004dcc18b219cf329"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C431F-6DE4-4C98-A51F-FF1FB6650BA9}">
  <ds:schemaRefs>
    <ds:schemaRef ds:uri="http://schemas.microsoft.com/sharepoint/v3/contenttype/forms"/>
  </ds:schemaRefs>
</ds:datastoreItem>
</file>

<file path=customXml/itemProps2.xml><?xml version="1.0" encoding="utf-8"?>
<ds:datastoreItem xmlns:ds="http://schemas.openxmlformats.org/officeDocument/2006/customXml" ds:itemID="{2152D068-D4E6-4340-A66E-FD29199F74B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DFC20BD-77F1-4C7F-8517-8D5155ACA2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F4CEBA-F00E-4D43-8B92-7E2AE9899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3709</Words>
  <Characters>20405</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24066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Lemus Nieto Samanta Paola</dc:creator>
  <cp:keywords/>
  <dc:description/>
  <cp:lastModifiedBy>Sánchez Avila José Carlos</cp:lastModifiedBy>
  <cp:revision>3</cp:revision>
  <cp:lastPrinted>2015-10-30T05:03:00Z</cp:lastPrinted>
  <dcterms:created xsi:type="dcterms:W3CDTF">2023-07-29T00:33:00Z</dcterms:created>
  <dcterms:modified xsi:type="dcterms:W3CDTF">2023-07-29T00:34:00Z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