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3DF349" w14:textId="590BC7DA" w:rsidR="004A5964" w:rsidRPr="00347EE7" w:rsidRDefault="004A5964" w:rsidP="00664447">
      <w:pPr>
        <w:pStyle w:val="Sinespaciado"/>
        <w:rPr>
          <w:b/>
          <w:bCs/>
          <w:sz w:val="28"/>
        </w:rPr>
      </w:pPr>
      <w:r w:rsidRPr="00347EE7">
        <w:rPr>
          <w:b/>
          <w:bCs/>
          <w:sz w:val="28"/>
        </w:rPr>
        <w:t>Propuesta de modificaciones a la Oferta de Compartición de Infraestruct</w:t>
      </w:r>
      <w:r w:rsidR="008B6CED" w:rsidRPr="00347EE7">
        <w:rPr>
          <w:b/>
          <w:bCs/>
          <w:sz w:val="28"/>
        </w:rPr>
        <w:t>ura Pasiva de la DM de Telmex/Telnor para el 2024</w:t>
      </w:r>
    </w:p>
    <w:p w14:paraId="2DAB243E" w14:textId="77777777" w:rsidR="004A5964" w:rsidRDefault="004A5964" w:rsidP="005C28C7">
      <w:pPr>
        <w:pStyle w:val="Sinespaciado"/>
        <w:rPr>
          <w:b/>
          <w:bCs/>
        </w:rPr>
      </w:pPr>
    </w:p>
    <w:p w14:paraId="199A2782" w14:textId="77777777" w:rsidR="004919FB" w:rsidRPr="00585001" w:rsidRDefault="00E44664" w:rsidP="005C28C7">
      <w:pPr>
        <w:pStyle w:val="Sinespaciado"/>
        <w:rPr>
          <w:sz w:val="24"/>
        </w:rPr>
      </w:pPr>
      <w:r w:rsidRPr="00585001">
        <w:rPr>
          <w:b/>
          <w:bCs/>
          <w:sz w:val="24"/>
        </w:rPr>
        <w:t xml:space="preserve">ANEXO ÚNICO </w:t>
      </w:r>
      <w:r w:rsidRPr="00585001">
        <w:rPr>
          <w:b/>
          <w:bCs/>
          <w:i/>
          <w:iCs/>
          <w:sz w:val="24"/>
        </w:rPr>
        <w:t>“Oferta de Referencia para el Servicio de Acceso y Uso Compartido de Infraestructura Pasiva de las Divisiones Mayoristas de Telmex y Telnor”</w:t>
      </w:r>
    </w:p>
    <w:p w14:paraId="49EA568E" w14:textId="77777777" w:rsidR="00E44664" w:rsidRDefault="00E44664" w:rsidP="005C28C7">
      <w:pPr>
        <w:pStyle w:val="Sinespaciad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64"/>
        <w:gridCol w:w="1934"/>
        <w:gridCol w:w="2363"/>
        <w:gridCol w:w="4585"/>
        <w:gridCol w:w="5050"/>
      </w:tblGrid>
      <w:tr w:rsidR="008E3369" w:rsidRPr="00664447" w14:paraId="25B48457" w14:textId="77777777" w:rsidTr="00361D0B">
        <w:trPr>
          <w:trHeight w:val="346"/>
          <w:tblHeader/>
        </w:trPr>
        <w:tc>
          <w:tcPr>
            <w:tcW w:w="260" w:type="pct"/>
            <w:shd w:val="clear" w:color="auto" w:fill="1F497D" w:themeFill="text2"/>
            <w:vAlign w:val="center"/>
          </w:tcPr>
          <w:p w14:paraId="3E07657F" w14:textId="77777777" w:rsidR="008E3369" w:rsidRPr="00664447" w:rsidRDefault="008E3369" w:rsidP="00D66FC4">
            <w:pPr>
              <w:spacing w:after="0" w:line="240" w:lineRule="auto"/>
              <w:jc w:val="center"/>
              <w:rPr>
                <w:rFonts w:ascii="Arial" w:eastAsia="Times New Roman" w:hAnsi="Arial" w:cs="Arial"/>
                <w:color w:val="FFFFFF" w:themeColor="background1"/>
                <w:sz w:val="20"/>
                <w:szCs w:val="20"/>
                <w:lang w:eastAsia="es-MX"/>
              </w:rPr>
            </w:pPr>
            <w:r w:rsidRPr="00664447">
              <w:rPr>
                <w:rFonts w:ascii="Arial" w:eastAsia="Times New Roman" w:hAnsi="Arial" w:cs="Arial"/>
                <w:b/>
                <w:bCs/>
                <w:color w:val="FFFFFF" w:themeColor="background1"/>
                <w:sz w:val="20"/>
                <w:szCs w:val="20"/>
                <w:lang w:eastAsia="es-MX"/>
              </w:rPr>
              <w:t>No</w:t>
            </w:r>
          </w:p>
        </w:tc>
        <w:tc>
          <w:tcPr>
            <w:tcW w:w="658" w:type="pct"/>
            <w:shd w:val="clear" w:color="auto" w:fill="1F497D" w:themeFill="text2"/>
            <w:vAlign w:val="center"/>
          </w:tcPr>
          <w:p w14:paraId="3CCD7FCB" w14:textId="00213212" w:rsidR="008E3369" w:rsidRPr="00664447" w:rsidRDefault="00DA6597" w:rsidP="00D66FC4">
            <w:pPr>
              <w:spacing w:after="0" w:line="240" w:lineRule="auto"/>
              <w:jc w:val="center"/>
              <w:rPr>
                <w:rFonts w:ascii="Arial" w:eastAsia="Times New Roman" w:hAnsi="Arial" w:cs="Arial"/>
                <w:color w:val="FFFFFF" w:themeColor="background1"/>
                <w:sz w:val="20"/>
                <w:szCs w:val="20"/>
                <w:lang w:eastAsia="es-MX"/>
              </w:rPr>
            </w:pPr>
            <w:r w:rsidRPr="00664447">
              <w:rPr>
                <w:rFonts w:ascii="Arial" w:eastAsia="Times New Roman" w:hAnsi="Arial" w:cs="Arial"/>
                <w:b/>
                <w:bCs/>
                <w:color w:val="FFFFFF" w:themeColor="background1"/>
                <w:sz w:val="20"/>
                <w:szCs w:val="20"/>
                <w:lang w:eastAsia="es-MX"/>
              </w:rPr>
              <w:t>Cláusula</w:t>
            </w:r>
            <w:r w:rsidR="00727772" w:rsidRPr="00664447">
              <w:rPr>
                <w:rFonts w:ascii="Arial" w:eastAsia="Times New Roman" w:hAnsi="Arial" w:cs="Arial"/>
                <w:b/>
                <w:bCs/>
                <w:color w:val="FFFFFF" w:themeColor="background1"/>
                <w:sz w:val="20"/>
                <w:szCs w:val="20"/>
                <w:lang w:eastAsia="es-MX"/>
              </w:rPr>
              <w:t>/Sección</w:t>
            </w:r>
          </w:p>
        </w:tc>
        <w:tc>
          <w:tcPr>
            <w:tcW w:w="804" w:type="pct"/>
            <w:shd w:val="clear" w:color="auto" w:fill="1F497D" w:themeFill="text2"/>
            <w:vAlign w:val="center"/>
          </w:tcPr>
          <w:p w14:paraId="32AC739A" w14:textId="77777777" w:rsidR="008E3369" w:rsidRPr="00664447" w:rsidRDefault="008E3369" w:rsidP="00D66FC4">
            <w:pPr>
              <w:spacing w:after="0" w:line="240" w:lineRule="auto"/>
              <w:jc w:val="center"/>
              <w:rPr>
                <w:rFonts w:ascii="Arial" w:eastAsia="Times New Roman" w:hAnsi="Arial" w:cs="Arial"/>
                <w:b/>
                <w:bCs/>
                <w:color w:val="FFFFFF" w:themeColor="background1"/>
                <w:sz w:val="20"/>
                <w:szCs w:val="20"/>
                <w:lang w:eastAsia="es-MX"/>
              </w:rPr>
            </w:pPr>
            <w:r w:rsidRPr="00664447">
              <w:rPr>
                <w:rFonts w:ascii="Arial" w:eastAsia="Times New Roman" w:hAnsi="Arial" w:cs="Arial"/>
                <w:b/>
                <w:bCs/>
                <w:color w:val="FFFFFF" w:themeColor="background1"/>
                <w:sz w:val="20"/>
                <w:szCs w:val="20"/>
                <w:lang w:eastAsia="es-MX"/>
              </w:rPr>
              <w:t>Tema</w:t>
            </w:r>
          </w:p>
        </w:tc>
        <w:tc>
          <w:tcPr>
            <w:tcW w:w="1560" w:type="pct"/>
            <w:shd w:val="clear" w:color="auto" w:fill="1F497D" w:themeFill="text2"/>
            <w:vAlign w:val="center"/>
          </w:tcPr>
          <w:p w14:paraId="1CDBA128" w14:textId="77777777" w:rsidR="008E3369" w:rsidRPr="00664447" w:rsidRDefault="008E3369" w:rsidP="00D66FC4">
            <w:pPr>
              <w:spacing w:after="0" w:line="240" w:lineRule="auto"/>
              <w:jc w:val="center"/>
              <w:rPr>
                <w:rFonts w:ascii="Arial" w:eastAsia="Times New Roman" w:hAnsi="Arial" w:cs="Arial"/>
                <w:b/>
                <w:bCs/>
                <w:color w:val="FFFFFF" w:themeColor="background1"/>
                <w:sz w:val="20"/>
                <w:szCs w:val="20"/>
                <w:lang w:eastAsia="es-MX"/>
              </w:rPr>
            </w:pPr>
            <w:r w:rsidRPr="00664447">
              <w:rPr>
                <w:rFonts w:ascii="Arial" w:eastAsia="Times New Roman" w:hAnsi="Arial" w:cs="Arial"/>
                <w:b/>
                <w:bCs/>
                <w:color w:val="FFFFFF" w:themeColor="background1"/>
                <w:sz w:val="20"/>
                <w:szCs w:val="20"/>
                <w:lang w:eastAsia="es-MX"/>
              </w:rPr>
              <w:t>Modificación/Adición</w:t>
            </w:r>
          </w:p>
        </w:tc>
        <w:tc>
          <w:tcPr>
            <w:tcW w:w="1718" w:type="pct"/>
            <w:tcBorders>
              <w:bottom w:val="single" w:sz="4" w:space="0" w:color="000000" w:themeColor="text1"/>
            </w:tcBorders>
            <w:shd w:val="clear" w:color="auto" w:fill="1F497D" w:themeFill="text2"/>
            <w:vAlign w:val="center"/>
          </w:tcPr>
          <w:p w14:paraId="30C23693" w14:textId="148A8514" w:rsidR="008E3369" w:rsidRPr="00664447" w:rsidRDefault="008E3369" w:rsidP="00196812">
            <w:pPr>
              <w:spacing w:after="0" w:line="240" w:lineRule="auto"/>
              <w:jc w:val="center"/>
              <w:rPr>
                <w:rFonts w:ascii="Arial" w:eastAsia="Times New Roman" w:hAnsi="Arial" w:cs="Arial"/>
                <w:color w:val="FFFFFF" w:themeColor="background1"/>
                <w:sz w:val="20"/>
                <w:szCs w:val="20"/>
                <w:highlight w:val="green"/>
                <w:lang w:eastAsia="es-MX"/>
              </w:rPr>
            </w:pPr>
            <w:r w:rsidRPr="00664447">
              <w:rPr>
                <w:rFonts w:ascii="Arial" w:eastAsia="Times New Roman" w:hAnsi="Arial" w:cs="Arial"/>
                <w:b/>
                <w:bCs/>
                <w:color w:val="FFFFFF" w:themeColor="background1"/>
                <w:sz w:val="20"/>
                <w:szCs w:val="20"/>
                <w:lang w:eastAsia="es-MX"/>
              </w:rPr>
              <w:t>Justificación a</w:t>
            </w:r>
            <w:r w:rsidR="00DA6597" w:rsidRPr="00664447">
              <w:rPr>
                <w:rFonts w:ascii="Arial" w:eastAsia="Times New Roman" w:hAnsi="Arial" w:cs="Arial"/>
                <w:b/>
                <w:bCs/>
                <w:color w:val="FFFFFF" w:themeColor="background1"/>
                <w:sz w:val="20"/>
                <w:szCs w:val="20"/>
                <w:lang w:eastAsia="es-MX"/>
              </w:rPr>
              <w:t>l</w:t>
            </w:r>
            <w:r w:rsidRPr="00664447">
              <w:rPr>
                <w:rFonts w:ascii="Arial" w:eastAsia="Times New Roman" w:hAnsi="Arial" w:cs="Arial"/>
                <w:b/>
                <w:bCs/>
                <w:color w:val="FFFFFF" w:themeColor="background1"/>
                <w:sz w:val="20"/>
                <w:szCs w:val="20"/>
                <w:lang w:eastAsia="es-MX"/>
              </w:rPr>
              <w:t xml:space="preserve"> Instituto</w:t>
            </w:r>
          </w:p>
        </w:tc>
      </w:tr>
      <w:tr w:rsidR="00B20AE9" w:rsidRPr="00664447" w14:paraId="2FAE3A72" w14:textId="77777777" w:rsidTr="00827BE4">
        <w:trPr>
          <w:trHeight w:val="649"/>
        </w:trPr>
        <w:tc>
          <w:tcPr>
            <w:tcW w:w="260" w:type="pct"/>
            <w:vAlign w:val="center"/>
          </w:tcPr>
          <w:p w14:paraId="29B1761A" w14:textId="24CD5432" w:rsidR="00B20AE9" w:rsidRPr="00664447" w:rsidRDefault="00A4659A" w:rsidP="00540EDE">
            <w:pPr>
              <w:spacing w:after="0" w:line="240" w:lineRule="auto"/>
              <w:jc w:val="center"/>
              <w:rPr>
                <w:rFonts w:ascii="Arial" w:eastAsia="Times New Roman" w:hAnsi="Arial" w:cs="Arial"/>
                <w:color w:val="000000"/>
                <w:sz w:val="20"/>
                <w:szCs w:val="20"/>
                <w:lang w:eastAsia="es-MX"/>
              </w:rPr>
            </w:pPr>
            <w:r w:rsidRPr="00664447">
              <w:rPr>
                <w:rFonts w:ascii="Arial" w:eastAsia="Times New Roman" w:hAnsi="Arial" w:cs="Arial"/>
                <w:color w:val="000000"/>
                <w:sz w:val="20"/>
                <w:szCs w:val="20"/>
                <w:lang w:eastAsia="es-MX"/>
              </w:rPr>
              <w:t>1</w:t>
            </w:r>
          </w:p>
        </w:tc>
        <w:tc>
          <w:tcPr>
            <w:tcW w:w="658" w:type="pct"/>
            <w:vMerge w:val="restart"/>
            <w:vAlign w:val="center"/>
          </w:tcPr>
          <w:p w14:paraId="180C9532" w14:textId="7423D555" w:rsidR="00B20AE9" w:rsidRPr="00664447" w:rsidRDefault="00A4659A" w:rsidP="00540EDE">
            <w:pPr>
              <w:spacing w:after="0" w:line="240" w:lineRule="auto"/>
              <w:jc w:val="center"/>
              <w:rPr>
                <w:rFonts w:ascii="Arial" w:eastAsia="Times New Roman" w:hAnsi="Arial" w:cs="Arial"/>
                <w:sz w:val="20"/>
                <w:szCs w:val="20"/>
                <w:lang w:eastAsia="es-MX"/>
              </w:rPr>
            </w:pPr>
            <w:r w:rsidRPr="00664447">
              <w:rPr>
                <w:rFonts w:ascii="Arial" w:eastAsia="Times New Roman" w:hAnsi="Arial" w:cs="Arial"/>
                <w:sz w:val="20"/>
                <w:szCs w:val="20"/>
                <w:lang w:eastAsia="es-MX"/>
              </w:rPr>
              <w:t>Definiciones</w:t>
            </w:r>
          </w:p>
        </w:tc>
        <w:tc>
          <w:tcPr>
            <w:tcW w:w="804" w:type="pct"/>
            <w:shd w:val="clear" w:color="auto" w:fill="auto"/>
            <w:vAlign w:val="center"/>
          </w:tcPr>
          <w:p w14:paraId="7B035DF6" w14:textId="77777777" w:rsidR="00B20AE9" w:rsidRPr="00664447" w:rsidRDefault="00B20AE9" w:rsidP="00B64AEE">
            <w:pPr>
              <w:spacing w:after="0" w:line="240" w:lineRule="auto"/>
              <w:jc w:val="center"/>
              <w:rPr>
                <w:rFonts w:ascii="Arial" w:eastAsia="Times New Roman" w:hAnsi="Arial" w:cs="Arial"/>
                <w:sz w:val="20"/>
                <w:szCs w:val="20"/>
                <w:lang w:eastAsia="es-MX"/>
              </w:rPr>
            </w:pPr>
            <w:r w:rsidRPr="00664447">
              <w:rPr>
                <w:rFonts w:ascii="Arial" w:eastAsia="Times New Roman" w:hAnsi="Arial" w:cs="Arial"/>
                <w:sz w:val="20"/>
                <w:szCs w:val="20"/>
                <w:lang w:eastAsia="es-MX"/>
              </w:rPr>
              <w:t>Días Inhábiles</w:t>
            </w:r>
          </w:p>
          <w:p w14:paraId="35C45929" w14:textId="2FB1EFC7" w:rsidR="00A4659A" w:rsidRPr="00664447" w:rsidRDefault="00A4659A" w:rsidP="00B64AEE">
            <w:pPr>
              <w:spacing w:after="0" w:line="240" w:lineRule="auto"/>
              <w:jc w:val="center"/>
              <w:rPr>
                <w:rFonts w:ascii="Arial" w:eastAsia="Times New Roman" w:hAnsi="Arial" w:cs="Arial"/>
                <w:sz w:val="20"/>
                <w:szCs w:val="20"/>
                <w:lang w:eastAsia="es-MX"/>
              </w:rPr>
            </w:pPr>
            <w:r w:rsidRPr="00664447">
              <w:rPr>
                <w:rFonts w:ascii="Arial" w:eastAsia="Times New Roman" w:hAnsi="Arial" w:cs="Arial"/>
                <w:sz w:val="20"/>
                <w:szCs w:val="20"/>
                <w:lang w:eastAsia="es-MX"/>
              </w:rPr>
              <w:t>(Pág. 4)</w:t>
            </w:r>
          </w:p>
        </w:tc>
        <w:tc>
          <w:tcPr>
            <w:tcW w:w="1560" w:type="pct"/>
            <w:shd w:val="clear" w:color="auto" w:fill="auto"/>
            <w:vAlign w:val="center"/>
          </w:tcPr>
          <w:p w14:paraId="489D4400" w14:textId="69798AC6" w:rsidR="00B20AE9" w:rsidRPr="00664447" w:rsidRDefault="00B20AE9" w:rsidP="00540EDE">
            <w:pPr>
              <w:spacing w:after="0" w:line="240" w:lineRule="auto"/>
              <w:jc w:val="both"/>
              <w:rPr>
                <w:rFonts w:ascii="Arial" w:eastAsia="Times New Roman" w:hAnsi="Arial" w:cs="Arial"/>
                <w:b/>
                <w:sz w:val="20"/>
                <w:szCs w:val="20"/>
                <w:lang w:eastAsia="es-MX"/>
              </w:rPr>
            </w:pPr>
            <w:r w:rsidRPr="00664447">
              <w:rPr>
                <w:rFonts w:ascii="Arial" w:hAnsi="Arial" w:cs="Arial"/>
                <w:b/>
                <w:color w:val="548DD4" w:themeColor="text2" w:themeTint="99"/>
                <w:sz w:val="20"/>
                <w:szCs w:val="20"/>
              </w:rPr>
              <w:t>Día Inhábil</w:t>
            </w:r>
            <w:r w:rsidRPr="00664447">
              <w:rPr>
                <w:rFonts w:ascii="Arial" w:hAnsi="Arial" w:cs="Arial"/>
                <w:color w:val="548DD4" w:themeColor="text2" w:themeTint="99"/>
                <w:sz w:val="20"/>
                <w:szCs w:val="20"/>
              </w:rPr>
              <w:t>: Se considerará como día inhábil para todos los efectos señalados en la presente oferta, incluyendo los anexos que la integran, además de los días sábados y domingos, aquellos establecidos como tales en el artículo 74 de la Ley Federal del Trabajo y la Cláusula 91 del Contrato Colectivo de Trabajo de Telmex o Cláusula 51 del Contrato Colectivo de Trabajo de Telnor, en el entendido de que los días mencionados no se contabilizarán para el cálculo de plazos de entrega y penas por entregas tardías establecidas en el prestación de los servicios objeto del presente documento.</w:t>
            </w:r>
          </w:p>
        </w:tc>
        <w:tc>
          <w:tcPr>
            <w:tcW w:w="1718" w:type="pct"/>
            <w:tcBorders>
              <w:top w:val="single" w:sz="4" w:space="0" w:color="000000" w:themeColor="text1"/>
            </w:tcBorders>
            <w:vAlign w:val="center"/>
          </w:tcPr>
          <w:p w14:paraId="5119AFAF" w14:textId="6B7C0B7F" w:rsidR="00B20AE9" w:rsidRPr="00664447" w:rsidRDefault="00B20AE9" w:rsidP="00B20AE9">
            <w:pPr>
              <w:ind w:right="57"/>
              <w:jc w:val="both"/>
              <w:rPr>
                <w:rFonts w:ascii="Arial" w:eastAsia="Calibri" w:hAnsi="Arial" w:cs="Arial"/>
                <w:sz w:val="20"/>
                <w:szCs w:val="20"/>
              </w:rPr>
            </w:pPr>
            <w:r w:rsidRPr="00664447">
              <w:rPr>
                <w:rFonts w:ascii="Arial" w:eastAsia="Calibri" w:hAnsi="Arial" w:cs="Arial"/>
                <w:sz w:val="20"/>
                <w:szCs w:val="20"/>
              </w:rPr>
              <w:t>Se agregan como días inhábiles, los días de descanso obligatorio para los trabajadores de conformidad con el Contrato Colectivo de Trabajo de Telmex/Telnor, a efecto de homologar las definiciones con las demás Ofertas, ya que actualmente se encuentra contemplado en la OREDA, esto permitirá  dotar de certeza a los CS, al Instituto y a</w:t>
            </w:r>
            <w:r w:rsidR="0009167D">
              <w:rPr>
                <w:rFonts w:ascii="Arial" w:eastAsia="Calibri" w:hAnsi="Arial" w:cs="Arial"/>
                <w:sz w:val="20"/>
                <w:szCs w:val="20"/>
              </w:rPr>
              <w:t xml:space="preserve"> Telmex / Telnor</w:t>
            </w:r>
            <w:r w:rsidRPr="00664447">
              <w:rPr>
                <w:rFonts w:ascii="Arial" w:eastAsia="Calibri" w:hAnsi="Arial" w:cs="Arial"/>
                <w:sz w:val="20"/>
                <w:szCs w:val="20"/>
              </w:rPr>
              <w:t xml:space="preserve">, así como dar claridad en el conteo de plazos para la prestación de los servicios objeto de la </w:t>
            </w:r>
            <w:r w:rsidR="0009167D">
              <w:rPr>
                <w:rFonts w:ascii="Arial" w:eastAsia="Calibri" w:hAnsi="Arial" w:cs="Arial"/>
                <w:sz w:val="20"/>
                <w:szCs w:val="20"/>
              </w:rPr>
              <w:t xml:space="preserve">presente </w:t>
            </w:r>
            <w:r w:rsidRPr="00664447">
              <w:rPr>
                <w:rFonts w:ascii="Arial" w:eastAsia="Calibri" w:hAnsi="Arial" w:cs="Arial"/>
                <w:sz w:val="20"/>
                <w:szCs w:val="20"/>
              </w:rPr>
              <w:t xml:space="preserve">oferta, por lo que, resultaría perjudicial que las ofertas de referencia y sus debidos convenios que regulan la prestación de servicios no sean uniformes y </w:t>
            </w:r>
            <w:r w:rsidR="0009167D">
              <w:rPr>
                <w:rFonts w:ascii="Arial" w:eastAsia="Calibri" w:hAnsi="Arial" w:cs="Arial"/>
                <w:sz w:val="20"/>
                <w:szCs w:val="20"/>
              </w:rPr>
              <w:t xml:space="preserve">que </w:t>
            </w:r>
            <w:r w:rsidRPr="00664447">
              <w:rPr>
                <w:rFonts w:ascii="Arial" w:eastAsia="Calibri" w:hAnsi="Arial" w:cs="Arial"/>
                <w:sz w:val="20"/>
                <w:szCs w:val="20"/>
              </w:rPr>
              <w:t>cada una contenga definiciones distintas.</w:t>
            </w:r>
          </w:p>
          <w:p w14:paraId="79C8BED0" w14:textId="0AAB423F" w:rsidR="00B20AE9" w:rsidRPr="00664447" w:rsidRDefault="00B20AE9" w:rsidP="00B20AE9">
            <w:pPr>
              <w:ind w:right="57"/>
              <w:jc w:val="both"/>
              <w:rPr>
                <w:rFonts w:ascii="Arial" w:eastAsia="Calibri" w:hAnsi="Arial" w:cs="Arial"/>
                <w:sz w:val="20"/>
                <w:szCs w:val="20"/>
              </w:rPr>
            </w:pPr>
            <w:r w:rsidRPr="00664447">
              <w:rPr>
                <w:rFonts w:ascii="Arial" w:eastAsia="Calibri" w:hAnsi="Arial" w:cs="Arial"/>
                <w:sz w:val="20"/>
                <w:szCs w:val="20"/>
              </w:rPr>
              <w:t>Aunado a lo anterior, es importante precisar que la Ley Federal del Trabajo (LFT) es de observancia general en toda la República y rige las relaciones de trabajo comprendidas en el artículo 123, Apartado A, de la Constitución Política de los Estados Unidos Mexicanos (Constitución Federal).</w:t>
            </w:r>
          </w:p>
          <w:p w14:paraId="1E9A7105" w14:textId="10D1F715" w:rsidR="00B20AE9" w:rsidRPr="00664447" w:rsidRDefault="00B20AE9" w:rsidP="00B20AE9">
            <w:pPr>
              <w:ind w:right="57"/>
              <w:jc w:val="both"/>
              <w:rPr>
                <w:rFonts w:ascii="Arial" w:eastAsia="Calibri" w:hAnsi="Arial" w:cs="Arial"/>
                <w:sz w:val="20"/>
                <w:szCs w:val="20"/>
              </w:rPr>
            </w:pPr>
            <w:r w:rsidRPr="00664447">
              <w:rPr>
                <w:rFonts w:ascii="Arial" w:eastAsia="Calibri" w:hAnsi="Arial" w:cs="Arial"/>
                <w:sz w:val="20"/>
                <w:szCs w:val="20"/>
              </w:rPr>
              <w:t>Al respecto, el capítulo III de dicha ley regula el procedimiento para la celebración de un contrato colectivo trabajo y establece lo que debe contener</w:t>
            </w:r>
            <w:r w:rsidR="0009167D">
              <w:rPr>
                <w:rFonts w:ascii="Arial" w:eastAsia="Calibri" w:hAnsi="Arial" w:cs="Arial"/>
                <w:sz w:val="20"/>
                <w:szCs w:val="20"/>
              </w:rPr>
              <w:t>,</w:t>
            </w:r>
            <w:r w:rsidRPr="00664447">
              <w:rPr>
                <w:rFonts w:ascii="Arial" w:eastAsia="Calibri" w:hAnsi="Arial" w:cs="Arial"/>
                <w:sz w:val="20"/>
                <w:szCs w:val="20"/>
              </w:rPr>
              <w:t xml:space="preserve"> así como el momento en que surte efectos; una vez agotado el procedimiento y en el momento en que surte efectos, se vuelve obligatorio para las partes.</w:t>
            </w:r>
          </w:p>
          <w:p w14:paraId="54468020" w14:textId="1DBC0F8C" w:rsidR="00B20AE9" w:rsidRPr="00664447" w:rsidRDefault="00B20AE9" w:rsidP="00A4659A">
            <w:pPr>
              <w:ind w:right="57"/>
              <w:jc w:val="both"/>
              <w:rPr>
                <w:rFonts w:ascii="Arial" w:eastAsia="Calibri" w:hAnsi="Arial" w:cs="Arial"/>
                <w:sz w:val="20"/>
                <w:szCs w:val="20"/>
              </w:rPr>
            </w:pPr>
            <w:r w:rsidRPr="00664447">
              <w:rPr>
                <w:rFonts w:ascii="Arial" w:eastAsia="Calibri" w:hAnsi="Arial" w:cs="Arial"/>
                <w:sz w:val="20"/>
                <w:szCs w:val="20"/>
              </w:rPr>
              <w:t xml:space="preserve">En este sentido dicho contrato, de conformidad con la propia ley tiene el objeto de establecer las condiciones según las cuales debe prestarse el trabajo en una o </w:t>
            </w:r>
            <w:r w:rsidRPr="00664447">
              <w:rPr>
                <w:rFonts w:ascii="Arial" w:eastAsia="Calibri" w:hAnsi="Arial" w:cs="Arial"/>
                <w:sz w:val="20"/>
                <w:szCs w:val="20"/>
              </w:rPr>
              <w:lastRenderedPageBreak/>
              <w:t>más empresas o establecimientos y debe contener los días de descanso y vacaciones de los trabajadores.</w:t>
            </w:r>
          </w:p>
        </w:tc>
      </w:tr>
      <w:tr w:rsidR="00540EDE" w:rsidRPr="00F42CD3" w14:paraId="1CD38AB6" w14:textId="77777777" w:rsidTr="00827BE4">
        <w:trPr>
          <w:trHeight w:val="3750"/>
        </w:trPr>
        <w:tc>
          <w:tcPr>
            <w:tcW w:w="260" w:type="pct"/>
            <w:vAlign w:val="center"/>
          </w:tcPr>
          <w:p w14:paraId="67E5A29C" w14:textId="1CAA8167" w:rsidR="00540EDE" w:rsidRPr="00F42CD3" w:rsidRDefault="00320E9B" w:rsidP="008D1E66">
            <w:pPr>
              <w:spacing w:after="0" w:line="240" w:lineRule="auto"/>
              <w:jc w:val="center"/>
              <w:rPr>
                <w:rFonts w:ascii="Arial" w:eastAsia="Times New Roman" w:hAnsi="Arial" w:cs="Arial"/>
                <w:color w:val="000000"/>
                <w:sz w:val="20"/>
                <w:szCs w:val="20"/>
                <w:lang w:eastAsia="es-MX"/>
              </w:rPr>
            </w:pPr>
            <w:r w:rsidRPr="00F42CD3">
              <w:rPr>
                <w:rFonts w:ascii="Arial" w:eastAsia="Times New Roman" w:hAnsi="Arial" w:cs="Arial"/>
                <w:color w:val="000000"/>
                <w:sz w:val="20"/>
                <w:szCs w:val="20"/>
                <w:lang w:eastAsia="es-MX"/>
              </w:rPr>
              <w:lastRenderedPageBreak/>
              <w:t>2</w:t>
            </w:r>
          </w:p>
        </w:tc>
        <w:tc>
          <w:tcPr>
            <w:tcW w:w="658" w:type="pct"/>
            <w:vMerge/>
            <w:vAlign w:val="center"/>
          </w:tcPr>
          <w:p w14:paraId="6F9C1D80" w14:textId="77777777" w:rsidR="00540EDE" w:rsidRPr="00F42CD3" w:rsidRDefault="00540EDE" w:rsidP="00540EDE">
            <w:pPr>
              <w:spacing w:after="0" w:line="240" w:lineRule="auto"/>
              <w:jc w:val="center"/>
              <w:rPr>
                <w:rFonts w:ascii="Arial" w:eastAsia="Times New Roman" w:hAnsi="Arial" w:cs="Arial"/>
                <w:sz w:val="20"/>
                <w:szCs w:val="20"/>
                <w:lang w:eastAsia="es-MX"/>
              </w:rPr>
            </w:pPr>
          </w:p>
        </w:tc>
        <w:tc>
          <w:tcPr>
            <w:tcW w:w="804" w:type="pct"/>
            <w:shd w:val="clear" w:color="auto" w:fill="auto"/>
            <w:vAlign w:val="center"/>
          </w:tcPr>
          <w:p w14:paraId="52AD3677" w14:textId="77777777" w:rsidR="00A4659A" w:rsidRPr="00F42CD3" w:rsidRDefault="00540EDE" w:rsidP="00B64AEE">
            <w:pPr>
              <w:spacing w:after="0" w:line="240" w:lineRule="auto"/>
              <w:jc w:val="center"/>
              <w:rPr>
                <w:rFonts w:ascii="Arial" w:eastAsia="Times New Roman" w:hAnsi="Arial" w:cs="Arial"/>
                <w:sz w:val="20"/>
                <w:szCs w:val="20"/>
                <w:lang w:eastAsia="es-MX"/>
              </w:rPr>
            </w:pPr>
            <w:r w:rsidRPr="00F42CD3">
              <w:rPr>
                <w:rFonts w:ascii="Arial" w:eastAsia="Times New Roman" w:hAnsi="Arial" w:cs="Arial"/>
                <w:sz w:val="20"/>
                <w:szCs w:val="20"/>
                <w:lang w:eastAsia="es-MX"/>
              </w:rPr>
              <w:t xml:space="preserve">Infraestructura Pasiva a cargo de la DM. </w:t>
            </w:r>
          </w:p>
          <w:p w14:paraId="5324A7BE" w14:textId="5A0F4D71" w:rsidR="00540EDE" w:rsidRPr="00F42CD3" w:rsidRDefault="00B64AEE" w:rsidP="00B64AEE">
            <w:pPr>
              <w:spacing w:after="0" w:line="240" w:lineRule="auto"/>
              <w:jc w:val="center"/>
              <w:rPr>
                <w:rFonts w:ascii="Arial" w:eastAsia="Times New Roman" w:hAnsi="Arial" w:cs="Arial"/>
                <w:sz w:val="20"/>
                <w:szCs w:val="20"/>
                <w:lang w:eastAsia="es-MX"/>
              </w:rPr>
            </w:pPr>
            <w:r w:rsidRPr="00F42CD3">
              <w:rPr>
                <w:rFonts w:ascii="Arial" w:eastAsia="Times New Roman" w:hAnsi="Arial" w:cs="Arial"/>
                <w:sz w:val="20"/>
                <w:szCs w:val="20"/>
                <w:lang w:eastAsia="es-MX"/>
              </w:rPr>
              <w:t>(</w:t>
            </w:r>
            <w:r w:rsidR="00540EDE" w:rsidRPr="00F42CD3">
              <w:rPr>
                <w:rFonts w:ascii="Arial" w:eastAsia="Times New Roman" w:hAnsi="Arial" w:cs="Arial"/>
                <w:sz w:val="20"/>
                <w:szCs w:val="20"/>
                <w:lang w:eastAsia="es-MX"/>
              </w:rPr>
              <w:t>Pág. 5</w:t>
            </w:r>
            <w:r w:rsidRPr="00F42CD3">
              <w:rPr>
                <w:rFonts w:ascii="Arial" w:eastAsia="Times New Roman" w:hAnsi="Arial" w:cs="Arial"/>
                <w:sz w:val="20"/>
                <w:szCs w:val="20"/>
                <w:lang w:eastAsia="es-MX"/>
              </w:rPr>
              <w:t>)</w:t>
            </w:r>
          </w:p>
        </w:tc>
        <w:tc>
          <w:tcPr>
            <w:tcW w:w="1560" w:type="pct"/>
            <w:shd w:val="clear" w:color="auto" w:fill="auto"/>
            <w:vAlign w:val="center"/>
          </w:tcPr>
          <w:p w14:paraId="404401C2" w14:textId="0855D88E" w:rsidR="00540EDE" w:rsidRPr="00664447" w:rsidRDefault="00540EDE" w:rsidP="00540EDE">
            <w:pPr>
              <w:spacing w:after="0" w:line="240" w:lineRule="auto"/>
              <w:jc w:val="both"/>
              <w:rPr>
                <w:rFonts w:ascii="Arial" w:eastAsia="Times New Roman" w:hAnsi="Arial" w:cs="Arial"/>
                <w:sz w:val="20"/>
                <w:szCs w:val="20"/>
                <w:lang w:eastAsia="es-MX"/>
              </w:rPr>
            </w:pPr>
            <w:r w:rsidRPr="00664447">
              <w:rPr>
                <w:rFonts w:ascii="Arial" w:eastAsia="Times New Roman" w:hAnsi="Arial" w:cs="Arial"/>
                <w:sz w:val="20"/>
                <w:szCs w:val="20"/>
                <w:lang w:eastAsia="es-MX"/>
              </w:rPr>
              <w:t xml:space="preserve">Infraestructura Pasiva </w:t>
            </w:r>
            <w:r w:rsidRPr="00664447">
              <w:rPr>
                <w:rFonts w:ascii="Arial" w:eastAsia="Times New Roman" w:hAnsi="Arial" w:cs="Arial"/>
                <w:color w:val="548DD4" w:themeColor="text2" w:themeTint="99"/>
                <w:sz w:val="20"/>
                <w:szCs w:val="20"/>
                <w:lang w:eastAsia="es-MX"/>
              </w:rPr>
              <w:t>de la DM</w:t>
            </w:r>
            <w:r w:rsidRPr="00664447">
              <w:rPr>
                <w:rFonts w:ascii="Arial" w:eastAsia="Times New Roman" w:hAnsi="Arial" w:cs="Arial"/>
                <w:sz w:val="20"/>
                <w:szCs w:val="20"/>
                <w:lang w:eastAsia="es-MX"/>
              </w:rPr>
              <w:t xml:space="preserve">: Elementos accesorios </w:t>
            </w:r>
            <w:r w:rsidRPr="00664447">
              <w:rPr>
                <w:rFonts w:ascii="Arial" w:eastAsia="Times New Roman" w:hAnsi="Arial" w:cs="Arial"/>
                <w:color w:val="548DD4" w:themeColor="text2" w:themeTint="99"/>
                <w:sz w:val="20"/>
                <w:szCs w:val="20"/>
                <w:lang w:eastAsia="es-MX"/>
              </w:rPr>
              <w:t xml:space="preserve">existentes </w:t>
            </w:r>
            <w:r w:rsidRPr="00664447">
              <w:rPr>
                <w:rFonts w:ascii="Arial" w:eastAsia="Times New Roman" w:hAnsi="Arial" w:cs="Arial"/>
                <w:sz w:val="20"/>
                <w:szCs w:val="20"/>
                <w:lang w:eastAsia="es-MX"/>
              </w:rPr>
              <w:t xml:space="preserve">que </w:t>
            </w:r>
            <w:r w:rsidRPr="00664447">
              <w:rPr>
                <w:rFonts w:ascii="Arial" w:eastAsia="Times New Roman" w:hAnsi="Arial" w:cs="Arial"/>
                <w:color w:val="548DD4" w:themeColor="text2" w:themeTint="99"/>
                <w:sz w:val="20"/>
                <w:szCs w:val="20"/>
                <w:lang w:eastAsia="es-MX"/>
              </w:rPr>
              <w:t xml:space="preserve">contribuyen con la operación de los elementos </w:t>
            </w:r>
            <w:r w:rsidRPr="00664447">
              <w:rPr>
                <w:rFonts w:ascii="Arial" w:hAnsi="Arial" w:cs="Arial"/>
                <w:strike/>
                <w:sz w:val="20"/>
                <w:szCs w:val="20"/>
              </w:rPr>
              <w:t xml:space="preserve">proporcionan soporte a </w:t>
            </w:r>
            <w:r w:rsidRPr="00664447">
              <w:rPr>
                <w:rFonts w:ascii="Arial" w:eastAsia="Times New Roman" w:hAnsi="Arial" w:cs="Arial"/>
                <w:color w:val="548DD4" w:themeColor="text2" w:themeTint="99"/>
                <w:sz w:val="20"/>
                <w:szCs w:val="20"/>
                <w:lang w:eastAsia="es-MX"/>
              </w:rPr>
              <w:t>de</w:t>
            </w:r>
            <w:r w:rsidRPr="00664447">
              <w:rPr>
                <w:rFonts w:ascii="Arial" w:eastAsia="Times New Roman" w:hAnsi="Arial" w:cs="Arial"/>
                <w:sz w:val="20"/>
                <w:szCs w:val="20"/>
                <w:lang w:eastAsia="es-MX"/>
              </w:rPr>
              <w:t xml:space="preserve"> la infraestructura activa </w:t>
            </w:r>
            <w:r w:rsidRPr="00664447">
              <w:rPr>
                <w:rFonts w:ascii="Arial" w:eastAsia="Times New Roman" w:hAnsi="Arial" w:cs="Arial"/>
                <w:color w:val="548DD4" w:themeColor="text2" w:themeTint="99"/>
                <w:sz w:val="20"/>
                <w:szCs w:val="20"/>
                <w:lang w:eastAsia="es-MX"/>
              </w:rPr>
              <w:t>del CS o AS</w:t>
            </w:r>
            <w:r w:rsidRPr="00664447">
              <w:rPr>
                <w:rFonts w:ascii="Arial" w:eastAsia="Times New Roman" w:hAnsi="Arial" w:cs="Arial"/>
                <w:sz w:val="20"/>
                <w:szCs w:val="20"/>
                <w:lang w:eastAsia="es-MX"/>
              </w:rPr>
              <w:t xml:space="preserve">, entre otros, </w:t>
            </w:r>
            <w:r w:rsidRPr="00664447">
              <w:rPr>
                <w:rFonts w:ascii="Arial" w:hAnsi="Arial" w:cs="Arial"/>
                <w:strike/>
                <w:sz w:val="20"/>
                <w:szCs w:val="20"/>
              </w:rPr>
              <w:t xml:space="preserve">bastidores, cableado subterráneo y aéreo, canalizaciones, construcciones, ductos, obras, postes </w:t>
            </w:r>
            <w:r w:rsidRPr="00664447">
              <w:rPr>
                <w:rFonts w:ascii="Arial" w:eastAsia="Times New Roman" w:hAnsi="Arial" w:cs="Arial"/>
                <w:sz w:val="20"/>
                <w:szCs w:val="20"/>
                <w:lang w:eastAsia="es-MX"/>
              </w:rPr>
              <w:t xml:space="preserve">sistemas de suministro y respaldo de energía eléctrica, sistemas de climatización, </w:t>
            </w:r>
            <w:r w:rsidRPr="00664447">
              <w:rPr>
                <w:rFonts w:ascii="Arial" w:eastAsia="Times New Roman" w:hAnsi="Arial" w:cs="Arial"/>
                <w:color w:val="548DD4" w:themeColor="text2" w:themeTint="99"/>
                <w:sz w:val="20"/>
                <w:szCs w:val="20"/>
                <w:lang w:eastAsia="es-MX"/>
              </w:rPr>
              <w:t>salas en</w:t>
            </w:r>
            <w:r w:rsidRPr="00664447">
              <w:rPr>
                <w:rFonts w:ascii="Arial" w:eastAsia="Times New Roman" w:hAnsi="Arial" w:cs="Arial"/>
                <w:sz w:val="20"/>
                <w:szCs w:val="20"/>
                <w:lang w:eastAsia="es-MX"/>
              </w:rPr>
              <w:t xml:space="preserve"> sitios, torres </w:t>
            </w:r>
            <w:r w:rsidRPr="00664447">
              <w:rPr>
                <w:rFonts w:ascii="Arial" w:eastAsia="Times New Roman" w:hAnsi="Arial" w:cs="Arial"/>
                <w:color w:val="548DD4" w:themeColor="text2" w:themeTint="99"/>
                <w:sz w:val="20"/>
                <w:szCs w:val="20"/>
                <w:lang w:eastAsia="es-MX"/>
              </w:rPr>
              <w:t>y sus</w:t>
            </w:r>
            <w:r w:rsidRPr="00664447">
              <w:rPr>
                <w:rFonts w:ascii="Arial" w:eastAsia="Times New Roman" w:hAnsi="Arial" w:cs="Arial"/>
                <w:sz w:val="20"/>
                <w:szCs w:val="20"/>
                <w:lang w:eastAsia="es-MX"/>
              </w:rPr>
              <w:t xml:space="preserve"> </w:t>
            </w:r>
            <w:r w:rsidRPr="00664447">
              <w:rPr>
                <w:rFonts w:ascii="Arial" w:eastAsia="Times New Roman" w:hAnsi="Arial" w:cs="Arial"/>
                <w:color w:val="548DD4" w:themeColor="text2" w:themeTint="99"/>
                <w:sz w:val="20"/>
                <w:szCs w:val="20"/>
                <w:lang w:eastAsia="es-MX"/>
              </w:rPr>
              <w:t xml:space="preserve">escalerillas </w:t>
            </w:r>
            <w:r w:rsidRPr="00664447">
              <w:rPr>
                <w:rFonts w:ascii="Arial" w:eastAsia="Times New Roman" w:hAnsi="Arial" w:cs="Arial"/>
                <w:sz w:val="20"/>
                <w:szCs w:val="20"/>
                <w:lang w:eastAsia="es-MX"/>
              </w:rPr>
              <w:t xml:space="preserve">y demás aditamentos, </w:t>
            </w:r>
            <w:r w:rsidRPr="00664447">
              <w:rPr>
                <w:rFonts w:ascii="Arial" w:hAnsi="Arial" w:cs="Arial"/>
                <w:strike/>
                <w:sz w:val="20"/>
                <w:szCs w:val="20"/>
              </w:rPr>
              <w:t>incluyendo derechos de vía,</w:t>
            </w:r>
            <w:r w:rsidRPr="00664447">
              <w:rPr>
                <w:rFonts w:ascii="Arial" w:hAnsi="Arial" w:cs="Arial"/>
                <w:strike/>
                <w:color w:val="FF0000"/>
                <w:sz w:val="20"/>
                <w:szCs w:val="20"/>
              </w:rPr>
              <w:t xml:space="preserve"> </w:t>
            </w:r>
            <w:r w:rsidRPr="00664447">
              <w:rPr>
                <w:rFonts w:ascii="Arial" w:eastAsia="Times New Roman" w:hAnsi="Arial" w:cs="Arial"/>
                <w:sz w:val="20"/>
                <w:szCs w:val="20"/>
                <w:lang w:eastAsia="es-MX"/>
              </w:rPr>
              <w:t>que sean necesarios para la instalación y operación de las redes, así como para la prestación de servicios de telecomunicaciones y radiodifusión.</w:t>
            </w:r>
          </w:p>
        </w:tc>
        <w:tc>
          <w:tcPr>
            <w:tcW w:w="1718" w:type="pct"/>
            <w:tcBorders>
              <w:top w:val="single" w:sz="4" w:space="0" w:color="000000" w:themeColor="text1"/>
            </w:tcBorders>
            <w:vAlign w:val="center"/>
          </w:tcPr>
          <w:p w14:paraId="60616C2B" w14:textId="6274A029" w:rsidR="00540EDE" w:rsidRPr="00664447" w:rsidRDefault="00540EDE" w:rsidP="00540EDE">
            <w:pPr>
              <w:jc w:val="both"/>
              <w:rPr>
                <w:rFonts w:ascii="Arial" w:hAnsi="Arial" w:cs="Arial"/>
                <w:sz w:val="20"/>
                <w:szCs w:val="20"/>
              </w:rPr>
            </w:pPr>
            <w:r w:rsidRPr="00664447">
              <w:rPr>
                <w:rFonts w:ascii="Arial" w:hAnsi="Arial" w:cs="Arial"/>
                <w:bCs/>
                <w:sz w:val="20"/>
                <w:szCs w:val="20"/>
              </w:rPr>
              <w:t xml:space="preserve">Considerando que la definición de Infraestructura Pasiva se encuentra </w:t>
            </w:r>
            <w:r w:rsidR="00FD4953" w:rsidRPr="00664447">
              <w:rPr>
                <w:rFonts w:ascii="Arial" w:hAnsi="Arial" w:cs="Arial"/>
                <w:bCs/>
                <w:sz w:val="20"/>
                <w:szCs w:val="20"/>
              </w:rPr>
              <w:t xml:space="preserve">prevista </w:t>
            </w:r>
            <w:r w:rsidRPr="00664447">
              <w:rPr>
                <w:rFonts w:ascii="Arial" w:hAnsi="Arial" w:cs="Arial"/>
                <w:bCs/>
                <w:sz w:val="20"/>
                <w:szCs w:val="20"/>
              </w:rPr>
              <w:t>en el art. 3</w:t>
            </w:r>
            <w:r w:rsidR="00FD4953" w:rsidRPr="00664447">
              <w:rPr>
                <w:rFonts w:ascii="Arial" w:hAnsi="Arial" w:cs="Arial"/>
                <w:bCs/>
                <w:sz w:val="20"/>
                <w:szCs w:val="20"/>
              </w:rPr>
              <w:t>,</w:t>
            </w:r>
            <w:r w:rsidRPr="00664447">
              <w:rPr>
                <w:rFonts w:ascii="Arial" w:hAnsi="Arial" w:cs="Arial"/>
                <w:bCs/>
                <w:sz w:val="20"/>
                <w:szCs w:val="20"/>
              </w:rPr>
              <w:t xml:space="preserve"> </w:t>
            </w:r>
            <w:r w:rsidR="00FD4953" w:rsidRPr="00664447">
              <w:rPr>
                <w:rFonts w:ascii="Arial" w:hAnsi="Arial" w:cs="Arial"/>
                <w:bCs/>
                <w:sz w:val="20"/>
                <w:szCs w:val="20"/>
              </w:rPr>
              <w:t>fracción</w:t>
            </w:r>
            <w:r w:rsidRPr="00664447">
              <w:rPr>
                <w:rFonts w:ascii="Arial" w:hAnsi="Arial" w:cs="Arial"/>
                <w:bCs/>
                <w:sz w:val="20"/>
                <w:szCs w:val="20"/>
              </w:rPr>
              <w:t xml:space="preserve"> XXVIII</w:t>
            </w:r>
            <w:r w:rsidR="00FD4953" w:rsidRPr="00664447">
              <w:rPr>
                <w:rFonts w:ascii="Arial" w:hAnsi="Arial" w:cs="Arial"/>
                <w:bCs/>
                <w:sz w:val="20"/>
                <w:szCs w:val="20"/>
              </w:rPr>
              <w:t>,</w:t>
            </w:r>
            <w:r w:rsidRPr="00664447">
              <w:rPr>
                <w:rFonts w:ascii="Arial" w:hAnsi="Arial" w:cs="Arial"/>
                <w:bCs/>
                <w:sz w:val="20"/>
                <w:szCs w:val="20"/>
              </w:rPr>
              <w:t xml:space="preserve"> de la LFTR, se solicita incluir en la ORCI </w:t>
            </w:r>
            <w:r w:rsidR="00FD4953" w:rsidRPr="00664447">
              <w:rPr>
                <w:rFonts w:ascii="Arial" w:hAnsi="Arial" w:cs="Arial"/>
                <w:bCs/>
                <w:sz w:val="20"/>
                <w:szCs w:val="20"/>
              </w:rPr>
              <w:t xml:space="preserve">sólo </w:t>
            </w:r>
            <w:r w:rsidRPr="00664447">
              <w:rPr>
                <w:rFonts w:ascii="Arial" w:hAnsi="Arial" w:cs="Arial"/>
                <w:bCs/>
                <w:sz w:val="20"/>
                <w:szCs w:val="20"/>
              </w:rPr>
              <w:t xml:space="preserve">los elementos a  cargo </w:t>
            </w:r>
            <w:r w:rsidR="00FD4953" w:rsidRPr="00664447">
              <w:rPr>
                <w:rFonts w:ascii="Arial" w:hAnsi="Arial" w:cs="Arial"/>
                <w:bCs/>
                <w:sz w:val="20"/>
                <w:szCs w:val="20"/>
              </w:rPr>
              <w:t xml:space="preserve">de la DM </w:t>
            </w:r>
            <w:r w:rsidRPr="00664447">
              <w:rPr>
                <w:rFonts w:ascii="Arial" w:hAnsi="Arial" w:cs="Arial"/>
                <w:bCs/>
                <w:sz w:val="20"/>
                <w:szCs w:val="20"/>
              </w:rPr>
              <w:t xml:space="preserve">para especificar su alcance en la </w:t>
            </w:r>
            <w:r w:rsidR="00FD4953" w:rsidRPr="00664447">
              <w:rPr>
                <w:rFonts w:ascii="Arial" w:hAnsi="Arial" w:cs="Arial"/>
                <w:bCs/>
                <w:sz w:val="20"/>
                <w:szCs w:val="20"/>
              </w:rPr>
              <w:t>O</w:t>
            </w:r>
            <w:r w:rsidRPr="00664447">
              <w:rPr>
                <w:rFonts w:ascii="Arial" w:hAnsi="Arial" w:cs="Arial"/>
                <w:bCs/>
                <w:sz w:val="20"/>
                <w:szCs w:val="20"/>
              </w:rPr>
              <w:t>ferta, por lo anterior se propone eliminar aquellos</w:t>
            </w:r>
            <w:r w:rsidRPr="00664447">
              <w:rPr>
                <w:rFonts w:ascii="Arial" w:hAnsi="Arial" w:cs="Arial"/>
                <w:sz w:val="20"/>
                <w:szCs w:val="20"/>
              </w:rPr>
              <w:t xml:space="preserve"> elementos que corresponden </w:t>
            </w:r>
            <w:r w:rsidR="00FD4953" w:rsidRPr="00664447">
              <w:rPr>
                <w:rFonts w:ascii="Arial" w:hAnsi="Arial" w:cs="Arial"/>
                <w:sz w:val="20"/>
                <w:szCs w:val="20"/>
              </w:rPr>
              <w:t xml:space="preserve">exclusivamente </w:t>
            </w:r>
            <w:r w:rsidRPr="00664447">
              <w:rPr>
                <w:rFonts w:ascii="Arial" w:hAnsi="Arial" w:cs="Arial"/>
                <w:sz w:val="20"/>
                <w:szCs w:val="20"/>
              </w:rPr>
              <w:t>a la EM</w:t>
            </w:r>
            <w:r w:rsidR="00FD4953" w:rsidRPr="00664447">
              <w:rPr>
                <w:rFonts w:ascii="Arial" w:hAnsi="Arial" w:cs="Arial"/>
                <w:sz w:val="20"/>
                <w:szCs w:val="20"/>
              </w:rPr>
              <w:t xml:space="preserve"> por virtud de la Separación Funcional</w:t>
            </w:r>
            <w:r w:rsidRPr="00664447">
              <w:rPr>
                <w:rFonts w:ascii="Arial" w:hAnsi="Arial" w:cs="Arial"/>
                <w:sz w:val="20"/>
                <w:szCs w:val="20"/>
              </w:rPr>
              <w:t xml:space="preserve">. </w:t>
            </w:r>
          </w:p>
          <w:p w14:paraId="147F8A63" w14:textId="45AA03F6" w:rsidR="00540EDE" w:rsidRPr="00664447" w:rsidRDefault="00540EDE" w:rsidP="00540EDE">
            <w:pPr>
              <w:jc w:val="both"/>
              <w:rPr>
                <w:rFonts w:ascii="Arial" w:hAnsi="Arial" w:cs="Arial"/>
                <w:sz w:val="20"/>
                <w:szCs w:val="20"/>
              </w:rPr>
            </w:pPr>
            <w:r w:rsidRPr="00664447">
              <w:rPr>
                <w:rFonts w:ascii="Arial" w:hAnsi="Arial" w:cs="Arial"/>
                <w:sz w:val="20"/>
                <w:szCs w:val="20"/>
              </w:rPr>
              <w:t>Se adiciona el término salas para los sitios, a fin de abarcar los servicios de espacios</w:t>
            </w:r>
            <w:r w:rsidR="00FD4953" w:rsidRPr="00664447">
              <w:rPr>
                <w:rFonts w:ascii="Arial" w:hAnsi="Arial" w:cs="Arial"/>
                <w:sz w:val="20"/>
                <w:szCs w:val="20"/>
              </w:rPr>
              <w:t xml:space="preserve"> físicos</w:t>
            </w:r>
            <w:r w:rsidRPr="00664447">
              <w:rPr>
                <w:rFonts w:ascii="Arial" w:hAnsi="Arial" w:cs="Arial"/>
                <w:sz w:val="20"/>
                <w:szCs w:val="20"/>
              </w:rPr>
              <w:t>: salas en los sitios de Telmex.</w:t>
            </w:r>
          </w:p>
          <w:p w14:paraId="0C04523C" w14:textId="56C2844A" w:rsidR="00540EDE" w:rsidRPr="00664447" w:rsidRDefault="00540EDE" w:rsidP="00540EDE">
            <w:pPr>
              <w:jc w:val="both"/>
              <w:rPr>
                <w:rFonts w:ascii="Arial" w:hAnsi="Arial" w:cs="Arial"/>
                <w:sz w:val="20"/>
                <w:szCs w:val="20"/>
              </w:rPr>
            </w:pPr>
            <w:r w:rsidRPr="00664447">
              <w:rPr>
                <w:rFonts w:ascii="Arial" w:hAnsi="Arial" w:cs="Arial"/>
                <w:sz w:val="20"/>
                <w:szCs w:val="20"/>
              </w:rPr>
              <w:t xml:space="preserve">De igual manera, se propone adicionar escalerillas que son elementos para la conexión de los sistemas radiantes en el </w:t>
            </w:r>
            <w:r w:rsidR="00FD4953" w:rsidRPr="00664447">
              <w:rPr>
                <w:rFonts w:ascii="Arial" w:hAnsi="Arial" w:cs="Arial"/>
                <w:sz w:val="20"/>
                <w:szCs w:val="20"/>
              </w:rPr>
              <w:t>s</w:t>
            </w:r>
            <w:r w:rsidRPr="00664447">
              <w:rPr>
                <w:rFonts w:ascii="Arial" w:hAnsi="Arial" w:cs="Arial"/>
                <w:sz w:val="20"/>
                <w:szCs w:val="20"/>
              </w:rPr>
              <w:t xml:space="preserve">ervicio de </w:t>
            </w:r>
            <w:r w:rsidR="00FD4953" w:rsidRPr="00664447">
              <w:rPr>
                <w:rFonts w:ascii="Arial" w:hAnsi="Arial" w:cs="Arial"/>
                <w:sz w:val="20"/>
                <w:szCs w:val="20"/>
              </w:rPr>
              <w:t>T</w:t>
            </w:r>
            <w:r w:rsidRPr="00664447">
              <w:rPr>
                <w:rFonts w:ascii="Arial" w:hAnsi="Arial" w:cs="Arial"/>
                <w:sz w:val="20"/>
                <w:szCs w:val="20"/>
              </w:rPr>
              <w:t>orres de la DM.</w:t>
            </w:r>
          </w:p>
        </w:tc>
      </w:tr>
      <w:tr w:rsidR="00651CC0" w:rsidRPr="00F42CD3" w14:paraId="21EAED1A" w14:textId="77777777" w:rsidTr="00361D0B">
        <w:trPr>
          <w:trHeight w:val="662"/>
        </w:trPr>
        <w:tc>
          <w:tcPr>
            <w:tcW w:w="260" w:type="pct"/>
            <w:vAlign w:val="center"/>
          </w:tcPr>
          <w:p w14:paraId="38F81DE8" w14:textId="46B1C1C8" w:rsidR="00651CC0" w:rsidRPr="00F42CD3" w:rsidRDefault="00320E9B" w:rsidP="00540EDE">
            <w:pPr>
              <w:spacing w:after="0" w:line="240" w:lineRule="auto"/>
              <w:jc w:val="center"/>
              <w:rPr>
                <w:rFonts w:ascii="Arial" w:eastAsia="Times New Roman" w:hAnsi="Arial" w:cs="Arial"/>
                <w:color w:val="000000"/>
                <w:sz w:val="20"/>
                <w:szCs w:val="20"/>
                <w:lang w:eastAsia="es-MX"/>
              </w:rPr>
            </w:pPr>
            <w:r w:rsidRPr="00F42CD3">
              <w:rPr>
                <w:rFonts w:ascii="Arial" w:eastAsia="Times New Roman" w:hAnsi="Arial" w:cs="Arial"/>
                <w:color w:val="000000"/>
                <w:sz w:val="20"/>
                <w:szCs w:val="20"/>
                <w:lang w:eastAsia="es-MX"/>
              </w:rPr>
              <w:t>3</w:t>
            </w:r>
          </w:p>
        </w:tc>
        <w:tc>
          <w:tcPr>
            <w:tcW w:w="658" w:type="pct"/>
            <w:vAlign w:val="center"/>
          </w:tcPr>
          <w:p w14:paraId="0839912D" w14:textId="23832738" w:rsidR="00651CC0" w:rsidRPr="00F42CD3" w:rsidRDefault="00651CC0" w:rsidP="00320E9B">
            <w:pPr>
              <w:spacing w:after="0" w:line="240" w:lineRule="auto"/>
              <w:jc w:val="center"/>
              <w:rPr>
                <w:rFonts w:ascii="Arial" w:eastAsia="Times New Roman" w:hAnsi="Arial" w:cs="Arial"/>
                <w:sz w:val="20"/>
                <w:szCs w:val="20"/>
                <w:lang w:eastAsia="es-MX"/>
              </w:rPr>
            </w:pPr>
            <w:bookmarkStart w:id="0" w:name="_Toc398890431"/>
            <w:bookmarkStart w:id="1" w:name="_Toc400610121"/>
            <w:bookmarkStart w:id="2" w:name="_Toc423018235"/>
            <w:bookmarkStart w:id="3" w:name="_Toc433915535"/>
            <w:bookmarkStart w:id="4" w:name="_Toc435555526"/>
            <w:bookmarkStart w:id="5" w:name="_Toc436229680"/>
            <w:bookmarkStart w:id="6" w:name="_Toc436230595"/>
            <w:bookmarkStart w:id="7" w:name="_Toc525242604"/>
            <w:bookmarkStart w:id="8" w:name="_Toc525818993"/>
            <w:bookmarkStart w:id="9" w:name="_Toc20138583"/>
            <w:bookmarkStart w:id="10" w:name="_Toc20147818"/>
            <w:bookmarkStart w:id="11" w:name="_Toc20148278"/>
            <w:bookmarkStart w:id="12" w:name="_Toc20152867"/>
            <w:bookmarkStart w:id="13" w:name="_Toc20153144"/>
            <w:bookmarkStart w:id="14" w:name="_Toc20157550"/>
            <w:bookmarkStart w:id="15" w:name="_Toc22919033"/>
            <w:bookmarkStart w:id="16" w:name="_Toc50574975"/>
            <w:bookmarkStart w:id="17" w:name="_Toc50984710"/>
            <w:bookmarkStart w:id="18" w:name="_Toc50985434"/>
            <w:bookmarkStart w:id="19" w:name="_Toc50985609"/>
            <w:bookmarkStart w:id="20" w:name="_Toc139281163"/>
            <w:r w:rsidRPr="00F42CD3">
              <w:rPr>
                <w:rFonts w:ascii="Arial" w:eastAsia="Times New Roman" w:hAnsi="Arial" w:cs="Arial"/>
                <w:sz w:val="20"/>
                <w:szCs w:val="20"/>
                <w:lang w:eastAsia="es-MX"/>
              </w:rPr>
              <w:t>IV Solicitudes</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p w14:paraId="21A02C38" w14:textId="77777777" w:rsidR="00651CC0" w:rsidRPr="00F42CD3" w:rsidRDefault="00651CC0" w:rsidP="00540EDE">
            <w:pPr>
              <w:spacing w:after="0" w:line="240" w:lineRule="auto"/>
              <w:jc w:val="center"/>
              <w:rPr>
                <w:rFonts w:ascii="Arial" w:eastAsia="Times New Roman" w:hAnsi="Arial" w:cs="Arial"/>
                <w:sz w:val="20"/>
                <w:szCs w:val="20"/>
                <w:lang w:eastAsia="es-MX"/>
              </w:rPr>
            </w:pPr>
          </w:p>
        </w:tc>
        <w:tc>
          <w:tcPr>
            <w:tcW w:w="804" w:type="pct"/>
            <w:shd w:val="clear" w:color="auto" w:fill="auto"/>
            <w:vAlign w:val="center"/>
          </w:tcPr>
          <w:p w14:paraId="18CD1924" w14:textId="7C656588" w:rsidR="00651CC0" w:rsidRPr="00F42CD3" w:rsidRDefault="00320E9B" w:rsidP="00B64AEE">
            <w:pPr>
              <w:spacing w:after="0" w:line="240" w:lineRule="auto"/>
              <w:jc w:val="center"/>
              <w:rPr>
                <w:rFonts w:ascii="Arial" w:eastAsia="Times New Roman" w:hAnsi="Arial" w:cs="Arial"/>
                <w:sz w:val="20"/>
                <w:szCs w:val="20"/>
                <w:lang w:eastAsia="es-MX"/>
              </w:rPr>
            </w:pPr>
            <w:r w:rsidRPr="00F42CD3">
              <w:rPr>
                <w:rFonts w:ascii="Arial" w:eastAsia="Times New Roman" w:hAnsi="Arial" w:cs="Arial"/>
                <w:sz w:val="20"/>
                <w:szCs w:val="20"/>
                <w:lang w:eastAsia="es-MX"/>
              </w:rPr>
              <w:t>Inicio de Plazos</w:t>
            </w:r>
          </w:p>
        </w:tc>
        <w:tc>
          <w:tcPr>
            <w:tcW w:w="1560" w:type="pct"/>
            <w:shd w:val="clear" w:color="auto" w:fill="auto"/>
            <w:vAlign w:val="center"/>
          </w:tcPr>
          <w:p w14:paraId="29D021C2" w14:textId="2AD5A74D" w:rsidR="00651CC0" w:rsidRPr="00664447" w:rsidRDefault="00320E9B" w:rsidP="00651CC0">
            <w:pPr>
              <w:pStyle w:val="aaaIFTnormal"/>
              <w:spacing w:after="0"/>
              <w:ind w:left="1" w:hanging="1"/>
              <w:rPr>
                <w:rFonts w:cs="Arial"/>
                <w:sz w:val="20"/>
                <w:szCs w:val="20"/>
              </w:rPr>
            </w:pPr>
            <w:r w:rsidRPr="00664447">
              <w:rPr>
                <w:rFonts w:cs="Arial"/>
                <w:sz w:val="20"/>
                <w:szCs w:val="20"/>
              </w:rPr>
              <w:t>…</w:t>
            </w:r>
          </w:p>
          <w:p w14:paraId="30ABDC5B" w14:textId="77777777" w:rsidR="00651CC0" w:rsidRPr="00664447" w:rsidRDefault="00651CC0" w:rsidP="00651CC0">
            <w:pPr>
              <w:pStyle w:val="aaaIFTnormal"/>
              <w:spacing w:after="0"/>
              <w:ind w:left="1" w:hanging="1"/>
              <w:rPr>
                <w:rFonts w:cs="Arial"/>
                <w:sz w:val="20"/>
                <w:szCs w:val="20"/>
              </w:rPr>
            </w:pPr>
          </w:p>
          <w:p w14:paraId="4C315078" w14:textId="77777777" w:rsidR="00651CC0" w:rsidRPr="00664447" w:rsidRDefault="00651CC0" w:rsidP="00651CC0">
            <w:pPr>
              <w:pStyle w:val="aaaIFTnormal"/>
              <w:spacing w:after="0"/>
              <w:ind w:left="1" w:hanging="1"/>
              <w:rPr>
                <w:rFonts w:cs="Arial"/>
                <w:sz w:val="20"/>
                <w:szCs w:val="20"/>
              </w:rPr>
            </w:pPr>
            <w:r w:rsidRPr="00664447">
              <w:rPr>
                <w:rFonts w:cs="Arial"/>
                <w:sz w:val="20"/>
                <w:szCs w:val="20"/>
              </w:rPr>
              <w:t xml:space="preserve">La DM deberá entregar las credenciales de acceso al SEG en un plazo no mayor a tres días hábiles contados a partir </w:t>
            </w:r>
            <w:r w:rsidRPr="00664447">
              <w:rPr>
                <w:rFonts w:eastAsia="Times New Roman" w:cs="Arial"/>
                <w:bCs w:val="0"/>
                <w:color w:val="548DD4" w:themeColor="text2" w:themeTint="99"/>
                <w:sz w:val="20"/>
                <w:szCs w:val="20"/>
                <w:lang w:eastAsia="es-MX"/>
              </w:rPr>
              <w:t>del día hábil siguiente a</w:t>
            </w:r>
            <w:r w:rsidRPr="00664447">
              <w:rPr>
                <w:rFonts w:cs="Arial"/>
                <w:sz w:val="20"/>
                <w:szCs w:val="20"/>
              </w:rPr>
              <w:t xml:space="preserve"> la recepción de la solicitud del CS o AS.</w:t>
            </w:r>
          </w:p>
          <w:p w14:paraId="0F4A47C8" w14:textId="77777777" w:rsidR="00651CC0" w:rsidRPr="00664447" w:rsidRDefault="00651CC0" w:rsidP="00540EDE">
            <w:pPr>
              <w:spacing w:after="0" w:line="240" w:lineRule="auto"/>
              <w:jc w:val="both"/>
              <w:rPr>
                <w:rFonts w:ascii="Arial" w:eastAsia="Times New Roman" w:hAnsi="Arial" w:cs="Arial"/>
                <w:sz w:val="20"/>
                <w:szCs w:val="20"/>
                <w:lang w:eastAsia="es-MX"/>
              </w:rPr>
            </w:pPr>
          </w:p>
        </w:tc>
        <w:tc>
          <w:tcPr>
            <w:tcW w:w="1718" w:type="pct"/>
            <w:tcBorders>
              <w:top w:val="single" w:sz="4" w:space="0" w:color="000000" w:themeColor="text1"/>
            </w:tcBorders>
            <w:vAlign w:val="center"/>
          </w:tcPr>
          <w:p w14:paraId="0B0364AA" w14:textId="7EC8A214" w:rsidR="00651CC0" w:rsidRPr="00664447" w:rsidRDefault="00FD4953" w:rsidP="00FD4953">
            <w:pPr>
              <w:spacing w:after="0" w:line="240" w:lineRule="auto"/>
              <w:jc w:val="both"/>
              <w:rPr>
                <w:rFonts w:ascii="Arial" w:eastAsia="Times New Roman" w:hAnsi="Arial" w:cs="Arial"/>
                <w:sz w:val="20"/>
                <w:szCs w:val="20"/>
                <w:lang w:eastAsia="es-ES"/>
              </w:rPr>
            </w:pPr>
            <w:r w:rsidRPr="00664447">
              <w:rPr>
                <w:rFonts w:ascii="Arial" w:eastAsia="Times New Roman" w:hAnsi="Arial" w:cs="Arial"/>
                <w:sz w:val="20"/>
                <w:szCs w:val="20"/>
                <w:lang w:eastAsia="es-MX"/>
              </w:rPr>
              <w:t xml:space="preserve">Para efectos de claridad y consistencia, se propone </w:t>
            </w:r>
            <w:r w:rsidR="00651CC0" w:rsidRPr="00664447">
              <w:rPr>
                <w:rFonts w:ascii="Arial" w:eastAsia="Times New Roman" w:hAnsi="Arial" w:cs="Arial"/>
                <w:sz w:val="20"/>
                <w:szCs w:val="20"/>
                <w:lang w:eastAsia="es-ES"/>
              </w:rPr>
              <w:t xml:space="preserve">homologar los criterios </w:t>
            </w:r>
            <w:r w:rsidRPr="00664447">
              <w:rPr>
                <w:rFonts w:ascii="Arial" w:eastAsia="Times New Roman" w:hAnsi="Arial" w:cs="Arial"/>
                <w:sz w:val="20"/>
                <w:szCs w:val="20"/>
                <w:lang w:eastAsia="es-ES"/>
              </w:rPr>
              <w:t>relativos a plazos, con aquellos previstos en las otras O</w:t>
            </w:r>
            <w:r w:rsidR="00651CC0" w:rsidRPr="00664447">
              <w:rPr>
                <w:rFonts w:ascii="Arial" w:eastAsia="Times New Roman" w:hAnsi="Arial" w:cs="Arial"/>
                <w:sz w:val="20"/>
                <w:szCs w:val="20"/>
                <w:lang w:eastAsia="es-ES"/>
              </w:rPr>
              <w:t>fertas</w:t>
            </w:r>
            <w:r w:rsidRPr="00664447">
              <w:rPr>
                <w:rFonts w:ascii="Arial" w:eastAsia="Times New Roman" w:hAnsi="Arial" w:cs="Arial"/>
                <w:sz w:val="20"/>
                <w:szCs w:val="20"/>
                <w:lang w:eastAsia="es-ES"/>
              </w:rPr>
              <w:t xml:space="preserve"> de Servicios Mayoristas</w:t>
            </w:r>
            <w:r w:rsidR="005B674E" w:rsidRPr="00664447">
              <w:rPr>
                <w:rFonts w:ascii="Arial" w:eastAsia="Times New Roman" w:hAnsi="Arial" w:cs="Arial"/>
                <w:sz w:val="20"/>
                <w:szCs w:val="20"/>
                <w:lang w:eastAsia="es-ES"/>
              </w:rPr>
              <w:t>, como e</w:t>
            </w:r>
            <w:r w:rsidR="00651CC0" w:rsidRPr="00664447">
              <w:rPr>
                <w:rFonts w:ascii="Arial" w:eastAsia="Times New Roman" w:hAnsi="Arial" w:cs="Arial"/>
                <w:sz w:val="20"/>
                <w:szCs w:val="20"/>
                <w:lang w:eastAsia="es-ES"/>
              </w:rPr>
              <w:t xml:space="preserve">n la </w:t>
            </w:r>
            <w:r w:rsidR="005B674E" w:rsidRPr="00664447">
              <w:rPr>
                <w:rFonts w:ascii="Arial" w:eastAsia="Times New Roman" w:hAnsi="Arial" w:cs="Arial"/>
                <w:sz w:val="20"/>
                <w:szCs w:val="20"/>
                <w:lang w:eastAsia="es-ES"/>
              </w:rPr>
              <w:t>Oferta de Enlaces Dedicados (</w:t>
            </w:r>
            <w:r w:rsidR="00651CC0" w:rsidRPr="00664447">
              <w:rPr>
                <w:rFonts w:ascii="Arial" w:eastAsia="Times New Roman" w:hAnsi="Arial" w:cs="Arial"/>
                <w:sz w:val="20"/>
                <w:szCs w:val="20"/>
                <w:lang w:eastAsia="es-ES"/>
              </w:rPr>
              <w:t>ORE</w:t>
            </w:r>
            <w:r w:rsidR="005B674E" w:rsidRPr="00664447">
              <w:rPr>
                <w:rFonts w:ascii="Arial" w:eastAsia="Times New Roman" w:hAnsi="Arial" w:cs="Arial"/>
                <w:sz w:val="20"/>
                <w:szCs w:val="20"/>
                <w:lang w:eastAsia="es-ES"/>
              </w:rPr>
              <w:t>), en la que</w:t>
            </w:r>
            <w:r w:rsidR="00651CC0" w:rsidRPr="00664447">
              <w:rPr>
                <w:rFonts w:ascii="Arial" w:eastAsia="Times New Roman" w:hAnsi="Arial" w:cs="Arial"/>
                <w:sz w:val="20"/>
                <w:szCs w:val="20"/>
                <w:lang w:eastAsia="es-ES"/>
              </w:rPr>
              <w:t xml:space="preserve"> se </w:t>
            </w:r>
            <w:r w:rsidR="005B674E" w:rsidRPr="00664447">
              <w:rPr>
                <w:rFonts w:ascii="Arial" w:eastAsia="Times New Roman" w:hAnsi="Arial" w:cs="Arial"/>
                <w:sz w:val="20"/>
                <w:szCs w:val="20"/>
                <w:lang w:eastAsia="es-ES"/>
              </w:rPr>
              <w:t xml:space="preserve">realiza el cómputo de </w:t>
            </w:r>
            <w:r w:rsidR="00651CC0" w:rsidRPr="00664447">
              <w:rPr>
                <w:rFonts w:ascii="Arial" w:eastAsia="Times New Roman" w:hAnsi="Arial" w:cs="Arial"/>
                <w:sz w:val="20"/>
                <w:szCs w:val="20"/>
                <w:lang w:eastAsia="es-ES"/>
              </w:rPr>
              <w:t xml:space="preserve"> los plazos </w:t>
            </w:r>
            <w:r w:rsidR="005B674E" w:rsidRPr="00664447">
              <w:rPr>
                <w:rFonts w:ascii="Arial" w:eastAsia="Times New Roman" w:hAnsi="Arial" w:cs="Arial"/>
                <w:sz w:val="20"/>
                <w:szCs w:val="20"/>
                <w:lang w:eastAsia="es-ES"/>
              </w:rPr>
              <w:t>consider</w:t>
            </w:r>
            <w:r w:rsidR="00651CC0" w:rsidRPr="00664447">
              <w:rPr>
                <w:rFonts w:ascii="Arial" w:eastAsia="Times New Roman" w:hAnsi="Arial" w:cs="Arial"/>
                <w:sz w:val="20"/>
                <w:szCs w:val="20"/>
                <w:lang w:eastAsia="es-ES"/>
              </w:rPr>
              <w:t>a</w:t>
            </w:r>
            <w:r w:rsidR="005B674E" w:rsidRPr="00664447">
              <w:rPr>
                <w:rFonts w:ascii="Arial" w:eastAsia="Times New Roman" w:hAnsi="Arial" w:cs="Arial"/>
                <w:sz w:val="20"/>
                <w:szCs w:val="20"/>
                <w:lang w:eastAsia="es-ES"/>
              </w:rPr>
              <w:t xml:space="preserve">ndo </w:t>
            </w:r>
            <w:r w:rsidR="00651CC0" w:rsidRPr="00664447">
              <w:rPr>
                <w:rFonts w:ascii="Arial" w:eastAsia="Times New Roman" w:hAnsi="Arial" w:cs="Arial"/>
                <w:sz w:val="20"/>
                <w:szCs w:val="20"/>
                <w:lang w:eastAsia="es-ES"/>
              </w:rPr>
              <w:t>día</w:t>
            </w:r>
            <w:r w:rsidR="005B674E" w:rsidRPr="00664447">
              <w:rPr>
                <w:rFonts w:ascii="Arial" w:eastAsia="Times New Roman" w:hAnsi="Arial" w:cs="Arial"/>
                <w:sz w:val="20"/>
                <w:szCs w:val="20"/>
                <w:lang w:eastAsia="es-ES"/>
              </w:rPr>
              <w:t>s</w:t>
            </w:r>
            <w:r w:rsidR="00651CC0" w:rsidRPr="00664447">
              <w:rPr>
                <w:rFonts w:ascii="Arial" w:eastAsia="Times New Roman" w:hAnsi="Arial" w:cs="Arial"/>
                <w:sz w:val="20"/>
                <w:szCs w:val="20"/>
                <w:lang w:eastAsia="es-ES"/>
              </w:rPr>
              <w:t xml:space="preserve"> hábil</w:t>
            </w:r>
            <w:r w:rsidR="005B674E" w:rsidRPr="00664447">
              <w:rPr>
                <w:rFonts w:ascii="Arial" w:eastAsia="Times New Roman" w:hAnsi="Arial" w:cs="Arial"/>
                <w:sz w:val="20"/>
                <w:szCs w:val="20"/>
                <w:lang w:eastAsia="es-ES"/>
              </w:rPr>
              <w:t>es, con surtimiento de los plazos a partir del día hábil siguiente a la fecha de recepción de la solicitud de que se trate.</w:t>
            </w:r>
          </w:p>
          <w:p w14:paraId="1C397C97" w14:textId="77777777" w:rsidR="00651CC0" w:rsidRPr="00664447" w:rsidRDefault="00651CC0" w:rsidP="00651CC0">
            <w:pPr>
              <w:spacing w:after="0" w:line="240" w:lineRule="auto"/>
              <w:jc w:val="both"/>
              <w:rPr>
                <w:rFonts w:ascii="Arial" w:eastAsia="Times New Roman" w:hAnsi="Arial" w:cs="Arial"/>
                <w:sz w:val="20"/>
                <w:szCs w:val="20"/>
                <w:lang w:eastAsia="es-ES"/>
              </w:rPr>
            </w:pPr>
          </w:p>
          <w:p w14:paraId="18D1CBCF" w14:textId="77777777" w:rsidR="00651CC0" w:rsidRPr="00664447" w:rsidRDefault="00651CC0" w:rsidP="00651CC0">
            <w:pPr>
              <w:spacing w:after="0" w:line="240" w:lineRule="auto"/>
              <w:jc w:val="both"/>
              <w:rPr>
                <w:rFonts w:ascii="Arial" w:eastAsia="Times New Roman" w:hAnsi="Arial" w:cs="Arial"/>
                <w:sz w:val="20"/>
                <w:szCs w:val="20"/>
                <w:lang w:eastAsia="es-ES"/>
              </w:rPr>
            </w:pPr>
          </w:p>
          <w:p w14:paraId="4384755A" w14:textId="0FC631E5" w:rsidR="00651CC0" w:rsidRPr="00F42CD3" w:rsidRDefault="005B674E" w:rsidP="00651CC0">
            <w:pPr>
              <w:spacing w:after="0" w:line="240" w:lineRule="auto"/>
              <w:jc w:val="both"/>
              <w:rPr>
                <w:rFonts w:ascii="Arial" w:eastAsia="Times New Roman" w:hAnsi="Arial" w:cs="Arial"/>
                <w:b/>
                <w:sz w:val="20"/>
                <w:szCs w:val="20"/>
                <w:lang w:eastAsia="es-ES"/>
              </w:rPr>
            </w:pPr>
            <w:r w:rsidRPr="00664447">
              <w:rPr>
                <w:rFonts w:ascii="Arial" w:eastAsia="Times New Roman" w:hAnsi="Arial" w:cs="Arial"/>
                <w:sz w:val="20"/>
                <w:szCs w:val="20"/>
                <w:lang w:eastAsia="es-ES"/>
              </w:rPr>
              <w:t>Lo anterior es consistente además con lo dispuesto  por</w:t>
            </w:r>
            <w:r w:rsidR="00651CC0" w:rsidRPr="00664447">
              <w:rPr>
                <w:rFonts w:ascii="Arial" w:eastAsia="Times New Roman" w:hAnsi="Arial" w:cs="Arial"/>
                <w:sz w:val="20"/>
                <w:szCs w:val="20"/>
                <w:lang w:eastAsia="es-ES"/>
              </w:rPr>
              <w:t xml:space="preserve"> la L</w:t>
            </w:r>
            <w:r w:rsidRPr="00664447">
              <w:rPr>
                <w:rFonts w:ascii="Arial" w:eastAsia="Times New Roman" w:hAnsi="Arial" w:cs="Arial"/>
                <w:sz w:val="20"/>
                <w:szCs w:val="20"/>
                <w:lang w:eastAsia="es-ES"/>
              </w:rPr>
              <w:t xml:space="preserve">ey </w:t>
            </w:r>
            <w:r w:rsidR="00651CC0" w:rsidRPr="00664447">
              <w:rPr>
                <w:rFonts w:ascii="Arial" w:eastAsia="Times New Roman" w:hAnsi="Arial" w:cs="Arial"/>
                <w:sz w:val="20"/>
                <w:szCs w:val="20"/>
                <w:lang w:eastAsia="es-ES"/>
              </w:rPr>
              <w:t>F</w:t>
            </w:r>
            <w:r w:rsidRPr="00664447">
              <w:rPr>
                <w:rFonts w:ascii="Arial" w:eastAsia="Times New Roman" w:hAnsi="Arial" w:cs="Arial"/>
                <w:sz w:val="20"/>
                <w:szCs w:val="20"/>
                <w:lang w:eastAsia="es-ES"/>
              </w:rPr>
              <w:t xml:space="preserve">ederal de </w:t>
            </w:r>
            <w:r w:rsidR="00651CC0" w:rsidRPr="00664447">
              <w:rPr>
                <w:rFonts w:ascii="Arial" w:eastAsia="Times New Roman" w:hAnsi="Arial" w:cs="Arial"/>
                <w:sz w:val="20"/>
                <w:szCs w:val="20"/>
                <w:lang w:eastAsia="es-ES"/>
              </w:rPr>
              <w:t>P</w:t>
            </w:r>
            <w:r w:rsidRPr="00664447">
              <w:rPr>
                <w:rFonts w:ascii="Arial" w:eastAsia="Times New Roman" w:hAnsi="Arial" w:cs="Arial"/>
                <w:sz w:val="20"/>
                <w:szCs w:val="20"/>
                <w:lang w:eastAsia="es-ES"/>
              </w:rPr>
              <w:t xml:space="preserve">rocedimiento </w:t>
            </w:r>
            <w:r w:rsidR="00651CC0" w:rsidRPr="00664447">
              <w:rPr>
                <w:rFonts w:ascii="Arial" w:eastAsia="Times New Roman" w:hAnsi="Arial" w:cs="Arial"/>
                <w:sz w:val="20"/>
                <w:szCs w:val="20"/>
                <w:lang w:eastAsia="es-ES"/>
              </w:rPr>
              <w:t>A</w:t>
            </w:r>
            <w:r w:rsidRPr="00664447">
              <w:rPr>
                <w:rFonts w:ascii="Arial" w:eastAsia="Times New Roman" w:hAnsi="Arial" w:cs="Arial"/>
                <w:sz w:val="20"/>
                <w:szCs w:val="20"/>
                <w:lang w:eastAsia="es-ES"/>
              </w:rPr>
              <w:t>dministrativo (LFPA), supletoria de la LFTR,</w:t>
            </w:r>
            <w:r w:rsidR="00651CC0" w:rsidRPr="00664447">
              <w:rPr>
                <w:rFonts w:ascii="Arial" w:eastAsia="Times New Roman" w:hAnsi="Arial" w:cs="Arial"/>
                <w:sz w:val="20"/>
                <w:szCs w:val="20"/>
                <w:lang w:eastAsia="es-ES"/>
              </w:rPr>
              <w:t xml:space="preserve"> </w:t>
            </w:r>
            <w:r w:rsidRPr="00664447">
              <w:rPr>
                <w:rFonts w:ascii="Arial" w:eastAsia="Times New Roman" w:hAnsi="Arial" w:cs="Arial"/>
                <w:sz w:val="20"/>
                <w:szCs w:val="20"/>
                <w:lang w:eastAsia="es-ES"/>
              </w:rPr>
              <w:t xml:space="preserve">que establece que </w:t>
            </w:r>
            <w:r w:rsidR="00651CC0" w:rsidRPr="00664447">
              <w:rPr>
                <w:rFonts w:ascii="Arial" w:eastAsia="Times New Roman" w:hAnsi="Arial" w:cs="Arial"/>
                <w:sz w:val="20"/>
                <w:szCs w:val="20"/>
                <w:lang w:eastAsia="es-ES"/>
              </w:rPr>
              <w:t>los plazos se contabiliza</w:t>
            </w:r>
            <w:r w:rsidRPr="00664447">
              <w:rPr>
                <w:rFonts w:ascii="Arial" w:eastAsia="Times New Roman" w:hAnsi="Arial" w:cs="Arial"/>
                <w:sz w:val="20"/>
                <w:szCs w:val="20"/>
                <w:lang w:eastAsia="es-ES"/>
              </w:rPr>
              <w:t>rá</w:t>
            </w:r>
            <w:r w:rsidR="00651CC0" w:rsidRPr="00664447">
              <w:rPr>
                <w:rFonts w:ascii="Arial" w:eastAsia="Times New Roman" w:hAnsi="Arial" w:cs="Arial"/>
                <w:sz w:val="20"/>
                <w:szCs w:val="20"/>
                <w:lang w:eastAsia="es-ES"/>
              </w:rPr>
              <w:t>n en días hábiles</w:t>
            </w:r>
            <w:r w:rsidRPr="00664447">
              <w:rPr>
                <w:rFonts w:ascii="Arial" w:eastAsia="Times New Roman" w:hAnsi="Arial" w:cs="Arial"/>
                <w:sz w:val="20"/>
                <w:szCs w:val="20"/>
                <w:lang w:eastAsia="es-ES"/>
              </w:rPr>
              <w:t xml:space="preserve"> (</w:t>
            </w:r>
            <w:r w:rsidR="00651CC0" w:rsidRPr="00664447">
              <w:rPr>
                <w:rFonts w:ascii="Arial" w:eastAsia="Times New Roman" w:hAnsi="Arial" w:cs="Arial"/>
                <w:sz w:val="20"/>
                <w:szCs w:val="20"/>
                <w:lang w:eastAsia="es-ES"/>
              </w:rPr>
              <w:t>artículos 28 y 29</w:t>
            </w:r>
            <w:r w:rsidRPr="00664447">
              <w:rPr>
                <w:rFonts w:ascii="Arial" w:eastAsia="Times New Roman" w:hAnsi="Arial" w:cs="Arial"/>
                <w:sz w:val="20"/>
                <w:szCs w:val="20"/>
                <w:lang w:eastAsia="es-ES"/>
              </w:rPr>
              <w:t>)</w:t>
            </w:r>
            <w:r w:rsidR="00651CC0" w:rsidRPr="00664447">
              <w:rPr>
                <w:rFonts w:ascii="Arial" w:eastAsia="Times New Roman" w:hAnsi="Arial" w:cs="Arial"/>
                <w:sz w:val="20"/>
                <w:szCs w:val="20"/>
                <w:lang w:eastAsia="es-ES"/>
              </w:rPr>
              <w:t>.</w:t>
            </w:r>
          </w:p>
          <w:p w14:paraId="4B96DD87" w14:textId="77777777" w:rsidR="00651CC0" w:rsidRPr="00F42CD3" w:rsidRDefault="00651CC0" w:rsidP="00651CC0">
            <w:pPr>
              <w:spacing w:after="0" w:line="240" w:lineRule="auto"/>
              <w:jc w:val="both"/>
              <w:rPr>
                <w:rFonts w:ascii="Arial" w:eastAsia="Times New Roman" w:hAnsi="Arial" w:cs="Arial"/>
                <w:sz w:val="20"/>
                <w:szCs w:val="20"/>
                <w:lang w:eastAsia="es-ES"/>
              </w:rPr>
            </w:pPr>
          </w:p>
          <w:p w14:paraId="2FB084FF" w14:textId="701DD7B5" w:rsidR="00651CC0" w:rsidRPr="00F42CD3" w:rsidRDefault="00651CC0" w:rsidP="00585001">
            <w:pPr>
              <w:spacing w:after="0" w:line="240" w:lineRule="auto"/>
              <w:jc w:val="both"/>
              <w:rPr>
                <w:rFonts w:ascii="Arial" w:eastAsia="Times New Roman" w:hAnsi="Arial" w:cs="Arial"/>
                <w:sz w:val="20"/>
                <w:szCs w:val="20"/>
                <w:lang w:eastAsia="es-ES"/>
              </w:rPr>
            </w:pPr>
          </w:p>
        </w:tc>
      </w:tr>
      <w:tr w:rsidR="00420EF9" w:rsidRPr="00664447" w14:paraId="58DC07FE" w14:textId="77777777" w:rsidTr="00361D0B">
        <w:trPr>
          <w:trHeight w:val="1650"/>
        </w:trPr>
        <w:tc>
          <w:tcPr>
            <w:tcW w:w="260" w:type="pct"/>
            <w:vAlign w:val="center"/>
          </w:tcPr>
          <w:p w14:paraId="38E0FE3F" w14:textId="56B51409" w:rsidR="00420EF9" w:rsidRPr="00664447" w:rsidRDefault="00BA0BED" w:rsidP="00540EDE">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lastRenderedPageBreak/>
              <w:t>4</w:t>
            </w:r>
          </w:p>
        </w:tc>
        <w:tc>
          <w:tcPr>
            <w:tcW w:w="658" w:type="pct"/>
            <w:vAlign w:val="center"/>
          </w:tcPr>
          <w:p w14:paraId="7E0CDF1A" w14:textId="77777777" w:rsidR="00420EF9" w:rsidRPr="00664447" w:rsidRDefault="00420EF9" w:rsidP="00420EF9">
            <w:pPr>
              <w:spacing w:after="0" w:line="240" w:lineRule="auto"/>
              <w:rPr>
                <w:rFonts w:ascii="Arial" w:eastAsia="Times New Roman" w:hAnsi="Arial" w:cs="Arial"/>
                <w:color w:val="000000"/>
                <w:sz w:val="20"/>
                <w:szCs w:val="20"/>
                <w:lang w:eastAsia="es-MX"/>
              </w:rPr>
            </w:pPr>
            <w:bookmarkStart w:id="21" w:name="_Toc525242647"/>
            <w:bookmarkStart w:id="22" w:name="_Toc525819048"/>
            <w:bookmarkStart w:id="23" w:name="_Toc20138635"/>
            <w:bookmarkStart w:id="24" w:name="_Toc20147863"/>
            <w:bookmarkStart w:id="25" w:name="_Toc20148323"/>
            <w:bookmarkStart w:id="26" w:name="_Toc20152912"/>
            <w:bookmarkStart w:id="27" w:name="_Toc20153189"/>
            <w:bookmarkStart w:id="28" w:name="_Toc20157595"/>
            <w:bookmarkStart w:id="29" w:name="_Toc22919479"/>
            <w:bookmarkStart w:id="30" w:name="_Toc50574983"/>
            <w:bookmarkStart w:id="31" w:name="_Toc50984718"/>
            <w:bookmarkStart w:id="32" w:name="_Toc50985442"/>
            <w:bookmarkStart w:id="33" w:name="_Toc50985617"/>
            <w:bookmarkStart w:id="34" w:name="_Toc88580904"/>
            <w:r w:rsidRPr="00664447">
              <w:rPr>
                <w:rFonts w:ascii="Arial" w:eastAsia="Times New Roman" w:hAnsi="Arial" w:cs="Arial"/>
                <w:color w:val="000000"/>
                <w:sz w:val="20"/>
                <w:szCs w:val="20"/>
                <w:lang w:eastAsia="es-MX"/>
              </w:rPr>
              <w:t>V.1.4. Facturación</w:t>
            </w:r>
            <w:bookmarkEnd w:id="21"/>
            <w:bookmarkEnd w:id="22"/>
            <w:bookmarkEnd w:id="23"/>
            <w:bookmarkEnd w:id="24"/>
            <w:bookmarkEnd w:id="25"/>
            <w:bookmarkEnd w:id="26"/>
            <w:bookmarkEnd w:id="27"/>
            <w:bookmarkEnd w:id="28"/>
            <w:bookmarkEnd w:id="29"/>
            <w:bookmarkEnd w:id="30"/>
            <w:bookmarkEnd w:id="31"/>
            <w:bookmarkEnd w:id="32"/>
            <w:bookmarkEnd w:id="33"/>
            <w:bookmarkEnd w:id="34"/>
          </w:p>
          <w:p w14:paraId="2A869AC5" w14:textId="77777777" w:rsidR="00420EF9" w:rsidRPr="00664447" w:rsidRDefault="00420EF9" w:rsidP="00540EDE">
            <w:pPr>
              <w:spacing w:after="0" w:line="240" w:lineRule="auto"/>
              <w:jc w:val="center"/>
              <w:rPr>
                <w:rFonts w:ascii="Arial" w:eastAsia="Times New Roman" w:hAnsi="Arial" w:cs="Arial"/>
                <w:sz w:val="20"/>
                <w:szCs w:val="20"/>
                <w:lang w:eastAsia="es-MX"/>
              </w:rPr>
            </w:pPr>
          </w:p>
        </w:tc>
        <w:tc>
          <w:tcPr>
            <w:tcW w:w="804" w:type="pct"/>
            <w:shd w:val="clear" w:color="auto" w:fill="auto"/>
            <w:vAlign w:val="center"/>
          </w:tcPr>
          <w:p w14:paraId="18869D28" w14:textId="276DBF60" w:rsidR="00420EF9" w:rsidRPr="00664447" w:rsidRDefault="00320E9B" w:rsidP="00B64AEE">
            <w:pPr>
              <w:pStyle w:val="IFTnormal"/>
              <w:spacing w:after="0"/>
              <w:jc w:val="center"/>
              <w:rPr>
                <w:rFonts w:ascii="Arial" w:eastAsia="Times New Roman" w:hAnsi="Arial" w:cs="Arial"/>
                <w:color w:val="000000"/>
                <w:sz w:val="20"/>
                <w:szCs w:val="20"/>
                <w:lang w:eastAsia="es-MX"/>
              </w:rPr>
            </w:pPr>
            <w:r w:rsidRPr="00664447">
              <w:rPr>
                <w:sz w:val="20"/>
                <w:szCs w:val="20"/>
              </w:rPr>
              <w:t>Elaboración de Proyecto y Presupuesto</w:t>
            </w:r>
            <w:r w:rsidR="00420EF9" w:rsidRPr="00664447">
              <w:rPr>
                <w:rFonts w:ascii="Arial" w:eastAsia="Times New Roman" w:hAnsi="Arial" w:cs="Arial"/>
                <w:color w:val="000000"/>
                <w:sz w:val="20"/>
                <w:szCs w:val="20"/>
                <w:lang w:eastAsia="es-MX"/>
              </w:rPr>
              <w:t>.</w:t>
            </w:r>
          </w:p>
          <w:p w14:paraId="08EC2FEB" w14:textId="5D1DA946" w:rsidR="00420EF9" w:rsidRPr="00664447" w:rsidRDefault="00B64AEE" w:rsidP="00B64AEE">
            <w:pPr>
              <w:spacing w:after="0" w:line="240" w:lineRule="auto"/>
              <w:jc w:val="center"/>
              <w:rPr>
                <w:rFonts w:ascii="Arial" w:eastAsia="Times New Roman" w:hAnsi="Arial" w:cs="Arial"/>
                <w:sz w:val="20"/>
                <w:szCs w:val="20"/>
                <w:lang w:eastAsia="es-MX"/>
              </w:rPr>
            </w:pPr>
            <w:r w:rsidRPr="00664447">
              <w:rPr>
                <w:rFonts w:ascii="Arial" w:eastAsia="Times New Roman" w:hAnsi="Arial" w:cs="Arial"/>
                <w:color w:val="000000"/>
                <w:sz w:val="20"/>
                <w:szCs w:val="20"/>
                <w:lang w:eastAsia="es-MX"/>
              </w:rPr>
              <w:t>(Pág. 13)</w:t>
            </w:r>
          </w:p>
        </w:tc>
        <w:tc>
          <w:tcPr>
            <w:tcW w:w="1560" w:type="pct"/>
            <w:shd w:val="clear" w:color="auto" w:fill="auto"/>
            <w:vAlign w:val="center"/>
          </w:tcPr>
          <w:p w14:paraId="77C9F237" w14:textId="31FB45FB" w:rsidR="00320E9B" w:rsidRPr="00664447" w:rsidRDefault="00320E9B" w:rsidP="00141CD2">
            <w:pPr>
              <w:spacing w:after="0" w:line="240" w:lineRule="auto"/>
              <w:jc w:val="both"/>
              <w:rPr>
                <w:rFonts w:cs="Arial"/>
                <w:sz w:val="20"/>
                <w:szCs w:val="20"/>
                <w:lang w:val="es-ES_tradnl"/>
              </w:rPr>
            </w:pPr>
            <w:r w:rsidRPr="00664447">
              <w:rPr>
                <w:rFonts w:cs="Arial"/>
                <w:sz w:val="20"/>
                <w:szCs w:val="20"/>
                <w:lang w:val="es-ES_tradnl"/>
              </w:rPr>
              <w:t>…</w:t>
            </w:r>
          </w:p>
          <w:p w14:paraId="195E0E1C" w14:textId="77777777" w:rsidR="00320E9B" w:rsidRPr="00664447" w:rsidRDefault="00320E9B" w:rsidP="00320E9B">
            <w:pPr>
              <w:pStyle w:val="aaaIFTnormal"/>
              <w:spacing w:after="0"/>
              <w:rPr>
                <w:rFonts w:cs="Arial"/>
                <w:sz w:val="20"/>
                <w:szCs w:val="20"/>
                <w:lang w:val="es-ES_tradnl"/>
              </w:rPr>
            </w:pPr>
            <w:r w:rsidRPr="00664447">
              <w:rPr>
                <w:rFonts w:cs="Arial"/>
                <w:sz w:val="20"/>
                <w:szCs w:val="20"/>
                <w:lang w:val="es-ES_tradnl"/>
              </w:rPr>
              <w:t>…</w:t>
            </w:r>
          </w:p>
          <w:p w14:paraId="485011D4" w14:textId="77777777" w:rsidR="00320E9B" w:rsidRPr="00664447" w:rsidRDefault="00320E9B" w:rsidP="00320E9B">
            <w:pPr>
              <w:pStyle w:val="aaaIFTnormal"/>
              <w:numPr>
                <w:ilvl w:val="0"/>
                <w:numId w:val="22"/>
              </w:numPr>
              <w:spacing w:after="0"/>
              <w:ind w:left="714" w:hanging="357"/>
              <w:rPr>
                <w:rFonts w:cs="Arial"/>
                <w:sz w:val="20"/>
                <w:szCs w:val="20"/>
                <w:lang w:val="es-ES_tradnl"/>
              </w:rPr>
            </w:pPr>
            <w:r w:rsidRPr="00664447">
              <w:rPr>
                <w:rFonts w:cs="Arial"/>
                <w:strike/>
                <w:sz w:val="20"/>
                <w:szCs w:val="20"/>
                <w:lang w:val="es-ES_tradnl"/>
              </w:rPr>
              <w:t>Análisis estructural de torre</w:t>
            </w:r>
            <w:r w:rsidRPr="00664447">
              <w:rPr>
                <w:sz w:val="20"/>
                <w:szCs w:val="20"/>
              </w:rPr>
              <w:t xml:space="preserve"> Elaboración de Proyecto y Presupuesto</w:t>
            </w:r>
            <w:r w:rsidRPr="00664447">
              <w:rPr>
                <w:strike/>
                <w:sz w:val="20"/>
                <w:szCs w:val="20"/>
                <w:vertAlign w:val="superscript"/>
              </w:rPr>
              <w:t>5</w:t>
            </w:r>
            <w:r w:rsidRPr="00664447">
              <w:rPr>
                <w:rFonts w:cs="Arial"/>
                <w:sz w:val="20"/>
                <w:szCs w:val="20"/>
                <w:lang w:val="es-ES_tradnl"/>
              </w:rPr>
              <w:t>.</w:t>
            </w:r>
          </w:p>
          <w:p w14:paraId="42C8BAB2" w14:textId="77777777" w:rsidR="00320E9B" w:rsidRPr="00664447" w:rsidRDefault="00320E9B" w:rsidP="00320E9B">
            <w:pPr>
              <w:pStyle w:val="aaaIFTnormal"/>
              <w:numPr>
                <w:ilvl w:val="0"/>
                <w:numId w:val="22"/>
              </w:numPr>
              <w:spacing w:after="0"/>
              <w:ind w:left="714" w:hanging="357"/>
              <w:rPr>
                <w:rFonts w:cs="Arial"/>
                <w:sz w:val="20"/>
                <w:szCs w:val="20"/>
                <w:lang w:val="es-ES_tradnl"/>
              </w:rPr>
            </w:pPr>
            <w:r w:rsidRPr="00664447">
              <w:rPr>
                <w:rFonts w:cs="Arial"/>
                <w:sz w:val="20"/>
                <w:szCs w:val="20"/>
                <w:lang w:val="es-ES_tradnl"/>
              </w:rPr>
              <w:t>Sistemas de Tierra.</w:t>
            </w:r>
          </w:p>
          <w:p w14:paraId="5EA59656" w14:textId="7B82D18A" w:rsidR="00320E9B" w:rsidRPr="00664447" w:rsidRDefault="00320E9B" w:rsidP="00141CD2">
            <w:pPr>
              <w:pStyle w:val="aaaIFTnormal"/>
              <w:numPr>
                <w:ilvl w:val="0"/>
                <w:numId w:val="22"/>
              </w:numPr>
              <w:spacing w:after="0"/>
              <w:rPr>
                <w:rFonts w:cs="Arial"/>
                <w:sz w:val="20"/>
                <w:szCs w:val="20"/>
                <w:lang w:val="es-ES_tradnl"/>
              </w:rPr>
            </w:pPr>
            <w:r w:rsidRPr="00664447">
              <w:rPr>
                <w:rFonts w:cs="Arial"/>
                <w:sz w:val="20"/>
                <w:szCs w:val="20"/>
                <w:lang w:val="es-ES_tradnl"/>
              </w:rPr>
              <w:t>Espacio físico o coubicación para alojar el radio.</w:t>
            </w:r>
          </w:p>
          <w:p w14:paraId="1299B522" w14:textId="77777777" w:rsidR="00320E9B" w:rsidRPr="00664447" w:rsidRDefault="00320E9B" w:rsidP="008B6CED">
            <w:pPr>
              <w:spacing w:after="0" w:line="240" w:lineRule="auto"/>
              <w:jc w:val="both"/>
              <w:rPr>
                <w:rFonts w:ascii="Arial" w:hAnsi="Arial" w:cs="Arial"/>
                <w:sz w:val="20"/>
                <w:szCs w:val="20"/>
                <w:lang w:val="es-ES_tradnl"/>
              </w:rPr>
            </w:pPr>
          </w:p>
          <w:p w14:paraId="67F6EE42" w14:textId="352A6125" w:rsidR="00420EF9" w:rsidRPr="00664447" w:rsidRDefault="00420EF9" w:rsidP="00141CD2">
            <w:pPr>
              <w:spacing w:after="0" w:line="240" w:lineRule="auto"/>
              <w:jc w:val="both"/>
              <w:rPr>
                <w:rFonts w:ascii="Arial" w:eastAsia="Times New Roman" w:hAnsi="Arial" w:cs="Arial"/>
                <w:b/>
                <w:strike/>
                <w:sz w:val="20"/>
                <w:szCs w:val="20"/>
                <w:lang w:eastAsia="es-MX"/>
              </w:rPr>
            </w:pPr>
            <w:r w:rsidRPr="00F84FD4">
              <w:rPr>
                <w:rFonts w:ascii="Arial" w:hAnsi="Arial" w:cs="Arial"/>
                <w:sz w:val="20"/>
                <w:szCs w:val="20"/>
                <w:vertAlign w:val="superscript"/>
              </w:rPr>
              <w:t>5</w:t>
            </w:r>
            <w:r w:rsidRPr="00F84FD4">
              <w:rPr>
                <w:rFonts w:ascii="Arial" w:hAnsi="Arial" w:cs="Arial"/>
                <w:sz w:val="20"/>
                <w:szCs w:val="20"/>
              </w:rPr>
              <w:t xml:space="preserve"> Se efectuará el análisis estructural en los casos en que las DM de Telmex y Telnor deban realizarlo para garantizar la integridad física de la misma cuando existan indicios de vulnerabilidad de la estructura que no se deban a falta del debido mantenimiento a la estructura de la torre, o para definir la capacidad que ésta tendría para albergar a los equipos del CS, revisando la carga de los equipos preexistentes, más la carga de los equipos que el CS pretenda instalar.</w:t>
            </w:r>
            <w:r w:rsidRPr="00664447">
              <w:rPr>
                <w:rFonts w:ascii="Arial" w:hAnsi="Arial" w:cs="Arial"/>
                <w:strike/>
                <w:sz w:val="20"/>
                <w:szCs w:val="20"/>
              </w:rPr>
              <w:t xml:space="preserve"> El Análisis Estructural, de ser necesario,</w:t>
            </w:r>
            <w:r w:rsidRPr="00664447">
              <w:rPr>
                <w:rFonts w:ascii="Arial" w:hAnsi="Arial" w:cs="Arial"/>
                <w:b/>
                <w:strike/>
                <w:sz w:val="20"/>
                <w:szCs w:val="20"/>
              </w:rPr>
              <w:t xml:space="preserve"> </w:t>
            </w:r>
            <w:r w:rsidRPr="00664447">
              <w:rPr>
                <w:rFonts w:ascii="Arial" w:hAnsi="Arial" w:cs="Arial"/>
                <w:strike/>
                <w:sz w:val="20"/>
                <w:szCs w:val="20"/>
              </w:rPr>
              <w:t>correrá a cargo de</w:t>
            </w:r>
            <w:r w:rsidR="008B6CED" w:rsidRPr="00664447">
              <w:rPr>
                <w:rFonts w:ascii="Arial" w:hAnsi="Arial" w:cs="Arial"/>
                <w:strike/>
                <w:sz w:val="20"/>
                <w:szCs w:val="20"/>
              </w:rPr>
              <w:t xml:space="preserve"> </w:t>
            </w:r>
            <w:r w:rsidRPr="00664447">
              <w:rPr>
                <w:rFonts w:ascii="Arial" w:hAnsi="Arial" w:cs="Arial"/>
                <w:strike/>
                <w:sz w:val="20"/>
                <w:szCs w:val="20"/>
              </w:rPr>
              <w:t>las DM pues precede la valoración de los Trabajos Especiales, ya sea de Adecuación o Recuperación de Espacio</w:t>
            </w:r>
          </w:p>
        </w:tc>
        <w:tc>
          <w:tcPr>
            <w:tcW w:w="1718" w:type="pct"/>
            <w:tcBorders>
              <w:top w:val="single" w:sz="4" w:space="0" w:color="000000" w:themeColor="text1"/>
            </w:tcBorders>
            <w:vAlign w:val="center"/>
          </w:tcPr>
          <w:p w14:paraId="3E6591DD" w14:textId="04E831BF" w:rsidR="00320E9B" w:rsidRPr="00664447" w:rsidRDefault="00320E9B" w:rsidP="00712368">
            <w:pPr>
              <w:jc w:val="both"/>
              <w:rPr>
                <w:rFonts w:ascii="Arial" w:hAnsi="Arial" w:cs="Arial"/>
                <w:bCs/>
                <w:sz w:val="20"/>
                <w:szCs w:val="20"/>
              </w:rPr>
            </w:pPr>
            <w:r w:rsidRPr="00664447">
              <w:rPr>
                <w:rFonts w:ascii="Arial" w:hAnsi="Arial" w:cs="Arial"/>
                <w:bCs/>
                <w:sz w:val="20"/>
                <w:szCs w:val="20"/>
              </w:rPr>
              <w:t xml:space="preserve">Se solicita </w:t>
            </w:r>
            <w:r w:rsidR="00664447">
              <w:rPr>
                <w:rFonts w:ascii="Arial" w:hAnsi="Arial" w:cs="Arial"/>
                <w:bCs/>
                <w:sz w:val="20"/>
                <w:szCs w:val="20"/>
              </w:rPr>
              <w:t>incorporar e</w:t>
            </w:r>
            <w:r w:rsidR="00F84FD4">
              <w:rPr>
                <w:rFonts w:ascii="Arial" w:hAnsi="Arial" w:cs="Arial"/>
                <w:bCs/>
                <w:sz w:val="20"/>
                <w:szCs w:val="20"/>
              </w:rPr>
              <w:t>l</w:t>
            </w:r>
            <w:r w:rsidR="00664447">
              <w:rPr>
                <w:rFonts w:ascii="Arial" w:hAnsi="Arial" w:cs="Arial"/>
                <w:bCs/>
                <w:sz w:val="20"/>
                <w:szCs w:val="20"/>
              </w:rPr>
              <w:t xml:space="preserve"> </w:t>
            </w:r>
            <w:r w:rsidRPr="00664447">
              <w:rPr>
                <w:rFonts w:ascii="Arial" w:hAnsi="Arial" w:cs="Arial"/>
                <w:bCs/>
                <w:sz w:val="20"/>
                <w:szCs w:val="20"/>
              </w:rPr>
              <w:t>servicio “Elaboración de Proyecto y Presupuesto”</w:t>
            </w:r>
            <w:r w:rsidR="00141CD2" w:rsidRPr="00664447">
              <w:rPr>
                <w:rFonts w:ascii="Arial" w:hAnsi="Arial" w:cs="Arial"/>
                <w:bCs/>
                <w:sz w:val="20"/>
                <w:szCs w:val="20"/>
              </w:rPr>
              <w:t xml:space="preserve"> en los mismo términos y condiciones que el Instituto ha</w:t>
            </w:r>
            <w:r w:rsidRPr="00664447">
              <w:rPr>
                <w:rFonts w:ascii="Arial" w:hAnsi="Arial" w:cs="Arial"/>
                <w:bCs/>
                <w:sz w:val="20"/>
                <w:szCs w:val="20"/>
              </w:rPr>
              <w:t xml:space="preserve"> resuelto para el otro agente regulado</w:t>
            </w:r>
            <w:r w:rsidR="00F84FD4">
              <w:rPr>
                <w:rFonts w:ascii="Arial" w:hAnsi="Arial" w:cs="Arial"/>
                <w:bCs/>
                <w:sz w:val="20"/>
                <w:szCs w:val="20"/>
              </w:rPr>
              <w:t xml:space="preserve"> en la provisión de la compartición de espacios en torres</w:t>
            </w:r>
            <w:r w:rsidR="00141CD2" w:rsidRPr="00664447">
              <w:rPr>
                <w:rFonts w:ascii="Arial" w:hAnsi="Arial" w:cs="Arial"/>
                <w:bCs/>
                <w:sz w:val="20"/>
                <w:szCs w:val="20"/>
              </w:rPr>
              <w:t>.</w:t>
            </w:r>
          </w:p>
          <w:p w14:paraId="41B78B28" w14:textId="47CAF9D6" w:rsidR="0009167D" w:rsidRDefault="00BA0BED" w:rsidP="0009167D">
            <w:pPr>
              <w:spacing w:after="0" w:line="240" w:lineRule="auto"/>
              <w:jc w:val="both"/>
              <w:rPr>
                <w:rFonts w:ascii="Arial" w:eastAsia="Times New Roman" w:hAnsi="Arial" w:cs="Arial"/>
                <w:color w:val="000000"/>
                <w:sz w:val="20"/>
                <w:szCs w:val="20"/>
                <w:lang w:eastAsia="es-MX"/>
              </w:rPr>
            </w:pPr>
            <w:r w:rsidRPr="00F42CD3">
              <w:rPr>
                <w:rFonts w:ascii="Arial" w:hAnsi="Arial" w:cs="Arial"/>
                <w:sz w:val="20"/>
                <w:szCs w:val="20"/>
              </w:rPr>
              <w:t xml:space="preserve">El estudio de </w:t>
            </w:r>
            <w:r w:rsidRPr="00F42CD3">
              <w:rPr>
                <w:rFonts w:ascii="Arial" w:hAnsi="Arial" w:cs="Arial"/>
                <w:sz w:val="20"/>
                <w:szCs w:val="20"/>
              </w:rPr>
              <w:t>Elaboración de Proyecto y Presupuesto</w:t>
            </w:r>
            <w:r w:rsidRPr="00F42CD3">
              <w:rPr>
                <w:rFonts w:ascii="Arial" w:eastAsia="Times New Roman" w:hAnsi="Arial" w:cs="Arial"/>
                <w:color w:val="000000"/>
                <w:sz w:val="20"/>
                <w:szCs w:val="20"/>
                <w:lang w:eastAsia="es-MX"/>
              </w:rPr>
              <w:t xml:space="preserve"> </w:t>
            </w:r>
            <w:r w:rsidR="0009167D" w:rsidRPr="00F42CD3">
              <w:rPr>
                <w:rFonts w:ascii="Arial" w:eastAsia="Times New Roman" w:hAnsi="Arial" w:cs="Arial"/>
                <w:color w:val="000000"/>
                <w:sz w:val="20"/>
                <w:szCs w:val="20"/>
                <w:lang w:eastAsia="es-MX"/>
              </w:rPr>
              <w:t>se realiza solo cuando la estructura de la torre tenga características que pudieran llegar a vulnerar la normatividad técnica, como pueden ser; la antigüedad de la estructura metálica, factores climáticos, y un grado alto de ocupación</w:t>
            </w:r>
            <w:r w:rsidR="00935630" w:rsidRPr="00F42CD3">
              <w:rPr>
                <w:rFonts w:ascii="Arial" w:eastAsia="Times New Roman" w:hAnsi="Arial" w:cs="Arial"/>
                <w:color w:val="000000"/>
                <w:sz w:val="20"/>
                <w:szCs w:val="20"/>
                <w:lang w:eastAsia="es-MX"/>
              </w:rPr>
              <w:t>, para el reforzamiento de la torre o para la recuperación de espacio en la torre.</w:t>
            </w:r>
          </w:p>
          <w:p w14:paraId="036EE614" w14:textId="77777777" w:rsidR="001F322B" w:rsidRPr="00F42CD3" w:rsidRDefault="001F322B" w:rsidP="0009167D">
            <w:pPr>
              <w:spacing w:after="0" w:line="240" w:lineRule="auto"/>
              <w:jc w:val="both"/>
              <w:rPr>
                <w:rFonts w:ascii="Arial" w:eastAsia="Times New Roman" w:hAnsi="Arial" w:cs="Arial"/>
                <w:color w:val="000000"/>
                <w:sz w:val="20"/>
                <w:szCs w:val="20"/>
                <w:lang w:eastAsia="es-MX"/>
              </w:rPr>
            </w:pPr>
          </w:p>
          <w:p w14:paraId="6586AF12" w14:textId="43D9961C" w:rsidR="00F84FD4" w:rsidRPr="00F42CD3" w:rsidRDefault="00935630" w:rsidP="00F42CD3">
            <w:pPr>
              <w:spacing w:after="0" w:line="240" w:lineRule="auto"/>
              <w:jc w:val="both"/>
              <w:rPr>
                <w:rFonts w:ascii="Arial" w:eastAsia="Times New Roman" w:hAnsi="Arial" w:cs="Arial"/>
                <w:color w:val="000000"/>
                <w:sz w:val="20"/>
                <w:szCs w:val="20"/>
                <w:lang w:eastAsia="es-MX"/>
              </w:rPr>
            </w:pPr>
            <w:r w:rsidRPr="00F42CD3">
              <w:rPr>
                <w:rFonts w:ascii="Arial" w:eastAsia="Times New Roman" w:hAnsi="Arial" w:cs="Arial"/>
                <w:color w:val="000000"/>
                <w:sz w:val="20"/>
                <w:szCs w:val="20"/>
                <w:lang w:eastAsia="es-MX"/>
              </w:rPr>
              <w:t xml:space="preserve">El </w:t>
            </w:r>
            <w:r w:rsidRPr="00F42CD3">
              <w:rPr>
                <w:rFonts w:ascii="Arial" w:eastAsia="Times New Roman" w:hAnsi="Arial" w:cs="Arial"/>
                <w:color w:val="000000"/>
                <w:sz w:val="20"/>
                <w:szCs w:val="20"/>
                <w:lang w:eastAsia="es-MX"/>
              </w:rPr>
              <w:t xml:space="preserve">servicio de Elaboración de Proyecto y </w:t>
            </w:r>
            <w:r w:rsidRPr="00F42CD3">
              <w:rPr>
                <w:rFonts w:ascii="Arial" w:eastAsia="Times New Roman" w:hAnsi="Arial" w:cs="Arial"/>
                <w:color w:val="000000"/>
                <w:sz w:val="20"/>
                <w:szCs w:val="20"/>
                <w:lang w:eastAsia="es-MX"/>
              </w:rPr>
              <w:t xml:space="preserve">Presupuesto  es un </w:t>
            </w:r>
            <w:r w:rsidRPr="00F42CD3">
              <w:rPr>
                <w:rFonts w:ascii="Arial" w:eastAsia="Times New Roman" w:hAnsi="Arial" w:cs="Arial"/>
                <w:color w:val="000000"/>
                <w:sz w:val="20"/>
                <w:szCs w:val="20"/>
                <w:lang w:eastAsia="es-MX"/>
              </w:rPr>
              <w:t>estudio técnico que elabora un profesional técnico con conocimientos de mecánica</w:t>
            </w:r>
            <w:r w:rsidRPr="00F42CD3">
              <w:rPr>
                <w:rFonts w:ascii="Arial" w:eastAsia="Times New Roman" w:hAnsi="Arial" w:cs="Arial"/>
                <w:color w:val="000000"/>
                <w:sz w:val="20"/>
                <w:szCs w:val="20"/>
                <w:lang w:eastAsia="es-MX"/>
              </w:rPr>
              <w:t xml:space="preserve"> y para el caso de Telmex /Telnor</w:t>
            </w:r>
            <w:r w:rsidR="00E443EF">
              <w:rPr>
                <w:rFonts w:ascii="Arial" w:eastAsia="Times New Roman" w:hAnsi="Arial" w:cs="Arial"/>
                <w:color w:val="000000"/>
                <w:sz w:val="20"/>
                <w:szCs w:val="20"/>
                <w:lang w:eastAsia="es-MX"/>
              </w:rPr>
              <w:t xml:space="preserve"> se</w:t>
            </w:r>
            <w:r w:rsidRPr="00F42CD3">
              <w:rPr>
                <w:rFonts w:ascii="Arial" w:eastAsia="Times New Roman" w:hAnsi="Arial" w:cs="Arial"/>
                <w:color w:val="000000"/>
                <w:sz w:val="20"/>
                <w:szCs w:val="20"/>
                <w:lang w:eastAsia="es-MX"/>
              </w:rPr>
              <w:t xml:space="preserve"> realiza a través de un tercero y así poder determinar</w:t>
            </w:r>
            <w:r w:rsidRPr="00F42CD3">
              <w:rPr>
                <w:rFonts w:ascii="Arial" w:eastAsia="Times New Roman" w:hAnsi="Arial" w:cs="Arial"/>
                <w:color w:val="000000"/>
                <w:sz w:val="20"/>
                <w:szCs w:val="20"/>
                <w:lang w:eastAsia="es-MX"/>
              </w:rPr>
              <w:t xml:space="preserve"> las condiciones </w:t>
            </w:r>
            <w:r w:rsidR="00E443EF">
              <w:rPr>
                <w:rFonts w:ascii="Arial" w:eastAsia="Times New Roman" w:hAnsi="Arial" w:cs="Arial"/>
                <w:color w:val="000000"/>
                <w:sz w:val="20"/>
                <w:szCs w:val="20"/>
                <w:lang w:eastAsia="es-MX"/>
              </w:rPr>
              <w:t xml:space="preserve">para la ocupación de </w:t>
            </w:r>
            <w:r w:rsidRPr="00F42CD3">
              <w:rPr>
                <w:rFonts w:ascii="Arial" w:eastAsia="Times New Roman" w:hAnsi="Arial" w:cs="Arial"/>
                <w:color w:val="000000"/>
                <w:sz w:val="20"/>
                <w:szCs w:val="20"/>
                <w:lang w:eastAsia="es-MX"/>
              </w:rPr>
              <w:t xml:space="preserve"> la</w:t>
            </w:r>
            <w:r w:rsidRPr="00F42CD3">
              <w:rPr>
                <w:rFonts w:ascii="Arial" w:eastAsia="Times New Roman" w:hAnsi="Arial" w:cs="Arial"/>
                <w:color w:val="000000"/>
                <w:sz w:val="20"/>
                <w:szCs w:val="20"/>
                <w:lang w:eastAsia="es-MX"/>
              </w:rPr>
              <w:t xml:space="preserve"> Torre, que dicho </w:t>
            </w:r>
            <w:r w:rsidR="00E443EF">
              <w:rPr>
                <w:rFonts w:ascii="Arial" w:eastAsia="Times New Roman" w:hAnsi="Arial" w:cs="Arial"/>
                <w:color w:val="000000"/>
                <w:sz w:val="20"/>
                <w:szCs w:val="20"/>
                <w:lang w:eastAsia="es-MX"/>
              </w:rPr>
              <w:t xml:space="preserve">lo anterior, </w:t>
            </w:r>
            <w:r w:rsidR="003B0857" w:rsidRPr="00F42CD3">
              <w:rPr>
                <w:rFonts w:ascii="Arial" w:eastAsia="Times New Roman" w:hAnsi="Arial" w:cs="Arial"/>
                <w:color w:val="000000"/>
                <w:sz w:val="20"/>
                <w:szCs w:val="20"/>
                <w:lang w:eastAsia="es-MX"/>
              </w:rPr>
              <w:t xml:space="preserve">este </w:t>
            </w:r>
            <w:r w:rsidRPr="00F42CD3">
              <w:rPr>
                <w:rFonts w:ascii="Arial" w:eastAsia="Times New Roman" w:hAnsi="Arial" w:cs="Arial"/>
                <w:color w:val="000000"/>
                <w:sz w:val="20"/>
                <w:szCs w:val="20"/>
                <w:lang w:eastAsia="es-MX"/>
              </w:rPr>
              <w:t>estudio es diametralmente distinto y mucho más complejo que el Análisis de Factibilidad</w:t>
            </w:r>
            <w:r w:rsidR="003B0857" w:rsidRPr="00F42CD3">
              <w:rPr>
                <w:rFonts w:ascii="Arial" w:eastAsia="Times New Roman" w:hAnsi="Arial" w:cs="Arial"/>
                <w:color w:val="000000"/>
                <w:sz w:val="20"/>
                <w:szCs w:val="20"/>
                <w:lang w:eastAsia="es-MX"/>
              </w:rPr>
              <w:t>.</w:t>
            </w:r>
          </w:p>
          <w:p w14:paraId="68BBE63A" w14:textId="77777777" w:rsidR="003B0857" w:rsidRPr="00F42CD3" w:rsidRDefault="003B0857" w:rsidP="00F42CD3">
            <w:pPr>
              <w:spacing w:after="0" w:line="240" w:lineRule="auto"/>
              <w:jc w:val="both"/>
              <w:rPr>
                <w:rFonts w:ascii="Arial" w:eastAsia="Times New Roman" w:hAnsi="Arial" w:cs="Arial"/>
                <w:color w:val="000000"/>
                <w:sz w:val="20"/>
                <w:szCs w:val="20"/>
                <w:highlight w:val="yellow"/>
                <w:lang w:eastAsia="es-MX"/>
              </w:rPr>
            </w:pPr>
          </w:p>
          <w:p w14:paraId="7D0251AC" w14:textId="0D608764" w:rsidR="00BA0BED" w:rsidRDefault="00F84FD4" w:rsidP="00712368">
            <w:pPr>
              <w:jc w:val="both"/>
              <w:rPr>
                <w:rFonts w:ascii="Arial" w:hAnsi="Arial" w:cs="Arial"/>
                <w:bCs/>
                <w:sz w:val="20"/>
                <w:szCs w:val="20"/>
              </w:rPr>
            </w:pPr>
            <w:r>
              <w:rPr>
                <w:rFonts w:ascii="Arial" w:hAnsi="Arial" w:cs="Arial"/>
                <w:bCs/>
                <w:sz w:val="20"/>
                <w:szCs w:val="20"/>
              </w:rPr>
              <w:t>El Instituto resolvió para el otro agente</w:t>
            </w:r>
            <w:r w:rsidR="00BA0BED">
              <w:rPr>
                <w:rFonts w:ascii="Arial" w:hAnsi="Arial" w:cs="Arial"/>
                <w:bCs/>
                <w:sz w:val="20"/>
                <w:szCs w:val="20"/>
              </w:rPr>
              <w:t>,</w:t>
            </w:r>
            <w:r>
              <w:rPr>
                <w:rFonts w:ascii="Arial" w:hAnsi="Arial" w:cs="Arial"/>
                <w:bCs/>
                <w:sz w:val="20"/>
                <w:szCs w:val="20"/>
              </w:rPr>
              <w:t xml:space="preserve"> </w:t>
            </w:r>
            <w:r w:rsidR="00347EE7">
              <w:rPr>
                <w:rFonts w:ascii="Arial" w:hAnsi="Arial" w:cs="Arial"/>
                <w:bCs/>
                <w:sz w:val="20"/>
                <w:szCs w:val="20"/>
              </w:rPr>
              <w:t>que el servicio de revisión y análisis estructural para la adecuación del sitio fuera un servicio a cargo del CS con una tarifa de $92,957 pesos por evento</w:t>
            </w:r>
            <w:r w:rsidR="00E443EF">
              <w:rPr>
                <w:rFonts w:ascii="Arial" w:hAnsi="Arial" w:cs="Arial"/>
                <w:bCs/>
                <w:sz w:val="20"/>
                <w:szCs w:val="20"/>
              </w:rPr>
              <w:t>.</w:t>
            </w:r>
          </w:p>
          <w:p w14:paraId="071F5A68" w14:textId="681E6D64" w:rsidR="00AD7EB2" w:rsidRPr="00664447" w:rsidRDefault="00141CD2" w:rsidP="00141CD2">
            <w:pPr>
              <w:jc w:val="both"/>
              <w:rPr>
                <w:rFonts w:ascii="Arial" w:hAnsi="Arial" w:cs="Arial"/>
                <w:bCs/>
                <w:sz w:val="20"/>
                <w:szCs w:val="20"/>
              </w:rPr>
            </w:pPr>
            <w:r w:rsidRPr="00664447">
              <w:rPr>
                <w:rFonts w:ascii="Arial" w:hAnsi="Arial" w:cs="Arial"/>
                <w:bCs/>
                <w:sz w:val="20"/>
                <w:szCs w:val="20"/>
              </w:rPr>
              <w:t xml:space="preserve">El </w:t>
            </w:r>
            <w:r w:rsidR="00AD7EB2" w:rsidRPr="00664447">
              <w:rPr>
                <w:rFonts w:ascii="Arial" w:hAnsi="Arial" w:cs="Arial"/>
                <w:bCs/>
                <w:sz w:val="20"/>
                <w:szCs w:val="20"/>
              </w:rPr>
              <w:t xml:space="preserve">Instituto </w:t>
            </w:r>
            <w:r w:rsidRPr="00664447">
              <w:rPr>
                <w:rFonts w:ascii="Arial" w:hAnsi="Arial" w:cs="Arial"/>
                <w:bCs/>
                <w:sz w:val="20"/>
                <w:szCs w:val="20"/>
              </w:rPr>
              <w:t xml:space="preserve">debe de tener en cuenta en su resolución </w:t>
            </w:r>
            <w:r w:rsidR="00AD7EB2" w:rsidRPr="00664447">
              <w:rPr>
                <w:rFonts w:ascii="Arial" w:hAnsi="Arial" w:cs="Arial"/>
                <w:bCs/>
                <w:sz w:val="20"/>
                <w:szCs w:val="20"/>
              </w:rPr>
              <w:t>que el costo de un Análisis Estructural puede ser de más de $80,000 pesos y que dicha actividad no puede estar considerada en la contraprestación del “Análisis de Factibilidad“, cuya tarifa es de $5,362.52 pesos.</w:t>
            </w:r>
          </w:p>
        </w:tc>
      </w:tr>
      <w:tr w:rsidR="00651CC0" w:rsidRPr="00F42CD3" w14:paraId="346D2329" w14:textId="77777777" w:rsidTr="00361D0B">
        <w:trPr>
          <w:trHeight w:val="1650"/>
        </w:trPr>
        <w:tc>
          <w:tcPr>
            <w:tcW w:w="260" w:type="pct"/>
            <w:vAlign w:val="center"/>
          </w:tcPr>
          <w:p w14:paraId="0A70172F" w14:textId="3DF81999" w:rsidR="00651CC0" w:rsidRPr="00F42CD3" w:rsidRDefault="00BA0BED" w:rsidP="00540EDE">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w:t>
            </w:r>
          </w:p>
        </w:tc>
        <w:tc>
          <w:tcPr>
            <w:tcW w:w="658" w:type="pct"/>
            <w:vAlign w:val="center"/>
          </w:tcPr>
          <w:p w14:paraId="59EA9E0E" w14:textId="77777777" w:rsidR="00651CC0" w:rsidRPr="00F42CD3" w:rsidRDefault="00651CC0" w:rsidP="00651CC0">
            <w:pPr>
              <w:pStyle w:val="aaaIFTnormal"/>
              <w:spacing w:after="0"/>
              <w:outlineLvl w:val="4"/>
              <w:rPr>
                <w:rFonts w:cs="Arial"/>
                <w:b/>
                <w:sz w:val="20"/>
                <w:szCs w:val="20"/>
                <w:lang w:val="es-ES_tradnl"/>
              </w:rPr>
            </w:pPr>
            <w:bookmarkStart w:id="35" w:name="_Toc50574989"/>
            <w:bookmarkStart w:id="36" w:name="_Toc139281174"/>
            <w:r w:rsidRPr="00F42CD3">
              <w:rPr>
                <w:rFonts w:eastAsia="Times New Roman" w:cs="Arial"/>
                <w:bCs w:val="0"/>
                <w:color w:val="000000"/>
                <w:sz w:val="20"/>
                <w:szCs w:val="20"/>
                <w:lang w:eastAsia="es-MX"/>
              </w:rPr>
              <w:t>V.3.1.1. Criterios para determinar la Visita Técnica</w:t>
            </w:r>
            <w:bookmarkEnd w:id="35"/>
            <w:bookmarkEnd w:id="36"/>
          </w:p>
          <w:p w14:paraId="093619DA" w14:textId="77777777" w:rsidR="00651CC0" w:rsidRPr="00F42CD3" w:rsidRDefault="00651CC0" w:rsidP="00420EF9">
            <w:pPr>
              <w:spacing w:after="0" w:line="240" w:lineRule="auto"/>
              <w:rPr>
                <w:rFonts w:ascii="Arial" w:eastAsia="Times New Roman" w:hAnsi="Arial" w:cs="Arial"/>
                <w:color w:val="000000"/>
                <w:sz w:val="20"/>
                <w:szCs w:val="20"/>
                <w:lang w:val="es-ES_tradnl" w:eastAsia="es-MX"/>
              </w:rPr>
            </w:pPr>
          </w:p>
        </w:tc>
        <w:tc>
          <w:tcPr>
            <w:tcW w:w="804" w:type="pct"/>
            <w:shd w:val="clear" w:color="auto" w:fill="auto"/>
            <w:vAlign w:val="center"/>
          </w:tcPr>
          <w:p w14:paraId="7B8A8760" w14:textId="77777777" w:rsidR="00651CC0" w:rsidRPr="00F42CD3" w:rsidRDefault="00651CC0" w:rsidP="00B64AEE">
            <w:pPr>
              <w:pStyle w:val="IFTnormal"/>
              <w:spacing w:after="0"/>
              <w:jc w:val="center"/>
              <w:rPr>
                <w:rFonts w:ascii="Arial" w:eastAsia="Times New Roman" w:hAnsi="Arial" w:cs="Arial"/>
                <w:color w:val="000000"/>
                <w:sz w:val="20"/>
                <w:szCs w:val="20"/>
                <w:lang w:eastAsia="es-MX"/>
              </w:rPr>
            </w:pPr>
          </w:p>
        </w:tc>
        <w:tc>
          <w:tcPr>
            <w:tcW w:w="1560" w:type="pct"/>
            <w:shd w:val="clear" w:color="auto" w:fill="auto"/>
            <w:vAlign w:val="center"/>
          </w:tcPr>
          <w:p w14:paraId="03FF29C2" w14:textId="77777777" w:rsidR="00651CC0" w:rsidRPr="00664447" w:rsidRDefault="00651CC0" w:rsidP="00651CC0">
            <w:pPr>
              <w:pStyle w:val="aaaIFTnormal"/>
              <w:spacing w:after="0"/>
              <w:outlineLvl w:val="4"/>
              <w:rPr>
                <w:rFonts w:cs="Arial"/>
                <w:b/>
                <w:sz w:val="20"/>
                <w:szCs w:val="20"/>
                <w:lang w:val="es-ES_tradnl"/>
              </w:rPr>
            </w:pPr>
            <w:r w:rsidRPr="00664447">
              <w:rPr>
                <w:rFonts w:cs="Arial"/>
                <w:b/>
                <w:sz w:val="20"/>
                <w:szCs w:val="20"/>
                <w:lang w:val="es-ES_tradnl"/>
              </w:rPr>
              <w:t>V.3.1.1. Criterios para determinar la Visita Técnica</w:t>
            </w:r>
          </w:p>
          <w:p w14:paraId="02265AC3" w14:textId="77777777" w:rsidR="00651CC0" w:rsidRPr="00664447" w:rsidRDefault="00651CC0" w:rsidP="008B6CED">
            <w:pPr>
              <w:spacing w:after="0" w:line="240" w:lineRule="auto"/>
              <w:jc w:val="both"/>
              <w:rPr>
                <w:rFonts w:ascii="Arial" w:hAnsi="Arial" w:cs="Arial"/>
                <w:sz w:val="20"/>
                <w:szCs w:val="20"/>
              </w:rPr>
            </w:pPr>
            <w:r w:rsidRPr="00664447">
              <w:rPr>
                <w:rFonts w:ascii="Arial" w:hAnsi="Arial" w:cs="Arial"/>
                <w:sz w:val="20"/>
                <w:szCs w:val="20"/>
              </w:rPr>
              <w:t>…</w:t>
            </w:r>
          </w:p>
          <w:p w14:paraId="6B7C4F75" w14:textId="77777777" w:rsidR="00651CC0" w:rsidRPr="00664447" w:rsidRDefault="00651CC0" w:rsidP="008B6CED">
            <w:pPr>
              <w:spacing w:after="0" w:line="240" w:lineRule="auto"/>
              <w:jc w:val="both"/>
              <w:rPr>
                <w:rFonts w:ascii="Arial" w:hAnsi="Arial" w:cs="Arial"/>
                <w:sz w:val="20"/>
                <w:szCs w:val="20"/>
              </w:rPr>
            </w:pPr>
            <w:r w:rsidRPr="00664447">
              <w:rPr>
                <w:rFonts w:ascii="Arial" w:hAnsi="Arial" w:cs="Arial"/>
                <w:sz w:val="20"/>
                <w:szCs w:val="20"/>
              </w:rPr>
              <w:t>…</w:t>
            </w:r>
          </w:p>
          <w:p w14:paraId="0C785D26" w14:textId="4BA946C6" w:rsidR="00651CC0" w:rsidRPr="00BA0BED" w:rsidRDefault="00651CC0" w:rsidP="00F42CD3">
            <w:pPr>
              <w:pStyle w:val="aaaIFTnormal"/>
              <w:tabs>
                <w:tab w:val="left" w:pos="8647"/>
              </w:tabs>
              <w:spacing w:after="0"/>
            </w:pPr>
            <w:r w:rsidRPr="00664447">
              <w:rPr>
                <w:rFonts w:cs="Arial"/>
                <w:sz w:val="20"/>
                <w:szCs w:val="20"/>
              </w:rPr>
              <w:t xml:space="preserve">Adicionalmente, el </w:t>
            </w:r>
            <w:r w:rsidRPr="00664447" w:rsidDel="0068201B">
              <w:rPr>
                <w:rFonts w:cs="Arial"/>
                <w:sz w:val="20"/>
                <w:szCs w:val="20"/>
              </w:rPr>
              <w:t>CS</w:t>
            </w:r>
            <w:r w:rsidRPr="00664447">
              <w:rPr>
                <w:rFonts w:cs="Arial"/>
                <w:sz w:val="20"/>
                <w:szCs w:val="20"/>
              </w:rPr>
              <w:t xml:space="preserve"> o AS podrá solicitar Visita Técnica para analizar la información registrada en el SEG, con costo a su cargo. En caso de que la </w:t>
            </w:r>
            <w:r w:rsidRPr="00664447">
              <w:rPr>
                <w:rFonts w:cs="Arial"/>
                <w:sz w:val="20"/>
                <w:szCs w:val="20"/>
              </w:rPr>
              <w:lastRenderedPageBreak/>
              <w:t xml:space="preserve">información haya sido inconsistente con lo obtenido en el SEG, la Visita Técnica no tendrá cargo para el CS o AS, siendo la División Mayorista quien deberá actualizar la información en el SEG y dar aviso a través del SEG de las adecuaciones realizadas a más tardar en dos días hábiles </w:t>
            </w:r>
            <w:r w:rsidRPr="00664447">
              <w:rPr>
                <w:rFonts w:eastAsia="Times New Roman" w:cs="Arial"/>
                <w:b/>
                <w:bCs w:val="0"/>
                <w:color w:val="548DD4" w:themeColor="text2" w:themeTint="99"/>
                <w:sz w:val="20"/>
                <w:szCs w:val="20"/>
                <w:lang w:eastAsia="es-MX"/>
              </w:rPr>
              <w:t>contados a partir del día hábil siguiente</w:t>
            </w:r>
            <w:r w:rsidRPr="00664447">
              <w:rPr>
                <w:rFonts w:cs="Arial"/>
                <w:sz w:val="20"/>
                <w:szCs w:val="20"/>
              </w:rPr>
              <w:t xml:space="preserve"> </w:t>
            </w:r>
            <w:r w:rsidRPr="00664447">
              <w:rPr>
                <w:rFonts w:cs="Arial"/>
                <w:strike/>
                <w:sz w:val="20"/>
                <w:szCs w:val="20"/>
              </w:rPr>
              <w:t>después de haber verificado</w:t>
            </w:r>
            <w:r w:rsidRPr="00664447">
              <w:rPr>
                <w:rFonts w:cs="Arial"/>
                <w:sz w:val="20"/>
                <w:szCs w:val="20"/>
              </w:rPr>
              <w:t xml:space="preserve"> a la </w:t>
            </w:r>
            <w:r w:rsidRPr="00664447">
              <w:rPr>
                <w:rFonts w:cs="Arial"/>
                <w:strike/>
                <w:sz w:val="20"/>
                <w:szCs w:val="20"/>
              </w:rPr>
              <w:t>información durante la</w:t>
            </w:r>
            <w:r w:rsidRPr="00664447">
              <w:rPr>
                <w:rFonts w:cs="Arial"/>
                <w:sz w:val="20"/>
                <w:szCs w:val="20"/>
              </w:rPr>
              <w:t xml:space="preserve"> Visita Técnica. </w:t>
            </w:r>
          </w:p>
        </w:tc>
        <w:tc>
          <w:tcPr>
            <w:tcW w:w="1718" w:type="pct"/>
            <w:tcBorders>
              <w:top w:val="single" w:sz="4" w:space="0" w:color="000000" w:themeColor="text1"/>
            </w:tcBorders>
            <w:vAlign w:val="center"/>
          </w:tcPr>
          <w:p w14:paraId="05D7F0AF" w14:textId="77777777" w:rsidR="00E443EF" w:rsidRDefault="00E443EF" w:rsidP="00651CC0">
            <w:pPr>
              <w:spacing w:after="0" w:line="240" w:lineRule="auto"/>
              <w:jc w:val="both"/>
              <w:rPr>
                <w:rFonts w:ascii="Arial" w:eastAsia="Times New Roman" w:hAnsi="Arial" w:cs="Arial"/>
                <w:sz w:val="20"/>
                <w:szCs w:val="20"/>
                <w:lang w:eastAsia="es-MX"/>
              </w:rPr>
            </w:pPr>
          </w:p>
          <w:p w14:paraId="48391EEC" w14:textId="77777777" w:rsidR="00E443EF" w:rsidRDefault="00E443EF" w:rsidP="00651CC0">
            <w:pPr>
              <w:spacing w:after="0" w:line="240" w:lineRule="auto"/>
              <w:jc w:val="both"/>
              <w:rPr>
                <w:rFonts w:ascii="Arial" w:eastAsia="Times New Roman" w:hAnsi="Arial" w:cs="Arial"/>
                <w:sz w:val="20"/>
                <w:szCs w:val="20"/>
                <w:lang w:eastAsia="es-MX"/>
              </w:rPr>
            </w:pPr>
          </w:p>
          <w:p w14:paraId="52642A29" w14:textId="77777777" w:rsidR="00E443EF" w:rsidRDefault="00E443EF" w:rsidP="00651CC0">
            <w:pPr>
              <w:spacing w:after="0" w:line="240" w:lineRule="auto"/>
              <w:jc w:val="both"/>
              <w:rPr>
                <w:rFonts w:ascii="Arial" w:eastAsia="Times New Roman" w:hAnsi="Arial" w:cs="Arial"/>
                <w:sz w:val="20"/>
                <w:szCs w:val="20"/>
                <w:lang w:eastAsia="es-MX"/>
              </w:rPr>
            </w:pPr>
          </w:p>
          <w:p w14:paraId="67B24C58" w14:textId="77777777" w:rsidR="00E443EF" w:rsidRDefault="00E443EF" w:rsidP="00651CC0">
            <w:pPr>
              <w:spacing w:after="0" w:line="240" w:lineRule="auto"/>
              <w:jc w:val="both"/>
              <w:rPr>
                <w:rFonts w:ascii="Arial" w:eastAsia="Times New Roman" w:hAnsi="Arial" w:cs="Arial"/>
                <w:sz w:val="20"/>
                <w:szCs w:val="20"/>
                <w:lang w:eastAsia="es-MX"/>
              </w:rPr>
            </w:pPr>
          </w:p>
          <w:p w14:paraId="3E27C9EC" w14:textId="77777777" w:rsidR="00E443EF" w:rsidRDefault="00E443EF" w:rsidP="00651CC0">
            <w:pPr>
              <w:spacing w:after="0" w:line="240" w:lineRule="auto"/>
              <w:jc w:val="both"/>
              <w:rPr>
                <w:rFonts w:ascii="Arial" w:eastAsia="Times New Roman" w:hAnsi="Arial" w:cs="Arial"/>
                <w:sz w:val="20"/>
                <w:szCs w:val="20"/>
                <w:lang w:eastAsia="es-MX"/>
              </w:rPr>
            </w:pPr>
          </w:p>
          <w:p w14:paraId="177A498A" w14:textId="77777777" w:rsidR="00E443EF" w:rsidRDefault="00E443EF" w:rsidP="00651CC0">
            <w:pPr>
              <w:spacing w:after="0" w:line="240" w:lineRule="auto"/>
              <w:jc w:val="both"/>
              <w:rPr>
                <w:rFonts w:ascii="Arial" w:eastAsia="Times New Roman" w:hAnsi="Arial" w:cs="Arial"/>
                <w:sz w:val="20"/>
                <w:szCs w:val="20"/>
                <w:lang w:eastAsia="es-MX"/>
              </w:rPr>
            </w:pPr>
          </w:p>
          <w:p w14:paraId="4963EEB3" w14:textId="77777777" w:rsidR="00E443EF" w:rsidRDefault="00E443EF" w:rsidP="00651CC0">
            <w:pPr>
              <w:spacing w:after="0" w:line="240" w:lineRule="auto"/>
              <w:jc w:val="both"/>
              <w:rPr>
                <w:rFonts w:ascii="Arial" w:eastAsia="Times New Roman" w:hAnsi="Arial" w:cs="Arial"/>
                <w:sz w:val="20"/>
                <w:szCs w:val="20"/>
                <w:lang w:eastAsia="es-MX"/>
              </w:rPr>
            </w:pPr>
          </w:p>
          <w:p w14:paraId="4CC4EF90" w14:textId="36FF93DA" w:rsidR="00F84FD4" w:rsidRPr="00F42CD3" w:rsidRDefault="00276F87" w:rsidP="00651CC0">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MX"/>
              </w:rPr>
              <w:lastRenderedPageBreak/>
              <w:t>El</w:t>
            </w:r>
            <w:r w:rsidR="00F84FD4">
              <w:rPr>
                <w:rFonts w:ascii="Arial" w:eastAsia="Times New Roman" w:hAnsi="Arial" w:cs="Arial"/>
                <w:sz w:val="20"/>
                <w:szCs w:val="20"/>
                <w:lang w:eastAsia="es-MX"/>
              </w:rPr>
              <w:t xml:space="preserve"> Instituto ha resuelto términos y condiciones distintos </w:t>
            </w:r>
            <w:r>
              <w:rPr>
                <w:rFonts w:ascii="Arial" w:eastAsia="Times New Roman" w:hAnsi="Arial" w:cs="Arial"/>
                <w:sz w:val="20"/>
                <w:szCs w:val="20"/>
                <w:lang w:eastAsia="es-MX"/>
              </w:rPr>
              <w:t>en</w:t>
            </w:r>
            <w:r>
              <w:rPr>
                <w:rFonts w:ascii="Arial" w:eastAsia="Times New Roman" w:hAnsi="Arial" w:cs="Arial"/>
                <w:sz w:val="20"/>
                <w:szCs w:val="20"/>
                <w:lang w:eastAsia="es-MX"/>
              </w:rPr>
              <w:t xml:space="preserve"> </w:t>
            </w:r>
            <w:r w:rsidR="00F84FD4">
              <w:rPr>
                <w:rFonts w:ascii="Arial" w:eastAsia="Times New Roman" w:hAnsi="Arial" w:cs="Arial"/>
                <w:sz w:val="20"/>
                <w:szCs w:val="20"/>
                <w:lang w:eastAsia="es-MX"/>
              </w:rPr>
              <w:t>las ofertas de referencia</w:t>
            </w:r>
            <w:r>
              <w:rPr>
                <w:rFonts w:ascii="Arial" w:eastAsia="Times New Roman" w:hAnsi="Arial" w:cs="Arial"/>
                <w:sz w:val="20"/>
                <w:szCs w:val="20"/>
                <w:lang w:eastAsia="es-MX"/>
              </w:rPr>
              <w:t xml:space="preserve"> respecto al inicio de la contabilización de los plazos, el propósito del cambio</w:t>
            </w:r>
            <w:r w:rsidR="00E443EF">
              <w:rPr>
                <w:rFonts w:ascii="Arial" w:eastAsia="Times New Roman" w:hAnsi="Arial" w:cs="Arial"/>
                <w:sz w:val="20"/>
                <w:szCs w:val="20"/>
                <w:lang w:eastAsia="es-MX"/>
              </w:rPr>
              <w:t xml:space="preserve"> solicitado, es el de</w:t>
            </w:r>
            <w:r>
              <w:rPr>
                <w:rFonts w:ascii="Arial" w:eastAsia="Times New Roman" w:hAnsi="Arial" w:cs="Arial"/>
                <w:sz w:val="20"/>
                <w:szCs w:val="20"/>
                <w:lang w:eastAsia="es-MX"/>
              </w:rPr>
              <w:t xml:space="preserve"> generar certidumbre</w:t>
            </w:r>
            <w:r w:rsidR="00E443EF">
              <w:rPr>
                <w:rFonts w:ascii="Arial" w:eastAsia="Times New Roman" w:hAnsi="Arial" w:cs="Arial"/>
                <w:sz w:val="20"/>
                <w:szCs w:val="20"/>
                <w:lang w:eastAsia="es-MX"/>
              </w:rPr>
              <w:t xml:space="preserve"> tanto para los CS, e</w:t>
            </w:r>
            <w:r>
              <w:rPr>
                <w:rFonts w:ascii="Arial" w:eastAsia="Times New Roman" w:hAnsi="Arial" w:cs="Arial"/>
                <w:sz w:val="20"/>
                <w:szCs w:val="20"/>
                <w:lang w:eastAsia="es-MX"/>
              </w:rPr>
              <w:t>l Instituto y Telmex /Telnor para los contabilización de los día estipulados en lo parámetros de calidad</w:t>
            </w:r>
            <w:r w:rsidR="00F84FD4">
              <w:rPr>
                <w:rFonts w:ascii="Arial" w:eastAsia="Times New Roman" w:hAnsi="Arial" w:cs="Arial"/>
                <w:sz w:val="20"/>
                <w:szCs w:val="20"/>
                <w:lang w:eastAsia="es-MX"/>
              </w:rPr>
              <w:t>.</w:t>
            </w:r>
          </w:p>
          <w:p w14:paraId="009A243F" w14:textId="77777777" w:rsidR="00651CC0" w:rsidRPr="00F42CD3" w:rsidRDefault="00651CC0" w:rsidP="00F42CD3">
            <w:pPr>
              <w:spacing w:after="0" w:line="240" w:lineRule="auto"/>
              <w:jc w:val="both"/>
              <w:rPr>
                <w:rFonts w:ascii="Arial" w:hAnsi="Arial" w:cs="Arial"/>
                <w:bCs/>
                <w:sz w:val="20"/>
                <w:szCs w:val="20"/>
              </w:rPr>
            </w:pPr>
          </w:p>
        </w:tc>
      </w:tr>
      <w:tr w:rsidR="00540EDE" w:rsidRPr="00F84FD4" w14:paraId="28838D07" w14:textId="77777777" w:rsidTr="00361D0B">
        <w:trPr>
          <w:trHeight w:val="662"/>
        </w:trPr>
        <w:tc>
          <w:tcPr>
            <w:tcW w:w="260" w:type="pct"/>
            <w:tcBorders>
              <w:top w:val="single" w:sz="4" w:space="0" w:color="auto"/>
              <w:left w:val="single" w:sz="4" w:space="0" w:color="auto"/>
              <w:bottom w:val="single" w:sz="4" w:space="0" w:color="auto"/>
            </w:tcBorders>
            <w:vAlign w:val="center"/>
          </w:tcPr>
          <w:p w14:paraId="62EE004C" w14:textId="17E5A8CB" w:rsidR="00540EDE" w:rsidRPr="00F84FD4" w:rsidRDefault="001F322B" w:rsidP="00540EDE">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6</w:t>
            </w:r>
          </w:p>
        </w:tc>
        <w:tc>
          <w:tcPr>
            <w:tcW w:w="658" w:type="pct"/>
            <w:tcBorders>
              <w:top w:val="single" w:sz="4" w:space="0" w:color="auto"/>
              <w:bottom w:val="single" w:sz="4" w:space="0" w:color="auto"/>
              <w:right w:val="single" w:sz="4" w:space="0" w:color="auto"/>
            </w:tcBorders>
            <w:vAlign w:val="center"/>
          </w:tcPr>
          <w:p w14:paraId="5F8E5E91" w14:textId="14EFE88C" w:rsidR="00540EDE" w:rsidRPr="00F84FD4" w:rsidRDefault="00540EDE" w:rsidP="00540EDE">
            <w:pPr>
              <w:spacing w:after="0" w:line="240" w:lineRule="auto"/>
              <w:rPr>
                <w:rFonts w:ascii="Arial" w:eastAsia="Calibri" w:hAnsi="Arial" w:cs="Arial"/>
                <w:sz w:val="20"/>
                <w:szCs w:val="20"/>
              </w:rPr>
            </w:pPr>
            <w:r w:rsidRPr="00F84FD4">
              <w:rPr>
                <w:rFonts w:ascii="Arial" w:eastAsia="Times New Roman" w:hAnsi="Arial" w:cs="Arial"/>
                <w:color w:val="000000"/>
                <w:sz w:val="20"/>
                <w:szCs w:val="20"/>
                <w:lang w:eastAsia="es-MX"/>
              </w:rPr>
              <w:t>V.3.2. Análisis de Factibilidad</w:t>
            </w:r>
          </w:p>
        </w:tc>
        <w:tc>
          <w:tcPr>
            <w:tcW w:w="804" w:type="pct"/>
            <w:tcBorders>
              <w:top w:val="single" w:sz="4" w:space="0" w:color="auto"/>
              <w:left w:val="single" w:sz="4" w:space="0" w:color="auto"/>
              <w:bottom w:val="single" w:sz="4" w:space="0" w:color="auto"/>
              <w:right w:val="single" w:sz="4" w:space="0" w:color="auto"/>
            </w:tcBorders>
            <w:shd w:val="clear" w:color="auto" w:fill="auto"/>
            <w:vAlign w:val="center"/>
          </w:tcPr>
          <w:p w14:paraId="1F08394F" w14:textId="6FB3514A" w:rsidR="00540EDE" w:rsidRPr="00F84FD4" w:rsidRDefault="00E04B89" w:rsidP="00D35E13">
            <w:pPr>
              <w:pStyle w:val="IFTnormal"/>
              <w:spacing w:after="0"/>
              <w:jc w:val="center"/>
              <w:rPr>
                <w:rFonts w:ascii="Arial" w:eastAsia="Times New Roman" w:hAnsi="Arial" w:cs="Arial"/>
                <w:color w:val="000000"/>
                <w:sz w:val="20"/>
                <w:szCs w:val="20"/>
                <w:lang w:eastAsia="es-MX"/>
              </w:rPr>
            </w:pPr>
            <w:r w:rsidRPr="00F84FD4">
              <w:rPr>
                <w:rFonts w:ascii="Arial" w:eastAsia="Times New Roman" w:hAnsi="Arial" w:cs="Arial"/>
                <w:color w:val="000000"/>
                <w:sz w:val="20"/>
                <w:szCs w:val="20"/>
                <w:lang w:eastAsia="es-MX"/>
              </w:rPr>
              <w:t xml:space="preserve">Análisis </w:t>
            </w:r>
            <w:r w:rsidR="00E63D05" w:rsidRPr="00F84FD4">
              <w:rPr>
                <w:rFonts w:ascii="Arial" w:eastAsia="Times New Roman" w:hAnsi="Arial" w:cs="Arial"/>
                <w:color w:val="000000"/>
                <w:sz w:val="20"/>
                <w:szCs w:val="20"/>
                <w:lang w:eastAsia="es-MX"/>
              </w:rPr>
              <w:t>Factibilidad</w:t>
            </w:r>
          </w:p>
          <w:p w14:paraId="73CEBD49" w14:textId="0172A46B" w:rsidR="00540EDE" w:rsidRPr="00F84FD4" w:rsidRDefault="00D35E13" w:rsidP="00D35E13">
            <w:pPr>
              <w:spacing w:after="0" w:line="240" w:lineRule="auto"/>
              <w:jc w:val="center"/>
              <w:rPr>
                <w:rFonts w:ascii="Arial" w:eastAsia="Times New Roman" w:hAnsi="Arial" w:cs="Arial"/>
                <w:color w:val="000000"/>
                <w:sz w:val="20"/>
                <w:szCs w:val="20"/>
                <w:lang w:eastAsia="es-MX"/>
              </w:rPr>
            </w:pPr>
            <w:r w:rsidRPr="00F84FD4">
              <w:rPr>
                <w:rFonts w:ascii="Arial" w:eastAsia="Times New Roman" w:hAnsi="Arial" w:cs="Arial"/>
                <w:color w:val="000000"/>
                <w:sz w:val="20"/>
                <w:szCs w:val="20"/>
                <w:lang w:eastAsia="es-MX"/>
              </w:rPr>
              <w:t>(</w:t>
            </w:r>
            <w:r w:rsidR="00540EDE" w:rsidRPr="00F84FD4">
              <w:rPr>
                <w:rFonts w:ascii="Arial" w:eastAsia="Times New Roman" w:hAnsi="Arial" w:cs="Arial"/>
                <w:color w:val="000000"/>
                <w:sz w:val="20"/>
                <w:szCs w:val="20"/>
                <w:lang w:eastAsia="es-MX"/>
              </w:rPr>
              <w:t>Pág. 17</w:t>
            </w:r>
            <w:r w:rsidR="00E04B89" w:rsidRPr="00F84FD4">
              <w:rPr>
                <w:rFonts w:ascii="Arial" w:eastAsia="Times New Roman" w:hAnsi="Arial" w:cs="Arial"/>
                <w:color w:val="000000"/>
                <w:sz w:val="20"/>
                <w:szCs w:val="20"/>
                <w:lang w:eastAsia="es-MX"/>
              </w:rPr>
              <w:t xml:space="preserve"> y 18</w:t>
            </w:r>
            <w:r w:rsidRPr="00F84FD4">
              <w:rPr>
                <w:rFonts w:ascii="Arial" w:eastAsia="Times New Roman" w:hAnsi="Arial" w:cs="Arial"/>
                <w:color w:val="000000"/>
                <w:sz w:val="20"/>
                <w:szCs w:val="20"/>
                <w:lang w:eastAsia="es-MX"/>
              </w:rPr>
              <w:t>)</w:t>
            </w:r>
          </w:p>
        </w:tc>
        <w:tc>
          <w:tcPr>
            <w:tcW w:w="1560" w:type="pct"/>
            <w:tcBorders>
              <w:top w:val="single" w:sz="4" w:space="0" w:color="auto"/>
              <w:left w:val="single" w:sz="4" w:space="0" w:color="auto"/>
              <w:bottom w:val="single" w:sz="4" w:space="0" w:color="auto"/>
              <w:right w:val="single" w:sz="4" w:space="0" w:color="auto"/>
            </w:tcBorders>
            <w:shd w:val="clear" w:color="auto" w:fill="auto"/>
            <w:vAlign w:val="center"/>
          </w:tcPr>
          <w:p w14:paraId="4DA2A4EA" w14:textId="2BFE787F" w:rsidR="000679A6" w:rsidRPr="00664447" w:rsidRDefault="00561667" w:rsidP="00561667">
            <w:pPr>
              <w:pStyle w:val="IFTnormal"/>
              <w:spacing w:after="0"/>
              <w:rPr>
                <w:rFonts w:ascii="Arial" w:hAnsi="Arial" w:cs="Arial"/>
                <w:b/>
                <w:sz w:val="20"/>
                <w:szCs w:val="20"/>
                <w:lang w:val="es-ES" w:eastAsia="es-MX"/>
              </w:rPr>
            </w:pPr>
            <w:r w:rsidRPr="00664447">
              <w:rPr>
                <w:rFonts w:ascii="Arial" w:hAnsi="Arial" w:cs="Arial"/>
                <w:b/>
                <w:sz w:val="20"/>
                <w:szCs w:val="20"/>
                <w:lang w:val="es-ES" w:eastAsia="es-MX"/>
              </w:rPr>
              <w:t xml:space="preserve">V.3.2 </w:t>
            </w:r>
            <w:r w:rsidR="000679A6" w:rsidRPr="00664447">
              <w:rPr>
                <w:rFonts w:ascii="Arial" w:hAnsi="Arial" w:cs="Arial"/>
                <w:b/>
                <w:sz w:val="20"/>
                <w:szCs w:val="20"/>
                <w:lang w:val="es-ES" w:eastAsia="es-MX"/>
              </w:rPr>
              <w:t>Análisis de Factibilidad</w:t>
            </w:r>
          </w:p>
          <w:p w14:paraId="739D7541" w14:textId="2B0278FD" w:rsidR="000679A6" w:rsidRPr="00F84FD4" w:rsidRDefault="00FF7624" w:rsidP="000679A6">
            <w:pPr>
              <w:pStyle w:val="aaaIFTnormal"/>
              <w:spacing w:after="0"/>
              <w:rPr>
                <w:rFonts w:cs="Arial"/>
                <w:sz w:val="20"/>
                <w:szCs w:val="20"/>
                <w:lang w:val="es-ES_tradnl"/>
              </w:rPr>
            </w:pPr>
            <w:r w:rsidRPr="00F84FD4">
              <w:rPr>
                <w:rFonts w:cs="Arial"/>
                <w:sz w:val="20"/>
                <w:szCs w:val="20"/>
                <w:lang w:val="es-ES_tradnl"/>
              </w:rPr>
              <w:t>…</w:t>
            </w:r>
          </w:p>
          <w:p w14:paraId="69D40E38" w14:textId="77777777" w:rsidR="00A45DDB" w:rsidRPr="00664447" w:rsidRDefault="00A45DDB" w:rsidP="00A45DDB">
            <w:pPr>
              <w:pStyle w:val="aaaIFTnormal"/>
              <w:tabs>
                <w:tab w:val="left" w:pos="8647"/>
              </w:tabs>
              <w:spacing w:after="0"/>
              <w:rPr>
                <w:rFonts w:eastAsia="Times New Roman" w:cs="Arial"/>
                <w:bCs w:val="0"/>
                <w:color w:val="548DD4" w:themeColor="text2" w:themeTint="99"/>
                <w:sz w:val="20"/>
                <w:szCs w:val="20"/>
                <w:lang w:eastAsia="es-MX"/>
              </w:rPr>
            </w:pPr>
            <w:r w:rsidRPr="00664447">
              <w:rPr>
                <w:rFonts w:eastAsia="Times New Roman" w:cs="Arial"/>
                <w:bCs w:val="0"/>
                <w:color w:val="548DD4" w:themeColor="text2" w:themeTint="99"/>
                <w:sz w:val="20"/>
                <w:szCs w:val="20"/>
                <w:lang w:eastAsia="es-MX"/>
              </w:rPr>
              <w:t xml:space="preserve">Sin perjuicio de la Solicitud de Factibilidad, el CS o AS podrá solicitar mediante el SEG a Telmex y Telnor la realización de la Visita Técnica, antes o después de formular la Solicitud de Factibilidad. </w:t>
            </w:r>
          </w:p>
          <w:p w14:paraId="073260A0" w14:textId="77777777" w:rsidR="00A45DDB" w:rsidRPr="00664447" w:rsidRDefault="00A45DDB" w:rsidP="00A45DDB">
            <w:pPr>
              <w:pStyle w:val="aaaIFTnormal"/>
              <w:tabs>
                <w:tab w:val="left" w:pos="8647"/>
              </w:tabs>
              <w:spacing w:after="0"/>
              <w:rPr>
                <w:rFonts w:eastAsia="Times New Roman" w:cs="Arial"/>
                <w:bCs w:val="0"/>
                <w:color w:val="548DD4" w:themeColor="text2" w:themeTint="99"/>
                <w:sz w:val="20"/>
                <w:szCs w:val="20"/>
                <w:lang w:eastAsia="es-MX"/>
              </w:rPr>
            </w:pPr>
            <w:r w:rsidRPr="00664447">
              <w:rPr>
                <w:rFonts w:eastAsia="Times New Roman" w:cs="Arial"/>
                <w:bCs w:val="0"/>
                <w:color w:val="548DD4" w:themeColor="text2" w:themeTint="99"/>
                <w:sz w:val="20"/>
                <w:szCs w:val="20"/>
                <w:lang w:eastAsia="es-MX"/>
              </w:rPr>
              <w:t>El número máximo de Solicitudes de Factibilidad simultáneas, es independiente al número máximo de solicitudes en el procedimiento de Visitas Técnicas.</w:t>
            </w:r>
          </w:p>
          <w:p w14:paraId="32B18B47" w14:textId="77777777" w:rsidR="00A45DDB" w:rsidRPr="00664447" w:rsidRDefault="00A45DDB" w:rsidP="00A45DDB">
            <w:pPr>
              <w:pStyle w:val="aaaIFTnormal"/>
              <w:rPr>
                <w:rFonts w:eastAsia="Times New Roman" w:cs="Arial"/>
                <w:bCs w:val="0"/>
                <w:color w:val="548DD4" w:themeColor="text2" w:themeTint="99"/>
                <w:sz w:val="20"/>
                <w:szCs w:val="20"/>
                <w:lang w:eastAsia="es-MX"/>
              </w:rPr>
            </w:pPr>
            <w:r w:rsidRPr="00664447">
              <w:rPr>
                <w:rFonts w:eastAsia="Times New Roman" w:cs="Arial"/>
                <w:bCs w:val="0"/>
                <w:color w:val="548DD4" w:themeColor="text2" w:themeTint="99"/>
                <w:sz w:val="20"/>
                <w:szCs w:val="20"/>
                <w:lang w:eastAsia="es-MX"/>
              </w:rPr>
              <w:t>Cada Solicitud de Factibilidad será registrada y contará con un NIS, en el entendido de que si a solicitud del CS o AS se realiza primero el servicio</w:t>
            </w:r>
            <w:r w:rsidRPr="00664447">
              <w:rPr>
                <w:sz w:val="20"/>
                <w:szCs w:val="20"/>
                <w:lang w:val="es-ES_tradnl"/>
              </w:rPr>
              <w:t xml:space="preserve"> </w:t>
            </w:r>
            <w:r w:rsidRPr="00664447">
              <w:rPr>
                <w:rFonts w:eastAsia="Times New Roman" w:cs="Arial"/>
                <w:bCs w:val="0"/>
                <w:color w:val="548DD4" w:themeColor="text2" w:themeTint="99"/>
                <w:sz w:val="20"/>
                <w:szCs w:val="20"/>
                <w:lang w:eastAsia="es-MX"/>
              </w:rPr>
              <w:t>de Visita Técnica, la Solicitud de Factibilidad utilizará el mismo NIS o número de folio que el asignado inicialmente a la Visita Técnica.</w:t>
            </w:r>
          </w:p>
          <w:p w14:paraId="603902A0" w14:textId="77777777" w:rsidR="00A45DDB" w:rsidRPr="00664447" w:rsidRDefault="00A45DDB" w:rsidP="00A45DDB">
            <w:pPr>
              <w:pStyle w:val="aaaIFTnormal"/>
              <w:rPr>
                <w:rFonts w:eastAsia="Times New Roman" w:cs="Arial"/>
                <w:bCs w:val="0"/>
                <w:color w:val="548DD4" w:themeColor="text2" w:themeTint="99"/>
                <w:sz w:val="20"/>
                <w:szCs w:val="20"/>
                <w:lang w:eastAsia="es-MX"/>
              </w:rPr>
            </w:pPr>
            <w:r w:rsidRPr="00664447">
              <w:rPr>
                <w:rFonts w:eastAsia="Times New Roman" w:cs="Arial"/>
                <w:bCs w:val="0"/>
                <w:color w:val="548DD4" w:themeColor="text2" w:themeTint="99"/>
                <w:sz w:val="20"/>
                <w:szCs w:val="20"/>
                <w:lang w:eastAsia="es-MX"/>
              </w:rPr>
              <w:t xml:space="preserve">Una vez notificado al CS o AS el resultado del Análisis de Factibilidad, éste determinará si requiere solicitar a Telmex y Telnor según sea el caso, la práctica de la Visita Técnica. </w:t>
            </w:r>
          </w:p>
          <w:p w14:paraId="06269A2E" w14:textId="77777777" w:rsidR="00A45DDB" w:rsidRPr="00664447" w:rsidRDefault="00A45DDB" w:rsidP="00A45DDB">
            <w:pPr>
              <w:pStyle w:val="aaaIFTnormal"/>
              <w:rPr>
                <w:rFonts w:eastAsia="Times New Roman" w:cs="Arial"/>
                <w:b/>
                <w:bCs w:val="0"/>
                <w:color w:val="548DD4" w:themeColor="text2" w:themeTint="99"/>
                <w:sz w:val="20"/>
                <w:szCs w:val="20"/>
                <w:lang w:eastAsia="es-MX"/>
              </w:rPr>
            </w:pPr>
            <w:r w:rsidRPr="00664447">
              <w:rPr>
                <w:rFonts w:eastAsia="Times New Roman" w:cs="Arial"/>
                <w:b/>
                <w:bCs w:val="0"/>
                <w:color w:val="548DD4" w:themeColor="text2" w:themeTint="99"/>
                <w:sz w:val="20"/>
                <w:szCs w:val="20"/>
                <w:lang w:eastAsia="es-MX"/>
              </w:rPr>
              <w:t xml:space="preserve">V.3.2.1 </w:t>
            </w:r>
            <w:r w:rsidRPr="00664447">
              <w:rPr>
                <w:rFonts w:eastAsia="Times New Roman" w:cs="Arial"/>
                <w:b/>
                <w:bCs w:val="0"/>
                <w:color w:val="548DD4" w:themeColor="text2" w:themeTint="99"/>
                <w:sz w:val="20"/>
                <w:szCs w:val="20"/>
                <w:lang w:eastAsia="es-MX"/>
              </w:rPr>
              <w:tab/>
              <w:t>Resultado del Análisis de Factibilidad</w:t>
            </w:r>
          </w:p>
          <w:p w14:paraId="11F59953" w14:textId="77777777" w:rsidR="00A45DDB" w:rsidRPr="00664447" w:rsidRDefault="00A45DDB" w:rsidP="00A45DDB">
            <w:pPr>
              <w:pStyle w:val="aaaIFTnormal"/>
              <w:rPr>
                <w:color w:val="0070C0"/>
                <w:sz w:val="20"/>
                <w:szCs w:val="20"/>
                <w:lang w:val="es-ES_tradnl"/>
              </w:rPr>
            </w:pPr>
            <w:r w:rsidRPr="00664447">
              <w:rPr>
                <w:color w:val="0070C0"/>
                <w:sz w:val="20"/>
                <w:szCs w:val="20"/>
                <w:lang w:val="es-ES_tradnl"/>
              </w:rPr>
              <w:t>Con base a la Normativa Técnica, los resultados que puede arrojar el Análisis de Factibilidad tratándose de Sitios son:</w:t>
            </w:r>
          </w:p>
          <w:p w14:paraId="1607CAFD" w14:textId="77777777" w:rsidR="00A45DDB" w:rsidRPr="00664447" w:rsidRDefault="00A45DDB" w:rsidP="00A45DDB">
            <w:pPr>
              <w:pStyle w:val="aaaIFTnormal"/>
              <w:numPr>
                <w:ilvl w:val="0"/>
                <w:numId w:val="23"/>
              </w:numPr>
              <w:ind w:left="402"/>
              <w:rPr>
                <w:color w:val="0070C0"/>
                <w:sz w:val="20"/>
                <w:szCs w:val="20"/>
                <w:lang w:val="es-ES_tradnl"/>
              </w:rPr>
            </w:pPr>
            <w:r w:rsidRPr="00664447">
              <w:rPr>
                <w:color w:val="0070C0"/>
                <w:sz w:val="20"/>
                <w:szCs w:val="20"/>
                <w:lang w:val="es-ES_tradnl"/>
              </w:rPr>
              <w:lastRenderedPageBreak/>
              <w:t>Es factible la prestación del Servicio de Acceso y Uso Compartido de Infraestructura Pasiva, y</w:t>
            </w:r>
          </w:p>
          <w:p w14:paraId="44030A7A" w14:textId="77777777" w:rsidR="00A45DDB" w:rsidRPr="00664447" w:rsidRDefault="00A45DDB" w:rsidP="00A45DDB">
            <w:pPr>
              <w:pStyle w:val="aaaIFTnormal"/>
              <w:numPr>
                <w:ilvl w:val="1"/>
                <w:numId w:val="24"/>
              </w:numPr>
              <w:ind w:left="685"/>
              <w:rPr>
                <w:color w:val="0070C0"/>
                <w:sz w:val="20"/>
                <w:szCs w:val="20"/>
                <w:lang w:val="es-ES_tradnl"/>
              </w:rPr>
            </w:pPr>
            <w:r w:rsidRPr="00664447">
              <w:rPr>
                <w:color w:val="0070C0"/>
                <w:sz w:val="20"/>
                <w:szCs w:val="20"/>
                <w:lang w:val="es-ES_tradnl"/>
              </w:rPr>
              <w:t>No se requiere para ello la prestación de los Servicios de Adecuación de Sitio o de Recuperación de Espacio, o</w:t>
            </w:r>
          </w:p>
          <w:p w14:paraId="43B5B77F" w14:textId="77777777" w:rsidR="00A45DDB" w:rsidRPr="00664447" w:rsidRDefault="00A45DDB" w:rsidP="00A45DDB">
            <w:pPr>
              <w:pStyle w:val="aaaIFTnormal"/>
              <w:numPr>
                <w:ilvl w:val="1"/>
                <w:numId w:val="24"/>
              </w:numPr>
              <w:ind w:left="685"/>
              <w:rPr>
                <w:color w:val="0070C0"/>
                <w:sz w:val="20"/>
                <w:szCs w:val="20"/>
                <w:lang w:val="es-ES_tradnl"/>
              </w:rPr>
            </w:pPr>
            <w:r w:rsidRPr="00664447">
              <w:rPr>
                <w:color w:val="0070C0"/>
                <w:sz w:val="20"/>
                <w:szCs w:val="20"/>
                <w:lang w:val="es-ES_tradnl"/>
              </w:rPr>
              <w:t>Se requiere para ello la realización de adecuaciones al Sitio, por lo que serán necesarios el Servicio de Adecuación de Sitio y/o de Recuperación de Espacio, para lo cual el CS AS solicitará la prestación del Servicio de Elaboración de Proyecto y Presupuesto por el que se determinarán los trabajos a realizar, su costo, plazo y demás condiciones aplicables a los mismos.</w:t>
            </w:r>
          </w:p>
          <w:p w14:paraId="2D4D606D" w14:textId="77777777" w:rsidR="00A45DDB" w:rsidRPr="00664447" w:rsidRDefault="00A45DDB" w:rsidP="00A45DDB">
            <w:pPr>
              <w:pStyle w:val="aaaIFTnormal"/>
              <w:numPr>
                <w:ilvl w:val="0"/>
                <w:numId w:val="23"/>
              </w:numPr>
              <w:ind w:left="402"/>
              <w:rPr>
                <w:color w:val="0070C0"/>
                <w:sz w:val="20"/>
                <w:szCs w:val="20"/>
                <w:lang w:val="es-ES_tradnl"/>
              </w:rPr>
            </w:pPr>
            <w:r w:rsidRPr="00664447">
              <w:rPr>
                <w:color w:val="0070C0"/>
                <w:sz w:val="20"/>
                <w:szCs w:val="20"/>
                <w:lang w:val="es-ES_tradnl"/>
              </w:rPr>
              <w:t xml:space="preserve">No es factible la prestación del servicio de Acceso y Uso Compartido de Infraestructura Pasiva. </w:t>
            </w:r>
          </w:p>
          <w:p w14:paraId="3E95D50A" w14:textId="77777777" w:rsidR="00361D0B" w:rsidRPr="00664447" w:rsidRDefault="00A45DDB" w:rsidP="00A45DDB">
            <w:pPr>
              <w:pStyle w:val="aaaIFTnormal"/>
              <w:rPr>
                <w:color w:val="0070C0"/>
                <w:sz w:val="20"/>
                <w:szCs w:val="20"/>
                <w:lang w:val="es-ES_tradnl"/>
              </w:rPr>
            </w:pPr>
            <w:r w:rsidRPr="00664447">
              <w:rPr>
                <w:color w:val="0070C0"/>
                <w:sz w:val="20"/>
                <w:szCs w:val="20"/>
                <w:lang w:val="es-ES_tradnl"/>
              </w:rPr>
              <w:t>En el caso del numeral (ii) anterior, el resultado del Análisis de Factibilidad explicará las causas por las que la compartición de infraestructura en un determinado sitio no resulta factible (incluyendo en caso necesario las disposiciones de la Normativa</w:t>
            </w:r>
            <w:r w:rsidR="00361D0B" w:rsidRPr="00664447">
              <w:rPr>
                <w:color w:val="0070C0"/>
                <w:sz w:val="20"/>
                <w:szCs w:val="20"/>
                <w:lang w:val="es-ES_tradnl"/>
              </w:rPr>
              <w:t xml:space="preserve"> Técnica que se incumplirían). </w:t>
            </w:r>
          </w:p>
          <w:p w14:paraId="674C4BFE" w14:textId="77777777" w:rsidR="00361D0B" w:rsidRPr="00664447" w:rsidRDefault="00A45DDB" w:rsidP="00A45DDB">
            <w:pPr>
              <w:pStyle w:val="aaaIFTnormal"/>
              <w:rPr>
                <w:color w:val="0070C0"/>
                <w:sz w:val="20"/>
                <w:szCs w:val="20"/>
                <w:lang w:val="es-ES_tradnl"/>
              </w:rPr>
            </w:pPr>
            <w:r w:rsidRPr="00664447">
              <w:rPr>
                <w:color w:val="0070C0"/>
                <w:sz w:val="20"/>
                <w:szCs w:val="20"/>
                <w:lang w:val="es-ES_tradnl"/>
              </w:rPr>
              <w:t>Por su parte, Telmex/Telnor proporcionará al personal del CS o AS la información relevante del Sitio, la cual incluirá al menos, domicilio, espacio contratado, vigencia, condiciones específicas de accesos, contraprestaciones pactadas y estipulaciones bajo las cuales se establecen las limitaciones a su ocupación del Sitio.</w:t>
            </w:r>
          </w:p>
          <w:p w14:paraId="27EB69BA" w14:textId="750C3EB0" w:rsidR="000679A6" w:rsidRPr="00664447" w:rsidRDefault="00A45DDB" w:rsidP="00A45DDB">
            <w:pPr>
              <w:pStyle w:val="aaaIFTnormal"/>
              <w:rPr>
                <w:color w:val="0070C0"/>
                <w:sz w:val="20"/>
                <w:szCs w:val="20"/>
                <w:lang w:val="es-ES_tradnl"/>
              </w:rPr>
            </w:pPr>
            <w:r w:rsidRPr="00664447">
              <w:rPr>
                <w:color w:val="0070C0"/>
                <w:sz w:val="20"/>
                <w:szCs w:val="20"/>
                <w:lang w:val="es-ES_tradnl"/>
              </w:rPr>
              <w:lastRenderedPageBreak/>
              <w:t>Asimismo, el Concesionario podrá solicitar mediante el SEG, una Visita Técnica para corroborar el resultado del Análisis de Factibilidad cuando sea no factible.</w:t>
            </w:r>
          </w:p>
          <w:p w14:paraId="01FA60B2" w14:textId="2C32E9A0" w:rsidR="006D3DA6" w:rsidRPr="00664447" w:rsidRDefault="00660E71" w:rsidP="006D3DA6">
            <w:pPr>
              <w:pStyle w:val="aaaIFTnormal"/>
              <w:spacing w:after="0"/>
              <w:rPr>
                <w:rFonts w:cs="Arial"/>
                <w:sz w:val="20"/>
                <w:szCs w:val="20"/>
              </w:rPr>
            </w:pPr>
            <w:r w:rsidRPr="00664447">
              <w:rPr>
                <w:rFonts w:cs="Arial"/>
                <w:sz w:val="20"/>
                <w:szCs w:val="20"/>
              </w:rPr>
              <w:t>…</w:t>
            </w:r>
          </w:p>
          <w:p w14:paraId="7FC4778C" w14:textId="7A586B50" w:rsidR="000679A6" w:rsidRPr="00F84FD4" w:rsidRDefault="006D3DA6" w:rsidP="003248BC">
            <w:pPr>
              <w:pStyle w:val="aaaIFTnormal"/>
              <w:spacing w:after="0"/>
              <w:rPr>
                <w:rFonts w:cs="Arial"/>
                <w:sz w:val="20"/>
                <w:szCs w:val="20"/>
              </w:rPr>
            </w:pPr>
            <w:r w:rsidRPr="00664447">
              <w:rPr>
                <w:rFonts w:cs="Arial"/>
                <w:strike/>
                <w:sz w:val="20"/>
                <w:szCs w:val="20"/>
              </w:rPr>
              <w:br/>
            </w:r>
            <w:r w:rsidRPr="00664447">
              <w:rPr>
                <w:rFonts w:cs="Arial"/>
                <w:sz w:val="20"/>
                <w:szCs w:val="20"/>
              </w:rPr>
              <w:t xml:space="preserve">En los casos en que existan indicios de vulnerabilidad de la torre, las DM de Telmex y Telnor serán las responsables de efectuar el análisis estructural de la Torre que </w:t>
            </w:r>
            <w:r w:rsidRPr="00664447">
              <w:rPr>
                <w:rFonts w:cs="Arial"/>
                <w:strike/>
                <w:sz w:val="20"/>
                <w:szCs w:val="20"/>
              </w:rPr>
              <w:t>no</w:t>
            </w:r>
            <w:r w:rsidRPr="00664447">
              <w:rPr>
                <w:rFonts w:cs="Arial"/>
                <w:sz w:val="20"/>
                <w:szCs w:val="20"/>
              </w:rPr>
              <w:t xml:space="preserve"> se deban a falta del debido mantenimiento a la estructura de la torre, en los casos en que las DM de Telmex y Telnor consideren procedente realizar</w:t>
            </w:r>
            <w:r w:rsidR="0012683D" w:rsidRPr="00664447">
              <w:rPr>
                <w:rFonts w:cs="Arial"/>
                <w:sz w:val="20"/>
                <w:szCs w:val="20"/>
              </w:rPr>
              <w:t xml:space="preserve"> </w:t>
            </w:r>
            <w:r w:rsidR="0012683D" w:rsidRPr="00664447">
              <w:rPr>
                <w:color w:val="0070C0"/>
                <w:sz w:val="20"/>
                <w:szCs w:val="20"/>
                <w:lang w:val="es-ES_tradnl"/>
              </w:rPr>
              <w:t>el servicio</w:t>
            </w:r>
            <w:r w:rsidR="0012683D" w:rsidRPr="00664447">
              <w:rPr>
                <w:rFonts w:cs="Arial"/>
                <w:sz w:val="20"/>
                <w:szCs w:val="20"/>
              </w:rPr>
              <w:t xml:space="preserve"> </w:t>
            </w:r>
            <w:r w:rsidR="0012683D" w:rsidRPr="00664447">
              <w:rPr>
                <w:color w:val="0070C0"/>
                <w:sz w:val="20"/>
                <w:szCs w:val="20"/>
                <w:lang w:val="es-ES_tradnl"/>
              </w:rPr>
              <w:t>de</w:t>
            </w:r>
            <w:r w:rsidR="0012683D" w:rsidRPr="00664447">
              <w:rPr>
                <w:rFonts w:cs="Arial"/>
                <w:sz w:val="20"/>
                <w:szCs w:val="20"/>
              </w:rPr>
              <w:t xml:space="preserve"> </w:t>
            </w:r>
            <w:r w:rsidR="0012683D" w:rsidRPr="00664447">
              <w:rPr>
                <w:color w:val="0070C0"/>
                <w:sz w:val="20"/>
                <w:szCs w:val="20"/>
                <w:lang w:val="es-ES_tradnl"/>
              </w:rPr>
              <w:t>Elaboración de Proyecto y Presupuesto</w:t>
            </w:r>
            <w:r w:rsidRPr="00664447">
              <w:rPr>
                <w:rFonts w:cs="Arial"/>
                <w:sz w:val="20"/>
                <w:szCs w:val="20"/>
              </w:rPr>
              <w:t xml:space="preserve"> </w:t>
            </w:r>
            <w:r w:rsidRPr="00664447">
              <w:rPr>
                <w:rFonts w:cs="Arial"/>
                <w:strike/>
                <w:sz w:val="20"/>
                <w:szCs w:val="20"/>
              </w:rPr>
              <w:t xml:space="preserve">un análisis estructural </w:t>
            </w:r>
            <w:r w:rsidRPr="00664447">
              <w:rPr>
                <w:rFonts w:cs="Arial"/>
                <w:sz w:val="20"/>
                <w:szCs w:val="20"/>
              </w:rPr>
              <w:t>para garantizar la integridad de su infraestructura pasiva y el cumplimiento de las normas de seguridad</w:t>
            </w:r>
            <w:r w:rsidRPr="00F84FD4">
              <w:rPr>
                <w:rFonts w:cs="Arial"/>
                <w:sz w:val="20"/>
                <w:szCs w:val="20"/>
              </w:rPr>
              <w:t xml:space="preserve"> </w:t>
            </w:r>
            <w:r w:rsidRPr="00664447">
              <w:rPr>
                <w:rFonts w:cs="Arial"/>
                <w:sz w:val="20"/>
                <w:szCs w:val="20"/>
              </w:rPr>
              <w:t>para definir la capacidad que ésta tendría para albergar a los equipos del Concesionario, revisando la carga de los Equipos preexistentes, más la carga (peso y altura) de los equipos que el Concesionario pretenda instalar en dicho sitio</w:t>
            </w:r>
            <w:r w:rsidR="0012683D" w:rsidRPr="00664447">
              <w:rPr>
                <w:rFonts w:cs="Arial"/>
                <w:sz w:val="20"/>
                <w:szCs w:val="20"/>
              </w:rPr>
              <w:t xml:space="preserve"> </w:t>
            </w:r>
            <w:r w:rsidR="0012683D" w:rsidRPr="00664447">
              <w:rPr>
                <w:color w:val="0070C0"/>
                <w:sz w:val="20"/>
                <w:szCs w:val="20"/>
                <w:lang w:val="es-ES_tradnl"/>
              </w:rPr>
              <w:t>a su costo de lo contrario deberá de ser cubierto por el CS y AS.</w:t>
            </w:r>
          </w:p>
        </w:tc>
        <w:tc>
          <w:tcPr>
            <w:tcW w:w="1718" w:type="pct"/>
            <w:tcBorders>
              <w:top w:val="single" w:sz="4" w:space="0" w:color="auto"/>
              <w:left w:val="single" w:sz="4" w:space="0" w:color="auto"/>
              <w:bottom w:val="single" w:sz="4" w:space="0" w:color="auto"/>
              <w:right w:val="single" w:sz="4" w:space="0" w:color="auto"/>
            </w:tcBorders>
            <w:vAlign w:val="center"/>
          </w:tcPr>
          <w:p w14:paraId="3F2C5C5B" w14:textId="77777777" w:rsidR="00A45DDB" w:rsidRPr="00F84FD4" w:rsidRDefault="00A45DDB" w:rsidP="00A45DDB">
            <w:pPr>
              <w:jc w:val="both"/>
              <w:rPr>
                <w:rFonts w:ascii="Arial" w:hAnsi="Arial" w:cs="Arial"/>
                <w:bCs/>
                <w:sz w:val="20"/>
                <w:szCs w:val="20"/>
              </w:rPr>
            </w:pPr>
          </w:p>
          <w:p w14:paraId="23DFD87E" w14:textId="77777777" w:rsidR="00A45DDB" w:rsidRPr="00F84FD4" w:rsidRDefault="00A45DDB" w:rsidP="00A45DDB">
            <w:pPr>
              <w:jc w:val="both"/>
              <w:rPr>
                <w:rFonts w:ascii="Arial" w:hAnsi="Arial" w:cs="Arial"/>
                <w:bCs/>
                <w:sz w:val="20"/>
                <w:szCs w:val="20"/>
              </w:rPr>
            </w:pPr>
          </w:p>
          <w:p w14:paraId="2BD255A5" w14:textId="22041030" w:rsidR="00A45DDB" w:rsidRPr="00F84FD4" w:rsidRDefault="00A45DDB" w:rsidP="00A45DDB">
            <w:pPr>
              <w:jc w:val="both"/>
              <w:rPr>
                <w:rFonts w:ascii="Arial" w:hAnsi="Arial" w:cs="Arial"/>
                <w:bCs/>
                <w:sz w:val="20"/>
                <w:szCs w:val="20"/>
              </w:rPr>
            </w:pPr>
            <w:r w:rsidRPr="00F84FD4">
              <w:rPr>
                <w:rFonts w:ascii="Arial" w:hAnsi="Arial" w:cs="Arial"/>
                <w:bCs/>
                <w:sz w:val="20"/>
                <w:szCs w:val="20"/>
              </w:rPr>
              <w:t xml:space="preserve">Se aclara que </w:t>
            </w:r>
            <w:r w:rsidR="006D3DA6" w:rsidRPr="00F84FD4">
              <w:rPr>
                <w:rFonts w:ascii="Arial" w:hAnsi="Arial" w:cs="Arial"/>
                <w:bCs/>
                <w:sz w:val="20"/>
                <w:szCs w:val="20"/>
              </w:rPr>
              <w:t>la Visita Técnica puede ser antes o después del Análisis de Factibilidad</w:t>
            </w:r>
            <w:r w:rsidRPr="00F84FD4">
              <w:rPr>
                <w:rFonts w:ascii="Arial" w:hAnsi="Arial" w:cs="Arial"/>
                <w:bCs/>
                <w:sz w:val="20"/>
                <w:szCs w:val="20"/>
              </w:rPr>
              <w:t xml:space="preserve"> </w:t>
            </w:r>
            <w:r w:rsidR="006D3DA6" w:rsidRPr="00F84FD4">
              <w:rPr>
                <w:rFonts w:ascii="Arial" w:hAnsi="Arial" w:cs="Arial"/>
                <w:bCs/>
                <w:sz w:val="20"/>
                <w:szCs w:val="20"/>
              </w:rPr>
              <w:t>y que existe independencia de número de solicitudes de análisis de factibilidad y Visitas Técnicas</w:t>
            </w:r>
            <w:r w:rsidR="00276F87">
              <w:rPr>
                <w:rFonts w:ascii="Arial" w:hAnsi="Arial" w:cs="Arial"/>
                <w:bCs/>
                <w:sz w:val="20"/>
                <w:szCs w:val="20"/>
              </w:rPr>
              <w:t xml:space="preserve">, tal como se </w:t>
            </w:r>
            <w:r w:rsidR="008F3204">
              <w:rPr>
                <w:rFonts w:ascii="Arial" w:hAnsi="Arial" w:cs="Arial"/>
                <w:bCs/>
                <w:sz w:val="20"/>
                <w:szCs w:val="20"/>
              </w:rPr>
              <w:t>prevé</w:t>
            </w:r>
            <w:r w:rsidR="00276F87">
              <w:rPr>
                <w:rFonts w:ascii="Arial" w:hAnsi="Arial" w:cs="Arial"/>
                <w:bCs/>
                <w:sz w:val="20"/>
                <w:szCs w:val="20"/>
              </w:rPr>
              <w:t xml:space="preserve"> en los procesos existente de la presente oferta, donde el CS y AS pueden confirmar en situ ya sea antes de realizar el anteproyecto o después de la determinación de Telmex /</w:t>
            </w:r>
            <w:r w:rsidR="008F3204">
              <w:rPr>
                <w:rFonts w:ascii="Arial" w:hAnsi="Arial" w:cs="Arial"/>
                <w:bCs/>
                <w:sz w:val="20"/>
                <w:szCs w:val="20"/>
              </w:rPr>
              <w:t xml:space="preserve"> Telnor respecto de la Factibilidad</w:t>
            </w:r>
            <w:r w:rsidR="00276F87">
              <w:rPr>
                <w:rFonts w:ascii="Arial" w:hAnsi="Arial" w:cs="Arial"/>
                <w:bCs/>
                <w:sz w:val="20"/>
                <w:szCs w:val="20"/>
              </w:rPr>
              <w:t xml:space="preserve"> </w:t>
            </w:r>
            <w:r w:rsidR="008F3204">
              <w:rPr>
                <w:rFonts w:ascii="Arial" w:hAnsi="Arial" w:cs="Arial"/>
                <w:bCs/>
                <w:sz w:val="20"/>
                <w:szCs w:val="20"/>
              </w:rPr>
              <w:t>de Compartición</w:t>
            </w:r>
          </w:p>
          <w:p w14:paraId="3EAD4B7F" w14:textId="77777777" w:rsidR="00CE187D" w:rsidRPr="00F84FD4" w:rsidRDefault="00CE187D" w:rsidP="00540EDE">
            <w:pPr>
              <w:jc w:val="both"/>
              <w:rPr>
                <w:rFonts w:ascii="Arial" w:eastAsia="Times New Roman" w:hAnsi="Arial" w:cs="Arial"/>
                <w:sz w:val="20"/>
                <w:szCs w:val="20"/>
                <w:lang w:eastAsia="es-MX"/>
              </w:rPr>
            </w:pPr>
          </w:p>
          <w:p w14:paraId="193628D9" w14:textId="77777777" w:rsidR="00CE187D" w:rsidRPr="00F84FD4" w:rsidRDefault="00CE187D" w:rsidP="00540EDE">
            <w:pPr>
              <w:jc w:val="both"/>
              <w:rPr>
                <w:rFonts w:ascii="Arial" w:eastAsia="Times New Roman" w:hAnsi="Arial" w:cs="Arial"/>
                <w:sz w:val="20"/>
                <w:szCs w:val="20"/>
                <w:lang w:eastAsia="es-MX"/>
              </w:rPr>
            </w:pPr>
          </w:p>
          <w:p w14:paraId="53AAB7F8" w14:textId="36565BBE" w:rsidR="00A45DDB" w:rsidRPr="00F84FD4" w:rsidRDefault="006D3DA6" w:rsidP="00540EDE">
            <w:pPr>
              <w:jc w:val="both"/>
              <w:rPr>
                <w:rFonts w:ascii="Arial" w:hAnsi="Arial" w:cs="Arial"/>
                <w:bCs/>
                <w:sz w:val="20"/>
                <w:szCs w:val="20"/>
              </w:rPr>
            </w:pPr>
            <w:r w:rsidRPr="00F84FD4">
              <w:rPr>
                <w:rFonts w:ascii="Arial" w:hAnsi="Arial" w:cs="Arial"/>
                <w:bCs/>
                <w:sz w:val="20"/>
                <w:szCs w:val="20"/>
              </w:rPr>
              <w:t>Se aclaran las condiciones del NIS</w:t>
            </w:r>
          </w:p>
          <w:p w14:paraId="57607C76" w14:textId="77777777" w:rsidR="00A45DDB" w:rsidRPr="00F84FD4" w:rsidRDefault="00A45DDB" w:rsidP="00540EDE">
            <w:pPr>
              <w:jc w:val="both"/>
              <w:rPr>
                <w:rFonts w:ascii="Arial" w:hAnsi="Arial" w:cs="Arial"/>
                <w:bCs/>
                <w:sz w:val="20"/>
                <w:szCs w:val="20"/>
              </w:rPr>
            </w:pPr>
          </w:p>
          <w:p w14:paraId="292CE38E" w14:textId="27CD0C60" w:rsidR="006D3DA6" w:rsidRPr="00F84FD4" w:rsidRDefault="006D3DA6" w:rsidP="00540EDE">
            <w:pPr>
              <w:jc w:val="both"/>
              <w:rPr>
                <w:rFonts w:ascii="Arial" w:hAnsi="Arial" w:cs="Arial"/>
                <w:bCs/>
                <w:sz w:val="20"/>
                <w:szCs w:val="20"/>
              </w:rPr>
            </w:pPr>
            <w:r w:rsidRPr="00F84FD4">
              <w:rPr>
                <w:rFonts w:ascii="Arial" w:hAnsi="Arial" w:cs="Arial"/>
                <w:bCs/>
                <w:sz w:val="20"/>
                <w:szCs w:val="20"/>
              </w:rPr>
              <w:t>Se aclara que aun después del resultado del estudio de Factibilidad, el CS puede solicitar una Visita Técnica</w:t>
            </w:r>
            <w:r w:rsidR="00347EE7">
              <w:rPr>
                <w:rFonts w:ascii="Arial" w:hAnsi="Arial" w:cs="Arial"/>
                <w:bCs/>
                <w:sz w:val="20"/>
                <w:szCs w:val="20"/>
              </w:rPr>
              <w:t xml:space="preserve"> para validar</w:t>
            </w:r>
            <w:r w:rsidR="0009167D">
              <w:rPr>
                <w:rFonts w:ascii="Arial" w:hAnsi="Arial" w:cs="Arial"/>
                <w:bCs/>
                <w:sz w:val="20"/>
                <w:szCs w:val="20"/>
              </w:rPr>
              <w:t xml:space="preserve"> constatar el resultado del Análisis de Factibilidad</w:t>
            </w:r>
            <w:r w:rsidRPr="00F84FD4">
              <w:rPr>
                <w:rFonts w:ascii="Arial" w:hAnsi="Arial" w:cs="Arial"/>
                <w:bCs/>
                <w:sz w:val="20"/>
                <w:szCs w:val="20"/>
              </w:rPr>
              <w:t>.</w:t>
            </w:r>
          </w:p>
          <w:p w14:paraId="5E5A15C6" w14:textId="77777777" w:rsidR="00CE187D" w:rsidRPr="00F84FD4" w:rsidRDefault="00CE187D" w:rsidP="00540EDE">
            <w:pPr>
              <w:jc w:val="both"/>
              <w:rPr>
                <w:rFonts w:ascii="Arial" w:eastAsia="Times New Roman" w:hAnsi="Arial" w:cs="Arial"/>
                <w:sz w:val="20"/>
                <w:szCs w:val="20"/>
                <w:lang w:eastAsia="es-MX"/>
              </w:rPr>
            </w:pPr>
          </w:p>
          <w:p w14:paraId="6298BCF5" w14:textId="77777777" w:rsidR="00FF7624" w:rsidRPr="00F84FD4" w:rsidRDefault="00FF7624" w:rsidP="00540EDE">
            <w:pPr>
              <w:jc w:val="both"/>
              <w:rPr>
                <w:rFonts w:ascii="Arial" w:eastAsia="Times New Roman" w:hAnsi="Arial" w:cs="Arial"/>
                <w:sz w:val="20"/>
                <w:szCs w:val="20"/>
                <w:lang w:eastAsia="es-MX"/>
              </w:rPr>
            </w:pPr>
          </w:p>
          <w:p w14:paraId="663F3B24" w14:textId="22F4E04E" w:rsidR="003F49DE" w:rsidRPr="00F84FD4" w:rsidRDefault="006D3DA6" w:rsidP="00540EDE">
            <w:pPr>
              <w:jc w:val="both"/>
              <w:rPr>
                <w:rFonts w:ascii="Arial" w:eastAsia="Times New Roman" w:hAnsi="Arial" w:cs="Arial"/>
                <w:sz w:val="20"/>
                <w:szCs w:val="20"/>
                <w:lang w:eastAsia="es-MX"/>
              </w:rPr>
            </w:pPr>
            <w:r w:rsidRPr="00F84FD4">
              <w:rPr>
                <w:rFonts w:ascii="Arial" w:eastAsia="Times New Roman" w:hAnsi="Arial" w:cs="Arial"/>
                <w:sz w:val="20"/>
                <w:szCs w:val="20"/>
                <w:lang w:eastAsia="es-MX"/>
              </w:rPr>
              <w:lastRenderedPageBreak/>
              <w:t>Se clarifican los distintos resultados del análisis de factibilidad</w:t>
            </w:r>
          </w:p>
          <w:p w14:paraId="25047655" w14:textId="0C225116" w:rsidR="003F49DE" w:rsidRPr="00F84FD4" w:rsidRDefault="00FF7624" w:rsidP="00540EDE">
            <w:pPr>
              <w:jc w:val="both"/>
              <w:rPr>
                <w:rFonts w:ascii="Arial" w:eastAsia="Times New Roman" w:hAnsi="Arial" w:cs="Arial"/>
                <w:sz w:val="20"/>
                <w:szCs w:val="20"/>
                <w:lang w:eastAsia="es-MX"/>
              </w:rPr>
            </w:pPr>
            <w:r w:rsidRPr="00F84FD4">
              <w:rPr>
                <w:rFonts w:ascii="Arial" w:hAnsi="Arial" w:cs="Arial"/>
                <w:bCs/>
                <w:sz w:val="20"/>
                <w:szCs w:val="20"/>
              </w:rPr>
              <w:t xml:space="preserve">Dentro del proceso se incorpora el servicio de Elaboración de Proyecto y Presupuesto </w:t>
            </w:r>
            <w:r w:rsidR="00346B5D" w:rsidRPr="00F84FD4">
              <w:rPr>
                <w:rFonts w:ascii="Arial" w:hAnsi="Arial" w:cs="Arial"/>
                <w:bCs/>
                <w:sz w:val="20"/>
                <w:szCs w:val="20"/>
              </w:rPr>
              <w:t xml:space="preserve">en los mismos términos y condiciones </w:t>
            </w:r>
            <w:r w:rsidR="00BA0BED">
              <w:rPr>
                <w:rFonts w:ascii="Arial" w:hAnsi="Arial" w:cs="Arial"/>
                <w:bCs/>
                <w:sz w:val="20"/>
                <w:szCs w:val="20"/>
              </w:rPr>
              <w:t>resueltas por el Instituto al otro agente regulado</w:t>
            </w:r>
            <w:r w:rsidRPr="00F84FD4">
              <w:rPr>
                <w:rFonts w:ascii="Arial" w:hAnsi="Arial" w:cs="Arial"/>
                <w:bCs/>
                <w:sz w:val="20"/>
                <w:szCs w:val="20"/>
              </w:rPr>
              <w:t>.</w:t>
            </w:r>
          </w:p>
          <w:p w14:paraId="373C686E" w14:textId="77777777" w:rsidR="003F49DE" w:rsidRPr="00F84FD4" w:rsidRDefault="003F49DE" w:rsidP="00540EDE">
            <w:pPr>
              <w:jc w:val="both"/>
              <w:rPr>
                <w:rFonts w:ascii="Arial" w:eastAsia="Times New Roman" w:hAnsi="Arial" w:cs="Arial"/>
                <w:sz w:val="20"/>
                <w:szCs w:val="20"/>
                <w:lang w:eastAsia="es-MX"/>
              </w:rPr>
            </w:pPr>
          </w:p>
          <w:p w14:paraId="237F1DBA" w14:textId="77777777" w:rsidR="003F49DE" w:rsidRPr="00F84FD4" w:rsidRDefault="003F49DE" w:rsidP="00540EDE">
            <w:pPr>
              <w:jc w:val="both"/>
              <w:rPr>
                <w:rFonts w:ascii="Arial" w:eastAsia="Times New Roman" w:hAnsi="Arial" w:cs="Arial"/>
                <w:sz w:val="20"/>
                <w:szCs w:val="20"/>
                <w:lang w:eastAsia="es-MX"/>
              </w:rPr>
            </w:pPr>
          </w:p>
          <w:p w14:paraId="398FABEB" w14:textId="77777777" w:rsidR="00AD7EB2" w:rsidRPr="00F84FD4" w:rsidRDefault="00AD7EB2" w:rsidP="00AD7EB2">
            <w:pPr>
              <w:jc w:val="both"/>
              <w:rPr>
                <w:rFonts w:ascii="Arial" w:hAnsi="Arial" w:cs="Arial"/>
                <w:bCs/>
                <w:sz w:val="20"/>
                <w:szCs w:val="20"/>
              </w:rPr>
            </w:pPr>
          </w:p>
          <w:p w14:paraId="1895FD84" w14:textId="77777777" w:rsidR="002C67C8" w:rsidRPr="00F84FD4" w:rsidRDefault="002C67C8" w:rsidP="00FF7624">
            <w:pPr>
              <w:jc w:val="both"/>
              <w:rPr>
                <w:rFonts w:ascii="Arial" w:eastAsia="Times New Roman" w:hAnsi="Arial" w:cs="Arial"/>
                <w:sz w:val="20"/>
                <w:szCs w:val="20"/>
                <w:lang w:eastAsia="es-MX"/>
              </w:rPr>
            </w:pPr>
          </w:p>
          <w:p w14:paraId="4D2B63C1" w14:textId="77777777" w:rsidR="00FF7624" w:rsidRPr="00F84FD4" w:rsidRDefault="00FF7624" w:rsidP="00FF7624">
            <w:pPr>
              <w:jc w:val="both"/>
              <w:rPr>
                <w:rFonts w:ascii="Arial" w:eastAsia="Times New Roman" w:hAnsi="Arial" w:cs="Arial"/>
                <w:sz w:val="20"/>
                <w:szCs w:val="20"/>
                <w:lang w:eastAsia="es-MX"/>
              </w:rPr>
            </w:pPr>
          </w:p>
          <w:p w14:paraId="149EC2CD" w14:textId="77777777" w:rsidR="00FF7624" w:rsidRPr="00F84FD4" w:rsidRDefault="00FF7624" w:rsidP="00FF7624">
            <w:pPr>
              <w:jc w:val="both"/>
              <w:rPr>
                <w:rFonts w:ascii="Arial" w:eastAsia="Times New Roman" w:hAnsi="Arial" w:cs="Arial"/>
                <w:sz w:val="20"/>
                <w:szCs w:val="20"/>
                <w:lang w:eastAsia="es-MX"/>
              </w:rPr>
            </w:pPr>
          </w:p>
          <w:p w14:paraId="29A3E43A" w14:textId="77777777" w:rsidR="00FF7624" w:rsidRPr="00F84FD4" w:rsidRDefault="00FF7624" w:rsidP="00FF7624">
            <w:pPr>
              <w:jc w:val="both"/>
              <w:rPr>
                <w:rFonts w:ascii="Arial" w:eastAsia="Times New Roman" w:hAnsi="Arial" w:cs="Arial"/>
                <w:sz w:val="20"/>
                <w:szCs w:val="20"/>
                <w:lang w:eastAsia="es-MX"/>
              </w:rPr>
            </w:pPr>
          </w:p>
          <w:p w14:paraId="151C2C45" w14:textId="77777777" w:rsidR="00FF7624" w:rsidRPr="00F84FD4" w:rsidRDefault="00FF7624" w:rsidP="00FF7624">
            <w:pPr>
              <w:jc w:val="both"/>
              <w:rPr>
                <w:rFonts w:ascii="Arial" w:eastAsia="Times New Roman" w:hAnsi="Arial" w:cs="Arial"/>
                <w:sz w:val="20"/>
                <w:szCs w:val="20"/>
                <w:lang w:eastAsia="es-MX"/>
              </w:rPr>
            </w:pPr>
            <w:r w:rsidRPr="00F84FD4">
              <w:rPr>
                <w:rFonts w:ascii="Arial" w:eastAsia="Times New Roman" w:hAnsi="Arial" w:cs="Arial"/>
                <w:sz w:val="20"/>
                <w:szCs w:val="20"/>
                <w:lang w:eastAsia="es-MX"/>
              </w:rPr>
              <w:t>Se establecen las características y obligaciones que Telmex/Telnor tendrán en los casos donde no sea factible la compartición de infraestructura pasiva de espacio en torre.</w:t>
            </w:r>
          </w:p>
          <w:p w14:paraId="74DAFF92" w14:textId="77777777" w:rsidR="003D4420" w:rsidRPr="00F84FD4" w:rsidRDefault="003D4420" w:rsidP="00FF7624">
            <w:pPr>
              <w:jc w:val="both"/>
              <w:rPr>
                <w:rFonts w:ascii="Arial" w:eastAsia="Times New Roman" w:hAnsi="Arial" w:cs="Arial"/>
                <w:sz w:val="20"/>
                <w:szCs w:val="20"/>
                <w:lang w:eastAsia="es-MX"/>
              </w:rPr>
            </w:pPr>
          </w:p>
          <w:p w14:paraId="108B8033" w14:textId="77777777" w:rsidR="003D4420" w:rsidRPr="00F84FD4" w:rsidRDefault="003D4420" w:rsidP="00FF7624">
            <w:pPr>
              <w:jc w:val="both"/>
              <w:rPr>
                <w:rFonts w:ascii="Arial" w:eastAsia="Times New Roman" w:hAnsi="Arial" w:cs="Arial"/>
                <w:sz w:val="20"/>
                <w:szCs w:val="20"/>
                <w:lang w:eastAsia="es-MX"/>
              </w:rPr>
            </w:pPr>
          </w:p>
          <w:p w14:paraId="52C1D741" w14:textId="77777777" w:rsidR="003D4420" w:rsidRPr="00F84FD4" w:rsidRDefault="003D4420" w:rsidP="00FF7624">
            <w:pPr>
              <w:jc w:val="both"/>
              <w:rPr>
                <w:rFonts w:ascii="Arial" w:eastAsia="Times New Roman" w:hAnsi="Arial" w:cs="Arial"/>
                <w:sz w:val="20"/>
                <w:szCs w:val="20"/>
                <w:lang w:eastAsia="es-MX"/>
              </w:rPr>
            </w:pPr>
          </w:p>
          <w:p w14:paraId="716BB153" w14:textId="77777777" w:rsidR="003D4420" w:rsidRPr="00F84FD4" w:rsidRDefault="003D4420" w:rsidP="00FF7624">
            <w:pPr>
              <w:jc w:val="both"/>
              <w:rPr>
                <w:rFonts w:ascii="Arial" w:eastAsia="Times New Roman" w:hAnsi="Arial" w:cs="Arial"/>
                <w:sz w:val="20"/>
                <w:szCs w:val="20"/>
                <w:lang w:eastAsia="es-MX"/>
              </w:rPr>
            </w:pPr>
          </w:p>
          <w:p w14:paraId="4B7EBFC1" w14:textId="77777777" w:rsidR="003D4420" w:rsidRPr="00F84FD4" w:rsidRDefault="003D4420" w:rsidP="00FF7624">
            <w:pPr>
              <w:jc w:val="both"/>
              <w:rPr>
                <w:rFonts w:ascii="Arial" w:eastAsia="Times New Roman" w:hAnsi="Arial" w:cs="Arial"/>
                <w:sz w:val="20"/>
                <w:szCs w:val="20"/>
                <w:lang w:eastAsia="es-MX"/>
              </w:rPr>
            </w:pPr>
          </w:p>
          <w:p w14:paraId="588F19AA" w14:textId="77777777" w:rsidR="003D4420" w:rsidRPr="00F84FD4" w:rsidRDefault="003D4420" w:rsidP="00FF7624">
            <w:pPr>
              <w:jc w:val="both"/>
              <w:rPr>
                <w:rFonts w:ascii="Arial" w:eastAsia="Times New Roman" w:hAnsi="Arial" w:cs="Arial"/>
                <w:sz w:val="20"/>
                <w:szCs w:val="20"/>
                <w:lang w:eastAsia="es-MX"/>
              </w:rPr>
            </w:pPr>
          </w:p>
          <w:p w14:paraId="04D884B3" w14:textId="77777777" w:rsidR="003D4420" w:rsidRPr="00F84FD4" w:rsidRDefault="003D4420" w:rsidP="00FF7624">
            <w:pPr>
              <w:jc w:val="both"/>
              <w:rPr>
                <w:rFonts w:ascii="Arial" w:eastAsia="Times New Roman" w:hAnsi="Arial" w:cs="Arial"/>
                <w:sz w:val="20"/>
                <w:szCs w:val="20"/>
                <w:lang w:eastAsia="es-MX"/>
              </w:rPr>
            </w:pPr>
          </w:p>
          <w:p w14:paraId="016776C3" w14:textId="77777777" w:rsidR="003D4420" w:rsidRPr="00F84FD4" w:rsidRDefault="003D4420" w:rsidP="00FF7624">
            <w:pPr>
              <w:jc w:val="both"/>
              <w:rPr>
                <w:rFonts w:ascii="Arial" w:eastAsia="Times New Roman" w:hAnsi="Arial" w:cs="Arial"/>
                <w:sz w:val="20"/>
                <w:szCs w:val="20"/>
                <w:lang w:eastAsia="es-MX"/>
              </w:rPr>
            </w:pPr>
          </w:p>
          <w:p w14:paraId="7943BF00" w14:textId="77777777" w:rsidR="003D4420" w:rsidRPr="00F84FD4" w:rsidRDefault="003D4420" w:rsidP="00FF7624">
            <w:pPr>
              <w:jc w:val="both"/>
              <w:rPr>
                <w:rFonts w:ascii="Arial" w:eastAsia="Times New Roman" w:hAnsi="Arial" w:cs="Arial"/>
                <w:sz w:val="20"/>
                <w:szCs w:val="20"/>
                <w:lang w:eastAsia="es-MX"/>
              </w:rPr>
            </w:pPr>
          </w:p>
          <w:p w14:paraId="37034AA1" w14:textId="77777777" w:rsidR="003D4420" w:rsidRPr="00F84FD4" w:rsidRDefault="003D4420" w:rsidP="00FF7624">
            <w:pPr>
              <w:jc w:val="both"/>
              <w:rPr>
                <w:rFonts w:ascii="Arial" w:eastAsia="Times New Roman" w:hAnsi="Arial" w:cs="Arial"/>
                <w:sz w:val="20"/>
                <w:szCs w:val="20"/>
                <w:lang w:eastAsia="es-MX"/>
              </w:rPr>
            </w:pPr>
          </w:p>
          <w:p w14:paraId="1452C999" w14:textId="77777777" w:rsidR="003D4420" w:rsidRPr="00F84FD4" w:rsidRDefault="003D4420" w:rsidP="00FF7624">
            <w:pPr>
              <w:jc w:val="both"/>
              <w:rPr>
                <w:rFonts w:ascii="Arial" w:eastAsia="Times New Roman" w:hAnsi="Arial" w:cs="Arial"/>
                <w:sz w:val="20"/>
                <w:szCs w:val="20"/>
                <w:lang w:eastAsia="es-MX"/>
              </w:rPr>
            </w:pPr>
          </w:p>
          <w:p w14:paraId="2D19CFFA" w14:textId="77777777" w:rsidR="003248BC" w:rsidRPr="00F84FD4" w:rsidRDefault="003248BC" w:rsidP="003D4420">
            <w:pPr>
              <w:jc w:val="both"/>
              <w:rPr>
                <w:rFonts w:ascii="Arial" w:hAnsi="Arial" w:cs="Arial"/>
                <w:bCs/>
                <w:sz w:val="20"/>
                <w:szCs w:val="20"/>
              </w:rPr>
            </w:pPr>
          </w:p>
          <w:p w14:paraId="32AC037E" w14:textId="61EB81CC" w:rsidR="003D4420" w:rsidRPr="00F84FD4" w:rsidRDefault="003D4420" w:rsidP="003D4420">
            <w:pPr>
              <w:jc w:val="both"/>
              <w:rPr>
                <w:rFonts w:ascii="Arial" w:eastAsia="Times New Roman" w:hAnsi="Arial" w:cs="Arial"/>
                <w:sz w:val="20"/>
                <w:szCs w:val="20"/>
                <w:lang w:eastAsia="es-MX"/>
              </w:rPr>
            </w:pPr>
            <w:r w:rsidRPr="00F84FD4">
              <w:rPr>
                <w:rFonts w:ascii="Arial" w:hAnsi="Arial" w:cs="Arial"/>
                <w:bCs/>
                <w:sz w:val="20"/>
                <w:szCs w:val="20"/>
              </w:rPr>
              <w:t>Dentro del proceso se incorpora el servicio de Elaboración de Proyecto y Presupuesto de la misma forma que está resuelto para el otro agente regulado que provee el Servicio de compartición de Espacio en torre.</w:t>
            </w:r>
          </w:p>
          <w:p w14:paraId="07EE8542" w14:textId="77777777" w:rsidR="003D4420" w:rsidRPr="00F84FD4" w:rsidRDefault="003D4420" w:rsidP="003D4420">
            <w:pPr>
              <w:jc w:val="both"/>
              <w:rPr>
                <w:rFonts w:ascii="Arial" w:eastAsia="Times New Roman" w:hAnsi="Arial" w:cs="Arial"/>
                <w:sz w:val="20"/>
                <w:szCs w:val="20"/>
                <w:lang w:eastAsia="es-MX"/>
              </w:rPr>
            </w:pPr>
          </w:p>
          <w:p w14:paraId="647AF962" w14:textId="77777777" w:rsidR="003D4420" w:rsidRPr="00F84FD4" w:rsidRDefault="003D4420" w:rsidP="003D4420">
            <w:pPr>
              <w:jc w:val="both"/>
              <w:rPr>
                <w:rFonts w:ascii="Arial" w:eastAsia="Times New Roman" w:hAnsi="Arial" w:cs="Arial"/>
                <w:sz w:val="20"/>
                <w:szCs w:val="20"/>
                <w:lang w:eastAsia="es-MX"/>
              </w:rPr>
            </w:pPr>
          </w:p>
          <w:p w14:paraId="2F2B3B02" w14:textId="37C6C9BD" w:rsidR="003D4420" w:rsidRPr="00F84FD4" w:rsidRDefault="003D4420" w:rsidP="003248BC">
            <w:pPr>
              <w:jc w:val="both"/>
              <w:rPr>
                <w:rFonts w:ascii="Arial" w:eastAsia="Times New Roman" w:hAnsi="Arial" w:cs="Arial"/>
                <w:sz w:val="20"/>
                <w:szCs w:val="20"/>
                <w:lang w:eastAsia="es-MX"/>
              </w:rPr>
            </w:pPr>
            <w:r w:rsidRPr="00F84FD4">
              <w:rPr>
                <w:rFonts w:ascii="Arial" w:eastAsia="Times New Roman" w:hAnsi="Arial" w:cs="Arial"/>
                <w:sz w:val="20"/>
                <w:szCs w:val="20"/>
                <w:lang w:eastAsia="es-MX"/>
              </w:rPr>
              <w:t xml:space="preserve">Se aclara los escenarios de cuando la necesidad del servicio de “Elaboración de Proyecto y Presupuesto” por responsabilidad </w:t>
            </w:r>
            <w:r w:rsidR="003828B6" w:rsidRPr="00F84FD4">
              <w:rPr>
                <w:rFonts w:ascii="Arial" w:eastAsia="Times New Roman" w:hAnsi="Arial" w:cs="Arial"/>
                <w:sz w:val="20"/>
                <w:szCs w:val="20"/>
                <w:lang w:eastAsia="es-MX"/>
              </w:rPr>
              <w:t>de Telmex /</w:t>
            </w:r>
            <w:r w:rsidRPr="00F84FD4">
              <w:rPr>
                <w:rFonts w:ascii="Arial" w:eastAsia="Times New Roman" w:hAnsi="Arial" w:cs="Arial"/>
                <w:sz w:val="20"/>
                <w:szCs w:val="20"/>
                <w:lang w:eastAsia="es-MX"/>
              </w:rPr>
              <w:t>Telnor (falta de mantenimiento) y cuando es por la propia necesidad y requerimiento del CS y AS.</w:t>
            </w:r>
          </w:p>
        </w:tc>
      </w:tr>
    </w:tbl>
    <w:p w14:paraId="6DAD4D10" w14:textId="77777777" w:rsidR="00E44664" w:rsidRPr="008E3369" w:rsidRDefault="00E44664" w:rsidP="00E44664">
      <w:pPr>
        <w:pStyle w:val="Sinespaciado"/>
      </w:pPr>
    </w:p>
    <w:p w14:paraId="545A45D2" w14:textId="77777777" w:rsidR="00E26D24" w:rsidRDefault="00E26D24" w:rsidP="0078283B">
      <w:pPr>
        <w:pStyle w:val="Sinespaciado"/>
        <w:rPr>
          <w:b/>
        </w:rPr>
      </w:pPr>
    </w:p>
    <w:p w14:paraId="263573EA" w14:textId="14EBCFA5" w:rsidR="00000341" w:rsidRDefault="00000341">
      <w:pPr>
        <w:rPr>
          <w:b/>
        </w:rPr>
      </w:pPr>
      <w:r>
        <w:rPr>
          <w:b/>
        </w:rPr>
        <w:br w:type="page"/>
      </w:r>
    </w:p>
    <w:p w14:paraId="5594DEA5" w14:textId="77777777" w:rsidR="0078283B" w:rsidRPr="008E3369" w:rsidRDefault="0078283B" w:rsidP="0078283B">
      <w:pPr>
        <w:pStyle w:val="Sinespaciado"/>
        <w:rPr>
          <w:b/>
          <w:i/>
        </w:rPr>
      </w:pPr>
      <w:r>
        <w:rPr>
          <w:b/>
        </w:rPr>
        <w:lastRenderedPageBreak/>
        <w:t>ANEXO 1</w:t>
      </w:r>
      <w:r w:rsidRPr="008E3369">
        <w:rPr>
          <w:b/>
        </w:rPr>
        <w:t xml:space="preserve"> </w:t>
      </w:r>
      <w:r w:rsidRPr="008E3369">
        <w:rPr>
          <w:b/>
          <w:i/>
        </w:rPr>
        <w:t>“</w:t>
      </w:r>
      <w:r>
        <w:rPr>
          <w:b/>
          <w:i/>
        </w:rPr>
        <w:t>FORMATOS</w:t>
      </w:r>
      <w:r w:rsidRPr="008E3369">
        <w:rPr>
          <w:b/>
          <w:i/>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26"/>
        <w:gridCol w:w="1972"/>
        <w:gridCol w:w="2316"/>
        <w:gridCol w:w="4632"/>
        <w:gridCol w:w="5050"/>
      </w:tblGrid>
      <w:tr w:rsidR="0078283B" w:rsidRPr="0013177C" w14:paraId="247E0260" w14:textId="77777777" w:rsidTr="00E26D24">
        <w:trPr>
          <w:trHeight w:val="346"/>
          <w:tblHeader/>
        </w:trPr>
        <w:tc>
          <w:tcPr>
            <w:tcW w:w="247" w:type="pct"/>
            <w:shd w:val="clear" w:color="auto" w:fill="1F497D" w:themeFill="text2"/>
            <w:vAlign w:val="center"/>
          </w:tcPr>
          <w:p w14:paraId="3B85DFE7" w14:textId="77777777" w:rsidR="0078283B" w:rsidRPr="0013177C" w:rsidRDefault="0078283B" w:rsidP="00E26D24">
            <w:pPr>
              <w:spacing w:after="0" w:line="240" w:lineRule="auto"/>
              <w:jc w:val="center"/>
              <w:rPr>
                <w:rFonts w:ascii="Arial" w:eastAsia="Times New Roman" w:hAnsi="Arial" w:cs="Arial"/>
                <w:b/>
                <w:bCs/>
                <w:color w:val="FFFFFF" w:themeColor="background1"/>
                <w:lang w:eastAsia="es-MX"/>
              </w:rPr>
            </w:pPr>
            <w:r w:rsidRPr="0013177C">
              <w:rPr>
                <w:rFonts w:ascii="Arial" w:eastAsia="Times New Roman" w:hAnsi="Arial" w:cs="Arial"/>
                <w:b/>
                <w:bCs/>
                <w:color w:val="FFFFFF" w:themeColor="background1"/>
                <w:lang w:eastAsia="es-MX"/>
              </w:rPr>
              <w:t>No</w:t>
            </w:r>
          </w:p>
        </w:tc>
        <w:tc>
          <w:tcPr>
            <w:tcW w:w="671" w:type="pct"/>
            <w:shd w:val="clear" w:color="auto" w:fill="1F497D" w:themeFill="text2"/>
            <w:vAlign w:val="center"/>
          </w:tcPr>
          <w:p w14:paraId="19EB69FA" w14:textId="01529D4D" w:rsidR="0078283B" w:rsidRPr="0013177C" w:rsidRDefault="00DA6597" w:rsidP="00E26D24">
            <w:pPr>
              <w:spacing w:after="0" w:line="240" w:lineRule="auto"/>
              <w:jc w:val="center"/>
              <w:rPr>
                <w:rFonts w:ascii="Arial" w:eastAsia="Times New Roman" w:hAnsi="Arial" w:cs="Arial"/>
                <w:b/>
                <w:bCs/>
                <w:color w:val="FFFFFF" w:themeColor="background1"/>
                <w:lang w:eastAsia="es-MX"/>
              </w:rPr>
            </w:pPr>
            <w:r>
              <w:rPr>
                <w:rFonts w:ascii="Arial" w:eastAsia="Times New Roman" w:hAnsi="Arial" w:cs="Arial"/>
                <w:b/>
                <w:bCs/>
                <w:color w:val="FFFFFF" w:themeColor="background1"/>
                <w:lang w:eastAsia="es-MX"/>
              </w:rPr>
              <w:t>Cláusula</w:t>
            </w:r>
            <w:r w:rsidR="0078283B" w:rsidRPr="0013177C">
              <w:rPr>
                <w:rFonts w:ascii="Arial" w:eastAsia="Times New Roman" w:hAnsi="Arial" w:cs="Arial"/>
                <w:b/>
                <w:bCs/>
                <w:color w:val="FFFFFF" w:themeColor="background1"/>
                <w:lang w:eastAsia="es-MX"/>
              </w:rPr>
              <w:t>/Sección/Numeral</w:t>
            </w:r>
          </w:p>
        </w:tc>
        <w:tc>
          <w:tcPr>
            <w:tcW w:w="788" w:type="pct"/>
            <w:shd w:val="clear" w:color="auto" w:fill="1F497D" w:themeFill="text2"/>
            <w:vAlign w:val="center"/>
          </w:tcPr>
          <w:p w14:paraId="774D531D" w14:textId="77777777" w:rsidR="0078283B" w:rsidRPr="0013177C" w:rsidRDefault="0078283B" w:rsidP="00E26D24">
            <w:pPr>
              <w:spacing w:after="0" w:line="240" w:lineRule="auto"/>
              <w:jc w:val="center"/>
              <w:rPr>
                <w:rFonts w:ascii="Arial" w:eastAsia="Times New Roman" w:hAnsi="Arial" w:cs="Arial"/>
                <w:b/>
                <w:bCs/>
                <w:color w:val="FFFFFF" w:themeColor="background1"/>
                <w:lang w:eastAsia="es-MX"/>
              </w:rPr>
            </w:pPr>
            <w:r w:rsidRPr="0013177C">
              <w:rPr>
                <w:rFonts w:ascii="Arial" w:eastAsia="Times New Roman" w:hAnsi="Arial" w:cs="Arial"/>
                <w:b/>
                <w:bCs/>
                <w:color w:val="FFFFFF" w:themeColor="background1"/>
                <w:lang w:eastAsia="es-MX"/>
              </w:rPr>
              <w:t>Tema</w:t>
            </w:r>
          </w:p>
        </w:tc>
        <w:tc>
          <w:tcPr>
            <w:tcW w:w="1576" w:type="pct"/>
            <w:shd w:val="clear" w:color="auto" w:fill="1F497D" w:themeFill="text2"/>
            <w:vAlign w:val="center"/>
          </w:tcPr>
          <w:p w14:paraId="6C7A81AF" w14:textId="77777777" w:rsidR="0078283B" w:rsidRPr="0013177C" w:rsidRDefault="0078283B" w:rsidP="00E26D24">
            <w:pPr>
              <w:spacing w:after="0" w:line="240" w:lineRule="auto"/>
              <w:jc w:val="center"/>
              <w:rPr>
                <w:rFonts w:ascii="Arial" w:eastAsia="Times New Roman" w:hAnsi="Arial" w:cs="Arial"/>
                <w:b/>
                <w:bCs/>
                <w:color w:val="FFFFFF" w:themeColor="background1"/>
                <w:lang w:eastAsia="es-MX"/>
              </w:rPr>
            </w:pPr>
            <w:r w:rsidRPr="0013177C">
              <w:rPr>
                <w:rFonts w:ascii="Arial" w:eastAsia="Times New Roman" w:hAnsi="Arial" w:cs="Arial"/>
                <w:b/>
                <w:bCs/>
                <w:color w:val="FFFFFF" w:themeColor="background1"/>
                <w:lang w:eastAsia="es-MX"/>
              </w:rPr>
              <w:t>Modificación/Adición</w:t>
            </w:r>
          </w:p>
        </w:tc>
        <w:tc>
          <w:tcPr>
            <w:tcW w:w="1718" w:type="pct"/>
            <w:tcBorders>
              <w:bottom w:val="single" w:sz="4" w:space="0" w:color="000000" w:themeColor="text1"/>
            </w:tcBorders>
            <w:shd w:val="clear" w:color="auto" w:fill="1F497D" w:themeFill="text2"/>
            <w:vAlign w:val="center"/>
          </w:tcPr>
          <w:p w14:paraId="32CE040C" w14:textId="77777777" w:rsidR="0078283B" w:rsidRPr="0013177C" w:rsidRDefault="0078283B" w:rsidP="00E26D24">
            <w:pPr>
              <w:spacing w:after="0" w:line="240" w:lineRule="auto"/>
              <w:jc w:val="center"/>
              <w:rPr>
                <w:rFonts w:ascii="Arial" w:eastAsia="Times New Roman" w:hAnsi="Arial" w:cs="Arial"/>
                <w:b/>
                <w:bCs/>
                <w:color w:val="FFFFFF" w:themeColor="background1"/>
                <w:lang w:eastAsia="es-MX"/>
              </w:rPr>
            </w:pPr>
            <w:r w:rsidRPr="0013177C">
              <w:rPr>
                <w:rFonts w:ascii="Arial" w:eastAsia="Times New Roman" w:hAnsi="Arial" w:cs="Arial"/>
                <w:b/>
                <w:bCs/>
                <w:color w:val="FFFFFF" w:themeColor="background1"/>
                <w:lang w:eastAsia="es-MX"/>
              </w:rPr>
              <w:t>Justificación a Instituto</w:t>
            </w:r>
          </w:p>
        </w:tc>
      </w:tr>
      <w:tr w:rsidR="0078283B" w:rsidRPr="0013177C" w14:paraId="7C493FC3" w14:textId="77777777" w:rsidTr="00E26D24">
        <w:trPr>
          <w:trHeight w:val="346"/>
          <w:tblHeader/>
        </w:trPr>
        <w:tc>
          <w:tcPr>
            <w:tcW w:w="247" w:type="pct"/>
            <w:tcBorders>
              <w:top w:val="single" w:sz="4" w:space="0" w:color="auto"/>
              <w:left w:val="single" w:sz="4" w:space="0" w:color="auto"/>
              <w:bottom w:val="single" w:sz="4" w:space="0" w:color="auto"/>
              <w:right w:val="single" w:sz="4" w:space="0" w:color="auto"/>
            </w:tcBorders>
            <w:shd w:val="clear" w:color="auto" w:fill="auto"/>
            <w:vAlign w:val="center"/>
          </w:tcPr>
          <w:p w14:paraId="112DD154" w14:textId="08454C4C" w:rsidR="0078283B" w:rsidRPr="0013177C" w:rsidRDefault="001F322B" w:rsidP="00E26D24">
            <w:pPr>
              <w:spacing w:after="0" w:line="240" w:lineRule="auto"/>
              <w:jc w:val="center"/>
              <w:rPr>
                <w:rFonts w:ascii="Arial" w:eastAsia="Times New Roman" w:hAnsi="Arial" w:cs="Arial"/>
                <w:bCs/>
                <w:lang w:eastAsia="es-MX"/>
              </w:rPr>
            </w:pPr>
            <w:r>
              <w:rPr>
                <w:rFonts w:ascii="Arial" w:eastAsia="Times New Roman" w:hAnsi="Arial" w:cs="Arial"/>
                <w:bCs/>
                <w:lang w:eastAsia="es-MX"/>
              </w:rPr>
              <w:t>7</w:t>
            </w:r>
          </w:p>
        </w:tc>
        <w:tc>
          <w:tcPr>
            <w:tcW w:w="671" w:type="pct"/>
            <w:tcBorders>
              <w:top w:val="single" w:sz="4" w:space="0" w:color="auto"/>
              <w:left w:val="single" w:sz="4" w:space="0" w:color="auto"/>
              <w:bottom w:val="single" w:sz="4" w:space="0" w:color="auto"/>
              <w:right w:val="single" w:sz="4" w:space="0" w:color="auto"/>
            </w:tcBorders>
            <w:shd w:val="clear" w:color="auto" w:fill="auto"/>
            <w:vAlign w:val="center"/>
          </w:tcPr>
          <w:p w14:paraId="25C43CB0" w14:textId="77777777" w:rsidR="0078283B" w:rsidRPr="0013177C" w:rsidRDefault="0078283B" w:rsidP="00E26D24">
            <w:pPr>
              <w:spacing w:after="0" w:line="240" w:lineRule="auto"/>
              <w:rPr>
                <w:rFonts w:ascii="Arial" w:eastAsia="Times New Roman" w:hAnsi="Arial" w:cs="Arial"/>
                <w:bCs/>
                <w:lang w:eastAsia="es-MX"/>
              </w:rPr>
            </w:pPr>
            <w:bookmarkStart w:id="37" w:name="_Toc50035023"/>
            <w:bookmarkStart w:id="38" w:name="_Toc52280431"/>
            <w:r w:rsidRPr="0013177C">
              <w:rPr>
                <w:rFonts w:ascii="Arial" w:eastAsia="Times New Roman" w:hAnsi="Arial" w:cs="Arial"/>
                <w:bCs/>
                <w:lang w:eastAsia="es-MX"/>
              </w:rPr>
              <w:t>7.2.2 Datos Generales Responsable del Proyecto</w:t>
            </w:r>
            <w:bookmarkEnd w:id="37"/>
            <w:bookmarkEnd w:id="38"/>
            <w:r w:rsidRPr="0013177C">
              <w:rPr>
                <w:rFonts w:ascii="Arial" w:eastAsia="Times New Roman" w:hAnsi="Arial" w:cs="Arial"/>
                <w:bCs/>
                <w:lang w:eastAsia="es-MX"/>
              </w:rPr>
              <w:t xml:space="preserve"> y 7.2.3 Datos Generales RCDT</w:t>
            </w:r>
          </w:p>
          <w:p w14:paraId="7458F61D" w14:textId="77777777" w:rsidR="0078283B" w:rsidRPr="0013177C" w:rsidRDefault="0078283B" w:rsidP="00E26D24">
            <w:pPr>
              <w:spacing w:after="0" w:line="240" w:lineRule="auto"/>
              <w:jc w:val="center"/>
              <w:rPr>
                <w:rFonts w:ascii="Arial" w:eastAsia="Times New Roman" w:hAnsi="Arial" w:cs="Arial"/>
                <w:bCs/>
                <w:lang w:eastAsia="es-MX"/>
              </w:rPr>
            </w:pPr>
          </w:p>
        </w:tc>
        <w:tc>
          <w:tcPr>
            <w:tcW w:w="788" w:type="pct"/>
            <w:tcBorders>
              <w:top w:val="single" w:sz="4" w:space="0" w:color="auto"/>
              <w:left w:val="single" w:sz="4" w:space="0" w:color="auto"/>
              <w:bottom w:val="single" w:sz="4" w:space="0" w:color="auto"/>
              <w:right w:val="single" w:sz="4" w:space="0" w:color="auto"/>
            </w:tcBorders>
            <w:shd w:val="clear" w:color="auto" w:fill="auto"/>
            <w:vAlign w:val="center"/>
          </w:tcPr>
          <w:p w14:paraId="13E6AFFF" w14:textId="77777777" w:rsidR="0078283B" w:rsidRPr="0013177C" w:rsidRDefault="0078283B" w:rsidP="00E26D24">
            <w:pPr>
              <w:spacing w:after="0" w:line="240" w:lineRule="auto"/>
              <w:rPr>
                <w:rFonts w:ascii="Arial" w:eastAsia="Times New Roman" w:hAnsi="Arial" w:cs="Arial"/>
                <w:bCs/>
                <w:lang w:eastAsia="es-MX"/>
              </w:rPr>
            </w:pPr>
            <w:r w:rsidRPr="0013177C">
              <w:rPr>
                <w:rFonts w:ascii="Arial" w:eastAsia="Times New Roman" w:hAnsi="Arial" w:cs="Arial"/>
                <w:bCs/>
                <w:lang w:eastAsia="es-MX"/>
              </w:rPr>
              <w:t>Contacto de SEG y VPN</w:t>
            </w:r>
          </w:p>
          <w:p w14:paraId="13FA8E0D" w14:textId="77777777" w:rsidR="0078283B" w:rsidRPr="0013177C" w:rsidRDefault="0078283B" w:rsidP="00E26D24">
            <w:pPr>
              <w:spacing w:after="0" w:line="240" w:lineRule="auto"/>
              <w:jc w:val="center"/>
              <w:rPr>
                <w:rFonts w:ascii="Arial" w:eastAsia="Times New Roman" w:hAnsi="Arial" w:cs="Arial"/>
                <w:bCs/>
                <w:lang w:eastAsia="es-MX"/>
              </w:rPr>
            </w:pPr>
          </w:p>
        </w:tc>
        <w:tc>
          <w:tcPr>
            <w:tcW w:w="1576" w:type="pct"/>
            <w:tcBorders>
              <w:top w:val="single" w:sz="4" w:space="0" w:color="auto"/>
              <w:left w:val="single" w:sz="4" w:space="0" w:color="auto"/>
              <w:bottom w:val="single" w:sz="4" w:space="0" w:color="auto"/>
              <w:right w:val="single" w:sz="4" w:space="0" w:color="auto"/>
            </w:tcBorders>
            <w:shd w:val="clear" w:color="auto" w:fill="auto"/>
            <w:vAlign w:val="center"/>
          </w:tcPr>
          <w:p w14:paraId="0E2835FC" w14:textId="77777777" w:rsidR="0078283B" w:rsidRPr="0013177C" w:rsidRDefault="0078283B" w:rsidP="00E26D24">
            <w:pPr>
              <w:spacing w:after="0" w:line="240" w:lineRule="auto"/>
              <w:jc w:val="both"/>
              <w:rPr>
                <w:rFonts w:ascii="Arial" w:eastAsia="Times New Roman" w:hAnsi="Arial" w:cs="Arial"/>
                <w:b/>
                <w:bCs/>
                <w:lang w:eastAsia="es-MX"/>
              </w:rPr>
            </w:pPr>
            <w:r w:rsidRPr="0013177C">
              <w:rPr>
                <w:rFonts w:ascii="Arial" w:eastAsia="Times New Roman" w:hAnsi="Arial" w:cs="Arial"/>
                <w:b/>
                <w:bCs/>
                <w:noProof/>
                <w:lang w:eastAsia="es-MX"/>
              </w:rPr>
              <w:drawing>
                <wp:inline distT="0" distB="0" distL="0" distR="0" wp14:anchorId="212025B6" wp14:editId="695372FC">
                  <wp:extent cx="2048494" cy="836930"/>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96920" cy="856715"/>
                          </a:xfrm>
                          <a:prstGeom prst="rect">
                            <a:avLst/>
                          </a:prstGeom>
                          <a:noFill/>
                          <a:ln>
                            <a:noFill/>
                          </a:ln>
                        </pic:spPr>
                      </pic:pic>
                    </a:graphicData>
                  </a:graphic>
                </wp:inline>
              </w:drawing>
            </w:r>
          </w:p>
          <w:p w14:paraId="7E1DEBCE" w14:textId="77777777" w:rsidR="0078283B" w:rsidRPr="0013177C" w:rsidRDefault="0078283B" w:rsidP="00E26D24">
            <w:pPr>
              <w:spacing w:after="0" w:line="240" w:lineRule="auto"/>
              <w:jc w:val="both"/>
              <w:rPr>
                <w:rFonts w:ascii="Arial" w:eastAsia="Times New Roman" w:hAnsi="Arial" w:cs="Arial"/>
                <w:b/>
                <w:bCs/>
                <w:lang w:eastAsia="es-MX"/>
              </w:rPr>
            </w:pPr>
            <w:r w:rsidRPr="0013177C">
              <w:rPr>
                <w:rFonts w:ascii="Arial" w:eastAsia="Times New Roman" w:hAnsi="Arial" w:cs="Arial"/>
                <w:b/>
                <w:bCs/>
                <w:noProof/>
                <w:lang w:eastAsia="es-MX"/>
              </w:rPr>
              <w:drawing>
                <wp:inline distT="0" distB="0" distL="0" distR="0" wp14:anchorId="416F0C68" wp14:editId="5C3BC9F8">
                  <wp:extent cx="2066290" cy="1193470"/>
                  <wp:effectExtent l="0" t="0" r="0" b="6985"/>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75370" cy="1198714"/>
                          </a:xfrm>
                          <a:prstGeom prst="rect">
                            <a:avLst/>
                          </a:prstGeom>
                          <a:noFill/>
                          <a:ln>
                            <a:noFill/>
                          </a:ln>
                        </pic:spPr>
                      </pic:pic>
                    </a:graphicData>
                  </a:graphic>
                </wp:inline>
              </w:drawing>
            </w:r>
          </w:p>
          <w:p w14:paraId="37ABACEF" w14:textId="584D69C3" w:rsidR="004B55F5" w:rsidRPr="0013177C" w:rsidRDefault="004B55F5" w:rsidP="004B55F5">
            <w:pPr>
              <w:spacing w:after="0" w:line="240" w:lineRule="auto"/>
              <w:jc w:val="both"/>
              <w:rPr>
                <w:rFonts w:ascii="Arial" w:eastAsia="Times New Roman" w:hAnsi="Arial" w:cs="Arial"/>
                <w:b/>
                <w:bCs/>
                <w:lang w:eastAsia="es-MX"/>
              </w:rPr>
            </w:pPr>
            <w:r w:rsidRPr="0013177C">
              <w:rPr>
                <w:rFonts w:ascii="Arial" w:eastAsia="Times New Roman" w:hAnsi="Arial" w:cs="Arial"/>
                <w:b/>
                <w:bCs/>
                <w:sz w:val="20"/>
                <w:lang w:eastAsia="es-MX"/>
              </w:rPr>
              <w:t xml:space="preserve">[Inserción de </w:t>
            </w:r>
            <w:r w:rsidRPr="0013177C">
              <w:rPr>
                <w:rFonts w:ascii="Arial" w:hAnsi="Arial" w:cs="Arial"/>
                <w:b/>
                <w:color w:val="000000" w:themeColor="text1"/>
                <w:sz w:val="20"/>
              </w:rPr>
              <w:t xml:space="preserve">FORMATO DE </w:t>
            </w:r>
            <w:r w:rsidR="0013177C" w:rsidRPr="0013177C">
              <w:rPr>
                <w:rFonts w:ascii="Arial" w:hAnsi="Arial" w:cs="Arial"/>
                <w:b/>
                <w:color w:val="000000" w:themeColor="text1"/>
                <w:sz w:val="20"/>
              </w:rPr>
              <w:t>Elaboración de Proyecto y Presupuesto</w:t>
            </w:r>
            <w:r w:rsidRPr="0013177C">
              <w:rPr>
                <w:rFonts w:ascii="Arial" w:hAnsi="Arial" w:cs="Arial"/>
                <w:b/>
                <w:color w:val="000000" w:themeColor="text1"/>
                <w:sz w:val="20"/>
              </w:rPr>
              <w:t>]</w:t>
            </w:r>
          </w:p>
        </w:tc>
        <w:tc>
          <w:tcPr>
            <w:tcW w:w="1718" w:type="pct"/>
            <w:tcBorders>
              <w:top w:val="single" w:sz="4" w:space="0" w:color="auto"/>
              <w:left w:val="single" w:sz="4" w:space="0" w:color="auto"/>
              <w:bottom w:val="single" w:sz="4" w:space="0" w:color="000000" w:themeColor="text1"/>
              <w:right w:val="single" w:sz="4" w:space="0" w:color="auto"/>
            </w:tcBorders>
            <w:shd w:val="clear" w:color="auto" w:fill="auto"/>
            <w:vAlign w:val="center"/>
          </w:tcPr>
          <w:p w14:paraId="501622FE" w14:textId="14C6FD83" w:rsidR="0078283B" w:rsidRPr="0013177C" w:rsidRDefault="0078283B" w:rsidP="00E26D24">
            <w:pPr>
              <w:spacing w:after="0" w:line="240" w:lineRule="auto"/>
              <w:jc w:val="both"/>
              <w:rPr>
                <w:rFonts w:ascii="Arial" w:eastAsia="Times New Roman" w:hAnsi="Arial" w:cs="Arial"/>
                <w:bCs/>
                <w:lang w:eastAsia="es-MX"/>
              </w:rPr>
            </w:pPr>
            <w:r w:rsidRPr="00E443EF">
              <w:rPr>
                <w:rFonts w:ascii="Arial" w:eastAsia="Times New Roman" w:hAnsi="Arial" w:cs="Arial"/>
                <w:bCs/>
                <w:sz w:val="20"/>
                <w:lang w:eastAsia="es-MX"/>
              </w:rPr>
              <w:t>Se actualizan datos de contacto</w:t>
            </w:r>
            <w:r w:rsidR="0013177C" w:rsidRPr="00E443EF">
              <w:rPr>
                <w:rFonts w:ascii="Arial" w:eastAsia="Times New Roman" w:hAnsi="Arial" w:cs="Arial"/>
                <w:bCs/>
                <w:sz w:val="20"/>
                <w:lang w:eastAsia="es-MX"/>
              </w:rPr>
              <w:t xml:space="preserve"> y se agrega el formato correspondiente al Servicio de Elaboración de Proyecto y Presupuesto.</w:t>
            </w:r>
          </w:p>
        </w:tc>
      </w:tr>
    </w:tbl>
    <w:p w14:paraId="473D8166" w14:textId="77777777" w:rsidR="0078283B" w:rsidRDefault="0078283B" w:rsidP="00D66FC4">
      <w:pPr>
        <w:pStyle w:val="Sinespaciado"/>
        <w:rPr>
          <w:b/>
        </w:rPr>
      </w:pPr>
    </w:p>
    <w:p w14:paraId="1D99F4A8" w14:textId="77777777" w:rsidR="0078283B" w:rsidRDefault="0078283B" w:rsidP="00D66FC4">
      <w:pPr>
        <w:pStyle w:val="Sinespaciado"/>
        <w:rPr>
          <w:b/>
        </w:rPr>
      </w:pPr>
    </w:p>
    <w:p w14:paraId="2C723E93" w14:textId="77777777" w:rsidR="00D66FC4" w:rsidRPr="00585001" w:rsidRDefault="00D66FC4" w:rsidP="00D66FC4">
      <w:pPr>
        <w:pStyle w:val="Sinespaciado"/>
        <w:rPr>
          <w:b/>
          <w:i/>
          <w:sz w:val="24"/>
        </w:rPr>
      </w:pPr>
      <w:r w:rsidRPr="00585001">
        <w:rPr>
          <w:b/>
          <w:sz w:val="24"/>
        </w:rPr>
        <w:t xml:space="preserve">ANEXO 2 </w:t>
      </w:r>
      <w:r w:rsidRPr="00585001">
        <w:rPr>
          <w:b/>
          <w:i/>
          <w:sz w:val="24"/>
        </w:rPr>
        <w:t>“NORMAS TÉCNICAS”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26"/>
        <w:gridCol w:w="1972"/>
        <w:gridCol w:w="2316"/>
        <w:gridCol w:w="4632"/>
        <w:gridCol w:w="5050"/>
      </w:tblGrid>
      <w:tr w:rsidR="00D66FC4" w:rsidRPr="0013177C" w14:paraId="5FF91292" w14:textId="77777777" w:rsidTr="005B02B8">
        <w:trPr>
          <w:trHeight w:val="346"/>
          <w:tblHeader/>
        </w:trPr>
        <w:tc>
          <w:tcPr>
            <w:tcW w:w="247" w:type="pct"/>
            <w:shd w:val="clear" w:color="auto" w:fill="1F497D" w:themeFill="text2"/>
            <w:vAlign w:val="center"/>
          </w:tcPr>
          <w:p w14:paraId="35D74646" w14:textId="77777777" w:rsidR="00D66FC4" w:rsidRPr="0013177C" w:rsidRDefault="00D66FC4" w:rsidP="00D66FC4">
            <w:pPr>
              <w:spacing w:after="0" w:line="240" w:lineRule="auto"/>
              <w:jc w:val="center"/>
              <w:rPr>
                <w:rFonts w:ascii="Arial" w:eastAsia="Times New Roman" w:hAnsi="Arial" w:cs="Arial"/>
                <w:color w:val="FFFFFF" w:themeColor="background1"/>
                <w:lang w:eastAsia="es-MX"/>
              </w:rPr>
            </w:pPr>
            <w:r w:rsidRPr="0013177C">
              <w:rPr>
                <w:rFonts w:ascii="Arial" w:eastAsia="Times New Roman" w:hAnsi="Arial" w:cs="Arial"/>
                <w:b/>
                <w:bCs/>
                <w:color w:val="FFFFFF" w:themeColor="background1"/>
                <w:lang w:eastAsia="es-MX"/>
              </w:rPr>
              <w:t>No</w:t>
            </w:r>
          </w:p>
        </w:tc>
        <w:tc>
          <w:tcPr>
            <w:tcW w:w="671" w:type="pct"/>
            <w:shd w:val="clear" w:color="auto" w:fill="1F497D" w:themeFill="text2"/>
            <w:vAlign w:val="center"/>
          </w:tcPr>
          <w:p w14:paraId="1EAFC01A" w14:textId="33C6BDB9" w:rsidR="00D66FC4" w:rsidRPr="0013177C" w:rsidRDefault="00DA6597" w:rsidP="00D66FC4">
            <w:pPr>
              <w:spacing w:after="0" w:line="240" w:lineRule="auto"/>
              <w:jc w:val="center"/>
              <w:rPr>
                <w:rFonts w:ascii="Arial" w:eastAsia="Times New Roman" w:hAnsi="Arial" w:cs="Arial"/>
                <w:color w:val="FFFFFF" w:themeColor="background1"/>
                <w:lang w:eastAsia="es-MX"/>
              </w:rPr>
            </w:pPr>
            <w:r>
              <w:rPr>
                <w:rFonts w:ascii="Arial" w:eastAsia="Times New Roman" w:hAnsi="Arial" w:cs="Arial"/>
                <w:b/>
                <w:bCs/>
                <w:color w:val="FFFFFF" w:themeColor="background1"/>
                <w:lang w:eastAsia="es-MX"/>
              </w:rPr>
              <w:t>Cláusula</w:t>
            </w:r>
            <w:r w:rsidR="00D66FC4" w:rsidRPr="0013177C">
              <w:rPr>
                <w:rFonts w:ascii="Arial" w:eastAsia="Times New Roman" w:hAnsi="Arial" w:cs="Arial"/>
                <w:b/>
                <w:bCs/>
                <w:color w:val="FFFFFF" w:themeColor="background1"/>
                <w:lang w:eastAsia="es-MX"/>
              </w:rPr>
              <w:t>/Sección/Numeral</w:t>
            </w:r>
          </w:p>
        </w:tc>
        <w:tc>
          <w:tcPr>
            <w:tcW w:w="788" w:type="pct"/>
            <w:shd w:val="clear" w:color="auto" w:fill="1F497D" w:themeFill="text2"/>
            <w:vAlign w:val="center"/>
          </w:tcPr>
          <w:p w14:paraId="576962A9" w14:textId="77777777" w:rsidR="00D66FC4" w:rsidRPr="0013177C" w:rsidRDefault="00D66FC4" w:rsidP="00D66FC4">
            <w:pPr>
              <w:spacing w:after="0" w:line="240" w:lineRule="auto"/>
              <w:jc w:val="center"/>
              <w:rPr>
                <w:rFonts w:ascii="Arial" w:eastAsia="Times New Roman" w:hAnsi="Arial" w:cs="Arial"/>
                <w:b/>
                <w:bCs/>
                <w:color w:val="FFFFFF" w:themeColor="background1"/>
                <w:lang w:eastAsia="es-MX"/>
              </w:rPr>
            </w:pPr>
            <w:r w:rsidRPr="0013177C">
              <w:rPr>
                <w:rFonts w:ascii="Arial" w:eastAsia="Times New Roman" w:hAnsi="Arial" w:cs="Arial"/>
                <w:b/>
                <w:bCs/>
                <w:color w:val="FFFFFF" w:themeColor="background1"/>
                <w:lang w:eastAsia="es-MX"/>
              </w:rPr>
              <w:t>Tema</w:t>
            </w:r>
          </w:p>
        </w:tc>
        <w:tc>
          <w:tcPr>
            <w:tcW w:w="1576" w:type="pct"/>
            <w:shd w:val="clear" w:color="auto" w:fill="1F497D" w:themeFill="text2"/>
            <w:vAlign w:val="center"/>
          </w:tcPr>
          <w:p w14:paraId="00FAD699" w14:textId="77777777" w:rsidR="00D66FC4" w:rsidRPr="0013177C" w:rsidRDefault="00D66FC4" w:rsidP="00D66FC4">
            <w:pPr>
              <w:spacing w:after="0" w:line="240" w:lineRule="auto"/>
              <w:jc w:val="center"/>
              <w:rPr>
                <w:rFonts w:ascii="Arial" w:eastAsia="Times New Roman" w:hAnsi="Arial" w:cs="Arial"/>
                <w:b/>
                <w:bCs/>
                <w:color w:val="FFFFFF" w:themeColor="background1"/>
                <w:lang w:eastAsia="es-MX"/>
              </w:rPr>
            </w:pPr>
            <w:r w:rsidRPr="0013177C">
              <w:rPr>
                <w:rFonts w:ascii="Arial" w:eastAsia="Times New Roman" w:hAnsi="Arial" w:cs="Arial"/>
                <w:b/>
                <w:bCs/>
                <w:color w:val="FFFFFF" w:themeColor="background1"/>
                <w:lang w:eastAsia="es-MX"/>
              </w:rPr>
              <w:t>Modificación/Adición</w:t>
            </w:r>
          </w:p>
        </w:tc>
        <w:tc>
          <w:tcPr>
            <w:tcW w:w="1718" w:type="pct"/>
            <w:tcBorders>
              <w:bottom w:val="single" w:sz="4" w:space="0" w:color="000000" w:themeColor="text1"/>
            </w:tcBorders>
            <w:shd w:val="clear" w:color="auto" w:fill="1F497D" w:themeFill="text2"/>
            <w:vAlign w:val="center"/>
          </w:tcPr>
          <w:p w14:paraId="32075FF5" w14:textId="77777777" w:rsidR="00D66FC4" w:rsidRPr="0013177C" w:rsidRDefault="00D66FC4" w:rsidP="00D66FC4">
            <w:pPr>
              <w:spacing w:after="0" w:line="240" w:lineRule="auto"/>
              <w:jc w:val="center"/>
              <w:rPr>
                <w:rFonts w:ascii="Arial" w:eastAsia="Times New Roman" w:hAnsi="Arial" w:cs="Arial"/>
                <w:color w:val="FFFFFF" w:themeColor="background1"/>
                <w:highlight w:val="green"/>
                <w:lang w:eastAsia="es-MX"/>
              </w:rPr>
            </w:pPr>
            <w:r w:rsidRPr="0013177C">
              <w:rPr>
                <w:rFonts w:ascii="Arial" w:eastAsia="Times New Roman" w:hAnsi="Arial" w:cs="Arial"/>
                <w:b/>
                <w:bCs/>
                <w:color w:val="FFFFFF" w:themeColor="background1"/>
                <w:lang w:eastAsia="es-MX"/>
              </w:rPr>
              <w:t>Justificación a Instituto</w:t>
            </w:r>
          </w:p>
        </w:tc>
      </w:tr>
      <w:tr w:rsidR="00D66FC4" w:rsidRPr="0013177C" w14:paraId="0CD90AE7" w14:textId="77777777" w:rsidTr="00585001">
        <w:trPr>
          <w:trHeight w:val="2181"/>
        </w:trPr>
        <w:tc>
          <w:tcPr>
            <w:tcW w:w="247" w:type="pct"/>
            <w:tcBorders>
              <w:top w:val="single" w:sz="4" w:space="0" w:color="auto"/>
              <w:left w:val="single" w:sz="4" w:space="0" w:color="auto"/>
              <w:bottom w:val="single" w:sz="4" w:space="0" w:color="auto"/>
              <w:right w:val="single" w:sz="4" w:space="0" w:color="auto"/>
            </w:tcBorders>
            <w:vAlign w:val="center"/>
          </w:tcPr>
          <w:p w14:paraId="714A44D7" w14:textId="77777777" w:rsidR="00D66FC4" w:rsidRPr="0013177C" w:rsidRDefault="00D66FC4" w:rsidP="00D66FC4">
            <w:pPr>
              <w:spacing w:after="0" w:line="240" w:lineRule="auto"/>
              <w:jc w:val="center"/>
              <w:rPr>
                <w:rFonts w:ascii="Arial" w:eastAsia="Times New Roman" w:hAnsi="Arial" w:cs="Arial"/>
                <w:color w:val="000000"/>
                <w:lang w:eastAsia="es-MX"/>
              </w:rPr>
            </w:pPr>
          </w:p>
          <w:p w14:paraId="493FCD83" w14:textId="6226A002" w:rsidR="00D66FC4" w:rsidRPr="0013177C" w:rsidRDefault="001F322B" w:rsidP="00D66FC4">
            <w:pPr>
              <w:spacing w:after="0" w:line="240" w:lineRule="auto"/>
              <w:jc w:val="center"/>
              <w:rPr>
                <w:rFonts w:ascii="Arial" w:eastAsia="Times New Roman" w:hAnsi="Arial" w:cs="Arial"/>
                <w:color w:val="000000"/>
                <w:lang w:eastAsia="es-MX"/>
              </w:rPr>
            </w:pPr>
            <w:r>
              <w:rPr>
                <w:rFonts w:ascii="Arial" w:eastAsia="Times New Roman" w:hAnsi="Arial" w:cs="Arial"/>
                <w:color w:val="000000"/>
                <w:lang w:eastAsia="es-MX"/>
              </w:rPr>
              <w:t>8</w:t>
            </w:r>
          </w:p>
        </w:tc>
        <w:tc>
          <w:tcPr>
            <w:tcW w:w="671" w:type="pct"/>
            <w:tcBorders>
              <w:top w:val="single" w:sz="4" w:space="0" w:color="auto"/>
              <w:left w:val="single" w:sz="4" w:space="0" w:color="auto"/>
              <w:bottom w:val="single" w:sz="4" w:space="0" w:color="auto"/>
              <w:right w:val="single" w:sz="4" w:space="0" w:color="auto"/>
            </w:tcBorders>
            <w:vAlign w:val="center"/>
          </w:tcPr>
          <w:p w14:paraId="2FBBF986" w14:textId="77777777" w:rsidR="00D66FC4" w:rsidRPr="0013177C" w:rsidRDefault="00F920D3" w:rsidP="00D66FC4">
            <w:pPr>
              <w:pStyle w:val="IFTnormal"/>
              <w:spacing w:after="0"/>
              <w:rPr>
                <w:rFonts w:ascii="Arial" w:eastAsia="Times New Roman" w:hAnsi="Arial" w:cs="Arial"/>
                <w:color w:val="000000"/>
                <w:lang w:eastAsia="es-MX"/>
              </w:rPr>
            </w:pPr>
            <w:r w:rsidRPr="0013177C">
              <w:rPr>
                <w:rFonts w:ascii="Arial" w:eastAsia="Times New Roman" w:hAnsi="Arial" w:cs="Arial"/>
                <w:color w:val="000000"/>
                <w:lang w:eastAsia="es-MX"/>
              </w:rPr>
              <w:t>3.2 Análisis de Factibilidad</w:t>
            </w:r>
          </w:p>
        </w:tc>
        <w:tc>
          <w:tcPr>
            <w:tcW w:w="788" w:type="pct"/>
            <w:tcBorders>
              <w:top w:val="single" w:sz="4" w:space="0" w:color="auto"/>
              <w:left w:val="single" w:sz="4" w:space="0" w:color="auto"/>
              <w:bottom w:val="single" w:sz="4" w:space="0" w:color="auto"/>
              <w:right w:val="single" w:sz="4" w:space="0" w:color="auto"/>
            </w:tcBorders>
            <w:shd w:val="clear" w:color="auto" w:fill="auto"/>
            <w:vAlign w:val="center"/>
          </w:tcPr>
          <w:p w14:paraId="596068D6" w14:textId="77777777" w:rsidR="00D66FC4" w:rsidRPr="0013177C" w:rsidRDefault="00D66FC4" w:rsidP="00D66FC4">
            <w:pPr>
              <w:pStyle w:val="IFTnormal"/>
              <w:spacing w:after="0"/>
              <w:rPr>
                <w:rFonts w:ascii="Arial" w:eastAsia="Times New Roman" w:hAnsi="Arial" w:cs="Arial"/>
                <w:color w:val="000000"/>
                <w:lang w:eastAsia="es-MX"/>
              </w:rPr>
            </w:pPr>
            <w:r w:rsidRPr="0013177C">
              <w:rPr>
                <w:rFonts w:ascii="Arial" w:eastAsia="Times New Roman" w:hAnsi="Arial" w:cs="Arial"/>
                <w:color w:val="000000"/>
                <w:lang w:eastAsia="es-MX"/>
              </w:rPr>
              <w:t>Análisis Estructural</w:t>
            </w:r>
          </w:p>
        </w:tc>
        <w:tc>
          <w:tcPr>
            <w:tcW w:w="1576" w:type="pct"/>
            <w:tcBorders>
              <w:top w:val="single" w:sz="4" w:space="0" w:color="auto"/>
              <w:left w:val="single" w:sz="4" w:space="0" w:color="auto"/>
              <w:bottom w:val="single" w:sz="4" w:space="0" w:color="auto"/>
              <w:right w:val="single" w:sz="4" w:space="0" w:color="auto"/>
            </w:tcBorders>
            <w:shd w:val="clear" w:color="auto" w:fill="auto"/>
          </w:tcPr>
          <w:p w14:paraId="5A02F532" w14:textId="79F1E1BB" w:rsidR="0013177C" w:rsidRDefault="0013177C" w:rsidP="00A132F2">
            <w:pPr>
              <w:pStyle w:val="Prrafodelista"/>
              <w:numPr>
                <w:ilvl w:val="1"/>
                <w:numId w:val="26"/>
              </w:numPr>
              <w:tabs>
                <w:tab w:val="left" w:pos="993"/>
              </w:tabs>
              <w:spacing w:after="0"/>
              <w:jc w:val="both"/>
              <w:outlineLvl w:val="1"/>
              <w:rPr>
                <w:rFonts w:ascii="Arial" w:hAnsi="Arial" w:cs="Arial"/>
                <w:b/>
                <w:sz w:val="20"/>
              </w:rPr>
            </w:pPr>
            <w:bookmarkStart w:id="39" w:name="_Toc20916939"/>
            <w:bookmarkStart w:id="40" w:name="_Toc50565389"/>
            <w:bookmarkStart w:id="41" w:name="_Toc50647912"/>
            <w:bookmarkStart w:id="42" w:name="_Toc52280386"/>
            <w:r w:rsidRPr="00A132F2">
              <w:rPr>
                <w:rFonts w:ascii="Arial" w:hAnsi="Arial" w:cs="Arial"/>
                <w:b/>
                <w:sz w:val="20"/>
              </w:rPr>
              <w:t>Análisis de Factibilidad</w:t>
            </w:r>
            <w:bookmarkEnd w:id="39"/>
            <w:bookmarkEnd w:id="40"/>
            <w:bookmarkEnd w:id="41"/>
            <w:bookmarkEnd w:id="42"/>
          </w:p>
          <w:p w14:paraId="7BE7A161" w14:textId="13684252" w:rsidR="00A132F2" w:rsidRPr="00A132F2" w:rsidRDefault="00A132F2" w:rsidP="00A132F2">
            <w:pPr>
              <w:tabs>
                <w:tab w:val="left" w:pos="993"/>
              </w:tabs>
              <w:spacing w:after="0"/>
              <w:jc w:val="both"/>
              <w:outlineLvl w:val="1"/>
              <w:rPr>
                <w:rFonts w:ascii="Arial" w:hAnsi="Arial" w:cs="Arial"/>
                <w:b/>
                <w:sz w:val="20"/>
              </w:rPr>
            </w:pPr>
            <w:r>
              <w:rPr>
                <w:rFonts w:ascii="Arial" w:hAnsi="Arial" w:cs="Arial"/>
                <w:b/>
                <w:sz w:val="20"/>
              </w:rPr>
              <w:t>…</w:t>
            </w:r>
          </w:p>
          <w:p w14:paraId="0F985399" w14:textId="77777777" w:rsidR="00F920D3" w:rsidRPr="0013177C" w:rsidRDefault="00F920D3" w:rsidP="00F920D3">
            <w:pPr>
              <w:pStyle w:val="IFTnormal"/>
              <w:spacing w:after="0"/>
              <w:rPr>
                <w:rFonts w:ascii="Arial" w:hAnsi="Arial" w:cs="Arial"/>
                <w:sz w:val="20"/>
                <w:lang w:eastAsia="es-MX"/>
              </w:rPr>
            </w:pPr>
            <w:r w:rsidRPr="0013177C">
              <w:rPr>
                <w:rFonts w:ascii="Arial" w:hAnsi="Arial" w:cs="Arial"/>
                <w:sz w:val="20"/>
                <w:lang w:eastAsia="es-MX"/>
              </w:rPr>
              <w:t xml:space="preserve">­ Análisis de frecuencias necesarios para garantizar la correcta operación de los sistemas existentes, así como un uso adecuado del espectro radioeléctrico en puntos comunes. </w:t>
            </w:r>
          </w:p>
          <w:p w14:paraId="61CBCC7A" w14:textId="0453DBED" w:rsidR="00D66FC4" w:rsidRPr="00DA6597" w:rsidRDefault="00F920D3" w:rsidP="00BE6D3B">
            <w:pPr>
              <w:pStyle w:val="IFTnormal"/>
              <w:spacing w:after="0"/>
              <w:rPr>
                <w:rFonts w:ascii="Arial" w:hAnsi="Arial" w:cs="Arial"/>
                <w:lang w:eastAsia="es-MX"/>
              </w:rPr>
            </w:pPr>
            <w:r w:rsidRPr="00DA6597">
              <w:rPr>
                <w:rFonts w:ascii="Arial" w:eastAsiaTheme="minorHAnsi" w:hAnsi="Arial" w:cs="Arial"/>
                <w:bCs w:val="0"/>
                <w:sz w:val="20"/>
              </w:rPr>
              <w:t>­ Análisis estructural de torre para garantizar la integridad física de la misma. Este análisis contendrá los cálculos y análisis pertinentes para asegurar que la instalación cumpla con la normativa técnica sobre cargas gravitacionales sobre la estructura de la torre, fuerza</w:t>
            </w:r>
            <w:r w:rsidR="00DA6597">
              <w:rPr>
                <w:rFonts w:ascii="Arial" w:eastAsiaTheme="minorHAnsi" w:hAnsi="Arial" w:cs="Arial"/>
                <w:bCs w:val="0"/>
                <w:sz w:val="20"/>
              </w:rPr>
              <w:t xml:space="preserve">s del viento y fuerzas de sismo </w:t>
            </w:r>
            <w:r w:rsidR="00DA6597" w:rsidRPr="00DA6597">
              <w:rPr>
                <w:rFonts w:ascii="Arial" w:eastAsia="MS Mincho" w:hAnsi="Arial"/>
                <w:color w:val="0070C0"/>
                <w:sz w:val="20"/>
                <w:lang w:val="es-ES_tradnl"/>
              </w:rPr>
              <w:t xml:space="preserve">con el servicio </w:t>
            </w:r>
            <w:r w:rsidR="00BE6D3B">
              <w:rPr>
                <w:rFonts w:ascii="Arial" w:eastAsia="MS Mincho" w:hAnsi="Arial"/>
                <w:color w:val="0070C0"/>
                <w:sz w:val="20"/>
                <w:lang w:val="es-ES_tradnl"/>
              </w:rPr>
              <w:t xml:space="preserve"> complementario </w:t>
            </w:r>
            <w:r w:rsidR="00DA6597" w:rsidRPr="00DA6597">
              <w:rPr>
                <w:rFonts w:ascii="Arial" w:eastAsia="MS Mincho" w:hAnsi="Arial"/>
                <w:color w:val="0070C0"/>
                <w:sz w:val="20"/>
                <w:lang w:val="es-ES_tradnl"/>
              </w:rPr>
              <w:t>de</w:t>
            </w:r>
            <w:r w:rsidR="00DA6597">
              <w:rPr>
                <w:rFonts w:ascii="Arial" w:eastAsia="MS Mincho" w:hAnsi="Arial"/>
                <w:color w:val="0070C0"/>
                <w:sz w:val="20"/>
                <w:lang w:val="es-ES_tradnl"/>
              </w:rPr>
              <w:t xml:space="preserve"> </w:t>
            </w:r>
            <w:r w:rsidR="00DA6597" w:rsidRPr="00DA6597">
              <w:rPr>
                <w:rFonts w:ascii="Arial" w:eastAsia="MS Mincho" w:hAnsi="Arial"/>
                <w:color w:val="0070C0"/>
                <w:sz w:val="20"/>
                <w:lang w:val="es-ES_tradnl"/>
              </w:rPr>
              <w:t>Elaboración de Proyecto y Presupuesto</w:t>
            </w:r>
            <w:r w:rsidR="00BE6D3B">
              <w:rPr>
                <w:rFonts w:ascii="Arial" w:eastAsia="MS Mincho" w:hAnsi="Arial"/>
                <w:color w:val="0070C0"/>
                <w:sz w:val="20"/>
                <w:lang w:val="es-ES_tradnl"/>
              </w:rPr>
              <w:t xml:space="preserve"> </w:t>
            </w:r>
          </w:p>
        </w:tc>
        <w:tc>
          <w:tcPr>
            <w:tcW w:w="1718" w:type="pct"/>
            <w:tcBorders>
              <w:top w:val="single" w:sz="4" w:space="0" w:color="auto"/>
              <w:left w:val="single" w:sz="4" w:space="0" w:color="auto"/>
              <w:bottom w:val="single" w:sz="4" w:space="0" w:color="auto"/>
              <w:right w:val="single" w:sz="4" w:space="0" w:color="auto"/>
            </w:tcBorders>
            <w:vAlign w:val="center"/>
          </w:tcPr>
          <w:p w14:paraId="7C05FC4D" w14:textId="1E16BBA3" w:rsidR="005D676C" w:rsidRPr="00E443EF" w:rsidRDefault="00A132F2" w:rsidP="005D676C">
            <w:pPr>
              <w:jc w:val="both"/>
              <w:rPr>
                <w:rFonts w:ascii="Arial" w:hAnsi="Arial" w:cs="Arial"/>
                <w:bCs/>
                <w:sz w:val="20"/>
              </w:rPr>
            </w:pPr>
            <w:r w:rsidRPr="00E443EF">
              <w:rPr>
                <w:rFonts w:ascii="Arial" w:hAnsi="Arial" w:cs="Arial"/>
                <w:bCs/>
                <w:sz w:val="20"/>
              </w:rPr>
              <w:t xml:space="preserve">Respecto a la solicitud de </w:t>
            </w:r>
            <w:r w:rsidR="00FD767B" w:rsidRPr="00E443EF">
              <w:rPr>
                <w:rFonts w:ascii="Arial" w:hAnsi="Arial" w:cs="Arial"/>
                <w:bCs/>
                <w:sz w:val="20"/>
              </w:rPr>
              <w:t>incorporar el</w:t>
            </w:r>
            <w:r w:rsidRPr="00E443EF">
              <w:rPr>
                <w:rFonts w:ascii="Arial" w:hAnsi="Arial" w:cs="Arial"/>
                <w:bCs/>
                <w:sz w:val="20"/>
              </w:rPr>
              <w:t xml:space="preserve"> servicio de Elaboración de Proyecto y Presupuesto en los mismo términos que el otro agente regulado</w:t>
            </w:r>
            <w:r w:rsidR="00BE6D3B" w:rsidRPr="00E443EF">
              <w:rPr>
                <w:rFonts w:ascii="Arial" w:hAnsi="Arial" w:cs="Arial"/>
                <w:bCs/>
                <w:sz w:val="20"/>
              </w:rPr>
              <w:t>.</w:t>
            </w:r>
          </w:p>
          <w:p w14:paraId="06B29A60" w14:textId="3886F538" w:rsidR="00F36768" w:rsidRPr="0013177C" w:rsidRDefault="00F36768" w:rsidP="0013177C">
            <w:pPr>
              <w:spacing w:after="0" w:line="240" w:lineRule="auto"/>
              <w:ind w:right="-48"/>
              <w:jc w:val="both"/>
              <w:rPr>
                <w:rFonts w:ascii="Arial" w:eastAsia="Times New Roman" w:hAnsi="Arial" w:cs="Arial"/>
                <w:color w:val="000000"/>
                <w:highlight w:val="yellow"/>
                <w:lang w:eastAsia="es-MX"/>
              </w:rPr>
            </w:pPr>
          </w:p>
        </w:tc>
      </w:tr>
    </w:tbl>
    <w:p w14:paraId="43779CF8" w14:textId="77777777" w:rsidR="0013177C" w:rsidRDefault="0013177C" w:rsidP="00B00EF9">
      <w:pPr>
        <w:pStyle w:val="Sinespaciado"/>
        <w:rPr>
          <w:b/>
          <w:sz w:val="24"/>
        </w:rPr>
      </w:pPr>
    </w:p>
    <w:p w14:paraId="5ECDB0C1" w14:textId="4AD87982" w:rsidR="007547DA" w:rsidRDefault="007547DA">
      <w:pPr>
        <w:rPr>
          <w:b/>
          <w:sz w:val="24"/>
        </w:rPr>
      </w:pPr>
      <w:r>
        <w:rPr>
          <w:b/>
          <w:sz w:val="24"/>
        </w:rPr>
        <w:br w:type="page"/>
      </w:r>
    </w:p>
    <w:p w14:paraId="49E69DD2" w14:textId="77777777" w:rsidR="00B00EF9" w:rsidRPr="00585001" w:rsidRDefault="00B00EF9" w:rsidP="00B00EF9">
      <w:pPr>
        <w:pStyle w:val="Sinespaciado"/>
        <w:rPr>
          <w:b/>
          <w:i/>
          <w:sz w:val="24"/>
        </w:rPr>
      </w:pPr>
      <w:r w:rsidRPr="00585001">
        <w:rPr>
          <w:b/>
          <w:sz w:val="24"/>
        </w:rPr>
        <w:lastRenderedPageBreak/>
        <w:t xml:space="preserve">ANEXO 3 </w:t>
      </w:r>
      <w:r w:rsidRPr="00585001">
        <w:rPr>
          <w:b/>
          <w:i/>
          <w:sz w:val="24"/>
        </w:rPr>
        <w:t>“PROCEDIMIENTO DE ATENCIÓN DE FALLAS, CONTINUIDAD DEL SERVICIO Y GESTIÓN DE INCIDENCIAS”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26"/>
        <w:gridCol w:w="1963"/>
        <w:gridCol w:w="2325"/>
        <w:gridCol w:w="4632"/>
        <w:gridCol w:w="5050"/>
      </w:tblGrid>
      <w:tr w:rsidR="00082EA6" w:rsidRPr="0013177C" w14:paraId="3BFD1138" w14:textId="77777777" w:rsidTr="00DA6597">
        <w:trPr>
          <w:trHeight w:val="346"/>
          <w:tblHeader/>
        </w:trPr>
        <w:tc>
          <w:tcPr>
            <w:tcW w:w="247" w:type="pct"/>
            <w:shd w:val="clear" w:color="auto" w:fill="1F497D" w:themeFill="text2"/>
            <w:vAlign w:val="center"/>
          </w:tcPr>
          <w:p w14:paraId="797FD096" w14:textId="77777777" w:rsidR="00B00EF9" w:rsidRPr="0013177C" w:rsidRDefault="00B00EF9" w:rsidP="00E26D24">
            <w:pPr>
              <w:spacing w:after="0" w:line="240" w:lineRule="auto"/>
              <w:jc w:val="center"/>
              <w:rPr>
                <w:rFonts w:ascii="Arial" w:eastAsia="Times New Roman" w:hAnsi="Arial" w:cs="Arial"/>
                <w:b/>
                <w:bCs/>
                <w:color w:val="FFFFFF" w:themeColor="background1"/>
                <w:lang w:eastAsia="es-MX"/>
              </w:rPr>
            </w:pPr>
            <w:r w:rsidRPr="0013177C">
              <w:rPr>
                <w:rFonts w:ascii="Arial" w:eastAsia="Times New Roman" w:hAnsi="Arial" w:cs="Arial"/>
                <w:b/>
                <w:bCs/>
                <w:color w:val="FFFFFF" w:themeColor="background1"/>
                <w:lang w:eastAsia="es-MX"/>
              </w:rPr>
              <w:t>No</w:t>
            </w:r>
          </w:p>
        </w:tc>
        <w:tc>
          <w:tcPr>
            <w:tcW w:w="668" w:type="pct"/>
            <w:shd w:val="clear" w:color="auto" w:fill="1F497D" w:themeFill="text2"/>
            <w:vAlign w:val="center"/>
          </w:tcPr>
          <w:p w14:paraId="37721509" w14:textId="60C73A53" w:rsidR="00B00EF9" w:rsidRPr="0013177C" w:rsidRDefault="00DA6597" w:rsidP="00E26D24">
            <w:pPr>
              <w:spacing w:after="0" w:line="240" w:lineRule="auto"/>
              <w:jc w:val="center"/>
              <w:rPr>
                <w:rFonts w:ascii="Arial" w:eastAsia="Times New Roman" w:hAnsi="Arial" w:cs="Arial"/>
                <w:b/>
                <w:bCs/>
                <w:color w:val="FFFFFF" w:themeColor="background1"/>
                <w:lang w:eastAsia="es-MX"/>
              </w:rPr>
            </w:pPr>
            <w:r>
              <w:rPr>
                <w:rFonts w:ascii="Arial" w:eastAsia="Times New Roman" w:hAnsi="Arial" w:cs="Arial"/>
                <w:b/>
                <w:bCs/>
                <w:color w:val="FFFFFF" w:themeColor="background1"/>
                <w:lang w:eastAsia="es-MX"/>
              </w:rPr>
              <w:t>Cláusula</w:t>
            </w:r>
            <w:r w:rsidR="00783595" w:rsidRPr="0013177C">
              <w:rPr>
                <w:rFonts w:ascii="Arial" w:eastAsia="Times New Roman" w:hAnsi="Arial" w:cs="Arial"/>
                <w:b/>
                <w:bCs/>
                <w:color w:val="FFFFFF" w:themeColor="background1"/>
                <w:lang w:eastAsia="es-MX"/>
              </w:rPr>
              <w:t>/Sección/Num.</w:t>
            </w:r>
          </w:p>
        </w:tc>
        <w:tc>
          <w:tcPr>
            <w:tcW w:w="791" w:type="pct"/>
            <w:shd w:val="clear" w:color="auto" w:fill="1F497D" w:themeFill="text2"/>
            <w:vAlign w:val="center"/>
          </w:tcPr>
          <w:p w14:paraId="2E9DCE91" w14:textId="77777777" w:rsidR="00B00EF9" w:rsidRPr="0013177C" w:rsidRDefault="00B00EF9" w:rsidP="00E26D24">
            <w:pPr>
              <w:spacing w:after="0" w:line="240" w:lineRule="auto"/>
              <w:jc w:val="center"/>
              <w:rPr>
                <w:rFonts w:ascii="Arial" w:eastAsia="Times New Roman" w:hAnsi="Arial" w:cs="Arial"/>
                <w:b/>
                <w:bCs/>
                <w:color w:val="FFFFFF" w:themeColor="background1"/>
                <w:lang w:eastAsia="es-MX"/>
              </w:rPr>
            </w:pPr>
            <w:r w:rsidRPr="0013177C">
              <w:rPr>
                <w:rFonts w:ascii="Arial" w:eastAsia="Times New Roman" w:hAnsi="Arial" w:cs="Arial"/>
                <w:b/>
                <w:bCs/>
                <w:color w:val="FFFFFF" w:themeColor="background1"/>
                <w:lang w:eastAsia="es-MX"/>
              </w:rPr>
              <w:t>Tema</w:t>
            </w:r>
          </w:p>
        </w:tc>
        <w:tc>
          <w:tcPr>
            <w:tcW w:w="1576" w:type="pct"/>
            <w:shd w:val="clear" w:color="auto" w:fill="1F497D" w:themeFill="text2"/>
            <w:vAlign w:val="center"/>
          </w:tcPr>
          <w:p w14:paraId="770A5169" w14:textId="77777777" w:rsidR="00B00EF9" w:rsidRPr="0013177C" w:rsidRDefault="00B00EF9" w:rsidP="00E26D24">
            <w:pPr>
              <w:spacing w:after="0" w:line="240" w:lineRule="auto"/>
              <w:jc w:val="center"/>
              <w:rPr>
                <w:rFonts w:ascii="Arial" w:eastAsia="Times New Roman" w:hAnsi="Arial" w:cs="Arial"/>
                <w:b/>
                <w:bCs/>
                <w:color w:val="FFFFFF" w:themeColor="background1"/>
                <w:lang w:eastAsia="es-MX"/>
              </w:rPr>
            </w:pPr>
            <w:r w:rsidRPr="0013177C">
              <w:rPr>
                <w:rFonts w:ascii="Arial" w:eastAsia="Times New Roman" w:hAnsi="Arial" w:cs="Arial"/>
                <w:b/>
                <w:bCs/>
                <w:color w:val="FFFFFF" w:themeColor="background1"/>
                <w:lang w:eastAsia="es-MX"/>
              </w:rPr>
              <w:t>Modificación/Adición</w:t>
            </w:r>
          </w:p>
        </w:tc>
        <w:tc>
          <w:tcPr>
            <w:tcW w:w="1718" w:type="pct"/>
            <w:tcBorders>
              <w:bottom w:val="single" w:sz="4" w:space="0" w:color="000000" w:themeColor="text1"/>
            </w:tcBorders>
            <w:shd w:val="clear" w:color="auto" w:fill="1F497D" w:themeFill="text2"/>
            <w:vAlign w:val="center"/>
          </w:tcPr>
          <w:p w14:paraId="61E226F3" w14:textId="77777777" w:rsidR="00B00EF9" w:rsidRPr="0013177C" w:rsidRDefault="00B00EF9" w:rsidP="00E26D24">
            <w:pPr>
              <w:spacing w:after="0" w:line="240" w:lineRule="auto"/>
              <w:jc w:val="center"/>
              <w:rPr>
                <w:rFonts w:ascii="Arial" w:eastAsia="Times New Roman" w:hAnsi="Arial" w:cs="Arial"/>
                <w:b/>
                <w:bCs/>
                <w:color w:val="FFFFFF" w:themeColor="background1"/>
                <w:lang w:eastAsia="es-MX"/>
              </w:rPr>
            </w:pPr>
            <w:r w:rsidRPr="0013177C">
              <w:rPr>
                <w:rFonts w:ascii="Arial" w:eastAsia="Times New Roman" w:hAnsi="Arial" w:cs="Arial"/>
                <w:b/>
                <w:bCs/>
                <w:color w:val="FFFFFF" w:themeColor="background1"/>
                <w:lang w:eastAsia="es-MX"/>
              </w:rPr>
              <w:t>Justificación a Instituto</w:t>
            </w:r>
          </w:p>
        </w:tc>
      </w:tr>
      <w:tr w:rsidR="00082EA6" w:rsidRPr="0013177C" w14:paraId="3D2EA829" w14:textId="77777777" w:rsidTr="00DA6597">
        <w:trPr>
          <w:trHeight w:val="346"/>
          <w:tblHeader/>
        </w:trPr>
        <w:tc>
          <w:tcPr>
            <w:tcW w:w="247" w:type="pct"/>
            <w:tcBorders>
              <w:top w:val="single" w:sz="4" w:space="0" w:color="auto"/>
              <w:left w:val="single" w:sz="4" w:space="0" w:color="auto"/>
              <w:bottom w:val="single" w:sz="4" w:space="0" w:color="auto"/>
              <w:right w:val="single" w:sz="4" w:space="0" w:color="auto"/>
            </w:tcBorders>
            <w:shd w:val="clear" w:color="auto" w:fill="auto"/>
            <w:vAlign w:val="center"/>
          </w:tcPr>
          <w:p w14:paraId="768A5C1F" w14:textId="57B33254" w:rsidR="00B00EF9" w:rsidRPr="0013177C" w:rsidRDefault="001F322B" w:rsidP="00B00EF9">
            <w:pPr>
              <w:spacing w:after="0" w:line="240" w:lineRule="auto"/>
              <w:jc w:val="center"/>
              <w:rPr>
                <w:rFonts w:ascii="Arial" w:eastAsia="Times New Roman" w:hAnsi="Arial" w:cs="Arial"/>
                <w:bCs/>
                <w:lang w:eastAsia="es-MX"/>
              </w:rPr>
            </w:pPr>
            <w:r>
              <w:rPr>
                <w:rFonts w:ascii="Arial" w:eastAsia="Times New Roman" w:hAnsi="Arial" w:cs="Arial"/>
                <w:bCs/>
                <w:lang w:eastAsia="es-MX"/>
              </w:rPr>
              <w:t>9</w:t>
            </w:r>
          </w:p>
        </w:tc>
        <w:tc>
          <w:tcPr>
            <w:tcW w:w="668" w:type="pct"/>
            <w:tcBorders>
              <w:top w:val="single" w:sz="4" w:space="0" w:color="auto"/>
              <w:left w:val="single" w:sz="4" w:space="0" w:color="auto"/>
              <w:bottom w:val="single" w:sz="4" w:space="0" w:color="auto"/>
              <w:right w:val="single" w:sz="4" w:space="0" w:color="auto"/>
            </w:tcBorders>
            <w:shd w:val="clear" w:color="auto" w:fill="auto"/>
            <w:vAlign w:val="center"/>
          </w:tcPr>
          <w:p w14:paraId="34FCF5BE" w14:textId="77777777" w:rsidR="00B00EF9" w:rsidRPr="0013177C" w:rsidRDefault="00B00EF9" w:rsidP="00B00EF9">
            <w:pPr>
              <w:spacing w:after="0" w:line="240" w:lineRule="auto"/>
              <w:jc w:val="center"/>
              <w:rPr>
                <w:rFonts w:ascii="Arial" w:eastAsia="Times New Roman" w:hAnsi="Arial" w:cs="Arial"/>
                <w:bCs/>
                <w:lang w:eastAsia="es-MX"/>
              </w:rPr>
            </w:pPr>
            <w:r w:rsidRPr="0013177C">
              <w:rPr>
                <w:rFonts w:ascii="Arial" w:eastAsia="Times New Roman" w:hAnsi="Arial" w:cs="Arial"/>
                <w:bCs/>
                <w:lang w:eastAsia="es-MX"/>
              </w:rPr>
              <w:t>2</w:t>
            </w:r>
            <w:r w:rsidR="005525F9" w:rsidRPr="0013177C">
              <w:rPr>
                <w:rFonts w:ascii="Arial" w:eastAsia="Times New Roman" w:hAnsi="Arial" w:cs="Arial"/>
                <w:bCs/>
                <w:lang w:eastAsia="es-MX"/>
              </w:rPr>
              <w:t>.</w:t>
            </w:r>
            <w:r w:rsidRPr="0013177C">
              <w:rPr>
                <w:rFonts w:ascii="Arial" w:eastAsia="Times New Roman" w:hAnsi="Arial" w:cs="Arial"/>
                <w:bCs/>
                <w:lang w:eastAsia="es-MX"/>
              </w:rPr>
              <w:t xml:space="preserve"> Contacto</w:t>
            </w:r>
          </w:p>
        </w:tc>
        <w:tc>
          <w:tcPr>
            <w:tcW w:w="791" w:type="pct"/>
            <w:tcBorders>
              <w:top w:val="single" w:sz="4" w:space="0" w:color="auto"/>
              <w:left w:val="single" w:sz="4" w:space="0" w:color="auto"/>
              <w:bottom w:val="single" w:sz="4" w:space="0" w:color="auto"/>
              <w:right w:val="single" w:sz="4" w:space="0" w:color="auto"/>
            </w:tcBorders>
            <w:shd w:val="clear" w:color="auto" w:fill="auto"/>
            <w:vAlign w:val="center"/>
          </w:tcPr>
          <w:p w14:paraId="676C43D3" w14:textId="77777777" w:rsidR="00B00EF9" w:rsidRPr="0013177C" w:rsidRDefault="00B00EF9" w:rsidP="00B00EF9">
            <w:pPr>
              <w:spacing w:after="0" w:line="240" w:lineRule="auto"/>
              <w:jc w:val="center"/>
              <w:rPr>
                <w:rFonts w:ascii="Arial" w:eastAsia="Times New Roman" w:hAnsi="Arial" w:cs="Arial"/>
                <w:bCs/>
                <w:lang w:eastAsia="es-MX"/>
              </w:rPr>
            </w:pPr>
            <w:r w:rsidRPr="0013177C">
              <w:rPr>
                <w:rFonts w:ascii="Arial" w:eastAsia="Times New Roman" w:hAnsi="Arial" w:cs="Arial"/>
                <w:bCs/>
                <w:lang w:eastAsia="es-MX"/>
              </w:rPr>
              <w:t>Datos de contacto en caso de falla</w:t>
            </w:r>
          </w:p>
        </w:tc>
        <w:tc>
          <w:tcPr>
            <w:tcW w:w="1576" w:type="pct"/>
            <w:tcBorders>
              <w:top w:val="single" w:sz="4" w:space="0" w:color="auto"/>
              <w:left w:val="single" w:sz="4" w:space="0" w:color="auto"/>
              <w:bottom w:val="single" w:sz="4" w:space="0" w:color="auto"/>
              <w:right w:val="single" w:sz="4" w:space="0" w:color="auto"/>
            </w:tcBorders>
            <w:shd w:val="clear" w:color="auto" w:fill="auto"/>
            <w:vAlign w:val="center"/>
          </w:tcPr>
          <w:p w14:paraId="3F72F2A2" w14:textId="77777777" w:rsidR="00B00EF9" w:rsidRPr="0013177C" w:rsidRDefault="00B00EF9" w:rsidP="00447B13">
            <w:pPr>
              <w:spacing w:after="0" w:line="240" w:lineRule="auto"/>
              <w:jc w:val="both"/>
              <w:rPr>
                <w:rFonts w:ascii="Arial" w:eastAsia="Times New Roman" w:hAnsi="Arial" w:cs="Arial"/>
                <w:b/>
                <w:bCs/>
                <w:lang w:eastAsia="es-MX"/>
              </w:rPr>
            </w:pPr>
            <w:r w:rsidRPr="0013177C">
              <w:rPr>
                <w:rFonts w:ascii="Arial" w:eastAsia="Times New Roman" w:hAnsi="Arial" w:cs="Arial"/>
                <w:bCs/>
                <w:sz w:val="20"/>
                <w:lang w:eastAsia="es-MX"/>
              </w:rPr>
              <w:t>La División Mayorista pondrá a disposición del CS o AS el siguiente número telefónico 800 7134</w:t>
            </w:r>
            <w:r w:rsidRPr="0013177C">
              <w:rPr>
                <w:rFonts w:ascii="Arial" w:eastAsia="Calibri" w:hAnsi="Arial" w:cs="Arial"/>
                <w:b/>
                <w:bCs/>
                <w:color w:val="548DD4" w:themeColor="text2" w:themeTint="99"/>
                <w:sz w:val="20"/>
                <w:lang w:val="es-ES" w:eastAsia="es-MX"/>
              </w:rPr>
              <w:t xml:space="preserve"> 100</w:t>
            </w:r>
            <w:r w:rsidRPr="0013177C">
              <w:rPr>
                <w:rFonts w:ascii="Arial" w:eastAsia="Times New Roman" w:hAnsi="Arial" w:cs="Arial"/>
                <w:bCs/>
                <w:sz w:val="20"/>
                <w:lang w:eastAsia="es-MX"/>
              </w:rPr>
              <w:t xml:space="preserve"> que corresponde al centro telefónico de atención de la División Mayorista, y/o el siguiente correo electrónico </w:t>
            </w:r>
            <w:r w:rsidRPr="0013177C">
              <w:rPr>
                <w:rFonts w:ascii="Arial" w:eastAsia="Times New Roman" w:hAnsi="Arial" w:cs="Arial"/>
                <w:b/>
                <w:bCs/>
                <w:sz w:val="20"/>
                <w:lang w:eastAsia="es-MX"/>
              </w:rPr>
              <w:t>caosuper@telmex.com</w:t>
            </w:r>
            <w:r w:rsidRPr="0013177C">
              <w:rPr>
                <w:rFonts w:ascii="Arial" w:eastAsia="Times New Roman" w:hAnsi="Arial" w:cs="Arial"/>
                <w:bCs/>
                <w:sz w:val="20"/>
                <w:lang w:eastAsia="es-MX"/>
              </w:rPr>
              <w:t xml:space="preserve"> los cuales representan el medio alterno al que se deberán remitir respetando los indicadores y términos señalados en la presente Oferta</w:t>
            </w:r>
            <w:r w:rsidRPr="0013177C">
              <w:rPr>
                <w:rFonts w:ascii="Arial" w:eastAsia="Times New Roman" w:hAnsi="Arial" w:cs="Arial"/>
                <w:b/>
                <w:bCs/>
                <w:sz w:val="20"/>
                <w:lang w:eastAsia="es-MX"/>
              </w:rPr>
              <w:t>.</w:t>
            </w:r>
          </w:p>
        </w:tc>
        <w:tc>
          <w:tcPr>
            <w:tcW w:w="1718" w:type="pct"/>
            <w:tcBorders>
              <w:top w:val="single" w:sz="4" w:space="0" w:color="auto"/>
              <w:left w:val="single" w:sz="4" w:space="0" w:color="auto"/>
              <w:bottom w:val="single" w:sz="4" w:space="0" w:color="auto"/>
              <w:right w:val="single" w:sz="4" w:space="0" w:color="auto"/>
            </w:tcBorders>
            <w:shd w:val="clear" w:color="auto" w:fill="auto"/>
            <w:vAlign w:val="center"/>
          </w:tcPr>
          <w:p w14:paraId="37D309CB" w14:textId="2E7C7A8E" w:rsidR="00082EA6" w:rsidRPr="0013177C" w:rsidRDefault="00082EA6" w:rsidP="00082EA6">
            <w:pPr>
              <w:spacing w:after="0" w:line="240" w:lineRule="auto"/>
              <w:ind w:right="-48"/>
              <w:jc w:val="both"/>
              <w:rPr>
                <w:rFonts w:ascii="Arial" w:eastAsia="Times New Roman" w:hAnsi="Arial" w:cs="Arial"/>
                <w:color w:val="000000"/>
                <w:lang w:eastAsia="es-MX"/>
              </w:rPr>
            </w:pPr>
            <w:r w:rsidRPr="0013177C">
              <w:rPr>
                <w:rFonts w:ascii="Arial" w:eastAsia="Times New Roman" w:hAnsi="Arial" w:cs="Arial"/>
                <w:color w:val="000000"/>
                <w:lang w:eastAsia="es-MX"/>
              </w:rPr>
              <w:t>Se adiciona a la oferta el número telefónico</w:t>
            </w:r>
            <w:r w:rsidR="003E4B35" w:rsidRPr="0013177C">
              <w:rPr>
                <w:rFonts w:ascii="Arial" w:eastAsia="Times New Roman" w:hAnsi="Arial" w:cs="Arial"/>
                <w:color w:val="000000"/>
                <w:lang w:eastAsia="es-MX"/>
              </w:rPr>
              <w:t xml:space="preserve"> completo</w:t>
            </w:r>
            <w:r w:rsidRPr="0013177C">
              <w:rPr>
                <w:rFonts w:ascii="Arial" w:eastAsia="Times New Roman" w:hAnsi="Arial" w:cs="Arial"/>
                <w:color w:val="000000"/>
                <w:lang w:eastAsia="es-MX"/>
              </w:rPr>
              <w:t xml:space="preserve"> como medios alternos de atención en caso de indisponibilidad del SEG</w:t>
            </w:r>
          </w:p>
          <w:p w14:paraId="362B7B87" w14:textId="77777777" w:rsidR="00B00EF9" w:rsidRPr="0013177C" w:rsidRDefault="00B00EF9" w:rsidP="00447B13">
            <w:pPr>
              <w:spacing w:after="0" w:line="240" w:lineRule="auto"/>
              <w:jc w:val="both"/>
              <w:rPr>
                <w:rFonts w:ascii="Arial" w:eastAsia="Times New Roman" w:hAnsi="Arial" w:cs="Arial"/>
                <w:bCs/>
                <w:lang w:eastAsia="es-MX"/>
              </w:rPr>
            </w:pPr>
          </w:p>
        </w:tc>
      </w:tr>
    </w:tbl>
    <w:p w14:paraId="140327C7" w14:textId="77777777" w:rsidR="00C85C35" w:rsidRPr="008E3369" w:rsidRDefault="00C85C35" w:rsidP="00C85C35">
      <w:pPr>
        <w:pStyle w:val="Sinespaciado"/>
        <w:rPr>
          <w:b/>
          <w:bCs/>
        </w:rPr>
      </w:pPr>
    </w:p>
    <w:p w14:paraId="55201273" w14:textId="008B05AB" w:rsidR="00983387" w:rsidRDefault="00876AAF">
      <w:pPr>
        <w:rPr>
          <w:b/>
          <w:i/>
          <w:sz w:val="24"/>
        </w:rPr>
      </w:pPr>
      <w:r>
        <w:rPr>
          <w:b/>
          <w:sz w:val="24"/>
        </w:rPr>
        <w:t>ANEXO 4</w:t>
      </w:r>
      <w:r w:rsidRPr="00585001">
        <w:rPr>
          <w:b/>
          <w:sz w:val="24"/>
        </w:rPr>
        <w:t xml:space="preserve"> </w:t>
      </w:r>
      <w:r w:rsidRPr="00585001">
        <w:rPr>
          <w:b/>
          <w:i/>
          <w:sz w:val="24"/>
        </w:rPr>
        <w:t>“</w:t>
      </w:r>
      <w:r w:rsidRPr="00876AAF">
        <w:rPr>
          <w:b/>
          <w:i/>
          <w:sz w:val="24"/>
        </w:rPr>
        <w:t>PARÁMETROS E INDICADORES DE LOS NIVELES DE CALIDAD Y PENAS CONVENCIONALES</w:t>
      </w:r>
      <w:r>
        <w:rPr>
          <w:b/>
          <w:i/>
          <w:sz w:val="24"/>
        </w:rPr>
        <w:t>”</w:t>
      </w:r>
      <w:r w:rsidR="001531A2">
        <w:rPr>
          <w:b/>
          <w:i/>
          <w:sz w:val="24"/>
        </w:rPr>
        <w:t xml:space="preserve"> </w:t>
      </w:r>
      <w:r w:rsidR="00061B57">
        <w:rPr>
          <w:b/>
          <w:i/>
          <w:sz w:val="24"/>
        </w:rPr>
        <w:t xml:space="preserve">Y </w:t>
      </w:r>
      <w:r w:rsidR="00061B57" w:rsidRPr="001531A2">
        <w:rPr>
          <w:b/>
          <w:i/>
          <w:sz w:val="24"/>
        </w:rPr>
        <w:t>ANEXO 6. PROCEDIMIENTOS DE CONTRATACIÓN, MODIFICACIÓN Y BAJA DE SERVICIOS DE ACCESO Y USO COMPARTIDO DE INFRAESTRUCTURA</w:t>
      </w:r>
    </w:p>
    <w:tbl>
      <w:tblPr>
        <w:tblStyle w:val="Tablaconcuadrcula"/>
        <w:tblW w:w="0" w:type="auto"/>
        <w:tblLayout w:type="fixed"/>
        <w:tblLook w:val="04A0" w:firstRow="1" w:lastRow="0" w:firstColumn="1" w:lastColumn="0" w:noHBand="0" w:noVBand="1"/>
      </w:tblPr>
      <w:tblGrid>
        <w:gridCol w:w="684"/>
        <w:gridCol w:w="1721"/>
        <w:gridCol w:w="2552"/>
        <w:gridCol w:w="4677"/>
        <w:gridCol w:w="5062"/>
      </w:tblGrid>
      <w:tr w:rsidR="00000341" w14:paraId="5F5CC3D9" w14:textId="77777777" w:rsidTr="001F322B">
        <w:tc>
          <w:tcPr>
            <w:tcW w:w="684" w:type="dxa"/>
            <w:vAlign w:val="center"/>
          </w:tcPr>
          <w:p w14:paraId="4010E78E" w14:textId="7F8F7409" w:rsidR="00000341" w:rsidRPr="00000341" w:rsidRDefault="00000341" w:rsidP="00000341">
            <w:pPr>
              <w:jc w:val="center"/>
              <w:rPr>
                <w:b/>
                <w:sz w:val="24"/>
              </w:rPr>
            </w:pPr>
            <w:r w:rsidRPr="00000341">
              <w:rPr>
                <w:b/>
                <w:sz w:val="24"/>
              </w:rPr>
              <w:t>No</w:t>
            </w:r>
          </w:p>
        </w:tc>
        <w:tc>
          <w:tcPr>
            <w:tcW w:w="1721" w:type="dxa"/>
            <w:vAlign w:val="center"/>
          </w:tcPr>
          <w:p w14:paraId="638FFF76" w14:textId="5FFD3951" w:rsidR="00000341" w:rsidRPr="00000341" w:rsidRDefault="00DA6597" w:rsidP="00000341">
            <w:pPr>
              <w:jc w:val="center"/>
              <w:rPr>
                <w:b/>
                <w:sz w:val="24"/>
              </w:rPr>
            </w:pPr>
            <w:r>
              <w:rPr>
                <w:b/>
                <w:sz w:val="24"/>
              </w:rPr>
              <w:t>Cláusula</w:t>
            </w:r>
            <w:r w:rsidR="00000341" w:rsidRPr="00000341">
              <w:rPr>
                <w:b/>
                <w:sz w:val="24"/>
              </w:rPr>
              <w:t>/Sección/Num.</w:t>
            </w:r>
          </w:p>
        </w:tc>
        <w:tc>
          <w:tcPr>
            <w:tcW w:w="2552" w:type="dxa"/>
            <w:vAlign w:val="center"/>
          </w:tcPr>
          <w:p w14:paraId="264839A5" w14:textId="63D7A6E7" w:rsidR="00000341" w:rsidRPr="00000341" w:rsidRDefault="00000341" w:rsidP="00000341">
            <w:pPr>
              <w:jc w:val="center"/>
              <w:rPr>
                <w:b/>
                <w:sz w:val="24"/>
              </w:rPr>
            </w:pPr>
            <w:r w:rsidRPr="00000341">
              <w:rPr>
                <w:b/>
                <w:sz w:val="24"/>
              </w:rPr>
              <w:t>tema</w:t>
            </w:r>
          </w:p>
        </w:tc>
        <w:tc>
          <w:tcPr>
            <w:tcW w:w="4677" w:type="dxa"/>
            <w:vAlign w:val="center"/>
          </w:tcPr>
          <w:p w14:paraId="3BD8385F" w14:textId="4C08D29D" w:rsidR="00000341" w:rsidRPr="00000341" w:rsidRDefault="00000341" w:rsidP="00000341">
            <w:pPr>
              <w:jc w:val="center"/>
              <w:rPr>
                <w:b/>
                <w:sz w:val="24"/>
              </w:rPr>
            </w:pPr>
            <w:r w:rsidRPr="00000341">
              <w:rPr>
                <w:b/>
                <w:sz w:val="24"/>
              </w:rPr>
              <w:t>Modificación/Adición</w:t>
            </w:r>
          </w:p>
        </w:tc>
        <w:tc>
          <w:tcPr>
            <w:tcW w:w="5062" w:type="dxa"/>
            <w:vAlign w:val="center"/>
          </w:tcPr>
          <w:p w14:paraId="70F76EA6" w14:textId="10BE00C1" w:rsidR="00000341" w:rsidRPr="00000341" w:rsidRDefault="00000341" w:rsidP="00000341">
            <w:pPr>
              <w:jc w:val="center"/>
              <w:rPr>
                <w:b/>
                <w:sz w:val="24"/>
              </w:rPr>
            </w:pPr>
            <w:r w:rsidRPr="00000341">
              <w:rPr>
                <w:b/>
                <w:sz w:val="24"/>
              </w:rPr>
              <w:t>Justificación a Instituto</w:t>
            </w:r>
          </w:p>
        </w:tc>
      </w:tr>
      <w:tr w:rsidR="00000341" w14:paraId="4D553A4B" w14:textId="77777777" w:rsidTr="001F322B">
        <w:tc>
          <w:tcPr>
            <w:tcW w:w="684" w:type="dxa"/>
          </w:tcPr>
          <w:p w14:paraId="04D24B41" w14:textId="31775101" w:rsidR="00000341" w:rsidRDefault="001F322B">
            <w:pPr>
              <w:rPr>
                <w:b/>
              </w:rPr>
            </w:pPr>
            <w:r>
              <w:rPr>
                <w:b/>
              </w:rPr>
              <w:t>10</w:t>
            </w:r>
          </w:p>
        </w:tc>
        <w:tc>
          <w:tcPr>
            <w:tcW w:w="1721" w:type="dxa"/>
          </w:tcPr>
          <w:p w14:paraId="129DB3EA" w14:textId="77777777" w:rsidR="00000341" w:rsidRDefault="00000341">
            <w:pPr>
              <w:rPr>
                <w:b/>
              </w:rPr>
            </w:pPr>
          </w:p>
        </w:tc>
        <w:tc>
          <w:tcPr>
            <w:tcW w:w="2552" w:type="dxa"/>
          </w:tcPr>
          <w:p w14:paraId="470BCD6E" w14:textId="2E43CDBF" w:rsidR="00000341" w:rsidRDefault="00000341">
            <w:pPr>
              <w:rPr>
                <w:b/>
              </w:rPr>
            </w:pPr>
            <w:r>
              <w:rPr>
                <w:b/>
              </w:rPr>
              <w:t>Plazos</w:t>
            </w:r>
          </w:p>
        </w:tc>
        <w:tc>
          <w:tcPr>
            <w:tcW w:w="4677" w:type="dxa"/>
          </w:tcPr>
          <w:p w14:paraId="2AD4E25C" w14:textId="6418A85B" w:rsidR="00000341" w:rsidRDefault="00000341">
            <w:pPr>
              <w:rPr>
                <w:b/>
              </w:rPr>
            </w:pPr>
            <w:r w:rsidRPr="00983387">
              <w:rPr>
                <w:rFonts w:ascii="Arial" w:hAnsi="Arial" w:cs="Arial"/>
                <w:sz w:val="20"/>
              </w:rPr>
              <w:t>Se realiza modificaciones a todos los plazos contenidos en los procedimientos para que inicien su conteo a</w:t>
            </w:r>
            <w:r w:rsidRPr="00983387">
              <w:rPr>
                <w:rFonts w:ascii="Arial" w:hAnsi="Arial" w:cs="Arial"/>
                <w:color w:val="0070C0"/>
                <w:sz w:val="20"/>
              </w:rPr>
              <w:t xml:space="preserve"> partir del día hábil siguiente a la solicitud</w:t>
            </w:r>
            <w:r w:rsidRPr="00983387">
              <w:rPr>
                <w:rFonts w:ascii="Arial" w:hAnsi="Arial" w:cs="Arial"/>
                <w:sz w:val="20"/>
              </w:rPr>
              <w:t xml:space="preserve"> de las partes de los distintos procesos o etapas</w:t>
            </w:r>
            <w:r>
              <w:rPr>
                <w:rFonts w:ascii="Arial" w:hAnsi="Arial" w:cs="Arial"/>
                <w:sz w:val="20"/>
              </w:rPr>
              <w:t>.</w:t>
            </w:r>
          </w:p>
        </w:tc>
        <w:tc>
          <w:tcPr>
            <w:tcW w:w="5062" w:type="dxa"/>
          </w:tcPr>
          <w:p w14:paraId="43FC9E64" w14:textId="226DF6C4" w:rsidR="00000341" w:rsidRDefault="00000341" w:rsidP="00DA6597">
            <w:pPr>
              <w:jc w:val="both"/>
              <w:rPr>
                <w:b/>
              </w:rPr>
            </w:pPr>
          </w:p>
        </w:tc>
      </w:tr>
    </w:tbl>
    <w:p w14:paraId="7C96E923" w14:textId="77777777" w:rsidR="00000341" w:rsidRPr="007547DA" w:rsidRDefault="00000341">
      <w:pPr>
        <w:rPr>
          <w:b/>
        </w:rPr>
      </w:pPr>
    </w:p>
    <w:p w14:paraId="34468835" w14:textId="2C44EF18" w:rsidR="004F07D5" w:rsidRDefault="00983387" w:rsidP="00C85C35">
      <w:pPr>
        <w:pStyle w:val="Sinespaciado"/>
        <w:rPr>
          <w:b/>
          <w:i/>
          <w:sz w:val="24"/>
        </w:rPr>
      </w:pPr>
      <w:r>
        <w:rPr>
          <w:b/>
          <w:sz w:val="24"/>
        </w:rPr>
        <w:t>ANEXO 5</w:t>
      </w:r>
      <w:r w:rsidR="00727772" w:rsidRPr="00585001">
        <w:rPr>
          <w:b/>
          <w:sz w:val="24"/>
        </w:rPr>
        <w:t xml:space="preserve"> </w:t>
      </w:r>
      <w:r w:rsidR="00727772" w:rsidRPr="00585001">
        <w:rPr>
          <w:b/>
          <w:i/>
          <w:sz w:val="24"/>
        </w:rPr>
        <w:t>“CONVENIO”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94"/>
        <w:gridCol w:w="1881"/>
        <w:gridCol w:w="2210"/>
        <w:gridCol w:w="4850"/>
        <w:gridCol w:w="5061"/>
      </w:tblGrid>
      <w:tr w:rsidR="00585001" w:rsidRPr="008E3369" w14:paraId="4AA573F9" w14:textId="77777777" w:rsidTr="001F322B">
        <w:trPr>
          <w:trHeight w:val="287"/>
          <w:tblHeader/>
        </w:trPr>
        <w:tc>
          <w:tcPr>
            <w:tcW w:w="236" w:type="pct"/>
            <w:shd w:val="clear" w:color="auto" w:fill="1F497D" w:themeFill="text2"/>
            <w:vAlign w:val="center"/>
          </w:tcPr>
          <w:p w14:paraId="1524E9E3" w14:textId="77777777" w:rsidR="00585001" w:rsidRPr="008E3369" w:rsidRDefault="00585001" w:rsidP="005B4C81">
            <w:pPr>
              <w:spacing w:after="0" w:line="240" w:lineRule="auto"/>
              <w:jc w:val="center"/>
              <w:rPr>
                <w:rFonts w:eastAsia="Times New Roman" w:cs="Arial"/>
                <w:b/>
                <w:bCs/>
                <w:color w:val="FFFFFF" w:themeColor="background1"/>
                <w:lang w:eastAsia="es-MX"/>
              </w:rPr>
            </w:pPr>
            <w:r w:rsidRPr="008E3369">
              <w:rPr>
                <w:rFonts w:eastAsia="Times New Roman" w:cs="Arial"/>
                <w:b/>
                <w:bCs/>
                <w:color w:val="FFFFFF" w:themeColor="background1"/>
                <w:lang w:eastAsia="es-MX"/>
              </w:rPr>
              <w:lastRenderedPageBreak/>
              <w:t>No</w:t>
            </w:r>
          </w:p>
        </w:tc>
        <w:tc>
          <w:tcPr>
            <w:tcW w:w="640" w:type="pct"/>
            <w:shd w:val="clear" w:color="auto" w:fill="1F497D" w:themeFill="text2"/>
            <w:vAlign w:val="center"/>
          </w:tcPr>
          <w:p w14:paraId="442D62EF" w14:textId="0AFB6621" w:rsidR="00585001" w:rsidRPr="008E3369" w:rsidRDefault="00DA6597" w:rsidP="005B4C81">
            <w:pPr>
              <w:spacing w:after="0" w:line="240" w:lineRule="auto"/>
              <w:jc w:val="center"/>
              <w:rPr>
                <w:rFonts w:eastAsia="Times New Roman" w:cs="Arial"/>
                <w:b/>
                <w:bCs/>
                <w:color w:val="FFFFFF" w:themeColor="background1"/>
                <w:lang w:eastAsia="es-MX"/>
              </w:rPr>
            </w:pPr>
            <w:r>
              <w:rPr>
                <w:rFonts w:eastAsia="Times New Roman" w:cs="Arial"/>
                <w:b/>
                <w:bCs/>
                <w:color w:val="FFFFFF" w:themeColor="background1"/>
                <w:lang w:eastAsia="es-MX"/>
              </w:rPr>
              <w:t>Cláusula</w:t>
            </w:r>
            <w:r w:rsidR="00585001" w:rsidRPr="008E3369">
              <w:rPr>
                <w:rFonts w:eastAsia="Times New Roman" w:cs="Arial"/>
                <w:b/>
                <w:bCs/>
                <w:color w:val="FFFFFF" w:themeColor="background1"/>
                <w:lang w:eastAsia="es-MX"/>
              </w:rPr>
              <w:t>/Sección/Numeral</w:t>
            </w:r>
          </w:p>
        </w:tc>
        <w:tc>
          <w:tcPr>
            <w:tcW w:w="752" w:type="pct"/>
            <w:shd w:val="clear" w:color="auto" w:fill="1F497D" w:themeFill="text2"/>
            <w:vAlign w:val="center"/>
          </w:tcPr>
          <w:p w14:paraId="1C3950E1" w14:textId="77777777" w:rsidR="00585001" w:rsidRPr="008E3369" w:rsidRDefault="00585001" w:rsidP="005B4C81">
            <w:pPr>
              <w:spacing w:after="0" w:line="240" w:lineRule="auto"/>
              <w:jc w:val="center"/>
              <w:rPr>
                <w:rFonts w:eastAsia="Times New Roman" w:cs="Arial"/>
                <w:b/>
                <w:bCs/>
                <w:color w:val="FFFFFF" w:themeColor="background1"/>
                <w:lang w:eastAsia="es-MX"/>
              </w:rPr>
            </w:pPr>
            <w:r w:rsidRPr="008E3369">
              <w:rPr>
                <w:rFonts w:eastAsia="Times New Roman" w:cs="Arial"/>
                <w:b/>
                <w:bCs/>
                <w:color w:val="FFFFFF" w:themeColor="background1"/>
                <w:lang w:eastAsia="es-MX"/>
              </w:rPr>
              <w:t>Tema</w:t>
            </w:r>
          </w:p>
        </w:tc>
        <w:tc>
          <w:tcPr>
            <w:tcW w:w="1650" w:type="pct"/>
            <w:shd w:val="clear" w:color="auto" w:fill="1F497D" w:themeFill="text2"/>
            <w:vAlign w:val="center"/>
          </w:tcPr>
          <w:p w14:paraId="5DE08A59" w14:textId="77777777" w:rsidR="00585001" w:rsidRPr="008E3369" w:rsidRDefault="00585001" w:rsidP="005B4C81">
            <w:pPr>
              <w:spacing w:after="0" w:line="240" w:lineRule="auto"/>
              <w:jc w:val="center"/>
              <w:rPr>
                <w:rFonts w:eastAsia="Times New Roman" w:cs="Arial"/>
                <w:b/>
                <w:bCs/>
                <w:color w:val="FFFFFF" w:themeColor="background1"/>
                <w:lang w:eastAsia="es-MX"/>
              </w:rPr>
            </w:pPr>
            <w:r w:rsidRPr="008E3369">
              <w:rPr>
                <w:rFonts w:eastAsia="Times New Roman" w:cs="Arial"/>
                <w:b/>
                <w:bCs/>
                <w:color w:val="FFFFFF" w:themeColor="background1"/>
                <w:lang w:eastAsia="es-MX"/>
              </w:rPr>
              <w:t>Modificación/Adición</w:t>
            </w:r>
          </w:p>
        </w:tc>
        <w:tc>
          <w:tcPr>
            <w:tcW w:w="1722" w:type="pct"/>
            <w:tcBorders>
              <w:bottom w:val="single" w:sz="4" w:space="0" w:color="000000" w:themeColor="text1"/>
            </w:tcBorders>
            <w:shd w:val="clear" w:color="auto" w:fill="1F497D" w:themeFill="text2"/>
            <w:vAlign w:val="center"/>
          </w:tcPr>
          <w:p w14:paraId="0A286488" w14:textId="77777777" w:rsidR="00585001" w:rsidRPr="008E3369" w:rsidRDefault="00585001" w:rsidP="005B4C81">
            <w:pPr>
              <w:spacing w:after="0" w:line="240" w:lineRule="auto"/>
              <w:jc w:val="center"/>
              <w:rPr>
                <w:rFonts w:eastAsia="Times New Roman" w:cs="Arial"/>
                <w:b/>
                <w:bCs/>
                <w:color w:val="FFFFFF" w:themeColor="background1"/>
                <w:lang w:eastAsia="es-MX"/>
              </w:rPr>
            </w:pPr>
            <w:r w:rsidRPr="008E3369">
              <w:rPr>
                <w:rFonts w:eastAsia="Times New Roman" w:cs="Arial"/>
                <w:b/>
                <w:bCs/>
                <w:color w:val="FFFFFF" w:themeColor="background1"/>
                <w:lang w:eastAsia="es-MX"/>
              </w:rPr>
              <w:t>Justificación a Instituto</w:t>
            </w:r>
          </w:p>
        </w:tc>
      </w:tr>
      <w:tr w:rsidR="00585001" w:rsidRPr="008E3369" w14:paraId="49EDED7E" w14:textId="77777777" w:rsidTr="001F322B">
        <w:trPr>
          <w:trHeight w:val="287"/>
          <w:tblHeader/>
        </w:trPr>
        <w:tc>
          <w:tcPr>
            <w:tcW w:w="236" w:type="pct"/>
            <w:tcBorders>
              <w:top w:val="single" w:sz="4" w:space="0" w:color="auto"/>
              <w:left w:val="single" w:sz="4" w:space="0" w:color="auto"/>
              <w:bottom w:val="single" w:sz="4" w:space="0" w:color="auto"/>
              <w:right w:val="single" w:sz="4" w:space="0" w:color="auto"/>
            </w:tcBorders>
            <w:shd w:val="clear" w:color="auto" w:fill="auto"/>
            <w:vAlign w:val="center"/>
          </w:tcPr>
          <w:p w14:paraId="485EE4A2" w14:textId="38F2F971" w:rsidR="00585001" w:rsidRPr="008E3369" w:rsidRDefault="001F322B" w:rsidP="005B4C81">
            <w:pPr>
              <w:spacing w:after="0" w:line="240" w:lineRule="auto"/>
              <w:jc w:val="center"/>
              <w:rPr>
                <w:rFonts w:eastAsia="Times New Roman" w:cs="Arial"/>
                <w:bCs/>
                <w:lang w:eastAsia="es-MX"/>
              </w:rPr>
            </w:pPr>
            <w:r>
              <w:rPr>
                <w:rFonts w:eastAsia="Times New Roman" w:cs="Arial"/>
                <w:bCs/>
                <w:lang w:eastAsia="es-MX"/>
              </w:rPr>
              <w:t>11</w:t>
            </w:r>
          </w:p>
        </w:tc>
        <w:tc>
          <w:tcPr>
            <w:tcW w:w="640" w:type="pct"/>
            <w:tcBorders>
              <w:top w:val="single" w:sz="4" w:space="0" w:color="auto"/>
              <w:left w:val="single" w:sz="4" w:space="0" w:color="auto"/>
              <w:bottom w:val="single" w:sz="4" w:space="0" w:color="auto"/>
              <w:right w:val="single" w:sz="4" w:space="0" w:color="auto"/>
            </w:tcBorders>
            <w:shd w:val="clear" w:color="auto" w:fill="auto"/>
            <w:vAlign w:val="center"/>
          </w:tcPr>
          <w:p w14:paraId="7B75F822" w14:textId="77777777" w:rsidR="00585001" w:rsidRPr="008E3369" w:rsidRDefault="00585001" w:rsidP="005B4C81">
            <w:pPr>
              <w:spacing w:after="0" w:line="240" w:lineRule="auto"/>
              <w:jc w:val="center"/>
              <w:rPr>
                <w:rFonts w:eastAsia="Times New Roman" w:cs="Arial"/>
                <w:bCs/>
                <w:lang w:eastAsia="es-MX"/>
              </w:rPr>
            </w:pPr>
          </w:p>
        </w:tc>
        <w:tc>
          <w:tcPr>
            <w:tcW w:w="752" w:type="pct"/>
            <w:tcBorders>
              <w:top w:val="single" w:sz="4" w:space="0" w:color="auto"/>
              <w:left w:val="single" w:sz="4" w:space="0" w:color="auto"/>
              <w:bottom w:val="single" w:sz="4" w:space="0" w:color="auto"/>
              <w:right w:val="single" w:sz="4" w:space="0" w:color="auto"/>
            </w:tcBorders>
            <w:shd w:val="clear" w:color="auto" w:fill="auto"/>
            <w:vAlign w:val="center"/>
          </w:tcPr>
          <w:p w14:paraId="77BD3605" w14:textId="77777777" w:rsidR="00585001" w:rsidRPr="008E3369" w:rsidRDefault="00585001" w:rsidP="005B4C81">
            <w:pPr>
              <w:spacing w:after="0" w:line="240" w:lineRule="auto"/>
              <w:jc w:val="center"/>
              <w:rPr>
                <w:rFonts w:eastAsia="Times New Roman" w:cs="Arial"/>
                <w:bCs/>
                <w:lang w:eastAsia="es-MX"/>
              </w:rPr>
            </w:pPr>
          </w:p>
        </w:tc>
        <w:tc>
          <w:tcPr>
            <w:tcW w:w="1650" w:type="pct"/>
            <w:tcBorders>
              <w:top w:val="single" w:sz="4" w:space="0" w:color="auto"/>
              <w:left w:val="single" w:sz="4" w:space="0" w:color="auto"/>
              <w:bottom w:val="single" w:sz="4" w:space="0" w:color="auto"/>
              <w:right w:val="single" w:sz="4" w:space="0" w:color="auto"/>
            </w:tcBorders>
            <w:shd w:val="clear" w:color="auto" w:fill="auto"/>
            <w:vAlign w:val="center"/>
          </w:tcPr>
          <w:p w14:paraId="30CE5FD1" w14:textId="77777777" w:rsidR="00585001" w:rsidRPr="00FF47B7" w:rsidRDefault="00585001" w:rsidP="005B4C81">
            <w:pPr>
              <w:autoSpaceDE w:val="0"/>
              <w:autoSpaceDN w:val="0"/>
              <w:adjustRightInd w:val="0"/>
              <w:jc w:val="both"/>
              <w:rPr>
                <w:rFonts w:ascii="Arial" w:hAnsi="Arial" w:cs="Arial"/>
                <w:color w:val="0070C0"/>
                <w:sz w:val="20"/>
              </w:rPr>
            </w:pPr>
            <w:r w:rsidRPr="00FF47B7">
              <w:rPr>
                <w:rFonts w:eastAsia="Calibri" w:cstheme="minorHAnsi"/>
                <w:b/>
                <w:bCs/>
                <w:color w:val="548DD4" w:themeColor="text2" w:themeTint="99"/>
                <w:sz w:val="20"/>
                <w:lang w:val="es-ES" w:eastAsia="es-MX"/>
              </w:rPr>
              <w:t>VIGÉSIMA TERCERA. ARREGLO AMISTOSO DE DIFERENCIAS</w:t>
            </w:r>
            <w:r w:rsidRPr="00FF47B7">
              <w:rPr>
                <w:rFonts w:ascii="Arial" w:hAnsi="Arial" w:cs="Arial"/>
                <w:b/>
                <w:bCs/>
                <w:color w:val="0070C0"/>
                <w:sz w:val="20"/>
              </w:rPr>
              <w:t>.</w:t>
            </w:r>
            <w:r w:rsidRPr="00FF47B7">
              <w:rPr>
                <w:rFonts w:ascii="Arial" w:hAnsi="Arial" w:cs="Arial"/>
                <w:color w:val="0070C0"/>
                <w:sz w:val="20"/>
              </w:rPr>
              <w:t xml:space="preserve"> </w:t>
            </w:r>
          </w:p>
          <w:p w14:paraId="783EB475" w14:textId="77777777" w:rsidR="00585001" w:rsidRDefault="00585001" w:rsidP="005B4C81">
            <w:pPr>
              <w:autoSpaceDE w:val="0"/>
              <w:autoSpaceDN w:val="0"/>
              <w:adjustRightInd w:val="0"/>
              <w:jc w:val="both"/>
              <w:rPr>
                <w:rFonts w:eastAsia="Calibri" w:cstheme="minorHAnsi"/>
                <w:bCs/>
                <w:color w:val="548DD4" w:themeColor="text2" w:themeTint="99"/>
                <w:sz w:val="20"/>
                <w:lang w:val="es-ES" w:eastAsia="es-MX"/>
              </w:rPr>
            </w:pPr>
            <w:r w:rsidRPr="00FF47B7">
              <w:rPr>
                <w:rFonts w:eastAsia="Calibri" w:cstheme="minorHAnsi"/>
                <w:bCs/>
                <w:color w:val="548DD4" w:themeColor="text2" w:themeTint="99"/>
                <w:sz w:val="20"/>
                <w:lang w:val="es-ES" w:eastAsia="es-MX"/>
              </w:rPr>
              <w:t>Las Partes expresan su firme convicción que, de toda buena fe, en caso de presentarse diferencias o disputas por virtud de la interpretación y cumplimiento del presente Convenio o de sus Anexos, y para cualquier aspecto técnico y administrativo, de determinación de costos, contraprestaciones y otros que requieran capacidad técnica específica, tratarán razonablemente de resolverlas entre ellos en forma amistosa en un plazo de al menos 30 (treinta) días antes de iniciar otro tipo de procedimiento, y al efecto, seguirán un proceso de consulta mutua a efecto de evitar controversias, incluyendo, si las Partes lo consideran necesario, consultas a expertos o autoridades sin que esto implique renuncia a los derechos que tengan, lo anterior con independencia de la posibilidad que tienen los concesionarios de solicitar la intervención del Instituto en caso de existir términos y condiciones no convenidas entre las partes.</w:t>
            </w:r>
          </w:p>
          <w:p w14:paraId="189DDD0D" w14:textId="77777777" w:rsidR="00585001" w:rsidRPr="00FF47B7" w:rsidRDefault="00585001" w:rsidP="005B4C81">
            <w:pPr>
              <w:autoSpaceDE w:val="0"/>
              <w:autoSpaceDN w:val="0"/>
              <w:adjustRightInd w:val="0"/>
              <w:jc w:val="both"/>
              <w:rPr>
                <w:rFonts w:eastAsia="Calibri" w:cstheme="minorHAnsi"/>
                <w:bCs/>
                <w:color w:val="548DD4" w:themeColor="text2" w:themeTint="99"/>
                <w:sz w:val="20"/>
                <w:lang w:val="es-ES" w:eastAsia="es-MX"/>
              </w:rPr>
            </w:pPr>
            <w:r w:rsidRPr="00FF47B7">
              <w:rPr>
                <w:rFonts w:eastAsia="Calibri" w:cstheme="minorHAnsi"/>
                <w:bCs/>
                <w:color w:val="548DD4" w:themeColor="text2" w:themeTint="99"/>
                <w:sz w:val="20"/>
                <w:lang w:val="es-ES" w:eastAsia="es-MX"/>
              </w:rPr>
              <w:t>Se considerará que los intentos para lograr una solución amistosa de común acuerdo han fracasado, cuando una de las Partes notifique por escrito a la otra que las negociaciones no han sido satisfactorias en cualquier estado del procedimiento, en cuyo caso, las Partes podrán ejercer sus derechos como proceda conforme a la ley.</w:t>
            </w:r>
          </w:p>
        </w:tc>
        <w:tc>
          <w:tcPr>
            <w:tcW w:w="1722" w:type="pct"/>
            <w:tcBorders>
              <w:top w:val="single" w:sz="4" w:space="0" w:color="auto"/>
              <w:left w:val="single" w:sz="4" w:space="0" w:color="auto"/>
              <w:bottom w:val="single" w:sz="4" w:space="0" w:color="auto"/>
              <w:right w:val="single" w:sz="4" w:space="0" w:color="auto"/>
            </w:tcBorders>
            <w:shd w:val="clear" w:color="auto" w:fill="auto"/>
            <w:vAlign w:val="center"/>
          </w:tcPr>
          <w:p w14:paraId="7B35E89A" w14:textId="77777777" w:rsidR="00585001" w:rsidRPr="00D97270" w:rsidRDefault="00585001" w:rsidP="005B4C81">
            <w:pPr>
              <w:spacing w:after="0" w:line="240" w:lineRule="auto"/>
              <w:ind w:right="57"/>
              <w:jc w:val="both"/>
              <w:rPr>
                <w:rFonts w:ascii="Arial" w:eastAsia="Times New Roman" w:hAnsi="Arial" w:cs="Arial"/>
                <w:sz w:val="21"/>
                <w:szCs w:val="21"/>
                <w:lang w:eastAsia="es-ES"/>
              </w:rPr>
            </w:pPr>
            <w:r w:rsidRPr="00D97270">
              <w:rPr>
                <w:rFonts w:ascii="Arial" w:eastAsia="Times New Roman" w:hAnsi="Arial" w:cs="Arial"/>
                <w:sz w:val="21"/>
                <w:szCs w:val="21"/>
                <w:lang w:eastAsia="es-MX"/>
              </w:rPr>
              <w:t xml:space="preserve">Se </w:t>
            </w:r>
            <w:r w:rsidRPr="00D97270">
              <w:rPr>
                <w:rFonts w:ascii="Arial" w:eastAsia="Times New Roman" w:hAnsi="Arial" w:cs="Arial"/>
                <w:b/>
                <w:sz w:val="21"/>
                <w:szCs w:val="21"/>
                <w:lang w:eastAsia="es-MX"/>
              </w:rPr>
              <w:t>adiciona la Cláusula “</w:t>
            </w:r>
            <w:r w:rsidRPr="00D97270">
              <w:rPr>
                <w:rFonts w:ascii="Arial" w:eastAsia="Times New Roman" w:hAnsi="Arial" w:cs="Arial"/>
                <w:b/>
                <w:sz w:val="21"/>
                <w:szCs w:val="21"/>
                <w:u w:val="single"/>
                <w:lang w:eastAsia="es-MX"/>
              </w:rPr>
              <w:t>ARREGLO AMISTOSO DE DIFERENCIAS”.</w:t>
            </w:r>
            <w:r w:rsidRPr="00D97270">
              <w:rPr>
                <w:rFonts w:ascii="Arial" w:eastAsia="Times New Roman" w:hAnsi="Arial" w:cs="Arial"/>
                <w:sz w:val="21"/>
                <w:szCs w:val="21"/>
                <w:lang w:eastAsia="es-MX"/>
              </w:rPr>
              <w:t xml:space="preserve"> </w:t>
            </w:r>
            <w:r w:rsidRPr="00D97270">
              <w:rPr>
                <w:rFonts w:ascii="Arial" w:eastAsia="Times New Roman" w:hAnsi="Arial" w:cs="Arial"/>
                <w:sz w:val="21"/>
                <w:szCs w:val="21"/>
                <w:lang w:eastAsia="es-ES"/>
              </w:rPr>
              <w:t>Ésta nace de una clausula incorporada dentro del Convenio Marco de Interconexión; esta cláusula causa sentido al ya formar parte del Convenio Marco de Interconexión; por lo que, resultaría perjudicial que ofertas de referencia y sus debidos convenios que regulan la prestación de servicios no sean uniformes o no se encuentren homologados y cada una contenga cláusulas distintas cuando no sean exclusivamente por una distinción por el servicio.</w:t>
            </w:r>
          </w:p>
          <w:p w14:paraId="5E295494" w14:textId="77777777" w:rsidR="00585001" w:rsidRPr="00D97270" w:rsidRDefault="00585001" w:rsidP="005B4C81">
            <w:pPr>
              <w:spacing w:after="0" w:line="240" w:lineRule="auto"/>
              <w:ind w:right="57"/>
              <w:jc w:val="both"/>
              <w:rPr>
                <w:rFonts w:ascii="Arial" w:eastAsia="Times New Roman" w:hAnsi="Arial" w:cs="Arial"/>
                <w:sz w:val="21"/>
                <w:szCs w:val="21"/>
                <w:lang w:eastAsia="es-ES"/>
              </w:rPr>
            </w:pPr>
          </w:p>
          <w:p w14:paraId="729E9CAF" w14:textId="77777777" w:rsidR="00585001" w:rsidRPr="008E3369" w:rsidRDefault="00585001" w:rsidP="005B4C81">
            <w:pPr>
              <w:spacing w:after="0" w:line="240" w:lineRule="auto"/>
              <w:jc w:val="both"/>
              <w:rPr>
                <w:rFonts w:eastAsia="Times New Roman" w:cs="Arial"/>
                <w:bCs/>
                <w:lang w:eastAsia="es-MX"/>
              </w:rPr>
            </w:pPr>
            <w:r w:rsidRPr="00D97270">
              <w:rPr>
                <w:rFonts w:ascii="Arial" w:eastAsia="Times New Roman" w:hAnsi="Arial" w:cs="Arial"/>
                <w:sz w:val="21"/>
                <w:szCs w:val="21"/>
                <w:lang w:eastAsia="es-ES"/>
              </w:rPr>
              <w:t>El sentido de dicha cláusula es fomentar la comunicación entre las partes y la solución alternativa para resolver controversias entre las partes antes de mover toda la maquinaria del IFT y en su caso, la de los juzgados especializados, por lo que consideramos procedente que exista una arreglo amistoso que contemple las soluciones caso por caso, así pudiendo acortar los plazo para llegar a un arreglo y darle prioridad a las necesidades de cada caso en particular</w:t>
            </w:r>
          </w:p>
        </w:tc>
      </w:tr>
      <w:tr w:rsidR="00585001" w:rsidRPr="008E3369" w14:paraId="6C29DE46" w14:textId="77777777" w:rsidTr="001F322B">
        <w:trPr>
          <w:trHeight w:val="287"/>
          <w:tblHeader/>
        </w:trPr>
        <w:tc>
          <w:tcPr>
            <w:tcW w:w="236" w:type="pct"/>
            <w:tcBorders>
              <w:top w:val="single" w:sz="4" w:space="0" w:color="auto"/>
              <w:left w:val="single" w:sz="4" w:space="0" w:color="auto"/>
              <w:bottom w:val="single" w:sz="4" w:space="0" w:color="auto"/>
              <w:right w:val="single" w:sz="4" w:space="0" w:color="auto"/>
            </w:tcBorders>
            <w:shd w:val="clear" w:color="auto" w:fill="auto"/>
            <w:vAlign w:val="center"/>
          </w:tcPr>
          <w:p w14:paraId="47BCE7CB" w14:textId="41819788" w:rsidR="00585001" w:rsidRDefault="001F322B" w:rsidP="005B4C81">
            <w:pPr>
              <w:spacing w:after="0" w:line="240" w:lineRule="auto"/>
              <w:jc w:val="center"/>
              <w:rPr>
                <w:rFonts w:eastAsia="Times New Roman" w:cs="Arial"/>
                <w:bCs/>
                <w:lang w:eastAsia="es-MX"/>
              </w:rPr>
            </w:pPr>
            <w:r>
              <w:rPr>
                <w:rFonts w:eastAsia="Times New Roman" w:cs="Arial"/>
                <w:bCs/>
                <w:lang w:eastAsia="es-MX"/>
              </w:rPr>
              <w:lastRenderedPageBreak/>
              <w:t>12</w:t>
            </w:r>
          </w:p>
        </w:tc>
        <w:tc>
          <w:tcPr>
            <w:tcW w:w="640" w:type="pct"/>
            <w:tcBorders>
              <w:top w:val="single" w:sz="4" w:space="0" w:color="auto"/>
              <w:left w:val="single" w:sz="4" w:space="0" w:color="auto"/>
              <w:bottom w:val="single" w:sz="4" w:space="0" w:color="auto"/>
              <w:right w:val="single" w:sz="4" w:space="0" w:color="auto"/>
            </w:tcBorders>
            <w:shd w:val="clear" w:color="auto" w:fill="auto"/>
            <w:vAlign w:val="center"/>
          </w:tcPr>
          <w:p w14:paraId="35153B9A" w14:textId="77777777" w:rsidR="00585001" w:rsidRPr="008D1E66" w:rsidRDefault="00585001" w:rsidP="005B4C81">
            <w:pPr>
              <w:widowControl w:val="0"/>
              <w:jc w:val="both"/>
              <w:outlineLvl w:val="1"/>
              <w:rPr>
                <w:rFonts w:ascii="Arial" w:hAnsi="Arial" w:cs="Arial"/>
                <w:b/>
                <w:spacing w:val="-3"/>
                <w:sz w:val="20"/>
                <w:lang w:val="es-ES_tradnl"/>
              </w:rPr>
            </w:pPr>
            <w:r w:rsidRPr="008D1E66">
              <w:rPr>
                <w:rFonts w:ascii="Arial" w:hAnsi="Arial" w:cs="Arial"/>
                <w:b/>
                <w:spacing w:val="-3"/>
                <w:sz w:val="20"/>
                <w:lang w:val="es-ES_tradnl"/>
              </w:rPr>
              <w:t>CLASULA TERCERA. PRECIO Y CONDICIONES DE PAGO</w:t>
            </w:r>
          </w:p>
          <w:p w14:paraId="0A9C4928" w14:textId="77777777" w:rsidR="00585001" w:rsidRPr="005D5501" w:rsidRDefault="00585001" w:rsidP="005B4C81">
            <w:pPr>
              <w:spacing w:after="0" w:line="240" w:lineRule="auto"/>
              <w:jc w:val="center"/>
              <w:rPr>
                <w:rFonts w:eastAsia="Times New Roman" w:cs="Arial"/>
                <w:bCs/>
                <w:lang w:val="es-ES_tradnl" w:eastAsia="es-MX"/>
              </w:rPr>
            </w:pPr>
          </w:p>
        </w:tc>
        <w:tc>
          <w:tcPr>
            <w:tcW w:w="752" w:type="pct"/>
            <w:tcBorders>
              <w:top w:val="single" w:sz="4" w:space="0" w:color="auto"/>
              <w:left w:val="single" w:sz="4" w:space="0" w:color="auto"/>
              <w:bottom w:val="single" w:sz="4" w:space="0" w:color="auto"/>
              <w:right w:val="single" w:sz="4" w:space="0" w:color="auto"/>
            </w:tcBorders>
            <w:shd w:val="clear" w:color="auto" w:fill="auto"/>
            <w:vAlign w:val="center"/>
          </w:tcPr>
          <w:p w14:paraId="28AF3E94" w14:textId="77777777" w:rsidR="00585001" w:rsidRPr="008E3369" w:rsidRDefault="00585001" w:rsidP="005B4C81">
            <w:pPr>
              <w:spacing w:after="0" w:line="240" w:lineRule="auto"/>
              <w:jc w:val="center"/>
              <w:rPr>
                <w:rFonts w:eastAsia="Times New Roman" w:cs="Arial"/>
                <w:bCs/>
                <w:lang w:eastAsia="es-MX"/>
              </w:rPr>
            </w:pPr>
          </w:p>
        </w:tc>
        <w:tc>
          <w:tcPr>
            <w:tcW w:w="1650" w:type="pct"/>
            <w:tcBorders>
              <w:top w:val="single" w:sz="4" w:space="0" w:color="auto"/>
              <w:left w:val="single" w:sz="4" w:space="0" w:color="auto"/>
              <w:bottom w:val="single" w:sz="4" w:space="0" w:color="auto"/>
              <w:right w:val="single" w:sz="4" w:space="0" w:color="auto"/>
            </w:tcBorders>
            <w:shd w:val="clear" w:color="auto" w:fill="auto"/>
            <w:vAlign w:val="center"/>
          </w:tcPr>
          <w:p w14:paraId="66006C56" w14:textId="77777777" w:rsidR="00585001" w:rsidRPr="00E443EF" w:rsidRDefault="00585001" w:rsidP="005B4C81">
            <w:pPr>
              <w:pStyle w:val="CitaIFT"/>
              <w:spacing w:after="0"/>
              <w:ind w:left="0" w:right="51"/>
              <w:rPr>
                <w:rFonts w:ascii="Arial" w:hAnsi="Arial" w:cs="Arial"/>
                <w:i w:val="0"/>
                <w:strike/>
                <w:color w:val="auto"/>
                <w:sz w:val="20"/>
              </w:rPr>
            </w:pPr>
            <w:r w:rsidRPr="00E443EF">
              <w:rPr>
                <w:rFonts w:ascii="Arial" w:hAnsi="Arial" w:cs="Arial"/>
                <w:i w:val="0"/>
                <w:color w:val="auto"/>
                <w:sz w:val="20"/>
              </w:rPr>
              <w:t xml:space="preserve">(b) </w:t>
            </w:r>
            <w:r w:rsidRPr="00E443EF">
              <w:rPr>
                <w:rFonts w:asciiTheme="minorHAnsi" w:eastAsia="Calibri" w:hAnsiTheme="minorHAnsi" w:cstheme="minorHAnsi"/>
                <w:bCs/>
                <w:i w:val="0"/>
                <w:color w:val="548DD4" w:themeColor="text2" w:themeTint="99"/>
                <w:sz w:val="20"/>
                <w:lang w:val="es-ES" w:eastAsia="es-MX"/>
              </w:rPr>
              <w:t>el pago total de los servicios o cargos no objetados, adjuntando a dicho pago un documento que contenga una relación desglosada de los importes correspondientes a cada uno de los servicios cuyas correlativas contraprestaciones hubiesen sido pagadas. A falta de relación, la parte acreedora aplicará el pago recibido a las contraprestaciones no objetadas, y</w:t>
            </w:r>
            <w:r w:rsidRPr="00E443EF">
              <w:rPr>
                <w:rFonts w:ascii="Arial" w:hAnsi="Arial" w:cs="Arial"/>
                <w:sz w:val="20"/>
                <w:lang w:val="es-ES"/>
              </w:rPr>
              <w:t>;</w:t>
            </w:r>
            <w:r w:rsidRPr="00E443EF">
              <w:rPr>
                <w:rFonts w:ascii="Arial" w:hAnsi="Arial" w:cs="Arial"/>
                <w:i w:val="0"/>
                <w:strike/>
                <w:color w:val="auto"/>
                <w:sz w:val="20"/>
              </w:rPr>
              <w:t xml:space="preserve"> a elección del CONCESIONARIO </w:t>
            </w:r>
            <w:r w:rsidRPr="00E443EF">
              <w:rPr>
                <w:rFonts w:ascii="Arial" w:hAnsi="Arial" w:cs="Arial"/>
                <w:strike/>
                <w:sz w:val="20"/>
                <w:lang w:val="es-MX"/>
              </w:rPr>
              <w:t>[O AUTORIZADO]</w:t>
            </w:r>
            <w:r w:rsidRPr="00E443EF">
              <w:rPr>
                <w:rFonts w:ascii="Arial" w:hAnsi="Arial" w:cs="Arial"/>
                <w:strike/>
                <w:sz w:val="20"/>
              </w:rPr>
              <w:t xml:space="preserve"> </w:t>
            </w:r>
            <w:r w:rsidRPr="00E443EF">
              <w:rPr>
                <w:rFonts w:ascii="Arial" w:hAnsi="Arial" w:cs="Arial"/>
                <w:i w:val="0"/>
                <w:strike/>
                <w:color w:val="auto"/>
                <w:sz w:val="20"/>
              </w:rPr>
              <w:t>SOLICITANTE, el pago total de los servicios bajo protesta o el pago parcial por los cargos efectivamente reconocidos</w:t>
            </w:r>
          </w:p>
          <w:p w14:paraId="3948FE67" w14:textId="77777777" w:rsidR="00585001" w:rsidRPr="00E443EF" w:rsidRDefault="00585001" w:rsidP="005B4C81">
            <w:pPr>
              <w:pStyle w:val="CitaIFT"/>
              <w:spacing w:after="0"/>
              <w:ind w:left="0" w:right="51"/>
              <w:rPr>
                <w:rFonts w:ascii="Arial" w:hAnsi="Arial" w:cs="Arial"/>
                <w:i w:val="0"/>
                <w:strike/>
                <w:color w:val="auto"/>
                <w:sz w:val="20"/>
              </w:rPr>
            </w:pPr>
          </w:p>
          <w:p w14:paraId="4054831E" w14:textId="77777777" w:rsidR="00585001" w:rsidRPr="00E443EF" w:rsidRDefault="00585001" w:rsidP="005B4C81">
            <w:pPr>
              <w:pStyle w:val="CitaIFT"/>
              <w:spacing w:after="0"/>
              <w:ind w:left="0" w:right="51"/>
              <w:rPr>
                <w:rFonts w:ascii="Arial" w:hAnsi="Arial" w:cs="Arial"/>
                <w:i w:val="0"/>
                <w:strike/>
                <w:color w:val="auto"/>
                <w:sz w:val="20"/>
              </w:rPr>
            </w:pPr>
            <w:r w:rsidRPr="00E443EF">
              <w:rPr>
                <w:rFonts w:ascii="Arial" w:hAnsi="Arial" w:cs="Arial"/>
                <w:i w:val="0"/>
                <w:strike/>
                <w:color w:val="auto"/>
                <w:sz w:val="20"/>
              </w:rPr>
              <w:t xml:space="preserve">(c) como alternativa, la parte que objete la factura o receptora del servicio podrá pagar, bajo protesta, la totalidad o una porción de la factura, y ésta se considerará como Factura Objetada, por esa porción o la totalidad, en su caso y </w:t>
            </w:r>
          </w:p>
        </w:tc>
        <w:tc>
          <w:tcPr>
            <w:tcW w:w="1722" w:type="pct"/>
            <w:tcBorders>
              <w:top w:val="single" w:sz="4" w:space="0" w:color="auto"/>
              <w:left w:val="single" w:sz="4" w:space="0" w:color="auto"/>
              <w:bottom w:val="single" w:sz="4" w:space="0" w:color="auto"/>
              <w:right w:val="single" w:sz="4" w:space="0" w:color="auto"/>
            </w:tcBorders>
            <w:shd w:val="clear" w:color="auto" w:fill="auto"/>
            <w:vAlign w:val="center"/>
          </w:tcPr>
          <w:p w14:paraId="0536FD9A" w14:textId="77777777" w:rsidR="00585001" w:rsidRPr="00E443EF" w:rsidRDefault="00585001" w:rsidP="005B4C81">
            <w:pPr>
              <w:spacing w:after="0" w:line="240" w:lineRule="auto"/>
              <w:jc w:val="both"/>
              <w:rPr>
                <w:rFonts w:ascii="Arial" w:eastAsia="Times New Roman" w:hAnsi="Arial" w:cs="Arial"/>
                <w:sz w:val="20"/>
                <w:szCs w:val="20"/>
                <w:lang w:eastAsia="es-MX"/>
              </w:rPr>
            </w:pPr>
            <w:r w:rsidRPr="00E443EF">
              <w:rPr>
                <w:rFonts w:ascii="Arial" w:eastAsia="Times New Roman" w:hAnsi="Arial" w:cs="Arial"/>
                <w:sz w:val="20"/>
                <w:szCs w:val="20"/>
                <w:lang w:eastAsia="es-MX"/>
              </w:rPr>
              <w:t>Se homologa conforme a lo establecido en el CMI.</w:t>
            </w:r>
          </w:p>
          <w:p w14:paraId="29ABBF69" w14:textId="77777777" w:rsidR="00585001" w:rsidRPr="00E443EF" w:rsidRDefault="00585001" w:rsidP="005B4C81">
            <w:pPr>
              <w:spacing w:after="0" w:line="240" w:lineRule="auto"/>
              <w:jc w:val="both"/>
              <w:rPr>
                <w:rFonts w:ascii="Arial" w:eastAsia="Times New Roman" w:hAnsi="Arial" w:cs="Arial"/>
                <w:sz w:val="20"/>
                <w:szCs w:val="20"/>
                <w:lang w:eastAsia="es-MX"/>
              </w:rPr>
            </w:pPr>
            <w:r w:rsidRPr="00E443EF">
              <w:rPr>
                <w:rFonts w:ascii="Arial" w:eastAsia="Times New Roman" w:hAnsi="Arial" w:cs="Arial"/>
                <w:sz w:val="20"/>
                <w:szCs w:val="20"/>
                <w:lang w:eastAsia="es-MX"/>
              </w:rPr>
              <w:t>Es importante para Telmex brindar las mismas condiciones en todos sus servicios, por lo que la preocupación es que operativamente las ofertas establecen criterios distintos.</w:t>
            </w:r>
          </w:p>
          <w:p w14:paraId="3CDAD70B" w14:textId="77777777" w:rsidR="00585001" w:rsidRPr="00E443EF" w:rsidRDefault="00585001" w:rsidP="005B4C81">
            <w:pPr>
              <w:spacing w:after="0" w:line="240" w:lineRule="auto"/>
              <w:jc w:val="both"/>
              <w:rPr>
                <w:rFonts w:ascii="Arial" w:eastAsia="Times New Roman" w:hAnsi="Arial" w:cs="Arial"/>
                <w:sz w:val="20"/>
                <w:szCs w:val="20"/>
                <w:lang w:eastAsia="es-MX"/>
              </w:rPr>
            </w:pPr>
          </w:p>
          <w:p w14:paraId="327887CE" w14:textId="77777777" w:rsidR="00585001" w:rsidRPr="00E443EF" w:rsidRDefault="00585001" w:rsidP="005B4C81">
            <w:pPr>
              <w:spacing w:after="0" w:line="240" w:lineRule="auto"/>
              <w:jc w:val="both"/>
              <w:rPr>
                <w:rFonts w:ascii="Arial" w:eastAsia="Times New Roman" w:hAnsi="Arial" w:cs="Arial"/>
                <w:sz w:val="20"/>
                <w:szCs w:val="20"/>
                <w:lang w:eastAsia="es-MX"/>
              </w:rPr>
            </w:pPr>
            <w:r w:rsidRPr="00E443EF">
              <w:rPr>
                <w:rFonts w:ascii="Arial" w:eastAsia="Times New Roman" w:hAnsi="Arial" w:cs="Arial"/>
                <w:sz w:val="20"/>
                <w:szCs w:val="20"/>
                <w:lang w:eastAsia="es-MX"/>
              </w:rPr>
              <w:t xml:space="preserve">La finalidad es que los criterios operativos se homologuen en todas las ofertas a efecto de brindar certeza a todo el sector de telecomunicaciones en la prestación de los servicios </w:t>
            </w:r>
          </w:p>
          <w:p w14:paraId="54FEB643" w14:textId="77777777" w:rsidR="00585001" w:rsidRPr="00E443EF" w:rsidRDefault="00585001" w:rsidP="005B4C81">
            <w:pPr>
              <w:spacing w:after="0" w:line="240" w:lineRule="auto"/>
              <w:jc w:val="both"/>
              <w:rPr>
                <w:rFonts w:ascii="Arial" w:eastAsia="Times New Roman" w:hAnsi="Arial" w:cs="Arial"/>
                <w:sz w:val="20"/>
                <w:szCs w:val="20"/>
                <w:lang w:eastAsia="es-MX"/>
              </w:rPr>
            </w:pPr>
          </w:p>
          <w:p w14:paraId="4AA30CAB" w14:textId="77777777" w:rsidR="00585001" w:rsidRPr="00E443EF" w:rsidRDefault="00585001" w:rsidP="005B4C81">
            <w:pPr>
              <w:spacing w:after="0" w:line="240" w:lineRule="auto"/>
              <w:jc w:val="both"/>
              <w:rPr>
                <w:rFonts w:ascii="Arial" w:eastAsia="Times New Roman" w:hAnsi="Arial" w:cs="Arial"/>
                <w:sz w:val="20"/>
                <w:szCs w:val="20"/>
                <w:lang w:eastAsia="es-ES"/>
              </w:rPr>
            </w:pPr>
            <w:r w:rsidRPr="00E443EF">
              <w:rPr>
                <w:rFonts w:ascii="Arial" w:eastAsia="Times New Roman" w:hAnsi="Arial" w:cs="Arial"/>
                <w:sz w:val="20"/>
                <w:szCs w:val="20"/>
                <w:lang w:eastAsia="es-ES"/>
              </w:rPr>
              <w:t>Por lo que esta modificación nace de una clausula incorporada dentro del Convenio Marco de Interconexión; por lo que, resultaría perjudicial que ofertas de referencia y sus debidos convenios que regulan la prestación de servicios no sean uniformes o no se encuentren homologados y cada una contenga cláusulas distintas cuando no sean exclusivamente por una distinción del servicio.</w:t>
            </w:r>
          </w:p>
        </w:tc>
      </w:tr>
    </w:tbl>
    <w:p w14:paraId="55194D57" w14:textId="7FE6B065" w:rsidR="00FF47B7" w:rsidRDefault="00FF47B7">
      <w:pPr>
        <w:rPr>
          <w:b/>
          <w:bCs/>
        </w:rPr>
      </w:pPr>
    </w:p>
    <w:p w14:paraId="5819B3FD" w14:textId="33AC04CE" w:rsidR="00E44664" w:rsidRPr="008E3369" w:rsidRDefault="00E44664" w:rsidP="00C85C35">
      <w:pPr>
        <w:pStyle w:val="Sinespaciado"/>
      </w:pPr>
      <w:r w:rsidRPr="008E3369">
        <w:rPr>
          <w:b/>
          <w:bCs/>
        </w:rPr>
        <w:t xml:space="preserve">ANEXO </w:t>
      </w:r>
      <w:r w:rsidR="001531A2">
        <w:rPr>
          <w:b/>
          <w:bCs/>
        </w:rPr>
        <w:t>“</w:t>
      </w:r>
      <w:r w:rsidR="00F257F6" w:rsidRPr="008E3369">
        <w:rPr>
          <w:b/>
          <w:bCs/>
        </w:rPr>
        <w:t>A</w:t>
      </w:r>
      <w:r w:rsidR="001531A2">
        <w:rPr>
          <w:b/>
          <w:bCs/>
        </w:rPr>
        <w:t>”</w:t>
      </w:r>
      <w:r w:rsidRPr="008E3369">
        <w:rPr>
          <w:b/>
          <w:bCs/>
        </w:rPr>
        <w:t xml:space="preserve"> </w:t>
      </w:r>
      <w:r w:rsidR="00BA3B9B">
        <w:rPr>
          <w:b/>
          <w:bCs/>
          <w:i/>
          <w:iCs/>
        </w:rPr>
        <w:t>DEL CONVENIO”</w:t>
      </w:r>
      <w:r w:rsidR="001531A2" w:rsidRPr="001531A2">
        <w:rPr>
          <w:b/>
          <w:bCs/>
          <w:i/>
          <w:iCs/>
        </w:rPr>
        <w:t xml:space="preserve"> </w:t>
      </w:r>
      <w:r w:rsidR="001531A2" w:rsidRPr="008E3369">
        <w:rPr>
          <w:b/>
          <w:bCs/>
          <w:i/>
          <w:iCs/>
        </w:rPr>
        <w:t>“TARIFAS”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27"/>
        <w:gridCol w:w="1972"/>
        <w:gridCol w:w="2316"/>
        <w:gridCol w:w="4620"/>
        <w:gridCol w:w="5061"/>
      </w:tblGrid>
      <w:tr w:rsidR="00E44664" w:rsidRPr="008E3369" w14:paraId="24CAA234" w14:textId="77777777" w:rsidTr="001F322B">
        <w:trPr>
          <w:trHeight w:val="346"/>
          <w:tblHeader/>
        </w:trPr>
        <w:tc>
          <w:tcPr>
            <w:tcW w:w="247" w:type="pct"/>
            <w:shd w:val="clear" w:color="auto" w:fill="1F497D" w:themeFill="text2"/>
            <w:vAlign w:val="center"/>
          </w:tcPr>
          <w:p w14:paraId="6D1AE1AD" w14:textId="77777777" w:rsidR="00E44664" w:rsidRPr="008E3369" w:rsidRDefault="00E44664" w:rsidP="00D66FC4">
            <w:pPr>
              <w:spacing w:after="0" w:line="240" w:lineRule="auto"/>
              <w:jc w:val="center"/>
              <w:rPr>
                <w:rFonts w:eastAsia="Times New Roman" w:cs="Arial"/>
                <w:color w:val="FFFFFF" w:themeColor="background1"/>
                <w:lang w:eastAsia="es-MX"/>
              </w:rPr>
            </w:pPr>
            <w:r w:rsidRPr="008E3369">
              <w:rPr>
                <w:rFonts w:eastAsia="Times New Roman" w:cs="Arial"/>
                <w:b/>
                <w:bCs/>
                <w:color w:val="FFFFFF" w:themeColor="background1"/>
                <w:lang w:eastAsia="es-MX"/>
              </w:rPr>
              <w:t>No</w:t>
            </w:r>
          </w:p>
        </w:tc>
        <w:tc>
          <w:tcPr>
            <w:tcW w:w="671" w:type="pct"/>
            <w:shd w:val="clear" w:color="auto" w:fill="1F497D" w:themeFill="text2"/>
            <w:vAlign w:val="center"/>
          </w:tcPr>
          <w:p w14:paraId="3B5091D9" w14:textId="61216023" w:rsidR="00E44664" w:rsidRPr="008E3369" w:rsidRDefault="00DA6597" w:rsidP="00D66FC4">
            <w:pPr>
              <w:spacing w:after="0" w:line="240" w:lineRule="auto"/>
              <w:jc w:val="center"/>
              <w:rPr>
                <w:rFonts w:eastAsia="Times New Roman" w:cs="Arial"/>
                <w:color w:val="FFFFFF" w:themeColor="background1"/>
                <w:lang w:eastAsia="es-MX"/>
              </w:rPr>
            </w:pPr>
            <w:r>
              <w:rPr>
                <w:rFonts w:eastAsia="Times New Roman" w:cs="Arial"/>
                <w:b/>
                <w:bCs/>
                <w:color w:val="FFFFFF" w:themeColor="background1"/>
                <w:lang w:eastAsia="es-MX"/>
              </w:rPr>
              <w:t>Cláusula</w:t>
            </w:r>
            <w:r w:rsidR="00E44664" w:rsidRPr="008E3369">
              <w:rPr>
                <w:rFonts w:eastAsia="Times New Roman" w:cs="Arial"/>
                <w:b/>
                <w:bCs/>
                <w:color w:val="FFFFFF" w:themeColor="background1"/>
                <w:lang w:eastAsia="es-MX"/>
              </w:rPr>
              <w:t>/Sección/Numeral</w:t>
            </w:r>
          </w:p>
        </w:tc>
        <w:tc>
          <w:tcPr>
            <w:tcW w:w="788" w:type="pct"/>
            <w:shd w:val="clear" w:color="auto" w:fill="1F497D" w:themeFill="text2"/>
            <w:vAlign w:val="center"/>
          </w:tcPr>
          <w:p w14:paraId="1CF8102B" w14:textId="77777777" w:rsidR="00E44664" w:rsidRPr="008E3369" w:rsidRDefault="00E44664" w:rsidP="00D66FC4">
            <w:pPr>
              <w:spacing w:after="0" w:line="240" w:lineRule="auto"/>
              <w:jc w:val="center"/>
              <w:rPr>
                <w:rFonts w:eastAsia="Times New Roman" w:cs="Arial"/>
                <w:b/>
                <w:bCs/>
                <w:color w:val="FFFFFF" w:themeColor="background1"/>
                <w:lang w:eastAsia="es-MX"/>
              </w:rPr>
            </w:pPr>
            <w:r w:rsidRPr="008E3369">
              <w:rPr>
                <w:rFonts w:eastAsia="Times New Roman" w:cs="Arial"/>
                <w:b/>
                <w:bCs/>
                <w:color w:val="FFFFFF" w:themeColor="background1"/>
                <w:lang w:eastAsia="es-MX"/>
              </w:rPr>
              <w:t>Tema</w:t>
            </w:r>
          </w:p>
        </w:tc>
        <w:tc>
          <w:tcPr>
            <w:tcW w:w="1572" w:type="pct"/>
            <w:shd w:val="clear" w:color="auto" w:fill="1F497D" w:themeFill="text2"/>
            <w:vAlign w:val="center"/>
          </w:tcPr>
          <w:p w14:paraId="73910F65" w14:textId="77777777" w:rsidR="00E44664" w:rsidRPr="008E3369" w:rsidRDefault="00E44664" w:rsidP="00D66FC4">
            <w:pPr>
              <w:spacing w:after="0" w:line="240" w:lineRule="auto"/>
              <w:jc w:val="center"/>
              <w:rPr>
                <w:rFonts w:eastAsia="Times New Roman" w:cs="Arial"/>
                <w:b/>
                <w:bCs/>
                <w:color w:val="FFFFFF" w:themeColor="background1"/>
                <w:lang w:eastAsia="es-MX"/>
              </w:rPr>
            </w:pPr>
            <w:r w:rsidRPr="008E3369">
              <w:rPr>
                <w:rFonts w:eastAsia="Times New Roman" w:cs="Arial"/>
                <w:b/>
                <w:bCs/>
                <w:color w:val="FFFFFF" w:themeColor="background1"/>
                <w:lang w:eastAsia="es-MX"/>
              </w:rPr>
              <w:t>Modificación/Adición</w:t>
            </w:r>
          </w:p>
        </w:tc>
        <w:tc>
          <w:tcPr>
            <w:tcW w:w="1722" w:type="pct"/>
            <w:tcBorders>
              <w:bottom w:val="single" w:sz="4" w:space="0" w:color="000000" w:themeColor="text1"/>
            </w:tcBorders>
            <w:shd w:val="clear" w:color="auto" w:fill="1F497D" w:themeFill="text2"/>
            <w:vAlign w:val="center"/>
          </w:tcPr>
          <w:p w14:paraId="1F08845D" w14:textId="77777777" w:rsidR="00E44664" w:rsidRPr="008E3369" w:rsidRDefault="00E44664" w:rsidP="00D66FC4">
            <w:pPr>
              <w:spacing w:after="0" w:line="240" w:lineRule="auto"/>
              <w:jc w:val="center"/>
              <w:rPr>
                <w:rFonts w:eastAsia="Times New Roman" w:cs="Arial"/>
                <w:color w:val="FFFFFF" w:themeColor="background1"/>
                <w:highlight w:val="green"/>
                <w:lang w:eastAsia="es-MX"/>
              </w:rPr>
            </w:pPr>
            <w:r w:rsidRPr="008E3369">
              <w:rPr>
                <w:rFonts w:eastAsia="Times New Roman" w:cs="Arial"/>
                <w:b/>
                <w:bCs/>
                <w:color w:val="FFFFFF" w:themeColor="background1"/>
                <w:lang w:eastAsia="es-MX"/>
              </w:rPr>
              <w:t>Justificación a Instituto</w:t>
            </w:r>
          </w:p>
        </w:tc>
      </w:tr>
      <w:tr w:rsidR="00B43C67" w:rsidRPr="008E3369" w14:paraId="654687F3" w14:textId="77777777" w:rsidTr="001F322B">
        <w:trPr>
          <w:trHeight w:val="3303"/>
        </w:trPr>
        <w:tc>
          <w:tcPr>
            <w:tcW w:w="247" w:type="pct"/>
            <w:tcBorders>
              <w:top w:val="single" w:sz="4" w:space="0" w:color="auto"/>
              <w:left w:val="single" w:sz="4" w:space="0" w:color="auto"/>
              <w:bottom w:val="single" w:sz="4" w:space="0" w:color="auto"/>
              <w:right w:val="single" w:sz="4" w:space="0" w:color="auto"/>
            </w:tcBorders>
            <w:vAlign w:val="center"/>
          </w:tcPr>
          <w:p w14:paraId="0CBD6422" w14:textId="2B5E66F4" w:rsidR="00B43C67" w:rsidRPr="008E3369" w:rsidRDefault="001F322B" w:rsidP="00AD0194">
            <w:pPr>
              <w:spacing w:after="0" w:line="240" w:lineRule="auto"/>
              <w:jc w:val="center"/>
              <w:rPr>
                <w:rFonts w:eastAsia="Times New Roman" w:cstheme="minorHAnsi"/>
                <w:color w:val="000000"/>
                <w:lang w:eastAsia="es-MX"/>
              </w:rPr>
            </w:pPr>
            <w:r>
              <w:rPr>
                <w:rFonts w:eastAsia="Times New Roman" w:cstheme="minorHAnsi"/>
                <w:color w:val="000000"/>
                <w:lang w:eastAsia="es-MX"/>
              </w:rPr>
              <w:t>13</w:t>
            </w:r>
          </w:p>
        </w:tc>
        <w:tc>
          <w:tcPr>
            <w:tcW w:w="671" w:type="pct"/>
            <w:tcBorders>
              <w:top w:val="single" w:sz="4" w:space="0" w:color="auto"/>
              <w:left w:val="single" w:sz="4" w:space="0" w:color="auto"/>
              <w:bottom w:val="single" w:sz="4" w:space="0" w:color="auto"/>
              <w:right w:val="single" w:sz="4" w:space="0" w:color="auto"/>
            </w:tcBorders>
            <w:vAlign w:val="center"/>
          </w:tcPr>
          <w:p w14:paraId="58B72B84" w14:textId="77777777" w:rsidR="00B43C67" w:rsidRPr="008E3369" w:rsidRDefault="00B43C67" w:rsidP="00855266">
            <w:pPr>
              <w:pStyle w:val="IFTnormal"/>
              <w:spacing w:after="0"/>
              <w:rPr>
                <w:rFonts w:asciiTheme="minorHAnsi" w:eastAsia="Times New Roman" w:hAnsiTheme="minorHAnsi" w:cstheme="minorHAnsi"/>
                <w:color w:val="000000"/>
                <w:lang w:eastAsia="es-MX"/>
              </w:rPr>
            </w:pPr>
            <w:r w:rsidRPr="008E3369">
              <w:rPr>
                <w:rFonts w:asciiTheme="minorHAnsi" w:eastAsia="Times New Roman" w:hAnsiTheme="minorHAnsi" w:cstheme="minorHAnsi"/>
                <w:color w:val="000000"/>
                <w:lang w:eastAsia="es-MX"/>
              </w:rPr>
              <w:t>Anexo “A” Tarifas</w:t>
            </w:r>
          </w:p>
        </w:tc>
        <w:tc>
          <w:tcPr>
            <w:tcW w:w="788" w:type="pct"/>
            <w:tcBorders>
              <w:top w:val="single" w:sz="4" w:space="0" w:color="auto"/>
              <w:left w:val="single" w:sz="4" w:space="0" w:color="auto"/>
              <w:bottom w:val="single" w:sz="4" w:space="0" w:color="auto"/>
              <w:right w:val="single" w:sz="4" w:space="0" w:color="auto"/>
            </w:tcBorders>
            <w:shd w:val="clear" w:color="auto" w:fill="auto"/>
            <w:vAlign w:val="center"/>
          </w:tcPr>
          <w:p w14:paraId="060D4584" w14:textId="77777777" w:rsidR="00B43C67" w:rsidRPr="008E3369" w:rsidRDefault="00B43C67" w:rsidP="00855266">
            <w:pPr>
              <w:pStyle w:val="IFTnormal"/>
              <w:spacing w:after="0"/>
              <w:rPr>
                <w:rFonts w:asciiTheme="minorHAnsi" w:eastAsia="Times New Roman" w:hAnsiTheme="minorHAnsi" w:cstheme="minorHAnsi"/>
                <w:color w:val="000000"/>
                <w:lang w:eastAsia="es-MX"/>
              </w:rPr>
            </w:pPr>
            <w:r w:rsidRPr="008E3369">
              <w:rPr>
                <w:rFonts w:asciiTheme="minorHAnsi" w:eastAsia="Times New Roman" w:hAnsiTheme="minorHAnsi" w:cstheme="minorHAnsi"/>
                <w:color w:val="000000"/>
                <w:lang w:eastAsia="es-MX"/>
              </w:rPr>
              <w:t>Tarifas</w:t>
            </w:r>
          </w:p>
        </w:tc>
        <w:tc>
          <w:tcPr>
            <w:tcW w:w="1572" w:type="pct"/>
            <w:tcBorders>
              <w:top w:val="single" w:sz="4" w:space="0" w:color="auto"/>
              <w:left w:val="single" w:sz="4" w:space="0" w:color="auto"/>
              <w:bottom w:val="single" w:sz="4" w:space="0" w:color="auto"/>
              <w:right w:val="single" w:sz="4" w:space="0" w:color="auto"/>
            </w:tcBorders>
            <w:shd w:val="clear" w:color="auto" w:fill="auto"/>
            <w:vAlign w:val="center"/>
          </w:tcPr>
          <w:p w14:paraId="46309545" w14:textId="77777777" w:rsidR="0037796C" w:rsidRPr="00E443EF" w:rsidRDefault="0037796C" w:rsidP="0037796C">
            <w:pPr>
              <w:pStyle w:val="IFTnormal"/>
              <w:spacing w:after="0"/>
              <w:rPr>
                <w:rFonts w:ascii="Arial" w:hAnsi="Arial" w:cs="Arial"/>
                <w:sz w:val="20"/>
                <w:lang w:eastAsia="es-MX"/>
              </w:rPr>
            </w:pPr>
            <w:r w:rsidRPr="00E443EF">
              <w:rPr>
                <w:rFonts w:ascii="Arial" w:hAnsi="Arial" w:cs="Arial"/>
                <w:sz w:val="20"/>
                <w:lang w:eastAsia="es-MX"/>
              </w:rPr>
              <w:t>1.Por el acceso y uso de Espacio Aprobado en Torre</w:t>
            </w:r>
          </w:p>
          <w:p w14:paraId="50DB5A5F" w14:textId="58C8D53C" w:rsidR="00FA5E50" w:rsidRPr="00E443EF" w:rsidRDefault="0037796C" w:rsidP="0037796C">
            <w:pPr>
              <w:pStyle w:val="IFTnormal"/>
              <w:spacing w:after="0"/>
              <w:rPr>
                <w:rFonts w:ascii="Arial" w:hAnsi="Arial" w:cs="Arial"/>
                <w:b/>
                <w:strike/>
                <w:color w:val="000000" w:themeColor="text1"/>
                <w:sz w:val="20"/>
                <w:lang w:eastAsia="es-MX"/>
              </w:rPr>
            </w:pPr>
            <w:r w:rsidRPr="00E443EF">
              <w:rPr>
                <w:rFonts w:ascii="Arial" w:hAnsi="Arial" w:cs="Arial"/>
                <w:b/>
                <w:strike/>
                <w:color w:val="000000" w:themeColor="text1"/>
                <w:sz w:val="20"/>
                <w:lang w:eastAsia="es-MX"/>
              </w:rPr>
              <w:t>Estructura situada en una azotea</w:t>
            </w:r>
          </w:p>
          <w:p w14:paraId="0A26D458" w14:textId="5CE80B2E" w:rsidR="0037796C" w:rsidRPr="00E443EF" w:rsidRDefault="00C9346A" w:rsidP="0037796C">
            <w:pPr>
              <w:pStyle w:val="IFTnormal"/>
              <w:spacing w:after="0"/>
              <w:rPr>
                <w:rFonts w:ascii="Arial" w:hAnsi="Arial" w:cs="Arial"/>
                <w:strike/>
                <w:color w:val="FF0000"/>
                <w:sz w:val="20"/>
                <w:lang w:eastAsia="es-MX"/>
              </w:rPr>
            </w:pPr>
            <w:r w:rsidRPr="00E443EF">
              <w:rPr>
                <w:rFonts w:ascii="Arial" w:hAnsi="Arial" w:cs="Arial"/>
                <w:strike/>
                <w:noProof/>
                <w:color w:val="FF0000"/>
                <w:sz w:val="20"/>
                <w:lang w:eastAsia="es-MX"/>
              </w:rPr>
              <w:drawing>
                <wp:inline distT="0" distB="0" distL="0" distR="0" wp14:anchorId="41559FA1" wp14:editId="543052DF">
                  <wp:extent cx="2914650" cy="352425"/>
                  <wp:effectExtent l="0" t="0" r="0" b="952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14650" cy="352425"/>
                          </a:xfrm>
                          <a:prstGeom prst="rect">
                            <a:avLst/>
                          </a:prstGeom>
                          <a:noFill/>
                          <a:ln>
                            <a:noFill/>
                          </a:ln>
                        </pic:spPr>
                      </pic:pic>
                    </a:graphicData>
                  </a:graphic>
                </wp:inline>
              </w:drawing>
            </w:r>
          </w:p>
          <w:p w14:paraId="0EACE1AE" w14:textId="77777777" w:rsidR="0037796C" w:rsidRPr="00E443EF" w:rsidRDefault="0037796C" w:rsidP="0037796C">
            <w:pPr>
              <w:pStyle w:val="IFTnormal"/>
              <w:spacing w:after="0"/>
              <w:rPr>
                <w:rFonts w:ascii="Arial" w:hAnsi="Arial" w:cs="Arial"/>
                <w:b/>
                <w:strike/>
                <w:color w:val="000000" w:themeColor="text1"/>
                <w:sz w:val="20"/>
                <w:lang w:eastAsia="es-MX"/>
              </w:rPr>
            </w:pPr>
            <w:r w:rsidRPr="00E443EF">
              <w:rPr>
                <w:rFonts w:ascii="Arial" w:hAnsi="Arial" w:cs="Arial"/>
                <w:b/>
                <w:strike/>
                <w:color w:val="000000" w:themeColor="text1"/>
                <w:sz w:val="20"/>
                <w:lang w:eastAsia="es-MX"/>
              </w:rPr>
              <w:t>Estructura situada al nivel del suelo</w:t>
            </w:r>
          </w:p>
          <w:p w14:paraId="195A7C0C" w14:textId="77777777" w:rsidR="0037796C" w:rsidRPr="00E443EF" w:rsidRDefault="0037796C" w:rsidP="0037796C">
            <w:pPr>
              <w:pStyle w:val="IFTnormal"/>
              <w:spacing w:after="0"/>
              <w:rPr>
                <w:rFonts w:ascii="Arial" w:hAnsi="Arial" w:cs="Arial"/>
                <w:strike/>
                <w:color w:val="FF0000"/>
                <w:sz w:val="20"/>
                <w:lang w:eastAsia="es-MX"/>
              </w:rPr>
            </w:pPr>
          </w:p>
          <w:p w14:paraId="3F5595CD" w14:textId="59364973" w:rsidR="0037796C" w:rsidRPr="00E443EF" w:rsidRDefault="00C9346A" w:rsidP="0037796C">
            <w:pPr>
              <w:pStyle w:val="IFTnormal"/>
              <w:spacing w:after="0"/>
              <w:rPr>
                <w:rFonts w:ascii="Arial" w:hAnsi="Arial" w:cs="Arial"/>
                <w:strike/>
                <w:color w:val="FF0000"/>
                <w:sz w:val="20"/>
                <w:lang w:eastAsia="es-MX"/>
              </w:rPr>
            </w:pPr>
            <w:r w:rsidRPr="00E443EF">
              <w:rPr>
                <w:rFonts w:ascii="Arial" w:hAnsi="Arial" w:cs="Arial"/>
                <w:strike/>
                <w:noProof/>
                <w:color w:val="FF0000"/>
                <w:sz w:val="20"/>
                <w:lang w:eastAsia="es-MX"/>
              </w:rPr>
              <w:drawing>
                <wp:inline distT="0" distB="0" distL="0" distR="0" wp14:anchorId="648646F3" wp14:editId="41BBB5B2">
                  <wp:extent cx="2914650" cy="514350"/>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14650" cy="514350"/>
                          </a:xfrm>
                          <a:prstGeom prst="rect">
                            <a:avLst/>
                          </a:prstGeom>
                          <a:noFill/>
                          <a:ln>
                            <a:noFill/>
                          </a:ln>
                        </pic:spPr>
                      </pic:pic>
                    </a:graphicData>
                  </a:graphic>
                </wp:inline>
              </w:drawing>
            </w:r>
          </w:p>
          <w:p w14:paraId="5160B137" w14:textId="1620B5FB" w:rsidR="0037796C" w:rsidRPr="00E443EF" w:rsidRDefault="0037796C" w:rsidP="0037796C">
            <w:pPr>
              <w:pStyle w:val="IFTnormal"/>
              <w:spacing w:after="0"/>
              <w:rPr>
                <w:rFonts w:ascii="Arial" w:hAnsi="Arial" w:cs="Arial"/>
                <w:strike/>
                <w:color w:val="FF0000"/>
                <w:sz w:val="20"/>
                <w:lang w:eastAsia="es-MX"/>
              </w:rPr>
            </w:pPr>
          </w:p>
          <w:p w14:paraId="681FD1BF" w14:textId="5E729476" w:rsidR="0037796C" w:rsidRPr="00E443EF" w:rsidRDefault="0037796C" w:rsidP="00112B28">
            <w:pPr>
              <w:spacing w:after="0" w:line="240" w:lineRule="auto"/>
              <w:jc w:val="both"/>
              <w:rPr>
                <w:rFonts w:ascii="Arial" w:eastAsia="Calibri" w:hAnsi="Arial" w:cs="Arial"/>
                <w:b/>
                <w:bCs/>
                <w:color w:val="548DD4" w:themeColor="text2" w:themeTint="99"/>
                <w:sz w:val="20"/>
                <w:lang w:val="es-ES" w:eastAsia="es-MX"/>
              </w:rPr>
            </w:pPr>
            <w:r w:rsidRPr="00E443EF">
              <w:rPr>
                <w:rFonts w:ascii="Arial" w:eastAsia="Calibri" w:hAnsi="Arial" w:cs="Arial"/>
                <w:b/>
                <w:bCs/>
                <w:color w:val="548DD4" w:themeColor="text2" w:themeTint="99"/>
                <w:sz w:val="20"/>
                <w:lang w:val="es-ES" w:eastAsia="es-MX"/>
              </w:rPr>
              <w:t>Por sistema instalado: Contraprestación mensual</w:t>
            </w:r>
          </w:p>
          <w:p w14:paraId="6CB66E6C" w14:textId="77777777" w:rsidR="00112B28" w:rsidRPr="00E443EF" w:rsidRDefault="00112B28" w:rsidP="00112B28">
            <w:pPr>
              <w:spacing w:after="0" w:line="240" w:lineRule="auto"/>
              <w:jc w:val="both"/>
              <w:rPr>
                <w:rFonts w:ascii="Arial" w:hAnsi="Arial" w:cs="Arial"/>
                <w:strike/>
                <w:color w:val="FF0000"/>
                <w:sz w:val="20"/>
                <w:lang w:eastAsia="es-MX"/>
              </w:rPr>
            </w:pPr>
          </w:p>
          <w:p w14:paraId="27BE767D" w14:textId="44312E53" w:rsidR="0037796C" w:rsidRPr="00E443EF" w:rsidRDefault="00112B28" w:rsidP="0037796C">
            <w:pPr>
              <w:pStyle w:val="IFTnormal"/>
              <w:spacing w:after="0"/>
              <w:rPr>
                <w:rFonts w:ascii="Arial" w:hAnsi="Arial" w:cs="Arial"/>
                <w:strike/>
                <w:color w:val="FF0000"/>
                <w:sz w:val="20"/>
                <w:lang w:eastAsia="es-MX"/>
              </w:rPr>
            </w:pPr>
            <w:r w:rsidRPr="00E443EF">
              <w:rPr>
                <w:rFonts w:ascii="Arial" w:hAnsi="Arial" w:cs="Arial"/>
                <w:strike/>
                <w:noProof/>
                <w:color w:val="FF0000"/>
                <w:sz w:val="20"/>
                <w:lang w:eastAsia="es-MX"/>
              </w:rPr>
              <w:lastRenderedPageBreak/>
              <w:drawing>
                <wp:inline distT="0" distB="0" distL="0" distR="0" wp14:anchorId="400D9C08" wp14:editId="4FF41270">
                  <wp:extent cx="2734818" cy="923925"/>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36964" cy="924650"/>
                          </a:xfrm>
                          <a:prstGeom prst="rect">
                            <a:avLst/>
                          </a:prstGeom>
                          <a:noFill/>
                          <a:ln>
                            <a:noFill/>
                          </a:ln>
                        </pic:spPr>
                      </pic:pic>
                    </a:graphicData>
                  </a:graphic>
                </wp:inline>
              </w:drawing>
            </w:r>
          </w:p>
          <w:p w14:paraId="50D454AE" w14:textId="77777777" w:rsidR="0037796C" w:rsidRPr="00E443EF" w:rsidRDefault="0037796C" w:rsidP="0037796C">
            <w:pPr>
              <w:pStyle w:val="IFTnormal"/>
              <w:spacing w:after="0"/>
              <w:rPr>
                <w:rFonts w:ascii="Arial" w:hAnsi="Arial" w:cs="Arial"/>
                <w:strike/>
                <w:color w:val="FF0000"/>
                <w:sz w:val="20"/>
                <w:lang w:eastAsia="es-MX"/>
              </w:rPr>
            </w:pPr>
          </w:p>
          <w:p w14:paraId="6D588B9E" w14:textId="77777777" w:rsidR="0037796C" w:rsidRPr="00E443EF" w:rsidRDefault="0037796C" w:rsidP="0037796C">
            <w:pPr>
              <w:pStyle w:val="IFTnormal"/>
              <w:spacing w:after="0"/>
              <w:rPr>
                <w:rFonts w:ascii="Arial" w:hAnsi="Arial" w:cs="Arial"/>
                <w:sz w:val="20"/>
                <w:lang w:eastAsia="es-MX"/>
              </w:rPr>
            </w:pPr>
          </w:p>
          <w:p w14:paraId="1AD7D2CB" w14:textId="77777777" w:rsidR="00326C4B" w:rsidRPr="00E443EF" w:rsidRDefault="00326C4B" w:rsidP="0037796C">
            <w:pPr>
              <w:pStyle w:val="IFTnormal"/>
              <w:spacing w:after="0"/>
              <w:rPr>
                <w:rFonts w:ascii="Arial" w:hAnsi="Arial" w:cs="Arial"/>
                <w:sz w:val="20"/>
                <w:lang w:eastAsia="es-MX"/>
              </w:rPr>
            </w:pPr>
          </w:p>
          <w:p w14:paraId="64BE6A92" w14:textId="77777777" w:rsidR="00326C4B" w:rsidRPr="00E443EF" w:rsidRDefault="00326C4B" w:rsidP="0037796C">
            <w:pPr>
              <w:pStyle w:val="IFTnormal"/>
              <w:spacing w:after="0"/>
              <w:rPr>
                <w:rFonts w:ascii="Arial" w:hAnsi="Arial" w:cs="Arial"/>
                <w:sz w:val="20"/>
                <w:lang w:eastAsia="es-MX"/>
              </w:rPr>
            </w:pPr>
          </w:p>
          <w:p w14:paraId="780B3F0C" w14:textId="77777777" w:rsidR="00326C4B" w:rsidRPr="00E443EF" w:rsidRDefault="00326C4B" w:rsidP="0037796C">
            <w:pPr>
              <w:pStyle w:val="IFTnormal"/>
              <w:spacing w:after="0"/>
              <w:rPr>
                <w:rFonts w:ascii="Arial" w:hAnsi="Arial" w:cs="Arial"/>
                <w:sz w:val="20"/>
                <w:lang w:eastAsia="es-MX"/>
              </w:rPr>
            </w:pPr>
          </w:p>
          <w:p w14:paraId="627EB1A8" w14:textId="77777777" w:rsidR="00326C4B" w:rsidRPr="00E443EF" w:rsidRDefault="00326C4B" w:rsidP="0037796C">
            <w:pPr>
              <w:pStyle w:val="IFTnormal"/>
              <w:spacing w:after="0"/>
              <w:rPr>
                <w:rFonts w:ascii="Arial" w:hAnsi="Arial" w:cs="Arial"/>
                <w:sz w:val="20"/>
                <w:lang w:eastAsia="es-MX"/>
              </w:rPr>
            </w:pPr>
          </w:p>
          <w:p w14:paraId="31727570" w14:textId="77777777" w:rsidR="00326C4B" w:rsidRPr="00E443EF" w:rsidRDefault="00326C4B" w:rsidP="0037796C">
            <w:pPr>
              <w:pStyle w:val="IFTnormal"/>
              <w:spacing w:after="0"/>
              <w:rPr>
                <w:rFonts w:ascii="Arial" w:hAnsi="Arial" w:cs="Arial"/>
                <w:sz w:val="20"/>
                <w:lang w:eastAsia="es-MX"/>
              </w:rPr>
            </w:pPr>
          </w:p>
          <w:p w14:paraId="14563A13" w14:textId="77777777" w:rsidR="001F322B" w:rsidRPr="00E443EF" w:rsidRDefault="001F322B" w:rsidP="0037796C">
            <w:pPr>
              <w:pStyle w:val="IFTnormal"/>
              <w:spacing w:after="0"/>
              <w:rPr>
                <w:rFonts w:ascii="Arial" w:hAnsi="Arial" w:cs="Arial"/>
                <w:sz w:val="20"/>
                <w:lang w:eastAsia="es-MX"/>
              </w:rPr>
            </w:pPr>
          </w:p>
          <w:p w14:paraId="4AFEAE1D" w14:textId="77777777" w:rsidR="001F322B" w:rsidRPr="00E443EF" w:rsidRDefault="001F322B" w:rsidP="0037796C">
            <w:pPr>
              <w:pStyle w:val="IFTnormal"/>
              <w:spacing w:after="0"/>
              <w:rPr>
                <w:rFonts w:ascii="Arial" w:hAnsi="Arial" w:cs="Arial"/>
                <w:sz w:val="20"/>
                <w:lang w:eastAsia="es-MX"/>
              </w:rPr>
            </w:pPr>
          </w:p>
          <w:p w14:paraId="276A65C1" w14:textId="77777777" w:rsidR="001F322B" w:rsidRPr="00E443EF" w:rsidRDefault="001F322B" w:rsidP="0037796C">
            <w:pPr>
              <w:pStyle w:val="IFTnormal"/>
              <w:spacing w:after="0"/>
              <w:rPr>
                <w:rFonts w:ascii="Arial" w:hAnsi="Arial" w:cs="Arial"/>
                <w:sz w:val="20"/>
                <w:lang w:eastAsia="es-MX"/>
              </w:rPr>
            </w:pPr>
          </w:p>
          <w:p w14:paraId="37CE6113" w14:textId="77777777" w:rsidR="001F322B" w:rsidRPr="00E443EF" w:rsidRDefault="001F322B" w:rsidP="0037796C">
            <w:pPr>
              <w:pStyle w:val="IFTnormal"/>
              <w:spacing w:after="0"/>
              <w:rPr>
                <w:rFonts w:ascii="Arial" w:hAnsi="Arial" w:cs="Arial"/>
                <w:sz w:val="20"/>
                <w:lang w:eastAsia="es-MX"/>
              </w:rPr>
            </w:pPr>
          </w:p>
          <w:p w14:paraId="0F1029C0" w14:textId="77777777" w:rsidR="00326C4B" w:rsidRPr="00E443EF" w:rsidRDefault="00326C4B" w:rsidP="0037796C">
            <w:pPr>
              <w:pStyle w:val="IFTnormal"/>
              <w:spacing w:after="0"/>
              <w:rPr>
                <w:rFonts w:ascii="Arial" w:hAnsi="Arial" w:cs="Arial"/>
                <w:sz w:val="20"/>
                <w:lang w:eastAsia="es-MX"/>
              </w:rPr>
            </w:pPr>
          </w:p>
          <w:p w14:paraId="7A74E995" w14:textId="48D2DAF9" w:rsidR="00326C4B" w:rsidRPr="00E443EF" w:rsidRDefault="00326C4B" w:rsidP="00326C4B">
            <w:pPr>
              <w:spacing w:after="0" w:line="240" w:lineRule="auto"/>
              <w:jc w:val="both"/>
              <w:rPr>
                <w:rFonts w:ascii="Arial" w:eastAsia="Times New Roman" w:hAnsi="Arial" w:cs="Arial"/>
                <w:bCs/>
                <w:sz w:val="20"/>
                <w:lang w:eastAsia="es-MX"/>
              </w:rPr>
            </w:pPr>
            <w:r w:rsidRPr="00E443EF">
              <w:rPr>
                <w:rFonts w:ascii="Arial" w:hAnsi="Arial" w:cs="Arial"/>
                <w:sz w:val="20"/>
                <w:lang w:eastAsia="es-MX"/>
              </w:rPr>
              <w:t xml:space="preserve">d. </w:t>
            </w:r>
            <w:r w:rsidR="001F322B" w:rsidRPr="00E443EF">
              <w:rPr>
                <w:rFonts w:ascii="Arial" w:eastAsia="Times New Roman" w:hAnsi="Arial" w:cs="Arial"/>
                <w:bCs/>
                <w:sz w:val="20"/>
                <w:lang w:eastAsia="es-MX"/>
              </w:rPr>
              <w:t>Elaboración de Proyecto y Presupuesto</w:t>
            </w:r>
          </w:p>
          <w:p w14:paraId="7231F4D5" w14:textId="77777777" w:rsidR="00326C4B" w:rsidRPr="00E443EF" w:rsidRDefault="00326C4B" w:rsidP="00326C4B">
            <w:pPr>
              <w:spacing w:after="0" w:line="240" w:lineRule="auto"/>
              <w:jc w:val="both"/>
              <w:rPr>
                <w:rFonts w:ascii="Arial" w:eastAsia="Times New Roman" w:hAnsi="Arial" w:cs="Arial"/>
                <w:bCs/>
                <w:sz w:val="20"/>
                <w:lang w:eastAsia="es-MX"/>
              </w:rPr>
            </w:pPr>
          </w:p>
          <w:p w14:paraId="7CC164AF" w14:textId="5C276463" w:rsidR="00326C4B" w:rsidRPr="00E443EF" w:rsidRDefault="00A23101" w:rsidP="001F322B">
            <w:pPr>
              <w:pStyle w:val="Prrafodelista"/>
              <w:ind w:left="0"/>
              <w:rPr>
                <w:rFonts w:ascii="Arial" w:hAnsi="Arial" w:cs="Arial"/>
                <w:iCs/>
                <w:sz w:val="20"/>
                <w:lang w:val="es-ES"/>
              </w:rPr>
            </w:pPr>
            <w:r w:rsidRPr="00E443EF">
              <w:rPr>
                <w:rFonts w:ascii="Arial" w:eastAsia="Times New Roman" w:hAnsi="Arial" w:cs="Arial"/>
                <w:bCs/>
                <w:sz w:val="20"/>
                <w:lang w:eastAsia="es-MX"/>
              </w:rPr>
              <w:t>(Servicio que involucra la revisión y análisis estructural para la</w:t>
            </w:r>
            <w:r w:rsidRPr="00E443EF">
              <w:rPr>
                <w:rFonts w:ascii="Arial" w:hAnsi="Arial" w:cs="Arial"/>
                <w:iCs/>
                <w:sz w:val="20"/>
                <w:lang w:val="es-ES"/>
              </w:rPr>
              <w:t xml:space="preserve"> </w:t>
            </w:r>
            <w:r w:rsidRPr="00E443EF">
              <w:rPr>
                <w:rFonts w:ascii="Arial" w:eastAsia="Times New Roman" w:hAnsi="Arial" w:cs="Arial"/>
                <w:bCs/>
                <w:sz w:val="20"/>
                <w:lang w:eastAsia="es-MX"/>
              </w:rPr>
              <w:t>Adecuación de Sitio) el CS / AS pagará a Telmex / Telnor la contraprestación</w:t>
            </w:r>
          </w:p>
        </w:tc>
        <w:tc>
          <w:tcPr>
            <w:tcW w:w="1722" w:type="pct"/>
            <w:tcBorders>
              <w:top w:val="single" w:sz="4" w:space="0" w:color="auto"/>
              <w:left w:val="single" w:sz="4" w:space="0" w:color="auto"/>
              <w:bottom w:val="single" w:sz="4" w:space="0" w:color="auto"/>
              <w:right w:val="single" w:sz="4" w:space="0" w:color="auto"/>
            </w:tcBorders>
          </w:tcPr>
          <w:p w14:paraId="224086BC" w14:textId="77777777" w:rsidR="004F62C8" w:rsidRPr="00E443EF" w:rsidRDefault="004F62C8" w:rsidP="00FB14B7">
            <w:pPr>
              <w:spacing w:after="0" w:line="240" w:lineRule="auto"/>
              <w:ind w:right="-48"/>
              <w:jc w:val="both"/>
              <w:rPr>
                <w:rFonts w:ascii="Arial" w:eastAsia="Times New Roman" w:hAnsi="Arial" w:cs="Arial"/>
                <w:color w:val="000000"/>
                <w:sz w:val="20"/>
                <w:lang w:eastAsia="es-MX"/>
              </w:rPr>
            </w:pPr>
          </w:p>
          <w:p w14:paraId="207DA933" w14:textId="77777777" w:rsidR="00B36EBB" w:rsidRPr="00E443EF" w:rsidRDefault="00B36EBB" w:rsidP="00C84FF7">
            <w:pPr>
              <w:spacing w:after="0" w:line="240" w:lineRule="auto"/>
              <w:ind w:right="-48"/>
              <w:jc w:val="both"/>
              <w:rPr>
                <w:rFonts w:ascii="Arial" w:eastAsia="Times New Roman" w:hAnsi="Arial" w:cs="Arial"/>
                <w:color w:val="000000"/>
                <w:sz w:val="20"/>
                <w:lang w:eastAsia="es-MX"/>
              </w:rPr>
            </w:pPr>
            <w:r w:rsidRPr="00E443EF">
              <w:rPr>
                <w:rFonts w:ascii="Arial" w:eastAsia="Times New Roman" w:hAnsi="Arial" w:cs="Arial"/>
                <w:color w:val="000000"/>
                <w:sz w:val="20"/>
                <w:lang w:eastAsia="es-MX"/>
              </w:rPr>
              <w:t>Se solicita que al determinar las tarifas del servicio de espacio en torre además de considerar el tipo de torre se considere el costo del terreno de acuerdo a su ubicación, con base en la clasificación de regiones socioeconómicas de México, elaborada por el Instituto Nacional de Estadística y Geografía (INEGI) referida por IFT en la misma ORCI.</w:t>
            </w:r>
          </w:p>
          <w:p w14:paraId="0FD0C746" w14:textId="77777777" w:rsidR="00B36EBB" w:rsidRPr="00E443EF" w:rsidRDefault="00B36EBB" w:rsidP="00C84FF7">
            <w:pPr>
              <w:spacing w:after="0" w:line="240" w:lineRule="auto"/>
              <w:ind w:right="-48"/>
              <w:jc w:val="both"/>
              <w:rPr>
                <w:rFonts w:ascii="Arial" w:eastAsia="Times New Roman" w:hAnsi="Arial" w:cs="Arial"/>
                <w:color w:val="000000"/>
                <w:sz w:val="20"/>
                <w:lang w:eastAsia="es-MX"/>
              </w:rPr>
            </w:pPr>
          </w:p>
          <w:p w14:paraId="57796F51" w14:textId="77777777" w:rsidR="00B36EBB" w:rsidRPr="00E443EF" w:rsidRDefault="00B36EBB" w:rsidP="00B36EBB">
            <w:pPr>
              <w:spacing w:after="0" w:line="240" w:lineRule="auto"/>
              <w:ind w:right="-48"/>
              <w:jc w:val="both"/>
              <w:rPr>
                <w:rFonts w:ascii="Arial" w:eastAsia="Times New Roman" w:hAnsi="Arial" w:cs="Arial"/>
                <w:color w:val="000000"/>
                <w:sz w:val="20"/>
                <w:lang w:eastAsia="es-MX"/>
              </w:rPr>
            </w:pPr>
            <w:r w:rsidRPr="00E443EF">
              <w:rPr>
                <w:rFonts w:ascii="Arial" w:eastAsia="Times New Roman" w:hAnsi="Arial" w:cs="Arial"/>
                <w:color w:val="000000"/>
                <w:sz w:val="20"/>
                <w:lang w:eastAsia="es-MX"/>
              </w:rPr>
              <w:t>Por lo anterior se propone que se determinen las tarifas en 5 niveles como se determinan por el propio Instituto al autorizar la Oferta de Compartición de Infraestructura Pasiva de los otros sujetos obligados a prestar dichos servicios.</w:t>
            </w:r>
          </w:p>
          <w:p w14:paraId="68B05AAD" w14:textId="77777777" w:rsidR="00B36EBB" w:rsidRPr="00E443EF" w:rsidRDefault="00B36EBB" w:rsidP="00C84FF7">
            <w:pPr>
              <w:spacing w:after="0" w:line="240" w:lineRule="auto"/>
              <w:ind w:right="-48"/>
              <w:jc w:val="both"/>
              <w:rPr>
                <w:rFonts w:ascii="Arial" w:eastAsia="Times New Roman" w:hAnsi="Arial" w:cs="Arial"/>
                <w:color w:val="000000"/>
                <w:sz w:val="20"/>
                <w:lang w:eastAsia="es-MX"/>
              </w:rPr>
            </w:pPr>
          </w:p>
          <w:p w14:paraId="5093A066" w14:textId="449DD011" w:rsidR="00B36EBB" w:rsidRPr="00E443EF" w:rsidRDefault="00B36EBB" w:rsidP="00B36EBB">
            <w:pPr>
              <w:spacing w:after="0" w:line="240" w:lineRule="auto"/>
              <w:ind w:right="-48"/>
              <w:jc w:val="both"/>
              <w:rPr>
                <w:rFonts w:ascii="Arial" w:eastAsia="Times New Roman" w:hAnsi="Arial" w:cs="Arial"/>
                <w:color w:val="000000"/>
                <w:sz w:val="20"/>
                <w:lang w:eastAsia="es-MX"/>
              </w:rPr>
            </w:pPr>
            <w:r w:rsidRPr="00E443EF">
              <w:rPr>
                <w:rFonts w:ascii="Arial" w:eastAsia="Times New Roman" w:hAnsi="Arial" w:cs="Arial"/>
                <w:color w:val="000000"/>
                <w:sz w:val="20"/>
                <w:lang w:eastAsia="es-MX"/>
              </w:rPr>
              <w:t xml:space="preserve">Cabe señalar que, los criterios tarifarios basados en la </w:t>
            </w:r>
            <w:r w:rsidRPr="00E443EF">
              <w:rPr>
                <w:rFonts w:ascii="Arial" w:eastAsia="Times New Roman" w:hAnsi="Arial" w:cs="Arial"/>
                <w:b/>
                <w:color w:val="000000"/>
                <w:sz w:val="20"/>
                <w:lang w:eastAsia="es-MX"/>
              </w:rPr>
              <w:t>clasificación de regiones socioeconómicas de México</w:t>
            </w:r>
            <w:r w:rsidRPr="00E443EF">
              <w:rPr>
                <w:rFonts w:ascii="Arial" w:eastAsia="Times New Roman" w:hAnsi="Arial" w:cs="Arial"/>
                <w:color w:val="000000"/>
                <w:sz w:val="20"/>
                <w:lang w:eastAsia="es-MX"/>
              </w:rPr>
              <w:t xml:space="preserve">, elaborada por el INEGI, son considerados por el propio Instituto para la asignación </w:t>
            </w:r>
            <w:r w:rsidR="00B13D7D" w:rsidRPr="00E443EF">
              <w:rPr>
                <w:rFonts w:ascii="Arial" w:eastAsia="Times New Roman" w:hAnsi="Arial" w:cs="Arial"/>
                <w:color w:val="000000"/>
                <w:sz w:val="20"/>
                <w:lang w:eastAsia="es-MX"/>
              </w:rPr>
              <w:t xml:space="preserve">de otras </w:t>
            </w:r>
            <w:r w:rsidRPr="00E443EF">
              <w:rPr>
                <w:rFonts w:ascii="Arial" w:eastAsia="Times New Roman" w:hAnsi="Arial" w:cs="Arial"/>
                <w:color w:val="000000"/>
                <w:sz w:val="20"/>
                <w:lang w:eastAsia="es-MX"/>
              </w:rPr>
              <w:t xml:space="preserve">tarifas </w:t>
            </w:r>
            <w:r w:rsidR="00B13D7D" w:rsidRPr="00E443EF">
              <w:rPr>
                <w:rFonts w:ascii="Arial" w:eastAsia="Times New Roman" w:hAnsi="Arial" w:cs="Arial"/>
                <w:color w:val="000000"/>
                <w:sz w:val="20"/>
                <w:lang w:eastAsia="es-MX"/>
              </w:rPr>
              <w:t>de</w:t>
            </w:r>
            <w:r w:rsidR="0071565A" w:rsidRPr="00E443EF">
              <w:rPr>
                <w:rFonts w:ascii="Arial" w:eastAsia="Times New Roman" w:hAnsi="Arial" w:cs="Arial"/>
                <w:color w:val="000000"/>
                <w:sz w:val="20"/>
                <w:lang w:eastAsia="es-MX"/>
              </w:rPr>
              <w:t xml:space="preserve"> </w:t>
            </w:r>
            <w:r w:rsidR="0071565A" w:rsidRPr="00E443EF">
              <w:rPr>
                <w:rFonts w:ascii="Arial" w:eastAsia="Times New Roman" w:hAnsi="Arial" w:cs="Arial"/>
                <w:color w:val="000000"/>
                <w:sz w:val="20"/>
                <w:lang w:eastAsia="es-MX"/>
              </w:rPr>
              <w:lastRenderedPageBreak/>
              <w:t>la misma oferta de C</w:t>
            </w:r>
            <w:r w:rsidR="00B13D7D" w:rsidRPr="00E443EF">
              <w:rPr>
                <w:rFonts w:ascii="Arial" w:eastAsia="Times New Roman" w:hAnsi="Arial" w:cs="Arial"/>
                <w:color w:val="000000"/>
                <w:sz w:val="20"/>
                <w:lang w:eastAsia="es-MX"/>
              </w:rPr>
              <w:t xml:space="preserve">ompartición </w:t>
            </w:r>
            <w:r w:rsidR="0071565A" w:rsidRPr="00E443EF">
              <w:rPr>
                <w:rFonts w:ascii="Arial" w:eastAsia="Times New Roman" w:hAnsi="Arial" w:cs="Arial"/>
                <w:color w:val="000000"/>
                <w:sz w:val="20"/>
                <w:lang w:eastAsia="es-MX"/>
              </w:rPr>
              <w:t>de I</w:t>
            </w:r>
            <w:r w:rsidR="00B13D7D" w:rsidRPr="00E443EF">
              <w:rPr>
                <w:rFonts w:ascii="Arial" w:eastAsia="Times New Roman" w:hAnsi="Arial" w:cs="Arial"/>
                <w:color w:val="000000"/>
                <w:sz w:val="20"/>
                <w:lang w:eastAsia="es-MX"/>
              </w:rPr>
              <w:t>nfraestructura vigente respecto a la renta de espacio adicional</w:t>
            </w:r>
            <w:r w:rsidRPr="00E443EF">
              <w:rPr>
                <w:rFonts w:ascii="Arial" w:eastAsia="Times New Roman" w:hAnsi="Arial" w:cs="Arial"/>
                <w:color w:val="000000"/>
                <w:sz w:val="20"/>
                <w:lang w:eastAsia="es-MX"/>
              </w:rPr>
              <w:t>:</w:t>
            </w:r>
          </w:p>
          <w:p w14:paraId="4A7D4511" w14:textId="4ECBE74B" w:rsidR="00B36EBB" w:rsidRPr="00E443EF" w:rsidRDefault="00B36EBB" w:rsidP="00B36EBB">
            <w:pPr>
              <w:pStyle w:val="Prrafodelista"/>
              <w:numPr>
                <w:ilvl w:val="0"/>
                <w:numId w:val="14"/>
              </w:numPr>
              <w:spacing w:after="0" w:line="240" w:lineRule="auto"/>
              <w:ind w:right="-48"/>
              <w:jc w:val="both"/>
              <w:rPr>
                <w:rFonts w:ascii="Arial" w:eastAsia="Times New Roman" w:hAnsi="Arial" w:cs="Arial"/>
                <w:color w:val="000000"/>
                <w:sz w:val="20"/>
                <w:lang w:eastAsia="es-MX"/>
              </w:rPr>
            </w:pPr>
            <w:r w:rsidRPr="00E443EF">
              <w:rPr>
                <w:rFonts w:ascii="Arial" w:eastAsia="Times New Roman" w:hAnsi="Arial" w:cs="Arial"/>
                <w:color w:val="000000"/>
                <w:sz w:val="20"/>
                <w:lang w:eastAsia="es-MX"/>
              </w:rPr>
              <w:t xml:space="preserve">Servicio de “Acceso y Uso de Espacio </w:t>
            </w:r>
            <w:r w:rsidR="00B13D7D" w:rsidRPr="00E443EF">
              <w:rPr>
                <w:rFonts w:ascii="Arial" w:eastAsia="Times New Roman" w:hAnsi="Arial" w:cs="Arial"/>
                <w:color w:val="000000"/>
                <w:sz w:val="20"/>
                <w:lang w:eastAsia="es-MX"/>
              </w:rPr>
              <w:t xml:space="preserve"> Aprobado </w:t>
            </w:r>
            <w:r w:rsidRPr="00E443EF">
              <w:rPr>
                <w:rFonts w:ascii="Arial" w:eastAsia="Times New Roman" w:hAnsi="Arial" w:cs="Arial"/>
                <w:color w:val="000000"/>
                <w:sz w:val="20"/>
                <w:lang w:eastAsia="es-MX"/>
              </w:rPr>
              <w:t>en Piso”</w:t>
            </w:r>
            <w:r w:rsidR="00B13D7D" w:rsidRPr="00E443EF">
              <w:rPr>
                <w:rFonts w:ascii="Arial" w:eastAsia="Times New Roman" w:hAnsi="Arial" w:cs="Arial"/>
                <w:color w:val="000000"/>
                <w:sz w:val="20"/>
                <w:lang w:eastAsia="es-MX"/>
              </w:rPr>
              <w:t xml:space="preserve"> </w:t>
            </w:r>
            <w:r w:rsidR="00950414" w:rsidRPr="00E443EF">
              <w:rPr>
                <w:rFonts w:ascii="Arial" w:eastAsia="Times New Roman" w:hAnsi="Arial" w:cs="Arial"/>
                <w:color w:val="000000"/>
                <w:sz w:val="20"/>
                <w:lang w:eastAsia="es-MX"/>
              </w:rPr>
              <w:t xml:space="preserve">(respecto del </w:t>
            </w:r>
            <w:r w:rsidR="00B13D7D" w:rsidRPr="00E443EF">
              <w:rPr>
                <w:rFonts w:ascii="Arial" w:eastAsia="Times New Roman" w:hAnsi="Arial" w:cs="Arial"/>
                <w:color w:val="000000"/>
                <w:sz w:val="20"/>
                <w:lang w:eastAsia="es-MX"/>
              </w:rPr>
              <w:t xml:space="preserve">espacio de 6.6 metros cuadrados de </w:t>
            </w:r>
            <w:r w:rsidR="00950414" w:rsidRPr="00E443EF">
              <w:rPr>
                <w:rFonts w:ascii="Arial" w:eastAsia="Times New Roman" w:hAnsi="Arial" w:cs="Arial"/>
                <w:color w:val="000000"/>
                <w:sz w:val="20"/>
                <w:lang w:eastAsia="es-MX"/>
              </w:rPr>
              <w:t xml:space="preserve">forma </w:t>
            </w:r>
            <w:r w:rsidR="00B13D7D" w:rsidRPr="00E443EF">
              <w:rPr>
                <w:rFonts w:ascii="Arial" w:eastAsia="Times New Roman" w:hAnsi="Arial" w:cs="Arial"/>
                <w:color w:val="000000"/>
                <w:sz w:val="20"/>
                <w:lang w:eastAsia="es-MX"/>
              </w:rPr>
              <w:t>horizontal</w:t>
            </w:r>
            <w:r w:rsidR="00950414" w:rsidRPr="00E443EF">
              <w:rPr>
                <w:rFonts w:ascii="Arial" w:eastAsia="Times New Roman" w:hAnsi="Arial" w:cs="Arial"/>
                <w:color w:val="000000"/>
                <w:sz w:val="20"/>
                <w:lang w:eastAsia="es-MX"/>
              </w:rPr>
              <w:t xml:space="preserve"> en la torre</w:t>
            </w:r>
            <w:r w:rsidR="00B13D7D" w:rsidRPr="00E443EF">
              <w:rPr>
                <w:rFonts w:ascii="Arial" w:eastAsia="Times New Roman" w:hAnsi="Arial" w:cs="Arial"/>
                <w:color w:val="000000"/>
                <w:sz w:val="20"/>
                <w:lang w:eastAsia="es-MX"/>
              </w:rPr>
              <w:t xml:space="preserve">) </w:t>
            </w:r>
            <w:r w:rsidRPr="00E443EF">
              <w:rPr>
                <w:rFonts w:ascii="Arial" w:eastAsia="Times New Roman" w:hAnsi="Arial" w:cs="Arial"/>
                <w:color w:val="000000"/>
                <w:sz w:val="20"/>
                <w:lang w:eastAsia="es-MX"/>
              </w:rPr>
              <w:t>, y</w:t>
            </w:r>
          </w:p>
          <w:p w14:paraId="34CD9CFC" w14:textId="452B8593" w:rsidR="00950414" w:rsidRPr="00E443EF" w:rsidRDefault="00950414" w:rsidP="00B36EBB">
            <w:pPr>
              <w:pStyle w:val="Prrafodelista"/>
              <w:numPr>
                <w:ilvl w:val="0"/>
                <w:numId w:val="14"/>
              </w:numPr>
              <w:spacing w:after="0" w:line="240" w:lineRule="auto"/>
              <w:ind w:right="-48"/>
              <w:jc w:val="both"/>
              <w:rPr>
                <w:rFonts w:ascii="Arial" w:eastAsia="Times New Roman" w:hAnsi="Arial" w:cs="Arial"/>
                <w:color w:val="000000"/>
                <w:sz w:val="20"/>
                <w:lang w:eastAsia="es-MX"/>
              </w:rPr>
            </w:pPr>
            <w:r w:rsidRPr="00E443EF">
              <w:rPr>
                <w:rFonts w:ascii="Arial" w:eastAsia="Times New Roman" w:hAnsi="Arial" w:cs="Arial"/>
                <w:color w:val="000000"/>
                <w:sz w:val="20"/>
                <w:lang w:eastAsia="es-MX"/>
              </w:rPr>
              <w:t>Servicio de “A</w:t>
            </w:r>
            <w:bookmarkStart w:id="43" w:name="_GoBack"/>
            <w:bookmarkEnd w:id="43"/>
            <w:r w:rsidRPr="00E443EF">
              <w:rPr>
                <w:rFonts w:ascii="Arial" w:eastAsia="Times New Roman" w:hAnsi="Arial" w:cs="Arial"/>
                <w:color w:val="000000"/>
                <w:sz w:val="20"/>
                <w:lang w:eastAsia="es-MX"/>
              </w:rPr>
              <w:t xml:space="preserve">cceso y Uso de Espacio  Aprobado en Piso” (respecto del espacio adicional </w:t>
            </w:r>
            <w:r w:rsidR="0071565A" w:rsidRPr="00E443EF">
              <w:rPr>
                <w:rFonts w:ascii="Arial" w:eastAsia="Times New Roman" w:hAnsi="Arial" w:cs="Arial"/>
                <w:color w:val="000000"/>
                <w:sz w:val="20"/>
                <w:lang w:eastAsia="es-MX"/>
              </w:rPr>
              <w:t>por metro</w:t>
            </w:r>
            <w:r w:rsidR="0071565A" w:rsidRPr="00E443EF">
              <w:rPr>
                <w:rFonts w:ascii="Arial" w:eastAsia="Times New Roman" w:hAnsi="Arial" w:cs="Arial"/>
                <w:color w:val="000000"/>
                <w:sz w:val="20"/>
                <w:vertAlign w:val="superscript"/>
                <w:lang w:eastAsia="es-MX"/>
              </w:rPr>
              <w:t>2</w:t>
            </w:r>
            <w:r w:rsidR="0071565A" w:rsidRPr="00E443EF">
              <w:rPr>
                <w:rFonts w:ascii="Arial" w:eastAsia="Times New Roman" w:hAnsi="Arial" w:cs="Arial"/>
                <w:color w:val="000000"/>
                <w:sz w:val="20"/>
                <w:lang w:eastAsia="es-MX"/>
              </w:rPr>
              <w:t xml:space="preserve"> </w:t>
            </w:r>
            <w:r w:rsidRPr="00E443EF">
              <w:rPr>
                <w:rFonts w:ascii="Arial" w:eastAsia="Times New Roman" w:hAnsi="Arial" w:cs="Arial"/>
                <w:color w:val="000000"/>
                <w:sz w:val="20"/>
                <w:lang w:eastAsia="es-MX"/>
              </w:rPr>
              <w:t>en piso)</w:t>
            </w:r>
          </w:p>
          <w:p w14:paraId="58DEEF9A" w14:textId="40DD08B7" w:rsidR="00B43C67" w:rsidRPr="00E443EF" w:rsidRDefault="00950414" w:rsidP="003812C9">
            <w:pPr>
              <w:spacing w:after="0" w:line="240" w:lineRule="auto"/>
              <w:ind w:right="-48"/>
              <w:jc w:val="both"/>
              <w:rPr>
                <w:rFonts w:ascii="Arial" w:eastAsia="Times New Roman" w:hAnsi="Arial" w:cs="Arial"/>
                <w:color w:val="000000"/>
                <w:sz w:val="20"/>
                <w:lang w:eastAsia="es-MX"/>
              </w:rPr>
            </w:pPr>
            <w:r w:rsidRPr="00E443EF">
              <w:rPr>
                <w:rFonts w:ascii="Arial" w:eastAsia="Times New Roman" w:hAnsi="Arial" w:cs="Arial"/>
                <w:color w:val="000000"/>
                <w:sz w:val="20"/>
                <w:lang w:eastAsia="es-MX"/>
              </w:rPr>
              <w:t xml:space="preserve">Adicionalmente existe </w:t>
            </w:r>
            <w:r w:rsidR="0071565A" w:rsidRPr="00E443EF">
              <w:rPr>
                <w:rFonts w:ascii="Arial" w:eastAsia="Times New Roman" w:hAnsi="Arial" w:cs="Arial"/>
                <w:color w:val="000000"/>
                <w:sz w:val="20"/>
                <w:lang w:eastAsia="es-MX"/>
              </w:rPr>
              <w:t xml:space="preserve">estos mismos </w:t>
            </w:r>
            <w:r w:rsidRPr="00E443EF">
              <w:rPr>
                <w:rFonts w:ascii="Arial" w:eastAsia="Times New Roman" w:hAnsi="Arial" w:cs="Arial"/>
                <w:color w:val="000000"/>
                <w:sz w:val="20"/>
                <w:lang w:eastAsia="es-MX"/>
              </w:rPr>
              <w:t xml:space="preserve">criterios tarifarios basados en la clasificación de regiones socioeconómicas de México, elaborada por el INEGI en otras ofertas </w:t>
            </w:r>
            <w:r w:rsidR="0071565A" w:rsidRPr="00E443EF">
              <w:rPr>
                <w:rFonts w:ascii="Arial" w:eastAsia="Times New Roman" w:hAnsi="Arial" w:cs="Arial"/>
                <w:color w:val="000000"/>
                <w:sz w:val="20"/>
                <w:lang w:eastAsia="es-MX"/>
              </w:rPr>
              <w:t xml:space="preserve">reguladas y en particular la de </w:t>
            </w:r>
            <w:r w:rsidR="00B36EBB" w:rsidRPr="00E443EF">
              <w:rPr>
                <w:rFonts w:ascii="Arial" w:eastAsia="Times New Roman" w:hAnsi="Arial" w:cs="Arial"/>
                <w:color w:val="000000"/>
                <w:sz w:val="20"/>
                <w:lang w:eastAsia="es-MX"/>
              </w:rPr>
              <w:t>Servicios</w:t>
            </w:r>
            <w:r w:rsidRPr="00E443EF">
              <w:rPr>
                <w:rFonts w:ascii="Arial" w:eastAsia="Times New Roman" w:hAnsi="Arial" w:cs="Arial"/>
                <w:color w:val="000000"/>
                <w:sz w:val="20"/>
                <w:lang w:eastAsia="es-MX"/>
              </w:rPr>
              <w:t xml:space="preserve"> de coubicaciones de</w:t>
            </w:r>
            <w:r w:rsidR="00B36EBB" w:rsidRPr="00E443EF">
              <w:rPr>
                <w:rFonts w:ascii="Arial" w:eastAsia="Times New Roman" w:hAnsi="Arial" w:cs="Arial"/>
                <w:color w:val="000000"/>
                <w:sz w:val="20"/>
                <w:lang w:eastAsia="es-MX"/>
              </w:rPr>
              <w:t xml:space="preserve"> </w:t>
            </w:r>
            <w:r w:rsidRPr="00E443EF">
              <w:rPr>
                <w:rFonts w:ascii="Arial" w:eastAsia="Times New Roman" w:hAnsi="Arial" w:cs="Arial"/>
                <w:color w:val="000000"/>
                <w:sz w:val="20"/>
                <w:lang w:eastAsia="es-MX"/>
              </w:rPr>
              <w:t>interconexión</w:t>
            </w:r>
            <w:r w:rsidR="0071565A" w:rsidRPr="00E443EF">
              <w:rPr>
                <w:rFonts w:ascii="Arial" w:eastAsia="Times New Roman" w:hAnsi="Arial" w:cs="Arial"/>
                <w:color w:val="000000"/>
                <w:sz w:val="20"/>
                <w:lang w:eastAsia="es-MX"/>
              </w:rPr>
              <w:t xml:space="preserve"> en el CMI.</w:t>
            </w:r>
          </w:p>
          <w:p w14:paraId="70848FE1" w14:textId="77777777" w:rsidR="0074419F" w:rsidRPr="00E443EF" w:rsidRDefault="0074419F" w:rsidP="00326C4B">
            <w:pPr>
              <w:spacing w:after="0" w:line="240" w:lineRule="auto"/>
              <w:ind w:right="-48"/>
              <w:jc w:val="both"/>
              <w:rPr>
                <w:rFonts w:ascii="Arial" w:hAnsi="Arial" w:cs="Arial"/>
                <w:bCs/>
                <w:sz w:val="20"/>
              </w:rPr>
            </w:pPr>
          </w:p>
          <w:p w14:paraId="1202DB83" w14:textId="77777777" w:rsidR="0074419F" w:rsidRPr="00E443EF" w:rsidRDefault="0074419F" w:rsidP="00326C4B">
            <w:pPr>
              <w:spacing w:after="0" w:line="240" w:lineRule="auto"/>
              <w:ind w:right="-48"/>
              <w:jc w:val="both"/>
              <w:rPr>
                <w:rFonts w:ascii="Arial" w:hAnsi="Arial" w:cs="Arial"/>
                <w:bCs/>
                <w:sz w:val="20"/>
              </w:rPr>
            </w:pPr>
          </w:p>
          <w:p w14:paraId="10FD63E3" w14:textId="007134CA" w:rsidR="00326C4B" w:rsidRPr="00E443EF" w:rsidRDefault="00326C4B" w:rsidP="00326C4B">
            <w:pPr>
              <w:spacing w:after="0" w:line="240" w:lineRule="auto"/>
              <w:ind w:right="-48"/>
              <w:jc w:val="both"/>
              <w:rPr>
                <w:rFonts w:ascii="Arial" w:hAnsi="Arial" w:cs="Arial"/>
                <w:bCs/>
                <w:sz w:val="20"/>
              </w:rPr>
            </w:pPr>
            <w:r w:rsidRPr="00E443EF">
              <w:rPr>
                <w:rFonts w:ascii="Arial" w:hAnsi="Arial" w:cs="Arial"/>
                <w:bCs/>
                <w:sz w:val="20"/>
              </w:rPr>
              <w:t>Se solicita incorporar la tarifa del Análisis Estructural cuando se tenga que realizar esta actividad y que no sea por falta de mantenimiento el Servicio de Análisis Estructural de parte de Telmex / Telnor, el cobro por un servicio provisto por la DM que no viene derivado de su responsabilidad y que tiene su causalidad de costos.</w:t>
            </w:r>
          </w:p>
          <w:p w14:paraId="2C662281" w14:textId="3FA32988" w:rsidR="00BA3B9B" w:rsidRPr="00E443EF" w:rsidRDefault="00BA3B9B" w:rsidP="008D1E66">
            <w:pPr>
              <w:spacing w:after="0" w:line="240" w:lineRule="auto"/>
              <w:ind w:right="-48"/>
              <w:jc w:val="both"/>
              <w:rPr>
                <w:rFonts w:ascii="Arial" w:eastAsia="Times New Roman" w:hAnsi="Arial" w:cs="Arial"/>
                <w:color w:val="000000"/>
                <w:sz w:val="20"/>
                <w:lang w:eastAsia="es-MX"/>
              </w:rPr>
            </w:pPr>
            <w:r w:rsidRPr="00E443EF">
              <w:rPr>
                <w:rFonts w:ascii="Arial" w:hAnsi="Arial" w:cs="Arial"/>
                <w:bCs/>
                <w:sz w:val="20"/>
              </w:rPr>
              <w:t xml:space="preserve">Además se le solicita al Instituto que considere que el costo de un Análisis Estructural puede ser de más de $80,000 pesos y que dicha actividad no puede estar considerada en la </w:t>
            </w:r>
            <w:r w:rsidR="003F49DE" w:rsidRPr="00E443EF">
              <w:rPr>
                <w:rFonts w:ascii="Arial" w:hAnsi="Arial" w:cs="Arial"/>
                <w:bCs/>
                <w:sz w:val="20"/>
              </w:rPr>
              <w:t>contraprestación</w:t>
            </w:r>
            <w:r w:rsidRPr="00E443EF">
              <w:rPr>
                <w:rFonts w:ascii="Arial" w:hAnsi="Arial" w:cs="Arial"/>
                <w:bCs/>
                <w:sz w:val="20"/>
              </w:rPr>
              <w:t xml:space="preserve"> de</w:t>
            </w:r>
            <w:r w:rsidR="003F49DE" w:rsidRPr="00E443EF">
              <w:rPr>
                <w:rFonts w:ascii="Arial" w:hAnsi="Arial" w:cs="Arial"/>
                <w:bCs/>
                <w:sz w:val="20"/>
              </w:rPr>
              <w:t>l</w:t>
            </w:r>
            <w:r w:rsidRPr="00E443EF">
              <w:rPr>
                <w:rFonts w:ascii="Arial" w:hAnsi="Arial" w:cs="Arial"/>
                <w:bCs/>
                <w:sz w:val="20"/>
              </w:rPr>
              <w:t xml:space="preserve"> “Análisis de Factibilidad“, cuya tarifa es de $5,</w:t>
            </w:r>
            <w:r w:rsidR="008D1E66" w:rsidRPr="00E443EF">
              <w:rPr>
                <w:rFonts w:ascii="Arial" w:hAnsi="Arial" w:cs="Arial"/>
                <w:bCs/>
                <w:sz w:val="20"/>
              </w:rPr>
              <w:t>603.84</w:t>
            </w:r>
            <w:r w:rsidRPr="00E443EF">
              <w:rPr>
                <w:rFonts w:ascii="Arial" w:hAnsi="Arial" w:cs="Arial"/>
                <w:bCs/>
                <w:sz w:val="20"/>
              </w:rPr>
              <w:t xml:space="preserve"> pesos.</w:t>
            </w:r>
          </w:p>
        </w:tc>
      </w:tr>
    </w:tbl>
    <w:p w14:paraId="7374CB09" w14:textId="21C5C308" w:rsidR="00D90DAB" w:rsidRDefault="00D90DAB"/>
    <w:sectPr w:rsidR="00D90DAB" w:rsidSect="007547DA">
      <w:headerReference w:type="default" r:id="rId13"/>
      <w:pgSz w:w="15840" w:h="12240" w:orient="landscape"/>
      <w:pgMar w:top="567" w:right="567" w:bottom="567" w:left="567"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6D34B7" w16cex:dateUtc="2023-07-28T00:23:00Z"/>
  <w16cex:commentExtensible w16cex:durableId="286D3715" w16cex:dateUtc="2023-07-28T00:33:00Z"/>
  <w16cex:commentExtensible w16cex:durableId="286D3A5B" w16cex:dateUtc="2023-07-28T00:47:00Z"/>
  <w16cex:commentExtensible w16cex:durableId="286D3BE0" w16cex:dateUtc="2023-07-28T00:54:00Z"/>
  <w16cex:commentExtensible w16cex:durableId="286D3E9D" w16cex:dateUtc="2023-07-28T01:06:00Z"/>
  <w16cex:commentExtensible w16cex:durableId="286D3EB3" w16cex:dateUtc="2023-07-28T01:06:00Z"/>
  <w16cex:commentExtensible w16cex:durableId="286D3E79" w16cex:dateUtc="2023-07-28T01:05:00Z"/>
  <w16cex:commentExtensible w16cex:durableId="286D40F7" w16cex:dateUtc="2023-07-28T01:1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212A1B2" w16cid:durableId="286D34B7"/>
  <w16cid:commentId w16cid:paraId="5FD75DAF" w16cid:durableId="286D3715"/>
  <w16cid:commentId w16cid:paraId="3C58EBC6" w16cid:durableId="286D3A5B"/>
  <w16cid:commentId w16cid:paraId="5B11D501" w16cid:durableId="286D3BE0"/>
  <w16cid:commentId w16cid:paraId="77B83A87" w16cid:durableId="286D3E9D"/>
  <w16cid:commentId w16cid:paraId="00A37802" w16cid:durableId="286D3EB3"/>
  <w16cid:commentId w16cid:paraId="0D6D55AB" w16cid:durableId="286D3E79"/>
  <w16cid:commentId w16cid:paraId="0BE24C4A" w16cid:durableId="286D40F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265FC4" w14:textId="77777777" w:rsidR="007B7E38" w:rsidRDefault="007B7E38" w:rsidP="00C36698">
      <w:pPr>
        <w:spacing w:after="0" w:line="240" w:lineRule="auto"/>
      </w:pPr>
      <w:r>
        <w:separator/>
      </w:r>
    </w:p>
  </w:endnote>
  <w:endnote w:type="continuationSeparator" w:id="0">
    <w:p w14:paraId="40818455" w14:textId="77777777" w:rsidR="007B7E38" w:rsidRDefault="007B7E38" w:rsidP="00C366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ITC Avant Garde">
    <w:altName w:val="Arial"/>
    <w:charset w:val="00"/>
    <w:family w:val="swiss"/>
    <w:pitch w:val="variable"/>
    <w:sig w:usb0="00000001"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AF1ACE" w14:textId="77777777" w:rsidR="007B7E38" w:rsidRDefault="007B7E38" w:rsidP="00C36698">
      <w:pPr>
        <w:spacing w:after="0" w:line="240" w:lineRule="auto"/>
      </w:pPr>
      <w:r>
        <w:separator/>
      </w:r>
    </w:p>
  </w:footnote>
  <w:footnote w:type="continuationSeparator" w:id="0">
    <w:p w14:paraId="5D15396C" w14:textId="77777777" w:rsidR="007B7E38" w:rsidRDefault="007B7E38" w:rsidP="00C3669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30825809"/>
      <w:docPartObj>
        <w:docPartGallery w:val="Page Numbers (Top of Page)"/>
        <w:docPartUnique/>
      </w:docPartObj>
    </w:sdtPr>
    <w:sdtEndPr/>
    <w:sdtContent>
      <w:p w14:paraId="20AC961F" w14:textId="03215BAB" w:rsidR="00E26D24" w:rsidRDefault="00E26D24">
        <w:pPr>
          <w:pStyle w:val="Encabezado"/>
          <w:jc w:val="right"/>
        </w:pPr>
        <w:r>
          <w:fldChar w:fldCharType="begin"/>
        </w:r>
        <w:r>
          <w:instrText>PAGE   \* MERGEFORMAT</w:instrText>
        </w:r>
        <w:r>
          <w:fldChar w:fldCharType="separate"/>
        </w:r>
        <w:r w:rsidR="00E443EF" w:rsidRPr="00E443EF">
          <w:rPr>
            <w:noProof/>
            <w:lang w:val="es-ES"/>
          </w:rPr>
          <w:t>10</w:t>
        </w:r>
        <w:r>
          <w:fldChar w:fldCharType="end"/>
        </w:r>
      </w:p>
    </w:sdtContent>
  </w:sdt>
  <w:p w14:paraId="4F8EBE50" w14:textId="77777777" w:rsidR="00E26D24" w:rsidRDefault="00E26D24">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714DDA"/>
    <w:multiLevelType w:val="hybridMultilevel"/>
    <w:tmpl w:val="511AC4F2"/>
    <w:lvl w:ilvl="0" w:tplc="9BA4481A">
      <w:start w:val="1"/>
      <w:numFmt w:val="upperRoman"/>
      <w:lvlText w:val="%1."/>
      <w:lvlJc w:val="left"/>
      <w:pPr>
        <w:ind w:left="720" w:hanging="360"/>
      </w:pPr>
      <w:rPr>
        <w:rFonts w:ascii="Arial" w:hAnsi="Arial" w:hint="default"/>
      </w:rPr>
    </w:lvl>
    <w:lvl w:ilvl="1" w:tplc="35E86BC6">
      <w:start w:val="1"/>
      <w:numFmt w:val="decimal"/>
      <w:lvlText w:val="IV.%2"/>
      <w:lvlJc w:val="left"/>
      <w:pPr>
        <w:ind w:left="5606"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1814F9"/>
    <w:multiLevelType w:val="hybridMultilevel"/>
    <w:tmpl w:val="A0BA7F02"/>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DF934E8"/>
    <w:multiLevelType w:val="hybridMultilevel"/>
    <w:tmpl w:val="BC78EAF0"/>
    <w:lvl w:ilvl="0" w:tplc="080A0015">
      <w:start w:val="1"/>
      <w:numFmt w:val="upperLetter"/>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3" w15:restartNumberingAfterBreak="0">
    <w:nsid w:val="19992FE5"/>
    <w:multiLevelType w:val="hybridMultilevel"/>
    <w:tmpl w:val="F84C313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19EA63FF"/>
    <w:multiLevelType w:val="hybridMultilevel"/>
    <w:tmpl w:val="FE98DB1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1E391E6E"/>
    <w:multiLevelType w:val="multilevel"/>
    <w:tmpl w:val="3D66020E"/>
    <w:lvl w:ilvl="0">
      <w:start w:val="1"/>
      <w:numFmt w:val="decimal"/>
      <w:pStyle w:val="aaaNumeral1"/>
      <w:lvlText w:val="%1."/>
      <w:lvlJc w:val="left"/>
      <w:pPr>
        <w:ind w:left="1637"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2FB3168"/>
    <w:multiLevelType w:val="hybridMultilevel"/>
    <w:tmpl w:val="30DCB8C2"/>
    <w:lvl w:ilvl="0" w:tplc="770A570E">
      <w:start w:val="6"/>
      <w:numFmt w:val="lowerLetter"/>
      <w:lvlText w:val="%1)"/>
      <w:lvlJc w:val="left"/>
      <w:pPr>
        <w:ind w:left="494" w:hanging="360"/>
      </w:pPr>
      <w:rPr>
        <w:rFonts w:hint="default"/>
      </w:rPr>
    </w:lvl>
    <w:lvl w:ilvl="1" w:tplc="080A0019" w:tentative="1">
      <w:start w:val="1"/>
      <w:numFmt w:val="lowerLetter"/>
      <w:lvlText w:val="%2."/>
      <w:lvlJc w:val="left"/>
      <w:pPr>
        <w:ind w:left="1214" w:hanging="360"/>
      </w:pPr>
    </w:lvl>
    <w:lvl w:ilvl="2" w:tplc="080A001B" w:tentative="1">
      <w:start w:val="1"/>
      <w:numFmt w:val="lowerRoman"/>
      <w:lvlText w:val="%3."/>
      <w:lvlJc w:val="right"/>
      <w:pPr>
        <w:ind w:left="1934" w:hanging="180"/>
      </w:pPr>
    </w:lvl>
    <w:lvl w:ilvl="3" w:tplc="080A000F" w:tentative="1">
      <w:start w:val="1"/>
      <w:numFmt w:val="decimal"/>
      <w:lvlText w:val="%4."/>
      <w:lvlJc w:val="left"/>
      <w:pPr>
        <w:ind w:left="2654" w:hanging="360"/>
      </w:pPr>
    </w:lvl>
    <w:lvl w:ilvl="4" w:tplc="080A0019" w:tentative="1">
      <w:start w:val="1"/>
      <w:numFmt w:val="lowerLetter"/>
      <w:lvlText w:val="%5."/>
      <w:lvlJc w:val="left"/>
      <w:pPr>
        <w:ind w:left="3374" w:hanging="360"/>
      </w:pPr>
    </w:lvl>
    <w:lvl w:ilvl="5" w:tplc="080A001B" w:tentative="1">
      <w:start w:val="1"/>
      <w:numFmt w:val="lowerRoman"/>
      <w:lvlText w:val="%6."/>
      <w:lvlJc w:val="right"/>
      <w:pPr>
        <w:ind w:left="4094" w:hanging="180"/>
      </w:pPr>
    </w:lvl>
    <w:lvl w:ilvl="6" w:tplc="080A000F" w:tentative="1">
      <w:start w:val="1"/>
      <w:numFmt w:val="decimal"/>
      <w:lvlText w:val="%7."/>
      <w:lvlJc w:val="left"/>
      <w:pPr>
        <w:ind w:left="4814" w:hanging="360"/>
      </w:pPr>
    </w:lvl>
    <w:lvl w:ilvl="7" w:tplc="080A0019" w:tentative="1">
      <w:start w:val="1"/>
      <w:numFmt w:val="lowerLetter"/>
      <w:lvlText w:val="%8."/>
      <w:lvlJc w:val="left"/>
      <w:pPr>
        <w:ind w:left="5534" w:hanging="360"/>
      </w:pPr>
    </w:lvl>
    <w:lvl w:ilvl="8" w:tplc="080A001B" w:tentative="1">
      <w:start w:val="1"/>
      <w:numFmt w:val="lowerRoman"/>
      <w:lvlText w:val="%9."/>
      <w:lvlJc w:val="right"/>
      <w:pPr>
        <w:ind w:left="6254" w:hanging="180"/>
      </w:pPr>
    </w:lvl>
  </w:abstractNum>
  <w:abstractNum w:abstractNumId="7" w15:restartNumberingAfterBreak="0">
    <w:nsid w:val="26123AE1"/>
    <w:multiLevelType w:val="multilevel"/>
    <w:tmpl w:val="06847A4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997"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6400C88"/>
    <w:multiLevelType w:val="hybridMultilevel"/>
    <w:tmpl w:val="BCEE73D6"/>
    <w:lvl w:ilvl="0" w:tplc="8F6EE480">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9" w15:restartNumberingAfterBreak="0">
    <w:nsid w:val="29F83776"/>
    <w:multiLevelType w:val="hybridMultilevel"/>
    <w:tmpl w:val="AFB0A34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2B005B54"/>
    <w:multiLevelType w:val="hybridMultilevel"/>
    <w:tmpl w:val="EBC2F13A"/>
    <w:lvl w:ilvl="0" w:tplc="AE2A1148">
      <w:start w:val="1"/>
      <w:numFmt w:val="lowerRoman"/>
      <w:lvlText w:val="(%1)"/>
      <w:lvlJc w:val="left"/>
      <w:pPr>
        <w:ind w:left="720" w:hanging="360"/>
      </w:pPr>
      <w:rPr>
        <w:rFonts w:hint="default"/>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30E86E05"/>
    <w:multiLevelType w:val="hybridMultilevel"/>
    <w:tmpl w:val="1DC45A0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3B7256CB"/>
    <w:multiLevelType w:val="hybridMultilevel"/>
    <w:tmpl w:val="E964510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426F69B1"/>
    <w:multiLevelType w:val="hybridMultilevel"/>
    <w:tmpl w:val="CDEC6AD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43FD126C"/>
    <w:multiLevelType w:val="hybridMultilevel"/>
    <w:tmpl w:val="D9E24E76"/>
    <w:lvl w:ilvl="0" w:tplc="080A000F">
      <w:start w:val="1"/>
      <w:numFmt w:val="decimal"/>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5" w15:restartNumberingAfterBreak="0">
    <w:nsid w:val="4F6D416D"/>
    <w:multiLevelType w:val="multilevel"/>
    <w:tmpl w:val="5ECC5466"/>
    <w:lvl w:ilvl="0">
      <w:start w:val="3"/>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519517EF"/>
    <w:multiLevelType w:val="hybridMultilevel"/>
    <w:tmpl w:val="BD666D5E"/>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52CB0BD0"/>
    <w:multiLevelType w:val="hybridMultilevel"/>
    <w:tmpl w:val="0E02B4B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54964219"/>
    <w:multiLevelType w:val="multilevel"/>
    <w:tmpl w:val="FB2430FC"/>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692605B"/>
    <w:multiLevelType w:val="hybridMultilevel"/>
    <w:tmpl w:val="80DAC860"/>
    <w:lvl w:ilvl="0" w:tplc="04090019">
      <w:start w:val="1"/>
      <w:numFmt w:val="lowerLetter"/>
      <w:lvlText w:val="%1."/>
      <w:lvlJc w:val="left"/>
      <w:pPr>
        <w:ind w:left="723" w:hanging="360"/>
      </w:pPr>
    </w:lvl>
    <w:lvl w:ilvl="1" w:tplc="080A0019">
      <w:start w:val="1"/>
      <w:numFmt w:val="lowerLetter"/>
      <w:lvlText w:val="%2."/>
      <w:lvlJc w:val="left"/>
      <w:pPr>
        <w:ind w:left="1443" w:hanging="360"/>
      </w:pPr>
    </w:lvl>
    <w:lvl w:ilvl="2" w:tplc="080A001B" w:tentative="1">
      <w:start w:val="1"/>
      <w:numFmt w:val="lowerRoman"/>
      <w:lvlText w:val="%3."/>
      <w:lvlJc w:val="right"/>
      <w:pPr>
        <w:ind w:left="2163" w:hanging="180"/>
      </w:pPr>
    </w:lvl>
    <w:lvl w:ilvl="3" w:tplc="080A000F" w:tentative="1">
      <w:start w:val="1"/>
      <w:numFmt w:val="decimal"/>
      <w:lvlText w:val="%4."/>
      <w:lvlJc w:val="left"/>
      <w:pPr>
        <w:ind w:left="2883" w:hanging="360"/>
      </w:pPr>
    </w:lvl>
    <w:lvl w:ilvl="4" w:tplc="080A0019" w:tentative="1">
      <w:start w:val="1"/>
      <w:numFmt w:val="lowerLetter"/>
      <w:lvlText w:val="%5."/>
      <w:lvlJc w:val="left"/>
      <w:pPr>
        <w:ind w:left="3603" w:hanging="360"/>
      </w:pPr>
    </w:lvl>
    <w:lvl w:ilvl="5" w:tplc="080A001B" w:tentative="1">
      <w:start w:val="1"/>
      <w:numFmt w:val="lowerRoman"/>
      <w:lvlText w:val="%6."/>
      <w:lvlJc w:val="right"/>
      <w:pPr>
        <w:ind w:left="4323" w:hanging="180"/>
      </w:pPr>
    </w:lvl>
    <w:lvl w:ilvl="6" w:tplc="080A000F" w:tentative="1">
      <w:start w:val="1"/>
      <w:numFmt w:val="decimal"/>
      <w:lvlText w:val="%7."/>
      <w:lvlJc w:val="left"/>
      <w:pPr>
        <w:ind w:left="5043" w:hanging="360"/>
      </w:pPr>
    </w:lvl>
    <w:lvl w:ilvl="7" w:tplc="080A0019" w:tentative="1">
      <w:start w:val="1"/>
      <w:numFmt w:val="lowerLetter"/>
      <w:lvlText w:val="%8."/>
      <w:lvlJc w:val="left"/>
      <w:pPr>
        <w:ind w:left="5763" w:hanging="360"/>
      </w:pPr>
    </w:lvl>
    <w:lvl w:ilvl="8" w:tplc="080A001B" w:tentative="1">
      <w:start w:val="1"/>
      <w:numFmt w:val="lowerRoman"/>
      <w:lvlText w:val="%9."/>
      <w:lvlJc w:val="right"/>
      <w:pPr>
        <w:ind w:left="6483" w:hanging="180"/>
      </w:pPr>
    </w:lvl>
  </w:abstractNum>
  <w:abstractNum w:abstractNumId="20" w15:restartNumberingAfterBreak="0">
    <w:nsid w:val="59C40129"/>
    <w:multiLevelType w:val="multilevel"/>
    <w:tmpl w:val="668A555E"/>
    <w:lvl w:ilvl="0">
      <w:start w:val="4"/>
      <w:numFmt w:val="decimal"/>
      <w:lvlText w:val="%1"/>
      <w:lvlJc w:val="left"/>
      <w:pPr>
        <w:ind w:left="360" w:hanging="360"/>
      </w:pPr>
      <w:rPr>
        <w:rFonts w:hint="default"/>
      </w:rPr>
    </w:lvl>
    <w:lvl w:ilvl="1">
      <w:start w:val="7"/>
      <w:numFmt w:val="decimal"/>
      <w:lvlText w:val="%1.%2"/>
      <w:lvlJc w:val="left"/>
      <w:pPr>
        <w:ind w:left="502" w:hanging="360"/>
      </w:pPr>
      <w:rPr>
        <w:rFonts w:hint="default"/>
      </w:rPr>
    </w:lvl>
    <w:lvl w:ilvl="2">
      <w:start w:val="1"/>
      <w:numFmt w:val="decimal"/>
      <w:lvlText w:val="%1.%2.%3"/>
      <w:lvlJc w:val="left"/>
      <w:pPr>
        <w:ind w:left="2444" w:hanging="720"/>
      </w:pPr>
      <w:rPr>
        <w:rFonts w:hint="default"/>
      </w:rPr>
    </w:lvl>
    <w:lvl w:ilvl="3">
      <w:start w:val="1"/>
      <w:numFmt w:val="decimal"/>
      <w:lvlText w:val="%1.%2.%3.%4"/>
      <w:lvlJc w:val="left"/>
      <w:pPr>
        <w:ind w:left="3306" w:hanging="720"/>
      </w:pPr>
      <w:rPr>
        <w:rFonts w:hint="default"/>
      </w:rPr>
    </w:lvl>
    <w:lvl w:ilvl="4">
      <w:start w:val="1"/>
      <w:numFmt w:val="decimal"/>
      <w:lvlText w:val="%1.%2.%3.%4.%5"/>
      <w:lvlJc w:val="left"/>
      <w:pPr>
        <w:ind w:left="4168" w:hanging="720"/>
      </w:pPr>
      <w:rPr>
        <w:rFonts w:hint="default"/>
      </w:rPr>
    </w:lvl>
    <w:lvl w:ilvl="5">
      <w:start w:val="1"/>
      <w:numFmt w:val="decimal"/>
      <w:lvlText w:val="%1.%2.%3.%4.%5.%6"/>
      <w:lvlJc w:val="left"/>
      <w:pPr>
        <w:ind w:left="5390" w:hanging="1080"/>
      </w:pPr>
      <w:rPr>
        <w:rFonts w:hint="default"/>
      </w:rPr>
    </w:lvl>
    <w:lvl w:ilvl="6">
      <w:start w:val="1"/>
      <w:numFmt w:val="decimal"/>
      <w:lvlText w:val="%1.%2.%3.%4.%5.%6.%7"/>
      <w:lvlJc w:val="left"/>
      <w:pPr>
        <w:ind w:left="6252" w:hanging="1080"/>
      </w:pPr>
      <w:rPr>
        <w:rFonts w:hint="default"/>
      </w:rPr>
    </w:lvl>
    <w:lvl w:ilvl="7">
      <w:start w:val="1"/>
      <w:numFmt w:val="decimal"/>
      <w:lvlText w:val="%1.%2.%3.%4.%5.%6.%7.%8"/>
      <w:lvlJc w:val="left"/>
      <w:pPr>
        <w:ind w:left="7474" w:hanging="1440"/>
      </w:pPr>
      <w:rPr>
        <w:rFonts w:hint="default"/>
      </w:rPr>
    </w:lvl>
    <w:lvl w:ilvl="8">
      <w:start w:val="1"/>
      <w:numFmt w:val="decimal"/>
      <w:lvlText w:val="%1.%2.%3.%4.%5.%6.%7.%8.%9"/>
      <w:lvlJc w:val="left"/>
      <w:pPr>
        <w:ind w:left="8336" w:hanging="1440"/>
      </w:pPr>
      <w:rPr>
        <w:rFonts w:hint="default"/>
      </w:rPr>
    </w:lvl>
  </w:abstractNum>
  <w:abstractNum w:abstractNumId="21" w15:restartNumberingAfterBreak="0">
    <w:nsid w:val="632B3F11"/>
    <w:multiLevelType w:val="multilevel"/>
    <w:tmpl w:val="62D4E8CE"/>
    <w:lvl w:ilvl="0">
      <w:start w:val="1"/>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588541D"/>
    <w:multiLevelType w:val="hybridMultilevel"/>
    <w:tmpl w:val="511E4546"/>
    <w:lvl w:ilvl="0" w:tplc="080A0001">
      <w:start w:val="1"/>
      <w:numFmt w:val="bullet"/>
      <w:lvlText w:val=""/>
      <w:lvlJc w:val="left"/>
      <w:pPr>
        <w:ind w:left="2629" w:hanging="360"/>
      </w:pPr>
      <w:rPr>
        <w:rFonts w:ascii="Symbol" w:hAnsi="Symbol"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23" w15:restartNumberingAfterBreak="0">
    <w:nsid w:val="66910E11"/>
    <w:multiLevelType w:val="hybridMultilevel"/>
    <w:tmpl w:val="9DCE684A"/>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74F81D90"/>
    <w:multiLevelType w:val="hybridMultilevel"/>
    <w:tmpl w:val="29B42130"/>
    <w:lvl w:ilvl="0" w:tplc="CE2E71C2">
      <w:start w:val="1"/>
      <w:numFmt w:val="bullet"/>
      <w:lvlText w:val="­"/>
      <w:lvlJc w:val="left"/>
      <w:pPr>
        <w:ind w:left="1142" w:hanging="360"/>
      </w:pPr>
      <w:rPr>
        <w:rFonts w:ascii="Courier New" w:hAnsi="Courier New" w:hint="default"/>
      </w:rPr>
    </w:lvl>
    <w:lvl w:ilvl="1" w:tplc="080A0003">
      <w:start w:val="1"/>
      <w:numFmt w:val="bullet"/>
      <w:lvlText w:val="o"/>
      <w:lvlJc w:val="left"/>
      <w:pPr>
        <w:ind w:left="1862" w:hanging="360"/>
      </w:pPr>
      <w:rPr>
        <w:rFonts w:ascii="Courier New" w:hAnsi="Courier New" w:cs="Courier New" w:hint="default"/>
      </w:rPr>
    </w:lvl>
    <w:lvl w:ilvl="2" w:tplc="CE2E71C2">
      <w:start w:val="1"/>
      <w:numFmt w:val="bullet"/>
      <w:lvlText w:val="­"/>
      <w:lvlJc w:val="left"/>
      <w:pPr>
        <w:ind w:left="2582" w:hanging="360"/>
      </w:pPr>
      <w:rPr>
        <w:rFonts w:ascii="Courier New" w:hAnsi="Courier New" w:hint="default"/>
      </w:rPr>
    </w:lvl>
    <w:lvl w:ilvl="3" w:tplc="080A0001" w:tentative="1">
      <w:start w:val="1"/>
      <w:numFmt w:val="bullet"/>
      <w:lvlText w:val=""/>
      <w:lvlJc w:val="left"/>
      <w:pPr>
        <w:ind w:left="3302" w:hanging="360"/>
      </w:pPr>
      <w:rPr>
        <w:rFonts w:ascii="Symbol" w:hAnsi="Symbol" w:hint="default"/>
      </w:rPr>
    </w:lvl>
    <w:lvl w:ilvl="4" w:tplc="080A0003" w:tentative="1">
      <w:start w:val="1"/>
      <w:numFmt w:val="bullet"/>
      <w:lvlText w:val="o"/>
      <w:lvlJc w:val="left"/>
      <w:pPr>
        <w:ind w:left="4022" w:hanging="360"/>
      </w:pPr>
      <w:rPr>
        <w:rFonts w:ascii="Courier New" w:hAnsi="Courier New" w:cs="Courier New" w:hint="default"/>
      </w:rPr>
    </w:lvl>
    <w:lvl w:ilvl="5" w:tplc="080A0005" w:tentative="1">
      <w:start w:val="1"/>
      <w:numFmt w:val="bullet"/>
      <w:lvlText w:val=""/>
      <w:lvlJc w:val="left"/>
      <w:pPr>
        <w:ind w:left="4742" w:hanging="360"/>
      </w:pPr>
      <w:rPr>
        <w:rFonts w:ascii="Wingdings" w:hAnsi="Wingdings" w:hint="default"/>
      </w:rPr>
    </w:lvl>
    <w:lvl w:ilvl="6" w:tplc="080A0001" w:tentative="1">
      <w:start w:val="1"/>
      <w:numFmt w:val="bullet"/>
      <w:lvlText w:val=""/>
      <w:lvlJc w:val="left"/>
      <w:pPr>
        <w:ind w:left="5462" w:hanging="360"/>
      </w:pPr>
      <w:rPr>
        <w:rFonts w:ascii="Symbol" w:hAnsi="Symbol" w:hint="default"/>
      </w:rPr>
    </w:lvl>
    <w:lvl w:ilvl="7" w:tplc="080A0003" w:tentative="1">
      <w:start w:val="1"/>
      <w:numFmt w:val="bullet"/>
      <w:lvlText w:val="o"/>
      <w:lvlJc w:val="left"/>
      <w:pPr>
        <w:ind w:left="6182" w:hanging="360"/>
      </w:pPr>
      <w:rPr>
        <w:rFonts w:ascii="Courier New" w:hAnsi="Courier New" w:cs="Courier New" w:hint="default"/>
      </w:rPr>
    </w:lvl>
    <w:lvl w:ilvl="8" w:tplc="080A0005" w:tentative="1">
      <w:start w:val="1"/>
      <w:numFmt w:val="bullet"/>
      <w:lvlText w:val=""/>
      <w:lvlJc w:val="left"/>
      <w:pPr>
        <w:ind w:left="6902" w:hanging="360"/>
      </w:pPr>
      <w:rPr>
        <w:rFonts w:ascii="Wingdings" w:hAnsi="Wingdings" w:hint="default"/>
      </w:rPr>
    </w:lvl>
  </w:abstractNum>
  <w:abstractNum w:abstractNumId="25" w15:restartNumberingAfterBreak="0">
    <w:nsid w:val="7B316302"/>
    <w:multiLevelType w:val="multilevel"/>
    <w:tmpl w:val="EE9A0D92"/>
    <w:lvl w:ilvl="0">
      <w:start w:val="4"/>
      <w:numFmt w:val="decimal"/>
      <w:lvlText w:val="%1"/>
      <w:lvlJc w:val="left"/>
      <w:pPr>
        <w:ind w:left="360" w:hanging="360"/>
      </w:pPr>
      <w:rPr>
        <w:rFonts w:hint="default"/>
      </w:rPr>
    </w:lvl>
    <w:lvl w:ilvl="1">
      <w:start w:val="7"/>
      <w:numFmt w:val="decimal"/>
      <w:pStyle w:val="1TitPrin"/>
      <w:lvlText w:val="%1.%2"/>
      <w:lvlJc w:val="left"/>
      <w:pPr>
        <w:ind w:left="502" w:hanging="3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226" w:hanging="720"/>
      </w:pPr>
      <w:rPr>
        <w:rFonts w:hint="default"/>
      </w:rPr>
    </w:lvl>
    <w:lvl w:ilvl="4">
      <w:start w:val="1"/>
      <w:numFmt w:val="decimal"/>
      <w:lvlText w:val="%1.%2.%3.%4.%5"/>
      <w:lvlJc w:val="left"/>
      <w:pPr>
        <w:ind w:left="2728" w:hanging="720"/>
      </w:pPr>
      <w:rPr>
        <w:rFonts w:hint="default"/>
      </w:rPr>
    </w:lvl>
    <w:lvl w:ilvl="5">
      <w:start w:val="1"/>
      <w:numFmt w:val="decimal"/>
      <w:lvlText w:val="%1.%2.%3.%4.%5.%6"/>
      <w:lvlJc w:val="left"/>
      <w:pPr>
        <w:ind w:left="3590" w:hanging="1080"/>
      </w:pPr>
      <w:rPr>
        <w:rFonts w:hint="default"/>
      </w:rPr>
    </w:lvl>
    <w:lvl w:ilvl="6">
      <w:start w:val="1"/>
      <w:numFmt w:val="decimal"/>
      <w:lvlText w:val="%1.%2.%3.%4.%5.%6.%7"/>
      <w:lvlJc w:val="left"/>
      <w:pPr>
        <w:ind w:left="4092" w:hanging="1080"/>
      </w:pPr>
      <w:rPr>
        <w:rFonts w:hint="default"/>
      </w:rPr>
    </w:lvl>
    <w:lvl w:ilvl="7">
      <w:start w:val="1"/>
      <w:numFmt w:val="decimal"/>
      <w:lvlText w:val="%1.%2.%3.%4.%5.%6.%7.%8"/>
      <w:lvlJc w:val="left"/>
      <w:pPr>
        <w:ind w:left="4954" w:hanging="1440"/>
      </w:pPr>
      <w:rPr>
        <w:rFonts w:hint="default"/>
      </w:rPr>
    </w:lvl>
    <w:lvl w:ilvl="8">
      <w:start w:val="1"/>
      <w:numFmt w:val="decimal"/>
      <w:lvlText w:val="%1.%2.%3.%4.%5.%6.%7.%8.%9"/>
      <w:lvlJc w:val="left"/>
      <w:pPr>
        <w:ind w:left="5456" w:hanging="1440"/>
      </w:pPr>
      <w:rPr>
        <w:rFonts w:hint="default"/>
      </w:rPr>
    </w:lvl>
  </w:abstractNum>
  <w:num w:numId="1">
    <w:abstractNumId w:val="24"/>
  </w:num>
  <w:num w:numId="2">
    <w:abstractNumId w:val="12"/>
  </w:num>
  <w:num w:numId="3">
    <w:abstractNumId w:val="1"/>
  </w:num>
  <w:num w:numId="4">
    <w:abstractNumId w:val="23"/>
  </w:num>
  <w:num w:numId="5">
    <w:abstractNumId w:val="18"/>
  </w:num>
  <w:num w:numId="6">
    <w:abstractNumId w:val="25"/>
  </w:num>
  <w:num w:numId="7">
    <w:abstractNumId w:val="20"/>
  </w:num>
  <w:num w:numId="8">
    <w:abstractNumId w:val="17"/>
  </w:num>
  <w:num w:numId="9">
    <w:abstractNumId w:val="16"/>
  </w:num>
  <w:num w:numId="10">
    <w:abstractNumId w:val="4"/>
  </w:num>
  <w:num w:numId="11">
    <w:abstractNumId w:val="8"/>
  </w:num>
  <w:num w:numId="12">
    <w:abstractNumId w:val="14"/>
  </w:num>
  <w:num w:numId="13">
    <w:abstractNumId w:val="3"/>
  </w:num>
  <w:num w:numId="14">
    <w:abstractNumId w:val="2"/>
  </w:num>
  <w:num w:numId="15">
    <w:abstractNumId w:val="13"/>
  </w:num>
  <w:num w:numId="16">
    <w:abstractNumId w:val="22"/>
  </w:num>
  <w:num w:numId="17">
    <w:abstractNumId w:val="6"/>
  </w:num>
  <w:num w:numId="18">
    <w:abstractNumId w:val="0"/>
  </w:num>
  <w:num w:numId="19">
    <w:abstractNumId w:val="7"/>
  </w:num>
  <w:num w:numId="20">
    <w:abstractNumId w:val="21"/>
  </w:num>
  <w:num w:numId="21">
    <w:abstractNumId w:val="9"/>
  </w:num>
  <w:num w:numId="22">
    <w:abstractNumId w:val="11"/>
  </w:num>
  <w:num w:numId="23">
    <w:abstractNumId w:val="10"/>
  </w:num>
  <w:num w:numId="24">
    <w:abstractNumId w:val="19"/>
  </w:num>
  <w:num w:numId="25">
    <w:abstractNumId w:val="5"/>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6698"/>
    <w:rsid w:val="00000341"/>
    <w:rsid w:val="00000708"/>
    <w:rsid w:val="00002373"/>
    <w:rsid w:val="00002EC7"/>
    <w:rsid w:val="00016209"/>
    <w:rsid w:val="0002586E"/>
    <w:rsid w:val="00031E17"/>
    <w:rsid w:val="000419D3"/>
    <w:rsid w:val="00056AD8"/>
    <w:rsid w:val="00061B57"/>
    <w:rsid w:val="000662E1"/>
    <w:rsid w:val="00066DD9"/>
    <w:rsid w:val="000679A6"/>
    <w:rsid w:val="0007024B"/>
    <w:rsid w:val="000807B4"/>
    <w:rsid w:val="00082EA6"/>
    <w:rsid w:val="00083FFE"/>
    <w:rsid w:val="0009167D"/>
    <w:rsid w:val="00092E6C"/>
    <w:rsid w:val="0009677B"/>
    <w:rsid w:val="0009743F"/>
    <w:rsid w:val="00097632"/>
    <w:rsid w:val="000B585E"/>
    <w:rsid w:val="000C53D8"/>
    <w:rsid w:val="000C6730"/>
    <w:rsid w:val="000D06F8"/>
    <w:rsid w:val="000D2BF6"/>
    <w:rsid w:val="000D74A5"/>
    <w:rsid w:val="000E2A50"/>
    <w:rsid w:val="00112B28"/>
    <w:rsid w:val="00116E00"/>
    <w:rsid w:val="00117F0E"/>
    <w:rsid w:val="00123921"/>
    <w:rsid w:val="00125439"/>
    <w:rsid w:val="00125787"/>
    <w:rsid w:val="0012683D"/>
    <w:rsid w:val="001274D9"/>
    <w:rsid w:val="0013177C"/>
    <w:rsid w:val="0013301F"/>
    <w:rsid w:val="00135C46"/>
    <w:rsid w:val="001373B2"/>
    <w:rsid w:val="0014115E"/>
    <w:rsid w:val="00141CD2"/>
    <w:rsid w:val="001531A2"/>
    <w:rsid w:val="0015380C"/>
    <w:rsid w:val="0015627D"/>
    <w:rsid w:val="0016067D"/>
    <w:rsid w:val="001654B8"/>
    <w:rsid w:val="00165A0C"/>
    <w:rsid w:val="00170117"/>
    <w:rsid w:val="00196812"/>
    <w:rsid w:val="0019681A"/>
    <w:rsid w:val="001B325B"/>
    <w:rsid w:val="001B5BCA"/>
    <w:rsid w:val="001C6CCC"/>
    <w:rsid w:val="001C766D"/>
    <w:rsid w:val="001D63F1"/>
    <w:rsid w:val="001E126E"/>
    <w:rsid w:val="001E2816"/>
    <w:rsid w:val="001F1F0C"/>
    <w:rsid w:val="001F322B"/>
    <w:rsid w:val="00200850"/>
    <w:rsid w:val="00201A5A"/>
    <w:rsid w:val="00201EB5"/>
    <w:rsid w:val="00210B4E"/>
    <w:rsid w:val="00250734"/>
    <w:rsid w:val="00251D6E"/>
    <w:rsid w:val="0025387B"/>
    <w:rsid w:val="00253A7A"/>
    <w:rsid w:val="002610AB"/>
    <w:rsid w:val="00276F87"/>
    <w:rsid w:val="0029611E"/>
    <w:rsid w:val="00296DA2"/>
    <w:rsid w:val="002A3147"/>
    <w:rsid w:val="002A39A3"/>
    <w:rsid w:val="002C2B6F"/>
    <w:rsid w:val="002C67C8"/>
    <w:rsid w:val="002D0E25"/>
    <w:rsid w:val="002D4484"/>
    <w:rsid w:val="002D72B2"/>
    <w:rsid w:val="002F0A10"/>
    <w:rsid w:val="002F203E"/>
    <w:rsid w:val="00310CCA"/>
    <w:rsid w:val="00317A62"/>
    <w:rsid w:val="00320E9B"/>
    <w:rsid w:val="003248BC"/>
    <w:rsid w:val="00326C4B"/>
    <w:rsid w:val="00336E55"/>
    <w:rsid w:val="003423C1"/>
    <w:rsid w:val="00343207"/>
    <w:rsid w:val="00343257"/>
    <w:rsid w:val="00343FAC"/>
    <w:rsid w:val="00346B5D"/>
    <w:rsid w:val="00347EE7"/>
    <w:rsid w:val="003555C8"/>
    <w:rsid w:val="0035582D"/>
    <w:rsid w:val="00355C3E"/>
    <w:rsid w:val="00361D0B"/>
    <w:rsid w:val="00362CD8"/>
    <w:rsid w:val="0036515A"/>
    <w:rsid w:val="003669A8"/>
    <w:rsid w:val="00373C74"/>
    <w:rsid w:val="00377926"/>
    <w:rsid w:val="0037796C"/>
    <w:rsid w:val="003812C9"/>
    <w:rsid w:val="003828B6"/>
    <w:rsid w:val="00384000"/>
    <w:rsid w:val="003A0AF2"/>
    <w:rsid w:val="003A5EF8"/>
    <w:rsid w:val="003B0857"/>
    <w:rsid w:val="003B3D4D"/>
    <w:rsid w:val="003B48FA"/>
    <w:rsid w:val="003C047C"/>
    <w:rsid w:val="003C666B"/>
    <w:rsid w:val="003D2861"/>
    <w:rsid w:val="003D4420"/>
    <w:rsid w:val="003E4B35"/>
    <w:rsid w:val="003F20BB"/>
    <w:rsid w:val="003F48E9"/>
    <w:rsid w:val="003F49DE"/>
    <w:rsid w:val="003F50A9"/>
    <w:rsid w:val="00403427"/>
    <w:rsid w:val="00404949"/>
    <w:rsid w:val="00420EF9"/>
    <w:rsid w:val="00430BD4"/>
    <w:rsid w:val="0044059B"/>
    <w:rsid w:val="00447B13"/>
    <w:rsid w:val="00453BBD"/>
    <w:rsid w:val="00455198"/>
    <w:rsid w:val="00456541"/>
    <w:rsid w:val="00472FC2"/>
    <w:rsid w:val="0047456B"/>
    <w:rsid w:val="00476FD3"/>
    <w:rsid w:val="004809C0"/>
    <w:rsid w:val="00484BB5"/>
    <w:rsid w:val="00485CA8"/>
    <w:rsid w:val="0048604B"/>
    <w:rsid w:val="004919FB"/>
    <w:rsid w:val="004A5964"/>
    <w:rsid w:val="004A5E5F"/>
    <w:rsid w:val="004A6DE1"/>
    <w:rsid w:val="004B3B17"/>
    <w:rsid w:val="004B55F5"/>
    <w:rsid w:val="004C2655"/>
    <w:rsid w:val="004C4377"/>
    <w:rsid w:val="004C5512"/>
    <w:rsid w:val="004C59A7"/>
    <w:rsid w:val="004C5A09"/>
    <w:rsid w:val="004D6E9D"/>
    <w:rsid w:val="004E05E1"/>
    <w:rsid w:val="004E0A47"/>
    <w:rsid w:val="004F03D1"/>
    <w:rsid w:val="004F07D5"/>
    <w:rsid w:val="004F518A"/>
    <w:rsid w:val="004F6138"/>
    <w:rsid w:val="004F62C8"/>
    <w:rsid w:val="00503FD1"/>
    <w:rsid w:val="00533377"/>
    <w:rsid w:val="005339D0"/>
    <w:rsid w:val="00540EDE"/>
    <w:rsid w:val="0054657A"/>
    <w:rsid w:val="005500CC"/>
    <w:rsid w:val="005510F0"/>
    <w:rsid w:val="00551471"/>
    <w:rsid w:val="005525F9"/>
    <w:rsid w:val="00552D0E"/>
    <w:rsid w:val="00560274"/>
    <w:rsid w:val="00560789"/>
    <w:rsid w:val="00560C47"/>
    <w:rsid w:val="00561667"/>
    <w:rsid w:val="00573243"/>
    <w:rsid w:val="00576DB9"/>
    <w:rsid w:val="005821C2"/>
    <w:rsid w:val="00582458"/>
    <w:rsid w:val="00582B22"/>
    <w:rsid w:val="00585001"/>
    <w:rsid w:val="00592DE7"/>
    <w:rsid w:val="005944AD"/>
    <w:rsid w:val="00594EE9"/>
    <w:rsid w:val="005A4667"/>
    <w:rsid w:val="005B02B8"/>
    <w:rsid w:val="005B0338"/>
    <w:rsid w:val="005B25D1"/>
    <w:rsid w:val="005B4107"/>
    <w:rsid w:val="005B5AB9"/>
    <w:rsid w:val="005B674E"/>
    <w:rsid w:val="005C232C"/>
    <w:rsid w:val="005C28C7"/>
    <w:rsid w:val="005C2D06"/>
    <w:rsid w:val="005C3037"/>
    <w:rsid w:val="005C3D28"/>
    <w:rsid w:val="005D3E91"/>
    <w:rsid w:val="005D401F"/>
    <w:rsid w:val="005D519E"/>
    <w:rsid w:val="005D5501"/>
    <w:rsid w:val="005D5C87"/>
    <w:rsid w:val="005D676C"/>
    <w:rsid w:val="005E6640"/>
    <w:rsid w:val="005E740F"/>
    <w:rsid w:val="005F5EEF"/>
    <w:rsid w:val="00604EE9"/>
    <w:rsid w:val="00613216"/>
    <w:rsid w:val="00613ABA"/>
    <w:rsid w:val="00621FF7"/>
    <w:rsid w:val="0062473D"/>
    <w:rsid w:val="00625DB6"/>
    <w:rsid w:val="0062707C"/>
    <w:rsid w:val="0064580D"/>
    <w:rsid w:val="00650217"/>
    <w:rsid w:val="00651CC0"/>
    <w:rsid w:val="00660E71"/>
    <w:rsid w:val="00662938"/>
    <w:rsid w:val="00664447"/>
    <w:rsid w:val="00665627"/>
    <w:rsid w:val="0067106C"/>
    <w:rsid w:val="00673C34"/>
    <w:rsid w:val="006764F2"/>
    <w:rsid w:val="006769C8"/>
    <w:rsid w:val="006803A7"/>
    <w:rsid w:val="006829C7"/>
    <w:rsid w:val="00684AC7"/>
    <w:rsid w:val="00684BBD"/>
    <w:rsid w:val="00685963"/>
    <w:rsid w:val="00694C19"/>
    <w:rsid w:val="006A78B4"/>
    <w:rsid w:val="006B5D43"/>
    <w:rsid w:val="006C038C"/>
    <w:rsid w:val="006C1E4C"/>
    <w:rsid w:val="006D0F41"/>
    <w:rsid w:val="006D2AAD"/>
    <w:rsid w:val="006D3DA6"/>
    <w:rsid w:val="006F7D2F"/>
    <w:rsid w:val="00707650"/>
    <w:rsid w:val="00712368"/>
    <w:rsid w:val="00712764"/>
    <w:rsid w:val="0071565A"/>
    <w:rsid w:val="00717847"/>
    <w:rsid w:val="00727772"/>
    <w:rsid w:val="00735BA4"/>
    <w:rsid w:val="0074419F"/>
    <w:rsid w:val="00745F8D"/>
    <w:rsid w:val="007476F5"/>
    <w:rsid w:val="00750A44"/>
    <w:rsid w:val="00751D13"/>
    <w:rsid w:val="007547DA"/>
    <w:rsid w:val="007560D8"/>
    <w:rsid w:val="00756D53"/>
    <w:rsid w:val="0075737A"/>
    <w:rsid w:val="00757421"/>
    <w:rsid w:val="007623B9"/>
    <w:rsid w:val="00762767"/>
    <w:rsid w:val="00763AFA"/>
    <w:rsid w:val="00776F09"/>
    <w:rsid w:val="00781C4A"/>
    <w:rsid w:val="0078283B"/>
    <w:rsid w:val="00783595"/>
    <w:rsid w:val="00787CD7"/>
    <w:rsid w:val="007942FD"/>
    <w:rsid w:val="007954EC"/>
    <w:rsid w:val="00797121"/>
    <w:rsid w:val="007B14B5"/>
    <w:rsid w:val="007B5EBF"/>
    <w:rsid w:val="007B7E38"/>
    <w:rsid w:val="007C47C3"/>
    <w:rsid w:val="007C7B15"/>
    <w:rsid w:val="007D1FF9"/>
    <w:rsid w:val="007D6059"/>
    <w:rsid w:val="007E41A8"/>
    <w:rsid w:val="007E420A"/>
    <w:rsid w:val="007E4F80"/>
    <w:rsid w:val="007E61B4"/>
    <w:rsid w:val="007E7779"/>
    <w:rsid w:val="00800A20"/>
    <w:rsid w:val="00804584"/>
    <w:rsid w:val="0080688F"/>
    <w:rsid w:val="00812708"/>
    <w:rsid w:val="00822437"/>
    <w:rsid w:val="00827BE4"/>
    <w:rsid w:val="00833701"/>
    <w:rsid w:val="0083582C"/>
    <w:rsid w:val="00842F7F"/>
    <w:rsid w:val="00845CC9"/>
    <w:rsid w:val="00855266"/>
    <w:rsid w:val="00862E48"/>
    <w:rsid w:val="00871243"/>
    <w:rsid w:val="00876AAF"/>
    <w:rsid w:val="00877CA3"/>
    <w:rsid w:val="00881790"/>
    <w:rsid w:val="00884741"/>
    <w:rsid w:val="008939BC"/>
    <w:rsid w:val="008A22A6"/>
    <w:rsid w:val="008B1735"/>
    <w:rsid w:val="008B2733"/>
    <w:rsid w:val="008B47FC"/>
    <w:rsid w:val="008B6183"/>
    <w:rsid w:val="008B6CED"/>
    <w:rsid w:val="008D0F79"/>
    <w:rsid w:val="008D1E66"/>
    <w:rsid w:val="008D44C0"/>
    <w:rsid w:val="008D47A0"/>
    <w:rsid w:val="008D7D90"/>
    <w:rsid w:val="008E1327"/>
    <w:rsid w:val="008E3369"/>
    <w:rsid w:val="008F3204"/>
    <w:rsid w:val="008F5885"/>
    <w:rsid w:val="00902E80"/>
    <w:rsid w:val="009034B4"/>
    <w:rsid w:val="00905708"/>
    <w:rsid w:val="00912BDE"/>
    <w:rsid w:val="00917D04"/>
    <w:rsid w:val="00926DB8"/>
    <w:rsid w:val="00930E62"/>
    <w:rsid w:val="00935630"/>
    <w:rsid w:val="00944B38"/>
    <w:rsid w:val="0094737E"/>
    <w:rsid w:val="00950414"/>
    <w:rsid w:val="00961A26"/>
    <w:rsid w:val="00963EF2"/>
    <w:rsid w:val="00964385"/>
    <w:rsid w:val="00966D3B"/>
    <w:rsid w:val="009816D9"/>
    <w:rsid w:val="00983387"/>
    <w:rsid w:val="00986CAD"/>
    <w:rsid w:val="00995D73"/>
    <w:rsid w:val="00997C52"/>
    <w:rsid w:val="009A05B9"/>
    <w:rsid w:val="009A14AF"/>
    <w:rsid w:val="009A156F"/>
    <w:rsid w:val="009A4138"/>
    <w:rsid w:val="009B0FA9"/>
    <w:rsid w:val="009B246C"/>
    <w:rsid w:val="009B7E41"/>
    <w:rsid w:val="009C08EC"/>
    <w:rsid w:val="009C4B83"/>
    <w:rsid w:val="009D3DA3"/>
    <w:rsid w:val="009E6329"/>
    <w:rsid w:val="009F1747"/>
    <w:rsid w:val="009F4147"/>
    <w:rsid w:val="009F4D18"/>
    <w:rsid w:val="00A01125"/>
    <w:rsid w:val="00A132F2"/>
    <w:rsid w:val="00A23101"/>
    <w:rsid w:val="00A23604"/>
    <w:rsid w:val="00A23F53"/>
    <w:rsid w:val="00A42044"/>
    <w:rsid w:val="00A428C4"/>
    <w:rsid w:val="00A45DDB"/>
    <w:rsid w:val="00A4659A"/>
    <w:rsid w:val="00A51914"/>
    <w:rsid w:val="00A536B5"/>
    <w:rsid w:val="00A55855"/>
    <w:rsid w:val="00A57CC9"/>
    <w:rsid w:val="00A60DBF"/>
    <w:rsid w:val="00A613A8"/>
    <w:rsid w:val="00A66D09"/>
    <w:rsid w:val="00A66D2A"/>
    <w:rsid w:val="00A8291C"/>
    <w:rsid w:val="00A836F0"/>
    <w:rsid w:val="00A92C4B"/>
    <w:rsid w:val="00A93F41"/>
    <w:rsid w:val="00A94BEE"/>
    <w:rsid w:val="00AA6318"/>
    <w:rsid w:val="00AB0F8E"/>
    <w:rsid w:val="00AB174F"/>
    <w:rsid w:val="00AB68FD"/>
    <w:rsid w:val="00AC0B20"/>
    <w:rsid w:val="00AD0194"/>
    <w:rsid w:val="00AD5B2F"/>
    <w:rsid w:val="00AD7EB2"/>
    <w:rsid w:val="00AE0B02"/>
    <w:rsid w:val="00AE75D5"/>
    <w:rsid w:val="00AF6CDD"/>
    <w:rsid w:val="00B00EF9"/>
    <w:rsid w:val="00B023D5"/>
    <w:rsid w:val="00B05B97"/>
    <w:rsid w:val="00B10F83"/>
    <w:rsid w:val="00B134CC"/>
    <w:rsid w:val="00B13D7D"/>
    <w:rsid w:val="00B20AE9"/>
    <w:rsid w:val="00B21128"/>
    <w:rsid w:val="00B256BB"/>
    <w:rsid w:val="00B265C5"/>
    <w:rsid w:val="00B279FA"/>
    <w:rsid w:val="00B335A6"/>
    <w:rsid w:val="00B34F9C"/>
    <w:rsid w:val="00B36EBB"/>
    <w:rsid w:val="00B3792A"/>
    <w:rsid w:val="00B40F35"/>
    <w:rsid w:val="00B41DD2"/>
    <w:rsid w:val="00B43C67"/>
    <w:rsid w:val="00B44D90"/>
    <w:rsid w:val="00B5073A"/>
    <w:rsid w:val="00B5742C"/>
    <w:rsid w:val="00B616D3"/>
    <w:rsid w:val="00B64AEE"/>
    <w:rsid w:val="00B73CE7"/>
    <w:rsid w:val="00B7544B"/>
    <w:rsid w:val="00BA0BED"/>
    <w:rsid w:val="00BA3604"/>
    <w:rsid w:val="00BA3B9B"/>
    <w:rsid w:val="00BA6910"/>
    <w:rsid w:val="00BA709C"/>
    <w:rsid w:val="00BB2CA9"/>
    <w:rsid w:val="00BC792E"/>
    <w:rsid w:val="00BD0211"/>
    <w:rsid w:val="00BD2166"/>
    <w:rsid w:val="00BD310B"/>
    <w:rsid w:val="00BE6D3B"/>
    <w:rsid w:val="00C0204F"/>
    <w:rsid w:val="00C069E7"/>
    <w:rsid w:val="00C134E6"/>
    <w:rsid w:val="00C25C8F"/>
    <w:rsid w:val="00C27330"/>
    <w:rsid w:val="00C34D79"/>
    <w:rsid w:val="00C35B82"/>
    <w:rsid w:val="00C36698"/>
    <w:rsid w:val="00C422F7"/>
    <w:rsid w:val="00C435FA"/>
    <w:rsid w:val="00C45807"/>
    <w:rsid w:val="00C52A5D"/>
    <w:rsid w:val="00C576AA"/>
    <w:rsid w:val="00C57ED3"/>
    <w:rsid w:val="00C61074"/>
    <w:rsid w:val="00C70C38"/>
    <w:rsid w:val="00C711D1"/>
    <w:rsid w:val="00C764F4"/>
    <w:rsid w:val="00C84FF7"/>
    <w:rsid w:val="00C85C35"/>
    <w:rsid w:val="00C9346A"/>
    <w:rsid w:val="00CA011A"/>
    <w:rsid w:val="00CA7729"/>
    <w:rsid w:val="00CB2472"/>
    <w:rsid w:val="00CB5163"/>
    <w:rsid w:val="00CB5739"/>
    <w:rsid w:val="00CC4C47"/>
    <w:rsid w:val="00CC579D"/>
    <w:rsid w:val="00CC6544"/>
    <w:rsid w:val="00CD262D"/>
    <w:rsid w:val="00CD44AC"/>
    <w:rsid w:val="00CD6674"/>
    <w:rsid w:val="00CE0ABC"/>
    <w:rsid w:val="00CE187D"/>
    <w:rsid w:val="00CE64A5"/>
    <w:rsid w:val="00CF637E"/>
    <w:rsid w:val="00CF70FA"/>
    <w:rsid w:val="00D02FE3"/>
    <w:rsid w:val="00D06F3F"/>
    <w:rsid w:val="00D0720B"/>
    <w:rsid w:val="00D13A37"/>
    <w:rsid w:val="00D16202"/>
    <w:rsid w:val="00D17A87"/>
    <w:rsid w:val="00D230B9"/>
    <w:rsid w:val="00D27815"/>
    <w:rsid w:val="00D30C1D"/>
    <w:rsid w:val="00D35E13"/>
    <w:rsid w:val="00D36CF8"/>
    <w:rsid w:val="00D44FA9"/>
    <w:rsid w:val="00D543BC"/>
    <w:rsid w:val="00D66FC4"/>
    <w:rsid w:val="00D75BCD"/>
    <w:rsid w:val="00D863D3"/>
    <w:rsid w:val="00D87C13"/>
    <w:rsid w:val="00D902AE"/>
    <w:rsid w:val="00D90DAB"/>
    <w:rsid w:val="00D97270"/>
    <w:rsid w:val="00DA28B5"/>
    <w:rsid w:val="00DA571E"/>
    <w:rsid w:val="00DA6597"/>
    <w:rsid w:val="00DB642A"/>
    <w:rsid w:val="00DC1DD2"/>
    <w:rsid w:val="00DD698D"/>
    <w:rsid w:val="00DF22A6"/>
    <w:rsid w:val="00E04B89"/>
    <w:rsid w:val="00E055EB"/>
    <w:rsid w:val="00E06DB9"/>
    <w:rsid w:val="00E14CFB"/>
    <w:rsid w:val="00E2531D"/>
    <w:rsid w:val="00E25BA4"/>
    <w:rsid w:val="00E26D24"/>
    <w:rsid w:val="00E443EF"/>
    <w:rsid w:val="00E44664"/>
    <w:rsid w:val="00E45947"/>
    <w:rsid w:val="00E466EB"/>
    <w:rsid w:val="00E506EE"/>
    <w:rsid w:val="00E63D05"/>
    <w:rsid w:val="00E63E25"/>
    <w:rsid w:val="00E66A54"/>
    <w:rsid w:val="00E90104"/>
    <w:rsid w:val="00EB52E8"/>
    <w:rsid w:val="00EB761F"/>
    <w:rsid w:val="00EC62A2"/>
    <w:rsid w:val="00ED4B47"/>
    <w:rsid w:val="00EE7163"/>
    <w:rsid w:val="00EF33B0"/>
    <w:rsid w:val="00EF7248"/>
    <w:rsid w:val="00F02F75"/>
    <w:rsid w:val="00F136D9"/>
    <w:rsid w:val="00F2090D"/>
    <w:rsid w:val="00F232E9"/>
    <w:rsid w:val="00F257F6"/>
    <w:rsid w:val="00F26CE3"/>
    <w:rsid w:val="00F36768"/>
    <w:rsid w:val="00F37AE5"/>
    <w:rsid w:val="00F42CD3"/>
    <w:rsid w:val="00F55FA7"/>
    <w:rsid w:val="00F5789F"/>
    <w:rsid w:val="00F61A77"/>
    <w:rsid w:val="00F66F1F"/>
    <w:rsid w:val="00F7359A"/>
    <w:rsid w:val="00F81BD1"/>
    <w:rsid w:val="00F84FD4"/>
    <w:rsid w:val="00F920D3"/>
    <w:rsid w:val="00F9529A"/>
    <w:rsid w:val="00FA36BF"/>
    <w:rsid w:val="00FA3CB3"/>
    <w:rsid w:val="00FA5E50"/>
    <w:rsid w:val="00FA7053"/>
    <w:rsid w:val="00FB14B7"/>
    <w:rsid w:val="00FB420C"/>
    <w:rsid w:val="00FB5CBB"/>
    <w:rsid w:val="00FB645C"/>
    <w:rsid w:val="00FB6CE5"/>
    <w:rsid w:val="00FC1859"/>
    <w:rsid w:val="00FC42A2"/>
    <w:rsid w:val="00FC6E8C"/>
    <w:rsid w:val="00FD4953"/>
    <w:rsid w:val="00FD513A"/>
    <w:rsid w:val="00FD6665"/>
    <w:rsid w:val="00FD767B"/>
    <w:rsid w:val="00FF47B7"/>
    <w:rsid w:val="00FF762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39B521"/>
  <w15:docId w15:val="{B1484095-4964-4208-996B-E388B64C3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6698"/>
  </w:style>
  <w:style w:type="paragraph" w:styleId="Ttulo1">
    <w:name w:val="heading 1"/>
    <w:basedOn w:val="Normal"/>
    <w:next w:val="Normal"/>
    <w:link w:val="Ttulo1Car"/>
    <w:uiPriority w:val="9"/>
    <w:qFormat/>
    <w:rsid w:val="00C3669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notaalpie">
    <w:name w:val="footnote reference"/>
    <w:aliases w:val="Ref,de nota al pie,(NECG) Footnote Reference,o,fr,Style 3,Appel note de bas de p,Style 12,Style 124,Ref. de nota al pie 2,Style 6,Footnote Reference Superscript,Style 13,FR,Style 17,Footnote Reference/,Texto de nota al pie,註腳內容,11 pt"/>
    <w:uiPriority w:val="99"/>
    <w:unhideWhenUsed/>
    <w:qFormat/>
    <w:rsid w:val="00C36698"/>
    <w:rPr>
      <w:vertAlign w:val="superscript"/>
    </w:rPr>
  </w:style>
  <w:style w:type="paragraph" w:customStyle="1" w:styleId="1TitPrin">
    <w:name w:val="1TitPrin"/>
    <w:basedOn w:val="Ttulo1"/>
    <w:link w:val="1TitPrinCar"/>
    <w:autoRedefine/>
    <w:qFormat/>
    <w:rsid w:val="00C36698"/>
    <w:pPr>
      <w:keepNext w:val="0"/>
      <w:keepLines w:val="0"/>
      <w:numPr>
        <w:ilvl w:val="1"/>
        <w:numId w:val="6"/>
      </w:numPr>
      <w:spacing w:before="0"/>
      <w:ind w:left="862"/>
      <w:jc w:val="both"/>
      <w:outlineLvl w:val="1"/>
    </w:pPr>
    <w:rPr>
      <w:rFonts w:asciiTheme="minorHAnsi" w:eastAsia="Calibri" w:hAnsiTheme="minorHAnsi" w:cs="Times New Roman"/>
      <w:b w:val="0"/>
      <w:color w:val="auto"/>
      <w:sz w:val="20"/>
      <w:szCs w:val="20"/>
      <w:lang w:eastAsia="es-ES"/>
    </w:rPr>
  </w:style>
  <w:style w:type="character" w:customStyle="1" w:styleId="1TitPrinCar">
    <w:name w:val="1TitPrin Car"/>
    <w:link w:val="1TitPrin"/>
    <w:rsid w:val="00C36698"/>
    <w:rPr>
      <w:rFonts w:eastAsia="Calibri" w:cs="Times New Roman"/>
      <w:bCs/>
      <w:sz w:val="20"/>
      <w:szCs w:val="20"/>
      <w:lang w:eastAsia="es-ES"/>
    </w:rPr>
  </w:style>
  <w:style w:type="paragraph" w:customStyle="1" w:styleId="IFTnormal">
    <w:name w:val="IFT normal"/>
    <w:basedOn w:val="Normal"/>
    <w:link w:val="IFTnormalCar"/>
    <w:qFormat/>
    <w:rsid w:val="00C36698"/>
    <w:pPr>
      <w:jc w:val="both"/>
    </w:pPr>
    <w:rPr>
      <w:rFonts w:ascii="ITC Avant Garde" w:eastAsia="Calibri" w:hAnsi="ITC Avant Garde" w:cs="Calibri"/>
      <w:bCs/>
    </w:rPr>
  </w:style>
  <w:style w:type="character" w:customStyle="1" w:styleId="IFTnormalCar">
    <w:name w:val="IFT normal Car"/>
    <w:link w:val="IFTnormal"/>
    <w:qFormat/>
    <w:rsid w:val="00C36698"/>
    <w:rPr>
      <w:rFonts w:ascii="ITC Avant Garde" w:eastAsia="Calibri" w:hAnsi="ITC Avant Garde" w:cs="Calibri"/>
      <w:bCs/>
    </w:rPr>
  </w:style>
  <w:style w:type="paragraph" w:customStyle="1" w:styleId="Texto1">
    <w:name w:val="Texto 1"/>
    <w:basedOn w:val="Normal"/>
    <w:uiPriority w:val="99"/>
    <w:rsid w:val="00C36698"/>
    <w:pPr>
      <w:spacing w:after="0" w:line="240" w:lineRule="auto"/>
      <w:ind w:left="352"/>
      <w:jc w:val="both"/>
    </w:pPr>
    <w:rPr>
      <w:rFonts w:eastAsia="Times New Roman" w:cs="Times New Roman"/>
      <w:sz w:val="24"/>
      <w:szCs w:val="24"/>
      <w:lang w:val="es-ES_tradnl" w:eastAsia="es-ES"/>
    </w:rPr>
  </w:style>
  <w:style w:type="paragraph" w:styleId="Prrafodelista">
    <w:name w:val="List Paragraph"/>
    <w:aliases w:val="prueba1,List Paragraph,4 Viñ 1nivel,Estilo0,CNBV Parrafo1,Numeración 1,Bullet List,FooterText,numbered,List Paragraph1,Paragraphe de liste1,Bulletr List Paragraph,列出段落,列出段落1,Cuadros,Lista general,Cuadrícula media 1 - Énfasis 21"/>
    <w:basedOn w:val="Normal"/>
    <w:link w:val="PrrafodelistaCar"/>
    <w:uiPriority w:val="99"/>
    <w:qFormat/>
    <w:rsid w:val="00C36698"/>
    <w:pPr>
      <w:ind w:left="720"/>
      <w:contextualSpacing/>
    </w:pPr>
    <w:rPr>
      <w:rFonts w:ascii="Calibri" w:eastAsia="Calibri" w:hAnsi="Calibri" w:cs="Times New Roman"/>
    </w:rPr>
  </w:style>
  <w:style w:type="character" w:customStyle="1" w:styleId="PrrafodelistaCar">
    <w:name w:val="Párrafo de lista Car"/>
    <w:aliases w:val="prueba1 Car,List Paragraph Car,4 Viñ 1nivel Car,Estilo0 Car,CNBV Parrafo1 Car,Numeración 1 Car,Bullet List Car,FooterText Car,numbered Car,List Paragraph1 Car,Paragraphe de liste1 Car,Bulletr List Paragraph Car,列出段落 Car,列出段落1 Car"/>
    <w:link w:val="Prrafodelista"/>
    <w:uiPriority w:val="99"/>
    <w:qFormat/>
    <w:rsid w:val="00C36698"/>
    <w:rPr>
      <w:rFonts w:ascii="Calibri" w:eastAsia="Calibri" w:hAnsi="Calibri" w:cs="Times New Roman"/>
    </w:rPr>
  </w:style>
  <w:style w:type="paragraph" w:customStyle="1" w:styleId="xxxNotaelpiemt">
    <w:name w:val="xxx Nota el pie mt"/>
    <w:basedOn w:val="Textonotapie"/>
    <w:link w:val="xxxNotaelpiemtCar"/>
    <w:qFormat/>
    <w:rsid w:val="00C36698"/>
    <w:pPr>
      <w:tabs>
        <w:tab w:val="left" w:pos="284"/>
      </w:tabs>
      <w:spacing w:line="276" w:lineRule="auto"/>
      <w:ind w:left="284" w:hanging="284"/>
      <w:jc w:val="both"/>
    </w:pPr>
    <w:rPr>
      <w:rFonts w:ascii="Arial" w:eastAsia="Calibri" w:hAnsi="Arial" w:cs="Times New Roman"/>
      <w:color w:val="595959" w:themeColor="text1" w:themeTint="A6"/>
      <w:sz w:val="14"/>
      <w:szCs w:val="14"/>
      <w:lang w:val="es-ES" w:eastAsia="es-ES"/>
    </w:rPr>
  </w:style>
  <w:style w:type="character" w:customStyle="1" w:styleId="xxxNotaelpiemtCar">
    <w:name w:val="xxx Nota el pie mt Car"/>
    <w:basedOn w:val="Fuentedeprrafopredeter"/>
    <w:link w:val="xxxNotaelpiemt"/>
    <w:rsid w:val="00C36698"/>
    <w:rPr>
      <w:rFonts w:ascii="Arial" w:eastAsia="Calibri" w:hAnsi="Arial" w:cs="Times New Roman"/>
      <w:color w:val="595959" w:themeColor="text1" w:themeTint="A6"/>
      <w:sz w:val="14"/>
      <w:szCs w:val="14"/>
      <w:lang w:val="es-ES" w:eastAsia="es-ES"/>
    </w:rPr>
  </w:style>
  <w:style w:type="character" w:customStyle="1" w:styleId="Ttulo1Car">
    <w:name w:val="Título 1 Car"/>
    <w:basedOn w:val="Fuentedeprrafopredeter"/>
    <w:link w:val="Ttulo1"/>
    <w:uiPriority w:val="9"/>
    <w:rsid w:val="00C36698"/>
    <w:rPr>
      <w:rFonts w:asciiTheme="majorHAnsi" w:eastAsiaTheme="majorEastAsia" w:hAnsiTheme="majorHAnsi" w:cstheme="majorBidi"/>
      <w:b/>
      <w:bCs/>
      <w:color w:val="365F91" w:themeColor="accent1" w:themeShade="BF"/>
      <w:sz w:val="28"/>
      <w:szCs w:val="28"/>
    </w:rPr>
  </w:style>
  <w:style w:type="paragraph" w:styleId="Textonotapie">
    <w:name w:val="footnote text"/>
    <w:aliases w:val="Footnote Text Char3,Footnote Text Char2 Char,Footnote Text Char Char Char1 Char,Footnote Text Char1 Char1 Char,Footnote Text Char Char Char2,Footnote Text Char Char Char Char,Footnote Text Char1 Char Char Char Char,ALTS FOOTNOTE,Car,5_G"/>
    <w:basedOn w:val="Normal"/>
    <w:link w:val="TextonotapieCar"/>
    <w:unhideWhenUsed/>
    <w:qFormat/>
    <w:rsid w:val="00C36698"/>
    <w:pPr>
      <w:spacing w:after="0" w:line="240" w:lineRule="auto"/>
    </w:pPr>
    <w:rPr>
      <w:sz w:val="20"/>
      <w:szCs w:val="20"/>
    </w:rPr>
  </w:style>
  <w:style w:type="character" w:customStyle="1" w:styleId="TextonotapieCar">
    <w:name w:val="Texto nota pie Car"/>
    <w:aliases w:val="Footnote Text Char3 Car,Footnote Text Char2 Char Car,Footnote Text Char Char Char1 Char Car,Footnote Text Char1 Char1 Char Car,Footnote Text Char Char Char2 Car,Footnote Text Char Char Char Char Car,ALTS FOOTNOTE Car,Car Car,5_G Car"/>
    <w:basedOn w:val="Fuentedeprrafopredeter"/>
    <w:link w:val="Textonotapie"/>
    <w:rsid w:val="00C36698"/>
    <w:rPr>
      <w:sz w:val="20"/>
      <w:szCs w:val="20"/>
    </w:rPr>
  </w:style>
  <w:style w:type="paragraph" w:styleId="Textodeglobo">
    <w:name w:val="Balloon Text"/>
    <w:basedOn w:val="Normal"/>
    <w:link w:val="TextodegloboCar"/>
    <w:uiPriority w:val="99"/>
    <w:semiHidden/>
    <w:unhideWhenUsed/>
    <w:rsid w:val="00C3669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36698"/>
    <w:rPr>
      <w:rFonts w:ascii="Tahoma" w:hAnsi="Tahoma" w:cs="Tahoma"/>
      <w:sz w:val="16"/>
      <w:szCs w:val="16"/>
    </w:rPr>
  </w:style>
  <w:style w:type="paragraph" w:styleId="Encabezado">
    <w:name w:val="header"/>
    <w:basedOn w:val="Normal"/>
    <w:link w:val="EncabezadoCar"/>
    <w:uiPriority w:val="99"/>
    <w:unhideWhenUsed/>
    <w:rsid w:val="00877CA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77CA3"/>
  </w:style>
  <w:style w:type="paragraph" w:styleId="Piedepgina">
    <w:name w:val="footer"/>
    <w:basedOn w:val="Normal"/>
    <w:link w:val="PiedepginaCar"/>
    <w:uiPriority w:val="99"/>
    <w:unhideWhenUsed/>
    <w:rsid w:val="00877CA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77CA3"/>
  </w:style>
  <w:style w:type="table" w:customStyle="1" w:styleId="Estilo1">
    <w:name w:val="Estilo1"/>
    <w:basedOn w:val="Tablanormal"/>
    <w:uiPriority w:val="99"/>
    <w:rsid w:val="00877CA3"/>
    <w:pPr>
      <w:spacing w:after="0" w:line="240" w:lineRule="auto"/>
    </w:pPr>
    <w:tblPr/>
  </w:style>
  <w:style w:type="character" w:styleId="Refdecomentario">
    <w:name w:val="annotation reference"/>
    <w:basedOn w:val="Fuentedeprrafopredeter"/>
    <w:uiPriority w:val="99"/>
    <w:unhideWhenUsed/>
    <w:rsid w:val="00BD2166"/>
    <w:rPr>
      <w:sz w:val="16"/>
      <w:szCs w:val="16"/>
    </w:rPr>
  </w:style>
  <w:style w:type="paragraph" w:styleId="Textocomentario">
    <w:name w:val="annotation text"/>
    <w:basedOn w:val="Normal"/>
    <w:link w:val="TextocomentarioCar"/>
    <w:uiPriority w:val="99"/>
    <w:unhideWhenUsed/>
    <w:rsid w:val="00BD2166"/>
    <w:pPr>
      <w:spacing w:line="240" w:lineRule="auto"/>
    </w:pPr>
    <w:rPr>
      <w:sz w:val="20"/>
      <w:szCs w:val="20"/>
    </w:rPr>
  </w:style>
  <w:style w:type="character" w:customStyle="1" w:styleId="TextocomentarioCar">
    <w:name w:val="Texto comentario Car"/>
    <w:basedOn w:val="Fuentedeprrafopredeter"/>
    <w:link w:val="Textocomentario"/>
    <w:uiPriority w:val="99"/>
    <w:qFormat/>
    <w:rsid w:val="00BD2166"/>
    <w:rPr>
      <w:sz w:val="20"/>
      <w:szCs w:val="20"/>
    </w:rPr>
  </w:style>
  <w:style w:type="paragraph" w:styleId="Asuntodelcomentario">
    <w:name w:val="annotation subject"/>
    <w:basedOn w:val="Textocomentario"/>
    <w:next w:val="Textocomentario"/>
    <w:link w:val="AsuntodelcomentarioCar"/>
    <w:uiPriority w:val="99"/>
    <w:semiHidden/>
    <w:unhideWhenUsed/>
    <w:rsid w:val="00BD2166"/>
    <w:rPr>
      <w:b/>
      <w:bCs/>
    </w:rPr>
  </w:style>
  <w:style w:type="character" w:customStyle="1" w:styleId="AsuntodelcomentarioCar">
    <w:name w:val="Asunto del comentario Car"/>
    <w:basedOn w:val="TextocomentarioCar"/>
    <w:link w:val="Asuntodelcomentario"/>
    <w:uiPriority w:val="99"/>
    <w:semiHidden/>
    <w:rsid w:val="00BD2166"/>
    <w:rPr>
      <w:b/>
      <w:bCs/>
      <w:sz w:val="20"/>
      <w:szCs w:val="20"/>
    </w:rPr>
  </w:style>
  <w:style w:type="paragraph" w:styleId="Sinespaciado">
    <w:name w:val="No Spacing"/>
    <w:uiPriority w:val="1"/>
    <w:qFormat/>
    <w:rsid w:val="005C28C7"/>
    <w:pPr>
      <w:spacing w:after="0" w:line="240" w:lineRule="auto"/>
    </w:pPr>
  </w:style>
  <w:style w:type="paragraph" w:styleId="Revisin">
    <w:name w:val="Revision"/>
    <w:hidden/>
    <w:uiPriority w:val="99"/>
    <w:semiHidden/>
    <w:rsid w:val="001B325B"/>
    <w:pPr>
      <w:spacing w:after="0" w:line="240" w:lineRule="auto"/>
    </w:pPr>
  </w:style>
  <w:style w:type="paragraph" w:customStyle="1" w:styleId="aaaIFTnormal">
    <w:name w:val="aaa IFT normal"/>
    <w:basedOn w:val="Normal"/>
    <w:link w:val="aaaIFTnormalCar"/>
    <w:qFormat/>
    <w:rsid w:val="0075737A"/>
    <w:pPr>
      <w:spacing w:after="240"/>
      <w:jc w:val="both"/>
    </w:pPr>
    <w:rPr>
      <w:rFonts w:ascii="Arial" w:eastAsia="MS Mincho" w:hAnsi="Arial" w:cs="Calibri"/>
      <w:bCs/>
    </w:rPr>
  </w:style>
  <w:style w:type="character" w:customStyle="1" w:styleId="aaaIFTnormalCar">
    <w:name w:val="aaa IFT normal Car"/>
    <w:link w:val="aaaIFTnormal"/>
    <w:qFormat/>
    <w:rsid w:val="0075737A"/>
    <w:rPr>
      <w:rFonts w:ascii="Arial" w:eastAsia="MS Mincho" w:hAnsi="Arial" w:cs="Calibri"/>
      <w:bCs/>
    </w:rPr>
  </w:style>
  <w:style w:type="paragraph" w:customStyle="1" w:styleId="pf0">
    <w:name w:val="pf0"/>
    <w:basedOn w:val="Normal"/>
    <w:rsid w:val="001274D9"/>
    <w:pPr>
      <w:spacing w:before="100" w:beforeAutospacing="1" w:after="100" w:afterAutospacing="1" w:line="240" w:lineRule="auto"/>
    </w:pPr>
    <w:rPr>
      <w:rFonts w:ascii="Calibri" w:hAnsi="Calibri" w:cs="Calibri"/>
      <w:lang w:eastAsia="es-MX"/>
    </w:rPr>
  </w:style>
  <w:style w:type="character" w:customStyle="1" w:styleId="cf01">
    <w:name w:val="cf01"/>
    <w:basedOn w:val="Fuentedeprrafopredeter"/>
    <w:rsid w:val="001274D9"/>
    <w:rPr>
      <w:rFonts w:ascii="Segoe UI" w:hAnsi="Segoe UI" w:cs="Segoe UI" w:hint="default"/>
    </w:rPr>
  </w:style>
  <w:style w:type="paragraph" w:customStyle="1" w:styleId="CitaIFT">
    <w:name w:val="Cita IFT"/>
    <w:basedOn w:val="Normal"/>
    <w:link w:val="CitaIFTCar"/>
    <w:qFormat/>
    <w:rsid w:val="005D5501"/>
    <w:pPr>
      <w:adjustRightInd w:val="0"/>
      <w:ind w:left="851" w:right="760"/>
      <w:jc w:val="both"/>
    </w:pPr>
    <w:rPr>
      <w:rFonts w:ascii="ITC Avant Garde" w:eastAsia="Times New Roman" w:hAnsi="ITC Avant Garde" w:cs="Times New Roman"/>
      <w:i/>
      <w:color w:val="000000"/>
      <w:sz w:val="18"/>
      <w:szCs w:val="20"/>
      <w:lang w:val="es-ES_tradnl" w:eastAsia="es-ES"/>
    </w:rPr>
  </w:style>
  <w:style w:type="character" w:customStyle="1" w:styleId="CitaIFTCar">
    <w:name w:val="Cita IFT Car"/>
    <w:link w:val="CitaIFT"/>
    <w:qFormat/>
    <w:locked/>
    <w:rsid w:val="005D5501"/>
    <w:rPr>
      <w:rFonts w:ascii="ITC Avant Garde" w:eastAsia="Times New Roman" w:hAnsi="ITC Avant Garde" w:cs="Times New Roman"/>
      <w:i/>
      <w:color w:val="000000"/>
      <w:sz w:val="18"/>
      <w:szCs w:val="20"/>
      <w:lang w:val="es-ES_tradnl" w:eastAsia="es-ES"/>
    </w:rPr>
  </w:style>
  <w:style w:type="paragraph" w:customStyle="1" w:styleId="pieizq">
    <w:name w:val="pie izq"/>
    <w:basedOn w:val="Normal"/>
    <w:uiPriority w:val="99"/>
    <w:rsid w:val="006D3DA6"/>
    <w:pPr>
      <w:tabs>
        <w:tab w:val="center" w:pos="4252"/>
        <w:tab w:val="right" w:pos="8504"/>
        <w:tab w:val="left" w:pos="9498"/>
      </w:tabs>
      <w:suppressAutoHyphens/>
      <w:spacing w:after="120" w:line="360" w:lineRule="auto"/>
      <w:ind w:left="4252" w:right="-115" w:hanging="4252"/>
      <w:contextualSpacing/>
      <w:jc w:val="both"/>
    </w:pPr>
    <w:rPr>
      <w:rFonts w:ascii="Calibri" w:eastAsia="Times New Roman" w:hAnsi="Calibri" w:cs="Times New Roman"/>
      <w:b/>
      <w:sz w:val="28"/>
      <w:szCs w:val="24"/>
      <w:lang w:eastAsia="es-ES"/>
    </w:rPr>
  </w:style>
  <w:style w:type="paragraph" w:customStyle="1" w:styleId="aaaNumeral1">
    <w:name w:val="aaa Numeral 1"/>
    <w:basedOn w:val="Prrafodelista"/>
    <w:qFormat/>
    <w:rsid w:val="0013177C"/>
    <w:pPr>
      <w:numPr>
        <w:numId w:val="25"/>
      </w:numPr>
      <w:spacing w:before="240" w:after="360"/>
      <w:ind w:left="283" w:hanging="357"/>
      <w:jc w:val="both"/>
      <w:outlineLvl w:val="0"/>
    </w:pPr>
    <w:rPr>
      <w:rFonts w:ascii="Arial" w:eastAsiaTheme="minorHAnsi" w:hAnsi="Arial" w:cs="Arial"/>
      <w:b/>
    </w:rPr>
  </w:style>
  <w:style w:type="table" w:styleId="Tablaconcuadrcula">
    <w:name w:val="Table Grid"/>
    <w:basedOn w:val="Tablanormal"/>
    <w:uiPriority w:val="59"/>
    <w:rsid w:val="000003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9314409">
      <w:bodyDiv w:val="1"/>
      <w:marLeft w:val="0"/>
      <w:marRight w:val="0"/>
      <w:marTop w:val="0"/>
      <w:marBottom w:val="0"/>
      <w:divBdr>
        <w:top w:val="none" w:sz="0" w:space="0" w:color="auto"/>
        <w:left w:val="none" w:sz="0" w:space="0" w:color="auto"/>
        <w:bottom w:val="none" w:sz="0" w:space="0" w:color="auto"/>
        <w:right w:val="none" w:sz="0" w:space="0" w:color="auto"/>
      </w:divBdr>
    </w:div>
    <w:div w:id="702289597">
      <w:bodyDiv w:val="1"/>
      <w:marLeft w:val="0"/>
      <w:marRight w:val="0"/>
      <w:marTop w:val="0"/>
      <w:marBottom w:val="0"/>
      <w:divBdr>
        <w:top w:val="none" w:sz="0" w:space="0" w:color="auto"/>
        <w:left w:val="none" w:sz="0" w:space="0" w:color="auto"/>
        <w:bottom w:val="none" w:sz="0" w:space="0" w:color="auto"/>
        <w:right w:val="none" w:sz="0" w:space="0" w:color="auto"/>
      </w:divBdr>
    </w:div>
    <w:div w:id="1259564907">
      <w:bodyDiv w:val="1"/>
      <w:marLeft w:val="0"/>
      <w:marRight w:val="0"/>
      <w:marTop w:val="0"/>
      <w:marBottom w:val="0"/>
      <w:divBdr>
        <w:top w:val="none" w:sz="0" w:space="0" w:color="auto"/>
        <w:left w:val="none" w:sz="0" w:space="0" w:color="auto"/>
        <w:bottom w:val="none" w:sz="0" w:space="0" w:color="auto"/>
        <w:right w:val="none" w:sz="0" w:space="0" w:color="auto"/>
      </w:divBdr>
    </w:div>
    <w:div w:id="1345279291">
      <w:bodyDiv w:val="1"/>
      <w:marLeft w:val="0"/>
      <w:marRight w:val="0"/>
      <w:marTop w:val="0"/>
      <w:marBottom w:val="0"/>
      <w:divBdr>
        <w:top w:val="none" w:sz="0" w:space="0" w:color="auto"/>
        <w:left w:val="none" w:sz="0" w:space="0" w:color="auto"/>
        <w:bottom w:val="none" w:sz="0" w:space="0" w:color="auto"/>
        <w:right w:val="none" w:sz="0" w:space="0" w:color="auto"/>
      </w:divBdr>
    </w:div>
    <w:div w:id="1693721644">
      <w:bodyDiv w:val="1"/>
      <w:marLeft w:val="0"/>
      <w:marRight w:val="0"/>
      <w:marTop w:val="0"/>
      <w:marBottom w:val="0"/>
      <w:divBdr>
        <w:top w:val="none" w:sz="0" w:space="0" w:color="auto"/>
        <w:left w:val="none" w:sz="0" w:space="0" w:color="auto"/>
        <w:bottom w:val="none" w:sz="0" w:space="0" w:color="auto"/>
        <w:right w:val="none" w:sz="0" w:space="0" w:color="auto"/>
      </w:divBdr>
    </w:div>
    <w:div w:id="2082366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1.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image" Target="media/image5.emf"/><Relationship Id="rId2" Type="http://schemas.openxmlformats.org/officeDocument/2006/relationships/numbering" Target="numbering.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62F0E6E-5E49-46CD-A8FE-D2AEC9518E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11</Pages>
  <Words>3367</Words>
  <Characters>18519</Characters>
  <Application>Microsoft Office Word</Application>
  <DocSecurity>0</DocSecurity>
  <Lines>154</Lines>
  <Paragraphs>43</Paragraphs>
  <ScaleCrop>false</ScaleCrop>
  <HeadingPairs>
    <vt:vector size="2" baseType="variant">
      <vt:variant>
        <vt:lpstr>Título</vt:lpstr>
      </vt:variant>
      <vt:variant>
        <vt:i4>1</vt:i4>
      </vt:variant>
    </vt:vector>
  </HeadingPairs>
  <TitlesOfParts>
    <vt:vector size="1" baseType="lpstr">
      <vt:lpstr/>
    </vt:vector>
  </TitlesOfParts>
  <Company>TELMEX</Company>
  <LinksUpToDate>false</LinksUpToDate>
  <CharactersWithSpaces>21843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jsavila</dc:creator>
  <cp:lastModifiedBy>Sánchez Avila José Carlos</cp:lastModifiedBy>
  <cp:revision>4</cp:revision>
  <cp:lastPrinted>2023-07-28T23:26:00Z</cp:lastPrinted>
  <dcterms:created xsi:type="dcterms:W3CDTF">2023-07-28T23:13:00Z</dcterms:created>
  <dcterms:modified xsi:type="dcterms:W3CDTF">2023-07-28T23:45:00Z</dcterms:modified>
</cp:coreProperties>
</file>