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37F80" w14:textId="77777777" w:rsidR="00836E97" w:rsidRPr="00254539" w:rsidRDefault="00A06D30" w:rsidP="00254539">
      <w:pPr>
        <w:tabs>
          <w:tab w:val="center" w:pos="6927"/>
          <w:tab w:val="left" w:pos="11112"/>
        </w:tabs>
        <w:ind w:left="-284"/>
        <w:rPr>
          <w:b/>
          <w:bCs/>
          <w:sz w:val="32"/>
          <w:szCs w:val="28"/>
        </w:rPr>
      </w:pPr>
      <w:bookmarkStart w:id="0" w:name="_GoBack"/>
      <w:bookmarkEnd w:id="0"/>
      <w:r w:rsidRPr="00254539">
        <w:rPr>
          <w:b/>
          <w:bCs/>
          <w:sz w:val="32"/>
          <w:szCs w:val="28"/>
        </w:rPr>
        <w:tab/>
      </w:r>
      <w:r w:rsidR="002204F7" w:rsidRPr="00254539">
        <w:rPr>
          <w:b/>
          <w:bCs/>
          <w:sz w:val="32"/>
          <w:szCs w:val="28"/>
        </w:rPr>
        <w:t>CUADRO DE JUSTIFICACIONES A LA PROPUESTA DE ORE 2024</w:t>
      </w:r>
      <w:r w:rsidRPr="00254539">
        <w:rPr>
          <w:b/>
          <w:bCs/>
          <w:sz w:val="32"/>
          <w:szCs w:val="28"/>
        </w:rPr>
        <w:tab/>
      </w:r>
    </w:p>
    <w:tbl>
      <w:tblPr>
        <w:tblStyle w:val="Tablaconcuadrcula"/>
        <w:tblW w:w="14183" w:type="dxa"/>
        <w:jc w:val="center"/>
        <w:tblLayout w:type="fixed"/>
        <w:tblLook w:val="04A0" w:firstRow="1" w:lastRow="0" w:firstColumn="1" w:lastColumn="0" w:noHBand="0" w:noVBand="1"/>
      </w:tblPr>
      <w:tblGrid>
        <w:gridCol w:w="2405"/>
        <w:gridCol w:w="1276"/>
        <w:gridCol w:w="1559"/>
        <w:gridCol w:w="3686"/>
        <w:gridCol w:w="5257"/>
      </w:tblGrid>
      <w:tr w:rsidR="00F85E2E" w:rsidRPr="00C13F5A" w14:paraId="7C4BFD04" w14:textId="77777777" w:rsidTr="00254539">
        <w:trPr>
          <w:tblHeader/>
          <w:jc w:val="center"/>
        </w:trPr>
        <w:tc>
          <w:tcPr>
            <w:tcW w:w="2405" w:type="dxa"/>
            <w:shd w:val="clear" w:color="auto" w:fill="8EAADB" w:themeFill="accent1" w:themeFillTint="99"/>
            <w:vAlign w:val="center"/>
          </w:tcPr>
          <w:p w14:paraId="650F5419" w14:textId="77777777" w:rsidR="00F85E2E" w:rsidRPr="00254539" w:rsidRDefault="00F85E2E" w:rsidP="00E545B0">
            <w:pPr>
              <w:jc w:val="center"/>
              <w:rPr>
                <w:rFonts w:ascii="Calibri" w:hAnsi="Calibri" w:cs="Calibri"/>
                <w:b/>
                <w:bCs/>
                <w:color w:val="000000"/>
                <w:sz w:val="24"/>
                <w:szCs w:val="20"/>
              </w:rPr>
            </w:pPr>
            <w:r w:rsidRPr="00254539">
              <w:rPr>
                <w:rFonts w:ascii="Calibri" w:hAnsi="Calibri" w:cs="Calibri"/>
                <w:b/>
                <w:bCs/>
                <w:color w:val="000000"/>
                <w:sz w:val="24"/>
                <w:szCs w:val="20"/>
              </w:rPr>
              <w:t>Documento</w:t>
            </w:r>
          </w:p>
        </w:tc>
        <w:tc>
          <w:tcPr>
            <w:tcW w:w="1276" w:type="dxa"/>
            <w:shd w:val="clear" w:color="auto" w:fill="8EAADB" w:themeFill="accent1" w:themeFillTint="99"/>
            <w:vAlign w:val="center"/>
          </w:tcPr>
          <w:p w14:paraId="181A3400" w14:textId="77777777" w:rsidR="00F85E2E" w:rsidRPr="00254539" w:rsidRDefault="00F85E2E" w:rsidP="00E43A57">
            <w:pPr>
              <w:jc w:val="center"/>
              <w:rPr>
                <w:rFonts w:ascii="Calibri" w:hAnsi="Calibri" w:cs="Calibri"/>
                <w:b/>
                <w:bCs/>
                <w:color w:val="000000"/>
                <w:sz w:val="24"/>
                <w:szCs w:val="20"/>
              </w:rPr>
            </w:pPr>
            <w:r w:rsidRPr="00254539">
              <w:rPr>
                <w:rFonts w:ascii="Calibri" w:hAnsi="Calibri" w:cs="Calibri"/>
                <w:b/>
                <w:bCs/>
                <w:color w:val="000000"/>
                <w:sz w:val="24"/>
                <w:szCs w:val="20"/>
              </w:rPr>
              <w:t>Cláusula o Sección</w:t>
            </w:r>
          </w:p>
        </w:tc>
        <w:tc>
          <w:tcPr>
            <w:tcW w:w="1559" w:type="dxa"/>
            <w:shd w:val="clear" w:color="auto" w:fill="8EAADB" w:themeFill="accent1" w:themeFillTint="99"/>
            <w:vAlign w:val="center"/>
          </w:tcPr>
          <w:p w14:paraId="4049B393" w14:textId="77777777" w:rsidR="00F85E2E" w:rsidRPr="00254539" w:rsidRDefault="00F85E2E" w:rsidP="00E43A57">
            <w:pPr>
              <w:jc w:val="center"/>
              <w:rPr>
                <w:rFonts w:ascii="Calibri" w:hAnsi="Calibri" w:cs="Calibri"/>
                <w:b/>
                <w:bCs/>
                <w:color w:val="000000"/>
                <w:sz w:val="24"/>
                <w:szCs w:val="20"/>
              </w:rPr>
            </w:pPr>
            <w:r w:rsidRPr="00254539">
              <w:rPr>
                <w:rFonts w:ascii="Calibri" w:hAnsi="Calibri" w:cs="Calibri"/>
                <w:b/>
                <w:bCs/>
                <w:color w:val="000000"/>
                <w:sz w:val="24"/>
                <w:szCs w:val="20"/>
              </w:rPr>
              <w:t>Tema</w:t>
            </w:r>
          </w:p>
        </w:tc>
        <w:tc>
          <w:tcPr>
            <w:tcW w:w="3686" w:type="dxa"/>
            <w:shd w:val="clear" w:color="auto" w:fill="8EAADB" w:themeFill="accent1" w:themeFillTint="99"/>
            <w:vAlign w:val="center"/>
          </w:tcPr>
          <w:p w14:paraId="667AE47E" w14:textId="77777777" w:rsidR="00F85E2E" w:rsidRPr="00254539" w:rsidRDefault="00F85E2E" w:rsidP="00F85E2E">
            <w:pPr>
              <w:jc w:val="center"/>
              <w:rPr>
                <w:rFonts w:ascii="Calibri" w:hAnsi="Calibri" w:cs="Calibri"/>
                <w:b/>
                <w:bCs/>
                <w:color w:val="000000"/>
                <w:sz w:val="24"/>
                <w:szCs w:val="20"/>
              </w:rPr>
            </w:pPr>
            <w:r w:rsidRPr="00254539">
              <w:rPr>
                <w:rFonts w:ascii="Calibri" w:hAnsi="Calibri" w:cs="Calibri"/>
                <w:b/>
                <w:bCs/>
                <w:color w:val="000000"/>
                <w:sz w:val="24"/>
                <w:szCs w:val="20"/>
              </w:rPr>
              <w:t>Modificación</w:t>
            </w:r>
          </w:p>
        </w:tc>
        <w:tc>
          <w:tcPr>
            <w:tcW w:w="5257" w:type="dxa"/>
            <w:shd w:val="clear" w:color="auto" w:fill="8EAADB" w:themeFill="accent1" w:themeFillTint="99"/>
            <w:vAlign w:val="center"/>
          </w:tcPr>
          <w:p w14:paraId="139CAAAA" w14:textId="77777777" w:rsidR="00F85E2E" w:rsidRPr="00254539" w:rsidRDefault="00F85E2E" w:rsidP="00812A5E">
            <w:pPr>
              <w:ind w:right="57"/>
              <w:jc w:val="both"/>
              <w:rPr>
                <w:rFonts w:ascii="Calibri Light" w:eastAsia="Calibri" w:hAnsi="Calibri Light" w:cs="Calibri Light"/>
                <w:b/>
                <w:sz w:val="24"/>
                <w:szCs w:val="20"/>
              </w:rPr>
            </w:pPr>
            <w:r w:rsidRPr="00254539">
              <w:rPr>
                <w:rFonts w:ascii="Calibri Light" w:eastAsia="Calibri" w:hAnsi="Calibri Light" w:cs="Calibri Light"/>
                <w:b/>
                <w:sz w:val="24"/>
                <w:szCs w:val="20"/>
              </w:rPr>
              <w:t>Justificación</w:t>
            </w:r>
          </w:p>
        </w:tc>
      </w:tr>
      <w:tr w:rsidR="00083367" w:rsidRPr="00C13F5A" w14:paraId="27586AC1" w14:textId="77777777" w:rsidTr="00435A6E">
        <w:trPr>
          <w:jc w:val="center"/>
        </w:trPr>
        <w:tc>
          <w:tcPr>
            <w:tcW w:w="2405" w:type="dxa"/>
            <w:shd w:val="clear" w:color="auto" w:fill="auto"/>
            <w:vAlign w:val="center"/>
          </w:tcPr>
          <w:p w14:paraId="0A368AAD" w14:textId="77777777" w:rsidR="00083367" w:rsidRDefault="005F1379" w:rsidP="00536ADF">
            <w:pPr>
              <w:jc w:val="center"/>
              <w:rPr>
                <w:sz w:val="20"/>
                <w:szCs w:val="20"/>
              </w:rPr>
            </w:pPr>
            <w:r>
              <w:rPr>
                <w:sz w:val="20"/>
                <w:szCs w:val="20"/>
              </w:rPr>
              <w:t>Oferta</w:t>
            </w:r>
          </w:p>
        </w:tc>
        <w:tc>
          <w:tcPr>
            <w:tcW w:w="1276" w:type="dxa"/>
            <w:shd w:val="clear" w:color="auto" w:fill="auto"/>
            <w:vAlign w:val="center"/>
          </w:tcPr>
          <w:p w14:paraId="6972CB03" w14:textId="77777777" w:rsidR="00083367" w:rsidRDefault="00435A6E" w:rsidP="00536ADF">
            <w:pPr>
              <w:jc w:val="center"/>
              <w:rPr>
                <w:rFonts w:cstheme="minorHAnsi"/>
                <w:sz w:val="20"/>
                <w:szCs w:val="20"/>
              </w:rPr>
            </w:pPr>
            <w:r>
              <w:rPr>
                <w:rFonts w:cstheme="minorHAnsi"/>
                <w:sz w:val="20"/>
                <w:szCs w:val="20"/>
              </w:rPr>
              <w:t>Definiciones</w:t>
            </w:r>
          </w:p>
          <w:p w14:paraId="73E32CD2" w14:textId="77777777" w:rsidR="00435A6E" w:rsidRDefault="00435A6E" w:rsidP="00536ADF">
            <w:pPr>
              <w:jc w:val="center"/>
              <w:rPr>
                <w:rFonts w:cstheme="minorHAnsi"/>
                <w:sz w:val="20"/>
                <w:szCs w:val="20"/>
              </w:rPr>
            </w:pPr>
            <w:r>
              <w:rPr>
                <w:rFonts w:cstheme="minorHAnsi"/>
                <w:sz w:val="20"/>
                <w:szCs w:val="20"/>
              </w:rPr>
              <w:t>Acrónimos</w:t>
            </w:r>
          </w:p>
        </w:tc>
        <w:tc>
          <w:tcPr>
            <w:tcW w:w="1559" w:type="dxa"/>
            <w:shd w:val="clear" w:color="auto" w:fill="auto"/>
            <w:vAlign w:val="center"/>
          </w:tcPr>
          <w:p w14:paraId="6D3B625B" w14:textId="77777777" w:rsidR="00083367" w:rsidRPr="00FD4CB6" w:rsidRDefault="00435A6E" w:rsidP="00536ADF">
            <w:pPr>
              <w:jc w:val="both"/>
              <w:rPr>
                <w:rFonts w:cstheme="minorHAnsi"/>
                <w:b/>
                <w:bCs/>
                <w:sz w:val="20"/>
                <w:szCs w:val="20"/>
              </w:rPr>
            </w:pPr>
            <w:r>
              <w:rPr>
                <w:rFonts w:cstheme="minorHAnsi"/>
                <w:b/>
                <w:bCs/>
                <w:sz w:val="20"/>
                <w:szCs w:val="20"/>
              </w:rPr>
              <w:t>Definiciones</w:t>
            </w:r>
          </w:p>
        </w:tc>
        <w:tc>
          <w:tcPr>
            <w:tcW w:w="3686" w:type="dxa"/>
            <w:shd w:val="clear" w:color="auto" w:fill="auto"/>
            <w:vAlign w:val="center"/>
          </w:tcPr>
          <w:p w14:paraId="1A3936D2" w14:textId="7720CCB0" w:rsidR="00083367" w:rsidRDefault="00435A6E" w:rsidP="006E67F7">
            <w:pPr>
              <w:jc w:val="both"/>
              <w:rPr>
                <w:rFonts w:ascii="Calibri Light" w:eastAsia="Calibri" w:hAnsi="Calibri Light" w:cs="Calibri Light"/>
                <w:sz w:val="20"/>
                <w:szCs w:val="20"/>
              </w:rPr>
            </w:pPr>
            <w:r>
              <w:rPr>
                <w:rFonts w:ascii="Calibri Light" w:eastAsia="Calibri" w:hAnsi="Calibri Light" w:cs="Calibri Light"/>
                <w:sz w:val="20"/>
                <w:szCs w:val="20"/>
              </w:rPr>
              <w:t>Se agregan definiciones y acrónimos a la Oferta de Referencia</w:t>
            </w:r>
            <w:r w:rsidR="00D16982">
              <w:rPr>
                <w:rFonts w:ascii="Calibri Light" w:eastAsia="Calibri" w:hAnsi="Calibri Light" w:cs="Calibri Light"/>
                <w:sz w:val="20"/>
                <w:szCs w:val="20"/>
              </w:rPr>
              <w:t>.</w:t>
            </w:r>
          </w:p>
        </w:tc>
        <w:tc>
          <w:tcPr>
            <w:tcW w:w="5257" w:type="dxa"/>
            <w:shd w:val="clear" w:color="auto" w:fill="auto"/>
            <w:vAlign w:val="center"/>
          </w:tcPr>
          <w:p w14:paraId="1FF8D036" w14:textId="77777777" w:rsidR="00083367" w:rsidRDefault="00435A6E" w:rsidP="00812A5E">
            <w:pPr>
              <w:ind w:right="57"/>
              <w:jc w:val="both"/>
              <w:rPr>
                <w:rFonts w:ascii="Calibri Light" w:eastAsia="Calibri" w:hAnsi="Calibri Light" w:cs="Calibri Light"/>
                <w:sz w:val="20"/>
                <w:szCs w:val="20"/>
              </w:rPr>
            </w:pPr>
            <w:r>
              <w:rPr>
                <w:rFonts w:ascii="Calibri Light" w:eastAsia="Calibri" w:hAnsi="Calibri Light" w:cs="Calibri Light"/>
                <w:sz w:val="20"/>
                <w:szCs w:val="20"/>
              </w:rPr>
              <w:t>Para dar claridad a los conceptos utilizados en la oferta de referencia.</w:t>
            </w:r>
          </w:p>
        </w:tc>
      </w:tr>
      <w:tr w:rsidR="005F1379" w:rsidRPr="00C13F5A" w14:paraId="5B9E8E38" w14:textId="77777777" w:rsidTr="00014724">
        <w:tblPrEx>
          <w:jc w:val="left"/>
        </w:tblPrEx>
        <w:trPr>
          <w:trHeight w:val="3960"/>
        </w:trPr>
        <w:tc>
          <w:tcPr>
            <w:tcW w:w="2405" w:type="dxa"/>
            <w:vAlign w:val="center"/>
          </w:tcPr>
          <w:p w14:paraId="06043E5E" w14:textId="77777777" w:rsidR="005F1379" w:rsidRPr="00E43A57" w:rsidRDefault="005F1379" w:rsidP="006404EC">
            <w:pPr>
              <w:jc w:val="center"/>
              <w:rPr>
                <w:sz w:val="20"/>
                <w:szCs w:val="20"/>
              </w:rPr>
            </w:pPr>
            <w:r>
              <w:rPr>
                <w:sz w:val="20"/>
                <w:szCs w:val="20"/>
              </w:rPr>
              <w:t>Oferta</w:t>
            </w:r>
          </w:p>
        </w:tc>
        <w:tc>
          <w:tcPr>
            <w:tcW w:w="1276" w:type="dxa"/>
            <w:vAlign w:val="center"/>
          </w:tcPr>
          <w:p w14:paraId="6BD93DDD" w14:textId="77777777" w:rsidR="005F1379" w:rsidRPr="00E43A57" w:rsidRDefault="005F1379" w:rsidP="006404EC">
            <w:pPr>
              <w:jc w:val="center"/>
              <w:rPr>
                <w:rFonts w:cstheme="minorHAnsi"/>
                <w:sz w:val="20"/>
                <w:szCs w:val="20"/>
              </w:rPr>
            </w:pPr>
            <w:r>
              <w:rPr>
                <w:rFonts w:cstheme="minorHAnsi"/>
                <w:sz w:val="20"/>
                <w:szCs w:val="20"/>
              </w:rPr>
              <w:t>Definiciones</w:t>
            </w:r>
          </w:p>
        </w:tc>
        <w:tc>
          <w:tcPr>
            <w:tcW w:w="1559" w:type="dxa"/>
            <w:vMerge w:val="restart"/>
            <w:vAlign w:val="center"/>
          </w:tcPr>
          <w:p w14:paraId="08273D73" w14:textId="77777777" w:rsidR="005F1379" w:rsidRPr="00B21C90" w:rsidRDefault="005F1379" w:rsidP="006404EC">
            <w:pPr>
              <w:jc w:val="both"/>
              <w:rPr>
                <w:rFonts w:cstheme="minorHAnsi"/>
                <w:b/>
                <w:bCs/>
                <w:sz w:val="20"/>
                <w:szCs w:val="20"/>
              </w:rPr>
            </w:pPr>
            <w:r>
              <w:rPr>
                <w:rFonts w:cstheme="minorHAnsi"/>
                <w:b/>
                <w:bCs/>
                <w:sz w:val="20"/>
                <w:szCs w:val="20"/>
              </w:rPr>
              <w:t>Días inhábiles</w:t>
            </w:r>
          </w:p>
        </w:tc>
        <w:tc>
          <w:tcPr>
            <w:tcW w:w="3686" w:type="dxa"/>
            <w:vMerge w:val="restart"/>
            <w:vAlign w:val="center"/>
          </w:tcPr>
          <w:p w14:paraId="646D297C" w14:textId="19A5F0D0" w:rsidR="005F1379" w:rsidRDefault="005F1379" w:rsidP="00EB36DB">
            <w:pPr>
              <w:jc w:val="both"/>
              <w:rPr>
                <w:rFonts w:ascii="Calibri Light" w:eastAsia="Calibri" w:hAnsi="Calibri Light" w:cs="Calibri Light"/>
                <w:sz w:val="20"/>
                <w:szCs w:val="20"/>
              </w:rPr>
            </w:pPr>
            <w:r w:rsidRPr="005F1379">
              <w:rPr>
                <w:rFonts w:ascii="Calibri Light" w:eastAsia="Calibri" w:hAnsi="Calibri Light" w:cs="Calibri Light"/>
                <w:sz w:val="20"/>
                <w:szCs w:val="20"/>
              </w:rPr>
              <w:t>DÍA INHÁBIL: Se considerará como día inhábil para todos los efectos señalados en la presente Oferta y sus Anexos, además de sábados y domingos, aquellos días establecidos como inhábiles en el artículo 74 de la Ley Federal del Trabajo</w:t>
            </w:r>
            <w:r w:rsidRPr="007B3AB2">
              <w:rPr>
                <w:rFonts w:ascii="Calibri Light" w:eastAsia="Calibri" w:hAnsi="Calibri Light" w:cs="Calibri Light"/>
                <w:color w:val="0070C0"/>
                <w:sz w:val="20"/>
                <w:szCs w:val="20"/>
              </w:rPr>
              <w:t xml:space="preserve"> y la </w:t>
            </w:r>
            <w:r w:rsidR="00AA1721" w:rsidRPr="007B3AB2">
              <w:rPr>
                <w:rFonts w:ascii="Calibri Light" w:eastAsia="Calibri" w:hAnsi="Calibri Light" w:cs="Calibri Light"/>
                <w:color w:val="0070C0"/>
                <w:sz w:val="20"/>
                <w:szCs w:val="20"/>
              </w:rPr>
              <w:t>Cláusula</w:t>
            </w:r>
            <w:r w:rsidRPr="007B3AB2">
              <w:rPr>
                <w:rFonts w:ascii="Calibri Light" w:eastAsia="Calibri" w:hAnsi="Calibri Light" w:cs="Calibri Light"/>
                <w:color w:val="0070C0"/>
                <w:sz w:val="20"/>
                <w:szCs w:val="20"/>
              </w:rPr>
              <w:t xml:space="preserve"> 91 del Contrato Colectivo de Trabajo de Telmex</w:t>
            </w:r>
            <w:r w:rsidR="00236F51">
              <w:rPr>
                <w:rFonts w:ascii="Calibri Light" w:eastAsia="Calibri" w:hAnsi="Calibri Light" w:cs="Calibri Light"/>
                <w:color w:val="0070C0"/>
                <w:sz w:val="20"/>
                <w:szCs w:val="20"/>
              </w:rPr>
              <w:t xml:space="preserve"> o Cláusula 51 del Contrato Colectivo de Telnor</w:t>
            </w:r>
            <w:r w:rsidRPr="005F1379">
              <w:rPr>
                <w:rFonts w:ascii="Calibri Light" w:eastAsia="Calibri" w:hAnsi="Calibri Light" w:cs="Calibri Light"/>
                <w:sz w:val="20"/>
                <w:szCs w:val="20"/>
              </w:rPr>
              <w:t>, en el entendido de que tales días no se contabilizaran para el cálculo de los plazos de entrega y penas por entregas tardías establecidas en la prestación de los servicios objeto del presente documento.</w:t>
            </w:r>
          </w:p>
        </w:tc>
        <w:tc>
          <w:tcPr>
            <w:tcW w:w="5257" w:type="dxa"/>
            <w:vMerge w:val="restart"/>
            <w:vAlign w:val="center"/>
          </w:tcPr>
          <w:p w14:paraId="4ADD698A" w14:textId="77777777" w:rsidR="009621DF" w:rsidRDefault="00075A66" w:rsidP="00075A66">
            <w:pPr>
              <w:ind w:right="57"/>
              <w:jc w:val="both"/>
              <w:rPr>
                <w:rFonts w:ascii="Calibri Light" w:eastAsia="Calibri" w:hAnsi="Calibri Light" w:cs="Calibri Light"/>
                <w:sz w:val="20"/>
                <w:szCs w:val="20"/>
              </w:rPr>
            </w:pPr>
            <w:r w:rsidRPr="00812A5E">
              <w:rPr>
                <w:rFonts w:ascii="Calibri Light" w:eastAsia="Calibri" w:hAnsi="Calibri Light" w:cs="Calibri Light"/>
                <w:sz w:val="20"/>
                <w:szCs w:val="20"/>
              </w:rPr>
              <w:t>Se agrega</w:t>
            </w:r>
            <w:r w:rsidR="001403D2">
              <w:rPr>
                <w:rFonts w:ascii="Calibri Light" w:eastAsia="Calibri" w:hAnsi="Calibri Light" w:cs="Calibri Light"/>
                <w:sz w:val="20"/>
                <w:szCs w:val="20"/>
              </w:rPr>
              <w:t>n</w:t>
            </w:r>
            <w:r w:rsidRPr="00812A5E">
              <w:rPr>
                <w:rFonts w:ascii="Calibri Light" w:eastAsia="Calibri" w:hAnsi="Calibri Light" w:cs="Calibri Light"/>
                <w:sz w:val="20"/>
                <w:szCs w:val="20"/>
              </w:rPr>
              <w:t xml:space="preserve"> </w:t>
            </w:r>
            <w:r w:rsidR="00EC4054">
              <w:rPr>
                <w:rFonts w:ascii="Calibri Light" w:eastAsia="Calibri" w:hAnsi="Calibri Light" w:cs="Calibri Light"/>
                <w:sz w:val="20"/>
                <w:szCs w:val="20"/>
              </w:rPr>
              <w:t>como días inhábiles, los días de descanso obligatorio para los trabajadores de conformidad con el Contrato Colectivo de Trabajo de Telmex/Telnor</w:t>
            </w:r>
            <w:r w:rsidR="00630744">
              <w:rPr>
                <w:rFonts w:ascii="Calibri Light" w:eastAsia="Calibri" w:hAnsi="Calibri Light" w:cs="Calibri Light"/>
                <w:sz w:val="20"/>
                <w:szCs w:val="20"/>
              </w:rPr>
              <w:t>. E</w:t>
            </w:r>
            <w:r w:rsidR="00EC4054">
              <w:rPr>
                <w:rFonts w:ascii="Calibri Light" w:eastAsia="Calibri" w:hAnsi="Calibri Light" w:cs="Calibri Light"/>
                <w:sz w:val="20"/>
                <w:szCs w:val="20"/>
              </w:rPr>
              <w:t>s importante precisar que l</w:t>
            </w:r>
            <w:r w:rsidR="009621DF" w:rsidRPr="00812A5E">
              <w:rPr>
                <w:rFonts w:ascii="Calibri Light" w:eastAsia="Calibri" w:hAnsi="Calibri Light" w:cs="Calibri Light"/>
                <w:sz w:val="20"/>
                <w:szCs w:val="20"/>
              </w:rPr>
              <w:t xml:space="preserve">a Ley Federal del Trabajo </w:t>
            </w:r>
            <w:r w:rsidR="0025659C" w:rsidRPr="00812A5E">
              <w:rPr>
                <w:rFonts w:ascii="Calibri Light" w:eastAsia="Calibri" w:hAnsi="Calibri Light" w:cs="Calibri Light"/>
                <w:sz w:val="20"/>
                <w:szCs w:val="20"/>
              </w:rPr>
              <w:t xml:space="preserve">(LFT) </w:t>
            </w:r>
            <w:r w:rsidR="009621DF" w:rsidRPr="00812A5E">
              <w:rPr>
                <w:rFonts w:ascii="Calibri Light" w:eastAsia="Calibri" w:hAnsi="Calibri Light" w:cs="Calibri Light"/>
                <w:sz w:val="20"/>
                <w:szCs w:val="20"/>
              </w:rPr>
              <w:t>es de observancia general en toda la República y rige las relaciones de trabajo comprendidas en el artículo 123, Apartado A, de la Constitución</w:t>
            </w:r>
            <w:r w:rsidR="00EC4054">
              <w:rPr>
                <w:rFonts w:ascii="Calibri Light" w:eastAsia="Calibri" w:hAnsi="Calibri Light" w:cs="Calibri Light"/>
                <w:sz w:val="20"/>
                <w:szCs w:val="20"/>
              </w:rPr>
              <w:t xml:space="preserve"> Política de los Estados Unidos Mexicanos (Constitución Federal)</w:t>
            </w:r>
            <w:r w:rsidR="009621DF" w:rsidRPr="00812A5E">
              <w:rPr>
                <w:rFonts w:ascii="Calibri Light" w:eastAsia="Calibri" w:hAnsi="Calibri Light" w:cs="Calibri Light"/>
                <w:sz w:val="20"/>
                <w:szCs w:val="20"/>
              </w:rPr>
              <w:t>.</w:t>
            </w:r>
          </w:p>
          <w:p w14:paraId="2B26B7C3" w14:textId="77777777" w:rsidR="00812A5E" w:rsidRPr="00812A5E" w:rsidRDefault="00812A5E" w:rsidP="00075A66">
            <w:pPr>
              <w:ind w:right="57"/>
              <w:jc w:val="both"/>
              <w:rPr>
                <w:rFonts w:ascii="Calibri Light" w:eastAsia="Calibri" w:hAnsi="Calibri Light" w:cs="Calibri Light"/>
                <w:sz w:val="20"/>
                <w:szCs w:val="20"/>
              </w:rPr>
            </w:pPr>
          </w:p>
          <w:p w14:paraId="07648B82" w14:textId="5EBFC6F0" w:rsidR="00B54C9C" w:rsidRPr="00812A5E" w:rsidRDefault="009621DF" w:rsidP="00B54C9C">
            <w:pPr>
              <w:ind w:right="57"/>
              <w:jc w:val="both"/>
              <w:rPr>
                <w:rFonts w:ascii="Calibri Light" w:eastAsia="Calibri" w:hAnsi="Calibri Light" w:cs="Calibri Light"/>
                <w:sz w:val="20"/>
                <w:szCs w:val="20"/>
              </w:rPr>
            </w:pPr>
            <w:r w:rsidRPr="00AA1721">
              <w:rPr>
                <w:rFonts w:ascii="Calibri Light" w:eastAsia="Calibri" w:hAnsi="Calibri Light" w:cs="Calibri Light"/>
                <w:sz w:val="20"/>
                <w:szCs w:val="20"/>
              </w:rPr>
              <w:t xml:space="preserve">Al respecto, el </w:t>
            </w:r>
            <w:r w:rsidR="00B54C9C" w:rsidRPr="00AA1721">
              <w:rPr>
                <w:rFonts w:ascii="Calibri Light" w:eastAsia="Calibri" w:hAnsi="Calibri Light" w:cs="Calibri Light"/>
                <w:sz w:val="20"/>
                <w:szCs w:val="20"/>
              </w:rPr>
              <w:t>capítulo</w:t>
            </w:r>
            <w:r w:rsidRPr="00AA1721">
              <w:rPr>
                <w:rFonts w:ascii="Calibri Light" w:eastAsia="Calibri" w:hAnsi="Calibri Light" w:cs="Calibri Light"/>
                <w:sz w:val="20"/>
                <w:szCs w:val="20"/>
              </w:rPr>
              <w:t xml:space="preserve"> III de dicha ley regul</w:t>
            </w:r>
            <w:r w:rsidR="00B54C9C" w:rsidRPr="00AA1721">
              <w:rPr>
                <w:rFonts w:ascii="Calibri Light" w:eastAsia="Calibri" w:hAnsi="Calibri Light" w:cs="Calibri Light"/>
                <w:sz w:val="20"/>
                <w:szCs w:val="20"/>
              </w:rPr>
              <w:t>a el p</w:t>
            </w:r>
            <w:r w:rsidRPr="00AA1721">
              <w:rPr>
                <w:rFonts w:ascii="Calibri Light" w:eastAsia="Calibri" w:hAnsi="Calibri Light" w:cs="Calibri Light"/>
                <w:sz w:val="20"/>
                <w:szCs w:val="20"/>
              </w:rPr>
              <w:t xml:space="preserve">rocedimiento para la celebración de un contrato colectivo trabajo y establece </w:t>
            </w:r>
            <w:r w:rsidR="00B54C9C" w:rsidRPr="00AA1721">
              <w:rPr>
                <w:rFonts w:ascii="Calibri Light" w:eastAsia="Calibri" w:hAnsi="Calibri Light" w:cs="Calibri Light"/>
                <w:sz w:val="20"/>
                <w:szCs w:val="20"/>
              </w:rPr>
              <w:t xml:space="preserve">lo que debe contener, así como el momento en que </w:t>
            </w:r>
            <w:r w:rsidR="00812A5E" w:rsidRPr="00AA1721">
              <w:rPr>
                <w:rFonts w:ascii="Calibri Light" w:eastAsia="Calibri" w:hAnsi="Calibri Light" w:cs="Calibri Light"/>
                <w:sz w:val="20"/>
                <w:szCs w:val="20"/>
              </w:rPr>
              <w:t>surte efectos; una vez agotado el procedimient</w:t>
            </w:r>
            <w:r w:rsidR="001A07D8" w:rsidRPr="00AA1721">
              <w:rPr>
                <w:rFonts w:ascii="Calibri Light" w:eastAsia="Calibri" w:hAnsi="Calibri Light" w:cs="Calibri Light"/>
                <w:sz w:val="20"/>
                <w:szCs w:val="20"/>
              </w:rPr>
              <w:t>o</w:t>
            </w:r>
            <w:r w:rsidR="001403D2" w:rsidRPr="00AA1721">
              <w:rPr>
                <w:rFonts w:ascii="Calibri Light" w:eastAsia="Calibri" w:hAnsi="Calibri Light" w:cs="Calibri Light"/>
                <w:sz w:val="20"/>
                <w:szCs w:val="20"/>
              </w:rPr>
              <w:t>,</w:t>
            </w:r>
            <w:r w:rsidR="00812A5E" w:rsidRPr="00AA1721">
              <w:rPr>
                <w:rFonts w:ascii="Calibri Light" w:eastAsia="Calibri" w:hAnsi="Calibri Light" w:cs="Calibri Light"/>
                <w:sz w:val="20"/>
                <w:szCs w:val="20"/>
              </w:rPr>
              <w:t xml:space="preserve"> se</w:t>
            </w:r>
            <w:r w:rsidR="00B54C9C" w:rsidRPr="00AA1721">
              <w:rPr>
                <w:rFonts w:ascii="Calibri Light" w:eastAsia="Calibri" w:hAnsi="Calibri Light" w:cs="Calibri Light"/>
                <w:sz w:val="20"/>
                <w:szCs w:val="20"/>
              </w:rPr>
              <w:t xml:space="preserve"> vuelve obligatorio para las partes.</w:t>
            </w:r>
          </w:p>
          <w:p w14:paraId="3748C1A2" w14:textId="77777777" w:rsidR="00B54C9C" w:rsidRPr="00812A5E" w:rsidRDefault="00B54C9C" w:rsidP="00B54C9C">
            <w:pPr>
              <w:ind w:right="57"/>
              <w:jc w:val="both"/>
              <w:rPr>
                <w:rFonts w:ascii="Calibri Light" w:eastAsia="Calibri" w:hAnsi="Calibri Light" w:cs="Calibri Light"/>
                <w:sz w:val="20"/>
                <w:szCs w:val="20"/>
              </w:rPr>
            </w:pPr>
          </w:p>
          <w:p w14:paraId="7D3941A9" w14:textId="77777777" w:rsidR="00B54C9C" w:rsidRPr="00812A5E" w:rsidRDefault="00B54C9C" w:rsidP="00B54C9C">
            <w:pPr>
              <w:ind w:right="57"/>
              <w:jc w:val="both"/>
              <w:rPr>
                <w:rFonts w:ascii="Calibri Light" w:eastAsia="Calibri" w:hAnsi="Calibri Light" w:cs="Calibri Light"/>
                <w:sz w:val="20"/>
                <w:szCs w:val="20"/>
              </w:rPr>
            </w:pPr>
            <w:r w:rsidRPr="00812A5E">
              <w:rPr>
                <w:rFonts w:ascii="Calibri Light" w:eastAsia="Calibri" w:hAnsi="Calibri Light" w:cs="Calibri Light"/>
                <w:sz w:val="20"/>
                <w:szCs w:val="20"/>
              </w:rPr>
              <w:t>En este sentido dicho contrato, de conformidad con la propia ley tiene el objeto</w:t>
            </w:r>
            <w:r>
              <w:rPr>
                <w:rFonts w:ascii="Calibri Light" w:eastAsia="Calibri" w:hAnsi="Calibri Light" w:cs="Calibri Light"/>
                <w:sz w:val="20"/>
                <w:szCs w:val="20"/>
              </w:rPr>
              <w:t xml:space="preserve"> </w:t>
            </w:r>
            <w:r w:rsidRPr="00812A5E">
              <w:rPr>
                <w:rFonts w:ascii="Calibri Light" w:eastAsia="Calibri" w:hAnsi="Calibri Light" w:cs="Calibri Light"/>
                <w:sz w:val="20"/>
                <w:szCs w:val="20"/>
              </w:rPr>
              <w:t>de establecer las condiciones según las cuales debe prestarse el trabajo en una o más empresas o establecimientos y debe contener los días de descanso y vacaciones</w:t>
            </w:r>
            <w:r w:rsidR="00812A5E">
              <w:rPr>
                <w:rFonts w:ascii="Calibri Light" w:eastAsia="Calibri" w:hAnsi="Calibri Light" w:cs="Calibri Light"/>
                <w:sz w:val="20"/>
                <w:szCs w:val="20"/>
              </w:rPr>
              <w:t xml:space="preserve"> de los trabajadores</w:t>
            </w:r>
            <w:r w:rsidRPr="00812A5E">
              <w:rPr>
                <w:rFonts w:ascii="Calibri Light" w:eastAsia="Calibri" w:hAnsi="Calibri Light" w:cs="Calibri Light"/>
                <w:sz w:val="20"/>
                <w:szCs w:val="20"/>
              </w:rPr>
              <w:t>.</w:t>
            </w:r>
          </w:p>
          <w:p w14:paraId="1898DA1F" w14:textId="77777777" w:rsidR="00B54C9C" w:rsidRPr="00812A5E" w:rsidRDefault="00B54C9C" w:rsidP="00B54C9C">
            <w:pPr>
              <w:ind w:right="57"/>
              <w:jc w:val="both"/>
              <w:rPr>
                <w:rFonts w:ascii="Calibri Light" w:eastAsia="Calibri" w:hAnsi="Calibri Light" w:cs="Calibri Light"/>
                <w:sz w:val="20"/>
                <w:szCs w:val="20"/>
              </w:rPr>
            </w:pPr>
          </w:p>
          <w:p w14:paraId="3AF49621" w14:textId="057E332F" w:rsidR="00B54C9C" w:rsidRPr="00812A5E" w:rsidRDefault="00B54C9C" w:rsidP="00B54C9C">
            <w:pPr>
              <w:ind w:right="57"/>
              <w:jc w:val="both"/>
              <w:rPr>
                <w:rFonts w:ascii="Calibri Light" w:eastAsia="Calibri" w:hAnsi="Calibri Light" w:cs="Calibri Light"/>
                <w:sz w:val="20"/>
                <w:szCs w:val="20"/>
              </w:rPr>
            </w:pPr>
            <w:r w:rsidRPr="00AA1721">
              <w:rPr>
                <w:rFonts w:ascii="Calibri Light" w:eastAsia="Calibri" w:hAnsi="Calibri Light" w:cs="Calibri Light"/>
                <w:sz w:val="20"/>
                <w:szCs w:val="20"/>
              </w:rPr>
              <w:t xml:space="preserve">Lo expuesto, </w:t>
            </w:r>
            <w:r w:rsidR="0025659C" w:rsidRPr="00AA1721">
              <w:rPr>
                <w:rFonts w:ascii="Calibri Light" w:eastAsia="Calibri" w:hAnsi="Calibri Light" w:cs="Calibri Light"/>
                <w:sz w:val="20"/>
                <w:szCs w:val="20"/>
              </w:rPr>
              <w:t>es de conocimiento general</w:t>
            </w:r>
            <w:r w:rsidRPr="00AA1721">
              <w:rPr>
                <w:rFonts w:ascii="Calibri Light" w:eastAsia="Calibri" w:hAnsi="Calibri Light" w:cs="Calibri Light"/>
                <w:sz w:val="20"/>
                <w:szCs w:val="20"/>
              </w:rPr>
              <w:t xml:space="preserve"> </w:t>
            </w:r>
            <w:r w:rsidR="00FB540C" w:rsidRPr="00AA1721">
              <w:rPr>
                <w:rFonts w:ascii="Calibri Light" w:eastAsia="Calibri" w:hAnsi="Calibri Light" w:cs="Calibri Light"/>
                <w:sz w:val="20"/>
                <w:szCs w:val="20"/>
              </w:rPr>
              <w:t>siendo una</w:t>
            </w:r>
            <w:r w:rsidR="0025659C" w:rsidRPr="00AA1721">
              <w:rPr>
                <w:rFonts w:ascii="Calibri Light" w:eastAsia="Calibri" w:hAnsi="Calibri Light" w:cs="Calibri Light"/>
                <w:sz w:val="20"/>
                <w:szCs w:val="20"/>
              </w:rPr>
              <w:t xml:space="preserve"> situación meramente laboral, por lo que </w:t>
            </w:r>
            <w:r w:rsidR="00FB540C" w:rsidRPr="00AA1721">
              <w:rPr>
                <w:rFonts w:ascii="Calibri Light" w:eastAsia="Calibri" w:hAnsi="Calibri Light" w:cs="Calibri Light"/>
                <w:sz w:val="20"/>
                <w:szCs w:val="20"/>
              </w:rPr>
              <w:t>la Secretaría del Trabajo y Previsión Social (STPS)</w:t>
            </w:r>
            <w:r w:rsidR="00C66F15" w:rsidRPr="00AA1721">
              <w:rPr>
                <w:rFonts w:ascii="Calibri Light" w:eastAsia="Calibri" w:hAnsi="Calibri Light" w:cs="Calibri Light"/>
                <w:sz w:val="20"/>
                <w:szCs w:val="20"/>
              </w:rPr>
              <w:t xml:space="preserve">, autoridad </w:t>
            </w:r>
            <w:r w:rsidR="00BD084A" w:rsidRPr="00AA1721">
              <w:rPr>
                <w:rFonts w:ascii="Calibri Light" w:eastAsia="Calibri" w:hAnsi="Calibri Light" w:cs="Calibri Light"/>
                <w:sz w:val="20"/>
                <w:szCs w:val="20"/>
              </w:rPr>
              <w:t>competente en la materia</w:t>
            </w:r>
            <w:r w:rsidR="00C66F15" w:rsidRPr="00AA1721">
              <w:rPr>
                <w:rFonts w:ascii="Calibri Light" w:eastAsia="Calibri" w:hAnsi="Calibri Light" w:cs="Calibri Light"/>
                <w:sz w:val="20"/>
                <w:szCs w:val="20"/>
              </w:rPr>
              <w:t>, quien</w:t>
            </w:r>
            <w:r w:rsidR="0025659C" w:rsidRPr="00AA1721">
              <w:rPr>
                <w:rFonts w:ascii="Calibri Light" w:eastAsia="Calibri" w:hAnsi="Calibri Light" w:cs="Calibri Light"/>
                <w:sz w:val="20"/>
                <w:szCs w:val="20"/>
              </w:rPr>
              <w:t xml:space="preserve"> ya intervino para la celebración del </w:t>
            </w:r>
            <w:r w:rsidR="00C66F15" w:rsidRPr="00AA1721">
              <w:rPr>
                <w:rFonts w:ascii="Calibri Light" w:eastAsia="Calibri" w:hAnsi="Calibri Light" w:cs="Calibri Light"/>
                <w:sz w:val="20"/>
                <w:szCs w:val="20"/>
              </w:rPr>
              <w:t>contrato colectivo</w:t>
            </w:r>
            <w:r w:rsidR="00BD084A" w:rsidRPr="00AA1721">
              <w:rPr>
                <w:rFonts w:ascii="Calibri Light" w:eastAsia="Calibri" w:hAnsi="Calibri Light" w:cs="Calibri Light"/>
                <w:sz w:val="20"/>
                <w:szCs w:val="20"/>
              </w:rPr>
              <w:t>, tal y como lo establece la C</w:t>
            </w:r>
            <w:r w:rsidR="0025659C" w:rsidRPr="00AA1721">
              <w:rPr>
                <w:rFonts w:ascii="Calibri Light" w:eastAsia="Calibri" w:hAnsi="Calibri Light" w:cs="Calibri Light"/>
                <w:sz w:val="20"/>
                <w:szCs w:val="20"/>
              </w:rPr>
              <w:t>onstitución federal y la LFT</w:t>
            </w:r>
            <w:r w:rsidR="00812A5E" w:rsidRPr="00AA1721">
              <w:rPr>
                <w:rFonts w:ascii="Calibri Light" w:eastAsia="Calibri" w:hAnsi="Calibri Light" w:cs="Calibri Light"/>
                <w:sz w:val="20"/>
                <w:szCs w:val="20"/>
              </w:rPr>
              <w:t>, el contrato celebrado surte efectos y es de carácter obligatorio</w:t>
            </w:r>
            <w:r w:rsidR="0025659C" w:rsidRPr="00AA1721">
              <w:rPr>
                <w:rFonts w:ascii="Calibri Light" w:eastAsia="Calibri" w:hAnsi="Calibri Light" w:cs="Calibri Light"/>
                <w:sz w:val="20"/>
                <w:szCs w:val="20"/>
              </w:rPr>
              <w:t>.</w:t>
            </w:r>
          </w:p>
          <w:p w14:paraId="543032AC" w14:textId="77777777" w:rsidR="00B54C9C" w:rsidRPr="00812A5E" w:rsidRDefault="00B54C9C" w:rsidP="00B54C9C">
            <w:pPr>
              <w:ind w:right="57"/>
              <w:jc w:val="both"/>
              <w:rPr>
                <w:rFonts w:ascii="Calibri Light" w:eastAsia="Calibri" w:hAnsi="Calibri Light" w:cs="Calibri Light"/>
                <w:sz w:val="20"/>
                <w:szCs w:val="20"/>
              </w:rPr>
            </w:pPr>
          </w:p>
          <w:p w14:paraId="5814E3A6" w14:textId="3652BA8A" w:rsidR="005F1379" w:rsidRDefault="00812A5E" w:rsidP="00B54C9C">
            <w:pPr>
              <w:ind w:right="57"/>
              <w:jc w:val="both"/>
              <w:rPr>
                <w:rFonts w:ascii="Calibri Light" w:eastAsia="Calibri" w:hAnsi="Calibri Light" w:cs="Calibri Light"/>
                <w:sz w:val="20"/>
                <w:szCs w:val="20"/>
              </w:rPr>
            </w:pPr>
            <w:r>
              <w:rPr>
                <w:rFonts w:ascii="Calibri Light" w:eastAsia="Calibri" w:hAnsi="Calibri Light" w:cs="Calibri Light"/>
                <w:sz w:val="20"/>
                <w:szCs w:val="20"/>
              </w:rPr>
              <w:t>Por lo expuesto</w:t>
            </w:r>
            <w:r w:rsidR="00467315">
              <w:rPr>
                <w:rFonts w:ascii="Calibri Light" w:eastAsia="Calibri" w:hAnsi="Calibri Light" w:cs="Calibri Light"/>
                <w:sz w:val="20"/>
                <w:szCs w:val="20"/>
              </w:rPr>
              <w:t>,</w:t>
            </w:r>
            <w:r>
              <w:rPr>
                <w:rFonts w:ascii="Calibri Light" w:eastAsia="Calibri" w:hAnsi="Calibri Light" w:cs="Calibri Light"/>
                <w:sz w:val="20"/>
                <w:szCs w:val="20"/>
              </w:rPr>
              <w:t xml:space="preserve"> al ser una obligación para el patrón (Telmex/Telnor) respetar el Contrato Colectivo de Trabajo son días de descanso obligatorio para los trabajadores los así señalados en el mismo, lo que los hace días inhábiles para la operación de la empresa, por </w:t>
            </w:r>
            <w:r w:rsidR="003317E4">
              <w:rPr>
                <w:rFonts w:ascii="Calibri Light" w:eastAsia="Calibri" w:hAnsi="Calibri Light" w:cs="Calibri Light"/>
                <w:sz w:val="20"/>
                <w:szCs w:val="20"/>
              </w:rPr>
              <w:t>tanto,</w:t>
            </w:r>
            <w:r>
              <w:rPr>
                <w:rFonts w:ascii="Calibri Light" w:eastAsia="Calibri" w:hAnsi="Calibri Light" w:cs="Calibri Light"/>
                <w:sz w:val="20"/>
                <w:szCs w:val="20"/>
              </w:rPr>
              <w:t xml:space="preserve"> no deben </w:t>
            </w:r>
            <w:r w:rsidR="00F3108D">
              <w:rPr>
                <w:rFonts w:ascii="Calibri Light" w:eastAsia="Calibri" w:hAnsi="Calibri Light" w:cs="Calibri Light"/>
                <w:sz w:val="20"/>
                <w:szCs w:val="20"/>
              </w:rPr>
              <w:t>ser considerados para el cálculo de los plazos de entrega</w:t>
            </w:r>
            <w:r>
              <w:rPr>
                <w:rFonts w:ascii="Calibri Light" w:eastAsia="Calibri" w:hAnsi="Calibri Light" w:cs="Calibri Light"/>
                <w:sz w:val="20"/>
                <w:szCs w:val="20"/>
              </w:rPr>
              <w:t xml:space="preserve"> de servicios</w:t>
            </w:r>
            <w:r w:rsidR="003F3B8B">
              <w:rPr>
                <w:rFonts w:ascii="Calibri Light" w:eastAsia="Calibri" w:hAnsi="Calibri Light" w:cs="Calibri Light"/>
                <w:sz w:val="20"/>
                <w:szCs w:val="20"/>
              </w:rPr>
              <w:t>.</w:t>
            </w:r>
          </w:p>
          <w:p w14:paraId="346E381D" w14:textId="77777777" w:rsidR="00812A5E" w:rsidRDefault="00812A5E" w:rsidP="00B54C9C">
            <w:pPr>
              <w:ind w:right="57"/>
              <w:jc w:val="both"/>
              <w:rPr>
                <w:rFonts w:ascii="Calibri Light" w:eastAsia="Calibri" w:hAnsi="Calibri Light" w:cs="Calibri Light"/>
                <w:sz w:val="20"/>
                <w:szCs w:val="20"/>
              </w:rPr>
            </w:pPr>
          </w:p>
          <w:p w14:paraId="036B7E17" w14:textId="033D64F6" w:rsidR="00630744" w:rsidRDefault="00630744" w:rsidP="00B54C9C">
            <w:pPr>
              <w:ind w:right="57"/>
              <w:jc w:val="both"/>
              <w:rPr>
                <w:rFonts w:ascii="Calibri Light" w:eastAsia="Calibri" w:hAnsi="Calibri Light" w:cs="Calibri Light"/>
                <w:sz w:val="20"/>
                <w:szCs w:val="20"/>
              </w:rPr>
            </w:pPr>
            <w:r>
              <w:rPr>
                <w:rFonts w:ascii="Calibri Light" w:eastAsia="Calibri" w:hAnsi="Calibri Light" w:cs="Calibri Light"/>
                <w:sz w:val="20"/>
                <w:szCs w:val="20"/>
              </w:rPr>
              <w:lastRenderedPageBreak/>
              <w:t xml:space="preserve">Adicionalmente, este cambio permitirá </w:t>
            </w:r>
            <w:r w:rsidRPr="00812A5E">
              <w:rPr>
                <w:rFonts w:ascii="Calibri Light" w:eastAsia="Calibri" w:hAnsi="Calibri Light" w:cs="Calibri Light"/>
                <w:sz w:val="20"/>
                <w:szCs w:val="20"/>
              </w:rPr>
              <w:t xml:space="preserve">homologar las definiciones con las demás Ofertas, ya que actualmente se encuentra contemplado en la </w:t>
            </w:r>
            <w:r w:rsidR="00AF4065">
              <w:rPr>
                <w:rFonts w:ascii="Calibri Light" w:eastAsia="Calibri" w:hAnsi="Calibri Light" w:cs="Calibri Light"/>
                <w:sz w:val="20"/>
                <w:szCs w:val="20"/>
              </w:rPr>
              <w:t>Oferta de Referencia de Desagregación (</w:t>
            </w:r>
            <w:r w:rsidRPr="00812A5E">
              <w:rPr>
                <w:rFonts w:ascii="Calibri Light" w:eastAsia="Calibri" w:hAnsi="Calibri Light" w:cs="Calibri Light"/>
                <w:sz w:val="20"/>
                <w:szCs w:val="20"/>
              </w:rPr>
              <w:t>ORE</w:t>
            </w:r>
            <w:r>
              <w:rPr>
                <w:rFonts w:ascii="Calibri Light" w:eastAsia="Calibri" w:hAnsi="Calibri Light" w:cs="Calibri Light"/>
                <w:sz w:val="20"/>
                <w:szCs w:val="20"/>
              </w:rPr>
              <w:t>DA</w:t>
            </w:r>
            <w:r w:rsidR="00AF4065">
              <w:rPr>
                <w:rFonts w:ascii="Calibri Light" w:eastAsia="Calibri" w:hAnsi="Calibri Light" w:cs="Calibri Light"/>
                <w:sz w:val="20"/>
                <w:szCs w:val="20"/>
              </w:rPr>
              <w:t>)</w:t>
            </w:r>
            <w:r w:rsidRPr="00812A5E">
              <w:rPr>
                <w:rFonts w:ascii="Calibri Light" w:eastAsia="Calibri" w:hAnsi="Calibri Light" w:cs="Calibri Light"/>
                <w:sz w:val="20"/>
                <w:szCs w:val="20"/>
              </w:rPr>
              <w:t>, esto permitirá  dotar de certeza a los C</w:t>
            </w:r>
            <w:r w:rsidR="00AF4065">
              <w:rPr>
                <w:rFonts w:ascii="Calibri Light" w:eastAsia="Calibri" w:hAnsi="Calibri Light" w:cs="Calibri Light"/>
                <w:sz w:val="20"/>
                <w:szCs w:val="20"/>
              </w:rPr>
              <w:t>oncesionarios</w:t>
            </w:r>
            <w:r w:rsidRPr="00812A5E">
              <w:rPr>
                <w:rFonts w:ascii="Calibri Light" w:eastAsia="Calibri" w:hAnsi="Calibri Light" w:cs="Calibri Light"/>
                <w:sz w:val="20"/>
                <w:szCs w:val="20"/>
              </w:rPr>
              <w:t xml:space="preserve">, al Instituto y </w:t>
            </w:r>
            <w:r w:rsidR="00AF4065">
              <w:rPr>
                <w:rFonts w:ascii="Calibri Light" w:eastAsia="Calibri" w:hAnsi="Calibri Light" w:cs="Calibri Light"/>
                <w:sz w:val="20"/>
                <w:szCs w:val="20"/>
              </w:rPr>
              <w:t>Telmex/Telnor</w:t>
            </w:r>
            <w:r w:rsidRPr="00812A5E">
              <w:rPr>
                <w:rFonts w:ascii="Calibri Light" w:eastAsia="Calibri" w:hAnsi="Calibri Light" w:cs="Calibri Light"/>
                <w:sz w:val="20"/>
                <w:szCs w:val="20"/>
              </w:rPr>
              <w:t>, así como dar claridad en el conteo de plazos para la prestación de los servicios objeto de la oferta, por lo que, resultaría perjudicial que las ofertas de referencia y sus debidos convenios que regulan la prestación de servicios no sean uniformes y cada una contenga definiciones distintas.</w:t>
            </w:r>
          </w:p>
          <w:p w14:paraId="4DD0EBC1" w14:textId="77777777" w:rsidR="00630744" w:rsidRDefault="00630744" w:rsidP="00B54C9C">
            <w:pPr>
              <w:ind w:right="57"/>
              <w:jc w:val="both"/>
              <w:rPr>
                <w:rFonts w:ascii="Calibri Light" w:eastAsia="Calibri" w:hAnsi="Calibri Light" w:cs="Calibri Light"/>
                <w:sz w:val="20"/>
                <w:szCs w:val="20"/>
              </w:rPr>
            </w:pPr>
          </w:p>
          <w:p w14:paraId="69030C3F" w14:textId="77777777" w:rsidR="00630744" w:rsidRDefault="00812A5E" w:rsidP="00AA5BD1">
            <w:pPr>
              <w:ind w:right="57"/>
              <w:jc w:val="both"/>
              <w:rPr>
                <w:rFonts w:ascii="Calibri Light" w:eastAsia="Calibri" w:hAnsi="Calibri Light" w:cs="Calibri Light"/>
                <w:sz w:val="20"/>
                <w:szCs w:val="20"/>
              </w:rPr>
            </w:pPr>
            <w:r>
              <w:rPr>
                <w:rFonts w:ascii="Calibri Light" w:eastAsia="Calibri" w:hAnsi="Calibri Light" w:cs="Calibri Light"/>
                <w:sz w:val="20"/>
                <w:szCs w:val="20"/>
              </w:rPr>
              <w:t xml:space="preserve">El no ser considerados </w:t>
            </w:r>
            <w:r w:rsidR="00AA5BD1">
              <w:rPr>
                <w:rFonts w:ascii="Calibri Light" w:eastAsia="Calibri" w:hAnsi="Calibri Light" w:cs="Calibri Light"/>
                <w:sz w:val="20"/>
                <w:szCs w:val="20"/>
              </w:rPr>
              <w:t>como días inhábiles,</w:t>
            </w:r>
            <w:r>
              <w:rPr>
                <w:rFonts w:ascii="Calibri Light" w:eastAsia="Calibri" w:hAnsi="Calibri Light" w:cs="Calibri Light"/>
                <w:sz w:val="20"/>
                <w:szCs w:val="20"/>
              </w:rPr>
              <w:t xml:space="preserve"> conlleva la violación de los derechos de los trabajad</w:t>
            </w:r>
            <w:r w:rsidR="00EC4054">
              <w:rPr>
                <w:rFonts w:ascii="Calibri Light" w:eastAsia="Calibri" w:hAnsi="Calibri Light" w:cs="Calibri Light"/>
                <w:sz w:val="20"/>
                <w:szCs w:val="20"/>
              </w:rPr>
              <w:t>ores tutelados por la Constitución F</w:t>
            </w:r>
            <w:r>
              <w:rPr>
                <w:rFonts w:ascii="Calibri Light" w:eastAsia="Calibri" w:hAnsi="Calibri Light" w:cs="Calibri Light"/>
                <w:sz w:val="20"/>
                <w:szCs w:val="20"/>
              </w:rPr>
              <w:t>ederal y la LFT</w:t>
            </w:r>
            <w:r w:rsidR="00630744">
              <w:rPr>
                <w:rFonts w:ascii="Calibri Light" w:eastAsia="Calibri" w:hAnsi="Calibri Light" w:cs="Calibri Light"/>
                <w:sz w:val="20"/>
                <w:szCs w:val="20"/>
              </w:rPr>
              <w:t>.</w:t>
            </w:r>
          </w:p>
          <w:p w14:paraId="5B130F00" w14:textId="77777777" w:rsidR="00E96F7C" w:rsidRDefault="00E96F7C" w:rsidP="00AA5BD1">
            <w:pPr>
              <w:ind w:right="57"/>
              <w:jc w:val="both"/>
              <w:rPr>
                <w:rFonts w:ascii="Calibri Light" w:eastAsia="Calibri" w:hAnsi="Calibri Light" w:cs="Calibri Light"/>
                <w:sz w:val="20"/>
                <w:szCs w:val="20"/>
              </w:rPr>
            </w:pPr>
          </w:p>
          <w:p w14:paraId="61523F39" w14:textId="77777777" w:rsidR="003D7C62" w:rsidRPr="003D7C62" w:rsidRDefault="003D7C62" w:rsidP="003D7C62">
            <w:pPr>
              <w:ind w:right="57"/>
              <w:jc w:val="both"/>
              <w:rPr>
                <w:rFonts w:ascii="Calibri Light" w:eastAsia="Calibri" w:hAnsi="Calibri Light" w:cs="Calibri Light"/>
                <w:sz w:val="20"/>
                <w:szCs w:val="20"/>
              </w:rPr>
            </w:pPr>
            <w:r w:rsidRPr="003D7C62">
              <w:rPr>
                <w:rFonts w:ascii="Calibri Light" w:eastAsia="Calibri" w:hAnsi="Calibri Light" w:cs="Calibri Light"/>
                <w:sz w:val="20"/>
                <w:szCs w:val="20"/>
              </w:rPr>
              <w:t>De igual forma, hay que recordar lo que estableció la propia reforma constitucional en materia de telecomunicaciones, en el artículo Décimo Octavo Transitorio, del “Decreto por el que se reforman y adicionan diversas disposiciones de los artículos 6º., 7º., 27, 28, 73, 78, 94 y 105 de la Constitución Política de los Estados Unidos Mexicanos, en materia de telecomunicaciones”, publicado en Diario Oficial de la Federación, el 11 de junio de 2013, en el que citó textualmente lo siguiente:</w:t>
            </w:r>
          </w:p>
          <w:p w14:paraId="2B506106" w14:textId="77777777" w:rsidR="003D7C62" w:rsidRPr="003D7C62" w:rsidRDefault="003D7C62" w:rsidP="003D7C62">
            <w:pPr>
              <w:ind w:right="57"/>
              <w:jc w:val="both"/>
              <w:rPr>
                <w:rFonts w:ascii="Calibri Light" w:eastAsia="Calibri" w:hAnsi="Calibri Light" w:cs="Calibri Light"/>
                <w:sz w:val="20"/>
                <w:szCs w:val="20"/>
              </w:rPr>
            </w:pPr>
          </w:p>
          <w:p w14:paraId="45A6EB8F" w14:textId="77777777" w:rsidR="003D7C62" w:rsidRPr="003D7C62" w:rsidRDefault="003D7C62" w:rsidP="003D7C62">
            <w:pPr>
              <w:ind w:right="57"/>
              <w:jc w:val="both"/>
              <w:rPr>
                <w:rFonts w:ascii="Calibri Light" w:eastAsia="Calibri" w:hAnsi="Calibri Light" w:cs="Calibri Light"/>
                <w:sz w:val="20"/>
                <w:szCs w:val="20"/>
              </w:rPr>
            </w:pPr>
            <w:r w:rsidRPr="003D7C62">
              <w:rPr>
                <w:rFonts w:ascii="Calibri Light" w:eastAsia="Calibri" w:hAnsi="Calibri Light" w:cs="Calibri Light"/>
                <w:sz w:val="20"/>
                <w:szCs w:val="20"/>
              </w:rPr>
              <w:t>“TRANSITORIOS</w:t>
            </w:r>
          </w:p>
          <w:p w14:paraId="2FA7B89F" w14:textId="77777777" w:rsidR="003D7C62" w:rsidRPr="003D7C62" w:rsidRDefault="003D7C62" w:rsidP="003D7C62">
            <w:pPr>
              <w:ind w:right="57"/>
              <w:jc w:val="both"/>
              <w:rPr>
                <w:rFonts w:ascii="Calibri Light" w:eastAsia="Calibri" w:hAnsi="Calibri Light" w:cs="Calibri Light"/>
                <w:sz w:val="20"/>
                <w:szCs w:val="20"/>
              </w:rPr>
            </w:pPr>
            <w:r w:rsidRPr="003D7C62">
              <w:rPr>
                <w:rFonts w:ascii="Calibri Light" w:eastAsia="Calibri" w:hAnsi="Calibri Light" w:cs="Calibri Light"/>
                <w:sz w:val="20"/>
                <w:szCs w:val="20"/>
              </w:rPr>
              <w:t>[…]</w:t>
            </w:r>
          </w:p>
          <w:p w14:paraId="50628646" w14:textId="77777777" w:rsidR="003D7C62" w:rsidRPr="003D7C62" w:rsidRDefault="003D7C62" w:rsidP="003D7C62">
            <w:pPr>
              <w:ind w:right="57"/>
              <w:jc w:val="both"/>
              <w:rPr>
                <w:rFonts w:ascii="Calibri Light" w:eastAsia="Calibri" w:hAnsi="Calibri Light" w:cs="Calibri Light"/>
                <w:sz w:val="20"/>
                <w:szCs w:val="20"/>
              </w:rPr>
            </w:pPr>
            <w:r w:rsidRPr="003D7C62">
              <w:rPr>
                <w:rFonts w:ascii="Calibri Light" w:eastAsia="Calibri" w:hAnsi="Calibri Light" w:cs="Calibri Light"/>
                <w:sz w:val="20"/>
                <w:szCs w:val="20"/>
              </w:rPr>
              <w:t>DÉCIMO OCTAVO. Los derechos laborales de los trabajadores que presten sus servicios en las empresas y organismos dedicados a las actividades que comprende el presente Decreto se respetarán en todo momento de conformidad con la ley.”</w:t>
            </w:r>
          </w:p>
          <w:p w14:paraId="6EC61573" w14:textId="77777777" w:rsidR="003D7C62" w:rsidRPr="003D7C62" w:rsidRDefault="003D7C62" w:rsidP="003D7C62">
            <w:pPr>
              <w:ind w:right="57"/>
              <w:jc w:val="both"/>
              <w:rPr>
                <w:rFonts w:ascii="Calibri Light" w:eastAsia="Calibri" w:hAnsi="Calibri Light" w:cs="Calibri Light"/>
                <w:sz w:val="20"/>
                <w:szCs w:val="20"/>
              </w:rPr>
            </w:pPr>
          </w:p>
          <w:p w14:paraId="4031DDCE" w14:textId="77777777" w:rsidR="003D7C62" w:rsidRPr="003D7C62" w:rsidRDefault="003D7C62" w:rsidP="003D7C62">
            <w:pPr>
              <w:ind w:right="57"/>
              <w:jc w:val="both"/>
              <w:rPr>
                <w:rFonts w:ascii="Calibri Light" w:eastAsia="Calibri" w:hAnsi="Calibri Light" w:cs="Calibri Light"/>
                <w:sz w:val="20"/>
                <w:szCs w:val="20"/>
              </w:rPr>
            </w:pPr>
            <w:r w:rsidRPr="003D7C62">
              <w:rPr>
                <w:rFonts w:ascii="Calibri Light" w:eastAsia="Calibri" w:hAnsi="Calibri Light" w:cs="Calibri Light"/>
                <w:sz w:val="20"/>
                <w:szCs w:val="20"/>
              </w:rPr>
              <w:t>En ese sentido, en la reforma que sirvió de base para publicar la Ley Federal de Telecomunicaciones y Radiodifusión (LFTR) vigente, la propia Constitución instituyó que en todo momento debían prevalecer los derechos de los trabajadores.</w:t>
            </w:r>
          </w:p>
          <w:p w14:paraId="5416F995" w14:textId="77777777" w:rsidR="003D7C62" w:rsidRPr="003D7C62" w:rsidRDefault="003D7C62" w:rsidP="003D7C62">
            <w:pPr>
              <w:ind w:right="57"/>
              <w:jc w:val="both"/>
              <w:rPr>
                <w:rFonts w:ascii="Calibri Light" w:eastAsia="Calibri" w:hAnsi="Calibri Light" w:cs="Calibri Light"/>
                <w:sz w:val="20"/>
                <w:szCs w:val="20"/>
              </w:rPr>
            </w:pPr>
          </w:p>
          <w:p w14:paraId="62F13C2E" w14:textId="1071A97D" w:rsidR="003D7C62" w:rsidRDefault="003D7C62" w:rsidP="003D7C62">
            <w:pPr>
              <w:ind w:right="57"/>
              <w:jc w:val="both"/>
              <w:rPr>
                <w:rFonts w:ascii="Calibri Light" w:eastAsia="Calibri" w:hAnsi="Calibri Light" w:cs="Calibri Light"/>
                <w:sz w:val="20"/>
                <w:szCs w:val="20"/>
              </w:rPr>
            </w:pPr>
            <w:r w:rsidRPr="003D7C62">
              <w:rPr>
                <w:rFonts w:ascii="Calibri Light" w:eastAsia="Calibri" w:hAnsi="Calibri Light" w:cs="Calibri Light"/>
                <w:sz w:val="20"/>
                <w:szCs w:val="20"/>
              </w:rPr>
              <w:t xml:space="preserve">Esto constituye simplemente el cumplimiento a la CPEUM, a la LFTR y a la LFT, en donde queda de manifiesto que, el Instituto </w:t>
            </w:r>
            <w:r w:rsidRPr="003D7C62">
              <w:rPr>
                <w:rFonts w:ascii="Calibri Light" w:eastAsia="Calibri" w:hAnsi="Calibri Light" w:cs="Calibri Light"/>
                <w:sz w:val="20"/>
                <w:szCs w:val="20"/>
              </w:rPr>
              <w:lastRenderedPageBreak/>
              <w:t>Federal de Telecomunicaciones no es una autoridad en materia laboral.</w:t>
            </w:r>
          </w:p>
        </w:tc>
      </w:tr>
      <w:tr w:rsidR="005F1379" w:rsidRPr="00C13F5A" w14:paraId="5BB947BB" w14:textId="77777777" w:rsidTr="005F1379">
        <w:tblPrEx>
          <w:jc w:val="left"/>
        </w:tblPrEx>
        <w:tc>
          <w:tcPr>
            <w:tcW w:w="2405" w:type="dxa"/>
            <w:vAlign w:val="center"/>
          </w:tcPr>
          <w:p w14:paraId="6CC2EE8E" w14:textId="77777777" w:rsidR="005F1379" w:rsidRPr="00E43A57" w:rsidRDefault="005F1379" w:rsidP="006404EC">
            <w:pPr>
              <w:jc w:val="center"/>
              <w:rPr>
                <w:sz w:val="20"/>
                <w:szCs w:val="20"/>
              </w:rPr>
            </w:pPr>
            <w:r>
              <w:rPr>
                <w:sz w:val="20"/>
                <w:szCs w:val="20"/>
              </w:rPr>
              <w:t>Convenio</w:t>
            </w:r>
          </w:p>
        </w:tc>
        <w:tc>
          <w:tcPr>
            <w:tcW w:w="1276" w:type="dxa"/>
            <w:vAlign w:val="center"/>
          </w:tcPr>
          <w:p w14:paraId="0D46B33A" w14:textId="77777777" w:rsidR="005F1379" w:rsidRPr="00E43A57" w:rsidRDefault="005F1379" w:rsidP="006404EC">
            <w:pPr>
              <w:jc w:val="center"/>
              <w:rPr>
                <w:rFonts w:cstheme="minorHAnsi"/>
                <w:sz w:val="20"/>
                <w:szCs w:val="20"/>
              </w:rPr>
            </w:pPr>
            <w:r>
              <w:rPr>
                <w:rFonts w:cstheme="minorHAnsi"/>
                <w:sz w:val="20"/>
                <w:szCs w:val="20"/>
              </w:rPr>
              <w:t>Primera. Definiciones</w:t>
            </w:r>
          </w:p>
        </w:tc>
        <w:tc>
          <w:tcPr>
            <w:tcW w:w="1559" w:type="dxa"/>
            <w:vMerge/>
            <w:vAlign w:val="center"/>
          </w:tcPr>
          <w:p w14:paraId="6C567270" w14:textId="77777777" w:rsidR="005F1379" w:rsidRPr="00A2073A" w:rsidRDefault="005F1379" w:rsidP="006404EC">
            <w:pPr>
              <w:jc w:val="both"/>
              <w:rPr>
                <w:rFonts w:cstheme="minorHAnsi"/>
                <w:sz w:val="20"/>
                <w:szCs w:val="20"/>
              </w:rPr>
            </w:pPr>
          </w:p>
        </w:tc>
        <w:tc>
          <w:tcPr>
            <w:tcW w:w="3686" w:type="dxa"/>
            <w:vMerge/>
            <w:vAlign w:val="center"/>
          </w:tcPr>
          <w:p w14:paraId="4B711FA2" w14:textId="77777777" w:rsidR="005F1379" w:rsidRDefault="005F1379" w:rsidP="006404EC">
            <w:pPr>
              <w:rPr>
                <w:rFonts w:ascii="Calibri Light" w:eastAsia="Calibri" w:hAnsi="Calibri Light" w:cs="Calibri Light"/>
                <w:sz w:val="20"/>
                <w:szCs w:val="20"/>
              </w:rPr>
            </w:pPr>
          </w:p>
        </w:tc>
        <w:tc>
          <w:tcPr>
            <w:tcW w:w="5257" w:type="dxa"/>
            <w:vMerge/>
            <w:vAlign w:val="center"/>
          </w:tcPr>
          <w:p w14:paraId="4DD767E3" w14:textId="77777777" w:rsidR="005F1379" w:rsidRDefault="005F1379" w:rsidP="006404EC">
            <w:pPr>
              <w:jc w:val="both"/>
              <w:rPr>
                <w:rFonts w:ascii="Calibri Light" w:eastAsia="Calibri" w:hAnsi="Calibri Light" w:cs="Calibri Light"/>
                <w:sz w:val="20"/>
                <w:szCs w:val="20"/>
              </w:rPr>
            </w:pPr>
          </w:p>
        </w:tc>
      </w:tr>
      <w:tr w:rsidR="00536ADF" w:rsidRPr="00C13F5A" w14:paraId="74C43EF9" w14:textId="77777777" w:rsidTr="00FD4CB6">
        <w:trPr>
          <w:jc w:val="center"/>
        </w:trPr>
        <w:tc>
          <w:tcPr>
            <w:tcW w:w="2405" w:type="dxa"/>
            <w:vMerge w:val="restart"/>
            <w:shd w:val="clear" w:color="auto" w:fill="auto"/>
            <w:vAlign w:val="center"/>
          </w:tcPr>
          <w:p w14:paraId="6E01A9B9" w14:textId="77777777" w:rsidR="00536ADF" w:rsidRDefault="00536ADF" w:rsidP="00536ADF">
            <w:pPr>
              <w:jc w:val="center"/>
              <w:rPr>
                <w:sz w:val="20"/>
                <w:szCs w:val="20"/>
              </w:rPr>
            </w:pPr>
            <w:r>
              <w:rPr>
                <w:sz w:val="20"/>
                <w:szCs w:val="20"/>
              </w:rPr>
              <w:lastRenderedPageBreak/>
              <w:t>Oferta</w:t>
            </w:r>
          </w:p>
        </w:tc>
        <w:tc>
          <w:tcPr>
            <w:tcW w:w="1276" w:type="dxa"/>
            <w:shd w:val="clear" w:color="auto" w:fill="auto"/>
            <w:vAlign w:val="center"/>
          </w:tcPr>
          <w:p w14:paraId="50D90169" w14:textId="77777777" w:rsidR="00536ADF" w:rsidRPr="0060241A" w:rsidRDefault="00536ADF" w:rsidP="00536ADF">
            <w:pPr>
              <w:jc w:val="center"/>
              <w:rPr>
                <w:rFonts w:cstheme="minorHAnsi"/>
                <w:sz w:val="20"/>
                <w:szCs w:val="20"/>
              </w:rPr>
            </w:pPr>
            <w:r w:rsidRPr="0060241A">
              <w:rPr>
                <w:rFonts w:cstheme="minorHAnsi"/>
                <w:sz w:val="20"/>
                <w:szCs w:val="20"/>
              </w:rPr>
              <w:t>2.1</w:t>
            </w:r>
          </w:p>
        </w:tc>
        <w:tc>
          <w:tcPr>
            <w:tcW w:w="1559" w:type="dxa"/>
            <w:vMerge w:val="restart"/>
            <w:shd w:val="clear" w:color="auto" w:fill="auto"/>
            <w:vAlign w:val="center"/>
          </w:tcPr>
          <w:p w14:paraId="301805DE" w14:textId="77777777" w:rsidR="00536ADF" w:rsidRDefault="00536ADF" w:rsidP="00536ADF">
            <w:pPr>
              <w:jc w:val="both"/>
              <w:rPr>
                <w:rFonts w:cstheme="minorHAnsi"/>
                <w:b/>
                <w:bCs/>
                <w:sz w:val="20"/>
                <w:szCs w:val="20"/>
              </w:rPr>
            </w:pPr>
            <w:r w:rsidRPr="007E1CA6">
              <w:rPr>
                <w:rFonts w:cstheme="minorHAnsi"/>
                <w:b/>
                <w:bCs/>
                <w:sz w:val="20"/>
                <w:szCs w:val="20"/>
              </w:rPr>
              <w:t>Tecnología</w:t>
            </w:r>
            <w:r w:rsidR="005C7BA4">
              <w:rPr>
                <w:rFonts w:cstheme="minorHAnsi"/>
                <w:b/>
                <w:bCs/>
                <w:sz w:val="20"/>
                <w:szCs w:val="20"/>
              </w:rPr>
              <w:t>s</w:t>
            </w:r>
            <w:r w:rsidRPr="007E1CA6">
              <w:rPr>
                <w:rFonts w:cstheme="minorHAnsi"/>
                <w:b/>
                <w:bCs/>
                <w:sz w:val="20"/>
                <w:szCs w:val="20"/>
              </w:rPr>
              <w:t xml:space="preserve"> TDM</w:t>
            </w:r>
          </w:p>
          <w:p w14:paraId="24A5DEA1" w14:textId="77777777" w:rsidR="005C7BA4" w:rsidRPr="007E1CA6" w:rsidRDefault="005C7BA4" w:rsidP="00536ADF">
            <w:pPr>
              <w:jc w:val="both"/>
              <w:rPr>
                <w:rFonts w:cstheme="minorHAnsi"/>
                <w:b/>
                <w:bCs/>
                <w:sz w:val="20"/>
                <w:szCs w:val="20"/>
              </w:rPr>
            </w:pPr>
            <w:r>
              <w:rPr>
                <w:rFonts w:cstheme="minorHAnsi"/>
                <w:b/>
                <w:bCs/>
                <w:sz w:val="20"/>
                <w:szCs w:val="20"/>
              </w:rPr>
              <w:t>ETHERNET</w:t>
            </w:r>
          </w:p>
        </w:tc>
        <w:tc>
          <w:tcPr>
            <w:tcW w:w="3686" w:type="dxa"/>
          </w:tcPr>
          <w:p w14:paraId="0A5A9D2F" w14:textId="77777777" w:rsidR="00536ADF" w:rsidRPr="00DF6E58" w:rsidRDefault="00536ADF" w:rsidP="00536ADF">
            <w:pPr>
              <w:jc w:val="both"/>
              <w:rPr>
                <w:rFonts w:ascii="Calibri Light" w:eastAsia="Calibri" w:hAnsi="Calibri Light" w:cs="Calibri Light"/>
                <w:sz w:val="20"/>
                <w:szCs w:val="20"/>
              </w:rPr>
            </w:pPr>
            <w:r w:rsidRPr="00DF6E58">
              <w:rPr>
                <w:rFonts w:ascii="Calibri Light" w:eastAsia="Calibri" w:hAnsi="Calibri Light" w:cs="Calibri Light"/>
                <w:sz w:val="20"/>
                <w:szCs w:val="20"/>
              </w:rPr>
              <w:t>2.1 Servicios mayoristas de Arrendamiento de Enlaces Dedicados.</w:t>
            </w:r>
          </w:p>
          <w:p w14:paraId="514CCD9E" w14:textId="77777777" w:rsidR="00536ADF" w:rsidRPr="00DF6E58" w:rsidRDefault="00536ADF" w:rsidP="00536ADF">
            <w:pPr>
              <w:jc w:val="both"/>
              <w:rPr>
                <w:rFonts w:ascii="Calibri Light" w:eastAsia="Calibri" w:hAnsi="Calibri Light" w:cs="Calibri Light"/>
                <w:sz w:val="20"/>
                <w:szCs w:val="20"/>
              </w:rPr>
            </w:pPr>
            <w:r w:rsidRPr="00DF6E58">
              <w:rPr>
                <w:rFonts w:ascii="Calibri Light" w:eastAsia="Calibri" w:hAnsi="Calibri Light" w:cs="Calibri Light"/>
                <w:sz w:val="20"/>
                <w:szCs w:val="20"/>
              </w:rPr>
              <w:t xml:space="preserve"> </w:t>
            </w:r>
          </w:p>
          <w:p w14:paraId="0A79136C" w14:textId="77777777" w:rsidR="00536ADF" w:rsidRDefault="00536ADF" w:rsidP="00536ADF">
            <w:pPr>
              <w:jc w:val="both"/>
              <w:rPr>
                <w:rFonts w:ascii="Calibri Light" w:eastAsia="Calibri" w:hAnsi="Calibri Light" w:cs="Calibri Light"/>
                <w:sz w:val="20"/>
                <w:szCs w:val="20"/>
              </w:rPr>
            </w:pPr>
            <w:r w:rsidRPr="00DF6E58">
              <w:rPr>
                <w:rFonts w:ascii="Calibri Light" w:eastAsia="Calibri" w:hAnsi="Calibri Light" w:cs="Calibri Light"/>
                <w:sz w:val="20"/>
                <w:szCs w:val="20"/>
              </w:rPr>
              <w:t xml:space="preserve">Servicio de provisión de enlaces dedicados que la División Mayorista de Telmex/Telnor ofrece a los Concesionarios Solicitantes y Autorizados Solicitantes: Enlaces Entre Localidades (con puntas en diferentes localidades) y Enlaces de Larga Distancia Internacional (una de las puntas se ubica dentro del área de cobertura concesionada a la División Mayorista de Telmex/Telnor ), con las siguientes capacidades: </w:t>
            </w:r>
            <w:r w:rsidRPr="007B3AB2">
              <w:rPr>
                <w:rFonts w:ascii="Calibri Light" w:eastAsia="Calibri" w:hAnsi="Calibri Light" w:cs="Calibri Light"/>
                <w:strike/>
                <w:color w:val="0070C0"/>
                <w:sz w:val="20"/>
                <w:szCs w:val="20"/>
              </w:rPr>
              <w:t>capacidades de nX64 Kbps (donde n=1, 2, 3, 4, 6, 8, 10, 12 y 16); E1 (2 Mbps) y</w:t>
            </w:r>
            <w:r w:rsidRPr="007E1CA6">
              <w:rPr>
                <w:rFonts w:ascii="Calibri Light" w:eastAsia="Calibri" w:hAnsi="Calibri Light" w:cs="Calibri Light"/>
                <w:color w:val="FF0000"/>
                <w:sz w:val="20"/>
                <w:szCs w:val="20"/>
              </w:rPr>
              <w:t xml:space="preserve"> </w:t>
            </w:r>
            <w:r w:rsidRPr="00DF6E58">
              <w:rPr>
                <w:rFonts w:ascii="Calibri Light" w:eastAsia="Calibri" w:hAnsi="Calibri Light" w:cs="Calibri Light"/>
                <w:sz w:val="20"/>
                <w:szCs w:val="20"/>
              </w:rPr>
              <w:t>Ethernet (1 Mbps, 2 Mbps, 4 Mbps, 6 Mbps, 8 Mbps, 10 Mbps, 20 Mbps, 30 Mbps, 40 Mbps, 50 Mbps, 60 Mbps, 80 Mbps, 100 Mbps, 150 Mbps, 200 Mbps, 250 Mbps, 500 Mbps, 1 Gbps, 10 Gbps y 100 Gbps</w:t>
            </w:r>
            <w:r>
              <w:rPr>
                <w:rFonts w:ascii="Calibri Light" w:eastAsia="Calibri" w:hAnsi="Calibri Light" w:cs="Calibri Light"/>
                <w:sz w:val="20"/>
                <w:szCs w:val="20"/>
              </w:rPr>
              <w:t>)</w:t>
            </w:r>
            <w:r w:rsidRPr="007B3AB2">
              <w:rPr>
                <w:rFonts w:ascii="Calibri Light" w:eastAsia="Calibri" w:hAnsi="Calibri Light" w:cs="Calibri Light"/>
                <w:strike/>
                <w:color w:val="0070C0"/>
                <w:sz w:val="20"/>
                <w:szCs w:val="20"/>
              </w:rPr>
              <w:t>1 Mbps a 100 Gbps</w:t>
            </w:r>
            <w:r w:rsidRPr="00DF6E58">
              <w:rPr>
                <w:rFonts w:ascii="Calibri Light" w:eastAsia="Calibri" w:hAnsi="Calibri Light" w:cs="Calibri Light"/>
                <w:sz w:val="20"/>
                <w:szCs w:val="20"/>
              </w:rPr>
              <w:t xml:space="preserve"> de conformidad con lo establecido en la tabla del numeral 2.3.</w:t>
            </w:r>
          </w:p>
        </w:tc>
        <w:tc>
          <w:tcPr>
            <w:tcW w:w="5257" w:type="dxa"/>
            <w:vMerge w:val="restart"/>
            <w:shd w:val="clear" w:color="auto" w:fill="auto"/>
            <w:vAlign w:val="center"/>
          </w:tcPr>
          <w:p w14:paraId="61EAD4B9" w14:textId="77777777" w:rsidR="005C7BA4" w:rsidRDefault="00536ADF" w:rsidP="00536ADF">
            <w:pPr>
              <w:jc w:val="both"/>
              <w:rPr>
                <w:rFonts w:ascii="Calibri Light" w:hAnsi="Calibri Light" w:cs="Calibri Light"/>
                <w:sz w:val="20"/>
                <w:szCs w:val="20"/>
              </w:rPr>
            </w:pPr>
            <w:r>
              <w:rPr>
                <w:rFonts w:ascii="Calibri Light" w:hAnsi="Calibri Light" w:cs="Calibri Light"/>
                <w:sz w:val="20"/>
                <w:szCs w:val="20"/>
              </w:rPr>
              <w:t xml:space="preserve">Se propone </w:t>
            </w:r>
            <w:r w:rsidR="005C7BA4">
              <w:rPr>
                <w:rFonts w:ascii="Calibri Light" w:hAnsi="Calibri Light" w:cs="Calibri Light"/>
                <w:sz w:val="20"/>
                <w:szCs w:val="20"/>
              </w:rPr>
              <w:t xml:space="preserve">la </w:t>
            </w:r>
            <w:r>
              <w:rPr>
                <w:rFonts w:ascii="Calibri Light" w:hAnsi="Calibri Light" w:cs="Calibri Light"/>
                <w:sz w:val="20"/>
                <w:szCs w:val="20"/>
              </w:rPr>
              <w:t xml:space="preserve">presente </w:t>
            </w:r>
            <w:r w:rsidR="005C7BA4">
              <w:rPr>
                <w:rFonts w:ascii="Calibri Light" w:hAnsi="Calibri Light" w:cs="Calibri Light"/>
                <w:sz w:val="20"/>
                <w:szCs w:val="20"/>
              </w:rPr>
              <w:t xml:space="preserve">modificación </w:t>
            </w:r>
            <w:r>
              <w:rPr>
                <w:rFonts w:ascii="Calibri Light" w:hAnsi="Calibri Light" w:cs="Calibri Light"/>
                <w:sz w:val="20"/>
                <w:szCs w:val="20"/>
              </w:rPr>
              <w:t>para</w:t>
            </w:r>
            <w:r w:rsidR="005C7BA4">
              <w:rPr>
                <w:rFonts w:ascii="Calibri Light" w:hAnsi="Calibri Light" w:cs="Calibri Light"/>
                <w:sz w:val="20"/>
                <w:szCs w:val="20"/>
              </w:rPr>
              <w:t>:</w:t>
            </w:r>
          </w:p>
          <w:p w14:paraId="08EFA9C8" w14:textId="3C00F48C" w:rsidR="00536ADF" w:rsidRDefault="00B96530" w:rsidP="005C7BA4">
            <w:pPr>
              <w:pStyle w:val="Prrafodelista"/>
              <w:numPr>
                <w:ilvl w:val="0"/>
                <w:numId w:val="7"/>
              </w:numPr>
              <w:ind w:left="170" w:hanging="153"/>
              <w:jc w:val="both"/>
              <w:rPr>
                <w:rFonts w:ascii="Calibri Light" w:hAnsi="Calibri Light" w:cs="Calibri Light"/>
                <w:sz w:val="20"/>
                <w:szCs w:val="20"/>
              </w:rPr>
            </w:pPr>
            <w:r>
              <w:rPr>
                <w:rFonts w:ascii="Calibri Light" w:hAnsi="Calibri Light" w:cs="Calibri Light"/>
                <w:sz w:val="20"/>
                <w:szCs w:val="20"/>
              </w:rPr>
              <w:t>Mitigar los riesgos de l</w:t>
            </w:r>
            <w:r w:rsidR="00536ADF" w:rsidRPr="00A812DE">
              <w:rPr>
                <w:rFonts w:ascii="Calibri Light" w:hAnsi="Calibri Light" w:cs="Calibri Light"/>
                <w:sz w:val="20"/>
                <w:szCs w:val="20"/>
              </w:rPr>
              <w:t xml:space="preserve">a contratación </w:t>
            </w:r>
            <w:r w:rsidR="00536ADF" w:rsidRPr="00AF4065">
              <w:rPr>
                <w:rFonts w:ascii="Calibri Light" w:hAnsi="Calibri Light" w:cs="Calibri Light"/>
                <w:sz w:val="20"/>
                <w:szCs w:val="20"/>
              </w:rPr>
              <w:t>de servicios nuevos</w:t>
            </w:r>
            <w:r w:rsidR="00536ADF" w:rsidRPr="00A812DE">
              <w:rPr>
                <w:rFonts w:ascii="Calibri Light" w:hAnsi="Calibri Light" w:cs="Calibri Light"/>
                <w:sz w:val="20"/>
                <w:szCs w:val="20"/>
              </w:rPr>
              <w:t xml:space="preserve"> con una tecnología obsoleta</w:t>
            </w:r>
            <w:r w:rsidR="005C7BA4" w:rsidRPr="00A812DE">
              <w:rPr>
                <w:rFonts w:ascii="Calibri Light" w:hAnsi="Calibri Light" w:cs="Calibri Light"/>
                <w:sz w:val="20"/>
                <w:szCs w:val="20"/>
              </w:rPr>
              <w:t xml:space="preserve"> (TDM</w:t>
            </w:r>
            <w:r w:rsidR="00271357">
              <w:rPr>
                <w:rFonts w:ascii="Calibri Light" w:hAnsi="Calibri Light" w:cs="Calibri Light"/>
                <w:sz w:val="20"/>
                <w:szCs w:val="20"/>
              </w:rPr>
              <w:t xml:space="preserve"> – Multiplexación por División en el Tiempo</w:t>
            </w:r>
            <w:r w:rsidR="005C7BA4" w:rsidRPr="00A812DE">
              <w:rPr>
                <w:rFonts w:ascii="Calibri Light" w:hAnsi="Calibri Light" w:cs="Calibri Light"/>
                <w:sz w:val="20"/>
                <w:szCs w:val="20"/>
              </w:rPr>
              <w:t>)</w:t>
            </w:r>
            <w:r w:rsidR="00536ADF" w:rsidRPr="00A812DE">
              <w:rPr>
                <w:rFonts w:ascii="Calibri Light" w:hAnsi="Calibri Light" w:cs="Calibri Light"/>
                <w:sz w:val="20"/>
                <w:szCs w:val="20"/>
              </w:rPr>
              <w:t xml:space="preserve"> y con las consecuencias derivadas de esta condición</w:t>
            </w:r>
            <w:r w:rsidR="00271357">
              <w:rPr>
                <w:rFonts w:ascii="Calibri Light" w:hAnsi="Calibri Light" w:cs="Calibri Light"/>
                <w:sz w:val="20"/>
                <w:szCs w:val="20"/>
              </w:rPr>
              <w:t xml:space="preserve"> tales como:</w:t>
            </w:r>
            <w:r w:rsidR="00536ADF" w:rsidRPr="00A812DE">
              <w:rPr>
                <w:rFonts w:ascii="Calibri Light" w:hAnsi="Calibri Light" w:cs="Calibri Light"/>
                <w:sz w:val="20"/>
                <w:szCs w:val="20"/>
              </w:rPr>
              <w:t xml:space="preserve"> plazos de entrega largos, dificultad</w:t>
            </w:r>
            <w:r w:rsidR="00B5646E">
              <w:rPr>
                <w:rFonts w:ascii="Calibri Light" w:hAnsi="Calibri Light" w:cs="Calibri Light"/>
                <w:sz w:val="20"/>
                <w:szCs w:val="20"/>
              </w:rPr>
              <w:t>e</w:t>
            </w:r>
            <w:r w:rsidR="00536ADF" w:rsidRPr="00A812DE">
              <w:rPr>
                <w:rFonts w:ascii="Calibri Light" w:hAnsi="Calibri Light" w:cs="Calibri Light"/>
                <w:sz w:val="20"/>
                <w:szCs w:val="20"/>
              </w:rPr>
              <w:t xml:space="preserve">s en la </w:t>
            </w:r>
            <w:r w:rsidR="008622EF">
              <w:rPr>
                <w:rFonts w:ascii="Calibri Light" w:hAnsi="Calibri Light" w:cs="Calibri Light"/>
                <w:sz w:val="20"/>
                <w:szCs w:val="20"/>
              </w:rPr>
              <w:t>o</w:t>
            </w:r>
            <w:r w:rsidR="00536ADF" w:rsidRPr="00A812DE">
              <w:rPr>
                <w:rFonts w:ascii="Calibri Light" w:hAnsi="Calibri Light" w:cs="Calibri Light"/>
                <w:sz w:val="20"/>
                <w:szCs w:val="20"/>
              </w:rPr>
              <w:t xml:space="preserve">peración y </w:t>
            </w:r>
            <w:r w:rsidR="00B5646E">
              <w:rPr>
                <w:rFonts w:ascii="Calibri Light" w:hAnsi="Calibri Light" w:cs="Calibri Light"/>
                <w:sz w:val="20"/>
                <w:szCs w:val="20"/>
              </w:rPr>
              <w:t xml:space="preserve">el </w:t>
            </w:r>
            <w:r w:rsidR="008622EF">
              <w:rPr>
                <w:rFonts w:ascii="Calibri Light" w:hAnsi="Calibri Light" w:cs="Calibri Light"/>
                <w:sz w:val="20"/>
                <w:szCs w:val="20"/>
              </w:rPr>
              <w:t>m</w:t>
            </w:r>
            <w:r w:rsidR="00536ADF" w:rsidRPr="00A812DE">
              <w:rPr>
                <w:rFonts w:ascii="Calibri Light" w:hAnsi="Calibri Light" w:cs="Calibri Light"/>
                <w:sz w:val="20"/>
                <w:szCs w:val="20"/>
              </w:rPr>
              <w:t>antenimiento</w:t>
            </w:r>
            <w:r w:rsidR="00D83673">
              <w:rPr>
                <w:rFonts w:ascii="Calibri Light" w:hAnsi="Calibri Light" w:cs="Calibri Light"/>
                <w:sz w:val="20"/>
                <w:szCs w:val="20"/>
              </w:rPr>
              <w:t>,</w:t>
            </w:r>
            <w:r w:rsidR="00536ADF" w:rsidRPr="00A812DE">
              <w:rPr>
                <w:rFonts w:ascii="Calibri Light" w:hAnsi="Calibri Light" w:cs="Calibri Light"/>
                <w:sz w:val="20"/>
                <w:szCs w:val="20"/>
              </w:rPr>
              <w:t xml:space="preserve"> </w:t>
            </w:r>
            <w:r w:rsidR="008622EF">
              <w:rPr>
                <w:rFonts w:ascii="Calibri Light" w:hAnsi="Calibri Light" w:cs="Calibri Light"/>
                <w:sz w:val="20"/>
                <w:szCs w:val="20"/>
              </w:rPr>
              <w:t xml:space="preserve">tiempos de reparación muy altos por falta de refacciones, </w:t>
            </w:r>
            <w:r w:rsidR="00536ADF" w:rsidRPr="00A812DE">
              <w:rPr>
                <w:rFonts w:ascii="Calibri Light" w:hAnsi="Calibri Light" w:cs="Calibri Light"/>
                <w:sz w:val="20"/>
                <w:szCs w:val="20"/>
              </w:rPr>
              <w:t>así como en el soporte técnico, entre otras</w:t>
            </w:r>
            <w:r w:rsidR="00B5646E">
              <w:rPr>
                <w:rFonts w:ascii="Calibri Light" w:hAnsi="Calibri Light" w:cs="Calibri Light"/>
                <w:sz w:val="20"/>
                <w:szCs w:val="20"/>
              </w:rPr>
              <w:t xml:space="preserve">. Lo anterior considerando </w:t>
            </w:r>
            <w:r w:rsidR="003317E4">
              <w:rPr>
                <w:rFonts w:ascii="Calibri Light" w:hAnsi="Calibri Light" w:cs="Calibri Light"/>
                <w:sz w:val="20"/>
                <w:szCs w:val="20"/>
              </w:rPr>
              <w:t>que,</w:t>
            </w:r>
            <w:r w:rsidR="00536ADF" w:rsidRPr="00A812DE">
              <w:rPr>
                <w:rFonts w:ascii="Calibri Light" w:hAnsi="Calibri Light" w:cs="Calibri Light"/>
                <w:sz w:val="20"/>
                <w:szCs w:val="20"/>
              </w:rPr>
              <w:t xml:space="preserve"> </w:t>
            </w:r>
            <w:r w:rsidR="008622EF">
              <w:rPr>
                <w:rFonts w:ascii="Calibri Light" w:hAnsi="Calibri Light" w:cs="Calibri Light"/>
                <w:sz w:val="20"/>
                <w:szCs w:val="20"/>
              </w:rPr>
              <w:t>de</w:t>
            </w:r>
            <w:r w:rsidR="00536ADF" w:rsidRPr="00A812DE">
              <w:rPr>
                <w:rFonts w:ascii="Calibri Light" w:hAnsi="Calibri Light" w:cs="Calibri Light"/>
                <w:sz w:val="20"/>
                <w:szCs w:val="20"/>
              </w:rPr>
              <w:t xml:space="preserve"> </w:t>
            </w:r>
            <w:r w:rsidR="008622EF">
              <w:rPr>
                <w:rFonts w:ascii="Calibri Light" w:hAnsi="Calibri Light" w:cs="Calibri Light"/>
                <w:sz w:val="20"/>
                <w:szCs w:val="20"/>
              </w:rPr>
              <w:t xml:space="preserve">abril a diciembre de </w:t>
            </w:r>
            <w:r w:rsidR="00536ADF" w:rsidRPr="00A812DE">
              <w:rPr>
                <w:rFonts w:ascii="Calibri Light" w:hAnsi="Calibri Light" w:cs="Calibri Light"/>
                <w:sz w:val="20"/>
                <w:szCs w:val="20"/>
              </w:rPr>
              <w:t xml:space="preserve">2022, sólo se </w:t>
            </w:r>
            <w:r w:rsidR="008622EF">
              <w:rPr>
                <w:rFonts w:ascii="Calibri Light" w:hAnsi="Calibri Light" w:cs="Calibri Light"/>
                <w:sz w:val="20"/>
                <w:szCs w:val="20"/>
              </w:rPr>
              <w:t>aprovisionaron 2</w:t>
            </w:r>
            <w:r w:rsidR="00536ADF" w:rsidRPr="00A812DE">
              <w:rPr>
                <w:rFonts w:ascii="Calibri Light" w:hAnsi="Calibri Light" w:cs="Calibri Light"/>
                <w:sz w:val="20"/>
                <w:szCs w:val="20"/>
              </w:rPr>
              <w:t xml:space="preserve"> solicitudes de este tipo de </w:t>
            </w:r>
            <w:r w:rsidR="00A812DE">
              <w:rPr>
                <w:rFonts w:ascii="Calibri Light" w:hAnsi="Calibri Light" w:cs="Calibri Light"/>
                <w:sz w:val="20"/>
                <w:szCs w:val="20"/>
              </w:rPr>
              <w:t>E</w:t>
            </w:r>
            <w:r w:rsidR="00536ADF" w:rsidRPr="00A812DE">
              <w:rPr>
                <w:rFonts w:ascii="Calibri Light" w:hAnsi="Calibri Light" w:cs="Calibri Light"/>
                <w:sz w:val="20"/>
                <w:szCs w:val="20"/>
              </w:rPr>
              <w:t>nlaces</w:t>
            </w:r>
            <w:r w:rsidR="00A812DE">
              <w:rPr>
                <w:rFonts w:ascii="Calibri Light" w:hAnsi="Calibri Light" w:cs="Calibri Light"/>
                <w:sz w:val="20"/>
                <w:szCs w:val="20"/>
              </w:rPr>
              <w:t xml:space="preserve"> Dedicados</w:t>
            </w:r>
            <w:r w:rsidR="005777B6">
              <w:rPr>
                <w:rFonts w:ascii="Calibri Light" w:hAnsi="Calibri Light" w:cs="Calibri Light"/>
                <w:sz w:val="20"/>
                <w:szCs w:val="20"/>
              </w:rPr>
              <w:t xml:space="preserve">, es decir, no </w:t>
            </w:r>
            <w:r>
              <w:rPr>
                <w:rFonts w:ascii="Calibri Light" w:hAnsi="Calibri Light" w:cs="Calibri Light"/>
                <w:sz w:val="20"/>
                <w:szCs w:val="20"/>
              </w:rPr>
              <w:t>han sido</w:t>
            </w:r>
            <w:r w:rsidR="005777B6">
              <w:rPr>
                <w:rFonts w:ascii="Calibri Light" w:hAnsi="Calibri Light" w:cs="Calibri Light"/>
                <w:sz w:val="20"/>
                <w:szCs w:val="20"/>
              </w:rPr>
              <w:t xml:space="preserve"> del interés de los Concesionarios.</w:t>
            </w:r>
          </w:p>
          <w:p w14:paraId="6D5118B3" w14:textId="77777777" w:rsidR="005C7BA4" w:rsidRDefault="005C7BA4" w:rsidP="005C7BA4">
            <w:pPr>
              <w:pStyle w:val="Prrafodelista"/>
              <w:numPr>
                <w:ilvl w:val="0"/>
                <w:numId w:val="7"/>
              </w:numPr>
              <w:ind w:left="170" w:hanging="153"/>
              <w:jc w:val="both"/>
              <w:rPr>
                <w:rFonts w:ascii="Calibri Light" w:hAnsi="Calibri Light" w:cs="Calibri Light"/>
                <w:sz w:val="20"/>
                <w:szCs w:val="20"/>
              </w:rPr>
            </w:pPr>
            <w:r>
              <w:rPr>
                <w:rFonts w:ascii="Calibri Light" w:hAnsi="Calibri Light" w:cs="Calibri Light"/>
                <w:sz w:val="20"/>
                <w:szCs w:val="20"/>
              </w:rPr>
              <w:t xml:space="preserve"> Eliminar la </w:t>
            </w:r>
            <w:r w:rsidRPr="00AF4065">
              <w:rPr>
                <w:rFonts w:ascii="Calibri Light" w:hAnsi="Calibri Light" w:cs="Calibri Light"/>
                <w:sz w:val="20"/>
                <w:szCs w:val="20"/>
              </w:rPr>
              <w:t>contratación de servicios nuevos</w:t>
            </w:r>
            <w:r>
              <w:rPr>
                <w:rFonts w:ascii="Calibri Light" w:hAnsi="Calibri Light" w:cs="Calibri Light"/>
                <w:sz w:val="20"/>
                <w:szCs w:val="20"/>
              </w:rPr>
              <w:t xml:space="preserve"> </w:t>
            </w:r>
            <w:r w:rsidR="00B5646E">
              <w:rPr>
                <w:rFonts w:ascii="Calibri Light" w:hAnsi="Calibri Light" w:cs="Calibri Light"/>
                <w:sz w:val="20"/>
                <w:szCs w:val="20"/>
              </w:rPr>
              <w:t>co</w:t>
            </w:r>
            <w:r>
              <w:rPr>
                <w:rFonts w:ascii="Calibri Light" w:hAnsi="Calibri Light" w:cs="Calibri Light"/>
                <w:sz w:val="20"/>
                <w:szCs w:val="20"/>
              </w:rPr>
              <w:t xml:space="preserve">n tecnología Ethernet para velocidades </w:t>
            </w:r>
            <w:r w:rsidR="0068517E">
              <w:rPr>
                <w:rFonts w:ascii="Calibri Light" w:hAnsi="Calibri Light" w:cs="Calibri Light"/>
                <w:sz w:val="20"/>
                <w:szCs w:val="20"/>
              </w:rPr>
              <w:t>con muy baja demanda</w:t>
            </w:r>
            <w:r w:rsidR="00D83673">
              <w:rPr>
                <w:rFonts w:ascii="Calibri Light" w:hAnsi="Calibri Light" w:cs="Calibri Light"/>
                <w:sz w:val="20"/>
                <w:szCs w:val="20"/>
              </w:rPr>
              <w:t xml:space="preserve"> (</w:t>
            </w:r>
            <w:r w:rsidR="00D83673" w:rsidRPr="00D83673">
              <w:rPr>
                <w:rFonts w:ascii="Calibri Light" w:hAnsi="Calibri Light" w:cs="Calibri Light"/>
                <w:sz w:val="20"/>
                <w:szCs w:val="20"/>
              </w:rPr>
              <w:t>70, 90, 300, 350, 400, 550, 600, y 750 Mbps, así como 2,</w:t>
            </w:r>
            <w:r w:rsidR="00D83673">
              <w:rPr>
                <w:rFonts w:ascii="Calibri Light" w:hAnsi="Calibri Light" w:cs="Calibri Light"/>
                <w:sz w:val="20"/>
                <w:szCs w:val="20"/>
              </w:rPr>
              <w:t xml:space="preserve"> </w:t>
            </w:r>
            <w:r w:rsidR="00D83673" w:rsidRPr="00D83673">
              <w:rPr>
                <w:rFonts w:ascii="Calibri Light" w:hAnsi="Calibri Light" w:cs="Calibri Light"/>
                <w:sz w:val="20"/>
                <w:szCs w:val="20"/>
              </w:rPr>
              <w:t>4,</w:t>
            </w:r>
            <w:r w:rsidR="00D83673">
              <w:rPr>
                <w:rFonts w:ascii="Calibri Light" w:hAnsi="Calibri Light" w:cs="Calibri Light"/>
                <w:sz w:val="20"/>
                <w:szCs w:val="20"/>
              </w:rPr>
              <w:t xml:space="preserve"> </w:t>
            </w:r>
            <w:r w:rsidR="00D83673" w:rsidRPr="00D83673">
              <w:rPr>
                <w:rFonts w:ascii="Calibri Light" w:hAnsi="Calibri Light" w:cs="Calibri Light"/>
                <w:sz w:val="20"/>
                <w:szCs w:val="20"/>
              </w:rPr>
              <w:t>6 y 8 Gbps</w:t>
            </w:r>
            <w:r w:rsidR="00D83673">
              <w:rPr>
                <w:rFonts w:ascii="Calibri Light" w:hAnsi="Calibri Light" w:cs="Calibri Light"/>
                <w:sz w:val="20"/>
                <w:szCs w:val="20"/>
              </w:rPr>
              <w:t>)</w:t>
            </w:r>
            <w:r w:rsidR="00B5646E">
              <w:rPr>
                <w:rFonts w:ascii="Calibri Light" w:hAnsi="Calibri Light" w:cs="Calibri Light"/>
                <w:sz w:val="20"/>
                <w:szCs w:val="20"/>
              </w:rPr>
              <w:t>. Lo anterior considerando que</w:t>
            </w:r>
            <w:r w:rsidR="0068517E">
              <w:rPr>
                <w:rFonts w:ascii="Calibri Light" w:hAnsi="Calibri Light" w:cs="Calibri Light"/>
                <w:sz w:val="20"/>
                <w:szCs w:val="20"/>
              </w:rPr>
              <w:t xml:space="preserve"> </w:t>
            </w:r>
            <w:r w:rsidR="004B658C">
              <w:rPr>
                <w:rFonts w:ascii="Calibri Light" w:hAnsi="Calibri Light" w:cs="Calibri Light"/>
                <w:sz w:val="20"/>
                <w:szCs w:val="20"/>
              </w:rPr>
              <w:t>de abril a diciembre de 2022</w:t>
            </w:r>
            <w:r w:rsidR="0068517E" w:rsidRPr="002A5177">
              <w:rPr>
                <w:rFonts w:ascii="Calibri Light" w:hAnsi="Calibri Light" w:cs="Calibri Light"/>
                <w:sz w:val="20"/>
                <w:szCs w:val="20"/>
              </w:rPr>
              <w:t xml:space="preserve"> sólo se recibieron </w:t>
            </w:r>
            <w:r w:rsidR="004B658C">
              <w:rPr>
                <w:rFonts w:ascii="Calibri Light" w:hAnsi="Calibri Light" w:cs="Calibri Light"/>
                <w:sz w:val="20"/>
                <w:szCs w:val="20"/>
              </w:rPr>
              <w:t>8</w:t>
            </w:r>
            <w:r w:rsidR="0068517E" w:rsidRPr="002A5177">
              <w:rPr>
                <w:rFonts w:ascii="Calibri Light" w:hAnsi="Calibri Light" w:cs="Calibri Light"/>
                <w:sz w:val="20"/>
                <w:szCs w:val="20"/>
              </w:rPr>
              <w:t xml:space="preserve"> solicitudes </w:t>
            </w:r>
            <w:r w:rsidR="0068517E">
              <w:rPr>
                <w:rFonts w:ascii="Calibri Light" w:hAnsi="Calibri Light" w:cs="Calibri Light"/>
                <w:sz w:val="20"/>
                <w:szCs w:val="20"/>
              </w:rPr>
              <w:t xml:space="preserve">en estas velocidades, </w:t>
            </w:r>
            <w:r w:rsidR="0068517E" w:rsidRPr="002A5177">
              <w:rPr>
                <w:rFonts w:ascii="Calibri Light" w:hAnsi="Calibri Light" w:cs="Calibri Light"/>
                <w:sz w:val="20"/>
                <w:szCs w:val="20"/>
              </w:rPr>
              <w:t xml:space="preserve">lo que representa el </w:t>
            </w:r>
            <w:r w:rsidR="004B658C">
              <w:rPr>
                <w:rFonts w:ascii="Calibri Light" w:hAnsi="Calibri Light" w:cs="Calibri Light"/>
                <w:sz w:val="20"/>
                <w:szCs w:val="20"/>
              </w:rPr>
              <w:t>3.5</w:t>
            </w:r>
            <w:r w:rsidR="0068517E" w:rsidRPr="002A5177">
              <w:rPr>
                <w:rFonts w:ascii="Calibri Light" w:hAnsi="Calibri Light" w:cs="Calibri Light"/>
                <w:sz w:val="20"/>
                <w:szCs w:val="20"/>
              </w:rPr>
              <w:t>% del total de las solicitudes recibidas</w:t>
            </w:r>
            <w:r w:rsidR="00B5646E">
              <w:rPr>
                <w:rFonts w:ascii="Calibri Light" w:hAnsi="Calibri Light" w:cs="Calibri Light"/>
                <w:sz w:val="20"/>
                <w:szCs w:val="20"/>
              </w:rPr>
              <w:t>.</w:t>
            </w:r>
          </w:p>
          <w:p w14:paraId="5B2D69F6" w14:textId="77777777" w:rsidR="00D83673" w:rsidRDefault="00D83673" w:rsidP="00D83673">
            <w:pPr>
              <w:jc w:val="both"/>
              <w:rPr>
                <w:rFonts w:ascii="Calibri Light" w:hAnsi="Calibri Light" w:cs="Calibri Light"/>
                <w:sz w:val="20"/>
                <w:szCs w:val="20"/>
              </w:rPr>
            </w:pPr>
          </w:p>
          <w:p w14:paraId="7846E199" w14:textId="77777777" w:rsidR="00D83673" w:rsidRDefault="00E82C29" w:rsidP="000E02F8">
            <w:pPr>
              <w:ind w:left="17"/>
              <w:jc w:val="both"/>
              <w:rPr>
                <w:rFonts w:ascii="Calibri Light" w:hAnsi="Calibri Light" w:cs="Calibri Light"/>
                <w:sz w:val="20"/>
                <w:szCs w:val="20"/>
              </w:rPr>
            </w:pPr>
            <w:r>
              <w:rPr>
                <w:rFonts w:ascii="Calibri Light" w:hAnsi="Calibri Light" w:cs="Calibri Light"/>
                <w:sz w:val="20"/>
                <w:szCs w:val="20"/>
              </w:rPr>
              <w:t>Es muy importante señalar que los servicios que hoy en día se proporcionan en ambas tecnologías se continuarán prestando en los mismos términos y condiciones y conforme a la regulación vigente.</w:t>
            </w:r>
          </w:p>
          <w:p w14:paraId="4CC7FE7B" w14:textId="77777777" w:rsidR="005A777A" w:rsidRDefault="005A777A" w:rsidP="000E02F8">
            <w:pPr>
              <w:ind w:left="17"/>
              <w:jc w:val="both"/>
              <w:rPr>
                <w:rFonts w:ascii="Calibri Light" w:hAnsi="Calibri Light" w:cs="Calibri Light"/>
                <w:sz w:val="20"/>
                <w:szCs w:val="20"/>
              </w:rPr>
            </w:pPr>
          </w:p>
          <w:p w14:paraId="1A21986F" w14:textId="55558479" w:rsidR="006404EC" w:rsidRPr="000E02F8" w:rsidRDefault="006404EC" w:rsidP="000E02F8">
            <w:pPr>
              <w:ind w:left="17"/>
              <w:jc w:val="both"/>
              <w:rPr>
                <w:rFonts w:ascii="Calibri Light" w:hAnsi="Calibri Light" w:cs="Calibri Light"/>
                <w:sz w:val="20"/>
                <w:szCs w:val="20"/>
              </w:rPr>
            </w:pPr>
            <w:r>
              <w:rPr>
                <w:rFonts w:ascii="Calibri Light" w:hAnsi="Calibri Light" w:cs="Calibri Light"/>
                <w:sz w:val="20"/>
                <w:szCs w:val="20"/>
              </w:rPr>
              <w:t>Por consistencia de la eliminación solicitada de TDM, se elimina todo lo relacionado con su gestión.</w:t>
            </w:r>
          </w:p>
          <w:p w14:paraId="5249A59D" w14:textId="77777777" w:rsidR="00D83673" w:rsidRPr="000E02F8" w:rsidRDefault="00D83673" w:rsidP="00D83673">
            <w:pPr>
              <w:jc w:val="both"/>
              <w:rPr>
                <w:rFonts w:ascii="Calibri Light" w:hAnsi="Calibri Light" w:cs="Calibri Light"/>
                <w:sz w:val="20"/>
                <w:szCs w:val="20"/>
              </w:rPr>
            </w:pPr>
          </w:p>
          <w:p w14:paraId="6E635BC3" w14:textId="77777777" w:rsidR="005C7BA4" w:rsidRDefault="005C7BA4" w:rsidP="00536ADF">
            <w:pPr>
              <w:jc w:val="both"/>
              <w:rPr>
                <w:rFonts w:ascii="Calibri Light" w:eastAsia="Calibri" w:hAnsi="Calibri Light" w:cs="Calibri Light"/>
                <w:sz w:val="20"/>
                <w:szCs w:val="20"/>
              </w:rPr>
            </w:pPr>
          </w:p>
        </w:tc>
      </w:tr>
      <w:tr w:rsidR="00536ADF" w:rsidRPr="00C13F5A" w14:paraId="29DC8BD0" w14:textId="77777777" w:rsidTr="00FD4CB6">
        <w:trPr>
          <w:jc w:val="center"/>
        </w:trPr>
        <w:tc>
          <w:tcPr>
            <w:tcW w:w="2405" w:type="dxa"/>
            <w:vMerge/>
            <w:shd w:val="clear" w:color="auto" w:fill="auto"/>
            <w:vAlign w:val="center"/>
          </w:tcPr>
          <w:p w14:paraId="27B0CF78" w14:textId="77777777" w:rsidR="00536ADF" w:rsidRDefault="00536ADF" w:rsidP="00536ADF">
            <w:pPr>
              <w:jc w:val="center"/>
              <w:rPr>
                <w:sz w:val="20"/>
                <w:szCs w:val="20"/>
              </w:rPr>
            </w:pPr>
          </w:p>
        </w:tc>
        <w:tc>
          <w:tcPr>
            <w:tcW w:w="1276" w:type="dxa"/>
            <w:shd w:val="clear" w:color="auto" w:fill="auto"/>
            <w:vAlign w:val="center"/>
          </w:tcPr>
          <w:p w14:paraId="4513EF8E" w14:textId="77777777" w:rsidR="00536ADF" w:rsidRPr="0060241A" w:rsidRDefault="00536ADF" w:rsidP="00536ADF">
            <w:pPr>
              <w:jc w:val="center"/>
              <w:rPr>
                <w:rFonts w:cstheme="minorHAnsi"/>
                <w:sz w:val="20"/>
                <w:szCs w:val="20"/>
              </w:rPr>
            </w:pPr>
            <w:r w:rsidRPr="0060241A">
              <w:rPr>
                <w:rFonts w:cstheme="minorHAnsi"/>
                <w:sz w:val="20"/>
                <w:szCs w:val="20"/>
              </w:rPr>
              <w:t>2.3</w:t>
            </w:r>
          </w:p>
        </w:tc>
        <w:tc>
          <w:tcPr>
            <w:tcW w:w="1559" w:type="dxa"/>
            <w:vMerge/>
            <w:shd w:val="clear" w:color="auto" w:fill="auto"/>
            <w:vAlign w:val="center"/>
          </w:tcPr>
          <w:p w14:paraId="28DA06EF" w14:textId="77777777" w:rsidR="00536ADF" w:rsidRDefault="00536ADF" w:rsidP="00536ADF">
            <w:pPr>
              <w:jc w:val="both"/>
              <w:rPr>
                <w:rFonts w:cstheme="minorHAnsi"/>
                <w:sz w:val="20"/>
                <w:szCs w:val="20"/>
              </w:rPr>
            </w:pPr>
          </w:p>
        </w:tc>
        <w:tc>
          <w:tcPr>
            <w:tcW w:w="3686" w:type="dxa"/>
          </w:tcPr>
          <w:p w14:paraId="4F48CB53" w14:textId="7777777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[Ver cambio en la propuesta </w:t>
            </w:r>
            <w:r w:rsidR="00924788">
              <w:rPr>
                <w:rFonts w:ascii="Calibri Light" w:eastAsia="Calibri" w:hAnsi="Calibri Light" w:cs="Calibri Light"/>
                <w:sz w:val="20"/>
                <w:szCs w:val="20"/>
              </w:rPr>
              <w:t>ORE 2024</w:t>
            </w:r>
            <w:r>
              <w:rPr>
                <w:rFonts w:ascii="Calibri Light" w:eastAsia="Calibri" w:hAnsi="Calibri Light" w:cs="Calibri Light"/>
                <w:sz w:val="20"/>
                <w:szCs w:val="20"/>
              </w:rPr>
              <w:t>]</w:t>
            </w:r>
          </w:p>
        </w:tc>
        <w:tc>
          <w:tcPr>
            <w:tcW w:w="5257" w:type="dxa"/>
            <w:vMerge/>
            <w:shd w:val="clear" w:color="auto" w:fill="auto"/>
            <w:vAlign w:val="center"/>
          </w:tcPr>
          <w:p w14:paraId="36AD1A73" w14:textId="77777777" w:rsidR="00536ADF" w:rsidRDefault="00536ADF" w:rsidP="00536ADF">
            <w:pPr>
              <w:jc w:val="both"/>
              <w:rPr>
                <w:rFonts w:ascii="Calibri Light" w:hAnsi="Calibri Light" w:cs="Calibri Light"/>
                <w:sz w:val="20"/>
                <w:szCs w:val="20"/>
              </w:rPr>
            </w:pPr>
          </w:p>
        </w:tc>
      </w:tr>
      <w:tr w:rsidR="00536ADF" w:rsidRPr="00C13F5A" w14:paraId="3A2CAF53" w14:textId="77777777" w:rsidTr="00FD4CB6">
        <w:trPr>
          <w:jc w:val="center"/>
        </w:trPr>
        <w:tc>
          <w:tcPr>
            <w:tcW w:w="2405" w:type="dxa"/>
            <w:vMerge/>
            <w:shd w:val="clear" w:color="auto" w:fill="auto"/>
            <w:vAlign w:val="center"/>
          </w:tcPr>
          <w:p w14:paraId="0CEC82D5" w14:textId="77777777" w:rsidR="00536ADF" w:rsidRDefault="00536ADF" w:rsidP="00536ADF">
            <w:pPr>
              <w:jc w:val="center"/>
              <w:rPr>
                <w:sz w:val="20"/>
                <w:szCs w:val="20"/>
              </w:rPr>
            </w:pPr>
          </w:p>
        </w:tc>
        <w:tc>
          <w:tcPr>
            <w:tcW w:w="1276" w:type="dxa"/>
            <w:shd w:val="clear" w:color="auto" w:fill="auto"/>
            <w:vAlign w:val="center"/>
          </w:tcPr>
          <w:p w14:paraId="6863D7CE" w14:textId="77777777" w:rsidR="00536ADF" w:rsidRPr="0060241A" w:rsidRDefault="00536ADF" w:rsidP="00536ADF">
            <w:pPr>
              <w:jc w:val="center"/>
              <w:rPr>
                <w:rFonts w:cstheme="minorHAnsi"/>
                <w:sz w:val="20"/>
                <w:szCs w:val="20"/>
              </w:rPr>
            </w:pPr>
            <w:r w:rsidRPr="0060241A">
              <w:rPr>
                <w:rFonts w:cstheme="minorHAnsi"/>
                <w:sz w:val="20"/>
                <w:szCs w:val="20"/>
              </w:rPr>
              <w:t>2.4.1.1</w:t>
            </w:r>
          </w:p>
        </w:tc>
        <w:tc>
          <w:tcPr>
            <w:tcW w:w="1559" w:type="dxa"/>
            <w:vMerge/>
            <w:shd w:val="clear" w:color="auto" w:fill="auto"/>
            <w:vAlign w:val="center"/>
          </w:tcPr>
          <w:p w14:paraId="595ADD0A" w14:textId="77777777" w:rsidR="00536ADF" w:rsidRDefault="00536ADF" w:rsidP="00536ADF">
            <w:pPr>
              <w:jc w:val="both"/>
              <w:rPr>
                <w:rFonts w:cstheme="minorHAnsi"/>
                <w:sz w:val="20"/>
                <w:szCs w:val="20"/>
              </w:rPr>
            </w:pPr>
          </w:p>
        </w:tc>
        <w:tc>
          <w:tcPr>
            <w:tcW w:w="3686" w:type="dxa"/>
          </w:tcPr>
          <w:p w14:paraId="0DDEB55B" w14:textId="7777777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[Ver cambio en la propuesta </w:t>
            </w:r>
            <w:r w:rsidR="00924788">
              <w:rPr>
                <w:rFonts w:ascii="Calibri Light" w:eastAsia="Calibri" w:hAnsi="Calibri Light" w:cs="Calibri Light"/>
                <w:sz w:val="20"/>
                <w:szCs w:val="20"/>
              </w:rPr>
              <w:t>ORE 2024</w:t>
            </w:r>
            <w:r>
              <w:rPr>
                <w:rFonts w:ascii="Calibri Light" w:eastAsia="Calibri" w:hAnsi="Calibri Light" w:cs="Calibri Light"/>
                <w:sz w:val="20"/>
                <w:szCs w:val="20"/>
              </w:rPr>
              <w:t>]</w:t>
            </w:r>
          </w:p>
        </w:tc>
        <w:tc>
          <w:tcPr>
            <w:tcW w:w="5257" w:type="dxa"/>
            <w:vMerge/>
            <w:shd w:val="clear" w:color="auto" w:fill="auto"/>
            <w:vAlign w:val="center"/>
          </w:tcPr>
          <w:p w14:paraId="33E02D0A" w14:textId="77777777" w:rsidR="00536ADF" w:rsidRDefault="00536ADF" w:rsidP="00536ADF">
            <w:pPr>
              <w:jc w:val="both"/>
              <w:rPr>
                <w:rFonts w:ascii="Calibri Light" w:hAnsi="Calibri Light" w:cs="Calibri Light"/>
                <w:sz w:val="20"/>
                <w:szCs w:val="20"/>
              </w:rPr>
            </w:pPr>
          </w:p>
        </w:tc>
      </w:tr>
      <w:tr w:rsidR="00536ADF" w:rsidRPr="00C13F5A" w14:paraId="7B35135A" w14:textId="77777777" w:rsidTr="00FD4CB6">
        <w:trPr>
          <w:jc w:val="center"/>
        </w:trPr>
        <w:tc>
          <w:tcPr>
            <w:tcW w:w="2405" w:type="dxa"/>
            <w:vMerge/>
            <w:shd w:val="clear" w:color="auto" w:fill="auto"/>
            <w:vAlign w:val="center"/>
          </w:tcPr>
          <w:p w14:paraId="5F4EE30F" w14:textId="77777777" w:rsidR="00536ADF" w:rsidRDefault="00536ADF" w:rsidP="00536ADF">
            <w:pPr>
              <w:jc w:val="center"/>
              <w:rPr>
                <w:sz w:val="20"/>
                <w:szCs w:val="20"/>
              </w:rPr>
            </w:pPr>
          </w:p>
        </w:tc>
        <w:tc>
          <w:tcPr>
            <w:tcW w:w="1276" w:type="dxa"/>
            <w:shd w:val="clear" w:color="auto" w:fill="auto"/>
            <w:vAlign w:val="center"/>
          </w:tcPr>
          <w:p w14:paraId="7069A378" w14:textId="77777777" w:rsidR="00536ADF" w:rsidRDefault="00536ADF" w:rsidP="00536ADF">
            <w:pPr>
              <w:jc w:val="center"/>
              <w:rPr>
                <w:rFonts w:cstheme="minorHAnsi"/>
                <w:sz w:val="20"/>
                <w:szCs w:val="20"/>
              </w:rPr>
            </w:pPr>
            <w:r>
              <w:rPr>
                <w:rFonts w:cstheme="minorHAnsi"/>
                <w:sz w:val="20"/>
                <w:szCs w:val="20"/>
              </w:rPr>
              <w:t>2.5.5</w:t>
            </w:r>
          </w:p>
        </w:tc>
        <w:tc>
          <w:tcPr>
            <w:tcW w:w="1559" w:type="dxa"/>
            <w:vMerge/>
            <w:shd w:val="clear" w:color="auto" w:fill="auto"/>
            <w:vAlign w:val="center"/>
          </w:tcPr>
          <w:p w14:paraId="1FB11773" w14:textId="77777777" w:rsidR="00536ADF" w:rsidRDefault="00536ADF" w:rsidP="00536ADF">
            <w:pPr>
              <w:jc w:val="both"/>
              <w:rPr>
                <w:rFonts w:cstheme="minorHAnsi"/>
                <w:sz w:val="20"/>
                <w:szCs w:val="20"/>
              </w:rPr>
            </w:pPr>
          </w:p>
        </w:tc>
        <w:tc>
          <w:tcPr>
            <w:tcW w:w="3686" w:type="dxa"/>
          </w:tcPr>
          <w:p w14:paraId="67DD5D22" w14:textId="77777777" w:rsidR="00536ADF" w:rsidRDefault="00536ADF" w:rsidP="00536ADF">
            <w:pPr>
              <w:jc w:val="both"/>
              <w:rPr>
                <w:rFonts w:ascii="Calibri Light" w:eastAsia="Calibri" w:hAnsi="Calibri Light" w:cs="Calibri Light"/>
                <w:sz w:val="20"/>
                <w:szCs w:val="20"/>
              </w:rPr>
            </w:pPr>
            <w:r w:rsidRPr="007D430C">
              <w:rPr>
                <w:rFonts w:ascii="Calibri Light" w:eastAsia="Calibri" w:hAnsi="Calibri Light" w:cs="Calibri Light"/>
                <w:sz w:val="20"/>
                <w:szCs w:val="20"/>
              </w:rPr>
              <w:t xml:space="preserve">2.5.5 La División Mayorista de Telmex/Telnor notificará la fecha de entrega vinculante de los Enlaces al Concesionario Solicitante o Autorizado Solicitante en un plazo máximo de </w:t>
            </w:r>
            <w:r w:rsidRPr="007B3AB2">
              <w:rPr>
                <w:rFonts w:ascii="Calibri Light" w:eastAsia="Calibri" w:hAnsi="Calibri Light" w:cs="Calibri Light"/>
                <w:strike/>
                <w:color w:val="0070C0"/>
                <w:sz w:val="20"/>
                <w:szCs w:val="20"/>
              </w:rPr>
              <w:t>7 (siete) días hábiles a partir de la entrega del número de referencia para enlaces de velocidades 2.048 Mbps e inferiores, y de</w:t>
            </w:r>
            <w:r w:rsidRPr="007D430C">
              <w:rPr>
                <w:rFonts w:ascii="Calibri Light" w:eastAsia="Calibri" w:hAnsi="Calibri Light" w:cs="Calibri Light"/>
                <w:sz w:val="20"/>
                <w:szCs w:val="20"/>
              </w:rPr>
              <w:t xml:space="preserve"> 30 (treinta) días 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 en un plazo máximo de 5 (cinco) días hábiles, contados a partir de la entrega del número de referencia.</w:t>
            </w:r>
          </w:p>
        </w:tc>
        <w:tc>
          <w:tcPr>
            <w:tcW w:w="5257" w:type="dxa"/>
            <w:vMerge/>
            <w:shd w:val="clear" w:color="auto" w:fill="auto"/>
            <w:vAlign w:val="center"/>
          </w:tcPr>
          <w:p w14:paraId="324AD0B2" w14:textId="77777777" w:rsidR="00536ADF" w:rsidRDefault="00536ADF" w:rsidP="00536ADF">
            <w:pPr>
              <w:jc w:val="both"/>
              <w:rPr>
                <w:rFonts w:ascii="Calibri Light" w:hAnsi="Calibri Light" w:cs="Calibri Light"/>
                <w:sz w:val="20"/>
                <w:szCs w:val="20"/>
              </w:rPr>
            </w:pPr>
          </w:p>
        </w:tc>
      </w:tr>
      <w:tr w:rsidR="00536ADF" w:rsidRPr="00C13F5A" w14:paraId="7E755822" w14:textId="77777777" w:rsidTr="00FD4CB6">
        <w:trPr>
          <w:jc w:val="center"/>
        </w:trPr>
        <w:tc>
          <w:tcPr>
            <w:tcW w:w="2405" w:type="dxa"/>
            <w:shd w:val="clear" w:color="auto" w:fill="auto"/>
            <w:vAlign w:val="center"/>
          </w:tcPr>
          <w:p w14:paraId="3E3469F8" w14:textId="77777777" w:rsidR="00536ADF" w:rsidRDefault="00536ADF" w:rsidP="00536ADF">
            <w:pPr>
              <w:jc w:val="center"/>
              <w:rPr>
                <w:sz w:val="20"/>
                <w:szCs w:val="20"/>
              </w:rPr>
            </w:pPr>
            <w:r>
              <w:rPr>
                <w:sz w:val="20"/>
                <w:szCs w:val="20"/>
              </w:rPr>
              <w:t>Anexo “B”</w:t>
            </w:r>
          </w:p>
        </w:tc>
        <w:tc>
          <w:tcPr>
            <w:tcW w:w="1276" w:type="dxa"/>
            <w:shd w:val="clear" w:color="auto" w:fill="auto"/>
            <w:vAlign w:val="center"/>
          </w:tcPr>
          <w:p w14:paraId="7BD215BF" w14:textId="77777777" w:rsidR="00536ADF" w:rsidRDefault="00536ADF" w:rsidP="00536ADF">
            <w:pPr>
              <w:rPr>
                <w:rFonts w:cstheme="minorHAnsi"/>
                <w:sz w:val="20"/>
                <w:szCs w:val="20"/>
              </w:rPr>
            </w:pPr>
            <w:r>
              <w:rPr>
                <w:rFonts w:cstheme="minorHAnsi"/>
                <w:sz w:val="20"/>
                <w:szCs w:val="20"/>
              </w:rPr>
              <w:t>Formato de Solicitud de Servicio</w:t>
            </w:r>
          </w:p>
        </w:tc>
        <w:tc>
          <w:tcPr>
            <w:tcW w:w="1559" w:type="dxa"/>
            <w:vMerge/>
            <w:shd w:val="clear" w:color="auto" w:fill="auto"/>
            <w:vAlign w:val="center"/>
          </w:tcPr>
          <w:p w14:paraId="45994B9A" w14:textId="77777777" w:rsidR="00536ADF" w:rsidRDefault="00536ADF" w:rsidP="00536ADF">
            <w:pPr>
              <w:rPr>
                <w:rFonts w:cstheme="minorHAnsi"/>
                <w:sz w:val="20"/>
                <w:szCs w:val="20"/>
              </w:rPr>
            </w:pPr>
          </w:p>
        </w:tc>
        <w:tc>
          <w:tcPr>
            <w:tcW w:w="3686" w:type="dxa"/>
            <w:vAlign w:val="center"/>
          </w:tcPr>
          <w:p w14:paraId="24F63FAB" w14:textId="77777777" w:rsidR="00536ADF" w:rsidRDefault="00536ADF" w:rsidP="00536ADF">
            <w:pPr>
              <w:rPr>
                <w:rFonts w:ascii="Calibri Light" w:eastAsia="Calibri" w:hAnsi="Calibri Light" w:cs="Calibri Light"/>
                <w:sz w:val="20"/>
                <w:szCs w:val="20"/>
              </w:rPr>
            </w:pPr>
            <w:r>
              <w:rPr>
                <w:rFonts w:ascii="Calibri Light" w:eastAsia="Calibri" w:hAnsi="Calibri Light" w:cs="Calibri Light"/>
                <w:sz w:val="20"/>
                <w:szCs w:val="20"/>
              </w:rPr>
              <w:t xml:space="preserve">[Ver cambio en la propuesta </w:t>
            </w:r>
            <w:r w:rsidR="00924788">
              <w:rPr>
                <w:rFonts w:ascii="Calibri Light" w:eastAsia="Calibri" w:hAnsi="Calibri Light" w:cs="Calibri Light"/>
                <w:sz w:val="20"/>
                <w:szCs w:val="20"/>
              </w:rPr>
              <w:t>ORE 2024</w:t>
            </w:r>
            <w:r>
              <w:rPr>
                <w:rFonts w:ascii="Calibri Light" w:eastAsia="Calibri" w:hAnsi="Calibri Light" w:cs="Calibri Light"/>
                <w:sz w:val="20"/>
                <w:szCs w:val="20"/>
              </w:rPr>
              <w:t>]</w:t>
            </w:r>
          </w:p>
        </w:tc>
        <w:tc>
          <w:tcPr>
            <w:tcW w:w="5257" w:type="dxa"/>
            <w:vMerge/>
            <w:shd w:val="clear" w:color="auto" w:fill="auto"/>
            <w:vAlign w:val="center"/>
          </w:tcPr>
          <w:p w14:paraId="15F54C1B" w14:textId="77777777" w:rsidR="00536ADF" w:rsidRDefault="00536ADF" w:rsidP="00536ADF">
            <w:pPr>
              <w:jc w:val="both"/>
              <w:rPr>
                <w:rFonts w:ascii="Calibri Light" w:eastAsia="Calibri" w:hAnsi="Calibri Light" w:cs="Calibri Light"/>
                <w:sz w:val="20"/>
                <w:szCs w:val="20"/>
              </w:rPr>
            </w:pPr>
          </w:p>
        </w:tc>
      </w:tr>
      <w:tr w:rsidR="00536ADF" w:rsidRPr="00C13F5A" w14:paraId="4A460C17" w14:textId="77777777" w:rsidTr="00FD4CB6">
        <w:trPr>
          <w:jc w:val="center"/>
        </w:trPr>
        <w:tc>
          <w:tcPr>
            <w:tcW w:w="2405" w:type="dxa"/>
            <w:shd w:val="clear" w:color="auto" w:fill="auto"/>
            <w:vAlign w:val="center"/>
          </w:tcPr>
          <w:p w14:paraId="76C3169F" w14:textId="77777777" w:rsidR="00536ADF" w:rsidRDefault="00536ADF" w:rsidP="00536ADF">
            <w:pPr>
              <w:jc w:val="center"/>
              <w:rPr>
                <w:sz w:val="20"/>
                <w:szCs w:val="20"/>
              </w:rPr>
            </w:pPr>
            <w:r>
              <w:rPr>
                <w:sz w:val="20"/>
                <w:szCs w:val="20"/>
              </w:rPr>
              <w:t>Anexo “C”</w:t>
            </w:r>
          </w:p>
        </w:tc>
        <w:tc>
          <w:tcPr>
            <w:tcW w:w="1276" w:type="dxa"/>
            <w:shd w:val="clear" w:color="auto" w:fill="auto"/>
            <w:vAlign w:val="center"/>
          </w:tcPr>
          <w:p w14:paraId="3547BEC9" w14:textId="77777777" w:rsidR="00536ADF" w:rsidRDefault="00536ADF" w:rsidP="00536ADF">
            <w:pPr>
              <w:jc w:val="center"/>
              <w:rPr>
                <w:rFonts w:cstheme="minorHAnsi"/>
                <w:sz w:val="20"/>
                <w:szCs w:val="20"/>
              </w:rPr>
            </w:pPr>
            <w:r>
              <w:rPr>
                <w:rFonts w:cstheme="minorHAnsi"/>
                <w:sz w:val="20"/>
                <w:szCs w:val="20"/>
              </w:rPr>
              <w:t>Sección B</w:t>
            </w:r>
          </w:p>
        </w:tc>
        <w:tc>
          <w:tcPr>
            <w:tcW w:w="1559" w:type="dxa"/>
            <w:vMerge/>
            <w:shd w:val="clear" w:color="auto" w:fill="auto"/>
            <w:vAlign w:val="center"/>
          </w:tcPr>
          <w:p w14:paraId="1C6EE396" w14:textId="77777777" w:rsidR="00536ADF" w:rsidRDefault="00536ADF" w:rsidP="00536ADF">
            <w:pPr>
              <w:jc w:val="both"/>
              <w:rPr>
                <w:rFonts w:cstheme="minorHAnsi"/>
                <w:sz w:val="20"/>
                <w:szCs w:val="20"/>
              </w:rPr>
            </w:pPr>
          </w:p>
        </w:tc>
        <w:tc>
          <w:tcPr>
            <w:tcW w:w="3686" w:type="dxa"/>
          </w:tcPr>
          <w:p w14:paraId="651DBEAB" w14:textId="7777777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[Ver cambio en la propuesta </w:t>
            </w:r>
            <w:r w:rsidR="00924788">
              <w:rPr>
                <w:rFonts w:ascii="Calibri Light" w:eastAsia="Calibri" w:hAnsi="Calibri Light" w:cs="Calibri Light"/>
                <w:sz w:val="20"/>
                <w:szCs w:val="20"/>
              </w:rPr>
              <w:t>ORE 2024</w:t>
            </w:r>
            <w:r>
              <w:rPr>
                <w:rFonts w:ascii="Calibri Light" w:eastAsia="Calibri" w:hAnsi="Calibri Light" w:cs="Calibri Light"/>
                <w:sz w:val="20"/>
                <w:szCs w:val="20"/>
              </w:rPr>
              <w:t>]</w:t>
            </w:r>
          </w:p>
        </w:tc>
        <w:tc>
          <w:tcPr>
            <w:tcW w:w="5257" w:type="dxa"/>
            <w:vMerge/>
            <w:shd w:val="clear" w:color="auto" w:fill="auto"/>
            <w:vAlign w:val="center"/>
          </w:tcPr>
          <w:p w14:paraId="41288368" w14:textId="77777777" w:rsidR="00536ADF" w:rsidRDefault="00536ADF" w:rsidP="00536ADF">
            <w:pPr>
              <w:jc w:val="both"/>
              <w:rPr>
                <w:rFonts w:ascii="Calibri Light" w:eastAsia="Calibri" w:hAnsi="Calibri Light" w:cs="Calibri Light"/>
                <w:sz w:val="20"/>
                <w:szCs w:val="20"/>
              </w:rPr>
            </w:pPr>
          </w:p>
        </w:tc>
      </w:tr>
      <w:tr w:rsidR="00536ADF" w:rsidRPr="00C13F5A" w14:paraId="3695F0C0" w14:textId="77777777" w:rsidTr="00FD4CB6">
        <w:trPr>
          <w:trHeight w:val="568"/>
          <w:jc w:val="center"/>
        </w:trPr>
        <w:tc>
          <w:tcPr>
            <w:tcW w:w="2405" w:type="dxa"/>
            <w:vMerge w:val="restart"/>
            <w:shd w:val="clear" w:color="auto" w:fill="auto"/>
            <w:vAlign w:val="center"/>
          </w:tcPr>
          <w:p w14:paraId="7C4AA9FD" w14:textId="77777777" w:rsidR="00536ADF" w:rsidRPr="00E43A57" w:rsidRDefault="00536ADF" w:rsidP="00536ADF">
            <w:pPr>
              <w:jc w:val="center"/>
              <w:rPr>
                <w:sz w:val="20"/>
                <w:szCs w:val="20"/>
              </w:rPr>
            </w:pPr>
            <w:r>
              <w:rPr>
                <w:sz w:val="20"/>
                <w:szCs w:val="20"/>
              </w:rPr>
              <w:t>Oferta</w:t>
            </w:r>
          </w:p>
        </w:tc>
        <w:tc>
          <w:tcPr>
            <w:tcW w:w="1276" w:type="dxa"/>
            <w:shd w:val="clear" w:color="auto" w:fill="auto"/>
            <w:vAlign w:val="center"/>
          </w:tcPr>
          <w:p w14:paraId="576854BB" w14:textId="77777777" w:rsidR="00536ADF" w:rsidRPr="00E43A57" w:rsidRDefault="00536ADF" w:rsidP="00536ADF">
            <w:pPr>
              <w:jc w:val="center"/>
              <w:rPr>
                <w:rFonts w:cstheme="minorHAnsi"/>
                <w:sz w:val="20"/>
                <w:szCs w:val="20"/>
              </w:rPr>
            </w:pPr>
            <w:r>
              <w:rPr>
                <w:rFonts w:cstheme="minorHAnsi"/>
                <w:sz w:val="20"/>
                <w:szCs w:val="20"/>
              </w:rPr>
              <w:t>2.5.6</w:t>
            </w:r>
          </w:p>
        </w:tc>
        <w:tc>
          <w:tcPr>
            <w:tcW w:w="1559" w:type="dxa"/>
            <w:vMerge w:val="restart"/>
            <w:shd w:val="clear" w:color="auto" w:fill="auto"/>
            <w:vAlign w:val="center"/>
          </w:tcPr>
          <w:p w14:paraId="588773A8" w14:textId="77777777" w:rsidR="00536ADF" w:rsidRPr="007E1CA6" w:rsidRDefault="00536ADF" w:rsidP="00536ADF">
            <w:pPr>
              <w:jc w:val="both"/>
              <w:rPr>
                <w:rFonts w:cstheme="minorHAnsi"/>
                <w:b/>
                <w:bCs/>
                <w:sz w:val="20"/>
                <w:szCs w:val="20"/>
              </w:rPr>
            </w:pPr>
            <w:r w:rsidRPr="007E1CA6">
              <w:rPr>
                <w:rFonts w:cstheme="minorHAnsi"/>
                <w:b/>
                <w:bCs/>
                <w:sz w:val="20"/>
                <w:szCs w:val="20"/>
              </w:rPr>
              <w:t>Proyectos Especiales</w:t>
            </w:r>
          </w:p>
        </w:tc>
        <w:tc>
          <w:tcPr>
            <w:tcW w:w="3686" w:type="dxa"/>
            <w:shd w:val="clear" w:color="auto" w:fill="auto"/>
            <w:vAlign w:val="center"/>
          </w:tcPr>
          <w:p w14:paraId="5F6CD92F" w14:textId="77777777" w:rsidR="006C2CF7" w:rsidRPr="007B3AB2" w:rsidRDefault="006C2CF7" w:rsidP="003238E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2.5.6 Proyectos Especiales.</w:t>
            </w:r>
            <w:r w:rsidRPr="007B3AB2">
              <w:rPr>
                <w:rFonts w:ascii="Calibri Light" w:eastAsia="Calibri" w:hAnsi="Calibri Light" w:cs="Calibri Light"/>
                <w:color w:val="0070C0"/>
                <w:sz w:val="20"/>
                <w:szCs w:val="20"/>
              </w:rPr>
              <w:tab/>
            </w:r>
          </w:p>
          <w:p w14:paraId="6DD4C227" w14:textId="77777777" w:rsidR="006C2CF7" w:rsidRPr="007B3AB2" w:rsidRDefault="006C2CF7" w:rsidP="003238E7">
            <w:pPr>
              <w:jc w:val="both"/>
              <w:rPr>
                <w:rFonts w:ascii="Calibri Light" w:eastAsia="Calibri" w:hAnsi="Calibri Light" w:cs="Calibri Light"/>
                <w:strike/>
                <w:color w:val="0070C0"/>
                <w:sz w:val="20"/>
                <w:szCs w:val="20"/>
              </w:rPr>
            </w:pPr>
          </w:p>
          <w:p w14:paraId="16294975" w14:textId="77777777" w:rsidR="006C2CF7" w:rsidRPr="007B3AB2" w:rsidRDefault="006C2CF7" w:rsidP="003238E7">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La División Mayorista de Telmex/Telnor podrá ofrecer la prestación del servicio de enlaces dedicados entre localidades y/o de larga distancia internacional a través de la elaboración y cotización de un Proyecto Especial, cuando en el insumo de la red de acceso se presenten los siguientes casos:</w:t>
            </w:r>
          </w:p>
          <w:p w14:paraId="48F3C793" w14:textId="77777777" w:rsidR="006C2CF7" w:rsidRPr="007B3AB2" w:rsidRDefault="006C2CF7" w:rsidP="003238E7">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Para enlaces dedicados de cobre, la distancia máxima que se alcanza a cubrir en condiciones normales en la última milla es de 2.5 km.</w:t>
            </w:r>
          </w:p>
          <w:p w14:paraId="4B3C2379" w14:textId="77777777" w:rsidR="006C2CF7" w:rsidRPr="007B3AB2" w:rsidRDefault="006C2CF7" w:rsidP="003238E7">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Para enlaces dedicados de F.O., la distancia máxima para conexión al pozo de empalme o poste de empalme del anillo de fibra más cercano en la última milla es de 1 km.</w:t>
            </w:r>
          </w:p>
          <w:p w14:paraId="5D29C753" w14:textId="77777777" w:rsidR="006C2CF7" w:rsidRPr="007B3AB2" w:rsidRDefault="006C2CF7" w:rsidP="003238E7">
            <w:pPr>
              <w:jc w:val="both"/>
              <w:rPr>
                <w:rFonts w:ascii="Calibri Light" w:eastAsia="Calibri" w:hAnsi="Calibri Light" w:cs="Calibri Light"/>
                <w:strike/>
                <w:color w:val="0070C0"/>
                <w:sz w:val="20"/>
                <w:szCs w:val="20"/>
              </w:rPr>
            </w:pPr>
          </w:p>
          <w:p w14:paraId="26D0AA59" w14:textId="77777777" w:rsidR="006C2CF7" w:rsidRPr="007B3AB2" w:rsidRDefault="006C2CF7" w:rsidP="003238E7">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Cuando el Concesionario Solicitante requiere expresamente que un enlace dedicado sea entregado a través de F.O. cuando hay condiciones existentes que permiten que el servicio sea entregado por cobre.</w:t>
            </w:r>
          </w:p>
          <w:p w14:paraId="2E23E117" w14:textId="77777777" w:rsidR="006C2CF7" w:rsidRPr="007B3AB2" w:rsidRDefault="006C2CF7" w:rsidP="003238E7">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Cuando no se cuente con infraestructura existente, en la red de acceso en alguna localidad para proporcionar algún servicio solicitado, ni tampoco se tenga planificado realizar inversiones en dicha zona. En este supuesto, División Mayorista Telmex/Telnor justificará los costos asociados a la parte proporcional de la obra, construcción o implementación de la nueva infraestructura necesaria para la prestación del servicio solicitado por el Concesionario o Autorizado Solicitante.</w:t>
            </w:r>
          </w:p>
          <w:p w14:paraId="317EF125" w14:textId="77777777" w:rsidR="006C2CF7" w:rsidRPr="007B3AB2" w:rsidRDefault="006C2CF7" w:rsidP="006C2CF7">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Las situaciones en las que se requiera realizar el despliegue de nueva infraestructura de red de acceso, en los casos que no estén cubiertos en los puntos anteriores serán tratadas como un Proyecto Especial, lo cual se notificará al Concesionario o Autorizado Solicitante a través del SEG anexando la justificación técnica y la cotización para poder proporcionar los enlaces solicitados.</w:t>
            </w:r>
          </w:p>
          <w:p w14:paraId="6DF5DE59"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caso de que la División Mayorista no pueda proporcionar el servicio bajo las condiciones existentes de infraestructura como las que de manera enunciativa mas no limitativa a continuación se describen, se requerirá de la elaboración y cotización de un Proyecto Especial:</w:t>
            </w:r>
          </w:p>
          <w:p w14:paraId="0C5FE83B" w14:textId="77777777" w:rsidR="006C2CF7" w:rsidRPr="007B3AB2" w:rsidRDefault="006C2CF7" w:rsidP="006C2CF7">
            <w:pPr>
              <w:jc w:val="both"/>
              <w:rPr>
                <w:rFonts w:ascii="Calibri Light" w:eastAsia="Calibri" w:hAnsi="Calibri Light" w:cs="Calibri Light"/>
                <w:color w:val="0070C0"/>
                <w:sz w:val="20"/>
                <w:szCs w:val="20"/>
              </w:rPr>
            </w:pPr>
          </w:p>
          <w:p w14:paraId="565CE87D"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Red de Acceso (Incluye planta externa):</w:t>
            </w:r>
          </w:p>
          <w:p w14:paraId="454FE112" w14:textId="77777777" w:rsidR="006C2CF7" w:rsidRPr="007B3AB2" w:rsidRDefault="006C2CF7" w:rsidP="006C2CF7">
            <w:pPr>
              <w:jc w:val="both"/>
              <w:rPr>
                <w:rFonts w:ascii="Calibri Light" w:eastAsia="Calibri" w:hAnsi="Calibri Light" w:cs="Calibri Light"/>
                <w:color w:val="0070C0"/>
                <w:sz w:val="20"/>
                <w:szCs w:val="20"/>
              </w:rPr>
            </w:pPr>
          </w:p>
          <w:p w14:paraId="247A4B54"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Para enlaces dedicados de cobre, la distancia máxima que se alcanza a cubrir en condiciones normales en la última milla es de 2.5 km.</w:t>
            </w:r>
          </w:p>
          <w:p w14:paraId="02A89C8D"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Para enlaces dedicados de F.O., la distancia máxima para conexión al pozo de empalme del anillo de fibra más cercano en la última milla es de 1 km.</w:t>
            </w:r>
          </w:p>
          <w:p w14:paraId="198A8832"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el Concesionario Solicitante requiere expresamente que un enlace dedicado sea entregado a través de F.O. habiendo condiciones existentes que permiten que el servicio sea entregado por cobre.</w:t>
            </w:r>
          </w:p>
          <w:p w14:paraId="729797C4"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no se cuente con infraestructura existente en la red de acceso en alguna localidad para proporcionar algún servicio solicitado, ni se tenga planificado realizar inversiones en dicha zona. En este supuesto, la División Mayorista justificará los costos asociados a la parte proporcional de la obra, construcción o implementación de la nueva infraestructura necesaria para la prestación del servicio solicitado por el Concesionario o Autorizado Solicitante</w:t>
            </w:r>
          </w:p>
          <w:p w14:paraId="3CA6347D"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el Concesionario Solicitante o Autorizado Solicitante solicite una solución técnica en la red de acceso que requiera duplicar la infraestructura parcial o totalmente.</w:t>
            </w:r>
          </w:p>
          <w:p w14:paraId="4F3863AB" w14:textId="77777777" w:rsidR="006C2CF7" w:rsidRPr="007B3AB2" w:rsidRDefault="006C2CF7" w:rsidP="006C2CF7">
            <w:pPr>
              <w:jc w:val="both"/>
              <w:rPr>
                <w:rFonts w:ascii="Calibri Light" w:eastAsia="Calibri" w:hAnsi="Calibri Light" w:cs="Calibri Light"/>
                <w:color w:val="0070C0"/>
                <w:sz w:val="20"/>
                <w:szCs w:val="20"/>
              </w:rPr>
            </w:pPr>
          </w:p>
          <w:p w14:paraId="4154832B" w14:textId="77777777" w:rsidR="006C2CF7" w:rsidRPr="007B3AB2" w:rsidRDefault="006C2CF7" w:rsidP="006C2CF7">
            <w:pPr>
              <w:jc w:val="both"/>
              <w:rPr>
                <w:rFonts w:ascii="Calibri Light" w:eastAsia="Calibri" w:hAnsi="Calibri Light" w:cs="Calibri Light"/>
                <w:color w:val="0070C0"/>
                <w:sz w:val="20"/>
                <w:szCs w:val="20"/>
              </w:rPr>
            </w:pPr>
          </w:p>
          <w:p w14:paraId="6238DF9C" w14:textId="77777777" w:rsidR="006C2CF7" w:rsidRPr="007B3AB2" w:rsidRDefault="006C2CF7" w:rsidP="006C2CF7">
            <w:pPr>
              <w:jc w:val="both"/>
              <w:rPr>
                <w:rFonts w:ascii="Calibri Light" w:eastAsia="Calibri" w:hAnsi="Calibri Light" w:cs="Calibri Light"/>
                <w:color w:val="0070C0"/>
                <w:sz w:val="20"/>
                <w:szCs w:val="20"/>
              </w:rPr>
            </w:pPr>
          </w:p>
          <w:p w14:paraId="3AE75F74"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Red de Transporte (Incluye Carrier Ethernet, Alta Capacidad y Larga Distancia):</w:t>
            </w:r>
          </w:p>
          <w:p w14:paraId="5945C1AD" w14:textId="77777777" w:rsidR="006C2CF7" w:rsidRPr="007B3AB2" w:rsidRDefault="006C2CF7" w:rsidP="006C2CF7">
            <w:pPr>
              <w:jc w:val="both"/>
              <w:rPr>
                <w:rFonts w:ascii="Calibri Light" w:eastAsia="Calibri" w:hAnsi="Calibri Light" w:cs="Calibri Light"/>
                <w:color w:val="0070C0"/>
                <w:sz w:val="20"/>
                <w:szCs w:val="20"/>
              </w:rPr>
            </w:pPr>
          </w:p>
          <w:p w14:paraId="6423F033"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Para la Red de Transporte Local y Zonal se considerarán Proyectos Especiales los siguientes casos:</w:t>
            </w:r>
          </w:p>
          <w:p w14:paraId="51C2B303" w14:textId="77777777" w:rsidR="006C2CF7" w:rsidRPr="007B3AB2" w:rsidRDefault="006C2CF7" w:rsidP="006C2CF7">
            <w:pPr>
              <w:jc w:val="both"/>
              <w:rPr>
                <w:rFonts w:ascii="Calibri Light" w:eastAsia="Calibri" w:hAnsi="Calibri Light" w:cs="Calibri Light"/>
                <w:color w:val="0070C0"/>
                <w:sz w:val="20"/>
                <w:szCs w:val="20"/>
              </w:rPr>
            </w:pPr>
          </w:p>
          <w:p w14:paraId="355A55CE"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1.- En el transporte Carrier Ethernet:</w:t>
            </w:r>
          </w:p>
          <w:p w14:paraId="659A7FE6" w14:textId="77777777" w:rsidR="006C2CF7" w:rsidRPr="007B3AB2" w:rsidRDefault="006C2CF7" w:rsidP="006C2CF7">
            <w:pPr>
              <w:jc w:val="both"/>
              <w:rPr>
                <w:rFonts w:ascii="Calibri Light" w:eastAsia="Calibri" w:hAnsi="Calibri Light" w:cs="Calibri Light"/>
                <w:color w:val="0070C0"/>
                <w:sz w:val="20"/>
                <w:szCs w:val="20"/>
              </w:rPr>
            </w:pPr>
          </w:p>
          <w:p w14:paraId="73298001"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Cuando los equipos no cuenten con capacidad y/o puertos disponibles hacia los equipos de acceso, entre los propios equipos de un clúster o hacia las conexiones con la Red Dorsal de Alta Capacidad. </w:t>
            </w:r>
          </w:p>
          <w:p w14:paraId="1A20A452" w14:textId="77777777" w:rsidR="006C2CF7" w:rsidRPr="007B3AB2" w:rsidRDefault="006C2CF7" w:rsidP="006C2CF7">
            <w:pPr>
              <w:jc w:val="both"/>
              <w:rPr>
                <w:rFonts w:ascii="Calibri Light" w:eastAsia="Calibri" w:hAnsi="Calibri Light" w:cs="Calibri Light"/>
                <w:color w:val="0070C0"/>
                <w:sz w:val="20"/>
                <w:szCs w:val="20"/>
              </w:rPr>
            </w:pPr>
          </w:p>
          <w:p w14:paraId="714C9E4D"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e 5) inserción de un nuevo clúster.</w:t>
            </w:r>
          </w:p>
          <w:p w14:paraId="2361D8E0" w14:textId="77777777" w:rsidR="006C2CF7" w:rsidRPr="007B3AB2" w:rsidRDefault="006C2CF7" w:rsidP="006C2CF7">
            <w:pPr>
              <w:jc w:val="both"/>
              <w:rPr>
                <w:rFonts w:ascii="Calibri Light" w:eastAsia="Calibri" w:hAnsi="Calibri Light" w:cs="Calibri Light"/>
                <w:color w:val="0070C0"/>
                <w:sz w:val="20"/>
                <w:szCs w:val="20"/>
              </w:rPr>
            </w:pPr>
          </w:p>
          <w:p w14:paraId="7BC9C83D"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los casos de capacidad no disponible entre agregador y distribuidor o en las conexiones con la Red Dorsal de Alta Capacidad se aumentarán dos conexiones para respetar la protección estructural de la arquitectura.</w:t>
            </w:r>
          </w:p>
          <w:p w14:paraId="0713B537" w14:textId="77777777" w:rsidR="006C2CF7" w:rsidRPr="007B3AB2" w:rsidRDefault="006C2CF7" w:rsidP="006C2CF7">
            <w:pPr>
              <w:jc w:val="both"/>
              <w:rPr>
                <w:rFonts w:ascii="Calibri Light" w:eastAsia="Calibri" w:hAnsi="Calibri Light" w:cs="Calibri Light"/>
                <w:color w:val="0070C0"/>
                <w:sz w:val="20"/>
                <w:szCs w:val="20"/>
              </w:rPr>
            </w:pPr>
          </w:p>
          <w:p w14:paraId="1A1BA592"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Cuando la central de acceso que atiende al sitio donde se requiere el enlace Ethernet no cuente con equipamiento o capacidad Carrier Ethernet. </w:t>
            </w:r>
          </w:p>
          <w:p w14:paraId="31AB9A6C" w14:textId="77777777" w:rsidR="006C2CF7" w:rsidRPr="007B3AB2" w:rsidRDefault="006C2CF7" w:rsidP="006C2CF7">
            <w:pPr>
              <w:jc w:val="both"/>
              <w:rPr>
                <w:rFonts w:ascii="Calibri Light" w:eastAsia="Calibri" w:hAnsi="Calibri Light" w:cs="Calibri Light"/>
                <w:color w:val="0070C0"/>
                <w:sz w:val="20"/>
                <w:szCs w:val="20"/>
              </w:rPr>
            </w:pPr>
          </w:p>
          <w:p w14:paraId="1F4FE68C"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1) Equipar la central con tecnología Carrier Ethernet; y 2) Construir los medios de transmisión Ethernet con sistemas de radios, fibra óptica y/o Multiplexores por División en Longitudes de Onda (WDM).</w:t>
            </w:r>
          </w:p>
          <w:p w14:paraId="574C3D02" w14:textId="77777777" w:rsidR="006C2CF7" w:rsidRPr="007B3AB2" w:rsidRDefault="006C2CF7" w:rsidP="006C2CF7">
            <w:pPr>
              <w:jc w:val="both"/>
              <w:rPr>
                <w:rFonts w:ascii="Calibri Light" w:eastAsia="Calibri" w:hAnsi="Calibri Light" w:cs="Calibri Light"/>
                <w:color w:val="0070C0"/>
                <w:sz w:val="20"/>
                <w:szCs w:val="20"/>
              </w:rPr>
            </w:pPr>
          </w:p>
          <w:p w14:paraId="22CD5FC1"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2.-En el transporte de alta capacidad o xWDM</w:t>
            </w:r>
          </w:p>
          <w:p w14:paraId="3BDF236A" w14:textId="77777777" w:rsidR="006C2CF7" w:rsidRPr="007B3AB2" w:rsidRDefault="006C2CF7" w:rsidP="006C2CF7">
            <w:pPr>
              <w:jc w:val="both"/>
              <w:rPr>
                <w:rFonts w:ascii="Calibri Light" w:eastAsia="Calibri" w:hAnsi="Calibri Light" w:cs="Calibri Light"/>
                <w:color w:val="0070C0"/>
                <w:sz w:val="20"/>
                <w:szCs w:val="20"/>
              </w:rPr>
            </w:pPr>
          </w:p>
          <w:p w14:paraId="7A5E6B1A"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Cuando entre el origen y el destino del servicio solicitado no existen puertos y/o capacidad en las topologías xWDM para suministrar el servicio. </w:t>
            </w:r>
          </w:p>
          <w:p w14:paraId="133FBD3C" w14:textId="77777777" w:rsidR="006C2CF7" w:rsidRPr="007B3AB2" w:rsidRDefault="006C2CF7" w:rsidP="006C2CF7">
            <w:pPr>
              <w:jc w:val="both"/>
              <w:rPr>
                <w:rFonts w:ascii="Calibri Light" w:eastAsia="Calibri" w:hAnsi="Calibri Light" w:cs="Calibri Light"/>
                <w:color w:val="0070C0"/>
                <w:sz w:val="20"/>
                <w:szCs w:val="20"/>
              </w:rPr>
            </w:pPr>
          </w:p>
          <w:p w14:paraId="0F4B52C8"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Se deben adquirir las tarjetas y puertos lado cliente y lado línea a través de la trayectoria del servicio en las topologías involucradas.</w:t>
            </w:r>
          </w:p>
          <w:p w14:paraId="57B38E08" w14:textId="77777777" w:rsidR="006C2CF7" w:rsidRPr="007B3AB2" w:rsidRDefault="006C2CF7" w:rsidP="006C2CF7">
            <w:pPr>
              <w:jc w:val="both"/>
              <w:rPr>
                <w:rFonts w:ascii="Calibri Light" w:eastAsia="Calibri" w:hAnsi="Calibri Light" w:cs="Calibri Light"/>
                <w:color w:val="0070C0"/>
                <w:sz w:val="20"/>
                <w:szCs w:val="20"/>
              </w:rPr>
            </w:pPr>
          </w:p>
          <w:p w14:paraId="1E5CBEC5"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no se cuente con equipo terminal en el sitio y/o fibras ópticas adicionales para su interconexión a la red.</w:t>
            </w:r>
          </w:p>
          <w:p w14:paraId="670F5AB0" w14:textId="77777777" w:rsidR="006C2CF7" w:rsidRPr="007B3AB2" w:rsidRDefault="006C2CF7" w:rsidP="006C2CF7">
            <w:pPr>
              <w:jc w:val="both"/>
              <w:rPr>
                <w:rFonts w:ascii="Calibri Light" w:eastAsia="Calibri" w:hAnsi="Calibri Light" w:cs="Calibri Light"/>
                <w:color w:val="0070C0"/>
                <w:sz w:val="20"/>
                <w:szCs w:val="20"/>
              </w:rPr>
            </w:pPr>
          </w:p>
          <w:p w14:paraId="53170AF2"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1) Equipar la central con tecnología xWDM; y 2) Construir los medios de transmisión ópticos y/o xWDM.</w:t>
            </w:r>
          </w:p>
          <w:p w14:paraId="360BCD2B" w14:textId="77777777" w:rsidR="006C2CF7" w:rsidRPr="007B3AB2" w:rsidRDefault="006C2CF7" w:rsidP="006C2CF7">
            <w:pPr>
              <w:jc w:val="both"/>
              <w:rPr>
                <w:rFonts w:ascii="Calibri Light" w:eastAsia="Calibri" w:hAnsi="Calibri Light" w:cs="Calibri Light"/>
                <w:color w:val="0070C0"/>
                <w:sz w:val="20"/>
                <w:szCs w:val="20"/>
              </w:rPr>
            </w:pPr>
          </w:p>
          <w:p w14:paraId="7DCAA9A2"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3.-Para el transporte de Red de Larga Distancia xWDM</w:t>
            </w:r>
          </w:p>
          <w:p w14:paraId="62DAA2D6" w14:textId="77777777" w:rsidR="006C2CF7" w:rsidRPr="007B3AB2" w:rsidRDefault="006C2CF7" w:rsidP="006C2CF7">
            <w:pPr>
              <w:jc w:val="both"/>
              <w:rPr>
                <w:rFonts w:ascii="Calibri Light" w:eastAsia="Calibri" w:hAnsi="Calibri Light" w:cs="Calibri Light"/>
                <w:color w:val="0070C0"/>
                <w:sz w:val="20"/>
                <w:szCs w:val="20"/>
              </w:rPr>
            </w:pPr>
          </w:p>
          <w:p w14:paraId="78A5D6A9"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Cuando entre el origen y el destino del servicio solicitado no existen puertos y/o capacidad en las topologías xWDM para suministrar el servicio. </w:t>
            </w:r>
          </w:p>
          <w:p w14:paraId="0D291951" w14:textId="77777777" w:rsidR="006C2CF7" w:rsidRPr="007B3AB2" w:rsidRDefault="006C2CF7" w:rsidP="006C2CF7">
            <w:pPr>
              <w:jc w:val="both"/>
              <w:rPr>
                <w:rFonts w:ascii="Calibri Light" w:eastAsia="Calibri" w:hAnsi="Calibri Light" w:cs="Calibri Light"/>
                <w:color w:val="0070C0"/>
                <w:sz w:val="20"/>
                <w:szCs w:val="20"/>
              </w:rPr>
            </w:pPr>
          </w:p>
          <w:p w14:paraId="7CBCFF14"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Se deben adquirir las tarjetas y puertos lado cliente y lado línea a través de la trayectoria del servicio en las topologías involucradas.</w:t>
            </w:r>
          </w:p>
          <w:p w14:paraId="7992AD7B" w14:textId="77777777" w:rsidR="006C2CF7" w:rsidRPr="007B3AB2" w:rsidRDefault="006C2CF7" w:rsidP="006C2CF7">
            <w:pPr>
              <w:jc w:val="both"/>
              <w:rPr>
                <w:rFonts w:ascii="Calibri Light" w:eastAsia="Calibri" w:hAnsi="Calibri Light" w:cs="Calibri Light"/>
                <w:color w:val="0070C0"/>
                <w:sz w:val="20"/>
                <w:szCs w:val="20"/>
              </w:rPr>
            </w:pPr>
          </w:p>
          <w:p w14:paraId="0B163468"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no se cuente con equipo terminal en el sitio.</w:t>
            </w:r>
          </w:p>
          <w:p w14:paraId="6DE542D5" w14:textId="77777777" w:rsidR="006C2CF7" w:rsidRPr="007B3AB2" w:rsidRDefault="006C2CF7" w:rsidP="006C2CF7">
            <w:pPr>
              <w:jc w:val="both"/>
              <w:rPr>
                <w:rFonts w:ascii="Calibri Light" w:eastAsia="Calibri" w:hAnsi="Calibri Light" w:cs="Calibri Light"/>
                <w:color w:val="0070C0"/>
                <w:sz w:val="20"/>
                <w:szCs w:val="20"/>
              </w:rPr>
            </w:pPr>
          </w:p>
          <w:p w14:paraId="0F41E968"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Equipar la central con tecnología xWDM.</w:t>
            </w:r>
          </w:p>
          <w:p w14:paraId="6EA3F05A" w14:textId="77777777" w:rsidR="006C2CF7" w:rsidRPr="007B3AB2" w:rsidRDefault="006C2CF7" w:rsidP="006C2CF7">
            <w:pPr>
              <w:jc w:val="both"/>
              <w:rPr>
                <w:rFonts w:ascii="Calibri Light" w:eastAsia="Calibri" w:hAnsi="Calibri Light" w:cs="Calibri Light"/>
                <w:color w:val="0070C0"/>
                <w:sz w:val="20"/>
                <w:szCs w:val="20"/>
              </w:rPr>
            </w:pPr>
          </w:p>
          <w:p w14:paraId="2248A808"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4.-Adecuaciones</w:t>
            </w:r>
          </w:p>
          <w:p w14:paraId="5862EDC8" w14:textId="77777777" w:rsidR="006C2CF7" w:rsidRPr="007B3AB2" w:rsidRDefault="006C2CF7" w:rsidP="006C2CF7">
            <w:pPr>
              <w:jc w:val="both"/>
              <w:rPr>
                <w:rFonts w:ascii="Calibri Light" w:eastAsia="Calibri" w:hAnsi="Calibri Light" w:cs="Calibri Light"/>
                <w:color w:val="0070C0"/>
                <w:sz w:val="20"/>
                <w:szCs w:val="20"/>
              </w:rPr>
            </w:pPr>
          </w:p>
          <w:p w14:paraId="6648F84E"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hay introducción de nuevos equipos, se deben considerar adecuaciones de salas (escalerillas, canaletas, DFO’s, etc.) en todos los casos.</w:t>
            </w:r>
          </w:p>
          <w:p w14:paraId="186AC2B2" w14:textId="77777777" w:rsidR="006C2CF7" w:rsidRPr="007B3AB2" w:rsidRDefault="006C2CF7" w:rsidP="006C2CF7">
            <w:pPr>
              <w:jc w:val="both"/>
              <w:rPr>
                <w:rFonts w:ascii="Calibri Light" w:eastAsia="Calibri" w:hAnsi="Calibri Light" w:cs="Calibri Light"/>
                <w:color w:val="0070C0"/>
                <w:sz w:val="20"/>
                <w:szCs w:val="20"/>
              </w:rPr>
            </w:pPr>
          </w:p>
          <w:p w14:paraId="52BBF1E4" w14:textId="77777777" w:rsidR="006C2CF7" w:rsidRPr="007B3AB2" w:rsidRDefault="006C2CF7" w:rsidP="006C2CF7">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Las situaciones en las que se requiera realizar el despliegue de nueva infraestructura en los casos que no estén cubiertos en los puntos anteriores, serán tratadas como un Proyecto Especial, lo cual se notificará al Concesionario o Autorizado Solicitante a través del SEG, anexando la justificación técnica y la cotización para poder proporcionar los enlaces solicitados.</w:t>
            </w:r>
          </w:p>
          <w:p w14:paraId="0F3B9FC2" w14:textId="77777777" w:rsidR="006C2CF7" w:rsidRPr="007B3AB2" w:rsidRDefault="006C2CF7" w:rsidP="006C2CF7">
            <w:pPr>
              <w:jc w:val="both"/>
              <w:rPr>
                <w:rFonts w:ascii="Calibri Light" w:eastAsia="Calibri" w:hAnsi="Calibri Light" w:cs="Calibri Light"/>
                <w:color w:val="0070C0"/>
                <w:sz w:val="20"/>
                <w:szCs w:val="20"/>
              </w:rPr>
            </w:pPr>
          </w:p>
          <w:p w14:paraId="7D6C867A" w14:textId="77777777" w:rsidR="006C2CF7" w:rsidRDefault="006C2CF7" w:rsidP="003238E7">
            <w:pPr>
              <w:jc w:val="both"/>
              <w:rPr>
                <w:rFonts w:ascii="Calibri Light" w:eastAsia="Calibri" w:hAnsi="Calibri Light" w:cs="Calibri Light"/>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Los Enlaces Dedicados a 100 Gbps requieren forzosamente la realización de un Proyecto Especial en la red de transporte, dado que 100 Gbps es la unidad básica de transporte para crecimiento en la red, cada vez que se adquieren 100 Gbps se usa el ancho de banda en su totalidad y no sobra capacidad que pueda usarse para otros servicios.</w:t>
            </w:r>
          </w:p>
        </w:tc>
        <w:tc>
          <w:tcPr>
            <w:tcW w:w="5257" w:type="dxa"/>
            <w:shd w:val="clear" w:color="auto" w:fill="auto"/>
            <w:vAlign w:val="center"/>
          </w:tcPr>
          <w:p w14:paraId="476FEE95" w14:textId="0228EE2A" w:rsidR="00EA54EC" w:rsidRDefault="00EA54EC" w:rsidP="00EA54EC">
            <w:pPr>
              <w:jc w:val="both"/>
              <w:rPr>
                <w:rFonts w:ascii="Calibri Light" w:eastAsia="Calibri" w:hAnsi="Calibri Light" w:cs="Calibri Light"/>
                <w:sz w:val="20"/>
                <w:szCs w:val="20"/>
              </w:rPr>
            </w:pPr>
            <w:r>
              <w:rPr>
                <w:rFonts w:ascii="Calibri Light" w:eastAsia="Calibri" w:hAnsi="Calibri Light" w:cs="Calibri Light"/>
                <w:sz w:val="20"/>
                <w:szCs w:val="20"/>
              </w:rPr>
              <w:t xml:space="preserve">Se solicita al Instituto la autorización e incorporación de los cambios propuestos para estar en posibilidad de cotizar y cobrar los </w:t>
            </w:r>
            <w:r w:rsidRPr="00AA1721">
              <w:rPr>
                <w:rFonts w:ascii="Calibri Light" w:eastAsia="Calibri" w:hAnsi="Calibri Light" w:cs="Calibri Light"/>
                <w:sz w:val="20"/>
                <w:szCs w:val="20"/>
              </w:rPr>
              <w:t>elementos de la red de transporte</w:t>
            </w:r>
            <w:r>
              <w:rPr>
                <w:rFonts w:ascii="Calibri Light" w:eastAsia="Calibri" w:hAnsi="Calibri Light" w:cs="Calibri Light"/>
                <w:sz w:val="20"/>
                <w:szCs w:val="20"/>
              </w:rPr>
              <w:t xml:space="preserve"> en los Proyectos Especiales en los que se requieran, toda vez que la División Mayorista de Telmex/Telnor incurre en costos adicionales no recuperables cuando es necesario implementar un P</w:t>
            </w:r>
            <w:r w:rsidR="003E38B9">
              <w:rPr>
                <w:rFonts w:ascii="Calibri Light" w:eastAsia="Calibri" w:hAnsi="Calibri Light" w:cs="Calibri Light"/>
                <w:sz w:val="20"/>
                <w:szCs w:val="20"/>
              </w:rPr>
              <w:t xml:space="preserve">royecto </w:t>
            </w:r>
            <w:r>
              <w:rPr>
                <w:rFonts w:ascii="Calibri Light" w:eastAsia="Calibri" w:hAnsi="Calibri Light" w:cs="Calibri Light"/>
                <w:sz w:val="20"/>
                <w:szCs w:val="20"/>
              </w:rPr>
              <w:t>E</w:t>
            </w:r>
            <w:r w:rsidR="003E38B9">
              <w:rPr>
                <w:rFonts w:ascii="Calibri Light" w:eastAsia="Calibri" w:hAnsi="Calibri Light" w:cs="Calibri Light"/>
                <w:sz w:val="20"/>
                <w:szCs w:val="20"/>
              </w:rPr>
              <w:t>special</w:t>
            </w:r>
            <w:r>
              <w:rPr>
                <w:rFonts w:ascii="Calibri Light" w:eastAsia="Calibri" w:hAnsi="Calibri Light" w:cs="Calibri Light"/>
                <w:sz w:val="20"/>
                <w:szCs w:val="20"/>
              </w:rPr>
              <w:t xml:space="preserve"> que demanda elementos de la red de transporte para poder suministrar el enlace solicitado.</w:t>
            </w:r>
          </w:p>
          <w:p w14:paraId="2C209223" w14:textId="77777777" w:rsidR="00EA54EC" w:rsidRDefault="00EA54EC" w:rsidP="00EA54EC">
            <w:pPr>
              <w:jc w:val="both"/>
              <w:rPr>
                <w:rFonts w:ascii="Calibri Light" w:eastAsia="Calibri" w:hAnsi="Calibri Light" w:cs="Calibri Light"/>
                <w:sz w:val="20"/>
                <w:szCs w:val="20"/>
              </w:rPr>
            </w:pPr>
          </w:p>
          <w:p w14:paraId="7893118B" w14:textId="73552FB3" w:rsidR="00EA54EC" w:rsidRPr="008F6701" w:rsidRDefault="00EA54EC" w:rsidP="00EA54EC">
            <w:pPr>
              <w:jc w:val="both"/>
              <w:rPr>
                <w:rFonts w:ascii="Calibri Light" w:eastAsia="Calibri" w:hAnsi="Calibri Light" w:cs="Calibri Light"/>
                <w:sz w:val="20"/>
                <w:szCs w:val="20"/>
              </w:rPr>
            </w:pPr>
            <w:r>
              <w:rPr>
                <w:rFonts w:ascii="Calibri Light" w:eastAsia="Calibri" w:hAnsi="Calibri Light" w:cs="Calibri Light"/>
                <w:sz w:val="20"/>
                <w:szCs w:val="20"/>
              </w:rPr>
              <w:t>Los P</w:t>
            </w:r>
            <w:r w:rsidR="003E38B9">
              <w:rPr>
                <w:rFonts w:ascii="Calibri Light" w:eastAsia="Calibri" w:hAnsi="Calibri Light" w:cs="Calibri Light"/>
                <w:sz w:val="20"/>
                <w:szCs w:val="20"/>
              </w:rPr>
              <w:t xml:space="preserve">royectos </w:t>
            </w:r>
            <w:r>
              <w:rPr>
                <w:rFonts w:ascii="Calibri Light" w:eastAsia="Calibri" w:hAnsi="Calibri Light" w:cs="Calibri Light"/>
                <w:sz w:val="20"/>
                <w:szCs w:val="20"/>
              </w:rPr>
              <w:t>E</w:t>
            </w:r>
            <w:r w:rsidR="003E38B9">
              <w:rPr>
                <w:rFonts w:ascii="Calibri Light" w:eastAsia="Calibri" w:hAnsi="Calibri Light" w:cs="Calibri Light"/>
                <w:sz w:val="20"/>
                <w:szCs w:val="20"/>
              </w:rPr>
              <w:t>speciales</w:t>
            </w:r>
            <w:r>
              <w:rPr>
                <w:rFonts w:ascii="Calibri Light" w:eastAsia="Calibri" w:hAnsi="Calibri Light" w:cs="Calibri Light"/>
                <w:sz w:val="20"/>
                <w:szCs w:val="20"/>
              </w:rPr>
              <w:t xml:space="preserve"> </w:t>
            </w:r>
            <w:r w:rsidRPr="008F6701">
              <w:rPr>
                <w:rFonts w:ascii="Calibri Light" w:eastAsia="Calibri" w:hAnsi="Calibri Light" w:cs="Calibri Light"/>
                <w:sz w:val="20"/>
                <w:szCs w:val="20"/>
              </w:rPr>
              <w:t xml:space="preserve">surgieron como una alternativa cuando bajo las condiciones existentes de infraestructura no es factible atender un requerimiento específico, el cual requiere, según el caso, construcción de infraestructura, adecuaciones o equipos adicionales, tanto en el acceso como en el transporte. </w:t>
            </w:r>
          </w:p>
          <w:p w14:paraId="3D14F09E" w14:textId="77777777" w:rsidR="00EA54EC" w:rsidRPr="008F6701" w:rsidRDefault="00EA54EC" w:rsidP="00EA54EC">
            <w:pPr>
              <w:jc w:val="both"/>
              <w:rPr>
                <w:rFonts w:ascii="Calibri Light" w:eastAsia="Calibri" w:hAnsi="Calibri Light" w:cs="Calibri Light"/>
                <w:sz w:val="20"/>
                <w:szCs w:val="20"/>
              </w:rPr>
            </w:pPr>
          </w:p>
          <w:p w14:paraId="675F9F42" w14:textId="21F47807" w:rsidR="00EA54EC" w:rsidRDefault="00EA54EC" w:rsidP="00EA54EC">
            <w:pPr>
              <w:jc w:val="both"/>
              <w:rPr>
                <w:rFonts w:ascii="Calibri Light" w:eastAsia="Calibri" w:hAnsi="Calibri Light" w:cs="Calibri Light"/>
                <w:sz w:val="20"/>
                <w:szCs w:val="20"/>
              </w:rPr>
            </w:pPr>
            <w:r w:rsidRPr="008F6701">
              <w:rPr>
                <w:rFonts w:ascii="Calibri Light" w:eastAsia="Calibri" w:hAnsi="Calibri Light" w:cs="Calibri Light"/>
                <w:sz w:val="20"/>
                <w:szCs w:val="20"/>
              </w:rPr>
              <w:t>Debe permitirse la recuperación total de los costos de Telmex y Telnor</w:t>
            </w:r>
            <w:r w:rsidR="003E38B9">
              <w:rPr>
                <w:rFonts w:ascii="Calibri Light" w:eastAsia="Calibri" w:hAnsi="Calibri Light" w:cs="Calibri Light"/>
                <w:sz w:val="20"/>
                <w:szCs w:val="20"/>
              </w:rPr>
              <w:t>, pues</w:t>
            </w:r>
            <w:r w:rsidR="006B12A3">
              <w:rPr>
                <w:rFonts w:ascii="Calibri Light" w:eastAsia="Calibri" w:hAnsi="Calibri Light" w:cs="Calibri Light"/>
                <w:sz w:val="20"/>
                <w:szCs w:val="20"/>
              </w:rPr>
              <w:t xml:space="preserve"> de no ser así </w:t>
            </w:r>
            <w:r w:rsidR="003E38B9">
              <w:rPr>
                <w:rFonts w:ascii="Calibri Light" w:eastAsia="Calibri" w:hAnsi="Calibri Light" w:cs="Calibri Light"/>
                <w:sz w:val="20"/>
                <w:szCs w:val="20"/>
              </w:rPr>
              <w:t xml:space="preserve">se continuarán generando </w:t>
            </w:r>
            <w:r w:rsidRPr="00AA1721">
              <w:rPr>
                <w:rFonts w:ascii="Calibri Light" w:eastAsia="Calibri" w:hAnsi="Calibri Light" w:cs="Calibri Light"/>
                <w:sz w:val="20"/>
                <w:szCs w:val="20"/>
              </w:rPr>
              <w:t>incentivo</w:t>
            </w:r>
            <w:r w:rsidR="003E38B9" w:rsidRPr="00AA1721">
              <w:rPr>
                <w:rFonts w:ascii="Calibri Light" w:eastAsia="Calibri" w:hAnsi="Calibri Light" w:cs="Calibri Light"/>
                <w:sz w:val="20"/>
                <w:szCs w:val="20"/>
              </w:rPr>
              <w:t>s</w:t>
            </w:r>
            <w:r w:rsidRPr="00AA1721">
              <w:rPr>
                <w:rFonts w:ascii="Calibri Light" w:eastAsia="Calibri" w:hAnsi="Calibri Light" w:cs="Calibri Light"/>
                <w:sz w:val="20"/>
                <w:szCs w:val="20"/>
              </w:rPr>
              <w:t xml:space="preserve"> perverso</w:t>
            </w:r>
            <w:r w:rsidR="003E38B9" w:rsidRPr="00AA1721">
              <w:rPr>
                <w:rFonts w:ascii="Calibri Light" w:eastAsia="Calibri" w:hAnsi="Calibri Light" w:cs="Calibri Light"/>
                <w:sz w:val="20"/>
                <w:szCs w:val="20"/>
              </w:rPr>
              <w:t>s</w:t>
            </w:r>
            <w:r w:rsidRPr="008F6701">
              <w:rPr>
                <w:rFonts w:ascii="Calibri Light" w:eastAsia="Calibri" w:hAnsi="Calibri Light" w:cs="Calibri Light"/>
                <w:sz w:val="20"/>
                <w:szCs w:val="20"/>
              </w:rPr>
              <w:t xml:space="preserve"> para que determinados </w:t>
            </w:r>
            <w:r>
              <w:rPr>
                <w:rFonts w:ascii="Calibri Light" w:eastAsia="Calibri" w:hAnsi="Calibri Light" w:cs="Calibri Light"/>
                <w:sz w:val="20"/>
                <w:szCs w:val="20"/>
              </w:rPr>
              <w:t>Concesionarios</w:t>
            </w:r>
            <w:r w:rsidRPr="008F6701">
              <w:rPr>
                <w:rFonts w:ascii="Calibri Light" w:eastAsia="Calibri" w:hAnsi="Calibri Light" w:cs="Calibri Light"/>
                <w:sz w:val="20"/>
                <w:szCs w:val="20"/>
              </w:rPr>
              <w:t xml:space="preserve"> demanden la construcción e implementación de </w:t>
            </w:r>
            <w:r w:rsidR="003E38B9">
              <w:rPr>
                <w:rFonts w:ascii="Calibri Light" w:eastAsia="Calibri" w:hAnsi="Calibri Light" w:cs="Calibri Light"/>
                <w:sz w:val="20"/>
                <w:szCs w:val="20"/>
              </w:rPr>
              <w:t>P</w:t>
            </w:r>
            <w:r w:rsidRPr="008F6701">
              <w:rPr>
                <w:rFonts w:ascii="Calibri Light" w:eastAsia="Calibri" w:hAnsi="Calibri Light" w:cs="Calibri Light"/>
                <w:sz w:val="20"/>
                <w:szCs w:val="20"/>
              </w:rPr>
              <w:t xml:space="preserve">royectos </w:t>
            </w:r>
            <w:r w:rsidR="003E38B9">
              <w:rPr>
                <w:rFonts w:ascii="Calibri Light" w:eastAsia="Calibri" w:hAnsi="Calibri Light" w:cs="Calibri Light"/>
                <w:sz w:val="20"/>
                <w:szCs w:val="20"/>
              </w:rPr>
              <w:t xml:space="preserve">Especiales </w:t>
            </w:r>
            <w:r w:rsidRPr="008F6701">
              <w:rPr>
                <w:rFonts w:ascii="Calibri Light" w:eastAsia="Calibri" w:hAnsi="Calibri Light" w:cs="Calibri Light"/>
                <w:sz w:val="20"/>
                <w:szCs w:val="20"/>
              </w:rPr>
              <w:t>a sabiendas de que no cubrirán la totalidad de los costos involucrados.</w:t>
            </w:r>
          </w:p>
          <w:p w14:paraId="5A6D9A37" w14:textId="77777777" w:rsidR="00EA54EC" w:rsidRDefault="00EA54EC" w:rsidP="00EA54EC">
            <w:pPr>
              <w:jc w:val="both"/>
              <w:rPr>
                <w:rFonts w:ascii="Calibri Light" w:eastAsia="Calibri" w:hAnsi="Calibri Light" w:cs="Calibri Light"/>
                <w:sz w:val="20"/>
                <w:szCs w:val="20"/>
              </w:rPr>
            </w:pPr>
          </w:p>
          <w:p w14:paraId="39C217C2" w14:textId="58A93104" w:rsidR="00EA54EC" w:rsidRPr="00AF4065" w:rsidRDefault="00EA54EC" w:rsidP="00EA54EC">
            <w:pPr>
              <w:jc w:val="both"/>
              <w:rPr>
                <w:rFonts w:ascii="Calibri Light" w:eastAsia="Calibri" w:hAnsi="Calibri Light" w:cs="Calibri Light"/>
                <w:sz w:val="20"/>
                <w:szCs w:val="20"/>
              </w:rPr>
            </w:pPr>
            <w:r w:rsidRPr="00621A8C">
              <w:rPr>
                <w:rFonts w:ascii="Calibri Light" w:eastAsia="Calibri" w:hAnsi="Calibri Light" w:cs="Calibri Light"/>
                <w:sz w:val="20"/>
                <w:szCs w:val="20"/>
              </w:rPr>
              <w:t xml:space="preserve">Así, los Proyectos Especiales deben recuperar los costos del despliegue de la infraestructura requerida para la prestación del servicio. Al tratarse de servicios de Enlaces Dedicados, la adecuación de dicha infraestructura se realiza y/o construye considerando única y exclusivamente </w:t>
            </w:r>
            <w:r w:rsidRPr="00AF4065">
              <w:rPr>
                <w:rFonts w:ascii="Calibri Light" w:eastAsia="Calibri" w:hAnsi="Calibri Light" w:cs="Calibri Light"/>
                <w:sz w:val="20"/>
                <w:szCs w:val="20"/>
              </w:rPr>
              <w:t>las necesidades particulares del Concesionario Solicitante, por l</w:t>
            </w:r>
            <w:r w:rsidRPr="00621A8C">
              <w:rPr>
                <w:rFonts w:ascii="Calibri Light" w:eastAsia="Calibri" w:hAnsi="Calibri Light" w:cs="Calibri Light"/>
                <w:sz w:val="20"/>
                <w:szCs w:val="20"/>
              </w:rPr>
              <w:t>o que es éste el único obligado a cubrir los costos que deriven de su construcción y desarrollo. En caso contrario, se estaría obligando a Telmex a subsidiar las operaciones de sus competidores</w:t>
            </w:r>
            <w:r w:rsidR="003E38B9">
              <w:rPr>
                <w:rFonts w:ascii="Calibri Light" w:eastAsia="Calibri" w:hAnsi="Calibri Light" w:cs="Calibri Light"/>
                <w:sz w:val="20"/>
                <w:szCs w:val="20"/>
              </w:rPr>
              <w:t>,</w:t>
            </w:r>
            <w:r w:rsidRPr="00621A8C">
              <w:rPr>
                <w:rFonts w:ascii="Calibri Light" w:eastAsia="Calibri" w:hAnsi="Calibri Light" w:cs="Calibri Light"/>
                <w:sz w:val="20"/>
                <w:szCs w:val="20"/>
              </w:rPr>
              <w:t xml:space="preserve"> desarrollando, a su costo, infraestructura que habrá de estar dedicada al uso y explotación del Concesionario que la solicite y con las características particulares de capacidad y ubicación que requiera este </w:t>
            </w:r>
            <w:r w:rsidRPr="00AF4065">
              <w:rPr>
                <w:rFonts w:ascii="Calibri Light" w:eastAsia="Calibri" w:hAnsi="Calibri Light" w:cs="Calibri Light"/>
                <w:sz w:val="20"/>
                <w:szCs w:val="20"/>
              </w:rPr>
              <w:t>último; generando a costa de Telmex ingresos y rentabilidad únicamente que beneficie al Concesionario Solicitante.</w:t>
            </w:r>
          </w:p>
          <w:p w14:paraId="661636E7" w14:textId="77777777" w:rsidR="00EA54EC" w:rsidRPr="00621A8C" w:rsidRDefault="00EA54EC" w:rsidP="00EA54EC">
            <w:pPr>
              <w:jc w:val="both"/>
              <w:rPr>
                <w:rFonts w:ascii="Calibri Light" w:eastAsia="Calibri" w:hAnsi="Calibri Light" w:cs="Calibri Light"/>
                <w:sz w:val="20"/>
                <w:szCs w:val="20"/>
              </w:rPr>
            </w:pPr>
          </w:p>
          <w:p w14:paraId="7DCE4BEC" w14:textId="56F85D0B" w:rsidR="00EA54EC" w:rsidRDefault="00EA54EC" w:rsidP="00EA54EC">
            <w:pPr>
              <w:jc w:val="both"/>
              <w:rPr>
                <w:rFonts w:ascii="Calibri Light" w:eastAsia="Calibri" w:hAnsi="Calibri Light" w:cs="Calibri Light"/>
                <w:sz w:val="20"/>
                <w:szCs w:val="20"/>
              </w:rPr>
            </w:pPr>
            <w:r w:rsidRPr="00621A8C">
              <w:rPr>
                <w:rFonts w:ascii="Calibri Light" w:eastAsia="Calibri" w:hAnsi="Calibri Light" w:cs="Calibri Light"/>
                <w:sz w:val="20"/>
                <w:szCs w:val="20"/>
              </w:rPr>
              <w:t xml:space="preserve">Resulta imperante resaltar que la necesidad de realizar un Proyecto Especial implica esencialmente la imposibilidad de Telmex y Telnor para proporcionar el servicio bajo las condiciones existentes de infraestructura y con base en los criterios y alcance definidos en la Oferta de Referencia, es decir, no existe disponibilidad de facilidades con la infraestructura existente, por lo que </w:t>
            </w:r>
            <w:r w:rsidR="00EC1657">
              <w:rPr>
                <w:rFonts w:ascii="Calibri Light" w:eastAsia="Calibri" w:hAnsi="Calibri Light" w:cs="Calibri Light"/>
                <w:sz w:val="20"/>
                <w:szCs w:val="20"/>
              </w:rPr>
              <w:t>se requiere</w:t>
            </w:r>
            <w:r w:rsidRPr="00621A8C">
              <w:rPr>
                <w:rFonts w:ascii="Calibri Light" w:eastAsia="Calibri" w:hAnsi="Calibri Light" w:cs="Calibri Light"/>
                <w:sz w:val="20"/>
                <w:szCs w:val="20"/>
              </w:rPr>
              <w:t xml:space="preserve"> la realización de trabajos para el despliegue de red donde sea inexistente o para la adecuación de la red</w:t>
            </w:r>
            <w:r w:rsidR="00EC1657">
              <w:rPr>
                <w:rFonts w:ascii="Calibri Light" w:eastAsia="Calibri" w:hAnsi="Calibri Light" w:cs="Calibri Light"/>
                <w:sz w:val="20"/>
                <w:szCs w:val="20"/>
              </w:rPr>
              <w:t>, a fin de</w:t>
            </w:r>
            <w:r w:rsidRPr="00621A8C">
              <w:rPr>
                <w:rFonts w:ascii="Calibri Light" w:eastAsia="Calibri" w:hAnsi="Calibri Light" w:cs="Calibri Light"/>
                <w:sz w:val="20"/>
                <w:szCs w:val="20"/>
              </w:rPr>
              <w:t xml:space="preserve"> poder </w:t>
            </w:r>
            <w:r w:rsidR="00EC1657">
              <w:rPr>
                <w:rFonts w:ascii="Calibri Light" w:eastAsia="Calibri" w:hAnsi="Calibri Light" w:cs="Calibri Light"/>
                <w:sz w:val="20"/>
                <w:szCs w:val="20"/>
              </w:rPr>
              <w:t>brindar los servicios requeridos por e</w:t>
            </w:r>
            <w:r w:rsidRPr="00621A8C">
              <w:rPr>
                <w:rFonts w:ascii="Calibri Light" w:eastAsia="Calibri" w:hAnsi="Calibri Light" w:cs="Calibri Light"/>
                <w:sz w:val="20"/>
                <w:szCs w:val="20"/>
              </w:rPr>
              <w:t>l usuario final</w:t>
            </w:r>
            <w:r w:rsidR="00EC1657">
              <w:rPr>
                <w:rFonts w:ascii="Calibri Light" w:eastAsia="Calibri" w:hAnsi="Calibri Light" w:cs="Calibri Light"/>
                <w:sz w:val="20"/>
                <w:szCs w:val="20"/>
              </w:rPr>
              <w:t xml:space="preserve"> del</w:t>
            </w:r>
            <w:r w:rsidRPr="00621A8C">
              <w:rPr>
                <w:rFonts w:ascii="Calibri Light" w:eastAsia="Calibri" w:hAnsi="Calibri Light" w:cs="Calibri Light"/>
                <w:sz w:val="20"/>
                <w:szCs w:val="20"/>
              </w:rPr>
              <w:t xml:space="preserve"> Concesionario</w:t>
            </w:r>
            <w:r w:rsidR="00EC1657">
              <w:rPr>
                <w:rFonts w:ascii="Calibri Light" w:eastAsia="Calibri" w:hAnsi="Calibri Light" w:cs="Calibri Light"/>
                <w:sz w:val="20"/>
                <w:szCs w:val="20"/>
              </w:rPr>
              <w:t xml:space="preserve"> Solicitante</w:t>
            </w:r>
            <w:r w:rsidRPr="00621A8C">
              <w:rPr>
                <w:rFonts w:ascii="Calibri Light" w:eastAsia="Calibri" w:hAnsi="Calibri Light" w:cs="Calibri Light"/>
                <w:sz w:val="20"/>
                <w:szCs w:val="20"/>
              </w:rPr>
              <w:t>.</w:t>
            </w:r>
          </w:p>
          <w:p w14:paraId="18941DA7" w14:textId="77777777" w:rsidR="00BB4847" w:rsidRDefault="00BB4847" w:rsidP="00EA54EC">
            <w:pPr>
              <w:jc w:val="both"/>
              <w:rPr>
                <w:rFonts w:ascii="Calibri Light" w:eastAsia="Calibri" w:hAnsi="Calibri Light" w:cs="Calibri Light"/>
                <w:sz w:val="20"/>
                <w:szCs w:val="20"/>
              </w:rPr>
            </w:pPr>
          </w:p>
          <w:p w14:paraId="37F15CF1" w14:textId="30F92A96" w:rsidR="00BB4847" w:rsidRPr="008F6701" w:rsidRDefault="00BB4847" w:rsidP="00EA54EC">
            <w:pPr>
              <w:jc w:val="both"/>
              <w:rPr>
                <w:rFonts w:ascii="Calibri Light" w:eastAsia="Calibri" w:hAnsi="Calibri Light" w:cs="Calibri Light"/>
                <w:sz w:val="20"/>
                <w:szCs w:val="20"/>
              </w:rPr>
            </w:pPr>
            <w:r w:rsidRPr="00AA1721">
              <w:rPr>
                <w:rFonts w:ascii="Calibri Light" w:eastAsia="Calibri" w:hAnsi="Calibri Light" w:cs="Calibri Light"/>
                <w:sz w:val="20"/>
                <w:szCs w:val="20"/>
              </w:rPr>
              <w:t xml:space="preserve">Es importante señalar que el objetivo de la regulación </w:t>
            </w:r>
            <w:r w:rsidR="00EC1657" w:rsidRPr="00AA1721">
              <w:rPr>
                <w:rFonts w:ascii="Calibri Light" w:eastAsia="Calibri" w:hAnsi="Calibri Light" w:cs="Calibri Light"/>
                <w:sz w:val="20"/>
                <w:szCs w:val="20"/>
              </w:rPr>
              <w:t xml:space="preserve">consiste en </w:t>
            </w:r>
            <w:r w:rsidRPr="00AA1721">
              <w:rPr>
                <w:rFonts w:ascii="Calibri Light" w:eastAsia="Calibri" w:hAnsi="Calibri Light" w:cs="Calibri Light"/>
                <w:sz w:val="20"/>
                <w:szCs w:val="20"/>
              </w:rPr>
              <w:t>que Telmex/Telnor proporcione</w:t>
            </w:r>
            <w:r w:rsidR="00EC1657" w:rsidRPr="00AA1721">
              <w:rPr>
                <w:rFonts w:ascii="Calibri Light" w:eastAsia="Calibri" w:hAnsi="Calibri Light" w:cs="Calibri Light"/>
                <w:sz w:val="20"/>
                <w:szCs w:val="20"/>
              </w:rPr>
              <w:t>n</w:t>
            </w:r>
            <w:r w:rsidRPr="00AA1721">
              <w:rPr>
                <w:rFonts w:ascii="Calibri Light" w:eastAsia="Calibri" w:hAnsi="Calibri Light" w:cs="Calibri Light"/>
                <w:sz w:val="20"/>
                <w:szCs w:val="20"/>
              </w:rPr>
              <w:t xml:space="preserve"> servicios bajo las condiciones existentes de infraestructura</w:t>
            </w:r>
            <w:r w:rsidR="00EC1657" w:rsidRPr="00AA1721">
              <w:rPr>
                <w:rFonts w:ascii="Calibri Light" w:eastAsia="Calibri" w:hAnsi="Calibri Light" w:cs="Calibri Light"/>
                <w:sz w:val="20"/>
                <w:szCs w:val="20"/>
              </w:rPr>
              <w:t>;</w:t>
            </w:r>
            <w:r w:rsidRPr="00AA1721">
              <w:rPr>
                <w:rFonts w:ascii="Calibri Light" w:eastAsia="Calibri" w:hAnsi="Calibri Light" w:cs="Calibri Light"/>
                <w:sz w:val="20"/>
                <w:szCs w:val="20"/>
              </w:rPr>
              <w:t xml:space="preserve"> sin embargo, </w:t>
            </w:r>
            <w:r w:rsidR="00EC1657" w:rsidRPr="00AA1721">
              <w:rPr>
                <w:rFonts w:ascii="Calibri Light" w:eastAsia="Calibri" w:hAnsi="Calibri Light" w:cs="Calibri Light"/>
                <w:sz w:val="20"/>
                <w:szCs w:val="20"/>
              </w:rPr>
              <w:t xml:space="preserve">se ha impuesto además la obligación a </w:t>
            </w:r>
            <w:r w:rsidR="002A33EE" w:rsidRPr="00AA1721">
              <w:rPr>
                <w:rFonts w:ascii="Calibri Light" w:eastAsia="Calibri" w:hAnsi="Calibri Light" w:cs="Calibri Light"/>
                <w:sz w:val="20"/>
                <w:szCs w:val="20"/>
              </w:rPr>
              <w:t xml:space="preserve">cargo de </w:t>
            </w:r>
            <w:r w:rsidR="00EC1657" w:rsidRPr="00AA1721">
              <w:rPr>
                <w:rFonts w:ascii="Calibri Light" w:eastAsia="Calibri" w:hAnsi="Calibri Light" w:cs="Calibri Light"/>
                <w:sz w:val="20"/>
                <w:szCs w:val="20"/>
              </w:rPr>
              <w:t xml:space="preserve">Telmex/Telnor de </w:t>
            </w:r>
            <w:r w:rsidR="002A33EE" w:rsidRPr="00AA1721">
              <w:rPr>
                <w:rFonts w:ascii="Calibri Light" w:eastAsia="Calibri" w:hAnsi="Calibri Light" w:cs="Calibri Light"/>
                <w:sz w:val="20"/>
                <w:szCs w:val="20"/>
              </w:rPr>
              <w:t>ofrecer soluciones alternativas o a la carta (Proyectos Especiales), las cuales, si son acotadas o restringidas por el órgano regulador (como la restricción de no cobrar por elementos de la red de transporte), resultan en obligaciones que imponen improcedentes y onerosas cargas en perjuicio de mis representadas, pues se traducen en que éstas directamente deban</w:t>
            </w:r>
            <w:r w:rsidRPr="00AA1721">
              <w:rPr>
                <w:rFonts w:ascii="Calibri Light" w:eastAsia="Calibri" w:hAnsi="Calibri Light" w:cs="Calibri Light"/>
                <w:sz w:val="20"/>
                <w:szCs w:val="20"/>
              </w:rPr>
              <w:t xml:space="preserve"> subsidi</w:t>
            </w:r>
            <w:r w:rsidR="002A33EE" w:rsidRPr="00AA1721">
              <w:rPr>
                <w:rFonts w:ascii="Calibri Light" w:eastAsia="Calibri" w:hAnsi="Calibri Light" w:cs="Calibri Light"/>
                <w:sz w:val="20"/>
                <w:szCs w:val="20"/>
              </w:rPr>
              <w:t>ar</w:t>
            </w:r>
            <w:r w:rsidRPr="00AA1721">
              <w:rPr>
                <w:rFonts w:ascii="Calibri Light" w:eastAsia="Calibri" w:hAnsi="Calibri Light" w:cs="Calibri Light"/>
                <w:sz w:val="20"/>
                <w:szCs w:val="20"/>
              </w:rPr>
              <w:t xml:space="preserve"> a sus competidores, lo cual </w:t>
            </w:r>
            <w:r w:rsidR="002A33EE" w:rsidRPr="00AA1721">
              <w:rPr>
                <w:rFonts w:ascii="Calibri Light" w:eastAsia="Calibri" w:hAnsi="Calibri Light" w:cs="Calibri Light"/>
                <w:sz w:val="20"/>
                <w:szCs w:val="20"/>
              </w:rPr>
              <w:t xml:space="preserve">además </w:t>
            </w:r>
            <w:r w:rsidRPr="00AA1721">
              <w:rPr>
                <w:rFonts w:ascii="Calibri Light" w:eastAsia="Calibri" w:hAnsi="Calibri Light" w:cs="Calibri Light"/>
                <w:sz w:val="20"/>
                <w:szCs w:val="20"/>
              </w:rPr>
              <w:t>genera distorsiones en el mercado</w:t>
            </w:r>
            <w:r w:rsidR="002A33EE" w:rsidRPr="00AA1721">
              <w:rPr>
                <w:rFonts w:ascii="Calibri Light" w:eastAsia="Calibri" w:hAnsi="Calibri Light" w:cs="Calibri Light"/>
                <w:sz w:val="20"/>
                <w:szCs w:val="20"/>
              </w:rPr>
              <w:t>,</w:t>
            </w:r>
            <w:r w:rsidRPr="00AA1721">
              <w:rPr>
                <w:rFonts w:ascii="Calibri Light" w:eastAsia="Calibri" w:hAnsi="Calibri Light" w:cs="Calibri Light"/>
                <w:sz w:val="20"/>
                <w:szCs w:val="20"/>
              </w:rPr>
              <w:t xml:space="preserve"> como la reducción de inversion</w:t>
            </w:r>
            <w:r w:rsidR="00BD084A" w:rsidRPr="00AA1721">
              <w:rPr>
                <w:rFonts w:ascii="Calibri Light" w:eastAsia="Calibri" w:hAnsi="Calibri Light" w:cs="Calibri Light"/>
                <w:sz w:val="20"/>
                <w:szCs w:val="20"/>
              </w:rPr>
              <w:t xml:space="preserve">es </w:t>
            </w:r>
            <w:r w:rsidR="002A33EE" w:rsidRPr="00AA1721">
              <w:rPr>
                <w:rFonts w:ascii="Calibri Light" w:eastAsia="Calibri" w:hAnsi="Calibri Light" w:cs="Calibri Light"/>
                <w:sz w:val="20"/>
                <w:szCs w:val="20"/>
              </w:rPr>
              <w:t>y la c</w:t>
            </w:r>
            <w:r w:rsidR="00BD084A" w:rsidRPr="00AA1721">
              <w:rPr>
                <w:rFonts w:ascii="Calibri Light" w:eastAsia="Calibri" w:hAnsi="Calibri Light" w:cs="Calibri Light"/>
                <w:sz w:val="20"/>
                <w:szCs w:val="20"/>
              </w:rPr>
              <w:t>o</w:t>
            </w:r>
            <w:r w:rsidR="002A33EE" w:rsidRPr="00AA1721">
              <w:rPr>
                <w:rFonts w:ascii="Calibri Light" w:eastAsia="Calibri" w:hAnsi="Calibri Light" w:cs="Calibri Light"/>
                <w:sz w:val="20"/>
                <w:szCs w:val="20"/>
              </w:rPr>
              <w:t>nsecuente</w:t>
            </w:r>
            <w:r w:rsidR="00BD084A" w:rsidRPr="00AA1721">
              <w:rPr>
                <w:rFonts w:ascii="Calibri Light" w:eastAsia="Calibri" w:hAnsi="Calibri Light" w:cs="Calibri Light"/>
                <w:sz w:val="20"/>
                <w:szCs w:val="20"/>
              </w:rPr>
              <w:t xml:space="preserve"> ausencia de despliegues</w:t>
            </w:r>
            <w:r w:rsidR="002A33EE" w:rsidRPr="00AA1721">
              <w:rPr>
                <w:rFonts w:ascii="Calibri Light" w:eastAsia="Calibri" w:hAnsi="Calibri Light" w:cs="Calibri Light"/>
                <w:sz w:val="20"/>
                <w:szCs w:val="20"/>
              </w:rPr>
              <w:t xml:space="preserve"> de infraestructura</w:t>
            </w:r>
            <w:r w:rsidR="00BD084A" w:rsidRPr="00AA1721">
              <w:rPr>
                <w:rFonts w:ascii="Calibri Light" w:eastAsia="Calibri" w:hAnsi="Calibri Light" w:cs="Calibri Light"/>
                <w:sz w:val="20"/>
                <w:szCs w:val="20"/>
              </w:rPr>
              <w:t>. I</w:t>
            </w:r>
            <w:r w:rsidRPr="00AA1721">
              <w:rPr>
                <w:rFonts w:ascii="Calibri Light" w:eastAsia="Calibri" w:hAnsi="Calibri Light" w:cs="Calibri Light"/>
                <w:sz w:val="20"/>
                <w:szCs w:val="20"/>
              </w:rPr>
              <w:t xml:space="preserve">ncluso esto ha </w:t>
            </w:r>
            <w:r w:rsidR="002A33EE" w:rsidRPr="00AA1721">
              <w:rPr>
                <w:rFonts w:ascii="Calibri Light" w:eastAsia="Calibri" w:hAnsi="Calibri Light" w:cs="Calibri Light"/>
                <w:sz w:val="20"/>
                <w:szCs w:val="20"/>
              </w:rPr>
              <w:t xml:space="preserve">permeado en el ámbito </w:t>
            </w:r>
            <w:r w:rsidRPr="00AA1721">
              <w:rPr>
                <w:rFonts w:ascii="Calibri Light" w:eastAsia="Calibri" w:hAnsi="Calibri Light" w:cs="Calibri Light"/>
                <w:sz w:val="20"/>
                <w:szCs w:val="20"/>
              </w:rPr>
              <w:t xml:space="preserve"> de </w:t>
            </w:r>
            <w:r w:rsidR="002A33EE" w:rsidRPr="00AA1721">
              <w:rPr>
                <w:rFonts w:ascii="Calibri Light" w:eastAsia="Calibri" w:hAnsi="Calibri Light" w:cs="Calibri Light"/>
                <w:sz w:val="20"/>
                <w:szCs w:val="20"/>
              </w:rPr>
              <w:t xml:space="preserve">las </w:t>
            </w:r>
            <w:r w:rsidRPr="00AA1721">
              <w:rPr>
                <w:rFonts w:ascii="Calibri Light" w:eastAsia="Calibri" w:hAnsi="Calibri Light" w:cs="Calibri Light"/>
                <w:sz w:val="20"/>
                <w:szCs w:val="20"/>
              </w:rPr>
              <w:t>licitaciones públicas, en las cuales, al realizar</w:t>
            </w:r>
            <w:r w:rsidR="00673C3B" w:rsidRPr="00AA1721">
              <w:rPr>
                <w:rFonts w:ascii="Calibri Light" w:eastAsia="Calibri" w:hAnsi="Calibri Light" w:cs="Calibri Light"/>
                <w:sz w:val="20"/>
                <w:szCs w:val="20"/>
              </w:rPr>
              <w:t>se</w:t>
            </w:r>
            <w:r w:rsidRPr="00AA1721">
              <w:rPr>
                <w:rFonts w:ascii="Calibri Light" w:eastAsia="Calibri" w:hAnsi="Calibri Light" w:cs="Calibri Light"/>
                <w:sz w:val="20"/>
                <w:szCs w:val="20"/>
              </w:rPr>
              <w:t xml:space="preserve"> una evaluación del costo del despliegue que tendría que realizar Telmex/Telnor </w:t>
            </w:r>
            <w:r w:rsidR="00673C3B" w:rsidRPr="00AA1721">
              <w:rPr>
                <w:rFonts w:ascii="Calibri Light" w:eastAsia="Calibri" w:hAnsi="Calibri Light" w:cs="Calibri Light"/>
                <w:sz w:val="20"/>
                <w:szCs w:val="20"/>
              </w:rPr>
              <w:t xml:space="preserve">en ocasiones se </w:t>
            </w:r>
            <w:r w:rsidRPr="00AA1721">
              <w:rPr>
                <w:rFonts w:ascii="Calibri Light" w:eastAsia="Calibri" w:hAnsi="Calibri Light" w:cs="Calibri Light"/>
                <w:sz w:val="20"/>
                <w:szCs w:val="20"/>
              </w:rPr>
              <w:t xml:space="preserve">ha decidido evitar su participación por resultar incosteable, no obstante, los Concesionarios Solicitantes </w:t>
            </w:r>
            <w:r w:rsidR="00005951" w:rsidRPr="00AA1721">
              <w:rPr>
                <w:rFonts w:ascii="Calibri Light" w:eastAsia="Calibri" w:hAnsi="Calibri Light" w:cs="Calibri Light"/>
                <w:sz w:val="20"/>
                <w:szCs w:val="20"/>
              </w:rPr>
              <w:t>y Autorizados Solicitantes han participado</w:t>
            </w:r>
            <w:r w:rsidR="0068539F" w:rsidRPr="00AA1721">
              <w:rPr>
                <w:rFonts w:ascii="Calibri Light" w:eastAsia="Calibri" w:hAnsi="Calibri Light" w:cs="Calibri Light"/>
                <w:sz w:val="20"/>
                <w:szCs w:val="20"/>
              </w:rPr>
              <w:t xml:space="preserve"> en dichas licitaci</w:t>
            </w:r>
            <w:r w:rsidR="00EC1657" w:rsidRPr="00AA1721">
              <w:rPr>
                <w:rFonts w:ascii="Calibri Light" w:eastAsia="Calibri" w:hAnsi="Calibri Light" w:cs="Calibri Light"/>
                <w:sz w:val="20"/>
                <w:szCs w:val="20"/>
              </w:rPr>
              <w:t>o</w:t>
            </w:r>
            <w:r w:rsidR="0068539F" w:rsidRPr="00AA1721">
              <w:rPr>
                <w:rFonts w:ascii="Calibri Light" w:eastAsia="Calibri" w:hAnsi="Calibri Light" w:cs="Calibri Light"/>
                <w:sz w:val="20"/>
                <w:szCs w:val="20"/>
              </w:rPr>
              <w:t>nes</w:t>
            </w:r>
            <w:r w:rsidR="00673C3B" w:rsidRPr="00AA1721">
              <w:rPr>
                <w:rFonts w:ascii="Calibri Light" w:eastAsia="Calibri" w:hAnsi="Calibri Light" w:cs="Calibri Light"/>
                <w:sz w:val="20"/>
                <w:szCs w:val="20"/>
              </w:rPr>
              <w:t>,</w:t>
            </w:r>
            <w:r w:rsidR="00005951" w:rsidRPr="00AA1721">
              <w:rPr>
                <w:rFonts w:ascii="Calibri Light" w:eastAsia="Calibri" w:hAnsi="Calibri Light" w:cs="Calibri Light"/>
                <w:sz w:val="20"/>
                <w:szCs w:val="20"/>
              </w:rPr>
              <w:t xml:space="preserve"> en lugares </w:t>
            </w:r>
            <w:r w:rsidR="00BD084A" w:rsidRPr="00AA1721">
              <w:rPr>
                <w:rFonts w:ascii="Calibri Light" w:eastAsia="Calibri" w:hAnsi="Calibri Light" w:cs="Calibri Light"/>
                <w:sz w:val="20"/>
                <w:szCs w:val="20"/>
              </w:rPr>
              <w:t>donde no existe</w:t>
            </w:r>
            <w:r w:rsidR="00005951" w:rsidRPr="00AA1721">
              <w:rPr>
                <w:rFonts w:ascii="Calibri Light" w:eastAsia="Calibri" w:hAnsi="Calibri Light" w:cs="Calibri Light"/>
                <w:sz w:val="20"/>
                <w:szCs w:val="20"/>
              </w:rPr>
              <w:t xml:space="preserve"> infraestructura,</w:t>
            </w:r>
            <w:r w:rsidRPr="00AA1721">
              <w:rPr>
                <w:rFonts w:ascii="Calibri Light" w:eastAsia="Calibri" w:hAnsi="Calibri Light" w:cs="Calibri Light"/>
                <w:sz w:val="20"/>
                <w:szCs w:val="20"/>
              </w:rPr>
              <w:t xml:space="preserve"> buscan</w:t>
            </w:r>
            <w:r w:rsidR="00005951" w:rsidRPr="00AA1721">
              <w:rPr>
                <w:rFonts w:ascii="Calibri Light" w:eastAsia="Calibri" w:hAnsi="Calibri Light" w:cs="Calibri Light"/>
                <w:sz w:val="20"/>
                <w:szCs w:val="20"/>
              </w:rPr>
              <w:t>do</w:t>
            </w:r>
            <w:r w:rsidRPr="00AA1721">
              <w:rPr>
                <w:rFonts w:ascii="Calibri Light" w:eastAsia="Calibri" w:hAnsi="Calibri Light" w:cs="Calibri Light"/>
                <w:sz w:val="20"/>
                <w:szCs w:val="20"/>
              </w:rPr>
              <w:t xml:space="preserve"> que sea</w:t>
            </w:r>
            <w:r w:rsidR="00673C3B" w:rsidRPr="00AA1721">
              <w:rPr>
                <w:rFonts w:ascii="Calibri Light" w:eastAsia="Calibri" w:hAnsi="Calibri Light" w:cs="Calibri Light"/>
                <w:sz w:val="20"/>
                <w:szCs w:val="20"/>
              </w:rPr>
              <w:t>n</w:t>
            </w:r>
            <w:r w:rsidRPr="00AA1721">
              <w:rPr>
                <w:rFonts w:ascii="Calibri Light" w:eastAsia="Calibri" w:hAnsi="Calibri Light" w:cs="Calibri Light"/>
                <w:sz w:val="20"/>
                <w:szCs w:val="20"/>
              </w:rPr>
              <w:t xml:space="preserve"> Telmex/Telnor a través de la regulación impuesta </w:t>
            </w:r>
            <w:r w:rsidR="0068539F" w:rsidRPr="00AA1721">
              <w:rPr>
                <w:rFonts w:ascii="Calibri Light" w:eastAsia="Calibri" w:hAnsi="Calibri Light" w:cs="Calibri Light"/>
                <w:sz w:val="20"/>
                <w:szCs w:val="20"/>
              </w:rPr>
              <w:t>l</w:t>
            </w:r>
            <w:r w:rsidR="00673C3B" w:rsidRPr="00AA1721">
              <w:rPr>
                <w:rFonts w:ascii="Calibri Light" w:eastAsia="Calibri" w:hAnsi="Calibri Light" w:cs="Calibri Light"/>
                <w:sz w:val="20"/>
                <w:szCs w:val="20"/>
              </w:rPr>
              <w:t>as</w:t>
            </w:r>
            <w:r w:rsidR="0068539F" w:rsidRPr="00AA1721">
              <w:rPr>
                <w:rFonts w:ascii="Calibri Light" w:eastAsia="Calibri" w:hAnsi="Calibri Light" w:cs="Calibri Light"/>
                <w:sz w:val="20"/>
                <w:szCs w:val="20"/>
              </w:rPr>
              <w:t xml:space="preserve"> que realice</w:t>
            </w:r>
            <w:r w:rsidR="00673C3B" w:rsidRPr="00AA1721">
              <w:rPr>
                <w:rFonts w:ascii="Calibri Light" w:eastAsia="Calibri" w:hAnsi="Calibri Light" w:cs="Calibri Light"/>
                <w:sz w:val="20"/>
                <w:szCs w:val="20"/>
              </w:rPr>
              <w:t>n</w:t>
            </w:r>
            <w:r w:rsidR="0068539F" w:rsidRPr="00AA1721">
              <w:rPr>
                <w:rFonts w:ascii="Calibri Light" w:eastAsia="Calibri" w:hAnsi="Calibri Light" w:cs="Calibri Light"/>
                <w:sz w:val="20"/>
                <w:szCs w:val="20"/>
              </w:rPr>
              <w:t xml:space="preserve"> la</w:t>
            </w:r>
            <w:r w:rsidR="00673C3B" w:rsidRPr="00AA1721">
              <w:rPr>
                <w:rFonts w:ascii="Calibri Light" w:eastAsia="Calibri" w:hAnsi="Calibri Light" w:cs="Calibri Light"/>
                <w:sz w:val="20"/>
                <w:szCs w:val="20"/>
              </w:rPr>
              <w:t>s</w:t>
            </w:r>
            <w:r w:rsidRPr="00AA1721">
              <w:rPr>
                <w:rFonts w:ascii="Calibri Light" w:eastAsia="Calibri" w:hAnsi="Calibri Light" w:cs="Calibri Light"/>
                <w:sz w:val="20"/>
                <w:szCs w:val="20"/>
              </w:rPr>
              <w:t xml:space="preserve"> </w:t>
            </w:r>
            <w:r w:rsidR="00673C3B" w:rsidRPr="00AA1721">
              <w:rPr>
                <w:rFonts w:ascii="Calibri Light" w:eastAsia="Calibri" w:hAnsi="Calibri Light" w:cs="Calibri Light"/>
                <w:sz w:val="20"/>
                <w:szCs w:val="20"/>
              </w:rPr>
              <w:t>inversiones,</w:t>
            </w:r>
            <w:r w:rsidRPr="00AA1721">
              <w:rPr>
                <w:rFonts w:ascii="Calibri Light" w:eastAsia="Calibri" w:hAnsi="Calibri Light" w:cs="Calibri Light"/>
                <w:sz w:val="20"/>
                <w:szCs w:val="20"/>
              </w:rPr>
              <w:t xml:space="preserve"> subsidiando proyecto</w:t>
            </w:r>
            <w:r w:rsidR="00673C3B" w:rsidRPr="00AA1721">
              <w:rPr>
                <w:rFonts w:ascii="Calibri Light" w:eastAsia="Calibri" w:hAnsi="Calibri Light" w:cs="Calibri Light"/>
                <w:sz w:val="20"/>
                <w:szCs w:val="20"/>
              </w:rPr>
              <w:t>s</w:t>
            </w:r>
            <w:r w:rsidRPr="00AA1721">
              <w:rPr>
                <w:rFonts w:ascii="Calibri Light" w:eastAsia="Calibri" w:hAnsi="Calibri Light" w:cs="Calibri Light"/>
                <w:sz w:val="20"/>
                <w:szCs w:val="20"/>
              </w:rPr>
              <w:t xml:space="preserve"> que beneficia</w:t>
            </w:r>
            <w:r w:rsidR="00673C3B" w:rsidRPr="00AA1721">
              <w:rPr>
                <w:rFonts w:ascii="Calibri Light" w:eastAsia="Calibri" w:hAnsi="Calibri Light" w:cs="Calibri Light"/>
                <w:sz w:val="20"/>
                <w:szCs w:val="20"/>
              </w:rPr>
              <w:t>n</w:t>
            </w:r>
            <w:r w:rsidRPr="00AA1721">
              <w:rPr>
                <w:rFonts w:ascii="Calibri Light" w:eastAsia="Calibri" w:hAnsi="Calibri Light" w:cs="Calibri Light"/>
                <w:sz w:val="20"/>
                <w:szCs w:val="20"/>
              </w:rPr>
              <w:t xml:space="preserve"> única y exclusivamente a</w:t>
            </w:r>
            <w:r w:rsidR="00673C3B" w:rsidRPr="00AA1721">
              <w:rPr>
                <w:rFonts w:ascii="Calibri Light" w:eastAsia="Calibri" w:hAnsi="Calibri Light" w:cs="Calibri Light"/>
                <w:sz w:val="20"/>
                <w:szCs w:val="20"/>
              </w:rPr>
              <w:t xml:space="preserve"> </w:t>
            </w:r>
            <w:r w:rsidRPr="00AA1721">
              <w:rPr>
                <w:rFonts w:ascii="Calibri Light" w:eastAsia="Calibri" w:hAnsi="Calibri Light" w:cs="Calibri Light"/>
                <w:sz w:val="20"/>
                <w:szCs w:val="20"/>
              </w:rPr>
              <w:t>l</w:t>
            </w:r>
            <w:r w:rsidR="00673C3B" w:rsidRPr="00AA1721">
              <w:rPr>
                <w:rFonts w:ascii="Calibri Light" w:eastAsia="Calibri" w:hAnsi="Calibri Light" w:cs="Calibri Light"/>
                <w:sz w:val="20"/>
                <w:szCs w:val="20"/>
              </w:rPr>
              <w:t>os</w:t>
            </w:r>
            <w:r w:rsidRPr="00AA1721">
              <w:rPr>
                <w:rFonts w:ascii="Calibri Light" w:eastAsia="Calibri" w:hAnsi="Calibri Light" w:cs="Calibri Light"/>
                <w:sz w:val="20"/>
                <w:szCs w:val="20"/>
              </w:rPr>
              <w:t xml:space="preserve"> Concesionario</w:t>
            </w:r>
            <w:r w:rsidR="00673C3B" w:rsidRPr="00AA1721">
              <w:rPr>
                <w:rFonts w:ascii="Calibri Light" w:eastAsia="Calibri" w:hAnsi="Calibri Light" w:cs="Calibri Light"/>
                <w:sz w:val="20"/>
                <w:szCs w:val="20"/>
              </w:rPr>
              <w:t>s</w:t>
            </w:r>
            <w:r w:rsidRPr="00AA1721">
              <w:rPr>
                <w:rFonts w:ascii="Calibri Light" w:eastAsia="Calibri" w:hAnsi="Calibri Light" w:cs="Calibri Light"/>
                <w:sz w:val="20"/>
                <w:szCs w:val="20"/>
              </w:rPr>
              <w:t xml:space="preserve"> Solicitante</w:t>
            </w:r>
            <w:r w:rsidR="00673C3B" w:rsidRPr="00AA1721">
              <w:rPr>
                <w:rFonts w:ascii="Calibri Light" w:eastAsia="Calibri" w:hAnsi="Calibri Light" w:cs="Calibri Light"/>
                <w:sz w:val="20"/>
                <w:szCs w:val="20"/>
              </w:rPr>
              <w:t>s</w:t>
            </w:r>
            <w:r w:rsidRPr="00AA1721">
              <w:rPr>
                <w:rFonts w:ascii="Calibri Light" w:eastAsia="Calibri" w:hAnsi="Calibri Light" w:cs="Calibri Light"/>
                <w:sz w:val="20"/>
                <w:szCs w:val="20"/>
              </w:rPr>
              <w:t>.</w:t>
            </w:r>
          </w:p>
          <w:p w14:paraId="6E43A0C1" w14:textId="77777777" w:rsidR="00EA54EC" w:rsidRPr="008F6701" w:rsidRDefault="00EA54EC" w:rsidP="00EA54EC">
            <w:pPr>
              <w:jc w:val="both"/>
              <w:rPr>
                <w:rFonts w:ascii="Calibri Light" w:eastAsia="Calibri" w:hAnsi="Calibri Light" w:cs="Calibri Light"/>
                <w:sz w:val="20"/>
                <w:szCs w:val="20"/>
              </w:rPr>
            </w:pPr>
          </w:p>
          <w:p w14:paraId="337B0E6A" w14:textId="5B5BCBA2" w:rsidR="00EA54EC" w:rsidRDefault="00EA54EC" w:rsidP="00EA54EC">
            <w:pPr>
              <w:jc w:val="both"/>
              <w:rPr>
                <w:rFonts w:ascii="Calibri Light" w:eastAsia="Calibri" w:hAnsi="Calibri Light" w:cs="Calibri Light"/>
                <w:sz w:val="20"/>
                <w:szCs w:val="20"/>
              </w:rPr>
            </w:pPr>
            <w:r w:rsidRPr="008F6701">
              <w:rPr>
                <w:rFonts w:ascii="Calibri Light" w:eastAsia="Calibri" w:hAnsi="Calibri Light" w:cs="Calibri Light"/>
                <w:sz w:val="20"/>
                <w:szCs w:val="20"/>
              </w:rPr>
              <w:t>Se insiste que de la revisión y análisis del Modelo de Costos de Enlaces Dedicados del Instituto</w:t>
            </w:r>
            <w:r>
              <w:rPr>
                <w:rFonts w:ascii="Calibri Light" w:eastAsia="Calibri" w:hAnsi="Calibri Light" w:cs="Calibri Light"/>
                <w:sz w:val="20"/>
                <w:szCs w:val="20"/>
              </w:rPr>
              <w:t xml:space="preserve">, </w:t>
            </w:r>
            <w:r w:rsidRPr="008F6701">
              <w:rPr>
                <w:rFonts w:ascii="Calibri Light" w:eastAsia="Calibri" w:hAnsi="Calibri Light" w:cs="Calibri Light"/>
                <w:sz w:val="20"/>
                <w:szCs w:val="20"/>
              </w:rPr>
              <w:t>no se observa ningún componente de costos que represente explícitamente a los Proyectos Especiales.</w:t>
            </w:r>
            <w:r>
              <w:rPr>
                <w:rFonts w:ascii="Calibri Light" w:eastAsia="Calibri" w:hAnsi="Calibri Light" w:cs="Calibri Light"/>
                <w:sz w:val="20"/>
                <w:szCs w:val="20"/>
              </w:rPr>
              <w:t xml:space="preserve"> En el modelo de enlaces del </w:t>
            </w:r>
            <w:r w:rsidR="00447A20">
              <w:rPr>
                <w:rFonts w:ascii="Calibri Light" w:eastAsia="Calibri" w:hAnsi="Calibri Light" w:cs="Calibri Light"/>
                <w:sz w:val="20"/>
                <w:szCs w:val="20"/>
              </w:rPr>
              <w:t xml:space="preserve">Instituto </w:t>
            </w:r>
            <w:r>
              <w:rPr>
                <w:rFonts w:ascii="Calibri Light" w:eastAsia="Calibri" w:hAnsi="Calibri Light" w:cs="Calibri Light"/>
                <w:sz w:val="20"/>
                <w:szCs w:val="20"/>
              </w:rPr>
              <w:t xml:space="preserve">únicamente se observan dos elementos de costo: 1) </w:t>
            </w:r>
            <w:r w:rsidR="00673C3B">
              <w:rPr>
                <w:rFonts w:ascii="Calibri Light" w:eastAsia="Calibri" w:hAnsi="Calibri Light" w:cs="Calibri Light"/>
                <w:sz w:val="20"/>
                <w:szCs w:val="20"/>
              </w:rPr>
              <w:t>M</w:t>
            </w:r>
            <w:r>
              <w:rPr>
                <w:rFonts w:ascii="Calibri Light" w:eastAsia="Calibri" w:hAnsi="Calibri Light" w:cs="Calibri Light"/>
                <w:sz w:val="20"/>
                <w:szCs w:val="20"/>
              </w:rPr>
              <w:t xml:space="preserve">ano de obra y 2) Transporte, costo </w:t>
            </w:r>
            <w:r w:rsidR="00673C3B">
              <w:rPr>
                <w:rFonts w:ascii="Calibri Light" w:eastAsia="Calibri" w:hAnsi="Calibri Light" w:cs="Calibri Light"/>
                <w:sz w:val="20"/>
                <w:szCs w:val="20"/>
              </w:rPr>
              <w:t xml:space="preserve">éste último </w:t>
            </w:r>
            <w:r>
              <w:rPr>
                <w:rFonts w:ascii="Calibri Light" w:eastAsia="Calibri" w:hAnsi="Calibri Light" w:cs="Calibri Light"/>
                <w:sz w:val="20"/>
                <w:szCs w:val="20"/>
              </w:rPr>
              <w:t xml:space="preserve">que explícitamente se señala que se toma del </w:t>
            </w:r>
            <w:r w:rsidR="00673C3B">
              <w:rPr>
                <w:rFonts w:ascii="Calibri Light" w:eastAsia="Calibri" w:hAnsi="Calibri Light" w:cs="Calibri Light"/>
                <w:sz w:val="20"/>
                <w:szCs w:val="20"/>
              </w:rPr>
              <w:t>M</w:t>
            </w:r>
            <w:r>
              <w:rPr>
                <w:rFonts w:ascii="Calibri Light" w:eastAsia="Calibri" w:hAnsi="Calibri Light" w:cs="Calibri Light"/>
                <w:sz w:val="20"/>
                <w:szCs w:val="20"/>
              </w:rPr>
              <w:t xml:space="preserve">odelo de </w:t>
            </w:r>
            <w:r w:rsidR="00673C3B">
              <w:rPr>
                <w:rFonts w:ascii="Calibri Light" w:eastAsia="Calibri" w:hAnsi="Calibri Light" w:cs="Calibri Light"/>
                <w:sz w:val="20"/>
                <w:szCs w:val="20"/>
              </w:rPr>
              <w:t>costos de I</w:t>
            </w:r>
            <w:r>
              <w:rPr>
                <w:rFonts w:ascii="Calibri Light" w:eastAsia="Calibri" w:hAnsi="Calibri Light" w:cs="Calibri Light"/>
                <w:sz w:val="20"/>
                <w:szCs w:val="20"/>
              </w:rPr>
              <w:t>nterconexión.</w:t>
            </w:r>
          </w:p>
          <w:p w14:paraId="12E4CD8E" w14:textId="77777777" w:rsidR="00EA54EC" w:rsidRDefault="00EA54EC" w:rsidP="00EA54EC">
            <w:pPr>
              <w:jc w:val="both"/>
              <w:rPr>
                <w:rFonts w:ascii="Calibri Light" w:eastAsia="Calibri" w:hAnsi="Calibri Light" w:cs="Calibri Light"/>
                <w:sz w:val="20"/>
                <w:szCs w:val="20"/>
              </w:rPr>
            </w:pPr>
          </w:p>
          <w:p w14:paraId="2861E0BA" w14:textId="04C671B1" w:rsidR="00345A59" w:rsidRPr="002B66BB" w:rsidRDefault="006B12A3" w:rsidP="004520D9">
            <w:pPr>
              <w:jc w:val="both"/>
              <w:rPr>
                <w:rFonts w:ascii="Calibri Light" w:eastAsia="Calibri" w:hAnsi="Calibri Light" w:cs="Calibri Light"/>
                <w:sz w:val="20"/>
                <w:szCs w:val="20"/>
              </w:rPr>
            </w:pPr>
            <w:r w:rsidRPr="002B66BB">
              <w:rPr>
                <w:rFonts w:ascii="Calibri Light" w:eastAsia="Calibri" w:hAnsi="Calibri Light" w:cs="Calibri Light"/>
                <w:sz w:val="20"/>
                <w:szCs w:val="20"/>
              </w:rPr>
              <w:t>L</w:t>
            </w:r>
            <w:r w:rsidR="00345A59" w:rsidRPr="002B66BB">
              <w:rPr>
                <w:rFonts w:ascii="Calibri Light" w:eastAsia="Calibri" w:hAnsi="Calibri Light" w:cs="Calibri Light"/>
                <w:sz w:val="20"/>
                <w:szCs w:val="20"/>
              </w:rPr>
              <w:t xml:space="preserve">os costos asociados a los Proyectos Especiales deben ser cubiertos por el CS que </w:t>
            </w:r>
            <w:r w:rsidR="00673C3B">
              <w:rPr>
                <w:rFonts w:ascii="Calibri Light" w:eastAsia="Calibri" w:hAnsi="Calibri Light" w:cs="Calibri Light"/>
                <w:sz w:val="20"/>
                <w:szCs w:val="20"/>
              </w:rPr>
              <w:t xml:space="preserve">lo </w:t>
            </w:r>
            <w:r w:rsidR="00345A59" w:rsidRPr="002B66BB">
              <w:rPr>
                <w:rFonts w:ascii="Calibri Light" w:eastAsia="Calibri" w:hAnsi="Calibri Light" w:cs="Calibri Light"/>
                <w:sz w:val="20"/>
                <w:szCs w:val="20"/>
              </w:rPr>
              <w:t>requier</w:t>
            </w:r>
            <w:r w:rsidR="00673C3B">
              <w:rPr>
                <w:rFonts w:ascii="Calibri Light" w:eastAsia="Calibri" w:hAnsi="Calibri Light" w:cs="Calibri Light"/>
                <w:sz w:val="20"/>
                <w:szCs w:val="20"/>
              </w:rPr>
              <w:t>a, porque es precisamente</w:t>
            </w:r>
            <w:r w:rsidR="00345A59" w:rsidRPr="002B66BB">
              <w:rPr>
                <w:rFonts w:ascii="Calibri Light" w:eastAsia="Calibri" w:hAnsi="Calibri Light" w:cs="Calibri Light"/>
                <w:sz w:val="20"/>
                <w:szCs w:val="20"/>
              </w:rPr>
              <w:t xml:space="preserve"> </w:t>
            </w:r>
            <w:r w:rsidR="00401D65" w:rsidRPr="002B66BB">
              <w:rPr>
                <w:rFonts w:ascii="Calibri Light" w:eastAsia="Calibri" w:hAnsi="Calibri Light" w:cs="Calibri Light"/>
                <w:sz w:val="20"/>
                <w:szCs w:val="20"/>
              </w:rPr>
              <w:t>dicho conces</w:t>
            </w:r>
            <w:r w:rsidR="00345A59" w:rsidRPr="002B66BB">
              <w:rPr>
                <w:rFonts w:ascii="Calibri Light" w:eastAsia="Calibri" w:hAnsi="Calibri Light" w:cs="Calibri Light"/>
                <w:sz w:val="20"/>
                <w:szCs w:val="20"/>
              </w:rPr>
              <w:t xml:space="preserve">ionario </w:t>
            </w:r>
            <w:r w:rsidR="00186830">
              <w:rPr>
                <w:rFonts w:ascii="Calibri Light" w:eastAsia="Calibri" w:hAnsi="Calibri Light" w:cs="Calibri Light"/>
                <w:sz w:val="20"/>
                <w:szCs w:val="20"/>
              </w:rPr>
              <w:t>el que utilizará esa</w:t>
            </w:r>
            <w:r w:rsidR="00345A59" w:rsidRPr="002B66BB">
              <w:rPr>
                <w:rFonts w:ascii="Calibri Light" w:eastAsia="Calibri" w:hAnsi="Calibri Light" w:cs="Calibri Light"/>
                <w:sz w:val="20"/>
                <w:szCs w:val="20"/>
              </w:rPr>
              <w:t xml:space="preserve"> infraestructura para dar respuesta a una demanda minorista especifica existente, de la cual habrá de obtener ingresos; mismos que deberán permitir cubrir, entre otros, los costos asociados al arrendamiento del enlace en cuestión</w:t>
            </w:r>
            <w:r w:rsidR="00A6220B">
              <w:rPr>
                <w:rFonts w:ascii="Calibri Light" w:eastAsia="Calibri" w:hAnsi="Calibri Light" w:cs="Calibri Light"/>
                <w:sz w:val="20"/>
                <w:szCs w:val="20"/>
              </w:rPr>
              <w:t>,</w:t>
            </w:r>
            <w:r w:rsidR="00345A59" w:rsidRPr="002B66BB">
              <w:rPr>
                <w:rFonts w:ascii="Calibri Light" w:eastAsia="Calibri" w:hAnsi="Calibri Light" w:cs="Calibri Light"/>
                <w:sz w:val="20"/>
                <w:szCs w:val="20"/>
              </w:rPr>
              <w:t xml:space="preserve"> más el resto de los elementos asociados al Proyecto Especial de que se trate</w:t>
            </w:r>
            <w:r w:rsidR="00401D65" w:rsidRPr="002B66BB">
              <w:rPr>
                <w:rFonts w:ascii="Calibri Light" w:eastAsia="Calibri" w:hAnsi="Calibri Light" w:cs="Calibri Light"/>
                <w:sz w:val="20"/>
                <w:szCs w:val="20"/>
              </w:rPr>
              <w:t>, como lo son los elementos de la red de transporte</w:t>
            </w:r>
            <w:r w:rsidR="00345A59" w:rsidRPr="002B66BB">
              <w:rPr>
                <w:rFonts w:ascii="Calibri Light" w:eastAsia="Calibri" w:hAnsi="Calibri Light" w:cs="Calibri Light"/>
                <w:sz w:val="20"/>
                <w:szCs w:val="20"/>
              </w:rPr>
              <w:t>.</w:t>
            </w:r>
          </w:p>
          <w:p w14:paraId="0ADCD34D" w14:textId="77777777" w:rsidR="00345A59" w:rsidRDefault="00345A59" w:rsidP="004520D9">
            <w:pPr>
              <w:jc w:val="both"/>
              <w:rPr>
                <w:rFonts w:ascii="Calibri Light" w:eastAsia="Calibri" w:hAnsi="Calibri Light" w:cs="Calibri Light"/>
                <w:sz w:val="20"/>
                <w:szCs w:val="20"/>
                <w:highlight w:val="yellow"/>
              </w:rPr>
            </w:pPr>
          </w:p>
          <w:p w14:paraId="2F0007FB" w14:textId="4D6B4B1F" w:rsidR="00371B4E" w:rsidRPr="005A777A" w:rsidRDefault="00AA1721" w:rsidP="002B66BB">
            <w:pPr>
              <w:jc w:val="both"/>
              <w:rPr>
                <w:rFonts w:ascii="Calibri Light" w:eastAsia="Calibri" w:hAnsi="Calibri Light" w:cs="Calibri Light"/>
                <w:sz w:val="20"/>
                <w:szCs w:val="20"/>
              </w:rPr>
            </w:pPr>
            <w:r>
              <w:rPr>
                <w:rFonts w:ascii="Calibri Light" w:eastAsia="Calibri" w:hAnsi="Calibri Light" w:cs="Calibri Light"/>
                <w:sz w:val="20"/>
                <w:szCs w:val="20"/>
              </w:rPr>
              <w:t>Ahora bien</w:t>
            </w:r>
            <w:r w:rsidR="00401D65" w:rsidRPr="005A777A">
              <w:rPr>
                <w:rFonts w:ascii="Calibri Light" w:eastAsia="Calibri" w:hAnsi="Calibri Light" w:cs="Calibri Light"/>
                <w:sz w:val="20"/>
                <w:szCs w:val="20"/>
              </w:rPr>
              <w:t xml:space="preserve">, </w:t>
            </w:r>
            <w:r w:rsidR="00DE00B8">
              <w:rPr>
                <w:rFonts w:ascii="Calibri Light" w:eastAsia="Calibri" w:hAnsi="Calibri Light" w:cs="Calibri Light"/>
                <w:sz w:val="20"/>
                <w:szCs w:val="20"/>
              </w:rPr>
              <w:t>existe</w:t>
            </w:r>
            <w:r w:rsidR="003236DC">
              <w:rPr>
                <w:rFonts w:ascii="Calibri Light" w:eastAsia="Calibri" w:hAnsi="Calibri Light" w:cs="Calibri Light"/>
                <w:sz w:val="20"/>
                <w:szCs w:val="20"/>
              </w:rPr>
              <w:t xml:space="preserve"> otro</w:t>
            </w:r>
            <w:r>
              <w:rPr>
                <w:rFonts w:ascii="Calibri Light" w:eastAsia="Calibri" w:hAnsi="Calibri Light" w:cs="Calibri Light"/>
                <w:sz w:val="20"/>
                <w:szCs w:val="20"/>
              </w:rPr>
              <w:t xml:space="preserve"> mecanismo regulado donde los Concesionario</w:t>
            </w:r>
            <w:r w:rsidR="00DE00B8">
              <w:rPr>
                <w:rFonts w:ascii="Calibri Light" w:eastAsia="Calibri" w:hAnsi="Calibri Light" w:cs="Calibri Light"/>
                <w:sz w:val="20"/>
                <w:szCs w:val="20"/>
              </w:rPr>
              <w:t>s</w:t>
            </w:r>
            <w:r>
              <w:rPr>
                <w:rFonts w:ascii="Calibri Light" w:eastAsia="Calibri" w:hAnsi="Calibri Light" w:cs="Calibri Light"/>
                <w:sz w:val="20"/>
                <w:szCs w:val="20"/>
              </w:rPr>
              <w:t xml:space="preserve"> y Autorizados</w:t>
            </w:r>
            <w:r w:rsidR="003236DC">
              <w:rPr>
                <w:rFonts w:ascii="Calibri Light" w:eastAsia="Calibri" w:hAnsi="Calibri Light" w:cs="Calibri Light"/>
                <w:sz w:val="20"/>
                <w:szCs w:val="20"/>
              </w:rPr>
              <w:t xml:space="preserve"> Solicitantes</w:t>
            </w:r>
            <w:r>
              <w:rPr>
                <w:rFonts w:ascii="Calibri Light" w:eastAsia="Calibri" w:hAnsi="Calibri Light" w:cs="Calibri Light"/>
                <w:sz w:val="20"/>
                <w:szCs w:val="20"/>
              </w:rPr>
              <w:t xml:space="preserve"> </w:t>
            </w:r>
            <w:r w:rsidR="003236DC">
              <w:rPr>
                <w:rFonts w:ascii="Calibri Light" w:eastAsia="Calibri" w:hAnsi="Calibri Light" w:cs="Calibri Light"/>
                <w:sz w:val="20"/>
                <w:szCs w:val="20"/>
              </w:rPr>
              <w:t>tienen alternativa para acceder</w:t>
            </w:r>
            <w:r>
              <w:rPr>
                <w:rFonts w:ascii="Calibri Light" w:eastAsia="Calibri" w:hAnsi="Calibri Light" w:cs="Calibri Light"/>
                <w:sz w:val="20"/>
                <w:szCs w:val="20"/>
              </w:rPr>
              <w:t xml:space="preserve"> a nueva infraestructura</w:t>
            </w:r>
            <w:r w:rsidR="003236DC">
              <w:rPr>
                <w:rFonts w:ascii="Calibri Light" w:eastAsia="Calibri" w:hAnsi="Calibri Light" w:cs="Calibri Light"/>
                <w:sz w:val="20"/>
                <w:szCs w:val="20"/>
              </w:rPr>
              <w:t xml:space="preserve"> mediante el proceso de</w:t>
            </w:r>
            <w:r w:rsidR="002B66BB" w:rsidRPr="005A777A">
              <w:rPr>
                <w:rFonts w:ascii="Calibri Light" w:eastAsia="Calibri" w:hAnsi="Calibri Light" w:cs="Calibri Light"/>
                <w:sz w:val="20"/>
                <w:szCs w:val="20"/>
              </w:rPr>
              <w:t xml:space="preserve"> </w:t>
            </w:r>
            <w:r w:rsidR="006A33CA" w:rsidRPr="005A777A">
              <w:rPr>
                <w:rFonts w:ascii="Calibri Light" w:eastAsia="Calibri" w:hAnsi="Calibri Light" w:cs="Calibri Light"/>
                <w:sz w:val="20"/>
                <w:szCs w:val="20"/>
              </w:rPr>
              <w:t>c</w:t>
            </w:r>
            <w:r w:rsidR="002B66BB" w:rsidRPr="005A777A">
              <w:rPr>
                <w:rFonts w:ascii="Calibri Light" w:eastAsia="Calibri" w:hAnsi="Calibri Light" w:cs="Calibri Light"/>
                <w:sz w:val="20"/>
                <w:szCs w:val="20"/>
              </w:rPr>
              <w:t xml:space="preserve">reación de </w:t>
            </w:r>
            <w:r w:rsidR="006A33CA" w:rsidRPr="005A777A">
              <w:rPr>
                <w:rFonts w:ascii="Calibri Light" w:eastAsia="Calibri" w:hAnsi="Calibri Light" w:cs="Calibri Light"/>
                <w:sz w:val="20"/>
                <w:szCs w:val="20"/>
              </w:rPr>
              <w:t>r</w:t>
            </w:r>
            <w:r w:rsidR="002B66BB" w:rsidRPr="005A777A">
              <w:rPr>
                <w:rFonts w:ascii="Calibri Light" w:eastAsia="Calibri" w:hAnsi="Calibri Light" w:cs="Calibri Light"/>
                <w:sz w:val="20"/>
                <w:szCs w:val="20"/>
              </w:rPr>
              <w:t>ed</w:t>
            </w:r>
            <w:r w:rsidR="003236DC">
              <w:rPr>
                <w:rFonts w:ascii="Calibri Light" w:eastAsia="Calibri" w:hAnsi="Calibri Light" w:cs="Calibri Light"/>
                <w:sz w:val="20"/>
                <w:szCs w:val="20"/>
              </w:rPr>
              <w:t xml:space="preserve">, </w:t>
            </w:r>
            <w:r w:rsidR="00DE00B8">
              <w:rPr>
                <w:rFonts w:ascii="Calibri Light" w:eastAsia="Calibri" w:hAnsi="Calibri Light" w:cs="Calibri Light"/>
                <w:sz w:val="20"/>
                <w:szCs w:val="20"/>
              </w:rPr>
              <w:t>presentado</w:t>
            </w:r>
            <w:r w:rsidR="002B66BB" w:rsidRPr="005A777A">
              <w:rPr>
                <w:rFonts w:ascii="Calibri Light" w:eastAsia="Calibri" w:hAnsi="Calibri Light" w:cs="Calibri Light"/>
                <w:sz w:val="20"/>
                <w:szCs w:val="20"/>
              </w:rPr>
              <w:t xml:space="preserve"> por </w:t>
            </w:r>
            <w:r w:rsidR="003236DC">
              <w:rPr>
                <w:rFonts w:ascii="Calibri Light" w:eastAsia="Calibri" w:hAnsi="Calibri Light" w:cs="Calibri Light"/>
                <w:sz w:val="20"/>
                <w:szCs w:val="20"/>
              </w:rPr>
              <w:t xml:space="preserve">las </w:t>
            </w:r>
            <w:r w:rsidR="003236DC" w:rsidRPr="005A777A">
              <w:rPr>
                <w:rFonts w:ascii="Calibri Light" w:eastAsia="Calibri" w:hAnsi="Calibri Light" w:cs="Calibri Light"/>
                <w:sz w:val="20"/>
                <w:szCs w:val="20"/>
              </w:rPr>
              <w:t>Empresas Mayoristas</w:t>
            </w:r>
            <w:r w:rsidR="002B66BB" w:rsidRPr="005A777A">
              <w:rPr>
                <w:rFonts w:ascii="Calibri Light" w:eastAsia="Calibri" w:hAnsi="Calibri Light" w:cs="Calibri Light"/>
                <w:sz w:val="20"/>
                <w:szCs w:val="20"/>
              </w:rPr>
              <w:t xml:space="preserve">, </w:t>
            </w:r>
            <w:r w:rsidR="003236DC">
              <w:rPr>
                <w:rFonts w:ascii="Calibri Light" w:eastAsia="Calibri" w:hAnsi="Calibri Light" w:cs="Calibri Light"/>
                <w:sz w:val="20"/>
                <w:szCs w:val="20"/>
              </w:rPr>
              <w:t xml:space="preserve">el cual se trata de un </w:t>
            </w:r>
            <w:r w:rsidR="00E26D73" w:rsidRPr="005A777A">
              <w:rPr>
                <w:rFonts w:ascii="Calibri Light" w:eastAsia="Calibri" w:hAnsi="Calibri Light" w:cs="Calibri Light"/>
                <w:sz w:val="20"/>
                <w:szCs w:val="20"/>
              </w:rPr>
              <w:t xml:space="preserve">esquema de </w:t>
            </w:r>
            <w:r w:rsidR="00544A24" w:rsidRPr="005A777A">
              <w:rPr>
                <w:rFonts w:ascii="Calibri Light" w:eastAsia="Calibri" w:hAnsi="Calibri Light" w:cs="Calibri Light"/>
                <w:sz w:val="20"/>
                <w:szCs w:val="20"/>
              </w:rPr>
              <w:t>coinversión para e</w:t>
            </w:r>
            <w:r w:rsidR="00C53326" w:rsidRPr="005A777A">
              <w:rPr>
                <w:rFonts w:ascii="Calibri Light" w:eastAsia="Calibri" w:hAnsi="Calibri Light" w:cs="Calibri Light"/>
                <w:sz w:val="20"/>
                <w:szCs w:val="20"/>
              </w:rPr>
              <w:t>l despliegue de infraestructura</w:t>
            </w:r>
            <w:r w:rsidR="00E26D73" w:rsidRPr="005A777A">
              <w:rPr>
                <w:rFonts w:ascii="Calibri Light" w:eastAsia="Calibri" w:hAnsi="Calibri Light" w:cs="Calibri Light"/>
                <w:sz w:val="20"/>
                <w:szCs w:val="20"/>
              </w:rPr>
              <w:t xml:space="preserve"> en lugares donde no exista</w:t>
            </w:r>
            <w:r w:rsidR="00C53326" w:rsidRPr="005A777A">
              <w:rPr>
                <w:rFonts w:ascii="Calibri Light" w:eastAsia="Calibri" w:hAnsi="Calibri Light" w:cs="Calibri Light"/>
                <w:sz w:val="20"/>
                <w:szCs w:val="20"/>
              </w:rPr>
              <w:t>. En l</w:t>
            </w:r>
            <w:r w:rsidR="006A33CA" w:rsidRPr="005A777A">
              <w:rPr>
                <w:rFonts w:ascii="Calibri Light" w:eastAsia="Calibri" w:hAnsi="Calibri Light" w:cs="Calibri Light"/>
                <w:sz w:val="20"/>
                <w:szCs w:val="20"/>
              </w:rPr>
              <w:t>a</w:t>
            </w:r>
            <w:r w:rsidR="00C53326" w:rsidRPr="005A777A">
              <w:rPr>
                <w:rFonts w:ascii="Calibri Light" w:eastAsia="Calibri" w:hAnsi="Calibri Light" w:cs="Calibri Light"/>
                <w:sz w:val="20"/>
                <w:szCs w:val="20"/>
              </w:rPr>
              <w:t xml:space="preserve"> </w:t>
            </w:r>
            <w:r w:rsidR="006A33CA" w:rsidRPr="005A777A">
              <w:rPr>
                <w:rFonts w:ascii="Calibri Light" w:eastAsia="Calibri" w:hAnsi="Calibri Light" w:cs="Calibri Light"/>
                <w:sz w:val="20"/>
                <w:szCs w:val="20"/>
              </w:rPr>
              <w:t>Resolución</w:t>
            </w:r>
            <w:r w:rsidR="00C53326" w:rsidRPr="005A777A">
              <w:rPr>
                <w:rFonts w:ascii="Calibri Light" w:eastAsia="Calibri" w:hAnsi="Calibri Light" w:cs="Calibri Light"/>
                <w:sz w:val="20"/>
                <w:szCs w:val="20"/>
              </w:rPr>
              <w:t xml:space="preserve"> de </w:t>
            </w:r>
            <w:r w:rsidR="00E26D73" w:rsidRPr="005A777A">
              <w:rPr>
                <w:rFonts w:ascii="Calibri Light" w:eastAsia="Calibri" w:hAnsi="Calibri Light" w:cs="Calibri Light"/>
                <w:sz w:val="20"/>
                <w:szCs w:val="20"/>
              </w:rPr>
              <w:t>S</w:t>
            </w:r>
            <w:r w:rsidR="00C53326" w:rsidRPr="005A777A">
              <w:rPr>
                <w:rFonts w:ascii="Calibri Light" w:eastAsia="Calibri" w:hAnsi="Calibri Light" w:cs="Calibri Light"/>
                <w:sz w:val="20"/>
                <w:szCs w:val="20"/>
              </w:rPr>
              <w:t xml:space="preserve">eparación </w:t>
            </w:r>
            <w:r w:rsidR="00E26D73" w:rsidRPr="005A777A">
              <w:rPr>
                <w:rFonts w:ascii="Calibri Light" w:eastAsia="Calibri" w:hAnsi="Calibri Light" w:cs="Calibri Light"/>
                <w:sz w:val="20"/>
                <w:szCs w:val="20"/>
              </w:rPr>
              <w:t>F</w:t>
            </w:r>
            <w:r w:rsidR="00C53326" w:rsidRPr="005A777A">
              <w:rPr>
                <w:rFonts w:ascii="Calibri Light" w:eastAsia="Calibri" w:hAnsi="Calibri Light" w:cs="Calibri Light"/>
                <w:sz w:val="20"/>
                <w:szCs w:val="20"/>
              </w:rPr>
              <w:t xml:space="preserve">uncional </w:t>
            </w:r>
            <w:r w:rsidR="006A33CA" w:rsidRPr="005A777A">
              <w:rPr>
                <w:rFonts w:ascii="Calibri Light" w:eastAsia="Calibri" w:hAnsi="Calibri Light" w:cs="Calibri Light"/>
                <w:sz w:val="20"/>
                <w:szCs w:val="20"/>
              </w:rPr>
              <w:t>establece</w:t>
            </w:r>
            <w:r w:rsidR="00C53326" w:rsidRPr="005A777A">
              <w:rPr>
                <w:rFonts w:ascii="Calibri Light" w:eastAsia="Calibri" w:hAnsi="Calibri Light" w:cs="Calibri Light"/>
                <w:sz w:val="20"/>
                <w:szCs w:val="20"/>
              </w:rPr>
              <w:t xml:space="preserve"> que “</w:t>
            </w:r>
            <w:r w:rsidR="002D6D78" w:rsidRPr="005A777A">
              <w:rPr>
                <w:rFonts w:ascii="Calibri Light" w:eastAsia="Calibri" w:hAnsi="Calibri Light" w:cs="Calibri Light"/>
                <w:sz w:val="20"/>
                <w:szCs w:val="20"/>
              </w:rPr>
              <w:t xml:space="preserve">la coinversión es un concepto relevante e importante en el despliegue de redes de nueva generación, ya que puede ser el único medio económicamente viable por el cual múltiples jugadores podrían obtener acceso completo a largo plazo </w:t>
            </w:r>
            <w:r w:rsidR="006A33CA" w:rsidRPr="005A777A">
              <w:rPr>
                <w:rFonts w:ascii="Calibri Light" w:eastAsia="Calibri" w:hAnsi="Calibri Light" w:cs="Calibri Light"/>
                <w:sz w:val="20"/>
                <w:szCs w:val="20"/>
              </w:rPr>
              <w:t xml:space="preserve">a </w:t>
            </w:r>
            <w:r w:rsidR="002D6D78" w:rsidRPr="005A777A">
              <w:rPr>
                <w:rFonts w:ascii="Calibri Light" w:eastAsia="Calibri" w:hAnsi="Calibri Light" w:cs="Calibri Light"/>
                <w:sz w:val="20"/>
                <w:szCs w:val="20"/>
              </w:rPr>
              <w:t>una red de acceso físico en algunas áreas o países</w:t>
            </w:r>
            <w:r w:rsidR="00C53326" w:rsidRPr="005A777A">
              <w:rPr>
                <w:rFonts w:ascii="Calibri Light" w:eastAsia="Calibri" w:hAnsi="Calibri Light" w:cs="Calibri Light"/>
                <w:sz w:val="20"/>
                <w:szCs w:val="20"/>
              </w:rPr>
              <w:t>”.</w:t>
            </w:r>
          </w:p>
          <w:p w14:paraId="623D7C54" w14:textId="77777777" w:rsidR="00F97E3C" w:rsidRPr="005A777A" w:rsidRDefault="00F97E3C" w:rsidP="004520D9">
            <w:pPr>
              <w:jc w:val="both"/>
              <w:rPr>
                <w:rFonts w:ascii="Calibri Light" w:eastAsia="Calibri" w:hAnsi="Calibri Light" w:cs="Calibri Light"/>
                <w:sz w:val="20"/>
                <w:szCs w:val="20"/>
              </w:rPr>
            </w:pPr>
          </w:p>
          <w:p w14:paraId="02307A88" w14:textId="69402424" w:rsidR="00C53326" w:rsidRPr="005A777A" w:rsidRDefault="00C53326" w:rsidP="004520D9">
            <w:pPr>
              <w:jc w:val="both"/>
              <w:rPr>
                <w:rFonts w:ascii="Calibri Light" w:eastAsia="Calibri" w:hAnsi="Calibri Light" w:cs="Calibri Light"/>
                <w:sz w:val="20"/>
                <w:szCs w:val="20"/>
              </w:rPr>
            </w:pPr>
            <w:r w:rsidRPr="005A777A">
              <w:rPr>
                <w:rFonts w:ascii="Calibri Light" w:eastAsia="Calibri" w:hAnsi="Calibri Light" w:cs="Calibri Light"/>
                <w:sz w:val="20"/>
                <w:szCs w:val="20"/>
              </w:rPr>
              <w:t>La finalidad que persigue la coinversión es generar los incentivos necesarios a los CS tales que permitan la inversión, calidad e innovación en el sector de telecomunicaciones y fomentar el despliegue y cobertura. Este esquema permite a los CS participantes invertir y contar con el derecho de uso de la infraestructura por un periodo específico acordado. Una vez terminado el periodo de uso acordado, se dará a conocer al resto de la industria la información de esta infraestructura para comercializarla a través de sus servicios mayoristas al resto de los CS.</w:t>
            </w:r>
          </w:p>
          <w:p w14:paraId="03B96785" w14:textId="77777777" w:rsidR="00CF3D88" w:rsidRPr="005A777A" w:rsidRDefault="00CF3D88" w:rsidP="004520D9">
            <w:pPr>
              <w:jc w:val="both"/>
              <w:rPr>
                <w:rFonts w:ascii="Calibri Light" w:eastAsia="Calibri" w:hAnsi="Calibri Light" w:cs="Calibri Light"/>
                <w:sz w:val="20"/>
                <w:szCs w:val="20"/>
              </w:rPr>
            </w:pPr>
          </w:p>
          <w:p w14:paraId="45301E14" w14:textId="3007B8F6" w:rsidR="00A8178C" w:rsidRPr="005A777A" w:rsidRDefault="00CF3D88" w:rsidP="00CF3D88">
            <w:pPr>
              <w:jc w:val="both"/>
              <w:rPr>
                <w:rFonts w:ascii="Calibri Light" w:eastAsia="Calibri" w:hAnsi="Calibri Light" w:cs="Calibri Light"/>
                <w:sz w:val="20"/>
                <w:szCs w:val="20"/>
              </w:rPr>
            </w:pPr>
            <w:r w:rsidRPr="005A777A">
              <w:rPr>
                <w:rFonts w:ascii="Calibri Light" w:eastAsia="Calibri" w:hAnsi="Calibri Light" w:cs="Calibri Light"/>
                <w:sz w:val="20"/>
                <w:szCs w:val="20"/>
              </w:rPr>
              <w:t>Derivado de lo expuesto</w:t>
            </w:r>
            <w:r w:rsidR="006A33CA" w:rsidRPr="005A777A">
              <w:rPr>
                <w:rFonts w:ascii="Calibri Light" w:eastAsia="Calibri" w:hAnsi="Calibri Light" w:cs="Calibri Light"/>
                <w:sz w:val="20"/>
                <w:szCs w:val="20"/>
              </w:rPr>
              <w:t>,</w:t>
            </w:r>
            <w:r w:rsidRPr="005A777A">
              <w:rPr>
                <w:rFonts w:ascii="Calibri Light" w:eastAsia="Calibri" w:hAnsi="Calibri Light" w:cs="Calibri Light"/>
                <w:sz w:val="20"/>
                <w:szCs w:val="20"/>
              </w:rPr>
              <w:t xml:space="preserve"> </w:t>
            </w:r>
            <w:r w:rsidR="002F3F4F" w:rsidRPr="005A777A">
              <w:rPr>
                <w:rFonts w:ascii="Calibri Light" w:eastAsia="Calibri" w:hAnsi="Calibri Light" w:cs="Calibri Light"/>
                <w:sz w:val="20"/>
                <w:szCs w:val="20"/>
              </w:rPr>
              <w:t xml:space="preserve">el esquema de coinversión posibilita a los CS al acceso </w:t>
            </w:r>
            <w:r w:rsidR="006A33CA" w:rsidRPr="005A777A">
              <w:rPr>
                <w:rFonts w:ascii="Calibri Light" w:eastAsia="Calibri" w:hAnsi="Calibri Light" w:cs="Calibri Light"/>
                <w:sz w:val="20"/>
                <w:szCs w:val="20"/>
              </w:rPr>
              <w:t>a</w:t>
            </w:r>
            <w:r w:rsidR="002F3F4F" w:rsidRPr="005A777A">
              <w:rPr>
                <w:rFonts w:ascii="Calibri Light" w:eastAsia="Calibri" w:hAnsi="Calibri Light" w:cs="Calibri Light"/>
                <w:sz w:val="20"/>
                <w:szCs w:val="20"/>
              </w:rPr>
              <w:t xml:space="preserve"> nueva infraestructura, con lo cual se puede afirmar que el espíritu de ambos esquemas es que los Concesionarios tengan opciones para tener la infraestructura necesaria para aumentar su oferta</w:t>
            </w:r>
            <w:r w:rsidRPr="005A777A">
              <w:rPr>
                <w:rFonts w:ascii="Calibri Light" w:eastAsia="Calibri" w:hAnsi="Calibri Light" w:cs="Calibri Light"/>
                <w:sz w:val="20"/>
                <w:szCs w:val="20"/>
              </w:rPr>
              <w:t>.</w:t>
            </w:r>
          </w:p>
          <w:p w14:paraId="61FEC998" w14:textId="77777777" w:rsidR="006B12A3" w:rsidRDefault="006B12A3" w:rsidP="00CF3D88">
            <w:pPr>
              <w:jc w:val="both"/>
              <w:rPr>
                <w:rFonts w:ascii="Calibri Light" w:eastAsia="Calibri" w:hAnsi="Calibri Light" w:cs="Calibri Light"/>
                <w:sz w:val="20"/>
                <w:szCs w:val="20"/>
                <w:highlight w:val="green"/>
              </w:rPr>
            </w:pPr>
          </w:p>
          <w:p w14:paraId="0688AE61" w14:textId="09601BD7" w:rsidR="006B12A3" w:rsidRDefault="00D67E9B" w:rsidP="006B12A3">
            <w:pPr>
              <w:jc w:val="both"/>
              <w:rPr>
                <w:rFonts w:ascii="Calibri Light" w:eastAsia="Calibri" w:hAnsi="Calibri Light" w:cs="Calibri Light"/>
                <w:sz w:val="20"/>
                <w:szCs w:val="20"/>
              </w:rPr>
            </w:pPr>
            <w:r>
              <w:rPr>
                <w:rFonts w:ascii="Calibri Light" w:eastAsia="Calibri" w:hAnsi="Calibri Light" w:cs="Calibri Light"/>
                <w:sz w:val="20"/>
                <w:szCs w:val="20"/>
              </w:rPr>
              <w:t>Por otro lado</w:t>
            </w:r>
            <w:r w:rsidR="006B12A3">
              <w:rPr>
                <w:rFonts w:ascii="Calibri Light" w:eastAsia="Calibri" w:hAnsi="Calibri Light" w:cs="Calibri Light"/>
                <w:sz w:val="20"/>
                <w:szCs w:val="20"/>
              </w:rPr>
              <w:t>, s</w:t>
            </w:r>
            <w:r w:rsidR="006B12A3" w:rsidRPr="00125B03">
              <w:rPr>
                <w:rFonts w:ascii="Calibri Light" w:eastAsia="Calibri" w:hAnsi="Calibri Light" w:cs="Calibri Light"/>
                <w:sz w:val="20"/>
                <w:szCs w:val="20"/>
              </w:rPr>
              <w:t xml:space="preserve">e solicita </w:t>
            </w:r>
            <w:r w:rsidR="006B12A3">
              <w:rPr>
                <w:rFonts w:ascii="Calibri Light" w:eastAsia="Calibri" w:hAnsi="Calibri Light" w:cs="Calibri Light"/>
                <w:sz w:val="20"/>
                <w:szCs w:val="20"/>
              </w:rPr>
              <w:t xml:space="preserve">autorizar e incorporar la modificación consistente en </w:t>
            </w:r>
            <w:r w:rsidR="006B12A3" w:rsidRPr="00125B03">
              <w:rPr>
                <w:rFonts w:ascii="Calibri Light" w:eastAsia="Calibri" w:hAnsi="Calibri Light" w:cs="Calibri Light"/>
                <w:sz w:val="20"/>
                <w:szCs w:val="20"/>
              </w:rPr>
              <w:t xml:space="preserve">que </w:t>
            </w:r>
            <w:r w:rsidR="006B12A3">
              <w:rPr>
                <w:rFonts w:ascii="Calibri Light" w:eastAsia="Calibri" w:hAnsi="Calibri Light" w:cs="Calibri Light"/>
                <w:sz w:val="20"/>
                <w:szCs w:val="20"/>
              </w:rPr>
              <w:t>cuando</w:t>
            </w:r>
            <w:r w:rsidR="006B12A3" w:rsidRPr="00125B03">
              <w:rPr>
                <w:rFonts w:ascii="Calibri Light" w:eastAsia="Calibri" w:hAnsi="Calibri Light" w:cs="Calibri Light"/>
                <w:sz w:val="20"/>
                <w:szCs w:val="20"/>
              </w:rPr>
              <w:t xml:space="preserve"> el C</w:t>
            </w:r>
            <w:r w:rsidR="006B12A3">
              <w:rPr>
                <w:rFonts w:ascii="Calibri Light" w:eastAsia="Calibri" w:hAnsi="Calibri Light" w:cs="Calibri Light"/>
                <w:sz w:val="20"/>
                <w:szCs w:val="20"/>
              </w:rPr>
              <w:t>oncesionario</w:t>
            </w:r>
            <w:r w:rsidR="006B12A3" w:rsidRPr="00125B03">
              <w:rPr>
                <w:rFonts w:ascii="Calibri Light" w:eastAsia="Calibri" w:hAnsi="Calibri Light" w:cs="Calibri Light"/>
                <w:sz w:val="20"/>
                <w:szCs w:val="20"/>
              </w:rPr>
              <w:t xml:space="preserve"> solicite un enlace </w:t>
            </w:r>
            <w:r w:rsidR="006B12A3">
              <w:rPr>
                <w:rFonts w:ascii="Calibri Light" w:eastAsia="Calibri" w:hAnsi="Calibri Light" w:cs="Calibri Light"/>
                <w:sz w:val="20"/>
                <w:szCs w:val="20"/>
              </w:rPr>
              <w:t>de</w:t>
            </w:r>
            <w:r w:rsidR="006B12A3" w:rsidRPr="00125B03">
              <w:rPr>
                <w:rFonts w:ascii="Calibri Light" w:eastAsia="Calibri" w:hAnsi="Calibri Light" w:cs="Calibri Light"/>
                <w:sz w:val="20"/>
                <w:szCs w:val="20"/>
              </w:rPr>
              <w:t xml:space="preserve"> 100 Gbps, éste </w:t>
            </w:r>
            <w:r w:rsidR="006B12A3">
              <w:rPr>
                <w:rFonts w:ascii="Calibri Light" w:eastAsia="Calibri" w:hAnsi="Calibri Light" w:cs="Calibri Light"/>
                <w:sz w:val="20"/>
                <w:szCs w:val="20"/>
              </w:rPr>
              <w:t xml:space="preserve">se proporcione y se considere siempre como </w:t>
            </w:r>
            <w:r w:rsidR="006B12A3" w:rsidRPr="00125B03">
              <w:rPr>
                <w:rFonts w:ascii="Calibri Light" w:eastAsia="Calibri" w:hAnsi="Calibri Light" w:cs="Calibri Light"/>
                <w:sz w:val="20"/>
                <w:szCs w:val="20"/>
              </w:rPr>
              <w:t>un Proyecto Especial, debido a que 100 Gbps es la unidad básica de transporte para crecimiento en la red y al contratarse</w:t>
            </w:r>
            <w:r w:rsidR="006B12A3">
              <w:rPr>
                <w:rFonts w:ascii="Calibri Light" w:eastAsia="Calibri" w:hAnsi="Calibri Light" w:cs="Calibri Light"/>
                <w:sz w:val="20"/>
                <w:szCs w:val="20"/>
              </w:rPr>
              <w:t>,</w:t>
            </w:r>
            <w:r w:rsidR="006B12A3" w:rsidRPr="00125B03">
              <w:rPr>
                <w:rFonts w:ascii="Calibri Light" w:eastAsia="Calibri" w:hAnsi="Calibri Light" w:cs="Calibri Light"/>
                <w:sz w:val="20"/>
                <w:szCs w:val="20"/>
              </w:rPr>
              <w:t xml:space="preserve"> no </w:t>
            </w:r>
            <w:r w:rsidR="006B12A3">
              <w:rPr>
                <w:rFonts w:ascii="Calibri Light" w:eastAsia="Calibri" w:hAnsi="Calibri Light" w:cs="Calibri Light"/>
                <w:sz w:val="20"/>
                <w:szCs w:val="20"/>
              </w:rPr>
              <w:t xml:space="preserve">hay capacidad sobrante que pueda ser usada </w:t>
            </w:r>
            <w:r w:rsidR="006A33CA">
              <w:rPr>
                <w:rFonts w:ascii="Calibri Light" w:eastAsia="Calibri" w:hAnsi="Calibri Light" w:cs="Calibri Light"/>
                <w:sz w:val="20"/>
                <w:szCs w:val="20"/>
              </w:rPr>
              <w:t>por</w:t>
            </w:r>
            <w:r w:rsidR="006B12A3">
              <w:rPr>
                <w:rFonts w:ascii="Calibri Light" w:eastAsia="Calibri" w:hAnsi="Calibri Light" w:cs="Calibri Light"/>
                <w:sz w:val="20"/>
                <w:szCs w:val="20"/>
              </w:rPr>
              <w:t xml:space="preserve"> otros Clientes, es decir, toda la capacidad que se instala se destina al Concesionario que solicita este tipo de servicio.</w:t>
            </w:r>
          </w:p>
          <w:p w14:paraId="6EAE7A47" w14:textId="5B92DEA3" w:rsidR="006B12A3" w:rsidRPr="00CF3D88" w:rsidRDefault="006B12A3" w:rsidP="00CF3D88">
            <w:pPr>
              <w:jc w:val="both"/>
              <w:rPr>
                <w:rFonts w:ascii="Calibri Light" w:eastAsia="Calibri" w:hAnsi="Calibri Light" w:cs="Calibri Light"/>
                <w:sz w:val="20"/>
                <w:szCs w:val="20"/>
                <w:highlight w:val="yellow"/>
              </w:rPr>
            </w:pPr>
          </w:p>
        </w:tc>
      </w:tr>
      <w:tr w:rsidR="00536ADF" w:rsidRPr="00C13F5A" w14:paraId="7C1206DA" w14:textId="77777777" w:rsidTr="00FD4CB6">
        <w:trPr>
          <w:trHeight w:val="507"/>
          <w:jc w:val="center"/>
        </w:trPr>
        <w:tc>
          <w:tcPr>
            <w:tcW w:w="2405" w:type="dxa"/>
            <w:vMerge/>
            <w:shd w:val="clear" w:color="auto" w:fill="auto"/>
            <w:vAlign w:val="center"/>
          </w:tcPr>
          <w:p w14:paraId="3141D270" w14:textId="7E5CBA23" w:rsidR="00536ADF" w:rsidRDefault="00536ADF" w:rsidP="00536ADF">
            <w:pPr>
              <w:jc w:val="center"/>
              <w:rPr>
                <w:sz w:val="20"/>
                <w:szCs w:val="20"/>
              </w:rPr>
            </w:pPr>
          </w:p>
        </w:tc>
        <w:tc>
          <w:tcPr>
            <w:tcW w:w="1276" w:type="dxa"/>
            <w:shd w:val="clear" w:color="auto" w:fill="auto"/>
            <w:vAlign w:val="center"/>
          </w:tcPr>
          <w:p w14:paraId="4532E09D" w14:textId="77777777" w:rsidR="00536ADF" w:rsidRDefault="00536ADF" w:rsidP="00536ADF">
            <w:pPr>
              <w:jc w:val="center"/>
              <w:rPr>
                <w:rFonts w:cstheme="minorHAnsi"/>
                <w:sz w:val="20"/>
                <w:szCs w:val="20"/>
              </w:rPr>
            </w:pPr>
            <w:r>
              <w:rPr>
                <w:rFonts w:cstheme="minorHAnsi"/>
                <w:sz w:val="20"/>
                <w:szCs w:val="20"/>
              </w:rPr>
              <w:t>2.5.6.1</w:t>
            </w:r>
          </w:p>
        </w:tc>
        <w:tc>
          <w:tcPr>
            <w:tcW w:w="1559" w:type="dxa"/>
            <w:vMerge/>
            <w:shd w:val="clear" w:color="auto" w:fill="auto"/>
            <w:vAlign w:val="center"/>
          </w:tcPr>
          <w:p w14:paraId="4BDFBD47" w14:textId="77777777" w:rsidR="00536ADF" w:rsidRDefault="00536ADF" w:rsidP="00536ADF">
            <w:pPr>
              <w:jc w:val="both"/>
              <w:rPr>
                <w:rFonts w:cstheme="minorHAnsi"/>
                <w:sz w:val="20"/>
                <w:szCs w:val="20"/>
              </w:rPr>
            </w:pPr>
          </w:p>
        </w:tc>
        <w:tc>
          <w:tcPr>
            <w:tcW w:w="3686" w:type="dxa"/>
            <w:shd w:val="clear" w:color="auto" w:fill="auto"/>
          </w:tcPr>
          <w:p w14:paraId="616D2941" w14:textId="77777777" w:rsidR="00536ADF" w:rsidRPr="008074BC" w:rsidRDefault="00536ADF" w:rsidP="00536ADF">
            <w:pPr>
              <w:jc w:val="both"/>
              <w:rPr>
                <w:rFonts w:ascii="Calibri Light" w:eastAsia="Calibri" w:hAnsi="Calibri Light" w:cs="Calibri Light"/>
                <w:sz w:val="20"/>
                <w:szCs w:val="20"/>
              </w:rPr>
            </w:pPr>
            <w:r w:rsidRPr="008074BC">
              <w:rPr>
                <w:rFonts w:ascii="Calibri Light" w:eastAsia="Calibri" w:hAnsi="Calibri Light" w:cs="Calibri Light"/>
                <w:sz w:val="20"/>
                <w:szCs w:val="20"/>
              </w:rPr>
              <w:t>2.5.6.1 Requisitos que deberán reunir las cotizaciones de los Proyectos Especiales.</w:t>
            </w:r>
          </w:p>
          <w:p w14:paraId="33D48200" w14:textId="77777777" w:rsidR="00536ADF" w:rsidRPr="008074BC" w:rsidRDefault="00536ADF" w:rsidP="00536ADF">
            <w:pPr>
              <w:jc w:val="both"/>
              <w:rPr>
                <w:rFonts w:ascii="Calibri Light" w:eastAsia="Calibri" w:hAnsi="Calibri Light" w:cs="Calibri Light"/>
                <w:sz w:val="20"/>
                <w:szCs w:val="20"/>
              </w:rPr>
            </w:pPr>
          </w:p>
          <w:p w14:paraId="7A8BF63D" w14:textId="77777777" w:rsidR="00536ADF" w:rsidRPr="008074BC" w:rsidRDefault="00536ADF" w:rsidP="00536ADF">
            <w:pPr>
              <w:jc w:val="both"/>
              <w:rPr>
                <w:rFonts w:ascii="Calibri Light" w:eastAsia="Calibri" w:hAnsi="Calibri Light" w:cs="Calibri Light"/>
                <w:sz w:val="20"/>
                <w:szCs w:val="20"/>
              </w:rPr>
            </w:pPr>
            <w:r w:rsidRPr="008074BC">
              <w:rPr>
                <w:rFonts w:ascii="Calibri Light" w:eastAsia="Calibri" w:hAnsi="Calibri Light" w:cs="Calibri Light"/>
                <w:sz w:val="20"/>
                <w:szCs w:val="20"/>
              </w:rPr>
              <w:t>Toda cotización de un Proyecto Especial deberá contener, como mínimo, información desagregada de lo siguiente:</w:t>
            </w:r>
          </w:p>
          <w:p w14:paraId="667283DC" w14:textId="77777777" w:rsidR="00536ADF" w:rsidRPr="008074BC" w:rsidRDefault="00536ADF" w:rsidP="00536ADF">
            <w:pPr>
              <w:jc w:val="both"/>
              <w:rPr>
                <w:rFonts w:ascii="Calibri Light" w:eastAsia="Calibri" w:hAnsi="Calibri Light" w:cs="Calibri Light"/>
                <w:sz w:val="20"/>
                <w:szCs w:val="20"/>
              </w:rPr>
            </w:pPr>
          </w:p>
          <w:p w14:paraId="523978F2" w14:textId="77777777" w:rsidR="00536ADF" w:rsidRPr="008074BC" w:rsidRDefault="00536ADF" w:rsidP="00536ADF">
            <w:pPr>
              <w:jc w:val="both"/>
              <w:rPr>
                <w:rFonts w:ascii="Calibri Light" w:eastAsia="Calibri" w:hAnsi="Calibri Light" w:cs="Calibri Light"/>
                <w:sz w:val="20"/>
                <w:szCs w:val="20"/>
              </w:rPr>
            </w:pPr>
            <w:r w:rsidRPr="008074BC">
              <w:rPr>
                <w:rFonts w:ascii="Calibri Light" w:eastAsia="Calibri" w:hAnsi="Calibri Light" w:cs="Calibri Light"/>
                <w:sz w:val="20"/>
                <w:szCs w:val="20"/>
              </w:rPr>
              <w:t>a)</w:t>
            </w:r>
            <w:r w:rsidRPr="008074BC">
              <w:rPr>
                <w:rFonts w:ascii="Calibri Light" w:eastAsia="Calibri" w:hAnsi="Calibri Light" w:cs="Calibri Light"/>
                <w:sz w:val="20"/>
                <w:szCs w:val="20"/>
              </w:rPr>
              <w:tab/>
              <w:t>Planta Externa</w:t>
            </w:r>
          </w:p>
          <w:p w14:paraId="01E1B695" w14:textId="77777777" w:rsidR="00536ADF" w:rsidRPr="008074BC" w:rsidRDefault="00536ADF" w:rsidP="00536ADF">
            <w:pPr>
              <w:jc w:val="both"/>
              <w:rPr>
                <w:rFonts w:ascii="Calibri Light" w:eastAsia="Calibri" w:hAnsi="Calibri Light" w:cs="Calibri Light"/>
                <w:sz w:val="20"/>
                <w:szCs w:val="20"/>
              </w:rPr>
            </w:pPr>
            <w:r w:rsidRPr="008074BC">
              <w:rPr>
                <w:rFonts w:ascii="Calibri Light" w:eastAsia="Calibri" w:hAnsi="Calibri Light" w:cs="Calibri Light"/>
                <w:sz w:val="20"/>
                <w:szCs w:val="20"/>
              </w:rPr>
              <w:t>b)</w:t>
            </w:r>
            <w:r w:rsidRPr="008074BC">
              <w:rPr>
                <w:rFonts w:ascii="Calibri Light" w:eastAsia="Calibri" w:hAnsi="Calibri Light" w:cs="Calibri Light"/>
                <w:sz w:val="20"/>
                <w:szCs w:val="20"/>
              </w:rPr>
              <w:tab/>
              <w:t>Red de Acceso</w:t>
            </w:r>
          </w:p>
          <w:p w14:paraId="4B261D5D" w14:textId="77777777" w:rsidR="00536ADF" w:rsidRPr="007B3AB2" w:rsidRDefault="00536ADF" w:rsidP="00536ADF">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c)</w:t>
            </w:r>
            <w:r w:rsidRPr="007B3AB2">
              <w:rPr>
                <w:rFonts w:ascii="Calibri Light" w:eastAsia="Calibri" w:hAnsi="Calibri Light" w:cs="Calibri Light"/>
                <w:color w:val="0070C0"/>
                <w:sz w:val="20"/>
                <w:szCs w:val="20"/>
              </w:rPr>
              <w:tab/>
              <w:t>Transporte Carrier Ethernet</w:t>
            </w:r>
          </w:p>
          <w:p w14:paraId="10414B36" w14:textId="77777777" w:rsidR="00536ADF" w:rsidRPr="007B3AB2" w:rsidRDefault="00536ADF" w:rsidP="00536ADF">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d)</w:t>
            </w:r>
            <w:r w:rsidRPr="007B3AB2">
              <w:rPr>
                <w:rFonts w:ascii="Calibri Light" w:eastAsia="Calibri" w:hAnsi="Calibri Light" w:cs="Calibri Light"/>
                <w:color w:val="0070C0"/>
                <w:sz w:val="20"/>
                <w:szCs w:val="20"/>
              </w:rPr>
              <w:tab/>
              <w:t>Transporte Alta Capacidad</w:t>
            </w:r>
          </w:p>
          <w:p w14:paraId="33EF199B" w14:textId="77777777" w:rsidR="00536ADF" w:rsidRPr="00DC2A7F" w:rsidRDefault="00536ADF" w:rsidP="00536ADF">
            <w:pPr>
              <w:jc w:val="both"/>
              <w:rPr>
                <w:rFonts w:ascii="Calibri Light" w:eastAsia="Calibri" w:hAnsi="Calibri Light" w:cs="Calibri Light"/>
                <w:color w:val="FF0000"/>
                <w:sz w:val="20"/>
                <w:szCs w:val="20"/>
              </w:rPr>
            </w:pPr>
            <w:r w:rsidRPr="007B3AB2">
              <w:rPr>
                <w:rFonts w:ascii="Calibri Light" w:eastAsia="Calibri" w:hAnsi="Calibri Light" w:cs="Calibri Light"/>
                <w:color w:val="0070C0"/>
                <w:sz w:val="20"/>
                <w:szCs w:val="20"/>
              </w:rPr>
              <w:t>e)</w:t>
            </w:r>
            <w:r w:rsidRPr="007B3AB2">
              <w:rPr>
                <w:rFonts w:ascii="Calibri Light" w:eastAsia="Calibri" w:hAnsi="Calibri Light" w:cs="Calibri Light"/>
                <w:color w:val="0070C0"/>
                <w:sz w:val="20"/>
                <w:szCs w:val="20"/>
              </w:rPr>
              <w:tab/>
              <w:t>Larga Distancia</w:t>
            </w:r>
          </w:p>
          <w:p w14:paraId="3638080B" w14:textId="62FA8366" w:rsidR="00536ADF" w:rsidRDefault="00536ADF" w:rsidP="00536ADF">
            <w:pPr>
              <w:jc w:val="both"/>
              <w:rPr>
                <w:rFonts w:ascii="Calibri Light" w:eastAsia="Calibri" w:hAnsi="Calibri Light" w:cs="Calibri Light"/>
                <w:sz w:val="20"/>
                <w:szCs w:val="20"/>
              </w:rPr>
            </w:pPr>
            <w:r w:rsidRPr="007B3AB2">
              <w:rPr>
                <w:rFonts w:ascii="Calibri Light" w:eastAsia="Calibri" w:hAnsi="Calibri Light" w:cs="Calibri Light"/>
                <w:strike/>
                <w:color w:val="0070C0"/>
                <w:sz w:val="20"/>
                <w:szCs w:val="20"/>
              </w:rPr>
              <w:t>c</w:t>
            </w:r>
            <w:r w:rsidRPr="007B3AB2">
              <w:rPr>
                <w:rFonts w:ascii="Calibri Light" w:eastAsia="Calibri" w:hAnsi="Calibri Light" w:cs="Calibri Light"/>
                <w:color w:val="0070C0"/>
                <w:sz w:val="20"/>
                <w:szCs w:val="20"/>
              </w:rPr>
              <w:t>)f)</w:t>
            </w:r>
            <w:r w:rsidR="00663950">
              <w:rPr>
                <w:rFonts w:ascii="Calibri Light" w:eastAsia="Calibri" w:hAnsi="Calibri Light" w:cs="Calibri Light"/>
                <w:sz w:val="20"/>
                <w:szCs w:val="20"/>
              </w:rPr>
              <w:tab/>
              <w:t>Adecuaciones</w:t>
            </w:r>
          </w:p>
        </w:tc>
        <w:tc>
          <w:tcPr>
            <w:tcW w:w="5257" w:type="dxa"/>
            <w:shd w:val="clear" w:color="auto" w:fill="auto"/>
            <w:vAlign w:val="center"/>
          </w:tcPr>
          <w:p w14:paraId="1E9959AD" w14:textId="4B891AA6" w:rsidR="00536ADF" w:rsidRDefault="00536ADF" w:rsidP="00536ADF">
            <w:pPr>
              <w:jc w:val="both"/>
              <w:rPr>
                <w:rFonts w:ascii="Calibri Light" w:eastAsia="Calibri" w:hAnsi="Calibri Light" w:cs="Calibri Light"/>
                <w:sz w:val="20"/>
                <w:szCs w:val="20"/>
              </w:rPr>
            </w:pPr>
            <w:r w:rsidRPr="008074BC">
              <w:rPr>
                <w:rFonts w:ascii="Calibri Light" w:eastAsia="Calibri" w:hAnsi="Calibri Light" w:cs="Calibri Light"/>
                <w:sz w:val="20"/>
                <w:szCs w:val="20"/>
              </w:rPr>
              <w:t>Se propone la presente modificación</w:t>
            </w:r>
            <w:r>
              <w:rPr>
                <w:rFonts w:ascii="Calibri Light" w:eastAsia="Calibri" w:hAnsi="Calibri Light" w:cs="Calibri Light"/>
                <w:sz w:val="20"/>
                <w:szCs w:val="20"/>
              </w:rPr>
              <w:t xml:space="preserve"> para incorporar los rubros relacionados con la red de transporte que se requiere sean considerados en las cotizaciones de Proyectos Especiales</w:t>
            </w:r>
            <w:r w:rsidR="00BD0743">
              <w:rPr>
                <w:rFonts w:ascii="Calibri Light" w:eastAsia="Calibri" w:hAnsi="Calibri Light" w:cs="Calibri Light"/>
                <w:sz w:val="20"/>
                <w:szCs w:val="20"/>
              </w:rPr>
              <w:t xml:space="preserve">, </w:t>
            </w:r>
            <w:r w:rsidR="00125E22">
              <w:rPr>
                <w:rFonts w:ascii="Calibri Light" w:eastAsia="Calibri" w:hAnsi="Calibri Light" w:cs="Calibri Light"/>
                <w:sz w:val="20"/>
                <w:szCs w:val="20"/>
              </w:rPr>
              <w:t>por todo</w:t>
            </w:r>
            <w:r w:rsidR="00D41388">
              <w:rPr>
                <w:rFonts w:ascii="Calibri Light" w:eastAsia="Calibri" w:hAnsi="Calibri Light" w:cs="Calibri Light"/>
                <w:sz w:val="20"/>
                <w:szCs w:val="20"/>
              </w:rPr>
              <w:t xml:space="preserve"> lo expresado en el apartado anterior</w:t>
            </w:r>
            <w:r w:rsidR="00BD0743">
              <w:rPr>
                <w:rFonts w:ascii="Calibri Light" w:eastAsia="Calibri" w:hAnsi="Calibri Light" w:cs="Calibri Light"/>
                <w:sz w:val="20"/>
                <w:szCs w:val="20"/>
              </w:rPr>
              <w:t>.</w:t>
            </w:r>
          </w:p>
        </w:tc>
      </w:tr>
      <w:tr w:rsidR="00536ADF" w:rsidRPr="00C13F5A" w14:paraId="0F3F87CA" w14:textId="77777777" w:rsidTr="00FD4CB6">
        <w:trPr>
          <w:trHeight w:val="1727"/>
          <w:jc w:val="center"/>
        </w:trPr>
        <w:tc>
          <w:tcPr>
            <w:tcW w:w="2405" w:type="dxa"/>
            <w:vMerge/>
            <w:shd w:val="clear" w:color="auto" w:fill="auto"/>
            <w:vAlign w:val="center"/>
          </w:tcPr>
          <w:p w14:paraId="5A9DE490" w14:textId="77777777" w:rsidR="00536ADF" w:rsidRDefault="00536ADF" w:rsidP="00536ADF">
            <w:pPr>
              <w:jc w:val="center"/>
              <w:rPr>
                <w:sz w:val="20"/>
                <w:szCs w:val="20"/>
              </w:rPr>
            </w:pPr>
          </w:p>
        </w:tc>
        <w:tc>
          <w:tcPr>
            <w:tcW w:w="1276" w:type="dxa"/>
            <w:shd w:val="clear" w:color="auto" w:fill="auto"/>
            <w:vAlign w:val="center"/>
          </w:tcPr>
          <w:p w14:paraId="76563C74" w14:textId="77777777" w:rsidR="00536ADF" w:rsidRDefault="00536ADF" w:rsidP="00536ADF">
            <w:pPr>
              <w:jc w:val="center"/>
              <w:rPr>
                <w:rFonts w:cstheme="minorHAnsi"/>
                <w:sz w:val="20"/>
                <w:szCs w:val="20"/>
              </w:rPr>
            </w:pPr>
            <w:r>
              <w:rPr>
                <w:rFonts w:cstheme="minorHAnsi"/>
                <w:sz w:val="20"/>
                <w:szCs w:val="20"/>
              </w:rPr>
              <w:t>2.5.6.2</w:t>
            </w:r>
          </w:p>
        </w:tc>
        <w:tc>
          <w:tcPr>
            <w:tcW w:w="1559" w:type="dxa"/>
            <w:vMerge/>
            <w:shd w:val="clear" w:color="auto" w:fill="auto"/>
            <w:vAlign w:val="center"/>
          </w:tcPr>
          <w:p w14:paraId="655A2DAB" w14:textId="77777777" w:rsidR="00536ADF" w:rsidRDefault="00536ADF" w:rsidP="00536ADF">
            <w:pPr>
              <w:jc w:val="both"/>
              <w:rPr>
                <w:rFonts w:cstheme="minorHAnsi"/>
                <w:sz w:val="20"/>
                <w:szCs w:val="20"/>
              </w:rPr>
            </w:pPr>
          </w:p>
        </w:tc>
        <w:tc>
          <w:tcPr>
            <w:tcW w:w="3686" w:type="dxa"/>
          </w:tcPr>
          <w:p w14:paraId="4F96D8F4" w14:textId="77777777" w:rsidR="00536ADF" w:rsidRPr="00705266" w:rsidRDefault="00536ADF" w:rsidP="00536ADF">
            <w:pPr>
              <w:jc w:val="both"/>
              <w:rPr>
                <w:rFonts w:ascii="Calibri Light" w:eastAsia="Calibri" w:hAnsi="Calibri Light" w:cs="Calibri Light"/>
                <w:sz w:val="20"/>
                <w:szCs w:val="20"/>
              </w:rPr>
            </w:pPr>
            <w:r w:rsidRPr="00705266">
              <w:rPr>
                <w:rFonts w:ascii="Calibri Light" w:eastAsia="Calibri" w:hAnsi="Calibri Light" w:cs="Calibri Light"/>
                <w:sz w:val="20"/>
                <w:szCs w:val="20"/>
              </w:rPr>
              <w:t>2.5.6.2 Plazo de entrega de cotizaciones de Proyectos Especiales.</w:t>
            </w:r>
          </w:p>
          <w:p w14:paraId="690DEEB1" w14:textId="77777777" w:rsidR="00536ADF" w:rsidRPr="00705266" w:rsidRDefault="00536ADF" w:rsidP="00536ADF">
            <w:pPr>
              <w:jc w:val="both"/>
              <w:rPr>
                <w:rFonts w:ascii="Calibri Light" w:eastAsia="Calibri" w:hAnsi="Calibri Light" w:cs="Calibri Light"/>
                <w:sz w:val="20"/>
                <w:szCs w:val="20"/>
              </w:rPr>
            </w:pPr>
          </w:p>
          <w:p w14:paraId="568AE546" w14:textId="77777777" w:rsidR="00536ADF" w:rsidRPr="00705266" w:rsidRDefault="00536ADF" w:rsidP="00536ADF">
            <w:pPr>
              <w:jc w:val="both"/>
              <w:rPr>
                <w:rFonts w:ascii="Calibri Light" w:eastAsia="Calibri" w:hAnsi="Calibri Light" w:cs="Calibri Light"/>
                <w:sz w:val="20"/>
                <w:szCs w:val="20"/>
              </w:rPr>
            </w:pPr>
            <w:r w:rsidRPr="00705266">
              <w:rPr>
                <w:rFonts w:ascii="Calibri Light" w:eastAsia="Calibri" w:hAnsi="Calibri Light" w:cs="Calibri Light"/>
                <w:sz w:val="20"/>
                <w:szCs w:val="20"/>
              </w:rPr>
              <w:t xml:space="preserve">División Mayorista Telmex/Telnor proporcionará a los Concesionarios o Autorizados Solicitantes, a través del SEG, la justificación técnica, la solución propuesta y la cotización detallada de cada Proyecto Especial, a más tardar dentro de los </w:t>
            </w:r>
            <w:r w:rsidRPr="007B3AB2">
              <w:rPr>
                <w:rFonts w:ascii="Calibri Light" w:eastAsia="Calibri" w:hAnsi="Calibri Light" w:cs="Calibri Light"/>
                <w:strike/>
                <w:color w:val="0070C0"/>
                <w:sz w:val="20"/>
                <w:szCs w:val="20"/>
              </w:rPr>
              <w:t>7 (siete)</w:t>
            </w:r>
            <w:r w:rsidRPr="007B3AB2">
              <w:rPr>
                <w:rFonts w:ascii="Calibri Light" w:eastAsia="Calibri" w:hAnsi="Calibri Light" w:cs="Calibri Light"/>
                <w:color w:val="0070C0"/>
                <w:sz w:val="20"/>
                <w:szCs w:val="20"/>
              </w:rPr>
              <w:t xml:space="preserve"> 9 (nueve)</w:t>
            </w:r>
            <w:r w:rsidRPr="00DA1E5E">
              <w:rPr>
                <w:rFonts w:ascii="Calibri Light" w:eastAsia="Calibri" w:hAnsi="Calibri Light" w:cs="Calibri Light"/>
                <w:color w:val="2F5496" w:themeColor="accent1" w:themeShade="BF"/>
                <w:sz w:val="20"/>
                <w:szCs w:val="20"/>
              </w:rPr>
              <w:t xml:space="preserve"> </w:t>
            </w:r>
            <w:r w:rsidRPr="00705266">
              <w:rPr>
                <w:rFonts w:ascii="Calibri Light" w:eastAsia="Calibri" w:hAnsi="Calibri Light" w:cs="Calibri Light"/>
                <w:sz w:val="20"/>
                <w:szCs w:val="20"/>
              </w:rPr>
              <w:t>días hábiles siguientes al plazo de 2 (dos) días hábiles con que la División Mayorista Telmex/Telnor cuenta para validar las solicitudes de servicios conforme al numeral 2.5.1. La información de cada Proyecto Especial deberá contemplar (i) los elementos descritos en los literales anteriores, así como, de ser el caso, cualquier otro elemento de costo adicional, y (ii) el plazo de entrega de los servicios.</w:t>
            </w:r>
          </w:p>
          <w:p w14:paraId="298A9AA1" w14:textId="77777777" w:rsidR="00536ADF" w:rsidRPr="00705266" w:rsidRDefault="00536ADF" w:rsidP="00536ADF">
            <w:pPr>
              <w:jc w:val="both"/>
              <w:rPr>
                <w:rFonts w:ascii="Calibri Light" w:eastAsia="Calibri" w:hAnsi="Calibri Light" w:cs="Calibri Light"/>
                <w:sz w:val="20"/>
                <w:szCs w:val="20"/>
              </w:rPr>
            </w:pPr>
          </w:p>
          <w:p w14:paraId="455AD10E" w14:textId="77777777" w:rsidR="00536ADF" w:rsidRDefault="00536ADF" w:rsidP="00536ADF">
            <w:pPr>
              <w:jc w:val="both"/>
              <w:rPr>
                <w:rFonts w:ascii="Calibri Light" w:eastAsia="Calibri" w:hAnsi="Calibri Light" w:cs="Calibri Light"/>
                <w:sz w:val="20"/>
                <w:szCs w:val="20"/>
              </w:rPr>
            </w:pPr>
            <w:r w:rsidRPr="00705266">
              <w:rPr>
                <w:rFonts w:ascii="Calibri Light" w:eastAsia="Calibri" w:hAnsi="Calibri Light" w:cs="Calibri Light"/>
                <w:sz w:val="20"/>
                <w:szCs w:val="20"/>
              </w:rPr>
              <w:t xml:space="preserve">La cotización entregada al Concesionario Solicitante o Autorizado Solicitante a través del SEG, se entenderá como una oferta comercial que contará con una vigencia de 10 (diez) días hábiles contados a partir de su notificación, plazo dentro del cual el Concesionario Solicitante o Autorizado Solicitante notificará su aceptación a la División Mayorista Telmex/Telnor, </w:t>
            </w:r>
            <w:r w:rsidR="00FB45B9" w:rsidRPr="00FB45B9">
              <w:rPr>
                <w:rFonts w:ascii="Calibri Light" w:eastAsia="Calibri" w:hAnsi="Calibri Light" w:cs="Calibri Light"/>
                <w:color w:val="0070C0"/>
                <w:sz w:val="20"/>
                <w:szCs w:val="20"/>
              </w:rPr>
              <w:t xml:space="preserve">a partir de la aceptación </w:t>
            </w:r>
            <w:r w:rsidRPr="00705266">
              <w:rPr>
                <w:rFonts w:ascii="Calibri Light" w:eastAsia="Calibri" w:hAnsi="Calibri Light" w:cs="Calibri Light"/>
                <w:sz w:val="20"/>
                <w:szCs w:val="20"/>
              </w:rPr>
              <w:t>la División Mayorista Telmex/Telnor</w:t>
            </w:r>
            <w:r w:rsidR="00FB45B9">
              <w:rPr>
                <w:rFonts w:ascii="Calibri Light" w:eastAsia="Calibri" w:hAnsi="Calibri Light" w:cs="Calibri Light"/>
                <w:sz w:val="20"/>
                <w:szCs w:val="20"/>
              </w:rPr>
              <w:t xml:space="preserve"> </w:t>
            </w:r>
            <w:r w:rsidR="00FB45B9" w:rsidRPr="00FB45B9">
              <w:rPr>
                <w:rFonts w:ascii="Calibri Light" w:eastAsia="Calibri" w:hAnsi="Calibri Light" w:cs="Calibri Light"/>
                <w:color w:val="0070C0"/>
                <w:sz w:val="20"/>
                <w:szCs w:val="20"/>
              </w:rPr>
              <w:t>contará con 5 (cinco) días hábiles</w:t>
            </w:r>
            <w:r w:rsidRPr="007B3AB2">
              <w:rPr>
                <w:rFonts w:ascii="Calibri Light" w:eastAsia="Calibri" w:hAnsi="Calibri Light" w:cs="Calibri Light"/>
                <w:strike/>
                <w:color w:val="0070C0"/>
                <w:sz w:val="20"/>
                <w:szCs w:val="20"/>
              </w:rPr>
              <w:t xml:space="preserve"> al día hábil siguiente</w:t>
            </w:r>
            <w:r w:rsidRPr="00FB45B9">
              <w:rPr>
                <w:rFonts w:ascii="Calibri Light" w:eastAsia="Calibri" w:hAnsi="Calibri Light" w:cs="Calibri Light"/>
                <w:strike/>
                <w:color w:val="0070C0"/>
                <w:sz w:val="20"/>
                <w:szCs w:val="20"/>
              </w:rPr>
              <w:t xml:space="preserve"> le</w:t>
            </w:r>
            <w:r w:rsidRPr="00705266">
              <w:rPr>
                <w:rFonts w:ascii="Calibri Light" w:eastAsia="Calibri" w:hAnsi="Calibri Light" w:cs="Calibri Light"/>
                <w:sz w:val="20"/>
                <w:szCs w:val="20"/>
              </w:rPr>
              <w:t xml:space="preserve"> </w:t>
            </w:r>
            <w:r w:rsidR="00FB45B9" w:rsidRPr="00FB45B9">
              <w:rPr>
                <w:rFonts w:ascii="Calibri Light" w:eastAsia="Calibri" w:hAnsi="Calibri Light" w:cs="Calibri Light"/>
                <w:color w:val="0070C0"/>
                <w:sz w:val="20"/>
                <w:szCs w:val="20"/>
              </w:rPr>
              <w:t xml:space="preserve">para </w:t>
            </w:r>
            <w:r w:rsidRPr="00705266">
              <w:rPr>
                <w:rFonts w:ascii="Calibri Light" w:eastAsia="Calibri" w:hAnsi="Calibri Light" w:cs="Calibri Light"/>
                <w:sz w:val="20"/>
                <w:szCs w:val="20"/>
              </w:rPr>
              <w:t>enviar</w:t>
            </w:r>
            <w:r w:rsidRPr="00FB45B9">
              <w:rPr>
                <w:rFonts w:ascii="Calibri Light" w:eastAsia="Calibri" w:hAnsi="Calibri Light" w:cs="Calibri Light"/>
                <w:strike/>
                <w:color w:val="0070C0"/>
                <w:sz w:val="20"/>
                <w:szCs w:val="20"/>
              </w:rPr>
              <w:t>á</w:t>
            </w:r>
            <w:r w:rsidRPr="00705266">
              <w:rPr>
                <w:rFonts w:ascii="Calibri Light" w:eastAsia="Calibri" w:hAnsi="Calibri Light" w:cs="Calibri Light"/>
                <w:sz w:val="20"/>
                <w:szCs w:val="20"/>
              </w:rPr>
              <w:t xml:space="preserve"> la factura por el costo del Proyecto Especial y el Concesionario Solicitante o Autorizado Solicitante realizará el pago respectivo a través de los medios convenidos</w:t>
            </w:r>
            <w:bookmarkStart w:id="1" w:name="_Hlk107481892"/>
            <w:r w:rsidR="00A06CAB" w:rsidRPr="00A06CAB">
              <w:rPr>
                <w:rFonts w:ascii="Calibri Light" w:eastAsia="Calibri" w:hAnsi="Calibri Light" w:cs="Calibri Light"/>
                <w:sz w:val="20"/>
                <w:szCs w:val="20"/>
              </w:rPr>
              <w:t xml:space="preserve"> </w:t>
            </w:r>
            <w:r w:rsidR="00A06CAB" w:rsidRPr="007B3AB2">
              <w:rPr>
                <w:rFonts w:ascii="Calibri Light" w:eastAsia="Calibri" w:hAnsi="Calibri Light" w:cs="Calibri Light"/>
                <w:color w:val="0070C0"/>
                <w:sz w:val="20"/>
                <w:szCs w:val="20"/>
              </w:rPr>
              <w:t xml:space="preserve">en un plazo no mayor a </w:t>
            </w:r>
            <w:r w:rsidR="009079AC">
              <w:rPr>
                <w:rFonts w:ascii="Calibri Light" w:eastAsia="Calibri" w:hAnsi="Calibri Light" w:cs="Calibri Light"/>
                <w:color w:val="0070C0"/>
                <w:sz w:val="20"/>
                <w:szCs w:val="20"/>
              </w:rPr>
              <w:t>5</w:t>
            </w:r>
            <w:r w:rsidR="00A06CAB" w:rsidRPr="007B3AB2">
              <w:rPr>
                <w:rFonts w:ascii="Calibri Light" w:eastAsia="Calibri" w:hAnsi="Calibri Light" w:cs="Calibri Light"/>
                <w:color w:val="0070C0"/>
                <w:sz w:val="20"/>
                <w:szCs w:val="20"/>
              </w:rPr>
              <w:t xml:space="preserve"> </w:t>
            </w:r>
            <w:r w:rsidR="00FB45B9">
              <w:rPr>
                <w:rFonts w:ascii="Calibri Light" w:eastAsia="Calibri" w:hAnsi="Calibri Light" w:cs="Calibri Light"/>
                <w:color w:val="0070C0"/>
                <w:sz w:val="20"/>
                <w:szCs w:val="20"/>
              </w:rPr>
              <w:t>(</w:t>
            </w:r>
            <w:r w:rsidR="009079AC">
              <w:rPr>
                <w:rFonts w:ascii="Calibri Light" w:eastAsia="Calibri" w:hAnsi="Calibri Light" w:cs="Calibri Light"/>
                <w:color w:val="0070C0"/>
                <w:sz w:val="20"/>
                <w:szCs w:val="20"/>
              </w:rPr>
              <w:t>cinco</w:t>
            </w:r>
            <w:r w:rsidR="00FB45B9">
              <w:rPr>
                <w:rFonts w:ascii="Calibri Light" w:eastAsia="Calibri" w:hAnsi="Calibri Light" w:cs="Calibri Light"/>
                <w:color w:val="0070C0"/>
                <w:sz w:val="20"/>
                <w:szCs w:val="20"/>
              </w:rPr>
              <w:t xml:space="preserve">) </w:t>
            </w:r>
            <w:r w:rsidR="00A06CAB" w:rsidRPr="007B3AB2">
              <w:rPr>
                <w:rFonts w:ascii="Calibri Light" w:eastAsia="Calibri" w:hAnsi="Calibri Light" w:cs="Calibri Light"/>
                <w:color w:val="0070C0"/>
                <w:sz w:val="20"/>
                <w:szCs w:val="20"/>
              </w:rPr>
              <w:t>días hábiles contados a partir del día siguiente a la recepción de la factura. La fecha compromiso se calculará a partir del día hábil siguiente a la realización del pago y envío del comprobante vía correo electrónico</w:t>
            </w:r>
            <w:bookmarkEnd w:id="1"/>
            <w:r w:rsidR="00441CD5" w:rsidRPr="007B3AB2">
              <w:rPr>
                <w:rFonts w:ascii="Calibri Light" w:eastAsia="Calibri" w:hAnsi="Calibri Light" w:cs="Calibri Light"/>
                <w:color w:val="0070C0"/>
                <w:sz w:val="20"/>
                <w:szCs w:val="20"/>
              </w:rPr>
              <w:t>.</w:t>
            </w:r>
            <w:r w:rsidR="00441CD5" w:rsidRPr="00FB45B9">
              <w:rPr>
                <w:rFonts w:ascii="Calibri Light" w:eastAsia="Calibri" w:hAnsi="Calibri Light" w:cs="Calibri Light"/>
                <w:strike/>
                <w:color w:val="0070C0"/>
                <w:sz w:val="20"/>
                <w:szCs w:val="20"/>
              </w:rPr>
              <w:t xml:space="preserve"> </w:t>
            </w:r>
            <w:r w:rsidR="003E6392" w:rsidRPr="00FB45B9">
              <w:rPr>
                <w:rFonts w:ascii="Calibri Light" w:eastAsia="Calibri" w:hAnsi="Calibri Light" w:cs="Calibri Light"/>
                <w:strike/>
                <w:color w:val="0070C0"/>
                <w:sz w:val="20"/>
                <w:szCs w:val="20"/>
              </w:rPr>
              <w:t>I</w:t>
            </w:r>
            <w:r w:rsidRPr="00FB45B9">
              <w:rPr>
                <w:rFonts w:ascii="Calibri Light" w:eastAsia="Calibri" w:hAnsi="Calibri Light" w:cs="Calibri Light"/>
                <w:strike/>
                <w:color w:val="0070C0"/>
                <w:sz w:val="20"/>
                <w:szCs w:val="20"/>
              </w:rPr>
              <w:t>nformará posteriormente cuando el acondicionamiento del sitio esté listo.</w:t>
            </w:r>
            <w:r w:rsidRPr="00705266">
              <w:rPr>
                <w:rFonts w:ascii="Calibri Light" w:eastAsia="Calibri" w:hAnsi="Calibri Light" w:cs="Calibri Light"/>
                <w:sz w:val="20"/>
                <w:szCs w:val="20"/>
              </w:rPr>
              <w:t xml:space="preserve"> En caso de no recibir respuesta</w:t>
            </w:r>
            <w:r w:rsidRPr="00FB45B9">
              <w:rPr>
                <w:rFonts w:ascii="Calibri Light" w:eastAsia="Calibri" w:hAnsi="Calibri Light" w:cs="Calibri Light"/>
                <w:sz w:val="20"/>
                <w:szCs w:val="20"/>
              </w:rPr>
              <w:t xml:space="preserve"> </w:t>
            </w:r>
            <w:r w:rsidR="008E0029" w:rsidRPr="00FB45B9">
              <w:rPr>
                <w:rFonts w:ascii="Calibri Light" w:eastAsia="Calibri" w:hAnsi="Calibri Light" w:cs="Calibri Light"/>
                <w:sz w:val="20"/>
                <w:szCs w:val="20"/>
              </w:rPr>
              <w:t>o</w:t>
            </w:r>
            <w:r w:rsidRPr="00FB45B9">
              <w:rPr>
                <w:rFonts w:ascii="Calibri Light" w:eastAsia="Calibri" w:hAnsi="Calibri Light" w:cs="Calibri Light"/>
                <w:sz w:val="20"/>
                <w:szCs w:val="20"/>
              </w:rPr>
              <w:t xml:space="preserve"> no realizar el pago dentro de</w:t>
            </w:r>
            <w:r w:rsidR="00FB45B9">
              <w:rPr>
                <w:rFonts w:ascii="Calibri Light" w:eastAsia="Calibri" w:hAnsi="Calibri Light" w:cs="Calibri Light"/>
                <w:sz w:val="20"/>
                <w:szCs w:val="20"/>
              </w:rPr>
              <w:t xml:space="preserve"> </w:t>
            </w:r>
            <w:r w:rsidRPr="00FB45B9">
              <w:rPr>
                <w:rFonts w:ascii="Calibri Light" w:eastAsia="Calibri" w:hAnsi="Calibri Light" w:cs="Calibri Light"/>
                <w:sz w:val="20"/>
                <w:szCs w:val="20"/>
              </w:rPr>
              <w:t>l</w:t>
            </w:r>
            <w:r w:rsidR="00FB45B9" w:rsidRPr="00FB45B9">
              <w:rPr>
                <w:rFonts w:ascii="Calibri Light" w:eastAsia="Calibri" w:hAnsi="Calibri Light" w:cs="Calibri Light"/>
                <w:color w:val="0070C0"/>
                <w:sz w:val="20"/>
                <w:szCs w:val="20"/>
              </w:rPr>
              <w:t>os</w:t>
            </w:r>
            <w:r w:rsidRPr="00FB45B9">
              <w:rPr>
                <w:rFonts w:ascii="Calibri Light" w:eastAsia="Calibri" w:hAnsi="Calibri Light" w:cs="Calibri Light"/>
                <w:sz w:val="20"/>
                <w:szCs w:val="20"/>
              </w:rPr>
              <w:t xml:space="preserve"> plaz</w:t>
            </w:r>
            <w:r w:rsidRPr="00705266">
              <w:rPr>
                <w:rFonts w:ascii="Calibri Light" w:eastAsia="Calibri" w:hAnsi="Calibri Light" w:cs="Calibri Light"/>
                <w:sz w:val="20"/>
                <w:szCs w:val="20"/>
              </w:rPr>
              <w:t>o</w:t>
            </w:r>
            <w:r w:rsidR="00FB45B9" w:rsidRPr="00FB45B9">
              <w:rPr>
                <w:rFonts w:ascii="Calibri Light" w:eastAsia="Calibri" w:hAnsi="Calibri Light" w:cs="Calibri Light"/>
                <w:color w:val="0070C0"/>
                <w:sz w:val="20"/>
                <w:szCs w:val="20"/>
              </w:rPr>
              <w:t>s</w:t>
            </w:r>
            <w:r w:rsidRPr="00705266">
              <w:rPr>
                <w:rFonts w:ascii="Calibri Light" w:eastAsia="Calibri" w:hAnsi="Calibri Light" w:cs="Calibri Light"/>
                <w:sz w:val="20"/>
                <w:szCs w:val="20"/>
              </w:rPr>
              <w:t xml:space="preserve"> </w:t>
            </w:r>
            <w:r w:rsidRPr="00FB45B9">
              <w:rPr>
                <w:rFonts w:ascii="Calibri Light" w:eastAsia="Calibri" w:hAnsi="Calibri Light" w:cs="Calibri Light"/>
                <w:strike/>
                <w:color w:val="0070C0"/>
                <w:sz w:val="20"/>
                <w:szCs w:val="20"/>
              </w:rPr>
              <w:t xml:space="preserve">de 10 (diez) días hábiles </w:t>
            </w:r>
            <w:r w:rsidRPr="00705266">
              <w:rPr>
                <w:rFonts w:ascii="Calibri Light" w:eastAsia="Calibri" w:hAnsi="Calibri Light" w:cs="Calibri Light"/>
                <w:sz w:val="20"/>
                <w:szCs w:val="20"/>
              </w:rPr>
              <w:t>referido</w:t>
            </w:r>
            <w:r w:rsidR="00FB45B9" w:rsidRPr="00FB45B9">
              <w:rPr>
                <w:rFonts w:ascii="Calibri Light" w:eastAsia="Calibri" w:hAnsi="Calibri Light" w:cs="Calibri Light"/>
                <w:color w:val="0070C0"/>
                <w:sz w:val="20"/>
                <w:szCs w:val="20"/>
              </w:rPr>
              <w:t>s</w:t>
            </w:r>
            <w:r w:rsidRPr="00705266">
              <w:rPr>
                <w:rFonts w:ascii="Calibri Light" w:eastAsia="Calibri" w:hAnsi="Calibri Light" w:cs="Calibri Light"/>
                <w:sz w:val="20"/>
                <w:szCs w:val="20"/>
              </w:rPr>
              <w:t>, se tendrá por cancelada la solicitud y la oferta comercial presentada.</w:t>
            </w:r>
            <w:r w:rsidR="00FB45B9">
              <w:t xml:space="preserve"> </w:t>
            </w:r>
            <w:r w:rsidR="00FB45B9" w:rsidRPr="00FB45B9">
              <w:rPr>
                <w:rFonts w:ascii="Calibri Light" w:eastAsia="Calibri" w:hAnsi="Calibri Light" w:cs="Calibri Light"/>
                <w:color w:val="0070C0"/>
                <w:sz w:val="20"/>
                <w:szCs w:val="20"/>
              </w:rPr>
              <w:t>El Concesionario Solicitante o Autorizado Solicitante informará posteriormente cuando el acondicionamiento del sitio esté listo.</w:t>
            </w:r>
          </w:p>
          <w:p w14:paraId="4812D343" w14:textId="77777777" w:rsidR="0054559C" w:rsidRDefault="0054559C" w:rsidP="00536ADF">
            <w:pPr>
              <w:jc w:val="both"/>
              <w:rPr>
                <w:rFonts w:ascii="Calibri Light" w:eastAsia="Calibri" w:hAnsi="Calibri Light" w:cs="Calibri Light"/>
                <w:sz w:val="20"/>
                <w:szCs w:val="20"/>
              </w:rPr>
            </w:pPr>
          </w:p>
          <w:p w14:paraId="153F8EA1" w14:textId="77777777" w:rsidR="00536ADF" w:rsidRDefault="00536ADF" w:rsidP="00536ADF">
            <w:pPr>
              <w:jc w:val="both"/>
              <w:rPr>
                <w:rFonts w:ascii="Calibri Light" w:eastAsia="Calibri" w:hAnsi="Calibri Light" w:cs="Calibri Light"/>
                <w:sz w:val="20"/>
                <w:szCs w:val="20"/>
              </w:rPr>
            </w:pPr>
            <w:r w:rsidRPr="007B3AB2">
              <w:rPr>
                <w:rFonts w:ascii="Calibri Light" w:eastAsia="Calibri" w:hAnsi="Calibri Light" w:cs="Calibri Light"/>
                <w:color w:val="0070C0"/>
                <w:sz w:val="20"/>
                <w:szCs w:val="20"/>
              </w:rPr>
              <w:t>En caso de que el Concesionario Solicitante o Autorizado Solicitante notifique su aceptación en relación con determinado Proyecto Especial, los gastos administrativos en los que Telmex hubiere incurrido con motivo de la elaboración y presentación de la oferta comercial (Proyecto Especial) no serán cobrados al Concesionario Solicitante o Autorizado Solicitante; en caso contrario, Telmex estará facultado a cobrar los gastos administrativos que se generen por la elaboración y presentación del Proyecto Especial de que se trate, conforme al precio que se establece al efecto en el numeral 3 del Anexo “A” Precios y Tarifas del Convenio.</w:t>
            </w:r>
          </w:p>
        </w:tc>
        <w:tc>
          <w:tcPr>
            <w:tcW w:w="5257" w:type="dxa"/>
            <w:shd w:val="clear" w:color="auto" w:fill="auto"/>
            <w:vAlign w:val="center"/>
          </w:tcPr>
          <w:p w14:paraId="424F6F6F" w14:textId="110FD8CC"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Se </w:t>
            </w:r>
            <w:r w:rsidR="00E95EC5">
              <w:rPr>
                <w:rFonts w:ascii="Calibri Light" w:eastAsia="Calibri" w:hAnsi="Calibri Light" w:cs="Calibri Light"/>
                <w:sz w:val="20"/>
                <w:szCs w:val="20"/>
              </w:rPr>
              <w:t>solicita a ese Instituto autorizar la modificación propuesta, pues resulta indispensable</w:t>
            </w:r>
            <w:r>
              <w:rPr>
                <w:rFonts w:ascii="Calibri Light" w:eastAsia="Calibri" w:hAnsi="Calibri Light" w:cs="Calibri Light"/>
                <w:sz w:val="20"/>
                <w:szCs w:val="20"/>
              </w:rPr>
              <w:t xml:space="preserve"> </w:t>
            </w:r>
            <w:r w:rsidR="00E21E1C">
              <w:rPr>
                <w:rFonts w:ascii="Calibri Light" w:eastAsia="Calibri" w:hAnsi="Calibri Light" w:cs="Calibri Light"/>
                <w:sz w:val="20"/>
                <w:szCs w:val="20"/>
              </w:rPr>
              <w:t>adicionar un plazo de</w:t>
            </w:r>
            <w:r w:rsidR="00E95EC5">
              <w:rPr>
                <w:rFonts w:ascii="Calibri Light" w:eastAsia="Calibri" w:hAnsi="Calibri Light" w:cs="Calibri Light"/>
                <w:sz w:val="20"/>
                <w:szCs w:val="20"/>
              </w:rPr>
              <w:t xml:space="preserve"> </w:t>
            </w:r>
            <w:r w:rsidR="00E21E1C">
              <w:rPr>
                <w:rFonts w:ascii="Calibri Light" w:eastAsia="Calibri" w:hAnsi="Calibri Light" w:cs="Calibri Light"/>
                <w:sz w:val="20"/>
                <w:szCs w:val="20"/>
              </w:rPr>
              <w:t>d</w:t>
            </w:r>
            <w:r w:rsidR="00E95EC5">
              <w:rPr>
                <w:rFonts w:ascii="Calibri Light" w:eastAsia="Calibri" w:hAnsi="Calibri Light" w:cs="Calibri Light"/>
                <w:sz w:val="20"/>
                <w:szCs w:val="20"/>
              </w:rPr>
              <w:t xml:space="preserve">os días hábiles </w:t>
            </w:r>
            <w:r>
              <w:rPr>
                <w:rFonts w:ascii="Calibri Light" w:eastAsia="Calibri" w:hAnsi="Calibri Light" w:cs="Calibri Light"/>
                <w:sz w:val="20"/>
                <w:szCs w:val="20"/>
              </w:rPr>
              <w:t xml:space="preserve">para presentar </w:t>
            </w:r>
            <w:r w:rsidR="00E95EC5">
              <w:rPr>
                <w:rFonts w:ascii="Calibri Light" w:eastAsia="Calibri" w:hAnsi="Calibri Light" w:cs="Calibri Light"/>
                <w:sz w:val="20"/>
                <w:szCs w:val="20"/>
              </w:rPr>
              <w:t>las</w:t>
            </w:r>
            <w:r>
              <w:rPr>
                <w:rFonts w:ascii="Calibri Light" w:eastAsia="Calibri" w:hAnsi="Calibri Light" w:cs="Calibri Light"/>
                <w:sz w:val="20"/>
                <w:szCs w:val="20"/>
              </w:rPr>
              <w:t xml:space="preserve"> </w:t>
            </w:r>
            <w:r w:rsidR="00E95EC5">
              <w:rPr>
                <w:rFonts w:ascii="Calibri Light" w:eastAsia="Calibri" w:hAnsi="Calibri Light" w:cs="Calibri Light"/>
                <w:sz w:val="20"/>
                <w:szCs w:val="20"/>
              </w:rPr>
              <w:t>cotizaciones y justificaciones</w:t>
            </w:r>
            <w:r>
              <w:rPr>
                <w:rFonts w:ascii="Calibri Light" w:eastAsia="Calibri" w:hAnsi="Calibri Light" w:cs="Calibri Light"/>
                <w:sz w:val="20"/>
                <w:szCs w:val="20"/>
              </w:rPr>
              <w:t xml:space="preserve"> de P</w:t>
            </w:r>
            <w:r w:rsidR="00125E22">
              <w:rPr>
                <w:rFonts w:ascii="Calibri Light" w:eastAsia="Calibri" w:hAnsi="Calibri Light" w:cs="Calibri Light"/>
                <w:sz w:val="20"/>
                <w:szCs w:val="20"/>
              </w:rPr>
              <w:t xml:space="preserve">royectos </w:t>
            </w:r>
            <w:r>
              <w:rPr>
                <w:rFonts w:ascii="Calibri Light" w:eastAsia="Calibri" w:hAnsi="Calibri Light" w:cs="Calibri Light"/>
                <w:sz w:val="20"/>
                <w:szCs w:val="20"/>
              </w:rPr>
              <w:t>E</w:t>
            </w:r>
            <w:r w:rsidR="00125E22">
              <w:rPr>
                <w:rFonts w:ascii="Calibri Light" w:eastAsia="Calibri" w:hAnsi="Calibri Light" w:cs="Calibri Light"/>
                <w:sz w:val="20"/>
                <w:szCs w:val="20"/>
              </w:rPr>
              <w:t>speciales</w:t>
            </w:r>
            <w:r w:rsidR="00E95EC5">
              <w:rPr>
                <w:rFonts w:ascii="Calibri Light" w:eastAsia="Calibri" w:hAnsi="Calibri Light" w:cs="Calibri Light"/>
                <w:sz w:val="20"/>
                <w:szCs w:val="20"/>
              </w:rPr>
              <w:t>. Lo anterior considerando que</w:t>
            </w:r>
            <w:r w:rsidR="0038349F">
              <w:rPr>
                <w:rFonts w:ascii="Calibri Light" w:eastAsia="Calibri" w:hAnsi="Calibri Light" w:cs="Calibri Light"/>
                <w:sz w:val="20"/>
                <w:szCs w:val="20"/>
              </w:rPr>
              <w:t xml:space="preserve"> actualmente se trata</w:t>
            </w:r>
            <w:r>
              <w:rPr>
                <w:rFonts w:ascii="Calibri Light" w:eastAsia="Calibri" w:hAnsi="Calibri Light" w:cs="Calibri Light"/>
                <w:sz w:val="20"/>
                <w:szCs w:val="20"/>
              </w:rPr>
              <w:t xml:space="preserve"> </w:t>
            </w:r>
            <w:r w:rsidR="0038349F">
              <w:rPr>
                <w:rFonts w:ascii="Calibri Light" w:eastAsia="Calibri" w:hAnsi="Calibri Light" w:cs="Calibri Light"/>
                <w:sz w:val="20"/>
                <w:szCs w:val="20"/>
              </w:rPr>
              <w:t>d</w:t>
            </w:r>
            <w:r>
              <w:rPr>
                <w:rFonts w:ascii="Calibri Light" w:eastAsia="Calibri" w:hAnsi="Calibri Light" w:cs="Calibri Light"/>
                <w:sz w:val="20"/>
                <w:szCs w:val="20"/>
              </w:rPr>
              <w:t xml:space="preserve">el </w:t>
            </w:r>
            <w:r w:rsidR="0038349F">
              <w:rPr>
                <w:rFonts w:ascii="Calibri Light" w:eastAsia="Calibri" w:hAnsi="Calibri Light" w:cs="Calibri Light"/>
                <w:sz w:val="20"/>
                <w:szCs w:val="20"/>
              </w:rPr>
              <w:t xml:space="preserve">mismo </w:t>
            </w:r>
            <w:r>
              <w:rPr>
                <w:rFonts w:ascii="Calibri Light" w:eastAsia="Calibri" w:hAnsi="Calibri Light" w:cs="Calibri Light"/>
                <w:sz w:val="20"/>
                <w:szCs w:val="20"/>
              </w:rPr>
              <w:t xml:space="preserve">plazo resuelto </w:t>
            </w:r>
            <w:r w:rsidR="0038349F">
              <w:rPr>
                <w:rFonts w:ascii="Calibri Light" w:eastAsia="Calibri" w:hAnsi="Calibri Light" w:cs="Calibri Light"/>
                <w:sz w:val="20"/>
                <w:szCs w:val="20"/>
              </w:rPr>
              <w:t xml:space="preserve">a </w:t>
            </w:r>
            <w:r>
              <w:rPr>
                <w:rFonts w:ascii="Calibri Light" w:eastAsia="Calibri" w:hAnsi="Calibri Light" w:cs="Calibri Light"/>
                <w:sz w:val="20"/>
                <w:szCs w:val="20"/>
              </w:rPr>
              <w:t>la Empresa Mayorista</w:t>
            </w:r>
            <w:r w:rsidR="001202C7">
              <w:rPr>
                <w:rFonts w:ascii="Calibri Light" w:eastAsia="Calibri" w:hAnsi="Calibri Light" w:cs="Calibri Light"/>
                <w:sz w:val="20"/>
                <w:szCs w:val="20"/>
              </w:rPr>
              <w:t xml:space="preserve"> </w:t>
            </w:r>
            <w:r w:rsidR="00907F7C">
              <w:rPr>
                <w:rFonts w:ascii="Calibri Light" w:eastAsia="Calibri" w:hAnsi="Calibri Light" w:cs="Calibri Light"/>
                <w:sz w:val="20"/>
                <w:szCs w:val="20"/>
              </w:rPr>
              <w:t>(EM)</w:t>
            </w:r>
            <w:r>
              <w:rPr>
                <w:rFonts w:ascii="Calibri Light" w:eastAsia="Calibri" w:hAnsi="Calibri Light" w:cs="Calibri Light"/>
                <w:sz w:val="20"/>
                <w:szCs w:val="20"/>
              </w:rPr>
              <w:t xml:space="preserve"> para este fin</w:t>
            </w:r>
            <w:r w:rsidR="0038349F">
              <w:rPr>
                <w:rFonts w:ascii="Calibri Light" w:eastAsia="Calibri" w:hAnsi="Calibri Light" w:cs="Calibri Light"/>
                <w:sz w:val="20"/>
                <w:szCs w:val="20"/>
              </w:rPr>
              <w:t>,</w:t>
            </w:r>
            <w:r>
              <w:rPr>
                <w:rFonts w:ascii="Calibri Light" w:eastAsia="Calibri" w:hAnsi="Calibri Light" w:cs="Calibri Light"/>
                <w:sz w:val="20"/>
                <w:szCs w:val="20"/>
              </w:rPr>
              <w:t xml:space="preserve"> </w:t>
            </w:r>
            <w:r w:rsidR="0038349F" w:rsidRPr="00561C56">
              <w:rPr>
                <w:rFonts w:ascii="Calibri Light" w:eastAsia="Calibri" w:hAnsi="Calibri Light" w:cs="Calibri Light"/>
                <w:sz w:val="20"/>
                <w:szCs w:val="20"/>
              </w:rPr>
              <w:t>por lo que, teniendo en cuenta</w:t>
            </w:r>
            <w:r w:rsidRPr="00561C56">
              <w:rPr>
                <w:rFonts w:ascii="Calibri Light" w:eastAsia="Calibri" w:hAnsi="Calibri Light" w:cs="Calibri Light"/>
                <w:sz w:val="20"/>
                <w:szCs w:val="20"/>
              </w:rPr>
              <w:t xml:space="preserve"> la dependencia que se tiene </w:t>
            </w:r>
            <w:r w:rsidR="00A8178C" w:rsidRPr="00561C56">
              <w:rPr>
                <w:rFonts w:ascii="Calibri Light" w:eastAsia="Calibri" w:hAnsi="Calibri Light" w:cs="Calibri Light"/>
                <w:sz w:val="20"/>
                <w:szCs w:val="20"/>
              </w:rPr>
              <w:t>de la</w:t>
            </w:r>
            <w:r w:rsidR="0038349F" w:rsidRPr="00561C56">
              <w:rPr>
                <w:rFonts w:ascii="Calibri Light" w:eastAsia="Calibri" w:hAnsi="Calibri Light" w:cs="Calibri Light"/>
                <w:sz w:val="20"/>
                <w:szCs w:val="20"/>
              </w:rPr>
              <w:t xml:space="preserve"> </w:t>
            </w:r>
            <w:r w:rsidR="008D0AD9" w:rsidRPr="00561C56">
              <w:rPr>
                <w:rFonts w:ascii="Calibri Light" w:eastAsia="Calibri" w:hAnsi="Calibri Light" w:cs="Calibri Light"/>
                <w:sz w:val="20"/>
                <w:szCs w:val="20"/>
              </w:rPr>
              <w:t>Empresa Mayorista</w:t>
            </w:r>
            <w:r w:rsidR="008647B2" w:rsidRPr="00561C56">
              <w:rPr>
                <w:rFonts w:ascii="Calibri Light" w:eastAsia="Calibri" w:hAnsi="Calibri Light" w:cs="Calibri Light"/>
                <w:sz w:val="20"/>
                <w:szCs w:val="20"/>
              </w:rPr>
              <w:t xml:space="preserve"> para obtener la cotización </w:t>
            </w:r>
            <w:r w:rsidR="00F3161F" w:rsidRPr="00561C56">
              <w:rPr>
                <w:rFonts w:ascii="Calibri Light" w:eastAsia="Calibri" w:hAnsi="Calibri Light" w:cs="Calibri Light"/>
                <w:sz w:val="20"/>
                <w:szCs w:val="20"/>
              </w:rPr>
              <w:t xml:space="preserve">de </w:t>
            </w:r>
            <w:r w:rsidR="008647B2" w:rsidRPr="00561C56">
              <w:rPr>
                <w:rFonts w:ascii="Calibri Light" w:eastAsia="Calibri" w:hAnsi="Calibri Light" w:cs="Calibri Light"/>
                <w:sz w:val="20"/>
                <w:szCs w:val="20"/>
              </w:rPr>
              <w:t xml:space="preserve">los </w:t>
            </w:r>
            <w:r w:rsidR="00F3161F" w:rsidRPr="00561C56">
              <w:rPr>
                <w:rFonts w:ascii="Calibri Light" w:eastAsia="Calibri" w:hAnsi="Calibri Light" w:cs="Calibri Light"/>
                <w:sz w:val="20"/>
                <w:szCs w:val="20"/>
              </w:rPr>
              <w:t>Proyectos</w:t>
            </w:r>
            <w:r w:rsidR="008647B2" w:rsidRPr="00561C56">
              <w:rPr>
                <w:rFonts w:ascii="Calibri Light" w:eastAsia="Calibri" w:hAnsi="Calibri Light" w:cs="Calibri Light"/>
                <w:sz w:val="20"/>
                <w:szCs w:val="20"/>
              </w:rPr>
              <w:t xml:space="preserve"> </w:t>
            </w:r>
            <w:r w:rsidR="00F3161F" w:rsidRPr="00561C56">
              <w:rPr>
                <w:rFonts w:ascii="Calibri Light" w:eastAsia="Calibri" w:hAnsi="Calibri Light" w:cs="Calibri Light"/>
                <w:sz w:val="20"/>
                <w:szCs w:val="20"/>
              </w:rPr>
              <w:t>E</w:t>
            </w:r>
            <w:r w:rsidR="008647B2" w:rsidRPr="00561C56">
              <w:rPr>
                <w:rFonts w:ascii="Calibri Light" w:eastAsia="Calibri" w:hAnsi="Calibri Light" w:cs="Calibri Light"/>
                <w:sz w:val="20"/>
                <w:szCs w:val="20"/>
              </w:rPr>
              <w:t xml:space="preserve">speciales del </w:t>
            </w:r>
            <w:r w:rsidR="002461E4">
              <w:rPr>
                <w:rFonts w:ascii="Calibri Light" w:eastAsia="Calibri" w:hAnsi="Calibri Light" w:cs="Calibri Light"/>
                <w:sz w:val="20"/>
                <w:szCs w:val="20"/>
              </w:rPr>
              <w:t xml:space="preserve">tramo </w:t>
            </w:r>
            <w:r w:rsidR="00F3161F" w:rsidRPr="00561C56">
              <w:rPr>
                <w:rFonts w:ascii="Calibri Light" w:eastAsia="Calibri" w:hAnsi="Calibri Light" w:cs="Calibri Light"/>
                <w:sz w:val="20"/>
                <w:szCs w:val="20"/>
              </w:rPr>
              <w:t>local o de</w:t>
            </w:r>
            <w:r w:rsidR="002461E4">
              <w:rPr>
                <w:rFonts w:ascii="Calibri Light" w:eastAsia="Calibri" w:hAnsi="Calibri Light" w:cs="Calibri Light"/>
                <w:sz w:val="20"/>
                <w:szCs w:val="20"/>
              </w:rPr>
              <w:t xml:space="preserve"> red de</w:t>
            </w:r>
            <w:r w:rsidR="00F3161F" w:rsidRPr="00561C56">
              <w:rPr>
                <w:rFonts w:ascii="Calibri Light" w:eastAsia="Calibri" w:hAnsi="Calibri Light" w:cs="Calibri Light"/>
                <w:sz w:val="20"/>
                <w:szCs w:val="20"/>
              </w:rPr>
              <w:t xml:space="preserve"> acceso</w:t>
            </w:r>
            <w:r w:rsidR="008647B2" w:rsidRPr="00561C56">
              <w:rPr>
                <w:rFonts w:ascii="Calibri Light" w:eastAsia="Calibri" w:hAnsi="Calibri Light" w:cs="Calibri Light"/>
                <w:sz w:val="20"/>
                <w:szCs w:val="20"/>
              </w:rPr>
              <w:t xml:space="preserve"> </w:t>
            </w:r>
            <w:r w:rsidR="00F3161F" w:rsidRPr="00561C56">
              <w:rPr>
                <w:rFonts w:ascii="Calibri Light" w:eastAsia="Calibri" w:hAnsi="Calibri Light" w:cs="Calibri Light"/>
                <w:sz w:val="20"/>
                <w:szCs w:val="20"/>
              </w:rPr>
              <w:t>(</w:t>
            </w:r>
            <w:r w:rsidR="008647B2" w:rsidRPr="00561C56">
              <w:rPr>
                <w:rFonts w:ascii="Calibri Light" w:eastAsia="Calibri" w:hAnsi="Calibri Light" w:cs="Calibri Light"/>
                <w:sz w:val="20"/>
                <w:szCs w:val="20"/>
              </w:rPr>
              <w:t>última milla</w:t>
            </w:r>
            <w:r w:rsidR="00F3161F" w:rsidRPr="00561C56">
              <w:rPr>
                <w:rFonts w:ascii="Calibri Light" w:eastAsia="Calibri" w:hAnsi="Calibri Light" w:cs="Calibri Light"/>
                <w:sz w:val="20"/>
                <w:szCs w:val="20"/>
              </w:rPr>
              <w:t>)</w:t>
            </w:r>
            <w:r w:rsidRPr="00561C56">
              <w:rPr>
                <w:rFonts w:ascii="Calibri Light" w:eastAsia="Calibri" w:hAnsi="Calibri Light" w:cs="Calibri Light"/>
                <w:sz w:val="20"/>
                <w:szCs w:val="20"/>
              </w:rPr>
              <w:t>,</w:t>
            </w:r>
            <w:r>
              <w:rPr>
                <w:rFonts w:ascii="Calibri Light" w:eastAsia="Calibri" w:hAnsi="Calibri Light" w:cs="Calibri Light"/>
                <w:sz w:val="20"/>
                <w:szCs w:val="20"/>
              </w:rPr>
              <w:t xml:space="preserve"> </w:t>
            </w:r>
            <w:r w:rsidR="008D0AD9">
              <w:rPr>
                <w:rFonts w:ascii="Calibri Light" w:eastAsia="Calibri" w:hAnsi="Calibri Light" w:cs="Calibri Light"/>
                <w:sz w:val="20"/>
                <w:szCs w:val="20"/>
              </w:rPr>
              <w:t xml:space="preserve">mis representadas requieren cuando menos de un par de días adicionales a los otorgados a la Empresa Mayorista </w:t>
            </w:r>
            <w:r>
              <w:rPr>
                <w:rFonts w:ascii="Calibri Light" w:eastAsia="Calibri" w:hAnsi="Calibri Light" w:cs="Calibri Light"/>
                <w:sz w:val="20"/>
                <w:szCs w:val="20"/>
              </w:rPr>
              <w:t xml:space="preserve">para </w:t>
            </w:r>
            <w:r w:rsidR="008D0AD9">
              <w:rPr>
                <w:rFonts w:ascii="Calibri Light" w:eastAsia="Calibri" w:hAnsi="Calibri Light" w:cs="Calibri Light"/>
                <w:sz w:val="20"/>
                <w:szCs w:val="20"/>
              </w:rPr>
              <w:t>entregar en debido tiempo y forma las cotizaciones de que se trate</w:t>
            </w:r>
            <w:r w:rsidR="00511B55">
              <w:rPr>
                <w:rFonts w:ascii="Calibri Light" w:eastAsia="Calibri" w:hAnsi="Calibri Light" w:cs="Calibri Light"/>
                <w:sz w:val="20"/>
                <w:szCs w:val="20"/>
              </w:rPr>
              <w:t>, manteniendo la consistencia en ambas ofertas</w:t>
            </w:r>
            <w:r>
              <w:rPr>
                <w:rFonts w:ascii="Calibri Light" w:eastAsia="Calibri" w:hAnsi="Calibri Light" w:cs="Calibri Light"/>
                <w:sz w:val="20"/>
                <w:szCs w:val="20"/>
              </w:rPr>
              <w:t>.</w:t>
            </w:r>
          </w:p>
          <w:p w14:paraId="7C72D0F5" w14:textId="55E40145" w:rsidR="00D7679A" w:rsidRDefault="00D7679A"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Una vez que la EM proporciona la </w:t>
            </w:r>
            <w:r w:rsidR="00D67B68">
              <w:rPr>
                <w:rFonts w:ascii="Calibri Light" w:eastAsia="Calibri" w:hAnsi="Calibri Light" w:cs="Calibri Light"/>
                <w:sz w:val="20"/>
                <w:szCs w:val="20"/>
              </w:rPr>
              <w:t xml:space="preserve">justificación técnica y la </w:t>
            </w:r>
            <w:r>
              <w:rPr>
                <w:rFonts w:ascii="Calibri Light" w:eastAsia="Calibri" w:hAnsi="Calibri Light" w:cs="Calibri Light"/>
                <w:sz w:val="20"/>
                <w:szCs w:val="20"/>
              </w:rPr>
              <w:t>cotización de</w:t>
            </w:r>
            <w:r w:rsidR="00D67B68">
              <w:rPr>
                <w:rFonts w:ascii="Calibri Light" w:eastAsia="Calibri" w:hAnsi="Calibri Light" w:cs="Calibri Light"/>
                <w:sz w:val="20"/>
                <w:szCs w:val="20"/>
              </w:rPr>
              <w:t>tallada del</w:t>
            </w:r>
            <w:r>
              <w:rPr>
                <w:rFonts w:ascii="Calibri Light" w:eastAsia="Calibri" w:hAnsi="Calibri Light" w:cs="Calibri Light"/>
                <w:sz w:val="20"/>
                <w:szCs w:val="20"/>
              </w:rPr>
              <w:t xml:space="preserve"> P</w:t>
            </w:r>
            <w:r w:rsidR="00F3161F">
              <w:rPr>
                <w:rFonts w:ascii="Calibri Light" w:eastAsia="Calibri" w:hAnsi="Calibri Light" w:cs="Calibri Light"/>
                <w:sz w:val="20"/>
                <w:szCs w:val="20"/>
              </w:rPr>
              <w:t xml:space="preserve">royecto </w:t>
            </w:r>
            <w:r>
              <w:rPr>
                <w:rFonts w:ascii="Calibri Light" w:eastAsia="Calibri" w:hAnsi="Calibri Light" w:cs="Calibri Light"/>
                <w:sz w:val="20"/>
                <w:szCs w:val="20"/>
              </w:rPr>
              <w:t>E</w:t>
            </w:r>
            <w:r w:rsidR="00F3161F">
              <w:rPr>
                <w:rFonts w:ascii="Calibri Light" w:eastAsia="Calibri" w:hAnsi="Calibri Light" w:cs="Calibri Light"/>
                <w:sz w:val="20"/>
                <w:szCs w:val="20"/>
              </w:rPr>
              <w:t>special</w:t>
            </w:r>
            <w:r>
              <w:rPr>
                <w:rFonts w:ascii="Calibri Light" w:eastAsia="Calibri" w:hAnsi="Calibri Light" w:cs="Calibri Light"/>
                <w:sz w:val="20"/>
                <w:szCs w:val="20"/>
              </w:rPr>
              <w:t xml:space="preserve"> relacionad</w:t>
            </w:r>
            <w:r w:rsidR="00D67B68">
              <w:rPr>
                <w:rFonts w:ascii="Calibri Light" w:eastAsia="Calibri" w:hAnsi="Calibri Light" w:cs="Calibri Light"/>
                <w:sz w:val="20"/>
                <w:szCs w:val="20"/>
              </w:rPr>
              <w:t>o</w:t>
            </w:r>
            <w:r>
              <w:rPr>
                <w:rFonts w:ascii="Calibri Light" w:eastAsia="Calibri" w:hAnsi="Calibri Light" w:cs="Calibri Light"/>
                <w:sz w:val="20"/>
                <w:szCs w:val="20"/>
              </w:rPr>
              <w:t xml:space="preserve"> con la infraestructura de su responsabilidad</w:t>
            </w:r>
            <w:r w:rsidR="00B77629">
              <w:rPr>
                <w:rFonts w:ascii="Calibri Light" w:eastAsia="Calibri" w:hAnsi="Calibri Light" w:cs="Calibri Light"/>
                <w:sz w:val="20"/>
                <w:szCs w:val="20"/>
              </w:rPr>
              <w:t xml:space="preserve"> (tramos locales</w:t>
            </w:r>
            <w:r w:rsidR="00157AED">
              <w:rPr>
                <w:rFonts w:ascii="Calibri Light" w:eastAsia="Calibri" w:hAnsi="Calibri Light" w:cs="Calibri Light"/>
                <w:sz w:val="20"/>
                <w:szCs w:val="20"/>
              </w:rPr>
              <w:t xml:space="preserve"> necesarios para conformar e</w:t>
            </w:r>
            <w:r w:rsidR="000D103A">
              <w:rPr>
                <w:rFonts w:ascii="Calibri Light" w:eastAsia="Calibri" w:hAnsi="Calibri Light" w:cs="Calibri Light"/>
                <w:sz w:val="20"/>
                <w:szCs w:val="20"/>
              </w:rPr>
              <w:t>l</w:t>
            </w:r>
            <w:r w:rsidR="00157AED">
              <w:rPr>
                <w:rFonts w:ascii="Calibri Light" w:eastAsia="Calibri" w:hAnsi="Calibri Light" w:cs="Calibri Light"/>
                <w:sz w:val="20"/>
                <w:szCs w:val="20"/>
              </w:rPr>
              <w:t xml:space="preserve"> Enlace Entre Localidades</w:t>
            </w:r>
            <w:r w:rsidR="00B77629">
              <w:rPr>
                <w:rFonts w:ascii="Calibri Light" w:eastAsia="Calibri" w:hAnsi="Calibri Light" w:cs="Calibri Light"/>
                <w:sz w:val="20"/>
                <w:szCs w:val="20"/>
              </w:rPr>
              <w:t>)</w:t>
            </w:r>
            <w:r>
              <w:rPr>
                <w:rFonts w:ascii="Calibri Light" w:eastAsia="Calibri" w:hAnsi="Calibri Light" w:cs="Calibri Light"/>
                <w:sz w:val="20"/>
                <w:szCs w:val="20"/>
              </w:rPr>
              <w:t xml:space="preserve">, se requiere hacer la </w:t>
            </w:r>
            <w:r w:rsidR="003A2C81">
              <w:rPr>
                <w:rFonts w:ascii="Calibri Light" w:eastAsia="Calibri" w:hAnsi="Calibri Light" w:cs="Calibri Light"/>
                <w:sz w:val="20"/>
                <w:szCs w:val="20"/>
              </w:rPr>
              <w:t>revisión y análisis de la</w:t>
            </w:r>
            <w:r w:rsidR="00157AED">
              <w:rPr>
                <w:rFonts w:ascii="Calibri Light" w:eastAsia="Calibri" w:hAnsi="Calibri Light" w:cs="Calibri Light"/>
                <w:sz w:val="20"/>
                <w:szCs w:val="20"/>
              </w:rPr>
              <w:t xml:space="preserve"> información recibida</w:t>
            </w:r>
            <w:r w:rsidR="003A2C81">
              <w:rPr>
                <w:rFonts w:ascii="Calibri Light" w:eastAsia="Calibri" w:hAnsi="Calibri Light" w:cs="Calibri Light"/>
                <w:sz w:val="20"/>
                <w:szCs w:val="20"/>
              </w:rPr>
              <w:t>, por ejemplo, si la EM entregara su cotización en el séptimo día hábil, la DM de Telmex y Telnor no tendrían tiempo suficiente para analizar, revisar y preparar la cotización integral hacia los Concesionarios de la oferta comercial definitiva</w:t>
            </w:r>
            <w:r w:rsidR="000E0B3F">
              <w:rPr>
                <w:rFonts w:ascii="Calibri Light" w:eastAsia="Calibri" w:hAnsi="Calibri Light" w:cs="Calibri Light"/>
                <w:sz w:val="20"/>
                <w:szCs w:val="20"/>
              </w:rPr>
              <w:t>.</w:t>
            </w:r>
            <w:r w:rsidR="00E37E43">
              <w:rPr>
                <w:rFonts w:ascii="Calibri Light" w:eastAsia="Calibri" w:hAnsi="Calibri Light" w:cs="Calibri Light"/>
                <w:sz w:val="20"/>
                <w:szCs w:val="20"/>
              </w:rPr>
              <w:t xml:space="preserve"> P</w:t>
            </w:r>
            <w:r w:rsidR="00D67B68">
              <w:rPr>
                <w:rFonts w:ascii="Calibri Light" w:eastAsia="Calibri" w:hAnsi="Calibri Light" w:cs="Calibri Light"/>
                <w:sz w:val="20"/>
                <w:szCs w:val="20"/>
              </w:rPr>
              <w:t xml:space="preserve">or </w:t>
            </w:r>
            <w:r w:rsidR="00157AED">
              <w:rPr>
                <w:rFonts w:ascii="Calibri Light" w:eastAsia="Calibri" w:hAnsi="Calibri Light" w:cs="Calibri Light"/>
                <w:sz w:val="20"/>
                <w:szCs w:val="20"/>
              </w:rPr>
              <w:t>lo anterior</w:t>
            </w:r>
            <w:r w:rsidR="006461D9">
              <w:rPr>
                <w:rFonts w:ascii="Calibri Light" w:eastAsia="Calibri" w:hAnsi="Calibri Light" w:cs="Calibri Light"/>
                <w:sz w:val="20"/>
                <w:szCs w:val="20"/>
              </w:rPr>
              <w:t>,</w:t>
            </w:r>
            <w:r w:rsidR="00157AED">
              <w:rPr>
                <w:rFonts w:ascii="Calibri Light" w:eastAsia="Calibri" w:hAnsi="Calibri Light" w:cs="Calibri Light"/>
                <w:sz w:val="20"/>
                <w:szCs w:val="20"/>
              </w:rPr>
              <w:t xml:space="preserve"> </w:t>
            </w:r>
            <w:r w:rsidR="006461D9">
              <w:rPr>
                <w:rFonts w:ascii="Calibri Light" w:eastAsia="Calibri" w:hAnsi="Calibri Light" w:cs="Calibri Light"/>
                <w:sz w:val="20"/>
                <w:szCs w:val="20"/>
              </w:rPr>
              <w:t xml:space="preserve">resulta </w:t>
            </w:r>
            <w:r w:rsidR="00BE6F99">
              <w:rPr>
                <w:rFonts w:ascii="Calibri Light" w:eastAsia="Calibri" w:hAnsi="Calibri Light" w:cs="Calibri Light"/>
                <w:sz w:val="20"/>
                <w:szCs w:val="20"/>
              </w:rPr>
              <w:t>insuficiente</w:t>
            </w:r>
            <w:r w:rsidR="00D67B68">
              <w:rPr>
                <w:rFonts w:ascii="Calibri Light" w:eastAsia="Calibri" w:hAnsi="Calibri Light" w:cs="Calibri Light"/>
                <w:sz w:val="20"/>
                <w:szCs w:val="20"/>
              </w:rPr>
              <w:t xml:space="preserve"> que el plazo otorgado a la EM</w:t>
            </w:r>
            <w:r w:rsidR="00157AED">
              <w:rPr>
                <w:rFonts w:ascii="Calibri Light" w:eastAsia="Calibri" w:hAnsi="Calibri Light" w:cs="Calibri Light"/>
                <w:sz w:val="20"/>
                <w:szCs w:val="20"/>
              </w:rPr>
              <w:t xml:space="preserve"> </w:t>
            </w:r>
            <w:r w:rsidR="00D67B68">
              <w:rPr>
                <w:rFonts w:ascii="Calibri Light" w:eastAsia="Calibri" w:hAnsi="Calibri Light" w:cs="Calibri Light"/>
                <w:sz w:val="20"/>
                <w:szCs w:val="20"/>
              </w:rPr>
              <w:t>sea el mismo</w:t>
            </w:r>
            <w:r w:rsidR="00157AED">
              <w:rPr>
                <w:rFonts w:ascii="Calibri Light" w:eastAsia="Calibri" w:hAnsi="Calibri Light" w:cs="Calibri Light"/>
                <w:sz w:val="20"/>
                <w:szCs w:val="20"/>
              </w:rPr>
              <w:t xml:space="preserve"> </w:t>
            </w:r>
            <w:r w:rsidR="00E37E43">
              <w:rPr>
                <w:rFonts w:ascii="Calibri Light" w:eastAsia="Calibri" w:hAnsi="Calibri Light" w:cs="Calibri Light"/>
                <w:sz w:val="20"/>
                <w:szCs w:val="20"/>
              </w:rPr>
              <w:t xml:space="preserve">que se asigne </w:t>
            </w:r>
            <w:r w:rsidR="00157AED">
              <w:rPr>
                <w:rFonts w:ascii="Calibri Light" w:eastAsia="Calibri" w:hAnsi="Calibri Light" w:cs="Calibri Light"/>
                <w:sz w:val="20"/>
                <w:szCs w:val="20"/>
              </w:rPr>
              <w:t>para la DM</w:t>
            </w:r>
            <w:r w:rsidR="00E37E43">
              <w:rPr>
                <w:rFonts w:ascii="Calibri Light" w:eastAsia="Calibri" w:hAnsi="Calibri Light" w:cs="Calibri Light"/>
                <w:sz w:val="20"/>
                <w:szCs w:val="20"/>
              </w:rPr>
              <w:t xml:space="preserve">, </w:t>
            </w:r>
            <w:r w:rsidR="006461D9">
              <w:rPr>
                <w:rFonts w:ascii="Calibri Light" w:eastAsia="Calibri" w:hAnsi="Calibri Light" w:cs="Calibri Light"/>
                <w:sz w:val="20"/>
                <w:szCs w:val="20"/>
              </w:rPr>
              <w:t xml:space="preserve">ya que ello podría ocasionar que </w:t>
            </w:r>
            <w:r w:rsidR="00E37E43">
              <w:rPr>
                <w:rFonts w:ascii="Calibri Light" w:eastAsia="Calibri" w:hAnsi="Calibri Light" w:cs="Calibri Light"/>
                <w:sz w:val="20"/>
                <w:szCs w:val="20"/>
              </w:rPr>
              <w:t xml:space="preserve">la DM </w:t>
            </w:r>
            <w:r w:rsidR="006461D9">
              <w:rPr>
                <w:rFonts w:ascii="Calibri Light" w:eastAsia="Calibri" w:hAnsi="Calibri Light" w:cs="Calibri Light"/>
                <w:sz w:val="20"/>
                <w:szCs w:val="20"/>
              </w:rPr>
              <w:t xml:space="preserve">no cuente con el tiempo mínimo necesario para cumplir con </w:t>
            </w:r>
            <w:r w:rsidR="00971B00">
              <w:rPr>
                <w:rFonts w:ascii="Calibri Light" w:eastAsia="Calibri" w:hAnsi="Calibri Light" w:cs="Calibri Light"/>
                <w:sz w:val="20"/>
                <w:szCs w:val="20"/>
              </w:rPr>
              <w:t xml:space="preserve">el plazo establecido </w:t>
            </w:r>
            <w:r w:rsidR="006461D9">
              <w:rPr>
                <w:rFonts w:ascii="Calibri Light" w:eastAsia="Calibri" w:hAnsi="Calibri Light" w:cs="Calibri Light"/>
                <w:sz w:val="20"/>
                <w:szCs w:val="20"/>
              </w:rPr>
              <w:t>a su cargo</w:t>
            </w:r>
            <w:r w:rsidR="000E0B3F">
              <w:rPr>
                <w:rFonts w:ascii="Calibri Light" w:eastAsia="Calibri" w:hAnsi="Calibri Light" w:cs="Calibri Light"/>
                <w:sz w:val="20"/>
                <w:szCs w:val="20"/>
              </w:rPr>
              <w:t>.</w:t>
            </w:r>
          </w:p>
          <w:p w14:paraId="5BC74CD3" w14:textId="77777777" w:rsidR="00536ADF" w:rsidRDefault="00536ADF" w:rsidP="00536ADF">
            <w:pPr>
              <w:jc w:val="both"/>
              <w:rPr>
                <w:rFonts w:ascii="Calibri Light" w:eastAsia="Calibri" w:hAnsi="Calibri Light" w:cs="Calibri Light"/>
                <w:sz w:val="20"/>
                <w:szCs w:val="20"/>
              </w:rPr>
            </w:pPr>
          </w:p>
          <w:p w14:paraId="07DB2461" w14:textId="77777777" w:rsidR="00530C60" w:rsidRDefault="00530C60" w:rsidP="00536ADF">
            <w:pPr>
              <w:jc w:val="both"/>
              <w:rPr>
                <w:rFonts w:ascii="Calibri Light" w:eastAsia="Calibri" w:hAnsi="Calibri Light" w:cs="Calibri Light"/>
                <w:sz w:val="20"/>
                <w:szCs w:val="20"/>
              </w:rPr>
            </w:pPr>
          </w:p>
          <w:p w14:paraId="7D0F5C06" w14:textId="77777777" w:rsidR="00D24FAD" w:rsidRDefault="00D24FAD" w:rsidP="00536ADF">
            <w:pPr>
              <w:jc w:val="both"/>
              <w:rPr>
                <w:rFonts w:ascii="Calibri Light" w:eastAsia="Calibri" w:hAnsi="Calibri Light" w:cs="Calibri Light"/>
                <w:sz w:val="20"/>
                <w:szCs w:val="20"/>
              </w:rPr>
            </w:pPr>
          </w:p>
          <w:p w14:paraId="514A5AA0" w14:textId="041EF2D2" w:rsidR="00530C60" w:rsidRDefault="003C2F16" w:rsidP="00536ADF">
            <w:pPr>
              <w:jc w:val="both"/>
              <w:rPr>
                <w:rFonts w:ascii="Calibri Light" w:eastAsia="Calibri" w:hAnsi="Calibri Light" w:cs="Calibri Light"/>
                <w:sz w:val="20"/>
                <w:szCs w:val="20"/>
              </w:rPr>
            </w:pPr>
            <w:r>
              <w:rPr>
                <w:rFonts w:ascii="Calibri Light" w:eastAsia="Calibri" w:hAnsi="Calibri Light" w:cs="Calibri Light"/>
                <w:sz w:val="20"/>
                <w:szCs w:val="20"/>
              </w:rPr>
              <w:t>Los ajustes en días para la aceptación, envío de factura y realización de pago</w:t>
            </w:r>
            <w:r w:rsidR="00C23A37">
              <w:rPr>
                <w:rFonts w:ascii="Calibri Light" w:eastAsia="Calibri" w:hAnsi="Calibri Light" w:cs="Calibri Light"/>
                <w:sz w:val="20"/>
                <w:szCs w:val="20"/>
              </w:rPr>
              <w:t xml:space="preserve"> de los P</w:t>
            </w:r>
            <w:r w:rsidR="00EA3189">
              <w:rPr>
                <w:rFonts w:ascii="Calibri Light" w:eastAsia="Calibri" w:hAnsi="Calibri Light" w:cs="Calibri Light"/>
                <w:sz w:val="20"/>
                <w:szCs w:val="20"/>
              </w:rPr>
              <w:t xml:space="preserve">royectos </w:t>
            </w:r>
            <w:r w:rsidR="00C23A37">
              <w:rPr>
                <w:rFonts w:ascii="Calibri Light" w:eastAsia="Calibri" w:hAnsi="Calibri Light" w:cs="Calibri Light"/>
                <w:sz w:val="20"/>
                <w:szCs w:val="20"/>
              </w:rPr>
              <w:t>E</w:t>
            </w:r>
            <w:r w:rsidR="00EA3189">
              <w:rPr>
                <w:rFonts w:ascii="Calibri Light" w:eastAsia="Calibri" w:hAnsi="Calibri Light" w:cs="Calibri Light"/>
                <w:sz w:val="20"/>
                <w:szCs w:val="20"/>
              </w:rPr>
              <w:t>speciales</w:t>
            </w:r>
            <w:r>
              <w:rPr>
                <w:rFonts w:ascii="Calibri Light" w:eastAsia="Calibri" w:hAnsi="Calibri Light" w:cs="Calibri Light"/>
                <w:sz w:val="20"/>
                <w:szCs w:val="20"/>
              </w:rPr>
              <w:t xml:space="preserve"> se adaptan a los procesos propios e incluso de los Concesionarios ya que también ellos deben realizar procedimientos administrativos </w:t>
            </w:r>
            <w:r w:rsidR="00EA3189">
              <w:rPr>
                <w:rFonts w:ascii="Calibri Light" w:eastAsia="Calibri" w:hAnsi="Calibri Light" w:cs="Calibri Light"/>
                <w:sz w:val="20"/>
                <w:szCs w:val="20"/>
              </w:rPr>
              <w:t>de</w:t>
            </w:r>
            <w:r>
              <w:rPr>
                <w:rFonts w:ascii="Calibri Light" w:eastAsia="Calibri" w:hAnsi="Calibri Light" w:cs="Calibri Light"/>
                <w:sz w:val="20"/>
                <w:szCs w:val="20"/>
              </w:rPr>
              <w:t xml:space="preserve"> gestión de pagos que tienen una duración mayor a la actualmente establecida. Esto es con el fin de evitar que se cancele la solicitud y que el Concesionario tenga que realizar el procedimiento de contratación nuevamente.</w:t>
            </w:r>
          </w:p>
          <w:p w14:paraId="2C837D20" w14:textId="6E47B7B3" w:rsidR="00536ADF" w:rsidRDefault="00530C60"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En caso de tratarse de un </w:t>
            </w:r>
            <w:r w:rsidR="00EA3189">
              <w:rPr>
                <w:rFonts w:ascii="Calibri Light" w:eastAsia="Calibri" w:hAnsi="Calibri Light" w:cs="Calibri Light"/>
                <w:sz w:val="20"/>
                <w:szCs w:val="20"/>
              </w:rPr>
              <w:t>P</w:t>
            </w:r>
            <w:r>
              <w:rPr>
                <w:rFonts w:ascii="Calibri Light" w:eastAsia="Calibri" w:hAnsi="Calibri Light" w:cs="Calibri Light"/>
                <w:sz w:val="20"/>
                <w:szCs w:val="20"/>
              </w:rPr>
              <w:t xml:space="preserve">royecto </w:t>
            </w:r>
            <w:r w:rsidR="00EA3189">
              <w:rPr>
                <w:rFonts w:ascii="Calibri Light" w:eastAsia="Calibri" w:hAnsi="Calibri Light" w:cs="Calibri Light"/>
                <w:sz w:val="20"/>
                <w:szCs w:val="20"/>
              </w:rPr>
              <w:t>E</w:t>
            </w:r>
            <w:r>
              <w:rPr>
                <w:rFonts w:ascii="Calibri Light" w:eastAsia="Calibri" w:hAnsi="Calibri Light" w:cs="Calibri Light"/>
                <w:sz w:val="20"/>
                <w:szCs w:val="20"/>
              </w:rPr>
              <w:t xml:space="preserve">special, la fecha de entrega del servicio es acordada entre las </w:t>
            </w:r>
            <w:r w:rsidR="00EA3189">
              <w:rPr>
                <w:rFonts w:ascii="Calibri Light" w:eastAsia="Calibri" w:hAnsi="Calibri Light" w:cs="Calibri Light"/>
                <w:sz w:val="20"/>
                <w:szCs w:val="20"/>
              </w:rPr>
              <w:t>P</w:t>
            </w:r>
            <w:r>
              <w:rPr>
                <w:rFonts w:ascii="Calibri Light" w:eastAsia="Calibri" w:hAnsi="Calibri Light" w:cs="Calibri Light"/>
                <w:sz w:val="20"/>
                <w:szCs w:val="20"/>
              </w:rPr>
              <w:t>artes. Para dar claridad a los Concesionarios a partir del inicio del conteo del plazo de entrega, se menciona que el plazo definido en la cotización dará inicio el día hábil siguiente una vez realizado el pago por parte del Concesionario y enviado el comprobante de pago vía correo electrónico.</w:t>
            </w:r>
          </w:p>
          <w:p w14:paraId="4B63F5AA" w14:textId="77777777" w:rsidR="00536ADF" w:rsidRDefault="00536ADF" w:rsidP="00536ADF">
            <w:pPr>
              <w:jc w:val="both"/>
              <w:rPr>
                <w:rFonts w:ascii="Calibri Light" w:eastAsia="Calibri" w:hAnsi="Calibri Light" w:cs="Calibri Light"/>
                <w:sz w:val="20"/>
                <w:szCs w:val="20"/>
              </w:rPr>
            </w:pPr>
          </w:p>
          <w:p w14:paraId="54D447B5" w14:textId="77777777" w:rsidR="00536ADF" w:rsidRDefault="00536ADF" w:rsidP="00536ADF">
            <w:pPr>
              <w:jc w:val="both"/>
              <w:rPr>
                <w:rFonts w:ascii="Calibri Light" w:eastAsia="Calibri" w:hAnsi="Calibri Light" w:cs="Calibri Light"/>
                <w:sz w:val="20"/>
                <w:szCs w:val="20"/>
              </w:rPr>
            </w:pPr>
          </w:p>
          <w:p w14:paraId="6ECFD97F" w14:textId="77777777" w:rsidR="00536ADF" w:rsidRDefault="00536ADF" w:rsidP="00536ADF">
            <w:pPr>
              <w:jc w:val="both"/>
              <w:rPr>
                <w:rFonts w:ascii="Calibri Light" w:eastAsia="Calibri" w:hAnsi="Calibri Light" w:cs="Calibri Light"/>
                <w:sz w:val="20"/>
                <w:szCs w:val="20"/>
              </w:rPr>
            </w:pPr>
          </w:p>
          <w:p w14:paraId="36D7C8CF" w14:textId="1B8BF8A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S</w:t>
            </w:r>
            <w:r w:rsidR="007E7F6E">
              <w:rPr>
                <w:rFonts w:ascii="Calibri Light" w:eastAsia="Calibri" w:hAnsi="Calibri Light" w:cs="Calibri Light"/>
                <w:sz w:val="20"/>
                <w:szCs w:val="20"/>
              </w:rPr>
              <w:t xml:space="preserve">obre la propuesta de </w:t>
            </w:r>
            <w:r>
              <w:rPr>
                <w:rFonts w:ascii="Calibri Light" w:eastAsia="Calibri" w:hAnsi="Calibri Light" w:cs="Calibri Light"/>
                <w:sz w:val="20"/>
                <w:szCs w:val="20"/>
              </w:rPr>
              <w:t>modificación para permitir el cobro de gastos administrativos empleados en el análisis y justificación técnica para la realización de la cotización de un P</w:t>
            </w:r>
            <w:r w:rsidR="00EA3189">
              <w:rPr>
                <w:rFonts w:ascii="Calibri Light" w:eastAsia="Calibri" w:hAnsi="Calibri Light" w:cs="Calibri Light"/>
                <w:sz w:val="20"/>
                <w:szCs w:val="20"/>
              </w:rPr>
              <w:t xml:space="preserve">royecto </w:t>
            </w:r>
            <w:r>
              <w:rPr>
                <w:rFonts w:ascii="Calibri Light" w:eastAsia="Calibri" w:hAnsi="Calibri Light" w:cs="Calibri Light"/>
                <w:sz w:val="20"/>
                <w:szCs w:val="20"/>
              </w:rPr>
              <w:t>E</w:t>
            </w:r>
            <w:r w:rsidR="00EA3189">
              <w:rPr>
                <w:rFonts w:ascii="Calibri Light" w:eastAsia="Calibri" w:hAnsi="Calibri Light" w:cs="Calibri Light"/>
                <w:sz w:val="20"/>
                <w:szCs w:val="20"/>
              </w:rPr>
              <w:t>special</w:t>
            </w:r>
            <w:r>
              <w:rPr>
                <w:rFonts w:ascii="Calibri Light" w:eastAsia="Calibri" w:hAnsi="Calibri Light" w:cs="Calibri Light"/>
                <w:sz w:val="20"/>
                <w:szCs w:val="20"/>
              </w:rPr>
              <w:t>, cuando el C</w:t>
            </w:r>
            <w:r w:rsidR="003C6475">
              <w:rPr>
                <w:rFonts w:ascii="Calibri Light" w:eastAsia="Calibri" w:hAnsi="Calibri Light" w:cs="Calibri Light"/>
                <w:sz w:val="20"/>
                <w:szCs w:val="20"/>
              </w:rPr>
              <w:t>oncesionario</w:t>
            </w:r>
            <w:r>
              <w:rPr>
                <w:rFonts w:ascii="Calibri Light" w:eastAsia="Calibri" w:hAnsi="Calibri Light" w:cs="Calibri Light"/>
                <w:sz w:val="20"/>
                <w:szCs w:val="20"/>
              </w:rPr>
              <w:t xml:space="preserve"> decida no aceptar la cotización puesta a su consideración</w:t>
            </w:r>
            <w:r w:rsidR="007E7F6E">
              <w:rPr>
                <w:rFonts w:ascii="Calibri Light" w:eastAsia="Calibri" w:hAnsi="Calibri Light" w:cs="Calibri Light"/>
                <w:sz w:val="20"/>
                <w:szCs w:val="20"/>
              </w:rPr>
              <w:t xml:space="preserve">, se adiciona un gasto administrativo derivado de las acciones, propuesta de ingeniería y horas empleadas por el personal técnico y administrativo para </w:t>
            </w:r>
            <w:r w:rsidR="00855168">
              <w:rPr>
                <w:rFonts w:ascii="Calibri Light" w:eastAsia="Calibri" w:hAnsi="Calibri Light" w:cs="Calibri Light"/>
                <w:sz w:val="20"/>
                <w:szCs w:val="20"/>
              </w:rPr>
              <w:t>la realización de la cotización.</w:t>
            </w:r>
            <w:r w:rsidR="00C23A37">
              <w:rPr>
                <w:rFonts w:ascii="Calibri Light" w:eastAsia="Calibri" w:hAnsi="Calibri Light" w:cs="Calibri Light"/>
                <w:sz w:val="20"/>
                <w:szCs w:val="20"/>
              </w:rPr>
              <w:t xml:space="preserve"> En caso de aceptarse este cargo se incluye dentro del costo del P</w:t>
            </w:r>
            <w:r w:rsidR="00EA3189">
              <w:rPr>
                <w:rFonts w:ascii="Calibri Light" w:eastAsia="Calibri" w:hAnsi="Calibri Light" w:cs="Calibri Light"/>
                <w:sz w:val="20"/>
                <w:szCs w:val="20"/>
              </w:rPr>
              <w:t xml:space="preserve">royecto </w:t>
            </w:r>
            <w:r w:rsidR="00C23A37">
              <w:rPr>
                <w:rFonts w:ascii="Calibri Light" w:eastAsia="Calibri" w:hAnsi="Calibri Light" w:cs="Calibri Light"/>
                <w:sz w:val="20"/>
                <w:szCs w:val="20"/>
              </w:rPr>
              <w:t>E</w:t>
            </w:r>
            <w:r w:rsidR="00EA3189">
              <w:rPr>
                <w:rFonts w:ascii="Calibri Light" w:eastAsia="Calibri" w:hAnsi="Calibri Light" w:cs="Calibri Light"/>
                <w:sz w:val="20"/>
                <w:szCs w:val="20"/>
              </w:rPr>
              <w:t>special</w:t>
            </w:r>
            <w:r w:rsidR="00C23A37">
              <w:rPr>
                <w:rFonts w:ascii="Calibri Light" w:eastAsia="Calibri" w:hAnsi="Calibri Light" w:cs="Calibri Light"/>
                <w:sz w:val="20"/>
                <w:szCs w:val="20"/>
              </w:rPr>
              <w:t>.</w:t>
            </w:r>
          </w:p>
        </w:tc>
      </w:tr>
      <w:tr w:rsidR="00536ADF" w:rsidRPr="00C13F5A" w14:paraId="0FC745BE" w14:textId="77777777" w:rsidTr="00FD4CB6">
        <w:trPr>
          <w:trHeight w:val="1727"/>
          <w:jc w:val="center"/>
        </w:trPr>
        <w:tc>
          <w:tcPr>
            <w:tcW w:w="2405" w:type="dxa"/>
            <w:vMerge/>
            <w:shd w:val="clear" w:color="auto" w:fill="auto"/>
            <w:vAlign w:val="center"/>
          </w:tcPr>
          <w:p w14:paraId="13491B04" w14:textId="77777777" w:rsidR="00536ADF" w:rsidRDefault="00536ADF" w:rsidP="00536ADF">
            <w:pPr>
              <w:jc w:val="center"/>
              <w:rPr>
                <w:sz w:val="20"/>
                <w:szCs w:val="20"/>
              </w:rPr>
            </w:pPr>
          </w:p>
        </w:tc>
        <w:tc>
          <w:tcPr>
            <w:tcW w:w="1276" w:type="dxa"/>
            <w:shd w:val="clear" w:color="auto" w:fill="auto"/>
            <w:vAlign w:val="center"/>
          </w:tcPr>
          <w:p w14:paraId="769E18A1" w14:textId="77777777" w:rsidR="00536ADF" w:rsidRDefault="00536ADF" w:rsidP="00536ADF">
            <w:pPr>
              <w:jc w:val="center"/>
              <w:rPr>
                <w:rFonts w:cstheme="minorHAnsi"/>
                <w:sz w:val="20"/>
                <w:szCs w:val="20"/>
              </w:rPr>
            </w:pPr>
            <w:r>
              <w:rPr>
                <w:rFonts w:cstheme="minorHAnsi"/>
                <w:sz w:val="20"/>
                <w:szCs w:val="20"/>
              </w:rPr>
              <w:t>2.5.6.4</w:t>
            </w:r>
          </w:p>
        </w:tc>
        <w:tc>
          <w:tcPr>
            <w:tcW w:w="1559" w:type="dxa"/>
            <w:vMerge/>
            <w:shd w:val="clear" w:color="auto" w:fill="auto"/>
            <w:vAlign w:val="center"/>
          </w:tcPr>
          <w:p w14:paraId="2A23D0D3" w14:textId="77777777" w:rsidR="00536ADF" w:rsidRDefault="00536ADF" w:rsidP="00536ADF">
            <w:pPr>
              <w:jc w:val="both"/>
              <w:rPr>
                <w:rFonts w:cstheme="minorHAnsi"/>
                <w:sz w:val="20"/>
                <w:szCs w:val="20"/>
              </w:rPr>
            </w:pPr>
          </w:p>
        </w:tc>
        <w:tc>
          <w:tcPr>
            <w:tcW w:w="3686" w:type="dxa"/>
          </w:tcPr>
          <w:p w14:paraId="3B0EFDB4" w14:textId="77777777" w:rsidR="00536ADF" w:rsidRPr="00C873DC" w:rsidRDefault="00536ADF" w:rsidP="00536ADF">
            <w:pPr>
              <w:jc w:val="both"/>
              <w:rPr>
                <w:rFonts w:ascii="Calibri Light" w:eastAsia="Calibri" w:hAnsi="Calibri Light" w:cs="Calibri Light"/>
                <w:sz w:val="20"/>
                <w:szCs w:val="20"/>
              </w:rPr>
            </w:pPr>
            <w:r w:rsidRPr="00C873DC">
              <w:rPr>
                <w:rFonts w:ascii="Calibri Light" w:eastAsia="Calibri" w:hAnsi="Calibri Light" w:cs="Calibri Light"/>
                <w:sz w:val="20"/>
                <w:szCs w:val="20"/>
              </w:rPr>
              <w:t>2.5.6.4 No se considerarán Proyectos Especiales, los siguientes casos:</w:t>
            </w:r>
          </w:p>
          <w:p w14:paraId="4927AE11" w14:textId="77777777" w:rsidR="00536ADF" w:rsidRPr="00C873DC" w:rsidRDefault="00536ADF" w:rsidP="00536ADF">
            <w:pPr>
              <w:jc w:val="both"/>
              <w:rPr>
                <w:rFonts w:ascii="Calibri Light" w:eastAsia="Calibri" w:hAnsi="Calibri Light" w:cs="Calibri Light"/>
                <w:sz w:val="20"/>
                <w:szCs w:val="20"/>
              </w:rPr>
            </w:pPr>
          </w:p>
          <w:p w14:paraId="124DAD8D" w14:textId="77777777" w:rsidR="00536ADF" w:rsidRPr="007B3AB2" w:rsidRDefault="00536ADF" w:rsidP="00536ADF">
            <w:pPr>
              <w:jc w:val="both"/>
              <w:rPr>
                <w:rFonts w:ascii="Calibri Light" w:eastAsia="Calibri" w:hAnsi="Calibri Light" w:cs="Calibri Light"/>
                <w:color w:val="0070C0"/>
                <w:sz w:val="20"/>
                <w:szCs w:val="20"/>
              </w:rPr>
            </w:pPr>
            <w:r w:rsidRPr="00C873DC">
              <w:rPr>
                <w:rFonts w:ascii="Calibri Light" w:eastAsia="Calibri" w:hAnsi="Calibri Light" w:cs="Calibri Light"/>
                <w:sz w:val="20"/>
                <w:szCs w:val="20"/>
              </w:rPr>
              <w:t>(i)</w:t>
            </w:r>
            <w:r w:rsidRPr="00C873DC">
              <w:rPr>
                <w:rFonts w:ascii="Calibri Light" w:eastAsia="Calibri" w:hAnsi="Calibri Light" w:cs="Calibri Light"/>
                <w:sz w:val="20"/>
                <w:szCs w:val="20"/>
              </w:rPr>
              <w:tab/>
              <w:t>Cuando División Mayorista Telmex/Telnor preste o haya prestado servicios al Concesionario o Autorizado Solicitante en un determinado domicilio, utilizando la misma tecnología requerida</w:t>
            </w:r>
            <w:r>
              <w:rPr>
                <w:rFonts w:ascii="Calibri Light" w:eastAsia="Calibri" w:hAnsi="Calibri Light" w:cs="Calibri Light"/>
                <w:sz w:val="20"/>
                <w:szCs w:val="20"/>
              </w:rPr>
              <w:t xml:space="preserve">, </w:t>
            </w:r>
            <w:r w:rsidRPr="007B3AB2">
              <w:rPr>
                <w:rFonts w:ascii="Calibri Light" w:eastAsia="Calibri" w:hAnsi="Calibri Light" w:cs="Calibri Light"/>
                <w:color w:val="0070C0"/>
                <w:sz w:val="20"/>
                <w:szCs w:val="20"/>
              </w:rPr>
              <w:t>siempre y cuando se cuente con infraestructura disponible para proporcionar el servicio;</w:t>
            </w:r>
          </w:p>
          <w:p w14:paraId="4907B8DD" w14:textId="77777777" w:rsidR="00536ADF" w:rsidRPr="007B3AB2" w:rsidRDefault="00536ADF" w:rsidP="00536ADF">
            <w:pPr>
              <w:jc w:val="both"/>
              <w:rPr>
                <w:rFonts w:ascii="Calibri Light" w:eastAsia="Calibri" w:hAnsi="Calibri Light" w:cs="Calibri Light"/>
                <w:color w:val="0070C0"/>
                <w:sz w:val="20"/>
                <w:szCs w:val="20"/>
              </w:rPr>
            </w:pPr>
          </w:p>
          <w:p w14:paraId="484BCA6E" w14:textId="77777777" w:rsidR="00536ADF" w:rsidRPr="007B3AB2" w:rsidRDefault="00536ADF" w:rsidP="00536ADF">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(ii)</w:t>
            </w:r>
            <w:r w:rsidRPr="007B3AB2">
              <w:rPr>
                <w:rFonts w:ascii="Calibri Light" w:eastAsia="Calibri" w:hAnsi="Calibri Light" w:cs="Calibri Light"/>
                <w:strike/>
                <w:color w:val="0070C0"/>
                <w:sz w:val="20"/>
                <w:szCs w:val="20"/>
              </w:rPr>
              <w:tab/>
              <w:t>Cuando únicamente se requiera utilizar un equipo con diferente tecnología. En este caso será procedente el cobro de los gastos de instalación de dicho equipo y la renta mensual asociada a dicho enlace, de conformidad con los precios y tarifas de la presente Oferta;</w:t>
            </w:r>
          </w:p>
          <w:p w14:paraId="1EA1B721" w14:textId="7777777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w:t>
            </w:r>
          </w:p>
          <w:p w14:paraId="3CFB264F" w14:textId="77777777" w:rsidR="00536ADF" w:rsidRDefault="00536ADF" w:rsidP="00536ADF">
            <w:pPr>
              <w:jc w:val="both"/>
              <w:rPr>
                <w:rFonts w:ascii="Calibri Light" w:eastAsia="Calibri" w:hAnsi="Calibri Light" w:cs="Calibri Light"/>
                <w:sz w:val="20"/>
                <w:szCs w:val="20"/>
              </w:rPr>
            </w:pPr>
          </w:p>
        </w:tc>
        <w:tc>
          <w:tcPr>
            <w:tcW w:w="5257" w:type="dxa"/>
            <w:shd w:val="clear" w:color="auto" w:fill="auto"/>
            <w:vAlign w:val="center"/>
          </w:tcPr>
          <w:p w14:paraId="09F97CD2" w14:textId="3428BAB4"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Se propone el presente cambio para eliminar el inciso ii) del numeral 2.5.6.4, dado que el uso de equipos con diferente tecnología ocasiona costos que deben ser analizados para determinar, caso por caso, si es necesario considerarlos en la cotización de un P</w:t>
            </w:r>
            <w:r w:rsidR="00EA3189">
              <w:rPr>
                <w:rFonts w:ascii="Calibri Light" w:eastAsia="Calibri" w:hAnsi="Calibri Light" w:cs="Calibri Light"/>
                <w:sz w:val="20"/>
                <w:szCs w:val="20"/>
              </w:rPr>
              <w:t xml:space="preserve">royecto </w:t>
            </w:r>
            <w:r>
              <w:rPr>
                <w:rFonts w:ascii="Calibri Light" w:eastAsia="Calibri" w:hAnsi="Calibri Light" w:cs="Calibri Light"/>
                <w:sz w:val="20"/>
                <w:szCs w:val="20"/>
              </w:rPr>
              <w:t>E</w:t>
            </w:r>
            <w:r w:rsidR="00EA3189">
              <w:rPr>
                <w:rFonts w:ascii="Calibri Light" w:eastAsia="Calibri" w:hAnsi="Calibri Light" w:cs="Calibri Light"/>
                <w:sz w:val="20"/>
                <w:szCs w:val="20"/>
              </w:rPr>
              <w:t>special</w:t>
            </w:r>
            <w:r>
              <w:rPr>
                <w:rFonts w:ascii="Calibri Light" w:eastAsia="Calibri" w:hAnsi="Calibri Light" w:cs="Calibri Light"/>
                <w:sz w:val="20"/>
                <w:szCs w:val="20"/>
              </w:rPr>
              <w:t>.</w:t>
            </w:r>
          </w:p>
          <w:p w14:paraId="433628C7" w14:textId="3256074E" w:rsidR="00B06CC6" w:rsidRDefault="00E5721F" w:rsidP="003C234B">
            <w:pPr>
              <w:jc w:val="both"/>
              <w:rPr>
                <w:rFonts w:ascii="Calibri Light" w:eastAsia="Calibri" w:hAnsi="Calibri Light" w:cs="Calibri Light"/>
                <w:sz w:val="20"/>
                <w:szCs w:val="20"/>
              </w:rPr>
            </w:pPr>
            <w:r>
              <w:rPr>
                <w:rFonts w:ascii="Calibri Light" w:eastAsia="Calibri" w:hAnsi="Calibri Light" w:cs="Calibri Light"/>
                <w:sz w:val="20"/>
                <w:szCs w:val="20"/>
              </w:rPr>
              <w:t>S</w:t>
            </w:r>
            <w:r w:rsidR="00B06CC6">
              <w:rPr>
                <w:rFonts w:ascii="Calibri Light" w:eastAsia="Calibri" w:hAnsi="Calibri Light" w:cs="Calibri Light"/>
                <w:sz w:val="20"/>
                <w:szCs w:val="20"/>
              </w:rPr>
              <w:t xml:space="preserve">i se tiene un </w:t>
            </w:r>
            <w:r w:rsidR="00144C2D">
              <w:rPr>
                <w:rFonts w:ascii="Calibri Light" w:eastAsia="Calibri" w:hAnsi="Calibri Light" w:cs="Calibri Light"/>
                <w:sz w:val="20"/>
                <w:szCs w:val="20"/>
              </w:rPr>
              <w:t xml:space="preserve">servicio que utiliza </w:t>
            </w:r>
            <w:r w:rsidR="00B06CC6">
              <w:rPr>
                <w:rFonts w:ascii="Calibri Light" w:eastAsia="Calibri" w:hAnsi="Calibri Light" w:cs="Calibri Light"/>
                <w:sz w:val="20"/>
                <w:szCs w:val="20"/>
              </w:rPr>
              <w:t xml:space="preserve">equipo con tecnología TDM y ahora se requiere </w:t>
            </w:r>
            <w:r>
              <w:rPr>
                <w:rFonts w:ascii="Calibri Light" w:eastAsia="Calibri" w:hAnsi="Calibri Light" w:cs="Calibri Light"/>
                <w:sz w:val="20"/>
                <w:szCs w:val="20"/>
              </w:rPr>
              <w:t>un nuevo</w:t>
            </w:r>
            <w:r w:rsidR="00144C2D">
              <w:rPr>
                <w:rFonts w:ascii="Calibri Light" w:eastAsia="Calibri" w:hAnsi="Calibri Light" w:cs="Calibri Light"/>
                <w:sz w:val="20"/>
                <w:szCs w:val="20"/>
              </w:rPr>
              <w:t xml:space="preserve"> servicio en el mismo </w:t>
            </w:r>
            <w:r>
              <w:rPr>
                <w:rFonts w:ascii="Calibri Light" w:eastAsia="Calibri" w:hAnsi="Calibri Light" w:cs="Calibri Light"/>
                <w:sz w:val="20"/>
                <w:szCs w:val="20"/>
              </w:rPr>
              <w:t xml:space="preserve">sitio </w:t>
            </w:r>
            <w:r w:rsidR="00FF2196">
              <w:rPr>
                <w:rFonts w:ascii="Calibri Light" w:eastAsia="Calibri" w:hAnsi="Calibri Light" w:cs="Calibri Light"/>
                <w:sz w:val="20"/>
                <w:szCs w:val="20"/>
              </w:rPr>
              <w:t xml:space="preserve">pero usando </w:t>
            </w:r>
            <w:r w:rsidR="00B06CC6">
              <w:rPr>
                <w:rFonts w:ascii="Calibri Light" w:eastAsia="Calibri" w:hAnsi="Calibri Light" w:cs="Calibri Light"/>
                <w:sz w:val="20"/>
                <w:szCs w:val="20"/>
              </w:rPr>
              <w:t xml:space="preserve">otro equipo con </w:t>
            </w:r>
            <w:r>
              <w:rPr>
                <w:rFonts w:ascii="Calibri Light" w:eastAsia="Calibri" w:hAnsi="Calibri Light" w:cs="Calibri Light"/>
                <w:sz w:val="20"/>
                <w:szCs w:val="20"/>
              </w:rPr>
              <w:t xml:space="preserve">diferente </w:t>
            </w:r>
            <w:r w:rsidR="00B06CC6">
              <w:rPr>
                <w:rFonts w:ascii="Calibri Light" w:eastAsia="Calibri" w:hAnsi="Calibri Light" w:cs="Calibri Light"/>
                <w:sz w:val="20"/>
                <w:szCs w:val="20"/>
              </w:rPr>
              <w:t xml:space="preserve">tecnología </w:t>
            </w:r>
            <w:r>
              <w:rPr>
                <w:rFonts w:ascii="Calibri Light" w:eastAsia="Calibri" w:hAnsi="Calibri Light" w:cs="Calibri Light"/>
                <w:sz w:val="20"/>
                <w:szCs w:val="20"/>
              </w:rPr>
              <w:t xml:space="preserve">como lo es </w:t>
            </w:r>
            <w:r w:rsidR="00B06CC6">
              <w:rPr>
                <w:rFonts w:ascii="Calibri Light" w:eastAsia="Calibri" w:hAnsi="Calibri Light" w:cs="Calibri Light"/>
                <w:sz w:val="20"/>
                <w:szCs w:val="20"/>
              </w:rPr>
              <w:t xml:space="preserve">Ethernet, es entendible que la infraestructura de red con tecnología TDM que se usaba para el servicio existente, no es compatible con la </w:t>
            </w:r>
            <w:r w:rsidR="00144C2D">
              <w:rPr>
                <w:rFonts w:ascii="Calibri Light" w:eastAsia="Calibri" w:hAnsi="Calibri Light" w:cs="Calibri Light"/>
                <w:sz w:val="20"/>
                <w:szCs w:val="20"/>
              </w:rPr>
              <w:t>tecnología Ethernet necesaria ahora para el aprovisionamiento del nuevo servicio</w:t>
            </w:r>
            <w:r w:rsidR="00FF2196">
              <w:rPr>
                <w:rFonts w:ascii="Calibri Light" w:eastAsia="Calibri" w:hAnsi="Calibri Light" w:cs="Calibri Light"/>
                <w:sz w:val="20"/>
                <w:szCs w:val="20"/>
              </w:rPr>
              <w:t xml:space="preserve">, es decir, </w:t>
            </w:r>
            <w:r w:rsidR="00ED1A54">
              <w:rPr>
                <w:rFonts w:ascii="Calibri Light" w:eastAsia="Calibri" w:hAnsi="Calibri Light" w:cs="Calibri Light"/>
                <w:sz w:val="20"/>
                <w:szCs w:val="20"/>
              </w:rPr>
              <w:t xml:space="preserve">se tiene que evaluar si se cuenta con infraestructura </w:t>
            </w:r>
            <w:r w:rsidR="00971B00">
              <w:rPr>
                <w:rFonts w:ascii="Calibri Light" w:eastAsia="Calibri" w:hAnsi="Calibri Light" w:cs="Calibri Light"/>
                <w:sz w:val="20"/>
                <w:szCs w:val="20"/>
              </w:rPr>
              <w:t xml:space="preserve">de red </w:t>
            </w:r>
            <w:r w:rsidR="00ED1A54">
              <w:rPr>
                <w:rFonts w:ascii="Calibri Light" w:eastAsia="Calibri" w:hAnsi="Calibri Light" w:cs="Calibri Light"/>
                <w:sz w:val="20"/>
                <w:szCs w:val="20"/>
              </w:rPr>
              <w:t xml:space="preserve">disponible en el resto de la </w:t>
            </w:r>
            <w:r w:rsidR="00971B00">
              <w:rPr>
                <w:rFonts w:ascii="Calibri Light" w:eastAsia="Calibri" w:hAnsi="Calibri Light" w:cs="Calibri Light"/>
                <w:sz w:val="20"/>
                <w:szCs w:val="20"/>
              </w:rPr>
              <w:t xml:space="preserve">ruta </w:t>
            </w:r>
            <w:r w:rsidR="00E16529">
              <w:rPr>
                <w:rFonts w:ascii="Calibri Light" w:eastAsia="Calibri" w:hAnsi="Calibri Light" w:cs="Calibri Light"/>
                <w:sz w:val="20"/>
                <w:szCs w:val="20"/>
              </w:rPr>
              <w:t xml:space="preserve">para suministrar el </w:t>
            </w:r>
            <w:r w:rsidR="003C234B">
              <w:rPr>
                <w:rFonts w:ascii="Calibri Light" w:eastAsia="Calibri" w:hAnsi="Calibri Light" w:cs="Calibri Light"/>
                <w:sz w:val="20"/>
                <w:szCs w:val="20"/>
              </w:rPr>
              <w:t xml:space="preserve">nuevo </w:t>
            </w:r>
            <w:r w:rsidR="00E16529">
              <w:rPr>
                <w:rFonts w:ascii="Calibri Light" w:eastAsia="Calibri" w:hAnsi="Calibri Light" w:cs="Calibri Light"/>
                <w:sz w:val="20"/>
                <w:szCs w:val="20"/>
              </w:rPr>
              <w:t>servicio solicitado</w:t>
            </w:r>
            <w:r w:rsidR="00971B00">
              <w:rPr>
                <w:rFonts w:ascii="Calibri Light" w:eastAsia="Calibri" w:hAnsi="Calibri Light" w:cs="Calibri Light"/>
                <w:sz w:val="20"/>
                <w:szCs w:val="20"/>
              </w:rPr>
              <w:t>;</w:t>
            </w:r>
            <w:r w:rsidR="00E16529">
              <w:rPr>
                <w:rFonts w:ascii="Calibri Light" w:eastAsia="Calibri" w:hAnsi="Calibri Light" w:cs="Calibri Light"/>
                <w:sz w:val="20"/>
                <w:szCs w:val="20"/>
              </w:rPr>
              <w:t xml:space="preserve"> en caso de </w:t>
            </w:r>
            <w:r w:rsidR="00971B00">
              <w:rPr>
                <w:rFonts w:ascii="Calibri Light" w:eastAsia="Calibri" w:hAnsi="Calibri Light" w:cs="Calibri Light"/>
                <w:sz w:val="20"/>
                <w:szCs w:val="20"/>
              </w:rPr>
              <w:t xml:space="preserve">no haber </w:t>
            </w:r>
            <w:r w:rsidR="00E16529">
              <w:rPr>
                <w:rFonts w:ascii="Calibri Light" w:eastAsia="Calibri" w:hAnsi="Calibri Light" w:cs="Calibri Light"/>
                <w:sz w:val="20"/>
                <w:szCs w:val="20"/>
              </w:rPr>
              <w:t>disponibilidad de infraestructura existente</w:t>
            </w:r>
            <w:r w:rsidR="00971B00">
              <w:rPr>
                <w:rFonts w:ascii="Calibri Light" w:eastAsia="Calibri" w:hAnsi="Calibri Light" w:cs="Calibri Light"/>
                <w:sz w:val="20"/>
                <w:szCs w:val="20"/>
              </w:rPr>
              <w:t>,</w:t>
            </w:r>
            <w:r w:rsidR="00E16529">
              <w:rPr>
                <w:rFonts w:ascii="Calibri Light" w:eastAsia="Calibri" w:hAnsi="Calibri Light" w:cs="Calibri Light"/>
                <w:sz w:val="20"/>
                <w:szCs w:val="20"/>
              </w:rPr>
              <w:t xml:space="preserve"> se tendría que cotizar necesariamente un Proyecto Especial</w:t>
            </w:r>
            <w:r w:rsidR="003C234B">
              <w:rPr>
                <w:rFonts w:ascii="Calibri Light" w:eastAsia="Calibri" w:hAnsi="Calibri Light" w:cs="Calibri Light"/>
                <w:sz w:val="20"/>
                <w:szCs w:val="20"/>
              </w:rPr>
              <w:t>.</w:t>
            </w:r>
          </w:p>
        </w:tc>
      </w:tr>
      <w:tr w:rsidR="001B0139" w:rsidRPr="00C13F5A" w14:paraId="3A5923DE" w14:textId="77777777" w:rsidTr="006404EC">
        <w:trPr>
          <w:trHeight w:val="568"/>
          <w:jc w:val="center"/>
        </w:trPr>
        <w:tc>
          <w:tcPr>
            <w:tcW w:w="2405" w:type="dxa"/>
            <w:shd w:val="clear" w:color="auto" w:fill="auto"/>
            <w:vAlign w:val="center"/>
          </w:tcPr>
          <w:p w14:paraId="6ACB4FA1" w14:textId="77777777" w:rsidR="001B0139" w:rsidRDefault="001B0139" w:rsidP="006404EC">
            <w:pPr>
              <w:jc w:val="center"/>
              <w:rPr>
                <w:sz w:val="20"/>
                <w:szCs w:val="20"/>
              </w:rPr>
            </w:pPr>
            <w:r>
              <w:rPr>
                <w:sz w:val="20"/>
                <w:szCs w:val="20"/>
              </w:rPr>
              <w:t>Anexo “C”</w:t>
            </w:r>
          </w:p>
        </w:tc>
        <w:tc>
          <w:tcPr>
            <w:tcW w:w="1276" w:type="dxa"/>
            <w:shd w:val="clear" w:color="auto" w:fill="auto"/>
            <w:vAlign w:val="center"/>
          </w:tcPr>
          <w:p w14:paraId="14BAC9E1" w14:textId="77777777" w:rsidR="001B0139" w:rsidRDefault="001B0139" w:rsidP="006404EC">
            <w:pPr>
              <w:jc w:val="center"/>
              <w:rPr>
                <w:rFonts w:cstheme="minorHAnsi"/>
                <w:sz w:val="20"/>
                <w:szCs w:val="20"/>
              </w:rPr>
            </w:pPr>
            <w:r>
              <w:rPr>
                <w:rFonts w:cstheme="minorHAnsi"/>
                <w:sz w:val="20"/>
                <w:szCs w:val="20"/>
              </w:rPr>
              <w:t>Sección B</w:t>
            </w:r>
          </w:p>
        </w:tc>
        <w:tc>
          <w:tcPr>
            <w:tcW w:w="1559" w:type="dxa"/>
            <w:shd w:val="clear" w:color="auto" w:fill="auto"/>
            <w:vAlign w:val="center"/>
          </w:tcPr>
          <w:p w14:paraId="5CDF6FEA" w14:textId="77777777" w:rsidR="001B0139" w:rsidRPr="00512AF5" w:rsidRDefault="00512AF5" w:rsidP="00512AF5">
            <w:pPr>
              <w:jc w:val="center"/>
              <w:rPr>
                <w:rFonts w:cstheme="minorHAnsi"/>
                <w:b/>
                <w:bCs/>
                <w:sz w:val="20"/>
                <w:szCs w:val="20"/>
              </w:rPr>
            </w:pPr>
            <w:r w:rsidRPr="00512AF5">
              <w:rPr>
                <w:rFonts w:cstheme="minorHAnsi"/>
                <w:b/>
                <w:bCs/>
                <w:sz w:val="20"/>
                <w:szCs w:val="20"/>
              </w:rPr>
              <w:t>Proyectos Especiales</w:t>
            </w:r>
          </w:p>
        </w:tc>
        <w:tc>
          <w:tcPr>
            <w:tcW w:w="3686" w:type="dxa"/>
            <w:vAlign w:val="center"/>
          </w:tcPr>
          <w:p w14:paraId="02D5402C" w14:textId="77777777" w:rsidR="001B0139" w:rsidRDefault="001B0139" w:rsidP="006404EC">
            <w:pPr>
              <w:rPr>
                <w:rFonts w:ascii="Calibri Light" w:eastAsia="Calibri" w:hAnsi="Calibri Light" w:cs="Calibri Light"/>
                <w:sz w:val="20"/>
                <w:szCs w:val="20"/>
              </w:rPr>
            </w:pPr>
            <w:r>
              <w:rPr>
                <w:rFonts w:ascii="Calibri Light" w:eastAsia="Calibri" w:hAnsi="Calibri Light" w:cs="Calibri Light"/>
                <w:sz w:val="20"/>
                <w:szCs w:val="20"/>
              </w:rPr>
              <w:t xml:space="preserve">[Ver cambio en la propuesta </w:t>
            </w:r>
            <w:r w:rsidR="00924788">
              <w:rPr>
                <w:rFonts w:ascii="Calibri Light" w:eastAsia="Calibri" w:hAnsi="Calibri Light" w:cs="Calibri Light"/>
                <w:sz w:val="20"/>
                <w:szCs w:val="20"/>
              </w:rPr>
              <w:t>ORE 2024</w:t>
            </w:r>
            <w:r>
              <w:rPr>
                <w:rFonts w:ascii="Calibri Light" w:eastAsia="Calibri" w:hAnsi="Calibri Light" w:cs="Calibri Light"/>
                <w:sz w:val="20"/>
                <w:szCs w:val="20"/>
              </w:rPr>
              <w:t>]</w:t>
            </w:r>
          </w:p>
        </w:tc>
        <w:tc>
          <w:tcPr>
            <w:tcW w:w="5257" w:type="dxa"/>
            <w:shd w:val="clear" w:color="auto" w:fill="auto"/>
            <w:vAlign w:val="center"/>
          </w:tcPr>
          <w:p w14:paraId="4A0B9B7F" w14:textId="77777777" w:rsidR="001B0139" w:rsidRDefault="001B0139" w:rsidP="006404EC">
            <w:pPr>
              <w:jc w:val="both"/>
              <w:rPr>
                <w:rFonts w:ascii="Calibri Light" w:eastAsia="Calibri" w:hAnsi="Calibri Light" w:cs="Calibri Light"/>
                <w:sz w:val="20"/>
                <w:szCs w:val="20"/>
              </w:rPr>
            </w:pPr>
            <w:r>
              <w:rPr>
                <w:rFonts w:ascii="Calibri Light" w:eastAsia="Calibri" w:hAnsi="Calibri Light" w:cs="Calibri Light"/>
                <w:sz w:val="20"/>
                <w:szCs w:val="20"/>
              </w:rPr>
              <w:t>Igual que las justificaciones previas de los numerales 2.5.6, 2.5.6.1, 2.5.6.2 asociadas a este tema.</w:t>
            </w:r>
          </w:p>
        </w:tc>
      </w:tr>
      <w:tr w:rsidR="00536ADF" w:rsidRPr="00C13F5A" w14:paraId="73A4ED1F" w14:textId="77777777" w:rsidTr="00FD4CB6">
        <w:trPr>
          <w:trHeight w:val="568"/>
          <w:jc w:val="center"/>
        </w:trPr>
        <w:tc>
          <w:tcPr>
            <w:tcW w:w="2405" w:type="dxa"/>
            <w:shd w:val="clear" w:color="auto" w:fill="auto"/>
            <w:vAlign w:val="center"/>
          </w:tcPr>
          <w:p w14:paraId="08C1C621" w14:textId="77777777" w:rsidR="00536ADF" w:rsidRPr="0078730A" w:rsidRDefault="001B0139" w:rsidP="00536ADF">
            <w:pPr>
              <w:jc w:val="center"/>
              <w:rPr>
                <w:sz w:val="20"/>
                <w:szCs w:val="20"/>
              </w:rPr>
            </w:pPr>
            <w:r w:rsidRPr="0078730A">
              <w:rPr>
                <w:sz w:val="20"/>
                <w:szCs w:val="20"/>
              </w:rPr>
              <w:t>Oferta</w:t>
            </w:r>
          </w:p>
          <w:p w14:paraId="0CDAA899" w14:textId="77777777" w:rsidR="008B7D95" w:rsidRPr="0078730A" w:rsidRDefault="008B7D95" w:rsidP="00536ADF">
            <w:pPr>
              <w:jc w:val="center"/>
              <w:rPr>
                <w:sz w:val="20"/>
                <w:szCs w:val="20"/>
              </w:rPr>
            </w:pPr>
          </w:p>
          <w:p w14:paraId="3B82A96F" w14:textId="77777777" w:rsidR="008B7D95" w:rsidRPr="0078730A" w:rsidRDefault="008B7D95" w:rsidP="00536ADF">
            <w:pPr>
              <w:jc w:val="center"/>
              <w:rPr>
                <w:sz w:val="20"/>
                <w:szCs w:val="20"/>
              </w:rPr>
            </w:pPr>
            <w:r w:rsidRPr="0078730A">
              <w:rPr>
                <w:sz w:val="20"/>
                <w:szCs w:val="20"/>
              </w:rPr>
              <w:t>Anexo “C”</w:t>
            </w:r>
          </w:p>
        </w:tc>
        <w:tc>
          <w:tcPr>
            <w:tcW w:w="1276" w:type="dxa"/>
            <w:shd w:val="clear" w:color="auto" w:fill="auto"/>
            <w:vAlign w:val="center"/>
          </w:tcPr>
          <w:p w14:paraId="1EAAD57A" w14:textId="77777777" w:rsidR="00536ADF" w:rsidRPr="0078730A" w:rsidRDefault="001B0139" w:rsidP="00536ADF">
            <w:pPr>
              <w:jc w:val="center"/>
              <w:rPr>
                <w:rFonts w:cstheme="minorHAnsi"/>
                <w:sz w:val="20"/>
                <w:szCs w:val="20"/>
              </w:rPr>
            </w:pPr>
            <w:r w:rsidRPr="0078730A">
              <w:rPr>
                <w:rFonts w:cstheme="minorHAnsi"/>
                <w:sz w:val="20"/>
                <w:szCs w:val="20"/>
              </w:rPr>
              <w:t>2.5.9</w:t>
            </w:r>
          </w:p>
          <w:p w14:paraId="1ACC6E1B" w14:textId="77777777" w:rsidR="008B7D95" w:rsidRPr="0078730A" w:rsidRDefault="008B7D95" w:rsidP="00536ADF">
            <w:pPr>
              <w:jc w:val="center"/>
              <w:rPr>
                <w:rFonts w:cstheme="minorHAnsi"/>
                <w:sz w:val="20"/>
                <w:szCs w:val="20"/>
              </w:rPr>
            </w:pPr>
          </w:p>
          <w:p w14:paraId="2FA8D1E9" w14:textId="77777777" w:rsidR="008B7D95" w:rsidRPr="0078730A" w:rsidRDefault="008B7D95" w:rsidP="00536ADF">
            <w:pPr>
              <w:jc w:val="center"/>
              <w:rPr>
                <w:rFonts w:cstheme="minorHAnsi"/>
                <w:sz w:val="20"/>
                <w:szCs w:val="20"/>
              </w:rPr>
            </w:pPr>
            <w:r w:rsidRPr="0078730A">
              <w:rPr>
                <w:rFonts w:cstheme="minorHAnsi"/>
                <w:sz w:val="20"/>
                <w:szCs w:val="20"/>
              </w:rPr>
              <w:t>Sección B</w:t>
            </w:r>
          </w:p>
        </w:tc>
        <w:tc>
          <w:tcPr>
            <w:tcW w:w="1559" w:type="dxa"/>
            <w:shd w:val="clear" w:color="auto" w:fill="auto"/>
            <w:vAlign w:val="center"/>
          </w:tcPr>
          <w:p w14:paraId="7A8991C9" w14:textId="77777777" w:rsidR="00536ADF" w:rsidRPr="0078730A" w:rsidRDefault="00536ADF" w:rsidP="00536ADF">
            <w:pPr>
              <w:jc w:val="both"/>
              <w:rPr>
                <w:rFonts w:cstheme="minorHAnsi"/>
                <w:sz w:val="20"/>
                <w:szCs w:val="20"/>
              </w:rPr>
            </w:pPr>
          </w:p>
        </w:tc>
        <w:tc>
          <w:tcPr>
            <w:tcW w:w="3686" w:type="dxa"/>
            <w:vAlign w:val="center"/>
          </w:tcPr>
          <w:p w14:paraId="0AAACA6D" w14:textId="12DD7CD1" w:rsidR="00536ADF" w:rsidRPr="0078730A" w:rsidRDefault="001B0139" w:rsidP="00EB36DB">
            <w:pPr>
              <w:jc w:val="both"/>
              <w:rPr>
                <w:rFonts w:ascii="Calibri Light" w:eastAsia="Calibri" w:hAnsi="Calibri Light" w:cs="Calibri Light"/>
                <w:sz w:val="20"/>
                <w:szCs w:val="20"/>
              </w:rPr>
            </w:pPr>
            <w:r w:rsidRPr="0078730A">
              <w:rPr>
                <w:rFonts w:ascii="Calibri Light" w:eastAsia="Calibri" w:hAnsi="Calibri Light" w:cs="Calibri Light"/>
                <w:color w:val="0070C0"/>
                <w:sz w:val="20"/>
                <w:szCs w:val="20"/>
              </w:rPr>
              <w:t>2.5.9 En caso de que los datos de la solicitud sean correctos, pero al momento de realizar el análisis de factibilidad se encuentren dudas o inconsistencias</w:t>
            </w:r>
            <w:r w:rsidR="00ED6F24" w:rsidRPr="0078730A">
              <w:rPr>
                <w:rFonts w:ascii="Calibri Light" w:eastAsia="Calibri" w:hAnsi="Calibri Light" w:cs="Calibri Light"/>
                <w:color w:val="0070C0"/>
                <w:sz w:val="20"/>
                <w:szCs w:val="20"/>
              </w:rPr>
              <w:t xml:space="preserve"> sobre la información suministrada por el Concesionario Solicitante o Autorizado Solicitante</w:t>
            </w:r>
            <w:r w:rsidRPr="0078730A">
              <w:rPr>
                <w:rFonts w:ascii="Calibri Light" w:eastAsia="Calibri" w:hAnsi="Calibri Light" w:cs="Calibri Light"/>
                <w:color w:val="0070C0"/>
                <w:sz w:val="20"/>
                <w:szCs w:val="20"/>
              </w:rPr>
              <w:t xml:space="preserve">, se </w:t>
            </w:r>
            <w:r w:rsidR="00AC3C0E" w:rsidRPr="0078730A">
              <w:rPr>
                <w:rFonts w:ascii="Calibri Light" w:eastAsia="Calibri" w:hAnsi="Calibri Light" w:cs="Calibri Light"/>
                <w:color w:val="0070C0"/>
                <w:sz w:val="20"/>
                <w:szCs w:val="20"/>
              </w:rPr>
              <w:t>realizará</w:t>
            </w:r>
            <w:r w:rsidRPr="0078730A">
              <w:rPr>
                <w:rFonts w:ascii="Calibri Light" w:eastAsia="Calibri" w:hAnsi="Calibri Light" w:cs="Calibri Light"/>
                <w:color w:val="0070C0"/>
                <w:sz w:val="20"/>
                <w:szCs w:val="20"/>
              </w:rPr>
              <w:t xml:space="preserve"> un paro de reloj</w:t>
            </w:r>
            <w:r w:rsidR="00ED6F24" w:rsidRPr="0078730A">
              <w:rPr>
                <w:rFonts w:ascii="Calibri Light" w:eastAsia="Calibri" w:hAnsi="Calibri Light" w:cs="Calibri Light"/>
                <w:color w:val="0070C0"/>
                <w:sz w:val="20"/>
                <w:szCs w:val="20"/>
              </w:rPr>
              <w:t>,</w:t>
            </w:r>
            <w:r w:rsidRPr="0078730A">
              <w:rPr>
                <w:rFonts w:ascii="Calibri Light" w:eastAsia="Calibri" w:hAnsi="Calibri Light" w:cs="Calibri Light"/>
                <w:color w:val="0070C0"/>
                <w:sz w:val="20"/>
                <w:szCs w:val="20"/>
              </w:rPr>
              <w:t xml:space="preserve"> </w:t>
            </w:r>
            <w:r w:rsidR="002D7A89" w:rsidRPr="0078730A">
              <w:rPr>
                <w:rFonts w:ascii="Calibri Light" w:eastAsia="Calibri" w:hAnsi="Calibri Light" w:cs="Calibri Light"/>
                <w:color w:val="0070C0"/>
                <w:sz w:val="20"/>
                <w:szCs w:val="20"/>
              </w:rPr>
              <w:t>solicita</w:t>
            </w:r>
            <w:r w:rsidR="00ED6F24" w:rsidRPr="0078730A">
              <w:rPr>
                <w:rFonts w:ascii="Calibri Light" w:eastAsia="Calibri" w:hAnsi="Calibri Light" w:cs="Calibri Light"/>
                <w:color w:val="0070C0"/>
                <w:sz w:val="20"/>
                <w:szCs w:val="20"/>
              </w:rPr>
              <w:t>ndo la</w:t>
            </w:r>
            <w:r w:rsidR="002D7A89" w:rsidRPr="0078730A">
              <w:rPr>
                <w:rFonts w:ascii="Calibri Light" w:eastAsia="Calibri" w:hAnsi="Calibri Light" w:cs="Calibri Light"/>
                <w:color w:val="0070C0"/>
                <w:sz w:val="20"/>
                <w:szCs w:val="20"/>
              </w:rPr>
              <w:t xml:space="preserve"> aclaración</w:t>
            </w:r>
            <w:r w:rsidRPr="0078730A">
              <w:rPr>
                <w:rFonts w:ascii="Calibri Light" w:eastAsia="Calibri" w:hAnsi="Calibri Light" w:cs="Calibri Light"/>
                <w:color w:val="0070C0"/>
                <w:sz w:val="20"/>
                <w:szCs w:val="20"/>
              </w:rPr>
              <w:t xml:space="preserve"> al Concesionario Solicitante o Autorizado Solicitante </w:t>
            </w:r>
            <w:r w:rsidR="00ED6F24" w:rsidRPr="0078730A">
              <w:rPr>
                <w:rFonts w:ascii="Calibri Light" w:eastAsia="Calibri" w:hAnsi="Calibri Light" w:cs="Calibri Light"/>
                <w:color w:val="0070C0"/>
                <w:sz w:val="20"/>
                <w:szCs w:val="20"/>
              </w:rPr>
              <w:t>de</w:t>
            </w:r>
            <w:r w:rsidRPr="0078730A">
              <w:rPr>
                <w:rFonts w:ascii="Calibri Light" w:eastAsia="Calibri" w:hAnsi="Calibri Light" w:cs="Calibri Light"/>
                <w:color w:val="0070C0"/>
                <w:sz w:val="20"/>
                <w:szCs w:val="20"/>
              </w:rPr>
              <w:t xml:space="preserve"> las especificaciones correctas para proporcionar su servicio. Una vez resuelta la aclaración, se </w:t>
            </w:r>
            <w:r w:rsidR="00AC3C0E" w:rsidRPr="0078730A">
              <w:rPr>
                <w:rFonts w:ascii="Calibri Light" w:eastAsia="Calibri" w:hAnsi="Calibri Light" w:cs="Calibri Light"/>
                <w:color w:val="0070C0"/>
                <w:sz w:val="20"/>
                <w:szCs w:val="20"/>
              </w:rPr>
              <w:t>concluirá</w:t>
            </w:r>
            <w:r w:rsidRPr="0078730A">
              <w:rPr>
                <w:rFonts w:ascii="Calibri Light" w:eastAsia="Calibri" w:hAnsi="Calibri Light" w:cs="Calibri Light"/>
                <w:color w:val="0070C0"/>
                <w:sz w:val="20"/>
                <w:szCs w:val="20"/>
              </w:rPr>
              <w:t xml:space="preserve"> el paro de reloj y se continuará con el proceso.</w:t>
            </w:r>
          </w:p>
        </w:tc>
        <w:tc>
          <w:tcPr>
            <w:tcW w:w="5257" w:type="dxa"/>
            <w:shd w:val="clear" w:color="auto" w:fill="auto"/>
            <w:vAlign w:val="center"/>
          </w:tcPr>
          <w:p w14:paraId="55247B8F" w14:textId="2982B654" w:rsidR="00536ADF" w:rsidRDefault="001B0139" w:rsidP="00BD084A">
            <w:pPr>
              <w:jc w:val="both"/>
              <w:rPr>
                <w:rFonts w:ascii="Calibri Light" w:eastAsia="Calibri" w:hAnsi="Calibri Light" w:cs="Calibri Light"/>
                <w:sz w:val="20"/>
                <w:szCs w:val="20"/>
              </w:rPr>
            </w:pPr>
            <w:r w:rsidRPr="0078730A">
              <w:rPr>
                <w:rFonts w:ascii="Calibri Light" w:eastAsia="Calibri" w:hAnsi="Calibri Light" w:cs="Calibri Light"/>
                <w:sz w:val="20"/>
                <w:szCs w:val="20"/>
              </w:rPr>
              <w:t>Con base en la experiencia en el proceso de validación de solicitudes, se propone el párrafo antes descrito para permitir aclaración en aquellos casos que la información proporcionada por el Concesionario sea correcta, pero al momento de revisar la factibilidad del enlace</w:t>
            </w:r>
            <w:r w:rsidR="002C0D0C" w:rsidRPr="0078730A">
              <w:rPr>
                <w:rFonts w:ascii="Calibri Light" w:eastAsia="Calibri" w:hAnsi="Calibri Light" w:cs="Calibri Light"/>
                <w:sz w:val="20"/>
                <w:szCs w:val="20"/>
              </w:rPr>
              <w:t xml:space="preserve"> se encuentren inconsistencias o dudas, por ejemplo: i)</w:t>
            </w:r>
            <w:r w:rsidR="00BD084A" w:rsidRPr="0078730A">
              <w:rPr>
                <w:rFonts w:ascii="Calibri Light" w:eastAsia="Calibri" w:hAnsi="Calibri Light" w:cs="Calibri Light"/>
                <w:sz w:val="20"/>
                <w:szCs w:val="20"/>
              </w:rPr>
              <w:t xml:space="preserve"> Cuando el Concesionario solicite</w:t>
            </w:r>
            <w:r w:rsidR="002C0D0C" w:rsidRPr="0078730A">
              <w:rPr>
                <w:rFonts w:ascii="Calibri Light" w:eastAsia="Calibri" w:hAnsi="Calibri Light" w:cs="Calibri Light"/>
                <w:sz w:val="20"/>
                <w:szCs w:val="20"/>
              </w:rPr>
              <w:t xml:space="preserve"> redundancia, pero al solicitar el enlace no indica si </w:t>
            </w:r>
            <w:r w:rsidR="006D21A8" w:rsidRPr="0078730A">
              <w:rPr>
                <w:rFonts w:ascii="Calibri Light" w:eastAsia="Calibri" w:hAnsi="Calibri Light" w:cs="Calibri Light"/>
                <w:sz w:val="20"/>
                <w:szCs w:val="20"/>
              </w:rPr>
              <w:t>la</w:t>
            </w:r>
            <w:r w:rsidR="002C0D0C" w:rsidRPr="0078730A">
              <w:rPr>
                <w:rFonts w:ascii="Calibri Light" w:eastAsia="Calibri" w:hAnsi="Calibri Light" w:cs="Calibri Light"/>
                <w:sz w:val="20"/>
                <w:szCs w:val="20"/>
              </w:rPr>
              <w:t xml:space="preserve"> redundancia </w:t>
            </w:r>
            <w:r w:rsidR="006D21A8" w:rsidRPr="0078730A">
              <w:rPr>
                <w:rFonts w:ascii="Calibri Light" w:eastAsia="Calibri" w:hAnsi="Calibri Light" w:cs="Calibri Light"/>
                <w:sz w:val="20"/>
                <w:szCs w:val="20"/>
              </w:rPr>
              <w:t xml:space="preserve">que necesita es en </w:t>
            </w:r>
            <w:r w:rsidR="00DF2A2E" w:rsidRPr="0078730A">
              <w:rPr>
                <w:rFonts w:ascii="Calibri Light" w:eastAsia="Calibri" w:hAnsi="Calibri Light" w:cs="Calibri Light"/>
                <w:sz w:val="20"/>
                <w:szCs w:val="20"/>
              </w:rPr>
              <w:t xml:space="preserve">solo un una punta, en ambas, en todo el enlace o en la </w:t>
            </w:r>
            <w:r w:rsidR="00315831" w:rsidRPr="0078730A">
              <w:rPr>
                <w:rFonts w:ascii="Calibri Light" w:eastAsia="Calibri" w:hAnsi="Calibri Light" w:cs="Calibri Light"/>
                <w:sz w:val="20"/>
                <w:szCs w:val="20"/>
              </w:rPr>
              <w:t>última</w:t>
            </w:r>
            <w:r w:rsidR="00DF2A2E" w:rsidRPr="0078730A">
              <w:rPr>
                <w:rFonts w:ascii="Calibri Light" w:eastAsia="Calibri" w:hAnsi="Calibri Light" w:cs="Calibri Light"/>
                <w:sz w:val="20"/>
                <w:szCs w:val="20"/>
              </w:rPr>
              <w:t xml:space="preserve"> milla</w:t>
            </w:r>
            <w:r w:rsidR="00512AF5" w:rsidRPr="0078730A">
              <w:rPr>
                <w:rFonts w:ascii="Calibri Light" w:eastAsia="Calibri" w:hAnsi="Calibri Light" w:cs="Calibri Light"/>
                <w:sz w:val="20"/>
                <w:szCs w:val="20"/>
              </w:rPr>
              <w:t>;</w:t>
            </w:r>
            <w:r w:rsidR="00DF2A2E" w:rsidRPr="0078730A">
              <w:rPr>
                <w:rFonts w:ascii="Calibri Light" w:eastAsia="Calibri" w:hAnsi="Calibri Light" w:cs="Calibri Light"/>
                <w:sz w:val="20"/>
                <w:szCs w:val="20"/>
              </w:rPr>
              <w:t xml:space="preserve"> </w:t>
            </w:r>
            <w:r w:rsidR="00512AF5" w:rsidRPr="0078730A">
              <w:rPr>
                <w:rFonts w:ascii="Calibri Light" w:eastAsia="Calibri" w:hAnsi="Calibri Light" w:cs="Calibri Light"/>
                <w:sz w:val="20"/>
                <w:szCs w:val="20"/>
              </w:rPr>
              <w:t>i</w:t>
            </w:r>
            <w:r w:rsidR="00DF2A2E" w:rsidRPr="0078730A">
              <w:rPr>
                <w:rFonts w:ascii="Calibri Light" w:eastAsia="Calibri" w:hAnsi="Calibri Light" w:cs="Calibri Light"/>
                <w:sz w:val="20"/>
                <w:szCs w:val="20"/>
              </w:rPr>
              <w:t xml:space="preserve">i) Existen casos </w:t>
            </w:r>
            <w:r w:rsidR="00EA3189" w:rsidRPr="0078730A">
              <w:rPr>
                <w:rFonts w:ascii="Calibri Light" w:eastAsia="Calibri" w:hAnsi="Calibri Light" w:cs="Calibri Light"/>
                <w:sz w:val="20"/>
                <w:szCs w:val="20"/>
              </w:rPr>
              <w:t xml:space="preserve">en los </w:t>
            </w:r>
            <w:r w:rsidR="00DF2A2E" w:rsidRPr="0078730A">
              <w:rPr>
                <w:rFonts w:ascii="Calibri Light" w:eastAsia="Calibri" w:hAnsi="Calibri Light" w:cs="Calibri Light"/>
                <w:sz w:val="20"/>
                <w:szCs w:val="20"/>
              </w:rPr>
              <w:t xml:space="preserve">que la dirección y coordenadas son correctas, pero al momento que el personal técnico revisa la </w:t>
            </w:r>
            <w:r w:rsidR="00CF6878" w:rsidRPr="0078730A">
              <w:rPr>
                <w:rFonts w:ascii="Calibri Light" w:eastAsia="Calibri" w:hAnsi="Calibri Light" w:cs="Calibri Light"/>
                <w:sz w:val="20"/>
                <w:szCs w:val="20"/>
              </w:rPr>
              <w:t>factibilidad</w:t>
            </w:r>
            <w:r w:rsidR="00DF2A2E" w:rsidRPr="0078730A">
              <w:rPr>
                <w:rFonts w:ascii="Calibri Light" w:eastAsia="Calibri" w:hAnsi="Calibri Light" w:cs="Calibri Light"/>
                <w:sz w:val="20"/>
                <w:szCs w:val="20"/>
              </w:rPr>
              <w:t xml:space="preserve">, encuentra que no existe el domicilio del cliente o que no es la calle ni código postal donde el Concesionario solicitó el enlace. </w:t>
            </w:r>
            <w:r w:rsidR="00E31922" w:rsidRPr="0078730A">
              <w:rPr>
                <w:rFonts w:ascii="Calibri Light" w:eastAsia="Calibri" w:hAnsi="Calibri Light" w:cs="Calibri Light"/>
                <w:sz w:val="20"/>
                <w:szCs w:val="20"/>
              </w:rPr>
              <w:t>L</w:t>
            </w:r>
            <w:r w:rsidR="00DF2A2E" w:rsidRPr="0078730A">
              <w:rPr>
                <w:rFonts w:ascii="Calibri Light" w:eastAsia="Calibri" w:hAnsi="Calibri Light" w:cs="Calibri Light"/>
                <w:sz w:val="20"/>
                <w:szCs w:val="20"/>
              </w:rPr>
              <w:t>a oferta debe permitir la aclaración y considerar el tiempo</w:t>
            </w:r>
            <w:r w:rsidR="00512AF5" w:rsidRPr="0078730A">
              <w:rPr>
                <w:rFonts w:ascii="Calibri Light" w:eastAsia="Calibri" w:hAnsi="Calibri Light" w:cs="Calibri Light"/>
                <w:sz w:val="20"/>
                <w:szCs w:val="20"/>
              </w:rPr>
              <w:t xml:space="preserve"> utilizado en </w:t>
            </w:r>
            <w:r w:rsidR="00BD084A" w:rsidRPr="0078730A">
              <w:rPr>
                <w:rFonts w:ascii="Calibri Light" w:eastAsia="Calibri" w:hAnsi="Calibri Light" w:cs="Calibri Light"/>
                <w:sz w:val="20"/>
                <w:szCs w:val="20"/>
              </w:rPr>
              <w:t>las mismas</w:t>
            </w:r>
            <w:r w:rsidR="00DF2A2E" w:rsidRPr="0078730A">
              <w:rPr>
                <w:rFonts w:ascii="Calibri Light" w:eastAsia="Calibri" w:hAnsi="Calibri Light" w:cs="Calibri Light"/>
                <w:sz w:val="20"/>
                <w:szCs w:val="20"/>
              </w:rPr>
              <w:t xml:space="preserve">, en caso contrario se debe permitir </w:t>
            </w:r>
            <w:r w:rsidR="00021D0A" w:rsidRPr="0078730A">
              <w:rPr>
                <w:rFonts w:ascii="Calibri Light" w:eastAsia="Calibri" w:hAnsi="Calibri Light" w:cs="Calibri Light"/>
                <w:sz w:val="20"/>
                <w:szCs w:val="20"/>
              </w:rPr>
              <w:t xml:space="preserve">la </w:t>
            </w:r>
            <w:r w:rsidR="00DF2A2E" w:rsidRPr="0078730A">
              <w:rPr>
                <w:rFonts w:ascii="Calibri Light" w:eastAsia="Calibri" w:hAnsi="Calibri Light" w:cs="Calibri Light"/>
                <w:sz w:val="20"/>
                <w:szCs w:val="20"/>
              </w:rPr>
              <w:t>cancela</w:t>
            </w:r>
            <w:r w:rsidR="00021D0A" w:rsidRPr="0078730A">
              <w:rPr>
                <w:rFonts w:ascii="Calibri Light" w:eastAsia="Calibri" w:hAnsi="Calibri Light" w:cs="Calibri Light"/>
                <w:sz w:val="20"/>
                <w:szCs w:val="20"/>
              </w:rPr>
              <w:t>ción de</w:t>
            </w:r>
            <w:r w:rsidR="00DF2A2E" w:rsidRPr="0078730A">
              <w:rPr>
                <w:rFonts w:ascii="Calibri Light" w:eastAsia="Calibri" w:hAnsi="Calibri Light" w:cs="Calibri Light"/>
                <w:sz w:val="20"/>
                <w:szCs w:val="20"/>
              </w:rPr>
              <w:t xml:space="preserve"> la solicitud del Concesionario si se detectaron inconsistencias al momento de </w:t>
            </w:r>
            <w:r w:rsidR="00BD084A" w:rsidRPr="0078730A">
              <w:rPr>
                <w:rFonts w:ascii="Calibri Light" w:eastAsia="Calibri" w:hAnsi="Calibri Light" w:cs="Calibri Light"/>
                <w:sz w:val="20"/>
                <w:szCs w:val="20"/>
              </w:rPr>
              <w:t>validar</w:t>
            </w:r>
            <w:r w:rsidR="00DF2A2E" w:rsidRPr="0078730A">
              <w:rPr>
                <w:rFonts w:ascii="Calibri Light" w:eastAsia="Calibri" w:hAnsi="Calibri Light" w:cs="Calibri Light"/>
                <w:sz w:val="20"/>
                <w:szCs w:val="20"/>
              </w:rPr>
              <w:t xml:space="preserve"> la factibilidad técnica y </w:t>
            </w:r>
            <w:r w:rsidR="00181398" w:rsidRPr="0078730A">
              <w:rPr>
                <w:rFonts w:ascii="Calibri Light" w:eastAsia="Calibri" w:hAnsi="Calibri Light" w:cs="Calibri Light"/>
                <w:sz w:val="20"/>
                <w:szCs w:val="20"/>
              </w:rPr>
              <w:t xml:space="preserve">el Concesionario </w:t>
            </w:r>
            <w:r w:rsidR="00DF2A2E" w:rsidRPr="0078730A">
              <w:rPr>
                <w:rFonts w:ascii="Calibri Light" w:eastAsia="Calibri" w:hAnsi="Calibri Light" w:cs="Calibri Light"/>
                <w:sz w:val="20"/>
                <w:szCs w:val="20"/>
              </w:rPr>
              <w:t>tendría que hacer nuevamente el proceso de solicitud del servicio desde el inicio.</w:t>
            </w:r>
          </w:p>
        </w:tc>
      </w:tr>
      <w:tr w:rsidR="00536ADF" w:rsidRPr="00C13F5A" w14:paraId="1525DA6E" w14:textId="77777777" w:rsidTr="009E337F">
        <w:trPr>
          <w:trHeight w:val="560"/>
          <w:jc w:val="center"/>
        </w:trPr>
        <w:tc>
          <w:tcPr>
            <w:tcW w:w="2405" w:type="dxa"/>
            <w:shd w:val="clear" w:color="auto" w:fill="auto"/>
            <w:vAlign w:val="center"/>
          </w:tcPr>
          <w:p w14:paraId="1929A5BE" w14:textId="77777777" w:rsidR="00536ADF" w:rsidRPr="00E43A57" w:rsidRDefault="00536ADF" w:rsidP="00536ADF">
            <w:pPr>
              <w:jc w:val="center"/>
              <w:rPr>
                <w:sz w:val="20"/>
                <w:szCs w:val="20"/>
              </w:rPr>
            </w:pPr>
            <w:r>
              <w:rPr>
                <w:sz w:val="20"/>
                <w:szCs w:val="20"/>
              </w:rPr>
              <w:t>Oferta</w:t>
            </w:r>
          </w:p>
        </w:tc>
        <w:tc>
          <w:tcPr>
            <w:tcW w:w="1276" w:type="dxa"/>
            <w:shd w:val="clear" w:color="auto" w:fill="auto"/>
            <w:vAlign w:val="center"/>
          </w:tcPr>
          <w:p w14:paraId="6DC817A7" w14:textId="77777777" w:rsidR="00536ADF" w:rsidRDefault="00536ADF" w:rsidP="00536ADF">
            <w:pPr>
              <w:jc w:val="center"/>
              <w:rPr>
                <w:rFonts w:cstheme="minorHAnsi"/>
                <w:sz w:val="20"/>
                <w:szCs w:val="20"/>
              </w:rPr>
            </w:pPr>
            <w:r>
              <w:rPr>
                <w:rFonts w:cstheme="minorHAnsi"/>
                <w:sz w:val="20"/>
                <w:szCs w:val="20"/>
              </w:rPr>
              <w:t>2.4.1.1</w:t>
            </w:r>
          </w:p>
          <w:p w14:paraId="30405343" w14:textId="77777777" w:rsidR="00536ADF" w:rsidRDefault="00536ADF" w:rsidP="00536ADF">
            <w:pPr>
              <w:jc w:val="center"/>
              <w:rPr>
                <w:rFonts w:cstheme="minorHAnsi"/>
                <w:sz w:val="20"/>
                <w:szCs w:val="20"/>
              </w:rPr>
            </w:pPr>
            <w:r>
              <w:rPr>
                <w:rFonts w:cstheme="minorHAnsi"/>
                <w:sz w:val="20"/>
                <w:szCs w:val="20"/>
              </w:rPr>
              <w:t>2.4.3.1</w:t>
            </w:r>
          </w:p>
          <w:p w14:paraId="2EC6F2E7" w14:textId="77777777" w:rsidR="00536ADF" w:rsidRDefault="00536ADF" w:rsidP="00536ADF">
            <w:pPr>
              <w:jc w:val="center"/>
              <w:rPr>
                <w:rFonts w:cstheme="minorHAnsi"/>
                <w:sz w:val="20"/>
                <w:szCs w:val="20"/>
              </w:rPr>
            </w:pPr>
            <w:r>
              <w:rPr>
                <w:rFonts w:cstheme="minorHAnsi"/>
                <w:sz w:val="20"/>
                <w:szCs w:val="20"/>
              </w:rPr>
              <w:t>2.6.2</w:t>
            </w:r>
          </w:p>
          <w:p w14:paraId="21615F49" w14:textId="77777777" w:rsidR="00536ADF" w:rsidRDefault="00536ADF" w:rsidP="00536ADF">
            <w:pPr>
              <w:jc w:val="center"/>
              <w:rPr>
                <w:rFonts w:cstheme="minorHAnsi"/>
                <w:sz w:val="20"/>
                <w:szCs w:val="20"/>
              </w:rPr>
            </w:pPr>
            <w:r>
              <w:rPr>
                <w:rFonts w:cstheme="minorHAnsi"/>
                <w:sz w:val="20"/>
                <w:szCs w:val="20"/>
              </w:rPr>
              <w:t>2.6.4</w:t>
            </w:r>
          </w:p>
          <w:p w14:paraId="2F91456B" w14:textId="77777777" w:rsidR="002B5CD4" w:rsidRPr="00E43A57" w:rsidRDefault="002B5CD4" w:rsidP="00536ADF">
            <w:pPr>
              <w:jc w:val="center"/>
              <w:rPr>
                <w:rFonts w:cstheme="minorHAnsi"/>
                <w:sz w:val="20"/>
                <w:szCs w:val="20"/>
              </w:rPr>
            </w:pPr>
            <w:r>
              <w:rPr>
                <w:rFonts w:cstheme="minorHAnsi"/>
                <w:sz w:val="20"/>
                <w:szCs w:val="20"/>
              </w:rPr>
              <w:t>Anexo “I”</w:t>
            </w:r>
          </w:p>
        </w:tc>
        <w:tc>
          <w:tcPr>
            <w:tcW w:w="1559" w:type="dxa"/>
            <w:vMerge w:val="restart"/>
            <w:shd w:val="clear" w:color="auto" w:fill="auto"/>
            <w:vAlign w:val="center"/>
          </w:tcPr>
          <w:p w14:paraId="7320E1CD" w14:textId="77777777" w:rsidR="00536ADF" w:rsidRPr="00FD4CB6" w:rsidRDefault="00536ADF" w:rsidP="00536ADF">
            <w:pPr>
              <w:jc w:val="both"/>
              <w:rPr>
                <w:rFonts w:cstheme="minorHAnsi"/>
                <w:b/>
                <w:bCs/>
                <w:sz w:val="20"/>
                <w:szCs w:val="20"/>
              </w:rPr>
            </w:pPr>
            <w:r w:rsidRPr="00FD4CB6">
              <w:rPr>
                <w:rFonts w:cstheme="minorHAnsi"/>
                <w:b/>
                <w:bCs/>
                <w:sz w:val="20"/>
                <w:szCs w:val="20"/>
              </w:rPr>
              <w:t>Plazos máximos de reparación de incidentes y entrega de servicios</w:t>
            </w:r>
            <w:r w:rsidR="002B5CD4">
              <w:rPr>
                <w:rFonts w:cstheme="minorHAnsi"/>
                <w:b/>
                <w:bCs/>
                <w:sz w:val="20"/>
                <w:szCs w:val="20"/>
              </w:rPr>
              <w:t xml:space="preserve"> y Tiempos de traslado para la atención de fallas</w:t>
            </w:r>
          </w:p>
        </w:tc>
        <w:tc>
          <w:tcPr>
            <w:tcW w:w="3686" w:type="dxa"/>
            <w:vAlign w:val="center"/>
          </w:tcPr>
          <w:p w14:paraId="4F835DB3" w14:textId="77777777" w:rsidR="0031524E" w:rsidRDefault="0031524E" w:rsidP="00536ADF">
            <w:pPr>
              <w:rPr>
                <w:rFonts w:ascii="Calibri Light" w:eastAsia="Calibri" w:hAnsi="Calibri Light" w:cs="Calibri Light"/>
                <w:b/>
                <w:bCs/>
                <w:sz w:val="20"/>
                <w:szCs w:val="20"/>
              </w:rPr>
            </w:pPr>
          </w:p>
          <w:p w14:paraId="7DAE68FA" w14:textId="77777777" w:rsidR="0031524E" w:rsidRDefault="0031524E" w:rsidP="00536ADF">
            <w:pPr>
              <w:rPr>
                <w:rFonts w:ascii="Calibri Light" w:eastAsia="Calibri" w:hAnsi="Calibri Light" w:cs="Calibri Light"/>
                <w:b/>
                <w:bCs/>
                <w:sz w:val="20"/>
                <w:szCs w:val="20"/>
              </w:rPr>
            </w:pPr>
          </w:p>
          <w:p w14:paraId="26FE2D91" w14:textId="77777777" w:rsidR="0031524E" w:rsidRDefault="0031524E" w:rsidP="00536ADF">
            <w:pPr>
              <w:rPr>
                <w:rFonts w:ascii="Calibri Light" w:eastAsia="Calibri" w:hAnsi="Calibri Light" w:cs="Calibri Light"/>
                <w:b/>
                <w:bCs/>
                <w:sz w:val="20"/>
                <w:szCs w:val="20"/>
              </w:rPr>
            </w:pPr>
          </w:p>
          <w:p w14:paraId="0026D923" w14:textId="77777777" w:rsidR="0031524E" w:rsidRDefault="0031524E" w:rsidP="00536ADF">
            <w:pPr>
              <w:rPr>
                <w:rFonts w:ascii="Calibri Light" w:eastAsia="Calibri" w:hAnsi="Calibri Light" w:cs="Calibri Light"/>
                <w:b/>
                <w:bCs/>
                <w:sz w:val="20"/>
                <w:szCs w:val="20"/>
              </w:rPr>
            </w:pPr>
          </w:p>
          <w:p w14:paraId="6D64D5CD" w14:textId="77777777" w:rsidR="0031524E" w:rsidRDefault="0031524E" w:rsidP="00536ADF">
            <w:pPr>
              <w:rPr>
                <w:rFonts w:ascii="Calibri Light" w:eastAsia="Calibri" w:hAnsi="Calibri Light" w:cs="Calibri Light"/>
                <w:b/>
                <w:bCs/>
                <w:sz w:val="20"/>
                <w:szCs w:val="20"/>
              </w:rPr>
            </w:pPr>
          </w:p>
          <w:p w14:paraId="506AFB41" w14:textId="77777777" w:rsidR="0031524E" w:rsidRDefault="0031524E" w:rsidP="00536ADF">
            <w:pPr>
              <w:rPr>
                <w:rFonts w:ascii="Calibri Light" w:eastAsia="Calibri" w:hAnsi="Calibri Light" w:cs="Calibri Light"/>
                <w:b/>
                <w:bCs/>
                <w:sz w:val="20"/>
                <w:szCs w:val="20"/>
              </w:rPr>
            </w:pPr>
          </w:p>
          <w:p w14:paraId="3335D67D" w14:textId="77777777" w:rsidR="00F804FE" w:rsidRPr="00F56081" w:rsidRDefault="00F804FE" w:rsidP="00536ADF">
            <w:pPr>
              <w:rPr>
                <w:rFonts w:ascii="Calibri Light" w:eastAsia="Calibri" w:hAnsi="Calibri Light" w:cs="Calibri Light"/>
                <w:b/>
                <w:bCs/>
                <w:sz w:val="20"/>
                <w:szCs w:val="20"/>
              </w:rPr>
            </w:pPr>
            <w:r w:rsidRPr="00F56081">
              <w:rPr>
                <w:rFonts w:ascii="Calibri Light" w:eastAsia="Calibri" w:hAnsi="Calibri Light" w:cs="Calibri Light"/>
                <w:b/>
                <w:bCs/>
                <w:sz w:val="20"/>
                <w:szCs w:val="20"/>
              </w:rPr>
              <w:t>2.4.1.1</w:t>
            </w:r>
          </w:p>
          <w:p w14:paraId="33724623" w14:textId="77777777" w:rsidR="00F804FE" w:rsidRPr="00190E2E" w:rsidRDefault="00F804FE" w:rsidP="00536ADF">
            <w:pPr>
              <w:rPr>
                <w:rFonts w:ascii="Calibri Light" w:eastAsia="Calibri" w:hAnsi="Calibri Light" w:cs="Calibri Light"/>
                <w:sz w:val="20"/>
                <w:szCs w:val="20"/>
              </w:rPr>
            </w:pPr>
            <w:r w:rsidRPr="00190E2E">
              <w:rPr>
                <w:rFonts w:ascii="Calibri Light" w:eastAsia="Calibri" w:hAnsi="Calibri Light" w:cs="Calibri Light"/>
                <w:sz w:val="20"/>
                <w:szCs w:val="20"/>
              </w:rPr>
              <w:t>…</w:t>
            </w:r>
          </w:p>
          <w:p w14:paraId="41F9868E" w14:textId="77777777" w:rsidR="00F804FE" w:rsidRDefault="00F804FE" w:rsidP="00536ADF">
            <w:pPr>
              <w:rPr>
                <w:rFonts w:ascii="Calibri Light" w:eastAsia="Calibri" w:hAnsi="Calibri Light" w:cs="Calibri Light"/>
                <w:sz w:val="20"/>
                <w:szCs w:val="20"/>
              </w:rPr>
            </w:pPr>
          </w:p>
          <w:p w14:paraId="1CABC743" w14:textId="77777777" w:rsidR="00F804FE" w:rsidRDefault="00F804FE" w:rsidP="00536ADF">
            <w:pPr>
              <w:rPr>
                <w:rFonts w:ascii="Calibri Light" w:eastAsia="Calibri" w:hAnsi="Calibri Light" w:cs="Calibri Light"/>
                <w:sz w:val="20"/>
                <w:szCs w:val="20"/>
              </w:rPr>
            </w:pPr>
            <w:r>
              <w:rPr>
                <w:noProof/>
                <w:lang w:eastAsia="es-MX"/>
              </w:rPr>
              <w:drawing>
                <wp:inline distT="0" distB="0" distL="0" distR="0" wp14:anchorId="221FA76F" wp14:editId="33671734">
                  <wp:extent cx="2221200" cy="1263600"/>
                  <wp:effectExtent l="0" t="0" r="8255" b="0"/>
                  <wp:docPr id="1"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abla&#10;&#10;Descripción generada automáticamente"/>
                          <pic:cNvPicPr/>
                        </pic:nvPicPr>
                        <pic:blipFill rotWithShape="1">
                          <a:blip r:embed="rId8"/>
                          <a:srcRect l="22455" t="46477" r="45399" b="20982"/>
                          <a:stretch/>
                        </pic:blipFill>
                        <pic:spPr bwMode="auto">
                          <a:xfrm>
                            <a:off x="0" y="0"/>
                            <a:ext cx="2221200" cy="1263600"/>
                          </a:xfrm>
                          <a:prstGeom prst="rect">
                            <a:avLst/>
                          </a:prstGeom>
                          <a:ln>
                            <a:noFill/>
                          </a:ln>
                          <a:extLst>
                            <a:ext uri="{53640926-AAD7-44D8-BBD7-CCE9431645EC}">
                              <a14:shadowObscured xmlns:a14="http://schemas.microsoft.com/office/drawing/2010/main"/>
                            </a:ext>
                          </a:extLst>
                        </pic:spPr>
                      </pic:pic>
                    </a:graphicData>
                  </a:graphic>
                </wp:inline>
              </w:drawing>
            </w:r>
          </w:p>
          <w:p w14:paraId="0508085F" w14:textId="77777777" w:rsidR="00F804FE" w:rsidRPr="00190E2E" w:rsidRDefault="00F804FE" w:rsidP="00536ADF">
            <w:pPr>
              <w:rPr>
                <w:rFonts w:ascii="Calibri Light" w:eastAsia="Calibri" w:hAnsi="Calibri Light" w:cs="Calibri Light"/>
                <w:sz w:val="20"/>
                <w:szCs w:val="20"/>
              </w:rPr>
            </w:pPr>
            <w:r w:rsidRPr="00190E2E">
              <w:rPr>
                <w:rFonts w:ascii="Calibri Light" w:eastAsia="Calibri" w:hAnsi="Calibri Light" w:cs="Calibri Light"/>
                <w:sz w:val="20"/>
                <w:szCs w:val="20"/>
              </w:rPr>
              <w:t>…</w:t>
            </w:r>
          </w:p>
          <w:p w14:paraId="2035CC60" w14:textId="77777777" w:rsidR="00F804FE" w:rsidRDefault="00F804FE" w:rsidP="00536ADF">
            <w:pPr>
              <w:rPr>
                <w:rFonts w:ascii="Calibri Light" w:eastAsia="Calibri" w:hAnsi="Calibri Light" w:cs="Calibri Light"/>
                <w:sz w:val="20"/>
                <w:szCs w:val="20"/>
              </w:rPr>
            </w:pPr>
          </w:p>
          <w:p w14:paraId="4AEE4AA1" w14:textId="77777777" w:rsidR="00190E2E" w:rsidRDefault="00190E2E" w:rsidP="00190E2E">
            <w:pPr>
              <w:jc w:val="both"/>
              <w:rPr>
                <w:rFonts w:ascii="Calibri Light" w:eastAsia="Calibri" w:hAnsi="Calibri Light" w:cs="Calibri Light"/>
                <w:sz w:val="20"/>
                <w:szCs w:val="20"/>
              </w:rPr>
            </w:pPr>
          </w:p>
          <w:p w14:paraId="32B1CE77" w14:textId="77777777" w:rsidR="00190E2E" w:rsidRPr="00F56081" w:rsidRDefault="00190E2E" w:rsidP="00190E2E">
            <w:pPr>
              <w:jc w:val="both"/>
              <w:rPr>
                <w:rFonts w:ascii="Calibri Light" w:eastAsia="Calibri" w:hAnsi="Calibri Light" w:cs="Calibri Light"/>
                <w:b/>
                <w:bCs/>
                <w:sz w:val="20"/>
                <w:szCs w:val="20"/>
              </w:rPr>
            </w:pPr>
            <w:r w:rsidRPr="00F56081">
              <w:rPr>
                <w:rFonts w:ascii="Calibri Light" w:eastAsia="Calibri" w:hAnsi="Calibri Light" w:cs="Calibri Light"/>
                <w:b/>
                <w:bCs/>
                <w:sz w:val="20"/>
                <w:szCs w:val="20"/>
              </w:rPr>
              <w:t>2.4.3.1</w:t>
            </w:r>
          </w:p>
          <w:p w14:paraId="6A4A8C1C" w14:textId="77777777" w:rsidR="00190E2E" w:rsidRPr="00190E2E" w:rsidRDefault="00190E2E" w:rsidP="004C5D07">
            <w:pPr>
              <w:jc w:val="both"/>
              <w:rPr>
                <w:rFonts w:ascii="Calibri Light" w:eastAsia="Calibri" w:hAnsi="Calibri Light" w:cs="Calibri Light"/>
                <w:sz w:val="20"/>
                <w:szCs w:val="20"/>
              </w:rPr>
            </w:pPr>
            <w:r>
              <w:rPr>
                <w:rFonts w:ascii="Calibri Light" w:eastAsia="Calibri" w:hAnsi="Calibri Light" w:cs="Calibri Light"/>
                <w:sz w:val="20"/>
                <w:szCs w:val="20"/>
              </w:rPr>
              <w:t>…</w:t>
            </w:r>
            <w:r w:rsidRPr="00190E2E">
              <w:rPr>
                <w:rFonts w:ascii="Calibri Light" w:eastAsia="Calibri" w:hAnsi="Calibri Light" w:cs="Calibri Light"/>
                <w:sz w:val="20"/>
                <w:szCs w:val="20"/>
              </w:rPr>
              <w:t xml:space="preserve"> </w:t>
            </w:r>
          </w:p>
          <w:p w14:paraId="48EE090E" w14:textId="77777777" w:rsidR="00190E2E" w:rsidRPr="00190E2E" w:rsidRDefault="00190E2E" w:rsidP="004C5D07">
            <w:pPr>
              <w:jc w:val="both"/>
              <w:rPr>
                <w:rFonts w:ascii="Calibri Light" w:eastAsia="Calibri" w:hAnsi="Calibri Light" w:cs="Calibri Light"/>
                <w:sz w:val="20"/>
                <w:szCs w:val="20"/>
              </w:rPr>
            </w:pPr>
            <w:r w:rsidRPr="00190E2E">
              <w:rPr>
                <w:rFonts w:ascii="Calibri Light" w:eastAsia="Calibri" w:hAnsi="Calibri Light" w:cs="Calibri Light"/>
                <w:sz w:val="20"/>
                <w:szCs w:val="20"/>
              </w:rPr>
              <w:t xml:space="preserve"> </w:t>
            </w:r>
          </w:p>
          <w:p w14:paraId="6EDE33BA" w14:textId="77777777" w:rsidR="00190E2E" w:rsidRPr="00190E2E" w:rsidRDefault="00190E2E" w:rsidP="004C5D07">
            <w:pPr>
              <w:jc w:val="both"/>
              <w:rPr>
                <w:rFonts w:ascii="Calibri Light" w:eastAsia="Calibri" w:hAnsi="Calibri Light" w:cs="Calibri Light"/>
                <w:sz w:val="20"/>
                <w:szCs w:val="20"/>
              </w:rPr>
            </w:pPr>
            <w:r w:rsidRPr="00190E2E">
              <w:rPr>
                <w:rFonts w:ascii="Calibri Light" w:eastAsia="Calibri" w:hAnsi="Calibri Light" w:cs="Calibri Light"/>
                <w:sz w:val="20"/>
                <w:szCs w:val="20"/>
              </w:rPr>
              <w:t>•</w:t>
            </w:r>
            <w:r w:rsidR="00F444A1">
              <w:rPr>
                <w:rFonts w:ascii="Calibri Light" w:eastAsia="Calibri" w:hAnsi="Calibri Light" w:cs="Calibri Light"/>
                <w:sz w:val="20"/>
                <w:szCs w:val="20"/>
              </w:rPr>
              <w:t xml:space="preserve"> </w:t>
            </w:r>
            <w:r w:rsidR="00333328" w:rsidRPr="00333328">
              <w:rPr>
                <w:rFonts w:ascii="Calibri Light" w:eastAsia="Calibri" w:hAnsi="Calibri Light" w:cs="Calibri Light"/>
                <w:sz w:val="20"/>
                <w:szCs w:val="20"/>
              </w:rPr>
              <w:t xml:space="preserve">Los que, de manera enunciativa más no limitativa, pueden consistir en: </w:t>
            </w:r>
            <w:r w:rsidR="00333328" w:rsidRPr="007B3AB2">
              <w:rPr>
                <w:rFonts w:ascii="Calibri Light" w:eastAsia="Calibri" w:hAnsi="Calibri Light" w:cs="Calibri Light"/>
                <w:color w:val="0070C0"/>
                <w:sz w:val="20"/>
                <w:szCs w:val="20"/>
              </w:rPr>
              <w:t>epidemias, pandemias, plagas,</w:t>
            </w:r>
            <w:r w:rsidR="00333328" w:rsidRPr="00333328">
              <w:rPr>
                <w:rFonts w:ascii="Calibri Light" w:eastAsia="Calibri" w:hAnsi="Calibri Light" w:cs="Calibri Light"/>
                <w:sz w:val="20"/>
                <w:szCs w:val="20"/>
              </w:rPr>
              <w:t xml:space="preserve"> inundaciones, guerras, huracanes, incendios, </w:t>
            </w:r>
            <w:r w:rsidR="00333328" w:rsidRPr="007B3AB2">
              <w:rPr>
                <w:rFonts w:ascii="Calibri Light" w:eastAsia="Calibri" w:hAnsi="Calibri Light" w:cs="Calibri Light"/>
                <w:color w:val="0070C0"/>
                <w:sz w:val="20"/>
                <w:szCs w:val="20"/>
              </w:rPr>
              <w:t>motines,</w:t>
            </w:r>
            <w:r w:rsidR="00333328" w:rsidRPr="00333328">
              <w:rPr>
                <w:rFonts w:ascii="Calibri Light" w:eastAsia="Calibri" w:hAnsi="Calibri Light" w:cs="Calibri Light"/>
                <w:sz w:val="20"/>
                <w:szCs w:val="20"/>
              </w:rPr>
              <w:t xml:space="preserve"> huelgas, sismos, terremotos </w:t>
            </w:r>
            <w:r w:rsidR="00333328" w:rsidRPr="007B3AB2">
              <w:rPr>
                <w:rFonts w:ascii="Calibri Light" w:eastAsia="Calibri" w:hAnsi="Calibri Light" w:cs="Calibri Light"/>
                <w:color w:val="0070C0"/>
                <w:sz w:val="20"/>
                <w:szCs w:val="20"/>
              </w:rPr>
              <w:t>explosiones, insurrección, disturbios y condiciones climatológicas adversas que retrasen los trabajos de instalación del servicio</w:t>
            </w:r>
            <w:r w:rsidRPr="007B3AB2">
              <w:rPr>
                <w:rFonts w:ascii="Calibri Light" w:eastAsia="Calibri" w:hAnsi="Calibri Light" w:cs="Calibri Light"/>
                <w:color w:val="0070C0"/>
                <w:sz w:val="20"/>
                <w:szCs w:val="20"/>
              </w:rPr>
              <w:t>.</w:t>
            </w:r>
          </w:p>
          <w:p w14:paraId="5D735803" w14:textId="77777777" w:rsidR="00186B8B" w:rsidRDefault="00190E2E" w:rsidP="00780924">
            <w:pPr>
              <w:jc w:val="both"/>
              <w:rPr>
                <w:rFonts w:ascii="Calibri Light" w:eastAsia="Calibri" w:hAnsi="Calibri Light" w:cs="Calibri Light"/>
                <w:sz w:val="20"/>
                <w:szCs w:val="20"/>
              </w:rPr>
            </w:pPr>
            <w:r w:rsidRPr="00190E2E">
              <w:rPr>
                <w:rFonts w:ascii="Calibri Light" w:eastAsia="Calibri" w:hAnsi="Calibri Light" w:cs="Calibri Light"/>
                <w:sz w:val="20"/>
                <w:szCs w:val="20"/>
              </w:rPr>
              <w:t xml:space="preserve"> </w:t>
            </w:r>
          </w:p>
          <w:p w14:paraId="2D04453B" w14:textId="77777777" w:rsidR="00F56081" w:rsidRDefault="00F56081" w:rsidP="00536ADF">
            <w:pPr>
              <w:rPr>
                <w:rFonts w:ascii="Calibri Light" w:eastAsia="Calibri" w:hAnsi="Calibri Light" w:cs="Calibri Light"/>
                <w:sz w:val="20"/>
                <w:szCs w:val="20"/>
              </w:rPr>
            </w:pPr>
          </w:p>
          <w:p w14:paraId="17E0AF9E" w14:textId="77777777" w:rsidR="00F56081" w:rsidRPr="004C5D07" w:rsidRDefault="00F56081" w:rsidP="00536ADF">
            <w:pPr>
              <w:rPr>
                <w:rFonts w:ascii="Calibri Light" w:eastAsia="Calibri" w:hAnsi="Calibri Light" w:cs="Calibri Light"/>
                <w:b/>
                <w:bCs/>
                <w:sz w:val="20"/>
                <w:szCs w:val="20"/>
              </w:rPr>
            </w:pPr>
            <w:r w:rsidRPr="004C5D07">
              <w:rPr>
                <w:rFonts w:ascii="Calibri Light" w:eastAsia="Calibri" w:hAnsi="Calibri Light" w:cs="Calibri Light"/>
                <w:b/>
                <w:bCs/>
                <w:sz w:val="20"/>
                <w:szCs w:val="20"/>
              </w:rPr>
              <w:t>2.6.2</w:t>
            </w:r>
          </w:p>
          <w:p w14:paraId="21BE094E" w14:textId="77777777" w:rsidR="00F56081" w:rsidRDefault="00F56081" w:rsidP="00536ADF">
            <w:pPr>
              <w:rPr>
                <w:rFonts w:ascii="Calibri Light" w:eastAsia="Calibri" w:hAnsi="Calibri Light" w:cs="Calibri Light"/>
                <w:sz w:val="20"/>
                <w:szCs w:val="20"/>
              </w:rPr>
            </w:pPr>
            <w:r>
              <w:rPr>
                <w:rFonts w:ascii="Calibri Light" w:eastAsia="Calibri" w:hAnsi="Calibri Light" w:cs="Calibri Light"/>
                <w:sz w:val="20"/>
                <w:szCs w:val="20"/>
              </w:rPr>
              <w:t>…</w:t>
            </w:r>
          </w:p>
          <w:p w14:paraId="1277C510" w14:textId="77777777" w:rsidR="00F56081" w:rsidRDefault="00F56081" w:rsidP="00536ADF">
            <w:pPr>
              <w:rPr>
                <w:rFonts w:ascii="Calibri Light" w:eastAsia="Calibri" w:hAnsi="Calibri Light" w:cs="Calibri Light"/>
                <w:sz w:val="20"/>
                <w:szCs w:val="20"/>
              </w:rPr>
            </w:pPr>
          </w:p>
          <w:p w14:paraId="17CFB47B" w14:textId="77777777" w:rsidR="0031524E" w:rsidRDefault="0031524E" w:rsidP="00536ADF">
            <w:pPr>
              <w:rPr>
                <w:rFonts w:ascii="Calibri Light" w:eastAsia="Calibri" w:hAnsi="Calibri Light" w:cs="Calibri Light"/>
                <w:sz w:val="20"/>
                <w:szCs w:val="20"/>
              </w:rPr>
            </w:pPr>
            <w:r>
              <w:rPr>
                <w:noProof/>
                <w:lang w:eastAsia="es-MX"/>
              </w:rPr>
              <w:drawing>
                <wp:inline distT="0" distB="0" distL="0" distR="0" wp14:anchorId="14F2037B" wp14:editId="237C3424">
                  <wp:extent cx="2203450" cy="470535"/>
                  <wp:effectExtent l="0" t="0" r="6350" b="5715"/>
                  <wp:docPr id="1658178939" name="Imagen 1658178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178939" name=""/>
                          <pic:cNvPicPr/>
                        </pic:nvPicPr>
                        <pic:blipFill>
                          <a:blip r:embed="rId9">
                            <a:extLst>
                              <a:ext uri="{BEBA8EAE-BF5A-486C-A8C5-ECC9F3942E4B}">
                                <a14:imgProps xmlns:a14="http://schemas.microsoft.com/office/drawing/2010/main">
                                  <a14:imgLayer r:embed="rId10">
                                    <a14:imgEffect>
                                      <a14:colorTemperature colorTemp="4700"/>
                                    </a14:imgEffect>
                                  </a14:imgLayer>
                                </a14:imgProps>
                              </a:ext>
                            </a:extLst>
                          </a:blip>
                          <a:stretch>
                            <a:fillRect/>
                          </a:stretch>
                        </pic:blipFill>
                        <pic:spPr>
                          <a:xfrm>
                            <a:off x="0" y="0"/>
                            <a:ext cx="2203450" cy="470535"/>
                          </a:xfrm>
                          <a:prstGeom prst="rect">
                            <a:avLst/>
                          </a:prstGeom>
                        </pic:spPr>
                      </pic:pic>
                    </a:graphicData>
                  </a:graphic>
                </wp:inline>
              </w:drawing>
            </w:r>
          </w:p>
          <w:p w14:paraId="164B98F8" w14:textId="77777777" w:rsidR="0031524E" w:rsidRPr="0031524E" w:rsidRDefault="0031524E" w:rsidP="0031524E">
            <w:pPr>
              <w:rPr>
                <w:rFonts w:ascii="Calibri Light" w:eastAsia="Calibri" w:hAnsi="Calibri Light" w:cs="Calibri Light"/>
                <w:sz w:val="20"/>
                <w:szCs w:val="20"/>
              </w:rPr>
            </w:pPr>
          </w:p>
          <w:p w14:paraId="6D38241A" w14:textId="77777777" w:rsidR="0031524E" w:rsidRPr="0031524E" w:rsidRDefault="0031524E" w:rsidP="00EB36DB">
            <w:pPr>
              <w:jc w:val="both"/>
              <w:rPr>
                <w:rFonts w:ascii="Calibri Light" w:eastAsia="Calibri" w:hAnsi="Calibri Light" w:cs="Calibri Light"/>
                <w:color w:val="0070C0"/>
                <w:sz w:val="20"/>
                <w:szCs w:val="20"/>
              </w:rPr>
            </w:pPr>
            <w:r w:rsidRPr="0031524E">
              <w:rPr>
                <w:rFonts w:ascii="Calibri Light" w:eastAsia="Calibri" w:hAnsi="Calibri Light" w:cs="Calibri Light"/>
                <w:color w:val="0070C0"/>
                <w:sz w:val="20"/>
                <w:szCs w:val="20"/>
              </w:rPr>
              <w:t>Derivado de la obsolescencia tecnológica de TDM en el mercado, existen limitaciones para soporte de dichos servicios ya que los fabricantes de esta tecnología han descontinuado los equipos por lo que imposibilita obtener refacciones para la atención de las incidencias. Por lo anterior los tiempos de reparación se ven afectados incrementándose para esta tecnología.</w:t>
            </w:r>
          </w:p>
          <w:p w14:paraId="1DCDFAA0" w14:textId="77777777" w:rsidR="0031524E" w:rsidRDefault="0031524E" w:rsidP="0031524E">
            <w:pPr>
              <w:rPr>
                <w:rFonts w:ascii="Calibri Light" w:eastAsia="Calibri" w:hAnsi="Calibri Light" w:cs="Calibri Light"/>
                <w:sz w:val="20"/>
                <w:szCs w:val="20"/>
              </w:rPr>
            </w:pPr>
          </w:p>
          <w:p w14:paraId="0214854D" w14:textId="77777777" w:rsidR="00F56081" w:rsidRDefault="0031524E" w:rsidP="004C5D07">
            <w:pPr>
              <w:jc w:val="center"/>
              <w:rPr>
                <w:rFonts w:ascii="Calibri Light" w:eastAsia="Calibri" w:hAnsi="Calibri Light" w:cs="Calibri Light"/>
                <w:sz w:val="20"/>
                <w:szCs w:val="20"/>
              </w:rPr>
            </w:pPr>
            <w:r>
              <w:rPr>
                <w:noProof/>
                <w:lang w:eastAsia="es-MX"/>
              </w:rPr>
              <w:drawing>
                <wp:inline distT="0" distB="0" distL="0" distR="0" wp14:anchorId="6EE9143B" wp14:editId="7EB9FC63">
                  <wp:extent cx="2203450" cy="472440"/>
                  <wp:effectExtent l="0" t="0" r="6350" b="3810"/>
                  <wp:docPr id="307449206" name="Imagen 307449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49206" name=""/>
                          <pic:cNvPicPr/>
                        </pic:nvPicPr>
                        <pic:blipFill>
                          <a:blip r:embed="rId11">
                            <a:extLst>
                              <a:ext uri="{BEBA8EAE-BF5A-486C-A8C5-ECC9F3942E4B}">
                                <a14:imgProps xmlns:a14="http://schemas.microsoft.com/office/drawing/2010/main">
                                  <a14:imgLayer r:embed="rId12">
                                    <a14:imgEffect>
                                      <a14:colorTemperature colorTemp="4700"/>
                                    </a14:imgEffect>
                                  </a14:imgLayer>
                                </a14:imgProps>
                              </a:ext>
                            </a:extLst>
                          </a:blip>
                          <a:stretch>
                            <a:fillRect/>
                          </a:stretch>
                        </pic:blipFill>
                        <pic:spPr>
                          <a:xfrm>
                            <a:off x="0" y="0"/>
                            <a:ext cx="2203450" cy="472440"/>
                          </a:xfrm>
                          <a:prstGeom prst="rect">
                            <a:avLst/>
                          </a:prstGeom>
                        </pic:spPr>
                      </pic:pic>
                    </a:graphicData>
                  </a:graphic>
                </wp:inline>
              </w:drawing>
            </w:r>
            <w:r>
              <w:rPr>
                <w:noProof/>
              </w:rPr>
              <w:t xml:space="preserve"> </w:t>
            </w:r>
            <w:r>
              <w:rPr>
                <w:noProof/>
                <w:lang w:eastAsia="es-MX"/>
              </w:rPr>
              <w:drawing>
                <wp:inline distT="0" distB="0" distL="0" distR="0" wp14:anchorId="401463F7" wp14:editId="694BDA43">
                  <wp:extent cx="2203450" cy="701675"/>
                  <wp:effectExtent l="0" t="0" r="6350" b="3175"/>
                  <wp:docPr id="1570792880" name="Imagen 1570792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792880" name=""/>
                          <pic:cNvPicPr/>
                        </pic:nvPicPr>
                        <pic:blipFill>
                          <a:blip r:embed="rId13"/>
                          <a:stretch>
                            <a:fillRect/>
                          </a:stretch>
                        </pic:blipFill>
                        <pic:spPr>
                          <a:xfrm>
                            <a:off x="0" y="0"/>
                            <a:ext cx="2203450" cy="701675"/>
                          </a:xfrm>
                          <a:prstGeom prst="rect">
                            <a:avLst/>
                          </a:prstGeom>
                        </pic:spPr>
                      </pic:pic>
                    </a:graphicData>
                  </a:graphic>
                </wp:inline>
              </w:drawing>
            </w:r>
          </w:p>
          <w:p w14:paraId="684A7EC9" w14:textId="77777777" w:rsidR="00536ADF" w:rsidRDefault="00536ADF" w:rsidP="00780924">
            <w:pPr>
              <w:jc w:val="both"/>
              <w:rPr>
                <w:rFonts w:ascii="Calibri Light" w:eastAsia="Calibri" w:hAnsi="Calibri Light" w:cs="Calibri Light"/>
                <w:sz w:val="20"/>
                <w:szCs w:val="20"/>
              </w:rPr>
            </w:pPr>
          </w:p>
          <w:p w14:paraId="42282200" w14:textId="77777777" w:rsidR="006657A3" w:rsidRDefault="006657A3" w:rsidP="00780924">
            <w:pPr>
              <w:jc w:val="both"/>
              <w:rPr>
                <w:rFonts w:ascii="Calibri Light" w:eastAsia="Calibri" w:hAnsi="Calibri Light" w:cs="Calibri Light"/>
                <w:b/>
                <w:bCs/>
                <w:sz w:val="20"/>
                <w:szCs w:val="20"/>
              </w:rPr>
            </w:pPr>
          </w:p>
          <w:p w14:paraId="0B88C77B" w14:textId="4697A1D4" w:rsidR="008851F2" w:rsidRDefault="00DD37D3" w:rsidP="00780924">
            <w:pPr>
              <w:jc w:val="both"/>
              <w:rPr>
                <w:rFonts w:ascii="Calibri Light" w:eastAsia="Calibri" w:hAnsi="Calibri Light" w:cs="Calibri Light"/>
                <w:b/>
                <w:bCs/>
                <w:sz w:val="20"/>
                <w:szCs w:val="20"/>
              </w:rPr>
            </w:pPr>
            <w:r>
              <w:rPr>
                <w:rFonts w:ascii="Calibri Light" w:eastAsia="Calibri" w:hAnsi="Calibri Light" w:cs="Calibri Light"/>
                <w:b/>
                <w:bCs/>
                <w:sz w:val="20"/>
                <w:szCs w:val="20"/>
              </w:rPr>
              <w:t>Anexo “I”</w:t>
            </w:r>
          </w:p>
          <w:p w14:paraId="19596931" w14:textId="77777777" w:rsidR="00DD37D3" w:rsidRPr="00DD37D3" w:rsidRDefault="00DD37D3" w:rsidP="00780924">
            <w:pPr>
              <w:jc w:val="both"/>
              <w:rPr>
                <w:rFonts w:ascii="Calibri Light" w:eastAsia="Calibri" w:hAnsi="Calibri Light" w:cs="Calibri Light"/>
                <w:bCs/>
                <w:sz w:val="20"/>
                <w:szCs w:val="20"/>
              </w:rPr>
            </w:pPr>
            <w:r w:rsidRPr="00DD37D3">
              <w:rPr>
                <w:rFonts w:ascii="Calibri Light" w:eastAsia="Calibri" w:hAnsi="Calibri Light" w:cs="Calibri Light"/>
                <w:bCs/>
                <w:sz w:val="20"/>
                <w:szCs w:val="20"/>
              </w:rPr>
              <w:t>Se modifican los tiempos de traslado en áreas urbanas, suburbanas y poblaciones que no se encuentran descritas</w:t>
            </w:r>
            <w:r>
              <w:rPr>
                <w:rFonts w:ascii="Calibri Light" w:eastAsia="Calibri" w:hAnsi="Calibri Light" w:cs="Calibri Light"/>
                <w:bCs/>
                <w:sz w:val="20"/>
                <w:szCs w:val="20"/>
              </w:rPr>
              <w:t>.</w:t>
            </w:r>
          </w:p>
          <w:p w14:paraId="1625366C" w14:textId="77777777" w:rsidR="00DD37D3" w:rsidRDefault="00DD37D3" w:rsidP="00780924">
            <w:pPr>
              <w:jc w:val="both"/>
              <w:rPr>
                <w:rFonts w:ascii="Calibri Light" w:eastAsia="Calibri" w:hAnsi="Calibri Light" w:cs="Calibri Light"/>
                <w:b/>
                <w:bCs/>
                <w:sz w:val="20"/>
                <w:szCs w:val="20"/>
              </w:rPr>
            </w:pPr>
            <w:r>
              <w:object w:dxaOrig="9225" w:dyaOrig="915" w14:anchorId="1E012C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5pt;height:18pt" o:ole="">
                  <v:imagedata r:id="rId14" o:title=""/>
                </v:shape>
                <o:OLEObject Type="Embed" ProgID="PBrush" ShapeID="_x0000_i1025" DrawAspect="Content" ObjectID="_1752400154" r:id="rId15"/>
              </w:object>
            </w:r>
          </w:p>
          <w:p w14:paraId="2CA59ADD" w14:textId="77777777" w:rsidR="008851F2" w:rsidRDefault="008851F2" w:rsidP="00780924">
            <w:pPr>
              <w:jc w:val="both"/>
              <w:rPr>
                <w:rFonts w:ascii="Calibri Light" w:eastAsia="Calibri" w:hAnsi="Calibri Light" w:cs="Calibri Light"/>
                <w:b/>
                <w:bCs/>
                <w:sz w:val="20"/>
                <w:szCs w:val="20"/>
              </w:rPr>
            </w:pPr>
          </w:p>
          <w:p w14:paraId="6832CAA7" w14:textId="77777777" w:rsidR="008851F2" w:rsidRDefault="008851F2" w:rsidP="00780924">
            <w:pPr>
              <w:jc w:val="both"/>
              <w:rPr>
                <w:rFonts w:ascii="Calibri Light" w:eastAsia="Calibri" w:hAnsi="Calibri Light" w:cs="Calibri Light"/>
                <w:b/>
                <w:bCs/>
                <w:sz w:val="20"/>
                <w:szCs w:val="20"/>
              </w:rPr>
            </w:pPr>
          </w:p>
          <w:p w14:paraId="7F95559C" w14:textId="77777777" w:rsidR="008851F2" w:rsidRDefault="008851F2" w:rsidP="00780924">
            <w:pPr>
              <w:jc w:val="both"/>
              <w:rPr>
                <w:rFonts w:ascii="Calibri Light" w:eastAsia="Calibri" w:hAnsi="Calibri Light" w:cs="Calibri Light"/>
                <w:b/>
                <w:bCs/>
                <w:sz w:val="20"/>
                <w:szCs w:val="20"/>
              </w:rPr>
            </w:pPr>
          </w:p>
          <w:p w14:paraId="1F0245EC" w14:textId="77777777" w:rsidR="008851F2" w:rsidRDefault="008851F2" w:rsidP="00780924">
            <w:pPr>
              <w:jc w:val="both"/>
              <w:rPr>
                <w:rFonts w:ascii="Calibri Light" w:eastAsia="Calibri" w:hAnsi="Calibri Light" w:cs="Calibri Light"/>
                <w:b/>
                <w:bCs/>
                <w:sz w:val="20"/>
                <w:szCs w:val="20"/>
              </w:rPr>
            </w:pPr>
          </w:p>
          <w:p w14:paraId="35413924" w14:textId="77777777" w:rsidR="008851F2" w:rsidRDefault="008851F2" w:rsidP="00780924">
            <w:pPr>
              <w:jc w:val="both"/>
              <w:rPr>
                <w:rFonts w:ascii="Calibri Light" w:eastAsia="Calibri" w:hAnsi="Calibri Light" w:cs="Calibri Light"/>
                <w:b/>
                <w:bCs/>
                <w:sz w:val="20"/>
                <w:szCs w:val="20"/>
              </w:rPr>
            </w:pPr>
          </w:p>
          <w:p w14:paraId="2239DBB8" w14:textId="77777777" w:rsidR="008851F2" w:rsidRDefault="008851F2" w:rsidP="00780924">
            <w:pPr>
              <w:jc w:val="both"/>
              <w:rPr>
                <w:rFonts w:ascii="Calibri Light" w:eastAsia="Calibri" w:hAnsi="Calibri Light" w:cs="Calibri Light"/>
                <w:b/>
                <w:bCs/>
                <w:sz w:val="20"/>
                <w:szCs w:val="20"/>
              </w:rPr>
            </w:pPr>
          </w:p>
          <w:p w14:paraId="20AED9D1" w14:textId="77777777" w:rsidR="008851F2" w:rsidRDefault="008851F2" w:rsidP="00780924">
            <w:pPr>
              <w:jc w:val="both"/>
              <w:rPr>
                <w:rFonts w:ascii="Calibri Light" w:eastAsia="Calibri" w:hAnsi="Calibri Light" w:cs="Calibri Light"/>
                <w:b/>
                <w:bCs/>
                <w:sz w:val="20"/>
                <w:szCs w:val="20"/>
              </w:rPr>
            </w:pPr>
          </w:p>
          <w:p w14:paraId="6EE6F4B3" w14:textId="77777777" w:rsidR="008851F2" w:rsidRDefault="008851F2" w:rsidP="00780924">
            <w:pPr>
              <w:jc w:val="both"/>
              <w:rPr>
                <w:rFonts w:ascii="Calibri Light" w:eastAsia="Calibri" w:hAnsi="Calibri Light" w:cs="Calibri Light"/>
                <w:b/>
                <w:bCs/>
                <w:sz w:val="20"/>
                <w:szCs w:val="20"/>
              </w:rPr>
            </w:pPr>
          </w:p>
          <w:p w14:paraId="2D4665B3" w14:textId="77777777" w:rsidR="008851F2" w:rsidRDefault="008851F2" w:rsidP="00780924">
            <w:pPr>
              <w:jc w:val="both"/>
              <w:rPr>
                <w:rFonts w:ascii="Calibri Light" w:eastAsia="Calibri" w:hAnsi="Calibri Light" w:cs="Calibri Light"/>
                <w:b/>
                <w:bCs/>
                <w:sz w:val="20"/>
                <w:szCs w:val="20"/>
              </w:rPr>
            </w:pPr>
          </w:p>
          <w:p w14:paraId="00B84272" w14:textId="77777777" w:rsidR="008851F2" w:rsidRDefault="008851F2" w:rsidP="00780924">
            <w:pPr>
              <w:jc w:val="both"/>
              <w:rPr>
                <w:rFonts w:ascii="Calibri Light" w:eastAsia="Calibri" w:hAnsi="Calibri Light" w:cs="Calibri Light"/>
                <w:b/>
                <w:bCs/>
                <w:sz w:val="20"/>
                <w:szCs w:val="20"/>
              </w:rPr>
            </w:pPr>
          </w:p>
          <w:p w14:paraId="37D9CEA8" w14:textId="77777777" w:rsidR="008851F2" w:rsidRDefault="008851F2" w:rsidP="00780924">
            <w:pPr>
              <w:jc w:val="both"/>
              <w:rPr>
                <w:rFonts w:ascii="Calibri Light" w:eastAsia="Calibri" w:hAnsi="Calibri Light" w:cs="Calibri Light"/>
                <w:b/>
                <w:bCs/>
                <w:sz w:val="20"/>
                <w:szCs w:val="20"/>
              </w:rPr>
            </w:pPr>
          </w:p>
          <w:p w14:paraId="39D9C233" w14:textId="77777777" w:rsidR="008851F2" w:rsidRDefault="008851F2" w:rsidP="00780924">
            <w:pPr>
              <w:jc w:val="both"/>
              <w:rPr>
                <w:rFonts w:ascii="Calibri Light" w:eastAsia="Calibri" w:hAnsi="Calibri Light" w:cs="Calibri Light"/>
                <w:b/>
                <w:bCs/>
                <w:sz w:val="20"/>
                <w:szCs w:val="20"/>
              </w:rPr>
            </w:pPr>
          </w:p>
          <w:p w14:paraId="71FBE22F" w14:textId="77777777" w:rsidR="008851F2" w:rsidRDefault="008851F2" w:rsidP="00780924">
            <w:pPr>
              <w:jc w:val="both"/>
              <w:rPr>
                <w:rFonts w:ascii="Calibri Light" w:eastAsia="Calibri" w:hAnsi="Calibri Light" w:cs="Calibri Light"/>
                <w:b/>
                <w:bCs/>
                <w:sz w:val="20"/>
                <w:szCs w:val="20"/>
              </w:rPr>
            </w:pPr>
          </w:p>
          <w:p w14:paraId="67212619" w14:textId="77777777" w:rsidR="008851F2" w:rsidRDefault="008851F2" w:rsidP="00780924">
            <w:pPr>
              <w:jc w:val="both"/>
              <w:rPr>
                <w:rFonts w:ascii="Calibri Light" w:eastAsia="Calibri" w:hAnsi="Calibri Light" w:cs="Calibri Light"/>
                <w:b/>
                <w:bCs/>
                <w:sz w:val="20"/>
                <w:szCs w:val="20"/>
              </w:rPr>
            </w:pPr>
          </w:p>
          <w:p w14:paraId="4B3153FF" w14:textId="77777777" w:rsidR="006657A3" w:rsidRDefault="006657A3" w:rsidP="00780924">
            <w:pPr>
              <w:jc w:val="both"/>
              <w:rPr>
                <w:rFonts w:ascii="Calibri Light" w:eastAsia="Calibri" w:hAnsi="Calibri Light" w:cs="Calibri Light"/>
                <w:b/>
                <w:bCs/>
                <w:sz w:val="20"/>
                <w:szCs w:val="20"/>
              </w:rPr>
            </w:pPr>
          </w:p>
          <w:p w14:paraId="23C0DB6B" w14:textId="77777777" w:rsidR="002F1369" w:rsidRPr="002F1369" w:rsidRDefault="002F1369" w:rsidP="00780924">
            <w:pPr>
              <w:jc w:val="both"/>
              <w:rPr>
                <w:rFonts w:ascii="Calibri Light" w:eastAsia="Calibri" w:hAnsi="Calibri Light" w:cs="Calibri Light"/>
                <w:b/>
                <w:bCs/>
                <w:sz w:val="20"/>
                <w:szCs w:val="20"/>
              </w:rPr>
            </w:pPr>
            <w:r w:rsidRPr="002F1369">
              <w:rPr>
                <w:rFonts w:ascii="Calibri Light" w:eastAsia="Calibri" w:hAnsi="Calibri Light" w:cs="Calibri Light"/>
                <w:b/>
                <w:bCs/>
                <w:sz w:val="20"/>
                <w:szCs w:val="20"/>
              </w:rPr>
              <w:t>2.6.4</w:t>
            </w:r>
          </w:p>
          <w:p w14:paraId="38AE53E4" w14:textId="77777777" w:rsidR="002F1369" w:rsidRDefault="002F1369" w:rsidP="00780924">
            <w:pPr>
              <w:jc w:val="both"/>
              <w:rPr>
                <w:rFonts w:ascii="Calibri Light" w:eastAsia="Calibri" w:hAnsi="Calibri Light" w:cs="Calibri Light"/>
                <w:sz w:val="20"/>
                <w:szCs w:val="20"/>
              </w:rPr>
            </w:pPr>
            <w:r>
              <w:rPr>
                <w:rFonts w:ascii="Calibri Light" w:eastAsia="Calibri" w:hAnsi="Calibri Light" w:cs="Calibri Light"/>
                <w:sz w:val="20"/>
                <w:szCs w:val="20"/>
              </w:rPr>
              <w:t>…</w:t>
            </w:r>
          </w:p>
          <w:p w14:paraId="746E7992" w14:textId="77777777" w:rsidR="00DF5541" w:rsidRDefault="002F1369" w:rsidP="00780924">
            <w:pPr>
              <w:jc w:val="both"/>
              <w:rPr>
                <w:rFonts w:ascii="Calibri Light" w:eastAsia="Calibri" w:hAnsi="Calibri Light" w:cs="Calibri Light"/>
                <w:sz w:val="20"/>
                <w:szCs w:val="20"/>
              </w:rPr>
            </w:pPr>
            <w:r w:rsidRPr="002F1369">
              <w:rPr>
                <w:rFonts w:ascii="Calibri Light" w:eastAsia="Calibri" w:hAnsi="Calibri Light" w:cs="Calibri Light"/>
                <w:sz w:val="20"/>
                <w:szCs w:val="20"/>
              </w:rPr>
              <w:t>•</w:t>
            </w:r>
            <w:r>
              <w:rPr>
                <w:rFonts w:ascii="Calibri Light" w:eastAsia="Calibri" w:hAnsi="Calibri Light" w:cs="Calibri Light"/>
                <w:sz w:val="20"/>
                <w:szCs w:val="20"/>
              </w:rPr>
              <w:t xml:space="preserve"> </w:t>
            </w:r>
            <w:r w:rsidRPr="002F1369">
              <w:rPr>
                <w:rFonts w:ascii="Calibri Light" w:eastAsia="Calibri" w:hAnsi="Calibri Light" w:cs="Calibri Light"/>
                <w:sz w:val="20"/>
                <w:szCs w:val="20"/>
              </w:rPr>
              <w:t>En los casos de cortes de fibra óptica o cable de cobre</w:t>
            </w:r>
            <w:r w:rsidRPr="007B3AB2">
              <w:rPr>
                <w:rFonts w:ascii="Calibri Light" w:eastAsia="Calibri" w:hAnsi="Calibri Light" w:cs="Calibri Light"/>
                <w:strike/>
                <w:color w:val="0070C0"/>
                <w:sz w:val="20"/>
                <w:szCs w:val="20"/>
              </w:rPr>
              <w:t>, no pudiendo ser mayor a 12 horas, y no pudiendo ser mayor al 5% de las incidencias totales</w:t>
            </w:r>
            <w:r w:rsidRPr="002F1369">
              <w:rPr>
                <w:rFonts w:ascii="Calibri Light" w:eastAsia="Calibri" w:hAnsi="Calibri Light" w:cs="Calibri Light"/>
                <w:sz w:val="20"/>
                <w:szCs w:val="20"/>
              </w:rPr>
              <w:t>.</w:t>
            </w:r>
          </w:p>
          <w:p w14:paraId="66760C0B" w14:textId="77777777" w:rsidR="006657A3" w:rsidRDefault="006657A3" w:rsidP="00780924">
            <w:pPr>
              <w:jc w:val="both"/>
              <w:rPr>
                <w:rFonts w:ascii="Calibri Light" w:eastAsia="Calibri" w:hAnsi="Calibri Light" w:cs="Calibri Light"/>
                <w:sz w:val="20"/>
                <w:szCs w:val="20"/>
              </w:rPr>
            </w:pPr>
          </w:p>
          <w:p w14:paraId="25DEBB02" w14:textId="77777777" w:rsidR="006657A3" w:rsidRDefault="006657A3" w:rsidP="00780924">
            <w:pPr>
              <w:jc w:val="both"/>
              <w:rPr>
                <w:rFonts w:ascii="Calibri Light" w:eastAsia="Calibri" w:hAnsi="Calibri Light" w:cs="Calibri Light"/>
                <w:sz w:val="20"/>
                <w:szCs w:val="20"/>
              </w:rPr>
            </w:pPr>
          </w:p>
          <w:p w14:paraId="10DF6B7C" w14:textId="77777777" w:rsidR="006657A3" w:rsidRDefault="006657A3" w:rsidP="00780924">
            <w:pPr>
              <w:jc w:val="both"/>
              <w:rPr>
                <w:rFonts w:ascii="Calibri Light" w:eastAsia="Calibri" w:hAnsi="Calibri Light" w:cs="Calibri Light"/>
                <w:sz w:val="20"/>
                <w:szCs w:val="20"/>
              </w:rPr>
            </w:pPr>
          </w:p>
          <w:p w14:paraId="20B4D00F" w14:textId="77777777" w:rsidR="006657A3" w:rsidRDefault="006657A3" w:rsidP="00780924">
            <w:pPr>
              <w:jc w:val="both"/>
              <w:rPr>
                <w:rFonts w:ascii="Calibri Light" w:eastAsia="Calibri" w:hAnsi="Calibri Light" w:cs="Calibri Light"/>
                <w:sz w:val="20"/>
                <w:szCs w:val="20"/>
              </w:rPr>
            </w:pPr>
          </w:p>
          <w:p w14:paraId="0852D340" w14:textId="77777777" w:rsidR="006657A3" w:rsidRDefault="006657A3" w:rsidP="00780924">
            <w:pPr>
              <w:jc w:val="both"/>
              <w:rPr>
                <w:rFonts w:ascii="Calibri Light" w:eastAsia="Calibri" w:hAnsi="Calibri Light" w:cs="Calibri Light"/>
                <w:sz w:val="20"/>
                <w:szCs w:val="20"/>
              </w:rPr>
            </w:pPr>
          </w:p>
          <w:p w14:paraId="5B68911F" w14:textId="77777777" w:rsidR="006657A3" w:rsidRDefault="006657A3" w:rsidP="00780924">
            <w:pPr>
              <w:jc w:val="both"/>
              <w:rPr>
                <w:rFonts w:ascii="Calibri Light" w:eastAsia="Calibri" w:hAnsi="Calibri Light" w:cs="Calibri Light"/>
                <w:sz w:val="20"/>
                <w:szCs w:val="20"/>
              </w:rPr>
            </w:pPr>
          </w:p>
          <w:p w14:paraId="344986A1" w14:textId="77777777" w:rsidR="006657A3" w:rsidRDefault="006657A3" w:rsidP="00780924">
            <w:pPr>
              <w:jc w:val="both"/>
              <w:rPr>
                <w:rFonts w:ascii="Calibri Light" w:eastAsia="Calibri" w:hAnsi="Calibri Light" w:cs="Calibri Light"/>
                <w:sz w:val="20"/>
                <w:szCs w:val="20"/>
              </w:rPr>
            </w:pPr>
          </w:p>
          <w:p w14:paraId="44802DDC" w14:textId="77777777" w:rsidR="006657A3" w:rsidRDefault="006657A3" w:rsidP="00780924">
            <w:pPr>
              <w:jc w:val="both"/>
              <w:rPr>
                <w:rFonts w:ascii="Calibri Light" w:eastAsia="Calibri" w:hAnsi="Calibri Light" w:cs="Calibri Light"/>
                <w:sz w:val="20"/>
                <w:szCs w:val="20"/>
              </w:rPr>
            </w:pPr>
          </w:p>
          <w:p w14:paraId="4501C8E4" w14:textId="77777777" w:rsidR="006657A3" w:rsidRDefault="006657A3" w:rsidP="00780924">
            <w:pPr>
              <w:jc w:val="both"/>
              <w:rPr>
                <w:rFonts w:ascii="Calibri Light" w:eastAsia="Calibri" w:hAnsi="Calibri Light" w:cs="Calibri Light"/>
                <w:sz w:val="20"/>
                <w:szCs w:val="20"/>
              </w:rPr>
            </w:pPr>
          </w:p>
          <w:p w14:paraId="2CC42F16" w14:textId="77777777" w:rsidR="006657A3" w:rsidRDefault="006657A3" w:rsidP="00780924">
            <w:pPr>
              <w:jc w:val="both"/>
              <w:rPr>
                <w:rFonts w:ascii="Calibri Light" w:eastAsia="Calibri" w:hAnsi="Calibri Light" w:cs="Calibri Light"/>
                <w:sz w:val="20"/>
                <w:szCs w:val="20"/>
              </w:rPr>
            </w:pPr>
          </w:p>
          <w:p w14:paraId="63A010E9" w14:textId="77777777" w:rsidR="006657A3" w:rsidRDefault="006657A3" w:rsidP="00780924">
            <w:pPr>
              <w:jc w:val="both"/>
              <w:rPr>
                <w:rFonts w:ascii="Calibri Light" w:eastAsia="Calibri" w:hAnsi="Calibri Light" w:cs="Calibri Light"/>
                <w:sz w:val="20"/>
                <w:szCs w:val="20"/>
              </w:rPr>
            </w:pPr>
          </w:p>
          <w:p w14:paraId="6A3E85FD" w14:textId="77777777" w:rsidR="006657A3" w:rsidRDefault="006657A3" w:rsidP="00780924">
            <w:pPr>
              <w:jc w:val="both"/>
              <w:rPr>
                <w:rFonts w:ascii="Calibri Light" w:eastAsia="Calibri" w:hAnsi="Calibri Light" w:cs="Calibri Light"/>
                <w:sz w:val="20"/>
                <w:szCs w:val="20"/>
              </w:rPr>
            </w:pPr>
          </w:p>
          <w:p w14:paraId="5696FB9B" w14:textId="77777777" w:rsidR="006657A3" w:rsidRDefault="006657A3" w:rsidP="00780924">
            <w:pPr>
              <w:jc w:val="both"/>
              <w:rPr>
                <w:rFonts w:ascii="Calibri Light" w:eastAsia="Calibri" w:hAnsi="Calibri Light" w:cs="Calibri Light"/>
                <w:sz w:val="20"/>
                <w:szCs w:val="20"/>
              </w:rPr>
            </w:pPr>
          </w:p>
          <w:p w14:paraId="21730232" w14:textId="5394B16B" w:rsidR="006657A3" w:rsidRPr="00687D49" w:rsidRDefault="006657A3" w:rsidP="00780924">
            <w:pPr>
              <w:jc w:val="both"/>
              <w:rPr>
                <w:rFonts w:ascii="Calibri Light" w:eastAsia="Calibri" w:hAnsi="Calibri Light" w:cs="Calibri Light"/>
                <w:sz w:val="20"/>
                <w:szCs w:val="20"/>
              </w:rPr>
            </w:pPr>
          </w:p>
        </w:tc>
        <w:tc>
          <w:tcPr>
            <w:tcW w:w="5257" w:type="dxa"/>
            <w:vMerge w:val="restart"/>
            <w:shd w:val="clear" w:color="auto" w:fill="auto"/>
            <w:vAlign w:val="center"/>
          </w:tcPr>
          <w:p w14:paraId="54280B2F" w14:textId="7777777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Se propone l</w:t>
            </w:r>
            <w:r w:rsidRPr="00687D49">
              <w:rPr>
                <w:rFonts w:ascii="Calibri Light" w:eastAsia="Calibri" w:hAnsi="Calibri Light" w:cs="Calibri Light"/>
                <w:sz w:val="20"/>
                <w:szCs w:val="20"/>
              </w:rPr>
              <w:t xml:space="preserve">a </w:t>
            </w:r>
            <w:r>
              <w:rPr>
                <w:rFonts w:ascii="Calibri Light" w:eastAsia="Calibri" w:hAnsi="Calibri Light" w:cs="Calibri Light"/>
                <w:sz w:val="20"/>
                <w:szCs w:val="20"/>
              </w:rPr>
              <w:t xml:space="preserve">presente </w:t>
            </w:r>
            <w:r w:rsidRPr="00687D49">
              <w:rPr>
                <w:rFonts w:ascii="Calibri Light" w:eastAsia="Calibri" w:hAnsi="Calibri Light" w:cs="Calibri Light"/>
                <w:sz w:val="20"/>
                <w:szCs w:val="20"/>
              </w:rPr>
              <w:t xml:space="preserve">modificación </w:t>
            </w:r>
            <w:r>
              <w:rPr>
                <w:rFonts w:ascii="Calibri Light" w:eastAsia="Calibri" w:hAnsi="Calibri Light" w:cs="Calibri Light"/>
                <w:sz w:val="20"/>
                <w:szCs w:val="20"/>
              </w:rPr>
              <w:t>a razón de</w:t>
            </w:r>
            <w:r w:rsidRPr="00687D49">
              <w:rPr>
                <w:rFonts w:ascii="Calibri Light" w:eastAsia="Calibri" w:hAnsi="Calibri Light" w:cs="Calibri Light"/>
                <w:sz w:val="20"/>
                <w:szCs w:val="20"/>
              </w:rPr>
              <w:t xml:space="preserve"> considera</w:t>
            </w:r>
            <w:r>
              <w:rPr>
                <w:rFonts w:ascii="Calibri Light" w:eastAsia="Calibri" w:hAnsi="Calibri Light" w:cs="Calibri Light"/>
                <w:sz w:val="20"/>
                <w:szCs w:val="20"/>
              </w:rPr>
              <w:t>r</w:t>
            </w:r>
            <w:r w:rsidRPr="00687D49">
              <w:rPr>
                <w:rFonts w:ascii="Calibri Light" w:eastAsia="Calibri" w:hAnsi="Calibri Light" w:cs="Calibri Light"/>
                <w:sz w:val="20"/>
                <w:szCs w:val="20"/>
              </w:rPr>
              <w:t xml:space="preserve"> los plazos</w:t>
            </w:r>
            <w:r w:rsidR="0031524E">
              <w:rPr>
                <w:rFonts w:ascii="Calibri Light" w:eastAsia="Calibri" w:hAnsi="Calibri Light" w:cs="Calibri Light"/>
                <w:sz w:val="20"/>
                <w:szCs w:val="20"/>
              </w:rPr>
              <w:t xml:space="preserve"> máximos reales</w:t>
            </w:r>
            <w:r w:rsidRPr="00687D49">
              <w:rPr>
                <w:rFonts w:ascii="Calibri Light" w:eastAsia="Calibri" w:hAnsi="Calibri Light" w:cs="Calibri Light"/>
                <w:sz w:val="20"/>
                <w:szCs w:val="20"/>
              </w:rPr>
              <w:t xml:space="preserve"> </w:t>
            </w:r>
            <w:r w:rsidR="0031524E">
              <w:rPr>
                <w:rFonts w:ascii="Calibri Light" w:eastAsia="Calibri" w:hAnsi="Calibri Light" w:cs="Calibri Light"/>
                <w:sz w:val="20"/>
                <w:szCs w:val="20"/>
              </w:rPr>
              <w:t xml:space="preserve">para </w:t>
            </w:r>
            <w:r>
              <w:rPr>
                <w:rFonts w:ascii="Calibri Light" w:eastAsia="Calibri" w:hAnsi="Calibri Light" w:cs="Calibri Light"/>
                <w:sz w:val="20"/>
                <w:szCs w:val="20"/>
              </w:rPr>
              <w:t xml:space="preserve">suministrar un servicio nuevo </w:t>
            </w:r>
            <w:r w:rsidR="0031524E">
              <w:rPr>
                <w:rFonts w:ascii="Calibri Light" w:eastAsia="Calibri" w:hAnsi="Calibri Light" w:cs="Calibri Light"/>
                <w:sz w:val="20"/>
                <w:szCs w:val="20"/>
              </w:rPr>
              <w:t>o para</w:t>
            </w:r>
            <w:r w:rsidR="0031524E" w:rsidRPr="00687D49">
              <w:rPr>
                <w:rFonts w:ascii="Calibri Light" w:eastAsia="Calibri" w:hAnsi="Calibri Light" w:cs="Calibri Light"/>
                <w:sz w:val="20"/>
                <w:szCs w:val="20"/>
              </w:rPr>
              <w:t xml:space="preserve"> dar </w:t>
            </w:r>
            <w:r w:rsidR="0031524E">
              <w:rPr>
                <w:rFonts w:ascii="Calibri Light" w:eastAsia="Calibri" w:hAnsi="Calibri Light" w:cs="Calibri Light"/>
                <w:sz w:val="20"/>
                <w:szCs w:val="20"/>
              </w:rPr>
              <w:t xml:space="preserve">una </w:t>
            </w:r>
            <w:r w:rsidR="0031524E" w:rsidRPr="00687D49">
              <w:rPr>
                <w:rFonts w:ascii="Calibri Light" w:eastAsia="Calibri" w:hAnsi="Calibri Light" w:cs="Calibri Light"/>
                <w:sz w:val="20"/>
                <w:szCs w:val="20"/>
              </w:rPr>
              <w:t>adecuada solución a una falla</w:t>
            </w:r>
            <w:r>
              <w:rPr>
                <w:rFonts w:ascii="Calibri Light" w:eastAsia="Calibri" w:hAnsi="Calibri Light" w:cs="Calibri Light"/>
                <w:sz w:val="20"/>
                <w:szCs w:val="20"/>
              </w:rPr>
              <w:t xml:space="preserve">, la logística de la </w:t>
            </w:r>
            <w:r w:rsidRPr="00687D49">
              <w:rPr>
                <w:rFonts w:ascii="Calibri Light" w:eastAsia="Calibri" w:hAnsi="Calibri Light" w:cs="Calibri Light"/>
                <w:sz w:val="20"/>
                <w:szCs w:val="20"/>
              </w:rPr>
              <w:t>operación</w:t>
            </w:r>
            <w:r>
              <w:rPr>
                <w:rFonts w:ascii="Calibri Light" w:eastAsia="Calibri" w:hAnsi="Calibri Light" w:cs="Calibri Light"/>
                <w:sz w:val="20"/>
                <w:szCs w:val="20"/>
              </w:rPr>
              <w:t>, así como la dispersión del país y la interacción con la Empresa Mayorista.</w:t>
            </w:r>
          </w:p>
          <w:p w14:paraId="1F41EDCE" w14:textId="77777777" w:rsidR="001F6DC1" w:rsidRDefault="001F6DC1" w:rsidP="00536ADF">
            <w:pPr>
              <w:jc w:val="both"/>
              <w:rPr>
                <w:rFonts w:ascii="Calibri Light" w:eastAsia="Calibri" w:hAnsi="Calibri Light" w:cs="Calibri Light"/>
                <w:sz w:val="20"/>
                <w:szCs w:val="20"/>
              </w:rPr>
            </w:pPr>
          </w:p>
          <w:p w14:paraId="3F4CC89C" w14:textId="77777777" w:rsidR="00F444A1" w:rsidRDefault="00C64333" w:rsidP="00536ADF">
            <w:pPr>
              <w:jc w:val="both"/>
              <w:rPr>
                <w:rFonts w:ascii="Calibri Light" w:eastAsia="Calibri" w:hAnsi="Calibri Light" w:cs="Calibri Light"/>
                <w:sz w:val="20"/>
                <w:szCs w:val="20"/>
              </w:rPr>
            </w:pPr>
            <w:r w:rsidRPr="00C64333">
              <w:rPr>
                <w:rFonts w:ascii="Calibri Light" w:eastAsia="Calibri" w:hAnsi="Calibri Light" w:cs="Calibri Light"/>
                <w:sz w:val="20"/>
                <w:szCs w:val="20"/>
              </w:rPr>
              <w:t>Actualmente los servicios de bajas velocidades (1, 2, 4 y 6 Mbps) en</w:t>
            </w:r>
            <w:r w:rsidR="00F444A1" w:rsidRPr="00C64333">
              <w:rPr>
                <w:rFonts w:ascii="Calibri Light" w:eastAsia="Calibri" w:hAnsi="Calibri Light" w:cs="Calibri Light"/>
                <w:sz w:val="20"/>
                <w:szCs w:val="20"/>
              </w:rPr>
              <w:t xml:space="preserve"> su mayoría </w:t>
            </w:r>
            <w:r w:rsidRPr="00C64333">
              <w:rPr>
                <w:rFonts w:ascii="Calibri Light" w:eastAsia="Calibri" w:hAnsi="Calibri Light" w:cs="Calibri Light"/>
                <w:sz w:val="20"/>
                <w:szCs w:val="20"/>
              </w:rPr>
              <w:t>se</w:t>
            </w:r>
            <w:r w:rsidR="00F444A1" w:rsidRPr="00C64333">
              <w:rPr>
                <w:rFonts w:ascii="Calibri Light" w:eastAsia="Calibri" w:hAnsi="Calibri Light" w:cs="Calibri Light"/>
                <w:sz w:val="20"/>
                <w:szCs w:val="20"/>
              </w:rPr>
              <w:t xml:space="preserve"> entregan por f</w:t>
            </w:r>
            <w:r w:rsidRPr="00C64333">
              <w:rPr>
                <w:rFonts w:ascii="Calibri Light" w:eastAsia="Calibri" w:hAnsi="Calibri Light" w:cs="Calibri Light"/>
                <w:sz w:val="20"/>
                <w:szCs w:val="20"/>
              </w:rPr>
              <w:t>ibra óptica,</w:t>
            </w:r>
            <w:r>
              <w:rPr>
                <w:rFonts w:ascii="Calibri Light" w:eastAsia="Calibri" w:hAnsi="Calibri Light" w:cs="Calibri Light"/>
                <w:sz w:val="20"/>
                <w:szCs w:val="20"/>
              </w:rPr>
              <w:t xml:space="preserve"> misma infraestructura utilizada para proveer servicios de mayor capacidad, por tal razón, deben ser los mismos plazos a 6</w:t>
            </w:r>
            <w:r w:rsidR="005118C5">
              <w:rPr>
                <w:rFonts w:ascii="Calibri Light" w:eastAsia="Calibri" w:hAnsi="Calibri Light" w:cs="Calibri Light"/>
                <w:sz w:val="20"/>
                <w:szCs w:val="20"/>
              </w:rPr>
              <w:t>2</w:t>
            </w:r>
            <w:r>
              <w:rPr>
                <w:rFonts w:ascii="Calibri Light" w:eastAsia="Calibri" w:hAnsi="Calibri Light" w:cs="Calibri Light"/>
                <w:sz w:val="20"/>
                <w:szCs w:val="20"/>
              </w:rPr>
              <w:t xml:space="preserve"> días hábiles.</w:t>
            </w:r>
          </w:p>
          <w:p w14:paraId="7FB8DB2A" w14:textId="77777777" w:rsidR="001F6DC1" w:rsidRDefault="001F6DC1" w:rsidP="00536ADF">
            <w:pPr>
              <w:jc w:val="both"/>
              <w:rPr>
                <w:rFonts w:ascii="Calibri Light" w:eastAsia="Calibri" w:hAnsi="Calibri Light" w:cs="Calibri Light"/>
                <w:sz w:val="20"/>
                <w:szCs w:val="20"/>
              </w:rPr>
            </w:pPr>
          </w:p>
          <w:p w14:paraId="71BCD9EF" w14:textId="77777777" w:rsidR="002B5490" w:rsidRDefault="002B5490" w:rsidP="00536ADF">
            <w:pPr>
              <w:jc w:val="both"/>
              <w:rPr>
                <w:rFonts w:ascii="Calibri Light" w:eastAsia="Calibri" w:hAnsi="Calibri Light" w:cs="Calibri Light"/>
                <w:sz w:val="20"/>
                <w:szCs w:val="20"/>
              </w:rPr>
            </w:pPr>
          </w:p>
          <w:p w14:paraId="75019371" w14:textId="77777777" w:rsidR="002B5490" w:rsidRDefault="002B5490" w:rsidP="00536ADF">
            <w:pPr>
              <w:jc w:val="both"/>
              <w:rPr>
                <w:rFonts w:ascii="Calibri Light" w:eastAsia="Calibri" w:hAnsi="Calibri Light" w:cs="Calibri Light"/>
                <w:sz w:val="20"/>
                <w:szCs w:val="20"/>
              </w:rPr>
            </w:pPr>
          </w:p>
          <w:p w14:paraId="58824C5D" w14:textId="77777777" w:rsidR="002B5490" w:rsidRDefault="002B5490" w:rsidP="00536ADF">
            <w:pPr>
              <w:jc w:val="both"/>
              <w:rPr>
                <w:rFonts w:ascii="Calibri Light" w:eastAsia="Calibri" w:hAnsi="Calibri Light" w:cs="Calibri Light"/>
                <w:sz w:val="20"/>
                <w:szCs w:val="20"/>
              </w:rPr>
            </w:pPr>
          </w:p>
          <w:p w14:paraId="19B85E6F" w14:textId="77777777" w:rsidR="002B5490" w:rsidRDefault="002B5490" w:rsidP="00536ADF">
            <w:pPr>
              <w:jc w:val="both"/>
              <w:rPr>
                <w:rFonts w:ascii="Calibri Light" w:eastAsia="Calibri" w:hAnsi="Calibri Light" w:cs="Calibri Light"/>
                <w:sz w:val="20"/>
                <w:szCs w:val="20"/>
              </w:rPr>
            </w:pPr>
          </w:p>
          <w:p w14:paraId="510B8936" w14:textId="77777777" w:rsidR="002B5490" w:rsidRDefault="002B5490" w:rsidP="00536ADF">
            <w:pPr>
              <w:jc w:val="both"/>
              <w:rPr>
                <w:rFonts w:ascii="Calibri Light" w:eastAsia="Calibri" w:hAnsi="Calibri Light" w:cs="Calibri Light"/>
                <w:sz w:val="20"/>
                <w:szCs w:val="20"/>
              </w:rPr>
            </w:pPr>
          </w:p>
          <w:p w14:paraId="429BC1FF" w14:textId="77777777" w:rsidR="002B5490" w:rsidRDefault="002B5490" w:rsidP="00536ADF">
            <w:pPr>
              <w:jc w:val="both"/>
              <w:rPr>
                <w:rFonts w:ascii="Calibri Light" w:eastAsia="Calibri" w:hAnsi="Calibri Light" w:cs="Calibri Light"/>
                <w:sz w:val="20"/>
                <w:szCs w:val="20"/>
              </w:rPr>
            </w:pPr>
          </w:p>
          <w:p w14:paraId="6C6E2442" w14:textId="77777777" w:rsidR="00F078D6" w:rsidRDefault="00F078D6" w:rsidP="00536ADF">
            <w:pPr>
              <w:jc w:val="both"/>
              <w:rPr>
                <w:rFonts w:ascii="Calibri Light" w:eastAsia="Calibri" w:hAnsi="Calibri Light" w:cs="Calibri Light"/>
                <w:sz w:val="20"/>
                <w:szCs w:val="20"/>
              </w:rPr>
            </w:pPr>
          </w:p>
          <w:p w14:paraId="5871E2E6" w14:textId="77777777" w:rsidR="00F078D6" w:rsidRDefault="00F078D6" w:rsidP="00536ADF">
            <w:pPr>
              <w:jc w:val="both"/>
              <w:rPr>
                <w:rFonts w:ascii="Calibri Light" w:eastAsia="Calibri" w:hAnsi="Calibri Light" w:cs="Calibri Light"/>
                <w:sz w:val="20"/>
                <w:szCs w:val="20"/>
              </w:rPr>
            </w:pPr>
          </w:p>
          <w:p w14:paraId="241A7330" w14:textId="7777777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Asimismo, </w:t>
            </w:r>
            <w:r w:rsidR="006A4EB0">
              <w:rPr>
                <w:rFonts w:ascii="Calibri Light" w:eastAsia="Calibri" w:hAnsi="Calibri Light" w:cs="Calibri Light"/>
                <w:sz w:val="20"/>
                <w:szCs w:val="20"/>
              </w:rPr>
              <w:t>para la m</w:t>
            </w:r>
            <w:r w:rsidR="006A4EB0" w:rsidRPr="006A4EB0">
              <w:rPr>
                <w:rFonts w:ascii="Calibri Light" w:eastAsia="Calibri" w:hAnsi="Calibri Light" w:cs="Calibri Light"/>
                <w:sz w:val="20"/>
                <w:szCs w:val="20"/>
              </w:rPr>
              <w:t>edición del cumplimiento de los plazos de entrega</w:t>
            </w:r>
            <w:r w:rsidR="006A4EB0">
              <w:rPr>
                <w:rFonts w:ascii="Calibri Light" w:eastAsia="Calibri" w:hAnsi="Calibri Light" w:cs="Calibri Light"/>
                <w:sz w:val="20"/>
                <w:szCs w:val="20"/>
              </w:rPr>
              <w:t>,</w:t>
            </w:r>
            <w:r w:rsidR="006A4EB0" w:rsidRPr="006A4EB0">
              <w:rPr>
                <w:rFonts w:ascii="Calibri Light" w:eastAsia="Calibri" w:hAnsi="Calibri Light" w:cs="Calibri Light"/>
                <w:sz w:val="20"/>
                <w:szCs w:val="20"/>
              </w:rPr>
              <w:t xml:space="preserve"> </w:t>
            </w:r>
            <w:r>
              <w:rPr>
                <w:rFonts w:ascii="Calibri Light" w:eastAsia="Calibri" w:hAnsi="Calibri Light" w:cs="Calibri Light"/>
                <w:sz w:val="20"/>
                <w:szCs w:val="20"/>
              </w:rPr>
              <w:t>se propon</w:t>
            </w:r>
            <w:r w:rsidR="001F6DC1">
              <w:rPr>
                <w:rFonts w:ascii="Calibri Light" w:eastAsia="Calibri" w:hAnsi="Calibri Light" w:cs="Calibri Light"/>
                <w:sz w:val="20"/>
                <w:szCs w:val="20"/>
              </w:rPr>
              <w:t>e homologar las situaciones descritas en las</w:t>
            </w:r>
            <w:r>
              <w:rPr>
                <w:rFonts w:ascii="Calibri Light" w:eastAsia="Calibri" w:hAnsi="Calibri Light" w:cs="Calibri Light"/>
                <w:sz w:val="20"/>
                <w:szCs w:val="20"/>
              </w:rPr>
              <w:t xml:space="preserve"> secciones que establecen las causas de fuerza mayor y casos fortuitos, </w:t>
            </w:r>
            <w:r w:rsidR="001F6DC1">
              <w:rPr>
                <w:rFonts w:ascii="Calibri Light" w:eastAsia="Calibri" w:hAnsi="Calibri Light" w:cs="Calibri Light"/>
                <w:sz w:val="20"/>
                <w:szCs w:val="20"/>
              </w:rPr>
              <w:t>para que</w:t>
            </w:r>
            <w:r w:rsidR="006A4EB0">
              <w:rPr>
                <w:rFonts w:ascii="Calibri Light" w:eastAsia="Calibri" w:hAnsi="Calibri Light" w:cs="Calibri Light"/>
                <w:sz w:val="20"/>
                <w:szCs w:val="20"/>
              </w:rPr>
              <w:t xml:space="preserve"> tengan</w:t>
            </w:r>
            <w:r w:rsidR="001F6DC1">
              <w:rPr>
                <w:rFonts w:ascii="Calibri Light" w:eastAsia="Calibri" w:hAnsi="Calibri Light" w:cs="Calibri Light"/>
                <w:sz w:val="20"/>
                <w:szCs w:val="20"/>
              </w:rPr>
              <w:t xml:space="preserve"> </w:t>
            </w:r>
            <w:r w:rsidR="006A4EB0">
              <w:rPr>
                <w:rFonts w:ascii="Calibri Light" w:eastAsia="Calibri" w:hAnsi="Calibri Light" w:cs="Calibri Light"/>
                <w:sz w:val="20"/>
                <w:szCs w:val="20"/>
              </w:rPr>
              <w:t xml:space="preserve">los mismos </w:t>
            </w:r>
            <w:r w:rsidR="001F6DC1">
              <w:rPr>
                <w:rFonts w:ascii="Calibri Light" w:eastAsia="Calibri" w:hAnsi="Calibri Light" w:cs="Calibri Light"/>
                <w:sz w:val="20"/>
                <w:szCs w:val="20"/>
              </w:rPr>
              <w:t>eventos descritos</w:t>
            </w:r>
            <w:r w:rsidR="006A4EB0">
              <w:rPr>
                <w:rFonts w:ascii="Calibri Light" w:eastAsia="Calibri" w:hAnsi="Calibri Light" w:cs="Calibri Light"/>
                <w:sz w:val="20"/>
                <w:szCs w:val="20"/>
              </w:rPr>
              <w:t>, en el inciso a) del numeral 2.4.3.1 y la sección B del Anexo “C”</w:t>
            </w:r>
            <w:r>
              <w:rPr>
                <w:rFonts w:ascii="Calibri Light" w:eastAsia="Calibri" w:hAnsi="Calibri Light" w:cs="Calibri Light"/>
                <w:sz w:val="20"/>
                <w:szCs w:val="20"/>
              </w:rPr>
              <w:t>.</w:t>
            </w:r>
          </w:p>
          <w:p w14:paraId="25C1C5EA" w14:textId="77777777" w:rsidR="006F4375" w:rsidRDefault="006F4375" w:rsidP="00536ADF">
            <w:pPr>
              <w:jc w:val="both"/>
              <w:rPr>
                <w:rFonts w:ascii="Calibri Light" w:eastAsia="Calibri" w:hAnsi="Calibri Light" w:cs="Calibri Light"/>
                <w:sz w:val="20"/>
                <w:szCs w:val="20"/>
              </w:rPr>
            </w:pPr>
          </w:p>
          <w:p w14:paraId="15D274CE" w14:textId="77777777" w:rsidR="006F4375" w:rsidRDefault="006F4375" w:rsidP="00536ADF">
            <w:pPr>
              <w:jc w:val="both"/>
              <w:rPr>
                <w:rFonts w:ascii="Calibri Light" w:eastAsia="Calibri" w:hAnsi="Calibri Light" w:cs="Calibri Light"/>
                <w:sz w:val="20"/>
                <w:szCs w:val="20"/>
              </w:rPr>
            </w:pPr>
          </w:p>
          <w:p w14:paraId="45D7D1A9" w14:textId="77777777" w:rsidR="006F4375" w:rsidRDefault="006F4375" w:rsidP="00536ADF">
            <w:pPr>
              <w:jc w:val="both"/>
              <w:rPr>
                <w:rFonts w:ascii="Calibri Light" w:eastAsia="Calibri" w:hAnsi="Calibri Light" w:cs="Calibri Light"/>
                <w:sz w:val="20"/>
                <w:szCs w:val="20"/>
              </w:rPr>
            </w:pPr>
          </w:p>
          <w:p w14:paraId="03931D89" w14:textId="77777777" w:rsidR="006F4375" w:rsidRDefault="006F4375" w:rsidP="00536ADF">
            <w:pPr>
              <w:jc w:val="both"/>
              <w:rPr>
                <w:rFonts w:ascii="Calibri Light" w:eastAsia="Calibri" w:hAnsi="Calibri Light" w:cs="Calibri Light"/>
                <w:sz w:val="20"/>
                <w:szCs w:val="20"/>
              </w:rPr>
            </w:pPr>
          </w:p>
          <w:p w14:paraId="3DE0BBC7" w14:textId="77777777" w:rsidR="006F4375" w:rsidRDefault="006F4375" w:rsidP="00536ADF">
            <w:pPr>
              <w:jc w:val="both"/>
              <w:rPr>
                <w:rFonts w:ascii="Calibri Light" w:eastAsia="Calibri" w:hAnsi="Calibri Light" w:cs="Calibri Light"/>
                <w:sz w:val="20"/>
                <w:szCs w:val="20"/>
              </w:rPr>
            </w:pPr>
          </w:p>
          <w:p w14:paraId="7190A52B" w14:textId="77777777" w:rsidR="006F4375" w:rsidRDefault="006F4375" w:rsidP="00536ADF">
            <w:pPr>
              <w:jc w:val="both"/>
              <w:rPr>
                <w:rFonts w:ascii="Calibri Light" w:eastAsia="Calibri" w:hAnsi="Calibri Light" w:cs="Calibri Light"/>
                <w:sz w:val="20"/>
                <w:szCs w:val="20"/>
              </w:rPr>
            </w:pPr>
          </w:p>
          <w:p w14:paraId="551D67B1" w14:textId="77777777" w:rsidR="006F4375" w:rsidRDefault="006F4375" w:rsidP="00536ADF">
            <w:pPr>
              <w:jc w:val="both"/>
              <w:rPr>
                <w:rFonts w:ascii="Calibri Light" w:eastAsia="Calibri" w:hAnsi="Calibri Light" w:cs="Calibri Light"/>
                <w:sz w:val="20"/>
                <w:szCs w:val="20"/>
              </w:rPr>
            </w:pPr>
          </w:p>
          <w:p w14:paraId="641FE1EB" w14:textId="77777777" w:rsidR="006F4375" w:rsidRDefault="006F4375" w:rsidP="00536ADF">
            <w:pPr>
              <w:jc w:val="both"/>
              <w:rPr>
                <w:rFonts w:ascii="Calibri Light" w:eastAsia="Calibri" w:hAnsi="Calibri Light" w:cs="Calibri Light"/>
                <w:sz w:val="20"/>
                <w:szCs w:val="20"/>
              </w:rPr>
            </w:pPr>
          </w:p>
          <w:p w14:paraId="362ACE70" w14:textId="77777777" w:rsidR="006F4375" w:rsidRDefault="002B5490"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Los plazos de reparación son </w:t>
            </w:r>
            <w:r w:rsidR="000455BE">
              <w:rPr>
                <w:rFonts w:ascii="Calibri Light" w:eastAsia="Calibri" w:hAnsi="Calibri Light" w:cs="Calibri Light"/>
                <w:sz w:val="20"/>
                <w:szCs w:val="20"/>
              </w:rPr>
              <w:t>insuficientes</w:t>
            </w:r>
            <w:r>
              <w:rPr>
                <w:rFonts w:ascii="Calibri Light" w:eastAsia="Calibri" w:hAnsi="Calibri Light" w:cs="Calibri Light"/>
                <w:sz w:val="20"/>
                <w:szCs w:val="20"/>
              </w:rPr>
              <w:t xml:space="preserve"> para la atención en las </w:t>
            </w:r>
            <w:r w:rsidR="00EF3661">
              <w:rPr>
                <w:rFonts w:ascii="Calibri Light" w:eastAsia="Calibri" w:hAnsi="Calibri Light" w:cs="Calibri Light"/>
                <w:sz w:val="20"/>
                <w:szCs w:val="20"/>
              </w:rPr>
              <w:t>incidencias</w:t>
            </w:r>
            <w:r>
              <w:rPr>
                <w:rFonts w:ascii="Calibri Light" w:eastAsia="Calibri" w:hAnsi="Calibri Light" w:cs="Calibri Light"/>
                <w:sz w:val="20"/>
                <w:szCs w:val="20"/>
              </w:rPr>
              <w:t>, prácticamente se da prioridad a las solicitudes de reparación de los Concesionario</w:t>
            </w:r>
            <w:r w:rsidR="00EF3661">
              <w:rPr>
                <w:rFonts w:ascii="Calibri Light" w:eastAsia="Calibri" w:hAnsi="Calibri Light" w:cs="Calibri Light"/>
                <w:sz w:val="20"/>
                <w:szCs w:val="20"/>
              </w:rPr>
              <w:t>s</w:t>
            </w:r>
            <w:r>
              <w:rPr>
                <w:rFonts w:ascii="Calibri Light" w:eastAsia="Calibri" w:hAnsi="Calibri Light" w:cs="Calibri Light"/>
                <w:sz w:val="20"/>
                <w:szCs w:val="20"/>
              </w:rPr>
              <w:t xml:space="preserve"> antes que a la reparación de los en enlaces </w:t>
            </w:r>
            <w:r w:rsidR="00EF3661">
              <w:rPr>
                <w:rFonts w:ascii="Calibri Light" w:eastAsia="Calibri" w:hAnsi="Calibri Light" w:cs="Calibri Light"/>
                <w:sz w:val="20"/>
                <w:szCs w:val="20"/>
              </w:rPr>
              <w:t>internos</w:t>
            </w:r>
            <w:r>
              <w:rPr>
                <w:rFonts w:ascii="Calibri Light" w:eastAsia="Calibri" w:hAnsi="Calibri Light" w:cs="Calibri Light"/>
                <w:sz w:val="20"/>
                <w:szCs w:val="20"/>
              </w:rPr>
              <w:t xml:space="preserve">. Por tal motivo se propone que los plazos de reparación </w:t>
            </w:r>
            <w:r w:rsidR="005A3DC6">
              <w:rPr>
                <w:rFonts w:ascii="Calibri Light" w:eastAsia="Calibri" w:hAnsi="Calibri Light" w:cs="Calibri Light"/>
                <w:sz w:val="20"/>
                <w:szCs w:val="20"/>
              </w:rPr>
              <w:t xml:space="preserve">tengan las mismas condiciones en cuanto a </w:t>
            </w:r>
            <w:r>
              <w:rPr>
                <w:rFonts w:ascii="Calibri Light" w:eastAsia="Calibri" w:hAnsi="Calibri Light" w:cs="Calibri Light"/>
                <w:sz w:val="20"/>
                <w:szCs w:val="20"/>
              </w:rPr>
              <w:t xml:space="preserve">un porcentaje de cumplimiento, tal como se establece en la Oferta de Referencia de Desagregación (OREDA), la cual establece </w:t>
            </w:r>
            <w:r w:rsidR="00961115">
              <w:rPr>
                <w:rFonts w:ascii="Calibri Light" w:eastAsia="Calibri" w:hAnsi="Calibri Light" w:cs="Calibri Light"/>
                <w:sz w:val="20"/>
                <w:szCs w:val="20"/>
              </w:rPr>
              <w:t>que,</w:t>
            </w:r>
            <w:r>
              <w:rPr>
                <w:rFonts w:ascii="Calibri Light" w:eastAsia="Calibri" w:hAnsi="Calibri Light" w:cs="Calibri Light"/>
                <w:sz w:val="20"/>
                <w:szCs w:val="20"/>
              </w:rPr>
              <w:t xml:space="preserve"> </w:t>
            </w:r>
            <w:r w:rsidR="002D5DB2">
              <w:rPr>
                <w:rFonts w:ascii="Calibri Light" w:eastAsia="Calibri" w:hAnsi="Calibri Light" w:cs="Calibri Light"/>
                <w:sz w:val="20"/>
                <w:szCs w:val="20"/>
              </w:rPr>
              <w:t>del total de reparaciones atendidas, el 84% sea reparado en 1 día hábil, el 94% en 3 días hábiles y el 6% restante en un plazo que no exceda de 10 días hábiles:</w:t>
            </w:r>
          </w:p>
          <w:p w14:paraId="233E5EE7" w14:textId="77777777" w:rsidR="002D5DB2" w:rsidRDefault="002D5DB2" w:rsidP="00536ADF">
            <w:pPr>
              <w:jc w:val="both"/>
              <w:rPr>
                <w:rFonts w:ascii="Calibri Light" w:eastAsia="Calibri" w:hAnsi="Calibri Light" w:cs="Calibri Light"/>
                <w:sz w:val="20"/>
                <w:szCs w:val="20"/>
              </w:rPr>
            </w:pPr>
          </w:p>
          <w:p w14:paraId="2ACB90F2" w14:textId="77777777" w:rsidR="002D5DB2" w:rsidRDefault="00763D10" w:rsidP="002D5DB2">
            <w:pPr>
              <w:jc w:val="both"/>
              <w:rPr>
                <w:rFonts w:ascii="Calibri Light" w:eastAsia="Calibri" w:hAnsi="Calibri Light" w:cs="Calibri Light"/>
                <w:sz w:val="20"/>
                <w:szCs w:val="20"/>
              </w:rPr>
            </w:pPr>
            <w:r w:rsidRPr="00763D10">
              <w:rPr>
                <w:rFonts w:ascii="Calibri Light" w:eastAsia="Calibri" w:hAnsi="Calibri Light" w:cs="Calibri Light"/>
                <w:sz w:val="20"/>
                <w:szCs w:val="20"/>
              </w:rPr>
              <w:t xml:space="preserve">Debido al grado de obsolescencia que presenta la tecnología TDM, </w:t>
            </w:r>
            <w:r>
              <w:rPr>
                <w:rFonts w:ascii="Calibri Light" w:eastAsia="Calibri" w:hAnsi="Calibri Light" w:cs="Calibri Light"/>
                <w:sz w:val="20"/>
                <w:szCs w:val="20"/>
              </w:rPr>
              <w:t xml:space="preserve">es necesario separar los tiempos de atención de incidencias en Ethernet y TDM, este último debido a que </w:t>
            </w:r>
            <w:r w:rsidRPr="00763D10">
              <w:rPr>
                <w:rFonts w:ascii="Calibri Light" w:eastAsia="Calibri" w:hAnsi="Calibri Light" w:cs="Calibri Light"/>
                <w:sz w:val="20"/>
                <w:szCs w:val="20"/>
              </w:rPr>
              <w:t>el soporte necesario para la conservación de los equipos implementados y la imposibilidad de acceder a piezas para el refaccionamiento en caso de fallas</w:t>
            </w:r>
            <w:r>
              <w:rPr>
                <w:rFonts w:ascii="Calibri Light" w:eastAsia="Calibri" w:hAnsi="Calibri Light" w:cs="Calibri Light"/>
                <w:sz w:val="20"/>
                <w:szCs w:val="20"/>
              </w:rPr>
              <w:t xml:space="preserve"> ha llegado a su fin de vida, causando incremento en los tiempos de reparación. </w:t>
            </w:r>
          </w:p>
          <w:p w14:paraId="5E846343" w14:textId="77777777" w:rsidR="006F4375" w:rsidRDefault="006F4375" w:rsidP="00536ADF">
            <w:pPr>
              <w:jc w:val="both"/>
              <w:rPr>
                <w:rFonts w:ascii="Calibri Light" w:eastAsia="Calibri" w:hAnsi="Calibri Light" w:cs="Calibri Light"/>
                <w:sz w:val="20"/>
                <w:szCs w:val="20"/>
              </w:rPr>
            </w:pPr>
          </w:p>
          <w:p w14:paraId="66E5B984" w14:textId="77777777" w:rsidR="006657A3" w:rsidRDefault="006657A3" w:rsidP="00867480">
            <w:pPr>
              <w:jc w:val="both"/>
              <w:rPr>
                <w:rFonts w:ascii="Calibri Light" w:eastAsia="Calibri" w:hAnsi="Calibri Light" w:cs="Calibri Light"/>
                <w:sz w:val="20"/>
                <w:szCs w:val="20"/>
              </w:rPr>
            </w:pPr>
          </w:p>
          <w:p w14:paraId="3A716950" w14:textId="77777777" w:rsidR="006657A3" w:rsidRDefault="006657A3" w:rsidP="00867480">
            <w:pPr>
              <w:jc w:val="both"/>
              <w:rPr>
                <w:rFonts w:ascii="Calibri Light" w:eastAsia="Calibri" w:hAnsi="Calibri Light" w:cs="Calibri Light"/>
                <w:sz w:val="20"/>
                <w:szCs w:val="20"/>
              </w:rPr>
            </w:pPr>
          </w:p>
          <w:p w14:paraId="173EE1F5" w14:textId="77777777" w:rsidR="006657A3" w:rsidRDefault="006657A3" w:rsidP="00867480">
            <w:pPr>
              <w:jc w:val="both"/>
              <w:rPr>
                <w:rFonts w:ascii="Calibri Light" w:eastAsia="Calibri" w:hAnsi="Calibri Light" w:cs="Calibri Light"/>
                <w:sz w:val="20"/>
                <w:szCs w:val="20"/>
              </w:rPr>
            </w:pPr>
          </w:p>
          <w:p w14:paraId="5C0879D7" w14:textId="77777777" w:rsidR="006657A3" w:rsidRDefault="006657A3" w:rsidP="00867480">
            <w:pPr>
              <w:jc w:val="both"/>
              <w:rPr>
                <w:rFonts w:ascii="Calibri Light" w:eastAsia="Calibri" w:hAnsi="Calibri Light" w:cs="Calibri Light"/>
                <w:sz w:val="20"/>
                <w:szCs w:val="20"/>
              </w:rPr>
            </w:pPr>
          </w:p>
          <w:p w14:paraId="762F024A" w14:textId="77777777" w:rsidR="006657A3" w:rsidRDefault="006657A3" w:rsidP="00867480">
            <w:pPr>
              <w:jc w:val="both"/>
              <w:rPr>
                <w:rFonts w:ascii="Calibri Light" w:eastAsia="Calibri" w:hAnsi="Calibri Light" w:cs="Calibri Light"/>
                <w:sz w:val="20"/>
                <w:szCs w:val="20"/>
              </w:rPr>
            </w:pPr>
          </w:p>
          <w:p w14:paraId="031E906F" w14:textId="77777777" w:rsidR="006657A3" w:rsidRDefault="006657A3" w:rsidP="00867480">
            <w:pPr>
              <w:jc w:val="both"/>
              <w:rPr>
                <w:rFonts w:ascii="Calibri Light" w:eastAsia="Calibri" w:hAnsi="Calibri Light" w:cs="Calibri Light"/>
                <w:sz w:val="20"/>
                <w:szCs w:val="20"/>
              </w:rPr>
            </w:pPr>
          </w:p>
          <w:p w14:paraId="0A8438D7" w14:textId="0477CDCB" w:rsidR="003C70D5" w:rsidRDefault="00CB1506" w:rsidP="00867480">
            <w:pPr>
              <w:jc w:val="both"/>
              <w:rPr>
                <w:rFonts w:ascii="Calibri Light" w:eastAsia="Calibri" w:hAnsi="Calibri Light" w:cs="Calibri Light"/>
                <w:sz w:val="20"/>
                <w:szCs w:val="20"/>
              </w:rPr>
            </w:pPr>
            <w:r w:rsidRPr="006C75C0">
              <w:rPr>
                <w:rFonts w:ascii="Calibri Light" w:eastAsia="Calibri" w:hAnsi="Calibri Light" w:cs="Calibri Light"/>
                <w:sz w:val="20"/>
                <w:szCs w:val="20"/>
              </w:rPr>
              <w:t>S</w:t>
            </w:r>
            <w:r w:rsidR="00867480" w:rsidRPr="006C75C0">
              <w:rPr>
                <w:rFonts w:ascii="Calibri Light" w:eastAsia="Calibri" w:hAnsi="Calibri Light" w:cs="Calibri Light"/>
                <w:sz w:val="20"/>
                <w:szCs w:val="20"/>
              </w:rPr>
              <w:t>egún el Informe de Incidencia Delictiva Fuero Común del Secretariado Ejecutivo del Sistema Nacional de Seguridad Pública Órgano Administrativo Desconcentrado de la Secretaría de Seguridad Pública y Protección Ciudadana</w:t>
            </w:r>
            <w:r w:rsidR="003C70D5" w:rsidRPr="006C75C0">
              <w:rPr>
                <w:rFonts w:ascii="Calibri Light" w:eastAsia="Calibri" w:hAnsi="Calibri Light" w:cs="Calibri Light"/>
                <w:sz w:val="20"/>
                <w:szCs w:val="20"/>
              </w:rPr>
              <w:t xml:space="preserve"> del 30 de junio de 2023</w:t>
            </w:r>
            <w:r w:rsidR="00867480" w:rsidRPr="006C75C0">
              <w:rPr>
                <w:rFonts w:ascii="Calibri Light" w:eastAsia="Calibri" w:hAnsi="Calibri Light" w:cs="Calibri Light"/>
                <w:sz w:val="20"/>
                <w:szCs w:val="20"/>
              </w:rPr>
              <w:t xml:space="preserve">, la incidencia delictiva </w:t>
            </w:r>
            <w:r w:rsidR="00BD084A" w:rsidRPr="006C75C0">
              <w:rPr>
                <w:rFonts w:ascii="Calibri Light" w:eastAsia="Calibri" w:hAnsi="Calibri Light" w:cs="Calibri Light"/>
                <w:sz w:val="20"/>
                <w:szCs w:val="20"/>
              </w:rPr>
              <w:t xml:space="preserve">en el país </w:t>
            </w:r>
            <w:r w:rsidR="00867480" w:rsidRPr="006C75C0">
              <w:rPr>
                <w:rFonts w:ascii="Calibri Light" w:eastAsia="Calibri" w:hAnsi="Calibri Light" w:cs="Calibri Light"/>
                <w:sz w:val="20"/>
                <w:szCs w:val="20"/>
              </w:rPr>
              <w:t xml:space="preserve">aumentó </w:t>
            </w:r>
            <w:r w:rsidR="003C70D5" w:rsidRPr="006C75C0">
              <w:rPr>
                <w:rFonts w:ascii="Calibri Light" w:eastAsia="Calibri" w:hAnsi="Calibri Light" w:cs="Calibri Light"/>
                <w:sz w:val="20"/>
                <w:szCs w:val="20"/>
              </w:rPr>
              <w:t xml:space="preserve">en </w:t>
            </w:r>
            <w:r w:rsidR="00867480" w:rsidRPr="006C75C0">
              <w:rPr>
                <w:rFonts w:ascii="Calibri Light" w:eastAsia="Calibri" w:hAnsi="Calibri Light" w:cs="Calibri Light"/>
                <w:sz w:val="20"/>
                <w:szCs w:val="20"/>
              </w:rPr>
              <w:t>el 32.35%.</w:t>
            </w:r>
            <w:r w:rsidR="00867480">
              <w:rPr>
                <w:rFonts w:ascii="Calibri Light" w:eastAsia="Calibri" w:hAnsi="Calibri Light" w:cs="Calibri Light"/>
                <w:sz w:val="20"/>
                <w:szCs w:val="20"/>
              </w:rPr>
              <w:t xml:space="preserve"> </w:t>
            </w:r>
          </w:p>
          <w:p w14:paraId="4C33C02A" w14:textId="02204706" w:rsidR="003C70D5" w:rsidRDefault="003C70D5" w:rsidP="00867480">
            <w:pPr>
              <w:jc w:val="both"/>
              <w:rPr>
                <w:rFonts w:ascii="Calibri Light" w:eastAsia="Calibri" w:hAnsi="Calibri Light" w:cs="Calibri Light"/>
                <w:sz w:val="20"/>
                <w:szCs w:val="20"/>
              </w:rPr>
            </w:pPr>
          </w:p>
          <w:p w14:paraId="58D94BFB" w14:textId="76A684FD" w:rsidR="00867480" w:rsidRDefault="003C70D5" w:rsidP="00867480">
            <w:pPr>
              <w:jc w:val="both"/>
              <w:rPr>
                <w:rFonts w:ascii="Calibri Light" w:eastAsia="Calibri" w:hAnsi="Calibri Light" w:cs="Calibri Light"/>
                <w:sz w:val="20"/>
                <w:szCs w:val="20"/>
              </w:rPr>
            </w:pPr>
            <w:r>
              <w:rPr>
                <w:rFonts w:ascii="Calibri Light" w:eastAsia="Calibri" w:hAnsi="Calibri Light" w:cs="Calibri Light"/>
                <w:sz w:val="20"/>
                <w:szCs w:val="20"/>
              </w:rPr>
              <w:t>Lo anterior impacta</w:t>
            </w:r>
            <w:r w:rsidR="00867480" w:rsidRPr="00867480">
              <w:rPr>
                <w:rFonts w:ascii="Calibri Light" w:eastAsia="Calibri" w:hAnsi="Calibri Light" w:cs="Calibri Light"/>
                <w:sz w:val="20"/>
                <w:szCs w:val="20"/>
              </w:rPr>
              <w:t xml:space="preserve"> en la m</w:t>
            </w:r>
            <w:r w:rsidR="00E671EE">
              <w:rPr>
                <w:rFonts w:ascii="Calibri Light" w:eastAsia="Calibri" w:hAnsi="Calibri Light" w:cs="Calibri Light"/>
                <w:sz w:val="20"/>
                <w:szCs w:val="20"/>
              </w:rPr>
              <w:t xml:space="preserve">ovilidad de los Técnicos de la planta externa </w:t>
            </w:r>
            <w:r w:rsidR="00867480" w:rsidRPr="00867480">
              <w:rPr>
                <w:rFonts w:ascii="Calibri Light" w:eastAsia="Calibri" w:hAnsi="Calibri Light" w:cs="Calibri Light"/>
                <w:sz w:val="20"/>
                <w:szCs w:val="20"/>
              </w:rPr>
              <w:t>por tener que acceder a</w:t>
            </w:r>
            <w:r>
              <w:rPr>
                <w:rFonts w:ascii="Calibri Light" w:eastAsia="Calibri" w:hAnsi="Calibri Light" w:cs="Calibri Light"/>
                <w:sz w:val="20"/>
                <w:szCs w:val="20"/>
              </w:rPr>
              <w:t xml:space="preserve"> diversas zonas del país</w:t>
            </w:r>
            <w:r w:rsidR="00867480" w:rsidRPr="00867480">
              <w:rPr>
                <w:rFonts w:ascii="Calibri Light" w:eastAsia="Calibri" w:hAnsi="Calibri Light" w:cs="Calibri Light"/>
                <w:sz w:val="20"/>
                <w:szCs w:val="20"/>
              </w:rPr>
              <w:t xml:space="preserve"> para </w:t>
            </w:r>
            <w:r w:rsidR="00867480">
              <w:rPr>
                <w:rFonts w:ascii="Calibri Light" w:eastAsia="Calibri" w:hAnsi="Calibri Light" w:cs="Calibri Light"/>
                <w:sz w:val="20"/>
                <w:szCs w:val="20"/>
              </w:rPr>
              <w:t xml:space="preserve">reparar y </w:t>
            </w:r>
            <w:r w:rsidR="00867480" w:rsidRPr="00867480">
              <w:rPr>
                <w:rFonts w:ascii="Calibri Light" w:eastAsia="Calibri" w:hAnsi="Calibri Light" w:cs="Calibri Light"/>
                <w:sz w:val="20"/>
                <w:szCs w:val="20"/>
              </w:rPr>
              <w:t>proveer los servicios</w:t>
            </w:r>
            <w:r>
              <w:rPr>
                <w:rFonts w:ascii="Calibri Light" w:eastAsia="Calibri" w:hAnsi="Calibri Light" w:cs="Calibri Light"/>
                <w:sz w:val="20"/>
                <w:szCs w:val="20"/>
              </w:rPr>
              <w:t xml:space="preserve">, lo cual </w:t>
            </w:r>
            <w:r w:rsidR="00867480" w:rsidRPr="00867480">
              <w:rPr>
                <w:rFonts w:ascii="Calibri Light" w:eastAsia="Calibri" w:hAnsi="Calibri Light" w:cs="Calibri Light"/>
                <w:sz w:val="20"/>
                <w:szCs w:val="20"/>
              </w:rPr>
              <w:t xml:space="preserve">reduce el horario que se considera seguro para poder circular en </w:t>
            </w:r>
            <w:r>
              <w:rPr>
                <w:rFonts w:ascii="Calibri Light" w:eastAsia="Calibri" w:hAnsi="Calibri Light" w:cs="Calibri Light"/>
                <w:sz w:val="20"/>
                <w:szCs w:val="20"/>
              </w:rPr>
              <w:t>las mismas.</w:t>
            </w:r>
          </w:p>
          <w:p w14:paraId="36D77050" w14:textId="36AF2889" w:rsidR="003C70D5" w:rsidRDefault="003C70D5" w:rsidP="00867480">
            <w:pPr>
              <w:jc w:val="both"/>
              <w:rPr>
                <w:rFonts w:ascii="Calibri Light" w:eastAsia="Calibri" w:hAnsi="Calibri Light" w:cs="Calibri Light"/>
                <w:sz w:val="20"/>
                <w:szCs w:val="20"/>
              </w:rPr>
            </w:pPr>
          </w:p>
          <w:p w14:paraId="5039F71C" w14:textId="252ADD86" w:rsidR="006F4375" w:rsidRDefault="00867480" w:rsidP="00867480">
            <w:pPr>
              <w:jc w:val="both"/>
              <w:rPr>
                <w:rFonts w:ascii="Calibri Light" w:eastAsia="Calibri" w:hAnsi="Calibri Light" w:cs="Calibri Light"/>
                <w:sz w:val="20"/>
                <w:szCs w:val="20"/>
              </w:rPr>
            </w:pPr>
            <w:r w:rsidRPr="00867480">
              <w:rPr>
                <w:rFonts w:ascii="Calibri Light" w:eastAsia="Calibri" w:hAnsi="Calibri Light" w:cs="Calibri Light"/>
                <w:sz w:val="20"/>
                <w:szCs w:val="20"/>
              </w:rPr>
              <w:t>Lo expuesto evidenc</w:t>
            </w:r>
            <w:r w:rsidR="00636276">
              <w:rPr>
                <w:rFonts w:ascii="Calibri Light" w:eastAsia="Calibri" w:hAnsi="Calibri Light" w:cs="Calibri Light"/>
                <w:sz w:val="20"/>
                <w:szCs w:val="20"/>
              </w:rPr>
              <w:t>i</w:t>
            </w:r>
            <w:r w:rsidRPr="00867480">
              <w:rPr>
                <w:rFonts w:ascii="Calibri Light" w:eastAsia="Calibri" w:hAnsi="Calibri Light" w:cs="Calibri Light"/>
                <w:sz w:val="20"/>
                <w:szCs w:val="20"/>
              </w:rPr>
              <w:t>a el riesgo que c</w:t>
            </w:r>
            <w:r w:rsidR="00E671EE">
              <w:rPr>
                <w:rFonts w:ascii="Calibri Light" w:eastAsia="Calibri" w:hAnsi="Calibri Light" w:cs="Calibri Light"/>
                <w:sz w:val="20"/>
                <w:szCs w:val="20"/>
              </w:rPr>
              <w:t xml:space="preserve">onlleva que los trabajadores </w:t>
            </w:r>
            <w:r w:rsidRPr="00867480">
              <w:rPr>
                <w:rFonts w:ascii="Calibri Light" w:eastAsia="Calibri" w:hAnsi="Calibri Light" w:cs="Calibri Light"/>
                <w:sz w:val="20"/>
                <w:szCs w:val="20"/>
              </w:rPr>
              <w:t>acudan a las diversas entidades federativas para</w:t>
            </w:r>
            <w:r w:rsidR="00636276">
              <w:rPr>
                <w:rFonts w:ascii="Calibri Light" w:eastAsia="Calibri" w:hAnsi="Calibri Light" w:cs="Calibri Light"/>
                <w:sz w:val="20"/>
                <w:szCs w:val="20"/>
              </w:rPr>
              <w:t xml:space="preserve"> reparar</w:t>
            </w:r>
            <w:r w:rsidRPr="00867480">
              <w:rPr>
                <w:rFonts w:ascii="Calibri Light" w:eastAsia="Calibri" w:hAnsi="Calibri Light" w:cs="Calibri Light"/>
                <w:sz w:val="20"/>
                <w:szCs w:val="20"/>
              </w:rPr>
              <w:t xml:space="preserve"> los servicios, por lo que</w:t>
            </w:r>
            <w:r w:rsidR="00636276">
              <w:rPr>
                <w:rFonts w:ascii="Calibri Light" w:eastAsia="Calibri" w:hAnsi="Calibri Light" w:cs="Calibri Light"/>
                <w:sz w:val="20"/>
                <w:szCs w:val="20"/>
              </w:rPr>
              <w:t xml:space="preserve"> se está solicitando un aumento de plazos a efecto de que los trabajadores tengan un mayor rango de movilidad de manera segura.</w:t>
            </w:r>
          </w:p>
          <w:p w14:paraId="5AC9C85C" w14:textId="77777777" w:rsidR="00844E34" w:rsidRDefault="00844E34"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Fuente: </w:t>
            </w:r>
          </w:p>
          <w:p w14:paraId="0A184D70" w14:textId="77777777" w:rsidR="00990BE4" w:rsidRPr="00936129" w:rsidRDefault="00844E34" w:rsidP="00536ADF">
            <w:pPr>
              <w:jc w:val="both"/>
              <w:rPr>
                <w:rStyle w:val="Hipervnculo"/>
                <w:rFonts w:ascii="Arial" w:hAnsi="Arial" w:cs="Arial"/>
                <w:sz w:val="16"/>
                <w:szCs w:val="18"/>
              </w:rPr>
            </w:pPr>
            <w:r w:rsidRPr="00936129">
              <w:rPr>
                <w:rFonts w:ascii="Calibri Light" w:eastAsia="Calibri" w:hAnsi="Calibri Light" w:cs="Calibri Light"/>
                <w:sz w:val="16"/>
                <w:szCs w:val="18"/>
              </w:rPr>
              <w:t>1:</w:t>
            </w:r>
            <w:hyperlink r:id="rId16" w:history="1">
              <w:r w:rsidRPr="00936129">
                <w:rPr>
                  <w:rStyle w:val="Hipervnculo"/>
                  <w:rFonts w:ascii="Arial" w:hAnsi="Arial" w:cs="Arial"/>
                  <w:sz w:val="16"/>
                  <w:szCs w:val="18"/>
                </w:rPr>
                <w:t>https://www.gob.mx/sesnsp/acciones-y-programas/incidencia-delictiva-299891?state=published</w:t>
              </w:r>
            </w:hyperlink>
          </w:p>
          <w:p w14:paraId="0F5121CB" w14:textId="77777777" w:rsidR="00990BE4" w:rsidRPr="00EB36DB" w:rsidRDefault="00990BE4" w:rsidP="00536ADF">
            <w:pPr>
              <w:jc w:val="both"/>
              <w:rPr>
                <w:rFonts w:ascii="Calibri Light" w:hAnsi="Calibri Light"/>
                <w:sz w:val="20"/>
              </w:rPr>
            </w:pPr>
          </w:p>
          <w:p w14:paraId="368A1B19" w14:textId="77777777" w:rsidR="00990BE4" w:rsidRDefault="00990BE4" w:rsidP="00536ADF">
            <w:pPr>
              <w:jc w:val="both"/>
              <w:rPr>
                <w:rFonts w:ascii="Calibri Light" w:eastAsia="Calibri" w:hAnsi="Calibri Light" w:cs="Calibri Light"/>
                <w:sz w:val="20"/>
                <w:szCs w:val="20"/>
              </w:rPr>
            </w:pPr>
          </w:p>
          <w:p w14:paraId="49487E27" w14:textId="77777777" w:rsidR="006657A3" w:rsidRDefault="006657A3" w:rsidP="00536ADF">
            <w:pPr>
              <w:jc w:val="both"/>
              <w:rPr>
                <w:rFonts w:ascii="Calibri Light" w:eastAsia="Calibri" w:hAnsi="Calibri Light" w:cs="Calibri Light"/>
                <w:sz w:val="20"/>
                <w:szCs w:val="20"/>
              </w:rPr>
            </w:pPr>
          </w:p>
          <w:p w14:paraId="6B3E6A51" w14:textId="77777777" w:rsidR="004162D1" w:rsidRDefault="004162D1"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Se propone eliminar el tiempo de 12 horas y el porcentaje del 5% en razón de </w:t>
            </w:r>
            <w:r w:rsidR="00F731D4">
              <w:rPr>
                <w:rFonts w:ascii="Calibri Light" w:eastAsia="Calibri" w:hAnsi="Calibri Light" w:cs="Calibri Light"/>
                <w:sz w:val="20"/>
                <w:szCs w:val="20"/>
              </w:rPr>
              <w:t>3</w:t>
            </w:r>
            <w:r>
              <w:rPr>
                <w:rFonts w:ascii="Calibri Light" w:eastAsia="Calibri" w:hAnsi="Calibri Light" w:cs="Calibri Light"/>
                <w:sz w:val="20"/>
                <w:szCs w:val="20"/>
              </w:rPr>
              <w:t xml:space="preserve"> situaciones justificadas:</w:t>
            </w:r>
          </w:p>
          <w:p w14:paraId="54819644" w14:textId="77777777" w:rsidR="00DF5541" w:rsidRDefault="004162D1" w:rsidP="004162D1">
            <w:pPr>
              <w:pStyle w:val="Prrafodelista"/>
              <w:numPr>
                <w:ilvl w:val="0"/>
                <w:numId w:val="8"/>
              </w:numPr>
              <w:jc w:val="both"/>
              <w:rPr>
                <w:rFonts w:ascii="Calibri Light" w:eastAsia="Calibri" w:hAnsi="Calibri Light" w:cs="Calibri Light"/>
                <w:sz w:val="20"/>
                <w:szCs w:val="20"/>
              </w:rPr>
            </w:pPr>
            <w:r>
              <w:rPr>
                <w:rFonts w:ascii="Calibri Light" w:eastAsia="Calibri" w:hAnsi="Calibri Light" w:cs="Calibri Light"/>
                <w:sz w:val="20"/>
                <w:szCs w:val="20"/>
              </w:rPr>
              <w:t xml:space="preserve">La falla no fue </w:t>
            </w:r>
            <w:r w:rsidR="004B68DE">
              <w:rPr>
                <w:rFonts w:ascii="Calibri Light" w:eastAsia="Calibri" w:hAnsi="Calibri Light" w:cs="Calibri Light"/>
                <w:sz w:val="20"/>
                <w:szCs w:val="20"/>
              </w:rPr>
              <w:t>provocada por Telmex ni Telnor, sino por un tercer</w:t>
            </w:r>
            <w:r w:rsidR="00DF5541">
              <w:rPr>
                <w:rFonts w:ascii="Calibri Light" w:eastAsia="Calibri" w:hAnsi="Calibri Light" w:cs="Calibri Light"/>
                <w:sz w:val="20"/>
                <w:szCs w:val="20"/>
              </w:rPr>
              <w:t>o, lo cual no es aceptable que la responsabilidad sea del AEP durante el tiempo que dure en restablecerse.</w:t>
            </w:r>
          </w:p>
          <w:p w14:paraId="0A6E9DD3" w14:textId="77777777" w:rsidR="00DF5541" w:rsidRDefault="00DF5541" w:rsidP="004162D1">
            <w:pPr>
              <w:pStyle w:val="Prrafodelista"/>
              <w:numPr>
                <w:ilvl w:val="0"/>
                <w:numId w:val="8"/>
              </w:numPr>
              <w:jc w:val="both"/>
              <w:rPr>
                <w:rFonts w:ascii="Calibri Light" w:eastAsia="Calibri" w:hAnsi="Calibri Light" w:cs="Calibri Light"/>
                <w:sz w:val="20"/>
                <w:szCs w:val="20"/>
              </w:rPr>
            </w:pPr>
            <w:r>
              <w:rPr>
                <w:rFonts w:ascii="Calibri Light" w:eastAsia="Calibri" w:hAnsi="Calibri Light" w:cs="Calibri Light"/>
                <w:sz w:val="20"/>
                <w:szCs w:val="20"/>
              </w:rPr>
              <w:t>L</w:t>
            </w:r>
            <w:r w:rsidR="004B68DE">
              <w:rPr>
                <w:rFonts w:ascii="Calibri Light" w:eastAsia="Calibri" w:hAnsi="Calibri Light" w:cs="Calibri Light"/>
                <w:sz w:val="20"/>
                <w:szCs w:val="20"/>
              </w:rPr>
              <w:t>a magnitud de la afectación puede incluir la realización de obra civil para restablecer el servicio</w:t>
            </w:r>
            <w:r>
              <w:rPr>
                <w:rFonts w:ascii="Calibri Light" w:eastAsia="Calibri" w:hAnsi="Calibri Light" w:cs="Calibri Light"/>
                <w:sz w:val="20"/>
                <w:szCs w:val="20"/>
              </w:rPr>
              <w:t>, lo cual lleva más de 12 horas.</w:t>
            </w:r>
          </w:p>
          <w:p w14:paraId="50A96970" w14:textId="4CC48B62" w:rsidR="00F731D4" w:rsidRPr="006C75C0" w:rsidRDefault="00F731D4" w:rsidP="004162D1">
            <w:pPr>
              <w:pStyle w:val="Prrafodelista"/>
              <w:numPr>
                <w:ilvl w:val="0"/>
                <w:numId w:val="8"/>
              </w:numPr>
              <w:jc w:val="both"/>
              <w:rPr>
                <w:rFonts w:ascii="Calibri Light" w:eastAsia="Calibri" w:hAnsi="Calibri Light" w:cs="Calibri Light"/>
                <w:sz w:val="20"/>
                <w:szCs w:val="20"/>
              </w:rPr>
            </w:pPr>
            <w:r w:rsidRPr="006C75C0">
              <w:rPr>
                <w:rFonts w:ascii="Calibri Light" w:eastAsia="Calibri" w:hAnsi="Calibri Light" w:cs="Calibri Light"/>
                <w:sz w:val="20"/>
                <w:szCs w:val="20"/>
              </w:rPr>
              <w:t>Este tipo de situaciones son aleatorias</w:t>
            </w:r>
            <w:r w:rsidR="0038798E" w:rsidRPr="006C75C0">
              <w:rPr>
                <w:rFonts w:ascii="Calibri Light" w:eastAsia="Calibri" w:hAnsi="Calibri Light" w:cs="Calibri Light"/>
                <w:sz w:val="20"/>
                <w:szCs w:val="20"/>
              </w:rPr>
              <w:t xml:space="preserve">, están </w:t>
            </w:r>
            <w:r w:rsidR="00E671EE" w:rsidRPr="006C75C0">
              <w:rPr>
                <w:rFonts w:ascii="Calibri Light" w:eastAsia="Calibri" w:hAnsi="Calibri Light" w:cs="Calibri Light"/>
                <w:sz w:val="20"/>
                <w:szCs w:val="20"/>
              </w:rPr>
              <w:t>fuera</w:t>
            </w:r>
            <w:r w:rsidR="0038798E" w:rsidRPr="006C75C0">
              <w:rPr>
                <w:rFonts w:ascii="Calibri Light" w:eastAsia="Calibri" w:hAnsi="Calibri Light" w:cs="Calibri Light"/>
                <w:sz w:val="20"/>
                <w:szCs w:val="20"/>
              </w:rPr>
              <w:t xml:space="preserve"> del control de </w:t>
            </w:r>
            <w:r w:rsidR="00E671EE" w:rsidRPr="006C75C0">
              <w:rPr>
                <w:rFonts w:ascii="Calibri Light" w:eastAsia="Calibri" w:hAnsi="Calibri Light" w:cs="Calibri Light"/>
                <w:sz w:val="20"/>
                <w:szCs w:val="20"/>
              </w:rPr>
              <w:t>los técnicos de planta externa</w:t>
            </w:r>
            <w:r w:rsidR="0038798E" w:rsidRPr="006C75C0">
              <w:rPr>
                <w:rFonts w:ascii="Calibri Light" w:eastAsia="Calibri" w:hAnsi="Calibri Light" w:cs="Calibri Light"/>
                <w:sz w:val="20"/>
                <w:szCs w:val="20"/>
              </w:rPr>
              <w:t xml:space="preserve"> y no</w:t>
            </w:r>
            <w:r w:rsidRPr="006C75C0">
              <w:rPr>
                <w:rFonts w:ascii="Calibri Light" w:eastAsia="Calibri" w:hAnsi="Calibri Light" w:cs="Calibri Light"/>
                <w:sz w:val="20"/>
                <w:szCs w:val="20"/>
              </w:rPr>
              <w:t xml:space="preserve"> se puede limitar artificialmente a un porcentaje</w:t>
            </w:r>
            <w:r w:rsidR="0038798E" w:rsidRPr="006C75C0">
              <w:rPr>
                <w:rFonts w:ascii="Calibri Light" w:eastAsia="Calibri" w:hAnsi="Calibri Light" w:cs="Calibri Light"/>
                <w:sz w:val="20"/>
                <w:szCs w:val="20"/>
              </w:rPr>
              <w:t>.</w:t>
            </w:r>
          </w:p>
          <w:p w14:paraId="4E74654C" w14:textId="77777777" w:rsidR="0038798E" w:rsidRDefault="0038798E" w:rsidP="00EB36DB">
            <w:pPr>
              <w:jc w:val="both"/>
              <w:rPr>
                <w:rFonts w:ascii="Calibri Light" w:eastAsia="Calibri" w:hAnsi="Calibri Light" w:cs="Calibri Light"/>
                <w:sz w:val="20"/>
                <w:szCs w:val="20"/>
              </w:rPr>
            </w:pPr>
          </w:p>
          <w:p w14:paraId="0E3ED9F6" w14:textId="438A839B" w:rsidR="006F4375" w:rsidRPr="004162D1" w:rsidRDefault="004B68DE" w:rsidP="00DF5541">
            <w:pPr>
              <w:jc w:val="both"/>
              <w:rPr>
                <w:rFonts w:ascii="Calibri Light" w:eastAsia="Calibri" w:hAnsi="Calibri Light" w:cs="Calibri Light"/>
                <w:sz w:val="20"/>
                <w:szCs w:val="20"/>
              </w:rPr>
            </w:pPr>
            <w:r w:rsidRPr="00DF5541">
              <w:rPr>
                <w:rFonts w:ascii="Calibri Light" w:eastAsia="Calibri" w:hAnsi="Calibri Light" w:cs="Calibri Light"/>
                <w:sz w:val="20"/>
                <w:szCs w:val="20"/>
              </w:rPr>
              <w:t xml:space="preserve">Lo </w:t>
            </w:r>
            <w:r w:rsidR="00DF5541">
              <w:rPr>
                <w:rFonts w:ascii="Calibri Light" w:eastAsia="Calibri" w:hAnsi="Calibri Light" w:cs="Calibri Light"/>
                <w:sz w:val="20"/>
                <w:szCs w:val="20"/>
              </w:rPr>
              <w:t xml:space="preserve">anterior se puede evidenciar con las noticias </w:t>
            </w:r>
            <w:r w:rsidR="006657A3">
              <w:rPr>
                <w:rFonts w:ascii="Calibri Light" w:eastAsia="Calibri" w:hAnsi="Calibri Light" w:cs="Calibri Light"/>
                <w:sz w:val="20"/>
                <w:szCs w:val="20"/>
              </w:rPr>
              <w:t xml:space="preserve">que </w:t>
            </w:r>
            <w:r w:rsidR="00DF5541">
              <w:rPr>
                <w:rFonts w:ascii="Calibri Light" w:eastAsia="Calibri" w:hAnsi="Calibri Light" w:cs="Calibri Light"/>
                <w:sz w:val="20"/>
                <w:szCs w:val="20"/>
              </w:rPr>
              <w:t>en su mayoría</w:t>
            </w:r>
            <w:r w:rsidR="00C329EF">
              <w:rPr>
                <w:rFonts w:ascii="Calibri Light" w:eastAsia="Calibri" w:hAnsi="Calibri Light" w:cs="Calibri Light"/>
                <w:sz w:val="20"/>
                <w:szCs w:val="20"/>
              </w:rPr>
              <w:t xml:space="preserve"> mencionan cortes de fibra</w:t>
            </w:r>
            <w:r w:rsidR="00DF5541">
              <w:rPr>
                <w:rFonts w:ascii="Calibri Light" w:eastAsia="Calibri" w:hAnsi="Calibri Light" w:cs="Calibri Light"/>
                <w:sz w:val="20"/>
                <w:szCs w:val="20"/>
              </w:rPr>
              <w:t xml:space="preserve"> ocasionados por accidentes de tránsito, donde un tercero ocasiona la caída de postes utilizados para proporcionar los servicios.</w:t>
            </w:r>
          </w:p>
          <w:p w14:paraId="1C3C77E7" w14:textId="77777777" w:rsidR="006F4375" w:rsidRDefault="006F4375" w:rsidP="00536ADF">
            <w:pPr>
              <w:jc w:val="both"/>
              <w:rPr>
                <w:rFonts w:ascii="Calibri Light" w:eastAsia="Calibri" w:hAnsi="Calibri Light" w:cs="Calibri Light"/>
                <w:sz w:val="20"/>
                <w:szCs w:val="20"/>
              </w:rPr>
            </w:pPr>
          </w:p>
          <w:p w14:paraId="56D0A1F9" w14:textId="77777777" w:rsidR="006F4375" w:rsidRDefault="006F4375" w:rsidP="00536ADF">
            <w:pPr>
              <w:jc w:val="both"/>
              <w:rPr>
                <w:rFonts w:ascii="Calibri Light" w:eastAsia="Calibri" w:hAnsi="Calibri Light" w:cs="Calibri Light"/>
                <w:sz w:val="20"/>
                <w:szCs w:val="20"/>
              </w:rPr>
            </w:pPr>
          </w:p>
          <w:p w14:paraId="1CE2AB1F" w14:textId="77777777" w:rsidR="006F4375" w:rsidRDefault="006F4375" w:rsidP="00536ADF">
            <w:pPr>
              <w:jc w:val="both"/>
              <w:rPr>
                <w:rFonts w:ascii="Calibri Light" w:eastAsia="Calibri" w:hAnsi="Calibri Light" w:cs="Calibri Light"/>
                <w:sz w:val="20"/>
                <w:szCs w:val="20"/>
              </w:rPr>
            </w:pPr>
          </w:p>
          <w:p w14:paraId="3ECB79B0" w14:textId="77777777" w:rsidR="002B5490" w:rsidRDefault="002B5490" w:rsidP="001639C7">
            <w:pPr>
              <w:jc w:val="both"/>
              <w:rPr>
                <w:rFonts w:ascii="Calibri Light" w:eastAsia="Calibri" w:hAnsi="Calibri Light" w:cs="Calibri Light"/>
                <w:sz w:val="20"/>
                <w:szCs w:val="20"/>
              </w:rPr>
            </w:pPr>
          </w:p>
          <w:p w14:paraId="1F081BF9" w14:textId="77777777" w:rsidR="006F4375" w:rsidRDefault="006F4375" w:rsidP="001639C7">
            <w:pPr>
              <w:jc w:val="both"/>
              <w:rPr>
                <w:rFonts w:ascii="Calibri Light" w:eastAsia="Calibri" w:hAnsi="Calibri Light" w:cs="Calibri Light"/>
                <w:sz w:val="20"/>
                <w:szCs w:val="20"/>
              </w:rPr>
            </w:pPr>
            <w:r>
              <w:rPr>
                <w:rFonts w:ascii="Calibri Light" w:eastAsia="Calibri" w:hAnsi="Calibri Light" w:cs="Calibri Light"/>
                <w:sz w:val="20"/>
                <w:szCs w:val="20"/>
              </w:rPr>
              <w:t>Igual que las justificaciones previas de los numerales 2.</w:t>
            </w:r>
            <w:r w:rsidR="001639C7">
              <w:rPr>
                <w:rFonts w:ascii="Calibri Light" w:eastAsia="Calibri" w:hAnsi="Calibri Light" w:cs="Calibri Light"/>
                <w:sz w:val="20"/>
                <w:szCs w:val="20"/>
              </w:rPr>
              <w:t>4.1.1, 2.4.3.1, 2.6.2 y 2.6.4</w:t>
            </w:r>
            <w:r>
              <w:rPr>
                <w:rFonts w:ascii="Calibri Light" w:eastAsia="Calibri" w:hAnsi="Calibri Light" w:cs="Calibri Light"/>
                <w:sz w:val="20"/>
                <w:szCs w:val="20"/>
              </w:rPr>
              <w:t xml:space="preserve"> asociadas a este tema.</w:t>
            </w:r>
          </w:p>
        </w:tc>
      </w:tr>
      <w:tr w:rsidR="00536ADF" w:rsidRPr="00C13F5A" w14:paraId="52C78810" w14:textId="77777777" w:rsidTr="00B21C90">
        <w:trPr>
          <w:trHeight w:val="1027"/>
          <w:jc w:val="center"/>
        </w:trPr>
        <w:tc>
          <w:tcPr>
            <w:tcW w:w="2405" w:type="dxa"/>
            <w:shd w:val="clear" w:color="auto" w:fill="auto"/>
            <w:vAlign w:val="center"/>
          </w:tcPr>
          <w:p w14:paraId="68395F90" w14:textId="77777777" w:rsidR="00536ADF" w:rsidRPr="00E43A57" w:rsidRDefault="00536ADF" w:rsidP="00536ADF">
            <w:pPr>
              <w:jc w:val="center"/>
              <w:rPr>
                <w:sz w:val="20"/>
                <w:szCs w:val="20"/>
              </w:rPr>
            </w:pPr>
            <w:r>
              <w:rPr>
                <w:sz w:val="20"/>
                <w:szCs w:val="20"/>
              </w:rPr>
              <w:t>Anexo “C”</w:t>
            </w:r>
          </w:p>
        </w:tc>
        <w:tc>
          <w:tcPr>
            <w:tcW w:w="1276" w:type="dxa"/>
            <w:shd w:val="clear" w:color="auto" w:fill="auto"/>
            <w:vAlign w:val="center"/>
          </w:tcPr>
          <w:p w14:paraId="7C13FA97" w14:textId="77777777" w:rsidR="00536ADF" w:rsidRDefault="00536ADF" w:rsidP="00536ADF">
            <w:pPr>
              <w:jc w:val="center"/>
              <w:rPr>
                <w:rFonts w:cstheme="minorHAnsi"/>
                <w:sz w:val="20"/>
                <w:szCs w:val="20"/>
              </w:rPr>
            </w:pPr>
            <w:r>
              <w:rPr>
                <w:rFonts w:cstheme="minorHAnsi"/>
                <w:sz w:val="20"/>
                <w:szCs w:val="20"/>
              </w:rPr>
              <w:t>Sección A</w:t>
            </w:r>
          </w:p>
          <w:p w14:paraId="2581668C" w14:textId="77777777" w:rsidR="00536ADF" w:rsidRPr="00E43A57" w:rsidRDefault="00536ADF" w:rsidP="00536ADF">
            <w:pPr>
              <w:jc w:val="center"/>
              <w:rPr>
                <w:rFonts w:cstheme="minorHAnsi"/>
                <w:sz w:val="20"/>
                <w:szCs w:val="20"/>
              </w:rPr>
            </w:pPr>
            <w:r>
              <w:rPr>
                <w:rFonts w:cstheme="minorHAnsi"/>
                <w:sz w:val="20"/>
                <w:szCs w:val="20"/>
              </w:rPr>
              <w:t>Sección B</w:t>
            </w:r>
          </w:p>
        </w:tc>
        <w:tc>
          <w:tcPr>
            <w:tcW w:w="1559" w:type="dxa"/>
            <w:vMerge/>
            <w:shd w:val="clear" w:color="auto" w:fill="auto"/>
            <w:vAlign w:val="center"/>
          </w:tcPr>
          <w:p w14:paraId="7047CDB7" w14:textId="77777777" w:rsidR="00536ADF" w:rsidRDefault="00536ADF" w:rsidP="00536ADF">
            <w:pPr>
              <w:jc w:val="both"/>
              <w:rPr>
                <w:rFonts w:cstheme="minorHAnsi"/>
                <w:sz w:val="20"/>
                <w:szCs w:val="20"/>
              </w:rPr>
            </w:pPr>
          </w:p>
        </w:tc>
        <w:tc>
          <w:tcPr>
            <w:tcW w:w="3686" w:type="dxa"/>
            <w:vAlign w:val="center"/>
          </w:tcPr>
          <w:p w14:paraId="0DABE2EA" w14:textId="77777777" w:rsidR="00536ADF" w:rsidRDefault="00536ADF" w:rsidP="00536ADF">
            <w:pPr>
              <w:rPr>
                <w:rFonts w:ascii="Calibri Light" w:eastAsia="Calibri" w:hAnsi="Calibri Light" w:cs="Calibri Light"/>
                <w:sz w:val="20"/>
                <w:szCs w:val="20"/>
              </w:rPr>
            </w:pPr>
            <w:r>
              <w:rPr>
                <w:rFonts w:ascii="Calibri Light" w:eastAsia="Calibri" w:hAnsi="Calibri Light" w:cs="Calibri Light"/>
                <w:sz w:val="20"/>
                <w:szCs w:val="20"/>
              </w:rPr>
              <w:t xml:space="preserve">[Ver cambio en la propuesta </w:t>
            </w:r>
            <w:r w:rsidR="00924788">
              <w:rPr>
                <w:rFonts w:ascii="Calibri Light" w:eastAsia="Calibri" w:hAnsi="Calibri Light" w:cs="Calibri Light"/>
                <w:sz w:val="20"/>
                <w:szCs w:val="20"/>
              </w:rPr>
              <w:t>ORE 2024</w:t>
            </w:r>
            <w:r>
              <w:rPr>
                <w:rFonts w:ascii="Calibri Light" w:eastAsia="Calibri" w:hAnsi="Calibri Light" w:cs="Calibri Light"/>
                <w:sz w:val="20"/>
                <w:szCs w:val="20"/>
              </w:rPr>
              <w:t>]</w:t>
            </w:r>
          </w:p>
        </w:tc>
        <w:tc>
          <w:tcPr>
            <w:tcW w:w="5257" w:type="dxa"/>
            <w:vMerge/>
            <w:shd w:val="clear" w:color="auto" w:fill="auto"/>
            <w:vAlign w:val="center"/>
          </w:tcPr>
          <w:p w14:paraId="162CE12F" w14:textId="77777777" w:rsidR="00536ADF" w:rsidRDefault="00536ADF" w:rsidP="00536ADF">
            <w:pPr>
              <w:jc w:val="both"/>
              <w:rPr>
                <w:rFonts w:ascii="Calibri Light" w:eastAsia="Calibri" w:hAnsi="Calibri Light" w:cs="Calibri Light"/>
                <w:sz w:val="20"/>
                <w:szCs w:val="20"/>
              </w:rPr>
            </w:pPr>
          </w:p>
        </w:tc>
      </w:tr>
      <w:tr w:rsidR="00536ADF" w:rsidRPr="00C13F5A" w14:paraId="1AC16CB4" w14:textId="77777777" w:rsidTr="00B21C90">
        <w:trPr>
          <w:trHeight w:val="1651"/>
          <w:jc w:val="center"/>
        </w:trPr>
        <w:tc>
          <w:tcPr>
            <w:tcW w:w="2405" w:type="dxa"/>
            <w:shd w:val="clear" w:color="auto" w:fill="auto"/>
            <w:vAlign w:val="center"/>
          </w:tcPr>
          <w:p w14:paraId="4BBBAC4C" w14:textId="77777777" w:rsidR="00536ADF" w:rsidRPr="00E43A57" w:rsidRDefault="00536ADF" w:rsidP="00536ADF">
            <w:pPr>
              <w:jc w:val="center"/>
              <w:rPr>
                <w:sz w:val="20"/>
                <w:szCs w:val="20"/>
              </w:rPr>
            </w:pPr>
            <w:r>
              <w:rPr>
                <w:sz w:val="20"/>
                <w:szCs w:val="20"/>
              </w:rPr>
              <w:t>Anexo “E”</w:t>
            </w:r>
          </w:p>
        </w:tc>
        <w:tc>
          <w:tcPr>
            <w:tcW w:w="1276" w:type="dxa"/>
            <w:shd w:val="clear" w:color="auto" w:fill="auto"/>
            <w:vAlign w:val="center"/>
          </w:tcPr>
          <w:p w14:paraId="79CDBB52" w14:textId="77777777" w:rsidR="00536ADF" w:rsidRPr="00E43A57" w:rsidRDefault="00536ADF" w:rsidP="00536ADF">
            <w:pPr>
              <w:jc w:val="center"/>
              <w:rPr>
                <w:rFonts w:cstheme="minorHAnsi"/>
                <w:sz w:val="20"/>
                <w:szCs w:val="20"/>
              </w:rPr>
            </w:pPr>
            <w:r>
              <w:rPr>
                <w:rFonts w:cstheme="minorHAnsi"/>
                <w:sz w:val="20"/>
                <w:szCs w:val="20"/>
              </w:rPr>
              <w:t>Numeral 6</w:t>
            </w:r>
          </w:p>
        </w:tc>
        <w:tc>
          <w:tcPr>
            <w:tcW w:w="1559" w:type="dxa"/>
            <w:vMerge/>
            <w:shd w:val="clear" w:color="auto" w:fill="auto"/>
            <w:vAlign w:val="center"/>
          </w:tcPr>
          <w:p w14:paraId="64981F37" w14:textId="77777777" w:rsidR="00536ADF" w:rsidRDefault="00536ADF" w:rsidP="00536ADF">
            <w:pPr>
              <w:jc w:val="both"/>
              <w:rPr>
                <w:rFonts w:cstheme="minorHAnsi"/>
                <w:sz w:val="20"/>
                <w:szCs w:val="20"/>
              </w:rPr>
            </w:pPr>
          </w:p>
        </w:tc>
        <w:tc>
          <w:tcPr>
            <w:tcW w:w="3686" w:type="dxa"/>
            <w:vAlign w:val="center"/>
          </w:tcPr>
          <w:p w14:paraId="3AF26682" w14:textId="77777777" w:rsidR="00536ADF" w:rsidRDefault="00536ADF" w:rsidP="00536ADF">
            <w:pPr>
              <w:rPr>
                <w:rFonts w:ascii="Calibri Light" w:eastAsia="Calibri" w:hAnsi="Calibri Light" w:cs="Calibri Light"/>
                <w:sz w:val="20"/>
                <w:szCs w:val="20"/>
              </w:rPr>
            </w:pPr>
            <w:r>
              <w:rPr>
                <w:rFonts w:ascii="Calibri Light" w:eastAsia="Calibri" w:hAnsi="Calibri Light" w:cs="Calibri Light"/>
                <w:sz w:val="20"/>
                <w:szCs w:val="20"/>
              </w:rPr>
              <w:t xml:space="preserve">[Ver cambio en la propuesta </w:t>
            </w:r>
            <w:r w:rsidR="00924788">
              <w:rPr>
                <w:rFonts w:ascii="Calibri Light" w:eastAsia="Calibri" w:hAnsi="Calibri Light" w:cs="Calibri Light"/>
                <w:sz w:val="20"/>
                <w:szCs w:val="20"/>
              </w:rPr>
              <w:t>ORE 2024</w:t>
            </w:r>
            <w:r>
              <w:rPr>
                <w:rFonts w:ascii="Calibri Light" w:eastAsia="Calibri" w:hAnsi="Calibri Light" w:cs="Calibri Light"/>
                <w:sz w:val="20"/>
                <w:szCs w:val="20"/>
              </w:rPr>
              <w:t>]</w:t>
            </w:r>
          </w:p>
        </w:tc>
        <w:tc>
          <w:tcPr>
            <w:tcW w:w="5257" w:type="dxa"/>
            <w:vMerge/>
            <w:shd w:val="clear" w:color="auto" w:fill="auto"/>
            <w:vAlign w:val="center"/>
          </w:tcPr>
          <w:p w14:paraId="005367CA" w14:textId="77777777" w:rsidR="00536ADF" w:rsidRDefault="00536ADF" w:rsidP="00536ADF">
            <w:pPr>
              <w:jc w:val="both"/>
              <w:rPr>
                <w:rFonts w:ascii="Calibri Light" w:eastAsia="Calibri" w:hAnsi="Calibri Light" w:cs="Calibri Light"/>
                <w:sz w:val="20"/>
                <w:szCs w:val="20"/>
              </w:rPr>
            </w:pPr>
          </w:p>
        </w:tc>
      </w:tr>
      <w:tr w:rsidR="0065607D" w:rsidRPr="00C13F5A" w14:paraId="47EAA914" w14:textId="77777777" w:rsidTr="00B21C90">
        <w:trPr>
          <w:trHeight w:val="1651"/>
          <w:jc w:val="center"/>
        </w:trPr>
        <w:tc>
          <w:tcPr>
            <w:tcW w:w="2405" w:type="dxa"/>
            <w:shd w:val="clear" w:color="auto" w:fill="auto"/>
            <w:vAlign w:val="center"/>
          </w:tcPr>
          <w:p w14:paraId="0973F157" w14:textId="77777777" w:rsidR="0065607D" w:rsidRPr="00D601A8" w:rsidRDefault="0065607D" w:rsidP="00536ADF">
            <w:pPr>
              <w:jc w:val="center"/>
              <w:rPr>
                <w:rFonts w:asciiTheme="majorHAnsi" w:hAnsiTheme="majorHAnsi" w:cstheme="majorHAnsi"/>
                <w:sz w:val="20"/>
                <w:szCs w:val="20"/>
              </w:rPr>
            </w:pPr>
            <w:r w:rsidRPr="00D601A8">
              <w:rPr>
                <w:rFonts w:asciiTheme="majorHAnsi" w:hAnsiTheme="majorHAnsi" w:cstheme="majorHAnsi"/>
                <w:sz w:val="20"/>
                <w:szCs w:val="20"/>
              </w:rPr>
              <w:t xml:space="preserve">Oferta </w:t>
            </w:r>
          </w:p>
        </w:tc>
        <w:tc>
          <w:tcPr>
            <w:tcW w:w="1276" w:type="dxa"/>
            <w:shd w:val="clear" w:color="auto" w:fill="auto"/>
            <w:vAlign w:val="center"/>
          </w:tcPr>
          <w:p w14:paraId="3FFE3E18" w14:textId="04D6E539" w:rsidR="0065607D" w:rsidRPr="00413645" w:rsidRDefault="00413645" w:rsidP="00536ADF">
            <w:pPr>
              <w:jc w:val="center"/>
              <w:rPr>
                <w:rFonts w:asciiTheme="majorHAnsi" w:hAnsiTheme="majorHAnsi" w:cstheme="majorHAnsi"/>
                <w:sz w:val="20"/>
                <w:szCs w:val="20"/>
              </w:rPr>
            </w:pPr>
            <w:r w:rsidRPr="00413645">
              <w:rPr>
                <w:rFonts w:asciiTheme="majorHAnsi" w:eastAsia="Times New Roman" w:hAnsiTheme="majorHAnsi" w:cstheme="majorHAnsi"/>
                <w:color w:val="000000"/>
                <w:sz w:val="20"/>
                <w:szCs w:val="20"/>
                <w:lang w:eastAsia="es-MX"/>
              </w:rPr>
              <w:t xml:space="preserve">Numeral </w:t>
            </w:r>
            <w:r w:rsidR="00800D98" w:rsidRPr="00413645">
              <w:rPr>
                <w:rFonts w:asciiTheme="majorHAnsi" w:eastAsia="Times New Roman" w:hAnsiTheme="majorHAnsi" w:cstheme="majorHAnsi"/>
                <w:color w:val="000000"/>
                <w:sz w:val="20"/>
                <w:szCs w:val="20"/>
                <w:lang w:eastAsia="es-MX"/>
              </w:rPr>
              <w:t>2.4</w:t>
            </w:r>
          </w:p>
        </w:tc>
        <w:tc>
          <w:tcPr>
            <w:tcW w:w="1559" w:type="dxa"/>
            <w:shd w:val="clear" w:color="auto" w:fill="auto"/>
            <w:vAlign w:val="center"/>
          </w:tcPr>
          <w:p w14:paraId="17A0EDFF" w14:textId="77777777" w:rsidR="0065607D" w:rsidRPr="00D601A8" w:rsidRDefault="0065607D" w:rsidP="00536ADF">
            <w:pPr>
              <w:jc w:val="both"/>
              <w:rPr>
                <w:rFonts w:asciiTheme="majorHAnsi" w:hAnsiTheme="majorHAnsi" w:cstheme="majorHAnsi"/>
                <w:b/>
                <w:sz w:val="20"/>
                <w:szCs w:val="20"/>
              </w:rPr>
            </w:pPr>
            <w:r w:rsidRPr="00D601A8">
              <w:rPr>
                <w:rFonts w:asciiTheme="majorHAnsi" w:hAnsiTheme="majorHAnsi" w:cstheme="majorHAnsi"/>
                <w:b/>
                <w:bCs/>
                <w:sz w:val="20"/>
                <w:szCs w:val="20"/>
              </w:rPr>
              <w:t>Compromisos de Plazos</w:t>
            </w:r>
          </w:p>
        </w:tc>
        <w:tc>
          <w:tcPr>
            <w:tcW w:w="3686" w:type="dxa"/>
            <w:vAlign w:val="center"/>
          </w:tcPr>
          <w:p w14:paraId="13D709DC" w14:textId="2CE6653A" w:rsidR="0065607D" w:rsidRPr="00D601A8" w:rsidRDefault="0065607D" w:rsidP="00EB36DB">
            <w:pPr>
              <w:jc w:val="both"/>
              <w:rPr>
                <w:rFonts w:asciiTheme="majorHAnsi" w:eastAsia="Calibri" w:hAnsiTheme="majorHAnsi" w:cstheme="majorHAnsi"/>
                <w:sz w:val="20"/>
                <w:szCs w:val="20"/>
              </w:rPr>
            </w:pPr>
            <w:r w:rsidRPr="00D6748C">
              <w:rPr>
                <w:rFonts w:asciiTheme="majorHAnsi" w:eastAsia="Calibri" w:hAnsiTheme="majorHAnsi" w:cstheme="majorHAnsi"/>
                <w:sz w:val="20"/>
                <w:szCs w:val="20"/>
              </w:rPr>
              <w:t xml:space="preserve">Plazos </w:t>
            </w:r>
            <w:r w:rsidR="00F66F34" w:rsidRPr="00D6748C">
              <w:rPr>
                <w:rFonts w:asciiTheme="majorHAnsi" w:eastAsia="Calibri" w:hAnsiTheme="majorHAnsi" w:cstheme="majorHAnsi"/>
                <w:sz w:val="20"/>
                <w:szCs w:val="20"/>
              </w:rPr>
              <w:t xml:space="preserve">contados a partir del </w:t>
            </w:r>
            <w:r w:rsidR="00447A20" w:rsidRPr="00D6748C">
              <w:rPr>
                <w:rFonts w:asciiTheme="majorHAnsi" w:eastAsia="Calibri" w:hAnsiTheme="majorHAnsi" w:cstheme="majorHAnsi"/>
                <w:sz w:val="20"/>
                <w:szCs w:val="20"/>
              </w:rPr>
              <w:t>sigu</w:t>
            </w:r>
            <w:r w:rsidR="00D6748C" w:rsidRPr="00D6748C">
              <w:rPr>
                <w:rFonts w:asciiTheme="majorHAnsi" w:eastAsia="Calibri" w:hAnsiTheme="majorHAnsi" w:cstheme="majorHAnsi"/>
                <w:sz w:val="20"/>
                <w:szCs w:val="20"/>
              </w:rPr>
              <w:t xml:space="preserve">iente día hábil a la recepción de las solicitudes y de las respuestas dentro de los </w:t>
            </w:r>
            <w:r w:rsidR="005457E9">
              <w:rPr>
                <w:rFonts w:asciiTheme="majorHAnsi" w:eastAsia="Calibri" w:hAnsiTheme="majorHAnsi" w:cstheme="majorHAnsi"/>
                <w:sz w:val="20"/>
                <w:szCs w:val="20"/>
              </w:rPr>
              <w:t>p</w:t>
            </w:r>
            <w:r w:rsidR="00D6748C" w:rsidRPr="00D6748C">
              <w:rPr>
                <w:rFonts w:asciiTheme="majorHAnsi" w:eastAsia="Calibri" w:hAnsiTheme="majorHAnsi" w:cstheme="majorHAnsi"/>
                <w:sz w:val="20"/>
                <w:szCs w:val="20"/>
              </w:rPr>
              <w:t>rocedimientos de la Oferta.</w:t>
            </w:r>
          </w:p>
        </w:tc>
        <w:tc>
          <w:tcPr>
            <w:tcW w:w="5257" w:type="dxa"/>
            <w:shd w:val="clear" w:color="auto" w:fill="auto"/>
            <w:vAlign w:val="center"/>
          </w:tcPr>
          <w:p w14:paraId="3BA1F591" w14:textId="274F54F3" w:rsidR="0065607D" w:rsidRPr="00D601A8" w:rsidRDefault="0065607D" w:rsidP="0065607D">
            <w:pPr>
              <w:jc w:val="both"/>
              <w:rPr>
                <w:rFonts w:asciiTheme="majorHAnsi" w:eastAsia="Times New Roman" w:hAnsiTheme="majorHAnsi" w:cstheme="majorHAnsi"/>
                <w:sz w:val="20"/>
                <w:szCs w:val="20"/>
                <w:lang w:eastAsia="es-MX"/>
              </w:rPr>
            </w:pPr>
            <w:r w:rsidRPr="00D601A8">
              <w:rPr>
                <w:rFonts w:asciiTheme="majorHAnsi" w:eastAsia="Times New Roman" w:hAnsiTheme="majorHAnsi" w:cstheme="majorHAnsi"/>
                <w:sz w:val="20"/>
                <w:szCs w:val="20"/>
                <w:lang w:eastAsia="es-MX"/>
              </w:rPr>
              <w:t>Es importante para Telmex</w:t>
            </w:r>
            <w:r w:rsidR="00BD14AD">
              <w:rPr>
                <w:rFonts w:asciiTheme="majorHAnsi" w:eastAsia="Times New Roman" w:hAnsiTheme="majorHAnsi" w:cstheme="majorHAnsi"/>
                <w:sz w:val="20"/>
                <w:szCs w:val="20"/>
                <w:lang w:eastAsia="es-MX"/>
              </w:rPr>
              <w:t xml:space="preserve"> y Telnor</w:t>
            </w:r>
            <w:r w:rsidRPr="00D601A8">
              <w:rPr>
                <w:rFonts w:asciiTheme="majorHAnsi" w:eastAsia="Times New Roman" w:hAnsiTheme="majorHAnsi" w:cstheme="majorHAnsi"/>
                <w:sz w:val="20"/>
                <w:szCs w:val="20"/>
                <w:lang w:eastAsia="es-MX"/>
              </w:rPr>
              <w:t xml:space="preserve"> brindar las mismas condiciones en todos sus servicios, por lo que la preocupación es que operativamente las ofertas</w:t>
            </w:r>
            <w:r w:rsidR="002F1BEF">
              <w:rPr>
                <w:rFonts w:asciiTheme="majorHAnsi" w:eastAsia="Times New Roman" w:hAnsiTheme="majorHAnsi" w:cstheme="majorHAnsi"/>
                <w:sz w:val="20"/>
                <w:szCs w:val="20"/>
                <w:lang w:eastAsia="es-MX"/>
              </w:rPr>
              <w:t xml:space="preserve"> establecen criterios distintos.</w:t>
            </w:r>
          </w:p>
          <w:p w14:paraId="4F56A1CD" w14:textId="77777777" w:rsidR="0065607D" w:rsidRPr="00D601A8" w:rsidRDefault="0065607D" w:rsidP="0065607D">
            <w:pPr>
              <w:jc w:val="both"/>
              <w:rPr>
                <w:rFonts w:asciiTheme="majorHAnsi" w:eastAsia="Times New Roman" w:hAnsiTheme="majorHAnsi" w:cstheme="majorHAnsi"/>
                <w:sz w:val="20"/>
                <w:szCs w:val="20"/>
                <w:lang w:eastAsia="es-ES"/>
              </w:rPr>
            </w:pPr>
          </w:p>
          <w:p w14:paraId="498A256A" w14:textId="71101A34" w:rsidR="0065607D" w:rsidRPr="00D601A8" w:rsidRDefault="0065607D" w:rsidP="0065607D">
            <w:pPr>
              <w:jc w:val="both"/>
              <w:rPr>
                <w:rFonts w:asciiTheme="majorHAnsi" w:eastAsia="Times New Roman" w:hAnsiTheme="majorHAnsi" w:cstheme="majorHAnsi"/>
                <w:sz w:val="20"/>
                <w:szCs w:val="20"/>
                <w:lang w:eastAsia="es-ES"/>
              </w:rPr>
            </w:pPr>
            <w:r w:rsidRPr="00D601A8">
              <w:rPr>
                <w:rFonts w:asciiTheme="majorHAnsi" w:eastAsia="Times New Roman" w:hAnsiTheme="majorHAnsi" w:cstheme="majorHAnsi"/>
                <w:sz w:val="20"/>
                <w:szCs w:val="20"/>
                <w:lang w:eastAsia="es-ES"/>
              </w:rPr>
              <w:t>Se destaca que la finalidad principal y preocupación de Telmex</w:t>
            </w:r>
            <w:r w:rsidR="00BD14AD">
              <w:rPr>
                <w:rFonts w:asciiTheme="majorHAnsi" w:eastAsia="Times New Roman" w:hAnsiTheme="majorHAnsi" w:cstheme="majorHAnsi"/>
                <w:sz w:val="20"/>
                <w:szCs w:val="20"/>
                <w:lang w:eastAsia="es-ES"/>
              </w:rPr>
              <w:t>/Telnor</w:t>
            </w:r>
            <w:r w:rsidRPr="00D601A8">
              <w:rPr>
                <w:rFonts w:asciiTheme="majorHAnsi" w:eastAsia="Times New Roman" w:hAnsiTheme="majorHAnsi" w:cstheme="majorHAnsi"/>
                <w:sz w:val="20"/>
                <w:szCs w:val="20"/>
                <w:lang w:eastAsia="es-ES"/>
              </w:rPr>
              <w:t xml:space="preserve"> es homologar los criterios en todas las ofertas, en la ORE se contabilizan los plazos a partir del día hábil siguiente, al homologar los criterios se brinda certeza jurídica a todo el sector de telecomunicaciones, en particular a los </w:t>
            </w:r>
            <w:r w:rsidR="003C6475" w:rsidRPr="00D601A8">
              <w:rPr>
                <w:rFonts w:asciiTheme="majorHAnsi" w:eastAsia="Calibri" w:hAnsiTheme="majorHAnsi" w:cstheme="majorHAnsi"/>
                <w:sz w:val="20"/>
                <w:szCs w:val="20"/>
              </w:rPr>
              <w:t>Concesionario</w:t>
            </w:r>
            <w:r w:rsidR="00DF7D9A">
              <w:rPr>
                <w:rFonts w:asciiTheme="majorHAnsi" w:eastAsia="Calibri" w:hAnsiTheme="majorHAnsi" w:cstheme="majorHAnsi"/>
                <w:sz w:val="20"/>
                <w:szCs w:val="20"/>
              </w:rPr>
              <w:t>s</w:t>
            </w:r>
            <w:r w:rsidRPr="00D601A8">
              <w:rPr>
                <w:rFonts w:asciiTheme="majorHAnsi" w:eastAsia="Times New Roman" w:hAnsiTheme="majorHAnsi" w:cstheme="majorHAnsi"/>
                <w:sz w:val="20"/>
                <w:szCs w:val="20"/>
                <w:lang w:eastAsia="es-ES"/>
              </w:rPr>
              <w:t>, ya que de lo contrario existe una evidente desigualdad en la prestación de los servicios  derivado de los mismos criterios establecidos por el Instituto, sin que estos criterios tengan que ver con las particularidades de cada servicio sino más bien con la operación, que debería de ser la misma para brindar los servicios.</w:t>
            </w:r>
          </w:p>
          <w:p w14:paraId="53CA3B95" w14:textId="77777777" w:rsidR="0065607D" w:rsidRPr="00D601A8" w:rsidRDefault="0065607D" w:rsidP="0065607D">
            <w:pPr>
              <w:jc w:val="both"/>
              <w:rPr>
                <w:rFonts w:asciiTheme="majorHAnsi" w:eastAsia="Times New Roman" w:hAnsiTheme="majorHAnsi" w:cstheme="majorHAnsi"/>
                <w:sz w:val="20"/>
                <w:szCs w:val="20"/>
                <w:lang w:eastAsia="es-ES"/>
              </w:rPr>
            </w:pPr>
          </w:p>
          <w:p w14:paraId="105CA86F" w14:textId="3C5956B4" w:rsidR="0065607D" w:rsidRPr="00D601A8" w:rsidRDefault="0065607D" w:rsidP="0065607D">
            <w:pPr>
              <w:jc w:val="both"/>
              <w:rPr>
                <w:rFonts w:asciiTheme="majorHAnsi" w:eastAsia="Times New Roman" w:hAnsiTheme="majorHAnsi" w:cstheme="majorHAnsi"/>
                <w:sz w:val="20"/>
                <w:szCs w:val="20"/>
                <w:lang w:eastAsia="es-ES"/>
              </w:rPr>
            </w:pPr>
            <w:r w:rsidRPr="00D601A8">
              <w:rPr>
                <w:rFonts w:asciiTheme="majorHAnsi" w:eastAsia="Times New Roman" w:hAnsiTheme="majorHAnsi" w:cstheme="majorHAnsi"/>
                <w:sz w:val="20"/>
                <w:szCs w:val="20"/>
                <w:lang w:eastAsia="es-ES"/>
              </w:rPr>
              <w:t xml:space="preserve">Es importante puntualizar que la Ley Federal de Telecomunicaciones y Radiodifusión dispone en su artículo 6 que, a falta de disposición expresa en esta Ley o en los Tratados Internacionales, se aplicarán supletoriamente, entre otras disposiciones, la </w:t>
            </w:r>
            <w:r w:rsidR="00BD14AD">
              <w:rPr>
                <w:rFonts w:asciiTheme="majorHAnsi" w:eastAsia="Times New Roman" w:hAnsiTheme="majorHAnsi" w:cstheme="majorHAnsi"/>
                <w:sz w:val="20"/>
                <w:szCs w:val="20"/>
                <w:lang w:eastAsia="es-ES"/>
              </w:rPr>
              <w:t>Ley Federal de Procedimientos Administrativos (</w:t>
            </w:r>
            <w:r w:rsidRPr="00D601A8">
              <w:rPr>
                <w:rFonts w:asciiTheme="majorHAnsi" w:eastAsia="Times New Roman" w:hAnsiTheme="majorHAnsi" w:cstheme="majorHAnsi"/>
                <w:sz w:val="20"/>
                <w:szCs w:val="20"/>
                <w:lang w:eastAsia="es-ES"/>
              </w:rPr>
              <w:t>LFPA</w:t>
            </w:r>
            <w:r w:rsidR="00BD14AD">
              <w:rPr>
                <w:rFonts w:asciiTheme="majorHAnsi" w:eastAsia="Times New Roman" w:hAnsiTheme="majorHAnsi" w:cstheme="majorHAnsi"/>
                <w:sz w:val="20"/>
                <w:szCs w:val="20"/>
                <w:lang w:eastAsia="es-ES"/>
              </w:rPr>
              <w:t>)</w:t>
            </w:r>
            <w:r w:rsidRPr="00D601A8">
              <w:rPr>
                <w:rFonts w:asciiTheme="majorHAnsi" w:eastAsia="Times New Roman" w:hAnsiTheme="majorHAnsi" w:cstheme="majorHAnsi"/>
                <w:sz w:val="20"/>
                <w:szCs w:val="20"/>
                <w:lang w:eastAsia="es-ES"/>
              </w:rPr>
              <w:t>.</w:t>
            </w:r>
          </w:p>
          <w:p w14:paraId="4DB673FA" w14:textId="77777777" w:rsidR="0065607D" w:rsidRPr="00D601A8" w:rsidRDefault="0065607D" w:rsidP="0065607D">
            <w:pPr>
              <w:jc w:val="both"/>
              <w:rPr>
                <w:rFonts w:asciiTheme="majorHAnsi" w:eastAsia="Times New Roman" w:hAnsiTheme="majorHAnsi" w:cstheme="majorHAnsi"/>
                <w:sz w:val="20"/>
                <w:szCs w:val="20"/>
                <w:lang w:eastAsia="es-ES"/>
              </w:rPr>
            </w:pPr>
          </w:p>
          <w:p w14:paraId="6B8C2CDD" w14:textId="77777777" w:rsidR="0065607D" w:rsidRPr="00D601A8" w:rsidRDefault="0065607D" w:rsidP="0065607D">
            <w:pPr>
              <w:jc w:val="both"/>
              <w:rPr>
                <w:rFonts w:asciiTheme="majorHAnsi" w:eastAsia="Times New Roman" w:hAnsiTheme="majorHAnsi" w:cstheme="majorHAnsi"/>
                <w:sz w:val="20"/>
                <w:szCs w:val="20"/>
                <w:lang w:eastAsia="es-ES"/>
              </w:rPr>
            </w:pPr>
            <w:r w:rsidRPr="00D601A8">
              <w:rPr>
                <w:rFonts w:asciiTheme="majorHAnsi" w:eastAsia="Times New Roman" w:hAnsiTheme="majorHAnsi" w:cstheme="majorHAnsi"/>
                <w:sz w:val="20"/>
                <w:szCs w:val="20"/>
                <w:lang w:eastAsia="es-ES"/>
              </w:rPr>
              <w:t>De forma adicional establece, que aquellos asuntos que no tengan previsto un trámite específico, se tramitarán conforme a lo dispuesto en la LFPA.</w:t>
            </w:r>
          </w:p>
          <w:p w14:paraId="7BA1FB77" w14:textId="77777777" w:rsidR="0065607D" w:rsidRPr="00D601A8" w:rsidRDefault="0065607D" w:rsidP="0065607D">
            <w:pPr>
              <w:jc w:val="both"/>
              <w:rPr>
                <w:rFonts w:asciiTheme="majorHAnsi" w:eastAsia="Times New Roman" w:hAnsiTheme="majorHAnsi" w:cstheme="majorHAnsi"/>
                <w:sz w:val="20"/>
                <w:szCs w:val="20"/>
                <w:lang w:eastAsia="es-ES"/>
              </w:rPr>
            </w:pPr>
          </w:p>
          <w:p w14:paraId="1038F4B3" w14:textId="77777777" w:rsidR="0065607D" w:rsidRPr="00D601A8" w:rsidRDefault="0065607D" w:rsidP="0065607D">
            <w:pPr>
              <w:jc w:val="both"/>
              <w:rPr>
                <w:rFonts w:asciiTheme="majorHAnsi" w:eastAsia="Times New Roman" w:hAnsiTheme="majorHAnsi" w:cstheme="majorHAnsi"/>
                <w:b/>
                <w:sz w:val="20"/>
                <w:szCs w:val="20"/>
                <w:lang w:eastAsia="es-ES"/>
              </w:rPr>
            </w:pPr>
            <w:r w:rsidRPr="00D601A8">
              <w:rPr>
                <w:rFonts w:asciiTheme="majorHAnsi" w:eastAsia="Times New Roman" w:hAnsiTheme="majorHAnsi" w:cstheme="majorHAnsi"/>
                <w:sz w:val="20"/>
                <w:szCs w:val="20"/>
                <w:lang w:eastAsia="es-ES"/>
              </w:rPr>
              <w:t>En este sentido se precisa que conforme a la LFPA los plazos se contabilizan en días hábiles, tal y como lo establece el apartado de términos y plazos en sus artículos 28 y 29.</w:t>
            </w:r>
          </w:p>
          <w:p w14:paraId="7410433A" w14:textId="77777777" w:rsidR="0065607D" w:rsidRPr="00D601A8" w:rsidRDefault="0065607D" w:rsidP="0065607D">
            <w:pPr>
              <w:jc w:val="both"/>
              <w:rPr>
                <w:rFonts w:asciiTheme="majorHAnsi" w:eastAsia="Times New Roman" w:hAnsiTheme="majorHAnsi" w:cstheme="majorHAnsi"/>
                <w:sz w:val="20"/>
                <w:szCs w:val="20"/>
                <w:lang w:eastAsia="es-ES"/>
              </w:rPr>
            </w:pPr>
          </w:p>
          <w:p w14:paraId="2EEFFDDC" w14:textId="0FE1EF13" w:rsidR="0065607D" w:rsidRPr="00D601A8" w:rsidRDefault="0065607D" w:rsidP="0065607D">
            <w:pPr>
              <w:jc w:val="both"/>
              <w:rPr>
                <w:rFonts w:asciiTheme="majorHAnsi" w:eastAsia="Calibri" w:hAnsiTheme="majorHAnsi" w:cstheme="majorHAnsi"/>
                <w:sz w:val="20"/>
                <w:szCs w:val="20"/>
              </w:rPr>
            </w:pPr>
            <w:r w:rsidRPr="00D601A8">
              <w:rPr>
                <w:rFonts w:asciiTheme="majorHAnsi" w:eastAsia="Times New Roman" w:hAnsiTheme="majorHAnsi" w:cstheme="majorHAnsi"/>
                <w:sz w:val="20"/>
                <w:szCs w:val="20"/>
                <w:lang w:eastAsia="es-ES"/>
              </w:rPr>
              <w:t xml:space="preserve">En este sentido y a efecto de homologar los criterios en la atención de los servicios regulados, y con ello brindar claridad y transparencia al </w:t>
            </w:r>
            <w:r w:rsidR="003C6475" w:rsidRPr="00D601A8">
              <w:rPr>
                <w:rFonts w:asciiTheme="majorHAnsi" w:eastAsia="Calibri" w:hAnsiTheme="majorHAnsi" w:cstheme="majorHAnsi"/>
                <w:sz w:val="20"/>
                <w:szCs w:val="20"/>
              </w:rPr>
              <w:t>Concesionario</w:t>
            </w:r>
            <w:r w:rsidRPr="00D601A8">
              <w:rPr>
                <w:rFonts w:asciiTheme="majorHAnsi" w:eastAsia="Times New Roman" w:hAnsiTheme="majorHAnsi" w:cstheme="majorHAnsi"/>
                <w:sz w:val="20"/>
                <w:szCs w:val="20"/>
                <w:lang w:eastAsia="es-ES"/>
              </w:rPr>
              <w:t xml:space="preserve"> se puntualiza el inicio de los plazos</w:t>
            </w:r>
          </w:p>
        </w:tc>
      </w:tr>
      <w:tr w:rsidR="00536ADF" w:rsidRPr="00C13F5A" w14:paraId="65AE1065" w14:textId="77777777" w:rsidTr="00FD4CB6">
        <w:trPr>
          <w:trHeight w:val="547"/>
          <w:jc w:val="center"/>
        </w:trPr>
        <w:tc>
          <w:tcPr>
            <w:tcW w:w="2405" w:type="dxa"/>
            <w:shd w:val="clear" w:color="auto" w:fill="auto"/>
            <w:vAlign w:val="center"/>
          </w:tcPr>
          <w:p w14:paraId="10653B09" w14:textId="77777777" w:rsidR="00536ADF" w:rsidRPr="00E43A57" w:rsidRDefault="00536ADF" w:rsidP="00536ADF">
            <w:pPr>
              <w:jc w:val="center"/>
              <w:rPr>
                <w:sz w:val="20"/>
                <w:szCs w:val="20"/>
              </w:rPr>
            </w:pPr>
            <w:r w:rsidRPr="00575FDA">
              <w:rPr>
                <w:sz w:val="20"/>
                <w:szCs w:val="20"/>
              </w:rPr>
              <w:t>Oferta</w:t>
            </w:r>
          </w:p>
        </w:tc>
        <w:tc>
          <w:tcPr>
            <w:tcW w:w="1276" w:type="dxa"/>
            <w:shd w:val="clear" w:color="auto" w:fill="auto"/>
            <w:vAlign w:val="center"/>
          </w:tcPr>
          <w:p w14:paraId="169688C9" w14:textId="77777777" w:rsidR="00536ADF" w:rsidRPr="00E43A57" w:rsidRDefault="00536ADF" w:rsidP="00536ADF">
            <w:pPr>
              <w:jc w:val="center"/>
              <w:rPr>
                <w:rFonts w:cstheme="minorHAnsi"/>
                <w:sz w:val="20"/>
                <w:szCs w:val="20"/>
              </w:rPr>
            </w:pPr>
            <w:r>
              <w:rPr>
                <w:rFonts w:cstheme="minorHAnsi"/>
                <w:sz w:val="20"/>
                <w:szCs w:val="20"/>
              </w:rPr>
              <w:t>2.6.5</w:t>
            </w:r>
          </w:p>
        </w:tc>
        <w:tc>
          <w:tcPr>
            <w:tcW w:w="1559" w:type="dxa"/>
            <w:vMerge w:val="restart"/>
            <w:shd w:val="clear" w:color="auto" w:fill="auto"/>
            <w:vAlign w:val="center"/>
          </w:tcPr>
          <w:p w14:paraId="280A498F" w14:textId="6F9A0918" w:rsidR="00536ADF" w:rsidRPr="00FD4CB6" w:rsidRDefault="00536ADF" w:rsidP="00536ADF">
            <w:pPr>
              <w:rPr>
                <w:rFonts w:cstheme="minorHAnsi"/>
                <w:b/>
                <w:bCs/>
                <w:sz w:val="20"/>
                <w:szCs w:val="20"/>
              </w:rPr>
            </w:pPr>
            <w:r w:rsidRPr="00A450AC">
              <w:rPr>
                <w:rFonts w:cstheme="minorHAnsi"/>
                <w:b/>
                <w:bCs/>
                <w:sz w:val="20"/>
                <w:szCs w:val="20"/>
              </w:rPr>
              <w:t>Disponibilidad</w:t>
            </w:r>
            <w:r w:rsidR="004D0CC4">
              <w:rPr>
                <w:rFonts w:cstheme="minorHAnsi"/>
                <w:b/>
                <w:bCs/>
                <w:sz w:val="20"/>
                <w:szCs w:val="20"/>
              </w:rPr>
              <w:t xml:space="preserve"> y Parámetros de Calidad</w:t>
            </w:r>
          </w:p>
        </w:tc>
        <w:tc>
          <w:tcPr>
            <w:tcW w:w="3686" w:type="dxa"/>
            <w:vAlign w:val="center"/>
          </w:tcPr>
          <w:p w14:paraId="2DB4B1D1" w14:textId="77777777" w:rsidR="00030F8D" w:rsidRDefault="00536ADF" w:rsidP="00536ADF">
            <w:pPr>
              <w:jc w:val="both"/>
              <w:rPr>
                <w:rFonts w:ascii="Calibri Light" w:eastAsia="Calibri" w:hAnsi="Calibri Light" w:cs="Calibri Light"/>
                <w:sz w:val="20"/>
                <w:szCs w:val="20"/>
              </w:rPr>
            </w:pPr>
            <w:r w:rsidRPr="00E70389">
              <w:rPr>
                <w:rFonts w:ascii="Calibri Light" w:eastAsia="Calibri" w:hAnsi="Calibri Light" w:cs="Calibri Light"/>
                <w:sz w:val="20"/>
                <w:szCs w:val="20"/>
              </w:rPr>
              <w:t xml:space="preserve">2.6.5 </w:t>
            </w:r>
          </w:p>
          <w:p w14:paraId="0816619E" w14:textId="77777777" w:rsidR="00536ADF" w:rsidRPr="00E70389" w:rsidRDefault="00030F8D" w:rsidP="00536ADF">
            <w:pPr>
              <w:jc w:val="both"/>
              <w:rPr>
                <w:rFonts w:ascii="Calibri Light" w:eastAsia="Calibri" w:hAnsi="Calibri Light" w:cs="Calibri Light"/>
                <w:sz w:val="20"/>
                <w:szCs w:val="20"/>
              </w:rPr>
            </w:pPr>
            <w:r>
              <w:rPr>
                <w:rFonts w:ascii="Calibri Light" w:eastAsia="Calibri" w:hAnsi="Calibri Light" w:cs="Calibri Light"/>
                <w:sz w:val="20"/>
                <w:szCs w:val="20"/>
              </w:rPr>
              <w:t>…</w:t>
            </w:r>
          </w:p>
          <w:p w14:paraId="5DAB90D6" w14:textId="77777777" w:rsidR="00536ADF" w:rsidRPr="00E70389" w:rsidRDefault="00536ADF" w:rsidP="00536ADF">
            <w:pPr>
              <w:jc w:val="both"/>
              <w:rPr>
                <w:rFonts w:ascii="Calibri Light" w:eastAsia="Calibri" w:hAnsi="Calibri Light" w:cs="Calibri Light"/>
                <w:sz w:val="20"/>
                <w:szCs w:val="20"/>
              </w:rPr>
            </w:pPr>
            <w:r w:rsidRPr="00E70389">
              <w:rPr>
                <w:rFonts w:ascii="Calibri Light" w:eastAsia="Calibri" w:hAnsi="Calibri Light" w:cs="Calibri Light"/>
                <w:sz w:val="20"/>
                <w:szCs w:val="20"/>
              </w:rPr>
              <w:t xml:space="preserve"> </w:t>
            </w:r>
          </w:p>
          <w:p w14:paraId="19E0428D" w14:textId="77777777" w:rsidR="00536ADF" w:rsidRPr="00E70389" w:rsidRDefault="00536ADF" w:rsidP="00536ADF">
            <w:pPr>
              <w:jc w:val="both"/>
              <w:rPr>
                <w:rFonts w:ascii="Calibri Light" w:eastAsia="Calibri" w:hAnsi="Calibri Light" w:cs="Calibri Light"/>
                <w:sz w:val="20"/>
                <w:szCs w:val="20"/>
              </w:rPr>
            </w:pPr>
            <w:r w:rsidRPr="00E70389">
              <w:rPr>
                <w:rFonts w:ascii="Calibri Light" w:eastAsia="Calibri" w:hAnsi="Calibri Light" w:cs="Calibri Light"/>
                <w:sz w:val="20"/>
                <w:szCs w:val="20"/>
              </w:rPr>
              <w:t xml:space="preserve">• Disponibilidad del Enlace Dedicado sin redundancia: </w:t>
            </w:r>
            <w:r w:rsidRPr="007B3AB2">
              <w:rPr>
                <w:rFonts w:ascii="Calibri Light" w:eastAsia="Calibri" w:hAnsi="Calibri Light" w:cs="Calibri Light"/>
                <w:strike/>
                <w:color w:val="0070C0"/>
                <w:sz w:val="20"/>
                <w:szCs w:val="20"/>
              </w:rPr>
              <w:t>99.83%</w:t>
            </w:r>
            <w:r w:rsidRPr="007B3AB2">
              <w:rPr>
                <w:rFonts w:ascii="Calibri Light" w:eastAsia="Calibri" w:hAnsi="Calibri Light" w:cs="Calibri Light"/>
                <w:color w:val="0070C0"/>
                <w:sz w:val="20"/>
                <w:szCs w:val="20"/>
              </w:rPr>
              <w:t xml:space="preserve"> 99.5%</w:t>
            </w:r>
            <w:r w:rsidRPr="000C33DA">
              <w:rPr>
                <w:rFonts w:ascii="Calibri Light" w:eastAsia="Calibri" w:hAnsi="Calibri Light" w:cs="Calibri Light"/>
                <w:color w:val="FF0000"/>
                <w:sz w:val="20"/>
                <w:szCs w:val="20"/>
              </w:rPr>
              <w:t xml:space="preserve"> </w:t>
            </w:r>
            <w:r w:rsidRPr="00E70389">
              <w:rPr>
                <w:rFonts w:ascii="Calibri Light" w:eastAsia="Calibri" w:hAnsi="Calibri Light" w:cs="Calibri Light"/>
                <w:sz w:val="20"/>
                <w:szCs w:val="20"/>
              </w:rPr>
              <w:t xml:space="preserve">(noventa y nueve punto </w:t>
            </w:r>
            <w:r w:rsidRPr="00EB36DB">
              <w:rPr>
                <w:rFonts w:ascii="Calibri Light" w:hAnsi="Calibri Light"/>
                <w:strike/>
                <w:color w:val="0070C0"/>
                <w:sz w:val="20"/>
              </w:rPr>
              <w:t xml:space="preserve">ochenta y tres </w:t>
            </w:r>
            <w:r w:rsidRPr="007B3AB2">
              <w:rPr>
                <w:rFonts w:ascii="Calibri Light" w:eastAsia="Calibri" w:hAnsi="Calibri Light" w:cs="Calibri Light"/>
                <w:color w:val="0070C0"/>
                <w:sz w:val="20"/>
                <w:szCs w:val="20"/>
              </w:rPr>
              <w:t>cinco</w:t>
            </w:r>
            <w:r w:rsidRPr="000C33DA">
              <w:rPr>
                <w:rFonts w:ascii="Calibri Light" w:eastAsia="Calibri" w:hAnsi="Calibri Light" w:cs="Calibri Light"/>
                <w:color w:val="FF0000"/>
                <w:sz w:val="20"/>
                <w:szCs w:val="20"/>
              </w:rPr>
              <w:t xml:space="preserve"> </w:t>
            </w:r>
            <w:r w:rsidRPr="00E70389">
              <w:rPr>
                <w:rFonts w:ascii="Calibri Light" w:eastAsia="Calibri" w:hAnsi="Calibri Light" w:cs="Calibri Light"/>
                <w:sz w:val="20"/>
                <w:szCs w:val="20"/>
              </w:rPr>
              <w:t>por ciento).</w:t>
            </w:r>
          </w:p>
          <w:p w14:paraId="4B65E8C6" w14:textId="77777777" w:rsidR="00536ADF" w:rsidRPr="00E70389" w:rsidRDefault="00536ADF" w:rsidP="00536ADF">
            <w:pPr>
              <w:jc w:val="both"/>
              <w:rPr>
                <w:rFonts w:ascii="Calibri Light" w:eastAsia="Calibri" w:hAnsi="Calibri Light" w:cs="Calibri Light"/>
                <w:sz w:val="20"/>
                <w:szCs w:val="20"/>
              </w:rPr>
            </w:pPr>
            <w:r w:rsidRPr="00E70389">
              <w:rPr>
                <w:rFonts w:ascii="Calibri Light" w:eastAsia="Calibri" w:hAnsi="Calibri Light" w:cs="Calibri Light"/>
                <w:sz w:val="20"/>
                <w:szCs w:val="20"/>
              </w:rPr>
              <w:t xml:space="preserve"> </w:t>
            </w:r>
          </w:p>
          <w:p w14:paraId="1F9FCDB2" w14:textId="77777777" w:rsidR="00536ADF" w:rsidRDefault="00536ADF" w:rsidP="00536ADF">
            <w:pPr>
              <w:jc w:val="both"/>
              <w:rPr>
                <w:rFonts w:ascii="Calibri Light" w:eastAsia="Calibri" w:hAnsi="Calibri Light" w:cs="Calibri Light"/>
                <w:sz w:val="20"/>
                <w:szCs w:val="20"/>
              </w:rPr>
            </w:pPr>
            <w:r w:rsidRPr="00E70389">
              <w:rPr>
                <w:rFonts w:ascii="Calibri Light" w:eastAsia="Calibri" w:hAnsi="Calibri Light" w:cs="Calibri Light"/>
                <w:sz w:val="20"/>
                <w:szCs w:val="20"/>
              </w:rPr>
              <w:t xml:space="preserve">• Disponibilidad del Enlace Dedicado con redundancia: </w:t>
            </w:r>
            <w:r w:rsidRPr="007B3AB2">
              <w:rPr>
                <w:rFonts w:ascii="Calibri Light" w:eastAsia="Calibri" w:hAnsi="Calibri Light" w:cs="Calibri Light"/>
                <w:strike/>
                <w:color w:val="0070C0"/>
                <w:sz w:val="20"/>
                <w:szCs w:val="20"/>
              </w:rPr>
              <w:t>99.905%</w:t>
            </w:r>
            <w:r w:rsidRPr="007B3AB2">
              <w:rPr>
                <w:rFonts w:ascii="Calibri Light" w:eastAsia="Calibri" w:hAnsi="Calibri Light" w:cs="Calibri Light"/>
                <w:color w:val="0070C0"/>
                <w:sz w:val="20"/>
                <w:szCs w:val="20"/>
              </w:rPr>
              <w:t xml:space="preserve"> 99.7%</w:t>
            </w:r>
            <w:r w:rsidRPr="000C33DA">
              <w:rPr>
                <w:rFonts w:ascii="Calibri Light" w:eastAsia="Calibri" w:hAnsi="Calibri Light" w:cs="Calibri Light"/>
                <w:color w:val="FF0000"/>
                <w:sz w:val="20"/>
                <w:szCs w:val="20"/>
              </w:rPr>
              <w:t xml:space="preserve"> </w:t>
            </w:r>
            <w:r w:rsidRPr="00E70389">
              <w:rPr>
                <w:rFonts w:ascii="Calibri Light" w:eastAsia="Calibri" w:hAnsi="Calibri Light" w:cs="Calibri Light"/>
                <w:sz w:val="20"/>
                <w:szCs w:val="20"/>
              </w:rPr>
              <w:t xml:space="preserve">(noventa y nueve punto </w:t>
            </w:r>
            <w:r w:rsidRPr="007B3AB2">
              <w:rPr>
                <w:rFonts w:ascii="Calibri Light" w:eastAsia="Calibri" w:hAnsi="Calibri Light" w:cs="Calibri Light"/>
                <w:strike/>
                <w:color w:val="0070C0"/>
                <w:sz w:val="20"/>
                <w:szCs w:val="20"/>
              </w:rPr>
              <w:t xml:space="preserve">novecientos cinco </w:t>
            </w:r>
            <w:r w:rsidRPr="007B3AB2">
              <w:rPr>
                <w:rFonts w:ascii="Calibri Light" w:eastAsia="Calibri" w:hAnsi="Calibri Light" w:cs="Calibri Light"/>
                <w:color w:val="0070C0"/>
                <w:sz w:val="20"/>
                <w:szCs w:val="20"/>
              </w:rPr>
              <w:t>siete</w:t>
            </w:r>
            <w:r w:rsidRPr="000C33DA">
              <w:rPr>
                <w:rFonts w:ascii="Calibri Light" w:eastAsia="Calibri" w:hAnsi="Calibri Light" w:cs="Calibri Light"/>
                <w:color w:val="FF0000"/>
                <w:sz w:val="20"/>
                <w:szCs w:val="20"/>
              </w:rPr>
              <w:t xml:space="preserve"> </w:t>
            </w:r>
            <w:r w:rsidRPr="00E70389">
              <w:rPr>
                <w:rFonts w:ascii="Calibri Light" w:eastAsia="Calibri" w:hAnsi="Calibri Light" w:cs="Calibri Light"/>
                <w:sz w:val="20"/>
                <w:szCs w:val="20"/>
              </w:rPr>
              <w:t>por ciento).</w:t>
            </w:r>
          </w:p>
          <w:p w14:paraId="736F3A4F" w14:textId="77777777" w:rsidR="00536ADF" w:rsidRDefault="00536ADF" w:rsidP="00536ADF">
            <w:pPr>
              <w:jc w:val="both"/>
              <w:rPr>
                <w:rFonts w:ascii="Calibri Light" w:eastAsia="Calibri" w:hAnsi="Calibri Light" w:cs="Calibri Light"/>
                <w:sz w:val="20"/>
                <w:szCs w:val="20"/>
              </w:rPr>
            </w:pPr>
          </w:p>
          <w:p w14:paraId="196DB4A4" w14:textId="77777777" w:rsidR="004D0CC4" w:rsidRDefault="004D0CC4" w:rsidP="00536ADF">
            <w:pPr>
              <w:jc w:val="both"/>
              <w:rPr>
                <w:rFonts w:ascii="Calibri Light" w:eastAsia="Calibri" w:hAnsi="Calibri Light" w:cs="Calibri Light"/>
                <w:sz w:val="20"/>
                <w:szCs w:val="20"/>
              </w:rPr>
            </w:pPr>
          </w:p>
          <w:p w14:paraId="410D4B0D" w14:textId="77777777" w:rsidR="004D0CC4" w:rsidRDefault="004D0CC4" w:rsidP="00536ADF">
            <w:pPr>
              <w:jc w:val="both"/>
              <w:rPr>
                <w:rFonts w:ascii="Calibri Light" w:eastAsia="Calibri" w:hAnsi="Calibri Light" w:cs="Calibri Light"/>
                <w:sz w:val="20"/>
                <w:szCs w:val="20"/>
              </w:rPr>
            </w:pPr>
          </w:p>
          <w:p w14:paraId="259C0038" w14:textId="77777777" w:rsidR="004D0CC4" w:rsidRDefault="004D0CC4" w:rsidP="00536ADF">
            <w:pPr>
              <w:jc w:val="both"/>
              <w:rPr>
                <w:rFonts w:ascii="Calibri Light" w:eastAsia="Calibri" w:hAnsi="Calibri Light" w:cs="Calibri Light"/>
                <w:sz w:val="20"/>
                <w:szCs w:val="20"/>
              </w:rPr>
            </w:pPr>
          </w:p>
          <w:p w14:paraId="4C56046D" w14:textId="77777777" w:rsidR="004D0CC4" w:rsidRDefault="004D0CC4" w:rsidP="00536ADF">
            <w:pPr>
              <w:jc w:val="both"/>
              <w:rPr>
                <w:rFonts w:ascii="Calibri Light" w:eastAsia="Calibri" w:hAnsi="Calibri Light" w:cs="Calibri Light"/>
                <w:sz w:val="20"/>
                <w:szCs w:val="20"/>
              </w:rPr>
            </w:pPr>
          </w:p>
          <w:p w14:paraId="3867F7C1" w14:textId="77777777" w:rsidR="004D0CC4" w:rsidRDefault="004D0CC4" w:rsidP="00536ADF">
            <w:pPr>
              <w:jc w:val="both"/>
              <w:rPr>
                <w:rFonts w:ascii="Calibri Light" w:eastAsia="Calibri" w:hAnsi="Calibri Light" w:cs="Calibri Light"/>
                <w:sz w:val="20"/>
                <w:szCs w:val="20"/>
              </w:rPr>
            </w:pPr>
          </w:p>
          <w:p w14:paraId="10AFBAD4" w14:textId="77777777" w:rsidR="00AA5304" w:rsidRDefault="00AA5304" w:rsidP="00B1441C">
            <w:pPr>
              <w:jc w:val="both"/>
              <w:rPr>
                <w:rFonts w:ascii="Calibri Light" w:eastAsia="Calibri" w:hAnsi="Calibri Light" w:cs="Calibri Light"/>
                <w:sz w:val="20"/>
                <w:szCs w:val="20"/>
              </w:rPr>
            </w:pPr>
          </w:p>
          <w:p w14:paraId="685FB941" w14:textId="188DBD9C" w:rsidR="00B1441C" w:rsidRPr="004D0CC4" w:rsidRDefault="00B1441C" w:rsidP="00B1441C">
            <w:pPr>
              <w:jc w:val="both"/>
              <w:rPr>
                <w:rFonts w:ascii="Calibri Light" w:eastAsia="Calibri" w:hAnsi="Calibri Light" w:cs="Calibri Light"/>
                <w:sz w:val="20"/>
                <w:szCs w:val="20"/>
              </w:rPr>
            </w:pPr>
            <w:r w:rsidRPr="004D0CC4">
              <w:rPr>
                <w:rFonts w:ascii="Calibri Light" w:eastAsia="Calibri" w:hAnsi="Calibri Light" w:cs="Calibri Light"/>
                <w:sz w:val="20"/>
                <w:szCs w:val="20"/>
              </w:rPr>
              <w:t>En los servicios Ethernet los parámetros de Calidad se validarán a la entrega de los Enlaces Dedicados basándose en la aplicación del estándar RFC 2544 del IETF considerando los siguientes valores:</w:t>
            </w:r>
          </w:p>
          <w:p w14:paraId="3B52DE70" w14:textId="77777777" w:rsidR="00B1441C" w:rsidRPr="004D0CC4" w:rsidRDefault="00B1441C" w:rsidP="00B1441C">
            <w:pPr>
              <w:jc w:val="both"/>
              <w:rPr>
                <w:rFonts w:ascii="Calibri Light" w:eastAsia="Calibri" w:hAnsi="Calibri Light" w:cs="Calibri Light"/>
                <w:sz w:val="20"/>
                <w:szCs w:val="20"/>
              </w:rPr>
            </w:pPr>
            <w:r w:rsidRPr="004D0CC4">
              <w:rPr>
                <w:rFonts w:ascii="Calibri Light" w:eastAsia="Calibri" w:hAnsi="Calibri Light" w:cs="Calibri Light"/>
                <w:sz w:val="20"/>
                <w:szCs w:val="20"/>
              </w:rPr>
              <w:t xml:space="preserve"> </w:t>
            </w:r>
          </w:p>
          <w:p w14:paraId="752C30C5" w14:textId="77777777" w:rsidR="00B1441C" w:rsidRPr="004D0CC4" w:rsidRDefault="00B1441C" w:rsidP="00B1441C">
            <w:pPr>
              <w:jc w:val="both"/>
              <w:rPr>
                <w:rFonts w:ascii="Calibri Light" w:eastAsia="Calibri" w:hAnsi="Calibri Light" w:cs="Calibri Light"/>
                <w:sz w:val="20"/>
                <w:szCs w:val="20"/>
              </w:rPr>
            </w:pPr>
            <w:r w:rsidRPr="004D0CC4">
              <w:rPr>
                <w:rFonts w:ascii="Calibri Light" w:eastAsia="Calibri" w:hAnsi="Calibri Light" w:cs="Calibri Light"/>
                <w:sz w:val="20"/>
                <w:szCs w:val="20"/>
              </w:rPr>
              <w:t>•</w:t>
            </w:r>
            <w:r w:rsidRPr="004D0CC4">
              <w:rPr>
                <w:rFonts w:ascii="Calibri Light" w:eastAsia="Calibri" w:hAnsi="Calibri Light" w:cs="Calibri Light"/>
                <w:sz w:val="20"/>
                <w:szCs w:val="20"/>
              </w:rPr>
              <w:tab/>
              <w:t>Tasa máxima de pérdida de paquetes de 10-4</w:t>
            </w:r>
          </w:p>
          <w:p w14:paraId="3B57FDB6" w14:textId="77777777" w:rsidR="00B1441C" w:rsidRPr="004D0CC4" w:rsidRDefault="00B1441C" w:rsidP="00B1441C">
            <w:pPr>
              <w:jc w:val="both"/>
              <w:rPr>
                <w:rFonts w:ascii="Calibri Light" w:eastAsia="Calibri" w:hAnsi="Calibri Light" w:cs="Calibri Light"/>
                <w:sz w:val="20"/>
                <w:szCs w:val="20"/>
              </w:rPr>
            </w:pPr>
            <w:r w:rsidRPr="004D0CC4">
              <w:rPr>
                <w:rFonts w:ascii="Calibri Light" w:eastAsia="Calibri" w:hAnsi="Calibri Light" w:cs="Calibri Light"/>
                <w:sz w:val="20"/>
                <w:szCs w:val="20"/>
              </w:rPr>
              <w:t>•</w:t>
            </w:r>
            <w:r w:rsidRPr="004D0CC4">
              <w:rPr>
                <w:rFonts w:ascii="Calibri Light" w:eastAsia="Calibri" w:hAnsi="Calibri Light" w:cs="Calibri Light"/>
                <w:sz w:val="20"/>
                <w:szCs w:val="20"/>
              </w:rPr>
              <w:tab/>
              <w:t>Porcentaje de ancho de banda de la interfaz garantizada: 100% en la interfaz física con el cliente.</w:t>
            </w:r>
          </w:p>
          <w:p w14:paraId="39AD0A9B" w14:textId="77777777" w:rsidR="00B1441C" w:rsidRPr="004D0CC4" w:rsidRDefault="00B1441C" w:rsidP="00B1441C">
            <w:pPr>
              <w:jc w:val="both"/>
              <w:rPr>
                <w:rFonts w:ascii="Calibri Light" w:eastAsia="Calibri" w:hAnsi="Calibri Light" w:cs="Calibri Light"/>
                <w:sz w:val="20"/>
                <w:szCs w:val="20"/>
              </w:rPr>
            </w:pPr>
            <w:r w:rsidRPr="004D0CC4">
              <w:rPr>
                <w:rFonts w:ascii="Calibri Light" w:eastAsia="Calibri" w:hAnsi="Calibri Light" w:cs="Calibri Light"/>
                <w:sz w:val="20"/>
                <w:szCs w:val="20"/>
              </w:rPr>
              <w:t>•</w:t>
            </w:r>
            <w:r w:rsidRPr="004D0CC4">
              <w:rPr>
                <w:rFonts w:ascii="Calibri Light" w:eastAsia="Calibri" w:hAnsi="Calibri Light" w:cs="Calibri Light"/>
                <w:sz w:val="20"/>
                <w:szCs w:val="20"/>
              </w:rPr>
              <w:tab/>
              <w:t>Retardo de Transmisión de Trama (en un solo sentido): 6.2 milisegundos</w:t>
            </w:r>
          </w:p>
          <w:p w14:paraId="15EC23A9" w14:textId="0A674824" w:rsidR="004D0CC4" w:rsidRPr="001D7149" w:rsidRDefault="00B1441C" w:rsidP="00536ADF">
            <w:pPr>
              <w:jc w:val="both"/>
              <w:rPr>
                <w:rFonts w:ascii="Calibri Light" w:eastAsia="Calibri" w:hAnsi="Calibri Light" w:cs="Calibri Light"/>
                <w:color w:val="0070C0"/>
                <w:sz w:val="20"/>
                <w:szCs w:val="20"/>
              </w:rPr>
            </w:pPr>
            <w:r w:rsidRPr="004D0CC4">
              <w:rPr>
                <w:rFonts w:ascii="Calibri Light" w:eastAsia="Calibri" w:hAnsi="Calibri Light" w:cs="Calibri Light"/>
                <w:color w:val="0070C0"/>
                <w:sz w:val="20"/>
                <w:szCs w:val="20"/>
              </w:rPr>
              <w:t>•</w:t>
            </w:r>
            <w:r w:rsidRPr="004D0CC4">
              <w:rPr>
                <w:rFonts w:ascii="Calibri Light" w:eastAsia="Calibri" w:hAnsi="Calibri Light" w:cs="Calibri Light"/>
                <w:color w:val="0070C0"/>
                <w:sz w:val="20"/>
                <w:szCs w:val="20"/>
              </w:rPr>
              <w:tab/>
              <w:t>Rendimiento de carga útil efectiva</w:t>
            </w:r>
            <w:r>
              <w:rPr>
                <w:rFonts w:ascii="Calibri Light" w:eastAsia="Calibri" w:hAnsi="Calibri Light" w:cs="Calibri Light"/>
                <w:color w:val="0070C0"/>
                <w:sz w:val="20"/>
                <w:szCs w:val="20"/>
              </w:rPr>
              <w:t xml:space="preserve"> o </w:t>
            </w:r>
            <w:r w:rsidRPr="004D0CC4">
              <w:rPr>
                <w:rFonts w:ascii="Calibri Light" w:eastAsia="Calibri" w:hAnsi="Calibri Light" w:cs="Calibri Light"/>
                <w:color w:val="0070C0"/>
                <w:sz w:val="20"/>
                <w:szCs w:val="20"/>
              </w:rPr>
              <w:t>caudal de tráfico (Throughput):</w:t>
            </w:r>
            <w:r>
              <w:rPr>
                <w:rFonts w:ascii="Calibri Light" w:eastAsia="Calibri" w:hAnsi="Calibri Light" w:cs="Calibri Light"/>
                <w:color w:val="0070C0"/>
                <w:sz w:val="20"/>
                <w:szCs w:val="20"/>
              </w:rPr>
              <w:t xml:space="preserve"> Aproximadamente</w:t>
            </w:r>
            <w:r w:rsidRPr="004D0CC4">
              <w:rPr>
                <w:rFonts w:ascii="Calibri Light" w:eastAsia="Calibri" w:hAnsi="Calibri Light" w:cs="Calibri Light"/>
                <w:color w:val="0070C0"/>
                <w:sz w:val="20"/>
                <w:szCs w:val="20"/>
              </w:rPr>
              <w:t xml:space="preserve"> </w:t>
            </w:r>
            <w:r>
              <w:rPr>
                <w:rFonts w:ascii="Calibri Light" w:eastAsia="Calibri" w:hAnsi="Calibri Light" w:cs="Calibri Light"/>
                <w:color w:val="0070C0"/>
                <w:sz w:val="20"/>
                <w:szCs w:val="20"/>
              </w:rPr>
              <w:t xml:space="preserve">del </w:t>
            </w:r>
            <w:r w:rsidRPr="004D0CC4">
              <w:rPr>
                <w:rFonts w:ascii="Calibri Light" w:eastAsia="Calibri" w:hAnsi="Calibri Light" w:cs="Calibri Light"/>
                <w:color w:val="0070C0"/>
                <w:sz w:val="20"/>
                <w:szCs w:val="20"/>
              </w:rPr>
              <w:t xml:space="preserve">95% </w:t>
            </w:r>
            <w:r>
              <w:rPr>
                <w:rFonts w:ascii="Calibri Light" w:eastAsia="Calibri" w:hAnsi="Calibri Light" w:cs="Calibri Light"/>
                <w:color w:val="0070C0"/>
                <w:sz w:val="20"/>
                <w:szCs w:val="20"/>
              </w:rPr>
              <w:t xml:space="preserve">de la capacidad contratada </w:t>
            </w:r>
            <w:r w:rsidRPr="004D0CC4">
              <w:rPr>
                <w:rFonts w:ascii="Calibri Light" w:eastAsia="Calibri" w:hAnsi="Calibri Light" w:cs="Calibri Light"/>
                <w:color w:val="0070C0"/>
                <w:sz w:val="20"/>
                <w:szCs w:val="20"/>
              </w:rPr>
              <w:t>en tramas con tamaño de 1518 bytes.</w:t>
            </w:r>
          </w:p>
        </w:tc>
        <w:tc>
          <w:tcPr>
            <w:tcW w:w="5257" w:type="dxa"/>
            <w:vMerge w:val="restart"/>
            <w:shd w:val="clear" w:color="auto" w:fill="auto"/>
          </w:tcPr>
          <w:p w14:paraId="1F20D83F" w14:textId="6881065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Se propone el presente cambio a razón de que estos parámetros son acordes al nivel de disponibilidad que Telmex/Telnor ofrece en su propia red considerando el diseño de la misma, brindando con ello la garantía de que todos los </w:t>
            </w:r>
            <w:r w:rsidR="003C6475">
              <w:rPr>
                <w:rFonts w:ascii="Calibri Light" w:eastAsia="Calibri" w:hAnsi="Calibri Light" w:cs="Calibri Light"/>
                <w:sz w:val="20"/>
                <w:szCs w:val="20"/>
              </w:rPr>
              <w:t>Concesionarios</w:t>
            </w:r>
            <w:r>
              <w:rPr>
                <w:rFonts w:ascii="Calibri Light" w:eastAsia="Calibri" w:hAnsi="Calibri Light" w:cs="Calibri Light"/>
                <w:sz w:val="20"/>
                <w:szCs w:val="20"/>
              </w:rPr>
              <w:t xml:space="preserve"> conectados a la red Telmex/Telnor, incluidos sus propios Clientes, mantendrán las mismas condiciones competitivas.</w:t>
            </w:r>
          </w:p>
          <w:p w14:paraId="4A14B829" w14:textId="77777777" w:rsidR="00C411ED" w:rsidRDefault="00C411ED" w:rsidP="00536ADF">
            <w:pPr>
              <w:jc w:val="both"/>
              <w:rPr>
                <w:rFonts w:ascii="Calibri Light" w:eastAsia="Calibri" w:hAnsi="Calibri Light" w:cs="Calibri Light"/>
                <w:sz w:val="20"/>
                <w:szCs w:val="20"/>
              </w:rPr>
            </w:pPr>
          </w:p>
          <w:p w14:paraId="17E9DD7B" w14:textId="11CA342E" w:rsidR="00C411ED" w:rsidRDefault="00C411ED" w:rsidP="00536ADF">
            <w:pPr>
              <w:jc w:val="both"/>
              <w:rPr>
                <w:rFonts w:ascii="Calibri Light" w:eastAsia="Calibri" w:hAnsi="Calibri Light" w:cs="Calibri Light"/>
                <w:sz w:val="18"/>
                <w:szCs w:val="18"/>
              </w:rPr>
            </w:pPr>
            <w:r>
              <w:rPr>
                <w:rFonts w:ascii="Calibri Light" w:eastAsia="Calibri" w:hAnsi="Calibri Light" w:cs="Calibri Light"/>
                <w:sz w:val="20"/>
                <w:szCs w:val="20"/>
              </w:rPr>
              <w:t xml:space="preserve">Adicionalmente estos parámetros están dentro de una práctica de operadores internacionales donde el promedio del estudio consultado para un enlace sin redundancia es de 99.64%. El cual representa una medición </w:t>
            </w:r>
            <w:r w:rsidR="003317E4">
              <w:rPr>
                <w:rFonts w:ascii="Calibri Light" w:eastAsia="Calibri" w:hAnsi="Calibri Light" w:cs="Calibri Light"/>
                <w:sz w:val="20"/>
                <w:szCs w:val="20"/>
              </w:rPr>
              <w:t>más</w:t>
            </w:r>
            <w:r>
              <w:rPr>
                <w:rFonts w:ascii="Calibri Light" w:eastAsia="Calibri" w:hAnsi="Calibri Light" w:cs="Calibri Light"/>
                <w:sz w:val="20"/>
                <w:szCs w:val="20"/>
              </w:rPr>
              <w:t xml:space="preserve"> aproximada a lo propuesto por Telmex y Telnor.</w:t>
            </w:r>
          </w:p>
          <w:p w14:paraId="01E27055" w14:textId="77777777" w:rsidR="00C411ED" w:rsidRDefault="00C411ED" w:rsidP="00536ADF">
            <w:pPr>
              <w:jc w:val="both"/>
              <w:rPr>
                <w:rFonts w:ascii="Calibri Light" w:eastAsia="Calibri" w:hAnsi="Calibri Light" w:cs="Calibri Light"/>
                <w:sz w:val="20"/>
                <w:szCs w:val="20"/>
              </w:rPr>
            </w:pPr>
            <w:r w:rsidRPr="00C411ED">
              <w:rPr>
                <w:rFonts w:ascii="Calibri Light" w:eastAsia="Calibri" w:hAnsi="Calibri Light" w:cs="Calibri Light"/>
                <w:sz w:val="18"/>
                <w:szCs w:val="18"/>
              </w:rPr>
              <w:t xml:space="preserve">Fuente: </w:t>
            </w:r>
            <w:hyperlink r:id="rId17" w:history="1">
              <w:r w:rsidRPr="00C411ED">
                <w:rPr>
                  <w:rStyle w:val="Hipervnculo"/>
                  <w:rFonts w:ascii="Calibri Light" w:eastAsia="Calibri" w:hAnsi="Calibri Light" w:cs="Calibri Light"/>
                  <w:sz w:val="18"/>
                  <w:szCs w:val="18"/>
                </w:rPr>
                <w:t>https://www.wik.org/fileadmin/files/_migrated/news_files/BT_EthernetLL_Benchmark_final.pdf</w:t>
              </w:r>
            </w:hyperlink>
            <w:r w:rsidRPr="00C411ED">
              <w:rPr>
                <w:rFonts w:ascii="Calibri Light" w:eastAsia="Calibri" w:hAnsi="Calibri Light" w:cs="Calibri Light"/>
                <w:sz w:val="16"/>
                <w:szCs w:val="16"/>
              </w:rPr>
              <w:t xml:space="preserve"> - Pág.</w:t>
            </w:r>
            <w:r w:rsidRPr="00C411ED">
              <w:rPr>
                <w:rFonts w:ascii="Calibri Light" w:eastAsia="Calibri" w:hAnsi="Calibri Light" w:cs="Calibri Light"/>
                <w:sz w:val="18"/>
                <w:szCs w:val="18"/>
              </w:rPr>
              <w:t xml:space="preserve"> 10</w:t>
            </w:r>
          </w:p>
          <w:p w14:paraId="66FC2CA4" w14:textId="77777777" w:rsidR="00C411ED" w:rsidRDefault="00C411ED" w:rsidP="00536ADF">
            <w:pPr>
              <w:jc w:val="both"/>
              <w:rPr>
                <w:rFonts w:ascii="Calibri Light" w:eastAsia="Calibri" w:hAnsi="Calibri Light" w:cs="Calibri Light"/>
                <w:sz w:val="20"/>
                <w:szCs w:val="20"/>
              </w:rPr>
            </w:pPr>
          </w:p>
          <w:p w14:paraId="777FF8C8" w14:textId="77777777" w:rsidR="004D0CC4" w:rsidRDefault="004D0CC4" w:rsidP="00536ADF">
            <w:pPr>
              <w:jc w:val="both"/>
              <w:rPr>
                <w:rFonts w:ascii="Calibri Light" w:eastAsia="Calibri" w:hAnsi="Calibri Light" w:cs="Calibri Light"/>
                <w:sz w:val="20"/>
                <w:szCs w:val="20"/>
              </w:rPr>
            </w:pPr>
          </w:p>
          <w:p w14:paraId="4C2A47DB" w14:textId="77777777" w:rsidR="000A5A67" w:rsidRDefault="000A5A67" w:rsidP="00536ADF">
            <w:pPr>
              <w:jc w:val="both"/>
              <w:rPr>
                <w:rFonts w:ascii="Calibri Light" w:eastAsia="Calibri" w:hAnsi="Calibri Light" w:cs="Calibri Light"/>
                <w:sz w:val="20"/>
                <w:szCs w:val="20"/>
              </w:rPr>
            </w:pPr>
          </w:p>
          <w:p w14:paraId="73497F85" w14:textId="5F4AB92E" w:rsidR="00C10F9B" w:rsidRDefault="00B1441C" w:rsidP="00C10F9B">
            <w:pPr>
              <w:jc w:val="both"/>
              <w:rPr>
                <w:rFonts w:ascii="Calibri Light" w:eastAsia="Calibri" w:hAnsi="Calibri Light" w:cs="Calibri Light"/>
                <w:sz w:val="20"/>
                <w:szCs w:val="20"/>
              </w:rPr>
            </w:pPr>
            <w:r>
              <w:rPr>
                <w:rFonts w:ascii="Calibri Light" w:eastAsia="Calibri" w:hAnsi="Calibri Light" w:cs="Calibri Light"/>
                <w:sz w:val="20"/>
                <w:szCs w:val="20"/>
              </w:rPr>
              <w:t xml:space="preserve">Debido a que la tecnología Ethernet utiliza mecanismos para </w:t>
            </w:r>
            <w:r w:rsidRPr="00344FEF">
              <w:rPr>
                <w:rFonts w:ascii="Calibri Light" w:eastAsia="Calibri" w:hAnsi="Calibri Light" w:cs="Calibri Light"/>
                <w:sz w:val="20"/>
                <w:szCs w:val="20"/>
              </w:rPr>
              <w:t>direccion</w:t>
            </w:r>
            <w:r>
              <w:rPr>
                <w:rFonts w:ascii="Calibri Light" w:eastAsia="Calibri" w:hAnsi="Calibri Light" w:cs="Calibri Light"/>
                <w:sz w:val="20"/>
                <w:szCs w:val="20"/>
              </w:rPr>
              <w:t>ar</w:t>
            </w:r>
            <w:r w:rsidRPr="00344FEF">
              <w:rPr>
                <w:rFonts w:ascii="Calibri Light" w:eastAsia="Calibri" w:hAnsi="Calibri Light" w:cs="Calibri Light"/>
                <w:sz w:val="20"/>
                <w:szCs w:val="20"/>
              </w:rPr>
              <w:t>, control</w:t>
            </w:r>
            <w:r>
              <w:rPr>
                <w:rFonts w:ascii="Calibri Light" w:eastAsia="Calibri" w:hAnsi="Calibri Light" w:cs="Calibri Light"/>
                <w:sz w:val="20"/>
                <w:szCs w:val="20"/>
              </w:rPr>
              <w:t>ar y</w:t>
            </w:r>
            <w:r w:rsidRPr="00344FEF">
              <w:rPr>
                <w:rFonts w:ascii="Calibri Light" w:eastAsia="Calibri" w:hAnsi="Calibri Light" w:cs="Calibri Light"/>
                <w:sz w:val="20"/>
                <w:szCs w:val="20"/>
              </w:rPr>
              <w:t xml:space="preserve"> </w:t>
            </w:r>
            <w:r>
              <w:rPr>
                <w:rFonts w:ascii="Calibri Light" w:eastAsia="Calibri" w:hAnsi="Calibri Light" w:cs="Calibri Light"/>
                <w:sz w:val="20"/>
                <w:szCs w:val="20"/>
              </w:rPr>
              <w:t>comprobar errores en las tramas que transportan la carga útil, dichos mecanismos consumen alrededor del 5% en tramas con tamaño de 1518 bytes. Para claridad con los Concesionarios se establece que la utilización de carga útil efectiva (Throughput) es la determinada en la prueba RFC 2544 que para efectos de medición se situará aproximadamente en el 95% de la capacidad contratada.</w:t>
            </w:r>
          </w:p>
        </w:tc>
      </w:tr>
      <w:tr w:rsidR="00536ADF" w:rsidRPr="00C13F5A" w14:paraId="67F08BEA" w14:textId="77777777" w:rsidTr="00B21C90">
        <w:trPr>
          <w:trHeight w:val="555"/>
          <w:jc w:val="center"/>
        </w:trPr>
        <w:tc>
          <w:tcPr>
            <w:tcW w:w="2405" w:type="dxa"/>
            <w:shd w:val="clear" w:color="auto" w:fill="auto"/>
            <w:vAlign w:val="center"/>
          </w:tcPr>
          <w:p w14:paraId="61B7CEED" w14:textId="77777777" w:rsidR="00536ADF" w:rsidRPr="00E43A57" w:rsidRDefault="00536ADF" w:rsidP="00536ADF">
            <w:pPr>
              <w:jc w:val="center"/>
              <w:rPr>
                <w:sz w:val="20"/>
                <w:szCs w:val="20"/>
              </w:rPr>
            </w:pPr>
            <w:r>
              <w:rPr>
                <w:sz w:val="20"/>
                <w:szCs w:val="20"/>
              </w:rPr>
              <w:t>Anexo “C”</w:t>
            </w:r>
          </w:p>
        </w:tc>
        <w:tc>
          <w:tcPr>
            <w:tcW w:w="1276" w:type="dxa"/>
            <w:shd w:val="clear" w:color="auto" w:fill="auto"/>
            <w:vAlign w:val="center"/>
          </w:tcPr>
          <w:p w14:paraId="638A4AF0" w14:textId="77777777" w:rsidR="00536ADF" w:rsidRPr="00E43A57" w:rsidRDefault="00536ADF" w:rsidP="00536ADF">
            <w:pPr>
              <w:jc w:val="center"/>
              <w:rPr>
                <w:rFonts w:cstheme="minorHAnsi"/>
                <w:sz w:val="20"/>
                <w:szCs w:val="20"/>
              </w:rPr>
            </w:pPr>
            <w:r>
              <w:rPr>
                <w:rFonts w:cstheme="minorHAnsi"/>
                <w:sz w:val="20"/>
                <w:szCs w:val="20"/>
              </w:rPr>
              <w:t>Sección A</w:t>
            </w:r>
          </w:p>
        </w:tc>
        <w:tc>
          <w:tcPr>
            <w:tcW w:w="1559" w:type="dxa"/>
            <w:vMerge/>
            <w:shd w:val="clear" w:color="auto" w:fill="auto"/>
            <w:vAlign w:val="center"/>
          </w:tcPr>
          <w:p w14:paraId="4B69C828" w14:textId="77777777" w:rsidR="00536ADF" w:rsidRPr="00A2073A" w:rsidRDefault="00536ADF" w:rsidP="00536ADF">
            <w:pPr>
              <w:jc w:val="both"/>
              <w:rPr>
                <w:rFonts w:cstheme="minorHAnsi"/>
                <w:sz w:val="20"/>
                <w:szCs w:val="20"/>
              </w:rPr>
            </w:pPr>
          </w:p>
        </w:tc>
        <w:tc>
          <w:tcPr>
            <w:tcW w:w="3686" w:type="dxa"/>
            <w:vAlign w:val="center"/>
          </w:tcPr>
          <w:p w14:paraId="343080BF" w14:textId="77777777" w:rsidR="00536ADF" w:rsidRDefault="00536ADF" w:rsidP="00536ADF">
            <w:pPr>
              <w:rPr>
                <w:rFonts w:ascii="Calibri Light" w:eastAsia="Calibri" w:hAnsi="Calibri Light" w:cs="Calibri Light"/>
                <w:sz w:val="20"/>
                <w:szCs w:val="20"/>
              </w:rPr>
            </w:pPr>
            <w:r>
              <w:rPr>
                <w:rFonts w:ascii="Calibri Light" w:eastAsia="Calibri" w:hAnsi="Calibri Light" w:cs="Calibri Light"/>
                <w:sz w:val="20"/>
                <w:szCs w:val="20"/>
              </w:rPr>
              <w:t xml:space="preserve">[Ver cambio en la propuesta </w:t>
            </w:r>
            <w:r w:rsidR="00924788">
              <w:rPr>
                <w:rFonts w:ascii="Calibri Light" w:eastAsia="Calibri" w:hAnsi="Calibri Light" w:cs="Calibri Light"/>
                <w:sz w:val="20"/>
                <w:szCs w:val="20"/>
              </w:rPr>
              <w:t>ORE 2024</w:t>
            </w:r>
            <w:r>
              <w:rPr>
                <w:rFonts w:ascii="Calibri Light" w:eastAsia="Calibri" w:hAnsi="Calibri Light" w:cs="Calibri Light"/>
                <w:sz w:val="20"/>
                <w:szCs w:val="20"/>
              </w:rPr>
              <w:t>]</w:t>
            </w:r>
          </w:p>
        </w:tc>
        <w:tc>
          <w:tcPr>
            <w:tcW w:w="5257" w:type="dxa"/>
            <w:vMerge/>
            <w:shd w:val="clear" w:color="auto" w:fill="auto"/>
            <w:vAlign w:val="center"/>
          </w:tcPr>
          <w:p w14:paraId="43C7ED89" w14:textId="77777777" w:rsidR="00536ADF" w:rsidRDefault="00536ADF" w:rsidP="00536ADF">
            <w:pPr>
              <w:jc w:val="both"/>
              <w:rPr>
                <w:rFonts w:ascii="Calibri Light" w:eastAsia="Calibri" w:hAnsi="Calibri Light" w:cs="Calibri Light"/>
                <w:sz w:val="20"/>
                <w:szCs w:val="20"/>
              </w:rPr>
            </w:pPr>
          </w:p>
        </w:tc>
      </w:tr>
      <w:tr w:rsidR="00CC2661" w:rsidRPr="00C13F5A" w14:paraId="7259CF50" w14:textId="77777777" w:rsidTr="00B21C90">
        <w:trPr>
          <w:trHeight w:val="555"/>
          <w:jc w:val="center"/>
        </w:trPr>
        <w:tc>
          <w:tcPr>
            <w:tcW w:w="2405" w:type="dxa"/>
            <w:shd w:val="clear" w:color="auto" w:fill="auto"/>
            <w:vAlign w:val="center"/>
          </w:tcPr>
          <w:p w14:paraId="196DDF89" w14:textId="27254CEF" w:rsidR="008D2973" w:rsidRPr="00D706E6" w:rsidRDefault="008D2973" w:rsidP="00536ADF">
            <w:pPr>
              <w:jc w:val="center"/>
              <w:rPr>
                <w:sz w:val="20"/>
                <w:szCs w:val="20"/>
              </w:rPr>
            </w:pPr>
            <w:r w:rsidRPr="00D706E6">
              <w:rPr>
                <w:sz w:val="20"/>
                <w:szCs w:val="20"/>
              </w:rPr>
              <w:t xml:space="preserve">2.4.3.2 Oferta y  </w:t>
            </w:r>
          </w:p>
          <w:p w14:paraId="73B757A3" w14:textId="7D4D4C1D" w:rsidR="00CC2661" w:rsidRPr="00D706E6" w:rsidRDefault="00CC2661" w:rsidP="00536ADF">
            <w:pPr>
              <w:jc w:val="center"/>
              <w:rPr>
                <w:sz w:val="20"/>
                <w:szCs w:val="20"/>
              </w:rPr>
            </w:pPr>
            <w:r w:rsidRPr="00D706E6">
              <w:rPr>
                <w:sz w:val="20"/>
                <w:szCs w:val="20"/>
              </w:rPr>
              <w:t>Anexo “C”</w:t>
            </w:r>
            <w:r w:rsidR="008D2973" w:rsidRPr="00D706E6">
              <w:rPr>
                <w:sz w:val="20"/>
                <w:szCs w:val="20"/>
              </w:rPr>
              <w:t xml:space="preserve"> </w:t>
            </w:r>
          </w:p>
        </w:tc>
        <w:tc>
          <w:tcPr>
            <w:tcW w:w="1276" w:type="dxa"/>
            <w:shd w:val="clear" w:color="auto" w:fill="auto"/>
            <w:vAlign w:val="center"/>
          </w:tcPr>
          <w:p w14:paraId="44975C0E" w14:textId="77777777" w:rsidR="00CC2661" w:rsidRPr="00D706E6" w:rsidRDefault="00CC2661" w:rsidP="00CC2661">
            <w:pPr>
              <w:ind w:left="67"/>
              <w:jc w:val="both"/>
              <w:rPr>
                <w:rFonts w:cstheme="minorHAnsi"/>
                <w:sz w:val="20"/>
                <w:szCs w:val="20"/>
              </w:rPr>
            </w:pPr>
            <w:r w:rsidRPr="00D706E6">
              <w:rPr>
                <w:rFonts w:cstheme="minorHAnsi"/>
                <w:sz w:val="20"/>
                <w:szCs w:val="20"/>
              </w:rPr>
              <w:t>Medición del cumplimiento de los plazos de entrega</w:t>
            </w:r>
          </w:p>
          <w:p w14:paraId="5BA9F4EF" w14:textId="77777777" w:rsidR="00CC2661" w:rsidRPr="00D706E6" w:rsidRDefault="00CC2661" w:rsidP="00C10F9B">
            <w:pPr>
              <w:ind w:left="67"/>
              <w:jc w:val="both"/>
              <w:rPr>
                <w:rFonts w:cstheme="minorHAnsi"/>
                <w:sz w:val="20"/>
                <w:szCs w:val="20"/>
              </w:rPr>
            </w:pPr>
          </w:p>
        </w:tc>
        <w:tc>
          <w:tcPr>
            <w:tcW w:w="1559" w:type="dxa"/>
            <w:shd w:val="clear" w:color="auto" w:fill="auto"/>
            <w:vAlign w:val="center"/>
          </w:tcPr>
          <w:p w14:paraId="2226643F" w14:textId="0A3F7843" w:rsidR="00CC2661" w:rsidRPr="00D706E6" w:rsidRDefault="00CC2661" w:rsidP="00CC2661">
            <w:pPr>
              <w:jc w:val="center"/>
              <w:rPr>
                <w:rFonts w:cstheme="minorHAnsi"/>
                <w:sz w:val="20"/>
                <w:szCs w:val="20"/>
              </w:rPr>
            </w:pPr>
            <w:r w:rsidRPr="00D706E6">
              <w:rPr>
                <w:rFonts w:cstheme="minorHAnsi"/>
                <w:sz w:val="20"/>
                <w:szCs w:val="20"/>
              </w:rPr>
              <w:t>Expiración de la solicitud</w:t>
            </w:r>
          </w:p>
        </w:tc>
        <w:tc>
          <w:tcPr>
            <w:tcW w:w="3686" w:type="dxa"/>
            <w:vAlign w:val="center"/>
          </w:tcPr>
          <w:p w14:paraId="7A7337C1" w14:textId="77777777" w:rsidR="00CC2661" w:rsidRPr="00D706E6" w:rsidRDefault="00CC2661" w:rsidP="00CC2661">
            <w:pPr>
              <w:jc w:val="both"/>
              <w:rPr>
                <w:rFonts w:asciiTheme="majorHAnsi" w:eastAsia="Times New Roman" w:hAnsiTheme="majorHAnsi" w:cs="Arial"/>
                <w:b/>
                <w:bCs/>
                <w:color w:val="000000"/>
                <w:sz w:val="20"/>
                <w:lang w:eastAsia="es-MX"/>
              </w:rPr>
            </w:pPr>
            <w:r w:rsidRPr="00D706E6">
              <w:rPr>
                <w:rFonts w:asciiTheme="majorHAnsi" w:eastAsia="Times New Roman" w:hAnsiTheme="majorHAnsi" w:cs="Arial"/>
                <w:b/>
                <w:bCs/>
                <w:color w:val="000000"/>
                <w:sz w:val="20"/>
                <w:lang w:eastAsia="es-MX"/>
              </w:rPr>
              <w:t>Medición del cumplimiento de los plazos de entrega</w:t>
            </w:r>
          </w:p>
          <w:p w14:paraId="3EE9C858" w14:textId="08843F3A" w:rsidR="00CC2661" w:rsidRPr="00D706E6" w:rsidRDefault="00CC2661" w:rsidP="00CC2661">
            <w:pPr>
              <w:jc w:val="both"/>
              <w:rPr>
                <w:rFonts w:asciiTheme="majorHAnsi" w:eastAsia="Times New Roman" w:hAnsiTheme="majorHAnsi" w:cs="Arial"/>
                <w:bCs/>
                <w:color w:val="000000"/>
                <w:sz w:val="20"/>
                <w:lang w:eastAsia="es-MX"/>
              </w:rPr>
            </w:pPr>
            <w:r w:rsidRPr="00D706E6">
              <w:rPr>
                <w:rFonts w:asciiTheme="majorHAnsi" w:eastAsia="Times New Roman" w:hAnsiTheme="majorHAnsi" w:cs="Arial"/>
                <w:bCs/>
                <w:color w:val="000000"/>
                <w:sz w:val="20"/>
                <w:lang w:eastAsia="es-MX"/>
              </w:rPr>
              <w:t>(…)</w:t>
            </w:r>
          </w:p>
          <w:p w14:paraId="312EF328" w14:textId="6B0BBE94" w:rsidR="00CC2661" w:rsidRPr="00D706E6" w:rsidRDefault="00CC2661" w:rsidP="00CC2661">
            <w:pPr>
              <w:jc w:val="both"/>
              <w:rPr>
                <w:rFonts w:asciiTheme="majorHAnsi" w:eastAsia="Times New Roman" w:hAnsiTheme="majorHAnsi" w:cs="Arial"/>
                <w:color w:val="00B0F0"/>
                <w:sz w:val="18"/>
                <w:lang w:eastAsia="es-MX"/>
              </w:rPr>
            </w:pPr>
            <w:r w:rsidRPr="00D706E6">
              <w:rPr>
                <w:rFonts w:asciiTheme="majorHAnsi" w:eastAsia="Times New Roman" w:hAnsiTheme="majorHAnsi" w:cs="Arial"/>
                <w:color w:val="0070C0"/>
                <w:sz w:val="20"/>
                <w:lang w:eastAsia="es-MX"/>
              </w:rPr>
              <w:t>En caso de la imposibilidad para construir el servicio por causas imputables a un tercero y que se haya consumido el plazo máximo que esta oferta permite para la provisión de los servicios</w:t>
            </w:r>
            <w:r w:rsidR="008315A0" w:rsidRPr="00D706E6">
              <w:rPr>
                <w:rFonts w:asciiTheme="majorHAnsi" w:eastAsia="Times New Roman" w:hAnsiTheme="majorHAnsi" w:cs="Arial"/>
                <w:color w:val="0070C0"/>
                <w:sz w:val="20"/>
                <w:lang w:eastAsia="es-MX"/>
              </w:rPr>
              <w:t>, que es de 12</w:t>
            </w:r>
            <w:r w:rsidR="00D706E6">
              <w:rPr>
                <w:rFonts w:asciiTheme="majorHAnsi" w:eastAsia="Times New Roman" w:hAnsiTheme="majorHAnsi" w:cs="Arial"/>
                <w:color w:val="0070C0"/>
                <w:sz w:val="20"/>
                <w:lang w:eastAsia="es-MX"/>
              </w:rPr>
              <w:t>0</w:t>
            </w:r>
            <w:r w:rsidRPr="00D706E6">
              <w:rPr>
                <w:rFonts w:asciiTheme="majorHAnsi" w:eastAsia="Times New Roman" w:hAnsiTheme="majorHAnsi" w:cs="Arial"/>
                <w:color w:val="0070C0"/>
                <w:sz w:val="20"/>
                <w:lang w:eastAsia="es-MX"/>
              </w:rPr>
              <w:t xml:space="preserve"> días hábiles, la solicitud será por cancelada con imputabilidad de Terceros, documentándose dicha situación y haciéndola disponible en el SEG</w:t>
            </w:r>
            <w:r w:rsidR="00D706E6">
              <w:rPr>
                <w:rFonts w:asciiTheme="majorHAnsi" w:eastAsia="Times New Roman" w:hAnsiTheme="majorHAnsi" w:cs="Arial"/>
                <w:color w:val="0070C0"/>
                <w:sz w:val="20"/>
                <w:lang w:eastAsia="es-MX"/>
              </w:rPr>
              <w:t>.</w:t>
            </w:r>
          </w:p>
          <w:p w14:paraId="35E07C2F" w14:textId="77777777" w:rsidR="00CC2661" w:rsidRPr="00D706E6" w:rsidRDefault="00CC2661" w:rsidP="00C10F9B">
            <w:pPr>
              <w:jc w:val="both"/>
              <w:rPr>
                <w:rFonts w:ascii="Calibri Light" w:eastAsia="Calibri" w:hAnsi="Calibri Light" w:cs="Calibri Light"/>
                <w:color w:val="0070C0"/>
                <w:sz w:val="20"/>
                <w:szCs w:val="20"/>
              </w:rPr>
            </w:pPr>
          </w:p>
        </w:tc>
        <w:tc>
          <w:tcPr>
            <w:tcW w:w="5257" w:type="dxa"/>
            <w:shd w:val="clear" w:color="auto" w:fill="auto"/>
            <w:vAlign w:val="center"/>
          </w:tcPr>
          <w:p w14:paraId="0008F2DE" w14:textId="50F7DDA8" w:rsidR="00CC2661" w:rsidRPr="00D706E6" w:rsidRDefault="00CC2661" w:rsidP="008315A0">
            <w:pPr>
              <w:jc w:val="both"/>
              <w:rPr>
                <w:rFonts w:ascii="Calibri Light" w:eastAsia="Calibri" w:hAnsi="Calibri Light" w:cs="Calibri Light"/>
                <w:sz w:val="20"/>
                <w:szCs w:val="20"/>
              </w:rPr>
            </w:pPr>
            <w:r w:rsidRPr="00D706E6">
              <w:rPr>
                <w:rFonts w:ascii="Calibri Light" w:eastAsia="Calibri" w:hAnsi="Calibri Light" w:cs="Calibri Light"/>
                <w:sz w:val="20"/>
                <w:szCs w:val="20"/>
              </w:rPr>
              <w:t xml:space="preserve">Se clarifica que las </w:t>
            </w:r>
            <w:r w:rsidR="008315A0" w:rsidRPr="00D706E6">
              <w:rPr>
                <w:rFonts w:ascii="Calibri Light" w:eastAsia="Calibri" w:hAnsi="Calibri Light" w:cs="Calibri Light"/>
                <w:sz w:val="20"/>
                <w:szCs w:val="20"/>
              </w:rPr>
              <w:t>solicitudes</w:t>
            </w:r>
            <w:r w:rsidRPr="00D706E6">
              <w:rPr>
                <w:rFonts w:ascii="Calibri Light" w:eastAsia="Calibri" w:hAnsi="Calibri Light" w:cs="Calibri Light"/>
                <w:sz w:val="20"/>
                <w:szCs w:val="20"/>
              </w:rPr>
              <w:t xml:space="preserve"> de </w:t>
            </w:r>
            <w:r w:rsidR="008315A0" w:rsidRPr="00D706E6">
              <w:rPr>
                <w:rFonts w:ascii="Calibri Light" w:eastAsia="Calibri" w:hAnsi="Calibri Light" w:cs="Calibri Light"/>
                <w:sz w:val="20"/>
                <w:szCs w:val="20"/>
              </w:rPr>
              <w:t>servicio</w:t>
            </w:r>
            <w:r w:rsidRPr="00D706E6">
              <w:rPr>
                <w:rFonts w:ascii="Calibri Light" w:eastAsia="Calibri" w:hAnsi="Calibri Light" w:cs="Calibri Light"/>
                <w:sz w:val="20"/>
                <w:szCs w:val="20"/>
              </w:rPr>
              <w:t xml:space="preserve"> no pueden durar más de lo ya estipulado en la presente oferta</w:t>
            </w:r>
            <w:r w:rsidR="008315A0" w:rsidRPr="00D706E6">
              <w:rPr>
                <w:rFonts w:ascii="Calibri Light" w:eastAsia="Calibri" w:hAnsi="Calibri Light" w:cs="Calibri Light"/>
                <w:sz w:val="20"/>
                <w:szCs w:val="20"/>
              </w:rPr>
              <w:t>, lo cual esta</w:t>
            </w:r>
            <w:r w:rsidRPr="00D706E6">
              <w:rPr>
                <w:rFonts w:ascii="Calibri Light" w:eastAsia="Calibri" w:hAnsi="Calibri Light" w:cs="Calibri Light"/>
                <w:sz w:val="20"/>
                <w:szCs w:val="20"/>
              </w:rPr>
              <w:t xml:space="preserve"> descrito en el numeral 2.4.2</w:t>
            </w:r>
            <w:r w:rsidR="008315A0" w:rsidRPr="00D706E6">
              <w:rPr>
                <w:rFonts w:ascii="Calibri Light" w:eastAsia="Calibri" w:hAnsi="Calibri Light" w:cs="Calibri Light"/>
                <w:sz w:val="20"/>
                <w:szCs w:val="20"/>
              </w:rPr>
              <w:t>, es decir, una solicitud que supera el doble del plazo establecido (actualmente de 60</w:t>
            </w:r>
            <w:r w:rsidR="00BD084A" w:rsidRPr="00D706E6">
              <w:rPr>
                <w:rFonts w:ascii="Calibri Light" w:eastAsia="Calibri" w:hAnsi="Calibri Light" w:cs="Calibri Light"/>
                <w:sz w:val="20"/>
                <w:szCs w:val="20"/>
              </w:rPr>
              <w:t xml:space="preserve"> días</w:t>
            </w:r>
            <w:r w:rsidR="008315A0" w:rsidRPr="00D706E6">
              <w:rPr>
                <w:rFonts w:ascii="Calibri Light" w:eastAsia="Calibri" w:hAnsi="Calibri Light" w:cs="Calibri Light"/>
                <w:sz w:val="20"/>
                <w:szCs w:val="20"/>
              </w:rPr>
              <w:t xml:space="preserve">), y que exista la imposibilidad de su instalación por </w:t>
            </w:r>
            <w:r w:rsidR="00BD084A" w:rsidRPr="00D706E6">
              <w:rPr>
                <w:rFonts w:ascii="Calibri Light" w:eastAsia="Calibri" w:hAnsi="Calibri Light" w:cs="Calibri Light"/>
                <w:sz w:val="20"/>
                <w:szCs w:val="20"/>
              </w:rPr>
              <w:t xml:space="preserve">causas imputables a </w:t>
            </w:r>
            <w:r w:rsidR="008315A0" w:rsidRPr="00D706E6">
              <w:rPr>
                <w:rFonts w:ascii="Calibri Light" w:eastAsia="Calibri" w:hAnsi="Calibri Light" w:cs="Calibri Light"/>
                <w:sz w:val="20"/>
                <w:szCs w:val="20"/>
              </w:rPr>
              <w:t>un tercero, se catalogue como “Cancelado por Tercero”</w:t>
            </w:r>
          </w:p>
        </w:tc>
      </w:tr>
      <w:tr w:rsidR="002B5CD4" w:rsidRPr="00C13F5A" w14:paraId="79F30EC2" w14:textId="77777777" w:rsidTr="00B21C90">
        <w:trPr>
          <w:trHeight w:val="555"/>
          <w:jc w:val="center"/>
        </w:trPr>
        <w:tc>
          <w:tcPr>
            <w:tcW w:w="2405" w:type="dxa"/>
            <w:shd w:val="clear" w:color="auto" w:fill="auto"/>
            <w:vAlign w:val="center"/>
          </w:tcPr>
          <w:p w14:paraId="12348679" w14:textId="77777777" w:rsidR="002B5CD4" w:rsidRDefault="002B5CD4" w:rsidP="00536ADF">
            <w:pPr>
              <w:jc w:val="center"/>
              <w:rPr>
                <w:sz w:val="20"/>
                <w:szCs w:val="20"/>
              </w:rPr>
            </w:pPr>
            <w:r>
              <w:rPr>
                <w:sz w:val="20"/>
                <w:szCs w:val="20"/>
              </w:rPr>
              <w:t>Anexo “C”</w:t>
            </w:r>
          </w:p>
        </w:tc>
        <w:tc>
          <w:tcPr>
            <w:tcW w:w="1276" w:type="dxa"/>
            <w:shd w:val="clear" w:color="auto" w:fill="auto"/>
            <w:vAlign w:val="center"/>
          </w:tcPr>
          <w:p w14:paraId="04178A1B" w14:textId="77777777" w:rsidR="002B5CD4" w:rsidRDefault="002B5CD4" w:rsidP="00536ADF">
            <w:pPr>
              <w:jc w:val="center"/>
              <w:rPr>
                <w:rFonts w:cstheme="minorHAnsi"/>
                <w:sz w:val="20"/>
                <w:szCs w:val="20"/>
              </w:rPr>
            </w:pPr>
            <w:r>
              <w:rPr>
                <w:rFonts w:cstheme="minorHAnsi"/>
                <w:sz w:val="20"/>
                <w:szCs w:val="20"/>
              </w:rPr>
              <w:t>Sección A</w:t>
            </w:r>
          </w:p>
        </w:tc>
        <w:tc>
          <w:tcPr>
            <w:tcW w:w="1559" w:type="dxa"/>
            <w:shd w:val="clear" w:color="auto" w:fill="auto"/>
            <w:vAlign w:val="center"/>
          </w:tcPr>
          <w:p w14:paraId="1619DF7D" w14:textId="77777777" w:rsidR="002B5CD4" w:rsidRPr="00A2073A" w:rsidRDefault="00C47AB6" w:rsidP="00C47AB6">
            <w:pPr>
              <w:jc w:val="both"/>
              <w:rPr>
                <w:rFonts w:cstheme="minorHAnsi"/>
                <w:sz w:val="20"/>
                <w:szCs w:val="20"/>
              </w:rPr>
            </w:pPr>
            <w:r w:rsidRPr="00BD14AD">
              <w:rPr>
                <w:rFonts w:cstheme="minorHAnsi"/>
                <w:sz w:val="20"/>
                <w:szCs w:val="20"/>
              </w:rPr>
              <w:t>Pena por Casos F</w:t>
            </w:r>
            <w:r w:rsidR="002B5CD4" w:rsidRPr="00BD14AD">
              <w:rPr>
                <w:rFonts w:cstheme="minorHAnsi"/>
                <w:sz w:val="20"/>
                <w:szCs w:val="20"/>
              </w:rPr>
              <w:t xml:space="preserve">ortuitos / Fuerza </w:t>
            </w:r>
            <w:r w:rsidRPr="00BD14AD">
              <w:rPr>
                <w:rFonts w:cstheme="minorHAnsi"/>
                <w:sz w:val="20"/>
                <w:szCs w:val="20"/>
              </w:rPr>
              <w:t>Mayor</w:t>
            </w:r>
          </w:p>
        </w:tc>
        <w:tc>
          <w:tcPr>
            <w:tcW w:w="3686" w:type="dxa"/>
            <w:vAlign w:val="center"/>
          </w:tcPr>
          <w:p w14:paraId="799F824B" w14:textId="77777777" w:rsidR="002B5CD4" w:rsidRPr="002B5CD4" w:rsidRDefault="002B5CD4" w:rsidP="002B5CD4">
            <w:pPr>
              <w:jc w:val="both"/>
              <w:rPr>
                <w:rFonts w:ascii="Calibri Light" w:eastAsia="Calibri" w:hAnsi="Calibri Light" w:cs="Calibri Light"/>
                <w:sz w:val="20"/>
                <w:szCs w:val="20"/>
              </w:rPr>
            </w:pPr>
            <w:r>
              <w:rPr>
                <w:rFonts w:ascii="Calibri Light" w:eastAsia="Calibri" w:hAnsi="Calibri Light" w:cs="Calibri Light"/>
                <w:sz w:val="20"/>
                <w:szCs w:val="20"/>
              </w:rPr>
              <w:t xml:space="preserve">b) </w:t>
            </w:r>
            <w:r w:rsidRPr="002B5CD4">
              <w:rPr>
                <w:rFonts w:ascii="Calibri Light" w:eastAsia="Calibri" w:hAnsi="Calibri Light" w:cs="Calibri Light"/>
                <w:sz w:val="20"/>
                <w:szCs w:val="20"/>
              </w:rPr>
              <w:t xml:space="preserve">Causas de fuerza mayor y casos fortuitos no imputables a la División Mayorista de Telmex/Telnor ni al Concesionario Solicitante o Autorizado Solicitante, los que, de manera enunciativa más no limitativa, pueden consistir en: </w:t>
            </w:r>
            <w:r w:rsidRPr="002B5CD4">
              <w:rPr>
                <w:rFonts w:ascii="Calibri Light" w:eastAsia="Calibri" w:hAnsi="Calibri Light" w:cs="Calibri Light"/>
                <w:color w:val="0070C0"/>
                <w:sz w:val="20"/>
                <w:szCs w:val="20"/>
              </w:rPr>
              <w:t>epidemias, pandemias, plagas</w:t>
            </w:r>
            <w:r w:rsidRPr="002B5CD4">
              <w:rPr>
                <w:rFonts w:ascii="Calibri Light" w:eastAsia="Calibri" w:hAnsi="Calibri Light" w:cs="Calibri Light"/>
                <w:sz w:val="20"/>
                <w:szCs w:val="20"/>
              </w:rPr>
              <w:t>, inundaciones, guerras, huracanes, incendios, motines, huelgas, sismos, terremotos, explosiones, insurrección, disturbios y restricciones para trabajos en planta externa en horario nocturno cuando no se trate de un daño crítico en la infraestructura de la División Mayorista de Telmex/Telnor.</w:t>
            </w:r>
          </w:p>
          <w:p w14:paraId="775666D0" w14:textId="77777777" w:rsidR="002B5CD4" w:rsidRPr="002B5CD4" w:rsidRDefault="002B5CD4" w:rsidP="002B5CD4">
            <w:pPr>
              <w:jc w:val="both"/>
              <w:rPr>
                <w:rFonts w:ascii="Calibri Light" w:eastAsia="Calibri" w:hAnsi="Calibri Light" w:cs="Calibri Light"/>
                <w:sz w:val="20"/>
                <w:szCs w:val="20"/>
              </w:rPr>
            </w:pPr>
          </w:p>
          <w:p w14:paraId="1BA84963" w14:textId="154082C9" w:rsidR="002B5CD4" w:rsidRPr="00EB36DB" w:rsidRDefault="002B5CD4" w:rsidP="00EB36DB">
            <w:pPr>
              <w:jc w:val="both"/>
              <w:rPr>
                <w:rFonts w:ascii="Calibri Light" w:hAnsi="Calibri Light"/>
                <w:strike/>
                <w:color w:val="0070C0"/>
                <w:sz w:val="20"/>
              </w:rPr>
            </w:pPr>
            <w:r w:rsidRPr="002B5CD4">
              <w:rPr>
                <w:rFonts w:ascii="Calibri Light" w:eastAsia="Calibri" w:hAnsi="Calibri Light" w:cs="Calibri Light"/>
                <w:strike/>
                <w:color w:val="0070C0"/>
                <w:sz w:val="20"/>
                <w:szCs w:val="20"/>
              </w:rPr>
              <w:t>Lo anterior en el entendido de que en caso de presentarse alguna de las situaciones consideradas como casos fortuitos o causas de fuerza mayor, la División Mayorista de Telmex/Telnor deberá descontar de la renta mensual la parte proporcional del tiempo total que el enlace estuvo fuera de servicio.</w:t>
            </w:r>
          </w:p>
        </w:tc>
        <w:tc>
          <w:tcPr>
            <w:tcW w:w="5257" w:type="dxa"/>
            <w:shd w:val="clear" w:color="auto" w:fill="auto"/>
            <w:vAlign w:val="center"/>
          </w:tcPr>
          <w:p w14:paraId="49598625" w14:textId="66E603BA" w:rsidR="002B5CD4" w:rsidRPr="00896818" w:rsidRDefault="002B5CD4" w:rsidP="0001780C">
            <w:pPr>
              <w:jc w:val="both"/>
              <w:rPr>
                <w:rFonts w:ascii="Calibri Light" w:eastAsia="Calibri" w:hAnsi="Calibri Light" w:cs="Calibri Light"/>
                <w:sz w:val="20"/>
                <w:szCs w:val="20"/>
              </w:rPr>
            </w:pPr>
            <w:r w:rsidRPr="00896818">
              <w:rPr>
                <w:rFonts w:ascii="Calibri Light" w:eastAsia="Calibri" w:hAnsi="Calibri Light" w:cs="Calibri Light"/>
                <w:sz w:val="20"/>
                <w:szCs w:val="20"/>
              </w:rPr>
              <w:t xml:space="preserve">Se solicita al Instituto eliminar la pena de descontar de la renta mensual del enlace, la parte proporcional del tiempo </w:t>
            </w:r>
            <w:r w:rsidR="0001780C" w:rsidRPr="00896818">
              <w:rPr>
                <w:rFonts w:ascii="Calibri Light" w:eastAsia="Calibri" w:hAnsi="Calibri Light" w:cs="Calibri Light"/>
                <w:sz w:val="20"/>
                <w:szCs w:val="20"/>
              </w:rPr>
              <w:t xml:space="preserve">que no estuvo en funcionamiento </w:t>
            </w:r>
            <w:r w:rsidRPr="00896818">
              <w:rPr>
                <w:rFonts w:ascii="Calibri Light" w:eastAsia="Calibri" w:hAnsi="Calibri Light" w:cs="Calibri Light"/>
                <w:sz w:val="20"/>
                <w:szCs w:val="20"/>
              </w:rPr>
              <w:t>en los casos fortuitos o de fuerza mayor</w:t>
            </w:r>
            <w:r w:rsidR="007B328A" w:rsidRPr="00896818">
              <w:rPr>
                <w:rFonts w:ascii="Calibri Light" w:eastAsia="Calibri" w:hAnsi="Calibri Light" w:cs="Calibri Light"/>
                <w:sz w:val="20"/>
                <w:szCs w:val="20"/>
              </w:rPr>
              <w:t>, ya que estos no</w:t>
            </w:r>
            <w:r w:rsidR="0001780C" w:rsidRPr="00896818">
              <w:rPr>
                <w:rFonts w:ascii="Calibri Light" w:eastAsia="Calibri" w:hAnsi="Calibri Light" w:cs="Calibri Light"/>
                <w:sz w:val="20"/>
                <w:szCs w:val="20"/>
              </w:rPr>
              <w:t xml:space="preserve"> pueden ser imputables a Telmex Telnor porque están fuera de su control</w:t>
            </w:r>
            <w:r w:rsidR="007B328A" w:rsidRPr="00896818">
              <w:rPr>
                <w:rFonts w:ascii="Calibri Light" w:eastAsia="Calibri" w:hAnsi="Calibri Light" w:cs="Calibri Light"/>
                <w:sz w:val="20"/>
                <w:szCs w:val="20"/>
              </w:rPr>
              <w:t>.</w:t>
            </w:r>
          </w:p>
          <w:p w14:paraId="54898800" w14:textId="77777777" w:rsidR="001D705C" w:rsidRPr="00896818" w:rsidRDefault="001D705C" w:rsidP="0001780C">
            <w:pPr>
              <w:jc w:val="both"/>
              <w:rPr>
                <w:rFonts w:ascii="Calibri Light" w:eastAsia="Calibri" w:hAnsi="Calibri Light" w:cs="Calibri Light"/>
                <w:sz w:val="20"/>
                <w:szCs w:val="20"/>
              </w:rPr>
            </w:pPr>
          </w:p>
          <w:p w14:paraId="0689B2E8" w14:textId="77777777" w:rsidR="0055105E" w:rsidRPr="00896818" w:rsidRDefault="0055105E" w:rsidP="0055105E">
            <w:pPr>
              <w:jc w:val="both"/>
              <w:rPr>
                <w:rFonts w:ascii="Calibri Light" w:eastAsia="Calibri" w:hAnsi="Calibri Light" w:cs="Calibri Light"/>
                <w:sz w:val="20"/>
                <w:szCs w:val="20"/>
              </w:rPr>
            </w:pPr>
            <w:r w:rsidRPr="00896818">
              <w:rPr>
                <w:rFonts w:ascii="Calibri Light" w:eastAsia="Calibri" w:hAnsi="Calibri Light" w:cs="Calibri Light"/>
                <w:sz w:val="20"/>
                <w:szCs w:val="20"/>
              </w:rPr>
              <w:t xml:space="preserve">Como es de conocimiento general la fuerza mayor y el caso fortuito son eximentes de responsabilidad, toda vez que están fuera del control de las partes, como bien lo establece la Suprema Corte de Justicia de la Nación en la tesis con Registro digital: 246205. </w:t>
            </w:r>
          </w:p>
          <w:p w14:paraId="2337FA9A" w14:textId="77777777" w:rsidR="007A4AA7" w:rsidRPr="00896818" w:rsidRDefault="007A4AA7" w:rsidP="0055105E">
            <w:pPr>
              <w:jc w:val="both"/>
              <w:rPr>
                <w:rFonts w:ascii="Calibri Light" w:eastAsia="Calibri" w:hAnsi="Calibri Light" w:cs="Calibri Light"/>
                <w:sz w:val="20"/>
                <w:szCs w:val="20"/>
              </w:rPr>
            </w:pPr>
          </w:p>
          <w:p w14:paraId="6BA11278" w14:textId="77777777" w:rsidR="0055105E" w:rsidRPr="00896818" w:rsidRDefault="0055105E" w:rsidP="0055105E">
            <w:pPr>
              <w:jc w:val="both"/>
              <w:rPr>
                <w:rFonts w:ascii="Calibri Light" w:eastAsia="Calibri" w:hAnsi="Calibri Light" w:cs="Calibri Light"/>
                <w:sz w:val="20"/>
                <w:szCs w:val="20"/>
              </w:rPr>
            </w:pPr>
            <w:r w:rsidRPr="00896818">
              <w:rPr>
                <w:rFonts w:ascii="Calibri Light" w:eastAsia="Calibri" w:hAnsi="Calibri Light" w:cs="Calibri Light"/>
                <w:sz w:val="20"/>
                <w:szCs w:val="20"/>
              </w:rPr>
              <w:t>“</w:t>
            </w:r>
            <w:r w:rsidRPr="00896818">
              <w:rPr>
                <w:rFonts w:ascii="Calibri Light" w:eastAsia="Calibri" w:hAnsi="Calibri Light" w:cs="Calibri Light"/>
                <w:i/>
                <w:sz w:val="20"/>
                <w:szCs w:val="20"/>
              </w:rPr>
              <w:t>CASO FORTUITO Y FUERZA MAYOR. (…). Generalmente es aceptado que el caso fortuito lo constituye un acontecimiento natural inevitable, previsible o imprevisible, que impida, en forma absoluta, el cumplimiento de una obligación legalmente adquirida. En el derecho romano se definió por el jurista Gayo como "aquella contingencia a la que la humana naturaleza no puede resistir" (...). La fuerza mayor, a diferencia del caso fortuito, no es ajena a la voluntad del hombre, pues, depende de la de un tercero distinto de los sujetos de la relación jurídica que impide, en forma absoluta, en cumplimiento de una obligación. (…).</w:t>
            </w:r>
            <w:r w:rsidRPr="00896818">
              <w:rPr>
                <w:rFonts w:ascii="Calibri Light" w:eastAsia="Calibri" w:hAnsi="Calibri Light" w:cs="Calibri Light"/>
                <w:sz w:val="20"/>
                <w:szCs w:val="20"/>
              </w:rPr>
              <w:t>”</w:t>
            </w:r>
          </w:p>
          <w:p w14:paraId="7920F93B" w14:textId="77777777" w:rsidR="007A4AA7" w:rsidRPr="00896818" w:rsidRDefault="007A4AA7" w:rsidP="0055105E">
            <w:pPr>
              <w:jc w:val="both"/>
              <w:rPr>
                <w:rFonts w:ascii="Calibri Light" w:eastAsia="Calibri" w:hAnsi="Calibri Light" w:cs="Calibri Light"/>
                <w:sz w:val="20"/>
                <w:szCs w:val="20"/>
              </w:rPr>
            </w:pPr>
          </w:p>
          <w:p w14:paraId="1D4E7B89" w14:textId="77777777" w:rsidR="0055105E" w:rsidRPr="00896818" w:rsidRDefault="0055105E" w:rsidP="0055105E">
            <w:pPr>
              <w:jc w:val="both"/>
              <w:rPr>
                <w:rFonts w:ascii="Calibri Light" w:eastAsia="Calibri" w:hAnsi="Calibri Light" w:cs="Calibri Light"/>
                <w:sz w:val="20"/>
                <w:szCs w:val="20"/>
              </w:rPr>
            </w:pPr>
            <w:r w:rsidRPr="00896818">
              <w:rPr>
                <w:rFonts w:ascii="Calibri Light" w:eastAsia="Calibri" w:hAnsi="Calibri Light" w:cs="Calibri Light"/>
                <w:sz w:val="20"/>
                <w:szCs w:val="20"/>
              </w:rPr>
              <w:t>En este sentido, desde un punto de vista legal, caso fortuito - fuerza mayor tienen las mismas implicaciones legales y derivan en las mismas consecuencias:</w:t>
            </w:r>
          </w:p>
          <w:p w14:paraId="7B7E6656" w14:textId="77777777" w:rsidR="007A4AA7" w:rsidRPr="00896818" w:rsidRDefault="007A4AA7" w:rsidP="0055105E">
            <w:pPr>
              <w:jc w:val="both"/>
              <w:rPr>
                <w:rFonts w:ascii="Calibri Light" w:eastAsia="Calibri" w:hAnsi="Calibri Light" w:cs="Calibri Light"/>
                <w:sz w:val="20"/>
                <w:szCs w:val="20"/>
              </w:rPr>
            </w:pPr>
          </w:p>
          <w:p w14:paraId="66E5E6A6" w14:textId="77777777" w:rsidR="0055105E" w:rsidRPr="00896818" w:rsidRDefault="0055105E" w:rsidP="0055105E">
            <w:pPr>
              <w:jc w:val="both"/>
              <w:rPr>
                <w:rFonts w:ascii="Calibri Light" w:eastAsia="Calibri" w:hAnsi="Calibri Light" w:cs="Calibri Light"/>
                <w:sz w:val="20"/>
                <w:szCs w:val="20"/>
              </w:rPr>
            </w:pPr>
            <w:r w:rsidRPr="00896818">
              <w:rPr>
                <w:rFonts w:ascii="Calibri Light" w:eastAsia="Calibri" w:hAnsi="Calibri Light" w:cs="Calibri Light"/>
                <w:sz w:val="20"/>
                <w:szCs w:val="20"/>
              </w:rPr>
              <w:t>Caso fortuito: Evento de la naturaleza que es impredecible.</w:t>
            </w:r>
          </w:p>
          <w:p w14:paraId="1CCE4AC5" w14:textId="77777777" w:rsidR="0055105E" w:rsidRPr="00896818" w:rsidRDefault="0055105E" w:rsidP="0055105E">
            <w:pPr>
              <w:jc w:val="both"/>
              <w:rPr>
                <w:rFonts w:ascii="Calibri Light" w:eastAsia="Calibri" w:hAnsi="Calibri Light" w:cs="Calibri Light"/>
                <w:sz w:val="20"/>
                <w:szCs w:val="20"/>
              </w:rPr>
            </w:pPr>
            <w:r w:rsidRPr="00896818">
              <w:rPr>
                <w:rFonts w:ascii="Calibri Light" w:eastAsia="Calibri" w:hAnsi="Calibri Light" w:cs="Calibri Light"/>
                <w:sz w:val="20"/>
                <w:szCs w:val="20"/>
              </w:rPr>
              <w:t>Fuerza mayor: Implica un evento causado por el hombre que es inevitable.</w:t>
            </w:r>
          </w:p>
          <w:p w14:paraId="31172097" w14:textId="77777777" w:rsidR="0055105E" w:rsidRPr="00896818" w:rsidRDefault="0055105E" w:rsidP="0055105E">
            <w:pPr>
              <w:jc w:val="both"/>
              <w:rPr>
                <w:rFonts w:ascii="Calibri Light" w:eastAsia="Calibri" w:hAnsi="Calibri Light" w:cs="Calibri Light"/>
                <w:sz w:val="20"/>
                <w:szCs w:val="20"/>
              </w:rPr>
            </w:pPr>
          </w:p>
          <w:p w14:paraId="5F49FD19" w14:textId="77777777" w:rsidR="0055105E" w:rsidRPr="00896818" w:rsidRDefault="0055105E" w:rsidP="0055105E">
            <w:pPr>
              <w:jc w:val="both"/>
              <w:rPr>
                <w:rFonts w:ascii="Calibri Light" w:eastAsia="Calibri" w:hAnsi="Calibri Light" w:cs="Calibri Light"/>
                <w:sz w:val="20"/>
                <w:szCs w:val="20"/>
              </w:rPr>
            </w:pPr>
            <w:r w:rsidRPr="00896818">
              <w:rPr>
                <w:rFonts w:ascii="Calibri Light" w:eastAsia="Calibri" w:hAnsi="Calibri Light" w:cs="Calibri Light"/>
                <w:sz w:val="20"/>
                <w:szCs w:val="20"/>
              </w:rPr>
              <w:t>A pesar de esta distinción, ambos implican eventos impredecibles, o en caso de ser predecibles, inevitables, o sea que están fuera del control razonable de las partes.</w:t>
            </w:r>
          </w:p>
          <w:p w14:paraId="347F836C" w14:textId="77777777" w:rsidR="0055105E" w:rsidRPr="00896818" w:rsidRDefault="0055105E" w:rsidP="0055105E">
            <w:pPr>
              <w:jc w:val="both"/>
              <w:rPr>
                <w:rFonts w:ascii="Calibri Light" w:eastAsia="Calibri" w:hAnsi="Calibri Light" w:cs="Calibri Light"/>
                <w:sz w:val="20"/>
                <w:szCs w:val="20"/>
              </w:rPr>
            </w:pPr>
          </w:p>
          <w:p w14:paraId="1AE189D3" w14:textId="11C1A303" w:rsidR="0055105E" w:rsidRPr="00896818" w:rsidRDefault="0055105E" w:rsidP="0055105E">
            <w:pPr>
              <w:jc w:val="both"/>
              <w:rPr>
                <w:rFonts w:ascii="Calibri Light" w:eastAsia="Calibri" w:hAnsi="Calibri Light" w:cs="Calibri Light"/>
                <w:sz w:val="20"/>
                <w:szCs w:val="20"/>
              </w:rPr>
            </w:pPr>
            <w:r w:rsidRPr="00896818">
              <w:rPr>
                <w:rFonts w:ascii="Calibri Light" w:eastAsia="Calibri" w:hAnsi="Calibri Light" w:cs="Calibri Light"/>
                <w:sz w:val="20"/>
                <w:szCs w:val="20"/>
              </w:rPr>
              <w:t>Asimismo, el código civil federal establece en su artículo 1847 que “</w:t>
            </w:r>
            <w:r w:rsidRPr="00896818">
              <w:rPr>
                <w:rFonts w:ascii="Calibri Light" w:eastAsia="Calibri" w:hAnsi="Calibri Light" w:cs="Calibri Light"/>
                <w:i/>
                <w:sz w:val="20"/>
                <w:szCs w:val="20"/>
              </w:rPr>
              <w:t>No podrá hacerse efectiva la pena cuando el obligado a ella no haya podido cumplir el contrato por hecho del acreedor, caso fortuito o fuerza insuperable</w:t>
            </w:r>
            <w:r w:rsidRPr="00896818">
              <w:rPr>
                <w:rFonts w:ascii="Calibri Light" w:eastAsia="Calibri" w:hAnsi="Calibri Light" w:cs="Calibri Light"/>
                <w:sz w:val="20"/>
                <w:szCs w:val="20"/>
              </w:rPr>
              <w:t>”.</w:t>
            </w:r>
          </w:p>
          <w:p w14:paraId="597110FC" w14:textId="77777777" w:rsidR="0055105E" w:rsidRPr="00896818" w:rsidRDefault="0055105E" w:rsidP="0055105E">
            <w:pPr>
              <w:jc w:val="both"/>
              <w:rPr>
                <w:rFonts w:ascii="Calibri Light" w:eastAsia="Calibri" w:hAnsi="Calibri Light" w:cs="Calibri Light"/>
                <w:sz w:val="20"/>
                <w:szCs w:val="20"/>
              </w:rPr>
            </w:pPr>
          </w:p>
          <w:p w14:paraId="22142598" w14:textId="05D9AEEC" w:rsidR="001D705C" w:rsidRDefault="0055105E" w:rsidP="0055105E">
            <w:pPr>
              <w:jc w:val="both"/>
              <w:rPr>
                <w:rFonts w:ascii="Calibri Light" w:eastAsia="Calibri" w:hAnsi="Calibri Light" w:cs="Calibri Light"/>
                <w:sz w:val="20"/>
                <w:szCs w:val="20"/>
              </w:rPr>
            </w:pPr>
            <w:r w:rsidRPr="00896818">
              <w:rPr>
                <w:rFonts w:ascii="Calibri Light" w:eastAsia="Calibri" w:hAnsi="Calibri Light" w:cs="Calibri Light"/>
                <w:sz w:val="20"/>
                <w:szCs w:val="20"/>
              </w:rPr>
              <w:t>En razón de lo expuesto, queda claro que una situación derivada de un caso fortuito o fuerza mayor no puede ser imputable a alguna de las partes, por lo que no puede responsabilizarse a Telmex si el enlace no est</w:t>
            </w:r>
            <w:r w:rsidR="00BD084A" w:rsidRPr="00896818">
              <w:rPr>
                <w:rFonts w:ascii="Calibri Light" w:eastAsia="Calibri" w:hAnsi="Calibri Light" w:cs="Calibri Light"/>
                <w:sz w:val="20"/>
                <w:szCs w:val="20"/>
              </w:rPr>
              <w:t>uvo en funcionamiento por alguno</w:t>
            </w:r>
            <w:r w:rsidRPr="00896818">
              <w:rPr>
                <w:rFonts w:ascii="Calibri Light" w:eastAsia="Calibri" w:hAnsi="Calibri Light" w:cs="Calibri Light"/>
                <w:sz w:val="20"/>
                <w:szCs w:val="20"/>
              </w:rPr>
              <w:t xml:space="preserve"> de estos supuestos</w:t>
            </w:r>
            <w:r w:rsidR="00BD084A" w:rsidRPr="00896818">
              <w:rPr>
                <w:rFonts w:ascii="Calibri Light" w:eastAsia="Calibri" w:hAnsi="Calibri Light" w:cs="Calibri Light"/>
                <w:sz w:val="20"/>
                <w:szCs w:val="20"/>
              </w:rPr>
              <w:t xml:space="preserve"> provistos en la ley</w:t>
            </w:r>
            <w:r w:rsidRPr="00896818">
              <w:rPr>
                <w:rFonts w:ascii="Calibri Light" w:eastAsia="Calibri" w:hAnsi="Calibri Light" w:cs="Calibri Light"/>
                <w:sz w:val="20"/>
                <w:szCs w:val="20"/>
              </w:rPr>
              <w:t>.</w:t>
            </w:r>
          </w:p>
        </w:tc>
      </w:tr>
      <w:tr w:rsidR="005103F9" w:rsidRPr="00E16021" w14:paraId="55913A4B" w14:textId="77777777" w:rsidTr="006404EC">
        <w:tblPrEx>
          <w:jc w:val="left"/>
        </w:tblPrEx>
        <w:trPr>
          <w:trHeight w:val="982"/>
        </w:trPr>
        <w:tc>
          <w:tcPr>
            <w:tcW w:w="2405" w:type="dxa"/>
            <w:vAlign w:val="center"/>
          </w:tcPr>
          <w:p w14:paraId="7C8A20CF" w14:textId="77777777" w:rsidR="005103F9" w:rsidRPr="00E16021" w:rsidRDefault="005103F9" w:rsidP="006404EC">
            <w:pPr>
              <w:jc w:val="center"/>
              <w:rPr>
                <w:rFonts w:asciiTheme="majorHAnsi" w:hAnsiTheme="majorHAnsi" w:cstheme="majorHAnsi"/>
                <w:sz w:val="20"/>
                <w:szCs w:val="20"/>
              </w:rPr>
            </w:pPr>
            <w:r w:rsidRPr="00E16021">
              <w:rPr>
                <w:rFonts w:asciiTheme="majorHAnsi" w:hAnsiTheme="majorHAnsi" w:cstheme="majorHAnsi"/>
                <w:sz w:val="20"/>
                <w:szCs w:val="20"/>
              </w:rPr>
              <w:t>Convenio</w:t>
            </w:r>
          </w:p>
        </w:tc>
        <w:tc>
          <w:tcPr>
            <w:tcW w:w="1276" w:type="dxa"/>
            <w:vAlign w:val="center"/>
          </w:tcPr>
          <w:p w14:paraId="5A199A9C" w14:textId="77777777" w:rsidR="005103F9" w:rsidRPr="00E16021" w:rsidRDefault="005103F9" w:rsidP="00E16021">
            <w:pPr>
              <w:pStyle w:val="1TitPrin"/>
              <w:rPr>
                <w:rFonts w:asciiTheme="majorHAnsi" w:hAnsiTheme="majorHAnsi" w:cstheme="majorHAnsi"/>
              </w:rPr>
            </w:pPr>
            <w:r w:rsidRPr="00E16021">
              <w:rPr>
                <w:rFonts w:asciiTheme="majorHAnsi" w:hAnsiTheme="majorHAnsi" w:cstheme="majorHAnsi"/>
              </w:rPr>
              <w:t>VIGÉSIMA SEGUNDA</w:t>
            </w:r>
          </w:p>
        </w:tc>
        <w:tc>
          <w:tcPr>
            <w:tcW w:w="1559" w:type="dxa"/>
            <w:vAlign w:val="center"/>
          </w:tcPr>
          <w:p w14:paraId="234D44CA" w14:textId="77777777" w:rsidR="005103F9" w:rsidRPr="00E16021" w:rsidRDefault="005103F9" w:rsidP="006404EC">
            <w:pPr>
              <w:jc w:val="both"/>
              <w:rPr>
                <w:rFonts w:asciiTheme="majorHAnsi" w:hAnsiTheme="majorHAnsi" w:cstheme="majorHAnsi"/>
                <w:b/>
                <w:bCs/>
                <w:sz w:val="20"/>
                <w:szCs w:val="20"/>
              </w:rPr>
            </w:pPr>
            <w:r w:rsidRPr="00E16021">
              <w:rPr>
                <w:rFonts w:asciiTheme="majorHAnsi" w:hAnsiTheme="majorHAnsi" w:cstheme="majorHAnsi"/>
                <w:b/>
                <w:bCs/>
                <w:sz w:val="20"/>
                <w:szCs w:val="20"/>
              </w:rPr>
              <w:t>Arreglo de controversias</w:t>
            </w:r>
          </w:p>
        </w:tc>
        <w:tc>
          <w:tcPr>
            <w:tcW w:w="3686" w:type="dxa"/>
            <w:vAlign w:val="center"/>
          </w:tcPr>
          <w:p w14:paraId="6654C55C" w14:textId="77777777" w:rsidR="005103F9" w:rsidRPr="00E16021" w:rsidRDefault="005103F9" w:rsidP="006404EC">
            <w:pPr>
              <w:pStyle w:val="IFTnormal"/>
              <w:spacing w:after="0"/>
              <w:rPr>
                <w:rFonts w:asciiTheme="majorHAnsi" w:hAnsiTheme="majorHAnsi" w:cstheme="majorHAnsi"/>
                <w:color w:val="0070C0"/>
                <w:sz w:val="20"/>
                <w:szCs w:val="20"/>
              </w:rPr>
            </w:pPr>
            <w:r w:rsidRPr="00E16021">
              <w:rPr>
                <w:rFonts w:asciiTheme="majorHAnsi" w:hAnsiTheme="majorHAnsi" w:cstheme="majorHAnsi"/>
                <w:color w:val="0070C0"/>
                <w:sz w:val="20"/>
                <w:szCs w:val="20"/>
                <w:lang w:val="es-ES"/>
              </w:rPr>
              <w:t>VIGÉSIMA SEGUNDA.</w:t>
            </w:r>
            <w:r w:rsidRPr="00E16021">
              <w:rPr>
                <w:rFonts w:asciiTheme="majorHAnsi" w:hAnsiTheme="majorHAnsi" w:cstheme="majorHAnsi"/>
                <w:b/>
                <w:color w:val="0070C0"/>
                <w:sz w:val="20"/>
                <w:szCs w:val="20"/>
                <w:u w:val="single"/>
              </w:rPr>
              <w:t>ARREGLO AMISTOSO DE DIFERENCIAS</w:t>
            </w:r>
            <w:r w:rsidRPr="00E16021">
              <w:rPr>
                <w:rFonts w:asciiTheme="majorHAnsi" w:hAnsiTheme="majorHAnsi" w:cstheme="majorHAnsi"/>
                <w:b/>
                <w:color w:val="0070C0"/>
                <w:sz w:val="20"/>
                <w:szCs w:val="20"/>
              </w:rPr>
              <w:t>.</w:t>
            </w:r>
            <w:r w:rsidRPr="00E16021">
              <w:rPr>
                <w:rFonts w:asciiTheme="majorHAnsi" w:hAnsiTheme="majorHAnsi" w:cstheme="majorHAnsi"/>
                <w:color w:val="0070C0"/>
                <w:sz w:val="20"/>
                <w:szCs w:val="20"/>
              </w:rPr>
              <w:t xml:space="preserve"> </w:t>
            </w:r>
          </w:p>
          <w:p w14:paraId="5D243B4D" w14:textId="77777777" w:rsidR="005103F9" w:rsidRPr="00E16021" w:rsidRDefault="005103F9" w:rsidP="006404EC">
            <w:pPr>
              <w:pStyle w:val="IFTnormal"/>
              <w:spacing w:after="0"/>
              <w:rPr>
                <w:rFonts w:asciiTheme="majorHAnsi" w:hAnsiTheme="majorHAnsi" w:cstheme="majorHAnsi"/>
                <w:color w:val="0070C0"/>
                <w:sz w:val="20"/>
                <w:szCs w:val="20"/>
              </w:rPr>
            </w:pPr>
            <w:r w:rsidRPr="00E16021">
              <w:rPr>
                <w:rFonts w:asciiTheme="majorHAnsi" w:hAnsiTheme="majorHAnsi" w:cstheme="majorHAnsi"/>
                <w:color w:val="0070C0"/>
                <w:sz w:val="20"/>
                <w:szCs w:val="20"/>
              </w:rPr>
              <w:t>Las Partes expresan su firme convicción que, de toda buena fe, en caso de presentarse diferencias o disputas por virtud de la interpretación y cumplimiento del presente Convenio o de sus Anexos, y para cualquier aspecto técnico y administrativo, de determinación de costos, contraprestaciones y otros que requieran capacidad técnica específica, tratarán razonablemente de resolverlas entre ellos en forma amistosa en un plazo de al menos 30 (treinta) días antes de iniciar otro tipo de procedimiento, y al efecto, seguirán un proceso de consulta mutua a efecto de evitar controversias, incluyendo, si las Partes lo consideran necesario, consultas a expertos o autoridades sin que esto implique renuncia a los derechos que tengan, lo anterior con independencia de la posibilidad que tienen los concesionarios de solicitar la intervención del Instituto en caso de existir términos y condiciones no convenidas entre las partes.</w:t>
            </w:r>
          </w:p>
          <w:p w14:paraId="5203F3DB" w14:textId="77777777" w:rsidR="005103F9" w:rsidRPr="00E16021" w:rsidRDefault="005103F9" w:rsidP="006404EC">
            <w:pPr>
              <w:rPr>
                <w:rFonts w:asciiTheme="majorHAnsi" w:hAnsiTheme="majorHAnsi" w:cstheme="majorHAnsi"/>
                <w:color w:val="0070C0"/>
                <w:sz w:val="20"/>
                <w:szCs w:val="20"/>
              </w:rPr>
            </w:pPr>
            <w:r w:rsidRPr="00E16021">
              <w:rPr>
                <w:rFonts w:asciiTheme="majorHAnsi" w:hAnsiTheme="majorHAnsi" w:cstheme="majorHAnsi"/>
                <w:color w:val="0070C0"/>
                <w:sz w:val="20"/>
                <w:szCs w:val="20"/>
              </w:rPr>
              <w:t>Se considerará que los intentos para lograr una solución amistosa de común acuerdo han fracasado, cuando una de las Partes notifique por escrito a la otra que las negociaciones no han sido satisfactorias en cualquier estado del procedimiento, en cuyo caso, las Partes podrán ejercer sus derechos como proceda conforme a la ley.</w:t>
            </w:r>
          </w:p>
        </w:tc>
        <w:tc>
          <w:tcPr>
            <w:tcW w:w="5257" w:type="dxa"/>
          </w:tcPr>
          <w:p w14:paraId="7CAEEE33" w14:textId="77777777" w:rsidR="005103F9" w:rsidRPr="00E16021" w:rsidRDefault="005103F9" w:rsidP="006404EC">
            <w:pPr>
              <w:ind w:right="57"/>
              <w:jc w:val="both"/>
              <w:rPr>
                <w:rFonts w:asciiTheme="majorHAnsi" w:eastAsia="Times New Roman" w:hAnsiTheme="majorHAnsi" w:cstheme="majorHAnsi"/>
                <w:sz w:val="20"/>
                <w:szCs w:val="20"/>
                <w:lang w:eastAsia="es-ES"/>
              </w:rPr>
            </w:pPr>
            <w:r w:rsidRPr="00E16021">
              <w:rPr>
                <w:rFonts w:asciiTheme="majorHAnsi" w:eastAsia="Times New Roman" w:hAnsiTheme="majorHAnsi" w:cstheme="majorHAnsi"/>
                <w:sz w:val="20"/>
                <w:szCs w:val="20"/>
                <w:lang w:eastAsia="es-MX"/>
              </w:rPr>
              <w:t xml:space="preserve">Se </w:t>
            </w:r>
            <w:r w:rsidRPr="00AF4065">
              <w:rPr>
                <w:rFonts w:asciiTheme="majorHAnsi" w:eastAsia="Times New Roman" w:hAnsiTheme="majorHAnsi" w:cstheme="majorHAnsi"/>
                <w:bCs/>
                <w:sz w:val="20"/>
                <w:szCs w:val="20"/>
                <w:lang w:eastAsia="es-MX"/>
              </w:rPr>
              <w:t>adiciona la Cláusula “</w:t>
            </w:r>
            <w:r w:rsidRPr="00AF4065">
              <w:rPr>
                <w:rFonts w:asciiTheme="majorHAnsi" w:eastAsia="Times New Roman" w:hAnsiTheme="majorHAnsi" w:cstheme="majorHAnsi"/>
                <w:bCs/>
                <w:sz w:val="20"/>
                <w:szCs w:val="20"/>
                <w:u w:val="single"/>
                <w:lang w:eastAsia="es-MX"/>
              </w:rPr>
              <w:t>A</w:t>
            </w:r>
            <w:r w:rsidRPr="00AF4065">
              <w:rPr>
                <w:rFonts w:asciiTheme="majorHAnsi" w:eastAsia="Times New Roman" w:hAnsiTheme="majorHAnsi" w:cstheme="majorHAnsi"/>
                <w:bCs/>
                <w:sz w:val="20"/>
                <w:szCs w:val="20"/>
                <w:lang w:eastAsia="es-MX"/>
              </w:rPr>
              <w:t xml:space="preserve">RREGLO AMISTOSO DE DIFERENCIAS”. </w:t>
            </w:r>
            <w:r w:rsidRPr="00AF4065">
              <w:rPr>
                <w:rFonts w:asciiTheme="majorHAnsi" w:eastAsia="Times New Roman" w:hAnsiTheme="majorHAnsi" w:cstheme="majorHAnsi"/>
                <w:bCs/>
                <w:sz w:val="20"/>
                <w:szCs w:val="20"/>
                <w:lang w:eastAsia="es-ES"/>
              </w:rPr>
              <w:t>Ésta nace de una cláusula incorporada dentro del Convenio Marco</w:t>
            </w:r>
            <w:r w:rsidRPr="00E16021">
              <w:rPr>
                <w:rFonts w:asciiTheme="majorHAnsi" w:eastAsia="Times New Roman" w:hAnsiTheme="majorHAnsi" w:cstheme="majorHAnsi"/>
                <w:sz w:val="20"/>
                <w:szCs w:val="20"/>
                <w:lang w:eastAsia="es-ES"/>
              </w:rPr>
              <w:t xml:space="preserve"> de Interconexión; esta cláusula causa sentido al ya formar parte del Convenio Marco de Interconexión; por lo que, resultaría perjudicial que ofertas de referencia y sus debidos convenios que regulan la prestación de servicios no sean uniformes o no se encuentren homologados y cada una contenga cláusulas distintas cuando no sean exclusivamente por una distinción por el servicio.</w:t>
            </w:r>
          </w:p>
          <w:p w14:paraId="5DF50BF8" w14:textId="77777777" w:rsidR="005103F9" w:rsidRPr="00E16021" w:rsidRDefault="005103F9" w:rsidP="006404EC">
            <w:pPr>
              <w:ind w:right="57"/>
              <w:jc w:val="both"/>
              <w:rPr>
                <w:rFonts w:asciiTheme="majorHAnsi" w:eastAsia="Times New Roman" w:hAnsiTheme="majorHAnsi" w:cstheme="majorHAnsi"/>
                <w:sz w:val="20"/>
                <w:szCs w:val="20"/>
                <w:lang w:eastAsia="es-ES"/>
              </w:rPr>
            </w:pPr>
          </w:p>
          <w:p w14:paraId="1CE34315" w14:textId="7A551A3A" w:rsidR="005103F9" w:rsidRPr="00E16021" w:rsidRDefault="00145947" w:rsidP="00145947">
            <w:pPr>
              <w:jc w:val="both"/>
              <w:rPr>
                <w:rFonts w:asciiTheme="majorHAnsi" w:eastAsia="Calibri" w:hAnsiTheme="majorHAnsi" w:cstheme="majorHAnsi"/>
                <w:sz w:val="20"/>
                <w:szCs w:val="20"/>
              </w:rPr>
            </w:pPr>
            <w:r w:rsidRPr="00100689">
              <w:rPr>
                <w:rFonts w:asciiTheme="majorHAnsi" w:eastAsia="Times New Roman" w:hAnsiTheme="majorHAnsi" w:cstheme="majorHAnsi"/>
                <w:sz w:val="20"/>
                <w:szCs w:val="20"/>
                <w:lang w:eastAsia="es-ES"/>
              </w:rPr>
              <w:t>La finalidad de incluir</w:t>
            </w:r>
            <w:r w:rsidR="008B1D18" w:rsidRPr="00100689">
              <w:rPr>
                <w:rFonts w:asciiTheme="majorHAnsi" w:eastAsia="Times New Roman" w:hAnsiTheme="majorHAnsi" w:cstheme="majorHAnsi"/>
                <w:sz w:val="20"/>
                <w:szCs w:val="20"/>
                <w:lang w:eastAsia="es-ES"/>
              </w:rPr>
              <w:t xml:space="preserve"> dicha </w:t>
            </w:r>
            <w:r w:rsidR="00100689" w:rsidRPr="00100689">
              <w:rPr>
                <w:rFonts w:asciiTheme="majorHAnsi" w:eastAsia="Times New Roman" w:hAnsiTheme="majorHAnsi" w:cstheme="majorHAnsi"/>
                <w:sz w:val="20"/>
                <w:szCs w:val="20"/>
                <w:lang w:eastAsia="es-ES"/>
              </w:rPr>
              <w:t>cláusula</w:t>
            </w:r>
            <w:r w:rsidR="008B1D18" w:rsidRPr="00100689">
              <w:rPr>
                <w:rFonts w:asciiTheme="majorHAnsi" w:eastAsia="Times New Roman" w:hAnsiTheme="majorHAnsi" w:cstheme="majorHAnsi"/>
                <w:sz w:val="20"/>
                <w:szCs w:val="20"/>
                <w:lang w:eastAsia="es-ES"/>
              </w:rPr>
              <w:t xml:space="preserve"> es fomentar la comunicación entre las </w:t>
            </w:r>
            <w:r w:rsidRPr="00100689">
              <w:rPr>
                <w:rFonts w:asciiTheme="majorHAnsi" w:eastAsia="Times New Roman" w:hAnsiTheme="majorHAnsi" w:cstheme="majorHAnsi"/>
                <w:sz w:val="20"/>
                <w:szCs w:val="20"/>
                <w:lang w:eastAsia="es-ES"/>
              </w:rPr>
              <w:t>partes e implementar nuevos mecanismos</w:t>
            </w:r>
            <w:r w:rsidR="008B1D18" w:rsidRPr="00100689">
              <w:rPr>
                <w:rFonts w:asciiTheme="majorHAnsi" w:eastAsia="Times New Roman" w:hAnsiTheme="majorHAnsi" w:cstheme="majorHAnsi"/>
                <w:sz w:val="20"/>
                <w:szCs w:val="20"/>
                <w:lang w:eastAsia="es-ES"/>
              </w:rPr>
              <w:t xml:space="preserve"> para resolver controversias de manera amistosa, lo cual ayudaría a dirimir desacuerdos de manera ágil, reducirá el tiempo para la solución</w:t>
            </w:r>
            <w:r w:rsidRPr="00100689">
              <w:rPr>
                <w:rFonts w:asciiTheme="majorHAnsi" w:eastAsia="Times New Roman" w:hAnsiTheme="majorHAnsi" w:cstheme="majorHAnsi"/>
                <w:sz w:val="20"/>
                <w:szCs w:val="20"/>
                <w:lang w:eastAsia="es-ES"/>
              </w:rPr>
              <w:t xml:space="preserve"> de los problemas reales</w:t>
            </w:r>
            <w:r w:rsidR="008B1D18" w:rsidRPr="00100689">
              <w:rPr>
                <w:rFonts w:asciiTheme="majorHAnsi" w:eastAsia="Times New Roman" w:hAnsiTheme="majorHAnsi" w:cstheme="majorHAnsi"/>
                <w:sz w:val="20"/>
                <w:szCs w:val="20"/>
                <w:lang w:eastAsia="es-ES"/>
              </w:rPr>
              <w:t xml:space="preserve"> y servirá para brindar especial atención a las necesidades particulares de cada </w:t>
            </w:r>
            <w:r w:rsidR="00A8425A" w:rsidRPr="00100689">
              <w:rPr>
                <w:rFonts w:asciiTheme="majorHAnsi" w:eastAsia="Times New Roman" w:hAnsiTheme="majorHAnsi" w:cstheme="majorHAnsi"/>
                <w:sz w:val="20"/>
                <w:szCs w:val="20"/>
                <w:lang w:eastAsia="es-ES"/>
              </w:rPr>
              <w:t>Concesionario Solicitante o Autorizado Solicitante</w:t>
            </w:r>
            <w:r w:rsidRPr="00100689">
              <w:rPr>
                <w:rFonts w:asciiTheme="majorHAnsi" w:eastAsia="Times New Roman" w:hAnsiTheme="majorHAnsi" w:cstheme="majorHAnsi"/>
                <w:sz w:val="20"/>
                <w:szCs w:val="20"/>
                <w:lang w:eastAsia="es-ES"/>
              </w:rPr>
              <w:t>, sin menoscabo a</w:t>
            </w:r>
            <w:r w:rsidR="008B1D18" w:rsidRPr="00100689">
              <w:rPr>
                <w:rFonts w:asciiTheme="majorHAnsi" w:eastAsia="Times New Roman" w:hAnsiTheme="majorHAnsi" w:cstheme="majorHAnsi"/>
                <w:sz w:val="20"/>
                <w:szCs w:val="20"/>
                <w:lang w:eastAsia="es-ES"/>
              </w:rPr>
              <w:t xml:space="preserve"> su derecho a iniciar un procedimiento ante la autoridad.</w:t>
            </w:r>
          </w:p>
        </w:tc>
      </w:tr>
      <w:tr w:rsidR="007A2E49" w:rsidRPr="00E16021" w14:paraId="6C4C62DA" w14:textId="77777777" w:rsidTr="006404EC">
        <w:tblPrEx>
          <w:jc w:val="left"/>
        </w:tblPrEx>
        <w:trPr>
          <w:trHeight w:val="982"/>
        </w:trPr>
        <w:tc>
          <w:tcPr>
            <w:tcW w:w="2405" w:type="dxa"/>
            <w:vAlign w:val="center"/>
          </w:tcPr>
          <w:p w14:paraId="3F763BE4" w14:textId="77777777" w:rsidR="007A2E49" w:rsidRPr="00E16021" w:rsidRDefault="007A2E49" w:rsidP="007A2E49">
            <w:pPr>
              <w:jc w:val="center"/>
              <w:rPr>
                <w:rFonts w:asciiTheme="majorHAnsi" w:hAnsiTheme="majorHAnsi" w:cstheme="majorHAnsi"/>
                <w:sz w:val="20"/>
                <w:szCs w:val="20"/>
              </w:rPr>
            </w:pPr>
            <w:r w:rsidRPr="00E16021">
              <w:rPr>
                <w:rFonts w:asciiTheme="majorHAnsi" w:hAnsiTheme="majorHAnsi" w:cstheme="majorHAnsi"/>
                <w:sz w:val="20"/>
                <w:szCs w:val="20"/>
              </w:rPr>
              <w:t>Convenio</w:t>
            </w:r>
          </w:p>
        </w:tc>
        <w:tc>
          <w:tcPr>
            <w:tcW w:w="1276" w:type="dxa"/>
            <w:vAlign w:val="center"/>
          </w:tcPr>
          <w:p w14:paraId="35E48234" w14:textId="77777777" w:rsidR="007A2E49" w:rsidRPr="00E16021" w:rsidRDefault="004705DB" w:rsidP="00E16021">
            <w:pPr>
              <w:pStyle w:val="1TitPrin"/>
              <w:rPr>
                <w:rFonts w:asciiTheme="majorHAnsi" w:hAnsiTheme="majorHAnsi" w:cstheme="majorHAnsi"/>
              </w:rPr>
            </w:pPr>
            <w:r w:rsidRPr="00E16021">
              <w:rPr>
                <w:rFonts w:asciiTheme="majorHAnsi" w:hAnsiTheme="majorHAnsi" w:cstheme="majorHAnsi"/>
              </w:rPr>
              <w:t>TERCERA</w:t>
            </w:r>
          </w:p>
        </w:tc>
        <w:tc>
          <w:tcPr>
            <w:tcW w:w="1559" w:type="dxa"/>
            <w:vAlign w:val="center"/>
          </w:tcPr>
          <w:p w14:paraId="1A63DFB5" w14:textId="77777777" w:rsidR="007A2E49" w:rsidRPr="00E16021" w:rsidRDefault="005103F9" w:rsidP="007A2E49">
            <w:pPr>
              <w:jc w:val="both"/>
              <w:rPr>
                <w:rFonts w:asciiTheme="majorHAnsi" w:hAnsiTheme="majorHAnsi" w:cstheme="majorHAnsi"/>
                <w:b/>
                <w:bCs/>
                <w:sz w:val="20"/>
                <w:szCs w:val="20"/>
              </w:rPr>
            </w:pPr>
            <w:r w:rsidRPr="00E16021">
              <w:rPr>
                <w:rFonts w:asciiTheme="majorHAnsi" w:hAnsiTheme="majorHAnsi" w:cstheme="majorHAnsi"/>
                <w:b/>
                <w:bCs/>
                <w:sz w:val="20"/>
                <w:szCs w:val="20"/>
              </w:rPr>
              <w:t>Objeciones de facturas</w:t>
            </w:r>
          </w:p>
        </w:tc>
        <w:tc>
          <w:tcPr>
            <w:tcW w:w="3686" w:type="dxa"/>
            <w:vAlign w:val="center"/>
          </w:tcPr>
          <w:p w14:paraId="0489DBEE" w14:textId="77777777" w:rsidR="005103F9" w:rsidRPr="00E16021" w:rsidRDefault="005103F9" w:rsidP="005103F9">
            <w:pPr>
              <w:pStyle w:val="IFTnormal"/>
              <w:spacing w:after="0"/>
              <w:rPr>
                <w:rFonts w:asciiTheme="majorHAnsi" w:eastAsiaTheme="minorHAnsi" w:hAnsiTheme="majorHAnsi" w:cstheme="majorHAnsi"/>
                <w:sz w:val="20"/>
                <w:szCs w:val="20"/>
              </w:rPr>
            </w:pPr>
            <w:r w:rsidRPr="00E16021">
              <w:rPr>
                <w:rFonts w:asciiTheme="majorHAnsi" w:eastAsiaTheme="minorHAnsi" w:hAnsiTheme="majorHAnsi" w:cstheme="majorHAnsi"/>
                <w:sz w:val="20"/>
                <w:szCs w:val="20"/>
              </w:rPr>
              <w:t xml:space="preserve">3.2 </w:t>
            </w:r>
            <w:r w:rsidRPr="00E16021">
              <w:rPr>
                <w:rFonts w:asciiTheme="majorHAnsi" w:eastAsiaTheme="minorHAnsi" w:hAnsiTheme="majorHAnsi" w:cstheme="majorHAnsi"/>
                <w:sz w:val="20"/>
                <w:szCs w:val="20"/>
              </w:rPr>
              <w:tab/>
              <w:t xml:space="preserve">En el caso de que el [CONCESIONARIO O AUTORIZADO SOLICITANTE] no esté de acuerdo con su factura, deberá dirigir su inconformidad a DIVISIÓN MAYORISTA TELMEX/TELNOR </w:t>
            </w:r>
            <w:r w:rsidRPr="00E16021">
              <w:rPr>
                <w:rFonts w:asciiTheme="majorHAnsi" w:eastAsiaTheme="minorHAnsi" w:hAnsiTheme="majorHAnsi" w:cstheme="majorHAnsi"/>
                <w:color w:val="0070C0"/>
                <w:sz w:val="20"/>
                <w:szCs w:val="20"/>
              </w:rPr>
              <w:t>a través del Sistema Electrónico de Gestión y/o por correo electrónico provisto por TELMEX/TELNOR</w:t>
            </w:r>
            <w:r w:rsidRPr="00E16021">
              <w:rPr>
                <w:rFonts w:asciiTheme="majorHAnsi" w:eastAsiaTheme="minorHAnsi" w:hAnsiTheme="majorHAnsi" w:cstheme="majorHAnsi"/>
                <w:sz w:val="20"/>
                <w:szCs w:val="20"/>
              </w:rPr>
              <w:t xml:space="preserve"> con base en lo siguiente: </w:t>
            </w:r>
          </w:p>
          <w:p w14:paraId="37C6DD47" w14:textId="77777777" w:rsidR="005103F9" w:rsidRPr="00E16021" w:rsidRDefault="005103F9" w:rsidP="005103F9">
            <w:pPr>
              <w:pStyle w:val="IFTnormal"/>
              <w:spacing w:after="0"/>
              <w:rPr>
                <w:rFonts w:asciiTheme="majorHAnsi" w:eastAsiaTheme="minorHAnsi" w:hAnsiTheme="majorHAnsi" w:cstheme="majorHAnsi"/>
                <w:sz w:val="20"/>
                <w:szCs w:val="20"/>
              </w:rPr>
            </w:pPr>
            <w:r w:rsidRPr="00E16021">
              <w:rPr>
                <w:rFonts w:asciiTheme="majorHAnsi" w:eastAsiaTheme="minorHAnsi" w:hAnsiTheme="majorHAnsi" w:cstheme="majorHAnsi"/>
                <w:sz w:val="20"/>
                <w:szCs w:val="20"/>
              </w:rPr>
              <w:t xml:space="preserve"> </w:t>
            </w:r>
          </w:p>
          <w:p w14:paraId="6323BFE3" w14:textId="77777777" w:rsidR="007A2E49" w:rsidRPr="00E16021" w:rsidRDefault="005103F9" w:rsidP="005103F9">
            <w:pPr>
              <w:pStyle w:val="IFTnormal"/>
              <w:spacing w:after="0"/>
              <w:rPr>
                <w:rFonts w:asciiTheme="majorHAnsi" w:eastAsiaTheme="minorHAnsi" w:hAnsiTheme="majorHAnsi" w:cstheme="majorHAnsi"/>
                <w:color w:val="0070C0"/>
                <w:sz w:val="20"/>
                <w:szCs w:val="20"/>
              </w:rPr>
            </w:pPr>
            <w:r w:rsidRPr="00E16021">
              <w:rPr>
                <w:rFonts w:asciiTheme="majorHAnsi" w:eastAsiaTheme="minorHAnsi" w:hAnsiTheme="majorHAnsi" w:cstheme="majorHAnsi"/>
                <w:sz w:val="20"/>
                <w:szCs w:val="20"/>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 (ii) hacerse valer dentro de los 30 (treinta) días naturales siguientes a la fecha de recepción de la factura original de que se trate, y (iii) acompañarse necesariamente de: (a) el rechazo formal, por escrito, en que el [CONCESIONARIO O AUTORIZADO SOLICITANTE] manifieste las razones de su inconformidad y (b) </w:t>
            </w:r>
            <w:r w:rsidR="00E16021" w:rsidRPr="00E16021">
              <w:rPr>
                <w:rFonts w:asciiTheme="majorHAnsi" w:eastAsiaTheme="minorHAnsi" w:hAnsiTheme="majorHAnsi" w:cstheme="majorHAnsi"/>
                <w:strike/>
                <w:color w:val="0070C0"/>
                <w:sz w:val="20"/>
                <w:szCs w:val="20"/>
              </w:rPr>
              <w:t>a elección del [CONCESIONARIO O AUTORIZADO SOLICITANTE]</w:t>
            </w:r>
            <w:r w:rsidRPr="00E16021">
              <w:rPr>
                <w:rFonts w:asciiTheme="majorHAnsi" w:eastAsiaTheme="minorHAnsi" w:hAnsiTheme="majorHAnsi" w:cstheme="majorHAnsi"/>
                <w:color w:val="0070C0"/>
                <w:sz w:val="20"/>
                <w:szCs w:val="20"/>
              </w:rPr>
              <w:t>el pago total de los servicios o cargos no objetados, adjuntando a dicho pago un documento que contenga una relación desglosada de los importes correspondientes a cada uno de los servicios cuyas correlativas contraprestaciones hubiesen sido pagadas. A falta de relación, la parte acreedora aplicará el pago recibido a las contraprestaciones no objetadas.</w:t>
            </w:r>
            <w:r w:rsidR="00E16021" w:rsidRPr="00E16021">
              <w:rPr>
                <w:rFonts w:asciiTheme="majorHAnsi" w:eastAsiaTheme="minorHAnsi" w:hAnsiTheme="majorHAnsi" w:cstheme="majorHAnsi"/>
                <w:strike/>
                <w:color w:val="0070C0"/>
                <w:sz w:val="20"/>
                <w:szCs w:val="20"/>
              </w:rPr>
              <w:t xml:space="preserve"> el pago total de los servicios o, el pago por los cargos reconocidos. Como alternativa, la parte que objete la factura o receptora del servicio podrá pagar, bajo protesta, la totalidad o una porción de la factura, y ésta se considerará como Factura Objetada, por esa porción o la totalidad, en su caso</w:t>
            </w:r>
            <w:r w:rsidRPr="00E16021">
              <w:rPr>
                <w:rFonts w:asciiTheme="majorHAnsi" w:eastAsiaTheme="minorHAnsi" w:hAnsiTheme="majorHAnsi" w:cstheme="majorHAnsi"/>
                <w:sz w:val="20"/>
                <w:szCs w:val="20"/>
              </w:rPr>
              <w:t xml:space="preserve"> Lo anterior no implica una renuncia a los derechos de la parte objetante respecto de aquellas tarifas que sean determinadas administrativamente por la autoridad competente.</w:t>
            </w:r>
          </w:p>
        </w:tc>
        <w:tc>
          <w:tcPr>
            <w:tcW w:w="5257" w:type="dxa"/>
          </w:tcPr>
          <w:p w14:paraId="6D855229" w14:textId="2DCE7D43" w:rsidR="00E16021" w:rsidRPr="00E16021" w:rsidRDefault="00E16021" w:rsidP="00E16021">
            <w:pPr>
              <w:jc w:val="both"/>
              <w:rPr>
                <w:rFonts w:asciiTheme="majorHAnsi" w:eastAsia="Calibri" w:hAnsiTheme="majorHAnsi" w:cstheme="majorHAnsi"/>
                <w:sz w:val="20"/>
                <w:szCs w:val="20"/>
              </w:rPr>
            </w:pPr>
            <w:r w:rsidRPr="00E16021">
              <w:rPr>
                <w:rFonts w:asciiTheme="majorHAnsi" w:eastAsia="Calibri" w:hAnsiTheme="majorHAnsi" w:cstheme="majorHAnsi"/>
                <w:sz w:val="20"/>
                <w:szCs w:val="20"/>
              </w:rPr>
              <w:t xml:space="preserve">Se homologa conforme a lo establecido en el </w:t>
            </w:r>
            <w:r w:rsidR="00BD14AD">
              <w:rPr>
                <w:rFonts w:asciiTheme="majorHAnsi" w:eastAsia="Calibri" w:hAnsiTheme="majorHAnsi" w:cstheme="majorHAnsi"/>
                <w:sz w:val="20"/>
                <w:szCs w:val="20"/>
              </w:rPr>
              <w:t>Convenio Marco de Interconexión (</w:t>
            </w:r>
            <w:r w:rsidRPr="00E16021">
              <w:rPr>
                <w:rFonts w:asciiTheme="majorHAnsi" w:eastAsia="Calibri" w:hAnsiTheme="majorHAnsi" w:cstheme="majorHAnsi"/>
                <w:sz w:val="20"/>
                <w:szCs w:val="20"/>
              </w:rPr>
              <w:t>CMI</w:t>
            </w:r>
            <w:r w:rsidR="00BD14AD">
              <w:rPr>
                <w:rFonts w:asciiTheme="majorHAnsi" w:eastAsia="Calibri" w:hAnsiTheme="majorHAnsi" w:cstheme="majorHAnsi"/>
                <w:sz w:val="20"/>
                <w:szCs w:val="20"/>
              </w:rPr>
              <w:t>)</w:t>
            </w:r>
            <w:r w:rsidRPr="00E16021">
              <w:rPr>
                <w:rFonts w:asciiTheme="majorHAnsi" w:eastAsia="Calibri" w:hAnsiTheme="majorHAnsi" w:cstheme="majorHAnsi"/>
                <w:sz w:val="20"/>
                <w:szCs w:val="20"/>
              </w:rPr>
              <w:t>.</w:t>
            </w:r>
          </w:p>
          <w:p w14:paraId="2EADE1E9" w14:textId="77777777" w:rsidR="00E16021" w:rsidRPr="00E16021" w:rsidRDefault="00E16021" w:rsidP="00E16021">
            <w:pPr>
              <w:jc w:val="both"/>
              <w:rPr>
                <w:rFonts w:asciiTheme="majorHAnsi" w:eastAsia="Calibri" w:hAnsiTheme="majorHAnsi" w:cstheme="majorHAnsi"/>
                <w:sz w:val="20"/>
                <w:szCs w:val="20"/>
              </w:rPr>
            </w:pPr>
            <w:r w:rsidRPr="00E16021">
              <w:rPr>
                <w:rFonts w:asciiTheme="majorHAnsi" w:eastAsia="Calibri" w:hAnsiTheme="majorHAnsi" w:cstheme="majorHAnsi"/>
                <w:sz w:val="20"/>
                <w:szCs w:val="20"/>
              </w:rPr>
              <w:t>Es importante para Telmex brindar las mismas condiciones en todos sus servicios, por lo que la preocupación es que operativamente las ofertas establecen criterios distintos.</w:t>
            </w:r>
          </w:p>
          <w:p w14:paraId="5FC07A97" w14:textId="77777777" w:rsidR="00E16021" w:rsidRPr="00E16021" w:rsidRDefault="00E16021" w:rsidP="00E16021">
            <w:pPr>
              <w:jc w:val="both"/>
              <w:rPr>
                <w:rFonts w:asciiTheme="majorHAnsi" w:eastAsia="Calibri" w:hAnsiTheme="majorHAnsi" w:cstheme="majorHAnsi"/>
                <w:sz w:val="20"/>
                <w:szCs w:val="20"/>
              </w:rPr>
            </w:pPr>
          </w:p>
          <w:p w14:paraId="762BCF9D" w14:textId="77777777" w:rsidR="00E16021" w:rsidRPr="00E16021" w:rsidRDefault="00E16021" w:rsidP="00E16021">
            <w:pPr>
              <w:jc w:val="both"/>
              <w:rPr>
                <w:rFonts w:asciiTheme="majorHAnsi" w:eastAsia="Calibri" w:hAnsiTheme="majorHAnsi" w:cstheme="majorHAnsi"/>
                <w:sz w:val="20"/>
                <w:szCs w:val="20"/>
              </w:rPr>
            </w:pPr>
            <w:r w:rsidRPr="00E16021">
              <w:rPr>
                <w:rFonts w:asciiTheme="majorHAnsi" w:eastAsia="Calibri" w:hAnsiTheme="majorHAnsi" w:cstheme="majorHAnsi"/>
                <w:sz w:val="20"/>
                <w:szCs w:val="20"/>
              </w:rPr>
              <w:t xml:space="preserve">La finalidad es que los criterios operativos se homologuen en todas las ofertas a efecto de brindar certeza a todo el sector de telecomunicaciones en la prestación de los servicios </w:t>
            </w:r>
          </w:p>
          <w:p w14:paraId="09C8B54C" w14:textId="77777777" w:rsidR="00E16021" w:rsidRPr="00E16021" w:rsidRDefault="00E16021" w:rsidP="00E16021">
            <w:pPr>
              <w:jc w:val="both"/>
              <w:rPr>
                <w:rFonts w:asciiTheme="majorHAnsi" w:eastAsia="Calibri" w:hAnsiTheme="majorHAnsi" w:cstheme="majorHAnsi"/>
                <w:sz w:val="20"/>
                <w:szCs w:val="20"/>
              </w:rPr>
            </w:pPr>
          </w:p>
          <w:p w14:paraId="73DFD071" w14:textId="77777777" w:rsidR="007A2E49" w:rsidRPr="00E16021" w:rsidRDefault="00E16021" w:rsidP="00E16021">
            <w:pPr>
              <w:jc w:val="both"/>
              <w:rPr>
                <w:rFonts w:asciiTheme="majorHAnsi" w:eastAsia="Calibri" w:hAnsiTheme="majorHAnsi" w:cstheme="majorHAnsi"/>
                <w:sz w:val="20"/>
                <w:szCs w:val="20"/>
              </w:rPr>
            </w:pPr>
            <w:r w:rsidRPr="00E16021">
              <w:rPr>
                <w:rFonts w:asciiTheme="majorHAnsi" w:eastAsia="Calibri" w:hAnsiTheme="majorHAnsi" w:cstheme="majorHAnsi"/>
                <w:sz w:val="20"/>
                <w:szCs w:val="20"/>
              </w:rPr>
              <w:t>Por lo que esta modificación nace de una cláusula incorporada dentro del Convenio Marco de Interconexión; por lo que, resultaría perjudicial que ofertas de referencia y sus debidos convenios que regulan la prestación de servicios no sean uniformes o no se encuentren homologados y cada una contenga cláusulas distintas cuando no sean exclusivamente por una distinción del servicio.</w:t>
            </w:r>
          </w:p>
        </w:tc>
      </w:tr>
    </w:tbl>
    <w:p w14:paraId="32091963" w14:textId="77777777" w:rsidR="00FF5668" w:rsidRPr="00B80C4F" w:rsidRDefault="00FF5668">
      <w:pPr>
        <w:rPr>
          <w:sz w:val="20"/>
          <w:szCs w:val="20"/>
        </w:rPr>
      </w:pPr>
    </w:p>
    <w:sectPr w:rsidR="00FF5668" w:rsidRPr="00B80C4F" w:rsidSect="00910A99">
      <w:headerReference w:type="default" r:id="rId18"/>
      <w:pgSz w:w="15840" w:h="12240" w:orient="landscape" w:code="1"/>
      <w:pgMar w:top="567" w:right="851" w:bottom="567"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0886E" w14:textId="77777777" w:rsidR="00DF783E" w:rsidRDefault="00DF783E" w:rsidP="00E756FA">
      <w:pPr>
        <w:spacing w:after="0" w:line="240" w:lineRule="auto"/>
      </w:pPr>
      <w:r>
        <w:separator/>
      </w:r>
    </w:p>
  </w:endnote>
  <w:endnote w:type="continuationSeparator" w:id="0">
    <w:p w14:paraId="4C75EEBF" w14:textId="77777777" w:rsidR="00DF783E" w:rsidRDefault="00DF783E" w:rsidP="00E756FA">
      <w:pPr>
        <w:spacing w:after="0" w:line="240" w:lineRule="auto"/>
      </w:pPr>
      <w:r>
        <w:continuationSeparator/>
      </w:r>
    </w:p>
  </w:endnote>
  <w:endnote w:type="continuationNotice" w:id="1">
    <w:p w14:paraId="4E58BF7F" w14:textId="77777777" w:rsidR="00DF783E" w:rsidRDefault="00DF78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altName w:val="Calibri"/>
    <w:panose1 w:val="020B04020202030203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F5A45" w14:textId="77777777" w:rsidR="00DF783E" w:rsidRDefault="00DF783E" w:rsidP="00E756FA">
      <w:pPr>
        <w:spacing w:after="0" w:line="240" w:lineRule="auto"/>
      </w:pPr>
      <w:r>
        <w:separator/>
      </w:r>
    </w:p>
  </w:footnote>
  <w:footnote w:type="continuationSeparator" w:id="0">
    <w:p w14:paraId="60AB2305" w14:textId="77777777" w:rsidR="00DF783E" w:rsidRDefault="00DF783E" w:rsidP="00E756FA">
      <w:pPr>
        <w:spacing w:after="0" w:line="240" w:lineRule="auto"/>
      </w:pPr>
      <w:r>
        <w:continuationSeparator/>
      </w:r>
    </w:p>
  </w:footnote>
  <w:footnote w:type="continuationNotice" w:id="1">
    <w:p w14:paraId="516C3E68" w14:textId="77777777" w:rsidR="00DF783E" w:rsidRDefault="00DF78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0470407"/>
      <w:docPartObj>
        <w:docPartGallery w:val="Page Numbers (Top of Page)"/>
        <w:docPartUnique/>
      </w:docPartObj>
    </w:sdtPr>
    <w:sdtEndPr/>
    <w:sdtContent>
      <w:p w14:paraId="3F727D56" w14:textId="77777777" w:rsidR="006404EC" w:rsidRDefault="006404EC">
        <w:pPr>
          <w:pStyle w:val="Encabezado"/>
          <w:jc w:val="right"/>
        </w:pPr>
        <w:r>
          <w:fldChar w:fldCharType="begin"/>
        </w:r>
        <w:r>
          <w:instrText>PAGE   \* MERGEFORMAT</w:instrText>
        </w:r>
        <w:r>
          <w:fldChar w:fldCharType="separate"/>
        </w:r>
        <w:r w:rsidR="00DE00B8" w:rsidRPr="00DE00B8">
          <w:rPr>
            <w:noProof/>
            <w:lang w:val="es-ES"/>
          </w:rPr>
          <w:t>6</w:t>
        </w:r>
        <w:r>
          <w:fldChar w:fldCharType="end"/>
        </w:r>
      </w:p>
    </w:sdtContent>
  </w:sdt>
  <w:p w14:paraId="263F264F" w14:textId="77777777" w:rsidR="006404EC" w:rsidRDefault="006404E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6A2F"/>
    <w:multiLevelType w:val="hybridMultilevel"/>
    <w:tmpl w:val="5C323D52"/>
    <w:lvl w:ilvl="0" w:tplc="F0FA28B6">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125C148B"/>
    <w:multiLevelType w:val="hybridMultilevel"/>
    <w:tmpl w:val="A8180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9E34322"/>
    <w:multiLevelType w:val="hybridMultilevel"/>
    <w:tmpl w:val="6C7ADE2C"/>
    <w:lvl w:ilvl="0" w:tplc="080A000F">
      <w:start w:val="1"/>
      <w:numFmt w:val="decimal"/>
      <w:lvlText w:val="%1."/>
      <w:lvlJc w:val="left"/>
      <w:pPr>
        <w:ind w:left="720" w:hanging="360"/>
      </w:pPr>
      <w:rPr>
        <w:rFonts w:hint="default"/>
        <w:i/>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3471B6A"/>
    <w:multiLevelType w:val="hybridMultilevel"/>
    <w:tmpl w:val="E4484180"/>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2DF5519E"/>
    <w:multiLevelType w:val="hybridMultilevel"/>
    <w:tmpl w:val="D1EA9B28"/>
    <w:lvl w:ilvl="0" w:tplc="1EB6A20A">
      <w:start w:val="1"/>
      <w:numFmt w:val="decimal"/>
      <w:lvlText w:val="%1."/>
      <w:lvlJc w:val="left"/>
      <w:pPr>
        <w:ind w:left="720" w:hanging="360"/>
      </w:pPr>
      <w:rPr>
        <w:rFonts w:ascii="Calibri" w:hAnsi="Calibri" w:hint="default"/>
        <w:i/>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E06542B"/>
    <w:multiLevelType w:val="hybridMultilevel"/>
    <w:tmpl w:val="C4FEEDB2"/>
    <w:lvl w:ilvl="0" w:tplc="4DD6613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DFF307C"/>
    <w:multiLevelType w:val="hybridMultilevel"/>
    <w:tmpl w:val="0A769E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B2C0D57"/>
    <w:multiLevelType w:val="hybridMultilevel"/>
    <w:tmpl w:val="CD5CFE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E275944"/>
    <w:multiLevelType w:val="hybridMultilevel"/>
    <w:tmpl w:val="8BE67330"/>
    <w:lvl w:ilvl="0" w:tplc="4EAECB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7"/>
  </w:num>
  <w:num w:numId="6">
    <w:abstractNumId w:val="6"/>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E1B"/>
    <w:rsid w:val="000045D5"/>
    <w:rsid w:val="00005951"/>
    <w:rsid w:val="0001044C"/>
    <w:rsid w:val="000143B0"/>
    <w:rsid w:val="00014724"/>
    <w:rsid w:val="0001780C"/>
    <w:rsid w:val="0002002F"/>
    <w:rsid w:val="00021D0A"/>
    <w:rsid w:val="000266A0"/>
    <w:rsid w:val="00030F8D"/>
    <w:rsid w:val="00030FDA"/>
    <w:rsid w:val="00042295"/>
    <w:rsid w:val="000455BE"/>
    <w:rsid w:val="00046406"/>
    <w:rsid w:val="00055D68"/>
    <w:rsid w:val="00056897"/>
    <w:rsid w:val="000706E5"/>
    <w:rsid w:val="00073A10"/>
    <w:rsid w:val="000748D0"/>
    <w:rsid w:val="00075251"/>
    <w:rsid w:val="00075A66"/>
    <w:rsid w:val="0008205C"/>
    <w:rsid w:val="00082383"/>
    <w:rsid w:val="00083367"/>
    <w:rsid w:val="0009735F"/>
    <w:rsid w:val="000A5A67"/>
    <w:rsid w:val="000B3AE0"/>
    <w:rsid w:val="000C127D"/>
    <w:rsid w:val="000C1B6E"/>
    <w:rsid w:val="000C3007"/>
    <w:rsid w:val="000C33DA"/>
    <w:rsid w:val="000D103A"/>
    <w:rsid w:val="000D1C0C"/>
    <w:rsid w:val="000D3A16"/>
    <w:rsid w:val="000E02F8"/>
    <w:rsid w:val="000E0B3F"/>
    <w:rsid w:val="000E1383"/>
    <w:rsid w:val="000F504E"/>
    <w:rsid w:val="000F5FDD"/>
    <w:rsid w:val="000F793C"/>
    <w:rsid w:val="00100689"/>
    <w:rsid w:val="001049BF"/>
    <w:rsid w:val="001202C7"/>
    <w:rsid w:val="00122501"/>
    <w:rsid w:val="00125B03"/>
    <w:rsid w:val="00125E22"/>
    <w:rsid w:val="00127366"/>
    <w:rsid w:val="00132116"/>
    <w:rsid w:val="00132145"/>
    <w:rsid w:val="001403D2"/>
    <w:rsid w:val="00141DD2"/>
    <w:rsid w:val="00142393"/>
    <w:rsid w:val="00144C2D"/>
    <w:rsid w:val="00145947"/>
    <w:rsid w:val="00147636"/>
    <w:rsid w:val="0015077B"/>
    <w:rsid w:val="00157148"/>
    <w:rsid w:val="00157AED"/>
    <w:rsid w:val="001639C7"/>
    <w:rsid w:val="00175362"/>
    <w:rsid w:val="00181398"/>
    <w:rsid w:val="00182736"/>
    <w:rsid w:val="00184D48"/>
    <w:rsid w:val="001863F9"/>
    <w:rsid w:val="00186830"/>
    <w:rsid w:val="00186B8B"/>
    <w:rsid w:val="00190562"/>
    <w:rsid w:val="00190E2E"/>
    <w:rsid w:val="001A07D8"/>
    <w:rsid w:val="001A4B64"/>
    <w:rsid w:val="001A6271"/>
    <w:rsid w:val="001A6FF8"/>
    <w:rsid w:val="001A780D"/>
    <w:rsid w:val="001B0139"/>
    <w:rsid w:val="001B01FA"/>
    <w:rsid w:val="001B0541"/>
    <w:rsid w:val="001B6248"/>
    <w:rsid w:val="001D0FFC"/>
    <w:rsid w:val="001D1A08"/>
    <w:rsid w:val="001D310D"/>
    <w:rsid w:val="001D705C"/>
    <w:rsid w:val="001D7149"/>
    <w:rsid w:val="001E28DF"/>
    <w:rsid w:val="001E2EFE"/>
    <w:rsid w:val="001F1FB5"/>
    <w:rsid w:val="001F3589"/>
    <w:rsid w:val="001F6DC1"/>
    <w:rsid w:val="0021280C"/>
    <w:rsid w:val="00213B42"/>
    <w:rsid w:val="00215B4C"/>
    <w:rsid w:val="002204F7"/>
    <w:rsid w:val="00234587"/>
    <w:rsid w:val="002353C3"/>
    <w:rsid w:val="00235A17"/>
    <w:rsid w:val="00236F51"/>
    <w:rsid w:val="00240115"/>
    <w:rsid w:val="00245618"/>
    <w:rsid w:val="002461E4"/>
    <w:rsid w:val="00250F0A"/>
    <w:rsid w:val="00251EDA"/>
    <w:rsid w:val="00254539"/>
    <w:rsid w:val="00255C67"/>
    <w:rsid w:val="0025659C"/>
    <w:rsid w:val="00256F85"/>
    <w:rsid w:val="00257141"/>
    <w:rsid w:val="0026132E"/>
    <w:rsid w:val="0026285F"/>
    <w:rsid w:val="002643CD"/>
    <w:rsid w:val="00266A9C"/>
    <w:rsid w:val="00271357"/>
    <w:rsid w:val="0027382E"/>
    <w:rsid w:val="002749E9"/>
    <w:rsid w:val="0027733E"/>
    <w:rsid w:val="002840F9"/>
    <w:rsid w:val="00291497"/>
    <w:rsid w:val="00291C2E"/>
    <w:rsid w:val="0029717A"/>
    <w:rsid w:val="002A33EE"/>
    <w:rsid w:val="002A3E39"/>
    <w:rsid w:val="002A6E2F"/>
    <w:rsid w:val="002A7DB8"/>
    <w:rsid w:val="002B0EE6"/>
    <w:rsid w:val="002B5490"/>
    <w:rsid w:val="002B5CD4"/>
    <w:rsid w:val="002B66BB"/>
    <w:rsid w:val="002C0D0C"/>
    <w:rsid w:val="002C2D3F"/>
    <w:rsid w:val="002C457F"/>
    <w:rsid w:val="002C7E9D"/>
    <w:rsid w:val="002D5C3B"/>
    <w:rsid w:val="002D5DB2"/>
    <w:rsid w:val="002D6D78"/>
    <w:rsid w:val="002D7A89"/>
    <w:rsid w:val="002E675E"/>
    <w:rsid w:val="002F0A8B"/>
    <w:rsid w:val="002F1369"/>
    <w:rsid w:val="002F1BEF"/>
    <w:rsid w:val="002F3F4F"/>
    <w:rsid w:val="00300917"/>
    <w:rsid w:val="00302E09"/>
    <w:rsid w:val="003068ED"/>
    <w:rsid w:val="00310655"/>
    <w:rsid w:val="00314345"/>
    <w:rsid w:val="0031524E"/>
    <w:rsid w:val="00315831"/>
    <w:rsid w:val="003236DC"/>
    <w:rsid w:val="003238E7"/>
    <w:rsid w:val="00326954"/>
    <w:rsid w:val="00327536"/>
    <w:rsid w:val="00330911"/>
    <w:rsid w:val="003317E4"/>
    <w:rsid w:val="00333328"/>
    <w:rsid w:val="003335B5"/>
    <w:rsid w:val="00344FEF"/>
    <w:rsid w:val="00345A59"/>
    <w:rsid w:val="00361D9C"/>
    <w:rsid w:val="00371B4E"/>
    <w:rsid w:val="0037404E"/>
    <w:rsid w:val="0038349F"/>
    <w:rsid w:val="0038798E"/>
    <w:rsid w:val="00390BAD"/>
    <w:rsid w:val="00393826"/>
    <w:rsid w:val="00395BFA"/>
    <w:rsid w:val="003A14D0"/>
    <w:rsid w:val="003A2C81"/>
    <w:rsid w:val="003A6B57"/>
    <w:rsid w:val="003A6EC2"/>
    <w:rsid w:val="003B5486"/>
    <w:rsid w:val="003C234B"/>
    <w:rsid w:val="003C2F16"/>
    <w:rsid w:val="003C6313"/>
    <w:rsid w:val="003C6475"/>
    <w:rsid w:val="003C70D5"/>
    <w:rsid w:val="003D7C62"/>
    <w:rsid w:val="003E38B9"/>
    <w:rsid w:val="003E6392"/>
    <w:rsid w:val="003F3B8B"/>
    <w:rsid w:val="003F3DF5"/>
    <w:rsid w:val="003F6ECC"/>
    <w:rsid w:val="00401D65"/>
    <w:rsid w:val="00405899"/>
    <w:rsid w:val="00413645"/>
    <w:rsid w:val="004162D1"/>
    <w:rsid w:val="004205C8"/>
    <w:rsid w:val="004236F8"/>
    <w:rsid w:val="00424CAD"/>
    <w:rsid w:val="00435A6E"/>
    <w:rsid w:val="00441CD5"/>
    <w:rsid w:val="00445A02"/>
    <w:rsid w:val="00447A20"/>
    <w:rsid w:val="004520D9"/>
    <w:rsid w:val="004567BE"/>
    <w:rsid w:val="00467315"/>
    <w:rsid w:val="004705DB"/>
    <w:rsid w:val="00481567"/>
    <w:rsid w:val="00487C74"/>
    <w:rsid w:val="0049058D"/>
    <w:rsid w:val="004974E8"/>
    <w:rsid w:val="004A079C"/>
    <w:rsid w:val="004A314E"/>
    <w:rsid w:val="004A3771"/>
    <w:rsid w:val="004A3CA7"/>
    <w:rsid w:val="004A67E7"/>
    <w:rsid w:val="004B025A"/>
    <w:rsid w:val="004B2774"/>
    <w:rsid w:val="004B3436"/>
    <w:rsid w:val="004B392C"/>
    <w:rsid w:val="004B658C"/>
    <w:rsid w:val="004B68DE"/>
    <w:rsid w:val="004B77EF"/>
    <w:rsid w:val="004C32E8"/>
    <w:rsid w:val="004C3C08"/>
    <w:rsid w:val="004C5D07"/>
    <w:rsid w:val="004C69E8"/>
    <w:rsid w:val="004D0CC4"/>
    <w:rsid w:val="004D1B45"/>
    <w:rsid w:val="004D3C5D"/>
    <w:rsid w:val="004D3EF0"/>
    <w:rsid w:val="004E0830"/>
    <w:rsid w:val="004F2D66"/>
    <w:rsid w:val="004F4547"/>
    <w:rsid w:val="00506C31"/>
    <w:rsid w:val="00507915"/>
    <w:rsid w:val="005103F9"/>
    <w:rsid w:val="005118C5"/>
    <w:rsid w:val="00511B55"/>
    <w:rsid w:val="00512AF5"/>
    <w:rsid w:val="0052040D"/>
    <w:rsid w:val="00530C60"/>
    <w:rsid w:val="005346AA"/>
    <w:rsid w:val="00536ADF"/>
    <w:rsid w:val="00536F85"/>
    <w:rsid w:val="00537414"/>
    <w:rsid w:val="00544A24"/>
    <w:rsid w:val="0054531B"/>
    <w:rsid w:val="0054559C"/>
    <w:rsid w:val="005457E9"/>
    <w:rsid w:val="0055105E"/>
    <w:rsid w:val="00555AB1"/>
    <w:rsid w:val="00561C56"/>
    <w:rsid w:val="00567B9C"/>
    <w:rsid w:val="00570AD0"/>
    <w:rsid w:val="00575DD9"/>
    <w:rsid w:val="00575FDA"/>
    <w:rsid w:val="005768D6"/>
    <w:rsid w:val="00576974"/>
    <w:rsid w:val="005777B6"/>
    <w:rsid w:val="00587BE8"/>
    <w:rsid w:val="00593451"/>
    <w:rsid w:val="00595A20"/>
    <w:rsid w:val="00595A76"/>
    <w:rsid w:val="005A1528"/>
    <w:rsid w:val="005A3CD4"/>
    <w:rsid w:val="005A3DC6"/>
    <w:rsid w:val="005A777A"/>
    <w:rsid w:val="005B5705"/>
    <w:rsid w:val="005C0C73"/>
    <w:rsid w:val="005C7BA4"/>
    <w:rsid w:val="005D4681"/>
    <w:rsid w:val="005D62DF"/>
    <w:rsid w:val="005E017A"/>
    <w:rsid w:val="005E36CA"/>
    <w:rsid w:val="005E559F"/>
    <w:rsid w:val="005F1379"/>
    <w:rsid w:val="005F1695"/>
    <w:rsid w:val="005F23CA"/>
    <w:rsid w:val="005F3376"/>
    <w:rsid w:val="00601008"/>
    <w:rsid w:val="0060241A"/>
    <w:rsid w:val="00612C17"/>
    <w:rsid w:val="0061503D"/>
    <w:rsid w:val="00615BB0"/>
    <w:rsid w:val="00620410"/>
    <w:rsid w:val="00621A8C"/>
    <w:rsid w:val="006246C7"/>
    <w:rsid w:val="00630547"/>
    <w:rsid w:val="00630744"/>
    <w:rsid w:val="00636276"/>
    <w:rsid w:val="006404EC"/>
    <w:rsid w:val="006415F6"/>
    <w:rsid w:val="00644294"/>
    <w:rsid w:val="0064601A"/>
    <w:rsid w:val="006461D9"/>
    <w:rsid w:val="00646D7A"/>
    <w:rsid w:val="00650716"/>
    <w:rsid w:val="0065607D"/>
    <w:rsid w:val="00661479"/>
    <w:rsid w:val="00663604"/>
    <w:rsid w:val="00663950"/>
    <w:rsid w:val="006656A0"/>
    <w:rsid w:val="006657A3"/>
    <w:rsid w:val="0066627E"/>
    <w:rsid w:val="00666F2F"/>
    <w:rsid w:val="0067069E"/>
    <w:rsid w:val="00673C3B"/>
    <w:rsid w:val="00677963"/>
    <w:rsid w:val="0068236E"/>
    <w:rsid w:val="0068517E"/>
    <w:rsid w:val="0068539F"/>
    <w:rsid w:val="00687D49"/>
    <w:rsid w:val="006A33CA"/>
    <w:rsid w:val="006A34D0"/>
    <w:rsid w:val="006A3F56"/>
    <w:rsid w:val="006A4460"/>
    <w:rsid w:val="006A4EB0"/>
    <w:rsid w:val="006A5DAB"/>
    <w:rsid w:val="006A6A83"/>
    <w:rsid w:val="006B12A3"/>
    <w:rsid w:val="006B759A"/>
    <w:rsid w:val="006C2CF7"/>
    <w:rsid w:val="006C75C0"/>
    <w:rsid w:val="006D21A8"/>
    <w:rsid w:val="006D2ABB"/>
    <w:rsid w:val="006D78BA"/>
    <w:rsid w:val="006E1242"/>
    <w:rsid w:val="006E3019"/>
    <w:rsid w:val="006E3DA2"/>
    <w:rsid w:val="006E4C15"/>
    <w:rsid w:val="006E5B49"/>
    <w:rsid w:val="006E67F7"/>
    <w:rsid w:val="006F1014"/>
    <w:rsid w:val="006F4375"/>
    <w:rsid w:val="006F5248"/>
    <w:rsid w:val="00702ABF"/>
    <w:rsid w:val="007037E4"/>
    <w:rsid w:val="0070429B"/>
    <w:rsid w:val="00705266"/>
    <w:rsid w:val="00706466"/>
    <w:rsid w:val="007124C9"/>
    <w:rsid w:val="00714EDE"/>
    <w:rsid w:val="0071542E"/>
    <w:rsid w:val="00722070"/>
    <w:rsid w:val="0072722D"/>
    <w:rsid w:val="00730E88"/>
    <w:rsid w:val="0073137C"/>
    <w:rsid w:val="007325A7"/>
    <w:rsid w:val="00760F7C"/>
    <w:rsid w:val="00763D10"/>
    <w:rsid w:val="00765DF9"/>
    <w:rsid w:val="007722C5"/>
    <w:rsid w:val="007727E9"/>
    <w:rsid w:val="00780924"/>
    <w:rsid w:val="00781A50"/>
    <w:rsid w:val="00781D4E"/>
    <w:rsid w:val="007846CF"/>
    <w:rsid w:val="00786A34"/>
    <w:rsid w:val="0078730A"/>
    <w:rsid w:val="007902E9"/>
    <w:rsid w:val="0079342C"/>
    <w:rsid w:val="0079602B"/>
    <w:rsid w:val="007A00F1"/>
    <w:rsid w:val="007A09C7"/>
    <w:rsid w:val="007A0E9D"/>
    <w:rsid w:val="007A0F2D"/>
    <w:rsid w:val="007A2873"/>
    <w:rsid w:val="007A2E49"/>
    <w:rsid w:val="007A42C4"/>
    <w:rsid w:val="007A4AA7"/>
    <w:rsid w:val="007B328A"/>
    <w:rsid w:val="007B3AB2"/>
    <w:rsid w:val="007B3C84"/>
    <w:rsid w:val="007B5461"/>
    <w:rsid w:val="007C3875"/>
    <w:rsid w:val="007D430C"/>
    <w:rsid w:val="007E0E09"/>
    <w:rsid w:val="007E1B7C"/>
    <w:rsid w:val="007E1CA6"/>
    <w:rsid w:val="007E1FB0"/>
    <w:rsid w:val="007E7F6E"/>
    <w:rsid w:val="007F0FA4"/>
    <w:rsid w:val="007F3550"/>
    <w:rsid w:val="007F463A"/>
    <w:rsid w:val="007F64CA"/>
    <w:rsid w:val="00800D98"/>
    <w:rsid w:val="00803FC4"/>
    <w:rsid w:val="008074BC"/>
    <w:rsid w:val="00811E10"/>
    <w:rsid w:val="00812A5E"/>
    <w:rsid w:val="00812B1E"/>
    <w:rsid w:val="00823606"/>
    <w:rsid w:val="008252FB"/>
    <w:rsid w:val="00826D18"/>
    <w:rsid w:val="008315A0"/>
    <w:rsid w:val="00836E97"/>
    <w:rsid w:val="00837647"/>
    <w:rsid w:val="008428E2"/>
    <w:rsid w:val="00844E34"/>
    <w:rsid w:val="00855168"/>
    <w:rsid w:val="00855534"/>
    <w:rsid w:val="008622EF"/>
    <w:rsid w:val="008647B2"/>
    <w:rsid w:val="00867480"/>
    <w:rsid w:val="00867BF8"/>
    <w:rsid w:val="0087229B"/>
    <w:rsid w:val="008742B1"/>
    <w:rsid w:val="00874772"/>
    <w:rsid w:val="008748A1"/>
    <w:rsid w:val="00875ACC"/>
    <w:rsid w:val="00883A58"/>
    <w:rsid w:val="008851F2"/>
    <w:rsid w:val="0088533F"/>
    <w:rsid w:val="008867B2"/>
    <w:rsid w:val="00886CA7"/>
    <w:rsid w:val="008924FB"/>
    <w:rsid w:val="00893BFD"/>
    <w:rsid w:val="00895D4F"/>
    <w:rsid w:val="008965E1"/>
    <w:rsid w:val="00896818"/>
    <w:rsid w:val="008A0F0A"/>
    <w:rsid w:val="008A6468"/>
    <w:rsid w:val="008B0B20"/>
    <w:rsid w:val="008B1D18"/>
    <w:rsid w:val="008B37E0"/>
    <w:rsid w:val="008B5014"/>
    <w:rsid w:val="008B6563"/>
    <w:rsid w:val="008B7D95"/>
    <w:rsid w:val="008C5F9B"/>
    <w:rsid w:val="008D0AD9"/>
    <w:rsid w:val="008D2973"/>
    <w:rsid w:val="008E0029"/>
    <w:rsid w:val="008E2BDE"/>
    <w:rsid w:val="008E4DBA"/>
    <w:rsid w:val="008F0FFC"/>
    <w:rsid w:val="008F330D"/>
    <w:rsid w:val="008F6701"/>
    <w:rsid w:val="008F7722"/>
    <w:rsid w:val="00903532"/>
    <w:rsid w:val="0090695F"/>
    <w:rsid w:val="009079AC"/>
    <w:rsid w:val="00907F7C"/>
    <w:rsid w:val="00910A99"/>
    <w:rsid w:val="009114B0"/>
    <w:rsid w:val="00912453"/>
    <w:rsid w:val="00913502"/>
    <w:rsid w:val="00913D94"/>
    <w:rsid w:val="00921A76"/>
    <w:rsid w:val="00923924"/>
    <w:rsid w:val="00924788"/>
    <w:rsid w:val="00930EF5"/>
    <w:rsid w:val="00931C8E"/>
    <w:rsid w:val="00936129"/>
    <w:rsid w:val="0094547B"/>
    <w:rsid w:val="009568FD"/>
    <w:rsid w:val="009606CF"/>
    <w:rsid w:val="00961115"/>
    <w:rsid w:val="009621DF"/>
    <w:rsid w:val="009662FE"/>
    <w:rsid w:val="00971B00"/>
    <w:rsid w:val="009747B7"/>
    <w:rsid w:val="009757CD"/>
    <w:rsid w:val="0098228A"/>
    <w:rsid w:val="00987566"/>
    <w:rsid w:val="00990BE4"/>
    <w:rsid w:val="00992CF8"/>
    <w:rsid w:val="009A0A5D"/>
    <w:rsid w:val="009A2EDE"/>
    <w:rsid w:val="009A5233"/>
    <w:rsid w:val="009A5E65"/>
    <w:rsid w:val="009A73A9"/>
    <w:rsid w:val="009B629A"/>
    <w:rsid w:val="009C1C3E"/>
    <w:rsid w:val="009C4FA7"/>
    <w:rsid w:val="009C538C"/>
    <w:rsid w:val="009C5F2B"/>
    <w:rsid w:val="009C6E77"/>
    <w:rsid w:val="009D120F"/>
    <w:rsid w:val="009D5C55"/>
    <w:rsid w:val="009D7586"/>
    <w:rsid w:val="009E2276"/>
    <w:rsid w:val="009E337F"/>
    <w:rsid w:val="009E6E88"/>
    <w:rsid w:val="009F5723"/>
    <w:rsid w:val="009F6C30"/>
    <w:rsid w:val="009F7BD6"/>
    <w:rsid w:val="00A0189D"/>
    <w:rsid w:val="00A03E15"/>
    <w:rsid w:val="00A06ABB"/>
    <w:rsid w:val="00A06CAB"/>
    <w:rsid w:val="00A06D30"/>
    <w:rsid w:val="00A14AF4"/>
    <w:rsid w:val="00A153BD"/>
    <w:rsid w:val="00A15D8B"/>
    <w:rsid w:val="00A218B7"/>
    <w:rsid w:val="00A21A68"/>
    <w:rsid w:val="00A31364"/>
    <w:rsid w:val="00A334EC"/>
    <w:rsid w:val="00A337E7"/>
    <w:rsid w:val="00A3415C"/>
    <w:rsid w:val="00A3466C"/>
    <w:rsid w:val="00A44960"/>
    <w:rsid w:val="00A450AC"/>
    <w:rsid w:val="00A46345"/>
    <w:rsid w:val="00A50265"/>
    <w:rsid w:val="00A575CA"/>
    <w:rsid w:val="00A60CC4"/>
    <w:rsid w:val="00A6220B"/>
    <w:rsid w:val="00A648BF"/>
    <w:rsid w:val="00A65FF8"/>
    <w:rsid w:val="00A72A47"/>
    <w:rsid w:val="00A73B6D"/>
    <w:rsid w:val="00A812DE"/>
    <w:rsid w:val="00A8178C"/>
    <w:rsid w:val="00A8425A"/>
    <w:rsid w:val="00AA1721"/>
    <w:rsid w:val="00AA1E28"/>
    <w:rsid w:val="00AA5304"/>
    <w:rsid w:val="00AA5BD1"/>
    <w:rsid w:val="00AA632A"/>
    <w:rsid w:val="00AB5B3F"/>
    <w:rsid w:val="00AC0B06"/>
    <w:rsid w:val="00AC1D82"/>
    <w:rsid w:val="00AC3C0E"/>
    <w:rsid w:val="00AC7073"/>
    <w:rsid w:val="00AD03A0"/>
    <w:rsid w:val="00AD0C0F"/>
    <w:rsid w:val="00AD182A"/>
    <w:rsid w:val="00AD1A35"/>
    <w:rsid w:val="00AD2FCF"/>
    <w:rsid w:val="00AD51CF"/>
    <w:rsid w:val="00AD5804"/>
    <w:rsid w:val="00AD648E"/>
    <w:rsid w:val="00AD6E1B"/>
    <w:rsid w:val="00AD6F2F"/>
    <w:rsid w:val="00AE5CA4"/>
    <w:rsid w:val="00AF0DCF"/>
    <w:rsid w:val="00AF4065"/>
    <w:rsid w:val="00B036B8"/>
    <w:rsid w:val="00B05503"/>
    <w:rsid w:val="00B06CC6"/>
    <w:rsid w:val="00B1060B"/>
    <w:rsid w:val="00B1298E"/>
    <w:rsid w:val="00B13488"/>
    <w:rsid w:val="00B1441C"/>
    <w:rsid w:val="00B21C90"/>
    <w:rsid w:val="00B274BB"/>
    <w:rsid w:val="00B30FE3"/>
    <w:rsid w:val="00B33DC8"/>
    <w:rsid w:val="00B428FA"/>
    <w:rsid w:val="00B46972"/>
    <w:rsid w:val="00B52310"/>
    <w:rsid w:val="00B52F9D"/>
    <w:rsid w:val="00B54C9C"/>
    <w:rsid w:val="00B5646E"/>
    <w:rsid w:val="00B56FB1"/>
    <w:rsid w:val="00B57314"/>
    <w:rsid w:val="00B60368"/>
    <w:rsid w:val="00B622AC"/>
    <w:rsid w:val="00B62931"/>
    <w:rsid w:val="00B64E55"/>
    <w:rsid w:val="00B670E3"/>
    <w:rsid w:val="00B72439"/>
    <w:rsid w:val="00B729EB"/>
    <w:rsid w:val="00B76CCD"/>
    <w:rsid w:val="00B77629"/>
    <w:rsid w:val="00B80C4F"/>
    <w:rsid w:val="00B93CB1"/>
    <w:rsid w:val="00B95342"/>
    <w:rsid w:val="00B96530"/>
    <w:rsid w:val="00B96D2F"/>
    <w:rsid w:val="00B975B9"/>
    <w:rsid w:val="00B979C6"/>
    <w:rsid w:val="00BA58B0"/>
    <w:rsid w:val="00BB0937"/>
    <w:rsid w:val="00BB4847"/>
    <w:rsid w:val="00BB5C1E"/>
    <w:rsid w:val="00BC22B6"/>
    <w:rsid w:val="00BC76AE"/>
    <w:rsid w:val="00BD0743"/>
    <w:rsid w:val="00BD084A"/>
    <w:rsid w:val="00BD14AD"/>
    <w:rsid w:val="00BD20E9"/>
    <w:rsid w:val="00BD4BEA"/>
    <w:rsid w:val="00BE2CBA"/>
    <w:rsid w:val="00BE478E"/>
    <w:rsid w:val="00BE5BE6"/>
    <w:rsid w:val="00BE6F99"/>
    <w:rsid w:val="00BF14E1"/>
    <w:rsid w:val="00C03836"/>
    <w:rsid w:val="00C10C00"/>
    <w:rsid w:val="00C10F9B"/>
    <w:rsid w:val="00C13197"/>
    <w:rsid w:val="00C13A30"/>
    <w:rsid w:val="00C13F5A"/>
    <w:rsid w:val="00C143D4"/>
    <w:rsid w:val="00C143F7"/>
    <w:rsid w:val="00C23A37"/>
    <w:rsid w:val="00C25A91"/>
    <w:rsid w:val="00C26BC0"/>
    <w:rsid w:val="00C329EF"/>
    <w:rsid w:val="00C365DB"/>
    <w:rsid w:val="00C378CE"/>
    <w:rsid w:val="00C411ED"/>
    <w:rsid w:val="00C4218F"/>
    <w:rsid w:val="00C42E84"/>
    <w:rsid w:val="00C44A68"/>
    <w:rsid w:val="00C47AB6"/>
    <w:rsid w:val="00C504EE"/>
    <w:rsid w:val="00C51FBB"/>
    <w:rsid w:val="00C53326"/>
    <w:rsid w:val="00C60D0D"/>
    <w:rsid w:val="00C621B9"/>
    <w:rsid w:val="00C64333"/>
    <w:rsid w:val="00C647AD"/>
    <w:rsid w:val="00C66047"/>
    <w:rsid w:val="00C66F15"/>
    <w:rsid w:val="00C7732E"/>
    <w:rsid w:val="00C83153"/>
    <w:rsid w:val="00C83656"/>
    <w:rsid w:val="00C85F47"/>
    <w:rsid w:val="00C860A4"/>
    <w:rsid w:val="00C873DC"/>
    <w:rsid w:val="00C94141"/>
    <w:rsid w:val="00CA2068"/>
    <w:rsid w:val="00CA3818"/>
    <w:rsid w:val="00CA3962"/>
    <w:rsid w:val="00CB0B1F"/>
    <w:rsid w:val="00CB1506"/>
    <w:rsid w:val="00CB2AC5"/>
    <w:rsid w:val="00CB6708"/>
    <w:rsid w:val="00CB78E1"/>
    <w:rsid w:val="00CC122B"/>
    <w:rsid w:val="00CC2661"/>
    <w:rsid w:val="00CC6365"/>
    <w:rsid w:val="00CD0C0B"/>
    <w:rsid w:val="00CD119D"/>
    <w:rsid w:val="00CD4A86"/>
    <w:rsid w:val="00CD65C1"/>
    <w:rsid w:val="00CD6DC7"/>
    <w:rsid w:val="00CF1EF7"/>
    <w:rsid w:val="00CF3428"/>
    <w:rsid w:val="00CF3D88"/>
    <w:rsid w:val="00CF6878"/>
    <w:rsid w:val="00D01DE9"/>
    <w:rsid w:val="00D0258A"/>
    <w:rsid w:val="00D11705"/>
    <w:rsid w:val="00D11E0D"/>
    <w:rsid w:val="00D14B88"/>
    <w:rsid w:val="00D16982"/>
    <w:rsid w:val="00D249A8"/>
    <w:rsid w:val="00D24FAD"/>
    <w:rsid w:val="00D26535"/>
    <w:rsid w:val="00D41388"/>
    <w:rsid w:val="00D45A53"/>
    <w:rsid w:val="00D50E4D"/>
    <w:rsid w:val="00D53FC3"/>
    <w:rsid w:val="00D54CAD"/>
    <w:rsid w:val="00D55946"/>
    <w:rsid w:val="00D5674B"/>
    <w:rsid w:val="00D601A8"/>
    <w:rsid w:val="00D64504"/>
    <w:rsid w:val="00D6748C"/>
    <w:rsid w:val="00D67B68"/>
    <w:rsid w:val="00D67E9B"/>
    <w:rsid w:val="00D706E6"/>
    <w:rsid w:val="00D713A4"/>
    <w:rsid w:val="00D75CEF"/>
    <w:rsid w:val="00D7679A"/>
    <w:rsid w:val="00D81459"/>
    <w:rsid w:val="00D83603"/>
    <w:rsid w:val="00D83673"/>
    <w:rsid w:val="00D86787"/>
    <w:rsid w:val="00D867FB"/>
    <w:rsid w:val="00DA1E5E"/>
    <w:rsid w:val="00DA57F8"/>
    <w:rsid w:val="00DB25CC"/>
    <w:rsid w:val="00DB3954"/>
    <w:rsid w:val="00DC1E68"/>
    <w:rsid w:val="00DC1E91"/>
    <w:rsid w:val="00DC2A7F"/>
    <w:rsid w:val="00DC4FAB"/>
    <w:rsid w:val="00DD0516"/>
    <w:rsid w:val="00DD11E7"/>
    <w:rsid w:val="00DD3326"/>
    <w:rsid w:val="00DD37D3"/>
    <w:rsid w:val="00DD4F41"/>
    <w:rsid w:val="00DD5D7F"/>
    <w:rsid w:val="00DE00B8"/>
    <w:rsid w:val="00DF09C8"/>
    <w:rsid w:val="00DF125E"/>
    <w:rsid w:val="00DF2A2E"/>
    <w:rsid w:val="00DF2BCC"/>
    <w:rsid w:val="00DF4983"/>
    <w:rsid w:val="00DF5541"/>
    <w:rsid w:val="00DF6E58"/>
    <w:rsid w:val="00DF783E"/>
    <w:rsid w:val="00DF7D9A"/>
    <w:rsid w:val="00E02373"/>
    <w:rsid w:val="00E14CBA"/>
    <w:rsid w:val="00E16021"/>
    <w:rsid w:val="00E16529"/>
    <w:rsid w:val="00E21E1C"/>
    <w:rsid w:val="00E254A5"/>
    <w:rsid w:val="00E26D73"/>
    <w:rsid w:val="00E30D2F"/>
    <w:rsid w:val="00E31922"/>
    <w:rsid w:val="00E32C95"/>
    <w:rsid w:val="00E37E43"/>
    <w:rsid w:val="00E409A0"/>
    <w:rsid w:val="00E4214D"/>
    <w:rsid w:val="00E42B6F"/>
    <w:rsid w:val="00E43A57"/>
    <w:rsid w:val="00E45EE5"/>
    <w:rsid w:val="00E51593"/>
    <w:rsid w:val="00E524AB"/>
    <w:rsid w:val="00E545B0"/>
    <w:rsid w:val="00E5721F"/>
    <w:rsid w:val="00E671EE"/>
    <w:rsid w:val="00E70389"/>
    <w:rsid w:val="00E72AE7"/>
    <w:rsid w:val="00E756FA"/>
    <w:rsid w:val="00E82C29"/>
    <w:rsid w:val="00E926A6"/>
    <w:rsid w:val="00E943D0"/>
    <w:rsid w:val="00E94723"/>
    <w:rsid w:val="00E95EC5"/>
    <w:rsid w:val="00E96B69"/>
    <w:rsid w:val="00E96F7C"/>
    <w:rsid w:val="00EA3189"/>
    <w:rsid w:val="00EA54EC"/>
    <w:rsid w:val="00EB36DB"/>
    <w:rsid w:val="00EB6B6D"/>
    <w:rsid w:val="00EC1657"/>
    <w:rsid w:val="00EC4054"/>
    <w:rsid w:val="00ED03BE"/>
    <w:rsid w:val="00ED0933"/>
    <w:rsid w:val="00ED1A54"/>
    <w:rsid w:val="00ED64D2"/>
    <w:rsid w:val="00ED6F24"/>
    <w:rsid w:val="00EE0473"/>
    <w:rsid w:val="00EE1FBD"/>
    <w:rsid w:val="00EE459F"/>
    <w:rsid w:val="00EE50BA"/>
    <w:rsid w:val="00EE6630"/>
    <w:rsid w:val="00EF3661"/>
    <w:rsid w:val="00EF657D"/>
    <w:rsid w:val="00EF6DC4"/>
    <w:rsid w:val="00F0588D"/>
    <w:rsid w:val="00F078D6"/>
    <w:rsid w:val="00F13F51"/>
    <w:rsid w:val="00F15B49"/>
    <w:rsid w:val="00F166FA"/>
    <w:rsid w:val="00F210A6"/>
    <w:rsid w:val="00F215B0"/>
    <w:rsid w:val="00F3108D"/>
    <w:rsid w:val="00F3161F"/>
    <w:rsid w:val="00F33C79"/>
    <w:rsid w:val="00F33F78"/>
    <w:rsid w:val="00F34DC9"/>
    <w:rsid w:val="00F444A1"/>
    <w:rsid w:val="00F56081"/>
    <w:rsid w:val="00F66F34"/>
    <w:rsid w:val="00F731D4"/>
    <w:rsid w:val="00F804FE"/>
    <w:rsid w:val="00F82BE7"/>
    <w:rsid w:val="00F85E2E"/>
    <w:rsid w:val="00F903A4"/>
    <w:rsid w:val="00F928A3"/>
    <w:rsid w:val="00F97E3C"/>
    <w:rsid w:val="00F97E7F"/>
    <w:rsid w:val="00FA55D4"/>
    <w:rsid w:val="00FA7776"/>
    <w:rsid w:val="00FB00E3"/>
    <w:rsid w:val="00FB0FA8"/>
    <w:rsid w:val="00FB45B9"/>
    <w:rsid w:val="00FB540C"/>
    <w:rsid w:val="00FB637F"/>
    <w:rsid w:val="00FD335D"/>
    <w:rsid w:val="00FD4CB6"/>
    <w:rsid w:val="00FE2E83"/>
    <w:rsid w:val="00FE64CE"/>
    <w:rsid w:val="00FF2196"/>
    <w:rsid w:val="00FF4E39"/>
    <w:rsid w:val="00FF5668"/>
    <w:rsid w:val="00FF70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75EF4"/>
  <w15:chartTrackingRefBased/>
  <w15:docId w15:val="{2114F69B-C40E-4BF0-84D7-4D2588F04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7A2E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D6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7586"/>
    <w:pPr>
      <w:ind w:left="720"/>
      <w:contextualSpacing/>
    </w:pPr>
  </w:style>
  <w:style w:type="paragraph" w:styleId="Textoindependiente">
    <w:name w:val="Body Text"/>
    <w:basedOn w:val="Normal"/>
    <w:link w:val="TextoindependienteCar"/>
    <w:rsid w:val="00E254A5"/>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E254A5"/>
    <w:rPr>
      <w:rFonts w:ascii="Times New Roman" w:eastAsia="Times New Roman" w:hAnsi="Times New Roman" w:cs="Times New Roman"/>
      <w:sz w:val="24"/>
      <w:szCs w:val="24"/>
      <w:lang w:val="es-ES" w:eastAsia="es-ES"/>
    </w:rPr>
  </w:style>
  <w:style w:type="paragraph" w:customStyle="1" w:styleId="c2">
    <w:name w:val="c2"/>
    <w:basedOn w:val="Normal"/>
    <w:rsid w:val="007A42C4"/>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en-US" w:eastAsia="es-ES"/>
    </w:rPr>
  </w:style>
  <w:style w:type="paragraph" w:styleId="Textodeglobo">
    <w:name w:val="Balloon Text"/>
    <w:basedOn w:val="Normal"/>
    <w:link w:val="TextodegloboCar"/>
    <w:uiPriority w:val="99"/>
    <w:semiHidden/>
    <w:unhideWhenUsed/>
    <w:rsid w:val="0032753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27536"/>
    <w:rPr>
      <w:rFonts w:ascii="Segoe UI" w:hAnsi="Segoe UI" w:cs="Segoe UI"/>
      <w:sz w:val="18"/>
      <w:szCs w:val="18"/>
    </w:rPr>
  </w:style>
  <w:style w:type="character" w:styleId="Refdecomentario">
    <w:name w:val="annotation reference"/>
    <w:basedOn w:val="Fuentedeprrafopredeter"/>
    <w:uiPriority w:val="99"/>
    <w:semiHidden/>
    <w:unhideWhenUsed/>
    <w:rsid w:val="002A7DB8"/>
    <w:rPr>
      <w:sz w:val="16"/>
      <w:szCs w:val="16"/>
    </w:rPr>
  </w:style>
  <w:style w:type="paragraph" w:styleId="Textocomentario">
    <w:name w:val="annotation text"/>
    <w:basedOn w:val="Normal"/>
    <w:link w:val="TextocomentarioCar"/>
    <w:uiPriority w:val="99"/>
    <w:unhideWhenUsed/>
    <w:rsid w:val="002A7DB8"/>
    <w:pPr>
      <w:spacing w:line="240" w:lineRule="auto"/>
    </w:pPr>
    <w:rPr>
      <w:sz w:val="20"/>
      <w:szCs w:val="20"/>
    </w:rPr>
  </w:style>
  <w:style w:type="character" w:customStyle="1" w:styleId="TextocomentarioCar">
    <w:name w:val="Texto comentario Car"/>
    <w:basedOn w:val="Fuentedeprrafopredeter"/>
    <w:link w:val="Textocomentario"/>
    <w:uiPriority w:val="99"/>
    <w:rsid w:val="002A7DB8"/>
    <w:rPr>
      <w:sz w:val="20"/>
      <w:szCs w:val="20"/>
    </w:rPr>
  </w:style>
  <w:style w:type="paragraph" w:styleId="Asuntodelcomentario">
    <w:name w:val="annotation subject"/>
    <w:basedOn w:val="Textocomentario"/>
    <w:next w:val="Textocomentario"/>
    <w:link w:val="AsuntodelcomentarioCar"/>
    <w:uiPriority w:val="99"/>
    <w:semiHidden/>
    <w:unhideWhenUsed/>
    <w:rsid w:val="002A7DB8"/>
    <w:rPr>
      <w:b/>
      <w:bCs/>
    </w:rPr>
  </w:style>
  <w:style w:type="character" w:customStyle="1" w:styleId="AsuntodelcomentarioCar">
    <w:name w:val="Asunto del comentario Car"/>
    <w:basedOn w:val="TextocomentarioCar"/>
    <w:link w:val="Asuntodelcomentario"/>
    <w:uiPriority w:val="99"/>
    <w:semiHidden/>
    <w:rsid w:val="002A7DB8"/>
    <w:rPr>
      <w:b/>
      <w:bCs/>
      <w:sz w:val="20"/>
      <w:szCs w:val="20"/>
    </w:rPr>
  </w:style>
  <w:style w:type="paragraph" w:styleId="Revisin">
    <w:name w:val="Revision"/>
    <w:hidden/>
    <w:uiPriority w:val="99"/>
    <w:semiHidden/>
    <w:rsid w:val="00E43A57"/>
    <w:pPr>
      <w:spacing w:after="0" w:line="240" w:lineRule="auto"/>
    </w:pPr>
  </w:style>
  <w:style w:type="paragraph" w:customStyle="1" w:styleId="Texto">
    <w:name w:val="Texto"/>
    <w:basedOn w:val="Normal"/>
    <w:link w:val="TextoCar"/>
    <w:rsid w:val="00F928A3"/>
    <w:pPr>
      <w:spacing w:after="101" w:line="216" w:lineRule="exact"/>
      <w:ind w:firstLine="288"/>
      <w:jc w:val="both"/>
    </w:pPr>
    <w:rPr>
      <w:rFonts w:ascii="Arial" w:eastAsia="Times New Roman" w:hAnsi="Arial" w:cs="Times New Roman"/>
      <w:sz w:val="18"/>
      <w:szCs w:val="20"/>
      <w:lang w:val="es-ES" w:eastAsia="es-ES"/>
    </w:rPr>
  </w:style>
  <w:style w:type="character" w:customStyle="1" w:styleId="TextoCar">
    <w:name w:val="Texto Car"/>
    <w:link w:val="Texto"/>
    <w:locked/>
    <w:rsid w:val="00F928A3"/>
    <w:rPr>
      <w:rFonts w:ascii="Arial" w:eastAsia="Times New Roman" w:hAnsi="Arial" w:cs="Times New Roman"/>
      <w:sz w:val="18"/>
      <w:szCs w:val="20"/>
      <w:lang w:val="es-ES" w:eastAsia="es-ES"/>
    </w:rPr>
  </w:style>
  <w:style w:type="paragraph" w:styleId="Encabezado">
    <w:name w:val="header"/>
    <w:basedOn w:val="Normal"/>
    <w:link w:val="EncabezadoCar"/>
    <w:uiPriority w:val="99"/>
    <w:unhideWhenUsed/>
    <w:rsid w:val="00E756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56FA"/>
  </w:style>
  <w:style w:type="paragraph" w:styleId="Piedepgina">
    <w:name w:val="footer"/>
    <w:basedOn w:val="Normal"/>
    <w:link w:val="PiedepginaCar"/>
    <w:uiPriority w:val="99"/>
    <w:unhideWhenUsed/>
    <w:rsid w:val="00E756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56FA"/>
  </w:style>
  <w:style w:type="paragraph" w:styleId="Sinespaciado">
    <w:name w:val="No Spacing"/>
    <w:uiPriority w:val="1"/>
    <w:qFormat/>
    <w:rsid w:val="00677963"/>
    <w:pPr>
      <w:spacing w:after="0" w:line="240" w:lineRule="auto"/>
    </w:pPr>
  </w:style>
  <w:style w:type="character" w:styleId="Hipervnculo">
    <w:name w:val="Hyperlink"/>
    <w:basedOn w:val="Fuentedeprrafopredeter"/>
    <w:uiPriority w:val="99"/>
    <w:unhideWhenUsed/>
    <w:rsid w:val="00D713A4"/>
    <w:rPr>
      <w:color w:val="0563C1" w:themeColor="hyperlink"/>
      <w:u w:val="single"/>
    </w:rPr>
  </w:style>
  <w:style w:type="character" w:customStyle="1" w:styleId="Mencinsinresolver1">
    <w:name w:val="Mención sin resolver1"/>
    <w:basedOn w:val="Fuentedeprrafopredeter"/>
    <w:uiPriority w:val="99"/>
    <w:semiHidden/>
    <w:unhideWhenUsed/>
    <w:rsid w:val="00D713A4"/>
    <w:rPr>
      <w:color w:val="605E5C"/>
      <w:shd w:val="clear" w:color="auto" w:fill="E1DFDD"/>
    </w:rPr>
  </w:style>
  <w:style w:type="paragraph" w:customStyle="1" w:styleId="IFTnormal">
    <w:name w:val="IFT normal"/>
    <w:basedOn w:val="Normal"/>
    <w:link w:val="IFTnormalCar"/>
    <w:qFormat/>
    <w:rsid w:val="00C42E84"/>
    <w:pPr>
      <w:spacing w:after="200" w:line="276" w:lineRule="auto"/>
      <w:jc w:val="both"/>
    </w:pPr>
    <w:rPr>
      <w:rFonts w:ascii="ITC Avant Garde" w:eastAsia="Calibri" w:hAnsi="ITC Avant Garde" w:cs="Calibri"/>
      <w:bCs/>
    </w:rPr>
  </w:style>
  <w:style w:type="character" w:customStyle="1" w:styleId="IFTnormalCar">
    <w:name w:val="IFT normal Car"/>
    <w:link w:val="IFTnormal"/>
    <w:qFormat/>
    <w:rsid w:val="00C42E84"/>
    <w:rPr>
      <w:rFonts w:ascii="ITC Avant Garde" w:eastAsia="Calibri" w:hAnsi="ITC Avant Garde" w:cs="Calibri"/>
      <w:bCs/>
    </w:rPr>
  </w:style>
  <w:style w:type="character" w:customStyle="1" w:styleId="Mencinsinresolver2">
    <w:name w:val="Mención sin resolver2"/>
    <w:basedOn w:val="Fuentedeprrafopredeter"/>
    <w:uiPriority w:val="99"/>
    <w:semiHidden/>
    <w:unhideWhenUsed/>
    <w:rsid w:val="00C411ED"/>
    <w:rPr>
      <w:color w:val="605E5C"/>
      <w:shd w:val="clear" w:color="auto" w:fill="E1DFDD"/>
    </w:rPr>
  </w:style>
  <w:style w:type="paragraph" w:customStyle="1" w:styleId="1TitPrin">
    <w:name w:val="1TitPrin"/>
    <w:basedOn w:val="Ttulo1"/>
    <w:link w:val="1TitPrinCar"/>
    <w:autoRedefine/>
    <w:qFormat/>
    <w:rsid w:val="00E16021"/>
    <w:pPr>
      <w:keepNext w:val="0"/>
      <w:keepLines w:val="0"/>
      <w:spacing w:before="0" w:line="276" w:lineRule="auto"/>
      <w:jc w:val="both"/>
      <w:outlineLvl w:val="1"/>
    </w:pPr>
    <w:rPr>
      <w:rFonts w:ascii="Arial" w:eastAsia="Times New Roman" w:hAnsi="Arial" w:cs="Arial"/>
      <w:bCs/>
      <w:color w:val="auto"/>
      <w:sz w:val="22"/>
      <w:szCs w:val="22"/>
      <w:lang w:eastAsia="es-MX"/>
    </w:rPr>
  </w:style>
  <w:style w:type="character" w:customStyle="1" w:styleId="1TitPrinCar">
    <w:name w:val="1TitPrin Car"/>
    <w:link w:val="1TitPrin"/>
    <w:rsid w:val="00E16021"/>
    <w:rPr>
      <w:rFonts w:ascii="Arial" w:eastAsia="Times New Roman" w:hAnsi="Arial" w:cs="Arial"/>
      <w:bCs/>
      <w:lang w:eastAsia="es-MX"/>
    </w:rPr>
  </w:style>
  <w:style w:type="character" w:customStyle="1" w:styleId="Ttulo1Car">
    <w:name w:val="Título 1 Car"/>
    <w:basedOn w:val="Fuentedeprrafopredeter"/>
    <w:link w:val="Ttulo1"/>
    <w:uiPriority w:val="9"/>
    <w:rsid w:val="007A2E49"/>
    <w:rPr>
      <w:rFonts w:asciiTheme="majorHAnsi" w:eastAsiaTheme="majorEastAsia" w:hAnsiTheme="majorHAnsi" w:cstheme="majorBidi"/>
      <w:color w:val="2F5496" w:themeColor="accent1" w:themeShade="BF"/>
      <w:sz w:val="32"/>
      <w:szCs w:val="32"/>
    </w:rPr>
  </w:style>
  <w:style w:type="paragraph" w:styleId="Textonotapie">
    <w:name w:val="footnote text"/>
    <w:basedOn w:val="Normal"/>
    <w:link w:val="TextonotapieCar"/>
    <w:uiPriority w:val="99"/>
    <w:semiHidden/>
    <w:unhideWhenUsed/>
    <w:rsid w:val="00C5332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53326"/>
    <w:rPr>
      <w:sz w:val="20"/>
      <w:szCs w:val="20"/>
    </w:rPr>
  </w:style>
  <w:style w:type="character" w:styleId="Refdenotaalpie">
    <w:name w:val="footnote reference"/>
    <w:basedOn w:val="Fuentedeprrafopredeter"/>
    <w:uiPriority w:val="99"/>
    <w:semiHidden/>
    <w:unhideWhenUsed/>
    <w:rsid w:val="00C533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904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hyperlink" Target="https://www.wik.org/fileadmin/files/_migrated/news_files/BT_EthernetLL_Benchmark_final.pdf" TargetMode="External"/><Relationship Id="rId2" Type="http://schemas.openxmlformats.org/officeDocument/2006/relationships/numbering" Target="numbering.xml"/><Relationship Id="rId16" Type="http://schemas.openxmlformats.org/officeDocument/2006/relationships/hyperlink" Target="https://www.gob.mx/sesnsp/acciones-y-programas/incidencia-delictiva-299891?state=publishe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oleObject" Target="embeddings/oleObject1.bin"/><Relationship Id="rId10" Type="http://schemas.microsoft.com/office/2007/relationships/hdphoto" Target="media/hdphoto1.wdp"/><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17B5A-3084-4324-83B0-D27453A02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7582</Words>
  <Characters>41702</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Cuellar Citlally</dc:creator>
  <cp:keywords/>
  <dc:description/>
  <cp:lastModifiedBy>Vanessa Zambrano Vargas</cp:lastModifiedBy>
  <cp:revision>2</cp:revision>
  <cp:lastPrinted>2023-07-28T18:33:00Z</cp:lastPrinted>
  <dcterms:created xsi:type="dcterms:W3CDTF">2023-08-01T19:03:00Z</dcterms:created>
  <dcterms:modified xsi:type="dcterms:W3CDTF">2023-08-01T19:03:00Z</dcterms:modified>
</cp:coreProperties>
</file>