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6812" w14:textId="430B6388" w:rsidR="006D1F4A" w:rsidRPr="007D54E4" w:rsidRDefault="0010284A" w:rsidP="00E50BE7">
      <w:pPr>
        <w:rPr>
          <w:rFonts w:ascii="ITC Avant Garde" w:eastAsia="Calibri" w:hAnsi="ITC Avant Garde" w:cs="Times New Roman"/>
          <w:b/>
          <w:lang w:val="es-ES"/>
        </w:rPr>
      </w:pPr>
      <w:bookmarkStart w:id="0" w:name="_Toc323285056"/>
      <w:r w:rsidRPr="007D54E4">
        <w:rPr>
          <w:rFonts w:ascii="ITC Avant Garde" w:eastAsia="Calibri" w:hAnsi="ITC Avant Garde" w:cs="Times New Roman"/>
          <w:b/>
          <w:lang w:val="es-ES"/>
        </w:rPr>
        <w:t xml:space="preserve">INFORME DE CONSIDERACIONES SOBRE LAS MANIFESTACIONES, OPINIONES, </w:t>
      </w:r>
      <w:r w:rsidR="00C42AE3" w:rsidRPr="007D54E4">
        <w:rPr>
          <w:rFonts w:ascii="ITC Avant Garde" w:eastAsia="Calibri" w:hAnsi="ITC Avant Garde" w:cs="Times New Roman"/>
          <w:b/>
          <w:lang w:val="es-ES"/>
        </w:rPr>
        <w:t>COMENTARIOS Y PROPUESTAS, PRESENTADOS DURA</w:t>
      </w:r>
      <w:r w:rsidR="00C42AE3">
        <w:rPr>
          <w:rFonts w:ascii="ITC Avant Garde" w:eastAsia="Calibri" w:hAnsi="ITC Avant Garde" w:cs="Times New Roman"/>
          <w:b/>
          <w:lang w:val="es-ES"/>
        </w:rPr>
        <w:t xml:space="preserve">NTE LA </w:t>
      </w:r>
      <w:r w:rsidR="00C42AE3" w:rsidRPr="00C42AE3">
        <w:rPr>
          <w:rFonts w:ascii="ITC Avant Garde" w:eastAsia="Calibri" w:hAnsi="ITC Avant Garde" w:cs="Times New Roman"/>
          <w:b/>
          <w:lang w:val="es-ES"/>
        </w:rPr>
        <w:t xml:space="preserve">CONSULTA PÚBLICA SOBRE </w:t>
      </w:r>
      <w:r w:rsidR="00517C0E" w:rsidRPr="00C42AE3">
        <w:rPr>
          <w:rFonts w:ascii="ITC Avant Garde" w:eastAsia="Calibri" w:hAnsi="ITC Avant Garde" w:cs="Times New Roman"/>
          <w:b/>
          <w:lang w:val="es-ES"/>
        </w:rPr>
        <w:t xml:space="preserve">LA </w:t>
      </w:r>
      <w:r w:rsidR="00517C0E">
        <w:rPr>
          <w:rFonts w:ascii="ITC Avant Garde" w:eastAsia="Calibri" w:hAnsi="ITC Avant Garde" w:cs="Times New Roman"/>
          <w:b/>
          <w:lang w:val="es-ES"/>
        </w:rPr>
        <w:t>“</w:t>
      </w:r>
      <w:r w:rsidR="00517C0E" w:rsidRPr="00517C0E">
        <w:rPr>
          <w:rFonts w:ascii="ITC Avant Garde" w:eastAsia="Calibri" w:hAnsi="ITC Avant Garde" w:cs="Times New Roman"/>
          <w:b/>
          <w:lang w:val="es-ES"/>
        </w:rPr>
        <w:t>PROPUESTA DE OFERTA DE REFERENCIA PARA LA PRESTACIÓN DEL SERVICIO MAYORISTA DE ENLACES DEDICADOS ENTRE LOCALIDADES Y DE LARGA DISTANCIA INTERNACIONAL, Y LA PROPUESTA DE OFERTA DE REFERENCIA PARA LA PRESTACIÓN DEL SERVICIO DE ACCESO Y USO COMPARTIDO DE INFRAESTRUCTURA PASIVA PRESENTADAS POR TELÉFONOS DE MÉXICO, S.A.B. DE C.V. Y TELÉFONOS DEL NOROESTE, S.A. DE C.V., APLICABLES DEL 1 DE ENERO AL 31 DE DICIEMBRE DE 2024</w:t>
      </w:r>
      <w:r w:rsidR="00517C0E">
        <w:rPr>
          <w:rFonts w:ascii="ITC Avant Garde" w:eastAsia="Calibri" w:hAnsi="ITC Avant Garde" w:cs="Times New Roman"/>
          <w:b/>
          <w:lang w:val="es-ES"/>
        </w:rPr>
        <w:t>”</w:t>
      </w:r>
      <w:r w:rsidR="00517C0E" w:rsidRPr="007D54E4">
        <w:rPr>
          <w:rFonts w:ascii="ITC Avant Garde" w:eastAsia="Calibri" w:hAnsi="ITC Avant Garde" w:cs="Times New Roman"/>
          <w:b/>
          <w:lang w:val="es-ES"/>
        </w:rPr>
        <w:t>.</w:t>
      </w:r>
    </w:p>
    <w:p w14:paraId="42C3DE1A" w14:textId="1B2513DD"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Fecha de elaboración</w:t>
      </w:r>
    </w:p>
    <w:p w14:paraId="6F2C6C53" w14:textId="39B7E834" w:rsidR="006D1F4A" w:rsidRPr="007D54E4" w:rsidRDefault="005B5282" w:rsidP="006D1F4A">
      <w:pPr>
        <w:rPr>
          <w:rFonts w:ascii="ITC Avant Garde" w:eastAsiaTheme="majorEastAsia" w:hAnsi="ITC Avant Garde" w:cstheme="majorBidi"/>
          <w:lang w:val="es-ES"/>
        </w:rPr>
      </w:pPr>
      <w:r>
        <w:rPr>
          <w:rFonts w:ascii="ITC Avant Garde" w:eastAsiaTheme="majorEastAsia" w:hAnsi="ITC Avant Garde" w:cstheme="majorBidi"/>
          <w:lang w:val="es-ES"/>
        </w:rPr>
        <w:t xml:space="preserve">27 </w:t>
      </w:r>
      <w:r w:rsidR="00322C19">
        <w:rPr>
          <w:rFonts w:ascii="ITC Avant Garde" w:eastAsiaTheme="majorEastAsia" w:hAnsi="ITC Avant Garde" w:cstheme="majorBidi"/>
          <w:lang w:val="es-ES"/>
        </w:rPr>
        <w:t xml:space="preserve">de </w:t>
      </w:r>
      <w:r>
        <w:rPr>
          <w:rFonts w:ascii="ITC Avant Garde" w:eastAsiaTheme="majorEastAsia" w:hAnsi="ITC Avant Garde" w:cstheme="majorBidi"/>
          <w:lang w:val="es-ES"/>
        </w:rPr>
        <w:t>novi</w:t>
      </w:r>
      <w:r w:rsidR="00EE664E">
        <w:rPr>
          <w:rFonts w:ascii="ITC Avant Garde" w:eastAsiaTheme="majorEastAsia" w:hAnsi="ITC Avant Garde" w:cstheme="majorBidi"/>
          <w:lang w:val="es-ES"/>
        </w:rPr>
        <w:t>embre</w:t>
      </w:r>
      <w:r w:rsidR="00322C19">
        <w:rPr>
          <w:rFonts w:ascii="ITC Avant Garde" w:eastAsiaTheme="majorEastAsia" w:hAnsi="ITC Avant Garde" w:cstheme="majorBidi"/>
          <w:lang w:val="es-ES"/>
        </w:rPr>
        <w:t xml:space="preserve"> de 2023</w:t>
      </w:r>
      <w:r w:rsidR="00E72FA3">
        <w:rPr>
          <w:rFonts w:ascii="ITC Avant Garde" w:eastAsiaTheme="majorEastAsia" w:hAnsi="ITC Avant Garde" w:cstheme="majorBidi"/>
          <w:lang w:val="es-ES"/>
        </w:rPr>
        <w:t>.</w:t>
      </w:r>
    </w:p>
    <w:p w14:paraId="1644A70A" w14:textId="5EA70155"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Título o denominación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4EAB5BAB" w14:textId="39127F4D" w:rsidR="00517C0E" w:rsidRPr="00517C0E" w:rsidRDefault="00517C0E" w:rsidP="006D1F4A">
      <w:pPr>
        <w:rPr>
          <w:rFonts w:ascii="ITC Avant Garde" w:eastAsiaTheme="majorEastAsia" w:hAnsi="ITC Avant Garde" w:cstheme="majorBidi"/>
          <w:i/>
          <w:lang w:val="es-ES"/>
        </w:rPr>
      </w:pPr>
      <w:r w:rsidRPr="00517C0E">
        <w:rPr>
          <w:rFonts w:ascii="ITC Avant Garde" w:eastAsiaTheme="majorEastAsia" w:hAnsi="ITC Avant Garde" w:cstheme="majorBidi"/>
          <w:i/>
          <w:lang w:val="es-ES"/>
        </w:rPr>
        <w:t>“Consulta Pública sobre las Propuestas de Ofertas de Referencia de Compartición de Infraestructura y de Enlaces Dedicados presentadas por Teléfonos de México, S.A.B. de C.V., Teléfonos del Noroeste, S.A. de C.V.”</w:t>
      </w:r>
    </w:p>
    <w:p w14:paraId="5022C277" w14:textId="6985D78E"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Descripción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51E9E14" w14:textId="7F303877" w:rsidR="007D54E4" w:rsidRPr="0010284A" w:rsidRDefault="0010284A" w:rsidP="007D54E4">
      <w:pPr>
        <w:rPr>
          <w:rFonts w:ascii="ITC Avant Garde" w:hAnsi="ITC Avant Garde"/>
          <w:lang w:val="es-MX"/>
        </w:rPr>
      </w:pPr>
      <w:r w:rsidRPr="0010284A">
        <w:rPr>
          <w:rFonts w:ascii="ITC Avant Garde" w:eastAsiaTheme="majorEastAsia" w:hAnsi="ITC Avant Garde" w:cstheme="majorBidi"/>
          <w:lang w:val="es-ES"/>
        </w:rPr>
        <w:t xml:space="preserve">Del </w:t>
      </w:r>
      <w:r w:rsidR="00517C0E" w:rsidRPr="00517C0E">
        <w:rPr>
          <w:rFonts w:ascii="ITC Avant Garde" w:eastAsiaTheme="majorEastAsia" w:hAnsi="ITC Avant Garde" w:cstheme="majorBidi"/>
          <w:lang w:val="es-ES"/>
        </w:rPr>
        <w:t xml:space="preserve">10 de </w:t>
      </w:r>
      <w:r w:rsidR="00517C0E">
        <w:rPr>
          <w:rFonts w:ascii="ITC Avant Garde" w:eastAsiaTheme="majorEastAsia" w:hAnsi="ITC Avant Garde" w:cstheme="majorBidi"/>
          <w:lang w:val="es-ES"/>
        </w:rPr>
        <w:t>a</w:t>
      </w:r>
      <w:r w:rsidR="00517C0E" w:rsidRPr="00517C0E">
        <w:rPr>
          <w:rFonts w:ascii="ITC Avant Garde" w:eastAsiaTheme="majorEastAsia" w:hAnsi="ITC Avant Garde" w:cstheme="majorBidi"/>
          <w:lang w:val="es-ES"/>
        </w:rPr>
        <w:t>gosto de 2023 al 08 de Septiembre de 2023</w:t>
      </w:r>
      <w:r w:rsidR="006D1F4A" w:rsidRPr="007D54E4">
        <w:rPr>
          <w:rFonts w:ascii="ITC Avant Garde" w:eastAsiaTheme="majorEastAsia" w:hAnsi="ITC Avant Garde" w:cstheme="majorBidi"/>
          <w:lang w:val="es-ES"/>
        </w:rPr>
        <w:t xml:space="preserve">, el Instituto Federal de Telecomunicaciones (en lo sucesivo, “Instituto”) llevó a cabo el proceso de </w:t>
      </w:r>
      <w:r w:rsidR="00002005">
        <w:rPr>
          <w:rFonts w:ascii="ITC Avant Garde" w:eastAsiaTheme="majorEastAsia" w:hAnsi="ITC Avant Garde" w:cstheme="majorBidi"/>
          <w:lang w:val="es-ES"/>
        </w:rPr>
        <w:t>C</w:t>
      </w:r>
      <w:r w:rsidR="006D1F4A" w:rsidRPr="007D54E4">
        <w:rPr>
          <w:rFonts w:ascii="ITC Avant Garde" w:eastAsiaTheme="majorEastAsia" w:hAnsi="ITC Avant Garde" w:cstheme="majorBidi"/>
          <w:lang w:val="es-ES"/>
        </w:rPr>
        <w:t xml:space="preserve">onsulta </w:t>
      </w:r>
      <w:r w:rsidR="00002005">
        <w:rPr>
          <w:rFonts w:ascii="ITC Avant Garde" w:eastAsiaTheme="majorEastAsia" w:hAnsi="ITC Avant Garde" w:cstheme="majorBidi"/>
          <w:lang w:val="es-ES"/>
        </w:rPr>
        <w:t>P</w:t>
      </w:r>
      <w:r w:rsidR="006D1F4A" w:rsidRPr="007D54E4">
        <w:rPr>
          <w:rFonts w:ascii="ITC Avant Garde" w:eastAsiaTheme="majorEastAsia" w:hAnsi="ITC Avant Garde" w:cstheme="majorBidi"/>
          <w:lang w:val="es-ES"/>
        </w:rPr>
        <w:t>ública de</w:t>
      </w:r>
      <w:r w:rsidR="00376792">
        <w:rPr>
          <w:rFonts w:ascii="ITC Avant Garde" w:eastAsiaTheme="majorEastAsia" w:hAnsi="ITC Avant Garde" w:cstheme="majorBidi"/>
          <w:lang w:val="es-ES"/>
        </w:rPr>
        <w:t xml:space="preserve"> </w:t>
      </w:r>
      <w:r w:rsidR="008A3C50" w:rsidRPr="007D54E4">
        <w:rPr>
          <w:rFonts w:ascii="ITC Avant Garde" w:eastAsiaTheme="majorEastAsia" w:hAnsi="ITC Avant Garde" w:cstheme="majorBidi"/>
          <w:lang w:val="es-ES"/>
        </w:rPr>
        <w:t>l</w:t>
      </w:r>
      <w:r w:rsidR="00376792">
        <w:rPr>
          <w:rFonts w:ascii="ITC Avant Garde" w:eastAsiaTheme="majorEastAsia" w:hAnsi="ITC Avant Garde" w:cstheme="majorBidi"/>
          <w:lang w:val="es-ES"/>
        </w:rPr>
        <w:t>a</w:t>
      </w:r>
      <w:r w:rsidR="008A3C50" w:rsidRPr="007D54E4">
        <w:rPr>
          <w:rFonts w:ascii="ITC Avant Garde" w:eastAsiaTheme="majorEastAsia" w:hAnsi="ITC Avant Garde" w:cstheme="majorBidi"/>
          <w:lang w:val="es-ES"/>
        </w:rPr>
        <w:t xml:space="preserve"> </w:t>
      </w:r>
      <w:r w:rsidR="00376792" w:rsidRPr="00C97CC5">
        <w:rPr>
          <w:rFonts w:ascii="ITC Avant Garde" w:eastAsiaTheme="majorEastAsia" w:hAnsi="ITC Avant Garde" w:cstheme="majorBidi"/>
          <w:b/>
          <w:bCs/>
          <w:lang w:val="es-ES"/>
        </w:rPr>
        <w:t>“</w:t>
      </w:r>
      <w:r w:rsidR="00C97CC5" w:rsidRPr="00C97CC5">
        <w:rPr>
          <w:rFonts w:ascii="ITC Avant Garde" w:eastAsiaTheme="majorEastAsia" w:hAnsi="ITC Avant Garde" w:cstheme="majorBidi"/>
          <w:b/>
          <w:bCs/>
          <w:i/>
          <w:lang w:val="es-MX"/>
        </w:rPr>
        <w:t>Propuesta de Oferta de Referencia para la prestación del Servicio Mayorista de Enlaces Dedicados entre Localidades y de Larga Distancia Internacional, y la propuesta de Oferta de Referencia para la prestación del Servicio de Acceso y Uso Compartido de Infraestructura Pasiva presentadas por Teléfonos de México, S.A.B. de C.V. y Teléfonos del Noroeste, S.A. de C.V., aplicables del 1 de enero al 31 de diciembre de 2024</w:t>
      </w:r>
      <w:r w:rsidR="00E2623C" w:rsidRPr="00C97CC5">
        <w:rPr>
          <w:rFonts w:ascii="ITC Avant Garde" w:eastAsiaTheme="majorEastAsia" w:hAnsi="ITC Avant Garde" w:cstheme="majorBidi"/>
          <w:b/>
          <w:bCs/>
          <w:i/>
          <w:lang w:val="es-MX"/>
        </w:rPr>
        <w:t>”</w:t>
      </w:r>
      <w:r w:rsidR="007D54E4" w:rsidRPr="00C97CC5">
        <w:rPr>
          <w:rFonts w:ascii="ITC Avant Garde" w:hAnsi="ITC Avant Garde"/>
          <w:b/>
          <w:bCs/>
          <w:lang w:val="es-MX"/>
        </w:rPr>
        <w:t>.</w:t>
      </w:r>
    </w:p>
    <w:p w14:paraId="169551CC" w14:textId="2FBEEFAC" w:rsidR="007D54E4" w:rsidRPr="007D54E4" w:rsidRDefault="007D54E4" w:rsidP="007D54E4">
      <w:pPr>
        <w:rPr>
          <w:rFonts w:ascii="ITC Avant Garde" w:eastAsiaTheme="majorEastAsia" w:hAnsi="ITC Avant Garde" w:cstheme="majorBidi"/>
          <w:lang w:val="es-MX"/>
        </w:rPr>
      </w:pPr>
      <w:r w:rsidRPr="007D54E4">
        <w:rPr>
          <w:rFonts w:ascii="ITC Avant Garde" w:hAnsi="ITC Avant Garde"/>
          <w:lang w:val="es-MX"/>
        </w:rPr>
        <w:t xml:space="preserve">El Instituto puso a disposición de los interesados los siguientes medios para recibir las participaciones: </w:t>
      </w:r>
      <w:r w:rsidRPr="007D54E4">
        <w:rPr>
          <w:rFonts w:ascii="ITC Avant Garde" w:eastAsiaTheme="majorEastAsia" w:hAnsi="ITC Avant Garde" w:cstheme="majorBidi"/>
          <w:lang w:val="es-MX"/>
        </w:rPr>
        <w:t xml:space="preserve">a través de la dirección de correo electrónico </w:t>
      </w:r>
      <w:hyperlink r:id="rId11" w:history="1">
        <w:r w:rsidR="00EE664E" w:rsidRPr="005B25F0">
          <w:rPr>
            <w:rStyle w:val="Hipervnculo"/>
            <w:rFonts w:ascii="ITC Avant Garde" w:eastAsiaTheme="majorEastAsia" w:hAnsi="ITC Avant Garde" w:cstheme="majorBidi"/>
            <w:lang w:val="es-MX"/>
          </w:rPr>
          <w:t>ofertas.infraestructura@ift.org.mx</w:t>
        </w:r>
      </w:hyperlink>
      <w:r w:rsidRPr="007D54E4">
        <w:rPr>
          <w:rFonts w:ascii="ITC Avant Garde" w:eastAsiaTheme="majorEastAsia" w:hAnsi="ITC Avant Garde" w:cstheme="majorBidi"/>
          <w:lang w:val="es-MX"/>
        </w:rPr>
        <w:t xml:space="preserve">, o mediante escrito presentado en la Oficialía de Partes del Instituto ubicada en Insurgentes Sur 1143, colonia Nochebuena, Delegación Benito Juárez, C.P. 03720, Ciudad de México, de lunes a jueves de las 9:00 a las 18:30 horas y los viernes de las 9:00 a las 15:00 horas, así como el </w:t>
      </w:r>
      <w:r w:rsidRPr="007D54E4">
        <w:rPr>
          <w:rFonts w:ascii="ITC Avant Garde" w:eastAsiaTheme="majorEastAsia" w:hAnsi="ITC Avant Garde" w:cstheme="majorBidi"/>
          <w:i/>
          <w:lang w:val="es-MX"/>
        </w:rPr>
        <w:t>“Formato para participar en la Consulta Pública”</w:t>
      </w:r>
      <w:r w:rsidRPr="007D54E4">
        <w:rPr>
          <w:rFonts w:ascii="ITC Avant Garde" w:eastAsiaTheme="majorEastAsia" w:hAnsi="ITC Avant Garde" w:cstheme="majorBidi"/>
          <w:lang w:val="es-MX"/>
        </w:rPr>
        <w:t>.</w:t>
      </w:r>
    </w:p>
    <w:p w14:paraId="745F743E" w14:textId="129EB48D" w:rsidR="006D1F4A" w:rsidRDefault="006D1F4A" w:rsidP="006D1F4A">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La información que los interesados </w:t>
      </w:r>
      <w:r w:rsidR="00C42AE3">
        <w:rPr>
          <w:rFonts w:ascii="ITC Avant Garde" w:eastAsiaTheme="majorEastAsia" w:hAnsi="ITC Avant Garde" w:cstheme="majorBidi"/>
          <w:lang w:val="es-ES"/>
        </w:rPr>
        <w:t>hiciesen</w:t>
      </w:r>
      <w:r w:rsidR="00C42AE3"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 xml:space="preserve">llegar al Instituto, de </w:t>
      </w:r>
      <w:r w:rsidR="005C31C3">
        <w:rPr>
          <w:rFonts w:ascii="ITC Avant Garde" w:eastAsiaTheme="majorEastAsia" w:hAnsi="ITC Avant Garde" w:cstheme="majorBidi"/>
          <w:lang w:val="es-ES"/>
        </w:rPr>
        <w:t>conformidad con</w:t>
      </w:r>
      <w:r w:rsidRPr="007D54E4">
        <w:rPr>
          <w:rFonts w:ascii="ITC Avant Garde" w:eastAsiaTheme="majorEastAsia" w:hAnsi="ITC Avant Garde" w:cstheme="majorBidi"/>
          <w:lang w:val="es-ES"/>
        </w:rPr>
        <w:t xml:space="preserve"> los plazos y términos descritos en </w:t>
      </w:r>
      <w:r w:rsidR="005C31C3">
        <w:rPr>
          <w:rFonts w:ascii="ITC Avant Garde" w:eastAsiaTheme="majorEastAsia" w:hAnsi="ITC Avant Garde" w:cstheme="majorBidi"/>
          <w:lang w:val="es-ES"/>
        </w:rPr>
        <w:t>la</w:t>
      </w:r>
      <w:r w:rsidR="005C31C3"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mecánica</w:t>
      </w:r>
      <w:r w:rsidR="005C31C3">
        <w:rPr>
          <w:rFonts w:ascii="ITC Avant Garde" w:eastAsiaTheme="majorEastAsia" w:hAnsi="ITC Avant Garde" w:cstheme="majorBidi"/>
          <w:lang w:val="es-ES"/>
        </w:rPr>
        <w:t xml:space="preserve"> de la Consulta Pública</w:t>
      </w:r>
      <w:r w:rsidR="00C42AE3">
        <w:rPr>
          <w:rFonts w:ascii="ITC Avant Garde" w:eastAsiaTheme="majorEastAsia" w:hAnsi="ITC Avant Garde" w:cstheme="majorBidi"/>
          <w:lang w:val="es-ES"/>
        </w:rPr>
        <w:t>,</w:t>
      </w:r>
      <w:r w:rsidRPr="007D54E4">
        <w:rPr>
          <w:rFonts w:ascii="ITC Avant Garde" w:eastAsiaTheme="majorEastAsia" w:hAnsi="ITC Avant Garde" w:cstheme="majorBidi"/>
          <w:lang w:val="es-ES"/>
        </w:rPr>
        <w:t xml:space="preserve"> no tiene carácter vinculante, sin perjuicio de que el Instituto pueda ponderarla en un </w:t>
      </w:r>
      <w:r w:rsidRPr="007D54E4">
        <w:rPr>
          <w:rFonts w:ascii="ITC Avant Garde" w:eastAsiaTheme="majorEastAsia" w:hAnsi="ITC Avant Garde" w:cstheme="majorBidi"/>
          <w:lang w:val="es-ES"/>
        </w:rPr>
        <w:lastRenderedPageBreak/>
        <w:t xml:space="preserve">documento que refleje los resultados de dicha </w:t>
      </w:r>
      <w:r w:rsidR="00002005">
        <w:rPr>
          <w:rFonts w:ascii="ITC Avant Garde" w:eastAsiaTheme="majorEastAsia" w:hAnsi="ITC Avant Garde" w:cstheme="majorBidi"/>
          <w:lang w:val="es-ES"/>
        </w:rPr>
        <w:t>C</w:t>
      </w:r>
      <w:r w:rsidRPr="007D54E4">
        <w:rPr>
          <w:rFonts w:ascii="ITC Avant Garde" w:eastAsiaTheme="majorEastAsia" w:hAnsi="ITC Avant Garde" w:cstheme="majorBidi"/>
          <w:lang w:val="es-ES"/>
        </w:rPr>
        <w:t>onsulta</w:t>
      </w:r>
      <w:r w:rsidR="00002005">
        <w:rPr>
          <w:rFonts w:ascii="ITC Avant Garde" w:eastAsiaTheme="majorEastAsia" w:hAnsi="ITC Avant Garde" w:cstheme="majorBidi"/>
          <w:lang w:val="es-ES"/>
        </w:rPr>
        <w:t xml:space="preserve"> Pública</w:t>
      </w:r>
      <w:r w:rsidRPr="007D54E4">
        <w:rPr>
          <w:rFonts w:ascii="ITC Avant Garde" w:eastAsiaTheme="majorEastAsia" w:hAnsi="ITC Avant Garde" w:cstheme="majorBidi"/>
          <w:lang w:val="es-ES"/>
        </w:rPr>
        <w:t>, el cual se hará público</w:t>
      </w:r>
      <w:r w:rsidR="005C31C3">
        <w:rPr>
          <w:rFonts w:ascii="ITC Avant Garde" w:eastAsiaTheme="majorEastAsia" w:hAnsi="ITC Avant Garde" w:cstheme="majorBidi"/>
          <w:lang w:val="es-ES"/>
        </w:rPr>
        <w:t>, en su caso,</w:t>
      </w:r>
      <w:r w:rsidRPr="007D54E4">
        <w:rPr>
          <w:rFonts w:ascii="ITC Avant Garde" w:eastAsiaTheme="majorEastAsia" w:hAnsi="ITC Avant Garde" w:cstheme="majorBidi"/>
          <w:lang w:val="es-ES"/>
        </w:rPr>
        <w:t xml:space="preserve"> en el apartado de la página </w:t>
      </w:r>
      <w:r w:rsidR="00F04602">
        <w:rPr>
          <w:rFonts w:ascii="ITC Avant Garde" w:eastAsiaTheme="majorEastAsia" w:hAnsi="ITC Avant Garde" w:cstheme="majorBidi"/>
          <w:lang w:val="es-ES"/>
        </w:rPr>
        <w:t xml:space="preserve">de internet </w:t>
      </w:r>
      <w:r w:rsidR="00002005">
        <w:rPr>
          <w:rFonts w:ascii="ITC Avant Garde" w:eastAsiaTheme="majorEastAsia" w:hAnsi="ITC Avant Garde" w:cstheme="majorBidi"/>
          <w:lang w:val="es-ES"/>
        </w:rPr>
        <w:t>donde se encuentra</w:t>
      </w:r>
      <w:r w:rsidRPr="007D54E4">
        <w:rPr>
          <w:rStyle w:val="Refdenotaalpie"/>
          <w:rFonts w:ascii="ITC Avant Garde" w:eastAsiaTheme="majorEastAsia" w:hAnsi="ITC Avant Garde" w:cstheme="majorBidi"/>
          <w:sz w:val="22"/>
          <w:lang w:val="es-ES"/>
        </w:rPr>
        <w:footnoteReference w:id="2"/>
      </w:r>
      <w:r w:rsidRPr="007D54E4">
        <w:rPr>
          <w:rFonts w:ascii="ITC Avant Garde" w:eastAsiaTheme="majorEastAsia" w:hAnsi="ITC Avant Garde" w:cstheme="majorBidi"/>
          <w:lang w:val="es-ES"/>
        </w:rPr>
        <w:t>.</w:t>
      </w:r>
    </w:p>
    <w:p w14:paraId="55B4E627" w14:textId="460CF582"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Objetivo</w:t>
      </w:r>
      <w:r w:rsidR="00DB6781">
        <w:rPr>
          <w:rFonts w:ascii="ITC Avant Garde" w:eastAsiaTheme="majorEastAsia" w:hAnsi="ITC Avant Garde" w:cstheme="majorBidi"/>
          <w:b/>
          <w:lang w:val="es-ES"/>
        </w:rPr>
        <w:t xml:space="preserve"> </w:t>
      </w:r>
      <w:r w:rsidRPr="007D54E4">
        <w:rPr>
          <w:rFonts w:ascii="ITC Avant Garde" w:eastAsiaTheme="majorEastAsia" w:hAnsi="ITC Avant Garde" w:cstheme="majorBidi"/>
          <w:b/>
          <w:lang w:val="es-ES"/>
        </w:rPr>
        <w:t xml:space="preserve">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5448A1D5" w14:textId="5AFB69B3" w:rsidR="00D3271C" w:rsidRPr="007D54E4" w:rsidRDefault="00DB6781" w:rsidP="00D3271C">
      <w:pPr>
        <w:rPr>
          <w:rFonts w:ascii="ITC Avant Garde" w:eastAsiaTheme="majorEastAsia" w:hAnsi="ITC Avant Garde" w:cstheme="majorBidi"/>
          <w:lang w:val="es-ES"/>
        </w:rPr>
      </w:pPr>
      <w:r>
        <w:rPr>
          <w:rFonts w:ascii="ITC Avant Garde" w:eastAsiaTheme="majorEastAsia" w:hAnsi="ITC Avant Garde" w:cstheme="majorBidi"/>
          <w:lang w:val="es-ES"/>
        </w:rPr>
        <w:t>El objetivo principal</w:t>
      </w:r>
      <w:r w:rsidR="00376792" w:rsidRPr="00376792">
        <w:rPr>
          <w:rFonts w:ascii="ITC Avant Garde" w:eastAsiaTheme="majorEastAsia" w:hAnsi="ITC Avant Garde" w:cstheme="majorBidi"/>
          <w:lang w:val="es-ES"/>
        </w:rPr>
        <w:t xml:space="preserve"> del Instituto sobre la </w:t>
      </w:r>
      <w:r w:rsidR="00002005">
        <w:rPr>
          <w:rFonts w:ascii="ITC Avant Garde" w:eastAsiaTheme="majorEastAsia" w:hAnsi="ITC Avant Garde" w:cstheme="majorBidi"/>
          <w:lang w:val="es-ES"/>
        </w:rPr>
        <w:t>C</w:t>
      </w:r>
      <w:r w:rsidR="00376792" w:rsidRPr="00376792">
        <w:rPr>
          <w:rFonts w:ascii="ITC Avant Garde" w:eastAsiaTheme="majorEastAsia" w:hAnsi="ITC Avant Garde" w:cstheme="majorBidi"/>
          <w:lang w:val="es-ES"/>
        </w:rPr>
        <w:t xml:space="preserve">onsulta </w:t>
      </w:r>
      <w:r w:rsidR="00002005">
        <w:rPr>
          <w:rFonts w:ascii="ITC Avant Garde" w:eastAsiaTheme="majorEastAsia" w:hAnsi="ITC Avant Garde" w:cstheme="majorBidi"/>
          <w:lang w:val="es-ES"/>
        </w:rPr>
        <w:t>P</w:t>
      </w:r>
      <w:r w:rsidR="00376792" w:rsidRPr="00376792">
        <w:rPr>
          <w:rFonts w:ascii="ITC Avant Garde" w:eastAsiaTheme="majorEastAsia" w:hAnsi="ITC Avant Garde" w:cstheme="majorBidi"/>
          <w:lang w:val="es-ES"/>
        </w:rPr>
        <w:t xml:space="preserve">ública </w:t>
      </w:r>
      <w:r w:rsidR="00471944">
        <w:rPr>
          <w:rFonts w:ascii="ITC Avant Garde" w:eastAsiaTheme="majorEastAsia" w:hAnsi="ITC Avant Garde" w:cstheme="majorBidi"/>
          <w:lang w:val="es-ES"/>
        </w:rPr>
        <w:t>que se reporta</w:t>
      </w:r>
      <w:r w:rsidR="0010284A">
        <w:rPr>
          <w:rFonts w:ascii="ITC Avant Garde" w:eastAsiaTheme="majorEastAsia" w:hAnsi="ITC Avant Garde" w:cstheme="majorBidi"/>
          <w:lang w:val="es-ES"/>
        </w:rPr>
        <w:t xml:space="preserve"> tuvo como</w:t>
      </w:r>
      <w:r w:rsidRPr="00DB6781">
        <w:rPr>
          <w:rFonts w:ascii="ITC Avant Garde" w:eastAsiaTheme="majorEastAsia" w:hAnsi="ITC Avant Garde" w:cstheme="majorBidi"/>
          <w:lang w:val="es-ES"/>
        </w:rPr>
        <w:t xml:space="preserve"> </w:t>
      </w:r>
      <w:r w:rsidR="00D3271C">
        <w:rPr>
          <w:rFonts w:ascii="ITC Avant Garde" w:eastAsiaTheme="majorEastAsia" w:hAnsi="ITC Avant Garde" w:cstheme="majorBidi"/>
          <w:lang w:val="es-ES"/>
        </w:rPr>
        <w:t xml:space="preserve">objetivos </w:t>
      </w:r>
      <w:r w:rsidR="00D3271C" w:rsidRPr="00D3271C">
        <w:rPr>
          <w:rFonts w:ascii="ITC Avant Garde" w:eastAsiaTheme="majorEastAsia" w:hAnsi="ITC Avant Garde" w:cstheme="majorBidi"/>
          <w:lang w:val="es-ES"/>
        </w:rPr>
        <w:t>contar con mayores elementos para determinar las condiciones bajo las cuales se deberá aprobar la Propuesta de Oferta de Referencia; favorecer la transparencia y participación ciudadana con el fin de recibir los comentarios, opiniones y aportaciones de la industria, académicos, analistas, gobierno, ámbito internacional y sociedad en general sobre las Ofertas de Referencia, y establecer las bases para aprobar o modificar las mismas.</w:t>
      </w:r>
    </w:p>
    <w:p w14:paraId="6869175E" w14:textId="77777777" w:rsidR="004F5021" w:rsidRDefault="00D3271C" w:rsidP="007D54E4">
      <w:pPr>
        <w:rPr>
          <w:rFonts w:ascii="ITC Avant Garde" w:eastAsiaTheme="majorEastAsia" w:hAnsi="ITC Avant Garde" w:cstheme="majorBidi"/>
          <w:lang w:val="es-ES"/>
        </w:rPr>
      </w:pPr>
      <w:r>
        <w:rPr>
          <w:rFonts w:ascii="ITC Avant Garde" w:eastAsiaTheme="majorEastAsia" w:hAnsi="ITC Avant Garde" w:cstheme="majorBidi"/>
          <w:lang w:val="es-ES"/>
        </w:rPr>
        <w:t xml:space="preserve">Lo anterior con el fin de </w:t>
      </w:r>
      <w:r w:rsidR="00DB6781" w:rsidRPr="00DB6781">
        <w:rPr>
          <w:rFonts w:ascii="ITC Avant Garde" w:eastAsiaTheme="majorEastAsia" w:hAnsi="ITC Avant Garde" w:cstheme="majorBidi"/>
          <w:lang w:val="es-ES"/>
        </w:rPr>
        <w:t xml:space="preserve">contar con mayores elementos para determinar las condiciones bajo las cuales se deberán aprobar la Oferta </w:t>
      </w:r>
      <w:r w:rsidR="00551CB2">
        <w:rPr>
          <w:rFonts w:ascii="ITC Avant Garde" w:eastAsiaTheme="majorEastAsia" w:hAnsi="ITC Avant Garde" w:cstheme="majorBidi"/>
          <w:lang w:val="es-ES"/>
        </w:rPr>
        <w:t xml:space="preserve">de Referencia </w:t>
      </w:r>
      <w:r w:rsidR="00551CB2" w:rsidRPr="00551CB2">
        <w:rPr>
          <w:rFonts w:ascii="ITC Avant Garde" w:eastAsiaTheme="majorEastAsia" w:hAnsi="ITC Avant Garde" w:cstheme="majorBidi"/>
          <w:lang w:val="es-ES"/>
        </w:rPr>
        <w:t>para la prestación del Servicio de Acceso y Uso Compartido de Infraestructura Pasiva</w:t>
      </w:r>
      <w:r w:rsidR="00551CB2">
        <w:rPr>
          <w:rFonts w:ascii="ITC Avant Garde" w:eastAsiaTheme="majorEastAsia" w:hAnsi="ITC Avant Garde" w:cstheme="majorBidi"/>
          <w:lang w:val="es-ES"/>
        </w:rPr>
        <w:t xml:space="preserve"> correspondiente a </w:t>
      </w:r>
      <w:r w:rsidR="00551CB2" w:rsidRPr="00551CB2">
        <w:rPr>
          <w:rFonts w:ascii="ITC Avant Garde" w:eastAsiaTheme="majorEastAsia" w:hAnsi="ITC Avant Garde" w:cstheme="majorBidi"/>
          <w:lang w:val="es-ES"/>
        </w:rPr>
        <w:t>Teléfonos de México, S.A.B. de C.V., y Teléfonos del Noroeste, S.A. de C.V</w:t>
      </w:r>
      <w:r w:rsidR="00551CB2">
        <w:rPr>
          <w:rFonts w:ascii="ITC Avant Garde" w:eastAsiaTheme="majorEastAsia" w:hAnsi="ITC Avant Garde" w:cstheme="majorBidi"/>
          <w:lang w:val="es-ES"/>
        </w:rPr>
        <w:t>.</w:t>
      </w:r>
      <w:r w:rsidR="00DB6781" w:rsidRPr="00DB6781">
        <w:rPr>
          <w:rFonts w:ascii="ITC Avant Garde" w:eastAsiaTheme="majorEastAsia" w:hAnsi="ITC Avant Garde" w:cstheme="majorBidi"/>
          <w:lang w:val="es-ES"/>
        </w:rPr>
        <w:t>, de conformidad con lo establecido en la “</w:t>
      </w:r>
      <w:r w:rsidR="00551CB2" w:rsidRPr="00551CB2">
        <w:rPr>
          <w:rFonts w:ascii="ITC Avant Garde" w:eastAsiaTheme="majorEastAsia" w:hAnsi="ITC Avant Garde" w:cstheme="majorBidi"/>
          <w:i/>
          <w:lang w:val="es-ES"/>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00551CB2" w:rsidRPr="00551CB2">
        <w:rPr>
          <w:rFonts w:ascii="ITC Avant Garde" w:eastAsiaTheme="majorEastAsia" w:hAnsi="ITC Avant Garde" w:cstheme="majorBidi"/>
          <w:i/>
          <w:lang w:val="es-ES"/>
        </w:rPr>
        <w:t>Radiomóvil</w:t>
      </w:r>
      <w:proofErr w:type="spellEnd"/>
      <w:r w:rsidR="00551CB2" w:rsidRPr="00551CB2">
        <w:rPr>
          <w:rFonts w:ascii="ITC Avant Garde" w:eastAsiaTheme="majorEastAsia" w:hAnsi="ITC Avant Garde" w:cstheme="majorBidi"/>
          <w:i/>
          <w:lang w:val="es-ES"/>
        </w:rPr>
        <w:t xml:space="preserve">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así como el “Acuerdo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establecidas Mediante Acuerdo P/IFT/EXT/270217/119” aprobado mediante P/IFT/270218/130 y la “Resolución Mediante la cual el Pleno del Instituto Federal de Telecomunicaciones suprime, modifica y adiciona las Medidas Impuestas al Agente Económico Preponderante en el sector de Telecomunicaciones Mediante Acuerdos P/IFT/EXT/060314/76 y P/IFT/EXT/270217/119” aprobada mediante Acuerdo P/IFT/021220/488</w:t>
      </w:r>
      <w:r w:rsidR="00DB6781" w:rsidRPr="00DB6781">
        <w:rPr>
          <w:rFonts w:ascii="ITC Avant Garde" w:eastAsiaTheme="majorEastAsia" w:hAnsi="ITC Avant Garde" w:cstheme="majorBidi"/>
          <w:lang w:val="es-ES"/>
        </w:rPr>
        <w:t>”</w:t>
      </w:r>
      <w:r w:rsidR="00930014">
        <w:rPr>
          <w:rFonts w:ascii="ITC Avant Garde" w:eastAsiaTheme="majorEastAsia" w:hAnsi="ITC Avant Garde" w:cstheme="majorBidi"/>
          <w:lang w:val="es-ES"/>
        </w:rPr>
        <w:t>.</w:t>
      </w:r>
    </w:p>
    <w:p w14:paraId="2DD0DF92" w14:textId="5E11B567" w:rsidR="0010284A"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lastRenderedPageBreak/>
        <w:t xml:space="preserve">Unidades y/o Coordinaciones Generales responsables 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C2F7958" w14:textId="5F28DA01"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090547">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03DFFB9D" w14:textId="3FEFAEEA" w:rsidR="007D54E4" w:rsidRPr="007D54E4" w:rsidRDefault="007D54E4" w:rsidP="007D54E4">
      <w:pPr>
        <w:rPr>
          <w:rFonts w:ascii="ITC Avant Garde" w:eastAsiaTheme="majorEastAsia" w:hAnsi="ITC Avant Garde" w:cstheme="majorBidi"/>
          <w:b/>
          <w:lang w:val="es-ES"/>
        </w:rPr>
      </w:pPr>
      <w:bookmarkStart w:id="1" w:name="_Hlk88039901"/>
      <w:r w:rsidRPr="007D54E4">
        <w:rPr>
          <w:rFonts w:ascii="ITC Avant Garde" w:eastAsiaTheme="majorEastAsia" w:hAnsi="ITC Avant Garde" w:cstheme="majorBidi"/>
          <w:b/>
          <w:lang w:val="es-ES"/>
        </w:rPr>
        <w:t xml:space="preserve">Descripción de los participantes en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42C470DB" w14:textId="65BBD519" w:rsidR="00376792" w:rsidRDefault="007D54E4" w:rsidP="00376792">
      <w:pPr>
        <w:rPr>
          <w:rFonts w:ascii="ITC Avant Garde" w:eastAsia="Calibri" w:hAnsi="ITC Avant Garde" w:cs="Times New Roman"/>
          <w:lang w:val="es-ES"/>
        </w:rPr>
      </w:pPr>
      <w:r w:rsidRPr="007D54E4">
        <w:rPr>
          <w:rFonts w:ascii="ITC Avant Garde" w:eastAsia="Calibri" w:hAnsi="ITC Avant Garde" w:cs="Times New Roman"/>
          <w:lang w:val="es-ES"/>
        </w:rPr>
        <w:t>Durante el periodo de</w:t>
      </w:r>
      <w:r w:rsidR="00376792">
        <w:rPr>
          <w:rFonts w:ascii="ITC Avant Garde" w:eastAsia="Calibri" w:hAnsi="ITC Avant Garde" w:cs="Times New Roman"/>
          <w:lang w:val="es-ES"/>
        </w:rPr>
        <w:t xml:space="preserve"> la </w:t>
      </w:r>
      <w:r w:rsidR="0010284A">
        <w:rPr>
          <w:rFonts w:ascii="ITC Avant Garde" w:eastAsia="Calibri" w:hAnsi="ITC Avant Garde" w:cs="Times New Roman"/>
          <w:lang w:val="es-ES"/>
        </w:rPr>
        <w:t>C</w:t>
      </w:r>
      <w:r w:rsidR="00376792">
        <w:rPr>
          <w:rFonts w:ascii="ITC Avant Garde" w:eastAsia="Calibri" w:hAnsi="ITC Avant Garde" w:cs="Times New Roman"/>
          <w:lang w:val="es-ES"/>
        </w:rPr>
        <w:t xml:space="preserve">onsulta </w:t>
      </w:r>
      <w:r w:rsidR="0010284A">
        <w:rPr>
          <w:rFonts w:ascii="ITC Avant Garde" w:eastAsia="Calibri" w:hAnsi="ITC Avant Garde" w:cs="Times New Roman"/>
          <w:lang w:val="es-ES"/>
        </w:rPr>
        <w:t>P</w:t>
      </w:r>
      <w:r w:rsidR="00376792">
        <w:rPr>
          <w:rFonts w:ascii="ITC Avant Garde" w:eastAsia="Calibri" w:hAnsi="ITC Avant Garde" w:cs="Times New Roman"/>
          <w:lang w:val="es-ES"/>
        </w:rPr>
        <w:t xml:space="preserve">ública de mérito </w:t>
      </w:r>
      <w:r w:rsidR="009A693C">
        <w:rPr>
          <w:rFonts w:ascii="ITC Avant Garde" w:eastAsia="Calibri" w:hAnsi="ITC Avant Garde" w:cs="Times New Roman"/>
          <w:lang w:val="es-ES"/>
        </w:rPr>
        <w:t xml:space="preserve">únicamente </w:t>
      </w:r>
      <w:r w:rsidR="00376792">
        <w:rPr>
          <w:rFonts w:ascii="ITC Avant Garde" w:eastAsia="Calibri" w:hAnsi="ITC Avant Garde" w:cs="Times New Roman"/>
          <w:lang w:val="es-ES"/>
        </w:rPr>
        <w:t>s</w:t>
      </w:r>
      <w:r w:rsidR="00793681">
        <w:rPr>
          <w:rFonts w:ascii="ITC Avant Garde" w:eastAsia="Calibri" w:hAnsi="ITC Avant Garde" w:cs="Times New Roman"/>
          <w:lang w:val="es-ES"/>
        </w:rPr>
        <w:t>e recibieron comentarios</w:t>
      </w:r>
      <w:r w:rsidR="00551CB2">
        <w:rPr>
          <w:rFonts w:ascii="ITC Avant Garde" w:eastAsia="Calibri" w:hAnsi="ITC Avant Garde" w:cs="Times New Roman"/>
          <w:lang w:val="es-ES"/>
        </w:rPr>
        <w:t xml:space="preserve"> de </w:t>
      </w:r>
      <w:r w:rsidR="009A693C">
        <w:rPr>
          <w:rFonts w:ascii="ITC Avant Garde" w:eastAsia="Calibri" w:hAnsi="ITC Avant Garde" w:cs="Times New Roman"/>
          <w:lang w:val="es-ES"/>
        </w:rPr>
        <w:t xml:space="preserve">la Cámara Nacional de </w:t>
      </w:r>
      <w:r w:rsidR="009A693C" w:rsidRPr="009A693C">
        <w:rPr>
          <w:rFonts w:ascii="ITC Avant Garde" w:eastAsia="Calibri" w:hAnsi="ITC Avant Garde" w:cs="Times New Roman"/>
          <w:lang w:val="es-ES"/>
        </w:rPr>
        <w:t xml:space="preserve">la Industria Electrónica, de Telecomunicaciones y Tecnologías de la Información </w:t>
      </w:r>
      <w:r w:rsidR="009A693C">
        <w:rPr>
          <w:rFonts w:ascii="ITC Avant Garde" w:eastAsia="Calibri" w:hAnsi="ITC Avant Garde" w:cs="Times New Roman"/>
          <w:lang w:val="es-ES"/>
        </w:rPr>
        <w:t>(</w:t>
      </w:r>
      <w:r w:rsidR="00EE6FE2">
        <w:rPr>
          <w:rFonts w:ascii="ITC Avant Garde" w:eastAsia="Calibri" w:hAnsi="ITC Avant Garde" w:cs="Times New Roman"/>
          <w:lang w:val="es-ES"/>
        </w:rPr>
        <w:t>en lo sucesivo, “</w:t>
      </w:r>
      <w:r w:rsidR="009A693C">
        <w:rPr>
          <w:rFonts w:ascii="ITC Avant Garde" w:eastAsia="Calibri" w:hAnsi="ITC Avant Garde" w:cs="Times New Roman"/>
          <w:lang w:val="es-ES"/>
        </w:rPr>
        <w:t>CANIETI</w:t>
      </w:r>
      <w:r w:rsidR="00EE6FE2">
        <w:rPr>
          <w:rFonts w:ascii="ITC Avant Garde" w:eastAsia="Calibri" w:hAnsi="ITC Avant Garde" w:cs="Times New Roman"/>
          <w:lang w:val="es-ES"/>
        </w:rPr>
        <w:t>”</w:t>
      </w:r>
      <w:r w:rsidR="009A693C">
        <w:rPr>
          <w:rFonts w:ascii="ITC Avant Garde" w:eastAsia="Calibri" w:hAnsi="ITC Avant Garde" w:cs="Times New Roman"/>
          <w:lang w:val="es-ES"/>
        </w:rPr>
        <w:t>)</w:t>
      </w:r>
      <w:bookmarkEnd w:id="0"/>
      <w:r w:rsidR="00CE3F6E">
        <w:rPr>
          <w:rFonts w:ascii="ITC Avant Garde" w:eastAsia="Calibri" w:hAnsi="ITC Avant Garde" w:cs="Times New Roman"/>
          <w:lang w:val="es-ES"/>
        </w:rPr>
        <w:t>.</w:t>
      </w:r>
    </w:p>
    <w:p w14:paraId="6D89B008" w14:textId="3BCAB540" w:rsidR="00942AFB" w:rsidRPr="007D54E4" w:rsidRDefault="00942AFB" w:rsidP="00942AFB">
      <w:pPr>
        <w:rPr>
          <w:rFonts w:ascii="ITC Avant Garde" w:eastAsiaTheme="majorEastAsia" w:hAnsi="ITC Avant Garde" w:cstheme="majorBidi"/>
          <w:b/>
          <w:lang w:val="es-ES"/>
        </w:rPr>
      </w:pPr>
      <w:r>
        <w:rPr>
          <w:rFonts w:ascii="ITC Avant Garde" w:eastAsiaTheme="majorEastAsia" w:hAnsi="ITC Avant Garde" w:cstheme="majorBidi"/>
          <w:b/>
          <w:lang w:val="es-ES"/>
        </w:rPr>
        <w:t>Las respuestas o posicionamientos que correspondan por parte del Instituto</w:t>
      </w:r>
    </w:p>
    <w:p w14:paraId="3D0841BC" w14:textId="2D97C356" w:rsidR="001F31F3" w:rsidRPr="001F31F3" w:rsidRDefault="001F31F3" w:rsidP="004F5021">
      <w:pPr>
        <w:rPr>
          <w:rFonts w:ascii="ITC Avant Garde" w:eastAsia="Calibri" w:hAnsi="ITC Avant Garde" w:cs="Times New Roman"/>
          <w:b/>
          <w:bCs/>
          <w:lang w:val="es-ES"/>
        </w:rPr>
      </w:pPr>
      <w:r w:rsidRPr="001F31F3">
        <w:rPr>
          <w:rFonts w:ascii="ITC Avant Garde" w:eastAsia="Calibri" w:hAnsi="ITC Avant Garde" w:cs="Times New Roman"/>
          <w:b/>
          <w:bCs/>
          <w:lang w:val="es-ES"/>
        </w:rPr>
        <w:t xml:space="preserve">De las TARIFAS </w:t>
      </w:r>
      <w:r>
        <w:rPr>
          <w:rFonts w:ascii="ITC Avant Garde" w:eastAsia="Calibri" w:hAnsi="ITC Avant Garde" w:cs="Times New Roman"/>
          <w:b/>
          <w:bCs/>
          <w:lang w:val="es-ES"/>
        </w:rPr>
        <w:t>de la Propuesta</w:t>
      </w:r>
    </w:p>
    <w:p w14:paraId="6547F584" w14:textId="77777777" w:rsidR="001F31F3" w:rsidRDefault="004F5021" w:rsidP="004F5021">
      <w:pPr>
        <w:rPr>
          <w:rFonts w:ascii="ITC Avant Garde" w:eastAsia="Calibri" w:hAnsi="ITC Avant Garde" w:cs="Times New Roman"/>
          <w:lang w:val="es-ES"/>
        </w:rPr>
      </w:pPr>
      <w:r>
        <w:rPr>
          <w:rFonts w:ascii="ITC Avant Garde" w:eastAsia="Calibri" w:hAnsi="ITC Avant Garde" w:cs="Times New Roman"/>
          <w:lang w:val="es-ES"/>
        </w:rPr>
        <w:t xml:space="preserve">Sobre las </w:t>
      </w:r>
      <w:r w:rsidRPr="004F5021">
        <w:rPr>
          <w:rFonts w:ascii="ITC Avant Garde" w:eastAsia="Calibri" w:hAnsi="ITC Avant Garde" w:cs="Times New Roman"/>
          <w:lang w:val="es-ES"/>
        </w:rPr>
        <w:t xml:space="preserve">tarifas </w:t>
      </w:r>
      <w:r w:rsidR="00BA23CF" w:rsidRPr="004F5021">
        <w:rPr>
          <w:rFonts w:ascii="ITC Avant Garde" w:eastAsia="Calibri" w:hAnsi="ITC Avant Garde" w:cs="Times New Roman"/>
          <w:lang w:val="es-ES"/>
        </w:rPr>
        <w:t xml:space="preserve">y conceptos de cobro </w:t>
      </w:r>
      <w:r w:rsidRPr="004F5021">
        <w:rPr>
          <w:rFonts w:ascii="ITC Avant Garde" w:eastAsia="Calibri" w:hAnsi="ITC Avant Garde" w:cs="Times New Roman"/>
          <w:lang w:val="es-ES"/>
        </w:rPr>
        <w:t>para 2024</w:t>
      </w:r>
      <w:r>
        <w:rPr>
          <w:rFonts w:ascii="ITC Avant Garde" w:eastAsia="Calibri" w:hAnsi="ITC Avant Garde" w:cs="Times New Roman"/>
          <w:lang w:val="es-ES"/>
        </w:rPr>
        <w:t>, CANIETI señala que</w:t>
      </w:r>
      <w:r w:rsidRPr="004F5021">
        <w:rPr>
          <w:rFonts w:ascii="ITC Avant Garde" w:eastAsia="Calibri" w:hAnsi="ITC Avant Garde" w:cs="Times New Roman"/>
          <w:lang w:val="es-ES"/>
        </w:rPr>
        <w:t xml:space="preserve"> </w:t>
      </w:r>
      <w:r>
        <w:rPr>
          <w:rFonts w:ascii="ITC Avant Garde" w:eastAsia="Calibri" w:hAnsi="ITC Avant Garde" w:cs="Times New Roman"/>
          <w:lang w:val="es-ES"/>
        </w:rPr>
        <w:t>“</w:t>
      </w:r>
      <w:r w:rsidRPr="00BA23CF">
        <w:rPr>
          <w:rFonts w:ascii="ITC Avant Garde" w:eastAsia="Calibri" w:hAnsi="ITC Avant Garde" w:cs="Times New Roman"/>
          <w:i/>
          <w:iCs/>
          <w:lang w:val="es-ES"/>
        </w:rPr>
        <w:t>no deben contemplar incremento alguno toda vez que no existe justificación para un incremento de precios, más aún cuando los precios de los servicios se han incrementado sostenidamente, por lo que la propuesta del AEPT debe ser desechada</w:t>
      </w:r>
      <w:r>
        <w:rPr>
          <w:rFonts w:ascii="ITC Avant Garde" w:eastAsia="Calibri" w:hAnsi="ITC Avant Garde" w:cs="Times New Roman"/>
          <w:lang w:val="es-ES"/>
        </w:rPr>
        <w:t>”</w:t>
      </w:r>
      <w:r w:rsidRPr="004F5021">
        <w:rPr>
          <w:rFonts w:ascii="ITC Avant Garde" w:eastAsia="Calibri" w:hAnsi="ITC Avant Garde" w:cs="Times New Roman"/>
          <w:lang w:val="es-ES"/>
        </w:rPr>
        <w:t xml:space="preserve">. </w:t>
      </w:r>
      <w:r w:rsidR="006A3CD2">
        <w:rPr>
          <w:rFonts w:ascii="ITC Avant Garde" w:eastAsia="Calibri" w:hAnsi="ITC Avant Garde" w:cs="Times New Roman"/>
          <w:lang w:val="es-ES"/>
        </w:rPr>
        <w:t xml:space="preserve"> </w:t>
      </w:r>
    </w:p>
    <w:p w14:paraId="4D9BFE22" w14:textId="1E508E8B" w:rsidR="004F5021" w:rsidRPr="004F5021" w:rsidRDefault="006A3CD2" w:rsidP="004F5021">
      <w:pPr>
        <w:rPr>
          <w:rFonts w:ascii="ITC Avant Garde" w:eastAsia="Calibri" w:hAnsi="ITC Avant Garde" w:cs="Times New Roman"/>
          <w:lang w:val="es-ES"/>
        </w:rPr>
      </w:pPr>
      <w:r>
        <w:rPr>
          <w:rFonts w:ascii="ITC Avant Garde" w:eastAsia="Calibri" w:hAnsi="ITC Avant Garde" w:cs="Times New Roman"/>
          <w:lang w:val="es-ES"/>
        </w:rPr>
        <w:t xml:space="preserve">Al respecto, el Instituto valorará los incrementos propuestos a la luz de las justificaciones ofrecidas por </w:t>
      </w:r>
      <w:r w:rsidRPr="006A3CD2">
        <w:rPr>
          <w:rFonts w:ascii="ITC Avant Garde" w:eastAsia="Calibri" w:hAnsi="ITC Avant Garde" w:cs="Times New Roman"/>
          <w:lang w:val="es-ES"/>
        </w:rPr>
        <w:t>Teléfonos de México, S.A.B. de C.V. y Teléfonos del Noroeste, S.A. de C.V.</w:t>
      </w:r>
      <w:r>
        <w:rPr>
          <w:rFonts w:ascii="ITC Avant Garde" w:eastAsia="Calibri" w:hAnsi="ITC Avant Garde" w:cs="Times New Roman"/>
          <w:lang w:val="es-ES"/>
        </w:rPr>
        <w:t xml:space="preserve"> (Telmex y Telnor)</w:t>
      </w:r>
      <w:r w:rsidR="004D1764">
        <w:rPr>
          <w:rFonts w:ascii="ITC Avant Garde" w:eastAsia="Calibri" w:hAnsi="ITC Avant Garde" w:cs="Times New Roman"/>
          <w:lang w:val="es-ES"/>
        </w:rPr>
        <w:t xml:space="preserve">, y de los resultados de </w:t>
      </w:r>
      <w:r w:rsidR="00EE6FE2">
        <w:rPr>
          <w:rFonts w:ascii="ITC Avant Garde" w:eastAsia="Calibri" w:hAnsi="ITC Avant Garde" w:cs="Times New Roman"/>
          <w:lang w:val="es-ES"/>
        </w:rPr>
        <w:t xml:space="preserve">la actualización del </w:t>
      </w:r>
      <w:r w:rsidR="004D1764">
        <w:rPr>
          <w:rFonts w:ascii="ITC Avant Garde" w:eastAsia="Calibri" w:hAnsi="ITC Avant Garde" w:cs="Times New Roman"/>
          <w:lang w:val="es-ES"/>
        </w:rPr>
        <w:t>Modelo de Acceso a Torres</w:t>
      </w:r>
      <w:r>
        <w:rPr>
          <w:rFonts w:ascii="ITC Avant Garde" w:eastAsia="Calibri" w:hAnsi="ITC Avant Garde" w:cs="Times New Roman"/>
          <w:lang w:val="es-ES"/>
        </w:rPr>
        <w:t>.</w:t>
      </w:r>
    </w:p>
    <w:p w14:paraId="32660FE0" w14:textId="1FBF4AB6" w:rsidR="001F31F3" w:rsidRPr="00204AEF" w:rsidRDefault="001F31F3" w:rsidP="001F31F3">
      <w:pPr>
        <w:rPr>
          <w:rFonts w:ascii="ITC Avant Garde" w:eastAsia="Calibri" w:hAnsi="ITC Avant Garde" w:cs="Times New Roman"/>
          <w:b/>
          <w:bCs/>
          <w:lang w:val="es-ES"/>
        </w:rPr>
      </w:pPr>
      <w:r w:rsidRPr="001F31F3">
        <w:rPr>
          <w:rFonts w:ascii="ITC Avant Garde" w:eastAsia="Calibri" w:hAnsi="ITC Avant Garde" w:cs="Times New Roman"/>
          <w:b/>
          <w:bCs/>
          <w:lang w:val="es-ES"/>
        </w:rPr>
        <w:t>De l</w:t>
      </w:r>
      <w:r>
        <w:rPr>
          <w:rFonts w:ascii="ITC Avant Garde" w:eastAsia="Calibri" w:hAnsi="ITC Avant Garde" w:cs="Times New Roman"/>
          <w:b/>
          <w:bCs/>
          <w:lang w:val="es-ES"/>
        </w:rPr>
        <w:t>o</w:t>
      </w:r>
      <w:r w:rsidRPr="001F31F3">
        <w:rPr>
          <w:rFonts w:ascii="ITC Avant Garde" w:eastAsia="Calibri" w:hAnsi="ITC Avant Garde" w:cs="Times New Roman"/>
          <w:b/>
          <w:bCs/>
          <w:lang w:val="es-ES"/>
        </w:rPr>
        <w:t>s T</w:t>
      </w:r>
      <w:r>
        <w:rPr>
          <w:rFonts w:ascii="ITC Avant Garde" w:eastAsia="Calibri" w:hAnsi="ITC Avant Garde" w:cs="Times New Roman"/>
          <w:b/>
          <w:bCs/>
          <w:lang w:val="es-ES"/>
        </w:rPr>
        <w:t>RABAJOS ESPECIALES</w:t>
      </w:r>
      <w:r w:rsidRPr="001F31F3">
        <w:rPr>
          <w:rFonts w:ascii="ITC Avant Garde" w:eastAsia="Calibri" w:hAnsi="ITC Avant Garde" w:cs="Times New Roman"/>
          <w:b/>
          <w:bCs/>
          <w:lang w:val="es-ES"/>
        </w:rPr>
        <w:t xml:space="preserve"> </w:t>
      </w:r>
      <w:r>
        <w:rPr>
          <w:rFonts w:ascii="ITC Avant Garde" w:eastAsia="Calibri" w:hAnsi="ITC Avant Garde" w:cs="Times New Roman"/>
          <w:b/>
          <w:bCs/>
          <w:lang w:val="es-ES"/>
        </w:rPr>
        <w:t>de la Propuesta</w:t>
      </w:r>
    </w:p>
    <w:p w14:paraId="55FBCEB2" w14:textId="6077A2A7" w:rsidR="001F31F3" w:rsidRDefault="004F5021" w:rsidP="004F5021">
      <w:pPr>
        <w:rPr>
          <w:rFonts w:ascii="ITC Avant Garde" w:eastAsia="Calibri" w:hAnsi="ITC Avant Garde" w:cs="Times New Roman"/>
          <w:lang w:val="es-ES"/>
        </w:rPr>
      </w:pPr>
      <w:r>
        <w:rPr>
          <w:rFonts w:ascii="ITC Avant Garde" w:eastAsia="Calibri" w:hAnsi="ITC Avant Garde" w:cs="Times New Roman"/>
          <w:lang w:val="es-ES"/>
        </w:rPr>
        <w:t xml:space="preserve">En materia de </w:t>
      </w:r>
      <w:r w:rsidRPr="004F5021">
        <w:rPr>
          <w:rFonts w:ascii="ITC Avant Garde" w:eastAsia="Calibri" w:hAnsi="ITC Avant Garde" w:cs="Times New Roman"/>
          <w:lang w:val="es-ES"/>
        </w:rPr>
        <w:t xml:space="preserve">Trabajos </w:t>
      </w:r>
      <w:r w:rsidR="00BA23CF">
        <w:rPr>
          <w:rFonts w:ascii="ITC Avant Garde" w:eastAsia="Calibri" w:hAnsi="ITC Avant Garde" w:cs="Times New Roman"/>
          <w:lang w:val="es-ES"/>
        </w:rPr>
        <w:t>E</w:t>
      </w:r>
      <w:r w:rsidRPr="004F5021">
        <w:rPr>
          <w:rFonts w:ascii="ITC Avant Garde" w:eastAsia="Calibri" w:hAnsi="ITC Avant Garde" w:cs="Times New Roman"/>
          <w:lang w:val="es-ES"/>
        </w:rPr>
        <w:t>speciales</w:t>
      </w:r>
      <w:r>
        <w:rPr>
          <w:rFonts w:ascii="ITC Avant Garde" w:eastAsia="Calibri" w:hAnsi="ITC Avant Garde" w:cs="Times New Roman"/>
          <w:lang w:val="es-ES"/>
        </w:rPr>
        <w:t>, CANIETI señala que “</w:t>
      </w:r>
      <w:r w:rsidRPr="00BA23CF">
        <w:rPr>
          <w:rFonts w:ascii="ITC Avant Garde" w:eastAsia="Calibri" w:hAnsi="ITC Avant Garde" w:cs="Times New Roman"/>
          <w:i/>
          <w:iCs/>
          <w:lang w:val="es-ES"/>
        </w:rPr>
        <w:t>se debe eliminar el concepto de cobro de cotización de trabajo especial, ya que este trabajo corresponde a un costo operativo que ya está considerado dentro del modelo de costos</w:t>
      </w:r>
      <w:r>
        <w:rPr>
          <w:rFonts w:ascii="ITC Avant Garde" w:eastAsia="Calibri" w:hAnsi="ITC Avant Garde" w:cs="Times New Roman"/>
          <w:lang w:val="es-ES"/>
        </w:rPr>
        <w:t>”, además de opinar que “</w:t>
      </w:r>
      <w:r w:rsidRPr="00BA23CF">
        <w:rPr>
          <w:rFonts w:ascii="ITC Avant Garde" w:eastAsia="Calibri" w:hAnsi="ITC Avant Garde" w:cs="Times New Roman"/>
          <w:i/>
          <w:iCs/>
          <w:lang w:val="es-ES"/>
        </w:rPr>
        <w:t>es necesario que se establezca una metodología para el cobro de los [trabajos especiales], con el fin de brindar certidumbre y transparencia, lo cual podría resultar en un catálogo de infraestructura con tarifas orientadas a costos</w:t>
      </w:r>
      <w:r>
        <w:rPr>
          <w:rFonts w:ascii="ITC Avant Garde" w:eastAsia="Calibri" w:hAnsi="ITC Avant Garde" w:cs="Times New Roman"/>
          <w:lang w:val="es-ES"/>
        </w:rPr>
        <w:t>”</w:t>
      </w:r>
      <w:r w:rsidRPr="004F5021">
        <w:rPr>
          <w:rFonts w:ascii="ITC Avant Garde" w:eastAsia="Calibri" w:hAnsi="ITC Avant Garde" w:cs="Times New Roman"/>
          <w:lang w:val="es-ES"/>
        </w:rPr>
        <w:t>.</w:t>
      </w:r>
      <w:bookmarkEnd w:id="1"/>
      <w:r w:rsidR="006A3CD2">
        <w:rPr>
          <w:rFonts w:ascii="ITC Avant Garde" w:eastAsia="Calibri" w:hAnsi="ITC Avant Garde" w:cs="Times New Roman"/>
          <w:lang w:val="es-ES"/>
        </w:rPr>
        <w:t xml:space="preserve">  </w:t>
      </w:r>
    </w:p>
    <w:p w14:paraId="1AB6AFF9" w14:textId="344AB497" w:rsidR="00942AFB" w:rsidRPr="0010284A" w:rsidRDefault="006A3CD2" w:rsidP="004F5021">
      <w:pPr>
        <w:rPr>
          <w:rStyle w:val="Hipervnculo"/>
          <w:rFonts w:ascii="ITC Avant Garde" w:hAnsi="ITC Avant Garde"/>
          <w:lang w:val="es-MX"/>
        </w:rPr>
      </w:pPr>
      <w:r>
        <w:rPr>
          <w:rFonts w:ascii="ITC Avant Garde" w:eastAsia="Calibri" w:hAnsi="ITC Avant Garde" w:cs="Times New Roman"/>
          <w:lang w:val="es-ES"/>
        </w:rPr>
        <w:t xml:space="preserve">En este tema, el Instituto valorará los criterios establecidos para la determinación </w:t>
      </w:r>
      <w:bookmarkStart w:id="2" w:name="_GoBack"/>
      <w:bookmarkEnd w:id="2"/>
      <w:r>
        <w:rPr>
          <w:rFonts w:ascii="ITC Avant Garde" w:eastAsia="Calibri" w:hAnsi="ITC Avant Garde" w:cs="Times New Roman"/>
          <w:lang w:val="es-ES"/>
        </w:rPr>
        <w:t>de Trabajos Especiales</w:t>
      </w:r>
      <w:r w:rsidR="00002005" w:rsidRPr="00002005">
        <w:rPr>
          <w:rFonts w:ascii="ITC Avant Garde" w:eastAsia="Calibri" w:hAnsi="ITC Avant Garde" w:cs="Times New Roman"/>
          <w:lang w:val="es-ES"/>
        </w:rPr>
        <w:t xml:space="preserve"> </w:t>
      </w:r>
      <w:r w:rsidR="00002005">
        <w:rPr>
          <w:rFonts w:ascii="ITC Avant Garde" w:eastAsia="Calibri" w:hAnsi="ITC Avant Garde" w:cs="Times New Roman"/>
          <w:lang w:val="es-ES"/>
        </w:rPr>
        <w:t>con anterioridad</w:t>
      </w:r>
      <w:r>
        <w:rPr>
          <w:rFonts w:ascii="ITC Avant Garde" w:eastAsia="Calibri" w:hAnsi="ITC Avant Garde" w:cs="Times New Roman"/>
          <w:lang w:val="es-ES"/>
        </w:rPr>
        <w:t>, y los términos y condiciones de la Oferta de Referencia en materia de cotizaciones, a fin de que se otorgue certidumbre y transparencia a los concesionarios solicitantes.</w:t>
      </w:r>
    </w:p>
    <w:sectPr w:rsidR="00942AFB" w:rsidRPr="0010284A" w:rsidSect="001438D2">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20187" w14:textId="77777777" w:rsidR="00C612D3" w:rsidRDefault="00C612D3" w:rsidP="003C6172">
      <w:pPr>
        <w:spacing w:after="0" w:line="240" w:lineRule="auto"/>
      </w:pPr>
      <w:r>
        <w:separator/>
      </w:r>
    </w:p>
  </w:endnote>
  <w:endnote w:type="continuationSeparator" w:id="0">
    <w:p w14:paraId="4B9FBDEC" w14:textId="77777777" w:rsidR="00C612D3" w:rsidRDefault="00C612D3" w:rsidP="003C6172">
      <w:pPr>
        <w:spacing w:after="0" w:line="240" w:lineRule="auto"/>
      </w:pPr>
      <w:r>
        <w:continuationSeparator/>
      </w:r>
    </w:p>
  </w:endnote>
  <w:endnote w:type="continuationNotice" w:id="1">
    <w:p w14:paraId="7483478E" w14:textId="77777777" w:rsidR="00C612D3" w:rsidRDefault="00C61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altName w:val="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4061" w14:textId="0D5CCA31" w:rsidR="006D1F4A" w:rsidRPr="00C84A1D" w:rsidRDefault="00793681" w:rsidP="008958B5">
    <w:pPr>
      <w:pStyle w:val="Piedepgina"/>
      <w:jc w:val="right"/>
      <w:rPr>
        <w:rFonts w:ascii="ITC Avant Garde" w:hAnsi="ITC Avant Garde"/>
        <w:b/>
      </w:rPr>
    </w:pPr>
    <w:r w:rsidRPr="00793681">
      <w:rPr>
        <w:rFonts w:ascii="ITC Avant Garde" w:hAnsi="ITC Avant Garde"/>
      </w:rPr>
      <w:t>Página</w:t>
    </w:r>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090547" w:rsidRPr="00090547">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090547">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2480A72B"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691C3A">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691C3A">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A18C" w14:textId="77777777" w:rsidR="00C612D3" w:rsidRDefault="00C612D3" w:rsidP="003C6172">
      <w:pPr>
        <w:spacing w:after="0" w:line="240" w:lineRule="auto"/>
      </w:pPr>
      <w:r>
        <w:separator/>
      </w:r>
    </w:p>
  </w:footnote>
  <w:footnote w:type="continuationSeparator" w:id="0">
    <w:p w14:paraId="5654277B" w14:textId="77777777" w:rsidR="00C612D3" w:rsidRDefault="00C612D3" w:rsidP="003C6172">
      <w:pPr>
        <w:spacing w:after="0" w:line="240" w:lineRule="auto"/>
      </w:pPr>
      <w:r>
        <w:continuationSeparator/>
      </w:r>
    </w:p>
  </w:footnote>
  <w:footnote w:type="continuationNotice" w:id="1">
    <w:p w14:paraId="1EF14BFD" w14:textId="77777777" w:rsidR="00C612D3" w:rsidRDefault="00C612D3">
      <w:pPr>
        <w:spacing w:after="0" w:line="240" w:lineRule="auto"/>
      </w:pPr>
    </w:p>
  </w:footnote>
  <w:footnote w:id="2">
    <w:p w14:paraId="05A50AA3" w14:textId="595A1730" w:rsidR="00EE6008" w:rsidRPr="008C691B" w:rsidRDefault="006D1F4A" w:rsidP="006F6FCD">
      <w:pPr>
        <w:pStyle w:val="Textonotapie"/>
        <w:ind w:left="284" w:hanging="284"/>
        <w:rPr>
          <w:rFonts w:ascii="ITC Avant Garde" w:hAnsi="ITC Avant Garde"/>
          <w:sz w:val="14"/>
          <w:szCs w:val="14"/>
          <w:lang w:val="es-MX"/>
        </w:rPr>
      </w:pPr>
      <w:r w:rsidRPr="00DB41B3">
        <w:rPr>
          <w:rStyle w:val="Refdenotaalpie"/>
          <w:rFonts w:ascii="ITC Avant Garde" w:hAnsi="ITC Avant Garde"/>
          <w:sz w:val="14"/>
          <w:szCs w:val="14"/>
        </w:rPr>
        <w:footnoteRef/>
      </w:r>
      <w:r w:rsidRPr="0010284A">
        <w:rPr>
          <w:rFonts w:ascii="ITC Avant Garde" w:hAnsi="ITC Avant Garde"/>
          <w:sz w:val="14"/>
          <w:szCs w:val="14"/>
          <w:lang w:val="es-MX"/>
        </w:rPr>
        <w:t xml:space="preserve"> </w:t>
      </w:r>
      <w:r w:rsidR="00DE753B">
        <w:rPr>
          <w:rFonts w:ascii="ITC Avant Garde" w:hAnsi="ITC Avant Garde"/>
          <w:sz w:val="14"/>
          <w:szCs w:val="14"/>
          <w:lang w:val="es-MX"/>
        </w:rPr>
        <w:tab/>
      </w:r>
      <w:r w:rsidR="0010284A">
        <w:rPr>
          <w:rFonts w:ascii="ITC Avant Garde" w:hAnsi="ITC Avant Garde"/>
          <w:sz w:val="14"/>
          <w:szCs w:val="14"/>
          <w:lang w:val="es-MX"/>
        </w:rPr>
        <w:t xml:space="preserve">La </w:t>
      </w:r>
      <w:r w:rsidR="0010284A" w:rsidRPr="0010284A">
        <w:rPr>
          <w:rFonts w:ascii="ITC Avant Garde" w:hAnsi="ITC Avant Garde"/>
          <w:sz w:val="14"/>
          <w:szCs w:val="14"/>
          <w:lang w:val="es-MX"/>
        </w:rPr>
        <w:t>Consulta Pública sobre las “</w:t>
      </w:r>
      <w:r w:rsidR="00A14146" w:rsidRPr="00A14146">
        <w:rPr>
          <w:rFonts w:ascii="ITC Avant Garde" w:hAnsi="ITC Avant Garde"/>
          <w:sz w:val="14"/>
          <w:szCs w:val="14"/>
          <w:lang w:val="es-MX"/>
        </w:rPr>
        <w:t>Propuesta de Oferta Pública de Infraestructura presentada por Grupo Televisa como integrantes del Agente Económico Preponderante en el Sector de Radiodifusión, aplicable del 1 de enero de 2024 al 31 de diciembre de 2025</w:t>
      </w:r>
      <w:r w:rsidR="0010284A" w:rsidRPr="0010284A">
        <w:rPr>
          <w:rFonts w:ascii="ITC Avant Garde" w:hAnsi="ITC Avant Garde"/>
          <w:sz w:val="14"/>
          <w:szCs w:val="14"/>
          <w:lang w:val="es-MX"/>
        </w:rPr>
        <w:t>”</w:t>
      </w:r>
      <w:r w:rsidR="00A14146">
        <w:rPr>
          <w:rFonts w:ascii="ITC Avant Garde" w:hAnsi="ITC Avant Garde"/>
          <w:sz w:val="14"/>
          <w:szCs w:val="14"/>
          <w:lang w:val="es-MX"/>
        </w:rPr>
        <w:t xml:space="preserve"> </w:t>
      </w:r>
      <w:r w:rsidRPr="00DB41B3">
        <w:rPr>
          <w:rFonts w:ascii="ITC Avant Garde" w:hAnsi="ITC Avant Garde"/>
          <w:sz w:val="14"/>
          <w:szCs w:val="14"/>
          <w:lang w:val="es-MX"/>
        </w:rPr>
        <w:t xml:space="preserve">se encuentra disponible a través de la siguiente dirección electrónica: </w:t>
      </w:r>
      <w:r w:rsidR="00EE6008">
        <w:rPr>
          <w:rFonts w:ascii="ITC Avant Garde" w:hAnsi="ITC Avant Garde"/>
          <w:sz w:val="14"/>
          <w:szCs w:val="14"/>
          <w:lang w:val="es-MX"/>
        </w:rPr>
        <w:br/>
      </w:r>
      <w:hyperlink r:id="rId1" w:history="1">
        <w:r w:rsidR="009E06A4" w:rsidRPr="008C691B">
          <w:rPr>
            <w:rStyle w:val="Hipervnculo"/>
            <w:rFonts w:ascii="ITC Avant Garde" w:hAnsi="ITC Avant Garde"/>
            <w:sz w:val="14"/>
            <w:szCs w:val="14"/>
            <w:lang w:val="es-MX"/>
          </w:rPr>
          <w:t>https://www.ift.org.mx/industria/consultas-publicas/consulta-publica-sobre-la-propuesta-de-oferta-publica-de-infraestructura-presentada-por-grupo-0</w:t>
        </w:r>
      </w:hyperlink>
      <w:r w:rsidR="009E06A4" w:rsidRPr="008C691B">
        <w:rPr>
          <w:rStyle w:val="Hipervnculo"/>
          <w:rFonts w:ascii="ITC Avant Garde" w:hAnsi="ITC Avant Garde"/>
          <w:sz w:val="14"/>
          <w:szCs w:val="14"/>
          <w:lang w:val="es-MX"/>
        </w:rPr>
        <w:t xml:space="preserve"> </w:t>
      </w:r>
    </w:p>
    <w:p w14:paraId="481045FB" w14:textId="4367F168" w:rsidR="00465832" w:rsidRPr="008C691B" w:rsidRDefault="00EE6008" w:rsidP="006D1F4A">
      <w:pPr>
        <w:pStyle w:val="Textonotapie"/>
        <w:ind w:left="0" w:firstLine="0"/>
        <w:rPr>
          <w:rFonts w:ascii="ITC Avant Garde" w:hAnsi="ITC Avant Garde"/>
          <w:sz w:val="14"/>
          <w:szCs w:val="14"/>
          <w:lang w:val="es-MX"/>
        </w:rPr>
      </w:pPr>
      <w:r w:rsidRPr="008C691B">
        <w:rPr>
          <w:rFonts w:ascii="ITC Avant Garde" w:hAnsi="ITC Avant Garde"/>
          <w:sz w:val="14"/>
          <w:szCs w:val="14"/>
          <w:lang w:val="es-MX"/>
        </w:rPr>
        <w:t xml:space="preserve"> </w:t>
      </w:r>
    </w:p>
    <w:p w14:paraId="0CFB575A" w14:textId="7A70E2FB" w:rsidR="006D1F4A" w:rsidRPr="008C691B" w:rsidRDefault="006D1F4A" w:rsidP="006D1F4A">
      <w:pPr>
        <w:pStyle w:val="Textonotapie"/>
        <w:ind w:left="0" w:firstLine="0"/>
        <w:rPr>
          <w:rFonts w:ascii="ITC Avant Garde" w:hAnsi="ITC Avant Garde"/>
          <w:sz w:val="14"/>
          <w:szCs w:val="14"/>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EB"/>
    <w:rsid w:val="00000976"/>
    <w:rsid w:val="00000D47"/>
    <w:rsid w:val="00002005"/>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2B87"/>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0547"/>
    <w:rsid w:val="00094B13"/>
    <w:rsid w:val="000979CE"/>
    <w:rsid w:val="000A0E4D"/>
    <w:rsid w:val="000A2AC3"/>
    <w:rsid w:val="000A59A7"/>
    <w:rsid w:val="000A7C0A"/>
    <w:rsid w:val="000B2BF0"/>
    <w:rsid w:val="000B2F3C"/>
    <w:rsid w:val="000B44A5"/>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284A"/>
    <w:rsid w:val="001042DF"/>
    <w:rsid w:val="00105AB5"/>
    <w:rsid w:val="00115749"/>
    <w:rsid w:val="001178BC"/>
    <w:rsid w:val="001236ED"/>
    <w:rsid w:val="00123DA5"/>
    <w:rsid w:val="0012797F"/>
    <w:rsid w:val="00131DDE"/>
    <w:rsid w:val="0013713B"/>
    <w:rsid w:val="0013763A"/>
    <w:rsid w:val="00137ED3"/>
    <w:rsid w:val="001438D2"/>
    <w:rsid w:val="00145144"/>
    <w:rsid w:val="00145323"/>
    <w:rsid w:val="00157D64"/>
    <w:rsid w:val="00163B82"/>
    <w:rsid w:val="00165F67"/>
    <w:rsid w:val="00166C6E"/>
    <w:rsid w:val="00166F41"/>
    <w:rsid w:val="0017023A"/>
    <w:rsid w:val="00172D6E"/>
    <w:rsid w:val="001769CC"/>
    <w:rsid w:val="00176FA1"/>
    <w:rsid w:val="00177636"/>
    <w:rsid w:val="001820C8"/>
    <w:rsid w:val="00186225"/>
    <w:rsid w:val="00187F10"/>
    <w:rsid w:val="00193324"/>
    <w:rsid w:val="001A0DC4"/>
    <w:rsid w:val="001A42F1"/>
    <w:rsid w:val="001A5353"/>
    <w:rsid w:val="001A6A44"/>
    <w:rsid w:val="001B0607"/>
    <w:rsid w:val="001B5FDD"/>
    <w:rsid w:val="001B77A7"/>
    <w:rsid w:val="001C12FC"/>
    <w:rsid w:val="001C54DD"/>
    <w:rsid w:val="001D472D"/>
    <w:rsid w:val="001E02B7"/>
    <w:rsid w:val="001E0D16"/>
    <w:rsid w:val="001E4098"/>
    <w:rsid w:val="001E79ED"/>
    <w:rsid w:val="001F06DC"/>
    <w:rsid w:val="001F31F3"/>
    <w:rsid w:val="001F57FB"/>
    <w:rsid w:val="001F77DB"/>
    <w:rsid w:val="00201BDE"/>
    <w:rsid w:val="002061B5"/>
    <w:rsid w:val="00210F78"/>
    <w:rsid w:val="00213768"/>
    <w:rsid w:val="00213E01"/>
    <w:rsid w:val="00214979"/>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6E4C"/>
    <w:rsid w:val="002E7B47"/>
    <w:rsid w:val="002F0418"/>
    <w:rsid w:val="002F1F37"/>
    <w:rsid w:val="002F24A5"/>
    <w:rsid w:val="002F36EE"/>
    <w:rsid w:val="002F4E92"/>
    <w:rsid w:val="00301AAA"/>
    <w:rsid w:val="00307792"/>
    <w:rsid w:val="00310720"/>
    <w:rsid w:val="003110D4"/>
    <w:rsid w:val="00311803"/>
    <w:rsid w:val="0031318E"/>
    <w:rsid w:val="003136A0"/>
    <w:rsid w:val="00314973"/>
    <w:rsid w:val="00320F3B"/>
    <w:rsid w:val="003226EB"/>
    <w:rsid w:val="00322C19"/>
    <w:rsid w:val="003242AE"/>
    <w:rsid w:val="00324B8A"/>
    <w:rsid w:val="003302B3"/>
    <w:rsid w:val="00330717"/>
    <w:rsid w:val="003342DE"/>
    <w:rsid w:val="00336042"/>
    <w:rsid w:val="00336EE3"/>
    <w:rsid w:val="00337756"/>
    <w:rsid w:val="0033789D"/>
    <w:rsid w:val="00341B9C"/>
    <w:rsid w:val="00343F42"/>
    <w:rsid w:val="003442D2"/>
    <w:rsid w:val="0035272C"/>
    <w:rsid w:val="00355028"/>
    <w:rsid w:val="00356CC9"/>
    <w:rsid w:val="0035710A"/>
    <w:rsid w:val="00362CA8"/>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4D87"/>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2475E"/>
    <w:rsid w:val="00436AEE"/>
    <w:rsid w:val="00444DA5"/>
    <w:rsid w:val="004457BE"/>
    <w:rsid w:val="00447110"/>
    <w:rsid w:val="00453F3C"/>
    <w:rsid w:val="004571AD"/>
    <w:rsid w:val="00457F76"/>
    <w:rsid w:val="004630CC"/>
    <w:rsid w:val="00465832"/>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D1764"/>
    <w:rsid w:val="004D49AA"/>
    <w:rsid w:val="004E3222"/>
    <w:rsid w:val="004E4E94"/>
    <w:rsid w:val="004E4F9A"/>
    <w:rsid w:val="004E5D44"/>
    <w:rsid w:val="004E6780"/>
    <w:rsid w:val="004E68FC"/>
    <w:rsid w:val="004F1823"/>
    <w:rsid w:val="004F2277"/>
    <w:rsid w:val="004F5021"/>
    <w:rsid w:val="004F55E9"/>
    <w:rsid w:val="005004AC"/>
    <w:rsid w:val="005013F3"/>
    <w:rsid w:val="00507D99"/>
    <w:rsid w:val="00513E19"/>
    <w:rsid w:val="00514DD9"/>
    <w:rsid w:val="00517391"/>
    <w:rsid w:val="00517C0E"/>
    <w:rsid w:val="00520A74"/>
    <w:rsid w:val="00524ABF"/>
    <w:rsid w:val="0053181C"/>
    <w:rsid w:val="00534D94"/>
    <w:rsid w:val="005378CB"/>
    <w:rsid w:val="005434C3"/>
    <w:rsid w:val="005446DB"/>
    <w:rsid w:val="00547B9A"/>
    <w:rsid w:val="00550282"/>
    <w:rsid w:val="00551CB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B5282"/>
    <w:rsid w:val="005C12B8"/>
    <w:rsid w:val="005C16EE"/>
    <w:rsid w:val="005C31C3"/>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16837"/>
    <w:rsid w:val="00620036"/>
    <w:rsid w:val="00622062"/>
    <w:rsid w:val="00622D11"/>
    <w:rsid w:val="00624179"/>
    <w:rsid w:val="00625D84"/>
    <w:rsid w:val="00632C3B"/>
    <w:rsid w:val="00634925"/>
    <w:rsid w:val="0063616E"/>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7547"/>
    <w:rsid w:val="00682B77"/>
    <w:rsid w:val="0068491B"/>
    <w:rsid w:val="00685F22"/>
    <w:rsid w:val="00686395"/>
    <w:rsid w:val="00691C3A"/>
    <w:rsid w:val="0069500B"/>
    <w:rsid w:val="00696783"/>
    <w:rsid w:val="00696966"/>
    <w:rsid w:val="006A1C1E"/>
    <w:rsid w:val="006A3CD2"/>
    <w:rsid w:val="006A459C"/>
    <w:rsid w:val="006A5331"/>
    <w:rsid w:val="006A64D8"/>
    <w:rsid w:val="006B4487"/>
    <w:rsid w:val="006B48D2"/>
    <w:rsid w:val="006B5229"/>
    <w:rsid w:val="006B574F"/>
    <w:rsid w:val="006C5E5F"/>
    <w:rsid w:val="006C7103"/>
    <w:rsid w:val="006D1D1F"/>
    <w:rsid w:val="006D1F4A"/>
    <w:rsid w:val="006D4AE8"/>
    <w:rsid w:val="006D5382"/>
    <w:rsid w:val="006D7C3C"/>
    <w:rsid w:val="006E3221"/>
    <w:rsid w:val="006E55EC"/>
    <w:rsid w:val="006E70A2"/>
    <w:rsid w:val="006F33E0"/>
    <w:rsid w:val="006F6B48"/>
    <w:rsid w:val="006F6FCD"/>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47816"/>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06EBC"/>
    <w:rsid w:val="00813C5D"/>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D6C"/>
    <w:rsid w:val="00882004"/>
    <w:rsid w:val="0088307C"/>
    <w:rsid w:val="00886324"/>
    <w:rsid w:val="0088698F"/>
    <w:rsid w:val="00886B3B"/>
    <w:rsid w:val="0089104A"/>
    <w:rsid w:val="008958B5"/>
    <w:rsid w:val="008A14A4"/>
    <w:rsid w:val="008A2D32"/>
    <w:rsid w:val="008A3C50"/>
    <w:rsid w:val="008A515A"/>
    <w:rsid w:val="008B1B00"/>
    <w:rsid w:val="008B3F33"/>
    <w:rsid w:val="008B6A56"/>
    <w:rsid w:val="008B74FA"/>
    <w:rsid w:val="008C0DF8"/>
    <w:rsid w:val="008C5AAE"/>
    <w:rsid w:val="008C691B"/>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278B"/>
    <w:rsid w:val="009253CA"/>
    <w:rsid w:val="009258E7"/>
    <w:rsid w:val="00926E1D"/>
    <w:rsid w:val="00930014"/>
    <w:rsid w:val="0093182A"/>
    <w:rsid w:val="00931AF2"/>
    <w:rsid w:val="00932E6C"/>
    <w:rsid w:val="00932FED"/>
    <w:rsid w:val="00935D4B"/>
    <w:rsid w:val="00936300"/>
    <w:rsid w:val="00942AFB"/>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93C"/>
    <w:rsid w:val="009A6C19"/>
    <w:rsid w:val="009A7724"/>
    <w:rsid w:val="009A77B7"/>
    <w:rsid w:val="009B6E56"/>
    <w:rsid w:val="009C41EC"/>
    <w:rsid w:val="009C561C"/>
    <w:rsid w:val="009D1589"/>
    <w:rsid w:val="009D75EF"/>
    <w:rsid w:val="009D7688"/>
    <w:rsid w:val="009D7A9F"/>
    <w:rsid w:val="009E06A4"/>
    <w:rsid w:val="009E4796"/>
    <w:rsid w:val="009E53C1"/>
    <w:rsid w:val="009E75CE"/>
    <w:rsid w:val="009E7860"/>
    <w:rsid w:val="00A01F5A"/>
    <w:rsid w:val="00A0450C"/>
    <w:rsid w:val="00A07629"/>
    <w:rsid w:val="00A079B6"/>
    <w:rsid w:val="00A11FE9"/>
    <w:rsid w:val="00A14146"/>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50287"/>
    <w:rsid w:val="00A52EAF"/>
    <w:rsid w:val="00A605C5"/>
    <w:rsid w:val="00A6743B"/>
    <w:rsid w:val="00A705E9"/>
    <w:rsid w:val="00A721B5"/>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B3D6F"/>
    <w:rsid w:val="00AC45B0"/>
    <w:rsid w:val="00AC4A09"/>
    <w:rsid w:val="00AD06B7"/>
    <w:rsid w:val="00AD5A72"/>
    <w:rsid w:val="00AD7E0E"/>
    <w:rsid w:val="00AD7E1B"/>
    <w:rsid w:val="00AE0F00"/>
    <w:rsid w:val="00AE1783"/>
    <w:rsid w:val="00AE7BA8"/>
    <w:rsid w:val="00AF1EA6"/>
    <w:rsid w:val="00AF23C9"/>
    <w:rsid w:val="00B001F8"/>
    <w:rsid w:val="00B02122"/>
    <w:rsid w:val="00B029E7"/>
    <w:rsid w:val="00B029F2"/>
    <w:rsid w:val="00B03489"/>
    <w:rsid w:val="00B07286"/>
    <w:rsid w:val="00B13207"/>
    <w:rsid w:val="00B1407B"/>
    <w:rsid w:val="00B2076F"/>
    <w:rsid w:val="00B209A2"/>
    <w:rsid w:val="00B27F62"/>
    <w:rsid w:val="00B36AE6"/>
    <w:rsid w:val="00B40810"/>
    <w:rsid w:val="00B4121D"/>
    <w:rsid w:val="00B4135F"/>
    <w:rsid w:val="00B55172"/>
    <w:rsid w:val="00B6781B"/>
    <w:rsid w:val="00B734D2"/>
    <w:rsid w:val="00B87550"/>
    <w:rsid w:val="00B926B5"/>
    <w:rsid w:val="00B928DC"/>
    <w:rsid w:val="00B93220"/>
    <w:rsid w:val="00B93BD1"/>
    <w:rsid w:val="00B943D1"/>
    <w:rsid w:val="00B96939"/>
    <w:rsid w:val="00BA23CF"/>
    <w:rsid w:val="00BA2FCE"/>
    <w:rsid w:val="00BA40E9"/>
    <w:rsid w:val="00BA6121"/>
    <w:rsid w:val="00BB1C4F"/>
    <w:rsid w:val="00BB38B5"/>
    <w:rsid w:val="00BB3B88"/>
    <w:rsid w:val="00BB4033"/>
    <w:rsid w:val="00BB64EC"/>
    <w:rsid w:val="00BC335B"/>
    <w:rsid w:val="00BC5411"/>
    <w:rsid w:val="00BC56F6"/>
    <w:rsid w:val="00BE25BB"/>
    <w:rsid w:val="00BE3108"/>
    <w:rsid w:val="00BE4026"/>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2AE3"/>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12D3"/>
    <w:rsid w:val="00C62435"/>
    <w:rsid w:val="00C63343"/>
    <w:rsid w:val="00C6387C"/>
    <w:rsid w:val="00C64D31"/>
    <w:rsid w:val="00C664CC"/>
    <w:rsid w:val="00C71D20"/>
    <w:rsid w:val="00C73865"/>
    <w:rsid w:val="00C80269"/>
    <w:rsid w:val="00C84A1D"/>
    <w:rsid w:val="00C855DD"/>
    <w:rsid w:val="00C86653"/>
    <w:rsid w:val="00C911BF"/>
    <w:rsid w:val="00C959BF"/>
    <w:rsid w:val="00C97CC0"/>
    <w:rsid w:val="00C97CC5"/>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3F6E"/>
    <w:rsid w:val="00CE6974"/>
    <w:rsid w:val="00CE757E"/>
    <w:rsid w:val="00CE782F"/>
    <w:rsid w:val="00CF3B7D"/>
    <w:rsid w:val="00CF497E"/>
    <w:rsid w:val="00CF6277"/>
    <w:rsid w:val="00CF76F6"/>
    <w:rsid w:val="00CF7A58"/>
    <w:rsid w:val="00D02D6E"/>
    <w:rsid w:val="00D047FC"/>
    <w:rsid w:val="00D05F54"/>
    <w:rsid w:val="00D068DB"/>
    <w:rsid w:val="00D06B34"/>
    <w:rsid w:val="00D14DBB"/>
    <w:rsid w:val="00D17968"/>
    <w:rsid w:val="00D17D19"/>
    <w:rsid w:val="00D2020B"/>
    <w:rsid w:val="00D21702"/>
    <w:rsid w:val="00D247C6"/>
    <w:rsid w:val="00D3271C"/>
    <w:rsid w:val="00D32FAB"/>
    <w:rsid w:val="00D34F31"/>
    <w:rsid w:val="00D440B1"/>
    <w:rsid w:val="00D445BE"/>
    <w:rsid w:val="00D4486D"/>
    <w:rsid w:val="00D53197"/>
    <w:rsid w:val="00D5396B"/>
    <w:rsid w:val="00D55CCD"/>
    <w:rsid w:val="00D55DA4"/>
    <w:rsid w:val="00D563F0"/>
    <w:rsid w:val="00D63674"/>
    <w:rsid w:val="00D67154"/>
    <w:rsid w:val="00D70A15"/>
    <w:rsid w:val="00D72240"/>
    <w:rsid w:val="00D74D08"/>
    <w:rsid w:val="00D77C8F"/>
    <w:rsid w:val="00D84F7B"/>
    <w:rsid w:val="00D9098B"/>
    <w:rsid w:val="00D92B0F"/>
    <w:rsid w:val="00D92EA9"/>
    <w:rsid w:val="00D931AD"/>
    <w:rsid w:val="00DA790E"/>
    <w:rsid w:val="00DB2804"/>
    <w:rsid w:val="00DB4001"/>
    <w:rsid w:val="00DB6781"/>
    <w:rsid w:val="00DC0F0D"/>
    <w:rsid w:val="00DC1A0B"/>
    <w:rsid w:val="00DC7D0E"/>
    <w:rsid w:val="00DE240D"/>
    <w:rsid w:val="00DE2F3C"/>
    <w:rsid w:val="00DE301F"/>
    <w:rsid w:val="00DE522D"/>
    <w:rsid w:val="00DE571B"/>
    <w:rsid w:val="00DE753B"/>
    <w:rsid w:val="00DF26F1"/>
    <w:rsid w:val="00DF3294"/>
    <w:rsid w:val="00DF3CEA"/>
    <w:rsid w:val="00E02C92"/>
    <w:rsid w:val="00E05F55"/>
    <w:rsid w:val="00E07DF8"/>
    <w:rsid w:val="00E13A6F"/>
    <w:rsid w:val="00E142A3"/>
    <w:rsid w:val="00E23445"/>
    <w:rsid w:val="00E23B3C"/>
    <w:rsid w:val="00E2623C"/>
    <w:rsid w:val="00E2748A"/>
    <w:rsid w:val="00E32852"/>
    <w:rsid w:val="00E32994"/>
    <w:rsid w:val="00E348D3"/>
    <w:rsid w:val="00E360C0"/>
    <w:rsid w:val="00E42021"/>
    <w:rsid w:val="00E42C2F"/>
    <w:rsid w:val="00E430AE"/>
    <w:rsid w:val="00E43A41"/>
    <w:rsid w:val="00E43DB9"/>
    <w:rsid w:val="00E45FD7"/>
    <w:rsid w:val="00E50BE7"/>
    <w:rsid w:val="00E5383D"/>
    <w:rsid w:val="00E56DE8"/>
    <w:rsid w:val="00E609D2"/>
    <w:rsid w:val="00E61BF1"/>
    <w:rsid w:val="00E642E6"/>
    <w:rsid w:val="00E72FA3"/>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2A01"/>
    <w:rsid w:val="00ED4E42"/>
    <w:rsid w:val="00EE00CC"/>
    <w:rsid w:val="00EE0BEB"/>
    <w:rsid w:val="00EE5676"/>
    <w:rsid w:val="00EE6008"/>
    <w:rsid w:val="00EE64CE"/>
    <w:rsid w:val="00EE664E"/>
    <w:rsid w:val="00EE6FE2"/>
    <w:rsid w:val="00EE74BA"/>
    <w:rsid w:val="00EF69DF"/>
    <w:rsid w:val="00EF764D"/>
    <w:rsid w:val="00F00EEA"/>
    <w:rsid w:val="00F03DFC"/>
    <w:rsid w:val="00F0426A"/>
    <w:rsid w:val="00F04602"/>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1D92"/>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1F3"/>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 w:type="character" w:styleId="Mencinsinresolver">
    <w:name w:val="Unresolved Mention"/>
    <w:basedOn w:val="Fuentedeprrafopredeter"/>
    <w:uiPriority w:val="99"/>
    <w:semiHidden/>
    <w:unhideWhenUsed/>
    <w:rsid w:val="0046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infraestructura@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industria/consultas-publicas/consulta-publica-sobre-la-propuesta-de-oferta-publica-de-infraestructura-presentada-por-grupo-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3.xml><?xml version="1.0" encoding="utf-8"?>
<ds:datastoreItem xmlns:ds="http://schemas.openxmlformats.org/officeDocument/2006/customXml" ds:itemID="{0D96578A-F316-46DA-98B6-ACC688CC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5C427-2FBE-4FEA-AA76-FFC9D7A7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TotalTime>
  <Pages>1</Pages>
  <Words>1038</Words>
  <Characters>5713</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Primitivo Ortiz Maldonado</cp:lastModifiedBy>
  <cp:revision>5</cp:revision>
  <cp:lastPrinted>2024-01-24T17:41:00Z</cp:lastPrinted>
  <dcterms:created xsi:type="dcterms:W3CDTF">2024-01-22T17:20:00Z</dcterms:created>
  <dcterms:modified xsi:type="dcterms:W3CDTF">2024-01-24T17:41:00Z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