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921696" w14:textId="77777777" w:rsidR="006540F2" w:rsidRDefault="006540F2">
      <w:pPr>
        <w:spacing w:before="0" w:line="240" w:lineRule="auto"/>
        <w:jc w:val="left"/>
        <w:rPr>
          <w:rFonts w:ascii="ITC Avant Garde" w:eastAsia="Calibri" w:hAnsi="ITC Avant Garde" w:cs="Arial"/>
          <w:b/>
          <w:color w:val="000000"/>
          <w:sz w:val="32"/>
          <w:szCs w:val="22"/>
          <w:lang w:val="es-ES" w:eastAsia="es-ES"/>
        </w:rPr>
      </w:pPr>
      <w:bookmarkStart w:id="0" w:name="_Toc524506842"/>
      <w:bookmarkStart w:id="1" w:name="_Toc524507231"/>
      <w:bookmarkStart w:id="2" w:name="_Toc524507468"/>
      <w:bookmarkStart w:id="3" w:name="_Toc524592603"/>
      <w:bookmarkStart w:id="4" w:name="_Toc524608948"/>
      <w:bookmarkStart w:id="5" w:name="_Toc524794799"/>
      <w:bookmarkStart w:id="6" w:name="_Toc524802931"/>
      <w:bookmarkStart w:id="7" w:name="_Toc525142198"/>
      <w:bookmarkStart w:id="8" w:name="_Toc525143007"/>
      <w:bookmarkStart w:id="9" w:name="_Toc525570019"/>
      <w:bookmarkStart w:id="10" w:name="_Toc525579139"/>
      <w:bookmarkStart w:id="11" w:name="_Toc525641455"/>
      <w:bookmarkStart w:id="12" w:name="_Toc525641495"/>
      <w:bookmarkStart w:id="13" w:name="_Toc525656716"/>
      <w:bookmarkStart w:id="14" w:name="_Toc526854329"/>
      <w:bookmarkStart w:id="15" w:name="_GoBack"/>
      <w:bookmarkEnd w:id="15"/>
    </w:p>
    <w:p w14:paraId="3B9A1E8F" w14:textId="77777777" w:rsidR="006540F2" w:rsidRDefault="006540F2">
      <w:pPr>
        <w:spacing w:before="0" w:line="240" w:lineRule="auto"/>
        <w:jc w:val="left"/>
        <w:rPr>
          <w:rFonts w:ascii="ITC Avant Garde" w:eastAsia="Calibri" w:hAnsi="ITC Avant Garde" w:cs="Arial"/>
          <w:b/>
          <w:color w:val="000000"/>
          <w:sz w:val="32"/>
          <w:szCs w:val="22"/>
          <w:lang w:val="es-ES" w:eastAsia="es-ES"/>
        </w:rPr>
      </w:pPr>
    </w:p>
    <w:p w14:paraId="7FD83803" w14:textId="77777777" w:rsidR="006540F2" w:rsidRDefault="006540F2">
      <w:pPr>
        <w:spacing w:before="0" w:line="240" w:lineRule="auto"/>
        <w:jc w:val="left"/>
        <w:rPr>
          <w:rFonts w:ascii="ITC Avant Garde" w:eastAsia="Calibri" w:hAnsi="ITC Avant Garde" w:cs="Arial"/>
          <w:b/>
          <w:color w:val="000000"/>
          <w:sz w:val="32"/>
          <w:szCs w:val="22"/>
          <w:lang w:val="es-ES" w:eastAsia="es-ES"/>
        </w:rPr>
      </w:pPr>
    </w:p>
    <w:p w14:paraId="7B1AEEEB" w14:textId="77777777" w:rsidR="006540F2" w:rsidRDefault="006540F2">
      <w:pPr>
        <w:spacing w:before="0" w:line="240" w:lineRule="auto"/>
        <w:jc w:val="left"/>
        <w:rPr>
          <w:rFonts w:ascii="ITC Avant Garde" w:eastAsia="Calibri" w:hAnsi="ITC Avant Garde" w:cs="Arial"/>
          <w:b/>
          <w:color w:val="000000"/>
          <w:sz w:val="32"/>
          <w:szCs w:val="22"/>
          <w:lang w:val="es-ES" w:eastAsia="es-ES"/>
        </w:rPr>
      </w:pPr>
    </w:p>
    <w:p w14:paraId="40388BBD" w14:textId="77777777" w:rsidR="006540F2" w:rsidRDefault="006540F2">
      <w:pPr>
        <w:spacing w:before="0" w:line="240" w:lineRule="auto"/>
        <w:jc w:val="left"/>
        <w:rPr>
          <w:rFonts w:ascii="ITC Avant Garde" w:eastAsia="Calibri" w:hAnsi="ITC Avant Garde" w:cs="Arial"/>
          <w:b/>
          <w:color w:val="000000"/>
          <w:sz w:val="32"/>
          <w:szCs w:val="22"/>
          <w:lang w:val="es-ES" w:eastAsia="es-ES"/>
        </w:rPr>
      </w:pPr>
    </w:p>
    <w:p w14:paraId="30F6D069" w14:textId="4B1D07A6" w:rsidR="006540F2" w:rsidRDefault="006540F2">
      <w:pPr>
        <w:spacing w:before="0" w:line="240" w:lineRule="auto"/>
        <w:jc w:val="left"/>
        <w:rPr>
          <w:rFonts w:ascii="ITC Avant Garde" w:hAnsi="ITC Avant Garde"/>
          <w:b/>
          <w:color w:val="CC3300"/>
          <w:sz w:val="28"/>
          <w:szCs w:val="28"/>
          <w:lang w:val="es-MX"/>
        </w:rPr>
      </w:pPr>
      <w:r w:rsidRPr="006540F2">
        <w:rPr>
          <w:rFonts w:ascii="ITC Avant Garde" w:eastAsia="Calibri" w:hAnsi="ITC Avant Garde" w:cs="Arial"/>
          <w:b/>
          <w:color w:val="000000"/>
          <w:sz w:val="32"/>
          <w:szCs w:val="22"/>
          <w:lang w:val="es-ES" w:eastAsia="es-ES"/>
        </w:rPr>
        <w:t>Instituto Federal de Telecomunicaciones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Pr>
          <w:rFonts w:ascii="ITC Avant Garde" w:hAnsi="ITC Avant Garde"/>
          <w:b/>
          <w:color w:val="CC3300"/>
          <w:sz w:val="28"/>
          <w:szCs w:val="28"/>
          <w:lang w:val="es-MX"/>
        </w:rPr>
        <w:t xml:space="preserve"> </w:t>
      </w:r>
    </w:p>
    <w:p w14:paraId="0B512EA1" w14:textId="77777777" w:rsidR="006540F2" w:rsidRDefault="006540F2">
      <w:pPr>
        <w:spacing w:before="0" w:line="240" w:lineRule="auto"/>
        <w:jc w:val="left"/>
        <w:rPr>
          <w:rFonts w:ascii="ITC Avant Garde" w:hAnsi="ITC Avant Garde"/>
          <w:b/>
          <w:color w:val="CC3300"/>
          <w:sz w:val="28"/>
          <w:szCs w:val="28"/>
          <w:lang w:val="es-MX"/>
        </w:rPr>
      </w:pPr>
    </w:p>
    <w:p w14:paraId="126C7C58" w14:textId="77777777" w:rsidR="006540F2" w:rsidRDefault="006540F2">
      <w:pPr>
        <w:spacing w:before="0" w:line="240" w:lineRule="auto"/>
        <w:jc w:val="left"/>
        <w:rPr>
          <w:rFonts w:ascii="ITC Avant Garde" w:hAnsi="ITC Avant Garde"/>
          <w:b/>
          <w:color w:val="CC3300"/>
          <w:sz w:val="28"/>
          <w:szCs w:val="28"/>
          <w:lang w:val="es-MX"/>
        </w:rPr>
      </w:pPr>
    </w:p>
    <w:p w14:paraId="23B65309" w14:textId="77777777" w:rsidR="006540F2" w:rsidRDefault="006540F2">
      <w:pPr>
        <w:spacing w:before="0" w:line="240" w:lineRule="auto"/>
        <w:jc w:val="left"/>
        <w:rPr>
          <w:rFonts w:ascii="ITC Avant Garde" w:hAnsi="ITC Avant Garde"/>
          <w:b/>
          <w:color w:val="CC3300"/>
          <w:sz w:val="28"/>
          <w:szCs w:val="28"/>
          <w:lang w:val="es-MX"/>
        </w:rPr>
      </w:pPr>
    </w:p>
    <w:p w14:paraId="75E07D5E" w14:textId="77777777" w:rsidR="006540F2" w:rsidRDefault="006540F2">
      <w:pPr>
        <w:spacing w:before="0" w:line="240" w:lineRule="auto"/>
        <w:jc w:val="left"/>
        <w:rPr>
          <w:rFonts w:ascii="ITC Avant Garde" w:hAnsi="ITC Avant Garde"/>
          <w:b/>
          <w:color w:val="CC3300"/>
          <w:sz w:val="28"/>
          <w:szCs w:val="28"/>
          <w:lang w:val="es-MX"/>
        </w:rPr>
      </w:pPr>
    </w:p>
    <w:p w14:paraId="66EB0672" w14:textId="250BA013" w:rsidR="006540F2" w:rsidRDefault="006540F2" w:rsidP="006540F2">
      <w:pPr>
        <w:pStyle w:val="Sinespaciado"/>
        <w:spacing w:line="216" w:lineRule="auto"/>
        <w:jc w:val="both"/>
        <w:rPr>
          <w:rStyle w:val="NombreConcesionarioCar"/>
          <w:i/>
          <w:sz w:val="30"/>
        </w:rPr>
      </w:pPr>
      <w:bookmarkStart w:id="16" w:name="_Toc524266100"/>
      <w:bookmarkStart w:id="17" w:name="_Toc524266575"/>
      <w:bookmarkStart w:id="18" w:name="_Toc524506843"/>
      <w:bookmarkStart w:id="19" w:name="_Toc524507232"/>
      <w:bookmarkStart w:id="20" w:name="_Toc524507469"/>
      <w:bookmarkStart w:id="21" w:name="_Toc524592604"/>
      <w:bookmarkStart w:id="22" w:name="_Toc524608949"/>
      <w:bookmarkStart w:id="23" w:name="_Toc524794800"/>
      <w:bookmarkStart w:id="24" w:name="_Toc524802932"/>
      <w:bookmarkStart w:id="25" w:name="_Toc525142199"/>
      <w:bookmarkStart w:id="26" w:name="_Toc525143008"/>
      <w:bookmarkStart w:id="27" w:name="_Toc525570020"/>
      <w:bookmarkStart w:id="28" w:name="_Toc525579140"/>
      <w:bookmarkStart w:id="29" w:name="_Toc525641456"/>
      <w:bookmarkStart w:id="30" w:name="_Toc525641496"/>
      <w:bookmarkStart w:id="31" w:name="_Toc525656717"/>
      <w:bookmarkStart w:id="32" w:name="_Toc526854330"/>
      <w:bookmarkStart w:id="33" w:name="_Toc141974988"/>
      <w:r>
        <w:rPr>
          <w:rStyle w:val="NombreConcesionarioCar"/>
          <w:i/>
          <w:sz w:val="30"/>
        </w:rPr>
        <w:t>Modelo de Costos Integral de la Red de Acceso Fija</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15C3012D" w14:textId="77777777" w:rsidR="006540F2" w:rsidRDefault="006540F2">
      <w:pPr>
        <w:spacing w:before="0" w:line="240" w:lineRule="auto"/>
        <w:jc w:val="left"/>
        <w:rPr>
          <w:rFonts w:ascii="ITC Avant Garde" w:hAnsi="ITC Avant Garde"/>
          <w:b/>
          <w:color w:val="CC3300"/>
          <w:sz w:val="28"/>
          <w:szCs w:val="28"/>
          <w:lang w:val="es-MX"/>
        </w:rPr>
      </w:pPr>
    </w:p>
    <w:p w14:paraId="21EC5A0A" w14:textId="77777777" w:rsidR="006540F2" w:rsidRDefault="006540F2">
      <w:pPr>
        <w:spacing w:before="0" w:line="240" w:lineRule="auto"/>
        <w:jc w:val="left"/>
        <w:rPr>
          <w:rFonts w:ascii="ITC Avant Garde" w:hAnsi="ITC Avant Garde"/>
          <w:b/>
          <w:color w:val="CC3300"/>
          <w:sz w:val="28"/>
          <w:szCs w:val="28"/>
          <w:lang w:val="es-MX"/>
        </w:rPr>
      </w:pPr>
    </w:p>
    <w:p w14:paraId="5653C0DB" w14:textId="77777777" w:rsidR="006540F2" w:rsidRDefault="006540F2">
      <w:pPr>
        <w:spacing w:before="0" w:line="240" w:lineRule="auto"/>
        <w:jc w:val="left"/>
        <w:rPr>
          <w:rFonts w:ascii="ITC Avant Garde" w:hAnsi="ITC Avant Garde"/>
          <w:b/>
          <w:color w:val="CC3300"/>
          <w:sz w:val="28"/>
          <w:szCs w:val="28"/>
          <w:lang w:val="es-MX"/>
        </w:rPr>
      </w:pPr>
    </w:p>
    <w:p w14:paraId="740BD167" w14:textId="77777777" w:rsidR="006540F2" w:rsidRDefault="006540F2">
      <w:pPr>
        <w:spacing w:before="0" w:line="240" w:lineRule="auto"/>
        <w:jc w:val="left"/>
        <w:rPr>
          <w:rFonts w:ascii="ITC Avant Garde" w:hAnsi="ITC Avant Garde"/>
          <w:b/>
          <w:color w:val="CC3300"/>
          <w:sz w:val="28"/>
          <w:szCs w:val="28"/>
          <w:lang w:val="es-MX"/>
        </w:rPr>
      </w:pPr>
    </w:p>
    <w:p w14:paraId="21010BAB" w14:textId="09F805B9" w:rsidR="006540F2" w:rsidRDefault="003215F4">
      <w:pPr>
        <w:spacing w:before="0" w:line="240" w:lineRule="auto"/>
        <w:jc w:val="left"/>
        <w:rPr>
          <w:rFonts w:ascii="ITC Avant Garde" w:hAnsi="ITC Avant Garde"/>
          <w:b/>
          <w:color w:val="CC3300"/>
          <w:sz w:val="28"/>
          <w:szCs w:val="28"/>
          <w:lang w:val="es-MX"/>
        </w:rPr>
      </w:pPr>
      <w:bookmarkStart w:id="34" w:name="_Toc524506844"/>
      <w:bookmarkStart w:id="35" w:name="_Toc524507233"/>
      <w:bookmarkStart w:id="36" w:name="_Toc524507470"/>
      <w:bookmarkStart w:id="37" w:name="_Toc524592605"/>
      <w:bookmarkStart w:id="38" w:name="_Toc524608950"/>
      <w:bookmarkStart w:id="39" w:name="_Toc524794801"/>
      <w:bookmarkStart w:id="40" w:name="_Toc524802933"/>
      <w:bookmarkStart w:id="41" w:name="_Toc525142200"/>
      <w:bookmarkStart w:id="42" w:name="_Toc525143009"/>
      <w:bookmarkStart w:id="43" w:name="_Toc525570021"/>
      <w:bookmarkStart w:id="44" w:name="_Toc525579141"/>
      <w:bookmarkStart w:id="45" w:name="_Toc525641457"/>
      <w:bookmarkStart w:id="46" w:name="_Toc525641497"/>
      <w:bookmarkStart w:id="47" w:name="_Toc525656718"/>
      <w:bookmarkStart w:id="48" w:name="_Toc526854331"/>
      <w:r>
        <w:rPr>
          <w:b/>
          <w:i/>
          <w:sz w:val="30"/>
          <w:lang w:val="es-ES"/>
        </w:rPr>
        <w:t>Documento metodológico y descriptivo</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006540F2">
        <w:rPr>
          <w:rFonts w:ascii="ITC Avant Garde" w:hAnsi="ITC Avant Garde"/>
          <w:b/>
          <w:color w:val="CC3300"/>
          <w:sz w:val="28"/>
          <w:szCs w:val="28"/>
          <w:lang w:val="es-MX"/>
        </w:rPr>
        <w:t xml:space="preserve"> </w:t>
      </w:r>
      <w:r w:rsidR="006540F2">
        <w:rPr>
          <w:rFonts w:ascii="ITC Avant Garde" w:hAnsi="ITC Avant Garde"/>
          <w:b/>
          <w:color w:val="CC3300"/>
          <w:sz w:val="28"/>
          <w:szCs w:val="28"/>
          <w:lang w:val="es-MX"/>
        </w:rPr>
        <w:br w:type="page"/>
      </w:r>
    </w:p>
    <w:p w14:paraId="493D23EA" w14:textId="3A95D45F" w:rsidR="0022585B" w:rsidRPr="004C1A96" w:rsidRDefault="00B439F3" w:rsidP="00B921FF">
      <w:pPr>
        <w:ind w:right="1123"/>
        <w:jc w:val="left"/>
        <w:rPr>
          <w:rFonts w:ascii="ITC Avant Garde" w:hAnsi="ITC Avant Garde"/>
          <w:b/>
          <w:color w:val="CC3300"/>
          <w:sz w:val="28"/>
          <w:szCs w:val="28"/>
          <w:lang w:val="es-MX"/>
        </w:rPr>
      </w:pPr>
      <w:r w:rsidRPr="004C1A96">
        <w:rPr>
          <w:rFonts w:ascii="ITC Avant Garde" w:hAnsi="ITC Avant Garde"/>
          <w:b/>
          <w:color w:val="CC3300"/>
          <w:sz w:val="28"/>
          <w:szCs w:val="28"/>
          <w:lang w:val="es-MX"/>
        </w:rPr>
        <w:lastRenderedPageBreak/>
        <w:t>Contenido</w:t>
      </w:r>
    </w:p>
    <w:p w14:paraId="49979290" w14:textId="77777777" w:rsidR="0012305A" w:rsidRPr="004C1A96" w:rsidRDefault="0012305A">
      <w:pPr>
        <w:rPr>
          <w:rFonts w:ascii="ITC Avant Garde" w:hAnsi="ITC Avant Garde"/>
          <w:lang w:val="es-MX"/>
        </w:rPr>
      </w:pPr>
    </w:p>
    <w:p w14:paraId="0B07B246" w14:textId="1AA45FEB" w:rsidR="003277AE" w:rsidRDefault="005C54B8">
      <w:pPr>
        <w:pStyle w:val="TDC1"/>
        <w:tabs>
          <w:tab w:val="right" w:pos="8494"/>
        </w:tabs>
        <w:rPr>
          <w:rFonts w:eastAsiaTheme="minorEastAsia" w:cstheme="minorBidi"/>
          <w:b w:val="0"/>
          <w:bCs w:val="0"/>
          <w:iCs w:val="0"/>
          <w:noProof/>
          <w:kern w:val="2"/>
          <w:sz w:val="22"/>
          <w:szCs w:val="22"/>
          <w:lang w:val="es-ES" w:eastAsia="es-ES"/>
          <w14:ligatures w14:val="standardContextual"/>
        </w:rPr>
      </w:pPr>
      <w:r w:rsidRPr="004C1A96">
        <w:rPr>
          <w:rFonts w:ascii="ITC Avant Garde" w:hAnsi="ITC Avant Garde"/>
          <w:b w:val="0"/>
          <w:i/>
          <w:sz w:val="24"/>
          <w:lang w:val="es-MX"/>
        </w:rPr>
        <w:fldChar w:fldCharType="begin"/>
      </w:r>
      <w:r w:rsidRPr="004C1A96">
        <w:rPr>
          <w:rFonts w:ascii="ITC Avant Garde" w:hAnsi="ITC Avant Garde"/>
          <w:b w:val="0"/>
          <w:i/>
          <w:sz w:val="24"/>
          <w:lang w:val="es-MX"/>
        </w:rPr>
        <w:instrText xml:space="preserve"> TOC \o "1-4" \h \z \u </w:instrText>
      </w:r>
      <w:r w:rsidRPr="004C1A96">
        <w:rPr>
          <w:rFonts w:ascii="ITC Avant Garde" w:hAnsi="ITC Avant Garde"/>
          <w:b w:val="0"/>
          <w:i/>
          <w:sz w:val="24"/>
          <w:lang w:val="es-MX"/>
        </w:rPr>
        <w:fldChar w:fldCharType="separate"/>
      </w:r>
      <w:hyperlink w:anchor="_Toc141974988" w:history="1">
        <w:r w:rsidR="003277AE" w:rsidRPr="00F24ED4">
          <w:rPr>
            <w:rStyle w:val="Hipervnculo"/>
            <w:i/>
            <w:noProof/>
          </w:rPr>
          <w:t>Modelo de Costos Integral de la Red de Acceso Fija</w:t>
        </w:r>
        <w:r w:rsidR="003277AE">
          <w:rPr>
            <w:noProof/>
            <w:webHidden/>
          </w:rPr>
          <w:tab/>
        </w:r>
        <w:r w:rsidR="003277AE">
          <w:rPr>
            <w:noProof/>
            <w:webHidden/>
          </w:rPr>
          <w:fldChar w:fldCharType="begin"/>
        </w:r>
        <w:r w:rsidR="003277AE">
          <w:rPr>
            <w:noProof/>
            <w:webHidden/>
          </w:rPr>
          <w:instrText xml:space="preserve"> PAGEREF _Toc141974988 \h </w:instrText>
        </w:r>
        <w:r w:rsidR="003277AE">
          <w:rPr>
            <w:noProof/>
            <w:webHidden/>
          </w:rPr>
        </w:r>
        <w:r w:rsidR="003277AE">
          <w:rPr>
            <w:noProof/>
            <w:webHidden/>
          </w:rPr>
          <w:fldChar w:fldCharType="separate"/>
        </w:r>
        <w:r w:rsidR="00006265">
          <w:rPr>
            <w:noProof/>
            <w:webHidden/>
          </w:rPr>
          <w:t>1</w:t>
        </w:r>
        <w:r w:rsidR="003277AE">
          <w:rPr>
            <w:noProof/>
            <w:webHidden/>
          </w:rPr>
          <w:fldChar w:fldCharType="end"/>
        </w:r>
      </w:hyperlink>
    </w:p>
    <w:p w14:paraId="414EEDCA" w14:textId="7AB1DA59" w:rsidR="003277AE" w:rsidRDefault="00E61923">
      <w:pPr>
        <w:pStyle w:val="TDC1"/>
        <w:tabs>
          <w:tab w:val="left" w:pos="660"/>
          <w:tab w:val="right" w:pos="8494"/>
        </w:tabs>
        <w:rPr>
          <w:rFonts w:eastAsiaTheme="minorEastAsia" w:cstheme="minorBidi"/>
          <w:b w:val="0"/>
          <w:bCs w:val="0"/>
          <w:iCs w:val="0"/>
          <w:noProof/>
          <w:kern w:val="2"/>
          <w:sz w:val="22"/>
          <w:szCs w:val="22"/>
          <w:lang w:val="es-ES" w:eastAsia="es-ES"/>
          <w14:ligatures w14:val="standardContextual"/>
        </w:rPr>
      </w:pPr>
      <w:hyperlink w:anchor="_Toc141974989" w:history="1">
        <w:r w:rsidR="003277AE" w:rsidRPr="00F24ED4">
          <w:rPr>
            <w:rStyle w:val="Hipervnculo"/>
            <w:noProof/>
            <w:lang w:val="es-MX"/>
            <w14:scene3d>
              <w14:camera w14:prst="orthographicFront"/>
              <w14:lightRig w14:rig="threePt" w14:dir="t">
                <w14:rot w14:lat="0" w14:lon="0" w14:rev="0"/>
              </w14:lightRig>
            </w14:scene3d>
          </w:rPr>
          <w:t>1</w:t>
        </w:r>
        <w:r w:rsidR="003277AE">
          <w:rPr>
            <w:rFonts w:eastAsiaTheme="minorEastAsia" w:cstheme="minorBidi"/>
            <w:b w:val="0"/>
            <w:bCs w:val="0"/>
            <w:iCs w:val="0"/>
            <w:noProof/>
            <w:kern w:val="2"/>
            <w:sz w:val="22"/>
            <w:szCs w:val="22"/>
            <w:lang w:val="es-ES" w:eastAsia="es-ES"/>
            <w14:ligatures w14:val="standardContextual"/>
          </w:rPr>
          <w:tab/>
        </w:r>
        <w:r w:rsidR="003277AE" w:rsidRPr="00F24ED4">
          <w:rPr>
            <w:rStyle w:val="Hipervnculo"/>
            <w:noProof/>
            <w:lang w:val="es-MX"/>
          </w:rPr>
          <w:t>Introducción</w:t>
        </w:r>
        <w:r w:rsidR="003277AE">
          <w:rPr>
            <w:noProof/>
            <w:webHidden/>
          </w:rPr>
          <w:tab/>
        </w:r>
        <w:r w:rsidR="003277AE">
          <w:rPr>
            <w:noProof/>
            <w:webHidden/>
          </w:rPr>
          <w:fldChar w:fldCharType="begin"/>
        </w:r>
        <w:r w:rsidR="003277AE">
          <w:rPr>
            <w:noProof/>
            <w:webHidden/>
          </w:rPr>
          <w:instrText xml:space="preserve"> PAGEREF _Toc141974989 \h </w:instrText>
        </w:r>
        <w:r w:rsidR="003277AE">
          <w:rPr>
            <w:noProof/>
            <w:webHidden/>
          </w:rPr>
        </w:r>
        <w:r w:rsidR="003277AE">
          <w:rPr>
            <w:noProof/>
            <w:webHidden/>
          </w:rPr>
          <w:fldChar w:fldCharType="separate"/>
        </w:r>
        <w:r w:rsidR="00006265">
          <w:rPr>
            <w:noProof/>
            <w:webHidden/>
          </w:rPr>
          <w:t>5</w:t>
        </w:r>
        <w:r w:rsidR="003277AE">
          <w:rPr>
            <w:noProof/>
            <w:webHidden/>
          </w:rPr>
          <w:fldChar w:fldCharType="end"/>
        </w:r>
      </w:hyperlink>
    </w:p>
    <w:p w14:paraId="0C05275E" w14:textId="2480135E" w:rsidR="003277AE" w:rsidRDefault="00E61923">
      <w:pPr>
        <w:pStyle w:val="TDC2"/>
        <w:rPr>
          <w:rFonts w:eastAsiaTheme="minorEastAsia" w:cstheme="minorBidi"/>
          <w:b w:val="0"/>
          <w:bCs w:val="0"/>
          <w:noProof/>
          <w:kern w:val="2"/>
          <w:sz w:val="22"/>
          <w:lang w:val="es-ES" w:eastAsia="es-ES"/>
          <w14:ligatures w14:val="standardContextual"/>
        </w:rPr>
      </w:pPr>
      <w:hyperlink w:anchor="_Toc141974990" w:history="1">
        <w:r w:rsidR="003277AE" w:rsidRPr="00F24ED4">
          <w:rPr>
            <w:rStyle w:val="Hipervnculo"/>
            <w:noProof/>
          </w:rPr>
          <w:t>1.1</w:t>
        </w:r>
        <w:r w:rsidR="003277AE">
          <w:rPr>
            <w:rFonts w:eastAsiaTheme="minorEastAsia" w:cstheme="minorBidi"/>
            <w:b w:val="0"/>
            <w:bCs w:val="0"/>
            <w:noProof/>
            <w:kern w:val="2"/>
            <w:sz w:val="22"/>
            <w:lang w:val="es-ES" w:eastAsia="es-ES"/>
            <w14:ligatures w14:val="standardContextual"/>
          </w:rPr>
          <w:tab/>
        </w:r>
        <w:r w:rsidR="003277AE" w:rsidRPr="00F24ED4">
          <w:rPr>
            <w:rStyle w:val="Hipervnculo"/>
            <w:noProof/>
            <w:lang w:val="es-MX"/>
          </w:rPr>
          <w:t>Antecedentes</w:t>
        </w:r>
        <w:r w:rsidR="003277AE">
          <w:rPr>
            <w:noProof/>
            <w:webHidden/>
          </w:rPr>
          <w:tab/>
        </w:r>
        <w:r w:rsidR="003277AE">
          <w:rPr>
            <w:noProof/>
            <w:webHidden/>
          </w:rPr>
          <w:fldChar w:fldCharType="begin"/>
        </w:r>
        <w:r w:rsidR="003277AE">
          <w:rPr>
            <w:noProof/>
            <w:webHidden/>
          </w:rPr>
          <w:instrText xml:space="preserve"> PAGEREF _Toc141974990 \h </w:instrText>
        </w:r>
        <w:r w:rsidR="003277AE">
          <w:rPr>
            <w:noProof/>
            <w:webHidden/>
          </w:rPr>
        </w:r>
        <w:r w:rsidR="003277AE">
          <w:rPr>
            <w:noProof/>
            <w:webHidden/>
          </w:rPr>
          <w:fldChar w:fldCharType="separate"/>
        </w:r>
        <w:r w:rsidR="00006265">
          <w:rPr>
            <w:noProof/>
            <w:webHidden/>
          </w:rPr>
          <w:t>5</w:t>
        </w:r>
        <w:r w:rsidR="003277AE">
          <w:rPr>
            <w:noProof/>
            <w:webHidden/>
          </w:rPr>
          <w:fldChar w:fldCharType="end"/>
        </w:r>
      </w:hyperlink>
    </w:p>
    <w:p w14:paraId="3CC3F17A" w14:textId="51431C2F" w:rsidR="003277AE" w:rsidRDefault="00E61923">
      <w:pPr>
        <w:pStyle w:val="TDC2"/>
        <w:rPr>
          <w:rFonts w:eastAsiaTheme="minorEastAsia" w:cstheme="minorBidi"/>
          <w:b w:val="0"/>
          <w:bCs w:val="0"/>
          <w:noProof/>
          <w:kern w:val="2"/>
          <w:sz w:val="22"/>
          <w:lang w:val="es-ES" w:eastAsia="es-ES"/>
          <w14:ligatures w14:val="standardContextual"/>
        </w:rPr>
      </w:pPr>
      <w:hyperlink w:anchor="_Toc141974991" w:history="1">
        <w:r w:rsidR="003277AE" w:rsidRPr="00F24ED4">
          <w:rPr>
            <w:rStyle w:val="Hipervnculo"/>
            <w:noProof/>
          </w:rPr>
          <w:t>1.2</w:t>
        </w:r>
        <w:r w:rsidR="003277AE">
          <w:rPr>
            <w:rFonts w:eastAsiaTheme="minorEastAsia" w:cstheme="minorBidi"/>
            <w:b w:val="0"/>
            <w:bCs w:val="0"/>
            <w:noProof/>
            <w:kern w:val="2"/>
            <w:sz w:val="22"/>
            <w:lang w:val="es-ES" w:eastAsia="es-ES"/>
            <w14:ligatures w14:val="standardContextual"/>
          </w:rPr>
          <w:tab/>
        </w:r>
        <w:r w:rsidR="003277AE" w:rsidRPr="00F24ED4">
          <w:rPr>
            <w:rStyle w:val="Hipervnculo"/>
            <w:noProof/>
            <w:lang w:val="es-MX"/>
          </w:rPr>
          <w:t>Objetivos del presente informe</w:t>
        </w:r>
        <w:r w:rsidR="003277AE">
          <w:rPr>
            <w:noProof/>
            <w:webHidden/>
          </w:rPr>
          <w:tab/>
        </w:r>
        <w:r w:rsidR="003277AE">
          <w:rPr>
            <w:noProof/>
            <w:webHidden/>
          </w:rPr>
          <w:fldChar w:fldCharType="begin"/>
        </w:r>
        <w:r w:rsidR="003277AE">
          <w:rPr>
            <w:noProof/>
            <w:webHidden/>
          </w:rPr>
          <w:instrText xml:space="preserve"> PAGEREF _Toc141974991 \h </w:instrText>
        </w:r>
        <w:r w:rsidR="003277AE">
          <w:rPr>
            <w:noProof/>
            <w:webHidden/>
          </w:rPr>
        </w:r>
        <w:r w:rsidR="003277AE">
          <w:rPr>
            <w:noProof/>
            <w:webHidden/>
          </w:rPr>
          <w:fldChar w:fldCharType="separate"/>
        </w:r>
        <w:r w:rsidR="00006265">
          <w:rPr>
            <w:noProof/>
            <w:webHidden/>
          </w:rPr>
          <w:t>6</w:t>
        </w:r>
        <w:r w:rsidR="003277AE">
          <w:rPr>
            <w:noProof/>
            <w:webHidden/>
          </w:rPr>
          <w:fldChar w:fldCharType="end"/>
        </w:r>
      </w:hyperlink>
    </w:p>
    <w:p w14:paraId="4413B53B" w14:textId="2467BE1E" w:rsidR="003277AE" w:rsidRDefault="00E61923">
      <w:pPr>
        <w:pStyle w:val="TDC1"/>
        <w:tabs>
          <w:tab w:val="left" w:pos="660"/>
          <w:tab w:val="right" w:pos="8494"/>
        </w:tabs>
        <w:rPr>
          <w:rFonts w:eastAsiaTheme="minorEastAsia" w:cstheme="minorBidi"/>
          <w:b w:val="0"/>
          <w:bCs w:val="0"/>
          <w:iCs w:val="0"/>
          <w:noProof/>
          <w:kern w:val="2"/>
          <w:sz w:val="22"/>
          <w:szCs w:val="22"/>
          <w:lang w:val="es-ES" w:eastAsia="es-ES"/>
          <w14:ligatures w14:val="standardContextual"/>
        </w:rPr>
      </w:pPr>
      <w:hyperlink w:anchor="_Toc141974992" w:history="1">
        <w:r w:rsidR="003277AE" w:rsidRPr="00F24ED4">
          <w:rPr>
            <w:rStyle w:val="Hipervnculo"/>
            <w:noProof/>
            <w:lang w:val="es-MX"/>
            <w14:scene3d>
              <w14:camera w14:prst="orthographicFront"/>
              <w14:lightRig w14:rig="threePt" w14:dir="t">
                <w14:rot w14:lat="0" w14:lon="0" w14:rev="0"/>
              </w14:lightRig>
            </w14:scene3d>
          </w:rPr>
          <w:t>2</w:t>
        </w:r>
        <w:r w:rsidR="003277AE">
          <w:rPr>
            <w:rFonts w:eastAsiaTheme="minorEastAsia" w:cstheme="minorBidi"/>
            <w:b w:val="0"/>
            <w:bCs w:val="0"/>
            <w:iCs w:val="0"/>
            <w:noProof/>
            <w:kern w:val="2"/>
            <w:sz w:val="22"/>
            <w:szCs w:val="22"/>
            <w:lang w:val="es-ES" w:eastAsia="es-ES"/>
            <w14:ligatures w14:val="standardContextual"/>
          </w:rPr>
          <w:tab/>
        </w:r>
        <w:r w:rsidR="003277AE" w:rsidRPr="00F24ED4">
          <w:rPr>
            <w:rStyle w:val="Hipervnculo"/>
            <w:noProof/>
            <w:lang w:val="es-MX"/>
          </w:rPr>
          <w:t>Principios metodológicos y conceptuales</w:t>
        </w:r>
        <w:r w:rsidR="003277AE">
          <w:rPr>
            <w:noProof/>
            <w:webHidden/>
          </w:rPr>
          <w:tab/>
        </w:r>
        <w:r w:rsidR="003277AE">
          <w:rPr>
            <w:noProof/>
            <w:webHidden/>
          </w:rPr>
          <w:fldChar w:fldCharType="begin"/>
        </w:r>
        <w:r w:rsidR="003277AE">
          <w:rPr>
            <w:noProof/>
            <w:webHidden/>
          </w:rPr>
          <w:instrText xml:space="preserve"> PAGEREF _Toc141974992 \h </w:instrText>
        </w:r>
        <w:r w:rsidR="003277AE">
          <w:rPr>
            <w:noProof/>
            <w:webHidden/>
          </w:rPr>
        </w:r>
        <w:r w:rsidR="003277AE">
          <w:rPr>
            <w:noProof/>
            <w:webHidden/>
          </w:rPr>
          <w:fldChar w:fldCharType="separate"/>
        </w:r>
        <w:r w:rsidR="00006265">
          <w:rPr>
            <w:noProof/>
            <w:webHidden/>
          </w:rPr>
          <w:t>7</w:t>
        </w:r>
        <w:r w:rsidR="003277AE">
          <w:rPr>
            <w:noProof/>
            <w:webHidden/>
          </w:rPr>
          <w:fldChar w:fldCharType="end"/>
        </w:r>
      </w:hyperlink>
    </w:p>
    <w:p w14:paraId="431C5F17" w14:textId="71B93068" w:rsidR="003277AE" w:rsidRDefault="00E61923">
      <w:pPr>
        <w:pStyle w:val="TDC2"/>
        <w:rPr>
          <w:rFonts w:eastAsiaTheme="minorEastAsia" w:cstheme="minorBidi"/>
          <w:b w:val="0"/>
          <w:bCs w:val="0"/>
          <w:noProof/>
          <w:kern w:val="2"/>
          <w:sz w:val="22"/>
          <w:lang w:val="es-ES" w:eastAsia="es-ES"/>
          <w14:ligatures w14:val="standardContextual"/>
        </w:rPr>
      </w:pPr>
      <w:hyperlink w:anchor="_Toc141974993" w:history="1">
        <w:r w:rsidR="003277AE" w:rsidRPr="00F24ED4">
          <w:rPr>
            <w:rStyle w:val="Hipervnculo"/>
            <w:noProof/>
          </w:rPr>
          <w:t>2.1</w:t>
        </w:r>
        <w:r w:rsidR="003277AE">
          <w:rPr>
            <w:rFonts w:eastAsiaTheme="minorEastAsia" w:cstheme="minorBidi"/>
            <w:b w:val="0"/>
            <w:bCs w:val="0"/>
            <w:noProof/>
            <w:kern w:val="2"/>
            <w:sz w:val="22"/>
            <w:lang w:val="es-ES" w:eastAsia="es-ES"/>
            <w14:ligatures w14:val="standardContextual"/>
          </w:rPr>
          <w:tab/>
        </w:r>
        <w:r w:rsidR="003277AE" w:rsidRPr="00F24ED4">
          <w:rPr>
            <w:rStyle w:val="Hipervnculo"/>
            <w:noProof/>
            <w:lang w:val="es-ES"/>
          </w:rPr>
          <w:t>Principios principales establecidos en el marco regulatorio</w:t>
        </w:r>
        <w:r w:rsidR="003277AE">
          <w:rPr>
            <w:noProof/>
            <w:webHidden/>
          </w:rPr>
          <w:tab/>
        </w:r>
        <w:r w:rsidR="003277AE">
          <w:rPr>
            <w:noProof/>
            <w:webHidden/>
          </w:rPr>
          <w:fldChar w:fldCharType="begin"/>
        </w:r>
        <w:r w:rsidR="003277AE">
          <w:rPr>
            <w:noProof/>
            <w:webHidden/>
          </w:rPr>
          <w:instrText xml:space="preserve"> PAGEREF _Toc141974993 \h </w:instrText>
        </w:r>
        <w:r w:rsidR="003277AE">
          <w:rPr>
            <w:noProof/>
            <w:webHidden/>
          </w:rPr>
        </w:r>
        <w:r w:rsidR="003277AE">
          <w:rPr>
            <w:noProof/>
            <w:webHidden/>
          </w:rPr>
          <w:fldChar w:fldCharType="separate"/>
        </w:r>
        <w:r w:rsidR="00006265">
          <w:rPr>
            <w:noProof/>
            <w:webHidden/>
          </w:rPr>
          <w:t>7</w:t>
        </w:r>
        <w:r w:rsidR="003277AE">
          <w:rPr>
            <w:noProof/>
            <w:webHidden/>
          </w:rPr>
          <w:fldChar w:fldCharType="end"/>
        </w:r>
      </w:hyperlink>
    </w:p>
    <w:p w14:paraId="3278DA36" w14:textId="05C003EA" w:rsidR="003277AE" w:rsidRDefault="00E61923">
      <w:pPr>
        <w:pStyle w:val="TDC3"/>
        <w:tabs>
          <w:tab w:val="left" w:pos="660"/>
          <w:tab w:val="right" w:pos="8494"/>
        </w:tabs>
        <w:rPr>
          <w:rFonts w:eastAsiaTheme="minorEastAsia" w:cstheme="minorBidi"/>
          <w:noProof/>
          <w:kern w:val="2"/>
          <w:sz w:val="22"/>
          <w:szCs w:val="22"/>
          <w:lang w:val="es-ES" w:eastAsia="es-ES"/>
          <w14:ligatures w14:val="standardContextual"/>
        </w:rPr>
      </w:pPr>
      <w:hyperlink w:anchor="_Toc141974994" w:history="1">
        <w:r w:rsidR="003277AE" w:rsidRPr="00F24ED4">
          <w:rPr>
            <w:rStyle w:val="Hipervnculo"/>
            <w:noProof/>
          </w:rPr>
          <w:t>2.1.1</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rPr>
          <w:t>Bottom Up</w:t>
        </w:r>
        <w:r w:rsidR="003277AE">
          <w:rPr>
            <w:noProof/>
            <w:webHidden/>
          </w:rPr>
          <w:tab/>
        </w:r>
        <w:r w:rsidR="003277AE">
          <w:rPr>
            <w:noProof/>
            <w:webHidden/>
          </w:rPr>
          <w:fldChar w:fldCharType="begin"/>
        </w:r>
        <w:r w:rsidR="003277AE">
          <w:rPr>
            <w:noProof/>
            <w:webHidden/>
          </w:rPr>
          <w:instrText xml:space="preserve"> PAGEREF _Toc141974994 \h </w:instrText>
        </w:r>
        <w:r w:rsidR="003277AE">
          <w:rPr>
            <w:noProof/>
            <w:webHidden/>
          </w:rPr>
        </w:r>
        <w:r w:rsidR="003277AE">
          <w:rPr>
            <w:noProof/>
            <w:webHidden/>
          </w:rPr>
          <w:fldChar w:fldCharType="separate"/>
        </w:r>
        <w:r w:rsidR="00006265">
          <w:rPr>
            <w:noProof/>
            <w:webHidden/>
          </w:rPr>
          <w:t>7</w:t>
        </w:r>
        <w:r w:rsidR="003277AE">
          <w:rPr>
            <w:noProof/>
            <w:webHidden/>
          </w:rPr>
          <w:fldChar w:fldCharType="end"/>
        </w:r>
      </w:hyperlink>
    </w:p>
    <w:p w14:paraId="61580FD3" w14:textId="17540129" w:rsidR="003277AE" w:rsidRDefault="00E61923">
      <w:pPr>
        <w:pStyle w:val="TDC3"/>
        <w:tabs>
          <w:tab w:val="left" w:pos="660"/>
          <w:tab w:val="right" w:pos="8494"/>
        </w:tabs>
        <w:rPr>
          <w:rFonts w:eastAsiaTheme="minorEastAsia" w:cstheme="minorBidi"/>
          <w:noProof/>
          <w:kern w:val="2"/>
          <w:sz w:val="22"/>
          <w:szCs w:val="22"/>
          <w:lang w:val="es-ES" w:eastAsia="es-ES"/>
          <w14:ligatures w14:val="standardContextual"/>
        </w:rPr>
      </w:pPr>
      <w:hyperlink w:anchor="_Toc141974995" w:history="1">
        <w:r w:rsidR="003277AE" w:rsidRPr="00F24ED4">
          <w:rPr>
            <w:rStyle w:val="Hipervnculo"/>
            <w:noProof/>
            <w:lang w:val="es-ES"/>
          </w:rPr>
          <w:t>2.1.2</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ES"/>
          </w:rPr>
          <w:t xml:space="preserve">Costos incrementales promedio de largo plazo – </w:t>
        </w:r>
        <w:r w:rsidR="003277AE" w:rsidRPr="00F24ED4">
          <w:rPr>
            <w:rStyle w:val="Hipervnculo"/>
            <w:noProof/>
            <w:lang w:val="es-MX"/>
          </w:rPr>
          <w:t>CIPLP</w:t>
        </w:r>
        <w:r w:rsidR="003277AE" w:rsidRPr="00F24ED4">
          <w:rPr>
            <w:rStyle w:val="Hipervnculo"/>
            <w:noProof/>
            <w:lang w:val="es-ES"/>
          </w:rPr>
          <w:t>/LRAIC</w:t>
        </w:r>
        <w:r w:rsidR="003277AE">
          <w:rPr>
            <w:noProof/>
            <w:webHidden/>
          </w:rPr>
          <w:tab/>
        </w:r>
        <w:r w:rsidR="003277AE">
          <w:rPr>
            <w:noProof/>
            <w:webHidden/>
          </w:rPr>
          <w:fldChar w:fldCharType="begin"/>
        </w:r>
        <w:r w:rsidR="003277AE">
          <w:rPr>
            <w:noProof/>
            <w:webHidden/>
          </w:rPr>
          <w:instrText xml:space="preserve"> PAGEREF _Toc141974995 \h </w:instrText>
        </w:r>
        <w:r w:rsidR="003277AE">
          <w:rPr>
            <w:noProof/>
            <w:webHidden/>
          </w:rPr>
        </w:r>
        <w:r w:rsidR="003277AE">
          <w:rPr>
            <w:noProof/>
            <w:webHidden/>
          </w:rPr>
          <w:fldChar w:fldCharType="separate"/>
        </w:r>
        <w:r w:rsidR="00006265">
          <w:rPr>
            <w:noProof/>
            <w:webHidden/>
          </w:rPr>
          <w:t>8</w:t>
        </w:r>
        <w:r w:rsidR="003277AE">
          <w:rPr>
            <w:noProof/>
            <w:webHidden/>
          </w:rPr>
          <w:fldChar w:fldCharType="end"/>
        </w:r>
      </w:hyperlink>
    </w:p>
    <w:p w14:paraId="0A63F310" w14:textId="512E3543" w:rsidR="003277AE" w:rsidRDefault="00E61923">
      <w:pPr>
        <w:pStyle w:val="TDC3"/>
        <w:tabs>
          <w:tab w:val="left" w:pos="660"/>
          <w:tab w:val="right" w:pos="8494"/>
        </w:tabs>
        <w:rPr>
          <w:rFonts w:eastAsiaTheme="minorEastAsia" w:cstheme="minorBidi"/>
          <w:noProof/>
          <w:kern w:val="2"/>
          <w:sz w:val="22"/>
          <w:szCs w:val="22"/>
          <w:lang w:val="es-ES" w:eastAsia="es-ES"/>
          <w14:ligatures w14:val="standardContextual"/>
        </w:rPr>
      </w:pPr>
      <w:hyperlink w:anchor="_Toc141974996" w:history="1">
        <w:r w:rsidR="003277AE" w:rsidRPr="00F24ED4">
          <w:rPr>
            <w:rStyle w:val="Hipervnculo"/>
            <w:noProof/>
            <w:lang w:val="es-MX"/>
          </w:rPr>
          <w:t>2.1.3</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Horizonte de tiempo</w:t>
        </w:r>
        <w:r w:rsidR="003277AE">
          <w:rPr>
            <w:noProof/>
            <w:webHidden/>
          </w:rPr>
          <w:tab/>
        </w:r>
        <w:r w:rsidR="003277AE">
          <w:rPr>
            <w:noProof/>
            <w:webHidden/>
          </w:rPr>
          <w:fldChar w:fldCharType="begin"/>
        </w:r>
        <w:r w:rsidR="003277AE">
          <w:rPr>
            <w:noProof/>
            <w:webHidden/>
          </w:rPr>
          <w:instrText xml:space="preserve"> PAGEREF _Toc141974996 \h </w:instrText>
        </w:r>
        <w:r w:rsidR="003277AE">
          <w:rPr>
            <w:noProof/>
            <w:webHidden/>
          </w:rPr>
        </w:r>
        <w:r w:rsidR="003277AE">
          <w:rPr>
            <w:noProof/>
            <w:webHidden/>
          </w:rPr>
          <w:fldChar w:fldCharType="separate"/>
        </w:r>
        <w:r w:rsidR="00006265">
          <w:rPr>
            <w:noProof/>
            <w:webHidden/>
          </w:rPr>
          <w:t>12</w:t>
        </w:r>
        <w:r w:rsidR="003277AE">
          <w:rPr>
            <w:noProof/>
            <w:webHidden/>
          </w:rPr>
          <w:fldChar w:fldCharType="end"/>
        </w:r>
      </w:hyperlink>
    </w:p>
    <w:p w14:paraId="37706562" w14:textId="3DDBC4ED" w:rsidR="003277AE" w:rsidRDefault="00E61923">
      <w:pPr>
        <w:pStyle w:val="TDC2"/>
        <w:rPr>
          <w:rFonts w:eastAsiaTheme="minorEastAsia" w:cstheme="minorBidi"/>
          <w:b w:val="0"/>
          <w:bCs w:val="0"/>
          <w:noProof/>
          <w:kern w:val="2"/>
          <w:sz w:val="22"/>
          <w:lang w:val="es-ES" w:eastAsia="es-ES"/>
          <w14:ligatures w14:val="standardContextual"/>
        </w:rPr>
      </w:pPr>
      <w:hyperlink w:anchor="_Toc141974997" w:history="1">
        <w:r w:rsidR="003277AE" w:rsidRPr="00F24ED4">
          <w:rPr>
            <w:rStyle w:val="Hipervnculo"/>
            <w:noProof/>
          </w:rPr>
          <w:t>2.2</w:t>
        </w:r>
        <w:r w:rsidR="003277AE">
          <w:rPr>
            <w:rFonts w:eastAsiaTheme="minorEastAsia" w:cstheme="minorBidi"/>
            <w:b w:val="0"/>
            <w:bCs w:val="0"/>
            <w:noProof/>
            <w:kern w:val="2"/>
            <w:sz w:val="22"/>
            <w:lang w:val="es-ES" w:eastAsia="es-ES"/>
            <w14:ligatures w14:val="standardContextual"/>
          </w:rPr>
          <w:tab/>
        </w:r>
        <w:r w:rsidR="003277AE" w:rsidRPr="00F24ED4">
          <w:rPr>
            <w:rStyle w:val="Hipervnculo"/>
            <w:noProof/>
            <w:lang w:val="es-MX"/>
          </w:rPr>
          <w:t>Operador modelado</w:t>
        </w:r>
        <w:r w:rsidR="003277AE">
          <w:rPr>
            <w:noProof/>
            <w:webHidden/>
          </w:rPr>
          <w:tab/>
        </w:r>
        <w:r w:rsidR="003277AE">
          <w:rPr>
            <w:noProof/>
            <w:webHidden/>
          </w:rPr>
          <w:fldChar w:fldCharType="begin"/>
        </w:r>
        <w:r w:rsidR="003277AE">
          <w:rPr>
            <w:noProof/>
            <w:webHidden/>
          </w:rPr>
          <w:instrText xml:space="preserve"> PAGEREF _Toc141974997 \h </w:instrText>
        </w:r>
        <w:r w:rsidR="003277AE">
          <w:rPr>
            <w:noProof/>
            <w:webHidden/>
          </w:rPr>
        </w:r>
        <w:r w:rsidR="003277AE">
          <w:rPr>
            <w:noProof/>
            <w:webHidden/>
          </w:rPr>
          <w:fldChar w:fldCharType="separate"/>
        </w:r>
        <w:r w:rsidR="00006265">
          <w:rPr>
            <w:noProof/>
            <w:webHidden/>
          </w:rPr>
          <w:t>13</w:t>
        </w:r>
        <w:r w:rsidR="003277AE">
          <w:rPr>
            <w:noProof/>
            <w:webHidden/>
          </w:rPr>
          <w:fldChar w:fldCharType="end"/>
        </w:r>
      </w:hyperlink>
    </w:p>
    <w:p w14:paraId="6DEE3FC2" w14:textId="3686B939" w:rsidR="003277AE" w:rsidRDefault="00E61923">
      <w:pPr>
        <w:pStyle w:val="TDC3"/>
        <w:tabs>
          <w:tab w:val="left" w:pos="660"/>
          <w:tab w:val="right" w:pos="8494"/>
        </w:tabs>
        <w:rPr>
          <w:rFonts w:eastAsiaTheme="minorEastAsia" w:cstheme="minorBidi"/>
          <w:noProof/>
          <w:kern w:val="2"/>
          <w:sz w:val="22"/>
          <w:szCs w:val="22"/>
          <w:lang w:val="es-ES" w:eastAsia="es-ES"/>
          <w14:ligatures w14:val="standardContextual"/>
        </w:rPr>
      </w:pPr>
      <w:hyperlink w:anchor="_Toc141974998" w:history="1">
        <w:r w:rsidR="003277AE" w:rsidRPr="00F24ED4">
          <w:rPr>
            <w:rStyle w:val="Hipervnculo"/>
            <w:noProof/>
            <w:lang w:val="es-MX"/>
          </w:rPr>
          <w:t>2.2.1</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Tipo de operador</w:t>
        </w:r>
        <w:r w:rsidR="003277AE">
          <w:rPr>
            <w:noProof/>
            <w:webHidden/>
          </w:rPr>
          <w:tab/>
        </w:r>
        <w:r w:rsidR="003277AE">
          <w:rPr>
            <w:noProof/>
            <w:webHidden/>
          </w:rPr>
          <w:fldChar w:fldCharType="begin"/>
        </w:r>
        <w:r w:rsidR="003277AE">
          <w:rPr>
            <w:noProof/>
            <w:webHidden/>
          </w:rPr>
          <w:instrText xml:space="preserve"> PAGEREF _Toc141974998 \h </w:instrText>
        </w:r>
        <w:r w:rsidR="003277AE">
          <w:rPr>
            <w:noProof/>
            <w:webHidden/>
          </w:rPr>
        </w:r>
        <w:r w:rsidR="003277AE">
          <w:rPr>
            <w:noProof/>
            <w:webHidden/>
          </w:rPr>
          <w:fldChar w:fldCharType="separate"/>
        </w:r>
        <w:r w:rsidR="00006265">
          <w:rPr>
            <w:noProof/>
            <w:webHidden/>
          </w:rPr>
          <w:t>13</w:t>
        </w:r>
        <w:r w:rsidR="003277AE">
          <w:rPr>
            <w:noProof/>
            <w:webHidden/>
          </w:rPr>
          <w:fldChar w:fldCharType="end"/>
        </w:r>
      </w:hyperlink>
    </w:p>
    <w:p w14:paraId="6810E98A" w14:textId="6AD97003" w:rsidR="003277AE" w:rsidRDefault="00E61923">
      <w:pPr>
        <w:pStyle w:val="TDC3"/>
        <w:tabs>
          <w:tab w:val="left" w:pos="660"/>
          <w:tab w:val="right" w:pos="8494"/>
        </w:tabs>
        <w:rPr>
          <w:rFonts w:eastAsiaTheme="minorEastAsia" w:cstheme="minorBidi"/>
          <w:noProof/>
          <w:kern w:val="2"/>
          <w:sz w:val="22"/>
          <w:szCs w:val="22"/>
          <w:lang w:val="es-ES" w:eastAsia="es-ES"/>
          <w14:ligatures w14:val="standardContextual"/>
        </w:rPr>
      </w:pPr>
      <w:hyperlink w:anchor="_Toc141974999" w:history="1">
        <w:r w:rsidR="003277AE" w:rsidRPr="00F24ED4">
          <w:rPr>
            <w:rStyle w:val="Hipervnculo"/>
            <w:noProof/>
            <w:lang w:val="es-MX"/>
          </w:rPr>
          <w:t>2.2.2</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Servicios modelados</w:t>
        </w:r>
        <w:r w:rsidR="003277AE">
          <w:rPr>
            <w:noProof/>
            <w:webHidden/>
          </w:rPr>
          <w:tab/>
        </w:r>
        <w:r w:rsidR="003277AE">
          <w:rPr>
            <w:noProof/>
            <w:webHidden/>
          </w:rPr>
          <w:fldChar w:fldCharType="begin"/>
        </w:r>
        <w:r w:rsidR="003277AE">
          <w:rPr>
            <w:noProof/>
            <w:webHidden/>
          </w:rPr>
          <w:instrText xml:space="preserve"> PAGEREF _Toc141974999 \h </w:instrText>
        </w:r>
        <w:r w:rsidR="003277AE">
          <w:rPr>
            <w:noProof/>
            <w:webHidden/>
          </w:rPr>
        </w:r>
        <w:r w:rsidR="003277AE">
          <w:rPr>
            <w:noProof/>
            <w:webHidden/>
          </w:rPr>
          <w:fldChar w:fldCharType="separate"/>
        </w:r>
        <w:r w:rsidR="00006265">
          <w:rPr>
            <w:noProof/>
            <w:webHidden/>
          </w:rPr>
          <w:t>15</w:t>
        </w:r>
        <w:r w:rsidR="003277AE">
          <w:rPr>
            <w:noProof/>
            <w:webHidden/>
          </w:rPr>
          <w:fldChar w:fldCharType="end"/>
        </w:r>
      </w:hyperlink>
    </w:p>
    <w:p w14:paraId="6BDC3AE8" w14:textId="6A9284B3" w:rsidR="003277AE" w:rsidRDefault="00E61923">
      <w:pPr>
        <w:pStyle w:val="TDC3"/>
        <w:tabs>
          <w:tab w:val="left" w:pos="660"/>
          <w:tab w:val="right" w:pos="8494"/>
        </w:tabs>
        <w:rPr>
          <w:rFonts w:eastAsiaTheme="minorEastAsia" w:cstheme="minorBidi"/>
          <w:noProof/>
          <w:kern w:val="2"/>
          <w:sz w:val="22"/>
          <w:szCs w:val="22"/>
          <w:lang w:val="es-ES" w:eastAsia="es-ES"/>
          <w14:ligatures w14:val="standardContextual"/>
        </w:rPr>
      </w:pPr>
      <w:hyperlink w:anchor="_Toc141975000" w:history="1">
        <w:r w:rsidR="003277AE" w:rsidRPr="00F24ED4">
          <w:rPr>
            <w:rStyle w:val="Hipervnculo"/>
            <w:noProof/>
            <w:lang w:val="es-ES"/>
          </w:rPr>
          <w:t>2.2.3</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ES"/>
          </w:rPr>
          <w:t>Nivel de eficiencia del operador modelado</w:t>
        </w:r>
        <w:r w:rsidR="003277AE">
          <w:rPr>
            <w:noProof/>
            <w:webHidden/>
          </w:rPr>
          <w:tab/>
        </w:r>
        <w:r w:rsidR="003277AE">
          <w:rPr>
            <w:noProof/>
            <w:webHidden/>
          </w:rPr>
          <w:fldChar w:fldCharType="begin"/>
        </w:r>
        <w:r w:rsidR="003277AE">
          <w:rPr>
            <w:noProof/>
            <w:webHidden/>
          </w:rPr>
          <w:instrText xml:space="preserve"> PAGEREF _Toc141975000 \h </w:instrText>
        </w:r>
        <w:r w:rsidR="003277AE">
          <w:rPr>
            <w:noProof/>
            <w:webHidden/>
          </w:rPr>
        </w:r>
        <w:r w:rsidR="003277AE">
          <w:rPr>
            <w:noProof/>
            <w:webHidden/>
          </w:rPr>
          <w:fldChar w:fldCharType="separate"/>
        </w:r>
        <w:r w:rsidR="00006265">
          <w:rPr>
            <w:noProof/>
            <w:webHidden/>
          </w:rPr>
          <w:t>17</w:t>
        </w:r>
        <w:r w:rsidR="003277AE">
          <w:rPr>
            <w:noProof/>
            <w:webHidden/>
          </w:rPr>
          <w:fldChar w:fldCharType="end"/>
        </w:r>
      </w:hyperlink>
    </w:p>
    <w:p w14:paraId="7ACCC612" w14:textId="312A0FFC" w:rsidR="003277AE" w:rsidRDefault="00E61923">
      <w:pPr>
        <w:pStyle w:val="TDC4"/>
        <w:rPr>
          <w:rFonts w:eastAsiaTheme="minorEastAsia" w:cstheme="minorBidi"/>
          <w:noProof/>
          <w:kern w:val="2"/>
          <w:sz w:val="22"/>
          <w:szCs w:val="22"/>
          <w:lang w:val="es-ES" w:eastAsia="es-ES"/>
          <w14:ligatures w14:val="standardContextual"/>
        </w:rPr>
      </w:pPr>
      <w:hyperlink w:anchor="_Toc141975001" w:history="1">
        <w:r w:rsidR="003277AE" w:rsidRPr="00F24ED4">
          <w:rPr>
            <w:rStyle w:val="Hipervnculo"/>
            <w:noProof/>
            <w:lang w:val="es-MX"/>
          </w:rPr>
          <w:t>2.2.3.1</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Consideración de activos modernos equivalentes</w:t>
        </w:r>
        <w:r w:rsidR="003277AE">
          <w:rPr>
            <w:noProof/>
            <w:webHidden/>
          </w:rPr>
          <w:tab/>
        </w:r>
        <w:r w:rsidR="003277AE">
          <w:rPr>
            <w:noProof/>
            <w:webHidden/>
          </w:rPr>
          <w:fldChar w:fldCharType="begin"/>
        </w:r>
        <w:r w:rsidR="003277AE">
          <w:rPr>
            <w:noProof/>
            <w:webHidden/>
          </w:rPr>
          <w:instrText xml:space="preserve"> PAGEREF _Toc141975001 \h </w:instrText>
        </w:r>
        <w:r w:rsidR="003277AE">
          <w:rPr>
            <w:noProof/>
            <w:webHidden/>
          </w:rPr>
        </w:r>
        <w:r w:rsidR="003277AE">
          <w:rPr>
            <w:noProof/>
            <w:webHidden/>
          </w:rPr>
          <w:fldChar w:fldCharType="separate"/>
        </w:r>
        <w:r w:rsidR="00006265">
          <w:rPr>
            <w:noProof/>
            <w:webHidden/>
          </w:rPr>
          <w:t>17</w:t>
        </w:r>
        <w:r w:rsidR="003277AE">
          <w:rPr>
            <w:noProof/>
            <w:webHidden/>
          </w:rPr>
          <w:fldChar w:fldCharType="end"/>
        </w:r>
      </w:hyperlink>
    </w:p>
    <w:p w14:paraId="1CD7A10B" w14:textId="565029DF" w:rsidR="003277AE" w:rsidRDefault="00E61923">
      <w:pPr>
        <w:pStyle w:val="TDC4"/>
        <w:rPr>
          <w:rFonts w:eastAsiaTheme="minorEastAsia" w:cstheme="minorBidi"/>
          <w:noProof/>
          <w:kern w:val="2"/>
          <w:sz w:val="22"/>
          <w:szCs w:val="22"/>
          <w:lang w:val="es-ES" w:eastAsia="es-ES"/>
          <w14:ligatures w14:val="standardContextual"/>
        </w:rPr>
      </w:pPr>
      <w:hyperlink w:anchor="_Toc141975002" w:history="1">
        <w:r w:rsidR="003277AE" w:rsidRPr="00F24ED4">
          <w:rPr>
            <w:rStyle w:val="Hipervnculo"/>
            <w:noProof/>
            <w:lang w:val="es-MX"/>
          </w:rPr>
          <w:t>2.2.3.2</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Red de acceso modelada</w:t>
        </w:r>
        <w:r w:rsidR="003277AE">
          <w:rPr>
            <w:noProof/>
            <w:webHidden/>
          </w:rPr>
          <w:tab/>
        </w:r>
        <w:r w:rsidR="003277AE">
          <w:rPr>
            <w:noProof/>
            <w:webHidden/>
          </w:rPr>
          <w:fldChar w:fldCharType="begin"/>
        </w:r>
        <w:r w:rsidR="003277AE">
          <w:rPr>
            <w:noProof/>
            <w:webHidden/>
          </w:rPr>
          <w:instrText xml:space="preserve"> PAGEREF _Toc141975002 \h </w:instrText>
        </w:r>
        <w:r w:rsidR="003277AE">
          <w:rPr>
            <w:noProof/>
            <w:webHidden/>
          </w:rPr>
        </w:r>
        <w:r w:rsidR="003277AE">
          <w:rPr>
            <w:noProof/>
            <w:webHidden/>
          </w:rPr>
          <w:fldChar w:fldCharType="separate"/>
        </w:r>
        <w:r w:rsidR="00006265">
          <w:rPr>
            <w:noProof/>
            <w:webHidden/>
          </w:rPr>
          <w:t>19</w:t>
        </w:r>
        <w:r w:rsidR="003277AE">
          <w:rPr>
            <w:noProof/>
            <w:webHidden/>
          </w:rPr>
          <w:fldChar w:fldCharType="end"/>
        </w:r>
      </w:hyperlink>
    </w:p>
    <w:p w14:paraId="1749EA41" w14:textId="640FB8F1" w:rsidR="003277AE" w:rsidRDefault="00E61923">
      <w:pPr>
        <w:pStyle w:val="TDC4"/>
        <w:rPr>
          <w:rFonts w:eastAsiaTheme="minorEastAsia" w:cstheme="minorBidi"/>
          <w:noProof/>
          <w:kern w:val="2"/>
          <w:sz w:val="22"/>
          <w:szCs w:val="22"/>
          <w:lang w:val="es-ES" w:eastAsia="es-ES"/>
          <w14:ligatures w14:val="standardContextual"/>
        </w:rPr>
      </w:pPr>
      <w:hyperlink w:anchor="_Toc141975003" w:history="1">
        <w:r w:rsidR="003277AE" w:rsidRPr="00F24ED4">
          <w:rPr>
            <w:rStyle w:val="Hipervnculo"/>
            <w:noProof/>
            <w:lang w:val="es-MX"/>
          </w:rPr>
          <w:t>2.2.3.3</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Ubicación de los nodos</w:t>
        </w:r>
        <w:r w:rsidR="003277AE">
          <w:rPr>
            <w:noProof/>
            <w:webHidden/>
          </w:rPr>
          <w:tab/>
        </w:r>
        <w:r w:rsidR="003277AE">
          <w:rPr>
            <w:noProof/>
            <w:webHidden/>
          </w:rPr>
          <w:fldChar w:fldCharType="begin"/>
        </w:r>
        <w:r w:rsidR="003277AE">
          <w:rPr>
            <w:noProof/>
            <w:webHidden/>
          </w:rPr>
          <w:instrText xml:space="preserve"> PAGEREF _Toc141975003 \h </w:instrText>
        </w:r>
        <w:r w:rsidR="003277AE">
          <w:rPr>
            <w:noProof/>
            <w:webHidden/>
          </w:rPr>
        </w:r>
        <w:r w:rsidR="003277AE">
          <w:rPr>
            <w:noProof/>
            <w:webHidden/>
          </w:rPr>
          <w:fldChar w:fldCharType="separate"/>
        </w:r>
        <w:r w:rsidR="00006265">
          <w:rPr>
            <w:noProof/>
            <w:webHidden/>
          </w:rPr>
          <w:t>20</w:t>
        </w:r>
        <w:r w:rsidR="003277AE">
          <w:rPr>
            <w:noProof/>
            <w:webHidden/>
          </w:rPr>
          <w:fldChar w:fldCharType="end"/>
        </w:r>
      </w:hyperlink>
    </w:p>
    <w:p w14:paraId="09AC8F7E" w14:textId="370EFADA" w:rsidR="003277AE" w:rsidRDefault="00E61923">
      <w:pPr>
        <w:pStyle w:val="TDC3"/>
        <w:tabs>
          <w:tab w:val="left" w:pos="660"/>
          <w:tab w:val="right" w:pos="8494"/>
        </w:tabs>
        <w:rPr>
          <w:rFonts w:eastAsiaTheme="minorEastAsia" w:cstheme="minorBidi"/>
          <w:noProof/>
          <w:kern w:val="2"/>
          <w:sz w:val="22"/>
          <w:szCs w:val="22"/>
          <w:lang w:val="es-ES" w:eastAsia="es-ES"/>
          <w14:ligatures w14:val="standardContextual"/>
        </w:rPr>
      </w:pPr>
      <w:hyperlink w:anchor="_Toc141975004" w:history="1">
        <w:r w:rsidR="003277AE" w:rsidRPr="00F24ED4">
          <w:rPr>
            <w:rStyle w:val="Hipervnculo"/>
            <w:noProof/>
            <w:lang w:val="es-MX"/>
          </w:rPr>
          <w:t>2.2.4</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Huella del operador modelado</w:t>
        </w:r>
        <w:r w:rsidR="003277AE">
          <w:rPr>
            <w:noProof/>
            <w:webHidden/>
          </w:rPr>
          <w:tab/>
        </w:r>
        <w:r w:rsidR="003277AE">
          <w:rPr>
            <w:noProof/>
            <w:webHidden/>
          </w:rPr>
          <w:fldChar w:fldCharType="begin"/>
        </w:r>
        <w:r w:rsidR="003277AE">
          <w:rPr>
            <w:noProof/>
            <w:webHidden/>
          </w:rPr>
          <w:instrText xml:space="preserve"> PAGEREF _Toc141975004 \h </w:instrText>
        </w:r>
        <w:r w:rsidR="003277AE">
          <w:rPr>
            <w:noProof/>
            <w:webHidden/>
          </w:rPr>
        </w:r>
        <w:r w:rsidR="003277AE">
          <w:rPr>
            <w:noProof/>
            <w:webHidden/>
          </w:rPr>
          <w:fldChar w:fldCharType="separate"/>
        </w:r>
        <w:r w:rsidR="00006265">
          <w:rPr>
            <w:noProof/>
            <w:webHidden/>
          </w:rPr>
          <w:t>23</w:t>
        </w:r>
        <w:r w:rsidR="003277AE">
          <w:rPr>
            <w:noProof/>
            <w:webHidden/>
          </w:rPr>
          <w:fldChar w:fldCharType="end"/>
        </w:r>
      </w:hyperlink>
    </w:p>
    <w:p w14:paraId="3C097A03" w14:textId="07A1D460" w:rsidR="003277AE" w:rsidRDefault="00E61923">
      <w:pPr>
        <w:pStyle w:val="TDC2"/>
        <w:rPr>
          <w:rFonts w:eastAsiaTheme="minorEastAsia" w:cstheme="minorBidi"/>
          <w:b w:val="0"/>
          <w:bCs w:val="0"/>
          <w:noProof/>
          <w:kern w:val="2"/>
          <w:sz w:val="22"/>
          <w:lang w:val="es-ES" w:eastAsia="es-ES"/>
          <w14:ligatures w14:val="standardContextual"/>
        </w:rPr>
      </w:pPr>
      <w:hyperlink w:anchor="_Toc141975005" w:history="1">
        <w:r w:rsidR="003277AE" w:rsidRPr="00F24ED4">
          <w:rPr>
            <w:rStyle w:val="Hipervnculo"/>
            <w:noProof/>
          </w:rPr>
          <w:t>2.3</w:t>
        </w:r>
        <w:r w:rsidR="003277AE">
          <w:rPr>
            <w:rFonts w:eastAsiaTheme="minorEastAsia" w:cstheme="minorBidi"/>
            <w:b w:val="0"/>
            <w:bCs w:val="0"/>
            <w:noProof/>
            <w:kern w:val="2"/>
            <w:sz w:val="22"/>
            <w:lang w:val="es-ES" w:eastAsia="es-ES"/>
            <w14:ligatures w14:val="standardContextual"/>
          </w:rPr>
          <w:tab/>
        </w:r>
        <w:r w:rsidR="003277AE" w:rsidRPr="00F24ED4">
          <w:rPr>
            <w:rStyle w:val="Hipervnculo"/>
            <w:noProof/>
            <w:lang w:val="es-ES"/>
          </w:rPr>
          <w:t>Enfoque de modelación de la red de acceso</w:t>
        </w:r>
        <w:r w:rsidR="003277AE">
          <w:rPr>
            <w:noProof/>
            <w:webHidden/>
          </w:rPr>
          <w:tab/>
        </w:r>
        <w:r w:rsidR="003277AE">
          <w:rPr>
            <w:noProof/>
            <w:webHidden/>
          </w:rPr>
          <w:fldChar w:fldCharType="begin"/>
        </w:r>
        <w:r w:rsidR="003277AE">
          <w:rPr>
            <w:noProof/>
            <w:webHidden/>
          </w:rPr>
          <w:instrText xml:space="preserve"> PAGEREF _Toc141975005 \h </w:instrText>
        </w:r>
        <w:r w:rsidR="003277AE">
          <w:rPr>
            <w:noProof/>
            <w:webHidden/>
          </w:rPr>
        </w:r>
        <w:r w:rsidR="003277AE">
          <w:rPr>
            <w:noProof/>
            <w:webHidden/>
          </w:rPr>
          <w:fldChar w:fldCharType="separate"/>
        </w:r>
        <w:r w:rsidR="00006265">
          <w:rPr>
            <w:noProof/>
            <w:webHidden/>
          </w:rPr>
          <w:t>24</w:t>
        </w:r>
        <w:r w:rsidR="003277AE">
          <w:rPr>
            <w:noProof/>
            <w:webHidden/>
          </w:rPr>
          <w:fldChar w:fldCharType="end"/>
        </w:r>
      </w:hyperlink>
    </w:p>
    <w:p w14:paraId="529AA97E" w14:textId="1A367DFC" w:rsidR="003277AE" w:rsidRDefault="00E61923">
      <w:pPr>
        <w:pStyle w:val="TDC3"/>
        <w:tabs>
          <w:tab w:val="left" w:pos="660"/>
          <w:tab w:val="right" w:pos="8494"/>
        </w:tabs>
        <w:rPr>
          <w:rFonts w:eastAsiaTheme="minorEastAsia" w:cstheme="minorBidi"/>
          <w:noProof/>
          <w:kern w:val="2"/>
          <w:sz w:val="22"/>
          <w:szCs w:val="22"/>
          <w:lang w:val="es-ES" w:eastAsia="es-ES"/>
          <w14:ligatures w14:val="standardContextual"/>
        </w:rPr>
      </w:pPr>
      <w:hyperlink w:anchor="_Toc141975006" w:history="1">
        <w:r w:rsidR="003277AE" w:rsidRPr="00F24ED4">
          <w:rPr>
            <w:rStyle w:val="Hipervnculo"/>
            <w:noProof/>
            <w:lang w:val="es-MX"/>
          </w:rPr>
          <w:t>2.3.1</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Alcance de la red modelada</w:t>
        </w:r>
        <w:r w:rsidR="003277AE">
          <w:rPr>
            <w:noProof/>
            <w:webHidden/>
          </w:rPr>
          <w:tab/>
        </w:r>
        <w:r w:rsidR="003277AE">
          <w:rPr>
            <w:noProof/>
            <w:webHidden/>
          </w:rPr>
          <w:fldChar w:fldCharType="begin"/>
        </w:r>
        <w:r w:rsidR="003277AE">
          <w:rPr>
            <w:noProof/>
            <w:webHidden/>
          </w:rPr>
          <w:instrText xml:space="preserve"> PAGEREF _Toc141975006 \h </w:instrText>
        </w:r>
        <w:r w:rsidR="003277AE">
          <w:rPr>
            <w:noProof/>
            <w:webHidden/>
          </w:rPr>
        </w:r>
        <w:r w:rsidR="003277AE">
          <w:rPr>
            <w:noProof/>
            <w:webHidden/>
          </w:rPr>
          <w:fldChar w:fldCharType="separate"/>
        </w:r>
        <w:r w:rsidR="00006265">
          <w:rPr>
            <w:noProof/>
            <w:webHidden/>
          </w:rPr>
          <w:t>24</w:t>
        </w:r>
        <w:r w:rsidR="003277AE">
          <w:rPr>
            <w:noProof/>
            <w:webHidden/>
          </w:rPr>
          <w:fldChar w:fldCharType="end"/>
        </w:r>
      </w:hyperlink>
    </w:p>
    <w:p w14:paraId="12652FE7" w14:textId="0F7F50ED" w:rsidR="003277AE" w:rsidRDefault="00E61923">
      <w:pPr>
        <w:pStyle w:val="TDC3"/>
        <w:tabs>
          <w:tab w:val="left" w:pos="660"/>
          <w:tab w:val="right" w:pos="8494"/>
        </w:tabs>
        <w:rPr>
          <w:rFonts w:eastAsiaTheme="minorEastAsia" w:cstheme="minorBidi"/>
          <w:noProof/>
          <w:kern w:val="2"/>
          <w:sz w:val="22"/>
          <w:szCs w:val="22"/>
          <w:lang w:val="es-ES" w:eastAsia="es-ES"/>
          <w14:ligatures w14:val="standardContextual"/>
        </w:rPr>
      </w:pPr>
      <w:hyperlink w:anchor="_Toc141975007" w:history="1">
        <w:r w:rsidR="003277AE" w:rsidRPr="00F24ED4">
          <w:rPr>
            <w:rStyle w:val="Hipervnculo"/>
            <w:noProof/>
            <w:lang w:val="es-MX"/>
          </w:rPr>
          <w:t>2.3.2</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Enfoque de modelado</w:t>
        </w:r>
        <w:r w:rsidR="003277AE">
          <w:rPr>
            <w:noProof/>
            <w:webHidden/>
          </w:rPr>
          <w:tab/>
        </w:r>
        <w:r w:rsidR="003277AE">
          <w:rPr>
            <w:noProof/>
            <w:webHidden/>
          </w:rPr>
          <w:fldChar w:fldCharType="begin"/>
        </w:r>
        <w:r w:rsidR="003277AE">
          <w:rPr>
            <w:noProof/>
            <w:webHidden/>
          </w:rPr>
          <w:instrText xml:space="preserve"> PAGEREF _Toc141975007 \h </w:instrText>
        </w:r>
        <w:r w:rsidR="003277AE">
          <w:rPr>
            <w:noProof/>
            <w:webHidden/>
          </w:rPr>
        </w:r>
        <w:r w:rsidR="003277AE">
          <w:rPr>
            <w:noProof/>
            <w:webHidden/>
          </w:rPr>
          <w:fldChar w:fldCharType="separate"/>
        </w:r>
        <w:r w:rsidR="00006265">
          <w:rPr>
            <w:noProof/>
            <w:webHidden/>
          </w:rPr>
          <w:t>26</w:t>
        </w:r>
        <w:r w:rsidR="003277AE">
          <w:rPr>
            <w:noProof/>
            <w:webHidden/>
          </w:rPr>
          <w:fldChar w:fldCharType="end"/>
        </w:r>
      </w:hyperlink>
    </w:p>
    <w:p w14:paraId="4EEB5E53" w14:textId="009998C1" w:rsidR="003277AE" w:rsidRDefault="00E61923">
      <w:pPr>
        <w:pStyle w:val="TDC3"/>
        <w:tabs>
          <w:tab w:val="left" w:pos="660"/>
          <w:tab w:val="right" w:pos="8494"/>
        </w:tabs>
        <w:rPr>
          <w:rFonts w:eastAsiaTheme="minorEastAsia" w:cstheme="minorBidi"/>
          <w:noProof/>
          <w:kern w:val="2"/>
          <w:sz w:val="22"/>
          <w:szCs w:val="22"/>
          <w:lang w:val="es-ES" w:eastAsia="es-ES"/>
          <w14:ligatures w14:val="standardContextual"/>
        </w:rPr>
      </w:pPr>
      <w:hyperlink w:anchor="_Toc141975008" w:history="1">
        <w:r w:rsidR="003277AE" w:rsidRPr="00F24ED4">
          <w:rPr>
            <w:rStyle w:val="Hipervnculo"/>
            <w:noProof/>
            <w:lang w:val="es-MX"/>
          </w:rPr>
          <w:t>2.3.3</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Tecnologías modeladas</w:t>
        </w:r>
        <w:r w:rsidR="003277AE">
          <w:rPr>
            <w:noProof/>
            <w:webHidden/>
          </w:rPr>
          <w:tab/>
        </w:r>
        <w:r w:rsidR="003277AE">
          <w:rPr>
            <w:noProof/>
            <w:webHidden/>
          </w:rPr>
          <w:fldChar w:fldCharType="begin"/>
        </w:r>
        <w:r w:rsidR="003277AE">
          <w:rPr>
            <w:noProof/>
            <w:webHidden/>
          </w:rPr>
          <w:instrText xml:space="preserve"> PAGEREF _Toc141975008 \h </w:instrText>
        </w:r>
        <w:r w:rsidR="003277AE">
          <w:rPr>
            <w:noProof/>
            <w:webHidden/>
          </w:rPr>
        </w:r>
        <w:r w:rsidR="003277AE">
          <w:rPr>
            <w:noProof/>
            <w:webHidden/>
          </w:rPr>
          <w:fldChar w:fldCharType="separate"/>
        </w:r>
        <w:r w:rsidR="00006265">
          <w:rPr>
            <w:noProof/>
            <w:webHidden/>
          </w:rPr>
          <w:t>31</w:t>
        </w:r>
        <w:r w:rsidR="003277AE">
          <w:rPr>
            <w:noProof/>
            <w:webHidden/>
          </w:rPr>
          <w:fldChar w:fldCharType="end"/>
        </w:r>
      </w:hyperlink>
    </w:p>
    <w:p w14:paraId="368E72D7" w14:textId="6CAF6D66" w:rsidR="003277AE" w:rsidRDefault="00E61923">
      <w:pPr>
        <w:pStyle w:val="TDC3"/>
        <w:tabs>
          <w:tab w:val="left" w:pos="660"/>
          <w:tab w:val="right" w:pos="8494"/>
        </w:tabs>
        <w:rPr>
          <w:rFonts w:eastAsiaTheme="minorEastAsia" w:cstheme="minorBidi"/>
          <w:noProof/>
          <w:kern w:val="2"/>
          <w:sz w:val="22"/>
          <w:szCs w:val="22"/>
          <w:lang w:val="es-ES" w:eastAsia="es-ES"/>
          <w14:ligatures w14:val="standardContextual"/>
        </w:rPr>
      </w:pPr>
      <w:hyperlink w:anchor="_Toc141975009" w:history="1">
        <w:r w:rsidR="003277AE" w:rsidRPr="00F24ED4">
          <w:rPr>
            <w:rStyle w:val="Hipervnculo"/>
            <w:noProof/>
            <w:lang w:val="es-MX"/>
          </w:rPr>
          <w:t>2.3.4</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Demanda de dimensionamiento</w:t>
        </w:r>
        <w:r w:rsidR="003277AE">
          <w:rPr>
            <w:noProof/>
            <w:webHidden/>
          </w:rPr>
          <w:tab/>
        </w:r>
        <w:r w:rsidR="003277AE">
          <w:rPr>
            <w:noProof/>
            <w:webHidden/>
          </w:rPr>
          <w:fldChar w:fldCharType="begin"/>
        </w:r>
        <w:r w:rsidR="003277AE">
          <w:rPr>
            <w:noProof/>
            <w:webHidden/>
          </w:rPr>
          <w:instrText xml:space="preserve"> PAGEREF _Toc141975009 \h </w:instrText>
        </w:r>
        <w:r w:rsidR="003277AE">
          <w:rPr>
            <w:noProof/>
            <w:webHidden/>
          </w:rPr>
        </w:r>
        <w:r w:rsidR="003277AE">
          <w:rPr>
            <w:noProof/>
            <w:webHidden/>
          </w:rPr>
          <w:fldChar w:fldCharType="separate"/>
        </w:r>
        <w:r w:rsidR="00006265">
          <w:rPr>
            <w:noProof/>
            <w:webHidden/>
          </w:rPr>
          <w:t>32</w:t>
        </w:r>
        <w:r w:rsidR="003277AE">
          <w:rPr>
            <w:noProof/>
            <w:webHidden/>
          </w:rPr>
          <w:fldChar w:fldCharType="end"/>
        </w:r>
      </w:hyperlink>
    </w:p>
    <w:p w14:paraId="11D87009" w14:textId="4EB2F5F0" w:rsidR="003277AE" w:rsidRDefault="00E61923">
      <w:pPr>
        <w:pStyle w:val="TDC3"/>
        <w:tabs>
          <w:tab w:val="left" w:pos="660"/>
          <w:tab w:val="right" w:pos="8494"/>
        </w:tabs>
        <w:rPr>
          <w:rFonts w:eastAsiaTheme="minorEastAsia" w:cstheme="minorBidi"/>
          <w:noProof/>
          <w:kern w:val="2"/>
          <w:sz w:val="22"/>
          <w:szCs w:val="22"/>
          <w:lang w:val="es-ES" w:eastAsia="es-ES"/>
          <w14:ligatures w14:val="standardContextual"/>
        </w:rPr>
      </w:pPr>
      <w:hyperlink w:anchor="_Toc141975010" w:history="1">
        <w:r w:rsidR="003277AE" w:rsidRPr="00F24ED4">
          <w:rPr>
            <w:rStyle w:val="Hipervnculo"/>
            <w:noProof/>
            <w:lang w:val="es-ES"/>
          </w:rPr>
          <w:t>2.3.5</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ES"/>
          </w:rPr>
          <w:t>Reglas de dimensionamiento y diseño de red</w:t>
        </w:r>
        <w:r w:rsidR="003277AE">
          <w:rPr>
            <w:noProof/>
            <w:webHidden/>
          </w:rPr>
          <w:tab/>
        </w:r>
        <w:r w:rsidR="003277AE">
          <w:rPr>
            <w:noProof/>
            <w:webHidden/>
          </w:rPr>
          <w:fldChar w:fldCharType="begin"/>
        </w:r>
        <w:r w:rsidR="003277AE">
          <w:rPr>
            <w:noProof/>
            <w:webHidden/>
          </w:rPr>
          <w:instrText xml:space="preserve"> PAGEREF _Toc141975010 \h </w:instrText>
        </w:r>
        <w:r w:rsidR="003277AE">
          <w:rPr>
            <w:noProof/>
            <w:webHidden/>
          </w:rPr>
        </w:r>
        <w:r w:rsidR="003277AE">
          <w:rPr>
            <w:noProof/>
            <w:webHidden/>
          </w:rPr>
          <w:fldChar w:fldCharType="separate"/>
        </w:r>
        <w:r w:rsidR="00006265">
          <w:rPr>
            <w:noProof/>
            <w:webHidden/>
          </w:rPr>
          <w:t>33</w:t>
        </w:r>
        <w:r w:rsidR="003277AE">
          <w:rPr>
            <w:noProof/>
            <w:webHidden/>
          </w:rPr>
          <w:fldChar w:fldCharType="end"/>
        </w:r>
      </w:hyperlink>
    </w:p>
    <w:p w14:paraId="374EB926" w14:textId="7004FEC5" w:rsidR="003277AE" w:rsidRDefault="00E61923">
      <w:pPr>
        <w:pStyle w:val="TDC4"/>
        <w:rPr>
          <w:rFonts w:eastAsiaTheme="minorEastAsia" w:cstheme="minorBidi"/>
          <w:noProof/>
          <w:kern w:val="2"/>
          <w:sz w:val="22"/>
          <w:szCs w:val="22"/>
          <w:lang w:val="es-ES" w:eastAsia="es-ES"/>
          <w14:ligatures w14:val="standardContextual"/>
        </w:rPr>
      </w:pPr>
      <w:hyperlink w:anchor="_Toc141975011" w:history="1">
        <w:r w:rsidR="003277AE" w:rsidRPr="00F24ED4">
          <w:rPr>
            <w:rStyle w:val="Hipervnculo"/>
            <w:noProof/>
            <w:lang w:val="es-MX"/>
          </w:rPr>
          <w:t>2.3.5.1</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Diseño de red</w:t>
        </w:r>
        <w:r w:rsidR="003277AE">
          <w:rPr>
            <w:noProof/>
            <w:webHidden/>
          </w:rPr>
          <w:tab/>
        </w:r>
        <w:r w:rsidR="003277AE">
          <w:rPr>
            <w:noProof/>
            <w:webHidden/>
          </w:rPr>
          <w:fldChar w:fldCharType="begin"/>
        </w:r>
        <w:r w:rsidR="003277AE">
          <w:rPr>
            <w:noProof/>
            <w:webHidden/>
          </w:rPr>
          <w:instrText xml:space="preserve"> PAGEREF _Toc141975011 \h </w:instrText>
        </w:r>
        <w:r w:rsidR="003277AE">
          <w:rPr>
            <w:noProof/>
            <w:webHidden/>
          </w:rPr>
        </w:r>
        <w:r w:rsidR="003277AE">
          <w:rPr>
            <w:noProof/>
            <w:webHidden/>
          </w:rPr>
          <w:fldChar w:fldCharType="separate"/>
        </w:r>
        <w:r w:rsidR="00006265">
          <w:rPr>
            <w:noProof/>
            <w:webHidden/>
          </w:rPr>
          <w:t>33</w:t>
        </w:r>
        <w:r w:rsidR="003277AE">
          <w:rPr>
            <w:noProof/>
            <w:webHidden/>
          </w:rPr>
          <w:fldChar w:fldCharType="end"/>
        </w:r>
      </w:hyperlink>
    </w:p>
    <w:p w14:paraId="6221C344" w14:textId="6FA3ACB0" w:rsidR="003277AE" w:rsidRDefault="00E61923">
      <w:pPr>
        <w:pStyle w:val="TDC4"/>
        <w:rPr>
          <w:rFonts w:eastAsiaTheme="minorEastAsia" w:cstheme="minorBidi"/>
          <w:noProof/>
          <w:kern w:val="2"/>
          <w:sz w:val="22"/>
          <w:szCs w:val="22"/>
          <w:lang w:val="es-ES" w:eastAsia="es-ES"/>
          <w14:ligatures w14:val="standardContextual"/>
        </w:rPr>
      </w:pPr>
      <w:hyperlink w:anchor="_Toc141975012" w:history="1">
        <w:r w:rsidR="003277AE" w:rsidRPr="00F24ED4">
          <w:rPr>
            <w:rStyle w:val="Hipervnculo"/>
            <w:noProof/>
            <w:lang w:val="es-MX"/>
          </w:rPr>
          <w:t>2.3.5.2</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Demanda para el cálculo de los costos unitarios</w:t>
        </w:r>
        <w:r w:rsidR="003277AE">
          <w:rPr>
            <w:noProof/>
            <w:webHidden/>
          </w:rPr>
          <w:tab/>
        </w:r>
        <w:r w:rsidR="003277AE">
          <w:rPr>
            <w:noProof/>
            <w:webHidden/>
          </w:rPr>
          <w:fldChar w:fldCharType="begin"/>
        </w:r>
        <w:r w:rsidR="003277AE">
          <w:rPr>
            <w:noProof/>
            <w:webHidden/>
          </w:rPr>
          <w:instrText xml:space="preserve"> PAGEREF _Toc141975012 \h </w:instrText>
        </w:r>
        <w:r w:rsidR="003277AE">
          <w:rPr>
            <w:noProof/>
            <w:webHidden/>
          </w:rPr>
        </w:r>
        <w:r w:rsidR="003277AE">
          <w:rPr>
            <w:noProof/>
            <w:webHidden/>
          </w:rPr>
          <w:fldChar w:fldCharType="separate"/>
        </w:r>
        <w:r w:rsidR="00006265">
          <w:rPr>
            <w:noProof/>
            <w:webHidden/>
          </w:rPr>
          <w:t>34</w:t>
        </w:r>
        <w:r w:rsidR="003277AE">
          <w:rPr>
            <w:noProof/>
            <w:webHidden/>
          </w:rPr>
          <w:fldChar w:fldCharType="end"/>
        </w:r>
      </w:hyperlink>
    </w:p>
    <w:p w14:paraId="444CE716" w14:textId="1E107197" w:rsidR="003277AE" w:rsidRDefault="00E61923">
      <w:pPr>
        <w:pStyle w:val="TDC4"/>
        <w:rPr>
          <w:rFonts w:eastAsiaTheme="minorEastAsia" w:cstheme="minorBidi"/>
          <w:noProof/>
          <w:kern w:val="2"/>
          <w:sz w:val="22"/>
          <w:szCs w:val="22"/>
          <w:lang w:val="es-ES" w:eastAsia="es-ES"/>
          <w14:ligatures w14:val="standardContextual"/>
        </w:rPr>
      </w:pPr>
      <w:hyperlink w:anchor="_Toc141975013" w:history="1">
        <w:r w:rsidR="003277AE" w:rsidRPr="00F24ED4">
          <w:rPr>
            <w:rStyle w:val="Hipervnculo"/>
            <w:noProof/>
            <w:lang w:val="es-MX"/>
          </w:rPr>
          <w:t>2.3.5.3</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Compartición de infraestructura</w:t>
        </w:r>
        <w:r w:rsidR="003277AE">
          <w:rPr>
            <w:noProof/>
            <w:webHidden/>
          </w:rPr>
          <w:tab/>
        </w:r>
        <w:r w:rsidR="003277AE">
          <w:rPr>
            <w:noProof/>
            <w:webHidden/>
          </w:rPr>
          <w:fldChar w:fldCharType="begin"/>
        </w:r>
        <w:r w:rsidR="003277AE">
          <w:rPr>
            <w:noProof/>
            <w:webHidden/>
          </w:rPr>
          <w:instrText xml:space="preserve"> PAGEREF _Toc141975013 \h </w:instrText>
        </w:r>
        <w:r w:rsidR="003277AE">
          <w:rPr>
            <w:noProof/>
            <w:webHidden/>
          </w:rPr>
        </w:r>
        <w:r w:rsidR="003277AE">
          <w:rPr>
            <w:noProof/>
            <w:webHidden/>
          </w:rPr>
          <w:fldChar w:fldCharType="separate"/>
        </w:r>
        <w:r w:rsidR="00006265">
          <w:rPr>
            <w:noProof/>
            <w:webHidden/>
          </w:rPr>
          <w:t>35</w:t>
        </w:r>
        <w:r w:rsidR="003277AE">
          <w:rPr>
            <w:noProof/>
            <w:webHidden/>
          </w:rPr>
          <w:fldChar w:fldCharType="end"/>
        </w:r>
      </w:hyperlink>
    </w:p>
    <w:p w14:paraId="554A1999" w14:textId="438042C2" w:rsidR="003277AE" w:rsidRDefault="00E61923">
      <w:pPr>
        <w:pStyle w:val="TDC2"/>
        <w:rPr>
          <w:rFonts w:eastAsiaTheme="minorEastAsia" w:cstheme="minorBidi"/>
          <w:b w:val="0"/>
          <w:bCs w:val="0"/>
          <w:noProof/>
          <w:kern w:val="2"/>
          <w:sz w:val="22"/>
          <w:lang w:val="es-ES" w:eastAsia="es-ES"/>
          <w14:ligatures w14:val="standardContextual"/>
        </w:rPr>
      </w:pPr>
      <w:hyperlink w:anchor="_Toc141975014" w:history="1">
        <w:r w:rsidR="003277AE" w:rsidRPr="00F24ED4">
          <w:rPr>
            <w:rStyle w:val="Hipervnculo"/>
            <w:noProof/>
          </w:rPr>
          <w:t>2.4</w:t>
        </w:r>
        <w:r w:rsidR="003277AE">
          <w:rPr>
            <w:rFonts w:eastAsiaTheme="minorEastAsia" w:cstheme="minorBidi"/>
            <w:b w:val="0"/>
            <w:bCs w:val="0"/>
            <w:noProof/>
            <w:kern w:val="2"/>
            <w:sz w:val="22"/>
            <w:lang w:val="es-ES" w:eastAsia="es-ES"/>
            <w14:ligatures w14:val="standardContextual"/>
          </w:rPr>
          <w:tab/>
        </w:r>
        <w:r w:rsidR="003277AE" w:rsidRPr="00F24ED4">
          <w:rPr>
            <w:rStyle w:val="Hipervnculo"/>
            <w:noProof/>
            <w:lang w:val="es-MX"/>
          </w:rPr>
          <w:t>Enfoque de costeo</w:t>
        </w:r>
        <w:r w:rsidR="003277AE">
          <w:rPr>
            <w:noProof/>
            <w:webHidden/>
          </w:rPr>
          <w:tab/>
        </w:r>
        <w:r w:rsidR="003277AE">
          <w:rPr>
            <w:noProof/>
            <w:webHidden/>
          </w:rPr>
          <w:fldChar w:fldCharType="begin"/>
        </w:r>
        <w:r w:rsidR="003277AE">
          <w:rPr>
            <w:noProof/>
            <w:webHidden/>
          </w:rPr>
          <w:instrText xml:space="preserve"> PAGEREF _Toc141975014 \h </w:instrText>
        </w:r>
        <w:r w:rsidR="003277AE">
          <w:rPr>
            <w:noProof/>
            <w:webHidden/>
          </w:rPr>
        </w:r>
        <w:r w:rsidR="003277AE">
          <w:rPr>
            <w:noProof/>
            <w:webHidden/>
          </w:rPr>
          <w:fldChar w:fldCharType="separate"/>
        </w:r>
        <w:r w:rsidR="00006265">
          <w:rPr>
            <w:noProof/>
            <w:webHidden/>
          </w:rPr>
          <w:t>36</w:t>
        </w:r>
        <w:r w:rsidR="003277AE">
          <w:rPr>
            <w:noProof/>
            <w:webHidden/>
          </w:rPr>
          <w:fldChar w:fldCharType="end"/>
        </w:r>
      </w:hyperlink>
    </w:p>
    <w:p w14:paraId="16C4DDEC" w14:textId="1EFD97CB" w:rsidR="003277AE" w:rsidRDefault="00E61923">
      <w:pPr>
        <w:pStyle w:val="TDC3"/>
        <w:tabs>
          <w:tab w:val="left" w:pos="660"/>
          <w:tab w:val="right" w:pos="8494"/>
        </w:tabs>
        <w:rPr>
          <w:rFonts w:eastAsiaTheme="minorEastAsia" w:cstheme="minorBidi"/>
          <w:noProof/>
          <w:kern w:val="2"/>
          <w:sz w:val="22"/>
          <w:szCs w:val="22"/>
          <w:lang w:val="es-ES" w:eastAsia="es-ES"/>
          <w14:ligatures w14:val="standardContextual"/>
        </w:rPr>
      </w:pPr>
      <w:hyperlink w:anchor="_Toc141975015" w:history="1">
        <w:r w:rsidR="003277AE" w:rsidRPr="00F24ED4">
          <w:rPr>
            <w:rStyle w:val="Hipervnculo"/>
            <w:noProof/>
          </w:rPr>
          <w:t>2.4.1</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rPr>
          <w:t>CAPEX</w:t>
        </w:r>
        <w:r w:rsidR="003277AE">
          <w:rPr>
            <w:noProof/>
            <w:webHidden/>
          </w:rPr>
          <w:tab/>
        </w:r>
        <w:r w:rsidR="003277AE">
          <w:rPr>
            <w:noProof/>
            <w:webHidden/>
          </w:rPr>
          <w:fldChar w:fldCharType="begin"/>
        </w:r>
        <w:r w:rsidR="003277AE">
          <w:rPr>
            <w:noProof/>
            <w:webHidden/>
          </w:rPr>
          <w:instrText xml:space="preserve"> PAGEREF _Toc141975015 \h </w:instrText>
        </w:r>
        <w:r w:rsidR="003277AE">
          <w:rPr>
            <w:noProof/>
            <w:webHidden/>
          </w:rPr>
        </w:r>
        <w:r w:rsidR="003277AE">
          <w:rPr>
            <w:noProof/>
            <w:webHidden/>
          </w:rPr>
          <w:fldChar w:fldCharType="separate"/>
        </w:r>
        <w:r w:rsidR="00006265">
          <w:rPr>
            <w:noProof/>
            <w:webHidden/>
          </w:rPr>
          <w:t>36</w:t>
        </w:r>
        <w:r w:rsidR="003277AE">
          <w:rPr>
            <w:noProof/>
            <w:webHidden/>
          </w:rPr>
          <w:fldChar w:fldCharType="end"/>
        </w:r>
      </w:hyperlink>
    </w:p>
    <w:p w14:paraId="19826A53" w14:textId="17F2E2BE" w:rsidR="003277AE" w:rsidRDefault="00E61923">
      <w:pPr>
        <w:pStyle w:val="TDC4"/>
        <w:rPr>
          <w:rFonts w:eastAsiaTheme="minorEastAsia" w:cstheme="minorBidi"/>
          <w:noProof/>
          <w:kern w:val="2"/>
          <w:sz w:val="22"/>
          <w:szCs w:val="22"/>
          <w:lang w:val="es-ES" w:eastAsia="es-ES"/>
          <w14:ligatures w14:val="standardContextual"/>
        </w:rPr>
      </w:pPr>
      <w:hyperlink w:anchor="_Toc141975016" w:history="1">
        <w:r w:rsidR="003277AE" w:rsidRPr="00F24ED4">
          <w:rPr>
            <w:rStyle w:val="Hipervnculo"/>
            <w:noProof/>
            <w:lang w:val="es-MX"/>
          </w:rPr>
          <w:t>2.4.1.1</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Valoración de los activos</w:t>
        </w:r>
        <w:r w:rsidR="003277AE">
          <w:rPr>
            <w:noProof/>
            <w:webHidden/>
          </w:rPr>
          <w:tab/>
        </w:r>
        <w:r w:rsidR="003277AE">
          <w:rPr>
            <w:noProof/>
            <w:webHidden/>
          </w:rPr>
          <w:fldChar w:fldCharType="begin"/>
        </w:r>
        <w:r w:rsidR="003277AE">
          <w:rPr>
            <w:noProof/>
            <w:webHidden/>
          </w:rPr>
          <w:instrText xml:space="preserve"> PAGEREF _Toc141975016 \h </w:instrText>
        </w:r>
        <w:r w:rsidR="003277AE">
          <w:rPr>
            <w:noProof/>
            <w:webHidden/>
          </w:rPr>
        </w:r>
        <w:r w:rsidR="003277AE">
          <w:rPr>
            <w:noProof/>
            <w:webHidden/>
          </w:rPr>
          <w:fldChar w:fldCharType="separate"/>
        </w:r>
        <w:r w:rsidR="00006265">
          <w:rPr>
            <w:noProof/>
            <w:webHidden/>
          </w:rPr>
          <w:t>36</w:t>
        </w:r>
        <w:r w:rsidR="003277AE">
          <w:rPr>
            <w:noProof/>
            <w:webHidden/>
          </w:rPr>
          <w:fldChar w:fldCharType="end"/>
        </w:r>
      </w:hyperlink>
    </w:p>
    <w:p w14:paraId="3B359F7C" w14:textId="5401EFF7" w:rsidR="003277AE" w:rsidRDefault="00E61923">
      <w:pPr>
        <w:pStyle w:val="TDC4"/>
        <w:rPr>
          <w:rFonts w:eastAsiaTheme="minorEastAsia" w:cstheme="minorBidi"/>
          <w:noProof/>
          <w:kern w:val="2"/>
          <w:sz w:val="22"/>
          <w:szCs w:val="22"/>
          <w:lang w:val="es-ES" w:eastAsia="es-ES"/>
          <w14:ligatures w14:val="standardContextual"/>
        </w:rPr>
      </w:pPr>
      <w:hyperlink w:anchor="_Toc141975017" w:history="1">
        <w:r w:rsidR="003277AE" w:rsidRPr="00F24ED4">
          <w:rPr>
            <w:rStyle w:val="Hipervnculo"/>
            <w:noProof/>
            <w:lang w:val="es-MX"/>
          </w:rPr>
          <w:t>2.4.1.2</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Valoración de activos de ingeniería civil reutilizables</w:t>
        </w:r>
        <w:r w:rsidR="003277AE">
          <w:rPr>
            <w:noProof/>
            <w:webHidden/>
          </w:rPr>
          <w:tab/>
        </w:r>
        <w:r w:rsidR="003277AE">
          <w:rPr>
            <w:noProof/>
            <w:webHidden/>
          </w:rPr>
          <w:fldChar w:fldCharType="begin"/>
        </w:r>
        <w:r w:rsidR="003277AE">
          <w:rPr>
            <w:noProof/>
            <w:webHidden/>
          </w:rPr>
          <w:instrText xml:space="preserve"> PAGEREF _Toc141975017 \h </w:instrText>
        </w:r>
        <w:r w:rsidR="003277AE">
          <w:rPr>
            <w:noProof/>
            <w:webHidden/>
          </w:rPr>
        </w:r>
        <w:r w:rsidR="003277AE">
          <w:rPr>
            <w:noProof/>
            <w:webHidden/>
          </w:rPr>
          <w:fldChar w:fldCharType="separate"/>
        </w:r>
        <w:r w:rsidR="00006265">
          <w:rPr>
            <w:noProof/>
            <w:webHidden/>
          </w:rPr>
          <w:t>38</w:t>
        </w:r>
        <w:r w:rsidR="003277AE">
          <w:rPr>
            <w:noProof/>
            <w:webHidden/>
          </w:rPr>
          <w:fldChar w:fldCharType="end"/>
        </w:r>
      </w:hyperlink>
    </w:p>
    <w:p w14:paraId="13342DC5" w14:textId="17CBF9CA" w:rsidR="003277AE" w:rsidRDefault="00E61923">
      <w:pPr>
        <w:pStyle w:val="TDC3"/>
        <w:tabs>
          <w:tab w:val="left" w:pos="660"/>
          <w:tab w:val="right" w:pos="8494"/>
        </w:tabs>
        <w:rPr>
          <w:rFonts w:eastAsiaTheme="minorEastAsia" w:cstheme="minorBidi"/>
          <w:noProof/>
          <w:kern w:val="2"/>
          <w:sz w:val="22"/>
          <w:szCs w:val="22"/>
          <w:lang w:val="es-ES" w:eastAsia="es-ES"/>
          <w14:ligatures w14:val="standardContextual"/>
        </w:rPr>
      </w:pPr>
      <w:hyperlink w:anchor="_Toc141975018" w:history="1">
        <w:r w:rsidR="003277AE" w:rsidRPr="00F24ED4">
          <w:rPr>
            <w:rStyle w:val="Hipervnculo"/>
            <w:noProof/>
            <w:lang w:val="es-MX"/>
          </w:rPr>
          <w:t>2.4.2</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Anualización de los CAPEX</w:t>
        </w:r>
        <w:r w:rsidR="003277AE">
          <w:rPr>
            <w:noProof/>
            <w:webHidden/>
          </w:rPr>
          <w:tab/>
        </w:r>
        <w:r w:rsidR="003277AE">
          <w:rPr>
            <w:noProof/>
            <w:webHidden/>
          </w:rPr>
          <w:fldChar w:fldCharType="begin"/>
        </w:r>
        <w:r w:rsidR="003277AE">
          <w:rPr>
            <w:noProof/>
            <w:webHidden/>
          </w:rPr>
          <w:instrText xml:space="preserve"> PAGEREF _Toc141975018 \h </w:instrText>
        </w:r>
        <w:r w:rsidR="003277AE">
          <w:rPr>
            <w:noProof/>
            <w:webHidden/>
          </w:rPr>
        </w:r>
        <w:r w:rsidR="003277AE">
          <w:rPr>
            <w:noProof/>
            <w:webHidden/>
          </w:rPr>
          <w:fldChar w:fldCharType="separate"/>
        </w:r>
        <w:r w:rsidR="00006265">
          <w:rPr>
            <w:noProof/>
            <w:webHidden/>
          </w:rPr>
          <w:t>41</w:t>
        </w:r>
        <w:r w:rsidR="003277AE">
          <w:rPr>
            <w:noProof/>
            <w:webHidden/>
          </w:rPr>
          <w:fldChar w:fldCharType="end"/>
        </w:r>
      </w:hyperlink>
    </w:p>
    <w:p w14:paraId="53CC8A40" w14:textId="6AE55C71" w:rsidR="003277AE" w:rsidRDefault="00E61923">
      <w:pPr>
        <w:pStyle w:val="TDC4"/>
        <w:rPr>
          <w:rFonts w:eastAsiaTheme="minorEastAsia" w:cstheme="minorBidi"/>
          <w:noProof/>
          <w:kern w:val="2"/>
          <w:sz w:val="22"/>
          <w:szCs w:val="22"/>
          <w:lang w:val="es-ES" w:eastAsia="es-ES"/>
          <w14:ligatures w14:val="standardContextual"/>
        </w:rPr>
      </w:pPr>
      <w:hyperlink w:anchor="_Toc141975019" w:history="1">
        <w:r w:rsidR="003277AE" w:rsidRPr="00F24ED4">
          <w:rPr>
            <w:rStyle w:val="Hipervnculo"/>
            <w:noProof/>
            <w:lang w:val="es-MX"/>
          </w:rPr>
          <w:t>2.4.2.1</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Costo Promedio Ponderado del Capital (CPPC o WACC)</w:t>
        </w:r>
        <w:r w:rsidR="003277AE">
          <w:rPr>
            <w:noProof/>
            <w:webHidden/>
          </w:rPr>
          <w:tab/>
        </w:r>
        <w:r w:rsidR="003277AE">
          <w:rPr>
            <w:noProof/>
            <w:webHidden/>
          </w:rPr>
          <w:fldChar w:fldCharType="begin"/>
        </w:r>
        <w:r w:rsidR="003277AE">
          <w:rPr>
            <w:noProof/>
            <w:webHidden/>
          </w:rPr>
          <w:instrText xml:space="preserve"> PAGEREF _Toc141975019 \h </w:instrText>
        </w:r>
        <w:r w:rsidR="003277AE">
          <w:rPr>
            <w:noProof/>
            <w:webHidden/>
          </w:rPr>
        </w:r>
        <w:r w:rsidR="003277AE">
          <w:rPr>
            <w:noProof/>
            <w:webHidden/>
          </w:rPr>
          <w:fldChar w:fldCharType="separate"/>
        </w:r>
        <w:r w:rsidR="00006265">
          <w:rPr>
            <w:noProof/>
            <w:webHidden/>
          </w:rPr>
          <w:t>41</w:t>
        </w:r>
        <w:r w:rsidR="003277AE">
          <w:rPr>
            <w:noProof/>
            <w:webHidden/>
          </w:rPr>
          <w:fldChar w:fldCharType="end"/>
        </w:r>
      </w:hyperlink>
    </w:p>
    <w:p w14:paraId="68E08F1E" w14:textId="4969ACB6" w:rsidR="003277AE" w:rsidRDefault="00E61923">
      <w:pPr>
        <w:pStyle w:val="TDC4"/>
        <w:rPr>
          <w:rFonts w:eastAsiaTheme="minorEastAsia" w:cstheme="minorBidi"/>
          <w:noProof/>
          <w:kern w:val="2"/>
          <w:sz w:val="22"/>
          <w:szCs w:val="22"/>
          <w:lang w:val="es-ES" w:eastAsia="es-ES"/>
          <w14:ligatures w14:val="standardContextual"/>
        </w:rPr>
      </w:pPr>
      <w:hyperlink w:anchor="_Toc141975020" w:history="1">
        <w:r w:rsidR="003277AE" w:rsidRPr="00F24ED4">
          <w:rPr>
            <w:rStyle w:val="Hipervnculo"/>
            <w:noProof/>
            <w:lang w:val="es-MX"/>
          </w:rPr>
          <w:t>2.4.2.2</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Tendencias de precios y vidas de activos</w:t>
        </w:r>
        <w:r w:rsidR="003277AE">
          <w:rPr>
            <w:noProof/>
            <w:webHidden/>
          </w:rPr>
          <w:tab/>
        </w:r>
        <w:r w:rsidR="003277AE">
          <w:rPr>
            <w:noProof/>
            <w:webHidden/>
          </w:rPr>
          <w:fldChar w:fldCharType="begin"/>
        </w:r>
        <w:r w:rsidR="003277AE">
          <w:rPr>
            <w:noProof/>
            <w:webHidden/>
          </w:rPr>
          <w:instrText xml:space="preserve"> PAGEREF _Toc141975020 \h </w:instrText>
        </w:r>
        <w:r w:rsidR="003277AE">
          <w:rPr>
            <w:noProof/>
            <w:webHidden/>
          </w:rPr>
        </w:r>
        <w:r w:rsidR="003277AE">
          <w:rPr>
            <w:noProof/>
            <w:webHidden/>
          </w:rPr>
          <w:fldChar w:fldCharType="separate"/>
        </w:r>
        <w:r w:rsidR="00006265">
          <w:rPr>
            <w:noProof/>
            <w:webHidden/>
          </w:rPr>
          <w:t>42</w:t>
        </w:r>
        <w:r w:rsidR="003277AE">
          <w:rPr>
            <w:noProof/>
            <w:webHidden/>
          </w:rPr>
          <w:fldChar w:fldCharType="end"/>
        </w:r>
      </w:hyperlink>
    </w:p>
    <w:p w14:paraId="09DF51E3" w14:textId="6C8332F2" w:rsidR="003277AE" w:rsidRDefault="00E61923">
      <w:pPr>
        <w:pStyle w:val="TDC4"/>
        <w:rPr>
          <w:rFonts w:eastAsiaTheme="minorEastAsia" w:cstheme="minorBidi"/>
          <w:noProof/>
          <w:kern w:val="2"/>
          <w:sz w:val="22"/>
          <w:szCs w:val="22"/>
          <w:lang w:val="es-ES" w:eastAsia="es-ES"/>
          <w14:ligatures w14:val="standardContextual"/>
        </w:rPr>
      </w:pPr>
      <w:hyperlink w:anchor="_Toc141975021" w:history="1">
        <w:r w:rsidR="003277AE" w:rsidRPr="00F24ED4">
          <w:rPr>
            <w:rStyle w:val="Hipervnculo"/>
            <w:noProof/>
            <w:lang w:val="es-MX"/>
          </w:rPr>
          <w:t>2.4.2.3</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Metodología de depreciación de las inversiones</w:t>
        </w:r>
        <w:r w:rsidR="003277AE">
          <w:rPr>
            <w:noProof/>
            <w:webHidden/>
          </w:rPr>
          <w:tab/>
        </w:r>
        <w:r w:rsidR="003277AE">
          <w:rPr>
            <w:noProof/>
            <w:webHidden/>
          </w:rPr>
          <w:fldChar w:fldCharType="begin"/>
        </w:r>
        <w:r w:rsidR="003277AE">
          <w:rPr>
            <w:noProof/>
            <w:webHidden/>
          </w:rPr>
          <w:instrText xml:space="preserve"> PAGEREF _Toc141975021 \h </w:instrText>
        </w:r>
        <w:r w:rsidR="003277AE">
          <w:rPr>
            <w:noProof/>
            <w:webHidden/>
          </w:rPr>
        </w:r>
        <w:r w:rsidR="003277AE">
          <w:rPr>
            <w:noProof/>
            <w:webHidden/>
          </w:rPr>
          <w:fldChar w:fldCharType="separate"/>
        </w:r>
        <w:r w:rsidR="00006265">
          <w:rPr>
            <w:noProof/>
            <w:webHidden/>
          </w:rPr>
          <w:t>43</w:t>
        </w:r>
        <w:r w:rsidR="003277AE">
          <w:rPr>
            <w:noProof/>
            <w:webHidden/>
          </w:rPr>
          <w:fldChar w:fldCharType="end"/>
        </w:r>
      </w:hyperlink>
    </w:p>
    <w:p w14:paraId="575518BA" w14:textId="260468CA" w:rsidR="003277AE" w:rsidRDefault="00E61923">
      <w:pPr>
        <w:pStyle w:val="TDC3"/>
        <w:tabs>
          <w:tab w:val="left" w:pos="660"/>
          <w:tab w:val="right" w:pos="8494"/>
        </w:tabs>
        <w:rPr>
          <w:rFonts w:eastAsiaTheme="minorEastAsia" w:cstheme="minorBidi"/>
          <w:noProof/>
          <w:kern w:val="2"/>
          <w:sz w:val="22"/>
          <w:szCs w:val="22"/>
          <w:lang w:val="es-ES" w:eastAsia="es-ES"/>
          <w14:ligatures w14:val="standardContextual"/>
        </w:rPr>
      </w:pPr>
      <w:hyperlink w:anchor="_Toc141975022" w:history="1">
        <w:r w:rsidR="003277AE" w:rsidRPr="00F24ED4">
          <w:rPr>
            <w:rStyle w:val="Hipervnculo"/>
            <w:noProof/>
            <w:lang w:val="es-MX"/>
          </w:rPr>
          <w:t>2.4.3</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Gastos operacionales (OPEX)</w:t>
        </w:r>
        <w:r w:rsidR="003277AE">
          <w:rPr>
            <w:noProof/>
            <w:webHidden/>
          </w:rPr>
          <w:tab/>
        </w:r>
        <w:r w:rsidR="003277AE">
          <w:rPr>
            <w:noProof/>
            <w:webHidden/>
          </w:rPr>
          <w:fldChar w:fldCharType="begin"/>
        </w:r>
        <w:r w:rsidR="003277AE">
          <w:rPr>
            <w:noProof/>
            <w:webHidden/>
          </w:rPr>
          <w:instrText xml:space="preserve"> PAGEREF _Toc141975022 \h </w:instrText>
        </w:r>
        <w:r w:rsidR="003277AE">
          <w:rPr>
            <w:noProof/>
            <w:webHidden/>
          </w:rPr>
        </w:r>
        <w:r w:rsidR="003277AE">
          <w:rPr>
            <w:noProof/>
            <w:webHidden/>
          </w:rPr>
          <w:fldChar w:fldCharType="separate"/>
        </w:r>
        <w:r w:rsidR="00006265">
          <w:rPr>
            <w:noProof/>
            <w:webHidden/>
          </w:rPr>
          <w:t>46</w:t>
        </w:r>
        <w:r w:rsidR="003277AE">
          <w:rPr>
            <w:noProof/>
            <w:webHidden/>
          </w:rPr>
          <w:fldChar w:fldCharType="end"/>
        </w:r>
      </w:hyperlink>
    </w:p>
    <w:p w14:paraId="76A2784D" w14:textId="0FE294F0" w:rsidR="003277AE" w:rsidRDefault="00E61923">
      <w:pPr>
        <w:pStyle w:val="TDC4"/>
        <w:rPr>
          <w:rFonts w:eastAsiaTheme="minorEastAsia" w:cstheme="minorBidi"/>
          <w:noProof/>
          <w:kern w:val="2"/>
          <w:sz w:val="22"/>
          <w:szCs w:val="22"/>
          <w:lang w:val="es-ES" w:eastAsia="es-ES"/>
          <w14:ligatures w14:val="standardContextual"/>
        </w:rPr>
      </w:pPr>
      <w:hyperlink w:anchor="_Toc141975023" w:history="1">
        <w:r w:rsidR="003277AE" w:rsidRPr="00F24ED4">
          <w:rPr>
            <w:rStyle w:val="Hipervnculo"/>
            <w:noProof/>
            <w:lang w:val="es-MX"/>
          </w:rPr>
          <w:t>2.4.3.1</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Mantenimiento de la red</w:t>
        </w:r>
        <w:r w:rsidR="003277AE">
          <w:rPr>
            <w:noProof/>
            <w:webHidden/>
          </w:rPr>
          <w:tab/>
        </w:r>
        <w:r w:rsidR="003277AE">
          <w:rPr>
            <w:noProof/>
            <w:webHidden/>
          </w:rPr>
          <w:fldChar w:fldCharType="begin"/>
        </w:r>
        <w:r w:rsidR="003277AE">
          <w:rPr>
            <w:noProof/>
            <w:webHidden/>
          </w:rPr>
          <w:instrText xml:space="preserve"> PAGEREF _Toc141975023 \h </w:instrText>
        </w:r>
        <w:r w:rsidR="003277AE">
          <w:rPr>
            <w:noProof/>
            <w:webHidden/>
          </w:rPr>
        </w:r>
        <w:r w:rsidR="003277AE">
          <w:rPr>
            <w:noProof/>
            <w:webHidden/>
          </w:rPr>
          <w:fldChar w:fldCharType="separate"/>
        </w:r>
        <w:r w:rsidR="00006265">
          <w:rPr>
            <w:noProof/>
            <w:webHidden/>
          </w:rPr>
          <w:t>46</w:t>
        </w:r>
        <w:r w:rsidR="003277AE">
          <w:rPr>
            <w:noProof/>
            <w:webHidden/>
          </w:rPr>
          <w:fldChar w:fldCharType="end"/>
        </w:r>
      </w:hyperlink>
    </w:p>
    <w:p w14:paraId="51EE0EEB" w14:textId="5FCD31DA" w:rsidR="003277AE" w:rsidRDefault="00E61923">
      <w:pPr>
        <w:pStyle w:val="TDC4"/>
        <w:rPr>
          <w:rFonts w:eastAsiaTheme="minorEastAsia" w:cstheme="minorBidi"/>
          <w:noProof/>
          <w:kern w:val="2"/>
          <w:sz w:val="22"/>
          <w:szCs w:val="22"/>
          <w:lang w:val="es-ES" w:eastAsia="es-ES"/>
          <w14:ligatures w14:val="standardContextual"/>
        </w:rPr>
      </w:pPr>
      <w:hyperlink w:anchor="_Toc141975024" w:history="1">
        <w:r w:rsidR="003277AE" w:rsidRPr="00F24ED4">
          <w:rPr>
            <w:rStyle w:val="Hipervnculo"/>
            <w:noProof/>
            <w:lang w:val="es-MX"/>
          </w:rPr>
          <w:t>2.4.3.2</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costos indirectos y no relacionados con la red</w:t>
        </w:r>
        <w:r w:rsidR="003277AE">
          <w:rPr>
            <w:noProof/>
            <w:webHidden/>
          </w:rPr>
          <w:tab/>
        </w:r>
        <w:r w:rsidR="003277AE">
          <w:rPr>
            <w:noProof/>
            <w:webHidden/>
          </w:rPr>
          <w:fldChar w:fldCharType="begin"/>
        </w:r>
        <w:r w:rsidR="003277AE">
          <w:rPr>
            <w:noProof/>
            <w:webHidden/>
          </w:rPr>
          <w:instrText xml:space="preserve"> PAGEREF _Toc141975024 \h </w:instrText>
        </w:r>
        <w:r w:rsidR="003277AE">
          <w:rPr>
            <w:noProof/>
            <w:webHidden/>
          </w:rPr>
        </w:r>
        <w:r w:rsidR="003277AE">
          <w:rPr>
            <w:noProof/>
            <w:webHidden/>
          </w:rPr>
          <w:fldChar w:fldCharType="separate"/>
        </w:r>
        <w:r w:rsidR="00006265">
          <w:rPr>
            <w:noProof/>
            <w:webHidden/>
          </w:rPr>
          <w:t>46</w:t>
        </w:r>
        <w:r w:rsidR="003277AE">
          <w:rPr>
            <w:noProof/>
            <w:webHidden/>
          </w:rPr>
          <w:fldChar w:fldCharType="end"/>
        </w:r>
      </w:hyperlink>
    </w:p>
    <w:p w14:paraId="34BF2B68" w14:textId="043E822D" w:rsidR="003277AE" w:rsidRDefault="00E61923">
      <w:pPr>
        <w:pStyle w:val="TDC3"/>
        <w:tabs>
          <w:tab w:val="left" w:pos="660"/>
          <w:tab w:val="right" w:pos="8494"/>
        </w:tabs>
        <w:rPr>
          <w:rFonts w:eastAsiaTheme="minorEastAsia" w:cstheme="minorBidi"/>
          <w:noProof/>
          <w:kern w:val="2"/>
          <w:sz w:val="22"/>
          <w:szCs w:val="22"/>
          <w:lang w:val="es-ES" w:eastAsia="es-ES"/>
          <w14:ligatures w14:val="standardContextual"/>
        </w:rPr>
      </w:pPr>
      <w:hyperlink w:anchor="_Toc141975025" w:history="1">
        <w:r w:rsidR="003277AE" w:rsidRPr="00F24ED4">
          <w:rPr>
            <w:rStyle w:val="Hipervnculo"/>
            <w:noProof/>
          </w:rPr>
          <w:t>2.4.4</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rPr>
          <w:t>Costo del capital circulante</w:t>
        </w:r>
        <w:r w:rsidR="003277AE">
          <w:rPr>
            <w:noProof/>
            <w:webHidden/>
          </w:rPr>
          <w:tab/>
        </w:r>
        <w:r w:rsidR="003277AE">
          <w:rPr>
            <w:noProof/>
            <w:webHidden/>
          </w:rPr>
          <w:fldChar w:fldCharType="begin"/>
        </w:r>
        <w:r w:rsidR="003277AE">
          <w:rPr>
            <w:noProof/>
            <w:webHidden/>
          </w:rPr>
          <w:instrText xml:space="preserve"> PAGEREF _Toc141975025 \h </w:instrText>
        </w:r>
        <w:r w:rsidR="003277AE">
          <w:rPr>
            <w:noProof/>
            <w:webHidden/>
          </w:rPr>
        </w:r>
        <w:r w:rsidR="003277AE">
          <w:rPr>
            <w:noProof/>
            <w:webHidden/>
          </w:rPr>
          <w:fldChar w:fldCharType="separate"/>
        </w:r>
        <w:r w:rsidR="00006265">
          <w:rPr>
            <w:noProof/>
            <w:webHidden/>
          </w:rPr>
          <w:t>48</w:t>
        </w:r>
        <w:r w:rsidR="003277AE">
          <w:rPr>
            <w:noProof/>
            <w:webHidden/>
          </w:rPr>
          <w:fldChar w:fldCharType="end"/>
        </w:r>
      </w:hyperlink>
    </w:p>
    <w:p w14:paraId="24F10D0C" w14:textId="4D610BB4" w:rsidR="003277AE" w:rsidRDefault="00E61923">
      <w:pPr>
        <w:pStyle w:val="TDC4"/>
        <w:rPr>
          <w:rFonts w:eastAsiaTheme="minorEastAsia" w:cstheme="minorBidi"/>
          <w:noProof/>
          <w:kern w:val="2"/>
          <w:sz w:val="22"/>
          <w:szCs w:val="22"/>
          <w:lang w:val="es-ES" w:eastAsia="es-ES"/>
          <w14:ligatures w14:val="standardContextual"/>
        </w:rPr>
      </w:pPr>
      <w:hyperlink w:anchor="_Toc141975026" w:history="1">
        <w:r w:rsidR="003277AE" w:rsidRPr="00F24ED4">
          <w:rPr>
            <w:rStyle w:val="Hipervnculo"/>
            <w:noProof/>
            <w:lang w:val="es-MX"/>
          </w:rPr>
          <w:t>2.4.4.1</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Capital circulante por Capex de red</w:t>
        </w:r>
        <w:r w:rsidR="003277AE">
          <w:rPr>
            <w:noProof/>
            <w:webHidden/>
          </w:rPr>
          <w:tab/>
        </w:r>
        <w:r w:rsidR="003277AE">
          <w:rPr>
            <w:noProof/>
            <w:webHidden/>
          </w:rPr>
          <w:fldChar w:fldCharType="begin"/>
        </w:r>
        <w:r w:rsidR="003277AE">
          <w:rPr>
            <w:noProof/>
            <w:webHidden/>
          </w:rPr>
          <w:instrText xml:space="preserve"> PAGEREF _Toc141975026 \h </w:instrText>
        </w:r>
        <w:r w:rsidR="003277AE">
          <w:rPr>
            <w:noProof/>
            <w:webHidden/>
          </w:rPr>
        </w:r>
        <w:r w:rsidR="003277AE">
          <w:rPr>
            <w:noProof/>
            <w:webHidden/>
          </w:rPr>
          <w:fldChar w:fldCharType="separate"/>
        </w:r>
        <w:r w:rsidR="00006265">
          <w:rPr>
            <w:noProof/>
            <w:webHidden/>
          </w:rPr>
          <w:t>49</w:t>
        </w:r>
        <w:r w:rsidR="003277AE">
          <w:rPr>
            <w:noProof/>
            <w:webHidden/>
          </w:rPr>
          <w:fldChar w:fldCharType="end"/>
        </w:r>
      </w:hyperlink>
    </w:p>
    <w:p w14:paraId="4E8E5E26" w14:textId="7D18F423" w:rsidR="003277AE" w:rsidRDefault="00E61923">
      <w:pPr>
        <w:pStyle w:val="TDC4"/>
        <w:rPr>
          <w:rFonts w:eastAsiaTheme="minorEastAsia" w:cstheme="minorBidi"/>
          <w:noProof/>
          <w:kern w:val="2"/>
          <w:sz w:val="22"/>
          <w:szCs w:val="22"/>
          <w:lang w:val="es-ES" w:eastAsia="es-ES"/>
          <w14:ligatures w14:val="standardContextual"/>
        </w:rPr>
      </w:pPr>
      <w:hyperlink w:anchor="_Toc141975027" w:history="1">
        <w:r w:rsidR="003277AE" w:rsidRPr="00F24ED4">
          <w:rPr>
            <w:rStyle w:val="Hipervnculo"/>
            <w:noProof/>
            <w:lang w:val="es-MX"/>
          </w:rPr>
          <w:t>2.4.4.2</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Capital circulante por Opex de la red</w:t>
        </w:r>
        <w:r w:rsidR="003277AE">
          <w:rPr>
            <w:noProof/>
            <w:webHidden/>
          </w:rPr>
          <w:tab/>
        </w:r>
        <w:r w:rsidR="003277AE">
          <w:rPr>
            <w:noProof/>
            <w:webHidden/>
          </w:rPr>
          <w:fldChar w:fldCharType="begin"/>
        </w:r>
        <w:r w:rsidR="003277AE">
          <w:rPr>
            <w:noProof/>
            <w:webHidden/>
          </w:rPr>
          <w:instrText xml:space="preserve"> PAGEREF _Toc141975027 \h </w:instrText>
        </w:r>
        <w:r w:rsidR="003277AE">
          <w:rPr>
            <w:noProof/>
            <w:webHidden/>
          </w:rPr>
        </w:r>
        <w:r w:rsidR="003277AE">
          <w:rPr>
            <w:noProof/>
            <w:webHidden/>
          </w:rPr>
          <w:fldChar w:fldCharType="separate"/>
        </w:r>
        <w:r w:rsidR="00006265">
          <w:rPr>
            <w:noProof/>
            <w:webHidden/>
          </w:rPr>
          <w:t>49</w:t>
        </w:r>
        <w:r w:rsidR="003277AE">
          <w:rPr>
            <w:noProof/>
            <w:webHidden/>
          </w:rPr>
          <w:fldChar w:fldCharType="end"/>
        </w:r>
      </w:hyperlink>
    </w:p>
    <w:p w14:paraId="46BEBB02" w14:textId="55DFED34" w:rsidR="003277AE" w:rsidRDefault="00E61923">
      <w:pPr>
        <w:pStyle w:val="TDC3"/>
        <w:tabs>
          <w:tab w:val="left" w:pos="660"/>
          <w:tab w:val="right" w:pos="8494"/>
        </w:tabs>
        <w:rPr>
          <w:rFonts w:eastAsiaTheme="minorEastAsia" w:cstheme="minorBidi"/>
          <w:noProof/>
          <w:kern w:val="2"/>
          <w:sz w:val="22"/>
          <w:szCs w:val="22"/>
          <w:lang w:val="es-ES" w:eastAsia="es-ES"/>
          <w14:ligatures w14:val="standardContextual"/>
        </w:rPr>
      </w:pPr>
      <w:hyperlink w:anchor="_Toc141975028" w:history="1">
        <w:r w:rsidR="003277AE" w:rsidRPr="00F24ED4">
          <w:rPr>
            <w:rStyle w:val="Hipervnculo"/>
            <w:noProof/>
            <w:lang w:val="es-MX"/>
          </w:rPr>
          <w:t>2.4.5</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Recuperación de costos</w:t>
        </w:r>
        <w:r w:rsidR="003277AE">
          <w:rPr>
            <w:noProof/>
            <w:webHidden/>
          </w:rPr>
          <w:tab/>
        </w:r>
        <w:r w:rsidR="003277AE">
          <w:rPr>
            <w:noProof/>
            <w:webHidden/>
          </w:rPr>
          <w:fldChar w:fldCharType="begin"/>
        </w:r>
        <w:r w:rsidR="003277AE">
          <w:rPr>
            <w:noProof/>
            <w:webHidden/>
          </w:rPr>
          <w:instrText xml:space="preserve"> PAGEREF _Toc141975028 \h </w:instrText>
        </w:r>
        <w:r w:rsidR="003277AE">
          <w:rPr>
            <w:noProof/>
            <w:webHidden/>
          </w:rPr>
        </w:r>
        <w:r w:rsidR="003277AE">
          <w:rPr>
            <w:noProof/>
            <w:webHidden/>
          </w:rPr>
          <w:fldChar w:fldCharType="separate"/>
        </w:r>
        <w:r w:rsidR="00006265">
          <w:rPr>
            <w:noProof/>
            <w:webHidden/>
          </w:rPr>
          <w:t>50</w:t>
        </w:r>
        <w:r w:rsidR="003277AE">
          <w:rPr>
            <w:noProof/>
            <w:webHidden/>
          </w:rPr>
          <w:fldChar w:fldCharType="end"/>
        </w:r>
      </w:hyperlink>
    </w:p>
    <w:p w14:paraId="1E192873" w14:textId="16F23C45" w:rsidR="003277AE" w:rsidRDefault="00E61923">
      <w:pPr>
        <w:pStyle w:val="TDC1"/>
        <w:tabs>
          <w:tab w:val="left" w:pos="660"/>
          <w:tab w:val="right" w:pos="8494"/>
        </w:tabs>
        <w:rPr>
          <w:rFonts w:eastAsiaTheme="minorEastAsia" w:cstheme="minorBidi"/>
          <w:b w:val="0"/>
          <w:bCs w:val="0"/>
          <w:iCs w:val="0"/>
          <w:noProof/>
          <w:kern w:val="2"/>
          <w:sz w:val="22"/>
          <w:szCs w:val="22"/>
          <w:lang w:val="es-ES" w:eastAsia="es-ES"/>
          <w14:ligatures w14:val="standardContextual"/>
        </w:rPr>
      </w:pPr>
      <w:hyperlink w:anchor="_Toc141975029" w:history="1">
        <w:r w:rsidR="003277AE" w:rsidRPr="00F24ED4">
          <w:rPr>
            <w:rStyle w:val="Hipervnculo"/>
            <w:noProof/>
            <w:lang w:val="es-MX"/>
            <w14:scene3d>
              <w14:camera w14:prst="orthographicFront"/>
              <w14:lightRig w14:rig="threePt" w14:dir="t">
                <w14:rot w14:lat="0" w14:lon="0" w14:rev="0"/>
              </w14:lightRig>
            </w14:scene3d>
          </w:rPr>
          <w:t>3</w:t>
        </w:r>
        <w:r w:rsidR="003277AE">
          <w:rPr>
            <w:rFonts w:eastAsiaTheme="minorEastAsia" w:cstheme="minorBidi"/>
            <w:b w:val="0"/>
            <w:bCs w:val="0"/>
            <w:iCs w:val="0"/>
            <w:noProof/>
            <w:kern w:val="2"/>
            <w:sz w:val="22"/>
            <w:szCs w:val="22"/>
            <w:lang w:val="es-ES" w:eastAsia="es-ES"/>
            <w14:ligatures w14:val="standardContextual"/>
          </w:rPr>
          <w:tab/>
        </w:r>
        <w:r w:rsidR="003277AE" w:rsidRPr="00F24ED4">
          <w:rPr>
            <w:rStyle w:val="Hipervnculo"/>
            <w:noProof/>
            <w:lang w:val="es-MX"/>
          </w:rPr>
          <w:t>Descripción del modelo de acceso</w:t>
        </w:r>
        <w:r w:rsidR="003277AE">
          <w:rPr>
            <w:noProof/>
            <w:webHidden/>
          </w:rPr>
          <w:tab/>
        </w:r>
        <w:r w:rsidR="003277AE">
          <w:rPr>
            <w:noProof/>
            <w:webHidden/>
          </w:rPr>
          <w:fldChar w:fldCharType="begin"/>
        </w:r>
        <w:r w:rsidR="003277AE">
          <w:rPr>
            <w:noProof/>
            <w:webHidden/>
          </w:rPr>
          <w:instrText xml:space="preserve"> PAGEREF _Toc141975029 \h </w:instrText>
        </w:r>
        <w:r w:rsidR="003277AE">
          <w:rPr>
            <w:noProof/>
            <w:webHidden/>
          </w:rPr>
        </w:r>
        <w:r w:rsidR="003277AE">
          <w:rPr>
            <w:noProof/>
            <w:webHidden/>
          </w:rPr>
          <w:fldChar w:fldCharType="separate"/>
        </w:r>
        <w:r w:rsidR="00006265">
          <w:rPr>
            <w:noProof/>
            <w:webHidden/>
          </w:rPr>
          <w:t>52</w:t>
        </w:r>
        <w:r w:rsidR="003277AE">
          <w:rPr>
            <w:noProof/>
            <w:webHidden/>
          </w:rPr>
          <w:fldChar w:fldCharType="end"/>
        </w:r>
      </w:hyperlink>
    </w:p>
    <w:p w14:paraId="46318CC2" w14:textId="7B57113A" w:rsidR="003277AE" w:rsidRDefault="00E61923">
      <w:pPr>
        <w:pStyle w:val="TDC2"/>
        <w:rPr>
          <w:rFonts w:eastAsiaTheme="minorEastAsia" w:cstheme="minorBidi"/>
          <w:b w:val="0"/>
          <w:bCs w:val="0"/>
          <w:noProof/>
          <w:kern w:val="2"/>
          <w:sz w:val="22"/>
          <w:lang w:val="es-ES" w:eastAsia="es-ES"/>
          <w14:ligatures w14:val="standardContextual"/>
        </w:rPr>
      </w:pPr>
      <w:hyperlink w:anchor="_Toc141975030" w:history="1">
        <w:r w:rsidR="003277AE" w:rsidRPr="00F24ED4">
          <w:rPr>
            <w:rStyle w:val="Hipervnculo"/>
            <w:noProof/>
          </w:rPr>
          <w:t>3.1</w:t>
        </w:r>
        <w:r w:rsidR="003277AE">
          <w:rPr>
            <w:rFonts w:eastAsiaTheme="minorEastAsia" w:cstheme="minorBidi"/>
            <w:b w:val="0"/>
            <w:bCs w:val="0"/>
            <w:noProof/>
            <w:kern w:val="2"/>
            <w:sz w:val="22"/>
            <w:lang w:val="es-ES" w:eastAsia="es-ES"/>
            <w14:ligatures w14:val="standardContextual"/>
          </w:rPr>
          <w:tab/>
        </w:r>
        <w:r w:rsidR="003277AE" w:rsidRPr="00F24ED4">
          <w:rPr>
            <w:rStyle w:val="Hipervnculo"/>
            <w:noProof/>
            <w:lang w:val="es-MX"/>
          </w:rPr>
          <w:t>Estructura del modelo</w:t>
        </w:r>
        <w:r w:rsidR="003277AE">
          <w:rPr>
            <w:noProof/>
            <w:webHidden/>
          </w:rPr>
          <w:tab/>
        </w:r>
        <w:r w:rsidR="003277AE">
          <w:rPr>
            <w:noProof/>
            <w:webHidden/>
          </w:rPr>
          <w:fldChar w:fldCharType="begin"/>
        </w:r>
        <w:r w:rsidR="003277AE">
          <w:rPr>
            <w:noProof/>
            <w:webHidden/>
          </w:rPr>
          <w:instrText xml:space="preserve"> PAGEREF _Toc141975030 \h </w:instrText>
        </w:r>
        <w:r w:rsidR="003277AE">
          <w:rPr>
            <w:noProof/>
            <w:webHidden/>
          </w:rPr>
        </w:r>
        <w:r w:rsidR="003277AE">
          <w:rPr>
            <w:noProof/>
            <w:webHidden/>
          </w:rPr>
          <w:fldChar w:fldCharType="separate"/>
        </w:r>
        <w:r w:rsidR="00006265">
          <w:rPr>
            <w:noProof/>
            <w:webHidden/>
          </w:rPr>
          <w:t>53</w:t>
        </w:r>
        <w:r w:rsidR="003277AE">
          <w:rPr>
            <w:noProof/>
            <w:webHidden/>
          </w:rPr>
          <w:fldChar w:fldCharType="end"/>
        </w:r>
      </w:hyperlink>
    </w:p>
    <w:p w14:paraId="75F1C52A" w14:textId="77395FD5" w:rsidR="003277AE" w:rsidRDefault="00E61923">
      <w:pPr>
        <w:pStyle w:val="TDC3"/>
        <w:tabs>
          <w:tab w:val="left" w:pos="660"/>
          <w:tab w:val="right" w:pos="8494"/>
        </w:tabs>
        <w:rPr>
          <w:rFonts w:eastAsiaTheme="minorEastAsia" w:cstheme="minorBidi"/>
          <w:noProof/>
          <w:kern w:val="2"/>
          <w:sz w:val="22"/>
          <w:szCs w:val="22"/>
          <w:lang w:val="es-ES" w:eastAsia="es-ES"/>
          <w14:ligatures w14:val="standardContextual"/>
        </w:rPr>
      </w:pPr>
      <w:hyperlink w:anchor="_Toc141975031" w:history="1">
        <w:r w:rsidR="003277AE" w:rsidRPr="00F24ED4">
          <w:rPr>
            <w:rStyle w:val="Hipervnculo"/>
            <w:noProof/>
            <w:lang w:val="es-MX"/>
          </w:rPr>
          <w:t>3.1.1</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Visión general</w:t>
        </w:r>
        <w:r w:rsidR="003277AE">
          <w:rPr>
            <w:noProof/>
            <w:webHidden/>
          </w:rPr>
          <w:tab/>
        </w:r>
        <w:r w:rsidR="003277AE">
          <w:rPr>
            <w:noProof/>
            <w:webHidden/>
          </w:rPr>
          <w:fldChar w:fldCharType="begin"/>
        </w:r>
        <w:r w:rsidR="003277AE">
          <w:rPr>
            <w:noProof/>
            <w:webHidden/>
          </w:rPr>
          <w:instrText xml:space="preserve"> PAGEREF _Toc141975031 \h </w:instrText>
        </w:r>
        <w:r w:rsidR="003277AE">
          <w:rPr>
            <w:noProof/>
            <w:webHidden/>
          </w:rPr>
        </w:r>
        <w:r w:rsidR="003277AE">
          <w:rPr>
            <w:noProof/>
            <w:webHidden/>
          </w:rPr>
          <w:fldChar w:fldCharType="separate"/>
        </w:r>
        <w:r w:rsidR="00006265">
          <w:rPr>
            <w:noProof/>
            <w:webHidden/>
          </w:rPr>
          <w:t>53</w:t>
        </w:r>
        <w:r w:rsidR="003277AE">
          <w:rPr>
            <w:noProof/>
            <w:webHidden/>
          </w:rPr>
          <w:fldChar w:fldCharType="end"/>
        </w:r>
      </w:hyperlink>
    </w:p>
    <w:p w14:paraId="5725E287" w14:textId="7CF84249" w:rsidR="003277AE" w:rsidRDefault="00E61923">
      <w:pPr>
        <w:pStyle w:val="TDC3"/>
        <w:tabs>
          <w:tab w:val="left" w:pos="660"/>
          <w:tab w:val="right" w:pos="8494"/>
        </w:tabs>
        <w:rPr>
          <w:rFonts w:eastAsiaTheme="minorEastAsia" w:cstheme="minorBidi"/>
          <w:noProof/>
          <w:kern w:val="2"/>
          <w:sz w:val="22"/>
          <w:szCs w:val="22"/>
          <w:lang w:val="es-ES" w:eastAsia="es-ES"/>
          <w14:ligatures w14:val="standardContextual"/>
        </w:rPr>
      </w:pPr>
      <w:hyperlink w:anchor="_Toc141975032" w:history="1">
        <w:r w:rsidR="003277AE" w:rsidRPr="00F24ED4">
          <w:rPr>
            <w:rStyle w:val="Hipervnculo"/>
            <w:noProof/>
            <w:lang w:val="es-MX"/>
          </w:rPr>
          <w:t>3.1.2</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Estructura del archivo SQL</w:t>
        </w:r>
        <w:r w:rsidR="003277AE">
          <w:rPr>
            <w:noProof/>
            <w:webHidden/>
          </w:rPr>
          <w:tab/>
        </w:r>
        <w:r w:rsidR="003277AE">
          <w:rPr>
            <w:noProof/>
            <w:webHidden/>
          </w:rPr>
          <w:fldChar w:fldCharType="begin"/>
        </w:r>
        <w:r w:rsidR="003277AE">
          <w:rPr>
            <w:noProof/>
            <w:webHidden/>
          </w:rPr>
          <w:instrText xml:space="preserve"> PAGEREF _Toc141975032 \h </w:instrText>
        </w:r>
        <w:r w:rsidR="003277AE">
          <w:rPr>
            <w:noProof/>
            <w:webHidden/>
          </w:rPr>
        </w:r>
        <w:r w:rsidR="003277AE">
          <w:rPr>
            <w:noProof/>
            <w:webHidden/>
          </w:rPr>
          <w:fldChar w:fldCharType="separate"/>
        </w:r>
        <w:r w:rsidR="00006265">
          <w:rPr>
            <w:noProof/>
            <w:webHidden/>
          </w:rPr>
          <w:t>54</w:t>
        </w:r>
        <w:r w:rsidR="003277AE">
          <w:rPr>
            <w:noProof/>
            <w:webHidden/>
          </w:rPr>
          <w:fldChar w:fldCharType="end"/>
        </w:r>
      </w:hyperlink>
    </w:p>
    <w:p w14:paraId="63704210" w14:textId="23ED264E" w:rsidR="003277AE" w:rsidRDefault="00E61923">
      <w:pPr>
        <w:pStyle w:val="TDC3"/>
        <w:tabs>
          <w:tab w:val="left" w:pos="660"/>
          <w:tab w:val="right" w:pos="8494"/>
        </w:tabs>
        <w:rPr>
          <w:rFonts w:eastAsiaTheme="minorEastAsia" w:cstheme="minorBidi"/>
          <w:noProof/>
          <w:kern w:val="2"/>
          <w:sz w:val="22"/>
          <w:szCs w:val="22"/>
          <w:lang w:val="es-ES" w:eastAsia="es-ES"/>
          <w14:ligatures w14:val="standardContextual"/>
        </w:rPr>
      </w:pPr>
      <w:hyperlink w:anchor="_Toc141975033" w:history="1">
        <w:r w:rsidR="003277AE" w:rsidRPr="00F24ED4">
          <w:rPr>
            <w:rStyle w:val="Hipervnculo"/>
            <w:noProof/>
            <w:lang w:val="es-ES"/>
          </w:rPr>
          <w:t>3.1.3</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ES"/>
          </w:rPr>
          <w:t>Estructura del archivo de Microsoft Excel</w:t>
        </w:r>
        <w:r w:rsidR="003277AE">
          <w:rPr>
            <w:noProof/>
            <w:webHidden/>
          </w:rPr>
          <w:tab/>
        </w:r>
        <w:r w:rsidR="003277AE">
          <w:rPr>
            <w:noProof/>
            <w:webHidden/>
          </w:rPr>
          <w:fldChar w:fldCharType="begin"/>
        </w:r>
        <w:r w:rsidR="003277AE">
          <w:rPr>
            <w:noProof/>
            <w:webHidden/>
          </w:rPr>
          <w:instrText xml:space="preserve"> PAGEREF _Toc141975033 \h </w:instrText>
        </w:r>
        <w:r w:rsidR="003277AE">
          <w:rPr>
            <w:noProof/>
            <w:webHidden/>
          </w:rPr>
        </w:r>
        <w:r w:rsidR="003277AE">
          <w:rPr>
            <w:noProof/>
            <w:webHidden/>
          </w:rPr>
          <w:fldChar w:fldCharType="separate"/>
        </w:r>
        <w:r w:rsidR="00006265">
          <w:rPr>
            <w:noProof/>
            <w:webHidden/>
          </w:rPr>
          <w:t>60</w:t>
        </w:r>
        <w:r w:rsidR="003277AE">
          <w:rPr>
            <w:noProof/>
            <w:webHidden/>
          </w:rPr>
          <w:fldChar w:fldCharType="end"/>
        </w:r>
      </w:hyperlink>
    </w:p>
    <w:p w14:paraId="64A344AA" w14:textId="37455B5D" w:rsidR="003277AE" w:rsidRDefault="00E61923">
      <w:pPr>
        <w:pStyle w:val="TDC2"/>
        <w:rPr>
          <w:rFonts w:eastAsiaTheme="minorEastAsia" w:cstheme="minorBidi"/>
          <w:b w:val="0"/>
          <w:bCs w:val="0"/>
          <w:noProof/>
          <w:kern w:val="2"/>
          <w:sz w:val="22"/>
          <w:lang w:val="es-ES" w:eastAsia="es-ES"/>
          <w14:ligatures w14:val="standardContextual"/>
        </w:rPr>
      </w:pPr>
      <w:hyperlink w:anchor="_Toc141975034" w:history="1">
        <w:r w:rsidR="003277AE" w:rsidRPr="00F24ED4">
          <w:rPr>
            <w:rStyle w:val="Hipervnculo"/>
            <w:noProof/>
          </w:rPr>
          <w:t>3.2</w:t>
        </w:r>
        <w:r w:rsidR="003277AE">
          <w:rPr>
            <w:rFonts w:eastAsiaTheme="minorEastAsia" w:cstheme="minorBidi"/>
            <w:b w:val="0"/>
            <w:bCs w:val="0"/>
            <w:noProof/>
            <w:kern w:val="2"/>
            <w:sz w:val="22"/>
            <w:lang w:val="es-ES" w:eastAsia="es-ES"/>
            <w14:ligatures w14:val="standardContextual"/>
          </w:rPr>
          <w:tab/>
        </w:r>
        <w:r w:rsidR="003277AE" w:rsidRPr="00F24ED4">
          <w:rPr>
            <w:rStyle w:val="Hipervnculo"/>
            <w:noProof/>
            <w:lang w:val="es-MX"/>
          </w:rPr>
          <w:t>Análisis geomarketing</w:t>
        </w:r>
        <w:r w:rsidR="003277AE">
          <w:rPr>
            <w:noProof/>
            <w:webHidden/>
          </w:rPr>
          <w:tab/>
        </w:r>
        <w:r w:rsidR="003277AE">
          <w:rPr>
            <w:noProof/>
            <w:webHidden/>
          </w:rPr>
          <w:fldChar w:fldCharType="begin"/>
        </w:r>
        <w:r w:rsidR="003277AE">
          <w:rPr>
            <w:noProof/>
            <w:webHidden/>
          </w:rPr>
          <w:instrText xml:space="preserve"> PAGEREF _Toc141975034 \h </w:instrText>
        </w:r>
        <w:r w:rsidR="003277AE">
          <w:rPr>
            <w:noProof/>
            <w:webHidden/>
          </w:rPr>
        </w:r>
        <w:r w:rsidR="003277AE">
          <w:rPr>
            <w:noProof/>
            <w:webHidden/>
          </w:rPr>
          <w:fldChar w:fldCharType="separate"/>
        </w:r>
        <w:r w:rsidR="00006265">
          <w:rPr>
            <w:noProof/>
            <w:webHidden/>
          </w:rPr>
          <w:t>62</w:t>
        </w:r>
        <w:r w:rsidR="003277AE">
          <w:rPr>
            <w:noProof/>
            <w:webHidden/>
          </w:rPr>
          <w:fldChar w:fldCharType="end"/>
        </w:r>
      </w:hyperlink>
    </w:p>
    <w:p w14:paraId="668E1A54" w14:textId="6A3FBBFB" w:rsidR="003277AE" w:rsidRDefault="00E61923">
      <w:pPr>
        <w:pStyle w:val="TDC3"/>
        <w:tabs>
          <w:tab w:val="left" w:pos="660"/>
          <w:tab w:val="right" w:pos="8494"/>
        </w:tabs>
        <w:rPr>
          <w:rFonts w:eastAsiaTheme="minorEastAsia" w:cstheme="minorBidi"/>
          <w:noProof/>
          <w:kern w:val="2"/>
          <w:sz w:val="22"/>
          <w:szCs w:val="22"/>
          <w:lang w:val="es-ES" w:eastAsia="es-ES"/>
          <w14:ligatures w14:val="standardContextual"/>
        </w:rPr>
      </w:pPr>
      <w:hyperlink w:anchor="_Toc141975035" w:history="1">
        <w:r w:rsidR="003277AE" w:rsidRPr="00F24ED4">
          <w:rPr>
            <w:rStyle w:val="Hipervnculo"/>
            <w:noProof/>
            <w:lang w:val="es-MX"/>
          </w:rPr>
          <w:t>3.2.1</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Archivos de referencia</w:t>
        </w:r>
        <w:r w:rsidR="003277AE">
          <w:rPr>
            <w:noProof/>
            <w:webHidden/>
          </w:rPr>
          <w:tab/>
        </w:r>
        <w:r w:rsidR="003277AE">
          <w:rPr>
            <w:noProof/>
            <w:webHidden/>
          </w:rPr>
          <w:fldChar w:fldCharType="begin"/>
        </w:r>
        <w:r w:rsidR="003277AE">
          <w:rPr>
            <w:noProof/>
            <w:webHidden/>
          </w:rPr>
          <w:instrText xml:space="preserve"> PAGEREF _Toc141975035 \h </w:instrText>
        </w:r>
        <w:r w:rsidR="003277AE">
          <w:rPr>
            <w:noProof/>
            <w:webHidden/>
          </w:rPr>
        </w:r>
        <w:r w:rsidR="003277AE">
          <w:rPr>
            <w:noProof/>
            <w:webHidden/>
          </w:rPr>
          <w:fldChar w:fldCharType="separate"/>
        </w:r>
        <w:r w:rsidR="00006265">
          <w:rPr>
            <w:noProof/>
            <w:webHidden/>
          </w:rPr>
          <w:t>62</w:t>
        </w:r>
        <w:r w:rsidR="003277AE">
          <w:rPr>
            <w:noProof/>
            <w:webHidden/>
          </w:rPr>
          <w:fldChar w:fldCharType="end"/>
        </w:r>
      </w:hyperlink>
    </w:p>
    <w:p w14:paraId="7494E9EB" w14:textId="7898C0AD" w:rsidR="003277AE" w:rsidRDefault="00E61923">
      <w:pPr>
        <w:pStyle w:val="TDC3"/>
        <w:tabs>
          <w:tab w:val="left" w:pos="660"/>
          <w:tab w:val="right" w:pos="8494"/>
        </w:tabs>
        <w:rPr>
          <w:rFonts w:eastAsiaTheme="minorEastAsia" w:cstheme="minorBidi"/>
          <w:noProof/>
          <w:kern w:val="2"/>
          <w:sz w:val="22"/>
          <w:szCs w:val="22"/>
          <w:lang w:val="es-ES" w:eastAsia="es-ES"/>
          <w14:ligatures w14:val="standardContextual"/>
        </w:rPr>
      </w:pPr>
      <w:hyperlink w:anchor="_Toc141975036" w:history="1">
        <w:r w:rsidR="003277AE" w:rsidRPr="00F24ED4">
          <w:rPr>
            <w:rStyle w:val="Hipervnculo"/>
            <w:noProof/>
            <w:lang w:val="es-ES"/>
          </w:rPr>
          <w:t>3.2.2</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ES"/>
          </w:rPr>
          <w:t>Trabajo preliminar en la base de datos de la red de carreteras</w:t>
        </w:r>
        <w:r w:rsidR="003277AE">
          <w:rPr>
            <w:noProof/>
            <w:webHidden/>
          </w:rPr>
          <w:tab/>
        </w:r>
        <w:r w:rsidR="003277AE">
          <w:rPr>
            <w:noProof/>
            <w:webHidden/>
          </w:rPr>
          <w:fldChar w:fldCharType="begin"/>
        </w:r>
        <w:r w:rsidR="003277AE">
          <w:rPr>
            <w:noProof/>
            <w:webHidden/>
          </w:rPr>
          <w:instrText xml:space="preserve"> PAGEREF _Toc141975036 \h </w:instrText>
        </w:r>
        <w:r w:rsidR="003277AE">
          <w:rPr>
            <w:noProof/>
            <w:webHidden/>
          </w:rPr>
        </w:r>
        <w:r w:rsidR="003277AE">
          <w:rPr>
            <w:noProof/>
            <w:webHidden/>
          </w:rPr>
          <w:fldChar w:fldCharType="separate"/>
        </w:r>
        <w:r w:rsidR="00006265">
          <w:rPr>
            <w:noProof/>
            <w:webHidden/>
          </w:rPr>
          <w:t>63</w:t>
        </w:r>
        <w:r w:rsidR="003277AE">
          <w:rPr>
            <w:noProof/>
            <w:webHidden/>
          </w:rPr>
          <w:fldChar w:fldCharType="end"/>
        </w:r>
      </w:hyperlink>
    </w:p>
    <w:p w14:paraId="0FDEE1AC" w14:textId="734971E6" w:rsidR="003277AE" w:rsidRDefault="00E61923">
      <w:pPr>
        <w:pStyle w:val="TDC3"/>
        <w:tabs>
          <w:tab w:val="left" w:pos="660"/>
          <w:tab w:val="right" w:pos="8494"/>
        </w:tabs>
        <w:rPr>
          <w:rFonts w:eastAsiaTheme="minorEastAsia" w:cstheme="minorBidi"/>
          <w:noProof/>
          <w:kern w:val="2"/>
          <w:sz w:val="22"/>
          <w:szCs w:val="22"/>
          <w:lang w:val="es-ES" w:eastAsia="es-ES"/>
          <w14:ligatures w14:val="standardContextual"/>
        </w:rPr>
      </w:pPr>
      <w:hyperlink w:anchor="_Toc141975037" w:history="1">
        <w:r w:rsidR="003277AE" w:rsidRPr="00F24ED4">
          <w:rPr>
            <w:rStyle w:val="Hipervnculo"/>
            <w:noProof/>
            <w:lang w:val="es-ES"/>
          </w:rPr>
          <w:t>3.2.3</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ES"/>
          </w:rPr>
          <w:t>Trabajo preliminar en la ubicación de los nodos</w:t>
        </w:r>
        <w:r w:rsidR="003277AE">
          <w:rPr>
            <w:noProof/>
            <w:webHidden/>
          </w:rPr>
          <w:tab/>
        </w:r>
        <w:r w:rsidR="003277AE">
          <w:rPr>
            <w:noProof/>
            <w:webHidden/>
          </w:rPr>
          <w:fldChar w:fldCharType="begin"/>
        </w:r>
        <w:r w:rsidR="003277AE">
          <w:rPr>
            <w:noProof/>
            <w:webHidden/>
          </w:rPr>
          <w:instrText xml:space="preserve"> PAGEREF _Toc141975037 \h </w:instrText>
        </w:r>
        <w:r w:rsidR="003277AE">
          <w:rPr>
            <w:noProof/>
            <w:webHidden/>
          </w:rPr>
        </w:r>
        <w:r w:rsidR="003277AE">
          <w:rPr>
            <w:noProof/>
            <w:webHidden/>
          </w:rPr>
          <w:fldChar w:fldCharType="separate"/>
        </w:r>
        <w:r w:rsidR="00006265">
          <w:rPr>
            <w:noProof/>
            <w:webHidden/>
          </w:rPr>
          <w:t>64</w:t>
        </w:r>
        <w:r w:rsidR="003277AE">
          <w:rPr>
            <w:noProof/>
            <w:webHidden/>
          </w:rPr>
          <w:fldChar w:fldCharType="end"/>
        </w:r>
      </w:hyperlink>
    </w:p>
    <w:p w14:paraId="74843C5A" w14:textId="13FAAEB6" w:rsidR="003277AE" w:rsidRDefault="00E61923">
      <w:pPr>
        <w:pStyle w:val="TDC3"/>
        <w:tabs>
          <w:tab w:val="left" w:pos="660"/>
          <w:tab w:val="right" w:pos="8494"/>
        </w:tabs>
        <w:rPr>
          <w:rFonts w:eastAsiaTheme="minorEastAsia" w:cstheme="minorBidi"/>
          <w:noProof/>
          <w:kern w:val="2"/>
          <w:sz w:val="22"/>
          <w:szCs w:val="22"/>
          <w:lang w:val="es-ES" w:eastAsia="es-ES"/>
          <w14:ligatures w14:val="standardContextual"/>
        </w:rPr>
      </w:pPr>
      <w:hyperlink w:anchor="_Toc141975038" w:history="1">
        <w:r w:rsidR="003277AE" w:rsidRPr="00F24ED4">
          <w:rPr>
            <w:rStyle w:val="Hipervnculo"/>
            <w:noProof/>
            <w:lang w:val="es-ES"/>
          </w:rPr>
          <w:t>3.2.4</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ES"/>
          </w:rPr>
          <w:t>Trabajo preliminar sobre la correspondencia entre PDP y CO</w:t>
        </w:r>
        <w:r w:rsidR="003277AE">
          <w:rPr>
            <w:noProof/>
            <w:webHidden/>
          </w:rPr>
          <w:tab/>
        </w:r>
        <w:r w:rsidR="003277AE">
          <w:rPr>
            <w:noProof/>
            <w:webHidden/>
          </w:rPr>
          <w:fldChar w:fldCharType="begin"/>
        </w:r>
        <w:r w:rsidR="003277AE">
          <w:rPr>
            <w:noProof/>
            <w:webHidden/>
          </w:rPr>
          <w:instrText xml:space="preserve"> PAGEREF _Toc141975038 \h </w:instrText>
        </w:r>
        <w:r w:rsidR="003277AE">
          <w:rPr>
            <w:noProof/>
            <w:webHidden/>
          </w:rPr>
        </w:r>
        <w:r w:rsidR="003277AE">
          <w:rPr>
            <w:noProof/>
            <w:webHidden/>
          </w:rPr>
          <w:fldChar w:fldCharType="separate"/>
        </w:r>
        <w:r w:rsidR="00006265">
          <w:rPr>
            <w:noProof/>
            <w:webHidden/>
          </w:rPr>
          <w:t>64</w:t>
        </w:r>
        <w:r w:rsidR="003277AE">
          <w:rPr>
            <w:noProof/>
            <w:webHidden/>
          </w:rPr>
          <w:fldChar w:fldCharType="end"/>
        </w:r>
      </w:hyperlink>
    </w:p>
    <w:p w14:paraId="100C43BB" w14:textId="7CBF4230" w:rsidR="003277AE" w:rsidRDefault="00E61923">
      <w:pPr>
        <w:pStyle w:val="TDC3"/>
        <w:tabs>
          <w:tab w:val="left" w:pos="660"/>
          <w:tab w:val="right" w:pos="8494"/>
        </w:tabs>
        <w:rPr>
          <w:rFonts w:eastAsiaTheme="minorEastAsia" w:cstheme="minorBidi"/>
          <w:noProof/>
          <w:kern w:val="2"/>
          <w:sz w:val="22"/>
          <w:szCs w:val="22"/>
          <w:lang w:val="es-ES" w:eastAsia="es-ES"/>
          <w14:ligatures w14:val="standardContextual"/>
        </w:rPr>
      </w:pPr>
      <w:hyperlink w:anchor="_Toc141975039" w:history="1">
        <w:r w:rsidR="003277AE" w:rsidRPr="00F24ED4">
          <w:rPr>
            <w:rStyle w:val="Hipervnculo"/>
            <w:noProof/>
            <w:lang w:val="es-ES"/>
          </w:rPr>
          <w:t>3.2.5</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ES"/>
          </w:rPr>
          <w:t>Trabajo preliminar en la base de datos de direcciones</w:t>
        </w:r>
        <w:r w:rsidR="003277AE">
          <w:rPr>
            <w:noProof/>
            <w:webHidden/>
          </w:rPr>
          <w:tab/>
        </w:r>
        <w:r w:rsidR="003277AE">
          <w:rPr>
            <w:noProof/>
            <w:webHidden/>
          </w:rPr>
          <w:fldChar w:fldCharType="begin"/>
        </w:r>
        <w:r w:rsidR="003277AE">
          <w:rPr>
            <w:noProof/>
            <w:webHidden/>
          </w:rPr>
          <w:instrText xml:space="preserve"> PAGEREF _Toc141975039 \h </w:instrText>
        </w:r>
        <w:r w:rsidR="003277AE">
          <w:rPr>
            <w:noProof/>
            <w:webHidden/>
          </w:rPr>
        </w:r>
        <w:r w:rsidR="003277AE">
          <w:rPr>
            <w:noProof/>
            <w:webHidden/>
          </w:rPr>
          <w:fldChar w:fldCharType="separate"/>
        </w:r>
        <w:r w:rsidR="00006265">
          <w:rPr>
            <w:noProof/>
            <w:webHidden/>
          </w:rPr>
          <w:t>65</w:t>
        </w:r>
        <w:r w:rsidR="003277AE">
          <w:rPr>
            <w:noProof/>
            <w:webHidden/>
          </w:rPr>
          <w:fldChar w:fldCharType="end"/>
        </w:r>
      </w:hyperlink>
    </w:p>
    <w:p w14:paraId="418F1A4D" w14:textId="544168C7" w:rsidR="003277AE" w:rsidRDefault="00E61923">
      <w:pPr>
        <w:pStyle w:val="TDC3"/>
        <w:tabs>
          <w:tab w:val="left" w:pos="660"/>
          <w:tab w:val="right" w:pos="8494"/>
        </w:tabs>
        <w:rPr>
          <w:rFonts w:eastAsiaTheme="minorEastAsia" w:cstheme="minorBidi"/>
          <w:noProof/>
          <w:kern w:val="2"/>
          <w:sz w:val="22"/>
          <w:szCs w:val="22"/>
          <w:lang w:val="es-ES" w:eastAsia="es-ES"/>
          <w14:ligatures w14:val="standardContextual"/>
        </w:rPr>
      </w:pPr>
      <w:hyperlink w:anchor="_Toc141975040" w:history="1">
        <w:r w:rsidR="003277AE" w:rsidRPr="00F24ED4">
          <w:rPr>
            <w:rStyle w:val="Hipervnculo"/>
            <w:noProof/>
            <w:lang w:val="es-ES"/>
          </w:rPr>
          <w:t>3.2.6</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ES"/>
          </w:rPr>
          <w:t>Ajuste de la huella considerado en cada escenario</w:t>
        </w:r>
        <w:r w:rsidR="003277AE">
          <w:rPr>
            <w:noProof/>
            <w:webHidden/>
          </w:rPr>
          <w:tab/>
        </w:r>
        <w:r w:rsidR="003277AE">
          <w:rPr>
            <w:noProof/>
            <w:webHidden/>
          </w:rPr>
          <w:fldChar w:fldCharType="begin"/>
        </w:r>
        <w:r w:rsidR="003277AE">
          <w:rPr>
            <w:noProof/>
            <w:webHidden/>
          </w:rPr>
          <w:instrText xml:space="preserve"> PAGEREF _Toc141975040 \h </w:instrText>
        </w:r>
        <w:r w:rsidR="003277AE">
          <w:rPr>
            <w:noProof/>
            <w:webHidden/>
          </w:rPr>
        </w:r>
        <w:r w:rsidR="003277AE">
          <w:rPr>
            <w:noProof/>
            <w:webHidden/>
          </w:rPr>
          <w:fldChar w:fldCharType="separate"/>
        </w:r>
        <w:r w:rsidR="00006265">
          <w:rPr>
            <w:noProof/>
            <w:webHidden/>
          </w:rPr>
          <w:t>66</w:t>
        </w:r>
        <w:r w:rsidR="003277AE">
          <w:rPr>
            <w:noProof/>
            <w:webHidden/>
          </w:rPr>
          <w:fldChar w:fldCharType="end"/>
        </w:r>
      </w:hyperlink>
    </w:p>
    <w:p w14:paraId="29F0CCBF" w14:textId="56CA3EB5" w:rsidR="003277AE" w:rsidRDefault="00E61923">
      <w:pPr>
        <w:pStyle w:val="TDC2"/>
        <w:rPr>
          <w:rFonts w:eastAsiaTheme="minorEastAsia" w:cstheme="minorBidi"/>
          <w:b w:val="0"/>
          <w:bCs w:val="0"/>
          <w:noProof/>
          <w:kern w:val="2"/>
          <w:sz w:val="22"/>
          <w:lang w:val="es-ES" w:eastAsia="es-ES"/>
          <w14:ligatures w14:val="standardContextual"/>
        </w:rPr>
      </w:pPr>
      <w:hyperlink w:anchor="_Toc141975041" w:history="1">
        <w:r w:rsidR="003277AE" w:rsidRPr="00F24ED4">
          <w:rPr>
            <w:rStyle w:val="Hipervnculo"/>
            <w:noProof/>
          </w:rPr>
          <w:t>3.3</w:t>
        </w:r>
        <w:r w:rsidR="003277AE">
          <w:rPr>
            <w:rFonts w:eastAsiaTheme="minorEastAsia" w:cstheme="minorBidi"/>
            <w:b w:val="0"/>
            <w:bCs w:val="0"/>
            <w:noProof/>
            <w:kern w:val="2"/>
            <w:sz w:val="22"/>
            <w:lang w:val="es-ES" w:eastAsia="es-ES"/>
            <w14:ligatures w14:val="standardContextual"/>
          </w:rPr>
          <w:tab/>
        </w:r>
        <w:r w:rsidR="003277AE" w:rsidRPr="00F24ED4">
          <w:rPr>
            <w:rStyle w:val="Hipervnculo"/>
            <w:noProof/>
          </w:rPr>
          <w:t>Diseño de red</w:t>
        </w:r>
        <w:r w:rsidR="003277AE">
          <w:rPr>
            <w:noProof/>
            <w:webHidden/>
          </w:rPr>
          <w:tab/>
        </w:r>
        <w:r w:rsidR="003277AE">
          <w:rPr>
            <w:noProof/>
            <w:webHidden/>
          </w:rPr>
          <w:fldChar w:fldCharType="begin"/>
        </w:r>
        <w:r w:rsidR="003277AE">
          <w:rPr>
            <w:noProof/>
            <w:webHidden/>
          </w:rPr>
          <w:instrText xml:space="preserve"> PAGEREF _Toc141975041 \h </w:instrText>
        </w:r>
        <w:r w:rsidR="003277AE">
          <w:rPr>
            <w:noProof/>
            <w:webHidden/>
          </w:rPr>
        </w:r>
        <w:r w:rsidR="003277AE">
          <w:rPr>
            <w:noProof/>
            <w:webHidden/>
          </w:rPr>
          <w:fldChar w:fldCharType="separate"/>
        </w:r>
        <w:r w:rsidR="00006265">
          <w:rPr>
            <w:noProof/>
            <w:webHidden/>
          </w:rPr>
          <w:t>68</w:t>
        </w:r>
        <w:r w:rsidR="003277AE">
          <w:rPr>
            <w:noProof/>
            <w:webHidden/>
          </w:rPr>
          <w:fldChar w:fldCharType="end"/>
        </w:r>
      </w:hyperlink>
    </w:p>
    <w:p w14:paraId="15EB8DE3" w14:textId="1D4F85FB" w:rsidR="003277AE" w:rsidRDefault="00E61923">
      <w:pPr>
        <w:pStyle w:val="TDC3"/>
        <w:tabs>
          <w:tab w:val="left" w:pos="660"/>
          <w:tab w:val="right" w:pos="8494"/>
        </w:tabs>
        <w:rPr>
          <w:rFonts w:eastAsiaTheme="minorEastAsia" w:cstheme="minorBidi"/>
          <w:noProof/>
          <w:kern w:val="2"/>
          <w:sz w:val="22"/>
          <w:szCs w:val="22"/>
          <w:lang w:val="es-ES" w:eastAsia="es-ES"/>
          <w14:ligatures w14:val="standardContextual"/>
        </w:rPr>
      </w:pPr>
      <w:hyperlink w:anchor="_Toc141975042" w:history="1">
        <w:r w:rsidR="003277AE" w:rsidRPr="00F24ED4">
          <w:rPr>
            <w:rStyle w:val="Hipervnculo"/>
            <w:noProof/>
          </w:rPr>
          <w:t>3.3.1</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rPr>
          <w:t>Arquitecturas de cobre, FTTH y FTTC</w:t>
        </w:r>
        <w:r w:rsidR="003277AE">
          <w:rPr>
            <w:noProof/>
            <w:webHidden/>
          </w:rPr>
          <w:tab/>
        </w:r>
        <w:r w:rsidR="003277AE">
          <w:rPr>
            <w:noProof/>
            <w:webHidden/>
          </w:rPr>
          <w:fldChar w:fldCharType="begin"/>
        </w:r>
        <w:r w:rsidR="003277AE">
          <w:rPr>
            <w:noProof/>
            <w:webHidden/>
          </w:rPr>
          <w:instrText xml:space="preserve"> PAGEREF _Toc141975042 \h </w:instrText>
        </w:r>
        <w:r w:rsidR="003277AE">
          <w:rPr>
            <w:noProof/>
            <w:webHidden/>
          </w:rPr>
        </w:r>
        <w:r w:rsidR="003277AE">
          <w:rPr>
            <w:noProof/>
            <w:webHidden/>
          </w:rPr>
          <w:fldChar w:fldCharType="separate"/>
        </w:r>
        <w:r w:rsidR="00006265">
          <w:rPr>
            <w:noProof/>
            <w:webHidden/>
          </w:rPr>
          <w:t>68</w:t>
        </w:r>
        <w:r w:rsidR="003277AE">
          <w:rPr>
            <w:noProof/>
            <w:webHidden/>
          </w:rPr>
          <w:fldChar w:fldCharType="end"/>
        </w:r>
      </w:hyperlink>
    </w:p>
    <w:p w14:paraId="08AEF06B" w14:textId="6A0A09C0" w:rsidR="003277AE" w:rsidRDefault="00E61923">
      <w:pPr>
        <w:pStyle w:val="TDC4"/>
        <w:rPr>
          <w:rFonts w:eastAsiaTheme="minorEastAsia" w:cstheme="minorBidi"/>
          <w:noProof/>
          <w:kern w:val="2"/>
          <w:sz w:val="22"/>
          <w:szCs w:val="22"/>
          <w:lang w:val="es-ES" w:eastAsia="es-ES"/>
          <w14:ligatures w14:val="standardContextual"/>
        </w:rPr>
      </w:pPr>
      <w:hyperlink w:anchor="_Toc141975043" w:history="1">
        <w:r w:rsidR="003277AE" w:rsidRPr="00F24ED4">
          <w:rPr>
            <w:rStyle w:val="Hipervnculo"/>
            <w:noProof/>
            <w:lang w:val="es-MX"/>
          </w:rPr>
          <w:t>3.3.1.1</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Arquitectura de cobre</w:t>
        </w:r>
        <w:r w:rsidR="003277AE">
          <w:rPr>
            <w:noProof/>
            <w:webHidden/>
          </w:rPr>
          <w:tab/>
        </w:r>
        <w:r w:rsidR="003277AE">
          <w:rPr>
            <w:noProof/>
            <w:webHidden/>
          </w:rPr>
          <w:fldChar w:fldCharType="begin"/>
        </w:r>
        <w:r w:rsidR="003277AE">
          <w:rPr>
            <w:noProof/>
            <w:webHidden/>
          </w:rPr>
          <w:instrText xml:space="preserve"> PAGEREF _Toc141975043 \h </w:instrText>
        </w:r>
        <w:r w:rsidR="003277AE">
          <w:rPr>
            <w:noProof/>
            <w:webHidden/>
          </w:rPr>
        </w:r>
        <w:r w:rsidR="003277AE">
          <w:rPr>
            <w:noProof/>
            <w:webHidden/>
          </w:rPr>
          <w:fldChar w:fldCharType="separate"/>
        </w:r>
        <w:r w:rsidR="00006265">
          <w:rPr>
            <w:noProof/>
            <w:webHidden/>
          </w:rPr>
          <w:t>69</w:t>
        </w:r>
        <w:r w:rsidR="003277AE">
          <w:rPr>
            <w:noProof/>
            <w:webHidden/>
          </w:rPr>
          <w:fldChar w:fldCharType="end"/>
        </w:r>
      </w:hyperlink>
    </w:p>
    <w:p w14:paraId="3A4A0021" w14:textId="0CF15206" w:rsidR="003277AE" w:rsidRDefault="00E61923">
      <w:pPr>
        <w:pStyle w:val="TDC4"/>
        <w:rPr>
          <w:rFonts w:eastAsiaTheme="minorEastAsia" w:cstheme="minorBidi"/>
          <w:noProof/>
          <w:kern w:val="2"/>
          <w:sz w:val="22"/>
          <w:szCs w:val="22"/>
          <w:lang w:val="es-ES" w:eastAsia="es-ES"/>
          <w14:ligatures w14:val="standardContextual"/>
        </w:rPr>
      </w:pPr>
      <w:hyperlink w:anchor="_Toc141975044" w:history="1">
        <w:r w:rsidR="003277AE" w:rsidRPr="00F24ED4">
          <w:rPr>
            <w:rStyle w:val="Hipervnculo"/>
            <w:noProof/>
            <w:lang w:val="es-MX"/>
          </w:rPr>
          <w:t>3.3.1.2</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Arquitectura de FTTH</w:t>
        </w:r>
        <w:r w:rsidR="003277AE">
          <w:rPr>
            <w:noProof/>
            <w:webHidden/>
          </w:rPr>
          <w:tab/>
        </w:r>
        <w:r w:rsidR="003277AE">
          <w:rPr>
            <w:noProof/>
            <w:webHidden/>
          </w:rPr>
          <w:fldChar w:fldCharType="begin"/>
        </w:r>
        <w:r w:rsidR="003277AE">
          <w:rPr>
            <w:noProof/>
            <w:webHidden/>
          </w:rPr>
          <w:instrText xml:space="preserve"> PAGEREF _Toc141975044 \h </w:instrText>
        </w:r>
        <w:r w:rsidR="003277AE">
          <w:rPr>
            <w:noProof/>
            <w:webHidden/>
          </w:rPr>
        </w:r>
        <w:r w:rsidR="003277AE">
          <w:rPr>
            <w:noProof/>
            <w:webHidden/>
          </w:rPr>
          <w:fldChar w:fldCharType="separate"/>
        </w:r>
        <w:r w:rsidR="00006265">
          <w:rPr>
            <w:noProof/>
            <w:webHidden/>
          </w:rPr>
          <w:t>69</w:t>
        </w:r>
        <w:r w:rsidR="003277AE">
          <w:rPr>
            <w:noProof/>
            <w:webHidden/>
          </w:rPr>
          <w:fldChar w:fldCharType="end"/>
        </w:r>
      </w:hyperlink>
    </w:p>
    <w:p w14:paraId="43F3C1DD" w14:textId="76F7DCDF" w:rsidR="003277AE" w:rsidRDefault="00E61923">
      <w:pPr>
        <w:pStyle w:val="TDC4"/>
        <w:rPr>
          <w:rFonts w:eastAsiaTheme="minorEastAsia" w:cstheme="minorBidi"/>
          <w:noProof/>
          <w:kern w:val="2"/>
          <w:sz w:val="22"/>
          <w:szCs w:val="22"/>
          <w:lang w:val="es-ES" w:eastAsia="es-ES"/>
          <w14:ligatures w14:val="standardContextual"/>
        </w:rPr>
      </w:pPr>
      <w:hyperlink w:anchor="_Toc141975045" w:history="1">
        <w:r w:rsidR="003277AE" w:rsidRPr="00F24ED4">
          <w:rPr>
            <w:rStyle w:val="Hipervnculo"/>
            <w:noProof/>
            <w:lang w:val="es-MX"/>
          </w:rPr>
          <w:t>3.3.1.3</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Arquitectura de FTTC</w:t>
        </w:r>
        <w:r w:rsidR="003277AE">
          <w:rPr>
            <w:noProof/>
            <w:webHidden/>
          </w:rPr>
          <w:tab/>
        </w:r>
        <w:r w:rsidR="003277AE">
          <w:rPr>
            <w:noProof/>
            <w:webHidden/>
          </w:rPr>
          <w:fldChar w:fldCharType="begin"/>
        </w:r>
        <w:r w:rsidR="003277AE">
          <w:rPr>
            <w:noProof/>
            <w:webHidden/>
          </w:rPr>
          <w:instrText xml:space="preserve"> PAGEREF _Toc141975045 \h </w:instrText>
        </w:r>
        <w:r w:rsidR="003277AE">
          <w:rPr>
            <w:noProof/>
            <w:webHidden/>
          </w:rPr>
        </w:r>
        <w:r w:rsidR="003277AE">
          <w:rPr>
            <w:noProof/>
            <w:webHidden/>
          </w:rPr>
          <w:fldChar w:fldCharType="separate"/>
        </w:r>
        <w:r w:rsidR="00006265">
          <w:rPr>
            <w:noProof/>
            <w:webHidden/>
          </w:rPr>
          <w:t>71</w:t>
        </w:r>
        <w:r w:rsidR="003277AE">
          <w:rPr>
            <w:noProof/>
            <w:webHidden/>
          </w:rPr>
          <w:fldChar w:fldCharType="end"/>
        </w:r>
      </w:hyperlink>
    </w:p>
    <w:p w14:paraId="796106E2" w14:textId="653294E3" w:rsidR="003277AE" w:rsidRDefault="00E61923">
      <w:pPr>
        <w:pStyle w:val="TDC4"/>
        <w:rPr>
          <w:rFonts w:eastAsiaTheme="minorEastAsia" w:cstheme="minorBidi"/>
          <w:noProof/>
          <w:kern w:val="2"/>
          <w:sz w:val="22"/>
          <w:szCs w:val="22"/>
          <w:lang w:val="es-ES" w:eastAsia="es-ES"/>
          <w14:ligatures w14:val="standardContextual"/>
        </w:rPr>
      </w:pPr>
      <w:hyperlink w:anchor="_Toc141975046" w:history="1">
        <w:r w:rsidR="003277AE" w:rsidRPr="00F24ED4">
          <w:rPr>
            <w:rStyle w:val="Hipervnculo"/>
            <w:noProof/>
            <w:lang w:val="es-MX"/>
          </w:rPr>
          <w:t>3.3.1.4</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Procesamiento de geomarketing para ambas redes</w:t>
        </w:r>
        <w:r w:rsidR="003277AE">
          <w:rPr>
            <w:noProof/>
            <w:webHidden/>
          </w:rPr>
          <w:tab/>
        </w:r>
        <w:r w:rsidR="003277AE">
          <w:rPr>
            <w:noProof/>
            <w:webHidden/>
          </w:rPr>
          <w:fldChar w:fldCharType="begin"/>
        </w:r>
        <w:r w:rsidR="003277AE">
          <w:rPr>
            <w:noProof/>
            <w:webHidden/>
          </w:rPr>
          <w:instrText xml:space="preserve"> PAGEREF _Toc141975046 \h </w:instrText>
        </w:r>
        <w:r w:rsidR="003277AE">
          <w:rPr>
            <w:noProof/>
            <w:webHidden/>
          </w:rPr>
        </w:r>
        <w:r w:rsidR="003277AE">
          <w:rPr>
            <w:noProof/>
            <w:webHidden/>
          </w:rPr>
          <w:fldChar w:fldCharType="separate"/>
        </w:r>
        <w:r w:rsidR="00006265">
          <w:rPr>
            <w:noProof/>
            <w:webHidden/>
          </w:rPr>
          <w:t>71</w:t>
        </w:r>
        <w:r w:rsidR="003277AE">
          <w:rPr>
            <w:noProof/>
            <w:webHidden/>
          </w:rPr>
          <w:fldChar w:fldCharType="end"/>
        </w:r>
      </w:hyperlink>
    </w:p>
    <w:p w14:paraId="1A5216DF" w14:textId="29242F77" w:rsidR="003277AE" w:rsidRDefault="00E61923">
      <w:pPr>
        <w:pStyle w:val="TDC3"/>
        <w:tabs>
          <w:tab w:val="left" w:pos="660"/>
          <w:tab w:val="right" w:pos="8494"/>
        </w:tabs>
        <w:rPr>
          <w:rFonts w:eastAsiaTheme="minorEastAsia" w:cstheme="minorBidi"/>
          <w:noProof/>
          <w:kern w:val="2"/>
          <w:sz w:val="22"/>
          <w:szCs w:val="22"/>
          <w:lang w:val="es-ES" w:eastAsia="es-ES"/>
          <w14:ligatures w14:val="standardContextual"/>
        </w:rPr>
      </w:pPr>
      <w:hyperlink w:anchor="_Toc141975047" w:history="1">
        <w:r w:rsidR="003277AE" w:rsidRPr="00F24ED4">
          <w:rPr>
            <w:rStyle w:val="Hipervnculo"/>
            <w:noProof/>
            <w:lang w:val="es-ES"/>
          </w:rPr>
          <w:t>3.3.2</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ES"/>
          </w:rPr>
          <w:t>Despliegue de la red de cobre</w:t>
        </w:r>
        <w:r w:rsidR="003277AE">
          <w:rPr>
            <w:noProof/>
            <w:webHidden/>
          </w:rPr>
          <w:tab/>
        </w:r>
        <w:r w:rsidR="003277AE">
          <w:rPr>
            <w:noProof/>
            <w:webHidden/>
          </w:rPr>
          <w:fldChar w:fldCharType="begin"/>
        </w:r>
        <w:r w:rsidR="003277AE">
          <w:rPr>
            <w:noProof/>
            <w:webHidden/>
          </w:rPr>
          <w:instrText xml:space="preserve"> PAGEREF _Toc141975047 \h </w:instrText>
        </w:r>
        <w:r w:rsidR="003277AE">
          <w:rPr>
            <w:noProof/>
            <w:webHidden/>
          </w:rPr>
        </w:r>
        <w:r w:rsidR="003277AE">
          <w:rPr>
            <w:noProof/>
            <w:webHidden/>
          </w:rPr>
          <w:fldChar w:fldCharType="separate"/>
        </w:r>
        <w:r w:rsidR="00006265">
          <w:rPr>
            <w:noProof/>
            <w:webHidden/>
          </w:rPr>
          <w:t>75</w:t>
        </w:r>
        <w:r w:rsidR="003277AE">
          <w:rPr>
            <w:noProof/>
            <w:webHidden/>
          </w:rPr>
          <w:fldChar w:fldCharType="end"/>
        </w:r>
      </w:hyperlink>
    </w:p>
    <w:p w14:paraId="5A442BC6" w14:textId="15CFBACB" w:rsidR="003277AE" w:rsidRDefault="00E61923">
      <w:pPr>
        <w:pStyle w:val="TDC4"/>
        <w:rPr>
          <w:rFonts w:eastAsiaTheme="minorEastAsia" w:cstheme="minorBidi"/>
          <w:noProof/>
          <w:kern w:val="2"/>
          <w:sz w:val="22"/>
          <w:szCs w:val="22"/>
          <w:lang w:val="es-ES" w:eastAsia="es-ES"/>
          <w14:ligatures w14:val="standardContextual"/>
        </w:rPr>
      </w:pPr>
      <w:hyperlink w:anchor="_Toc141975048" w:history="1">
        <w:r w:rsidR="003277AE" w:rsidRPr="00F24ED4">
          <w:rPr>
            <w:rStyle w:val="Hipervnculo"/>
            <w:noProof/>
            <w:lang w:val="es-MX"/>
          </w:rPr>
          <w:t>3.3.2.1</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Diferentes partes de la red modeladas</w:t>
        </w:r>
        <w:r w:rsidR="003277AE">
          <w:rPr>
            <w:noProof/>
            <w:webHidden/>
          </w:rPr>
          <w:tab/>
        </w:r>
        <w:r w:rsidR="003277AE">
          <w:rPr>
            <w:noProof/>
            <w:webHidden/>
          </w:rPr>
          <w:fldChar w:fldCharType="begin"/>
        </w:r>
        <w:r w:rsidR="003277AE">
          <w:rPr>
            <w:noProof/>
            <w:webHidden/>
          </w:rPr>
          <w:instrText xml:space="preserve"> PAGEREF _Toc141975048 \h </w:instrText>
        </w:r>
        <w:r w:rsidR="003277AE">
          <w:rPr>
            <w:noProof/>
            <w:webHidden/>
          </w:rPr>
        </w:r>
        <w:r w:rsidR="003277AE">
          <w:rPr>
            <w:noProof/>
            <w:webHidden/>
          </w:rPr>
          <w:fldChar w:fldCharType="separate"/>
        </w:r>
        <w:r w:rsidR="00006265">
          <w:rPr>
            <w:noProof/>
            <w:webHidden/>
          </w:rPr>
          <w:t>75</w:t>
        </w:r>
        <w:r w:rsidR="003277AE">
          <w:rPr>
            <w:noProof/>
            <w:webHidden/>
          </w:rPr>
          <w:fldChar w:fldCharType="end"/>
        </w:r>
      </w:hyperlink>
    </w:p>
    <w:p w14:paraId="04501EB4" w14:textId="26F7B903" w:rsidR="003277AE" w:rsidRDefault="00E61923">
      <w:pPr>
        <w:pStyle w:val="TDC4"/>
        <w:rPr>
          <w:rFonts w:eastAsiaTheme="minorEastAsia" w:cstheme="minorBidi"/>
          <w:noProof/>
          <w:kern w:val="2"/>
          <w:sz w:val="22"/>
          <w:szCs w:val="22"/>
          <w:lang w:val="es-ES" w:eastAsia="es-ES"/>
          <w14:ligatures w14:val="standardContextual"/>
        </w:rPr>
      </w:pPr>
      <w:hyperlink w:anchor="_Toc141975049" w:history="1">
        <w:r w:rsidR="003277AE" w:rsidRPr="00F24ED4">
          <w:rPr>
            <w:rStyle w:val="Hipervnculo"/>
            <w:noProof/>
            <w:lang w:val="es-MX"/>
          </w:rPr>
          <w:t>3.3.2.2</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Cables de red de cobre</w:t>
        </w:r>
        <w:r w:rsidR="003277AE">
          <w:rPr>
            <w:noProof/>
            <w:webHidden/>
          </w:rPr>
          <w:tab/>
        </w:r>
        <w:r w:rsidR="003277AE">
          <w:rPr>
            <w:noProof/>
            <w:webHidden/>
          </w:rPr>
          <w:fldChar w:fldCharType="begin"/>
        </w:r>
        <w:r w:rsidR="003277AE">
          <w:rPr>
            <w:noProof/>
            <w:webHidden/>
          </w:rPr>
          <w:instrText xml:space="preserve"> PAGEREF _Toc141975049 \h </w:instrText>
        </w:r>
        <w:r w:rsidR="003277AE">
          <w:rPr>
            <w:noProof/>
            <w:webHidden/>
          </w:rPr>
        </w:r>
        <w:r w:rsidR="003277AE">
          <w:rPr>
            <w:noProof/>
            <w:webHidden/>
          </w:rPr>
          <w:fldChar w:fldCharType="separate"/>
        </w:r>
        <w:r w:rsidR="00006265">
          <w:rPr>
            <w:noProof/>
            <w:webHidden/>
          </w:rPr>
          <w:t>76</w:t>
        </w:r>
        <w:r w:rsidR="003277AE">
          <w:rPr>
            <w:noProof/>
            <w:webHidden/>
          </w:rPr>
          <w:fldChar w:fldCharType="end"/>
        </w:r>
      </w:hyperlink>
    </w:p>
    <w:p w14:paraId="10B695B8" w14:textId="6A4E658C" w:rsidR="003277AE" w:rsidRDefault="00E61923">
      <w:pPr>
        <w:pStyle w:val="TDC4"/>
        <w:rPr>
          <w:rFonts w:eastAsiaTheme="minorEastAsia" w:cstheme="minorBidi"/>
          <w:noProof/>
          <w:kern w:val="2"/>
          <w:sz w:val="22"/>
          <w:szCs w:val="22"/>
          <w:lang w:val="es-ES" w:eastAsia="es-ES"/>
          <w14:ligatures w14:val="standardContextual"/>
        </w:rPr>
      </w:pPr>
      <w:hyperlink w:anchor="_Toc141975050" w:history="1">
        <w:r w:rsidR="003277AE" w:rsidRPr="00F24ED4">
          <w:rPr>
            <w:rStyle w:val="Hipervnculo"/>
            <w:noProof/>
            <w:lang w:val="es-MX"/>
          </w:rPr>
          <w:t>3.3.2.3</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Acometida</w:t>
        </w:r>
        <w:r w:rsidR="003277AE">
          <w:rPr>
            <w:noProof/>
            <w:webHidden/>
          </w:rPr>
          <w:tab/>
        </w:r>
        <w:r w:rsidR="003277AE">
          <w:rPr>
            <w:noProof/>
            <w:webHidden/>
          </w:rPr>
          <w:fldChar w:fldCharType="begin"/>
        </w:r>
        <w:r w:rsidR="003277AE">
          <w:rPr>
            <w:noProof/>
            <w:webHidden/>
          </w:rPr>
          <w:instrText xml:space="preserve"> PAGEREF _Toc141975050 \h </w:instrText>
        </w:r>
        <w:r w:rsidR="003277AE">
          <w:rPr>
            <w:noProof/>
            <w:webHidden/>
          </w:rPr>
        </w:r>
        <w:r w:rsidR="003277AE">
          <w:rPr>
            <w:noProof/>
            <w:webHidden/>
          </w:rPr>
          <w:fldChar w:fldCharType="separate"/>
        </w:r>
        <w:r w:rsidR="00006265">
          <w:rPr>
            <w:noProof/>
            <w:webHidden/>
          </w:rPr>
          <w:t>77</w:t>
        </w:r>
        <w:r w:rsidR="003277AE">
          <w:rPr>
            <w:noProof/>
            <w:webHidden/>
          </w:rPr>
          <w:fldChar w:fldCharType="end"/>
        </w:r>
      </w:hyperlink>
    </w:p>
    <w:p w14:paraId="479A5B68" w14:textId="30C2A1C9" w:rsidR="003277AE" w:rsidRDefault="00E61923">
      <w:pPr>
        <w:pStyle w:val="TDC4"/>
        <w:rPr>
          <w:rFonts w:eastAsiaTheme="minorEastAsia" w:cstheme="minorBidi"/>
          <w:noProof/>
          <w:kern w:val="2"/>
          <w:sz w:val="22"/>
          <w:szCs w:val="22"/>
          <w:lang w:val="es-ES" w:eastAsia="es-ES"/>
          <w14:ligatures w14:val="standardContextual"/>
        </w:rPr>
      </w:pPr>
      <w:hyperlink w:anchor="_Toc141975051" w:history="1">
        <w:r w:rsidR="003277AE" w:rsidRPr="00F24ED4">
          <w:rPr>
            <w:rStyle w:val="Hipervnculo"/>
            <w:noProof/>
            <w:lang w:val="es-MX"/>
          </w:rPr>
          <w:t>3.3.2.4</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Parte del SDP: "Red Secundaria"</w:t>
        </w:r>
        <w:r w:rsidR="003277AE">
          <w:rPr>
            <w:noProof/>
            <w:webHidden/>
          </w:rPr>
          <w:tab/>
        </w:r>
        <w:r w:rsidR="003277AE">
          <w:rPr>
            <w:noProof/>
            <w:webHidden/>
          </w:rPr>
          <w:fldChar w:fldCharType="begin"/>
        </w:r>
        <w:r w:rsidR="003277AE">
          <w:rPr>
            <w:noProof/>
            <w:webHidden/>
          </w:rPr>
          <w:instrText xml:space="preserve"> PAGEREF _Toc141975051 \h </w:instrText>
        </w:r>
        <w:r w:rsidR="003277AE">
          <w:rPr>
            <w:noProof/>
            <w:webHidden/>
          </w:rPr>
        </w:r>
        <w:r w:rsidR="003277AE">
          <w:rPr>
            <w:noProof/>
            <w:webHidden/>
          </w:rPr>
          <w:fldChar w:fldCharType="separate"/>
        </w:r>
        <w:r w:rsidR="00006265">
          <w:rPr>
            <w:noProof/>
            <w:webHidden/>
          </w:rPr>
          <w:t>77</w:t>
        </w:r>
        <w:r w:rsidR="003277AE">
          <w:rPr>
            <w:noProof/>
            <w:webHidden/>
          </w:rPr>
          <w:fldChar w:fldCharType="end"/>
        </w:r>
      </w:hyperlink>
    </w:p>
    <w:p w14:paraId="07B17B07" w14:textId="7016EF52" w:rsidR="003277AE" w:rsidRDefault="00E61923">
      <w:pPr>
        <w:pStyle w:val="TDC4"/>
        <w:rPr>
          <w:rFonts w:eastAsiaTheme="minorEastAsia" w:cstheme="minorBidi"/>
          <w:noProof/>
          <w:kern w:val="2"/>
          <w:sz w:val="22"/>
          <w:szCs w:val="22"/>
          <w:lang w:val="es-ES" w:eastAsia="es-ES"/>
          <w14:ligatures w14:val="standardContextual"/>
        </w:rPr>
      </w:pPr>
      <w:hyperlink w:anchor="_Toc141975052" w:history="1">
        <w:r w:rsidR="003277AE" w:rsidRPr="00F24ED4">
          <w:rPr>
            <w:rStyle w:val="Hipervnculo"/>
            <w:noProof/>
            <w:lang w:val="es-MX"/>
          </w:rPr>
          <w:t>3.3.2.5</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parte PDP: "Red Primaria"</w:t>
        </w:r>
        <w:r w:rsidR="003277AE">
          <w:rPr>
            <w:noProof/>
            <w:webHidden/>
          </w:rPr>
          <w:tab/>
        </w:r>
        <w:r w:rsidR="003277AE">
          <w:rPr>
            <w:noProof/>
            <w:webHidden/>
          </w:rPr>
          <w:fldChar w:fldCharType="begin"/>
        </w:r>
        <w:r w:rsidR="003277AE">
          <w:rPr>
            <w:noProof/>
            <w:webHidden/>
          </w:rPr>
          <w:instrText xml:space="preserve"> PAGEREF _Toc141975052 \h </w:instrText>
        </w:r>
        <w:r w:rsidR="003277AE">
          <w:rPr>
            <w:noProof/>
            <w:webHidden/>
          </w:rPr>
        </w:r>
        <w:r w:rsidR="003277AE">
          <w:rPr>
            <w:noProof/>
            <w:webHidden/>
          </w:rPr>
          <w:fldChar w:fldCharType="separate"/>
        </w:r>
        <w:r w:rsidR="00006265">
          <w:rPr>
            <w:noProof/>
            <w:webHidden/>
          </w:rPr>
          <w:t>79</w:t>
        </w:r>
        <w:r w:rsidR="003277AE">
          <w:rPr>
            <w:noProof/>
            <w:webHidden/>
          </w:rPr>
          <w:fldChar w:fldCharType="end"/>
        </w:r>
      </w:hyperlink>
    </w:p>
    <w:p w14:paraId="3EC971A4" w14:textId="72C76F62" w:rsidR="003277AE" w:rsidRDefault="00E61923">
      <w:pPr>
        <w:pStyle w:val="TDC4"/>
        <w:rPr>
          <w:rFonts w:eastAsiaTheme="minorEastAsia" w:cstheme="minorBidi"/>
          <w:noProof/>
          <w:kern w:val="2"/>
          <w:sz w:val="22"/>
          <w:szCs w:val="22"/>
          <w:lang w:val="es-ES" w:eastAsia="es-ES"/>
          <w14:ligatures w14:val="standardContextual"/>
        </w:rPr>
      </w:pPr>
      <w:hyperlink w:anchor="_Toc141975053" w:history="1">
        <w:r w:rsidR="003277AE" w:rsidRPr="00F24ED4">
          <w:rPr>
            <w:rStyle w:val="Hipervnculo"/>
            <w:noProof/>
            <w:lang w:val="es-MX"/>
          </w:rPr>
          <w:t>3.3.2.6</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Zanjas / "canalizaciones"</w:t>
        </w:r>
        <w:r w:rsidR="003277AE">
          <w:rPr>
            <w:noProof/>
            <w:webHidden/>
          </w:rPr>
          <w:tab/>
        </w:r>
        <w:r w:rsidR="003277AE">
          <w:rPr>
            <w:noProof/>
            <w:webHidden/>
          </w:rPr>
          <w:fldChar w:fldCharType="begin"/>
        </w:r>
        <w:r w:rsidR="003277AE">
          <w:rPr>
            <w:noProof/>
            <w:webHidden/>
          </w:rPr>
          <w:instrText xml:space="preserve"> PAGEREF _Toc141975053 \h </w:instrText>
        </w:r>
        <w:r w:rsidR="003277AE">
          <w:rPr>
            <w:noProof/>
            <w:webHidden/>
          </w:rPr>
        </w:r>
        <w:r w:rsidR="003277AE">
          <w:rPr>
            <w:noProof/>
            <w:webHidden/>
          </w:rPr>
          <w:fldChar w:fldCharType="separate"/>
        </w:r>
        <w:r w:rsidR="00006265">
          <w:rPr>
            <w:noProof/>
            <w:webHidden/>
          </w:rPr>
          <w:t>79</w:t>
        </w:r>
        <w:r w:rsidR="003277AE">
          <w:rPr>
            <w:noProof/>
            <w:webHidden/>
          </w:rPr>
          <w:fldChar w:fldCharType="end"/>
        </w:r>
      </w:hyperlink>
    </w:p>
    <w:p w14:paraId="51197FF6" w14:textId="3C13D223" w:rsidR="003277AE" w:rsidRDefault="00E61923">
      <w:pPr>
        <w:pStyle w:val="TDC4"/>
        <w:rPr>
          <w:rFonts w:eastAsiaTheme="minorEastAsia" w:cstheme="minorBidi"/>
          <w:noProof/>
          <w:kern w:val="2"/>
          <w:sz w:val="22"/>
          <w:szCs w:val="22"/>
          <w:lang w:val="es-ES" w:eastAsia="es-ES"/>
          <w14:ligatures w14:val="standardContextual"/>
        </w:rPr>
      </w:pPr>
      <w:hyperlink w:anchor="_Toc141975054" w:history="1">
        <w:r w:rsidR="003277AE" w:rsidRPr="00F24ED4">
          <w:rPr>
            <w:rStyle w:val="Hipervnculo"/>
            <w:noProof/>
            <w:lang w:val="es-MX"/>
          </w:rPr>
          <w:t>3.3.2.7</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Cierres de empalme</w:t>
        </w:r>
        <w:r w:rsidR="003277AE">
          <w:rPr>
            <w:noProof/>
            <w:webHidden/>
          </w:rPr>
          <w:tab/>
        </w:r>
        <w:r w:rsidR="003277AE">
          <w:rPr>
            <w:noProof/>
            <w:webHidden/>
          </w:rPr>
          <w:fldChar w:fldCharType="begin"/>
        </w:r>
        <w:r w:rsidR="003277AE">
          <w:rPr>
            <w:noProof/>
            <w:webHidden/>
          </w:rPr>
          <w:instrText xml:space="preserve"> PAGEREF _Toc141975054 \h </w:instrText>
        </w:r>
        <w:r w:rsidR="003277AE">
          <w:rPr>
            <w:noProof/>
            <w:webHidden/>
          </w:rPr>
        </w:r>
        <w:r w:rsidR="003277AE">
          <w:rPr>
            <w:noProof/>
            <w:webHidden/>
          </w:rPr>
          <w:fldChar w:fldCharType="separate"/>
        </w:r>
        <w:r w:rsidR="00006265">
          <w:rPr>
            <w:noProof/>
            <w:webHidden/>
          </w:rPr>
          <w:t>81</w:t>
        </w:r>
        <w:r w:rsidR="003277AE">
          <w:rPr>
            <w:noProof/>
            <w:webHidden/>
          </w:rPr>
          <w:fldChar w:fldCharType="end"/>
        </w:r>
      </w:hyperlink>
    </w:p>
    <w:p w14:paraId="5A4EE2F9" w14:textId="1DBEBDAA" w:rsidR="003277AE" w:rsidRDefault="00E61923">
      <w:pPr>
        <w:pStyle w:val="TDC4"/>
        <w:rPr>
          <w:rFonts w:eastAsiaTheme="minorEastAsia" w:cstheme="minorBidi"/>
          <w:noProof/>
          <w:kern w:val="2"/>
          <w:sz w:val="22"/>
          <w:szCs w:val="22"/>
          <w:lang w:val="es-ES" w:eastAsia="es-ES"/>
          <w14:ligatures w14:val="standardContextual"/>
        </w:rPr>
      </w:pPr>
      <w:hyperlink w:anchor="_Toc141975055" w:history="1">
        <w:r w:rsidR="003277AE" w:rsidRPr="00F24ED4">
          <w:rPr>
            <w:rStyle w:val="Hipervnculo"/>
            <w:noProof/>
            <w:lang w:val="es-MX"/>
          </w:rPr>
          <w:t>3.3.2.8</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Bocas de alcantarillas (Pozos)</w:t>
        </w:r>
        <w:r w:rsidR="003277AE">
          <w:rPr>
            <w:noProof/>
            <w:webHidden/>
          </w:rPr>
          <w:tab/>
        </w:r>
        <w:r w:rsidR="003277AE">
          <w:rPr>
            <w:noProof/>
            <w:webHidden/>
          </w:rPr>
          <w:fldChar w:fldCharType="begin"/>
        </w:r>
        <w:r w:rsidR="003277AE">
          <w:rPr>
            <w:noProof/>
            <w:webHidden/>
          </w:rPr>
          <w:instrText xml:space="preserve"> PAGEREF _Toc141975055 \h </w:instrText>
        </w:r>
        <w:r w:rsidR="003277AE">
          <w:rPr>
            <w:noProof/>
            <w:webHidden/>
          </w:rPr>
        </w:r>
        <w:r w:rsidR="003277AE">
          <w:rPr>
            <w:noProof/>
            <w:webHidden/>
          </w:rPr>
          <w:fldChar w:fldCharType="separate"/>
        </w:r>
        <w:r w:rsidR="00006265">
          <w:rPr>
            <w:noProof/>
            <w:webHidden/>
          </w:rPr>
          <w:t>82</w:t>
        </w:r>
        <w:r w:rsidR="003277AE">
          <w:rPr>
            <w:noProof/>
            <w:webHidden/>
          </w:rPr>
          <w:fldChar w:fldCharType="end"/>
        </w:r>
      </w:hyperlink>
    </w:p>
    <w:p w14:paraId="1F6645CC" w14:textId="52356A3C" w:rsidR="003277AE" w:rsidRDefault="00E61923">
      <w:pPr>
        <w:pStyle w:val="TDC4"/>
        <w:rPr>
          <w:rFonts w:eastAsiaTheme="minorEastAsia" w:cstheme="minorBidi"/>
          <w:noProof/>
          <w:kern w:val="2"/>
          <w:sz w:val="22"/>
          <w:szCs w:val="22"/>
          <w:lang w:val="es-ES" w:eastAsia="es-ES"/>
          <w14:ligatures w14:val="standardContextual"/>
        </w:rPr>
      </w:pPr>
      <w:hyperlink w:anchor="_Toc141975056" w:history="1">
        <w:r w:rsidR="003277AE" w:rsidRPr="00F24ED4">
          <w:rPr>
            <w:rStyle w:val="Hipervnculo"/>
            <w:noProof/>
            <w:lang w:val="es-MX"/>
          </w:rPr>
          <w:t>3.3.2.9</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Postes</w:t>
        </w:r>
        <w:r w:rsidR="003277AE">
          <w:rPr>
            <w:noProof/>
            <w:webHidden/>
          </w:rPr>
          <w:tab/>
        </w:r>
        <w:r w:rsidR="003277AE">
          <w:rPr>
            <w:noProof/>
            <w:webHidden/>
          </w:rPr>
          <w:fldChar w:fldCharType="begin"/>
        </w:r>
        <w:r w:rsidR="003277AE">
          <w:rPr>
            <w:noProof/>
            <w:webHidden/>
          </w:rPr>
          <w:instrText xml:space="preserve"> PAGEREF _Toc141975056 \h </w:instrText>
        </w:r>
        <w:r w:rsidR="003277AE">
          <w:rPr>
            <w:noProof/>
            <w:webHidden/>
          </w:rPr>
        </w:r>
        <w:r w:rsidR="003277AE">
          <w:rPr>
            <w:noProof/>
            <w:webHidden/>
          </w:rPr>
          <w:fldChar w:fldCharType="separate"/>
        </w:r>
        <w:r w:rsidR="00006265">
          <w:rPr>
            <w:noProof/>
            <w:webHidden/>
          </w:rPr>
          <w:t>83</w:t>
        </w:r>
        <w:r w:rsidR="003277AE">
          <w:rPr>
            <w:noProof/>
            <w:webHidden/>
          </w:rPr>
          <w:fldChar w:fldCharType="end"/>
        </w:r>
      </w:hyperlink>
    </w:p>
    <w:p w14:paraId="319066B2" w14:textId="42EE1FD7" w:rsidR="003277AE" w:rsidRDefault="00E61923">
      <w:pPr>
        <w:pStyle w:val="TDC4"/>
        <w:rPr>
          <w:rFonts w:eastAsiaTheme="minorEastAsia" w:cstheme="minorBidi"/>
          <w:noProof/>
          <w:kern w:val="2"/>
          <w:sz w:val="22"/>
          <w:szCs w:val="22"/>
          <w:lang w:val="es-ES" w:eastAsia="es-ES"/>
          <w14:ligatures w14:val="standardContextual"/>
        </w:rPr>
      </w:pPr>
      <w:hyperlink w:anchor="_Toc141975057" w:history="1">
        <w:r w:rsidR="003277AE" w:rsidRPr="00F24ED4">
          <w:rPr>
            <w:rStyle w:val="Hipervnculo"/>
            <w:noProof/>
            <w:lang w:val="es-MX"/>
          </w:rPr>
          <w:t>3.3.2.10</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Cálculo de longitud de zanjas / "canalizaciones"</w:t>
        </w:r>
        <w:r w:rsidR="003277AE">
          <w:rPr>
            <w:noProof/>
            <w:webHidden/>
          </w:rPr>
          <w:tab/>
        </w:r>
        <w:r w:rsidR="003277AE">
          <w:rPr>
            <w:noProof/>
            <w:webHidden/>
          </w:rPr>
          <w:fldChar w:fldCharType="begin"/>
        </w:r>
        <w:r w:rsidR="003277AE">
          <w:rPr>
            <w:noProof/>
            <w:webHidden/>
          </w:rPr>
          <w:instrText xml:space="preserve"> PAGEREF _Toc141975057 \h </w:instrText>
        </w:r>
        <w:r w:rsidR="003277AE">
          <w:rPr>
            <w:noProof/>
            <w:webHidden/>
          </w:rPr>
        </w:r>
        <w:r w:rsidR="003277AE">
          <w:rPr>
            <w:noProof/>
            <w:webHidden/>
          </w:rPr>
          <w:fldChar w:fldCharType="separate"/>
        </w:r>
        <w:r w:rsidR="00006265">
          <w:rPr>
            <w:noProof/>
            <w:webHidden/>
          </w:rPr>
          <w:t>84</w:t>
        </w:r>
        <w:r w:rsidR="003277AE">
          <w:rPr>
            <w:noProof/>
            <w:webHidden/>
          </w:rPr>
          <w:fldChar w:fldCharType="end"/>
        </w:r>
      </w:hyperlink>
    </w:p>
    <w:p w14:paraId="0BC08E5D" w14:textId="27E0E337" w:rsidR="003277AE" w:rsidRDefault="00E61923">
      <w:pPr>
        <w:pStyle w:val="TDC4"/>
        <w:rPr>
          <w:rFonts w:eastAsiaTheme="minorEastAsia" w:cstheme="minorBidi"/>
          <w:noProof/>
          <w:kern w:val="2"/>
          <w:sz w:val="22"/>
          <w:szCs w:val="22"/>
          <w:lang w:val="es-ES" w:eastAsia="es-ES"/>
          <w14:ligatures w14:val="standardContextual"/>
        </w:rPr>
      </w:pPr>
      <w:hyperlink w:anchor="_Toc141975058" w:history="1">
        <w:r w:rsidR="003277AE" w:rsidRPr="00F24ED4">
          <w:rPr>
            <w:rStyle w:val="Hipervnculo"/>
            <w:noProof/>
            <w:lang w:val="es-MX"/>
          </w:rPr>
          <w:t>3.3.2.11</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Asignación de longitud de zanja</w:t>
        </w:r>
        <w:r w:rsidR="003277AE">
          <w:rPr>
            <w:noProof/>
            <w:webHidden/>
          </w:rPr>
          <w:tab/>
        </w:r>
        <w:r w:rsidR="003277AE">
          <w:rPr>
            <w:noProof/>
            <w:webHidden/>
          </w:rPr>
          <w:fldChar w:fldCharType="begin"/>
        </w:r>
        <w:r w:rsidR="003277AE">
          <w:rPr>
            <w:noProof/>
            <w:webHidden/>
          </w:rPr>
          <w:instrText xml:space="preserve"> PAGEREF _Toc141975058 \h </w:instrText>
        </w:r>
        <w:r w:rsidR="003277AE">
          <w:rPr>
            <w:noProof/>
            <w:webHidden/>
          </w:rPr>
        </w:r>
        <w:r w:rsidR="003277AE">
          <w:rPr>
            <w:noProof/>
            <w:webHidden/>
          </w:rPr>
          <w:fldChar w:fldCharType="separate"/>
        </w:r>
        <w:r w:rsidR="00006265">
          <w:rPr>
            <w:noProof/>
            <w:webHidden/>
          </w:rPr>
          <w:t>86</w:t>
        </w:r>
        <w:r w:rsidR="003277AE">
          <w:rPr>
            <w:noProof/>
            <w:webHidden/>
          </w:rPr>
          <w:fldChar w:fldCharType="end"/>
        </w:r>
      </w:hyperlink>
    </w:p>
    <w:p w14:paraId="75223523" w14:textId="43FC2768" w:rsidR="003277AE" w:rsidRDefault="00E61923">
      <w:pPr>
        <w:pStyle w:val="TDC3"/>
        <w:tabs>
          <w:tab w:val="left" w:pos="660"/>
          <w:tab w:val="right" w:pos="8494"/>
        </w:tabs>
        <w:rPr>
          <w:rFonts w:eastAsiaTheme="minorEastAsia" w:cstheme="minorBidi"/>
          <w:noProof/>
          <w:kern w:val="2"/>
          <w:sz w:val="22"/>
          <w:szCs w:val="22"/>
          <w:lang w:val="es-ES" w:eastAsia="es-ES"/>
          <w14:ligatures w14:val="standardContextual"/>
        </w:rPr>
      </w:pPr>
      <w:hyperlink w:anchor="_Toc141975059" w:history="1">
        <w:r w:rsidR="003277AE" w:rsidRPr="00F24ED4">
          <w:rPr>
            <w:rStyle w:val="Hipervnculo"/>
            <w:noProof/>
            <w:lang w:val="es-ES"/>
          </w:rPr>
          <w:t>3.3.3</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ES"/>
          </w:rPr>
          <w:t>Despliegue de la red de FTTH</w:t>
        </w:r>
        <w:r w:rsidR="003277AE">
          <w:rPr>
            <w:noProof/>
            <w:webHidden/>
          </w:rPr>
          <w:tab/>
        </w:r>
        <w:r w:rsidR="003277AE">
          <w:rPr>
            <w:noProof/>
            <w:webHidden/>
          </w:rPr>
          <w:fldChar w:fldCharType="begin"/>
        </w:r>
        <w:r w:rsidR="003277AE">
          <w:rPr>
            <w:noProof/>
            <w:webHidden/>
          </w:rPr>
          <w:instrText xml:space="preserve"> PAGEREF _Toc141975059 \h </w:instrText>
        </w:r>
        <w:r w:rsidR="003277AE">
          <w:rPr>
            <w:noProof/>
            <w:webHidden/>
          </w:rPr>
        </w:r>
        <w:r w:rsidR="003277AE">
          <w:rPr>
            <w:noProof/>
            <w:webHidden/>
          </w:rPr>
          <w:fldChar w:fldCharType="separate"/>
        </w:r>
        <w:r w:rsidR="00006265">
          <w:rPr>
            <w:noProof/>
            <w:webHidden/>
          </w:rPr>
          <w:t>87</w:t>
        </w:r>
        <w:r w:rsidR="003277AE">
          <w:rPr>
            <w:noProof/>
            <w:webHidden/>
          </w:rPr>
          <w:fldChar w:fldCharType="end"/>
        </w:r>
      </w:hyperlink>
    </w:p>
    <w:p w14:paraId="3C5D7820" w14:textId="4E4E67BA" w:rsidR="003277AE" w:rsidRDefault="00E61923">
      <w:pPr>
        <w:pStyle w:val="TDC4"/>
        <w:rPr>
          <w:rFonts w:eastAsiaTheme="minorEastAsia" w:cstheme="minorBidi"/>
          <w:noProof/>
          <w:kern w:val="2"/>
          <w:sz w:val="22"/>
          <w:szCs w:val="22"/>
          <w:lang w:val="es-ES" w:eastAsia="es-ES"/>
          <w14:ligatures w14:val="standardContextual"/>
        </w:rPr>
      </w:pPr>
      <w:hyperlink w:anchor="_Toc141975060" w:history="1">
        <w:r w:rsidR="003277AE" w:rsidRPr="00F24ED4">
          <w:rPr>
            <w:rStyle w:val="Hipervnculo"/>
            <w:noProof/>
            <w:lang w:val="es-MX"/>
          </w:rPr>
          <w:t>3.3.3.1</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Subductos</w:t>
        </w:r>
        <w:r w:rsidR="003277AE">
          <w:rPr>
            <w:noProof/>
            <w:webHidden/>
          </w:rPr>
          <w:tab/>
        </w:r>
        <w:r w:rsidR="003277AE">
          <w:rPr>
            <w:noProof/>
            <w:webHidden/>
          </w:rPr>
          <w:fldChar w:fldCharType="begin"/>
        </w:r>
        <w:r w:rsidR="003277AE">
          <w:rPr>
            <w:noProof/>
            <w:webHidden/>
          </w:rPr>
          <w:instrText xml:space="preserve"> PAGEREF _Toc141975060 \h </w:instrText>
        </w:r>
        <w:r w:rsidR="003277AE">
          <w:rPr>
            <w:noProof/>
            <w:webHidden/>
          </w:rPr>
        </w:r>
        <w:r w:rsidR="003277AE">
          <w:rPr>
            <w:noProof/>
            <w:webHidden/>
          </w:rPr>
          <w:fldChar w:fldCharType="separate"/>
        </w:r>
        <w:r w:rsidR="00006265">
          <w:rPr>
            <w:noProof/>
            <w:webHidden/>
          </w:rPr>
          <w:t>87</w:t>
        </w:r>
        <w:r w:rsidR="003277AE">
          <w:rPr>
            <w:noProof/>
            <w:webHidden/>
          </w:rPr>
          <w:fldChar w:fldCharType="end"/>
        </w:r>
      </w:hyperlink>
    </w:p>
    <w:p w14:paraId="68D63991" w14:textId="3DF9FF28" w:rsidR="003277AE" w:rsidRDefault="00E61923">
      <w:pPr>
        <w:pStyle w:val="TDC4"/>
        <w:rPr>
          <w:rFonts w:eastAsiaTheme="minorEastAsia" w:cstheme="minorBidi"/>
          <w:noProof/>
          <w:kern w:val="2"/>
          <w:sz w:val="22"/>
          <w:szCs w:val="22"/>
          <w:lang w:val="es-ES" w:eastAsia="es-ES"/>
          <w14:ligatures w14:val="standardContextual"/>
        </w:rPr>
      </w:pPr>
      <w:hyperlink w:anchor="_Toc141975061" w:history="1">
        <w:r w:rsidR="003277AE" w:rsidRPr="00F24ED4">
          <w:rPr>
            <w:rStyle w:val="Hipervnculo"/>
            <w:noProof/>
            <w:lang w:val="es-MX"/>
          </w:rPr>
          <w:t>3.3.3.2</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Cierre de empalme</w:t>
        </w:r>
        <w:r w:rsidR="003277AE">
          <w:rPr>
            <w:noProof/>
            <w:webHidden/>
          </w:rPr>
          <w:tab/>
        </w:r>
        <w:r w:rsidR="003277AE">
          <w:rPr>
            <w:noProof/>
            <w:webHidden/>
          </w:rPr>
          <w:fldChar w:fldCharType="begin"/>
        </w:r>
        <w:r w:rsidR="003277AE">
          <w:rPr>
            <w:noProof/>
            <w:webHidden/>
          </w:rPr>
          <w:instrText xml:space="preserve"> PAGEREF _Toc141975061 \h </w:instrText>
        </w:r>
        <w:r w:rsidR="003277AE">
          <w:rPr>
            <w:noProof/>
            <w:webHidden/>
          </w:rPr>
        </w:r>
        <w:r w:rsidR="003277AE">
          <w:rPr>
            <w:noProof/>
            <w:webHidden/>
          </w:rPr>
          <w:fldChar w:fldCharType="separate"/>
        </w:r>
        <w:r w:rsidR="00006265">
          <w:rPr>
            <w:noProof/>
            <w:webHidden/>
          </w:rPr>
          <w:t>87</w:t>
        </w:r>
        <w:r w:rsidR="003277AE">
          <w:rPr>
            <w:noProof/>
            <w:webHidden/>
          </w:rPr>
          <w:fldChar w:fldCharType="end"/>
        </w:r>
      </w:hyperlink>
    </w:p>
    <w:p w14:paraId="7D6B56A0" w14:textId="39B4EFFE" w:rsidR="003277AE" w:rsidRDefault="00E61923">
      <w:pPr>
        <w:pStyle w:val="TDC4"/>
        <w:rPr>
          <w:rFonts w:eastAsiaTheme="minorEastAsia" w:cstheme="minorBidi"/>
          <w:noProof/>
          <w:kern w:val="2"/>
          <w:sz w:val="22"/>
          <w:szCs w:val="22"/>
          <w:lang w:val="es-ES" w:eastAsia="es-ES"/>
          <w14:ligatures w14:val="standardContextual"/>
        </w:rPr>
      </w:pPr>
      <w:hyperlink w:anchor="_Toc141975062" w:history="1">
        <w:r w:rsidR="003277AE" w:rsidRPr="00F24ED4">
          <w:rPr>
            <w:rStyle w:val="Hipervnculo"/>
            <w:noProof/>
            <w:lang w:val="es-MX"/>
          </w:rPr>
          <w:t>3.3.3.3</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Cálculo de la longitud de zanjas / "canalizaciones"</w:t>
        </w:r>
        <w:r w:rsidR="003277AE">
          <w:rPr>
            <w:noProof/>
            <w:webHidden/>
          </w:rPr>
          <w:tab/>
        </w:r>
        <w:r w:rsidR="003277AE">
          <w:rPr>
            <w:noProof/>
            <w:webHidden/>
          </w:rPr>
          <w:fldChar w:fldCharType="begin"/>
        </w:r>
        <w:r w:rsidR="003277AE">
          <w:rPr>
            <w:noProof/>
            <w:webHidden/>
          </w:rPr>
          <w:instrText xml:space="preserve"> PAGEREF _Toc141975062 \h </w:instrText>
        </w:r>
        <w:r w:rsidR="003277AE">
          <w:rPr>
            <w:noProof/>
            <w:webHidden/>
          </w:rPr>
        </w:r>
        <w:r w:rsidR="003277AE">
          <w:rPr>
            <w:noProof/>
            <w:webHidden/>
          </w:rPr>
          <w:fldChar w:fldCharType="separate"/>
        </w:r>
        <w:r w:rsidR="00006265">
          <w:rPr>
            <w:noProof/>
            <w:webHidden/>
          </w:rPr>
          <w:t>87</w:t>
        </w:r>
        <w:r w:rsidR="003277AE">
          <w:rPr>
            <w:noProof/>
            <w:webHidden/>
          </w:rPr>
          <w:fldChar w:fldCharType="end"/>
        </w:r>
      </w:hyperlink>
    </w:p>
    <w:p w14:paraId="19E727FF" w14:textId="3FFCD123" w:rsidR="003277AE" w:rsidRDefault="00E61923">
      <w:pPr>
        <w:pStyle w:val="TDC3"/>
        <w:tabs>
          <w:tab w:val="left" w:pos="660"/>
          <w:tab w:val="right" w:pos="8494"/>
        </w:tabs>
        <w:rPr>
          <w:rFonts w:eastAsiaTheme="minorEastAsia" w:cstheme="minorBidi"/>
          <w:noProof/>
          <w:kern w:val="2"/>
          <w:sz w:val="22"/>
          <w:szCs w:val="22"/>
          <w:lang w:val="es-ES" w:eastAsia="es-ES"/>
          <w14:ligatures w14:val="standardContextual"/>
        </w:rPr>
      </w:pPr>
      <w:hyperlink w:anchor="_Toc141975063" w:history="1">
        <w:r w:rsidR="003277AE" w:rsidRPr="00F24ED4">
          <w:rPr>
            <w:rStyle w:val="Hipervnculo"/>
            <w:noProof/>
            <w:lang w:val="es-ES"/>
          </w:rPr>
          <w:t>3.3.4</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ES"/>
          </w:rPr>
          <w:t>Despliegue de la red de FTTC</w:t>
        </w:r>
        <w:r w:rsidR="003277AE">
          <w:rPr>
            <w:noProof/>
            <w:webHidden/>
          </w:rPr>
          <w:tab/>
        </w:r>
        <w:r w:rsidR="003277AE">
          <w:rPr>
            <w:noProof/>
            <w:webHidden/>
          </w:rPr>
          <w:fldChar w:fldCharType="begin"/>
        </w:r>
        <w:r w:rsidR="003277AE">
          <w:rPr>
            <w:noProof/>
            <w:webHidden/>
          </w:rPr>
          <w:instrText xml:space="preserve"> PAGEREF _Toc141975063 \h </w:instrText>
        </w:r>
        <w:r w:rsidR="003277AE">
          <w:rPr>
            <w:noProof/>
            <w:webHidden/>
          </w:rPr>
        </w:r>
        <w:r w:rsidR="003277AE">
          <w:rPr>
            <w:noProof/>
            <w:webHidden/>
          </w:rPr>
          <w:fldChar w:fldCharType="separate"/>
        </w:r>
        <w:r w:rsidR="00006265">
          <w:rPr>
            <w:noProof/>
            <w:webHidden/>
          </w:rPr>
          <w:t>88</w:t>
        </w:r>
        <w:r w:rsidR="003277AE">
          <w:rPr>
            <w:noProof/>
            <w:webHidden/>
          </w:rPr>
          <w:fldChar w:fldCharType="end"/>
        </w:r>
      </w:hyperlink>
    </w:p>
    <w:p w14:paraId="53F61C74" w14:textId="74A45826" w:rsidR="003277AE" w:rsidRDefault="00E61923">
      <w:pPr>
        <w:pStyle w:val="TDC2"/>
        <w:rPr>
          <w:rFonts w:eastAsiaTheme="minorEastAsia" w:cstheme="minorBidi"/>
          <w:b w:val="0"/>
          <w:bCs w:val="0"/>
          <w:noProof/>
          <w:kern w:val="2"/>
          <w:sz w:val="22"/>
          <w:lang w:val="es-ES" w:eastAsia="es-ES"/>
          <w14:ligatures w14:val="standardContextual"/>
        </w:rPr>
      </w:pPr>
      <w:hyperlink w:anchor="_Toc141975064" w:history="1">
        <w:r w:rsidR="003277AE" w:rsidRPr="00F24ED4">
          <w:rPr>
            <w:rStyle w:val="Hipervnculo"/>
            <w:noProof/>
          </w:rPr>
          <w:t>3.4</w:t>
        </w:r>
        <w:r w:rsidR="003277AE">
          <w:rPr>
            <w:rFonts w:eastAsiaTheme="minorEastAsia" w:cstheme="minorBidi"/>
            <w:b w:val="0"/>
            <w:bCs w:val="0"/>
            <w:noProof/>
            <w:kern w:val="2"/>
            <w:sz w:val="22"/>
            <w:lang w:val="es-ES" w:eastAsia="es-ES"/>
            <w14:ligatures w14:val="standardContextual"/>
          </w:rPr>
          <w:tab/>
        </w:r>
        <w:r w:rsidR="003277AE" w:rsidRPr="00F24ED4">
          <w:rPr>
            <w:rStyle w:val="Hipervnculo"/>
            <w:noProof/>
          </w:rPr>
          <w:t>Evaluación de los costos</w:t>
        </w:r>
        <w:r w:rsidR="003277AE">
          <w:rPr>
            <w:noProof/>
            <w:webHidden/>
          </w:rPr>
          <w:tab/>
        </w:r>
        <w:r w:rsidR="003277AE">
          <w:rPr>
            <w:noProof/>
            <w:webHidden/>
          </w:rPr>
          <w:fldChar w:fldCharType="begin"/>
        </w:r>
        <w:r w:rsidR="003277AE">
          <w:rPr>
            <w:noProof/>
            <w:webHidden/>
          </w:rPr>
          <w:instrText xml:space="preserve"> PAGEREF _Toc141975064 \h </w:instrText>
        </w:r>
        <w:r w:rsidR="003277AE">
          <w:rPr>
            <w:noProof/>
            <w:webHidden/>
          </w:rPr>
        </w:r>
        <w:r w:rsidR="003277AE">
          <w:rPr>
            <w:noProof/>
            <w:webHidden/>
          </w:rPr>
          <w:fldChar w:fldCharType="separate"/>
        </w:r>
        <w:r w:rsidR="00006265">
          <w:rPr>
            <w:noProof/>
            <w:webHidden/>
          </w:rPr>
          <w:t>89</w:t>
        </w:r>
        <w:r w:rsidR="003277AE">
          <w:rPr>
            <w:noProof/>
            <w:webHidden/>
          </w:rPr>
          <w:fldChar w:fldCharType="end"/>
        </w:r>
      </w:hyperlink>
    </w:p>
    <w:p w14:paraId="23AE7E89" w14:textId="48FA23D6" w:rsidR="003277AE" w:rsidRDefault="00E61923">
      <w:pPr>
        <w:pStyle w:val="TDC3"/>
        <w:tabs>
          <w:tab w:val="left" w:pos="660"/>
          <w:tab w:val="right" w:pos="8494"/>
        </w:tabs>
        <w:rPr>
          <w:rFonts w:eastAsiaTheme="minorEastAsia" w:cstheme="minorBidi"/>
          <w:noProof/>
          <w:kern w:val="2"/>
          <w:sz w:val="22"/>
          <w:szCs w:val="22"/>
          <w:lang w:val="es-ES" w:eastAsia="es-ES"/>
          <w14:ligatures w14:val="standardContextual"/>
        </w:rPr>
      </w:pPr>
      <w:hyperlink w:anchor="_Toc141975065" w:history="1">
        <w:r w:rsidR="003277AE" w:rsidRPr="00F24ED4">
          <w:rPr>
            <w:rStyle w:val="Hipervnculo"/>
            <w:noProof/>
          </w:rPr>
          <w:t>3.4.1</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rPr>
          <w:t>Insumos de costos unitarios</w:t>
        </w:r>
        <w:r w:rsidR="003277AE">
          <w:rPr>
            <w:noProof/>
            <w:webHidden/>
          </w:rPr>
          <w:tab/>
        </w:r>
        <w:r w:rsidR="003277AE">
          <w:rPr>
            <w:noProof/>
            <w:webHidden/>
          </w:rPr>
          <w:fldChar w:fldCharType="begin"/>
        </w:r>
        <w:r w:rsidR="003277AE">
          <w:rPr>
            <w:noProof/>
            <w:webHidden/>
          </w:rPr>
          <w:instrText xml:space="preserve"> PAGEREF _Toc141975065 \h </w:instrText>
        </w:r>
        <w:r w:rsidR="003277AE">
          <w:rPr>
            <w:noProof/>
            <w:webHidden/>
          </w:rPr>
        </w:r>
        <w:r w:rsidR="003277AE">
          <w:rPr>
            <w:noProof/>
            <w:webHidden/>
          </w:rPr>
          <w:fldChar w:fldCharType="separate"/>
        </w:r>
        <w:r w:rsidR="00006265">
          <w:rPr>
            <w:noProof/>
            <w:webHidden/>
          </w:rPr>
          <w:t>89</w:t>
        </w:r>
        <w:r w:rsidR="003277AE">
          <w:rPr>
            <w:noProof/>
            <w:webHidden/>
          </w:rPr>
          <w:fldChar w:fldCharType="end"/>
        </w:r>
      </w:hyperlink>
    </w:p>
    <w:p w14:paraId="783912ED" w14:textId="3A5C6242" w:rsidR="003277AE" w:rsidRDefault="00E61923">
      <w:pPr>
        <w:pStyle w:val="TDC4"/>
        <w:rPr>
          <w:rFonts w:eastAsiaTheme="minorEastAsia" w:cstheme="minorBidi"/>
          <w:noProof/>
          <w:kern w:val="2"/>
          <w:sz w:val="22"/>
          <w:szCs w:val="22"/>
          <w:lang w:val="es-ES" w:eastAsia="es-ES"/>
          <w14:ligatures w14:val="standardContextual"/>
        </w:rPr>
      </w:pPr>
      <w:hyperlink w:anchor="_Toc141975066" w:history="1">
        <w:r w:rsidR="003277AE" w:rsidRPr="00F24ED4">
          <w:rPr>
            <w:rStyle w:val="Hipervnculo"/>
            <w:noProof/>
            <w:lang w:val="es-MX"/>
          </w:rPr>
          <w:t>3.4.1.1</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Inversión</w:t>
        </w:r>
        <w:r w:rsidR="003277AE">
          <w:rPr>
            <w:noProof/>
            <w:webHidden/>
          </w:rPr>
          <w:tab/>
        </w:r>
        <w:r w:rsidR="003277AE">
          <w:rPr>
            <w:noProof/>
            <w:webHidden/>
          </w:rPr>
          <w:fldChar w:fldCharType="begin"/>
        </w:r>
        <w:r w:rsidR="003277AE">
          <w:rPr>
            <w:noProof/>
            <w:webHidden/>
          </w:rPr>
          <w:instrText xml:space="preserve"> PAGEREF _Toc141975066 \h </w:instrText>
        </w:r>
        <w:r w:rsidR="003277AE">
          <w:rPr>
            <w:noProof/>
            <w:webHidden/>
          </w:rPr>
        </w:r>
        <w:r w:rsidR="003277AE">
          <w:rPr>
            <w:noProof/>
            <w:webHidden/>
          </w:rPr>
          <w:fldChar w:fldCharType="separate"/>
        </w:r>
        <w:r w:rsidR="00006265">
          <w:rPr>
            <w:noProof/>
            <w:webHidden/>
          </w:rPr>
          <w:t>89</w:t>
        </w:r>
        <w:r w:rsidR="003277AE">
          <w:rPr>
            <w:noProof/>
            <w:webHidden/>
          </w:rPr>
          <w:fldChar w:fldCharType="end"/>
        </w:r>
      </w:hyperlink>
    </w:p>
    <w:p w14:paraId="4098010A" w14:textId="778ADCA8" w:rsidR="003277AE" w:rsidRDefault="00E61923">
      <w:pPr>
        <w:pStyle w:val="TDC4"/>
        <w:rPr>
          <w:rFonts w:eastAsiaTheme="minorEastAsia" w:cstheme="minorBidi"/>
          <w:noProof/>
          <w:kern w:val="2"/>
          <w:sz w:val="22"/>
          <w:szCs w:val="22"/>
          <w:lang w:val="es-ES" w:eastAsia="es-ES"/>
          <w14:ligatures w14:val="standardContextual"/>
        </w:rPr>
      </w:pPr>
      <w:hyperlink w:anchor="_Toc141975067" w:history="1">
        <w:r w:rsidR="003277AE" w:rsidRPr="00F24ED4">
          <w:rPr>
            <w:rStyle w:val="Hipervnculo"/>
            <w:noProof/>
            <w:lang w:val="es-MX"/>
          </w:rPr>
          <w:t>3.4.1.2</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Tendencias de precios</w:t>
        </w:r>
        <w:r w:rsidR="003277AE">
          <w:rPr>
            <w:noProof/>
            <w:webHidden/>
          </w:rPr>
          <w:tab/>
        </w:r>
        <w:r w:rsidR="003277AE">
          <w:rPr>
            <w:noProof/>
            <w:webHidden/>
          </w:rPr>
          <w:fldChar w:fldCharType="begin"/>
        </w:r>
        <w:r w:rsidR="003277AE">
          <w:rPr>
            <w:noProof/>
            <w:webHidden/>
          </w:rPr>
          <w:instrText xml:space="preserve"> PAGEREF _Toc141975067 \h </w:instrText>
        </w:r>
        <w:r w:rsidR="003277AE">
          <w:rPr>
            <w:noProof/>
            <w:webHidden/>
          </w:rPr>
        </w:r>
        <w:r w:rsidR="003277AE">
          <w:rPr>
            <w:noProof/>
            <w:webHidden/>
          </w:rPr>
          <w:fldChar w:fldCharType="separate"/>
        </w:r>
        <w:r w:rsidR="00006265">
          <w:rPr>
            <w:noProof/>
            <w:webHidden/>
          </w:rPr>
          <w:t>89</w:t>
        </w:r>
        <w:r w:rsidR="003277AE">
          <w:rPr>
            <w:noProof/>
            <w:webHidden/>
          </w:rPr>
          <w:fldChar w:fldCharType="end"/>
        </w:r>
      </w:hyperlink>
    </w:p>
    <w:p w14:paraId="226CA8B0" w14:textId="237FEDBA" w:rsidR="003277AE" w:rsidRDefault="00E61923">
      <w:pPr>
        <w:pStyle w:val="TDC4"/>
        <w:rPr>
          <w:rFonts w:eastAsiaTheme="minorEastAsia" w:cstheme="minorBidi"/>
          <w:noProof/>
          <w:kern w:val="2"/>
          <w:sz w:val="22"/>
          <w:szCs w:val="22"/>
          <w:lang w:val="es-ES" w:eastAsia="es-ES"/>
          <w14:ligatures w14:val="standardContextual"/>
        </w:rPr>
      </w:pPr>
      <w:hyperlink w:anchor="_Toc141975068" w:history="1">
        <w:r w:rsidR="003277AE" w:rsidRPr="00F24ED4">
          <w:rPr>
            <w:rStyle w:val="Hipervnculo"/>
            <w:noProof/>
            <w:lang w:val="es-MX"/>
          </w:rPr>
          <w:t>3.4.1.3</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Gastos operacionales (OPEX)</w:t>
        </w:r>
        <w:r w:rsidR="003277AE">
          <w:rPr>
            <w:noProof/>
            <w:webHidden/>
          </w:rPr>
          <w:tab/>
        </w:r>
        <w:r w:rsidR="003277AE">
          <w:rPr>
            <w:noProof/>
            <w:webHidden/>
          </w:rPr>
          <w:fldChar w:fldCharType="begin"/>
        </w:r>
        <w:r w:rsidR="003277AE">
          <w:rPr>
            <w:noProof/>
            <w:webHidden/>
          </w:rPr>
          <w:instrText xml:space="preserve"> PAGEREF _Toc141975068 \h </w:instrText>
        </w:r>
        <w:r w:rsidR="003277AE">
          <w:rPr>
            <w:noProof/>
            <w:webHidden/>
          </w:rPr>
        </w:r>
        <w:r w:rsidR="003277AE">
          <w:rPr>
            <w:noProof/>
            <w:webHidden/>
          </w:rPr>
          <w:fldChar w:fldCharType="separate"/>
        </w:r>
        <w:r w:rsidR="00006265">
          <w:rPr>
            <w:noProof/>
            <w:webHidden/>
          </w:rPr>
          <w:t>90</w:t>
        </w:r>
        <w:r w:rsidR="003277AE">
          <w:rPr>
            <w:noProof/>
            <w:webHidden/>
          </w:rPr>
          <w:fldChar w:fldCharType="end"/>
        </w:r>
      </w:hyperlink>
    </w:p>
    <w:p w14:paraId="3D90296D" w14:textId="2480A917" w:rsidR="003277AE" w:rsidRDefault="00E61923">
      <w:pPr>
        <w:pStyle w:val="TDC3"/>
        <w:tabs>
          <w:tab w:val="left" w:pos="660"/>
          <w:tab w:val="right" w:pos="8494"/>
        </w:tabs>
        <w:rPr>
          <w:rFonts w:eastAsiaTheme="minorEastAsia" w:cstheme="minorBidi"/>
          <w:noProof/>
          <w:kern w:val="2"/>
          <w:sz w:val="22"/>
          <w:szCs w:val="22"/>
          <w:lang w:val="es-ES" w:eastAsia="es-ES"/>
          <w14:ligatures w14:val="standardContextual"/>
        </w:rPr>
      </w:pPr>
      <w:hyperlink w:anchor="_Toc141975069" w:history="1">
        <w:r w:rsidR="003277AE" w:rsidRPr="00F24ED4">
          <w:rPr>
            <w:rStyle w:val="Hipervnculo"/>
            <w:noProof/>
          </w:rPr>
          <w:t>3.4.2</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rPr>
          <w:t>Vida útil de los activos</w:t>
        </w:r>
        <w:r w:rsidR="003277AE">
          <w:rPr>
            <w:noProof/>
            <w:webHidden/>
          </w:rPr>
          <w:tab/>
        </w:r>
        <w:r w:rsidR="003277AE">
          <w:rPr>
            <w:noProof/>
            <w:webHidden/>
          </w:rPr>
          <w:fldChar w:fldCharType="begin"/>
        </w:r>
        <w:r w:rsidR="003277AE">
          <w:rPr>
            <w:noProof/>
            <w:webHidden/>
          </w:rPr>
          <w:instrText xml:space="preserve"> PAGEREF _Toc141975069 \h </w:instrText>
        </w:r>
        <w:r w:rsidR="003277AE">
          <w:rPr>
            <w:noProof/>
            <w:webHidden/>
          </w:rPr>
        </w:r>
        <w:r w:rsidR="003277AE">
          <w:rPr>
            <w:noProof/>
            <w:webHidden/>
          </w:rPr>
          <w:fldChar w:fldCharType="separate"/>
        </w:r>
        <w:r w:rsidR="00006265">
          <w:rPr>
            <w:noProof/>
            <w:webHidden/>
          </w:rPr>
          <w:t>90</w:t>
        </w:r>
        <w:r w:rsidR="003277AE">
          <w:rPr>
            <w:noProof/>
            <w:webHidden/>
          </w:rPr>
          <w:fldChar w:fldCharType="end"/>
        </w:r>
      </w:hyperlink>
    </w:p>
    <w:p w14:paraId="5E920AFF" w14:textId="1798E245" w:rsidR="003277AE" w:rsidRDefault="00E61923">
      <w:pPr>
        <w:pStyle w:val="TDC3"/>
        <w:tabs>
          <w:tab w:val="left" w:pos="660"/>
          <w:tab w:val="right" w:pos="8494"/>
        </w:tabs>
        <w:rPr>
          <w:rFonts w:eastAsiaTheme="minorEastAsia" w:cstheme="minorBidi"/>
          <w:noProof/>
          <w:kern w:val="2"/>
          <w:sz w:val="22"/>
          <w:szCs w:val="22"/>
          <w:lang w:val="es-ES" w:eastAsia="es-ES"/>
          <w14:ligatures w14:val="standardContextual"/>
        </w:rPr>
      </w:pPr>
      <w:hyperlink w:anchor="_Toc141975070" w:history="1">
        <w:r w:rsidR="003277AE" w:rsidRPr="00F24ED4">
          <w:rPr>
            <w:rStyle w:val="Hipervnculo"/>
            <w:noProof/>
            <w:lang w:val="es-ES"/>
          </w:rPr>
          <w:t>3.4.3</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ES"/>
          </w:rPr>
          <w:t>Costo promedio de capital ponderado (WACC)</w:t>
        </w:r>
        <w:r w:rsidR="003277AE">
          <w:rPr>
            <w:noProof/>
            <w:webHidden/>
          </w:rPr>
          <w:tab/>
        </w:r>
        <w:r w:rsidR="003277AE">
          <w:rPr>
            <w:noProof/>
            <w:webHidden/>
          </w:rPr>
          <w:fldChar w:fldCharType="begin"/>
        </w:r>
        <w:r w:rsidR="003277AE">
          <w:rPr>
            <w:noProof/>
            <w:webHidden/>
          </w:rPr>
          <w:instrText xml:space="preserve"> PAGEREF _Toc141975070 \h </w:instrText>
        </w:r>
        <w:r w:rsidR="003277AE">
          <w:rPr>
            <w:noProof/>
            <w:webHidden/>
          </w:rPr>
        </w:r>
        <w:r w:rsidR="003277AE">
          <w:rPr>
            <w:noProof/>
            <w:webHidden/>
          </w:rPr>
          <w:fldChar w:fldCharType="separate"/>
        </w:r>
        <w:r w:rsidR="00006265">
          <w:rPr>
            <w:noProof/>
            <w:webHidden/>
          </w:rPr>
          <w:t>91</w:t>
        </w:r>
        <w:r w:rsidR="003277AE">
          <w:rPr>
            <w:noProof/>
            <w:webHidden/>
          </w:rPr>
          <w:fldChar w:fldCharType="end"/>
        </w:r>
      </w:hyperlink>
    </w:p>
    <w:p w14:paraId="23BCAEA8" w14:textId="64BF990F" w:rsidR="003277AE" w:rsidRDefault="00E61923">
      <w:pPr>
        <w:pStyle w:val="TDC3"/>
        <w:tabs>
          <w:tab w:val="left" w:pos="660"/>
          <w:tab w:val="right" w:pos="8494"/>
        </w:tabs>
        <w:rPr>
          <w:rFonts w:eastAsiaTheme="minorEastAsia" w:cstheme="minorBidi"/>
          <w:noProof/>
          <w:kern w:val="2"/>
          <w:sz w:val="22"/>
          <w:szCs w:val="22"/>
          <w:lang w:val="es-ES" w:eastAsia="es-ES"/>
          <w14:ligatures w14:val="standardContextual"/>
        </w:rPr>
      </w:pPr>
      <w:hyperlink w:anchor="_Toc141975071" w:history="1">
        <w:r w:rsidR="003277AE" w:rsidRPr="00F24ED4">
          <w:rPr>
            <w:rStyle w:val="Hipervnculo"/>
            <w:noProof/>
          </w:rPr>
          <w:t>3.4.4</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rPr>
          <w:t>Cálculos de anualidad</w:t>
        </w:r>
        <w:r w:rsidR="003277AE">
          <w:rPr>
            <w:noProof/>
            <w:webHidden/>
          </w:rPr>
          <w:tab/>
        </w:r>
        <w:r w:rsidR="003277AE">
          <w:rPr>
            <w:noProof/>
            <w:webHidden/>
          </w:rPr>
          <w:fldChar w:fldCharType="begin"/>
        </w:r>
        <w:r w:rsidR="003277AE">
          <w:rPr>
            <w:noProof/>
            <w:webHidden/>
          </w:rPr>
          <w:instrText xml:space="preserve"> PAGEREF _Toc141975071 \h </w:instrText>
        </w:r>
        <w:r w:rsidR="003277AE">
          <w:rPr>
            <w:noProof/>
            <w:webHidden/>
          </w:rPr>
        </w:r>
        <w:r w:rsidR="003277AE">
          <w:rPr>
            <w:noProof/>
            <w:webHidden/>
          </w:rPr>
          <w:fldChar w:fldCharType="separate"/>
        </w:r>
        <w:r w:rsidR="00006265">
          <w:rPr>
            <w:noProof/>
            <w:webHidden/>
          </w:rPr>
          <w:t>92</w:t>
        </w:r>
        <w:r w:rsidR="003277AE">
          <w:rPr>
            <w:noProof/>
            <w:webHidden/>
          </w:rPr>
          <w:fldChar w:fldCharType="end"/>
        </w:r>
      </w:hyperlink>
    </w:p>
    <w:p w14:paraId="18852A97" w14:textId="657CBE39" w:rsidR="003277AE" w:rsidRDefault="00E61923">
      <w:pPr>
        <w:pStyle w:val="TDC3"/>
        <w:tabs>
          <w:tab w:val="left" w:pos="660"/>
          <w:tab w:val="right" w:pos="8494"/>
        </w:tabs>
        <w:rPr>
          <w:rFonts w:eastAsiaTheme="minorEastAsia" w:cstheme="minorBidi"/>
          <w:noProof/>
          <w:kern w:val="2"/>
          <w:sz w:val="22"/>
          <w:szCs w:val="22"/>
          <w:lang w:val="es-ES" w:eastAsia="es-ES"/>
          <w14:ligatures w14:val="standardContextual"/>
        </w:rPr>
      </w:pPr>
      <w:hyperlink w:anchor="_Toc141975072" w:history="1">
        <w:r w:rsidR="003277AE" w:rsidRPr="00F24ED4">
          <w:rPr>
            <w:rStyle w:val="Hipervnculo"/>
            <w:noProof/>
            <w:lang w:val="es-ES"/>
          </w:rPr>
          <w:t>3.4.5</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ES"/>
          </w:rPr>
          <w:t>Uso compartido y reutilización de activos</w:t>
        </w:r>
        <w:r w:rsidR="003277AE">
          <w:rPr>
            <w:noProof/>
            <w:webHidden/>
          </w:rPr>
          <w:tab/>
        </w:r>
        <w:r w:rsidR="003277AE">
          <w:rPr>
            <w:noProof/>
            <w:webHidden/>
          </w:rPr>
          <w:fldChar w:fldCharType="begin"/>
        </w:r>
        <w:r w:rsidR="003277AE">
          <w:rPr>
            <w:noProof/>
            <w:webHidden/>
          </w:rPr>
          <w:instrText xml:space="preserve"> PAGEREF _Toc141975072 \h </w:instrText>
        </w:r>
        <w:r w:rsidR="003277AE">
          <w:rPr>
            <w:noProof/>
            <w:webHidden/>
          </w:rPr>
        </w:r>
        <w:r w:rsidR="003277AE">
          <w:rPr>
            <w:noProof/>
            <w:webHidden/>
          </w:rPr>
          <w:fldChar w:fldCharType="separate"/>
        </w:r>
        <w:r w:rsidR="00006265">
          <w:rPr>
            <w:noProof/>
            <w:webHidden/>
          </w:rPr>
          <w:t>92</w:t>
        </w:r>
        <w:r w:rsidR="003277AE">
          <w:rPr>
            <w:noProof/>
            <w:webHidden/>
          </w:rPr>
          <w:fldChar w:fldCharType="end"/>
        </w:r>
      </w:hyperlink>
    </w:p>
    <w:p w14:paraId="47BFA83D" w14:textId="28B9C5BD" w:rsidR="003277AE" w:rsidRDefault="00E61923">
      <w:pPr>
        <w:pStyle w:val="TDC4"/>
        <w:rPr>
          <w:rFonts w:eastAsiaTheme="minorEastAsia" w:cstheme="minorBidi"/>
          <w:noProof/>
          <w:kern w:val="2"/>
          <w:sz w:val="22"/>
          <w:szCs w:val="22"/>
          <w:lang w:val="es-ES" w:eastAsia="es-ES"/>
          <w14:ligatures w14:val="standardContextual"/>
        </w:rPr>
      </w:pPr>
      <w:hyperlink w:anchor="_Toc141975073" w:history="1">
        <w:r w:rsidR="003277AE" w:rsidRPr="00F24ED4">
          <w:rPr>
            <w:rStyle w:val="Hipervnculo"/>
            <w:noProof/>
            <w:lang w:val="es-MX"/>
          </w:rPr>
          <w:t>3.4.5.1</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Compartición de recursos</w:t>
        </w:r>
        <w:r w:rsidR="003277AE">
          <w:rPr>
            <w:noProof/>
            <w:webHidden/>
          </w:rPr>
          <w:tab/>
        </w:r>
        <w:r w:rsidR="003277AE">
          <w:rPr>
            <w:noProof/>
            <w:webHidden/>
          </w:rPr>
          <w:fldChar w:fldCharType="begin"/>
        </w:r>
        <w:r w:rsidR="003277AE">
          <w:rPr>
            <w:noProof/>
            <w:webHidden/>
          </w:rPr>
          <w:instrText xml:space="preserve"> PAGEREF _Toc141975073 \h </w:instrText>
        </w:r>
        <w:r w:rsidR="003277AE">
          <w:rPr>
            <w:noProof/>
            <w:webHidden/>
          </w:rPr>
        </w:r>
        <w:r w:rsidR="003277AE">
          <w:rPr>
            <w:noProof/>
            <w:webHidden/>
          </w:rPr>
          <w:fldChar w:fldCharType="separate"/>
        </w:r>
        <w:r w:rsidR="00006265">
          <w:rPr>
            <w:noProof/>
            <w:webHidden/>
          </w:rPr>
          <w:t>92</w:t>
        </w:r>
        <w:r w:rsidR="003277AE">
          <w:rPr>
            <w:noProof/>
            <w:webHidden/>
          </w:rPr>
          <w:fldChar w:fldCharType="end"/>
        </w:r>
      </w:hyperlink>
    </w:p>
    <w:p w14:paraId="1EA60DA5" w14:textId="2F1DBDDE" w:rsidR="003277AE" w:rsidRDefault="00E61923">
      <w:pPr>
        <w:pStyle w:val="TDC4"/>
        <w:rPr>
          <w:rFonts w:eastAsiaTheme="minorEastAsia" w:cstheme="minorBidi"/>
          <w:noProof/>
          <w:kern w:val="2"/>
          <w:sz w:val="22"/>
          <w:szCs w:val="22"/>
          <w:lang w:val="es-ES" w:eastAsia="es-ES"/>
          <w14:ligatures w14:val="standardContextual"/>
        </w:rPr>
      </w:pPr>
      <w:hyperlink w:anchor="_Toc141975074" w:history="1">
        <w:r w:rsidR="003277AE" w:rsidRPr="00F24ED4">
          <w:rPr>
            <w:rStyle w:val="Hipervnculo"/>
            <w:noProof/>
            <w:lang w:val="es-MX"/>
          </w:rPr>
          <w:t>3.4.5.2</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lang w:val="es-MX"/>
          </w:rPr>
          <w:t>Reutilización de activos</w:t>
        </w:r>
        <w:r w:rsidR="003277AE">
          <w:rPr>
            <w:noProof/>
            <w:webHidden/>
          </w:rPr>
          <w:tab/>
        </w:r>
        <w:r w:rsidR="003277AE">
          <w:rPr>
            <w:noProof/>
            <w:webHidden/>
          </w:rPr>
          <w:fldChar w:fldCharType="begin"/>
        </w:r>
        <w:r w:rsidR="003277AE">
          <w:rPr>
            <w:noProof/>
            <w:webHidden/>
          </w:rPr>
          <w:instrText xml:space="preserve"> PAGEREF _Toc141975074 \h </w:instrText>
        </w:r>
        <w:r w:rsidR="003277AE">
          <w:rPr>
            <w:noProof/>
            <w:webHidden/>
          </w:rPr>
        </w:r>
        <w:r w:rsidR="003277AE">
          <w:rPr>
            <w:noProof/>
            <w:webHidden/>
          </w:rPr>
          <w:fldChar w:fldCharType="separate"/>
        </w:r>
        <w:r w:rsidR="00006265">
          <w:rPr>
            <w:noProof/>
            <w:webHidden/>
          </w:rPr>
          <w:t>93</w:t>
        </w:r>
        <w:r w:rsidR="003277AE">
          <w:rPr>
            <w:noProof/>
            <w:webHidden/>
          </w:rPr>
          <w:fldChar w:fldCharType="end"/>
        </w:r>
      </w:hyperlink>
    </w:p>
    <w:p w14:paraId="6366327B" w14:textId="447F8E66" w:rsidR="003277AE" w:rsidRDefault="00E61923">
      <w:pPr>
        <w:pStyle w:val="TDC3"/>
        <w:tabs>
          <w:tab w:val="left" w:pos="660"/>
          <w:tab w:val="right" w:pos="8494"/>
        </w:tabs>
        <w:rPr>
          <w:rFonts w:eastAsiaTheme="minorEastAsia" w:cstheme="minorBidi"/>
          <w:noProof/>
          <w:kern w:val="2"/>
          <w:sz w:val="22"/>
          <w:szCs w:val="22"/>
          <w:lang w:val="es-ES" w:eastAsia="es-ES"/>
          <w14:ligatures w14:val="standardContextual"/>
        </w:rPr>
      </w:pPr>
      <w:hyperlink w:anchor="_Toc141975075" w:history="1">
        <w:r w:rsidR="003277AE" w:rsidRPr="00F24ED4">
          <w:rPr>
            <w:rStyle w:val="Hipervnculo"/>
            <w:noProof/>
          </w:rPr>
          <w:t>3.4.6</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rPr>
          <w:t>Costos comunes</w:t>
        </w:r>
        <w:r w:rsidR="003277AE">
          <w:rPr>
            <w:noProof/>
            <w:webHidden/>
          </w:rPr>
          <w:tab/>
        </w:r>
        <w:r w:rsidR="003277AE">
          <w:rPr>
            <w:noProof/>
            <w:webHidden/>
          </w:rPr>
          <w:fldChar w:fldCharType="begin"/>
        </w:r>
        <w:r w:rsidR="003277AE">
          <w:rPr>
            <w:noProof/>
            <w:webHidden/>
          </w:rPr>
          <w:instrText xml:space="preserve"> PAGEREF _Toc141975075 \h </w:instrText>
        </w:r>
        <w:r w:rsidR="003277AE">
          <w:rPr>
            <w:noProof/>
            <w:webHidden/>
          </w:rPr>
        </w:r>
        <w:r w:rsidR="003277AE">
          <w:rPr>
            <w:noProof/>
            <w:webHidden/>
          </w:rPr>
          <w:fldChar w:fldCharType="separate"/>
        </w:r>
        <w:r w:rsidR="00006265">
          <w:rPr>
            <w:noProof/>
            <w:webHidden/>
          </w:rPr>
          <w:t>93</w:t>
        </w:r>
        <w:r w:rsidR="003277AE">
          <w:rPr>
            <w:noProof/>
            <w:webHidden/>
          </w:rPr>
          <w:fldChar w:fldCharType="end"/>
        </w:r>
      </w:hyperlink>
    </w:p>
    <w:p w14:paraId="62AB73B8" w14:textId="080B33E2" w:rsidR="003277AE" w:rsidRDefault="00E61923">
      <w:pPr>
        <w:pStyle w:val="TDC3"/>
        <w:tabs>
          <w:tab w:val="left" w:pos="660"/>
          <w:tab w:val="right" w:pos="8494"/>
        </w:tabs>
        <w:rPr>
          <w:rFonts w:eastAsiaTheme="minorEastAsia" w:cstheme="minorBidi"/>
          <w:noProof/>
          <w:kern w:val="2"/>
          <w:sz w:val="22"/>
          <w:szCs w:val="22"/>
          <w:lang w:val="es-ES" w:eastAsia="es-ES"/>
          <w14:ligatures w14:val="standardContextual"/>
        </w:rPr>
      </w:pPr>
      <w:hyperlink w:anchor="_Toc141975076" w:history="1">
        <w:r w:rsidR="003277AE" w:rsidRPr="00F24ED4">
          <w:rPr>
            <w:rStyle w:val="Hipervnculo"/>
            <w:noProof/>
          </w:rPr>
          <w:t>3.4.7</w:t>
        </w:r>
        <w:r w:rsidR="003277AE">
          <w:rPr>
            <w:rFonts w:eastAsiaTheme="minorEastAsia" w:cstheme="minorBidi"/>
            <w:noProof/>
            <w:kern w:val="2"/>
            <w:sz w:val="22"/>
            <w:szCs w:val="22"/>
            <w:lang w:val="es-ES" w:eastAsia="es-ES"/>
            <w14:ligatures w14:val="standardContextual"/>
          </w:rPr>
          <w:tab/>
        </w:r>
        <w:r w:rsidR="003277AE" w:rsidRPr="00F24ED4">
          <w:rPr>
            <w:rStyle w:val="Hipervnculo"/>
            <w:noProof/>
          </w:rPr>
          <w:t>Salidas</w:t>
        </w:r>
        <w:r w:rsidR="003277AE">
          <w:rPr>
            <w:noProof/>
            <w:webHidden/>
          </w:rPr>
          <w:tab/>
        </w:r>
        <w:r w:rsidR="003277AE">
          <w:rPr>
            <w:noProof/>
            <w:webHidden/>
          </w:rPr>
          <w:fldChar w:fldCharType="begin"/>
        </w:r>
        <w:r w:rsidR="003277AE">
          <w:rPr>
            <w:noProof/>
            <w:webHidden/>
          </w:rPr>
          <w:instrText xml:space="preserve"> PAGEREF _Toc141975076 \h </w:instrText>
        </w:r>
        <w:r w:rsidR="003277AE">
          <w:rPr>
            <w:noProof/>
            <w:webHidden/>
          </w:rPr>
        </w:r>
        <w:r w:rsidR="003277AE">
          <w:rPr>
            <w:noProof/>
            <w:webHidden/>
          </w:rPr>
          <w:fldChar w:fldCharType="separate"/>
        </w:r>
        <w:r w:rsidR="00006265">
          <w:rPr>
            <w:noProof/>
            <w:webHidden/>
          </w:rPr>
          <w:t>93</w:t>
        </w:r>
        <w:r w:rsidR="003277AE">
          <w:rPr>
            <w:noProof/>
            <w:webHidden/>
          </w:rPr>
          <w:fldChar w:fldCharType="end"/>
        </w:r>
      </w:hyperlink>
    </w:p>
    <w:p w14:paraId="66834E48" w14:textId="0819AB07" w:rsidR="003277AE" w:rsidRDefault="00E61923">
      <w:pPr>
        <w:pStyle w:val="TDC1"/>
        <w:tabs>
          <w:tab w:val="left" w:pos="660"/>
          <w:tab w:val="right" w:pos="8494"/>
        </w:tabs>
        <w:rPr>
          <w:rFonts w:eastAsiaTheme="minorEastAsia" w:cstheme="minorBidi"/>
          <w:b w:val="0"/>
          <w:bCs w:val="0"/>
          <w:iCs w:val="0"/>
          <w:noProof/>
          <w:kern w:val="2"/>
          <w:sz w:val="22"/>
          <w:szCs w:val="22"/>
          <w:lang w:val="es-ES" w:eastAsia="es-ES"/>
          <w14:ligatures w14:val="standardContextual"/>
        </w:rPr>
      </w:pPr>
      <w:hyperlink w:anchor="_Toc141975077" w:history="1">
        <w:r w:rsidR="003277AE" w:rsidRPr="00F24ED4">
          <w:rPr>
            <w:rStyle w:val="Hipervnculo"/>
            <w:noProof/>
            <w14:scene3d>
              <w14:camera w14:prst="orthographicFront"/>
              <w14:lightRig w14:rig="threePt" w14:dir="t">
                <w14:rot w14:lat="0" w14:lon="0" w14:rev="0"/>
              </w14:lightRig>
            </w14:scene3d>
          </w:rPr>
          <w:t>4</w:t>
        </w:r>
        <w:r w:rsidR="003277AE">
          <w:rPr>
            <w:rFonts w:eastAsiaTheme="minorEastAsia" w:cstheme="minorBidi"/>
            <w:b w:val="0"/>
            <w:bCs w:val="0"/>
            <w:iCs w:val="0"/>
            <w:noProof/>
            <w:kern w:val="2"/>
            <w:sz w:val="22"/>
            <w:szCs w:val="22"/>
            <w:lang w:val="es-ES" w:eastAsia="es-ES"/>
            <w14:ligatures w14:val="standardContextual"/>
          </w:rPr>
          <w:tab/>
        </w:r>
        <w:r w:rsidR="003277AE" w:rsidRPr="00F24ED4">
          <w:rPr>
            <w:rStyle w:val="Hipervnculo"/>
            <w:noProof/>
          </w:rPr>
          <w:t>Anexos</w:t>
        </w:r>
        <w:r w:rsidR="003277AE">
          <w:rPr>
            <w:noProof/>
            <w:webHidden/>
          </w:rPr>
          <w:tab/>
        </w:r>
        <w:r w:rsidR="003277AE">
          <w:rPr>
            <w:noProof/>
            <w:webHidden/>
          </w:rPr>
          <w:fldChar w:fldCharType="begin"/>
        </w:r>
        <w:r w:rsidR="003277AE">
          <w:rPr>
            <w:noProof/>
            <w:webHidden/>
          </w:rPr>
          <w:instrText xml:space="preserve"> PAGEREF _Toc141975077 \h </w:instrText>
        </w:r>
        <w:r w:rsidR="003277AE">
          <w:rPr>
            <w:noProof/>
            <w:webHidden/>
          </w:rPr>
        </w:r>
        <w:r w:rsidR="003277AE">
          <w:rPr>
            <w:noProof/>
            <w:webHidden/>
          </w:rPr>
          <w:fldChar w:fldCharType="separate"/>
        </w:r>
        <w:r w:rsidR="00006265">
          <w:rPr>
            <w:noProof/>
            <w:webHidden/>
          </w:rPr>
          <w:t>94</w:t>
        </w:r>
        <w:r w:rsidR="003277AE">
          <w:rPr>
            <w:noProof/>
            <w:webHidden/>
          </w:rPr>
          <w:fldChar w:fldCharType="end"/>
        </w:r>
      </w:hyperlink>
    </w:p>
    <w:p w14:paraId="565F0456" w14:textId="5C1569F4" w:rsidR="003277AE" w:rsidRDefault="00E61923">
      <w:pPr>
        <w:pStyle w:val="TDC2"/>
        <w:rPr>
          <w:rFonts w:eastAsiaTheme="minorEastAsia" w:cstheme="minorBidi"/>
          <w:b w:val="0"/>
          <w:bCs w:val="0"/>
          <w:noProof/>
          <w:kern w:val="2"/>
          <w:sz w:val="22"/>
          <w:lang w:val="es-ES" w:eastAsia="es-ES"/>
          <w14:ligatures w14:val="standardContextual"/>
        </w:rPr>
      </w:pPr>
      <w:hyperlink w:anchor="_Toc141975078" w:history="1">
        <w:r w:rsidR="003277AE" w:rsidRPr="00F24ED4">
          <w:rPr>
            <w:rStyle w:val="Hipervnculo"/>
            <w:noProof/>
          </w:rPr>
          <w:t>4.1</w:t>
        </w:r>
        <w:r w:rsidR="003277AE">
          <w:rPr>
            <w:rFonts w:eastAsiaTheme="minorEastAsia" w:cstheme="minorBidi"/>
            <w:b w:val="0"/>
            <w:bCs w:val="0"/>
            <w:noProof/>
            <w:kern w:val="2"/>
            <w:sz w:val="22"/>
            <w:lang w:val="es-ES" w:eastAsia="es-ES"/>
            <w14:ligatures w14:val="standardContextual"/>
          </w:rPr>
          <w:tab/>
        </w:r>
        <w:r w:rsidR="003277AE" w:rsidRPr="00F24ED4">
          <w:rPr>
            <w:rStyle w:val="Hipervnculo"/>
            <w:noProof/>
          </w:rPr>
          <w:t>Lista de parámetros técnicos considerados por el dimensionamiento</w:t>
        </w:r>
        <w:r w:rsidR="003277AE">
          <w:rPr>
            <w:noProof/>
            <w:webHidden/>
          </w:rPr>
          <w:tab/>
        </w:r>
        <w:r w:rsidR="003277AE">
          <w:rPr>
            <w:noProof/>
            <w:webHidden/>
          </w:rPr>
          <w:fldChar w:fldCharType="begin"/>
        </w:r>
        <w:r w:rsidR="003277AE">
          <w:rPr>
            <w:noProof/>
            <w:webHidden/>
          </w:rPr>
          <w:instrText xml:space="preserve"> PAGEREF _Toc141975078 \h </w:instrText>
        </w:r>
        <w:r w:rsidR="003277AE">
          <w:rPr>
            <w:noProof/>
            <w:webHidden/>
          </w:rPr>
        </w:r>
        <w:r w:rsidR="003277AE">
          <w:rPr>
            <w:noProof/>
            <w:webHidden/>
          </w:rPr>
          <w:fldChar w:fldCharType="separate"/>
        </w:r>
        <w:r w:rsidR="00006265">
          <w:rPr>
            <w:noProof/>
            <w:webHidden/>
          </w:rPr>
          <w:t>94</w:t>
        </w:r>
        <w:r w:rsidR="003277AE">
          <w:rPr>
            <w:noProof/>
            <w:webHidden/>
          </w:rPr>
          <w:fldChar w:fldCharType="end"/>
        </w:r>
      </w:hyperlink>
    </w:p>
    <w:p w14:paraId="16362B77" w14:textId="48DA7D0A" w:rsidR="003277AE" w:rsidRDefault="00E61923">
      <w:pPr>
        <w:pStyle w:val="TDC2"/>
        <w:rPr>
          <w:rFonts w:eastAsiaTheme="minorEastAsia" w:cstheme="minorBidi"/>
          <w:b w:val="0"/>
          <w:bCs w:val="0"/>
          <w:noProof/>
          <w:kern w:val="2"/>
          <w:sz w:val="22"/>
          <w:lang w:val="es-ES" w:eastAsia="es-ES"/>
          <w14:ligatures w14:val="standardContextual"/>
        </w:rPr>
      </w:pPr>
      <w:hyperlink w:anchor="_Toc141975079" w:history="1">
        <w:r w:rsidR="003277AE" w:rsidRPr="00F24ED4">
          <w:rPr>
            <w:rStyle w:val="Hipervnculo"/>
            <w:noProof/>
          </w:rPr>
          <w:t>4.2</w:t>
        </w:r>
        <w:r w:rsidR="003277AE">
          <w:rPr>
            <w:rFonts w:eastAsiaTheme="minorEastAsia" w:cstheme="minorBidi"/>
            <w:b w:val="0"/>
            <w:bCs w:val="0"/>
            <w:noProof/>
            <w:kern w:val="2"/>
            <w:sz w:val="22"/>
            <w:lang w:val="es-ES" w:eastAsia="es-ES"/>
            <w14:ligatures w14:val="standardContextual"/>
          </w:rPr>
          <w:tab/>
        </w:r>
        <w:r w:rsidR="003277AE" w:rsidRPr="00F24ED4">
          <w:rPr>
            <w:rStyle w:val="Hipervnculo"/>
            <w:noProof/>
            <w:lang w:val="es-ES"/>
          </w:rPr>
          <w:t>Tipos de canalizaciones empleadas en el modelo</w:t>
        </w:r>
        <w:r w:rsidR="003277AE">
          <w:rPr>
            <w:noProof/>
            <w:webHidden/>
          </w:rPr>
          <w:tab/>
        </w:r>
        <w:r w:rsidR="003277AE">
          <w:rPr>
            <w:noProof/>
            <w:webHidden/>
          </w:rPr>
          <w:fldChar w:fldCharType="begin"/>
        </w:r>
        <w:r w:rsidR="003277AE">
          <w:rPr>
            <w:noProof/>
            <w:webHidden/>
          </w:rPr>
          <w:instrText xml:space="preserve"> PAGEREF _Toc141975079 \h </w:instrText>
        </w:r>
        <w:r w:rsidR="003277AE">
          <w:rPr>
            <w:noProof/>
            <w:webHidden/>
          </w:rPr>
        </w:r>
        <w:r w:rsidR="003277AE">
          <w:rPr>
            <w:noProof/>
            <w:webHidden/>
          </w:rPr>
          <w:fldChar w:fldCharType="separate"/>
        </w:r>
        <w:r w:rsidR="00006265">
          <w:rPr>
            <w:noProof/>
            <w:webHidden/>
          </w:rPr>
          <w:t>97</w:t>
        </w:r>
        <w:r w:rsidR="003277AE">
          <w:rPr>
            <w:noProof/>
            <w:webHidden/>
          </w:rPr>
          <w:fldChar w:fldCharType="end"/>
        </w:r>
      </w:hyperlink>
    </w:p>
    <w:p w14:paraId="18350723" w14:textId="372E2E00" w:rsidR="0022585B" w:rsidRPr="004C1A96" w:rsidRDefault="005C54B8" w:rsidP="00981224">
      <w:pPr>
        <w:jc w:val="center"/>
        <w:rPr>
          <w:rFonts w:ascii="ITC Avant Garde" w:hAnsi="ITC Avant Garde"/>
          <w:lang w:val="es-MX"/>
        </w:rPr>
      </w:pPr>
      <w:r w:rsidRPr="004C1A96">
        <w:rPr>
          <w:rFonts w:ascii="ITC Avant Garde" w:hAnsi="ITC Avant Garde" w:cstheme="minorHAnsi"/>
          <w:b/>
          <w:i/>
          <w:sz w:val="24"/>
          <w:lang w:val="es-MX"/>
        </w:rPr>
        <w:fldChar w:fldCharType="end"/>
      </w:r>
      <w:r w:rsidR="0022585B" w:rsidRPr="004C1A96">
        <w:rPr>
          <w:rFonts w:ascii="ITC Avant Garde" w:hAnsi="ITC Avant Garde"/>
          <w:lang w:val="es-MX"/>
        </w:rPr>
        <w:br w:type="page"/>
      </w:r>
    </w:p>
    <w:p w14:paraId="455F7B8B" w14:textId="77777777" w:rsidR="00147ADD" w:rsidRPr="0028360F" w:rsidRDefault="003A0FB4" w:rsidP="005E134D">
      <w:pPr>
        <w:pStyle w:val="Ttulo1"/>
        <w:rPr>
          <w:lang w:val="es-MX"/>
        </w:rPr>
      </w:pPr>
      <w:bookmarkStart w:id="49" w:name="_Toc525665251"/>
      <w:bookmarkStart w:id="50" w:name="_Toc525665630"/>
      <w:bookmarkStart w:id="51" w:name="_Toc141974989"/>
      <w:r w:rsidRPr="0028360F">
        <w:rPr>
          <w:lang w:val="es-MX"/>
        </w:rPr>
        <w:lastRenderedPageBreak/>
        <w:t>Introducción</w:t>
      </w:r>
      <w:bookmarkEnd w:id="49"/>
      <w:bookmarkEnd w:id="50"/>
      <w:bookmarkEnd w:id="51"/>
    </w:p>
    <w:p w14:paraId="7B135551" w14:textId="77777777" w:rsidR="0082426C" w:rsidRPr="0028360F" w:rsidRDefault="0033164B" w:rsidP="00F17242">
      <w:pPr>
        <w:pStyle w:val="Ttulo2"/>
        <w:rPr>
          <w:lang w:val="es-MX"/>
        </w:rPr>
      </w:pPr>
      <w:bookmarkStart w:id="52" w:name="_Toc525665252"/>
      <w:bookmarkStart w:id="53" w:name="_Toc525665631"/>
      <w:bookmarkStart w:id="54" w:name="_Toc141974990"/>
      <w:r w:rsidRPr="0028360F">
        <w:rPr>
          <w:lang w:val="es-MX"/>
        </w:rPr>
        <w:t>Antecedentes</w:t>
      </w:r>
      <w:bookmarkEnd w:id="52"/>
      <w:bookmarkEnd w:id="53"/>
      <w:bookmarkEnd w:id="54"/>
    </w:p>
    <w:p w14:paraId="2FBCEBC1" w14:textId="037E546D" w:rsidR="00337B8D" w:rsidRPr="004C1A96" w:rsidRDefault="0033164B" w:rsidP="0033164B">
      <w:pPr>
        <w:rPr>
          <w:rFonts w:ascii="ITC Avant Garde" w:hAnsi="ITC Avant Garde"/>
          <w:lang w:val="es-MX"/>
        </w:rPr>
      </w:pPr>
      <w:r w:rsidRPr="004C1A96">
        <w:rPr>
          <w:rFonts w:ascii="ITC Avant Garde" w:hAnsi="ITC Avant Garde"/>
          <w:lang w:val="es-MX"/>
        </w:rPr>
        <w:t xml:space="preserve">Para abordar los problemas de competencia en el mercado </w:t>
      </w:r>
      <w:r w:rsidR="00774E1C" w:rsidRPr="004C1A96">
        <w:rPr>
          <w:rFonts w:ascii="ITC Avant Garde" w:hAnsi="ITC Avant Garde"/>
          <w:lang w:val="es-MX"/>
        </w:rPr>
        <w:t>de telecomunicaciones</w:t>
      </w:r>
      <w:r w:rsidRPr="00E14D8A">
        <w:rPr>
          <w:rFonts w:ascii="ITC Avant Garde" w:hAnsi="ITC Avant Garde"/>
          <w:lang w:val="es-MX"/>
        </w:rPr>
        <w:t xml:space="preserve">, el regulador mexicano (IFT) impone reglas que buscan crear un </w:t>
      </w:r>
      <w:r w:rsidR="00DC60BE" w:rsidRPr="00E14D8A">
        <w:rPr>
          <w:rFonts w:ascii="ITC Avant Garde" w:hAnsi="ITC Avant Garde"/>
          <w:lang w:val="es-MX"/>
        </w:rPr>
        <w:t xml:space="preserve">entorno </w:t>
      </w:r>
      <w:r w:rsidRPr="00E14D8A">
        <w:rPr>
          <w:rFonts w:ascii="ITC Avant Garde" w:hAnsi="ITC Avant Garde"/>
          <w:lang w:val="es-MX"/>
        </w:rPr>
        <w:t xml:space="preserve">predecible y </w:t>
      </w:r>
      <w:r w:rsidR="00337B8D" w:rsidRPr="004C1A96">
        <w:rPr>
          <w:rFonts w:ascii="ITC Avant Garde" w:hAnsi="ITC Avant Garde"/>
          <w:lang w:val="es-MX"/>
        </w:rPr>
        <w:t>con igualdad de condiciones</w:t>
      </w:r>
      <w:r w:rsidRPr="004C1A96">
        <w:rPr>
          <w:rFonts w:ascii="ITC Avant Garde" w:hAnsi="ITC Avant Garde"/>
          <w:lang w:val="es-MX"/>
        </w:rPr>
        <w:t xml:space="preserve"> para todos los participantes del mercado, y que en última instancia podría facilitar </w:t>
      </w:r>
      <w:r w:rsidR="00337B8D" w:rsidRPr="004C1A96">
        <w:rPr>
          <w:rFonts w:ascii="ITC Avant Garde" w:hAnsi="ITC Avant Garde"/>
          <w:lang w:val="es-MX"/>
        </w:rPr>
        <w:t>el desarrollo de una</w:t>
      </w:r>
      <w:r w:rsidRPr="004C1A96">
        <w:rPr>
          <w:rFonts w:ascii="ITC Avant Garde" w:hAnsi="ITC Avant Garde"/>
          <w:lang w:val="es-MX"/>
        </w:rPr>
        <w:t xml:space="preserve"> competencia eficiente </w:t>
      </w:r>
      <w:r w:rsidR="00337B8D" w:rsidRPr="004C1A96">
        <w:rPr>
          <w:rFonts w:ascii="ITC Avant Garde" w:hAnsi="ITC Avant Garde"/>
          <w:lang w:val="es-MX"/>
        </w:rPr>
        <w:t>para</w:t>
      </w:r>
      <w:r w:rsidRPr="004C1A96">
        <w:rPr>
          <w:rFonts w:ascii="ITC Avant Garde" w:hAnsi="ITC Avant Garde"/>
          <w:lang w:val="es-MX"/>
        </w:rPr>
        <w:t xml:space="preserve"> </w:t>
      </w:r>
      <w:r w:rsidR="00337B8D" w:rsidRPr="004C1A96">
        <w:rPr>
          <w:rFonts w:ascii="ITC Avant Garde" w:hAnsi="ITC Avant Garde"/>
          <w:lang w:val="es-MX"/>
        </w:rPr>
        <w:t>la proporción de</w:t>
      </w:r>
      <w:r w:rsidRPr="004C1A96">
        <w:rPr>
          <w:rFonts w:ascii="ITC Avant Garde" w:hAnsi="ITC Avant Garde"/>
          <w:lang w:val="es-MX"/>
        </w:rPr>
        <w:t xml:space="preserve"> una amplia gama de servicios </w:t>
      </w:r>
      <w:r w:rsidR="00337B8D" w:rsidRPr="004C1A96">
        <w:rPr>
          <w:rFonts w:ascii="ITC Avant Garde" w:hAnsi="ITC Avant Garde"/>
          <w:lang w:val="es-MX"/>
        </w:rPr>
        <w:t xml:space="preserve">con precios atractivos </w:t>
      </w:r>
      <w:r w:rsidRPr="004C1A96">
        <w:rPr>
          <w:rFonts w:ascii="ITC Avant Garde" w:hAnsi="ITC Avant Garde"/>
          <w:lang w:val="es-MX"/>
        </w:rPr>
        <w:t xml:space="preserve">para los consumidores. </w:t>
      </w:r>
    </w:p>
    <w:p w14:paraId="7DAD112B" w14:textId="2EF0F58A" w:rsidR="0033164B" w:rsidRPr="004C1A96" w:rsidRDefault="0033164B" w:rsidP="0033164B">
      <w:pPr>
        <w:rPr>
          <w:rFonts w:ascii="ITC Avant Garde" w:hAnsi="ITC Avant Garde"/>
          <w:lang w:val="es-MX"/>
        </w:rPr>
      </w:pPr>
      <w:r w:rsidRPr="004C1A96">
        <w:rPr>
          <w:rFonts w:ascii="ITC Avant Garde" w:hAnsi="ITC Avant Garde"/>
          <w:lang w:val="es-MX"/>
        </w:rPr>
        <w:t xml:space="preserve">Como parte de este trabajo, </w:t>
      </w:r>
      <w:r w:rsidR="00337B8D" w:rsidRPr="004C1A96">
        <w:rPr>
          <w:rFonts w:ascii="ITC Avant Garde" w:hAnsi="ITC Avant Garde"/>
          <w:lang w:val="es-MX"/>
        </w:rPr>
        <w:t xml:space="preserve">el </w:t>
      </w:r>
      <w:r w:rsidRPr="004C1A96">
        <w:rPr>
          <w:rFonts w:ascii="ITC Avant Garde" w:hAnsi="ITC Avant Garde"/>
          <w:lang w:val="es-MX"/>
        </w:rPr>
        <w:t xml:space="preserve">IFT </w:t>
      </w:r>
      <w:r w:rsidR="00064199" w:rsidRPr="004C1A96">
        <w:rPr>
          <w:rFonts w:ascii="ITC Avant Garde" w:hAnsi="ITC Avant Garde"/>
          <w:lang w:val="es-MX"/>
        </w:rPr>
        <w:t>desarrolló</w:t>
      </w:r>
      <w:r w:rsidR="001042A4" w:rsidRPr="004C1A96">
        <w:rPr>
          <w:rFonts w:ascii="ITC Avant Garde" w:hAnsi="ITC Avant Garde"/>
          <w:lang w:val="es-MX"/>
        </w:rPr>
        <w:t xml:space="preserve"> </w:t>
      </w:r>
      <w:r w:rsidR="00282988" w:rsidRPr="004C1A96">
        <w:rPr>
          <w:rFonts w:ascii="ITC Avant Garde" w:hAnsi="ITC Avant Garde"/>
          <w:lang w:val="es-MX"/>
        </w:rPr>
        <w:t xml:space="preserve">en años anteriores, </w:t>
      </w:r>
      <w:r w:rsidRPr="004C1A96">
        <w:rPr>
          <w:rFonts w:ascii="ITC Avant Garde" w:hAnsi="ITC Avant Garde"/>
          <w:lang w:val="es-MX"/>
        </w:rPr>
        <w:t xml:space="preserve">dos modelos </w:t>
      </w:r>
      <w:r w:rsidR="001042A4" w:rsidRPr="004C1A96">
        <w:rPr>
          <w:rFonts w:ascii="ITC Avant Garde" w:hAnsi="ITC Avant Garde"/>
          <w:lang w:val="es-MX"/>
        </w:rPr>
        <w:t xml:space="preserve">(cuyas últimas versiones correspondían a 2015 y 2016, respectivamente) </w:t>
      </w:r>
      <w:r w:rsidRPr="004C1A96">
        <w:rPr>
          <w:rFonts w:ascii="ITC Avant Garde" w:hAnsi="ITC Avant Garde"/>
          <w:lang w:val="es-MX"/>
        </w:rPr>
        <w:t>que le permit</w:t>
      </w:r>
      <w:r w:rsidR="00282988" w:rsidRPr="004C1A96">
        <w:rPr>
          <w:rFonts w:ascii="ITC Avant Garde" w:hAnsi="ITC Avant Garde"/>
          <w:lang w:val="es-MX"/>
        </w:rPr>
        <w:t>ían</w:t>
      </w:r>
      <w:r w:rsidRPr="004C1A96">
        <w:rPr>
          <w:rFonts w:ascii="ITC Avant Garde" w:hAnsi="ITC Avant Garde"/>
          <w:lang w:val="es-MX"/>
        </w:rPr>
        <w:t xml:space="preserve"> evaluar el precio de los servicios asociados con las ofertas de referencia OREDA y ORCI.</w:t>
      </w:r>
    </w:p>
    <w:p w14:paraId="73789874" w14:textId="2FA58FE4" w:rsidR="0033164B" w:rsidRPr="004C1A96" w:rsidRDefault="0062074B" w:rsidP="0033164B">
      <w:pPr>
        <w:pStyle w:val="Listaconvietas2"/>
        <w:rPr>
          <w:rFonts w:ascii="ITC Avant Garde" w:hAnsi="ITC Avant Garde"/>
          <w:lang w:val="es-MX"/>
        </w:rPr>
      </w:pPr>
      <w:r w:rsidRPr="004C1A96">
        <w:rPr>
          <w:rFonts w:ascii="ITC Avant Garde" w:hAnsi="ITC Avant Garde"/>
          <w:lang w:val="es-MX"/>
        </w:rPr>
        <w:t>U</w:t>
      </w:r>
      <w:r w:rsidR="00337B8D" w:rsidRPr="004C1A96">
        <w:rPr>
          <w:rFonts w:ascii="ITC Avant Garde" w:hAnsi="ITC Avant Garde"/>
          <w:lang w:val="es-MX"/>
        </w:rPr>
        <w:t>n</w:t>
      </w:r>
      <w:r w:rsidR="0033164B" w:rsidRPr="004C1A96">
        <w:rPr>
          <w:rFonts w:ascii="ITC Avant Garde" w:hAnsi="ITC Avant Garde"/>
          <w:lang w:val="es-MX"/>
        </w:rPr>
        <w:t xml:space="preserve"> modelo de costo</w:t>
      </w:r>
      <w:r w:rsidR="00337B8D" w:rsidRPr="004C1A96">
        <w:rPr>
          <w:rFonts w:ascii="ITC Avant Garde" w:hAnsi="ITC Avant Garde"/>
          <w:lang w:val="es-MX"/>
        </w:rPr>
        <w:t>s</w:t>
      </w:r>
      <w:r w:rsidR="0033164B" w:rsidRPr="004C1A96">
        <w:rPr>
          <w:rFonts w:ascii="ITC Avant Garde" w:hAnsi="ITC Avant Garde"/>
          <w:lang w:val="es-MX"/>
        </w:rPr>
        <w:t xml:space="preserve"> de la red de acceso fij</w:t>
      </w:r>
      <w:r w:rsidR="00337B8D" w:rsidRPr="004C1A96">
        <w:rPr>
          <w:rFonts w:ascii="ITC Avant Garde" w:hAnsi="ITC Avant Garde"/>
          <w:lang w:val="es-MX"/>
        </w:rPr>
        <w:t>a</w:t>
      </w:r>
      <w:r w:rsidR="0033164B" w:rsidRPr="004C1A96">
        <w:rPr>
          <w:rFonts w:ascii="ITC Avant Garde" w:hAnsi="ITC Avant Garde"/>
          <w:lang w:val="es-MX"/>
        </w:rPr>
        <w:t xml:space="preserve"> para </w:t>
      </w:r>
      <w:r w:rsidR="00337B8D" w:rsidRPr="004C1A96">
        <w:rPr>
          <w:rFonts w:ascii="ITC Avant Garde" w:hAnsi="ITC Avant Garde"/>
          <w:lang w:val="es-MX"/>
        </w:rPr>
        <w:t xml:space="preserve">la compartición de </w:t>
      </w:r>
      <w:r w:rsidR="0033164B" w:rsidRPr="004C1A96">
        <w:rPr>
          <w:rFonts w:ascii="ITC Avant Garde" w:hAnsi="ITC Avant Garde"/>
          <w:lang w:val="es-MX"/>
        </w:rPr>
        <w:t>infraestructura y servicios de desagregación. En este informe, este modelo de costo</w:t>
      </w:r>
      <w:r w:rsidRPr="004C1A96">
        <w:rPr>
          <w:rFonts w:ascii="ITC Avant Garde" w:hAnsi="ITC Avant Garde"/>
          <w:lang w:val="es-MX"/>
        </w:rPr>
        <w:t>s</w:t>
      </w:r>
      <w:r w:rsidR="0033164B" w:rsidRPr="004C1A96">
        <w:rPr>
          <w:rFonts w:ascii="ITC Avant Garde" w:hAnsi="ITC Avant Garde"/>
          <w:lang w:val="es-MX"/>
        </w:rPr>
        <w:t xml:space="preserve"> se denominará "Modelo de cobre";</w:t>
      </w:r>
    </w:p>
    <w:p w14:paraId="747D8177" w14:textId="2080A949" w:rsidR="0033164B" w:rsidRPr="004C1A96" w:rsidRDefault="0062074B" w:rsidP="0033164B">
      <w:pPr>
        <w:pStyle w:val="Listaconvietas2"/>
        <w:rPr>
          <w:rFonts w:ascii="ITC Avant Garde" w:hAnsi="ITC Avant Garde"/>
          <w:lang w:val="es-MX"/>
        </w:rPr>
      </w:pPr>
      <w:r w:rsidRPr="004C1A96">
        <w:rPr>
          <w:rFonts w:ascii="ITC Avant Garde" w:hAnsi="ITC Avant Garde"/>
          <w:lang w:val="es-MX"/>
        </w:rPr>
        <w:t>U</w:t>
      </w:r>
      <w:r w:rsidR="00337B8D" w:rsidRPr="004C1A96">
        <w:rPr>
          <w:rFonts w:ascii="ITC Avant Garde" w:hAnsi="ITC Avant Garde"/>
          <w:lang w:val="es-MX"/>
        </w:rPr>
        <w:t>n</w:t>
      </w:r>
      <w:r w:rsidR="0033164B" w:rsidRPr="004C1A96">
        <w:rPr>
          <w:rFonts w:ascii="ITC Avant Garde" w:hAnsi="ITC Avant Garde"/>
          <w:lang w:val="es-MX"/>
        </w:rPr>
        <w:t xml:space="preserve"> modelo de costo</w:t>
      </w:r>
      <w:r w:rsidR="00337B8D" w:rsidRPr="004C1A96">
        <w:rPr>
          <w:rFonts w:ascii="ITC Avant Garde" w:hAnsi="ITC Avant Garde"/>
          <w:lang w:val="es-MX"/>
        </w:rPr>
        <w:t>s</w:t>
      </w:r>
      <w:r w:rsidR="0033164B" w:rsidRPr="004C1A96">
        <w:rPr>
          <w:rFonts w:ascii="ITC Avant Garde" w:hAnsi="ITC Avant Garde"/>
          <w:lang w:val="es-MX"/>
        </w:rPr>
        <w:t xml:space="preserve"> </w:t>
      </w:r>
      <w:r w:rsidR="009C573E" w:rsidRPr="004C1A96">
        <w:rPr>
          <w:rFonts w:ascii="ITC Avant Garde" w:hAnsi="ITC Avant Garde"/>
          <w:lang w:val="es-MX"/>
        </w:rPr>
        <w:t xml:space="preserve">de la red de acceso </w:t>
      </w:r>
      <w:r w:rsidR="0033164B" w:rsidRPr="004C1A96">
        <w:rPr>
          <w:rFonts w:ascii="ITC Avant Garde" w:hAnsi="ITC Avant Garde"/>
          <w:lang w:val="es-MX"/>
        </w:rPr>
        <w:t>de fibra óptica del operador con poder de mercado significativo (SMP</w:t>
      </w:r>
      <w:r w:rsidR="00A8465E" w:rsidRPr="004C1A96">
        <w:rPr>
          <w:rFonts w:ascii="ITC Avant Garde" w:hAnsi="ITC Avant Garde"/>
          <w:lang w:val="es-MX"/>
        </w:rPr>
        <w:t xml:space="preserve"> por sus siglas en inglés</w:t>
      </w:r>
      <w:r w:rsidR="00337B8D" w:rsidRPr="004C1A96">
        <w:rPr>
          <w:rFonts w:ascii="ITC Avant Garde" w:hAnsi="ITC Avant Garde"/>
          <w:lang w:val="es-MX"/>
        </w:rPr>
        <w:t xml:space="preserve"> </w:t>
      </w:r>
      <w:r w:rsidR="00337B8D" w:rsidRPr="004C1A96">
        <w:rPr>
          <w:rFonts w:ascii="ITC Avant Garde" w:hAnsi="ITC Avant Garde"/>
          <w:i/>
          <w:lang w:val="es-MX"/>
        </w:rPr>
        <w:t>Significant Market Power</w:t>
      </w:r>
      <w:r w:rsidR="0033164B" w:rsidRPr="004C1A96">
        <w:rPr>
          <w:rFonts w:ascii="ITC Avant Garde" w:hAnsi="ITC Avant Garde"/>
          <w:lang w:val="es-MX"/>
        </w:rPr>
        <w:t>)</w:t>
      </w:r>
      <w:r w:rsidR="009C573E" w:rsidRPr="004C1A96">
        <w:rPr>
          <w:rFonts w:ascii="ITC Avant Garde" w:hAnsi="ITC Avant Garde"/>
          <w:lang w:val="es-MX"/>
        </w:rPr>
        <w:t>, en e</w:t>
      </w:r>
      <w:r w:rsidR="00012A82" w:rsidRPr="004C1A96">
        <w:rPr>
          <w:rFonts w:ascii="ITC Avant Garde" w:hAnsi="ITC Avant Garde"/>
          <w:lang w:val="es-MX"/>
        </w:rPr>
        <w:t>ste</w:t>
      </w:r>
      <w:r w:rsidR="009C573E" w:rsidRPr="004C1A96">
        <w:rPr>
          <w:rFonts w:ascii="ITC Avant Garde" w:hAnsi="ITC Avant Garde"/>
          <w:lang w:val="es-MX"/>
        </w:rPr>
        <w:t xml:space="preserve"> caso particular del Agente Económico Preponderante (AEP)</w:t>
      </w:r>
      <w:r w:rsidR="0033164B" w:rsidRPr="004C1A96">
        <w:rPr>
          <w:rFonts w:ascii="ITC Avant Garde" w:hAnsi="ITC Avant Garde"/>
          <w:lang w:val="es-MX"/>
        </w:rPr>
        <w:t>. En este informe, este modelo de costo</w:t>
      </w:r>
      <w:r w:rsidRPr="004C1A96">
        <w:rPr>
          <w:rFonts w:ascii="ITC Avant Garde" w:hAnsi="ITC Avant Garde"/>
          <w:lang w:val="es-MX"/>
        </w:rPr>
        <w:t>s</w:t>
      </w:r>
      <w:r w:rsidR="0033164B" w:rsidRPr="004C1A96">
        <w:rPr>
          <w:rFonts w:ascii="ITC Avant Garde" w:hAnsi="ITC Avant Garde"/>
          <w:lang w:val="es-MX"/>
        </w:rPr>
        <w:t xml:space="preserve"> se denominará "Modelo de </w:t>
      </w:r>
      <w:r w:rsidR="009C573E" w:rsidRPr="004C1A96">
        <w:rPr>
          <w:rFonts w:ascii="ITC Avant Garde" w:hAnsi="ITC Avant Garde"/>
          <w:lang w:val="es-MX"/>
        </w:rPr>
        <w:t>fibra</w:t>
      </w:r>
      <w:r w:rsidR="0033164B" w:rsidRPr="004C1A96">
        <w:rPr>
          <w:rFonts w:ascii="ITC Avant Garde" w:hAnsi="ITC Avant Garde"/>
          <w:lang w:val="es-MX"/>
        </w:rPr>
        <w:t>".</w:t>
      </w:r>
    </w:p>
    <w:p w14:paraId="0DDC9EA8" w14:textId="05DC4726" w:rsidR="0033164B" w:rsidRPr="004C1A96" w:rsidRDefault="0033164B" w:rsidP="0033164B">
      <w:pPr>
        <w:rPr>
          <w:rFonts w:ascii="ITC Avant Garde" w:hAnsi="ITC Avant Garde"/>
          <w:lang w:val="es-MX"/>
        </w:rPr>
      </w:pPr>
      <w:r w:rsidRPr="004C1A96">
        <w:rPr>
          <w:rFonts w:ascii="ITC Avant Garde" w:hAnsi="ITC Avant Garde"/>
          <w:lang w:val="es-MX"/>
        </w:rPr>
        <w:t>El 2</w:t>
      </w:r>
      <w:r w:rsidR="003B3606" w:rsidRPr="004C1A96">
        <w:rPr>
          <w:rFonts w:ascii="ITC Avant Garde" w:hAnsi="ITC Avant Garde"/>
          <w:lang w:val="es-MX"/>
        </w:rPr>
        <w:t>7</w:t>
      </w:r>
      <w:r w:rsidRPr="004C1A96">
        <w:rPr>
          <w:rFonts w:ascii="ITC Avant Garde" w:hAnsi="ITC Avant Garde"/>
          <w:lang w:val="es-MX"/>
        </w:rPr>
        <w:t xml:space="preserve"> de febrero de 2017, </w:t>
      </w:r>
      <w:r w:rsidR="003B3606" w:rsidRPr="004C1A96">
        <w:rPr>
          <w:rFonts w:ascii="ITC Avant Garde" w:hAnsi="ITC Avant Garde"/>
          <w:lang w:val="es-MX"/>
        </w:rPr>
        <w:t>el Pleno del</w:t>
      </w:r>
      <w:r w:rsidRPr="004C1A96">
        <w:rPr>
          <w:rFonts w:ascii="ITC Avant Garde" w:hAnsi="ITC Avant Garde"/>
          <w:lang w:val="es-MX"/>
        </w:rPr>
        <w:t xml:space="preserve"> IFT </w:t>
      </w:r>
      <w:r w:rsidR="003B3606" w:rsidRPr="004C1A96">
        <w:rPr>
          <w:rFonts w:ascii="ITC Avant Garde" w:hAnsi="ITC Avant Garde"/>
          <w:lang w:val="es-MX"/>
        </w:rPr>
        <w:t xml:space="preserve">aprobó mediante Acuerdo P/IFT/EXT/270217/119 </w:t>
      </w:r>
      <w:r w:rsidRPr="004C1A96">
        <w:rPr>
          <w:rFonts w:ascii="ITC Avant Garde" w:hAnsi="ITC Avant Garde"/>
          <w:lang w:val="es-MX"/>
        </w:rPr>
        <w:t xml:space="preserve"> </w:t>
      </w:r>
      <w:r w:rsidR="003B3606" w:rsidRPr="004C1A96">
        <w:rPr>
          <w:rFonts w:ascii="ITC Avant Garde" w:hAnsi="ITC Avant Garde"/>
          <w:lang w:val="es-MX"/>
        </w:rPr>
        <w:t>la “</w:t>
      </w:r>
      <w:r w:rsidR="003B3606" w:rsidRPr="004C1A96">
        <w:rPr>
          <w:rFonts w:ascii="ITC Avant Garde" w:hAnsi="ITC Avant Garde"/>
          <w:i/>
          <w:lang w:val="es-MX"/>
        </w:rPr>
        <w:t>RESOLUCIÓN MEDIANTE LA CUAL EL PLENO DEL INSTITUTO FEDERAL DE TELECOMUNICACIONES SUPRIME, MODIFICA Y ADICIONA LAS MEDIDAS IMPUESTAS AL AGENTE ECONÓMICO PREPONDERANTE EN EL SECTOR DE TELECOMUNICACIONES MEDIANTE RESOLUCIÓN DE FECHA 6 DE MARZO DE 2014, APROBADA MEDIANTE ACUERDO P/IFT/EXT/060314/76.”</w:t>
      </w:r>
      <w:r w:rsidR="003B3606" w:rsidRPr="004C1A96">
        <w:rPr>
          <w:rFonts w:ascii="ITC Avant Garde" w:hAnsi="ITC Avant Garde"/>
          <w:lang w:val="es-MX"/>
        </w:rPr>
        <w:t xml:space="preserve"> (Resolución Bienal) que contiene</w:t>
      </w:r>
      <w:r w:rsidRPr="004C1A96">
        <w:rPr>
          <w:rFonts w:ascii="ITC Avant Garde" w:hAnsi="ITC Avant Garde"/>
          <w:lang w:val="es-MX"/>
        </w:rPr>
        <w:t xml:space="preserve"> un conjunto actualizado de decisiones que tienen la intención de revisar, agregar y modificar las medidas impuestas al </w:t>
      </w:r>
      <w:r w:rsidR="0062074B" w:rsidRPr="004C1A96">
        <w:rPr>
          <w:rFonts w:ascii="ITC Avant Garde" w:hAnsi="ITC Avant Garde"/>
          <w:lang w:val="es-MX"/>
        </w:rPr>
        <w:t>AEP</w:t>
      </w:r>
      <w:r w:rsidRPr="004C1A96">
        <w:rPr>
          <w:rFonts w:ascii="ITC Avant Garde" w:hAnsi="ITC Avant Garde"/>
          <w:lang w:val="es-MX"/>
        </w:rPr>
        <w:t xml:space="preserve">. Estas medidas publicadas en la </w:t>
      </w:r>
      <w:r w:rsidR="003B3606" w:rsidRPr="004C1A96">
        <w:rPr>
          <w:rFonts w:ascii="ITC Avant Garde" w:hAnsi="ITC Avant Garde"/>
          <w:lang w:val="es-MX"/>
        </w:rPr>
        <w:t>Resolución Bienal</w:t>
      </w:r>
      <w:r w:rsidRPr="004C1A96">
        <w:rPr>
          <w:rFonts w:ascii="ITC Avant Garde" w:hAnsi="ITC Avant Garde"/>
          <w:lang w:val="es-MX"/>
        </w:rPr>
        <w:t xml:space="preserve"> entraron en vigencia el 9 de marzo de 2017.</w:t>
      </w:r>
    </w:p>
    <w:p w14:paraId="63BF4036" w14:textId="020F4A45" w:rsidR="0033164B" w:rsidRPr="004C1A96" w:rsidRDefault="0033164B" w:rsidP="0033164B">
      <w:pPr>
        <w:rPr>
          <w:rFonts w:ascii="ITC Avant Garde" w:hAnsi="ITC Avant Garde"/>
          <w:lang w:val="es-MX"/>
        </w:rPr>
      </w:pPr>
      <w:r w:rsidRPr="004C1A96">
        <w:rPr>
          <w:rFonts w:ascii="ITC Avant Garde" w:hAnsi="ITC Avant Garde"/>
          <w:lang w:val="es-MX"/>
        </w:rPr>
        <w:t xml:space="preserve">De acuerdo con </w:t>
      </w:r>
      <w:r w:rsidR="00CE3EDA" w:rsidRPr="004C1A96">
        <w:rPr>
          <w:rFonts w:ascii="ITC Avant Garde" w:hAnsi="ITC Avant Garde"/>
          <w:lang w:val="es-MX"/>
        </w:rPr>
        <w:t>el Anexo 1 y Anexo 3</w:t>
      </w:r>
      <w:r w:rsidRPr="004C1A96">
        <w:rPr>
          <w:rFonts w:ascii="ITC Avant Garde" w:hAnsi="ITC Avant Garde"/>
          <w:lang w:val="es-MX"/>
        </w:rPr>
        <w:t xml:space="preserve"> de esta decisión,</w:t>
      </w:r>
      <w:r w:rsidR="00CE3EDA" w:rsidRPr="004C1A96">
        <w:rPr>
          <w:rFonts w:ascii="ITC Avant Garde" w:hAnsi="ITC Avant Garde"/>
          <w:lang w:val="es-MX"/>
        </w:rPr>
        <w:t xml:space="preserve"> el</w:t>
      </w:r>
      <w:r w:rsidRPr="004C1A96">
        <w:rPr>
          <w:rFonts w:ascii="ITC Avant Garde" w:hAnsi="ITC Avant Garde"/>
          <w:lang w:val="es-MX"/>
        </w:rPr>
        <w:t xml:space="preserve"> IFT está obligado a evaluar las ofertas de ORCI y OREDA, </w:t>
      </w:r>
      <w:r w:rsidR="00774E1C" w:rsidRPr="004C1A96">
        <w:rPr>
          <w:rFonts w:ascii="ITC Avant Garde" w:hAnsi="ITC Avant Garde"/>
          <w:lang w:val="es-MX"/>
        </w:rPr>
        <w:t xml:space="preserve">así como determinar </w:t>
      </w:r>
      <w:r w:rsidRPr="004C1A96">
        <w:rPr>
          <w:rFonts w:ascii="ITC Avant Garde" w:hAnsi="ITC Avant Garde"/>
          <w:lang w:val="es-MX"/>
        </w:rPr>
        <w:t>las tarifas aplicables para ambas ofertas de referencia basadas en un enfoque orientado a costos</w:t>
      </w:r>
      <w:r w:rsidR="00337B8D" w:rsidRPr="004C1A96">
        <w:rPr>
          <w:rFonts w:ascii="ITC Avant Garde" w:hAnsi="ITC Avant Garde"/>
          <w:lang w:val="es-MX"/>
        </w:rPr>
        <w:t>,</w:t>
      </w:r>
      <w:r w:rsidRPr="004C1A96">
        <w:rPr>
          <w:rFonts w:ascii="ITC Avant Garde" w:hAnsi="ITC Avant Garde"/>
          <w:lang w:val="es-MX"/>
        </w:rPr>
        <w:t xml:space="preserve"> de acuerdo con </w:t>
      </w:r>
      <w:r w:rsidR="009C573E" w:rsidRPr="004C1A96">
        <w:rPr>
          <w:rFonts w:ascii="ITC Avant Garde" w:hAnsi="ITC Avant Garde"/>
          <w:lang w:val="es-MX"/>
        </w:rPr>
        <w:t>la metodología</w:t>
      </w:r>
      <w:r w:rsidRPr="004C1A96">
        <w:rPr>
          <w:rFonts w:ascii="ITC Avant Garde" w:hAnsi="ITC Avant Garde"/>
          <w:lang w:val="es-MX"/>
        </w:rPr>
        <w:t xml:space="preserve"> de costo</w:t>
      </w:r>
      <w:r w:rsidR="00407AD2" w:rsidRPr="004C1A96">
        <w:rPr>
          <w:rFonts w:ascii="ITC Avant Garde" w:hAnsi="ITC Avant Garde"/>
          <w:lang w:val="es-MX"/>
        </w:rPr>
        <w:t>s</w:t>
      </w:r>
      <w:r w:rsidRPr="004C1A96">
        <w:rPr>
          <w:rFonts w:ascii="ITC Avant Garde" w:hAnsi="ITC Avant Garde"/>
          <w:lang w:val="es-MX"/>
        </w:rPr>
        <w:t xml:space="preserve"> incremental</w:t>
      </w:r>
      <w:r w:rsidR="00407AD2" w:rsidRPr="004C1A96">
        <w:rPr>
          <w:rFonts w:ascii="ITC Avant Garde" w:hAnsi="ITC Avant Garde"/>
          <w:lang w:val="es-MX"/>
        </w:rPr>
        <w:t>es</w:t>
      </w:r>
      <w:r w:rsidRPr="004C1A96">
        <w:rPr>
          <w:rFonts w:ascii="ITC Avant Garde" w:hAnsi="ITC Avant Garde"/>
          <w:lang w:val="es-MX"/>
        </w:rPr>
        <w:t xml:space="preserve"> promedio </w:t>
      </w:r>
      <w:r w:rsidR="00407AD2" w:rsidRPr="004C1A96">
        <w:rPr>
          <w:rFonts w:ascii="ITC Avant Garde" w:hAnsi="ITC Avant Garde"/>
          <w:lang w:val="es-MX"/>
        </w:rPr>
        <w:t>de</w:t>
      </w:r>
      <w:r w:rsidRPr="004C1A96">
        <w:rPr>
          <w:rFonts w:ascii="ITC Avant Garde" w:hAnsi="ITC Avant Garde"/>
          <w:lang w:val="es-MX"/>
        </w:rPr>
        <w:t xml:space="preserve"> largo plazo</w:t>
      </w:r>
      <w:r w:rsidR="00337B8D" w:rsidRPr="004C1A96">
        <w:rPr>
          <w:rFonts w:ascii="ITC Avant Garde" w:hAnsi="ITC Avant Garde"/>
          <w:lang w:val="es-MX"/>
        </w:rPr>
        <w:t xml:space="preserve"> (</w:t>
      </w:r>
      <w:r w:rsidR="00407AD2" w:rsidRPr="004C1A96">
        <w:rPr>
          <w:rFonts w:ascii="ITC Avant Garde" w:hAnsi="ITC Avant Garde"/>
          <w:lang w:val="es-MX"/>
        </w:rPr>
        <w:t xml:space="preserve">CIPLP o </w:t>
      </w:r>
      <w:r w:rsidR="00337B8D" w:rsidRPr="004C1A96">
        <w:rPr>
          <w:rFonts w:ascii="ITC Avant Garde" w:hAnsi="ITC Avant Garde"/>
          <w:lang w:val="es-MX"/>
        </w:rPr>
        <w:t>LRAIC</w:t>
      </w:r>
      <w:r w:rsidR="00407AD2" w:rsidRPr="004C1A96">
        <w:rPr>
          <w:rFonts w:ascii="ITC Avant Garde" w:hAnsi="ITC Avant Garde"/>
          <w:lang w:val="es-MX"/>
        </w:rPr>
        <w:t xml:space="preserve"> por sus siglas en inglés </w:t>
      </w:r>
      <w:r w:rsidR="00337B8D" w:rsidRPr="004C1A96">
        <w:rPr>
          <w:rFonts w:ascii="ITC Avant Garde" w:hAnsi="ITC Avant Garde"/>
          <w:i/>
          <w:lang w:val="es-MX"/>
        </w:rPr>
        <w:t>Long Run Average Incremental Cost</w:t>
      </w:r>
      <w:r w:rsidR="00337B8D" w:rsidRPr="004C1A96">
        <w:rPr>
          <w:rFonts w:ascii="ITC Avant Garde" w:hAnsi="ITC Avant Garde"/>
          <w:lang w:val="es-MX"/>
        </w:rPr>
        <w:t>)</w:t>
      </w:r>
      <w:r w:rsidRPr="004C1A96">
        <w:rPr>
          <w:rFonts w:ascii="ITC Avant Garde" w:hAnsi="ITC Avant Garde"/>
          <w:lang w:val="es-MX"/>
        </w:rPr>
        <w:t>.</w:t>
      </w:r>
    </w:p>
    <w:p w14:paraId="3B0F45C3" w14:textId="24BEBB59" w:rsidR="00337B8D" w:rsidRPr="004C1A96" w:rsidRDefault="0033164B" w:rsidP="0033164B">
      <w:pPr>
        <w:rPr>
          <w:rFonts w:ascii="ITC Avant Garde" w:hAnsi="ITC Avant Garde"/>
          <w:lang w:val="es-MX"/>
        </w:rPr>
      </w:pPr>
      <w:r w:rsidRPr="004C1A96">
        <w:rPr>
          <w:rFonts w:ascii="ITC Avant Garde" w:hAnsi="ITC Avant Garde"/>
          <w:lang w:val="es-MX"/>
        </w:rPr>
        <w:t xml:space="preserve">Consistente con este marco regulatorio actualizado y dada la naturaleza de los servicios incluidos en las ofertas de referencia antes mencionadas, así como los parámetros, insumos y metodologías ya implementadas en los modelos de acceso (fibra y cobre), </w:t>
      </w:r>
      <w:r w:rsidR="00337B8D" w:rsidRPr="004C1A96">
        <w:rPr>
          <w:rFonts w:ascii="ITC Avant Garde" w:hAnsi="ITC Avant Garde"/>
          <w:lang w:val="es-MX"/>
        </w:rPr>
        <w:t xml:space="preserve">el </w:t>
      </w:r>
      <w:r w:rsidRPr="004C1A96">
        <w:rPr>
          <w:rFonts w:ascii="ITC Avant Garde" w:hAnsi="ITC Avant Garde"/>
          <w:lang w:val="es-MX"/>
        </w:rPr>
        <w:t xml:space="preserve">IFT </w:t>
      </w:r>
      <w:r w:rsidR="00337B8D" w:rsidRPr="004C1A96">
        <w:rPr>
          <w:rFonts w:ascii="ITC Avant Garde" w:hAnsi="ITC Avant Garde"/>
          <w:lang w:val="es-MX"/>
        </w:rPr>
        <w:t>decidi</w:t>
      </w:r>
      <w:r w:rsidR="009C573E" w:rsidRPr="004C1A96">
        <w:rPr>
          <w:rFonts w:ascii="ITC Avant Garde" w:hAnsi="ITC Avant Garde"/>
          <w:lang w:val="es-MX"/>
        </w:rPr>
        <w:t>ó</w:t>
      </w:r>
      <w:r w:rsidRPr="004C1A96">
        <w:rPr>
          <w:rFonts w:ascii="ITC Avant Garde" w:hAnsi="ITC Avant Garde"/>
          <w:lang w:val="es-MX"/>
        </w:rPr>
        <w:t xml:space="preserve"> desarrollar un modelo de costo integral que permite calcular</w:t>
      </w:r>
      <w:r w:rsidR="000C52E2" w:rsidRPr="004C1A96">
        <w:rPr>
          <w:rFonts w:ascii="ITC Avant Garde" w:hAnsi="ITC Avant Garde"/>
          <w:lang w:val="es-MX"/>
        </w:rPr>
        <w:t>:</w:t>
      </w:r>
      <w:r w:rsidRPr="004C1A96">
        <w:rPr>
          <w:rFonts w:ascii="ITC Avant Garde" w:hAnsi="ITC Avant Garde"/>
          <w:lang w:val="es-MX"/>
        </w:rPr>
        <w:t xml:space="preserve"> </w:t>
      </w:r>
    </w:p>
    <w:p w14:paraId="53F42421" w14:textId="15015F08" w:rsidR="00337B8D" w:rsidRPr="004C1A96" w:rsidRDefault="000C52E2" w:rsidP="00556A48">
      <w:pPr>
        <w:pStyle w:val="Prrafodelista"/>
        <w:numPr>
          <w:ilvl w:val="0"/>
          <w:numId w:val="8"/>
        </w:numPr>
        <w:rPr>
          <w:rFonts w:ascii="ITC Avant Garde" w:hAnsi="ITC Avant Garde"/>
          <w:lang w:val="es-MX"/>
        </w:rPr>
      </w:pPr>
      <w:r w:rsidRPr="004C1A96">
        <w:rPr>
          <w:rFonts w:ascii="ITC Avant Garde" w:hAnsi="ITC Avant Garde"/>
          <w:lang w:val="es-MX"/>
        </w:rPr>
        <w:lastRenderedPageBreak/>
        <w:t>E</w:t>
      </w:r>
      <w:r w:rsidR="0033164B" w:rsidRPr="004C1A96">
        <w:rPr>
          <w:rFonts w:ascii="ITC Avant Garde" w:hAnsi="ITC Avant Garde"/>
          <w:lang w:val="es-MX"/>
        </w:rPr>
        <w:t xml:space="preserve">l costo de los servicios de desagregación relacionados con la red de acceso del </w:t>
      </w:r>
      <w:r w:rsidR="007A05CF" w:rsidRPr="004C1A96">
        <w:rPr>
          <w:rFonts w:ascii="ITC Avant Garde" w:hAnsi="ITC Avant Garde"/>
          <w:lang w:val="es-MX"/>
        </w:rPr>
        <w:t>AEP</w:t>
      </w:r>
      <w:r w:rsidR="0033164B" w:rsidRPr="004C1A96">
        <w:rPr>
          <w:rFonts w:ascii="ITC Avant Garde" w:hAnsi="ITC Avant Garde"/>
          <w:lang w:val="es-MX"/>
        </w:rPr>
        <w:t xml:space="preserve"> para ambas tecnologías, cobre y fibra</w:t>
      </w:r>
      <w:r w:rsidRPr="004C1A96">
        <w:rPr>
          <w:rFonts w:ascii="ITC Avant Garde" w:hAnsi="ITC Avant Garde"/>
          <w:lang w:val="es-MX"/>
        </w:rPr>
        <w:t>;</w:t>
      </w:r>
      <w:r w:rsidR="0033164B" w:rsidRPr="004C1A96">
        <w:rPr>
          <w:rFonts w:ascii="ITC Avant Garde" w:hAnsi="ITC Avant Garde"/>
          <w:lang w:val="es-MX"/>
        </w:rPr>
        <w:t xml:space="preserve"> y </w:t>
      </w:r>
    </w:p>
    <w:p w14:paraId="581ADB1B" w14:textId="36A78B2C" w:rsidR="0033164B" w:rsidRPr="004C1A96" w:rsidRDefault="000C52E2" w:rsidP="00556A48">
      <w:pPr>
        <w:pStyle w:val="Prrafodelista"/>
        <w:numPr>
          <w:ilvl w:val="0"/>
          <w:numId w:val="8"/>
        </w:numPr>
        <w:rPr>
          <w:rFonts w:ascii="ITC Avant Garde" w:hAnsi="ITC Avant Garde"/>
          <w:lang w:val="es-MX"/>
        </w:rPr>
      </w:pPr>
      <w:r w:rsidRPr="004C1A96">
        <w:rPr>
          <w:rFonts w:ascii="ITC Avant Garde" w:hAnsi="ITC Avant Garde"/>
          <w:lang w:val="es-MX"/>
        </w:rPr>
        <w:t>E</w:t>
      </w:r>
      <w:r w:rsidR="0033164B" w:rsidRPr="004C1A96">
        <w:rPr>
          <w:rFonts w:ascii="ITC Avant Garde" w:hAnsi="ITC Avant Garde"/>
          <w:lang w:val="es-MX"/>
        </w:rPr>
        <w:t xml:space="preserve">l costo de los servicios de compartición de infraestructura pasiva. </w:t>
      </w:r>
    </w:p>
    <w:p w14:paraId="3AE87E34" w14:textId="42DE2C10" w:rsidR="00127D90" w:rsidRPr="004C1A96" w:rsidRDefault="00372D1F" w:rsidP="00127D90">
      <w:pPr>
        <w:rPr>
          <w:rFonts w:ascii="ITC Avant Garde" w:hAnsi="ITC Avant Garde"/>
          <w:lang w:val="es-MX"/>
        </w:rPr>
      </w:pPr>
      <w:r w:rsidRPr="004C1A96">
        <w:rPr>
          <w:rFonts w:ascii="ITC Avant Garde" w:hAnsi="ITC Avant Garde"/>
          <w:lang w:val="es-MX"/>
        </w:rPr>
        <w:t xml:space="preserve">El IFT </w:t>
      </w:r>
      <w:r w:rsidR="00821A59" w:rsidRPr="004C1A96">
        <w:rPr>
          <w:rFonts w:ascii="ITC Avant Garde" w:hAnsi="ITC Avant Garde"/>
          <w:lang w:val="es-MX"/>
        </w:rPr>
        <w:t xml:space="preserve">encargó </w:t>
      </w:r>
      <w:r w:rsidRPr="004C1A96">
        <w:rPr>
          <w:rFonts w:ascii="ITC Avant Garde" w:hAnsi="ITC Avant Garde"/>
          <w:lang w:val="es-MX"/>
        </w:rPr>
        <w:t xml:space="preserve">a TERA Consultants (TERA) el desarrollo del modelo </w:t>
      </w:r>
      <w:r w:rsidR="00A8465E" w:rsidRPr="004C1A96">
        <w:rPr>
          <w:rFonts w:ascii="ITC Avant Garde" w:hAnsi="ITC Avant Garde"/>
          <w:lang w:val="es-MX"/>
        </w:rPr>
        <w:t xml:space="preserve">de CIPLP </w:t>
      </w:r>
      <w:r w:rsidRPr="004C1A96">
        <w:rPr>
          <w:rFonts w:ascii="ITC Avant Garde" w:hAnsi="ITC Avant Garde"/>
          <w:lang w:val="es-MX"/>
        </w:rPr>
        <w:t xml:space="preserve">para redes fijas en México para el período 2018-2023 con el fin de establecer precios para los servicios antes citados. </w:t>
      </w:r>
    </w:p>
    <w:p w14:paraId="29857DF8" w14:textId="6598CD30" w:rsidR="00372D1F" w:rsidRPr="004C1A96" w:rsidRDefault="00372D1F" w:rsidP="00821A59">
      <w:pPr>
        <w:rPr>
          <w:rFonts w:ascii="ITC Avant Garde" w:hAnsi="ITC Avant Garde"/>
          <w:lang w:val="es-MX"/>
        </w:rPr>
      </w:pPr>
      <w:r w:rsidRPr="004C1A96">
        <w:rPr>
          <w:rFonts w:ascii="ITC Avant Garde" w:hAnsi="ITC Avant Garde"/>
          <w:lang w:val="es-MX"/>
        </w:rPr>
        <w:t xml:space="preserve">Como parte de las primeras fases de este proyecto, TERA realizó una revisión global de los modelos </w:t>
      </w:r>
      <w:r w:rsidR="009136FB" w:rsidRPr="004C1A96">
        <w:rPr>
          <w:rFonts w:ascii="ITC Avant Garde" w:hAnsi="ITC Avant Garde"/>
          <w:lang w:val="es-MX"/>
        </w:rPr>
        <w:t>de cobre y de fibra</w:t>
      </w:r>
      <w:r w:rsidR="00821A59" w:rsidRPr="004C1A96">
        <w:rPr>
          <w:rFonts w:ascii="ITC Avant Garde" w:hAnsi="ITC Avant Garde"/>
          <w:lang w:val="es-MX"/>
        </w:rPr>
        <w:t xml:space="preserve">. </w:t>
      </w:r>
    </w:p>
    <w:p w14:paraId="013E5689" w14:textId="77846C1C" w:rsidR="001D6A1A" w:rsidRPr="004C1A96" w:rsidRDefault="0033164B" w:rsidP="0033164B">
      <w:pPr>
        <w:rPr>
          <w:rFonts w:ascii="ITC Avant Garde" w:hAnsi="ITC Avant Garde"/>
          <w:lang w:val="es-MX"/>
        </w:rPr>
      </w:pPr>
      <w:r w:rsidRPr="004C1A96">
        <w:rPr>
          <w:rFonts w:ascii="ITC Avant Garde" w:hAnsi="ITC Avant Garde"/>
          <w:lang w:val="es-MX"/>
        </w:rPr>
        <w:t xml:space="preserve">El nuevo modelo </w:t>
      </w:r>
      <w:r w:rsidR="000366A3" w:rsidRPr="004C1A96">
        <w:rPr>
          <w:rFonts w:ascii="ITC Avant Garde" w:hAnsi="ITC Avant Garde"/>
          <w:lang w:val="es-MX"/>
        </w:rPr>
        <w:t xml:space="preserve">integral </w:t>
      </w:r>
      <w:r w:rsidR="00821A59" w:rsidRPr="004C1A96">
        <w:rPr>
          <w:rFonts w:ascii="ITC Avant Garde" w:hAnsi="ITC Avant Garde"/>
          <w:lang w:val="es-MX"/>
        </w:rPr>
        <w:t xml:space="preserve">tuvo </w:t>
      </w:r>
      <w:r w:rsidRPr="004C1A96">
        <w:rPr>
          <w:rFonts w:ascii="ITC Avant Garde" w:hAnsi="ITC Avant Garde"/>
          <w:lang w:val="es-MX"/>
        </w:rPr>
        <w:t xml:space="preserve">en cuenta las partes relevantes y válidas de los modelos anteriores, por </w:t>
      </w:r>
      <w:r w:rsidR="009F5817" w:rsidRPr="004C1A96">
        <w:rPr>
          <w:rFonts w:ascii="ITC Avant Garde" w:hAnsi="ITC Avant Garde"/>
          <w:lang w:val="es-MX"/>
        </w:rPr>
        <w:t>ejemplo,</w:t>
      </w:r>
      <w:r w:rsidRPr="004C1A96">
        <w:rPr>
          <w:rFonts w:ascii="ITC Avant Garde" w:hAnsi="ITC Avant Garde"/>
          <w:lang w:val="es-MX"/>
        </w:rPr>
        <w:t xml:space="preserve"> algunas reglas de ingeniería, vidas de activos, datos sobre la red</w:t>
      </w:r>
      <w:r w:rsidR="001D6A1A" w:rsidRPr="004C1A96">
        <w:rPr>
          <w:rFonts w:ascii="ITC Avant Garde" w:hAnsi="ITC Avant Garde"/>
          <w:lang w:val="es-MX"/>
        </w:rPr>
        <w:t xml:space="preserve"> y</w:t>
      </w:r>
      <w:r w:rsidRPr="004C1A96">
        <w:rPr>
          <w:rFonts w:ascii="ITC Avant Garde" w:hAnsi="ITC Avant Garde"/>
          <w:lang w:val="es-MX"/>
        </w:rPr>
        <w:t xml:space="preserve"> datos de costos. </w:t>
      </w:r>
    </w:p>
    <w:p w14:paraId="4F8A652A" w14:textId="612FF7C9" w:rsidR="0033164B" w:rsidRPr="004C1A96" w:rsidRDefault="001D6A1A" w:rsidP="0033164B">
      <w:pPr>
        <w:rPr>
          <w:rFonts w:ascii="ITC Avant Garde" w:hAnsi="ITC Avant Garde"/>
          <w:lang w:val="es-MX"/>
        </w:rPr>
      </w:pPr>
      <w:r w:rsidRPr="004C1A96">
        <w:rPr>
          <w:rFonts w:ascii="ITC Avant Garde" w:hAnsi="ITC Avant Garde"/>
          <w:lang w:val="es-MX"/>
        </w:rPr>
        <w:t xml:space="preserve">El </w:t>
      </w:r>
      <w:r w:rsidR="0033164B" w:rsidRPr="004C1A96">
        <w:rPr>
          <w:rFonts w:ascii="ITC Avant Garde" w:hAnsi="ITC Avant Garde"/>
          <w:lang w:val="es-MX"/>
        </w:rPr>
        <w:t xml:space="preserve">modelo de costos </w:t>
      </w:r>
      <w:r w:rsidR="00821A59" w:rsidRPr="004C1A96">
        <w:rPr>
          <w:rFonts w:ascii="ITC Avant Garde" w:hAnsi="ITC Avant Garde"/>
          <w:lang w:val="es-MX"/>
        </w:rPr>
        <w:t xml:space="preserve">fue </w:t>
      </w:r>
      <w:r w:rsidRPr="004C1A96">
        <w:rPr>
          <w:rFonts w:ascii="ITC Avant Garde" w:hAnsi="ITC Avant Garde"/>
          <w:lang w:val="es-MX"/>
        </w:rPr>
        <w:t xml:space="preserve">desarrollado tomando en alta consideración </w:t>
      </w:r>
      <w:r w:rsidR="0033164B" w:rsidRPr="004C1A96">
        <w:rPr>
          <w:rFonts w:ascii="ITC Avant Garde" w:hAnsi="ITC Avant Garde"/>
          <w:lang w:val="es-MX"/>
        </w:rPr>
        <w:t>el marco regulatorio mexicano</w:t>
      </w:r>
      <w:r w:rsidRPr="004C1A96">
        <w:rPr>
          <w:rFonts w:ascii="ITC Avant Garde" w:hAnsi="ITC Avant Garde"/>
          <w:lang w:val="es-MX"/>
        </w:rPr>
        <w:t>, as</w:t>
      </w:r>
      <w:r w:rsidR="006F7C8B" w:rsidRPr="004C1A96">
        <w:rPr>
          <w:rFonts w:ascii="ITC Avant Garde" w:hAnsi="ITC Avant Garde"/>
          <w:lang w:val="es-MX"/>
        </w:rPr>
        <w:t>í</w:t>
      </w:r>
      <w:r w:rsidRPr="004C1A96">
        <w:rPr>
          <w:rFonts w:ascii="ITC Avant Garde" w:hAnsi="ITC Avant Garde"/>
          <w:lang w:val="es-MX"/>
        </w:rPr>
        <w:t xml:space="preserve"> como</w:t>
      </w:r>
      <w:r w:rsidR="0033164B" w:rsidRPr="004C1A96">
        <w:rPr>
          <w:rFonts w:ascii="ITC Avant Garde" w:hAnsi="ITC Avant Garde"/>
          <w:lang w:val="es-MX"/>
        </w:rPr>
        <w:t xml:space="preserve"> las mejores prácticas internacionales, </w:t>
      </w:r>
      <w:r w:rsidRPr="004C1A96">
        <w:rPr>
          <w:rFonts w:ascii="ITC Avant Garde" w:hAnsi="ITC Avant Garde"/>
          <w:lang w:val="es-MX"/>
        </w:rPr>
        <w:t>en particular</w:t>
      </w:r>
      <w:r w:rsidR="0033164B" w:rsidRPr="004C1A96">
        <w:rPr>
          <w:rFonts w:ascii="ITC Avant Garde" w:hAnsi="ITC Avant Garde"/>
          <w:lang w:val="es-MX"/>
        </w:rPr>
        <w:t xml:space="preserve"> el </w:t>
      </w:r>
      <w:r w:rsidRPr="004C1A96">
        <w:rPr>
          <w:rFonts w:ascii="ITC Avant Garde" w:hAnsi="ITC Avant Garde"/>
          <w:lang w:val="es-MX"/>
        </w:rPr>
        <w:t>m</w:t>
      </w:r>
      <w:r w:rsidR="0033164B" w:rsidRPr="004C1A96">
        <w:rPr>
          <w:rFonts w:ascii="ITC Avant Garde" w:hAnsi="ITC Avant Garde"/>
          <w:lang w:val="es-MX"/>
        </w:rPr>
        <w:t>arco</w:t>
      </w:r>
      <w:r w:rsidRPr="004C1A96">
        <w:rPr>
          <w:rFonts w:ascii="ITC Avant Garde" w:hAnsi="ITC Avant Garde"/>
          <w:lang w:val="es-MX"/>
        </w:rPr>
        <w:t xml:space="preserve"> regulatorio </w:t>
      </w:r>
      <w:r w:rsidR="0033164B" w:rsidRPr="004C1A96">
        <w:rPr>
          <w:rFonts w:ascii="ITC Avant Garde" w:hAnsi="ITC Avant Garde"/>
          <w:lang w:val="es-MX"/>
        </w:rPr>
        <w:t>Europeo de Comunicaciones Electrónicas</w:t>
      </w:r>
      <w:r w:rsidRPr="004C1A96">
        <w:rPr>
          <w:rFonts w:ascii="ITC Avant Garde" w:hAnsi="ITC Avant Garde"/>
          <w:lang w:val="es-MX"/>
        </w:rPr>
        <w:t>.</w:t>
      </w:r>
    </w:p>
    <w:p w14:paraId="1C08CE1F" w14:textId="16A46AE6" w:rsidR="00127D90" w:rsidRPr="004C1A96" w:rsidRDefault="00127D90" w:rsidP="00127D90">
      <w:pPr>
        <w:rPr>
          <w:rFonts w:ascii="ITC Avant Garde" w:hAnsi="ITC Avant Garde"/>
          <w:lang w:val="es-MX"/>
        </w:rPr>
      </w:pPr>
      <w:r w:rsidRPr="004C1A96">
        <w:rPr>
          <w:rFonts w:ascii="ITC Avant Garde" w:hAnsi="ITC Avant Garde"/>
          <w:lang w:val="es-MX"/>
        </w:rPr>
        <w:t xml:space="preserve">A este respecto, se señala que el modelo integral inicialmente desarrollado en el año 2018 fue utilizado por el Instituto para la determinación de las tarifas mayoristas aplicables a </w:t>
      </w:r>
      <w:r w:rsidR="000366A3" w:rsidRPr="004C1A96">
        <w:rPr>
          <w:rFonts w:ascii="ITC Avant Garde" w:hAnsi="ITC Avant Garde"/>
          <w:lang w:val="es-MX"/>
        </w:rPr>
        <w:t xml:space="preserve">los </w:t>
      </w:r>
      <w:r w:rsidRPr="004C1A96">
        <w:rPr>
          <w:rFonts w:ascii="ITC Avant Garde" w:hAnsi="ITC Avant Garde"/>
          <w:lang w:val="es-MX"/>
        </w:rPr>
        <w:t xml:space="preserve">servicios </w:t>
      </w:r>
      <w:r w:rsidR="000366A3" w:rsidRPr="004C1A96">
        <w:rPr>
          <w:rFonts w:ascii="ITC Avant Garde" w:hAnsi="ITC Avant Garde"/>
          <w:lang w:val="es-MX"/>
        </w:rPr>
        <w:t xml:space="preserve">relevantes </w:t>
      </w:r>
      <w:r w:rsidRPr="004C1A96">
        <w:rPr>
          <w:rFonts w:ascii="ITC Avant Garde" w:hAnsi="ITC Avant Garde"/>
          <w:lang w:val="es-MX"/>
        </w:rPr>
        <w:t xml:space="preserve">para los años </w:t>
      </w:r>
      <w:r w:rsidR="00064199" w:rsidRPr="005D526B">
        <w:rPr>
          <w:rFonts w:ascii="ITC Avant Garde" w:hAnsi="ITC Avant Garde" w:cs="Arial"/>
          <w:bCs/>
          <w:color w:val="000000"/>
          <w:lang w:val="es-MX" w:eastAsia="es-MX"/>
        </w:rPr>
        <w:t>2019, 2020</w:t>
      </w:r>
      <w:r w:rsidRPr="004C1A96">
        <w:rPr>
          <w:rFonts w:ascii="ITC Avant Garde" w:hAnsi="ITC Avant Garde"/>
          <w:lang w:val="es-MX"/>
        </w:rPr>
        <w:t xml:space="preserve">. Posteriormente, </w:t>
      </w:r>
      <w:r w:rsidRPr="00E14D8A">
        <w:rPr>
          <w:rFonts w:ascii="ITC Avant Garde" w:hAnsi="ITC Avant Garde"/>
          <w:lang w:val="es-MX"/>
        </w:rPr>
        <w:t xml:space="preserve">se llevó a cabo una actualización del mismo, a partir de la cual se determinaron las tarifas aplicables para los años </w:t>
      </w:r>
      <w:r w:rsidR="00064199" w:rsidRPr="00E17365">
        <w:rPr>
          <w:rFonts w:ascii="ITC Avant Garde" w:hAnsi="ITC Avant Garde" w:cs="Arial"/>
          <w:bCs/>
          <w:color w:val="000000"/>
          <w:lang w:val="es-MX" w:eastAsia="es-MX"/>
        </w:rPr>
        <w:t>2021, 2022 y 2023</w:t>
      </w:r>
      <w:r w:rsidR="00064199" w:rsidRPr="00E17365">
        <w:rPr>
          <w:rFonts w:ascii="ITC Avant Garde" w:hAnsi="ITC Avant Garde" w:cs="Arial"/>
          <w:lang w:val="es-MX"/>
        </w:rPr>
        <w:t>.</w:t>
      </w:r>
    </w:p>
    <w:p w14:paraId="45484377" w14:textId="363A7CA3" w:rsidR="00127D90" w:rsidRPr="00E14D8A" w:rsidRDefault="00064199" w:rsidP="00127D90">
      <w:pPr>
        <w:rPr>
          <w:rFonts w:ascii="ITC Avant Garde" w:hAnsi="ITC Avant Garde"/>
          <w:lang w:val="es-MX"/>
        </w:rPr>
      </w:pPr>
      <w:r w:rsidRPr="00E14D8A">
        <w:rPr>
          <w:rFonts w:ascii="ITC Avant Garde" w:hAnsi="ITC Avant Garde"/>
          <w:lang w:val="es-MX"/>
        </w:rPr>
        <w:t xml:space="preserve">Para este ejercicio, </w:t>
      </w:r>
      <w:r w:rsidRPr="004C1A96">
        <w:rPr>
          <w:rFonts w:ascii="ITC Avant Garde" w:hAnsi="ITC Avant Garde"/>
          <w:lang w:val="es-MX"/>
        </w:rPr>
        <w:t>se solicitó</w:t>
      </w:r>
      <w:r w:rsidR="00127D90" w:rsidRPr="004C1A96">
        <w:rPr>
          <w:rFonts w:ascii="ITC Avant Garde" w:hAnsi="ITC Avant Garde"/>
          <w:lang w:val="es-MX"/>
        </w:rPr>
        <w:t xml:space="preserve"> a Axon Partners Group Consulting la actualización del modelo integral</w:t>
      </w:r>
      <w:r w:rsidR="000366A3" w:rsidRPr="00E14D8A">
        <w:rPr>
          <w:rFonts w:ascii="ITC Avant Garde" w:hAnsi="ITC Avant Garde"/>
          <w:lang w:val="es-MX"/>
        </w:rPr>
        <w:t>,</w:t>
      </w:r>
      <w:r w:rsidR="00127D90" w:rsidRPr="00E14D8A">
        <w:rPr>
          <w:rFonts w:ascii="ITC Avant Garde" w:hAnsi="ITC Avant Garde"/>
          <w:lang w:val="es-MX"/>
        </w:rPr>
        <w:t xml:space="preserve"> de cara a su utilización en los próximos años para la regulación de los precios mayoristas del AEP por parte del Instituto. </w:t>
      </w:r>
    </w:p>
    <w:p w14:paraId="0B57DA39" w14:textId="1D12BA75" w:rsidR="0033164B" w:rsidRPr="0028360F" w:rsidRDefault="0033164B" w:rsidP="00F17242">
      <w:pPr>
        <w:pStyle w:val="Ttulo2"/>
        <w:rPr>
          <w:lang w:val="es-MX"/>
        </w:rPr>
      </w:pPr>
      <w:bookmarkStart w:id="55" w:name="_Toc525665253"/>
      <w:bookmarkStart w:id="56" w:name="_Toc525665632"/>
      <w:bookmarkStart w:id="57" w:name="_Toc141974991"/>
      <w:r w:rsidRPr="0028360F">
        <w:rPr>
          <w:lang w:val="es-MX"/>
        </w:rPr>
        <w:t xml:space="preserve">Objetivos del </w:t>
      </w:r>
      <w:r w:rsidR="001D6A1A" w:rsidRPr="0028360F">
        <w:rPr>
          <w:lang w:val="es-MX"/>
        </w:rPr>
        <w:t xml:space="preserve">presente </w:t>
      </w:r>
      <w:r w:rsidRPr="0028360F">
        <w:rPr>
          <w:lang w:val="es-MX"/>
        </w:rPr>
        <w:t>informe</w:t>
      </w:r>
      <w:bookmarkEnd w:id="55"/>
      <w:bookmarkEnd w:id="56"/>
      <w:bookmarkEnd w:id="57"/>
    </w:p>
    <w:p w14:paraId="445B731B" w14:textId="77777777" w:rsidR="00372D1F" w:rsidRPr="004C1A96" w:rsidRDefault="00372D1F" w:rsidP="00372D1F">
      <w:pPr>
        <w:rPr>
          <w:rFonts w:ascii="ITC Avant Garde" w:hAnsi="ITC Avant Garde"/>
          <w:lang w:val="es-MX"/>
        </w:rPr>
      </w:pPr>
      <w:r w:rsidRPr="004C1A96">
        <w:rPr>
          <w:rFonts w:ascii="ITC Avant Garde" w:hAnsi="ITC Avant Garde"/>
          <w:lang w:val="es-MX"/>
        </w:rPr>
        <w:t>Este informe tiene como objetivo describir a la industria los principios metodol</w:t>
      </w:r>
      <w:r w:rsidR="00720839" w:rsidRPr="00E14D8A">
        <w:rPr>
          <w:rFonts w:ascii="ITC Avant Garde" w:hAnsi="ITC Avant Garde"/>
          <w:lang w:val="es-MX"/>
        </w:rPr>
        <w:t>ó</w:t>
      </w:r>
      <w:r w:rsidRPr="00E14D8A">
        <w:rPr>
          <w:rFonts w:ascii="ITC Avant Garde" w:hAnsi="ITC Avant Garde"/>
          <w:lang w:val="es-MX"/>
        </w:rPr>
        <w:t>gicos clave que se han considerado en el desarrollo del modelo de costos, as</w:t>
      </w:r>
      <w:r w:rsidR="000C52E2" w:rsidRPr="00E14D8A">
        <w:rPr>
          <w:rFonts w:ascii="ITC Avant Garde" w:hAnsi="ITC Avant Garde"/>
          <w:lang w:val="es-MX"/>
        </w:rPr>
        <w:t>í</w:t>
      </w:r>
      <w:r w:rsidRPr="004C1A96">
        <w:rPr>
          <w:rFonts w:ascii="ITC Avant Garde" w:hAnsi="ITC Avant Garde"/>
          <w:lang w:val="es-MX"/>
        </w:rPr>
        <w:t xml:space="preserve"> como la estructura, los parámetros y los supuestos utilizados durante el desarrollo del modelo </w:t>
      </w:r>
      <w:r w:rsidR="00A8465E" w:rsidRPr="004C1A96">
        <w:rPr>
          <w:rFonts w:ascii="ITC Avant Garde" w:hAnsi="ITC Avant Garde"/>
          <w:lang w:val="es-MX"/>
        </w:rPr>
        <w:t xml:space="preserve">de CIPLP </w:t>
      </w:r>
      <w:r w:rsidRPr="004C1A96">
        <w:rPr>
          <w:rFonts w:ascii="ITC Avant Garde" w:hAnsi="ITC Avant Garde"/>
          <w:lang w:val="es-MX"/>
        </w:rPr>
        <w:t xml:space="preserve">para redes fijas que luego se utilizan para determinar los costos basados </w:t>
      </w:r>
      <w:r w:rsidRPr="004C1A96">
        <w:rPr>
          <w:rFonts w:cs="Arial"/>
          <w:lang w:val="es-MX"/>
        </w:rPr>
        <w:t>​​</w:t>
      </w:r>
      <w:r w:rsidRPr="004C1A96">
        <w:rPr>
          <w:rFonts w:ascii="ITC Avant Garde" w:hAnsi="ITC Avant Garde"/>
          <w:lang w:val="es-MX"/>
        </w:rPr>
        <w:t xml:space="preserve">en </w:t>
      </w:r>
      <w:r w:rsidR="00A8465E" w:rsidRPr="004C1A96">
        <w:rPr>
          <w:rFonts w:ascii="ITC Avant Garde" w:hAnsi="ITC Avant Garde"/>
          <w:lang w:val="es-MX"/>
        </w:rPr>
        <w:t xml:space="preserve">CIPLP </w:t>
      </w:r>
      <w:r w:rsidRPr="004C1A96">
        <w:rPr>
          <w:rFonts w:ascii="ITC Avant Garde" w:hAnsi="ITC Avant Garde"/>
          <w:lang w:val="es-MX"/>
        </w:rPr>
        <w:t>para ciertos servicios mayoristas y de acceso principal en México.</w:t>
      </w:r>
    </w:p>
    <w:p w14:paraId="035BA7B5" w14:textId="77777777" w:rsidR="00372D1F" w:rsidRPr="004C1A96" w:rsidRDefault="0033164B" w:rsidP="0033164B">
      <w:pPr>
        <w:rPr>
          <w:rFonts w:ascii="ITC Avant Garde" w:hAnsi="ITC Avant Garde"/>
          <w:lang w:val="es-MX"/>
        </w:rPr>
      </w:pPr>
      <w:r w:rsidRPr="004C1A96">
        <w:rPr>
          <w:rFonts w:ascii="ITC Avant Garde" w:hAnsi="ITC Avant Garde"/>
          <w:lang w:val="es-MX"/>
        </w:rPr>
        <w:t xml:space="preserve">El informe está </w:t>
      </w:r>
      <w:r w:rsidR="009C573E" w:rsidRPr="004C1A96">
        <w:rPr>
          <w:rFonts w:ascii="ITC Avant Garde" w:hAnsi="ITC Avant Garde"/>
          <w:lang w:val="es-MX"/>
        </w:rPr>
        <w:t>compuesto de</w:t>
      </w:r>
      <w:r w:rsidRPr="004C1A96">
        <w:rPr>
          <w:rFonts w:ascii="ITC Avant Garde" w:hAnsi="ITC Avant Garde"/>
          <w:lang w:val="es-MX"/>
        </w:rPr>
        <w:t xml:space="preserve"> </w:t>
      </w:r>
      <w:r w:rsidR="00372D1F" w:rsidRPr="004C1A96">
        <w:rPr>
          <w:rFonts w:ascii="ITC Avant Garde" w:hAnsi="ITC Avant Garde"/>
          <w:lang w:val="es-MX"/>
        </w:rPr>
        <w:t>2 secciones principales</w:t>
      </w:r>
      <w:r w:rsidR="009C573E" w:rsidRPr="004C1A96">
        <w:rPr>
          <w:rFonts w:ascii="ITC Avant Garde" w:hAnsi="ITC Avant Garde"/>
          <w:lang w:val="es-MX"/>
        </w:rPr>
        <w:t>:</w:t>
      </w:r>
      <w:r w:rsidR="00372D1F" w:rsidRPr="004C1A96">
        <w:rPr>
          <w:rFonts w:ascii="ITC Avant Garde" w:hAnsi="ITC Avant Garde"/>
          <w:lang w:val="es-MX"/>
        </w:rPr>
        <w:t xml:space="preserve"> </w:t>
      </w:r>
    </w:p>
    <w:p w14:paraId="6E3D7682" w14:textId="77777777" w:rsidR="00372D1F" w:rsidRPr="004C1A96" w:rsidRDefault="00372D1F" w:rsidP="009D2DBF">
      <w:pPr>
        <w:pStyle w:val="Listaconvietas2"/>
        <w:rPr>
          <w:rFonts w:ascii="ITC Avant Garde" w:hAnsi="ITC Avant Garde"/>
          <w:lang w:val="es-MX"/>
        </w:rPr>
      </w:pPr>
      <w:r w:rsidRPr="004C1A96">
        <w:rPr>
          <w:rFonts w:ascii="ITC Avant Garde" w:hAnsi="ITC Avant Garde"/>
          <w:lang w:val="es-MX"/>
        </w:rPr>
        <w:t>La primera sección describe los principios metodológicos y con</w:t>
      </w:r>
      <w:r w:rsidR="00A8465E" w:rsidRPr="004C1A96">
        <w:rPr>
          <w:rFonts w:ascii="ITC Avant Garde" w:hAnsi="ITC Avant Garde"/>
          <w:lang w:val="es-MX"/>
        </w:rPr>
        <w:t>c</w:t>
      </w:r>
      <w:r w:rsidRPr="004C1A96">
        <w:rPr>
          <w:rFonts w:ascii="ITC Avant Garde" w:hAnsi="ITC Avant Garde"/>
          <w:lang w:val="es-MX"/>
        </w:rPr>
        <w:t xml:space="preserve">eptuales en que se ha basado el desarrollo el modelo. </w:t>
      </w:r>
    </w:p>
    <w:p w14:paraId="46F85C6D" w14:textId="77777777" w:rsidR="00372D1F" w:rsidRPr="004C1A96" w:rsidRDefault="00372D1F" w:rsidP="009D2DBF">
      <w:pPr>
        <w:pStyle w:val="Listaconvietas2"/>
        <w:rPr>
          <w:rFonts w:ascii="ITC Avant Garde" w:hAnsi="ITC Avant Garde"/>
          <w:lang w:val="es-MX"/>
        </w:rPr>
      </w:pPr>
      <w:r w:rsidRPr="004C1A96">
        <w:rPr>
          <w:rFonts w:ascii="ITC Avant Garde" w:hAnsi="ITC Avant Garde"/>
          <w:lang w:val="es-MX"/>
        </w:rPr>
        <w:t xml:space="preserve">La segunda sección proporciona una descripción técnica de la implementación del modelo, de acuerdo con los principios conceptuales mencionados en la primera sección. </w:t>
      </w:r>
    </w:p>
    <w:p w14:paraId="0052EA79" w14:textId="465D04C4" w:rsidR="00792987" w:rsidRPr="004C1A96" w:rsidRDefault="00152309">
      <w:pPr>
        <w:spacing w:before="0" w:line="240" w:lineRule="auto"/>
        <w:jc w:val="left"/>
        <w:rPr>
          <w:rFonts w:ascii="ITC Avant Garde" w:hAnsi="ITC Avant Garde"/>
          <w:b/>
          <w:color w:val="808080"/>
          <w:sz w:val="28"/>
          <w:lang w:val="es-MX"/>
        </w:rPr>
      </w:pPr>
      <w:r w:rsidRPr="004C1A96">
        <w:rPr>
          <w:rFonts w:ascii="ITC Avant Garde" w:hAnsi="ITC Avant Garde"/>
          <w:lang w:val="es-MX"/>
        </w:rPr>
        <w:t xml:space="preserve">Este informe incluye también </w:t>
      </w:r>
      <w:r w:rsidR="00F370AD" w:rsidRPr="004C1A96">
        <w:rPr>
          <w:rFonts w:ascii="ITC Avant Garde" w:hAnsi="ITC Avant Garde"/>
          <w:lang w:val="es-MX"/>
        </w:rPr>
        <w:t>una serie de anexos al final del documento.</w:t>
      </w:r>
      <w:r w:rsidR="00372D1F" w:rsidRPr="004C1A96">
        <w:rPr>
          <w:rFonts w:ascii="ITC Avant Garde" w:hAnsi="ITC Avant Garde"/>
          <w:lang w:val="es-MX"/>
        </w:rPr>
        <w:t xml:space="preserve"> </w:t>
      </w:r>
    </w:p>
    <w:p w14:paraId="07F9E560" w14:textId="77777777" w:rsidR="00FE0A2B" w:rsidRPr="0028360F" w:rsidRDefault="00A374A9" w:rsidP="005E134D">
      <w:pPr>
        <w:pStyle w:val="Ttulo1"/>
        <w:rPr>
          <w:lang w:val="es-MX"/>
        </w:rPr>
      </w:pPr>
      <w:bookmarkStart w:id="58" w:name="_Toc525665255"/>
      <w:bookmarkStart w:id="59" w:name="_Toc525665634"/>
      <w:bookmarkStart w:id="60" w:name="_Toc141974992"/>
      <w:r w:rsidRPr="0028360F">
        <w:rPr>
          <w:lang w:val="es-MX"/>
        </w:rPr>
        <w:lastRenderedPageBreak/>
        <w:t>Principios metodológicos y conceptuales</w:t>
      </w:r>
      <w:bookmarkEnd w:id="58"/>
      <w:bookmarkEnd w:id="59"/>
      <w:bookmarkEnd w:id="60"/>
    </w:p>
    <w:p w14:paraId="18E136F2" w14:textId="77777777" w:rsidR="00152309" w:rsidRPr="004C1A96" w:rsidRDefault="00152309" w:rsidP="00152309">
      <w:pPr>
        <w:rPr>
          <w:rFonts w:ascii="ITC Avant Garde" w:hAnsi="ITC Avant Garde"/>
          <w:lang w:val="es-MX"/>
        </w:rPr>
      </w:pPr>
      <w:r w:rsidRPr="004C1A96">
        <w:rPr>
          <w:rFonts w:ascii="ITC Avant Garde" w:hAnsi="ITC Avant Garde"/>
          <w:lang w:val="es-MX"/>
        </w:rPr>
        <w:t xml:space="preserve">Esta </w:t>
      </w:r>
      <w:r w:rsidR="009533FA" w:rsidRPr="004C1A96">
        <w:rPr>
          <w:rFonts w:ascii="ITC Avant Garde" w:hAnsi="ITC Avant Garde"/>
          <w:lang w:val="es-MX"/>
        </w:rPr>
        <w:t>sección</w:t>
      </w:r>
      <w:r w:rsidRPr="004C1A96">
        <w:rPr>
          <w:rFonts w:ascii="ITC Avant Garde" w:hAnsi="ITC Avant Garde"/>
          <w:lang w:val="es-MX"/>
        </w:rPr>
        <w:t xml:space="preserve"> tiene la siguiente estructura:</w:t>
      </w:r>
    </w:p>
    <w:p w14:paraId="1305A412" w14:textId="77777777" w:rsidR="00152309" w:rsidRPr="00E14D8A" w:rsidRDefault="00152309" w:rsidP="00152309">
      <w:pPr>
        <w:pStyle w:val="Listaconvietas2"/>
        <w:rPr>
          <w:rFonts w:ascii="ITC Avant Garde" w:hAnsi="ITC Avant Garde"/>
          <w:lang w:val="es-MX"/>
        </w:rPr>
      </w:pPr>
      <w:r w:rsidRPr="00E14D8A">
        <w:rPr>
          <w:rFonts w:ascii="ITC Avant Garde" w:hAnsi="ITC Avant Garde"/>
          <w:lang w:val="es-MX"/>
        </w:rPr>
        <w:t>La sección 2.1 aborda los principales principios metodológicos definidos por el marco regulatorio mexicano, que se deben de tomar en cuenta en el modelo de costos;</w:t>
      </w:r>
    </w:p>
    <w:p w14:paraId="5A73F9AD" w14:textId="77777777" w:rsidR="00152309" w:rsidRPr="00E14D8A" w:rsidRDefault="00152309" w:rsidP="00152309">
      <w:pPr>
        <w:pStyle w:val="Listaconvietas2"/>
        <w:rPr>
          <w:rFonts w:ascii="ITC Avant Garde" w:hAnsi="ITC Avant Garde"/>
          <w:lang w:val="es-MX"/>
        </w:rPr>
      </w:pPr>
      <w:r w:rsidRPr="00E14D8A">
        <w:rPr>
          <w:rFonts w:ascii="ITC Avant Garde" w:hAnsi="ITC Avant Garde"/>
          <w:lang w:val="es-MX"/>
        </w:rPr>
        <w:t>La sección 2.2 detalla algunas decisiones metodológicas que se han considerado para el modelo de red de acceso;</w:t>
      </w:r>
    </w:p>
    <w:p w14:paraId="2E3E4DB5" w14:textId="45CB9849" w:rsidR="00152309" w:rsidRPr="004C1A96" w:rsidRDefault="00152309" w:rsidP="00152309">
      <w:pPr>
        <w:pStyle w:val="Listaconvietas2"/>
        <w:rPr>
          <w:rFonts w:ascii="ITC Avant Garde" w:hAnsi="ITC Avant Garde"/>
          <w:lang w:val="es-MX"/>
        </w:rPr>
      </w:pPr>
      <w:r w:rsidRPr="004C1A96">
        <w:rPr>
          <w:rFonts w:ascii="ITC Avant Garde" w:hAnsi="ITC Avant Garde"/>
          <w:lang w:val="es-MX"/>
        </w:rPr>
        <w:t>La sección 2.3 aborda el enfoque de implementación para la red de acceso (fibra y cobre);</w:t>
      </w:r>
    </w:p>
    <w:p w14:paraId="2737F179" w14:textId="77777777" w:rsidR="003B3086" w:rsidRPr="004C1A96" w:rsidRDefault="00152309" w:rsidP="00152309">
      <w:pPr>
        <w:pStyle w:val="Listaconvietas2"/>
        <w:rPr>
          <w:rFonts w:ascii="ITC Avant Garde" w:hAnsi="ITC Avant Garde"/>
          <w:lang w:val="es-MX"/>
        </w:rPr>
      </w:pPr>
      <w:r w:rsidRPr="004C1A96">
        <w:rPr>
          <w:rFonts w:ascii="ITC Avant Garde" w:hAnsi="ITC Avant Garde"/>
          <w:lang w:val="es-MX"/>
        </w:rPr>
        <w:t>La sección 2.4 aborda la evaluación de costos de capital (CAPEX) y costos operacionales (OPEX).</w:t>
      </w:r>
    </w:p>
    <w:p w14:paraId="283764D5" w14:textId="77777777" w:rsidR="008E052A" w:rsidRPr="00FF2101" w:rsidRDefault="003B3086" w:rsidP="00F17242">
      <w:pPr>
        <w:pStyle w:val="Ttulo2"/>
        <w:rPr>
          <w:lang w:val="es-ES"/>
        </w:rPr>
      </w:pPr>
      <w:bookmarkStart w:id="61" w:name="_Toc525665256"/>
      <w:bookmarkStart w:id="62" w:name="_Toc525665635"/>
      <w:bookmarkStart w:id="63" w:name="_Toc141974993"/>
      <w:r w:rsidRPr="00FF2101">
        <w:rPr>
          <w:lang w:val="es-ES"/>
        </w:rPr>
        <w:t>Principios principales establecidos en el marco regula</w:t>
      </w:r>
      <w:r w:rsidR="00152309" w:rsidRPr="00FF2101">
        <w:rPr>
          <w:lang w:val="es-ES"/>
        </w:rPr>
        <w:t>torio</w:t>
      </w:r>
      <w:bookmarkEnd w:id="61"/>
      <w:bookmarkEnd w:id="62"/>
      <w:bookmarkEnd w:id="63"/>
    </w:p>
    <w:p w14:paraId="702409DB" w14:textId="77777777" w:rsidR="003B3086" w:rsidRPr="003C224B" w:rsidRDefault="003B3086" w:rsidP="0040723E">
      <w:pPr>
        <w:pStyle w:val="Ttulo3"/>
      </w:pPr>
      <w:bookmarkStart w:id="64" w:name="_Toc525665257"/>
      <w:bookmarkStart w:id="65" w:name="_Toc525665636"/>
      <w:bookmarkStart w:id="66" w:name="_Toc141974994"/>
      <w:r w:rsidRPr="003C224B">
        <w:t>Bottom Up</w:t>
      </w:r>
      <w:bookmarkEnd w:id="64"/>
      <w:bookmarkEnd w:id="65"/>
      <w:bookmarkEnd w:id="66"/>
    </w:p>
    <w:p w14:paraId="319B0587" w14:textId="77777777" w:rsidR="003B3086" w:rsidRPr="004C1A96" w:rsidRDefault="003B3086" w:rsidP="003B3086">
      <w:pPr>
        <w:rPr>
          <w:rFonts w:ascii="ITC Avant Garde" w:hAnsi="ITC Avant Garde"/>
          <w:lang w:val="es-MX"/>
        </w:rPr>
      </w:pPr>
      <w:r w:rsidRPr="004C1A96">
        <w:rPr>
          <w:rFonts w:ascii="ITC Avant Garde" w:hAnsi="ITC Avant Garde"/>
          <w:lang w:val="es-MX"/>
        </w:rPr>
        <w:t xml:space="preserve">El propósito de un modelo </w:t>
      </w:r>
      <w:r w:rsidRPr="004C1A96">
        <w:rPr>
          <w:rFonts w:ascii="ITC Avant Garde" w:hAnsi="ITC Avant Garde"/>
          <w:i/>
          <w:lang w:val="es-MX"/>
        </w:rPr>
        <w:t>Bottom-Up</w:t>
      </w:r>
      <w:r w:rsidRPr="004C1A96">
        <w:rPr>
          <w:rFonts w:ascii="ITC Avant Garde" w:hAnsi="ITC Avant Garde"/>
          <w:lang w:val="es-MX"/>
        </w:rPr>
        <w:t xml:space="preserve"> es calcular los costos de los servicios (regulados o</w:t>
      </w:r>
      <w:r w:rsidRPr="00E14D8A">
        <w:rPr>
          <w:rFonts w:ascii="ITC Avant Garde" w:hAnsi="ITC Avant Garde"/>
          <w:lang w:val="es-MX"/>
        </w:rPr>
        <w:t xml:space="preserve"> no) sobre la base de una red eficiente que utiliza tecnología moderna. En principio, un modelo </w:t>
      </w:r>
      <w:r w:rsidRPr="00E14D8A">
        <w:rPr>
          <w:rFonts w:ascii="ITC Avant Garde" w:hAnsi="ITC Avant Garde"/>
          <w:i/>
          <w:lang w:val="es-MX"/>
        </w:rPr>
        <w:t>Bottom-Up</w:t>
      </w:r>
      <w:r w:rsidRPr="00E14D8A">
        <w:rPr>
          <w:rFonts w:ascii="ITC Avant Garde" w:hAnsi="ITC Avant Garde"/>
          <w:lang w:val="es-MX"/>
        </w:rPr>
        <w:t xml:space="preserve"> debe modelar la red que un operador hipotéticamente eficiente crearía para cumplir con la demanda prospectiva del operador modelado. En este modelo, l</w:t>
      </w:r>
      <w:r w:rsidRPr="004C1A96">
        <w:rPr>
          <w:rFonts w:ascii="ITC Avant Garde" w:hAnsi="ITC Avant Garde"/>
          <w:lang w:val="es-MX"/>
        </w:rPr>
        <w:t>os datos de demanda se utilizan como punto de partida y se determina una red eficiente capaz de atender esa demanda utilizando principios económicos y reglas de ingeniería.</w:t>
      </w:r>
    </w:p>
    <w:p w14:paraId="232FE655" w14:textId="22CFCBF0" w:rsidR="003B3086" w:rsidRPr="004C1A96" w:rsidRDefault="003B3086" w:rsidP="003B3086">
      <w:pPr>
        <w:rPr>
          <w:rFonts w:ascii="ITC Avant Garde" w:hAnsi="ITC Avant Garde"/>
          <w:lang w:val="es-MX"/>
        </w:rPr>
      </w:pPr>
      <w:r w:rsidRPr="004C1A96">
        <w:rPr>
          <w:rFonts w:ascii="ITC Avant Garde" w:hAnsi="ITC Avant Garde"/>
          <w:lang w:val="es-MX"/>
        </w:rPr>
        <w:t xml:space="preserve">El enfoque </w:t>
      </w:r>
      <w:r w:rsidRPr="004C1A96">
        <w:rPr>
          <w:rFonts w:ascii="ITC Avant Garde" w:hAnsi="ITC Avant Garde"/>
          <w:i/>
          <w:lang w:val="es-MX"/>
        </w:rPr>
        <w:t>Bottom-Up</w:t>
      </w:r>
      <w:r w:rsidRPr="004C1A96">
        <w:rPr>
          <w:rFonts w:ascii="ITC Avant Garde" w:hAnsi="ITC Avant Garde"/>
          <w:lang w:val="es-MX"/>
        </w:rPr>
        <w:t xml:space="preserve"> se </w:t>
      </w:r>
      <w:r w:rsidR="003A0FB4" w:rsidRPr="004C1A96">
        <w:rPr>
          <w:rFonts w:ascii="ITC Avant Garde" w:hAnsi="ITC Avant Garde"/>
          <w:lang w:val="es-MX"/>
        </w:rPr>
        <w:t>utilizó</w:t>
      </w:r>
      <w:r w:rsidRPr="004C1A96">
        <w:rPr>
          <w:rFonts w:ascii="ITC Avant Garde" w:hAnsi="ITC Avant Garde"/>
          <w:lang w:val="es-MX"/>
        </w:rPr>
        <w:t xml:space="preserve"> en los modelos anteriores de</w:t>
      </w:r>
      <w:r w:rsidR="00F72DA5" w:rsidRPr="004C1A96">
        <w:rPr>
          <w:rFonts w:ascii="ITC Avant Garde" w:hAnsi="ITC Avant Garde"/>
          <w:lang w:val="es-MX"/>
        </w:rPr>
        <w:t>l</w:t>
      </w:r>
      <w:r w:rsidRPr="004C1A96">
        <w:rPr>
          <w:rFonts w:ascii="ITC Avant Garde" w:hAnsi="ITC Avant Garde"/>
          <w:lang w:val="es-MX"/>
        </w:rPr>
        <w:t xml:space="preserve"> IFT (modelos de acceso de fibra y cobre, así como en el modelo de interconexión) de forma con las mejores prácticas internacionales. En particular, la Comisión Europea ha reconocido los beneficios de los modelos de costos ascendentes en 2009</w:t>
      </w:r>
      <w:r w:rsidR="00BC4DC9">
        <w:rPr>
          <w:rStyle w:val="Refdenotaalpie"/>
          <w:rFonts w:ascii="ITC Avant Garde" w:hAnsi="ITC Avant Garde"/>
          <w:lang w:val="es-MX"/>
        </w:rPr>
        <w:footnoteReference w:id="1"/>
      </w:r>
      <w:r w:rsidRPr="004C1A96">
        <w:rPr>
          <w:rFonts w:ascii="ITC Avant Garde" w:hAnsi="ITC Avant Garde"/>
          <w:lang w:val="es-MX"/>
        </w:rPr>
        <w:t>:</w:t>
      </w:r>
    </w:p>
    <w:p w14:paraId="7FA41FFE" w14:textId="77777777" w:rsidR="00D76341" w:rsidRPr="004C1A96" w:rsidRDefault="003B3086" w:rsidP="003B3086">
      <w:pPr>
        <w:ind w:left="567" w:right="565"/>
        <w:rPr>
          <w:rFonts w:ascii="ITC Avant Garde" w:hAnsi="ITC Avant Garde"/>
          <w:i/>
          <w:lang w:val="es-MX"/>
        </w:rPr>
      </w:pPr>
      <w:r w:rsidRPr="00E14D8A">
        <w:rPr>
          <w:rFonts w:ascii="ITC Avant Garde" w:hAnsi="ITC Avant Garde"/>
          <w:i/>
          <w:lang w:val="es-MX"/>
        </w:rPr>
        <w:t xml:space="preserve">"Los modelos BU utilizan datos de demanda como punto de partida y determinan una red eficiente capaz de satisfacer esa demanda mediante el uso de principios económicos, de ingeniería y contabilidad. </w:t>
      </w:r>
      <w:r w:rsidRPr="00E14D8A">
        <w:rPr>
          <w:rFonts w:ascii="ITC Avant Garde" w:hAnsi="ITC Avant Garde"/>
          <w:b/>
          <w:i/>
          <w:lang w:val="es-MX"/>
        </w:rPr>
        <w:t>Los modelos BU ofrecen más flexibilidad con respecto a las consideraciones de eficiencia d</w:t>
      </w:r>
      <w:r w:rsidRPr="004C1A96">
        <w:rPr>
          <w:rFonts w:ascii="ITC Avant Garde" w:hAnsi="ITC Avant Garde"/>
          <w:b/>
          <w:i/>
          <w:lang w:val="es-MX"/>
        </w:rPr>
        <w:t>e la red</w:t>
      </w:r>
      <w:r w:rsidRPr="004C1A96">
        <w:rPr>
          <w:rFonts w:ascii="ITC Avant Garde" w:hAnsi="ITC Avant Garde"/>
          <w:i/>
          <w:lang w:val="es-MX"/>
        </w:rPr>
        <w:t xml:space="preserve"> y reducen la dependencia </w:t>
      </w:r>
      <w:r w:rsidR="00152309" w:rsidRPr="004C1A96">
        <w:rPr>
          <w:rFonts w:ascii="ITC Avant Garde" w:hAnsi="ITC Avant Garde"/>
          <w:i/>
          <w:lang w:val="es-MX"/>
        </w:rPr>
        <w:t>a</w:t>
      </w:r>
      <w:r w:rsidRPr="004C1A96">
        <w:rPr>
          <w:rFonts w:ascii="ITC Avant Garde" w:hAnsi="ITC Avant Garde"/>
          <w:i/>
          <w:lang w:val="es-MX"/>
        </w:rPr>
        <w:t xml:space="preserve"> los datos del operador regulado. </w:t>
      </w:r>
      <w:r w:rsidRPr="004C1A96">
        <w:rPr>
          <w:rFonts w:ascii="ITC Avant Garde" w:hAnsi="ITC Avant Garde"/>
          <w:b/>
          <w:i/>
          <w:lang w:val="es-MX"/>
        </w:rPr>
        <w:t>Un modelo BU es sinónimo del concepto teórico de desarrollar la red de un operador eficiente porque refleja la cantidad de equipo necesaria</w:t>
      </w:r>
      <w:r w:rsidRPr="004C1A96">
        <w:rPr>
          <w:rFonts w:ascii="ITC Avant Garde" w:hAnsi="ITC Avant Garde"/>
          <w:i/>
          <w:lang w:val="es-MX"/>
        </w:rPr>
        <w:t xml:space="preserve"> en lugar de </w:t>
      </w:r>
      <w:r w:rsidR="00152309" w:rsidRPr="004C1A96">
        <w:rPr>
          <w:rFonts w:ascii="ITC Avant Garde" w:hAnsi="ITC Avant Garde"/>
          <w:i/>
          <w:lang w:val="es-MX"/>
        </w:rPr>
        <w:t xml:space="preserve">realmente </w:t>
      </w:r>
      <w:r w:rsidRPr="004C1A96">
        <w:rPr>
          <w:rFonts w:ascii="ITC Avant Garde" w:hAnsi="ITC Avant Garde"/>
          <w:i/>
          <w:lang w:val="es-MX"/>
        </w:rPr>
        <w:t>proporciona</w:t>
      </w:r>
      <w:r w:rsidR="00152309" w:rsidRPr="004C1A96">
        <w:rPr>
          <w:rFonts w:ascii="ITC Avant Garde" w:hAnsi="ITC Avant Garde"/>
          <w:i/>
          <w:lang w:val="es-MX"/>
        </w:rPr>
        <w:t>da,</w:t>
      </w:r>
      <w:r w:rsidRPr="004C1A96">
        <w:rPr>
          <w:rFonts w:ascii="ITC Avant Garde" w:hAnsi="ITC Avant Garde"/>
          <w:i/>
          <w:lang w:val="es-MX"/>
        </w:rPr>
        <w:t xml:space="preserve"> y el modelo ignora los costos heredados. (...) </w:t>
      </w:r>
      <w:r w:rsidRPr="004C1A96">
        <w:rPr>
          <w:rFonts w:ascii="ITC Avant Garde" w:hAnsi="ITC Avant Garde"/>
          <w:i/>
          <w:lang w:val="es-MX"/>
        </w:rPr>
        <w:lastRenderedPageBreak/>
        <w:t>Aunque los modelos BU generalmente son desarrollados por las A</w:t>
      </w:r>
      <w:r w:rsidR="00152309" w:rsidRPr="004C1A96">
        <w:rPr>
          <w:rFonts w:ascii="ITC Avant Garde" w:hAnsi="ITC Avant Garde"/>
          <w:i/>
          <w:lang w:val="es-MX"/>
        </w:rPr>
        <w:t xml:space="preserve">utoridades </w:t>
      </w:r>
      <w:r w:rsidRPr="004C1A96">
        <w:rPr>
          <w:rFonts w:ascii="ITC Avant Garde" w:hAnsi="ITC Avant Garde"/>
          <w:i/>
          <w:lang w:val="es-MX"/>
        </w:rPr>
        <w:t>N</w:t>
      </w:r>
      <w:r w:rsidR="00152309" w:rsidRPr="004C1A96">
        <w:rPr>
          <w:rFonts w:ascii="ITC Avant Garde" w:hAnsi="ITC Avant Garde"/>
          <w:i/>
          <w:lang w:val="es-MX"/>
        </w:rPr>
        <w:t xml:space="preserve">acionales de </w:t>
      </w:r>
      <w:r w:rsidR="009533FA" w:rsidRPr="004C1A96">
        <w:rPr>
          <w:rFonts w:ascii="ITC Avant Garde" w:hAnsi="ITC Avant Garde"/>
          <w:i/>
          <w:lang w:val="es-MX"/>
        </w:rPr>
        <w:t>Regulación</w:t>
      </w:r>
      <w:r w:rsidRPr="004C1A96">
        <w:rPr>
          <w:rFonts w:ascii="ITC Avant Garde" w:hAnsi="ITC Avant Garde"/>
          <w:i/>
          <w:lang w:val="es-MX"/>
        </w:rPr>
        <w:t xml:space="preserve">, los operadores pueden contribuir a las suposiciones y </w:t>
      </w:r>
      <w:r w:rsidR="00B914E4" w:rsidRPr="004C1A96">
        <w:rPr>
          <w:rFonts w:ascii="ITC Avant Garde" w:hAnsi="ITC Avant Garde"/>
          <w:i/>
          <w:lang w:val="es-MX"/>
        </w:rPr>
        <w:t>lo insumo</w:t>
      </w:r>
      <w:r w:rsidRPr="004C1A96">
        <w:rPr>
          <w:rFonts w:ascii="ITC Avant Garde" w:hAnsi="ITC Avant Garde"/>
          <w:i/>
          <w:lang w:val="es-MX"/>
        </w:rPr>
        <w:t xml:space="preserve">s del modelo. Esto aumentará la transparencia y la objetividad de los modelos de BU, aunque conlleva el riesgo de que se utilicen en el modelo cifras "negociadas", </w:t>
      </w:r>
      <w:r w:rsidR="00B914E4" w:rsidRPr="004C1A96">
        <w:rPr>
          <w:rFonts w:ascii="ITC Avant Garde" w:hAnsi="ITC Avant Garde"/>
          <w:i/>
          <w:lang w:val="es-MX"/>
        </w:rPr>
        <w:t>en lugar de</w:t>
      </w:r>
      <w:r w:rsidRPr="004C1A96">
        <w:rPr>
          <w:rFonts w:ascii="ITC Avant Garde" w:hAnsi="ITC Avant Garde"/>
          <w:i/>
          <w:lang w:val="es-MX"/>
        </w:rPr>
        <w:t xml:space="preserve"> cifras más precisas. " </w:t>
      </w:r>
    </w:p>
    <w:p w14:paraId="566C60A9" w14:textId="77777777" w:rsidR="003B3086" w:rsidRPr="004C1A96" w:rsidRDefault="003B3086" w:rsidP="00D76341">
      <w:pPr>
        <w:ind w:left="567" w:right="565"/>
        <w:jc w:val="right"/>
        <w:rPr>
          <w:rFonts w:ascii="ITC Avant Garde" w:hAnsi="ITC Avant Garde"/>
          <w:i/>
          <w:lang w:val="es-MX"/>
        </w:rPr>
      </w:pPr>
      <w:r w:rsidRPr="004C1A96">
        <w:rPr>
          <w:rFonts w:ascii="ITC Avant Garde" w:hAnsi="ITC Avant Garde"/>
          <w:i/>
          <w:lang w:val="es-MX"/>
        </w:rPr>
        <w:t>(énfasis añadido)</w:t>
      </w:r>
    </w:p>
    <w:p w14:paraId="16C52A4F" w14:textId="77777777" w:rsidR="003B3086" w:rsidRPr="004C1A96" w:rsidRDefault="003B3086" w:rsidP="003B3086">
      <w:pPr>
        <w:rPr>
          <w:rFonts w:ascii="ITC Avant Garde" w:hAnsi="ITC Avant Garde"/>
          <w:lang w:val="es-MX"/>
        </w:rPr>
      </w:pPr>
      <w:r w:rsidRPr="004C1A96">
        <w:rPr>
          <w:rFonts w:ascii="ITC Avant Garde" w:hAnsi="ITC Avant Garde"/>
          <w:lang w:val="es-MX"/>
        </w:rPr>
        <w:t xml:space="preserve">La Comisión </w:t>
      </w:r>
      <w:r w:rsidR="00C35A29" w:rsidRPr="004C1A96">
        <w:rPr>
          <w:rFonts w:ascii="ITC Avant Garde" w:hAnsi="ITC Avant Garde"/>
          <w:lang w:val="es-MX"/>
        </w:rPr>
        <w:t xml:space="preserve">Europea </w:t>
      </w:r>
      <w:r w:rsidRPr="004C1A96">
        <w:rPr>
          <w:rFonts w:ascii="ITC Avant Garde" w:hAnsi="ITC Avant Garde"/>
          <w:lang w:val="es-MX"/>
        </w:rPr>
        <w:t xml:space="preserve">continúa recomendando el uso de modelos </w:t>
      </w:r>
      <w:r w:rsidR="009533FA" w:rsidRPr="004C1A96">
        <w:rPr>
          <w:rFonts w:ascii="ITC Avant Garde" w:hAnsi="ITC Avant Garde"/>
          <w:i/>
          <w:lang w:val="es-MX"/>
        </w:rPr>
        <w:t>Bottom-Up</w:t>
      </w:r>
      <w:r w:rsidRPr="004C1A96">
        <w:rPr>
          <w:rFonts w:ascii="ITC Avant Garde" w:hAnsi="ITC Avant Garde"/>
          <w:lang w:val="es-MX"/>
        </w:rPr>
        <w:t xml:space="preserve"> en </w:t>
      </w:r>
      <w:r w:rsidR="00C35A29" w:rsidRPr="004C1A96">
        <w:rPr>
          <w:rFonts w:ascii="ITC Avant Garde" w:hAnsi="ITC Avant Garde"/>
          <w:lang w:val="es-MX"/>
        </w:rPr>
        <w:t xml:space="preserve">su </w:t>
      </w:r>
      <w:r w:rsidR="009F5817" w:rsidRPr="004C1A96">
        <w:rPr>
          <w:rFonts w:ascii="ITC Avant Garde" w:hAnsi="ITC Avant Garde"/>
          <w:lang w:val="es-MX"/>
        </w:rPr>
        <w:t>recomendación realizada</w:t>
      </w:r>
      <w:r w:rsidR="00C35A29" w:rsidRPr="004C1A96">
        <w:rPr>
          <w:rFonts w:ascii="ITC Avant Garde" w:hAnsi="ITC Avant Garde"/>
          <w:lang w:val="es-MX"/>
        </w:rPr>
        <w:t xml:space="preserve"> en el año</w:t>
      </w:r>
      <w:r w:rsidR="00B914E4" w:rsidRPr="004C1A96">
        <w:rPr>
          <w:rFonts w:ascii="ITC Avant Garde" w:hAnsi="ITC Avant Garde"/>
          <w:lang w:val="es-MX"/>
        </w:rPr>
        <w:t xml:space="preserve"> </w:t>
      </w:r>
      <w:r w:rsidRPr="004C1A96">
        <w:rPr>
          <w:rFonts w:ascii="ITC Avant Garde" w:hAnsi="ITC Avant Garde"/>
          <w:lang w:val="es-MX"/>
        </w:rPr>
        <w:t xml:space="preserve">2013, de acuerdo con </w:t>
      </w:r>
      <w:r w:rsidR="00B914E4" w:rsidRPr="004C1A96">
        <w:rPr>
          <w:rFonts w:ascii="ITC Avant Garde" w:hAnsi="ITC Avant Garde"/>
          <w:lang w:val="es-MX"/>
        </w:rPr>
        <w:t>su</w:t>
      </w:r>
      <w:r w:rsidRPr="004C1A96">
        <w:rPr>
          <w:rFonts w:ascii="ITC Avant Garde" w:hAnsi="ITC Avant Garde"/>
          <w:lang w:val="es-MX"/>
        </w:rPr>
        <w:t xml:space="preserve"> artículo 30:</w:t>
      </w:r>
    </w:p>
    <w:p w14:paraId="24F4D64B" w14:textId="77777777" w:rsidR="003B3086" w:rsidRPr="004C1A96" w:rsidRDefault="003B3086" w:rsidP="003B3086">
      <w:pPr>
        <w:ind w:left="567" w:right="565"/>
        <w:rPr>
          <w:rFonts w:ascii="ITC Avant Garde" w:hAnsi="ITC Avant Garde"/>
          <w:i/>
          <w:lang w:val="es-MX"/>
        </w:rPr>
      </w:pPr>
      <w:r w:rsidRPr="004C1A96">
        <w:rPr>
          <w:rFonts w:ascii="ITC Avant Garde" w:hAnsi="ITC Avant Garde"/>
          <w:i/>
          <w:lang w:val="es-MX"/>
        </w:rPr>
        <w:t xml:space="preserve"> "A los efectos de establecer precios de acceso mayorista de cobre y NGA donde la orientación al costo se impone como remedio, </w:t>
      </w:r>
      <w:r w:rsidR="00B914E4" w:rsidRPr="004C1A96">
        <w:rPr>
          <w:rFonts w:ascii="ITC Avant Garde" w:hAnsi="ITC Avant Garde"/>
          <w:i/>
          <w:lang w:val="es-MX"/>
        </w:rPr>
        <w:t>y cuando apropiado</w:t>
      </w:r>
      <w:r w:rsidRPr="004C1A96">
        <w:rPr>
          <w:rFonts w:ascii="ITC Avant Garde" w:hAnsi="ITC Avant Garde"/>
          <w:i/>
          <w:lang w:val="es-MX"/>
        </w:rPr>
        <w:t>, proporcionado y justificado de conformidad con el artículo 16 (4) de la Directiva 2002/21 / CE y el artículo 8 (4) de la Directiva 2002 / 19 / CE, las ANR deben adoptar una metodología de cálculo de costos incrementales de costo incremental a largo plazo (BULRIC +) que incluya un enfoque de modelado ascendente usando LRIC como el modelo de costo y con la adición de un recargo para la rec</w:t>
      </w:r>
      <w:r w:rsidR="009F5817" w:rsidRPr="004C1A96">
        <w:rPr>
          <w:rFonts w:ascii="ITC Avant Garde" w:hAnsi="ITC Avant Garde"/>
          <w:i/>
          <w:lang w:val="es-MX"/>
        </w:rPr>
        <w:t>uperación de los costos comunes</w:t>
      </w:r>
      <w:r w:rsidRPr="004C1A96">
        <w:rPr>
          <w:rFonts w:ascii="ITC Avant Garde" w:hAnsi="ITC Avant Garde"/>
          <w:i/>
          <w:lang w:val="es-MX"/>
        </w:rPr>
        <w:t>".</w:t>
      </w:r>
    </w:p>
    <w:p w14:paraId="727AEC71" w14:textId="77777777" w:rsidR="005F5BB7" w:rsidRPr="004C1A96" w:rsidRDefault="003B3086" w:rsidP="003B3086">
      <w:pPr>
        <w:pStyle w:val="Encadr3"/>
        <w:rPr>
          <w:rFonts w:ascii="ITC Avant Garde" w:hAnsi="ITC Avant Garde"/>
          <w:b w:val="0"/>
          <w:lang w:val="es-MX"/>
        </w:rPr>
      </w:pPr>
      <w:r w:rsidRPr="004C1A96">
        <w:rPr>
          <w:rFonts w:ascii="ITC Avant Garde" w:hAnsi="ITC Avant Garde"/>
          <w:lang w:val="es-MX"/>
        </w:rPr>
        <w:t xml:space="preserve">Criterio 1: </w:t>
      </w:r>
      <w:r w:rsidRPr="004C1A96">
        <w:rPr>
          <w:rFonts w:ascii="ITC Avant Garde" w:hAnsi="ITC Avant Garde"/>
          <w:b w:val="0"/>
          <w:lang w:val="es-MX"/>
        </w:rPr>
        <w:t>El modelo de costos se basa principalmente en un</w:t>
      </w:r>
      <w:r w:rsidR="00B914E4" w:rsidRPr="004C1A96">
        <w:rPr>
          <w:rFonts w:ascii="ITC Avant Garde" w:hAnsi="ITC Avant Garde"/>
          <w:b w:val="0"/>
          <w:lang w:val="es-MX"/>
        </w:rPr>
        <w:t xml:space="preserve"> enfoque</w:t>
      </w:r>
      <w:r w:rsidRPr="004C1A96">
        <w:rPr>
          <w:rFonts w:ascii="ITC Avant Garde" w:hAnsi="ITC Avant Garde"/>
          <w:b w:val="0"/>
          <w:lang w:val="es-MX"/>
        </w:rPr>
        <w:t xml:space="preserve"> </w:t>
      </w:r>
      <w:r w:rsidR="005F5BB7" w:rsidRPr="004C1A96">
        <w:rPr>
          <w:rFonts w:ascii="ITC Avant Garde" w:hAnsi="ITC Avant Garde"/>
          <w:b w:val="0"/>
          <w:i/>
          <w:lang w:val="es-MX"/>
        </w:rPr>
        <w:t>Bottom-Up</w:t>
      </w:r>
      <w:r w:rsidRPr="004C1A96">
        <w:rPr>
          <w:rFonts w:ascii="ITC Avant Garde" w:hAnsi="ITC Avant Garde"/>
          <w:b w:val="0"/>
          <w:lang w:val="es-MX"/>
        </w:rPr>
        <w:t xml:space="preserve"> consistente con los modelos actuales de</w:t>
      </w:r>
      <w:r w:rsidR="00F72DA5" w:rsidRPr="004C1A96">
        <w:rPr>
          <w:rFonts w:ascii="ITC Avant Garde" w:hAnsi="ITC Avant Garde"/>
          <w:b w:val="0"/>
          <w:lang w:val="es-MX"/>
        </w:rPr>
        <w:t>l</w:t>
      </w:r>
      <w:r w:rsidRPr="004C1A96">
        <w:rPr>
          <w:rFonts w:ascii="ITC Avant Garde" w:hAnsi="ITC Avant Garde"/>
          <w:b w:val="0"/>
          <w:lang w:val="es-MX"/>
        </w:rPr>
        <w:t xml:space="preserve"> IFT. Sin embargo, el modelo de costo</w:t>
      </w:r>
      <w:r w:rsidR="006E77C9" w:rsidRPr="004C1A96">
        <w:rPr>
          <w:rFonts w:ascii="ITC Avant Garde" w:hAnsi="ITC Avant Garde"/>
          <w:b w:val="0"/>
          <w:lang w:val="es-MX"/>
        </w:rPr>
        <w:t>s</w:t>
      </w:r>
      <w:r w:rsidRPr="004C1A96">
        <w:rPr>
          <w:rFonts w:ascii="ITC Avant Garde" w:hAnsi="ITC Avant Garde"/>
          <w:b w:val="0"/>
          <w:lang w:val="es-MX"/>
        </w:rPr>
        <w:t xml:space="preserve"> </w:t>
      </w:r>
      <w:r w:rsidR="00B914E4" w:rsidRPr="004C1A96">
        <w:rPr>
          <w:rFonts w:ascii="ITC Avant Garde" w:hAnsi="ITC Avant Garde"/>
          <w:b w:val="0"/>
          <w:lang w:val="es-MX"/>
        </w:rPr>
        <w:t>es</w:t>
      </w:r>
      <w:r w:rsidRPr="004C1A96">
        <w:rPr>
          <w:rFonts w:ascii="ITC Avant Garde" w:hAnsi="ITC Avant Garde"/>
          <w:b w:val="0"/>
          <w:lang w:val="es-MX"/>
        </w:rPr>
        <w:t xml:space="preserve"> </w:t>
      </w:r>
      <w:r w:rsidR="00ED001A" w:rsidRPr="004C1A96">
        <w:rPr>
          <w:rFonts w:ascii="ITC Avant Garde" w:hAnsi="ITC Avant Garde"/>
          <w:b w:val="0"/>
          <w:lang w:val="es-MX"/>
        </w:rPr>
        <w:t xml:space="preserve">calibrado </w:t>
      </w:r>
      <w:r w:rsidRPr="004C1A96">
        <w:rPr>
          <w:rFonts w:ascii="ITC Avant Garde" w:hAnsi="ITC Avant Garde"/>
          <w:b w:val="0"/>
          <w:lang w:val="es-MX"/>
        </w:rPr>
        <w:t xml:space="preserve">por datos descendentes del </w:t>
      </w:r>
      <w:r w:rsidR="006E77C9" w:rsidRPr="004C1A96">
        <w:rPr>
          <w:rFonts w:ascii="ITC Avant Garde" w:hAnsi="ITC Avant Garde"/>
          <w:b w:val="0"/>
          <w:lang w:val="es-MX"/>
        </w:rPr>
        <w:t>AEP</w:t>
      </w:r>
      <w:r w:rsidRPr="004C1A96">
        <w:rPr>
          <w:rFonts w:ascii="ITC Avant Garde" w:hAnsi="ITC Avant Garde"/>
          <w:b w:val="0"/>
          <w:lang w:val="es-MX"/>
        </w:rPr>
        <w:t xml:space="preserve"> y otros operadores, entre otros datos de control, para verificar los datos de entrada utilizados en el modelo </w:t>
      </w:r>
      <w:r w:rsidR="005F5BB7" w:rsidRPr="004C1A96">
        <w:rPr>
          <w:rFonts w:ascii="ITC Avant Garde" w:hAnsi="ITC Avant Garde"/>
          <w:b w:val="0"/>
          <w:i/>
          <w:lang w:val="es-MX"/>
        </w:rPr>
        <w:t>Bottom-Up</w:t>
      </w:r>
      <w:r w:rsidRPr="004C1A96">
        <w:rPr>
          <w:rFonts w:ascii="ITC Avant Garde" w:hAnsi="ITC Avant Garde"/>
          <w:b w:val="0"/>
          <w:lang w:val="es-MX"/>
        </w:rPr>
        <w:t xml:space="preserve"> </w:t>
      </w:r>
      <w:r w:rsidR="005F5BB7" w:rsidRPr="004C1A96">
        <w:rPr>
          <w:rFonts w:ascii="ITC Avant Garde" w:hAnsi="ITC Avant Garde"/>
          <w:b w:val="0"/>
          <w:lang w:val="es-MX"/>
        </w:rPr>
        <w:t>y</w:t>
      </w:r>
      <w:r w:rsidRPr="004C1A96">
        <w:rPr>
          <w:rFonts w:ascii="ITC Avant Garde" w:hAnsi="ITC Avant Garde"/>
          <w:b w:val="0"/>
          <w:lang w:val="es-MX"/>
        </w:rPr>
        <w:t xml:space="preserve"> asegurar que los resultados del modelado ascendente sean consistentes y realista</w:t>
      </w:r>
      <w:r w:rsidR="00F72DA5" w:rsidRPr="004C1A96">
        <w:rPr>
          <w:rFonts w:ascii="ITC Avant Garde" w:hAnsi="ITC Avant Garde"/>
          <w:b w:val="0"/>
          <w:lang w:val="es-MX"/>
        </w:rPr>
        <w:t>s</w:t>
      </w:r>
      <w:r w:rsidR="005F5BB7" w:rsidRPr="004C1A96">
        <w:rPr>
          <w:rFonts w:ascii="ITC Avant Garde" w:hAnsi="ITC Avant Garde"/>
          <w:b w:val="0"/>
          <w:lang w:val="es-MX"/>
        </w:rPr>
        <w:t>.</w:t>
      </w:r>
      <w:r w:rsidRPr="004C1A96">
        <w:rPr>
          <w:rFonts w:ascii="ITC Avant Garde" w:hAnsi="ITC Avant Garde"/>
          <w:b w:val="0"/>
          <w:lang w:val="es-MX"/>
        </w:rPr>
        <w:t xml:space="preserve"> </w:t>
      </w:r>
    </w:p>
    <w:p w14:paraId="70CDABDA" w14:textId="77777777" w:rsidR="003B3086" w:rsidRPr="004C1A96" w:rsidRDefault="003B3086" w:rsidP="003B3086">
      <w:pPr>
        <w:pStyle w:val="Encadr3"/>
        <w:rPr>
          <w:rFonts w:ascii="ITC Avant Garde" w:hAnsi="ITC Avant Garde"/>
          <w:b w:val="0"/>
          <w:lang w:val="es-MX"/>
        </w:rPr>
      </w:pPr>
    </w:p>
    <w:p w14:paraId="3B742EFB" w14:textId="77777777" w:rsidR="005F5BB7" w:rsidRPr="00FF2101" w:rsidRDefault="005F5BB7" w:rsidP="0040723E">
      <w:pPr>
        <w:pStyle w:val="Ttulo3"/>
        <w:rPr>
          <w:lang w:val="es-ES"/>
        </w:rPr>
      </w:pPr>
      <w:bookmarkStart w:id="67" w:name="_Toc525665258"/>
      <w:bookmarkStart w:id="68" w:name="_Toc525665637"/>
      <w:bookmarkStart w:id="69" w:name="_Toc141974995"/>
      <w:r w:rsidRPr="00FF2101">
        <w:rPr>
          <w:lang w:val="es-ES"/>
        </w:rPr>
        <w:t xml:space="preserve">Costos incrementales </w:t>
      </w:r>
      <w:r w:rsidR="00DA2590" w:rsidRPr="00FF2101">
        <w:rPr>
          <w:lang w:val="es-ES"/>
        </w:rPr>
        <w:t xml:space="preserve">promedio </w:t>
      </w:r>
      <w:r w:rsidRPr="00FF2101">
        <w:rPr>
          <w:lang w:val="es-ES"/>
        </w:rPr>
        <w:t xml:space="preserve">de largo plazo – </w:t>
      </w:r>
      <w:r w:rsidR="00DA2590" w:rsidRPr="003C224B">
        <w:rPr>
          <w:lang w:val="es-MX"/>
        </w:rPr>
        <w:t>CIPLP</w:t>
      </w:r>
      <w:r w:rsidR="00875932" w:rsidRPr="00FF2101">
        <w:rPr>
          <w:lang w:val="es-ES"/>
        </w:rPr>
        <w:t>/</w:t>
      </w:r>
      <w:r w:rsidRPr="00FF2101">
        <w:rPr>
          <w:lang w:val="es-ES"/>
        </w:rPr>
        <w:t>LR</w:t>
      </w:r>
      <w:r w:rsidR="00ED001A" w:rsidRPr="00FF2101">
        <w:rPr>
          <w:lang w:val="es-ES"/>
        </w:rPr>
        <w:t>A</w:t>
      </w:r>
      <w:r w:rsidRPr="00FF2101">
        <w:rPr>
          <w:lang w:val="es-ES"/>
        </w:rPr>
        <w:t>IC</w:t>
      </w:r>
      <w:bookmarkEnd w:id="67"/>
      <w:bookmarkEnd w:id="68"/>
      <w:bookmarkEnd w:id="69"/>
    </w:p>
    <w:p w14:paraId="733B2740" w14:textId="77777777" w:rsidR="005F5BB7" w:rsidRPr="004C1A96" w:rsidRDefault="005F5BB7" w:rsidP="005F5BB7">
      <w:pPr>
        <w:rPr>
          <w:rFonts w:ascii="ITC Avant Garde" w:hAnsi="ITC Avant Garde"/>
          <w:lang w:val="es-MX"/>
        </w:rPr>
      </w:pPr>
      <w:r w:rsidRPr="004C1A96">
        <w:rPr>
          <w:rFonts w:ascii="ITC Avant Garde" w:hAnsi="ITC Avant Garde"/>
          <w:lang w:val="es-MX"/>
        </w:rPr>
        <w:t xml:space="preserve">De acuerdo con la práctica establecida para fines regulatorios, la base de costos derivada del modelado </w:t>
      </w:r>
      <w:r w:rsidR="00850A2C" w:rsidRPr="00E14D8A">
        <w:rPr>
          <w:rFonts w:ascii="ITC Avant Garde" w:hAnsi="ITC Avant Garde"/>
          <w:i/>
          <w:lang w:val="es-MX"/>
        </w:rPr>
        <w:t>Bottom Up</w:t>
      </w:r>
      <w:r w:rsidRPr="00E14D8A">
        <w:rPr>
          <w:rFonts w:ascii="ITC Avant Garde" w:hAnsi="ITC Avant Garde"/>
          <w:lang w:val="es-MX"/>
        </w:rPr>
        <w:t xml:space="preserve"> se puede capturar a través del concepto de </w:t>
      </w:r>
      <w:r w:rsidR="00AF5676" w:rsidRPr="00E14D8A">
        <w:rPr>
          <w:rFonts w:ascii="ITC Avant Garde" w:hAnsi="ITC Avant Garde"/>
          <w:lang w:val="es-MX"/>
        </w:rPr>
        <w:t>c</w:t>
      </w:r>
      <w:r w:rsidRPr="004C1A96" w:rsidDel="00407AD2">
        <w:rPr>
          <w:rFonts w:ascii="ITC Avant Garde" w:hAnsi="ITC Avant Garde"/>
          <w:lang w:val="es-MX"/>
        </w:rPr>
        <w:t xml:space="preserve">ostos </w:t>
      </w:r>
      <w:r w:rsidR="00AF5676" w:rsidRPr="004C1A96">
        <w:rPr>
          <w:rFonts w:ascii="ITC Avant Garde" w:hAnsi="ITC Avant Garde"/>
          <w:lang w:val="es-MX"/>
        </w:rPr>
        <w:t>i</w:t>
      </w:r>
      <w:r w:rsidRPr="004C1A96" w:rsidDel="00407AD2">
        <w:rPr>
          <w:rFonts w:ascii="ITC Avant Garde" w:hAnsi="ITC Avant Garde"/>
          <w:lang w:val="es-MX"/>
        </w:rPr>
        <w:t xml:space="preserve">ncrementales </w:t>
      </w:r>
      <w:r w:rsidR="00AF5676" w:rsidRPr="004C1A96">
        <w:rPr>
          <w:rFonts w:ascii="ITC Avant Garde" w:hAnsi="ITC Avant Garde"/>
          <w:lang w:val="es-MX"/>
        </w:rPr>
        <w:t>de</w:t>
      </w:r>
      <w:r w:rsidRPr="004C1A96" w:rsidDel="00407AD2">
        <w:rPr>
          <w:rFonts w:ascii="ITC Avant Garde" w:hAnsi="ITC Avant Garde"/>
          <w:lang w:val="es-MX"/>
        </w:rPr>
        <w:t xml:space="preserve"> </w:t>
      </w:r>
      <w:r w:rsidR="00AF5676" w:rsidRPr="004C1A96">
        <w:rPr>
          <w:rFonts w:ascii="ITC Avant Garde" w:hAnsi="ITC Avant Garde"/>
          <w:lang w:val="es-MX"/>
        </w:rPr>
        <w:t>l</w:t>
      </w:r>
      <w:r w:rsidRPr="004C1A96" w:rsidDel="00407AD2">
        <w:rPr>
          <w:rFonts w:ascii="ITC Avant Garde" w:hAnsi="ITC Avant Garde"/>
          <w:lang w:val="es-MX"/>
        </w:rPr>
        <w:t xml:space="preserve">argo </w:t>
      </w:r>
      <w:r w:rsidR="00AF5676" w:rsidRPr="004C1A96">
        <w:rPr>
          <w:rFonts w:ascii="ITC Avant Garde" w:hAnsi="ITC Avant Garde"/>
          <w:lang w:val="es-MX"/>
        </w:rPr>
        <w:t>p</w:t>
      </w:r>
      <w:r w:rsidRPr="004C1A96">
        <w:rPr>
          <w:rFonts w:ascii="ITC Avant Garde" w:hAnsi="ITC Avant Garde"/>
          <w:lang w:val="es-MX"/>
        </w:rPr>
        <w:t>lazo:</w:t>
      </w:r>
    </w:p>
    <w:p w14:paraId="3F5DBACF" w14:textId="77777777" w:rsidR="005F5BB7" w:rsidRPr="004C1A96" w:rsidRDefault="005F5BB7" w:rsidP="00850A2C">
      <w:pPr>
        <w:pStyle w:val="Listaconvietas2"/>
        <w:rPr>
          <w:rFonts w:ascii="ITC Avant Garde" w:hAnsi="ITC Avant Garde"/>
          <w:lang w:val="es-MX"/>
        </w:rPr>
      </w:pPr>
      <w:r w:rsidRPr="004C1A96">
        <w:rPr>
          <w:rFonts w:ascii="ITC Avant Garde" w:hAnsi="ITC Avant Garde"/>
          <w:lang w:val="es-MX"/>
        </w:rPr>
        <w:t xml:space="preserve">Largo plazo se entiende como un horizonte temporal, en el que </w:t>
      </w:r>
      <w:r w:rsidR="003A0FB4" w:rsidRPr="004C1A96">
        <w:rPr>
          <w:rFonts w:ascii="ITC Avant Garde" w:hAnsi="ITC Avant Garde"/>
          <w:lang w:val="es-MX"/>
        </w:rPr>
        <w:t>todos los insumos</w:t>
      </w:r>
      <w:r w:rsidRPr="004C1A96">
        <w:rPr>
          <w:rFonts w:ascii="ITC Avant Garde" w:hAnsi="ITC Avant Garde"/>
          <w:lang w:val="es-MX"/>
        </w:rPr>
        <w:t>, incluido</w:t>
      </w:r>
      <w:r w:rsidR="009174E4" w:rsidRPr="004C1A96">
        <w:rPr>
          <w:rFonts w:ascii="ITC Avant Garde" w:hAnsi="ITC Avant Garde"/>
          <w:lang w:val="es-MX"/>
        </w:rPr>
        <w:t>s</w:t>
      </w:r>
      <w:r w:rsidRPr="004C1A96">
        <w:rPr>
          <w:rFonts w:ascii="ITC Avant Garde" w:hAnsi="ITC Avant Garde"/>
          <w:lang w:val="es-MX"/>
        </w:rPr>
        <w:t xml:space="preserve"> </w:t>
      </w:r>
      <w:r w:rsidR="009174E4" w:rsidRPr="004C1A96">
        <w:rPr>
          <w:rFonts w:ascii="ITC Avant Garde" w:hAnsi="ITC Avant Garde"/>
          <w:lang w:val="es-MX"/>
        </w:rPr>
        <w:t>los</w:t>
      </w:r>
      <w:r w:rsidRPr="004C1A96">
        <w:rPr>
          <w:rFonts w:ascii="ITC Avant Garde" w:hAnsi="ITC Avant Garde"/>
          <w:lang w:val="es-MX"/>
        </w:rPr>
        <w:t xml:space="preserve"> costo</w:t>
      </w:r>
      <w:r w:rsidR="009174E4" w:rsidRPr="004C1A96">
        <w:rPr>
          <w:rFonts w:ascii="ITC Avant Garde" w:hAnsi="ITC Avant Garde"/>
          <w:lang w:val="es-MX"/>
        </w:rPr>
        <w:t>s</w:t>
      </w:r>
      <w:r w:rsidRPr="004C1A96">
        <w:rPr>
          <w:rFonts w:ascii="ITC Avant Garde" w:hAnsi="ITC Avant Garde"/>
          <w:lang w:val="es-MX"/>
        </w:rPr>
        <w:t xml:space="preserve"> del equipo, pueden variar como consecuencia de la demanda del mercado.</w:t>
      </w:r>
    </w:p>
    <w:p w14:paraId="09D47B15" w14:textId="77777777" w:rsidR="005F5BB7" w:rsidRPr="004C1A96" w:rsidRDefault="005F5BB7" w:rsidP="00850A2C">
      <w:pPr>
        <w:pStyle w:val="Listaconvietas2"/>
        <w:rPr>
          <w:rFonts w:ascii="ITC Avant Garde" w:hAnsi="ITC Avant Garde"/>
          <w:lang w:val="es-MX"/>
        </w:rPr>
      </w:pPr>
      <w:r w:rsidRPr="004C1A96">
        <w:rPr>
          <w:rFonts w:ascii="ITC Avant Garde" w:hAnsi="ITC Avant Garde"/>
          <w:lang w:val="es-MX"/>
        </w:rPr>
        <w:t xml:space="preserve">El término </w:t>
      </w:r>
      <w:r w:rsidR="00850A2C" w:rsidRPr="004C1A96">
        <w:rPr>
          <w:rFonts w:ascii="ITC Avant Garde" w:hAnsi="ITC Avant Garde"/>
          <w:lang w:val="es-MX"/>
        </w:rPr>
        <w:t>“</w:t>
      </w:r>
      <w:r w:rsidRPr="004C1A96">
        <w:rPr>
          <w:rFonts w:ascii="ITC Avant Garde" w:hAnsi="ITC Avant Garde"/>
          <w:lang w:val="es-MX"/>
        </w:rPr>
        <w:t>Increment</w:t>
      </w:r>
      <w:r w:rsidR="00850A2C" w:rsidRPr="004C1A96">
        <w:rPr>
          <w:rFonts w:ascii="ITC Avant Garde" w:hAnsi="ITC Avant Garde"/>
          <w:lang w:val="es-MX"/>
        </w:rPr>
        <w:t>al”</w:t>
      </w:r>
      <w:r w:rsidRPr="004C1A96">
        <w:rPr>
          <w:rFonts w:ascii="ITC Avant Garde" w:hAnsi="ITC Avant Garde"/>
          <w:lang w:val="es-MX"/>
        </w:rPr>
        <w:t xml:space="preserve"> </w:t>
      </w:r>
      <w:r w:rsidR="00850A2C" w:rsidRPr="004C1A96">
        <w:rPr>
          <w:rFonts w:ascii="ITC Avant Garde" w:hAnsi="ITC Avant Garde"/>
          <w:lang w:val="es-MX"/>
        </w:rPr>
        <w:t>significa</w:t>
      </w:r>
      <w:r w:rsidRPr="004C1A96">
        <w:rPr>
          <w:rFonts w:ascii="ITC Avant Garde" w:hAnsi="ITC Avant Garde"/>
          <w:lang w:val="es-MX"/>
        </w:rPr>
        <w:t xml:space="preserve"> que los costos considerados corresponden a los del incremento definido. Existen varias definiciones del incremento.</w:t>
      </w:r>
    </w:p>
    <w:p w14:paraId="5CD33BF7" w14:textId="77777777" w:rsidR="005F5BB7" w:rsidRPr="004C1A96" w:rsidRDefault="005F5BB7" w:rsidP="005F5BB7">
      <w:pPr>
        <w:rPr>
          <w:rFonts w:ascii="ITC Avant Garde" w:hAnsi="ITC Avant Garde"/>
          <w:lang w:val="es-MX"/>
        </w:rPr>
      </w:pPr>
      <w:r w:rsidRPr="004C1A96">
        <w:rPr>
          <w:rFonts w:ascii="ITC Avant Garde" w:hAnsi="ITC Avant Garde"/>
          <w:lang w:val="es-MX"/>
        </w:rPr>
        <w:t>Según lo definido por la Comisión Europea:</w:t>
      </w:r>
    </w:p>
    <w:p w14:paraId="2EB0594F" w14:textId="2DC6F36B" w:rsidR="005F5BB7" w:rsidRPr="004C1A96" w:rsidRDefault="005F5BB7" w:rsidP="00850A2C">
      <w:pPr>
        <w:ind w:left="567" w:right="565"/>
        <w:rPr>
          <w:rFonts w:ascii="ITC Avant Garde" w:hAnsi="ITC Avant Garde"/>
          <w:i/>
          <w:lang w:val="es-MX"/>
        </w:rPr>
      </w:pPr>
      <w:r w:rsidRPr="004C1A96">
        <w:rPr>
          <w:rFonts w:ascii="ITC Avant Garde" w:hAnsi="ITC Avant Garde"/>
          <w:i/>
          <w:lang w:val="es-MX"/>
        </w:rPr>
        <w:t>"Costos incrementales a largo plazo (</w:t>
      </w:r>
      <w:r w:rsidR="004E38E6" w:rsidRPr="004C1A96">
        <w:rPr>
          <w:rFonts w:ascii="ITC Avant Garde" w:hAnsi="ITC Avant Garde"/>
          <w:i/>
          <w:lang w:val="es-MX"/>
        </w:rPr>
        <w:t>CILP</w:t>
      </w:r>
      <w:r w:rsidRPr="004C1A96">
        <w:rPr>
          <w:rFonts w:ascii="ITC Avant Garde" w:hAnsi="ITC Avant Garde"/>
          <w:i/>
          <w:lang w:val="es-MX"/>
        </w:rPr>
        <w:t xml:space="preserve">) significa los costos incrementales correspondientes a un horizonte temporal donde todos los factores de producción, incluido el equipo de capital, son variables en respuesta a cambios en la demanda debido a cambios en el volumen o en la estructura </w:t>
      </w:r>
      <w:r w:rsidRPr="004C1A96">
        <w:rPr>
          <w:rFonts w:ascii="ITC Avant Garde" w:hAnsi="ITC Avant Garde"/>
          <w:i/>
          <w:lang w:val="es-MX"/>
        </w:rPr>
        <w:lastRenderedPageBreak/>
        <w:t>de producción. Por lo tanto, todas las inversiones se consideran costos variables ".</w:t>
      </w:r>
      <w:r w:rsidR="00BC4DC9">
        <w:rPr>
          <w:rStyle w:val="Refdenotaalpie"/>
          <w:rFonts w:ascii="ITC Avant Garde" w:hAnsi="ITC Avant Garde"/>
          <w:i/>
          <w:lang w:val="es-MX"/>
        </w:rPr>
        <w:footnoteReference w:id="2"/>
      </w:r>
    </w:p>
    <w:p w14:paraId="3E5EF8BA" w14:textId="77777777" w:rsidR="005F5BB7" w:rsidRPr="004C1A96" w:rsidRDefault="00850A2C" w:rsidP="00850A2C">
      <w:pPr>
        <w:rPr>
          <w:rFonts w:ascii="ITC Avant Garde" w:hAnsi="ITC Avant Garde"/>
          <w:lang w:val="es-MX"/>
        </w:rPr>
      </w:pPr>
      <w:r w:rsidRPr="00E14D8A">
        <w:rPr>
          <w:rFonts w:ascii="ITC Avant Garde" w:hAnsi="ITC Avant Garde"/>
          <w:lang w:val="es-MX"/>
        </w:rPr>
        <w:t>E</w:t>
      </w:r>
      <w:r w:rsidR="005F5BB7" w:rsidRPr="00E14D8A">
        <w:rPr>
          <w:rFonts w:ascii="ITC Avant Garde" w:hAnsi="ITC Avant Garde"/>
          <w:lang w:val="es-MX"/>
        </w:rPr>
        <w:t>l enfoque</w:t>
      </w:r>
      <w:r w:rsidRPr="00E14D8A">
        <w:rPr>
          <w:rFonts w:ascii="ITC Avant Garde" w:hAnsi="ITC Avant Garde"/>
          <w:lang w:val="es-MX"/>
        </w:rPr>
        <w:t xml:space="preserve"> de </w:t>
      </w:r>
      <w:r w:rsidRPr="004C1A96" w:rsidDel="00DA2590">
        <w:rPr>
          <w:rFonts w:ascii="ITC Avant Garde" w:hAnsi="ITC Avant Garde"/>
          <w:lang w:val="es-MX"/>
        </w:rPr>
        <w:t xml:space="preserve">Costos </w:t>
      </w:r>
      <w:r w:rsidR="00B914E4" w:rsidRPr="004C1A96" w:rsidDel="00DA2590">
        <w:rPr>
          <w:rFonts w:ascii="ITC Avant Garde" w:hAnsi="ITC Avant Garde"/>
          <w:lang w:val="es-MX"/>
        </w:rPr>
        <w:t>I</w:t>
      </w:r>
      <w:r w:rsidRPr="004C1A96" w:rsidDel="00DA2590">
        <w:rPr>
          <w:rFonts w:ascii="ITC Avant Garde" w:hAnsi="ITC Avant Garde"/>
          <w:lang w:val="es-MX"/>
        </w:rPr>
        <w:t xml:space="preserve">ncrementales </w:t>
      </w:r>
      <w:r w:rsidR="00AB46E9" w:rsidRPr="004C1A96" w:rsidDel="00DA2590">
        <w:rPr>
          <w:rFonts w:ascii="ITC Avant Garde" w:hAnsi="ITC Avant Garde"/>
          <w:lang w:val="es-MX"/>
        </w:rPr>
        <w:t xml:space="preserve">Promedios </w:t>
      </w:r>
      <w:r w:rsidRPr="004C1A96" w:rsidDel="00DA2590">
        <w:rPr>
          <w:rFonts w:ascii="ITC Avant Garde" w:hAnsi="ITC Avant Garde"/>
          <w:lang w:val="es-MX"/>
        </w:rPr>
        <w:t xml:space="preserve">de </w:t>
      </w:r>
      <w:r w:rsidR="00AF5676" w:rsidRPr="004C1A96">
        <w:rPr>
          <w:rFonts w:ascii="ITC Avant Garde" w:hAnsi="ITC Avant Garde"/>
          <w:lang w:val="es-MX"/>
        </w:rPr>
        <w:t>L</w:t>
      </w:r>
      <w:r w:rsidRPr="004C1A96" w:rsidDel="00DA2590">
        <w:rPr>
          <w:rFonts w:ascii="ITC Avant Garde" w:hAnsi="ITC Avant Garde"/>
          <w:lang w:val="es-MX"/>
        </w:rPr>
        <w:t xml:space="preserve">argo </w:t>
      </w:r>
      <w:r w:rsidR="00AF5676" w:rsidRPr="004C1A96">
        <w:rPr>
          <w:rFonts w:ascii="ITC Avant Garde" w:hAnsi="ITC Avant Garde"/>
          <w:lang w:val="es-MX"/>
        </w:rPr>
        <w:t xml:space="preserve">Plazo </w:t>
      </w:r>
      <w:r w:rsidRPr="004C1A96">
        <w:rPr>
          <w:rFonts w:ascii="ITC Avant Garde" w:hAnsi="ITC Avant Garde"/>
          <w:lang w:val="es-MX"/>
        </w:rPr>
        <w:t>(</w:t>
      </w:r>
      <w:r w:rsidR="004E38E6" w:rsidRPr="004C1A96">
        <w:rPr>
          <w:rFonts w:ascii="ITC Avant Garde" w:hAnsi="ITC Avant Garde"/>
          <w:lang w:val="es-MX"/>
        </w:rPr>
        <w:t>CI</w:t>
      </w:r>
      <w:r w:rsidR="00DA2590" w:rsidRPr="004C1A96">
        <w:rPr>
          <w:rFonts w:ascii="ITC Avant Garde" w:hAnsi="ITC Avant Garde"/>
          <w:lang w:val="es-MX"/>
        </w:rPr>
        <w:t>P</w:t>
      </w:r>
      <w:r w:rsidR="004E38E6" w:rsidRPr="004C1A96">
        <w:rPr>
          <w:rFonts w:ascii="ITC Avant Garde" w:hAnsi="ITC Avant Garde"/>
          <w:lang w:val="es-MX"/>
        </w:rPr>
        <w:t>LP</w:t>
      </w:r>
      <w:r w:rsidRPr="004C1A96" w:rsidDel="00DA2590">
        <w:rPr>
          <w:rFonts w:ascii="ITC Avant Garde" w:hAnsi="ITC Avant Garde"/>
          <w:lang w:val="es-MX"/>
        </w:rPr>
        <w:t>)</w:t>
      </w:r>
      <w:r w:rsidR="005F5BB7" w:rsidRPr="004C1A96">
        <w:rPr>
          <w:rFonts w:ascii="ITC Avant Garde" w:hAnsi="ITC Avant Garde"/>
          <w:lang w:val="es-MX"/>
        </w:rPr>
        <w:t xml:space="preserve"> es una </w:t>
      </w:r>
      <w:r w:rsidRPr="004C1A96">
        <w:rPr>
          <w:rFonts w:ascii="ITC Avant Garde" w:hAnsi="ITC Avant Garde"/>
          <w:lang w:val="es-MX"/>
        </w:rPr>
        <w:t xml:space="preserve">variación </w:t>
      </w:r>
      <w:r w:rsidR="005F5BB7" w:rsidRPr="004C1A96">
        <w:rPr>
          <w:rFonts w:ascii="ITC Avant Garde" w:hAnsi="ITC Avant Garde"/>
          <w:lang w:val="es-MX"/>
        </w:rPr>
        <w:t xml:space="preserve">de </w:t>
      </w:r>
      <w:r w:rsidRPr="004C1A96">
        <w:rPr>
          <w:rFonts w:ascii="ITC Avant Garde" w:hAnsi="ITC Avant Garde"/>
          <w:lang w:val="es-MX"/>
        </w:rPr>
        <w:t xml:space="preserve">la </w:t>
      </w:r>
      <w:r w:rsidR="005F5BB7" w:rsidRPr="004C1A96">
        <w:rPr>
          <w:rFonts w:ascii="ITC Avant Garde" w:hAnsi="ITC Avant Garde"/>
          <w:lang w:val="es-MX"/>
        </w:rPr>
        <w:t xml:space="preserve">metodología </w:t>
      </w:r>
      <w:r w:rsidR="00FA6F2F" w:rsidRPr="004C1A96">
        <w:rPr>
          <w:rFonts w:ascii="ITC Avant Garde" w:hAnsi="ITC Avant Garde"/>
          <w:lang w:val="es-MX"/>
        </w:rPr>
        <w:t xml:space="preserve">de costos incrementales de largo plazo, </w:t>
      </w:r>
      <w:r w:rsidR="005F5BB7" w:rsidRPr="004C1A96">
        <w:rPr>
          <w:rFonts w:ascii="ITC Avant Garde" w:hAnsi="ITC Avant Garde"/>
          <w:lang w:val="es-MX"/>
        </w:rPr>
        <w:t xml:space="preserve">que agrega el término </w:t>
      </w:r>
      <w:r w:rsidR="00FA6F2F" w:rsidRPr="004C1A96">
        <w:rPr>
          <w:rFonts w:ascii="ITC Avant Garde" w:hAnsi="ITC Avant Garde"/>
          <w:lang w:val="es-MX"/>
        </w:rPr>
        <w:t>“</w:t>
      </w:r>
      <w:r w:rsidR="004D6F82" w:rsidRPr="004C1A96">
        <w:rPr>
          <w:rFonts w:ascii="ITC Avant Garde" w:hAnsi="ITC Avant Garde"/>
          <w:lang w:val="es-MX"/>
        </w:rPr>
        <w:t>p</w:t>
      </w:r>
      <w:r w:rsidR="005F5BB7" w:rsidRPr="004C1A96">
        <w:rPr>
          <w:rFonts w:ascii="ITC Avant Garde" w:hAnsi="ITC Avant Garde"/>
          <w:lang w:val="es-MX"/>
        </w:rPr>
        <w:t>romedio</w:t>
      </w:r>
      <w:r w:rsidR="00FA6F2F" w:rsidRPr="004C1A96">
        <w:rPr>
          <w:rFonts w:ascii="ITC Avant Garde" w:hAnsi="ITC Avant Garde"/>
          <w:lang w:val="es-MX"/>
        </w:rPr>
        <w:t xml:space="preserve">”, lo que implica que </w:t>
      </w:r>
      <w:r w:rsidR="000361A8" w:rsidRPr="004C1A96">
        <w:rPr>
          <w:rFonts w:ascii="ITC Avant Garde" w:hAnsi="ITC Avant Garde"/>
          <w:lang w:val="es-MX"/>
        </w:rPr>
        <w:t>todos</w:t>
      </w:r>
      <w:r w:rsidRPr="004C1A96">
        <w:rPr>
          <w:rFonts w:ascii="ITC Avant Garde" w:hAnsi="ITC Avant Garde"/>
          <w:lang w:val="es-MX"/>
        </w:rPr>
        <w:t xml:space="preserve"> </w:t>
      </w:r>
      <w:r w:rsidR="005F5BB7" w:rsidRPr="004C1A96">
        <w:rPr>
          <w:rFonts w:ascii="ITC Avant Garde" w:hAnsi="ITC Avant Garde"/>
          <w:lang w:val="es-MX"/>
        </w:rPr>
        <w:t xml:space="preserve">los costos </w:t>
      </w:r>
      <w:r w:rsidR="000361A8" w:rsidRPr="004C1A96">
        <w:rPr>
          <w:rFonts w:ascii="ITC Avant Garde" w:hAnsi="ITC Avant Garde"/>
          <w:lang w:val="es-MX"/>
        </w:rPr>
        <w:t>asociad</w:t>
      </w:r>
      <w:r w:rsidR="005F5BB7" w:rsidRPr="004C1A96">
        <w:rPr>
          <w:rFonts w:ascii="ITC Avant Garde" w:hAnsi="ITC Avant Garde"/>
          <w:lang w:val="es-MX"/>
        </w:rPr>
        <w:t xml:space="preserve">os a la producción del servicio relevante (dentro de los costos de proporcionar el incremento completo) se dividen por el tráfico total correspondiente </w:t>
      </w:r>
      <w:r w:rsidR="000361A8" w:rsidRPr="004C1A96">
        <w:rPr>
          <w:rFonts w:ascii="ITC Avant Garde" w:hAnsi="ITC Avant Garde"/>
          <w:lang w:val="es-MX"/>
        </w:rPr>
        <w:t>con el fin de obtener</w:t>
      </w:r>
      <w:r w:rsidR="005F5BB7" w:rsidRPr="004C1A96">
        <w:rPr>
          <w:rFonts w:ascii="ITC Avant Garde" w:hAnsi="ITC Avant Garde"/>
          <w:lang w:val="es-MX"/>
        </w:rPr>
        <w:t xml:space="preserve"> una estimación del costo incremental promedio del servicio. Hay varias definiciones del término </w:t>
      </w:r>
      <w:r w:rsidR="004D6F82" w:rsidRPr="004C1A96">
        <w:rPr>
          <w:rFonts w:ascii="ITC Avant Garde" w:hAnsi="ITC Avant Garde"/>
          <w:lang w:val="es-MX"/>
        </w:rPr>
        <w:t>“</w:t>
      </w:r>
      <w:r w:rsidR="005F5BB7" w:rsidRPr="004C1A96">
        <w:rPr>
          <w:rFonts w:ascii="ITC Avant Garde" w:hAnsi="ITC Avant Garde"/>
          <w:lang w:val="es-MX"/>
        </w:rPr>
        <w:t>incremento</w:t>
      </w:r>
      <w:r w:rsidR="004D6F82" w:rsidRPr="004C1A96">
        <w:rPr>
          <w:rFonts w:ascii="ITC Avant Garde" w:hAnsi="ITC Avant Garde"/>
          <w:lang w:val="es-MX"/>
        </w:rPr>
        <w:t>”</w:t>
      </w:r>
      <w:r w:rsidR="005F5BB7" w:rsidRPr="004C1A96">
        <w:rPr>
          <w:rFonts w:ascii="ITC Avant Garde" w:hAnsi="ITC Avant Garde"/>
          <w:lang w:val="es-MX"/>
        </w:rPr>
        <w:t xml:space="preserve">, razón por la cual este tema se trata </w:t>
      </w:r>
      <w:r w:rsidR="00F72DA5" w:rsidRPr="004C1A96">
        <w:rPr>
          <w:rFonts w:ascii="ITC Avant Garde" w:hAnsi="ITC Avant Garde"/>
          <w:lang w:val="es-MX"/>
        </w:rPr>
        <w:t xml:space="preserve">a </w:t>
      </w:r>
      <w:r w:rsidR="005F5BB7" w:rsidRPr="004C1A96">
        <w:rPr>
          <w:rFonts w:ascii="ITC Avant Garde" w:hAnsi="ITC Avant Garde"/>
          <w:lang w:val="es-MX"/>
        </w:rPr>
        <w:t>detalle a continuación.</w:t>
      </w:r>
    </w:p>
    <w:p w14:paraId="5C78C6EB" w14:textId="27836920" w:rsidR="005F5BB7" w:rsidRPr="004C1A96" w:rsidRDefault="005F5BB7" w:rsidP="005F5BB7">
      <w:pPr>
        <w:rPr>
          <w:rFonts w:ascii="ITC Avant Garde" w:hAnsi="ITC Avant Garde"/>
          <w:lang w:val="es-MX"/>
        </w:rPr>
      </w:pPr>
      <w:r w:rsidRPr="004C1A96">
        <w:rPr>
          <w:rFonts w:ascii="ITC Avant Garde" w:hAnsi="ITC Avant Garde"/>
          <w:lang w:val="es-MX"/>
        </w:rPr>
        <w:t xml:space="preserve">Este uso del enfoque </w:t>
      </w:r>
      <w:r w:rsidR="00080E46" w:rsidRPr="004C1A96">
        <w:rPr>
          <w:rFonts w:ascii="ITC Avant Garde" w:hAnsi="ITC Avant Garde"/>
          <w:lang w:val="es-MX"/>
        </w:rPr>
        <w:t xml:space="preserve">CIPLP </w:t>
      </w:r>
      <w:r w:rsidRPr="004C1A96">
        <w:rPr>
          <w:rFonts w:ascii="ITC Avant Garde" w:hAnsi="ITC Avant Garde"/>
          <w:lang w:val="es-MX"/>
        </w:rPr>
        <w:t>es consistente con los modelos anteriores de acceso (tanto el modelo de cobre como el de fibra), como se establece en los documentos metodológicos y conceptuales del modelo de cobre</w:t>
      </w:r>
      <w:r w:rsidR="00BC4DC9">
        <w:rPr>
          <w:rStyle w:val="Refdenotaalpie"/>
          <w:rFonts w:ascii="ITC Avant Garde" w:hAnsi="ITC Avant Garde"/>
          <w:lang w:val="es-MX"/>
        </w:rPr>
        <w:footnoteReference w:id="3"/>
      </w:r>
      <w:r w:rsidRPr="004C1A96">
        <w:rPr>
          <w:rFonts w:ascii="ITC Avant Garde" w:hAnsi="ITC Avant Garde"/>
          <w:lang w:val="es-MX"/>
        </w:rPr>
        <w:t>:</w:t>
      </w:r>
    </w:p>
    <w:p w14:paraId="20740CED" w14:textId="77777777" w:rsidR="00EC047F" w:rsidRPr="004C1A96" w:rsidRDefault="0074343B" w:rsidP="00EC047F">
      <w:pPr>
        <w:ind w:left="567" w:right="565"/>
        <w:rPr>
          <w:rFonts w:ascii="ITC Avant Garde" w:hAnsi="ITC Avant Garde"/>
          <w:i/>
          <w:lang w:val="es-MX"/>
        </w:rPr>
      </w:pPr>
      <w:r w:rsidRPr="00E14D8A">
        <w:rPr>
          <w:rFonts w:ascii="ITC Avant Garde" w:hAnsi="ITC Avant Garde"/>
          <w:i/>
          <w:lang w:val="es-MX"/>
        </w:rPr>
        <w:t>“</w:t>
      </w:r>
      <w:r w:rsidR="00EC047F" w:rsidRPr="00E14D8A">
        <w:rPr>
          <w:rFonts w:ascii="ITC Avant Garde" w:hAnsi="ITC Avant Garde"/>
          <w:i/>
          <w:lang w:val="es-MX"/>
        </w:rPr>
        <w:t>El IFT decidió que es</w:t>
      </w:r>
      <w:r w:rsidR="005F5BB7" w:rsidRPr="004C1A96">
        <w:rPr>
          <w:rFonts w:ascii="ITC Avant Garde" w:hAnsi="ITC Avant Garde"/>
          <w:i/>
          <w:lang w:val="es-MX"/>
        </w:rPr>
        <w:t xml:space="preserve"> la elección más </w:t>
      </w:r>
      <w:r w:rsidR="00EC047F" w:rsidRPr="004C1A96">
        <w:rPr>
          <w:rFonts w:ascii="ITC Avant Garde" w:hAnsi="ITC Avant Garde"/>
          <w:i/>
          <w:lang w:val="es-MX"/>
        </w:rPr>
        <w:t>apropiada para</w:t>
      </w:r>
      <w:r w:rsidR="005F5BB7" w:rsidRPr="004C1A96">
        <w:rPr>
          <w:rFonts w:ascii="ITC Avant Garde" w:hAnsi="ITC Avant Garde"/>
          <w:i/>
          <w:lang w:val="es-MX"/>
        </w:rPr>
        <w:t xml:space="preserve"> los servicios de infraestructura de la red de acceso fija</w:t>
      </w:r>
      <w:r w:rsidR="00EC047F" w:rsidRPr="004C1A96">
        <w:rPr>
          <w:rFonts w:ascii="ITC Avant Garde" w:hAnsi="ITC Avant Garde"/>
          <w:i/>
          <w:lang w:val="es-MX"/>
        </w:rPr>
        <w:t xml:space="preserve">. </w:t>
      </w:r>
    </w:p>
    <w:p w14:paraId="1F2094A0" w14:textId="77777777" w:rsidR="005F5BB7" w:rsidRPr="004C1A96" w:rsidRDefault="00EC047F" w:rsidP="000361A8">
      <w:pPr>
        <w:ind w:left="567" w:right="565"/>
        <w:rPr>
          <w:rFonts w:ascii="ITC Avant Garde" w:hAnsi="ITC Avant Garde"/>
          <w:i/>
          <w:lang w:val="es-MX"/>
        </w:rPr>
      </w:pPr>
      <w:r w:rsidRPr="004C1A96">
        <w:rPr>
          <w:rFonts w:ascii="ITC Avant Garde" w:hAnsi="ITC Avant Garde"/>
          <w:i/>
          <w:lang w:val="es-MX"/>
        </w:rPr>
        <w:t>Calcula</w:t>
      </w:r>
      <w:r w:rsidR="005F5BB7" w:rsidRPr="004C1A96">
        <w:rPr>
          <w:rFonts w:ascii="ITC Avant Garde" w:hAnsi="ITC Avant Garde"/>
          <w:i/>
          <w:lang w:val="es-MX"/>
        </w:rPr>
        <w:t xml:space="preserve"> los costos incrementales de proveer un servicio </w:t>
      </w:r>
      <w:r w:rsidR="00F54759" w:rsidRPr="004C1A96">
        <w:rPr>
          <w:rFonts w:ascii="ITC Avant Garde" w:hAnsi="ITC Avant Garde"/>
          <w:i/>
          <w:lang w:val="es-MX"/>
        </w:rPr>
        <w:t>considerando</w:t>
      </w:r>
      <w:r w:rsidR="005F5BB7" w:rsidRPr="004C1A96">
        <w:rPr>
          <w:rFonts w:ascii="ITC Avant Garde" w:hAnsi="ITC Avant Garde"/>
          <w:i/>
          <w:lang w:val="es-MX"/>
        </w:rPr>
        <w:t xml:space="preserve"> todos los servicios </w:t>
      </w:r>
      <w:r w:rsidR="00F54759" w:rsidRPr="004C1A96">
        <w:rPr>
          <w:rFonts w:ascii="ITC Avant Garde" w:hAnsi="ITC Avant Garde"/>
          <w:i/>
          <w:lang w:val="es-MX"/>
        </w:rPr>
        <w:t>ya</w:t>
      </w:r>
      <w:r w:rsidR="005F5BB7" w:rsidRPr="004C1A96">
        <w:rPr>
          <w:rFonts w:ascii="ITC Avant Garde" w:hAnsi="ITC Avant Garde"/>
          <w:i/>
          <w:lang w:val="es-MX"/>
        </w:rPr>
        <w:t xml:space="preserve"> provistos (atribuyendo los costos compartidos y comunes a los servicios relevantes en función de la demanda de dichos servicios</w:t>
      </w:r>
      <w:r w:rsidR="00337B8D" w:rsidRPr="004C1A96">
        <w:rPr>
          <w:rFonts w:ascii="ITC Avant Garde" w:hAnsi="ITC Avant Garde"/>
          <w:i/>
          <w:lang w:val="es-MX"/>
        </w:rPr>
        <w:t>)</w:t>
      </w:r>
      <w:r w:rsidR="0074343B" w:rsidRPr="004C1A96">
        <w:rPr>
          <w:rFonts w:ascii="ITC Avant Garde" w:hAnsi="ITC Avant Garde"/>
          <w:i/>
          <w:lang w:val="es-MX"/>
        </w:rPr>
        <w:t>”</w:t>
      </w:r>
      <w:r w:rsidR="00337B8D" w:rsidRPr="004C1A96">
        <w:rPr>
          <w:rFonts w:ascii="ITC Avant Garde" w:hAnsi="ITC Avant Garde"/>
          <w:i/>
          <w:lang w:val="es-MX"/>
        </w:rPr>
        <w:t xml:space="preserve"> </w:t>
      </w:r>
    </w:p>
    <w:p w14:paraId="3FF27E44" w14:textId="2E23E69D" w:rsidR="005F5BB7" w:rsidRPr="004C1A96" w:rsidRDefault="005F5BB7" w:rsidP="005F5BB7">
      <w:pPr>
        <w:rPr>
          <w:rFonts w:ascii="ITC Avant Garde" w:hAnsi="ITC Avant Garde"/>
          <w:lang w:val="es-MX"/>
        </w:rPr>
      </w:pPr>
      <w:r w:rsidRPr="004C1A96">
        <w:rPr>
          <w:rFonts w:ascii="ITC Avant Garde" w:hAnsi="ITC Avant Garde"/>
          <w:lang w:val="es-MX"/>
        </w:rPr>
        <w:t>La misma elección se realiza en el modelo de fibra, como se indica en el documento metodológico</w:t>
      </w:r>
      <w:r w:rsidR="00BC4DC9">
        <w:rPr>
          <w:rStyle w:val="Refdenotaalpie"/>
          <w:rFonts w:ascii="ITC Avant Garde" w:hAnsi="ITC Avant Garde"/>
          <w:lang w:val="es-MX"/>
        </w:rPr>
        <w:footnoteReference w:id="4"/>
      </w:r>
      <w:r w:rsidRPr="004C1A96">
        <w:rPr>
          <w:rFonts w:ascii="ITC Avant Garde" w:hAnsi="ITC Avant Garde"/>
          <w:lang w:val="es-MX"/>
        </w:rPr>
        <w:t>.</w:t>
      </w:r>
    </w:p>
    <w:p w14:paraId="54E2BCC3" w14:textId="77777777" w:rsidR="005F5BB7" w:rsidRPr="00E14D8A" w:rsidRDefault="0074343B" w:rsidP="007E23B3">
      <w:pPr>
        <w:ind w:left="567" w:right="565"/>
        <w:rPr>
          <w:rFonts w:ascii="ITC Avant Garde" w:hAnsi="ITC Avant Garde"/>
          <w:i/>
          <w:lang w:val="es-MX"/>
        </w:rPr>
      </w:pPr>
      <w:r w:rsidRPr="00E14D8A">
        <w:rPr>
          <w:rFonts w:ascii="ITC Avant Garde" w:hAnsi="ITC Avant Garde"/>
          <w:i/>
          <w:lang w:val="es-MX"/>
        </w:rPr>
        <w:t>“</w:t>
      </w:r>
      <w:r w:rsidR="005F5BB7" w:rsidRPr="00E14D8A">
        <w:rPr>
          <w:rFonts w:ascii="ITC Avant Garde" w:hAnsi="ITC Avant Garde"/>
          <w:i/>
          <w:lang w:val="es-MX"/>
        </w:rPr>
        <w:t>La metodología CIPLP calcula los costos evitados si un cierto servicio, o un grupo de proveedores se dejaran de prestar. Adicionalmente, esta metodología incluye la atribución de los costos comunes (no incrementales) a servicios.</w:t>
      </w:r>
    </w:p>
    <w:p w14:paraId="19705850" w14:textId="77777777" w:rsidR="005F5BB7" w:rsidRPr="004C1A96" w:rsidRDefault="005F5BB7" w:rsidP="007E23B3">
      <w:pPr>
        <w:ind w:left="567" w:right="565"/>
        <w:rPr>
          <w:rFonts w:ascii="ITC Avant Garde" w:hAnsi="ITC Avant Garde"/>
          <w:i/>
          <w:lang w:val="es-MX"/>
        </w:rPr>
      </w:pPr>
      <w:r w:rsidRPr="004C1A96">
        <w:rPr>
          <w:rFonts w:ascii="ITC Avant Garde" w:hAnsi="ITC Avant Garde"/>
          <w:i/>
          <w:lang w:val="es-MX"/>
        </w:rPr>
        <w:t xml:space="preserve">Se concluye emplear una metodología de costos CIPLP para la atribución de los costos de red a servicios. " </w:t>
      </w:r>
    </w:p>
    <w:p w14:paraId="316630C9" w14:textId="77777777" w:rsidR="005F5BB7" w:rsidRPr="004C1A96" w:rsidRDefault="005F5BB7" w:rsidP="005F5BB7">
      <w:pPr>
        <w:rPr>
          <w:rFonts w:ascii="ITC Avant Garde" w:hAnsi="ITC Avant Garde"/>
          <w:lang w:val="es-MX"/>
        </w:rPr>
      </w:pPr>
      <w:r w:rsidRPr="004C1A96">
        <w:rPr>
          <w:rFonts w:ascii="ITC Avant Garde" w:hAnsi="ITC Avant Garde"/>
          <w:lang w:val="es-MX"/>
        </w:rPr>
        <w:t xml:space="preserve">En conjunto, la metodología </w:t>
      </w:r>
      <w:r w:rsidR="007E23B3" w:rsidRPr="004C1A96">
        <w:rPr>
          <w:rFonts w:ascii="ITC Avant Garde" w:hAnsi="ITC Avant Garde"/>
          <w:lang w:val="es-MX"/>
        </w:rPr>
        <w:t>C</w:t>
      </w:r>
      <w:r w:rsidR="00AB46E9" w:rsidRPr="004C1A96">
        <w:rPr>
          <w:rFonts w:ascii="ITC Avant Garde" w:hAnsi="ITC Avant Garde"/>
          <w:lang w:val="es-MX"/>
        </w:rPr>
        <w:t>I</w:t>
      </w:r>
      <w:r w:rsidR="007E23B3" w:rsidRPr="004C1A96">
        <w:rPr>
          <w:rFonts w:ascii="ITC Avant Garde" w:hAnsi="ITC Avant Garde"/>
          <w:lang w:val="es-MX"/>
        </w:rPr>
        <w:t>PLP</w:t>
      </w:r>
      <w:r w:rsidRPr="004C1A96">
        <w:rPr>
          <w:rFonts w:ascii="ITC Avant Garde" w:hAnsi="ITC Avant Garde"/>
          <w:lang w:val="es-MX"/>
        </w:rPr>
        <w:t xml:space="preserve"> proporciona a</w:t>
      </w:r>
      <w:r w:rsidR="007E23B3" w:rsidRPr="004C1A96">
        <w:rPr>
          <w:rFonts w:ascii="ITC Avant Garde" w:hAnsi="ITC Avant Garde"/>
          <w:lang w:val="es-MX"/>
        </w:rPr>
        <w:t>l</w:t>
      </w:r>
      <w:r w:rsidRPr="004C1A96">
        <w:rPr>
          <w:rFonts w:ascii="ITC Avant Garde" w:hAnsi="ITC Avant Garde"/>
          <w:lang w:val="es-MX"/>
        </w:rPr>
        <w:t xml:space="preserve"> IFT un enfoque apropiado en línea con las mejores prácticas internacionales</w:t>
      </w:r>
      <w:r w:rsidR="007E23B3" w:rsidRPr="004C1A96">
        <w:rPr>
          <w:rFonts w:ascii="ITC Avant Garde" w:hAnsi="ITC Avant Garde"/>
          <w:lang w:val="es-MX"/>
        </w:rPr>
        <w:t>, e</w:t>
      </w:r>
      <w:r w:rsidRPr="004C1A96">
        <w:rPr>
          <w:rFonts w:ascii="ITC Avant Garde" w:hAnsi="ITC Avant Garde"/>
          <w:lang w:val="es-MX"/>
        </w:rPr>
        <w:t>n particular con la recomendación de la C</w:t>
      </w:r>
      <w:r w:rsidR="00262D4C" w:rsidRPr="004C1A96">
        <w:rPr>
          <w:rFonts w:ascii="ITC Avant Garde" w:hAnsi="ITC Avant Garde"/>
          <w:lang w:val="es-MX"/>
        </w:rPr>
        <w:t xml:space="preserve">omisión </w:t>
      </w:r>
      <w:r w:rsidRPr="004C1A96">
        <w:rPr>
          <w:rFonts w:ascii="ITC Avant Garde" w:hAnsi="ITC Avant Garde"/>
          <w:lang w:val="es-MX"/>
        </w:rPr>
        <w:t>E</w:t>
      </w:r>
      <w:r w:rsidR="00262D4C" w:rsidRPr="004C1A96">
        <w:rPr>
          <w:rFonts w:ascii="ITC Avant Garde" w:hAnsi="ITC Avant Garde"/>
          <w:lang w:val="es-MX"/>
        </w:rPr>
        <w:t>uropea</w:t>
      </w:r>
      <w:r w:rsidRPr="004C1A96">
        <w:rPr>
          <w:rFonts w:ascii="ITC Avant Garde" w:hAnsi="ITC Avant Garde"/>
          <w:lang w:val="es-MX"/>
        </w:rPr>
        <w:t>.</w:t>
      </w:r>
    </w:p>
    <w:p w14:paraId="386A63C4" w14:textId="77777777" w:rsidR="005F5BB7" w:rsidRPr="004C1A96" w:rsidRDefault="005F5BB7" w:rsidP="005F5BB7">
      <w:pPr>
        <w:rPr>
          <w:rFonts w:ascii="ITC Avant Garde" w:hAnsi="ITC Avant Garde"/>
          <w:lang w:val="es-MX"/>
        </w:rPr>
      </w:pPr>
      <w:r w:rsidRPr="004C1A96">
        <w:rPr>
          <w:rFonts w:ascii="ITC Avant Garde" w:hAnsi="ITC Avant Garde"/>
          <w:lang w:val="es-MX"/>
        </w:rPr>
        <w:t xml:space="preserve">Además de elegir </w:t>
      </w:r>
      <w:r w:rsidR="003A02C7" w:rsidRPr="004C1A96">
        <w:rPr>
          <w:rFonts w:ascii="ITC Avant Garde" w:hAnsi="ITC Avant Garde"/>
          <w:lang w:val="es-MX"/>
        </w:rPr>
        <w:t xml:space="preserve">un enfoque </w:t>
      </w:r>
      <w:r w:rsidR="003A02C7" w:rsidRPr="004C1A96">
        <w:rPr>
          <w:rFonts w:ascii="ITC Avant Garde" w:hAnsi="ITC Avant Garde"/>
          <w:i/>
          <w:lang w:val="es-MX"/>
        </w:rPr>
        <w:t>Bottom-Up</w:t>
      </w:r>
      <w:r w:rsidR="003A02C7" w:rsidRPr="004C1A96">
        <w:rPr>
          <w:rFonts w:ascii="ITC Avant Garde" w:hAnsi="ITC Avant Garde"/>
          <w:lang w:val="es-MX"/>
        </w:rPr>
        <w:t xml:space="preserve"> y la metodología CIPLP</w:t>
      </w:r>
      <w:r w:rsidRPr="004C1A96">
        <w:rPr>
          <w:rFonts w:ascii="ITC Avant Garde" w:hAnsi="ITC Avant Garde"/>
          <w:lang w:val="es-MX"/>
        </w:rPr>
        <w:t xml:space="preserve"> como un estándar de costo, el incremento considerado para el cálculo debe definirse claramente. En un </w:t>
      </w:r>
      <w:r w:rsidRPr="004C1A96">
        <w:rPr>
          <w:rFonts w:ascii="ITC Avant Garde" w:hAnsi="ITC Avant Garde"/>
          <w:lang w:val="es-MX"/>
        </w:rPr>
        <w:lastRenderedPageBreak/>
        <w:t>sentido amplio, los costos incrementales son los costos de proporcionar un incremento o decremento del producto cuando otros incrementos de la demanda no cambian.</w:t>
      </w:r>
    </w:p>
    <w:p w14:paraId="64821A63" w14:textId="77777777" w:rsidR="005F5BB7" w:rsidRPr="004C1A96" w:rsidRDefault="005F5BB7" w:rsidP="005F5BB7">
      <w:pPr>
        <w:rPr>
          <w:rFonts w:ascii="ITC Avant Garde" w:hAnsi="ITC Avant Garde"/>
          <w:lang w:val="es-MX"/>
        </w:rPr>
      </w:pPr>
      <w:r w:rsidRPr="004C1A96">
        <w:rPr>
          <w:rFonts w:ascii="ITC Avant Garde" w:hAnsi="ITC Avant Garde"/>
          <w:lang w:val="es-MX"/>
        </w:rPr>
        <w:t xml:space="preserve">Se pueden identificar dos familias principales de incrementos, según la tecnología utilizada (i) o según los servicios proporcionados por la red (ii). La segunda familia de incrementos es la más utilizada (está en línea con los modelos </w:t>
      </w:r>
      <w:r w:rsidR="009136FB" w:rsidRPr="004C1A96">
        <w:rPr>
          <w:rFonts w:ascii="ITC Avant Garde" w:hAnsi="ITC Avant Garde"/>
          <w:lang w:val="es-MX"/>
        </w:rPr>
        <w:t>de cobre y de fibra</w:t>
      </w:r>
      <w:r w:rsidRPr="004C1A96">
        <w:rPr>
          <w:rFonts w:ascii="ITC Avant Garde" w:hAnsi="ITC Avant Garde"/>
          <w:lang w:val="es-MX"/>
        </w:rPr>
        <w:t>) a partir de la cual los incrementos se pueden definir de varias maneras.</w:t>
      </w:r>
      <w:r w:rsidR="007E23B3" w:rsidRPr="004C1A96">
        <w:rPr>
          <w:rFonts w:ascii="ITC Avant Garde" w:hAnsi="ITC Avant Garde"/>
          <w:lang w:val="es-MX"/>
        </w:rPr>
        <w:t xml:space="preserve"> </w:t>
      </w:r>
      <w:r w:rsidRPr="004C1A96">
        <w:rPr>
          <w:rFonts w:ascii="ITC Avant Garde" w:hAnsi="ITC Avant Garde"/>
          <w:lang w:val="es-MX"/>
        </w:rPr>
        <w:t>Las posibles definiciones del incremento incluyen:</w:t>
      </w:r>
    </w:p>
    <w:p w14:paraId="6E3B2D0A" w14:textId="77777777" w:rsidR="005F5BB7" w:rsidRPr="004C1A96" w:rsidRDefault="00253B07" w:rsidP="007E23B3">
      <w:pPr>
        <w:pStyle w:val="Listaconvietas2"/>
        <w:rPr>
          <w:rFonts w:ascii="ITC Avant Garde" w:hAnsi="ITC Avant Garde"/>
          <w:lang w:val="es-MX"/>
        </w:rPr>
      </w:pPr>
      <w:r w:rsidRPr="004C1A96">
        <w:rPr>
          <w:rFonts w:ascii="ITC Avant Garde" w:hAnsi="ITC Avant Garde"/>
          <w:lang w:val="es-MX"/>
        </w:rPr>
        <w:t>U</w:t>
      </w:r>
      <w:r w:rsidR="005F5BB7" w:rsidRPr="004C1A96">
        <w:rPr>
          <w:rFonts w:ascii="ITC Avant Garde" w:hAnsi="ITC Avant Garde"/>
          <w:lang w:val="es-MX"/>
        </w:rPr>
        <w:t>nidad marginal de demanda de un servicio;</w:t>
      </w:r>
    </w:p>
    <w:p w14:paraId="6F3BDA1B" w14:textId="77777777" w:rsidR="005F5BB7" w:rsidRPr="004C1A96" w:rsidRDefault="00253B07" w:rsidP="007E23B3">
      <w:pPr>
        <w:pStyle w:val="Listaconvietas2"/>
        <w:rPr>
          <w:rFonts w:ascii="ITC Avant Garde" w:hAnsi="ITC Avant Garde"/>
          <w:lang w:val="es-MX"/>
        </w:rPr>
      </w:pPr>
      <w:r w:rsidRPr="004C1A96">
        <w:rPr>
          <w:rFonts w:ascii="ITC Avant Garde" w:hAnsi="ITC Avant Garde"/>
          <w:lang w:val="es-MX"/>
        </w:rPr>
        <w:t>D</w:t>
      </w:r>
      <w:r w:rsidR="005F5BB7" w:rsidRPr="004C1A96">
        <w:rPr>
          <w:rFonts w:ascii="ITC Avant Garde" w:hAnsi="ITC Avant Garde"/>
          <w:lang w:val="es-MX"/>
        </w:rPr>
        <w:t>emanda total de un servicio;</w:t>
      </w:r>
    </w:p>
    <w:p w14:paraId="662B3937" w14:textId="77777777" w:rsidR="005F5BB7" w:rsidRPr="004C1A96" w:rsidRDefault="00253B07" w:rsidP="007E23B3">
      <w:pPr>
        <w:pStyle w:val="Listaconvietas2"/>
        <w:rPr>
          <w:rFonts w:ascii="ITC Avant Garde" w:hAnsi="ITC Avant Garde"/>
          <w:lang w:val="es-MX"/>
        </w:rPr>
      </w:pPr>
      <w:r w:rsidRPr="004C1A96">
        <w:rPr>
          <w:rFonts w:ascii="ITC Avant Garde" w:hAnsi="ITC Avant Garde"/>
          <w:lang w:val="es-MX"/>
        </w:rPr>
        <w:t>D</w:t>
      </w:r>
      <w:r w:rsidR="005F5BB7" w:rsidRPr="004C1A96">
        <w:rPr>
          <w:rFonts w:ascii="ITC Avant Garde" w:hAnsi="ITC Avant Garde"/>
          <w:lang w:val="es-MX"/>
        </w:rPr>
        <w:t>emanda total de un grupo de servicios;</w:t>
      </w:r>
    </w:p>
    <w:p w14:paraId="233ED31E" w14:textId="77777777" w:rsidR="005F5BB7" w:rsidRPr="004C1A96" w:rsidRDefault="00253B07" w:rsidP="007E23B3">
      <w:pPr>
        <w:pStyle w:val="Listaconvietas2"/>
        <w:rPr>
          <w:rFonts w:ascii="ITC Avant Garde" w:hAnsi="ITC Avant Garde"/>
          <w:lang w:val="es-MX"/>
        </w:rPr>
      </w:pPr>
      <w:r w:rsidRPr="004C1A96">
        <w:rPr>
          <w:rFonts w:ascii="ITC Avant Garde" w:hAnsi="ITC Avant Garde"/>
          <w:lang w:val="es-MX"/>
        </w:rPr>
        <w:t>D</w:t>
      </w:r>
      <w:r w:rsidR="005F5BB7" w:rsidRPr="004C1A96">
        <w:rPr>
          <w:rFonts w:ascii="ITC Avant Garde" w:hAnsi="ITC Avant Garde"/>
          <w:lang w:val="es-MX"/>
        </w:rPr>
        <w:t>emanda total de todos los servicios.</w:t>
      </w:r>
    </w:p>
    <w:p w14:paraId="3C35DB19" w14:textId="77777777" w:rsidR="005F5BB7" w:rsidRPr="004C1A96" w:rsidRDefault="005F5BB7" w:rsidP="005F5BB7">
      <w:pPr>
        <w:rPr>
          <w:rFonts w:ascii="ITC Avant Garde" w:hAnsi="ITC Avant Garde"/>
          <w:lang w:val="es-MX"/>
        </w:rPr>
      </w:pPr>
      <w:r w:rsidRPr="004C1A96">
        <w:rPr>
          <w:rFonts w:ascii="ITC Avant Garde" w:hAnsi="ITC Avant Garde"/>
          <w:lang w:val="es-MX"/>
        </w:rPr>
        <w:t>La siguiente figura ilustra estas diferentes definiciones para el caso de una empresa que produce cinco servicios diferentes (de</w:t>
      </w:r>
      <w:r w:rsidR="004E38E6" w:rsidRPr="004C1A96">
        <w:rPr>
          <w:rFonts w:ascii="ITC Avant Garde" w:hAnsi="ITC Avant Garde"/>
          <w:lang w:val="es-MX"/>
        </w:rPr>
        <w:t>l servicio</w:t>
      </w:r>
      <w:r w:rsidRPr="004C1A96">
        <w:rPr>
          <w:rFonts w:ascii="ITC Avant Garde" w:hAnsi="ITC Avant Garde"/>
          <w:lang w:val="es-MX"/>
        </w:rPr>
        <w:t xml:space="preserve"> A a</w:t>
      </w:r>
      <w:r w:rsidR="004E38E6" w:rsidRPr="004C1A96">
        <w:rPr>
          <w:rFonts w:ascii="ITC Avant Garde" w:hAnsi="ITC Avant Garde"/>
          <w:lang w:val="es-MX"/>
        </w:rPr>
        <w:t>l</w:t>
      </w:r>
      <w:r w:rsidRPr="004C1A96">
        <w:rPr>
          <w:rFonts w:ascii="ITC Avant Garde" w:hAnsi="ITC Avant Garde"/>
          <w:lang w:val="es-MX"/>
        </w:rPr>
        <w:t xml:space="preserve"> E):</w:t>
      </w:r>
    </w:p>
    <w:p w14:paraId="79232692" w14:textId="77777777" w:rsidR="005F5BB7" w:rsidRPr="004C1A96" w:rsidRDefault="005F5BB7" w:rsidP="005F5BB7">
      <w:pPr>
        <w:rPr>
          <w:rFonts w:ascii="ITC Avant Garde" w:hAnsi="ITC Avant Garde"/>
          <w:lang w:val="es-MX"/>
        </w:rPr>
      </w:pPr>
    </w:p>
    <w:p w14:paraId="548B9CBC" w14:textId="480FB8E8" w:rsidR="00850A2C" w:rsidRPr="004C1A96" w:rsidRDefault="00850A2C" w:rsidP="00A776E3">
      <w:pPr>
        <w:pStyle w:val="Descripcin"/>
        <w:keepNext/>
        <w:rPr>
          <w:rFonts w:ascii="ITC Avant Garde" w:hAnsi="ITC Avant Garde"/>
          <w:lang w:val="es-MX"/>
        </w:rPr>
      </w:pPr>
      <w:r w:rsidRPr="004C1A96">
        <w:rPr>
          <w:rFonts w:ascii="ITC Avant Garde" w:hAnsi="ITC Avant Garde"/>
          <w:lang w:val="es-MX"/>
        </w:rPr>
        <w:lastRenderedPageBreak/>
        <w:t xml:space="preserve">Figura </w:t>
      </w:r>
      <w:r w:rsidRPr="004C1A96">
        <w:rPr>
          <w:rFonts w:ascii="ITC Avant Garde" w:hAnsi="ITC Avant Garde"/>
          <w:lang w:val="es-MX"/>
        </w:rPr>
        <w:fldChar w:fldCharType="begin"/>
      </w:r>
      <w:r w:rsidRPr="004C1A96">
        <w:rPr>
          <w:rFonts w:ascii="ITC Avant Garde" w:hAnsi="ITC Avant Garde"/>
          <w:lang w:val="es-MX"/>
        </w:rPr>
        <w:instrText xml:space="preserve"> SEQ Figura \* ARABIC </w:instrText>
      </w:r>
      <w:r w:rsidRPr="004C1A96">
        <w:rPr>
          <w:rFonts w:ascii="ITC Avant Garde" w:hAnsi="ITC Avant Garde"/>
          <w:lang w:val="es-MX"/>
        </w:rPr>
        <w:fldChar w:fldCharType="separate"/>
      </w:r>
      <w:r w:rsidR="00006265">
        <w:rPr>
          <w:rFonts w:ascii="ITC Avant Garde" w:hAnsi="ITC Avant Garde"/>
          <w:noProof/>
          <w:lang w:val="es-MX"/>
        </w:rPr>
        <w:t>1</w:t>
      </w:r>
      <w:r w:rsidRPr="004C1A96">
        <w:rPr>
          <w:rFonts w:ascii="ITC Avant Garde" w:hAnsi="ITC Avant Garde"/>
          <w:lang w:val="es-MX"/>
        </w:rPr>
        <w:fldChar w:fldCharType="end"/>
      </w:r>
      <w:r w:rsidRPr="004C1A96">
        <w:rPr>
          <w:rFonts w:ascii="ITC Avant Garde" w:hAnsi="ITC Avant Garde"/>
          <w:lang w:val="es-MX"/>
        </w:rPr>
        <w:t xml:space="preserve"> - </w:t>
      </w:r>
      <w:r w:rsidR="00A776E3" w:rsidRPr="004C1A96">
        <w:rPr>
          <w:rFonts w:ascii="ITC Avant Garde" w:hAnsi="ITC Avant Garde"/>
          <w:lang w:val="es-MX"/>
        </w:rPr>
        <w:t>Ilustración de posibles definiciones de incremento</w:t>
      </w:r>
    </w:p>
    <w:p w14:paraId="0B08AF24" w14:textId="0D6E96C2" w:rsidR="005F5BB7" w:rsidRPr="004C1A96" w:rsidRDefault="00BC4DC9" w:rsidP="00A776E3">
      <w:pPr>
        <w:jc w:val="center"/>
        <w:rPr>
          <w:rFonts w:ascii="ITC Avant Garde" w:hAnsi="ITC Avant Garde"/>
          <w:lang w:val="es-MX"/>
        </w:rPr>
      </w:pPr>
      <w:r w:rsidRPr="00BE63E3">
        <w:rPr>
          <w:rFonts w:ascii="ITC Avant Garde" w:hAnsi="ITC Avant Garde"/>
          <w:i/>
          <w:noProof/>
          <w:color w:val="BFBFBF"/>
          <w:lang w:val="es-MX" w:eastAsia="es-MX"/>
        </w:rPr>
        <w:drawing>
          <wp:inline distT="0" distB="0" distL="0" distR="0" wp14:anchorId="669A5A81" wp14:editId="4A8EF263">
            <wp:extent cx="5399405" cy="4975993"/>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9405" cy="4975993"/>
                    </a:xfrm>
                    <a:prstGeom prst="rect">
                      <a:avLst/>
                    </a:prstGeom>
                    <a:noFill/>
                  </pic:spPr>
                </pic:pic>
              </a:graphicData>
            </a:graphic>
          </wp:inline>
        </w:drawing>
      </w:r>
    </w:p>
    <w:p w14:paraId="6733BF8F" w14:textId="77777777" w:rsidR="004E38E6" w:rsidRPr="00E14D8A" w:rsidRDefault="004E38E6" w:rsidP="00A776E3">
      <w:pPr>
        <w:rPr>
          <w:rFonts w:ascii="ITC Avant Garde" w:hAnsi="ITC Avant Garde"/>
          <w:lang w:val="es-MX"/>
        </w:rPr>
      </w:pPr>
    </w:p>
    <w:p w14:paraId="4748B5BA" w14:textId="77777777" w:rsidR="00A776E3" w:rsidRPr="00E14D8A" w:rsidRDefault="00A776E3" w:rsidP="00A776E3">
      <w:pPr>
        <w:rPr>
          <w:rFonts w:ascii="ITC Avant Garde" w:hAnsi="ITC Avant Garde"/>
          <w:lang w:val="es-MX"/>
        </w:rPr>
      </w:pPr>
      <w:r w:rsidRPr="00E14D8A">
        <w:rPr>
          <w:rFonts w:ascii="ITC Avant Garde" w:hAnsi="ITC Avant Garde"/>
          <w:lang w:val="es-MX"/>
        </w:rPr>
        <w:t>Cuanto mayor sea el incremento, mayor será la participación de los costos conjuntos y comunes. Por ejemplo (ver figura 1):</w:t>
      </w:r>
    </w:p>
    <w:p w14:paraId="4B70862C" w14:textId="77777777" w:rsidR="00A776E3" w:rsidRPr="004C1A96" w:rsidRDefault="00A776E3" w:rsidP="00A776E3">
      <w:pPr>
        <w:pStyle w:val="Listaconvietas2"/>
        <w:rPr>
          <w:rFonts w:ascii="ITC Avant Garde" w:hAnsi="ITC Avant Garde"/>
          <w:lang w:val="es-MX"/>
        </w:rPr>
      </w:pPr>
      <w:r w:rsidRPr="00E14D8A">
        <w:rPr>
          <w:rFonts w:ascii="ITC Avant Garde" w:hAnsi="ITC Avant Garde"/>
          <w:lang w:val="es-MX"/>
        </w:rPr>
        <w:t>Si el servicio A es el incremento, no se tienen en cuenta los costos conjuntos y comunes</w:t>
      </w:r>
      <w:r w:rsidR="004E38E6" w:rsidRPr="004C1A96">
        <w:rPr>
          <w:rFonts w:ascii="ITC Avant Garde" w:hAnsi="ITC Avant Garde"/>
          <w:lang w:val="es-MX"/>
        </w:rPr>
        <w:t xml:space="preserve"> (costo incremental </w:t>
      </w:r>
      <w:r w:rsidR="00D76341" w:rsidRPr="004C1A96">
        <w:rPr>
          <w:rFonts w:ascii="ITC Avant Garde" w:hAnsi="ITC Avant Garde"/>
          <w:lang w:val="es-MX"/>
        </w:rPr>
        <w:t>“puro”</w:t>
      </w:r>
      <w:r w:rsidR="004E38E6" w:rsidRPr="004C1A96">
        <w:rPr>
          <w:rFonts w:ascii="ITC Avant Garde" w:hAnsi="ITC Avant Garde"/>
          <w:lang w:val="es-MX"/>
        </w:rPr>
        <w:t>)</w:t>
      </w:r>
      <w:r w:rsidRPr="004C1A96">
        <w:rPr>
          <w:rFonts w:ascii="ITC Avant Garde" w:hAnsi="ITC Avant Garde"/>
          <w:lang w:val="es-MX"/>
        </w:rPr>
        <w:t>;</w:t>
      </w:r>
    </w:p>
    <w:p w14:paraId="36D82B83" w14:textId="77777777" w:rsidR="00A776E3" w:rsidRPr="004C1A96" w:rsidRDefault="00A776E3" w:rsidP="00A776E3">
      <w:pPr>
        <w:pStyle w:val="Listaconvietas2"/>
        <w:rPr>
          <w:rFonts w:ascii="ITC Avant Garde" w:hAnsi="ITC Avant Garde"/>
          <w:lang w:val="es-MX"/>
        </w:rPr>
      </w:pPr>
      <w:r w:rsidRPr="004C1A96">
        <w:rPr>
          <w:rFonts w:ascii="ITC Avant Garde" w:hAnsi="ITC Avant Garde"/>
          <w:lang w:val="es-MX"/>
        </w:rPr>
        <w:t>Si el incremento es el servicio A, B y C en conjunto, se tiene en cuenta una parte de los costos que se combinan con los servicios A, B y C.</w:t>
      </w:r>
    </w:p>
    <w:p w14:paraId="1E0A1F27" w14:textId="77777777" w:rsidR="00A776E3" w:rsidRPr="004C1A96" w:rsidRDefault="00A776E3" w:rsidP="00A776E3">
      <w:pPr>
        <w:rPr>
          <w:rFonts w:ascii="ITC Avant Garde" w:hAnsi="ITC Avant Garde"/>
          <w:lang w:val="es-MX"/>
        </w:rPr>
      </w:pPr>
      <w:r w:rsidRPr="004C1A96">
        <w:rPr>
          <w:rFonts w:ascii="ITC Avant Garde" w:hAnsi="ITC Avant Garde"/>
          <w:lang w:val="es-MX"/>
        </w:rPr>
        <w:t>Calcular los costos basados en pequeños incrementos significa que los costos incrementales calculados no contribuyen al financiamiento de los costos comunes, o posiblemente una parte limitada de los costos comunes.</w:t>
      </w:r>
    </w:p>
    <w:p w14:paraId="0559D77D" w14:textId="77777777" w:rsidR="00A776E3" w:rsidRPr="004C1A96" w:rsidRDefault="00A776E3" w:rsidP="00A776E3">
      <w:pPr>
        <w:rPr>
          <w:rFonts w:ascii="ITC Avant Garde" w:hAnsi="ITC Avant Garde"/>
          <w:lang w:val="es-MX"/>
        </w:rPr>
      </w:pPr>
      <w:r w:rsidRPr="004C1A96">
        <w:rPr>
          <w:rFonts w:ascii="ITC Avant Garde" w:hAnsi="ITC Avant Garde"/>
          <w:lang w:val="es-MX"/>
        </w:rPr>
        <w:t xml:space="preserve">La adopción de un gran incremento (por ejemplo, en el caso de una red fija, todos los servicios que utilizan la red de acceso) significa que todos los servicios </w:t>
      </w:r>
      <w:r w:rsidR="00A774A1" w:rsidRPr="004C1A96">
        <w:rPr>
          <w:rFonts w:ascii="ITC Avant Garde" w:hAnsi="ITC Avant Garde"/>
          <w:lang w:val="es-MX"/>
        </w:rPr>
        <w:t>se</w:t>
      </w:r>
      <w:r w:rsidRPr="004C1A96">
        <w:rPr>
          <w:rFonts w:ascii="ITC Avant Garde" w:hAnsi="ITC Avant Garde"/>
          <w:lang w:val="es-MX"/>
        </w:rPr>
        <w:t xml:space="preserve"> benefician en </w:t>
      </w:r>
      <w:r w:rsidRPr="004C1A96">
        <w:rPr>
          <w:rFonts w:ascii="ITC Avant Garde" w:hAnsi="ITC Avant Garde"/>
          <w:lang w:val="es-MX"/>
        </w:rPr>
        <w:lastRenderedPageBreak/>
        <w:t xml:space="preserve">la misma medida de las economías de escala. En estos casos, todos los servicios </w:t>
      </w:r>
      <w:r w:rsidR="004E38E6" w:rsidRPr="004C1A96">
        <w:rPr>
          <w:rFonts w:ascii="ITC Avant Garde" w:hAnsi="ITC Avant Garde"/>
          <w:lang w:val="es-MX"/>
        </w:rPr>
        <w:t xml:space="preserve">soportan </w:t>
      </w:r>
      <w:r w:rsidRPr="004C1A96">
        <w:rPr>
          <w:rFonts w:ascii="ITC Avant Garde" w:hAnsi="ITC Avant Garde"/>
          <w:lang w:val="es-MX"/>
        </w:rPr>
        <w:t>una parte de los costos conjuntos y comunes.</w:t>
      </w:r>
    </w:p>
    <w:p w14:paraId="62AC925A" w14:textId="77777777" w:rsidR="00A776E3" w:rsidRPr="004C1A96" w:rsidRDefault="00A776E3" w:rsidP="00A776E3">
      <w:pPr>
        <w:rPr>
          <w:rFonts w:ascii="ITC Avant Garde" w:hAnsi="ITC Avant Garde"/>
          <w:lang w:val="es-MX"/>
        </w:rPr>
      </w:pPr>
      <w:r w:rsidRPr="004C1A96">
        <w:rPr>
          <w:rFonts w:ascii="ITC Avant Garde" w:hAnsi="ITC Avant Garde"/>
          <w:lang w:val="es-MX"/>
        </w:rPr>
        <w:t>De acuerdo con la recomendación de la C</w:t>
      </w:r>
      <w:r w:rsidR="00825B3B" w:rsidRPr="004C1A96">
        <w:rPr>
          <w:rFonts w:ascii="ITC Avant Garde" w:hAnsi="ITC Avant Garde"/>
          <w:lang w:val="es-MX"/>
        </w:rPr>
        <w:t xml:space="preserve">omisión </w:t>
      </w:r>
      <w:r w:rsidRPr="004C1A96">
        <w:rPr>
          <w:rFonts w:ascii="ITC Avant Garde" w:hAnsi="ITC Avant Garde"/>
          <w:lang w:val="es-MX"/>
        </w:rPr>
        <w:t>E</w:t>
      </w:r>
      <w:r w:rsidR="00825B3B" w:rsidRPr="004C1A96">
        <w:rPr>
          <w:rFonts w:ascii="ITC Avant Garde" w:hAnsi="ITC Avant Garde"/>
          <w:lang w:val="es-MX"/>
        </w:rPr>
        <w:t>uropea</w:t>
      </w:r>
      <w:r w:rsidRPr="004C1A96">
        <w:rPr>
          <w:rFonts w:ascii="ITC Avant Garde" w:hAnsi="ITC Avant Garde"/>
          <w:lang w:val="es-MX"/>
        </w:rPr>
        <w:t>, el incremento para el acceso fijo y las redes centrales se definirá de acuerdo con la demanda total de todos los servicios:</w:t>
      </w:r>
    </w:p>
    <w:p w14:paraId="11776C87" w14:textId="2EFE5E47" w:rsidR="00A776E3" w:rsidRPr="004C1A96" w:rsidRDefault="00A776E3" w:rsidP="009107A2">
      <w:pPr>
        <w:ind w:left="567" w:right="565"/>
        <w:rPr>
          <w:rFonts w:ascii="ITC Avant Garde" w:hAnsi="ITC Avant Garde"/>
          <w:i/>
          <w:lang w:val="es-MX"/>
        </w:rPr>
      </w:pPr>
      <w:r w:rsidRPr="004C1A96">
        <w:rPr>
          <w:rFonts w:ascii="ITC Avant Garde" w:hAnsi="ITC Avant Garde"/>
          <w:i/>
          <w:lang w:val="es-MX"/>
        </w:rPr>
        <w:t> "Costos incrementales a largo plazo (LRIC)" significa los costos incrementales correspondientes a un horizonte temporal donde todos los factores de producción, incluido el equipo de capital, son variables en respuesta a cambios en la demanda debido a cambios en el volumen o en la estructura de producción. Por lo tanto, todas las inversiones se consideran costos variables ".</w:t>
      </w:r>
      <w:r w:rsidR="00BC4DC9">
        <w:rPr>
          <w:rStyle w:val="Refdenotaalpie"/>
          <w:rFonts w:ascii="ITC Avant Garde" w:hAnsi="ITC Avant Garde"/>
          <w:i/>
          <w:lang w:val="es-MX"/>
        </w:rPr>
        <w:footnoteReference w:id="5"/>
      </w:r>
    </w:p>
    <w:p w14:paraId="2D8B24C0" w14:textId="77777777" w:rsidR="00A776E3" w:rsidRPr="00E14D8A" w:rsidRDefault="00A776E3" w:rsidP="00A776E3">
      <w:pPr>
        <w:rPr>
          <w:rFonts w:ascii="ITC Avant Garde" w:hAnsi="ITC Avant Garde"/>
          <w:lang w:val="es-MX"/>
        </w:rPr>
      </w:pPr>
      <w:r w:rsidRPr="00E14D8A">
        <w:rPr>
          <w:rFonts w:ascii="ITC Avant Garde" w:hAnsi="ITC Avant Garde"/>
          <w:lang w:val="es-MX"/>
        </w:rPr>
        <w:t>Para la red fija, generalmente se definen dos incrementos principales:</w:t>
      </w:r>
    </w:p>
    <w:p w14:paraId="4E0DABF2" w14:textId="77777777" w:rsidR="00A776E3" w:rsidRPr="004C1A96" w:rsidRDefault="00A34C9D" w:rsidP="009107A2">
      <w:pPr>
        <w:pStyle w:val="Listaconvietas2"/>
        <w:rPr>
          <w:rFonts w:ascii="ITC Avant Garde" w:hAnsi="ITC Avant Garde"/>
          <w:lang w:val="es-MX"/>
        </w:rPr>
      </w:pPr>
      <w:r w:rsidRPr="00E14D8A">
        <w:rPr>
          <w:rFonts w:ascii="ITC Avant Garde" w:hAnsi="ITC Avant Garde"/>
          <w:lang w:val="es-MX"/>
        </w:rPr>
        <w:t>E</w:t>
      </w:r>
      <w:r w:rsidR="00A776E3" w:rsidRPr="004C1A96">
        <w:rPr>
          <w:rFonts w:ascii="ITC Avant Garde" w:hAnsi="ITC Avant Garde"/>
          <w:lang w:val="es-MX"/>
        </w:rPr>
        <w:t>l incremento de acceso que se define como todos los servicios (tanto regulados como no regulados) que utilizan la red de acceso;</w:t>
      </w:r>
    </w:p>
    <w:p w14:paraId="7D8A46B7" w14:textId="77777777" w:rsidR="00A776E3" w:rsidRPr="004C1A96" w:rsidRDefault="00A34C9D" w:rsidP="009107A2">
      <w:pPr>
        <w:pStyle w:val="Listaconvietas2"/>
        <w:rPr>
          <w:rFonts w:ascii="ITC Avant Garde" w:hAnsi="ITC Avant Garde"/>
          <w:lang w:val="es-MX"/>
        </w:rPr>
      </w:pPr>
      <w:r w:rsidRPr="004C1A96">
        <w:rPr>
          <w:rFonts w:ascii="ITC Avant Garde" w:hAnsi="ITC Avant Garde"/>
          <w:lang w:val="es-MX"/>
        </w:rPr>
        <w:t>E</w:t>
      </w:r>
      <w:r w:rsidR="00A776E3" w:rsidRPr="004C1A96">
        <w:rPr>
          <w:rFonts w:ascii="ITC Avant Garde" w:hAnsi="ITC Avant Garde"/>
          <w:lang w:val="es-MX"/>
        </w:rPr>
        <w:t>l incremento de</w:t>
      </w:r>
      <w:r w:rsidR="009107A2" w:rsidRPr="004C1A96">
        <w:rPr>
          <w:rFonts w:ascii="ITC Avant Garde" w:hAnsi="ITC Avant Garde"/>
          <w:lang w:val="es-MX"/>
        </w:rPr>
        <w:t xml:space="preserve"> transporte</w:t>
      </w:r>
      <w:r w:rsidR="00A776E3" w:rsidRPr="004C1A96">
        <w:rPr>
          <w:rFonts w:ascii="ITC Avant Garde" w:hAnsi="ITC Avant Garde"/>
          <w:lang w:val="es-MX"/>
        </w:rPr>
        <w:t xml:space="preserve">, que se define como todos los servicios (tanto regulados como no regulados) que utilizan la red </w:t>
      </w:r>
      <w:r w:rsidR="009107A2" w:rsidRPr="004C1A96">
        <w:rPr>
          <w:rFonts w:ascii="ITC Avant Garde" w:hAnsi="ITC Avant Garde"/>
          <w:lang w:val="es-MX"/>
        </w:rPr>
        <w:t>de transporte</w:t>
      </w:r>
      <w:r w:rsidR="00A776E3" w:rsidRPr="004C1A96">
        <w:rPr>
          <w:rFonts w:ascii="ITC Avant Garde" w:hAnsi="ITC Avant Garde"/>
          <w:lang w:val="es-MX"/>
        </w:rPr>
        <w:t>.</w:t>
      </w:r>
    </w:p>
    <w:p w14:paraId="3CC7D896" w14:textId="77777777" w:rsidR="00A776E3" w:rsidRPr="004C1A96" w:rsidRDefault="00A776E3" w:rsidP="00A776E3">
      <w:pPr>
        <w:rPr>
          <w:rFonts w:ascii="ITC Avant Garde" w:hAnsi="ITC Avant Garde"/>
          <w:lang w:val="es-MX"/>
        </w:rPr>
      </w:pPr>
      <w:r w:rsidRPr="004C1A96">
        <w:rPr>
          <w:rFonts w:ascii="ITC Avant Garde" w:hAnsi="ITC Avant Garde"/>
          <w:lang w:val="es-MX"/>
        </w:rPr>
        <w:t xml:space="preserve">El costo incremental para la red </w:t>
      </w:r>
      <w:r w:rsidR="009107A2" w:rsidRPr="004C1A96">
        <w:rPr>
          <w:rFonts w:ascii="ITC Avant Garde" w:hAnsi="ITC Avant Garde"/>
          <w:lang w:val="es-MX"/>
        </w:rPr>
        <w:t>de transporte</w:t>
      </w:r>
      <w:r w:rsidRPr="004C1A96">
        <w:rPr>
          <w:rFonts w:ascii="ITC Avant Garde" w:hAnsi="ITC Avant Garde"/>
          <w:lang w:val="es-MX"/>
        </w:rPr>
        <w:t xml:space="preserve"> es el costo que se produce cuando se agrega una red </w:t>
      </w:r>
      <w:r w:rsidR="009107A2" w:rsidRPr="004C1A96">
        <w:rPr>
          <w:rFonts w:ascii="ITC Avant Garde" w:hAnsi="ITC Avant Garde"/>
          <w:lang w:val="es-MX"/>
        </w:rPr>
        <w:t>de transporte</w:t>
      </w:r>
      <w:r w:rsidRPr="004C1A96">
        <w:rPr>
          <w:rFonts w:ascii="ITC Avant Garde" w:hAnsi="ITC Avant Garde"/>
          <w:lang w:val="es-MX"/>
        </w:rPr>
        <w:t xml:space="preserve"> a una red de acceso ya existente. Y el costo incremental para una red de acceso surge cuando se agrega una red de acceso a una red </w:t>
      </w:r>
      <w:r w:rsidR="009107A2" w:rsidRPr="004C1A96">
        <w:rPr>
          <w:rFonts w:ascii="ITC Avant Garde" w:hAnsi="ITC Avant Garde"/>
          <w:lang w:val="es-MX"/>
        </w:rPr>
        <w:t>de transporte</w:t>
      </w:r>
      <w:r w:rsidRPr="004C1A96">
        <w:rPr>
          <w:rFonts w:ascii="ITC Avant Garde" w:hAnsi="ITC Avant Garde"/>
          <w:lang w:val="es-MX"/>
        </w:rPr>
        <w:t xml:space="preserve"> ya existente.</w:t>
      </w:r>
    </w:p>
    <w:p w14:paraId="59CCC0F1" w14:textId="77777777" w:rsidR="00A776E3" w:rsidRPr="004C1A96" w:rsidRDefault="00A776E3" w:rsidP="00A776E3">
      <w:pPr>
        <w:rPr>
          <w:rFonts w:ascii="ITC Avant Garde" w:hAnsi="ITC Avant Garde"/>
          <w:lang w:val="es-MX"/>
        </w:rPr>
      </w:pPr>
      <w:r w:rsidRPr="004C1A96">
        <w:rPr>
          <w:rFonts w:ascii="ITC Avant Garde" w:hAnsi="ITC Avant Garde"/>
          <w:lang w:val="es-MX"/>
        </w:rPr>
        <w:t xml:space="preserve">Con respecto al incremento de acceso, de manera consistente con los principios metodológicos utilizados en el modelo </w:t>
      </w:r>
      <w:r w:rsidR="009136FB" w:rsidRPr="004C1A96">
        <w:rPr>
          <w:rFonts w:ascii="ITC Avant Garde" w:hAnsi="ITC Avant Garde"/>
          <w:lang w:val="es-MX"/>
        </w:rPr>
        <w:t>de cobre</w:t>
      </w:r>
      <w:r w:rsidRPr="004C1A96">
        <w:rPr>
          <w:rFonts w:ascii="ITC Avant Garde" w:hAnsi="ITC Avant Garde"/>
          <w:lang w:val="es-MX"/>
        </w:rPr>
        <w:t xml:space="preserve">, el incremento de acceso en el modelo de cobre se ha definido </w:t>
      </w:r>
      <w:r w:rsidR="001D4966" w:rsidRPr="004C1A96">
        <w:rPr>
          <w:rFonts w:ascii="ITC Avant Garde" w:hAnsi="ITC Avant Garde"/>
          <w:lang w:val="es-MX"/>
        </w:rPr>
        <w:t>con</w:t>
      </w:r>
      <w:r w:rsidRPr="004C1A96">
        <w:rPr>
          <w:rFonts w:ascii="ITC Avant Garde" w:hAnsi="ITC Avant Garde"/>
          <w:lang w:val="es-MX"/>
        </w:rPr>
        <w:t xml:space="preserve"> base a todos los servicios de acceso:</w:t>
      </w:r>
    </w:p>
    <w:p w14:paraId="1F12BE36" w14:textId="77777777" w:rsidR="00A776E3" w:rsidRPr="004C1A96" w:rsidRDefault="00A776E3" w:rsidP="009107A2">
      <w:pPr>
        <w:ind w:left="567" w:right="565"/>
        <w:rPr>
          <w:rFonts w:ascii="ITC Avant Garde" w:hAnsi="ITC Avant Garde"/>
          <w:i/>
          <w:lang w:val="es-MX"/>
        </w:rPr>
      </w:pPr>
      <w:r w:rsidRPr="004C1A96">
        <w:rPr>
          <w:rFonts w:ascii="ITC Avant Garde" w:hAnsi="ITC Avant Garde"/>
          <w:i/>
          <w:lang w:val="es-MX"/>
        </w:rPr>
        <w:t>" Costos promedios incrementales de largo plazo;</w:t>
      </w:r>
    </w:p>
    <w:p w14:paraId="2D17DD3C" w14:textId="66398B86" w:rsidR="00A776E3" w:rsidRPr="004C1A96" w:rsidRDefault="002806BF" w:rsidP="009107A2">
      <w:pPr>
        <w:ind w:left="567" w:right="565"/>
        <w:rPr>
          <w:rFonts w:ascii="ITC Avant Garde" w:hAnsi="ITC Avant Garde"/>
          <w:i/>
          <w:lang w:val="es-MX"/>
        </w:rPr>
      </w:pPr>
      <w:r w:rsidRPr="004C1A96">
        <w:rPr>
          <w:rFonts w:ascii="ITC Avant Garde" w:hAnsi="ITC Avant Garde"/>
          <w:i/>
          <w:lang w:val="es-MX"/>
        </w:rPr>
        <w:t>(atribuyendo</w:t>
      </w:r>
      <w:r w:rsidR="00A776E3" w:rsidRPr="004C1A96">
        <w:rPr>
          <w:rFonts w:ascii="ITC Avant Garde" w:hAnsi="ITC Avant Garde"/>
          <w:i/>
          <w:lang w:val="es-MX"/>
        </w:rPr>
        <w:t xml:space="preserve"> los </w:t>
      </w:r>
      <w:r w:rsidR="009533FA" w:rsidRPr="004C1A96">
        <w:rPr>
          <w:rFonts w:ascii="ITC Avant Garde" w:hAnsi="ITC Avant Garde"/>
          <w:i/>
          <w:lang w:val="es-MX"/>
        </w:rPr>
        <w:t>costos compartidos</w:t>
      </w:r>
      <w:r w:rsidR="00A776E3" w:rsidRPr="004C1A96">
        <w:rPr>
          <w:rFonts w:ascii="ITC Avant Garde" w:hAnsi="ITC Avant Garde"/>
          <w:i/>
          <w:lang w:val="es-MX"/>
        </w:rPr>
        <w:t xml:space="preserve"> y </w:t>
      </w:r>
      <w:r w:rsidRPr="004C1A96">
        <w:rPr>
          <w:rFonts w:ascii="ITC Avant Garde" w:hAnsi="ITC Avant Garde"/>
          <w:i/>
          <w:lang w:val="es-MX"/>
        </w:rPr>
        <w:t xml:space="preserve">comunes a </w:t>
      </w:r>
      <w:r w:rsidR="00A776E3" w:rsidRPr="004C1A96">
        <w:rPr>
          <w:rFonts w:ascii="ITC Avant Garde" w:hAnsi="ITC Avant Garde"/>
          <w:i/>
          <w:lang w:val="es-MX"/>
        </w:rPr>
        <w:t xml:space="preserve">los servicios </w:t>
      </w:r>
      <w:r w:rsidRPr="004C1A96">
        <w:rPr>
          <w:rFonts w:ascii="ITC Avant Garde" w:hAnsi="ITC Avant Garde"/>
          <w:i/>
          <w:lang w:val="es-MX"/>
        </w:rPr>
        <w:t>relevantes</w:t>
      </w:r>
      <w:r w:rsidR="00A776E3" w:rsidRPr="004C1A96">
        <w:rPr>
          <w:rFonts w:ascii="ITC Avant Garde" w:hAnsi="ITC Avant Garde"/>
          <w:i/>
          <w:lang w:val="es-MX"/>
        </w:rPr>
        <w:t xml:space="preserve"> en función de la demanda de dichos servicios</w:t>
      </w:r>
      <w:r w:rsidRPr="004C1A96">
        <w:rPr>
          <w:rFonts w:ascii="ITC Avant Garde" w:hAnsi="ITC Avant Garde"/>
          <w:i/>
          <w:lang w:val="es-MX"/>
        </w:rPr>
        <w:t>)</w:t>
      </w:r>
      <w:r w:rsidRPr="004C1A96" w:rsidDel="002806BF">
        <w:rPr>
          <w:rFonts w:ascii="ITC Avant Garde" w:hAnsi="ITC Avant Garde"/>
          <w:i/>
          <w:lang w:val="es-MX"/>
        </w:rPr>
        <w:t xml:space="preserve"> </w:t>
      </w:r>
      <w:r w:rsidR="00A776E3" w:rsidRPr="004C1A96">
        <w:rPr>
          <w:rFonts w:ascii="ITC Avant Garde" w:hAnsi="ITC Avant Garde"/>
          <w:i/>
          <w:lang w:val="es-MX"/>
        </w:rPr>
        <w:t>"</w:t>
      </w:r>
      <w:r w:rsidR="00BC4DC9">
        <w:rPr>
          <w:rStyle w:val="Refdenotaalpie"/>
          <w:rFonts w:ascii="ITC Avant Garde" w:hAnsi="ITC Avant Garde"/>
          <w:i/>
          <w:lang w:val="es-MX"/>
        </w:rPr>
        <w:footnoteReference w:id="6"/>
      </w:r>
    </w:p>
    <w:p w14:paraId="078F0272" w14:textId="77777777" w:rsidR="00A776E3" w:rsidRPr="00E14D8A" w:rsidRDefault="00A776E3" w:rsidP="00A776E3">
      <w:pPr>
        <w:rPr>
          <w:rFonts w:ascii="ITC Avant Garde" w:hAnsi="ITC Avant Garde"/>
          <w:lang w:val="es-MX"/>
        </w:rPr>
      </w:pPr>
      <w:r w:rsidRPr="00E14D8A">
        <w:rPr>
          <w:rFonts w:ascii="ITC Avant Garde" w:hAnsi="ITC Avant Garde"/>
          <w:lang w:val="es-MX"/>
        </w:rPr>
        <w:t>La misma elección se realiza en el modelo de fibra donde el incremento de acceso se define como todos los servicios que utilizan la red de acceso de fibra.</w:t>
      </w:r>
    </w:p>
    <w:p w14:paraId="145D7302" w14:textId="4EB9D026" w:rsidR="00A776E3" w:rsidRPr="004C1A96" w:rsidRDefault="00A776E3" w:rsidP="009107A2">
      <w:pPr>
        <w:ind w:left="567" w:right="565"/>
        <w:rPr>
          <w:rFonts w:ascii="ITC Avant Garde" w:hAnsi="ITC Avant Garde"/>
          <w:i/>
          <w:lang w:val="es-MX"/>
        </w:rPr>
      </w:pPr>
      <w:r w:rsidRPr="00E14D8A">
        <w:rPr>
          <w:rFonts w:ascii="ITC Avant Garde" w:hAnsi="ITC Avant Garde"/>
          <w:i/>
          <w:lang w:val="es-MX"/>
        </w:rPr>
        <w:t>"En el caso de los modelos de costos empleados para objetivos regulatorios, es práctica común realizar una definición de incrementos en tipos de servicios. En el caso de modelo</w:t>
      </w:r>
      <w:r w:rsidRPr="004C1A96">
        <w:rPr>
          <w:rFonts w:ascii="ITC Avant Garde" w:hAnsi="ITC Avant Garde"/>
          <w:i/>
          <w:lang w:val="es-MX"/>
        </w:rPr>
        <w:t xml:space="preserve">s de redes, se identifican típicamente dos incrementos: Acceso y Transporte. De manera consistente con esta práctica, y dado que el modelo objeto de este documento trata </w:t>
      </w:r>
      <w:r w:rsidRPr="004C1A96">
        <w:rPr>
          <w:rFonts w:ascii="ITC Avant Garde" w:hAnsi="ITC Avant Garde"/>
          <w:i/>
          <w:lang w:val="es-MX"/>
        </w:rPr>
        <w:lastRenderedPageBreak/>
        <w:t>únicamente la red de acceso, se ha considerado oportuno definir un único aumento que englobe todos los servicios de acceso modelados</w:t>
      </w:r>
      <w:r w:rsidR="009107A2" w:rsidRPr="004C1A96">
        <w:rPr>
          <w:rFonts w:ascii="ITC Avant Garde" w:hAnsi="ITC Avant Garde"/>
          <w:i/>
          <w:lang w:val="es-MX"/>
        </w:rPr>
        <w:t>.</w:t>
      </w:r>
      <w:r w:rsidRPr="004C1A96">
        <w:rPr>
          <w:rFonts w:ascii="ITC Avant Garde" w:hAnsi="ITC Avant Garde"/>
          <w:i/>
          <w:lang w:val="es-MX"/>
        </w:rPr>
        <w:t>"</w:t>
      </w:r>
      <w:r w:rsidR="00BC4DC9">
        <w:rPr>
          <w:rStyle w:val="Refdenotaalpie"/>
          <w:rFonts w:ascii="ITC Avant Garde" w:hAnsi="ITC Avant Garde"/>
          <w:i/>
          <w:lang w:val="es-MX"/>
        </w:rPr>
        <w:footnoteReference w:id="7"/>
      </w:r>
    </w:p>
    <w:p w14:paraId="6011D1EA" w14:textId="77777777" w:rsidR="00A776E3" w:rsidRPr="004C1A96" w:rsidRDefault="00A776E3" w:rsidP="00A776E3">
      <w:pPr>
        <w:rPr>
          <w:rFonts w:ascii="ITC Avant Garde" w:hAnsi="ITC Avant Garde"/>
          <w:lang w:val="es-MX"/>
        </w:rPr>
      </w:pPr>
      <w:r w:rsidRPr="00E14D8A">
        <w:rPr>
          <w:rFonts w:ascii="ITC Avant Garde" w:hAnsi="ITC Avant Garde"/>
          <w:lang w:val="es-MX"/>
        </w:rPr>
        <w:t>Aunque se considera que la demanda correspondiente a los servicios minoristas dimensiona la red, la base de cost</w:t>
      </w:r>
      <w:r w:rsidR="00DA2590" w:rsidRPr="00E14D8A">
        <w:rPr>
          <w:rFonts w:ascii="ITC Avant Garde" w:hAnsi="ITC Avant Garde"/>
          <w:lang w:val="es-MX"/>
        </w:rPr>
        <w:t>o</w:t>
      </w:r>
      <w:r w:rsidRPr="00E14D8A">
        <w:rPr>
          <w:rFonts w:ascii="ITC Avant Garde" w:hAnsi="ITC Avant Garde"/>
          <w:lang w:val="es-MX"/>
        </w:rPr>
        <w:t>s correspondiente a la demanda total de todos los servicios incluirá únicamente los cost</w:t>
      </w:r>
      <w:r w:rsidR="00DA2590" w:rsidRPr="004C1A96">
        <w:rPr>
          <w:rFonts w:ascii="ITC Avant Garde" w:hAnsi="ITC Avant Garde"/>
          <w:lang w:val="es-MX"/>
        </w:rPr>
        <w:t>o</w:t>
      </w:r>
      <w:r w:rsidRPr="004C1A96">
        <w:rPr>
          <w:rFonts w:ascii="ITC Avant Garde" w:hAnsi="ITC Avant Garde"/>
          <w:lang w:val="es-MX"/>
        </w:rPr>
        <w:t>s de red y excluirá todos los tipos de cost</w:t>
      </w:r>
      <w:r w:rsidR="00DA2590" w:rsidRPr="004C1A96">
        <w:rPr>
          <w:rFonts w:ascii="ITC Avant Garde" w:hAnsi="ITC Avant Garde"/>
          <w:lang w:val="es-MX"/>
        </w:rPr>
        <w:t>o</w:t>
      </w:r>
      <w:r w:rsidRPr="004C1A96">
        <w:rPr>
          <w:rFonts w:ascii="ITC Avant Garde" w:hAnsi="ITC Avant Garde"/>
          <w:lang w:val="es-MX"/>
        </w:rPr>
        <w:t>s minoristas (por ejemplo, tiendas, equipos de locales del cliente, centros de llamadas</w:t>
      </w:r>
      <w:r w:rsidR="0054779A" w:rsidRPr="004C1A96">
        <w:rPr>
          <w:rFonts w:ascii="ITC Avant Garde" w:hAnsi="ITC Avant Garde"/>
          <w:lang w:val="es-MX"/>
        </w:rPr>
        <w:t>, entre otros</w:t>
      </w:r>
      <w:r w:rsidR="003A0FB4" w:rsidRPr="004C1A96">
        <w:rPr>
          <w:rFonts w:ascii="ITC Avant Garde" w:hAnsi="ITC Avant Garde"/>
          <w:lang w:val="es-MX"/>
        </w:rPr>
        <w:t>)</w:t>
      </w:r>
      <w:r w:rsidR="009107A2" w:rsidRPr="004C1A96">
        <w:rPr>
          <w:rFonts w:ascii="ITC Avant Garde" w:hAnsi="ITC Avant Garde"/>
          <w:lang w:val="es-MX"/>
        </w:rPr>
        <w:t>.</w:t>
      </w:r>
      <w:r w:rsidRPr="004C1A96">
        <w:rPr>
          <w:rFonts w:ascii="ITC Avant Garde" w:hAnsi="ITC Avant Garde"/>
          <w:lang w:val="es-MX"/>
        </w:rPr>
        <w:t xml:space="preserve"> La razón de esto es que los cálculos de costos se refieren al acceso mayorista y no a los servicios minoristas.</w:t>
      </w:r>
    </w:p>
    <w:p w14:paraId="26AEF512" w14:textId="77777777" w:rsidR="00A776E3" w:rsidRPr="004C1A96" w:rsidRDefault="009107A2" w:rsidP="00A776E3">
      <w:pPr>
        <w:rPr>
          <w:rFonts w:ascii="ITC Avant Garde" w:hAnsi="ITC Avant Garde"/>
          <w:lang w:val="es-MX"/>
        </w:rPr>
      </w:pPr>
      <w:r w:rsidRPr="004C1A96">
        <w:rPr>
          <w:rFonts w:ascii="ITC Avant Garde" w:hAnsi="ITC Avant Garde"/>
          <w:lang w:val="es-MX"/>
        </w:rPr>
        <w:t>E</w:t>
      </w:r>
      <w:r w:rsidR="00AB46E9" w:rsidRPr="004C1A96">
        <w:rPr>
          <w:rFonts w:ascii="ITC Avant Garde" w:hAnsi="ITC Avant Garde"/>
          <w:lang w:val="es-MX"/>
        </w:rPr>
        <w:t>l</w:t>
      </w:r>
      <w:r w:rsidRPr="004C1A96">
        <w:rPr>
          <w:rFonts w:ascii="ITC Avant Garde" w:hAnsi="ITC Avant Garde"/>
          <w:lang w:val="es-MX"/>
        </w:rPr>
        <w:t xml:space="preserve"> enfoque C</w:t>
      </w:r>
      <w:r w:rsidR="00AB46E9" w:rsidRPr="004C1A96">
        <w:rPr>
          <w:rFonts w:ascii="ITC Avant Garde" w:hAnsi="ITC Avant Garde"/>
          <w:lang w:val="es-MX"/>
        </w:rPr>
        <w:t>I</w:t>
      </w:r>
      <w:r w:rsidRPr="004C1A96">
        <w:rPr>
          <w:rFonts w:ascii="ITC Avant Garde" w:hAnsi="ITC Avant Garde"/>
          <w:lang w:val="es-MX"/>
        </w:rPr>
        <w:t xml:space="preserve">PLP </w:t>
      </w:r>
      <w:r w:rsidR="00A776E3" w:rsidRPr="004C1A96">
        <w:rPr>
          <w:rFonts w:ascii="ITC Avant Garde" w:hAnsi="ITC Avant Garde"/>
          <w:lang w:val="es-MX"/>
        </w:rPr>
        <w:t>resulta</w:t>
      </w:r>
      <w:r w:rsidRPr="004C1A96">
        <w:rPr>
          <w:rFonts w:ascii="ITC Avant Garde" w:hAnsi="ITC Avant Garde"/>
          <w:lang w:val="es-MX"/>
        </w:rPr>
        <w:t xml:space="preserve"> en</w:t>
      </w:r>
      <w:r w:rsidR="00A776E3" w:rsidRPr="004C1A96">
        <w:rPr>
          <w:rFonts w:ascii="ITC Avant Garde" w:hAnsi="ITC Avant Garde"/>
          <w:lang w:val="es-MX"/>
        </w:rPr>
        <w:t xml:space="preserve"> </w:t>
      </w:r>
      <w:r w:rsidRPr="004C1A96">
        <w:rPr>
          <w:rFonts w:ascii="ITC Avant Garde" w:hAnsi="ITC Avant Garde"/>
          <w:lang w:val="es-MX"/>
        </w:rPr>
        <w:t>costos</w:t>
      </w:r>
      <w:r w:rsidR="00A776E3" w:rsidRPr="004C1A96">
        <w:rPr>
          <w:rFonts w:ascii="ITC Avant Garde" w:hAnsi="ITC Avant Garde"/>
          <w:lang w:val="es-MX"/>
        </w:rPr>
        <w:t xml:space="preserve"> que están por encima del costo marginal. </w:t>
      </w:r>
      <w:r w:rsidRPr="004C1A96">
        <w:rPr>
          <w:rFonts w:ascii="ITC Avant Garde" w:hAnsi="ITC Avant Garde"/>
          <w:lang w:val="es-MX"/>
        </w:rPr>
        <w:t>Actualmente, l</w:t>
      </w:r>
      <w:r w:rsidR="00A776E3" w:rsidRPr="004C1A96">
        <w:rPr>
          <w:rFonts w:ascii="ITC Avant Garde" w:hAnsi="ITC Avant Garde"/>
          <w:lang w:val="es-MX"/>
        </w:rPr>
        <w:t xml:space="preserve">a existencia de costos fijos significa que cobrar </w:t>
      </w:r>
      <w:r w:rsidRPr="004C1A96">
        <w:rPr>
          <w:rFonts w:ascii="ITC Avant Garde" w:hAnsi="ITC Avant Garde"/>
          <w:lang w:val="es-MX"/>
        </w:rPr>
        <w:t>servicios</w:t>
      </w:r>
      <w:r w:rsidR="00A776E3" w:rsidRPr="004C1A96">
        <w:rPr>
          <w:rFonts w:ascii="ITC Avant Garde" w:hAnsi="ITC Avant Garde"/>
          <w:lang w:val="es-MX"/>
        </w:rPr>
        <w:t xml:space="preserve"> sobre la base de los costos marginales no </w:t>
      </w:r>
      <w:r w:rsidRPr="004C1A96">
        <w:rPr>
          <w:rFonts w:ascii="ITC Avant Garde" w:hAnsi="ITC Avant Garde"/>
          <w:lang w:val="es-MX"/>
        </w:rPr>
        <w:t xml:space="preserve">permitiría </w:t>
      </w:r>
      <w:r w:rsidR="00A776E3" w:rsidRPr="004C1A96">
        <w:rPr>
          <w:rFonts w:ascii="ITC Avant Garde" w:hAnsi="ITC Avant Garde"/>
          <w:lang w:val="es-MX"/>
        </w:rPr>
        <w:t xml:space="preserve">al </w:t>
      </w:r>
      <w:r w:rsidRPr="004C1A96">
        <w:rPr>
          <w:rFonts w:ascii="ITC Avant Garde" w:hAnsi="ITC Avant Garde"/>
          <w:lang w:val="es-MX"/>
        </w:rPr>
        <w:t>AEP</w:t>
      </w:r>
      <w:r w:rsidR="00A776E3" w:rsidRPr="004C1A96">
        <w:rPr>
          <w:rFonts w:ascii="ITC Avant Garde" w:hAnsi="ITC Avant Garde"/>
          <w:lang w:val="es-MX"/>
        </w:rPr>
        <w:t xml:space="preserve"> recuperar el costo de las inversiones en su red, incluso cuando sus costos se incurren de manera eficiente.</w:t>
      </w:r>
    </w:p>
    <w:p w14:paraId="20FC7F12" w14:textId="77777777" w:rsidR="00A776E3" w:rsidRPr="004C1A96" w:rsidRDefault="00A776E3" w:rsidP="00A776E3">
      <w:pPr>
        <w:rPr>
          <w:rFonts w:ascii="ITC Avant Garde" w:hAnsi="ITC Avant Garde"/>
          <w:lang w:val="es-MX"/>
        </w:rPr>
      </w:pPr>
      <w:r w:rsidRPr="004C1A96">
        <w:rPr>
          <w:rFonts w:ascii="ITC Avant Garde" w:hAnsi="ITC Avant Garde"/>
          <w:lang w:val="es-MX"/>
        </w:rPr>
        <w:t xml:space="preserve">Establecer precios usando </w:t>
      </w:r>
      <w:r w:rsidR="009107A2" w:rsidRPr="004C1A96">
        <w:rPr>
          <w:rFonts w:ascii="ITC Avant Garde" w:hAnsi="ITC Avant Garde"/>
          <w:lang w:val="es-MX"/>
        </w:rPr>
        <w:t>un enfoque C</w:t>
      </w:r>
      <w:r w:rsidR="008900F8" w:rsidRPr="004C1A96">
        <w:rPr>
          <w:rFonts w:ascii="ITC Avant Garde" w:hAnsi="ITC Avant Garde"/>
          <w:lang w:val="es-MX"/>
        </w:rPr>
        <w:t>IP</w:t>
      </w:r>
      <w:r w:rsidR="009107A2" w:rsidRPr="004C1A96">
        <w:rPr>
          <w:rFonts w:ascii="ITC Avant Garde" w:hAnsi="ITC Avant Garde"/>
          <w:lang w:val="es-MX"/>
        </w:rPr>
        <w:t>LP</w:t>
      </w:r>
      <w:r w:rsidRPr="004C1A96">
        <w:rPr>
          <w:rFonts w:ascii="ITC Avant Garde" w:hAnsi="ITC Avant Garde"/>
          <w:lang w:val="es-MX"/>
        </w:rPr>
        <w:t xml:space="preserve"> permite la recuperación de costos fijos dentro de un incremento, en el proceso de promover decisiones de inversión prospectivas. También p</w:t>
      </w:r>
      <w:r w:rsidR="00AC1C39" w:rsidRPr="004C1A96">
        <w:rPr>
          <w:rFonts w:ascii="ITC Avant Garde" w:hAnsi="ITC Avant Garde"/>
          <w:lang w:val="es-MX"/>
        </w:rPr>
        <w:t>ermite</w:t>
      </w:r>
      <w:r w:rsidRPr="004C1A96">
        <w:rPr>
          <w:rFonts w:ascii="ITC Avant Garde" w:hAnsi="ITC Avant Garde"/>
          <w:lang w:val="es-MX"/>
        </w:rPr>
        <w:t xml:space="preserve"> </w:t>
      </w:r>
      <w:r w:rsidR="00AC1C39" w:rsidRPr="004C1A96">
        <w:rPr>
          <w:rFonts w:ascii="ITC Avant Garde" w:hAnsi="ITC Avant Garde"/>
          <w:lang w:val="es-MX"/>
        </w:rPr>
        <w:t>evitar</w:t>
      </w:r>
      <w:r w:rsidRPr="004C1A96">
        <w:rPr>
          <w:rFonts w:ascii="ITC Avant Garde" w:hAnsi="ITC Avant Garde"/>
          <w:lang w:val="es-MX"/>
        </w:rPr>
        <w:t xml:space="preserve"> </w:t>
      </w:r>
      <w:r w:rsidR="00AC1C39" w:rsidRPr="004C1A96">
        <w:rPr>
          <w:rFonts w:ascii="ITC Avant Garde" w:hAnsi="ITC Avant Garde"/>
          <w:lang w:val="es-MX"/>
        </w:rPr>
        <w:t>ciertas</w:t>
      </w:r>
      <w:r w:rsidRPr="004C1A96">
        <w:rPr>
          <w:rFonts w:ascii="ITC Avant Garde" w:hAnsi="ITC Avant Garde"/>
          <w:lang w:val="es-MX"/>
        </w:rPr>
        <w:t xml:space="preserve"> distorsiones del mercado</w:t>
      </w:r>
      <w:r w:rsidR="00AC1C39" w:rsidRPr="004C1A96">
        <w:rPr>
          <w:rFonts w:ascii="ITC Avant Garde" w:hAnsi="ITC Avant Garde"/>
          <w:lang w:val="es-MX"/>
        </w:rPr>
        <w:t>: s</w:t>
      </w:r>
      <w:r w:rsidRPr="004C1A96">
        <w:rPr>
          <w:rFonts w:ascii="ITC Avant Garde" w:hAnsi="ITC Avant Garde"/>
          <w:lang w:val="es-MX"/>
        </w:rPr>
        <w:t>i los precios se basaran en el costo marginal, el operador SMP tendría que recuperar muchos costos compartidos/fijos de sus otros servicios (no regulados), lo que podría distorsionar el proceso de competencia a favor de otros operadores competidores en esos mercados.</w:t>
      </w:r>
    </w:p>
    <w:p w14:paraId="11A38C9D" w14:textId="77777777" w:rsidR="00AC1C39" w:rsidRPr="004C1A96" w:rsidRDefault="00A776E3" w:rsidP="00A776E3">
      <w:pPr>
        <w:rPr>
          <w:rFonts w:ascii="ITC Avant Garde" w:hAnsi="ITC Avant Garde"/>
          <w:lang w:val="es-MX"/>
        </w:rPr>
      </w:pPr>
      <w:r w:rsidRPr="004C1A96">
        <w:rPr>
          <w:rFonts w:ascii="ITC Avant Garde" w:hAnsi="ITC Avant Garde"/>
          <w:lang w:val="es-MX"/>
        </w:rPr>
        <w:t xml:space="preserve">Incluso el incremento de todos los servicios de los precios de </w:t>
      </w:r>
      <w:r w:rsidR="00AC1C39" w:rsidRPr="004C1A96">
        <w:rPr>
          <w:rFonts w:ascii="ITC Avant Garde" w:hAnsi="ITC Avant Garde"/>
          <w:lang w:val="es-MX"/>
        </w:rPr>
        <w:t>C</w:t>
      </w:r>
      <w:r w:rsidR="008900F8" w:rsidRPr="004C1A96">
        <w:rPr>
          <w:rFonts w:ascii="ITC Avant Garde" w:hAnsi="ITC Avant Garde"/>
          <w:lang w:val="es-MX"/>
        </w:rPr>
        <w:t>IP</w:t>
      </w:r>
      <w:r w:rsidR="00AC1C39" w:rsidRPr="004C1A96">
        <w:rPr>
          <w:rFonts w:ascii="ITC Avant Garde" w:hAnsi="ITC Avant Garde"/>
          <w:lang w:val="es-MX"/>
        </w:rPr>
        <w:t>LP</w:t>
      </w:r>
      <w:r w:rsidRPr="004C1A96">
        <w:rPr>
          <w:rFonts w:ascii="ITC Avant Garde" w:hAnsi="ITC Avant Garde"/>
          <w:lang w:val="es-MX"/>
        </w:rPr>
        <w:t xml:space="preserve"> no permite que el </w:t>
      </w:r>
      <w:r w:rsidR="009F5817" w:rsidRPr="004C1A96">
        <w:rPr>
          <w:rFonts w:ascii="ITC Avant Garde" w:hAnsi="ITC Avant Garde"/>
          <w:lang w:val="es-MX"/>
        </w:rPr>
        <w:t>operador SMP</w:t>
      </w:r>
      <w:r w:rsidRPr="004C1A96">
        <w:rPr>
          <w:rFonts w:ascii="ITC Avant Garde" w:hAnsi="ITC Avant Garde"/>
          <w:lang w:val="es-MX"/>
        </w:rPr>
        <w:t xml:space="preserve"> recupere los costos comunes entre los incrementos. Para permitir la recuperación total de los costos incurridos eficientemente, se debe aplicar un ajuste a</w:t>
      </w:r>
      <w:r w:rsidR="00AC1C39" w:rsidRPr="004C1A96">
        <w:rPr>
          <w:rFonts w:ascii="ITC Avant Garde" w:hAnsi="ITC Avant Garde"/>
          <w:lang w:val="es-MX"/>
        </w:rPr>
        <w:t>l</w:t>
      </w:r>
      <w:r w:rsidRPr="004C1A96">
        <w:rPr>
          <w:rFonts w:ascii="ITC Avant Garde" w:hAnsi="ITC Avant Garde"/>
          <w:lang w:val="es-MX"/>
        </w:rPr>
        <w:t xml:space="preserve"> </w:t>
      </w:r>
      <w:r w:rsidR="00AC1C39" w:rsidRPr="004C1A96">
        <w:rPr>
          <w:rFonts w:ascii="ITC Avant Garde" w:hAnsi="ITC Avant Garde"/>
          <w:lang w:val="es-MX"/>
        </w:rPr>
        <w:t>C</w:t>
      </w:r>
      <w:r w:rsidR="00AE635D" w:rsidRPr="004C1A96">
        <w:rPr>
          <w:rFonts w:ascii="ITC Avant Garde" w:hAnsi="ITC Avant Garde"/>
          <w:lang w:val="es-MX"/>
        </w:rPr>
        <w:t>IP</w:t>
      </w:r>
      <w:r w:rsidR="00AC1C39" w:rsidRPr="004C1A96">
        <w:rPr>
          <w:rFonts w:ascii="ITC Avant Garde" w:hAnsi="ITC Avant Garde"/>
          <w:lang w:val="es-MX"/>
        </w:rPr>
        <w:t>LP</w:t>
      </w:r>
      <w:r w:rsidRPr="004C1A96">
        <w:rPr>
          <w:rFonts w:ascii="ITC Avant Garde" w:hAnsi="ITC Avant Garde"/>
          <w:lang w:val="es-MX"/>
        </w:rPr>
        <w:t xml:space="preserve"> para tener en cuenta dichos costos comunes</w:t>
      </w:r>
      <w:r w:rsidR="00AC1C39" w:rsidRPr="004C1A96">
        <w:rPr>
          <w:rFonts w:ascii="ITC Avant Garde" w:hAnsi="ITC Avant Garde"/>
          <w:lang w:val="es-MX"/>
        </w:rPr>
        <w:t xml:space="preserve"> (enfoque C</w:t>
      </w:r>
      <w:r w:rsidR="008900F8" w:rsidRPr="004C1A96">
        <w:rPr>
          <w:rFonts w:ascii="ITC Avant Garde" w:hAnsi="ITC Avant Garde"/>
          <w:lang w:val="es-MX"/>
        </w:rPr>
        <w:t>IP</w:t>
      </w:r>
      <w:r w:rsidR="00AC1C39" w:rsidRPr="004C1A96">
        <w:rPr>
          <w:rFonts w:ascii="ITC Avant Garde" w:hAnsi="ITC Avant Garde"/>
          <w:lang w:val="es-MX"/>
        </w:rPr>
        <w:t>LP+)</w:t>
      </w:r>
      <w:r w:rsidRPr="004C1A96">
        <w:rPr>
          <w:rFonts w:ascii="ITC Avant Garde" w:hAnsi="ITC Avant Garde"/>
          <w:lang w:val="es-MX"/>
        </w:rPr>
        <w:t>.</w:t>
      </w:r>
    </w:p>
    <w:p w14:paraId="4A5629EB" w14:textId="77777777" w:rsidR="00A776E3" w:rsidRPr="004C1A96" w:rsidRDefault="00A776E3" w:rsidP="00A776E3">
      <w:pPr>
        <w:pStyle w:val="Encadr3"/>
        <w:rPr>
          <w:rFonts w:ascii="ITC Avant Garde" w:hAnsi="ITC Avant Garde"/>
          <w:lang w:val="es-MX"/>
        </w:rPr>
      </w:pPr>
      <w:r w:rsidRPr="004C1A96">
        <w:rPr>
          <w:rFonts w:ascii="ITC Avant Garde" w:hAnsi="ITC Avant Garde"/>
          <w:lang w:val="es-MX"/>
        </w:rPr>
        <w:t>Criterio 2: los costos de</w:t>
      </w:r>
      <w:r w:rsidR="00AC1C39" w:rsidRPr="004C1A96">
        <w:rPr>
          <w:rFonts w:ascii="ITC Avant Garde" w:hAnsi="ITC Avant Garde"/>
          <w:lang w:val="es-MX"/>
        </w:rPr>
        <w:t xml:space="preserve"> </w:t>
      </w:r>
      <w:r w:rsidRPr="004C1A96">
        <w:rPr>
          <w:rFonts w:ascii="ITC Avant Garde" w:hAnsi="ITC Avant Garde"/>
          <w:lang w:val="es-MX"/>
        </w:rPr>
        <w:t>l</w:t>
      </w:r>
      <w:r w:rsidR="00AC1C39" w:rsidRPr="004C1A96">
        <w:rPr>
          <w:rFonts w:ascii="ITC Avant Garde" w:hAnsi="ITC Avant Garde"/>
          <w:lang w:val="es-MX"/>
        </w:rPr>
        <w:t>a red de</w:t>
      </w:r>
      <w:r w:rsidRPr="004C1A96">
        <w:rPr>
          <w:rFonts w:ascii="ITC Avant Garde" w:hAnsi="ITC Avant Garde"/>
          <w:lang w:val="es-MX"/>
        </w:rPr>
        <w:t xml:space="preserve"> acceso</w:t>
      </w:r>
      <w:r w:rsidR="00AC1C39" w:rsidRPr="004C1A96">
        <w:rPr>
          <w:rFonts w:ascii="ITC Avant Garde" w:hAnsi="ITC Avant Garde"/>
          <w:lang w:val="es-MX"/>
        </w:rPr>
        <w:t xml:space="preserve"> </w:t>
      </w:r>
      <w:r w:rsidR="001826B3" w:rsidRPr="004C1A96">
        <w:rPr>
          <w:rFonts w:ascii="ITC Avant Garde" w:hAnsi="ITC Avant Garde"/>
          <w:lang w:val="es-MX"/>
        </w:rPr>
        <w:t xml:space="preserve">en el modelo </w:t>
      </w:r>
      <w:r w:rsidR="00AC1C39" w:rsidRPr="004C1A96">
        <w:rPr>
          <w:rFonts w:ascii="ITC Avant Garde" w:hAnsi="ITC Avant Garde"/>
          <w:lang w:val="es-MX"/>
        </w:rPr>
        <w:t>se</w:t>
      </w:r>
      <w:r w:rsidRPr="004C1A96">
        <w:rPr>
          <w:rFonts w:ascii="ITC Avant Garde" w:hAnsi="ITC Avant Garde"/>
          <w:lang w:val="es-MX"/>
        </w:rPr>
        <w:t xml:space="preserve"> </w:t>
      </w:r>
      <w:r w:rsidR="009533FA" w:rsidRPr="004C1A96">
        <w:rPr>
          <w:rFonts w:ascii="ITC Avant Garde" w:hAnsi="ITC Avant Garde"/>
          <w:lang w:val="es-MX"/>
        </w:rPr>
        <w:t>evalúan</w:t>
      </w:r>
      <w:r w:rsidRPr="004C1A96">
        <w:rPr>
          <w:rFonts w:ascii="ITC Avant Garde" w:hAnsi="ITC Avant Garde"/>
          <w:lang w:val="es-MX"/>
        </w:rPr>
        <w:t xml:space="preserve"> siguiendo el enfoque de costos incrementales promedio </w:t>
      </w:r>
      <w:r w:rsidR="00407AD2" w:rsidRPr="004C1A96">
        <w:rPr>
          <w:rFonts w:ascii="ITC Avant Garde" w:hAnsi="ITC Avant Garde"/>
          <w:lang w:val="es-MX"/>
        </w:rPr>
        <w:t>de</w:t>
      </w:r>
      <w:r w:rsidRPr="004C1A96">
        <w:rPr>
          <w:rFonts w:ascii="ITC Avant Garde" w:hAnsi="ITC Avant Garde"/>
          <w:lang w:val="es-MX"/>
        </w:rPr>
        <w:t xml:space="preserve"> largo plazo con la inclusión de costos comunes</w:t>
      </w:r>
      <w:r w:rsidR="00AC1C39" w:rsidRPr="004C1A96">
        <w:rPr>
          <w:rFonts w:ascii="ITC Avant Garde" w:hAnsi="ITC Avant Garde"/>
          <w:lang w:val="es-MX"/>
        </w:rPr>
        <w:t xml:space="preserve"> (CI</w:t>
      </w:r>
      <w:r w:rsidR="00407AD2" w:rsidRPr="004C1A96">
        <w:rPr>
          <w:rFonts w:ascii="ITC Avant Garde" w:hAnsi="ITC Avant Garde"/>
          <w:lang w:val="es-MX"/>
        </w:rPr>
        <w:t>P</w:t>
      </w:r>
      <w:r w:rsidR="00AC1C39" w:rsidRPr="004C1A96">
        <w:rPr>
          <w:rFonts w:ascii="ITC Avant Garde" w:hAnsi="ITC Avant Garde"/>
          <w:lang w:val="es-MX"/>
        </w:rPr>
        <w:t>LP+)</w:t>
      </w:r>
      <w:r w:rsidRPr="004C1A96">
        <w:rPr>
          <w:rFonts w:ascii="ITC Avant Garde" w:hAnsi="ITC Avant Garde"/>
          <w:lang w:val="es-MX"/>
        </w:rPr>
        <w:t>.</w:t>
      </w:r>
    </w:p>
    <w:p w14:paraId="6692EFC4" w14:textId="77777777" w:rsidR="00DE7A5B" w:rsidRPr="0028360F" w:rsidRDefault="003A0FB4" w:rsidP="0040723E">
      <w:pPr>
        <w:pStyle w:val="Ttulo3"/>
        <w:rPr>
          <w:lang w:val="es-MX"/>
        </w:rPr>
      </w:pPr>
      <w:bookmarkStart w:id="71" w:name="_Toc525665259"/>
      <w:bookmarkStart w:id="72" w:name="_Toc525665638"/>
      <w:bookmarkStart w:id="73" w:name="_Toc141974996"/>
      <w:r w:rsidRPr="0028360F">
        <w:rPr>
          <w:lang w:val="es-MX"/>
        </w:rPr>
        <w:t>Horizonte</w:t>
      </w:r>
      <w:r w:rsidR="00DE7A5B" w:rsidRPr="0028360F">
        <w:rPr>
          <w:lang w:val="es-MX"/>
        </w:rPr>
        <w:t xml:space="preserve"> de tiempo</w:t>
      </w:r>
      <w:bookmarkEnd w:id="71"/>
      <w:bookmarkEnd w:id="72"/>
      <w:bookmarkEnd w:id="73"/>
    </w:p>
    <w:p w14:paraId="2E05126A" w14:textId="77777777" w:rsidR="00DE7A5B" w:rsidRPr="00E14D8A" w:rsidRDefault="00DE7A5B" w:rsidP="00DE7A5B">
      <w:pPr>
        <w:rPr>
          <w:rFonts w:ascii="ITC Avant Garde" w:hAnsi="ITC Avant Garde"/>
          <w:lang w:val="es-MX"/>
        </w:rPr>
      </w:pPr>
      <w:r w:rsidRPr="004C1A96">
        <w:rPr>
          <w:rFonts w:ascii="ITC Avant Garde" w:hAnsi="ITC Avant Garde"/>
          <w:lang w:val="es-MX"/>
        </w:rPr>
        <w:t>Dado que los costos unitarios de los servicios que se calcularán dependen de la demanda en un momento específico en el tiempo, el período de tiempo que se modelará será un parámetro importante del</w:t>
      </w:r>
      <w:r w:rsidRPr="00E14D8A">
        <w:rPr>
          <w:rFonts w:ascii="ITC Avant Garde" w:hAnsi="ITC Avant Garde"/>
          <w:lang w:val="es-MX"/>
        </w:rPr>
        <w:t xml:space="preserve"> modelo e impactará los posibles análisis de sus resultados.</w:t>
      </w:r>
    </w:p>
    <w:p w14:paraId="13A028AE" w14:textId="77777777" w:rsidR="00DE7A5B" w:rsidRPr="00E14D8A" w:rsidRDefault="00DE7A5B" w:rsidP="00DE7A5B">
      <w:pPr>
        <w:rPr>
          <w:rFonts w:ascii="ITC Avant Garde" w:hAnsi="ITC Avant Garde"/>
          <w:lang w:val="es-MX"/>
        </w:rPr>
      </w:pPr>
      <w:r w:rsidRPr="00E14D8A">
        <w:rPr>
          <w:rFonts w:ascii="ITC Avant Garde" w:hAnsi="ITC Avant Garde"/>
          <w:lang w:val="es-MX"/>
        </w:rPr>
        <w:t>Se podrían usar dos enfoques alternativos:</w:t>
      </w:r>
    </w:p>
    <w:p w14:paraId="02454939" w14:textId="77777777" w:rsidR="00DE7A5B" w:rsidRPr="00E14D8A" w:rsidRDefault="00DE7A5B" w:rsidP="00556A48">
      <w:pPr>
        <w:pStyle w:val="Prrafodelista"/>
        <w:numPr>
          <w:ilvl w:val="0"/>
          <w:numId w:val="9"/>
        </w:numPr>
        <w:rPr>
          <w:rFonts w:ascii="ITC Avant Garde" w:hAnsi="ITC Avant Garde"/>
          <w:lang w:val="es-MX"/>
        </w:rPr>
      </w:pPr>
      <w:r w:rsidRPr="00E14D8A">
        <w:rPr>
          <w:rFonts w:ascii="ITC Avant Garde" w:hAnsi="ITC Avant Garde"/>
          <w:lang w:val="es-MX"/>
        </w:rPr>
        <w:t>Un horizonte de tiempo de un año;</w:t>
      </w:r>
    </w:p>
    <w:p w14:paraId="3716B10D" w14:textId="77777777" w:rsidR="00DE7A5B" w:rsidRPr="004C1A96" w:rsidRDefault="00DE7A5B" w:rsidP="00556A48">
      <w:pPr>
        <w:pStyle w:val="Prrafodelista"/>
        <w:numPr>
          <w:ilvl w:val="0"/>
          <w:numId w:val="9"/>
        </w:numPr>
        <w:rPr>
          <w:rFonts w:ascii="ITC Avant Garde" w:hAnsi="ITC Avant Garde"/>
          <w:lang w:val="es-MX"/>
        </w:rPr>
      </w:pPr>
      <w:r w:rsidRPr="004C1A96">
        <w:rPr>
          <w:rFonts w:ascii="ITC Avant Garde" w:hAnsi="ITC Avant Garde"/>
          <w:lang w:val="es-MX"/>
        </w:rPr>
        <w:t>Un horizonte de tiempo de varios años.</w:t>
      </w:r>
    </w:p>
    <w:p w14:paraId="7C93130B" w14:textId="77777777" w:rsidR="00DE7A5B" w:rsidRPr="004C1A96" w:rsidRDefault="00DE7A5B" w:rsidP="00DE7A5B">
      <w:pPr>
        <w:rPr>
          <w:rFonts w:ascii="ITC Avant Garde" w:hAnsi="ITC Avant Garde"/>
          <w:lang w:val="es-MX"/>
        </w:rPr>
      </w:pPr>
      <w:r w:rsidRPr="004C1A96">
        <w:rPr>
          <w:rFonts w:ascii="ITC Avant Garde" w:hAnsi="ITC Avant Garde"/>
          <w:lang w:val="es-MX"/>
        </w:rPr>
        <w:lastRenderedPageBreak/>
        <w:t>En el primer enfoque, los costos se modelan dentro de un período de un año. Entonces, el modelo no considera ninguna evolución de los costos y produce resultados considerando un solo año.</w:t>
      </w:r>
    </w:p>
    <w:p w14:paraId="314E7D3D" w14:textId="77777777" w:rsidR="00DE7A5B" w:rsidRPr="004C1A96" w:rsidRDefault="00DE7A5B" w:rsidP="00DE7A5B">
      <w:pPr>
        <w:rPr>
          <w:rFonts w:ascii="ITC Avant Garde" w:hAnsi="ITC Avant Garde"/>
          <w:lang w:val="es-MX"/>
        </w:rPr>
      </w:pPr>
      <w:r w:rsidRPr="004C1A96">
        <w:rPr>
          <w:rFonts w:ascii="ITC Avant Garde" w:hAnsi="ITC Avant Garde"/>
          <w:lang w:val="es-MX"/>
        </w:rPr>
        <w:t>En el segundo enfoque, el modelo debe tener en cuenta la evolución de los costos dentro de un período de tiempo y proporciona resultados no solo para la situación actual de la red sino también para los próximos años.</w:t>
      </w:r>
    </w:p>
    <w:p w14:paraId="2B276AE6" w14:textId="77777777" w:rsidR="00DE7A5B" w:rsidRPr="004C1A96" w:rsidRDefault="00DE7A5B" w:rsidP="00DE7A5B">
      <w:pPr>
        <w:rPr>
          <w:rFonts w:ascii="ITC Avant Garde" w:hAnsi="ITC Avant Garde"/>
          <w:lang w:val="es-MX"/>
        </w:rPr>
      </w:pPr>
      <w:r w:rsidRPr="004C1A96">
        <w:rPr>
          <w:rFonts w:ascii="ITC Avant Garde" w:hAnsi="ITC Avant Garde"/>
          <w:lang w:val="es-MX"/>
        </w:rPr>
        <w:t>El período de tiempo a modelar debe comenzar desde un punto de tiempo teniendo en cuenta la última información suficiente que permita reflejar el estado actual de la demanda y la cobertura.</w:t>
      </w:r>
    </w:p>
    <w:p w14:paraId="223CB5F3" w14:textId="77777777" w:rsidR="00DE7A5B" w:rsidRPr="004C1A96" w:rsidRDefault="00DE7A5B" w:rsidP="00DE7A5B">
      <w:pPr>
        <w:rPr>
          <w:rFonts w:ascii="ITC Avant Garde" w:hAnsi="ITC Avant Garde"/>
          <w:lang w:val="es-MX"/>
        </w:rPr>
      </w:pPr>
      <w:r w:rsidRPr="004C1A96">
        <w:rPr>
          <w:rFonts w:ascii="ITC Avant Garde" w:hAnsi="ITC Avant Garde"/>
          <w:lang w:val="es-MX"/>
        </w:rPr>
        <w:t>El último año del horizonte temporal debe especificarse y no debe exceder el futuro cercano ya que los resultados se basarán en hipótesis sobre la evolución de los costos unitarios esperados.</w:t>
      </w:r>
    </w:p>
    <w:p w14:paraId="0E1CEE31" w14:textId="77777777" w:rsidR="00DE7A5B" w:rsidRPr="004C1A96" w:rsidRDefault="00DE7A5B" w:rsidP="00DE7A5B">
      <w:pPr>
        <w:rPr>
          <w:rFonts w:ascii="ITC Avant Garde" w:hAnsi="ITC Avant Garde"/>
          <w:lang w:val="es-MX"/>
        </w:rPr>
      </w:pPr>
      <w:r w:rsidRPr="004C1A96">
        <w:rPr>
          <w:rFonts w:ascii="ITC Avant Garde" w:hAnsi="ITC Avant Garde"/>
          <w:lang w:val="es-MX"/>
        </w:rPr>
        <w:t>Ambos enfoques se han utilizado en los modelos anteriores.</w:t>
      </w:r>
    </w:p>
    <w:p w14:paraId="06EA8926" w14:textId="4C3B2DAA" w:rsidR="00DE7A5B" w:rsidRPr="004C1A96" w:rsidRDefault="00DE7A5B" w:rsidP="00DE7A5B">
      <w:pPr>
        <w:rPr>
          <w:rFonts w:ascii="ITC Avant Garde" w:hAnsi="ITC Avant Garde"/>
          <w:lang w:val="es-MX"/>
        </w:rPr>
      </w:pPr>
      <w:r w:rsidRPr="004C1A96">
        <w:rPr>
          <w:rFonts w:ascii="ITC Avant Garde" w:hAnsi="ITC Avant Garde"/>
          <w:lang w:val="es-MX"/>
        </w:rPr>
        <w:t>El enfoque de un año se ha utilizado en el modelo de cobre</w:t>
      </w:r>
      <w:r w:rsidR="00BC4DC9">
        <w:rPr>
          <w:rStyle w:val="Refdenotaalpie"/>
          <w:rFonts w:ascii="ITC Avant Garde" w:hAnsi="ITC Avant Garde"/>
          <w:lang w:val="es-MX"/>
        </w:rPr>
        <w:footnoteReference w:id="8"/>
      </w:r>
      <w:r w:rsidRPr="004C1A96">
        <w:rPr>
          <w:rFonts w:ascii="ITC Avant Garde" w:hAnsi="ITC Avant Garde"/>
          <w:lang w:val="es-MX"/>
        </w:rPr>
        <w:t>:</w:t>
      </w:r>
    </w:p>
    <w:p w14:paraId="6E9C24E2" w14:textId="4B5D0707" w:rsidR="00DE7A5B" w:rsidRPr="004C1A96" w:rsidRDefault="0074343B" w:rsidP="00AC1C39">
      <w:pPr>
        <w:ind w:left="567" w:right="565"/>
        <w:rPr>
          <w:rFonts w:ascii="ITC Avant Garde" w:hAnsi="ITC Avant Garde"/>
          <w:i/>
          <w:lang w:val="es-MX"/>
        </w:rPr>
      </w:pPr>
      <w:r w:rsidRPr="00E14D8A">
        <w:rPr>
          <w:rFonts w:ascii="ITC Avant Garde" w:hAnsi="ITC Avant Garde"/>
          <w:i/>
          <w:lang w:val="es-MX"/>
        </w:rPr>
        <w:t>“</w:t>
      </w:r>
      <w:r w:rsidR="00DE7A5B" w:rsidRPr="00E14D8A">
        <w:rPr>
          <w:rFonts w:ascii="ITC Avant Garde" w:hAnsi="ITC Avant Garde"/>
          <w:i/>
          <w:lang w:val="es-MX"/>
        </w:rPr>
        <w:t xml:space="preserve">Periodo de referencia = </w:t>
      </w:r>
      <w:r w:rsidR="003B4618" w:rsidRPr="00E14D8A">
        <w:rPr>
          <w:rFonts w:ascii="ITC Avant Garde" w:hAnsi="ITC Avant Garde"/>
          <w:i/>
          <w:lang w:val="es-MX"/>
        </w:rPr>
        <w:t>anual</w:t>
      </w:r>
      <w:r w:rsidR="00F33FF5" w:rsidRPr="004C1A96">
        <w:rPr>
          <w:rFonts w:ascii="ITC Avant Garde" w:hAnsi="ITC Avant Garde"/>
          <w:i/>
          <w:lang w:val="es-MX"/>
        </w:rPr>
        <w:t>.</w:t>
      </w:r>
      <w:r w:rsidR="00DE7A5B" w:rsidRPr="004C1A96">
        <w:rPr>
          <w:rFonts w:ascii="ITC Avant Garde" w:hAnsi="ITC Avant Garde"/>
          <w:lang w:val="es-MX"/>
        </w:rPr>
        <w:t xml:space="preserve"> </w:t>
      </w:r>
      <w:r w:rsidR="00DE7A5B" w:rsidRPr="004C1A96">
        <w:rPr>
          <w:rFonts w:ascii="ITC Avant Garde" w:hAnsi="ITC Avant Garde"/>
          <w:i/>
          <w:lang w:val="es-MX"/>
        </w:rPr>
        <w:t xml:space="preserve">Se asume que la demanda y la cobertura de </w:t>
      </w:r>
      <w:r w:rsidR="003B4618" w:rsidRPr="004C1A96">
        <w:rPr>
          <w:rFonts w:ascii="ITC Avant Garde" w:hAnsi="ITC Avant Garde"/>
          <w:i/>
          <w:lang w:val="es-MX"/>
        </w:rPr>
        <w:t>red legacy</w:t>
      </w:r>
      <w:r w:rsidR="00DE7A5B" w:rsidRPr="004C1A96">
        <w:rPr>
          <w:rFonts w:ascii="ITC Avant Garde" w:hAnsi="ITC Avant Garde"/>
          <w:i/>
          <w:lang w:val="es-MX"/>
        </w:rPr>
        <w:t xml:space="preserve"> permanecen </w:t>
      </w:r>
      <w:r w:rsidR="003B4618" w:rsidRPr="004C1A96">
        <w:rPr>
          <w:rFonts w:ascii="ITC Avant Garde" w:hAnsi="ITC Avant Garde"/>
          <w:i/>
          <w:lang w:val="es-MX"/>
        </w:rPr>
        <w:t xml:space="preserve">relativamente </w:t>
      </w:r>
      <w:r w:rsidR="00DE7A5B" w:rsidRPr="004C1A96">
        <w:rPr>
          <w:rFonts w:ascii="ITC Avant Garde" w:hAnsi="ITC Avant Garde"/>
          <w:i/>
          <w:lang w:val="es-MX"/>
        </w:rPr>
        <w:t xml:space="preserve">estables en los próximos años, por lo que un modelo de un solo año arroja resultados </w:t>
      </w:r>
      <w:r w:rsidR="003B4618" w:rsidRPr="004C1A96">
        <w:rPr>
          <w:rFonts w:ascii="ITC Avant Garde" w:hAnsi="ITC Avant Garde"/>
          <w:i/>
          <w:lang w:val="es-MX"/>
        </w:rPr>
        <w:t>suficientemente</w:t>
      </w:r>
      <w:r w:rsidR="00DE7A5B" w:rsidRPr="004C1A96">
        <w:rPr>
          <w:rFonts w:ascii="ITC Avant Garde" w:hAnsi="ITC Avant Garde"/>
          <w:i/>
          <w:lang w:val="es-MX"/>
        </w:rPr>
        <w:t xml:space="preserve"> representativos</w:t>
      </w:r>
      <w:r w:rsidRPr="004C1A96">
        <w:rPr>
          <w:rFonts w:ascii="ITC Avant Garde" w:hAnsi="ITC Avant Garde"/>
          <w:i/>
          <w:lang w:val="es-MX"/>
        </w:rPr>
        <w:t>”</w:t>
      </w:r>
    </w:p>
    <w:p w14:paraId="773FE723" w14:textId="1E7CDF3E" w:rsidR="00DE7A5B" w:rsidRPr="004C1A96" w:rsidRDefault="00DE7A5B" w:rsidP="00DE7A5B">
      <w:pPr>
        <w:rPr>
          <w:rFonts w:ascii="ITC Avant Garde" w:hAnsi="ITC Avant Garde"/>
          <w:lang w:val="es-MX"/>
        </w:rPr>
      </w:pPr>
      <w:r w:rsidRPr="004C1A96">
        <w:rPr>
          <w:rFonts w:ascii="ITC Avant Garde" w:hAnsi="ITC Avant Garde"/>
          <w:lang w:val="es-MX"/>
        </w:rPr>
        <w:t>Por otro lado, el enfoque plurianual se ha utilizado en el modelo de fibra con un rango de tiempo de 5 años que va de 2015 a 2020</w:t>
      </w:r>
      <w:r w:rsidR="00BC4DC9">
        <w:rPr>
          <w:rStyle w:val="Refdenotaalpie"/>
          <w:rFonts w:ascii="ITC Avant Garde" w:hAnsi="ITC Avant Garde"/>
          <w:lang w:val="es-MX"/>
        </w:rPr>
        <w:footnoteReference w:id="9"/>
      </w:r>
      <w:r w:rsidRPr="004C1A96">
        <w:rPr>
          <w:rFonts w:ascii="ITC Avant Garde" w:hAnsi="ITC Avant Garde"/>
          <w:lang w:val="es-MX"/>
        </w:rPr>
        <w:t>:</w:t>
      </w:r>
    </w:p>
    <w:p w14:paraId="69931F6D" w14:textId="15E6E25C" w:rsidR="00DE7A5B" w:rsidRPr="00E14D8A" w:rsidRDefault="00DE7A5B" w:rsidP="00AC1C39">
      <w:pPr>
        <w:ind w:left="567" w:right="565"/>
        <w:rPr>
          <w:rFonts w:ascii="ITC Avant Garde" w:hAnsi="ITC Avant Garde"/>
          <w:i/>
          <w:lang w:val="es-MX"/>
        </w:rPr>
      </w:pPr>
      <w:r w:rsidRPr="00E14D8A">
        <w:rPr>
          <w:rFonts w:ascii="ITC Avant Garde" w:hAnsi="ITC Avant Garde"/>
          <w:i/>
          <w:lang w:val="es-MX"/>
        </w:rPr>
        <w:t>"Se define el marco temporal en el modelo como el período comprendido entre 2015 y 2020".</w:t>
      </w:r>
    </w:p>
    <w:p w14:paraId="6F28EC90" w14:textId="2E1D600F" w:rsidR="00DE7A5B" w:rsidRPr="00E14D8A" w:rsidRDefault="00DE7A5B" w:rsidP="00DE7A5B">
      <w:pPr>
        <w:pStyle w:val="Encadr3"/>
        <w:rPr>
          <w:rFonts w:ascii="ITC Avant Garde" w:hAnsi="ITC Avant Garde"/>
          <w:lang w:val="es-MX"/>
        </w:rPr>
      </w:pPr>
      <w:r w:rsidRPr="00E14D8A">
        <w:rPr>
          <w:rFonts w:ascii="ITC Avant Garde" w:hAnsi="ITC Avant Garde"/>
          <w:lang w:val="es-MX"/>
        </w:rPr>
        <w:t>C</w:t>
      </w:r>
      <w:r w:rsidRPr="004C1A96">
        <w:rPr>
          <w:rFonts w:ascii="ITC Avant Garde" w:hAnsi="ITC Avant Garde"/>
          <w:lang w:val="es-MX"/>
        </w:rPr>
        <w:t xml:space="preserve">riterio 3: El modelo </w:t>
      </w:r>
      <w:r w:rsidR="00AC1C39" w:rsidRPr="004C1A96">
        <w:rPr>
          <w:rFonts w:ascii="ITC Avant Garde" w:hAnsi="ITC Avant Garde"/>
          <w:lang w:val="es-MX"/>
        </w:rPr>
        <w:t>es</w:t>
      </w:r>
      <w:r w:rsidRPr="004C1A96">
        <w:rPr>
          <w:rFonts w:ascii="ITC Avant Garde" w:hAnsi="ITC Avant Garde"/>
          <w:lang w:val="es-MX"/>
        </w:rPr>
        <w:t xml:space="preserve"> </w:t>
      </w:r>
      <w:r w:rsidR="00AC1C39" w:rsidRPr="004C1A96">
        <w:rPr>
          <w:rFonts w:ascii="ITC Avant Garde" w:hAnsi="ITC Avant Garde"/>
          <w:lang w:val="es-MX"/>
        </w:rPr>
        <w:t>pluri</w:t>
      </w:r>
      <w:r w:rsidR="00732779" w:rsidRPr="004C1A96">
        <w:rPr>
          <w:rFonts w:ascii="ITC Avant Garde" w:hAnsi="ITC Avant Garde"/>
          <w:lang w:val="es-MX"/>
        </w:rPr>
        <w:t>-</w:t>
      </w:r>
      <w:r w:rsidR="00AC1C39" w:rsidRPr="004C1A96">
        <w:rPr>
          <w:rFonts w:ascii="ITC Avant Garde" w:hAnsi="ITC Avant Garde"/>
          <w:lang w:val="es-MX"/>
        </w:rPr>
        <w:t>anual</w:t>
      </w:r>
      <w:r w:rsidR="00BC4DC9">
        <w:rPr>
          <w:rStyle w:val="Refdenotaalpie"/>
          <w:rFonts w:ascii="ITC Avant Garde" w:hAnsi="ITC Avant Garde"/>
          <w:lang w:val="es-MX"/>
        </w:rPr>
        <w:footnoteReference w:id="10"/>
      </w:r>
      <w:r w:rsidR="00AC1C39" w:rsidRPr="004C1A96">
        <w:rPr>
          <w:rFonts w:ascii="ITC Avant Garde" w:hAnsi="ITC Avant Garde"/>
          <w:lang w:val="es-MX"/>
        </w:rPr>
        <w:t>, considerando</w:t>
      </w:r>
      <w:r w:rsidRPr="004C1A96">
        <w:rPr>
          <w:rFonts w:ascii="ITC Avant Garde" w:hAnsi="ITC Avant Garde"/>
          <w:lang w:val="es-MX"/>
        </w:rPr>
        <w:t xml:space="preserve"> un marco temporal de </w:t>
      </w:r>
      <w:r w:rsidR="006817D8" w:rsidRPr="004C1A96">
        <w:rPr>
          <w:rFonts w:ascii="ITC Avant Garde" w:hAnsi="ITC Avant Garde"/>
          <w:lang w:val="es-MX"/>
        </w:rPr>
        <w:t>7</w:t>
      </w:r>
      <w:r w:rsidRPr="00E14D8A">
        <w:rPr>
          <w:rFonts w:ascii="ITC Avant Garde" w:hAnsi="ITC Avant Garde"/>
          <w:lang w:val="es-MX"/>
        </w:rPr>
        <w:t xml:space="preserve"> años.</w:t>
      </w:r>
    </w:p>
    <w:p w14:paraId="100832B2" w14:textId="77777777" w:rsidR="00DE7A5B" w:rsidRPr="0028360F" w:rsidRDefault="00DE7A5B" w:rsidP="00F17242">
      <w:pPr>
        <w:pStyle w:val="Ttulo2"/>
        <w:rPr>
          <w:lang w:val="es-MX"/>
        </w:rPr>
      </w:pPr>
      <w:bookmarkStart w:id="75" w:name="_Toc525665260"/>
      <w:bookmarkStart w:id="76" w:name="_Toc525665639"/>
      <w:bookmarkStart w:id="77" w:name="_Toc141974997"/>
      <w:r w:rsidRPr="0028360F">
        <w:rPr>
          <w:lang w:val="es-MX"/>
        </w:rPr>
        <w:t>Operador modelado</w:t>
      </w:r>
      <w:bookmarkEnd w:id="75"/>
      <w:bookmarkEnd w:id="76"/>
      <w:bookmarkEnd w:id="77"/>
    </w:p>
    <w:p w14:paraId="258D9D2C" w14:textId="77777777" w:rsidR="00BC0096" w:rsidRPr="0028360F" w:rsidRDefault="00BC0096" w:rsidP="0040723E">
      <w:pPr>
        <w:pStyle w:val="Ttulo3"/>
        <w:rPr>
          <w:lang w:val="es-MX"/>
        </w:rPr>
      </w:pPr>
      <w:bookmarkStart w:id="78" w:name="_Toc525665261"/>
      <w:bookmarkStart w:id="79" w:name="_Toc525665640"/>
      <w:bookmarkStart w:id="80" w:name="_Toc141974998"/>
      <w:r w:rsidRPr="0028360F">
        <w:rPr>
          <w:lang w:val="es-MX"/>
        </w:rPr>
        <w:t>Tipo de operador</w:t>
      </w:r>
      <w:bookmarkEnd w:id="78"/>
      <w:bookmarkEnd w:id="79"/>
      <w:bookmarkEnd w:id="80"/>
    </w:p>
    <w:p w14:paraId="44D377E7" w14:textId="77777777" w:rsidR="00DE7A5B" w:rsidRPr="004C1A96" w:rsidRDefault="00DE7A5B" w:rsidP="00DE7A5B">
      <w:pPr>
        <w:rPr>
          <w:rFonts w:ascii="ITC Avant Garde" w:hAnsi="ITC Avant Garde"/>
          <w:lang w:val="es-MX"/>
        </w:rPr>
      </w:pPr>
      <w:r w:rsidRPr="004C1A96">
        <w:rPr>
          <w:rFonts w:ascii="ITC Avant Garde" w:hAnsi="ITC Avant Garde"/>
          <w:lang w:val="es-MX"/>
        </w:rPr>
        <w:t>Un modelo de costo</w:t>
      </w:r>
      <w:r w:rsidR="00937A82" w:rsidRPr="004C1A96">
        <w:rPr>
          <w:rFonts w:ascii="ITC Avant Garde" w:hAnsi="ITC Avant Garde"/>
          <w:lang w:val="es-MX"/>
        </w:rPr>
        <w:t>s</w:t>
      </w:r>
      <w:r w:rsidRPr="004C1A96">
        <w:rPr>
          <w:rFonts w:ascii="ITC Avant Garde" w:hAnsi="ITC Avant Garde"/>
          <w:lang w:val="es-MX"/>
        </w:rPr>
        <w:t xml:space="preserve"> puede reflejar el costo de diferentes tipos de operadores, siendo las opciones más relevantes:</w:t>
      </w:r>
    </w:p>
    <w:p w14:paraId="7FABA75D" w14:textId="77777777" w:rsidR="00DE7A5B" w:rsidRPr="00E14D8A" w:rsidRDefault="00DE7A5B" w:rsidP="00556A48">
      <w:pPr>
        <w:pStyle w:val="Prrafodelista"/>
        <w:numPr>
          <w:ilvl w:val="0"/>
          <w:numId w:val="10"/>
        </w:numPr>
        <w:rPr>
          <w:rFonts w:ascii="ITC Avant Garde" w:hAnsi="ITC Avant Garde"/>
          <w:lang w:val="es-MX"/>
        </w:rPr>
      </w:pPr>
      <w:r w:rsidRPr="00E14D8A">
        <w:rPr>
          <w:rFonts w:ascii="ITC Avant Garde" w:hAnsi="ITC Avant Garde"/>
          <w:lang w:val="es-MX"/>
        </w:rPr>
        <w:t xml:space="preserve">El </w:t>
      </w:r>
      <w:r w:rsidR="00AC1C39" w:rsidRPr="00E14D8A">
        <w:rPr>
          <w:rFonts w:ascii="ITC Avant Garde" w:hAnsi="ITC Avant Garde"/>
          <w:lang w:val="es-MX"/>
        </w:rPr>
        <w:t>AE</w:t>
      </w:r>
      <w:r w:rsidRPr="00E14D8A">
        <w:rPr>
          <w:rFonts w:ascii="ITC Avant Garde" w:hAnsi="ITC Avant Garde"/>
          <w:lang w:val="es-MX"/>
        </w:rPr>
        <w:t>P real;</w:t>
      </w:r>
    </w:p>
    <w:p w14:paraId="7740A1CE" w14:textId="77777777" w:rsidR="00DE7A5B" w:rsidRPr="004C1A96" w:rsidRDefault="00DE7A5B" w:rsidP="00556A48">
      <w:pPr>
        <w:pStyle w:val="Prrafodelista"/>
        <w:numPr>
          <w:ilvl w:val="0"/>
          <w:numId w:val="10"/>
        </w:numPr>
        <w:rPr>
          <w:rFonts w:ascii="ITC Avant Garde" w:hAnsi="ITC Avant Garde"/>
          <w:lang w:val="es-MX"/>
        </w:rPr>
      </w:pPr>
      <w:r w:rsidRPr="004C1A96">
        <w:rPr>
          <w:rFonts w:ascii="ITC Avant Garde" w:hAnsi="ITC Avant Garde"/>
          <w:lang w:val="es-MX"/>
        </w:rPr>
        <w:lastRenderedPageBreak/>
        <w:t xml:space="preserve">Un operador promedio, por ejemplo, basado en el </w:t>
      </w:r>
      <w:r w:rsidR="0074343B" w:rsidRPr="004C1A96">
        <w:rPr>
          <w:rFonts w:ascii="ITC Avant Garde" w:hAnsi="ITC Avant Garde"/>
          <w:lang w:val="es-MX"/>
        </w:rPr>
        <w:t>AEP</w:t>
      </w:r>
      <w:r w:rsidRPr="004C1A96">
        <w:rPr>
          <w:rFonts w:ascii="ITC Avant Garde" w:hAnsi="ITC Avant Garde"/>
          <w:lang w:val="es-MX"/>
        </w:rPr>
        <w:t xml:space="preserve"> y operadores no regulados;</w:t>
      </w:r>
    </w:p>
    <w:p w14:paraId="058C41F8" w14:textId="77777777" w:rsidR="00DE7A5B" w:rsidRPr="004C1A96" w:rsidRDefault="00DE7A5B" w:rsidP="00556A48">
      <w:pPr>
        <w:pStyle w:val="Prrafodelista"/>
        <w:numPr>
          <w:ilvl w:val="0"/>
          <w:numId w:val="10"/>
        </w:numPr>
        <w:rPr>
          <w:rFonts w:ascii="ITC Avant Garde" w:hAnsi="ITC Avant Garde"/>
          <w:lang w:val="es-MX"/>
        </w:rPr>
      </w:pPr>
      <w:r w:rsidRPr="004C1A96">
        <w:rPr>
          <w:rFonts w:ascii="ITC Avant Garde" w:hAnsi="ITC Avant Garde"/>
          <w:lang w:val="es-MX"/>
        </w:rPr>
        <w:t>Un operador hipotéticamente eficiente;</w:t>
      </w:r>
    </w:p>
    <w:p w14:paraId="70CB6A62" w14:textId="77777777" w:rsidR="00DE7A5B" w:rsidRPr="004C1A96" w:rsidRDefault="00DE7A5B" w:rsidP="00556A48">
      <w:pPr>
        <w:pStyle w:val="Prrafodelista"/>
        <w:numPr>
          <w:ilvl w:val="0"/>
          <w:numId w:val="10"/>
        </w:numPr>
        <w:rPr>
          <w:rFonts w:ascii="ITC Avant Garde" w:hAnsi="ITC Avant Garde"/>
          <w:lang w:val="es-MX"/>
        </w:rPr>
      </w:pPr>
      <w:r w:rsidRPr="004C1A96">
        <w:rPr>
          <w:rFonts w:ascii="ITC Avant Garde" w:hAnsi="ITC Avant Garde"/>
          <w:lang w:val="es-MX"/>
        </w:rPr>
        <w:t xml:space="preserve">Un operador hipotéticamente eficiente basado en el </w:t>
      </w:r>
      <w:r w:rsidR="0074343B" w:rsidRPr="004C1A96">
        <w:rPr>
          <w:rFonts w:ascii="ITC Avant Garde" w:hAnsi="ITC Avant Garde"/>
          <w:lang w:val="es-MX"/>
        </w:rPr>
        <w:t>AEP</w:t>
      </w:r>
      <w:r w:rsidRPr="004C1A96">
        <w:rPr>
          <w:rFonts w:ascii="ITC Avant Garde" w:hAnsi="ITC Avant Garde"/>
          <w:lang w:val="es-MX"/>
        </w:rPr>
        <w:t>.</w:t>
      </w:r>
    </w:p>
    <w:p w14:paraId="46BD20A5" w14:textId="24AC5015" w:rsidR="00DE7A5B" w:rsidRPr="004C1A96" w:rsidRDefault="00DE7A5B" w:rsidP="00DE7A5B">
      <w:pPr>
        <w:rPr>
          <w:rFonts w:ascii="ITC Avant Garde" w:hAnsi="ITC Avant Garde"/>
          <w:lang w:val="es-MX"/>
        </w:rPr>
      </w:pPr>
      <w:r w:rsidRPr="004C1A96">
        <w:rPr>
          <w:rFonts w:ascii="ITC Avant Garde" w:hAnsi="ITC Avant Garde"/>
          <w:lang w:val="es-MX"/>
        </w:rPr>
        <w:t xml:space="preserve">En el primer enfoque, los costos modelados están directamente relacionados con los costos reales de los servicios regulados. </w:t>
      </w:r>
      <w:r w:rsidR="0074343B" w:rsidRPr="004C1A96">
        <w:rPr>
          <w:rFonts w:ascii="ITC Avant Garde" w:hAnsi="ITC Avant Garde"/>
          <w:lang w:val="es-MX"/>
        </w:rPr>
        <w:t xml:space="preserve">Con este enfoque, el modelo cumpliría </w:t>
      </w:r>
      <w:r w:rsidRPr="004C1A96">
        <w:rPr>
          <w:rFonts w:ascii="ITC Avant Garde" w:hAnsi="ITC Avant Garde"/>
          <w:lang w:val="es-MX"/>
        </w:rPr>
        <w:t xml:space="preserve">con los principios de orientación </w:t>
      </w:r>
      <w:r w:rsidR="0074343B" w:rsidRPr="004C1A96">
        <w:rPr>
          <w:rFonts w:ascii="ITC Avant Garde" w:hAnsi="ITC Avant Garde"/>
          <w:lang w:val="es-MX"/>
        </w:rPr>
        <w:t>hacia los</w:t>
      </w:r>
      <w:r w:rsidRPr="004C1A96">
        <w:rPr>
          <w:rFonts w:ascii="ITC Avant Garde" w:hAnsi="ITC Avant Garde"/>
          <w:lang w:val="es-MX"/>
        </w:rPr>
        <w:t xml:space="preserve"> costos y </w:t>
      </w:r>
      <w:r w:rsidR="0074343B" w:rsidRPr="004C1A96">
        <w:rPr>
          <w:rFonts w:ascii="ITC Avant Garde" w:hAnsi="ITC Avant Garde"/>
          <w:lang w:val="es-MX"/>
        </w:rPr>
        <w:t xml:space="preserve">de </w:t>
      </w:r>
      <w:r w:rsidRPr="004C1A96">
        <w:rPr>
          <w:rFonts w:ascii="ITC Avant Garde" w:hAnsi="ITC Avant Garde"/>
          <w:lang w:val="es-MX"/>
        </w:rPr>
        <w:t>causalidad de costos</w:t>
      </w:r>
      <w:r w:rsidR="0074343B" w:rsidRPr="004C1A96">
        <w:rPr>
          <w:rFonts w:ascii="ITC Avant Garde" w:hAnsi="ITC Avant Garde"/>
          <w:lang w:val="es-MX"/>
        </w:rPr>
        <w:t xml:space="preserve"> (</w:t>
      </w:r>
      <w:r w:rsidRPr="004C1A96">
        <w:rPr>
          <w:rFonts w:ascii="ITC Avant Garde" w:hAnsi="ITC Avant Garde"/>
          <w:lang w:val="es-MX"/>
        </w:rPr>
        <w:t>es decir, los precios de los servicios regulados deben ser consistentes con los costos incurridos para proporcionar esos servicios</w:t>
      </w:r>
      <w:r w:rsidR="0074343B" w:rsidRPr="004C1A96">
        <w:rPr>
          <w:rFonts w:ascii="ITC Avant Garde" w:hAnsi="ITC Avant Garde"/>
          <w:lang w:val="es-MX"/>
        </w:rPr>
        <w:t>)</w:t>
      </w:r>
      <w:r w:rsidRPr="004C1A96">
        <w:rPr>
          <w:rFonts w:ascii="ITC Avant Garde" w:hAnsi="ITC Avant Garde"/>
          <w:lang w:val="es-MX"/>
        </w:rPr>
        <w:t>. Sin embargo, no representa</w:t>
      </w:r>
      <w:r w:rsidR="0074343B" w:rsidRPr="004C1A96">
        <w:rPr>
          <w:rFonts w:ascii="ITC Avant Garde" w:hAnsi="ITC Avant Garde"/>
          <w:lang w:val="es-MX"/>
        </w:rPr>
        <w:t>r</w:t>
      </w:r>
      <w:r w:rsidR="00F713AD" w:rsidRPr="004C1A96">
        <w:rPr>
          <w:rFonts w:ascii="ITC Avant Garde" w:hAnsi="ITC Avant Garde"/>
          <w:lang w:val="es-MX"/>
        </w:rPr>
        <w:t>í</w:t>
      </w:r>
      <w:r w:rsidR="0074343B" w:rsidRPr="004C1A96">
        <w:rPr>
          <w:rFonts w:ascii="ITC Avant Garde" w:hAnsi="ITC Avant Garde"/>
          <w:lang w:val="es-MX"/>
        </w:rPr>
        <w:t>a</w:t>
      </w:r>
      <w:r w:rsidRPr="004C1A96">
        <w:rPr>
          <w:rFonts w:ascii="ITC Avant Garde" w:hAnsi="ITC Avant Garde"/>
          <w:lang w:val="es-MX"/>
        </w:rPr>
        <w:t xml:space="preserve"> necesariamente los costos de un operador hipotéticamente eficiente. Por lo tanto, no env</w:t>
      </w:r>
      <w:r w:rsidR="00F713AD" w:rsidRPr="004C1A96">
        <w:rPr>
          <w:rFonts w:ascii="ITC Avant Garde" w:hAnsi="ITC Avant Garde"/>
          <w:lang w:val="es-MX"/>
        </w:rPr>
        <w:t>i</w:t>
      </w:r>
      <w:r w:rsidRPr="004C1A96">
        <w:rPr>
          <w:rFonts w:ascii="ITC Avant Garde" w:hAnsi="ITC Avant Garde"/>
          <w:lang w:val="es-MX"/>
        </w:rPr>
        <w:t>a</w:t>
      </w:r>
      <w:r w:rsidR="0074343B" w:rsidRPr="004C1A96">
        <w:rPr>
          <w:rFonts w:ascii="ITC Avant Garde" w:hAnsi="ITC Avant Garde"/>
          <w:lang w:val="es-MX"/>
        </w:rPr>
        <w:t>r</w:t>
      </w:r>
      <w:r w:rsidR="00F713AD" w:rsidRPr="004C1A96">
        <w:rPr>
          <w:rFonts w:ascii="ITC Avant Garde" w:hAnsi="ITC Avant Garde"/>
          <w:lang w:val="es-MX"/>
        </w:rPr>
        <w:t>í</w:t>
      </w:r>
      <w:r w:rsidR="0074343B" w:rsidRPr="004C1A96">
        <w:rPr>
          <w:rFonts w:ascii="ITC Avant Garde" w:hAnsi="ITC Avant Garde"/>
          <w:lang w:val="es-MX"/>
        </w:rPr>
        <w:t>a</w:t>
      </w:r>
      <w:r w:rsidRPr="004C1A96">
        <w:rPr>
          <w:rFonts w:ascii="ITC Avant Garde" w:hAnsi="ITC Avant Garde"/>
          <w:lang w:val="es-MX"/>
        </w:rPr>
        <w:t xml:space="preserve"> </w:t>
      </w:r>
      <w:r w:rsidR="0074343B" w:rsidRPr="004C1A96">
        <w:rPr>
          <w:rFonts w:ascii="ITC Avant Garde" w:hAnsi="ITC Avant Garde"/>
          <w:lang w:val="es-MX"/>
        </w:rPr>
        <w:t>una</w:t>
      </w:r>
      <w:r w:rsidRPr="004C1A96">
        <w:rPr>
          <w:rFonts w:ascii="ITC Avant Garde" w:hAnsi="ITC Avant Garde"/>
          <w:lang w:val="es-MX"/>
        </w:rPr>
        <w:t xml:space="preserve"> señal de precio adecuada al </w:t>
      </w:r>
      <w:r w:rsidR="0074343B" w:rsidRPr="004C1A96">
        <w:rPr>
          <w:rFonts w:ascii="ITC Avant Garde" w:hAnsi="ITC Avant Garde"/>
          <w:lang w:val="es-MX"/>
        </w:rPr>
        <w:t>AEP</w:t>
      </w:r>
      <w:r w:rsidRPr="004C1A96">
        <w:rPr>
          <w:rFonts w:ascii="ITC Avant Garde" w:hAnsi="ITC Avant Garde"/>
          <w:lang w:val="es-MX"/>
        </w:rPr>
        <w:t xml:space="preserve"> ni a los buscadores de acceso.</w:t>
      </w:r>
    </w:p>
    <w:p w14:paraId="609A3B46" w14:textId="77777777" w:rsidR="00DE7A5B" w:rsidRPr="004C1A96" w:rsidRDefault="00DE7A5B" w:rsidP="00DE7A5B">
      <w:pPr>
        <w:rPr>
          <w:rFonts w:ascii="ITC Avant Garde" w:hAnsi="ITC Avant Garde"/>
          <w:lang w:val="es-MX"/>
        </w:rPr>
      </w:pPr>
      <w:r w:rsidRPr="004C1A96">
        <w:rPr>
          <w:rFonts w:ascii="ITC Avant Garde" w:hAnsi="ITC Avant Garde"/>
          <w:lang w:val="es-MX"/>
        </w:rPr>
        <w:t xml:space="preserve">Según el segundo enfoque, </w:t>
      </w:r>
      <w:r w:rsidR="00CA2AC5" w:rsidRPr="004C1A96">
        <w:rPr>
          <w:rFonts w:ascii="ITC Avant Garde" w:hAnsi="ITC Avant Garde"/>
          <w:lang w:val="es-MX"/>
        </w:rPr>
        <w:t>la idea es modelar el costo real de un operador genérico, donde se promedian las peculiaridades de los operadores específicos</w:t>
      </w:r>
      <w:r w:rsidR="006D7F56" w:rsidRPr="004C1A96">
        <w:rPr>
          <w:rFonts w:ascii="ITC Avant Garde" w:hAnsi="ITC Avant Garde"/>
          <w:lang w:val="es-MX"/>
        </w:rPr>
        <w:t>.</w:t>
      </w:r>
      <w:r w:rsidR="00CA2AC5" w:rsidRPr="004C1A96">
        <w:rPr>
          <w:rFonts w:ascii="ITC Avant Garde" w:hAnsi="ITC Avant Garde"/>
          <w:lang w:val="es-MX"/>
        </w:rPr>
        <w:t xml:space="preserve"> </w:t>
      </w:r>
      <w:r w:rsidR="006D7F56" w:rsidRPr="004C1A96">
        <w:rPr>
          <w:rFonts w:ascii="ITC Avant Garde" w:hAnsi="ITC Avant Garde"/>
          <w:lang w:val="es-MX"/>
        </w:rPr>
        <w:t>L</w:t>
      </w:r>
      <w:r w:rsidRPr="004C1A96">
        <w:rPr>
          <w:rFonts w:ascii="ITC Avant Garde" w:hAnsi="ITC Avant Garde"/>
          <w:lang w:val="es-MX"/>
        </w:rPr>
        <w:t xml:space="preserve">os costos que se modelan </w:t>
      </w:r>
      <w:r w:rsidR="006D7F56" w:rsidRPr="004C1A96">
        <w:rPr>
          <w:rFonts w:ascii="ITC Avant Garde" w:hAnsi="ITC Avant Garde"/>
          <w:lang w:val="es-MX"/>
        </w:rPr>
        <w:t>as</w:t>
      </w:r>
      <w:r w:rsidR="003913FE" w:rsidRPr="004C1A96">
        <w:rPr>
          <w:rFonts w:ascii="ITC Avant Garde" w:hAnsi="ITC Avant Garde"/>
          <w:lang w:val="es-MX"/>
        </w:rPr>
        <w:t>í</w:t>
      </w:r>
      <w:r w:rsidR="006D7F56" w:rsidRPr="004C1A96">
        <w:rPr>
          <w:rFonts w:ascii="ITC Avant Garde" w:hAnsi="ITC Avant Garde"/>
          <w:lang w:val="es-MX"/>
        </w:rPr>
        <w:t xml:space="preserve"> </w:t>
      </w:r>
      <w:r w:rsidRPr="004C1A96">
        <w:rPr>
          <w:rFonts w:ascii="ITC Avant Garde" w:hAnsi="ITC Avant Garde"/>
          <w:lang w:val="es-MX"/>
        </w:rPr>
        <w:t xml:space="preserve">no están directamente relacionados con los costos de los servicios regulados proporcionados por el </w:t>
      </w:r>
      <w:r w:rsidR="0074343B" w:rsidRPr="004C1A96">
        <w:rPr>
          <w:rFonts w:ascii="ITC Avant Garde" w:hAnsi="ITC Avant Garde"/>
          <w:lang w:val="es-MX"/>
        </w:rPr>
        <w:t>AEP</w:t>
      </w:r>
      <w:r w:rsidRPr="004C1A96">
        <w:rPr>
          <w:rFonts w:ascii="ITC Avant Garde" w:hAnsi="ITC Avant Garde"/>
          <w:lang w:val="es-MX"/>
        </w:rPr>
        <w:t xml:space="preserve">, ya que </w:t>
      </w:r>
      <w:r w:rsidR="00AC4C26" w:rsidRPr="004C1A96">
        <w:rPr>
          <w:rFonts w:ascii="ITC Avant Garde" w:hAnsi="ITC Avant Garde"/>
          <w:lang w:val="es-MX"/>
        </w:rPr>
        <w:t xml:space="preserve">dicho agente </w:t>
      </w:r>
      <w:r w:rsidRPr="004C1A96">
        <w:rPr>
          <w:rFonts w:ascii="ITC Avant Garde" w:hAnsi="ITC Avant Garde"/>
          <w:lang w:val="es-MX"/>
        </w:rPr>
        <w:t xml:space="preserve">puede tener costos diferentes </w:t>
      </w:r>
      <w:r w:rsidR="0074343B" w:rsidRPr="004C1A96">
        <w:rPr>
          <w:rFonts w:ascii="ITC Avant Garde" w:hAnsi="ITC Avant Garde"/>
          <w:lang w:val="es-MX"/>
        </w:rPr>
        <w:t>de</w:t>
      </w:r>
      <w:r w:rsidRPr="004C1A96">
        <w:rPr>
          <w:rFonts w:ascii="ITC Avant Garde" w:hAnsi="ITC Avant Garde"/>
          <w:lang w:val="es-MX"/>
        </w:rPr>
        <w:t xml:space="preserve"> los de otros operadores, ni cumplen </w:t>
      </w:r>
      <w:r w:rsidR="0074343B" w:rsidRPr="004C1A96">
        <w:rPr>
          <w:rFonts w:ascii="ITC Avant Garde" w:hAnsi="ITC Avant Garde"/>
          <w:lang w:val="es-MX"/>
        </w:rPr>
        <w:t xml:space="preserve">con </w:t>
      </w:r>
      <w:r w:rsidRPr="004C1A96">
        <w:rPr>
          <w:rFonts w:ascii="ITC Avant Garde" w:hAnsi="ITC Avant Garde"/>
          <w:lang w:val="es-MX"/>
        </w:rPr>
        <w:t xml:space="preserve">el criterio de eficiencia en la metodología </w:t>
      </w:r>
      <w:r w:rsidR="00AC4C26" w:rsidRPr="004C1A96">
        <w:rPr>
          <w:rFonts w:ascii="ITC Avant Garde" w:hAnsi="ITC Avant Garde"/>
          <w:lang w:val="es-MX"/>
        </w:rPr>
        <w:t>de CIPLP</w:t>
      </w:r>
      <w:r w:rsidRPr="004C1A96">
        <w:rPr>
          <w:rFonts w:ascii="ITC Avant Garde" w:hAnsi="ITC Avant Garde"/>
          <w:lang w:val="es-MX"/>
        </w:rPr>
        <w:t>.</w:t>
      </w:r>
    </w:p>
    <w:p w14:paraId="17E0C466" w14:textId="77777777" w:rsidR="00DE7A5B" w:rsidRPr="004C1A96" w:rsidRDefault="00DE7A5B" w:rsidP="00DE7A5B">
      <w:pPr>
        <w:rPr>
          <w:rFonts w:ascii="ITC Avant Garde" w:hAnsi="ITC Avant Garde"/>
          <w:lang w:val="es-MX"/>
        </w:rPr>
      </w:pPr>
      <w:r w:rsidRPr="004C1A96">
        <w:rPr>
          <w:rFonts w:ascii="ITC Avant Garde" w:hAnsi="ITC Avant Garde"/>
          <w:lang w:val="es-MX"/>
        </w:rPr>
        <w:t xml:space="preserve">El tercer enfoque permite imitar un mercado competitivo, donde el despliegue de la infraestructura es eficiente y moderno y, por lo tanto, establece un operador hipotéticamente eficiente. De acuerdo con las mejores prácticas internacionales y especialmente con la Comisión Europea, se </w:t>
      </w:r>
      <w:r w:rsidR="006D7F56" w:rsidRPr="004C1A96">
        <w:rPr>
          <w:rFonts w:ascii="ITC Avant Garde" w:hAnsi="ITC Avant Garde"/>
          <w:lang w:val="es-MX"/>
        </w:rPr>
        <w:t>recom</w:t>
      </w:r>
      <w:r w:rsidR="003913FE" w:rsidRPr="004C1A96">
        <w:rPr>
          <w:rFonts w:ascii="ITC Avant Garde" w:hAnsi="ITC Avant Garde"/>
          <w:lang w:val="es-MX"/>
        </w:rPr>
        <w:t>i</w:t>
      </w:r>
      <w:r w:rsidR="006D7F56" w:rsidRPr="004C1A96">
        <w:rPr>
          <w:rFonts w:ascii="ITC Avant Garde" w:hAnsi="ITC Avant Garde"/>
          <w:lang w:val="es-MX"/>
        </w:rPr>
        <w:t>enda</w:t>
      </w:r>
      <w:r w:rsidRPr="004C1A96">
        <w:rPr>
          <w:rFonts w:ascii="ITC Avant Garde" w:hAnsi="ITC Avant Garde"/>
          <w:lang w:val="es-MX"/>
        </w:rPr>
        <w:t xml:space="preserve"> esta opción</w:t>
      </w:r>
      <w:r w:rsidR="006D7F56" w:rsidRPr="004C1A96">
        <w:rPr>
          <w:rFonts w:ascii="ITC Avant Garde" w:hAnsi="ITC Avant Garde"/>
          <w:lang w:val="es-MX"/>
        </w:rPr>
        <w:t>, dado que</w:t>
      </w:r>
      <w:r w:rsidRPr="004C1A96">
        <w:rPr>
          <w:rFonts w:ascii="ITC Avant Garde" w:hAnsi="ITC Avant Garde"/>
          <w:lang w:val="es-MX"/>
        </w:rPr>
        <w:t xml:space="preserve"> envía incentivos normativos apropiados tanto al operador SMP como a los solicitantes de acceso, ya que captura el costo de construir una red eficiente moderna sin capturar ninguna ineficiencia histórica potencial.</w:t>
      </w:r>
    </w:p>
    <w:p w14:paraId="24DB39F9" w14:textId="77777777" w:rsidR="00DE7A5B" w:rsidRPr="004C1A96" w:rsidRDefault="00DE7A5B" w:rsidP="00DE7A5B">
      <w:pPr>
        <w:rPr>
          <w:rFonts w:ascii="ITC Avant Garde" w:hAnsi="ITC Avant Garde"/>
          <w:lang w:val="es-MX"/>
        </w:rPr>
      </w:pPr>
      <w:r w:rsidRPr="004C1A96">
        <w:rPr>
          <w:rFonts w:ascii="ITC Avant Garde" w:hAnsi="ITC Avant Garde"/>
          <w:lang w:val="es-MX"/>
        </w:rPr>
        <w:t xml:space="preserve">Finalmente, el cuarto enfoque consiste en modelar un operador hipotético eficiente basado en la cobertura, demanda y topología de red del operador histórico. Este enfoque es de alguna manera similar al tercero en términos de eficiencia, pero el modelo se basa principalmente en el funcionamiento del </w:t>
      </w:r>
      <w:r w:rsidR="003C772E" w:rsidRPr="004C1A96">
        <w:rPr>
          <w:rFonts w:ascii="ITC Avant Garde" w:hAnsi="ITC Avant Garde"/>
          <w:lang w:val="es-MX"/>
        </w:rPr>
        <w:t xml:space="preserve">operador </w:t>
      </w:r>
      <w:r w:rsidRPr="004C1A96">
        <w:rPr>
          <w:rFonts w:ascii="ITC Avant Garde" w:hAnsi="ITC Avant Garde"/>
          <w:lang w:val="es-MX"/>
        </w:rPr>
        <w:t>SMP.</w:t>
      </w:r>
    </w:p>
    <w:p w14:paraId="094BD2C9" w14:textId="24A7680E" w:rsidR="00DE7A5B" w:rsidRPr="004C1A96" w:rsidRDefault="00DE7A5B" w:rsidP="00DE7A5B">
      <w:pPr>
        <w:rPr>
          <w:rFonts w:ascii="ITC Avant Garde" w:hAnsi="ITC Avant Garde"/>
          <w:lang w:val="es-MX"/>
        </w:rPr>
      </w:pPr>
      <w:r w:rsidRPr="004C1A96">
        <w:rPr>
          <w:rFonts w:ascii="ITC Avant Garde" w:hAnsi="ITC Avant Garde"/>
          <w:lang w:val="es-MX"/>
        </w:rPr>
        <w:t>Los enfoques tercero y cuarto están en línea con las mejores prácticas, especialmente la recomendación de la Comisión Europea sobre los enfoques de modelado de costos para la regulación de los servicios de acceso:</w:t>
      </w:r>
      <w:r w:rsidR="00F030C5">
        <w:rPr>
          <w:rStyle w:val="Refdenotaalpie"/>
          <w:rFonts w:ascii="ITC Avant Garde" w:hAnsi="ITC Avant Garde"/>
          <w:lang w:val="es-MX"/>
        </w:rPr>
        <w:footnoteReference w:id="11"/>
      </w:r>
    </w:p>
    <w:p w14:paraId="3CE22DE1" w14:textId="77777777" w:rsidR="00DE7A5B" w:rsidRPr="00E14D8A" w:rsidRDefault="00DE7A5B" w:rsidP="006D7F56">
      <w:pPr>
        <w:ind w:left="567" w:right="565"/>
        <w:rPr>
          <w:rFonts w:ascii="ITC Avant Garde" w:hAnsi="ITC Avant Garde"/>
          <w:i/>
          <w:lang w:val="es-MX"/>
        </w:rPr>
      </w:pPr>
      <w:r w:rsidRPr="00E14D8A">
        <w:rPr>
          <w:rFonts w:ascii="ITC Avant Garde" w:hAnsi="ITC Avant Garde"/>
          <w:i/>
          <w:lang w:val="es-MX"/>
        </w:rPr>
        <w:t>"Las ANR deben adoptar una metodología de cálculo de costos BULRIC + que calcule el costo actual en que incurriría un operador hipotético eficiente para construir una red eficiente moderna, que es una red NGA. "</w:t>
      </w:r>
    </w:p>
    <w:p w14:paraId="4C06E7CE" w14:textId="77777777" w:rsidR="00DE7A5B" w:rsidRPr="004C1A96" w:rsidRDefault="00DE7A5B" w:rsidP="00DE7A5B">
      <w:pPr>
        <w:rPr>
          <w:rFonts w:ascii="ITC Avant Garde" w:hAnsi="ITC Avant Garde"/>
          <w:lang w:val="es-MX"/>
        </w:rPr>
      </w:pPr>
      <w:r w:rsidRPr="00E14D8A">
        <w:rPr>
          <w:rFonts w:ascii="ITC Avant Garde" w:hAnsi="ITC Avant Garde"/>
          <w:lang w:val="es-MX"/>
        </w:rPr>
        <w:t xml:space="preserve">Los dos primeros enfoques, </w:t>
      </w:r>
      <w:r w:rsidR="006D7F56" w:rsidRPr="00E14D8A">
        <w:rPr>
          <w:rFonts w:ascii="ITC Avant Garde" w:hAnsi="ITC Avant Garde"/>
          <w:lang w:val="es-MX"/>
        </w:rPr>
        <w:t>a</w:t>
      </w:r>
      <w:r w:rsidRPr="004C1A96">
        <w:rPr>
          <w:rFonts w:ascii="ITC Avant Garde" w:hAnsi="ITC Avant Garde"/>
          <w:lang w:val="es-MX"/>
        </w:rPr>
        <w:t>l contrario, no están respaldados por la recomendación de la C</w:t>
      </w:r>
      <w:r w:rsidR="00894050" w:rsidRPr="004C1A96">
        <w:rPr>
          <w:rFonts w:ascii="ITC Avant Garde" w:hAnsi="ITC Avant Garde"/>
          <w:lang w:val="es-MX"/>
        </w:rPr>
        <w:t xml:space="preserve">omisión </w:t>
      </w:r>
      <w:r w:rsidRPr="004C1A96">
        <w:rPr>
          <w:rFonts w:ascii="ITC Avant Garde" w:hAnsi="ITC Avant Garde"/>
          <w:lang w:val="es-MX"/>
        </w:rPr>
        <w:t>E</w:t>
      </w:r>
      <w:r w:rsidR="00894050" w:rsidRPr="004C1A96">
        <w:rPr>
          <w:rFonts w:ascii="ITC Avant Garde" w:hAnsi="ITC Avant Garde"/>
          <w:lang w:val="es-MX"/>
        </w:rPr>
        <w:t>uropea</w:t>
      </w:r>
      <w:r w:rsidRPr="004C1A96">
        <w:rPr>
          <w:rFonts w:ascii="ITC Avant Garde" w:hAnsi="ITC Avant Garde"/>
          <w:lang w:val="es-MX"/>
        </w:rPr>
        <w:t xml:space="preserve">. En particular, el uso de costos históricos del operador SMP como </w:t>
      </w:r>
      <w:r w:rsidRPr="004C1A96">
        <w:rPr>
          <w:rFonts w:ascii="ITC Avant Garde" w:hAnsi="ITC Avant Garde"/>
          <w:lang w:val="es-MX"/>
        </w:rPr>
        <w:lastRenderedPageBreak/>
        <w:t xml:space="preserve">punto de partida de la modelización no puede constituir una base adecuada para el cálculo del costo, ya que pueden no ser representativos de los costos de un operador hipotéticamente eficiente (estos pueden no estar basados </w:t>
      </w:r>
      <w:r w:rsidRPr="004C1A96">
        <w:rPr>
          <w:rFonts w:cs="Arial"/>
          <w:lang w:val="es-MX"/>
        </w:rPr>
        <w:t>​​</w:t>
      </w:r>
      <w:r w:rsidRPr="004C1A96">
        <w:rPr>
          <w:rFonts w:ascii="ITC Avant Garde" w:hAnsi="ITC Avant Garde"/>
          <w:lang w:val="es-MX"/>
        </w:rPr>
        <w:t>en las tecnolog</w:t>
      </w:r>
      <w:r w:rsidRPr="004C1A96">
        <w:rPr>
          <w:rFonts w:ascii="ITC Avant Garde" w:hAnsi="ITC Avant Garde" w:cs="ITC Avant Garde"/>
          <w:lang w:val="es-MX"/>
        </w:rPr>
        <w:t>í</w:t>
      </w:r>
      <w:r w:rsidRPr="004C1A96">
        <w:rPr>
          <w:rFonts w:ascii="ITC Avant Garde" w:hAnsi="ITC Avant Garde"/>
          <w:lang w:val="es-MX"/>
        </w:rPr>
        <w:t>as modernas</w:t>
      </w:r>
      <w:r w:rsidR="006D7F56" w:rsidRPr="004C1A96">
        <w:rPr>
          <w:rFonts w:ascii="ITC Avant Garde" w:hAnsi="ITC Avant Garde"/>
          <w:lang w:val="es-MX"/>
        </w:rPr>
        <w:t xml:space="preserve"> disponibles</w:t>
      </w:r>
      <w:r w:rsidRPr="004C1A96">
        <w:rPr>
          <w:rFonts w:ascii="ITC Avant Garde" w:hAnsi="ITC Avant Garde"/>
          <w:lang w:val="es-MX"/>
        </w:rPr>
        <w:t>, pueden incluir ineficiencias debido a inversiones históricas que resultan en un legado, pueden haberse construido en un momento en que los precios eran más altos o más bajos, y pueden incluir una cantidad de activos totalmente depreciados).</w:t>
      </w:r>
    </w:p>
    <w:p w14:paraId="3FF7A639" w14:textId="77777777" w:rsidR="00DE7A5B" w:rsidRPr="004C1A96" w:rsidRDefault="00DE7A5B" w:rsidP="00DE7A5B">
      <w:pPr>
        <w:rPr>
          <w:rFonts w:ascii="ITC Avant Garde" w:hAnsi="ITC Avant Garde"/>
          <w:lang w:val="es-MX"/>
        </w:rPr>
      </w:pPr>
      <w:r w:rsidRPr="004C1A96">
        <w:rPr>
          <w:rFonts w:ascii="ITC Avant Garde" w:hAnsi="ITC Avant Garde"/>
          <w:lang w:val="es-MX"/>
        </w:rPr>
        <w:t xml:space="preserve">El cuarto enfoque también está en línea con los modelos </w:t>
      </w:r>
      <w:r w:rsidR="009136FB" w:rsidRPr="004C1A96">
        <w:rPr>
          <w:rFonts w:ascii="ITC Avant Garde" w:hAnsi="ITC Avant Garde"/>
          <w:lang w:val="es-MX"/>
        </w:rPr>
        <w:t xml:space="preserve">de </w:t>
      </w:r>
      <w:r w:rsidRPr="004C1A96">
        <w:rPr>
          <w:rFonts w:ascii="ITC Avant Garde" w:hAnsi="ITC Avant Garde"/>
          <w:lang w:val="es-MX"/>
        </w:rPr>
        <w:t xml:space="preserve">fibra y </w:t>
      </w:r>
      <w:r w:rsidR="009136FB" w:rsidRPr="004C1A96">
        <w:rPr>
          <w:rFonts w:ascii="ITC Avant Garde" w:hAnsi="ITC Avant Garde"/>
          <w:lang w:val="es-MX"/>
        </w:rPr>
        <w:t xml:space="preserve">de </w:t>
      </w:r>
      <w:r w:rsidRPr="004C1A96">
        <w:rPr>
          <w:rFonts w:ascii="ITC Avant Garde" w:hAnsi="ITC Avant Garde"/>
          <w:lang w:val="es-MX"/>
        </w:rPr>
        <w:t>cobre, tal como se detalla en los documentos metodológicos y conceptuales.</w:t>
      </w:r>
    </w:p>
    <w:p w14:paraId="1AB0B120" w14:textId="60B162F3" w:rsidR="00DE7A5B" w:rsidRPr="004C1A96" w:rsidRDefault="00DE7A5B" w:rsidP="00DE7A5B">
      <w:pPr>
        <w:rPr>
          <w:rFonts w:ascii="ITC Avant Garde" w:hAnsi="ITC Avant Garde"/>
          <w:lang w:val="es-MX"/>
        </w:rPr>
      </w:pPr>
      <w:r w:rsidRPr="004C1A96">
        <w:rPr>
          <w:rFonts w:ascii="ITC Avant Garde" w:hAnsi="ITC Avant Garde"/>
          <w:lang w:val="es-MX"/>
        </w:rPr>
        <w:t>Con respecto al modelo de cobre, se basó en un operador eficiente que construye una topología eficiente ya que refleja de manera más realista la decisión de hacer o comprar</w:t>
      </w:r>
      <w:r w:rsidR="006D7F56" w:rsidRPr="004C1A96">
        <w:rPr>
          <w:rFonts w:ascii="ITC Avant Garde" w:hAnsi="ITC Avant Garde"/>
          <w:lang w:val="es-MX"/>
        </w:rPr>
        <w:t xml:space="preserve"> (señal </w:t>
      </w:r>
      <w:r w:rsidR="001E08E5" w:rsidRPr="004C1A96">
        <w:rPr>
          <w:rFonts w:ascii="ITC Avant Garde" w:hAnsi="ITC Avant Garde"/>
          <w:lang w:val="es-MX"/>
        </w:rPr>
        <w:t>“</w:t>
      </w:r>
      <w:r w:rsidR="006D7F56" w:rsidRPr="004C1A96">
        <w:rPr>
          <w:rFonts w:ascii="ITC Avant Garde" w:hAnsi="ITC Avant Garde"/>
          <w:i/>
          <w:lang w:val="es-MX"/>
        </w:rPr>
        <w:t>make or buy</w:t>
      </w:r>
      <w:r w:rsidR="001E08E5" w:rsidRPr="004C1A96">
        <w:rPr>
          <w:rFonts w:ascii="ITC Avant Garde" w:hAnsi="ITC Avant Garde"/>
          <w:i/>
          <w:lang w:val="es-MX"/>
        </w:rPr>
        <w:t>”</w:t>
      </w:r>
      <w:r w:rsidR="006D7F56" w:rsidRPr="004C1A96">
        <w:rPr>
          <w:rFonts w:ascii="ITC Avant Garde" w:hAnsi="ITC Avant Garde"/>
          <w:lang w:val="es-MX"/>
        </w:rPr>
        <w:t>)</w:t>
      </w:r>
      <w:r w:rsidRPr="004C1A96">
        <w:rPr>
          <w:rFonts w:ascii="ITC Avant Garde" w:hAnsi="ITC Avant Garde"/>
          <w:lang w:val="es-MX"/>
        </w:rPr>
        <w:t xml:space="preserve"> del </w:t>
      </w:r>
      <w:r w:rsidR="00A774A1" w:rsidRPr="004C1A96">
        <w:rPr>
          <w:rFonts w:ascii="ITC Avant Garde" w:hAnsi="ITC Avant Garde"/>
          <w:lang w:val="es-MX"/>
        </w:rPr>
        <w:t>operador que solicita el</w:t>
      </w:r>
      <w:r w:rsidRPr="004C1A96">
        <w:rPr>
          <w:rFonts w:ascii="ITC Avant Garde" w:hAnsi="ITC Avant Garde"/>
          <w:lang w:val="es-MX"/>
        </w:rPr>
        <w:t xml:space="preserve"> acceso</w:t>
      </w:r>
      <w:r w:rsidR="006D7F56" w:rsidRPr="004C1A96">
        <w:rPr>
          <w:rFonts w:ascii="ITC Avant Garde" w:hAnsi="ITC Avant Garde"/>
          <w:lang w:val="es-MX"/>
        </w:rPr>
        <w:t>:</w:t>
      </w:r>
      <w:r w:rsidR="00F030C5">
        <w:rPr>
          <w:rStyle w:val="Refdenotaalpie"/>
          <w:rFonts w:ascii="ITC Avant Garde" w:hAnsi="ITC Avant Garde"/>
          <w:lang w:val="es-MX"/>
        </w:rPr>
        <w:footnoteReference w:id="12"/>
      </w:r>
    </w:p>
    <w:p w14:paraId="0787D8FE" w14:textId="77777777" w:rsidR="00DE7A5B" w:rsidRPr="00E14D8A" w:rsidRDefault="00DE7A5B" w:rsidP="006D7F56">
      <w:pPr>
        <w:ind w:left="567" w:right="565"/>
        <w:rPr>
          <w:rFonts w:ascii="ITC Avant Garde" w:hAnsi="ITC Avant Garde"/>
          <w:i/>
          <w:lang w:val="es-MX"/>
        </w:rPr>
      </w:pPr>
      <w:r w:rsidRPr="00E14D8A">
        <w:rPr>
          <w:rFonts w:ascii="ITC Avant Garde" w:hAnsi="ITC Avant Garde"/>
          <w:i/>
          <w:lang w:val="es-MX"/>
        </w:rPr>
        <w:t>«Topología de red modelada en la red de acceso: Eficiente.</w:t>
      </w:r>
    </w:p>
    <w:p w14:paraId="019C3CE1" w14:textId="77777777" w:rsidR="00DE7A5B" w:rsidRPr="004C1A96" w:rsidRDefault="00DE7A5B" w:rsidP="006D7F56">
      <w:pPr>
        <w:ind w:left="567" w:right="565"/>
        <w:rPr>
          <w:rFonts w:ascii="ITC Avant Garde" w:hAnsi="ITC Avant Garde"/>
          <w:i/>
          <w:lang w:val="es-MX"/>
        </w:rPr>
      </w:pPr>
      <w:r w:rsidRPr="00E14D8A">
        <w:rPr>
          <w:rFonts w:ascii="ITC Avant Garde" w:hAnsi="ITC Avant Garde"/>
          <w:i/>
          <w:lang w:val="es-MX"/>
        </w:rPr>
        <w:t xml:space="preserve"> Refleja de manera más realista la decisión de compra del </w:t>
      </w:r>
      <w:r w:rsidR="003A0FB4" w:rsidRPr="004C1A96">
        <w:rPr>
          <w:rFonts w:ascii="ITC Avant Garde" w:hAnsi="ITC Avant Garde"/>
          <w:i/>
          <w:lang w:val="es-MX"/>
        </w:rPr>
        <w:t>proveedor»</w:t>
      </w:r>
    </w:p>
    <w:p w14:paraId="61D8247B" w14:textId="114CD6CF" w:rsidR="00DE7A5B" w:rsidRPr="004C1A96" w:rsidRDefault="00DE7A5B" w:rsidP="00DE7A5B">
      <w:pPr>
        <w:rPr>
          <w:rFonts w:ascii="ITC Avant Garde" w:hAnsi="ITC Avant Garde"/>
          <w:lang w:val="es-MX"/>
        </w:rPr>
      </w:pPr>
      <w:r w:rsidRPr="004C1A96">
        <w:rPr>
          <w:rFonts w:ascii="ITC Avant Garde" w:hAnsi="ITC Avant Garde"/>
          <w:lang w:val="es-MX"/>
        </w:rPr>
        <w:t>En el modelo de fibra, el enfoque de modelado se basó en un operador hipotéticamente eficiente basado en el funcionamiento real de</w:t>
      </w:r>
      <w:r w:rsidR="003C772E" w:rsidRPr="004C1A96">
        <w:rPr>
          <w:rFonts w:ascii="ITC Avant Garde" w:hAnsi="ITC Avant Garde"/>
          <w:lang w:val="es-MX"/>
        </w:rPr>
        <w:t xml:space="preserve"> operador</w:t>
      </w:r>
      <w:r w:rsidRPr="004C1A96">
        <w:rPr>
          <w:rFonts w:ascii="ITC Avant Garde" w:hAnsi="ITC Avant Garde"/>
          <w:lang w:val="es-MX"/>
        </w:rPr>
        <w:t xml:space="preserve"> SMP</w:t>
      </w:r>
      <w:r w:rsidR="006D7F56" w:rsidRPr="004C1A96">
        <w:rPr>
          <w:rFonts w:ascii="ITC Avant Garde" w:hAnsi="ITC Avant Garde"/>
          <w:lang w:val="es-MX"/>
        </w:rPr>
        <w:t>:</w:t>
      </w:r>
      <w:r w:rsidR="00F030C5">
        <w:rPr>
          <w:rStyle w:val="Refdenotaalpie"/>
          <w:rFonts w:ascii="ITC Avant Garde" w:hAnsi="ITC Avant Garde"/>
          <w:lang w:val="es-MX"/>
        </w:rPr>
        <w:footnoteReference w:id="13"/>
      </w:r>
    </w:p>
    <w:p w14:paraId="3BFC6AFC" w14:textId="77777777" w:rsidR="00DE7A5B" w:rsidRPr="00E14D8A" w:rsidRDefault="00DE7A5B" w:rsidP="006D7F56">
      <w:pPr>
        <w:ind w:left="567" w:right="565"/>
        <w:rPr>
          <w:rFonts w:ascii="ITC Avant Garde" w:hAnsi="ITC Avant Garde"/>
          <w:i/>
          <w:lang w:val="es-MX"/>
        </w:rPr>
      </w:pPr>
      <w:r w:rsidRPr="00E14D8A">
        <w:rPr>
          <w:rFonts w:ascii="ITC Avant Garde" w:hAnsi="ITC Avant Garde"/>
          <w:i/>
          <w:lang w:val="es-MX"/>
        </w:rPr>
        <w:t>«... IFT considera oportuno adoptar el modelado de un operador hipotético eficiente basado en la operación real del AEP».</w:t>
      </w:r>
    </w:p>
    <w:p w14:paraId="5DA124DB" w14:textId="77777777" w:rsidR="00DE7A5B" w:rsidRPr="004C1A96" w:rsidRDefault="00DE7A5B" w:rsidP="00DE7A5B">
      <w:pPr>
        <w:rPr>
          <w:rFonts w:ascii="ITC Avant Garde" w:hAnsi="ITC Avant Garde"/>
          <w:lang w:val="es-MX"/>
        </w:rPr>
      </w:pPr>
      <w:r w:rsidRPr="00E14D8A">
        <w:rPr>
          <w:rFonts w:ascii="ITC Avant Garde" w:hAnsi="ITC Avant Garde"/>
          <w:lang w:val="es-MX"/>
        </w:rPr>
        <w:t xml:space="preserve">En teoría, </w:t>
      </w:r>
      <w:r w:rsidR="006D7F56" w:rsidRPr="004C1A96">
        <w:rPr>
          <w:rFonts w:ascii="ITC Avant Garde" w:hAnsi="ITC Avant Garde"/>
          <w:lang w:val="es-MX"/>
        </w:rPr>
        <w:t>el modelo de un</w:t>
      </w:r>
      <w:r w:rsidRPr="004C1A96">
        <w:rPr>
          <w:rFonts w:ascii="ITC Avant Garde" w:hAnsi="ITC Avant Garde"/>
          <w:lang w:val="es-MX"/>
        </w:rPr>
        <w:t xml:space="preserve"> operador hipotético eficiente basado en el enfoque de</w:t>
      </w:r>
      <w:r w:rsidR="003C772E" w:rsidRPr="004C1A96">
        <w:rPr>
          <w:rFonts w:ascii="ITC Avant Garde" w:hAnsi="ITC Avant Garde"/>
          <w:lang w:val="es-MX"/>
        </w:rPr>
        <w:t>l AEP</w:t>
      </w:r>
      <w:r w:rsidRPr="004C1A96" w:rsidDel="003C772E">
        <w:rPr>
          <w:rFonts w:ascii="ITC Avant Garde" w:hAnsi="ITC Avant Garde"/>
          <w:lang w:val="es-MX"/>
        </w:rPr>
        <w:t xml:space="preserve"> </w:t>
      </w:r>
      <w:r w:rsidR="006D7F56" w:rsidRPr="004C1A96">
        <w:rPr>
          <w:rFonts w:ascii="ITC Avant Garde" w:hAnsi="ITC Avant Garde"/>
          <w:lang w:val="es-MX"/>
        </w:rPr>
        <w:t>refleja</w:t>
      </w:r>
      <w:r w:rsidRPr="004C1A96">
        <w:rPr>
          <w:rFonts w:ascii="ITC Avant Garde" w:hAnsi="ITC Avant Garde"/>
          <w:lang w:val="es-MX"/>
        </w:rPr>
        <w:t xml:space="preserve"> la red </w:t>
      </w:r>
      <w:r w:rsidR="006D7F56" w:rsidRPr="004C1A96">
        <w:rPr>
          <w:rFonts w:ascii="ITC Avant Garde" w:hAnsi="ITC Avant Garde"/>
          <w:lang w:val="es-MX"/>
        </w:rPr>
        <w:t>que dicho operador</w:t>
      </w:r>
      <w:r w:rsidRPr="004C1A96">
        <w:rPr>
          <w:rFonts w:ascii="ITC Avant Garde" w:hAnsi="ITC Avant Garde"/>
          <w:lang w:val="es-MX"/>
        </w:rPr>
        <w:t xml:space="preserve"> desplegaría en México dado que capturaría parte de la demanda pronosticada.</w:t>
      </w:r>
    </w:p>
    <w:p w14:paraId="0A0FC133" w14:textId="77777777" w:rsidR="00DE7A5B" w:rsidRPr="004C1A96" w:rsidRDefault="00DE7A5B" w:rsidP="00DE7A5B">
      <w:pPr>
        <w:pStyle w:val="Encadr3"/>
        <w:rPr>
          <w:rFonts w:ascii="ITC Avant Garde" w:hAnsi="ITC Avant Garde"/>
          <w:lang w:val="es-MX"/>
        </w:rPr>
      </w:pPr>
      <w:r w:rsidRPr="004C1A96">
        <w:rPr>
          <w:rFonts w:ascii="ITC Avant Garde" w:hAnsi="ITC Avant Garde"/>
          <w:lang w:val="es-MX"/>
        </w:rPr>
        <w:t xml:space="preserve">Criterio 4: El operador modelado </w:t>
      </w:r>
      <w:r w:rsidR="006D7F56" w:rsidRPr="004C1A96">
        <w:rPr>
          <w:rFonts w:ascii="ITC Avant Garde" w:hAnsi="ITC Avant Garde"/>
          <w:lang w:val="es-MX"/>
        </w:rPr>
        <w:t>es</w:t>
      </w:r>
      <w:r w:rsidRPr="004C1A96">
        <w:rPr>
          <w:rFonts w:ascii="ITC Avant Garde" w:hAnsi="ITC Avant Garde"/>
          <w:lang w:val="es-MX"/>
        </w:rPr>
        <w:t xml:space="preserve"> un operador hipotéticamente eficiente basado en el </w:t>
      </w:r>
      <w:r w:rsidR="00A5570A" w:rsidRPr="004C1A96">
        <w:rPr>
          <w:rFonts w:ascii="ITC Avant Garde" w:hAnsi="ITC Avant Garde"/>
          <w:lang w:val="es-MX"/>
        </w:rPr>
        <w:t>AEP</w:t>
      </w:r>
      <w:r w:rsidR="006D7F56" w:rsidRPr="004C1A96">
        <w:rPr>
          <w:rFonts w:ascii="ITC Avant Garde" w:hAnsi="ITC Avant Garde"/>
          <w:lang w:val="es-MX"/>
        </w:rPr>
        <w:t>.</w:t>
      </w:r>
    </w:p>
    <w:p w14:paraId="19737AA0" w14:textId="77777777" w:rsidR="00DE7A5B" w:rsidRPr="0028360F" w:rsidRDefault="00DE7A5B" w:rsidP="0040723E">
      <w:pPr>
        <w:pStyle w:val="Ttulo3"/>
        <w:rPr>
          <w:lang w:val="es-MX"/>
        </w:rPr>
      </w:pPr>
      <w:bookmarkStart w:id="81" w:name="_Toc525665262"/>
      <w:bookmarkStart w:id="82" w:name="_Toc525665641"/>
      <w:bookmarkStart w:id="83" w:name="_Toc141974999"/>
      <w:r w:rsidRPr="0028360F">
        <w:rPr>
          <w:lang w:val="es-MX"/>
        </w:rPr>
        <w:t>Servicios modelados</w:t>
      </w:r>
      <w:bookmarkEnd w:id="81"/>
      <w:bookmarkEnd w:id="82"/>
      <w:bookmarkEnd w:id="83"/>
    </w:p>
    <w:p w14:paraId="7E340F55" w14:textId="77777777" w:rsidR="00DE7A5B" w:rsidRPr="004C1A96" w:rsidRDefault="006D7F56" w:rsidP="00DE7A5B">
      <w:pPr>
        <w:rPr>
          <w:rFonts w:ascii="ITC Avant Garde" w:hAnsi="ITC Avant Garde"/>
          <w:lang w:val="es-MX"/>
        </w:rPr>
      </w:pPr>
      <w:r w:rsidRPr="004C1A96">
        <w:rPr>
          <w:rFonts w:ascii="ITC Avant Garde" w:hAnsi="ITC Avant Garde"/>
          <w:lang w:val="es-MX"/>
        </w:rPr>
        <w:t>El modelo considera t</w:t>
      </w:r>
      <w:r w:rsidR="00DE7A5B" w:rsidRPr="004C1A96">
        <w:rPr>
          <w:rFonts w:ascii="ITC Avant Garde" w:hAnsi="ITC Avant Garde"/>
          <w:lang w:val="es-MX"/>
        </w:rPr>
        <w:t xml:space="preserve">odos los servicios que </w:t>
      </w:r>
      <w:r w:rsidRPr="004C1A96">
        <w:rPr>
          <w:rFonts w:ascii="ITC Avant Garde" w:hAnsi="ITC Avant Garde"/>
          <w:lang w:val="es-MX"/>
        </w:rPr>
        <w:t>usan</w:t>
      </w:r>
      <w:r w:rsidR="00DE7A5B" w:rsidRPr="00E14D8A">
        <w:rPr>
          <w:rFonts w:ascii="ITC Avant Garde" w:hAnsi="ITC Avant Garde"/>
          <w:lang w:val="es-MX"/>
        </w:rPr>
        <w:t xml:space="preserve"> la red</w:t>
      </w:r>
      <w:r w:rsidRPr="00E14D8A">
        <w:rPr>
          <w:rFonts w:ascii="ITC Avant Garde" w:hAnsi="ITC Avant Garde"/>
          <w:lang w:val="es-MX"/>
        </w:rPr>
        <w:t>,</w:t>
      </w:r>
      <w:r w:rsidR="00DE7A5B" w:rsidRPr="00E14D8A">
        <w:rPr>
          <w:rFonts w:ascii="ITC Avant Garde" w:hAnsi="ITC Avant Garde"/>
          <w:lang w:val="es-MX"/>
        </w:rPr>
        <w:t xml:space="preserve"> </w:t>
      </w:r>
      <w:r w:rsidRPr="004C1A96">
        <w:rPr>
          <w:rFonts w:ascii="ITC Avant Garde" w:hAnsi="ITC Avant Garde"/>
          <w:lang w:val="es-MX"/>
        </w:rPr>
        <w:t>a</w:t>
      </w:r>
      <w:r w:rsidR="00DE7A5B" w:rsidRPr="004C1A96">
        <w:rPr>
          <w:rFonts w:ascii="ITC Avant Garde" w:hAnsi="ITC Avant Garde"/>
          <w:lang w:val="es-MX"/>
        </w:rPr>
        <w:t xml:space="preserve"> fin de capturar el nivel apropiado de economías de escala y economías de alcance, aunque el modelo solo se utiliza para calcular los costos de un conjunto de servicios regulados</w:t>
      </w:r>
      <w:r w:rsidRPr="004C1A96">
        <w:rPr>
          <w:rFonts w:ascii="ITC Avant Garde" w:hAnsi="ITC Avant Garde"/>
          <w:lang w:val="es-MX"/>
        </w:rPr>
        <w:t xml:space="preserve"> </w:t>
      </w:r>
      <w:r w:rsidR="009533FA" w:rsidRPr="004C1A96">
        <w:rPr>
          <w:rFonts w:ascii="ITC Avant Garde" w:hAnsi="ITC Avant Garde"/>
          <w:lang w:val="es-MX"/>
        </w:rPr>
        <w:t>específicos</w:t>
      </w:r>
      <w:r w:rsidR="00DE7A5B" w:rsidRPr="004C1A96">
        <w:rPr>
          <w:rFonts w:ascii="ITC Avant Garde" w:hAnsi="ITC Avant Garde"/>
          <w:lang w:val="es-MX"/>
        </w:rPr>
        <w:t>. Esto es consistente con el enfoque adoptado en los modelos anteriores</w:t>
      </w:r>
      <w:r w:rsidR="007D15BC" w:rsidRPr="004C1A96">
        <w:rPr>
          <w:rFonts w:ascii="ITC Avant Garde" w:hAnsi="ITC Avant Garde"/>
          <w:lang w:val="es-MX"/>
        </w:rPr>
        <w:t>.</w:t>
      </w:r>
    </w:p>
    <w:p w14:paraId="2E3D2D76" w14:textId="49A384BE" w:rsidR="00DE7A5B" w:rsidRPr="004C1A96" w:rsidRDefault="00DE7A5B" w:rsidP="007D15BC">
      <w:pPr>
        <w:rPr>
          <w:rFonts w:ascii="ITC Avant Garde" w:hAnsi="ITC Avant Garde"/>
          <w:lang w:val="es-MX"/>
        </w:rPr>
      </w:pPr>
      <w:r w:rsidRPr="004C1A96">
        <w:rPr>
          <w:rFonts w:ascii="ITC Avant Garde" w:hAnsi="ITC Avant Garde"/>
          <w:lang w:val="es-MX"/>
        </w:rPr>
        <w:t xml:space="preserve">En el modelo de cobre, la mayoría de los servicios que utilizan la infraestructura de red de cobre se han modelado (excepto los relacionados con la colocación). Se dividen en tres categorías de </w:t>
      </w:r>
      <w:r w:rsidR="007D15BC" w:rsidRPr="004C1A96">
        <w:rPr>
          <w:rFonts w:ascii="ITC Avant Garde" w:hAnsi="ITC Avant Garde"/>
          <w:lang w:val="es-MX"/>
        </w:rPr>
        <w:t xml:space="preserve">servicios: (i) </w:t>
      </w:r>
      <w:r w:rsidRPr="004C1A96">
        <w:rPr>
          <w:rFonts w:ascii="ITC Avant Garde" w:hAnsi="ITC Avant Garde"/>
          <w:lang w:val="es-MX"/>
        </w:rPr>
        <w:t>acceso a la infraestructura, (ii) líneas arrendadas y (iii) servicios de desagregación</w:t>
      </w:r>
      <w:r w:rsidR="007D15BC" w:rsidRPr="004C1A96">
        <w:rPr>
          <w:rFonts w:ascii="ITC Avant Garde" w:hAnsi="ITC Avant Garde"/>
          <w:lang w:val="es-MX"/>
        </w:rPr>
        <w:t>.</w:t>
      </w:r>
    </w:p>
    <w:p w14:paraId="7C05CBD3" w14:textId="77777777" w:rsidR="007D15BC" w:rsidRPr="004C1A96" w:rsidRDefault="007D15BC" w:rsidP="007D15BC">
      <w:pPr>
        <w:rPr>
          <w:rFonts w:ascii="ITC Avant Garde" w:hAnsi="ITC Avant Garde"/>
          <w:lang w:val="es-MX"/>
        </w:rPr>
      </w:pPr>
    </w:p>
    <w:p w14:paraId="05695431" w14:textId="5D91C08C" w:rsidR="007D15BC" w:rsidRPr="004C1A96" w:rsidRDefault="005579D3" w:rsidP="00634CC5">
      <w:pPr>
        <w:pStyle w:val="Descripcin"/>
        <w:keepNext/>
        <w:rPr>
          <w:rFonts w:ascii="ITC Avant Garde" w:hAnsi="ITC Avant Garde"/>
          <w:lang w:val="es-MX"/>
        </w:rPr>
      </w:pPr>
      <w:r w:rsidRPr="004C1A96">
        <w:rPr>
          <w:rFonts w:ascii="ITC Avant Garde" w:hAnsi="ITC Avant Garde"/>
          <w:lang w:val="es-MX"/>
        </w:rPr>
        <w:lastRenderedPageBreak/>
        <w:t xml:space="preserve">Cuadro </w:t>
      </w:r>
      <w:r w:rsidRPr="004C1A96">
        <w:rPr>
          <w:rFonts w:ascii="ITC Avant Garde" w:hAnsi="ITC Avant Garde"/>
          <w:lang w:val="es-MX"/>
        </w:rPr>
        <w:fldChar w:fldCharType="begin"/>
      </w:r>
      <w:r w:rsidRPr="004C1A96">
        <w:rPr>
          <w:rFonts w:ascii="ITC Avant Garde" w:hAnsi="ITC Avant Garde"/>
          <w:lang w:val="es-MX"/>
        </w:rPr>
        <w:instrText xml:space="preserve"> SEQ Cuadro \* ARABIC </w:instrText>
      </w:r>
      <w:r w:rsidRPr="004C1A96">
        <w:rPr>
          <w:rFonts w:ascii="ITC Avant Garde" w:hAnsi="ITC Avant Garde"/>
          <w:lang w:val="es-MX"/>
        </w:rPr>
        <w:fldChar w:fldCharType="separate"/>
      </w:r>
      <w:r w:rsidR="00006265">
        <w:rPr>
          <w:rFonts w:ascii="ITC Avant Garde" w:hAnsi="ITC Avant Garde"/>
          <w:noProof/>
          <w:lang w:val="es-MX"/>
        </w:rPr>
        <w:t>1</w:t>
      </w:r>
      <w:r w:rsidRPr="004C1A96">
        <w:rPr>
          <w:rFonts w:ascii="ITC Avant Garde" w:hAnsi="ITC Avant Garde"/>
          <w:lang w:val="es-MX"/>
        </w:rPr>
        <w:fldChar w:fldCharType="end"/>
      </w:r>
      <w:r w:rsidR="007D15BC" w:rsidRPr="004C1A96">
        <w:rPr>
          <w:rFonts w:ascii="ITC Avant Garde" w:hAnsi="ITC Avant Garde"/>
          <w:lang w:val="es-MX"/>
        </w:rPr>
        <w:t xml:space="preserve"> - Servicios considerados </w:t>
      </w:r>
      <w:r w:rsidR="00457EF8" w:rsidRPr="004C1A96">
        <w:rPr>
          <w:rFonts w:ascii="ITC Avant Garde" w:hAnsi="ITC Avant Garde"/>
          <w:lang w:val="es-MX"/>
        </w:rPr>
        <w:t xml:space="preserve">principalmente </w:t>
      </w:r>
      <w:r w:rsidR="007D15BC" w:rsidRPr="004C1A96">
        <w:rPr>
          <w:rFonts w:ascii="ITC Avant Garde" w:hAnsi="ITC Avant Garde"/>
          <w:lang w:val="es-MX"/>
        </w:rPr>
        <w:t>en el modelo de cobre</w:t>
      </w:r>
      <w:r w:rsidR="00F030C5">
        <w:rPr>
          <w:rStyle w:val="Refdenotaalpie"/>
          <w:rFonts w:ascii="ITC Avant Garde" w:hAnsi="ITC Avant Garde"/>
          <w:lang w:val="es-MX"/>
        </w:rPr>
        <w:footnoteReference w:id="14"/>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6231"/>
      </w:tblGrid>
      <w:tr w:rsidR="00634CC5" w:rsidRPr="004C1A96" w14:paraId="4EFC3477" w14:textId="77777777" w:rsidTr="00064199">
        <w:tc>
          <w:tcPr>
            <w:tcW w:w="2263" w:type="dxa"/>
            <w:shd w:val="clear" w:color="auto" w:fill="2F5897" w:themeFill="text2"/>
            <w:vAlign w:val="center"/>
          </w:tcPr>
          <w:p w14:paraId="582F6F6A" w14:textId="77777777" w:rsidR="00634CC5" w:rsidRPr="00E14D8A" w:rsidRDefault="00634CC5" w:rsidP="00064199">
            <w:pPr>
              <w:keepNext/>
              <w:keepLines/>
              <w:ind w:left="22"/>
              <w:jc w:val="left"/>
              <w:rPr>
                <w:rFonts w:ascii="ITC Avant Garde" w:hAnsi="ITC Avant Garde"/>
                <w:b/>
                <w:color w:val="FFFFFF"/>
                <w:sz w:val="16"/>
                <w:szCs w:val="16"/>
                <w:lang w:val="es-MX"/>
              </w:rPr>
            </w:pPr>
            <w:r w:rsidRPr="00E14D8A">
              <w:rPr>
                <w:rFonts w:ascii="ITC Avant Garde" w:hAnsi="ITC Avant Garde"/>
                <w:b/>
                <w:color w:val="FFFFFF"/>
                <w:sz w:val="16"/>
                <w:szCs w:val="16"/>
                <w:lang w:val="es-MX"/>
              </w:rPr>
              <w:t>Categoría de servicios</w:t>
            </w:r>
          </w:p>
        </w:tc>
        <w:tc>
          <w:tcPr>
            <w:tcW w:w="6230" w:type="dxa"/>
            <w:shd w:val="clear" w:color="auto" w:fill="2F5897" w:themeFill="text2"/>
            <w:vAlign w:val="center"/>
          </w:tcPr>
          <w:p w14:paraId="2ED225AD" w14:textId="77777777" w:rsidR="00634CC5" w:rsidRPr="00E14D8A" w:rsidRDefault="00634CC5" w:rsidP="00064199">
            <w:pPr>
              <w:keepNext/>
              <w:keepLines/>
              <w:jc w:val="left"/>
              <w:rPr>
                <w:rFonts w:ascii="ITC Avant Garde" w:hAnsi="ITC Avant Garde"/>
                <w:b/>
                <w:color w:val="FFFFFF"/>
                <w:sz w:val="16"/>
                <w:szCs w:val="16"/>
                <w:lang w:val="es-MX"/>
              </w:rPr>
            </w:pPr>
            <w:r w:rsidRPr="00E14D8A">
              <w:rPr>
                <w:rFonts w:ascii="ITC Avant Garde" w:hAnsi="ITC Avant Garde"/>
                <w:b/>
                <w:color w:val="FFFFFF"/>
                <w:sz w:val="16"/>
                <w:szCs w:val="16"/>
                <w:lang w:val="es-MX"/>
              </w:rPr>
              <w:t>Servicios</w:t>
            </w:r>
          </w:p>
        </w:tc>
      </w:tr>
      <w:tr w:rsidR="00634CC5" w:rsidRPr="004C1A96" w14:paraId="04DA5953" w14:textId="77777777" w:rsidTr="00064199">
        <w:tc>
          <w:tcPr>
            <w:tcW w:w="2263" w:type="dxa"/>
            <w:vMerge w:val="restart"/>
            <w:shd w:val="clear" w:color="auto" w:fill="auto"/>
            <w:vAlign w:val="center"/>
          </w:tcPr>
          <w:p w14:paraId="3C75922C" w14:textId="77777777" w:rsidR="00634CC5" w:rsidRPr="004C1A96" w:rsidRDefault="00634CC5" w:rsidP="00064199">
            <w:pPr>
              <w:keepNext/>
              <w:keepLines/>
              <w:ind w:left="22"/>
              <w:jc w:val="left"/>
              <w:rPr>
                <w:rFonts w:ascii="ITC Avant Garde" w:hAnsi="ITC Avant Garde"/>
                <w:sz w:val="16"/>
                <w:szCs w:val="16"/>
                <w:lang w:val="es-MX"/>
              </w:rPr>
            </w:pPr>
            <w:r w:rsidRPr="004C1A96">
              <w:rPr>
                <w:rFonts w:ascii="ITC Avant Garde" w:hAnsi="ITC Avant Garde"/>
                <w:sz w:val="16"/>
                <w:szCs w:val="16"/>
                <w:lang w:val="es-MX"/>
              </w:rPr>
              <w:t>Infraestructura</w:t>
            </w:r>
          </w:p>
        </w:tc>
        <w:tc>
          <w:tcPr>
            <w:tcW w:w="6230" w:type="dxa"/>
            <w:shd w:val="clear" w:color="auto" w:fill="auto"/>
          </w:tcPr>
          <w:p w14:paraId="05756CC4" w14:textId="77777777" w:rsidR="00634CC5" w:rsidRPr="00E14D8A" w:rsidRDefault="00634CC5" w:rsidP="00064199">
            <w:pPr>
              <w:keepNext/>
              <w:keepLines/>
              <w:ind w:left="360" w:hanging="360"/>
              <w:jc w:val="left"/>
              <w:rPr>
                <w:rFonts w:ascii="ITC Avant Garde" w:hAnsi="ITC Avant Garde"/>
                <w:sz w:val="16"/>
                <w:szCs w:val="16"/>
                <w:lang w:val="es-MX"/>
              </w:rPr>
            </w:pPr>
            <w:r w:rsidRPr="00E14D8A">
              <w:rPr>
                <w:rFonts w:ascii="ITC Avant Garde" w:hAnsi="ITC Avant Garde"/>
                <w:sz w:val="16"/>
                <w:szCs w:val="16"/>
                <w:lang w:val="es-MX"/>
              </w:rPr>
              <w:t>Acceso a los ductos;</w:t>
            </w:r>
          </w:p>
        </w:tc>
      </w:tr>
      <w:tr w:rsidR="00634CC5" w:rsidRPr="004C1A96" w14:paraId="51A731CA" w14:textId="77777777" w:rsidTr="00064199">
        <w:tc>
          <w:tcPr>
            <w:tcW w:w="2263" w:type="dxa"/>
            <w:vMerge/>
            <w:shd w:val="clear" w:color="auto" w:fill="auto"/>
            <w:vAlign w:val="center"/>
          </w:tcPr>
          <w:p w14:paraId="47A16885" w14:textId="77777777" w:rsidR="00634CC5" w:rsidRPr="004C1A96" w:rsidRDefault="00634CC5" w:rsidP="00064199">
            <w:pPr>
              <w:keepNext/>
              <w:keepLines/>
              <w:ind w:left="22"/>
              <w:jc w:val="left"/>
              <w:rPr>
                <w:rFonts w:ascii="ITC Avant Garde" w:hAnsi="ITC Avant Garde"/>
                <w:sz w:val="16"/>
                <w:szCs w:val="16"/>
                <w:lang w:val="es-MX"/>
              </w:rPr>
            </w:pPr>
          </w:p>
        </w:tc>
        <w:tc>
          <w:tcPr>
            <w:tcW w:w="6230" w:type="dxa"/>
            <w:shd w:val="clear" w:color="auto" w:fill="auto"/>
          </w:tcPr>
          <w:p w14:paraId="163385F8" w14:textId="77777777" w:rsidR="00634CC5" w:rsidRPr="004C1A96" w:rsidRDefault="00634CC5" w:rsidP="00064199">
            <w:pPr>
              <w:keepNext/>
              <w:keepLines/>
              <w:ind w:left="360" w:hanging="360"/>
              <w:jc w:val="left"/>
              <w:rPr>
                <w:rFonts w:ascii="ITC Avant Garde" w:hAnsi="ITC Avant Garde"/>
                <w:sz w:val="16"/>
                <w:szCs w:val="16"/>
                <w:lang w:val="es-MX"/>
              </w:rPr>
            </w:pPr>
            <w:r w:rsidRPr="004C1A96">
              <w:rPr>
                <w:rFonts w:ascii="ITC Avant Garde" w:hAnsi="ITC Avant Garde"/>
                <w:sz w:val="16"/>
                <w:szCs w:val="16"/>
                <w:lang w:val="es-MX"/>
              </w:rPr>
              <w:t>Acceso a los pozos;</w:t>
            </w:r>
          </w:p>
        </w:tc>
      </w:tr>
      <w:tr w:rsidR="00634CC5" w:rsidRPr="00FF2101" w14:paraId="1DC16705" w14:textId="77777777" w:rsidTr="00064199">
        <w:tc>
          <w:tcPr>
            <w:tcW w:w="2263" w:type="dxa"/>
            <w:vMerge/>
            <w:shd w:val="clear" w:color="auto" w:fill="auto"/>
            <w:vAlign w:val="center"/>
          </w:tcPr>
          <w:p w14:paraId="162E0327" w14:textId="77777777" w:rsidR="00634CC5" w:rsidRPr="004C1A96" w:rsidRDefault="00634CC5" w:rsidP="00064199">
            <w:pPr>
              <w:keepNext/>
              <w:keepLines/>
              <w:ind w:left="22"/>
              <w:jc w:val="left"/>
              <w:rPr>
                <w:rFonts w:ascii="ITC Avant Garde" w:hAnsi="ITC Avant Garde"/>
                <w:sz w:val="16"/>
                <w:szCs w:val="16"/>
                <w:lang w:val="es-MX"/>
              </w:rPr>
            </w:pPr>
          </w:p>
        </w:tc>
        <w:tc>
          <w:tcPr>
            <w:tcW w:w="6230" w:type="dxa"/>
            <w:shd w:val="clear" w:color="auto" w:fill="auto"/>
          </w:tcPr>
          <w:p w14:paraId="7E3BB0CD" w14:textId="77777777" w:rsidR="00634CC5" w:rsidRPr="004C1A96" w:rsidRDefault="00634CC5" w:rsidP="00064199">
            <w:pPr>
              <w:keepNext/>
              <w:keepLines/>
              <w:ind w:left="360" w:hanging="360"/>
              <w:jc w:val="left"/>
              <w:rPr>
                <w:rFonts w:ascii="ITC Avant Garde" w:hAnsi="ITC Avant Garde"/>
                <w:sz w:val="16"/>
                <w:szCs w:val="16"/>
                <w:lang w:val="es-MX"/>
              </w:rPr>
            </w:pPr>
            <w:r w:rsidRPr="004C1A96">
              <w:rPr>
                <w:rFonts w:ascii="ITC Avant Garde" w:hAnsi="ITC Avant Garde"/>
                <w:sz w:val="16"/>
                <w:szCs w:val="16"/>
                <w:lang w:val="es-MX"/>
              </w:rPr>
              <w:t>Otros cobros:</w:t>
            </w:r>
          </w:p>
          <w:p w14:paraId="52FAAD2B" w14:textId="77777777" w:rsidR="00634CC5" w:rsidRPr="004C1A96" w:rsidRDefault="00634CC5" w:rsidP="00064199">
            <w:pPr>
              <w:pStyle w:val="Prrafodelista"/>
              <w:keepNext/>
              <w:keepLines/>
              <w:numPr>
                <w:ilvl w:val="0"/>
                <w:numId w:val="11"/>
              </w:numPr>
              <w:ind w:left="646"/>
              <w:jc w:val="left"/>
              <w:rPr>
                <w:rFonts w:ascii="ITC Avant Garde" w:hAnsi="ITC Avant Garde"/>
                <w:sz w:val="16"/>
                <w:szCs w:val="16"/>
                <w:lang w:val="es-MX"/>
              </w:rPr>
            </w:pPr>
            <w:r w:rsidRPr="004C1A96">
              <w:rPr>
                <w:rFonts w:ascii="ITC Avant Garde" w:hAnsi="ITC Avant Garde"/>
                <w:sz w:val="16"/>
                <w:szCs w:val="16"/>
                <w:lang w:val="es-MX"/>
              </w:rPr>
              <w:t>Alojamiento de gaza de fibra óptica en el pozo;</w:t>
            </w:r>
          </w:p>
          <w:p w14:paraId="75D23ED5" w14:textId="77777777" w:rsidR="00634CC5" w:rsidRPr="004C1A96" w:rsidRDefault="00634CC5" w:rsidP="00064199">
            <w:pPr>
              <w:pStyle w:val="Prrafodelista"/>
              <w:keepNext/>
              <w:keepLines/>
              <w:numPr>
                <w:ilvl w:val="0"/>
                <w:numId w:val="11"/>
              </w:numPr>
              <w:ind w:left="646"/>
              <w:jc w:val="left"/>
              <w:rPr>
                <w:rFonts w:ascii="ITC Avant Garde" w:hAnsi="ITC Avant Garde"/>
                <w:sz w:val="16"/>
                <w:szCs w:val="16"/>
                <w:lang w:val="es-MX"/>
              </w:rPr>
            </w:pPr>
            <w:r w:rsidRPr="004C1A96">
              <w:rPr>
                <w:rFonts w:ascii="ITC Avant Garde" w:hAnsi="ITC Avant Garde"/>
                <w:sz w:val="16"/>
                <w:szCs w:val="16"/>
                <w:lang w:val="es-MX"/>
              </w:rPr>
              <w:t>Alojamiento de cierre de empalme;</w:t>
            </w:r>
          </w:p>
        </w:tc>
      </w:tr>
      <w:tr w:rsidR="00634CC5" w:rsidRPr="004C1A96" w14:paraId="2E133CBF" w14:textId="77777777" w:rsidTr="00064199">
        <w:tc>
          <w:tcPr>
            <w:tcW w:w="2263" w:type="dxa"/>
            <w:vMerge/>
            <w:shd w:val="clear" w:color="auto" w:fill="auto"/>
            <w:vAlign w:val="center"/>
          </w:tcPr>
          <w:p w14:paraId="1F99E530" w14:textId="77777777" w:rsidR="00634CC5" w:rsidRPr="004C1A96" w:rsidRDefault="00634CC5" w:rsidP="00064199">
            <w:pPr>
              <w:keepNext/>
              <w:keepLines/>
              <w:ind w:left="22"/>
              <w:jc w:val="left"/>
              <w:rPr>
                <w:rFonts w:ascii="ITC Avant Garde" w:hAnsi="ITC Avant Garde"/>
                <w:sz w:val="16"/>
                <w:szCs w:val="16"/>
                <w:lang w:val="es-MX"/>
              </w:rPr>
            </w:pPr>
          </w:p>
        </w:tc>
        <w:tc>
          <w:tcPr>
            <w:tcW w:w="6230" w:type="dxa"/>
            <w:shd w:val="clear" w:color="auto" w:fill="auto"/>
          </w:tcPr>
          <w:p w14:paraId="6DFA2904" w14:textId="77777777" w:rsidR="00634CC5" w:rsidRPr="004C1A96" w:rsidRDefault="00634CC5" w:rsidP="00064199">
            <w:pPr>
              <w:keepNext/>
              <w:keepLines/>
              <w:ind w:left="360" w:hanging="360"/>
              <w:jc w:val="left"/>
              <w:rPr>
                <w:rFonts w:ascii="ITC Avant Garde" w:hAnsi="ITC Avant Garde"/>
                <w:sz w:val="16"/>
                <w:szCs w:val="16"/>
                <w:lang w:val="es-MX"/>
              </w:rPr>
            </w:pPr>
            <w:r w:rsidRPr="004C1A96">
              <w:rPr>
                <w:rFonts w:ascii="ITC Avant Garde" w:hAnsi="ITC Avant Garde"/>
                <w:sz w:val="16"/>
                <w:szCs w:val="16"/>
                <w:lang w:val="es-MX"/>
              </w:rPr>
              <w:t>Uso del poste:</w:t>
            </w:r>
          </w:p>
          <w:p w14:paraId="310482B4" w14:textId="77777777" w:rsidR="00634CC5" w:rsidRPr="004C1A96" w:rsidRDefault="00634CC5" w:rsidP="00064199">
            <w:pPr>
              <w:pStyle w:val="Prrafodelista"/>
              <w:keepNext/>
              <w:keepLines/>
              <w:numPr>
                <w:ilvl w:val="0"/>
                <w:numId w:val="11"/>
              </w:numPr>
              <w:ind w:left="646"/>
              <w:jc w:val="left"/>
              <w:rPr>
                <w:rFonts w:ascii="ITC Avant Garde" w:hAnsi="ITC Avant Garde"/>
                <w:sz w:val="16"/>
                <w:szCs w:val="16"/>
                <w:lang w:val="es-MX"/>
              </w:rPr>
            </w:pPr>
            <w:r w:rsidRPr="004C1A96">
              <w:rPr>
                <w:rFonts w:ascii="ITC Avant Garde" w:hAnsi="ITC Avant Garde"/>
                <w:sz w:val="16"/>
                <w:szCs w:val="16"/>
                <w:lang w:val="es-MX"/>
              </w:rPr>
              <w:t>por cable;</w:t>
            </w:r>
          </w:p>
          <w:p w14:paraId="1516FDCC" w14:textId="77777777" w:rsidR="00634CC5" w:rsidRPr="004C1A96" w:rsidRDefault="00634CC5" w:rsidP="00064199">
            <w:pPr>
              <w:pStyle w:val="Prrafodelista"/>
              <w:keepNext/>
              <w:keepLines/>
              <w:numPr>
                <w:ilvl w:val="0"/>
                <w:numId w:val="11"/>
              </w:numPr>
              <w:ind w:left="646"/>
              <w:jc w:val="left"/>
              <w:rPr>
                <w:rFonts w:ascii="ITC Avant Garde" w:hAnsi="ITC Avant Garde"/>
                <w:sz w:val="16"/>
                <w:szCs w:val="16"/>
                <w:lang w:val="es-MX"/>
              </w:rPr>
            </w:pPr>
            <w:r w:rsidRPr="004C1A96">
              <w:rPr>
                <w:rFonts w:ascii="ITC Avant Garde" w:hAnsi="ITC Avant Garde"/>
                <w:sz w:val="16"/>
                <w:szCs w:val="16"/>
                <w:lang w:val="es-MX"/>
              </w:rPr>
              <w:t>peso adicional (Kg);</w:t>
            </w:r>
          </w:p>
        </w:tc>
      </w:tr>
      <w:tr w:rsidR="00634CC5" w:rsidRPr="00FF2101" w14:paraId="15EB8ADB" w14:textId="77777777" w:rsidTr="00064199">
        <w:tc>
          <w:tcPr>
            <w:tcW w:w="2263" w:type="dxa"/>
            <w:vMerge/>
            <w:shd w:val="clear" w:color="auto" w:fill="auto"/>
            <w:vAlign w:val="center"/>
          </w:tcPr>
          <w:p w14:paraId="330E49B9" w14:textId="77777777" w:rsidR="00634CC5" w:rsidRPr="004C1A96" w:rsidRDefault="00634CC5" w:rsidP="00064199">
            <w:pPr>
              <w:keepNext/>
              <w:keepLines/>
              <w:ind w:left="22"/>
              <w:jc w:val="left"/>
              <w:rPr>
                <w:rFonts w:ascii="ITC Avant Garde" w:hAnsi="ITC Avant Garde"/>
                <w:sz w:val="16"/>
                <w:szCs w:val="16"/>
                <w:lang w:val="es-MX"/>
              </w:rPr>
            </w:pPr>
          </w:p>
        </w:tc>
        <w:tc>
          <w:tcPr>
            <w:tcW w:w="6230" w:type="dxa"/>
            <w:shd w:val="clear" w:color="auto" w:fill="auto"/>
          </w:tcPr>
          <w:p w14:paraId="462F0BFC" w14:textId="77777777" w:rsidR="00634CC5" w:rsidRPr="004C1A96" w:rsidRDefault="00634CC5" w:rsidP="00064199">
            <w:pPr>
              <w:keepNext/>
              <w:keepLines/>
              <w:ind w:left="360" w:hanging="360"/>
              <w:jc w:val="left"/>
              <w:rPr>
                <w:rFonts w:ascii="ITC Avant Garde" w:hAnsi="ITC Avant Garde"/>
                <w:sz w:val="16"/>
                <w:szCs w:val="16"/>
                <w:lang w:val="es-MX"/>
              </w:rPr>
            </w:pPr>
            <w:r w:rsidRPr="004C1A96">
              <w:rPr>
                <w:rFonts w:ascii="ITC Avant Garde" w:hAnsi="ITC Avant Garde"/>
                <w:sz w:val="16"/>
                <w:szCs w:val="16"/>
                <w:lang w:val="es-MX"/>
              </w:rPr>
              <w:t>Apoyos de protecciones para subidas o aterramientos;</w:t>
            </w:r>
          </w:p>
        </w:tc>
      </w:tr>
      <w:tr w:rsidR="00634CC5" w:rsidRPr="009F5AFF" w14:paraId="5BCC5216" w14:textId="77777777" w:rsidTr="00064199">
        <w:tc>
          <w:tcPr>
            <w:tcW w:w="2263" w:type="dxa"/>
            <w:vMerge/>
            <w:shd w:val="clear" w:color="auto" w:fill="auto"/>
            <w:vAlign w:val="center"/>
          </w:tcPr>
          <w:p w14:paraId="083AB1E7" w14:textId="77777777" w:rsidR="00634CC5" w:rsidRPr="004C1A96" w:rsidRDefault="00634CC5" w:rsidP="00064199">
            <w:pPr>
              <w:keepNext/>
              <w:keepLines/>
              <w:ind w:left="22"/>
              <w:jc w:val="left"/>
              <w:rPr>
                <w:rFonts w:ascii="ITC Avant Garde" w:hAnsi="ITC Avant Garde"/>
                <w:sz w:val="16"/>
                <w:szCs w:val="16"/>
                <w:lang w:val="es-MX"/>
              </w:rPr>
            </w:pPr>
          </w:p>
        </w:tc>
        <w:tc>
          <w:tcPr>
            <w:tcW w:w="6230" w:type="dxa"/>
            <w:shd w:val="clear" w:color="auto" w:fill="auto"/>
          </w:tcPr>
          <w:p w14:paraId="4EC7A330" w14:textId="77777777" w:rsidR="00634CC5" w:rsidRPr="004C1A96" w:rsidRDefault="00634CC5" w:rsidP="00064199">
            <w:pPr>
              <w:keepNext/>
              <w:keepLines/>
              <w:ind w:left="360" w:hanging="360"/>
              <w:jc w:val="left"/>
              <w:rPr>
                <w:rFonts w:ascii="ITC Avant Garde" w:hAnsi="ITC Avant Garde"/>
                <w:sz w:val="16"/>
                <w:szCs w:val="16"/>
                <w:lang w:val="es-MX"/>
              </w:rPr>
            </w:pPr>
            <w:r w:rsidRPr="004C1A96">
              <w:rPr>
                <w:rFonts w:ascii="ITC Avant Garde" w:hAnsi="ITC Avant Garde"/>
                <w:sz w:val="16"/>
                <w:szCs w:val="16"/>
                <w:lang w:val="es-MX"/>
              </w:rPr>
              <w:t>Instalación del cable de tendido (cable de uso y mantenimiento de [tendido de]);</w:t>
            </w:r>
          </w:p>
        </w:tc>
      </w:tr>
      <w:tr w:rsidR="00634CC5" w:rsidRPr="009F5AFF" w14:paraId="615D19C5" w14:textId="77777777" w:rsidTr="00064199">
        <w:tc>
          <w:tcPr>
            <w:tcW w:w="2263" w:type="dxa"/>
            <w:vMerge w:val="restart"/>
            <w:shd w:val="clear" w:color="auto" w:fill="auto"/>
            <w:vAlign w:val="center"/>
          </w:tcPr>
          <w:p w14:paraId="4875F42D" w14:textId="77777777" w:rsidR="00634CC5" w:rsidRPr="0028360F" w:rsidRDefault="00634CC5" w:rsidP="00064199">
            <w:pPr>
              <w:keepNext/>
              <w:keepLines/>
              <w:ind w:left="22"/>
              <w:jc w:val="left"/>
              <w:rPr>
                <w:rFonts w:ascii="ITC Avant Garde" w:hAnsi="ITC Avant Garde"/>
                <w:sz w:val="16"/>
                <w:szCs w:val="16"/>
                <w:lang w:val="es-MX"/>
              </w:rPr>
            </w:pPr>
            <w:r w:rsidRPr="0028360F">
              <w:rPr>
                <w:rFonts w:ascii="ITC Avant Garde" w:hAnsi="ITC Avant Garde"/>
                <w:sz w:val="16"/>
                <w:szCs w:val="16"/>
                <w:lang w:val="es-MX"/>
              </w:rPr>
              <w:t>Desagregación</w:t>
            </w:r>
          </w:p>
        </w:tc>
        <w:tc>
          <w:tcPr>
            <w:tcW w:w="6230" w:type="dxa"/>
            <w:shd w:val="clear" w:color="auto" w:fill="auto"/>
          </w:tcPr>
          <w:p w14:paraId="7025488C" w14:textId="77777777" w:rsidR="00634CC5" w:rsidRPr="00E14D8A" w:rsidRDefault="00634CC5" w:rsidP="00064199">
            <w:pPr>
              <w:keepNext/>
              <w:keepLines/>
              <w:ind w:left="360" w:hanging="360"/>
              <w:jc w:val="left"/>
              <w:rPr>
                <w:rFonts w:ascii="ITC Avant Garde" w:hAnsi="ITC Avant Garde"/>
                <w:sz w:val="16"/>
                <w:szCs w:val="16"/>
                <w:lang w:val="es-MX"/>
              </w:rPr>
            </w:pPr>
            <w:r w:rsidRPr="00E14D8A">
              <w:rPr>
                <w:rFonts w:ascii="ITC Avant Garde" w:hAnsi="ITC Avant Garde"/>
                <w:sz w:val="16"/>
                <w:szCs w:val="16"/>
                <w:lang w:val="es-MX"/>
              </w:rPr>
              <w:t>Servicio de Desagregación Total del Sub-bucle Local (SLU – Completo);</w:t>
            </w:r>
          </w:p>
        </w:tc>
      </w:tr>
      <w:tr w:rsidR="00634CC5" w:rsidRPr="009F5AFF" w14:paraId="7BE2FBA8" w14:textId="77777777" w:rsidTr="00064199">
        <w:tc>
          <w:tcPr>
            <w:tcW w:w="2263" w:type="dxa"/>
            <w:vMerge/>
            <w:shd w:val="clear" w:color="auto" w:fill="auto"/>
            <w:vAlign w:val="center"/>
          </w:tcPr>
          <w:p w14:paraId="4BB27E98" w14:textId="77777777" w:rsidR="00634CC5" w:rsidRPr="004C1A96" w:rsidRDefault="00634CC5" w:rsidP="00064199">
            <w:pPr>
              <w:keepNext/>
              <w:keepLines/>
              <w:ind w:left="22"/>
              <w:jc w:val="left"/>
              <w:rPr>
                <w:rFonts w:ascii="ITC Avant Garde" w:hAnsi="ITC Avant Garde"/>
                <w:sz w:val="16"/>
                <w:szCs w:val="16"/>
                <w:lang w:val="es-MX"/>
              </w:rPr>
            </w:pPr>
          </w:p>
        </w:tc>
        <w:tc>
          <w:tcPr>
            <w:tcW w:w="6230" w:type="dxa"/>
            <w:shd w:val="clear" w:color="auto" w:fill="auto"/>
          </w:tcPr>
          <w:p w14:paraId="19AF79DE" w14:textId="77777777" w:rsidR="00634CC5" w:rsidRPr="004C1A96" w:rsidRDefault="00634CC5" w:rsidP="00064199">
            <w:pPr>
              <w:keepNext/>
              <w:keepLines/>
              <w:ind w:left="360" w:hanging="360"/>
              <w:jc w:val="left"/>
              <w:rPr>
                <w:rFonts w:ascii="ITC Avant Garde" w:hAnsi="ITC Avant Garde"/>
                <w:sz w:val="16"/>
                <w:szCs w:val="16"/>
                <w:lang w:val="es-MX"/>
              </w:rPr>
            </w:pPr>
            <w:r w:rsidRPr="004C1A96">
              <w:rPr>
                <w:rFonts w:ascii="ITC Avant Garde" w:hAnsi="ITC Avant Garde"/>
                <w:sz w:val="16"/>
                <w:szCs w:val="16"/>
                <w:lang w:val="es-MX"/>
              </w:rPr>
              <w:t>Servicio de Desagregación Compartida del Sub-bucle Local (SLU – Compartido);</w:t>
            </w:r>
          </w:p>
        </w:tc>
      </w:tr>
      <w:tr w:rsidR="00634CC5" w:rsidRPr="009F5AFF" w14:paraId="7C11A48F" w14:textId="77777777" w:rsidTr="00064199">
        <w:tc>
          <w:tcPr>
            <w:tcW w:w="2263" w:type="dxa"/>
            <w:vMerge/>
            <w:shd w:val="clear" w:color="auto" w:fill="auto"/>
            <w:vAlign w:val="center"/>
          </w:tcPr>
          <w:p w14:paraId="4DDD5D35" w14:textId="77777777" w:rsidR="00634CC5" w:rsidRPr="004C1A96" w:rsidRDefault="00634CC5" w:rsidP="00064199">
            <w:pPr>
              <w:keepNext/>
              <w:keepLines/>
              <w:ind w:left="22"/>
              <w:jc w:val="left"/>
              <w:rPr>
                <w:rFonts w:ascii="ITC Avant Garde" w:hAnsi="ITC Avant Garde"/>
                <w:sz w:val="16"/>
                <w:szCs w:val="16"/>
                <w:lang w:val="es-MX"/>
              </w:rPr>
            </w:pPr>
          </w:p>
        </w:tc>
        <w:tc>
          <w:tcPr>
            <w:tcW w:w="6230" w:type="dxa"/>
            <w:shd w:val="clear" w:color="auto" w:fill="auto"/>
          </w:tcPr>
          <w:p w14:paraId="404D99CA" w14:textId="77777777" w:rsidR="00634CC5" w:rsidRPr="004C1A96" w:rsidRDefault="00634CC5" w:rsidP="00064199">
            <w:pPr>
              <w:keepNext/>
              <w:keepLines/>
              <w:ind w:left="360" w:hanging="360"/>
              <w:jc w:val="left"/>
              <w:rPr>
                <w:rFonts w:ascii="ITC Avant Garde" w:hAnsi="ITC Avant Garde"/>
                <w:sz w:val="16"/>
                <w:szCs w:val="16"/>
                <w:lang w:val="es-MX"/>
              </w:rPr>
            </w:pPr>
            <w:r w:rsidRPr="004C1A96">
              <w:rPr>
                <w:rFonts w:ascii="ITC Avant Garde" w:hAnsi="ITC Avant Garde"/>
                <w:sz w:val="16"/>
                <w:szCs w:val="16"/>
                <w:lang w:val="es-MX"/>
              </w:rPr>
              <w:t>Servicio de Desagregación Total del Bucle Local (LLU – Completo);</w:t>
            </w:r>
          </w:p>
        </w:tc>
      </w:tr>
      <w:tr w:rsidR="00634CC5" w:rsidRPr="009F5AFF" w14:paraId="1D02AE35" w14:textId="77777777" w:rsidTr="00064199">
        <w:tc>
          <w:tcPr>
            <w:tcW w:w="2263" w:type="dxa"/>
            <w:vMerge/>
            <w:shd w:val="clear" w:color="auto" w:fill="auto"/>
            <w:vAlign w:val="center"/>
          </w:tcPr>
          <w:p w14:paraId="4BE2FB68" w14:textId="77777777" w:rsidR="00634CC5" w:rsidRPr="004C1A96" w:rsidRDefault="00634CC5" w:rsidP="00064199">
            <w:pPr>
              <w:keepNext/>
              <w:keepLines/>
              <w:ind w:left="22"/>
              <w:jc w:val="left"/>
              <w:rPr>
                <w:rFonts w:ascii="ITC Avant Garde" w:hAnsi="ITC Avant Garde"/>
                <w:sz w:val="16"/>
                <w:szCs w:val="16"/>
                <w:lang w:val="es-MX"/>
              </w:rPr>
            </w:pPr>
          </w:p>
        </w:tc>
        <w:tc>
          <w:tcPr>
            <w:tcW w:w="6230" w:type="dxa"/>
            <w:shd w:val="clear" w:color="auto" w:fill="auto"/>
          </w:tcPr>
          <w:p w14:paraId="5DD3AF8D" w14:textId="77777777" w:rsidR="00634CC5" w:rsidRPr="004C1A96" w:rsidRDefault="00634CC5" w:rsidP="00064199">
            <w:pPr>
              <w:keepNext/>
              <w:keepLines/>
              <w:ind w:left="360" w:hanging="360"/>
              <w:jc w:val="left"/>
              <w:rPr>
                <w:rFonts w:ascii="ITC Avant Garde" w:hAnsi="ITC Avant Garde"/>
                <w:sz w:val="16"/>
                <w:szCs w:val="16"/>
                <w:lang w:val="es-MX"/>
              </w:rPr>
            </w:pPr>
            <w:r w:rsidRPr="004C1A96">
              <w:rPr>
                <w:rFonts w:ascii="ITC Avant Garde" w:hAnsi="ITC Avant Garde"/>
                <w:sz w:val="16"/>
                <w:szCs w:val="16"/>
                <w:lang w:val="es-MX"/>
              </w:rPr>
              <w:t>Servicio de Desagregación Compartida del Bucle Local (LLU: compartido);</w:t>
            </w:r>
          </w:p>
        </w:tc>
      </w:tr>
    </w:tbl>
    <w:p w14:paraId="204D78BF" w14:textId="77777777" w:rsidR="007D15BC" w:rsidRPr="004C1A96" w:rsidRDefault="007D15BC" w:rsidP="007D15BC">
      <w:pPr>
        <w:pStyle w:val="Listaconvietas2"/>
        <w:numPr>
          <w:ilvl w:val="0"/>
          <w:numId w:val="0"/>
        </w:numPr>
        <w:rPr>
          <w:rFonts w:ascii="ITC Avant Garde" w:hAnsi="ITC Avant Garde"/>
          <w:lang w:val="es-ES"/>
        </w:rPr>
      </w:pPr>
    </w:p>
    <w:p w14:paraId="571DF520" w14:textId="5C9B467E" w:rsidR="00DE7A5B" w:rsidRPr="004C1A96" w:rsidRDefault="00DE7A5B" w:rsidP="00DE7A5B">
      <w:pPr>
        <w:rPr>
          <w:rFonts w:ascii="ITC Avant Garde" w:hAnsi="ITC Avant Garde"/>
          <w:lang w:val="es-MX"/>
        </w:rPr>
      </w:pPr>
      <w:r w:rsidRPr="00E14D8A">
        <w:rPr>
          <w:rFonts w:ascii="ITC Avant Garde" w:hAnsi="ITC Avant Garde"/>
          <w:lang w:val="es-MX"/>
        </w:rPr>
        <w:t xml:space="preserve">En el modelo de fibra, se </w:t>
      </w:r>
      <w:r w:rsidR="00457EF8" w:rsidRPr="00E14D8A">
        <w:rPr>
          <w:rFonts w:ascii="ITC Avant Garde" w:hAnsi="ITC Avant Garde"/>
          <w:lang w:val="es-MX"/>
        </w:rPr>
        <w:t>consideraron</w:t>
      </w:r>
      <w:r w:rsidR="00B929A7" w:rsidRPr="004C1A96">
        <w:rPr>
          <w:rFonts w:ascii="ITC Avant Garde" w:hAnsi="ITC Avant Garde"/>
          <w:lang w:val="es-MX"/>
        </w:rPr>
        <w:t xml:space="preserve"> 2</w:t>
      </w:r>
      <w:r w:rsidRPr="004C1A96">
        <w:rPr>
          <w:rFonts w:ascii="ITC Avant Garde" w:hAnsi="ITC Avant Garde"/>
          <w:lang w:val="es-MX"/>
        </w:rPr>
        <w:t xml:space="preserve"> categorías de servicios</w:t>
      </w:r>
      <w:r w:rsidR="007D15BC" w:rsidRPr="004C1A96">
        <w:rPr>
          <w:rFonts w:ascii="ITC Avant Garde" w:hAnsi="ITC Avant Garde"/>
          <w:lang w:val="es-MX"/>
        </w:rPr>
        <w:t xml:space="preserve">: </w:t>
      </w:r>
      <w:r w:rsidR="00B929A7" w:rsidRPr="004C1A96">
        <w:rPr>
          <w:rFonts w:ascii="ITC Avant Garde" w:hAnsi="ITC Avant Garde"/>
          <w:lang w:val="es-MX"/>
        </w:rPr>
        <w:t xml:space="preserve">(i) </w:t>
      </w:r>
      <w:r w:rsidRPr="004C1A96">
        <w:rPr>
          <w:rFonts w:ascii="ITC Avant Garde" w:hAnsi="ITC Avant Garde"/>
          <w:lang w:val="es-MX"/>
        </w:rPr>
        <w:t>Desagreg</w:t>
      </w:r>
      <w:r w:rsidR="00B929A7" w:rsidRPr="004C1A96">
        <w:rPr>
          <w:rFonts w:ascii="ITC Avant Garde" w:hAnsi="ITC Avant Garde"/>
          <w:lang w:val="es-MX"/>
        </w:rPr>
        <w:t>ación de fibra punto a punto y (i</w:t>
      </w:r>
      <w:r w:rsidRPr="004C1A96">
        <w:rPr>
          <w:rFonts w:ascii="ITC Avant Garde" w:hAnsi="ITC Avant Garde"/>
          <w:lang w:val="es-MX"/>
        </w:rPr>
        <w:t>i) Otros servicios (incluidas líneas arrendadas, acceso indirecto y servicios de fibra minorista):</w:t>
      </w:r>
    </w:p>
    <w:p w14:paraId="3351C03E" w14:textId="22A07BF7" w:rsidR="007D15BC" w:rsidRPr="004C1A96" w:rsidRDefault="005579D3" w:rsidP="0028360F">
      <w:pPr>
        <w:pStyle w:val="Descripcin"/>
        <w:keepNext/>
        <w:rPr>
          <w:rFonts w:ascii="ITC Avant Garde" w:hAnsi="ITC Avant Garde"/>
          <w:lang w:val="es-MX"/>
        </w:rPr>
      </w:pPr>
      <w:r w:rsidRPr="004C1A96">
        <w:rPr>
          <w:rFonts w:ascii="ITC Avant Garde" w:hAnsi="ITC Avant Garde"/>
          <w:lang w:val="es-MX"/>
        </w:rPr>
        <w:t xml:space="preserve">Cuadro </w:t>
      </w:r>
      <w:r w:rsidRPr="004C1A96">
        <w:rPr>
          <w:rFonts w:ascii="ITC Avant Garde" w:hAnsi="ITC Avant Garde"/>
          <w:lang w:val="es-MX"/>
        </w:rPr>
        <w:fldChar w:fldCharType="begin"/>
      </w:r>
      <w:r w:rsidRPr="004C1A96">
        <w:rPr>
          <w:rFonts w:ascii="ITC Avant Garde" w:hAnsi="ITC Avant Garde"/>
          <w:lang w:val="es-MX"/>
        </w:rPr>
        <w:instrText xml:space="preserve"> SEQ Cuadro \* ARABIC </w:instrText>
      </w:r>
      <w:r w:rsidRPr="004C1A96">
        <w:rPr>
          <w:rFonts w:ascii="ITC Avant Garde" w:hAnsi="ITC Avant Garde"/>
          <w:lang w:val="es-MX"/>
        </w:rPr>
        <w:fldChar w:fldCharType="separate"/>
      </w:r>
      <w:r w:rsidR="00006265">
        <w:rPr>
          <w:rFonts w:ascii="ITC Avant Garde" w:hAnsi="ITC Avant Garde"/>
          <w:noProof/>
          <w:lang w:val="es-MX"/>
        </w:rPr>
        <w:t>2</w:t>
      </w:r>
      <w:r w:rsidRPr="004C1A96">
        <w:rPr>
          <w:rFonts w:ascii="ITC Avant Garde" w:hAnsi="ITC Avant Garde"/>
          <w:lang w:val="es-MX"/>
        </w:rPr>
        <w:fldChar w:fldCharType="end"/>
      </w:r>
      <w:r w:rsidRPr="004C1A96">
        <w:rPr>
          <w:rFonts w:ascii="ITC Avant Garde" w:hAnsi="ITC Avant Garde"/>
          <w:lang w:val="es-MX"/>
        </w:rPr>
        <w:t xml:space="preserve"> </w:t>
      </w:r>
      <w:r w:rsidR="007D15BC" w:rsidRPr="004C1A96">
        <w:rPr>
          <w:rFonts w:ascii="ITC Avant Garde" w:hAnsi="ITC Avant Garde"/>
          <w:lang w:val="es-MX"/>
        </w:rPr>
        <w:t xml:space="preserve">- Servicios considerados </w:t>
      </w:r>
      <w:r w:rsidR="00457EF8" w:rsidRPr="004C1A96">
        <w:rPr>
          <w:rFonts w:ascii="ITC Avant Garde" w:hAnsi="ITC Avant Garde"/>
          <w:lang w:val="es-MX"/>
        </w:rPr>
        <w:t xml:space="preserve">principalmente </w:t>
      </w:r>
      <w:r w:rsidR="007D15BC" w:rsidRPr="004C1A96">
        <w:rPr>
          <w:rFonts w:ascii="ITC Avant Garde" w:hAnsi="ITC Avant Garde"/>
          <w:lang w:val="es-MX"/>
        </w:rPr>
        <w:t xml:space="preserve">en el </w:t>
      </w:r>
      <w:r w:rsidR="007D15BC" w:rsidRPr="00E14D8A">
        <w:rPr>
          <w:rFonts w:ascii="ITC Avant Garde" w:hAnsi="ITC Avant Garde"/>
          <w:lang w:val="es-MX"/>
        </w:rPr>
        <w:t xml:space="preserve">modelo de </w:t>
      </w:r>
      <w:r w:rsidR="00FB771A" w:rsidRPr="00E14D8A">
        <w:rPr>
          <w:rFonts w:ascii="ITC Avant Garde" w:hAnsi="ITC Avant Garde"/>
          <w:lang w:val="es-MX"/>
        </w:rPr>
        <w:t>fibra</w:t>
      </w:r>
      <w:r w:rsidR="00F030C5">
        <w:rPr>
          <w:rStyle w:val="Refdenotaalpie"/>
          <w:rFonts w:ascii="ITC Avant Garde" w:hAnsi="ITC Avant Garde"/>
          <w:lang w:val="es-MX"/>
        </w:rPr>
        <w:footnoteReference w:id="15"/>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6231"/>
      </w:tblGrid>
      <w:tr w:rsidR="007D15BC" w:rsidRPr="004C1A96" w14:paraId="577339AD" w14:textId="77777777" w:rsidTr="00CB0873">
        <w:tc>
          <w:tcPr>
            <w:tcW w:w="2263" w:type="dxa"/>
            <w:shd w:val="clear" w:color="auto" w:fill="2F5897" w:themeFill="text2"/>
            <w:vAlign w:val="center"/>
          </w:tcPr>
          <w:p w14:paraId="6248C86A" w14:textId="23CEF774" w:rsidR="007D15BC" w:rsidRPr="00E14D8A" w:rsidRDefault="007D15BC" w:rsidP="007D15BC">
            <w:pPr>
              <w:keepNext/>
              <w:keepLines/>
              <w:ind w:left="22"/>
              <w:jc w:val="left"/>
              <w:rPr>
                <w:rFonts w:ascii="ITC Avant Garde" w:hAnsi="ITC Avant Garde"/>
                <w:b/>
                <w:color w:val="FFFFFF"/>
                <w:sz w:val="16"/>
                <w:szCs w:val="16"/>
                <w:lang w:val="es-MX"/>
              </w:rPr>
            </w:pPr>
            <w:r w:rsidRPr="00E14D8A">
              <w:rPr>
                <w:rFonts w:ascii="ITC Avant Garde" w:hAnsi="ITC Avant Garde"/>
                <w:b/>
                <w:color w:val="FFFFFF"/>
                <w:sz w:val="16"/>
                <w:szCs w:val="16"/>
                <w:lang w:val="es-MX"/>
              </w:rPr>
              <w:t>Categor</w:t>
            </w:r>
            <w:r w:rsidR="0028360F">
              <w:rPr>
                <w:rFonts w:ascii="ITC Avant Garde" w:hAnsi="ITC Avant Garde"/>
                <w:b/>
                <w:color w:val="FFFFFF"/>
                <w:sz w:val="16"/>
                <w:szCs w:val="16"/>
                <w:lang w:val="es-MX"/>
              </w:rPr>
              <w:t>í</w:t>
            </w:r>
            <w:r w:rsidRPr="00E14D8A">
              <w:rPr>
                <w:rFonts w:ascii="ITC Avant Garde" w:hAnsi="ITC Avant Garde"/>
                <w:b/>
                <w:color w:val="FFFFFF"/>
                <w:sz w:val="16"/>
                <w:szCs w:val="16"/>
                <w:lang w:val="es-MX"/>
              </w:rPr>
              <w:t>a de servicios</w:t>
            </w:r>
          </w:p>
        </w:tc>
        <w:tc>
          <w:tcPr>
            <w:tcW w:w="6231" w:type="dxa"/>
            <w:shd w:val="clear" w:color="auto" w:fill="2F5897" w:themeFill="text2"/>
            <w:vAlign w:val="center"/>
          </w:tcPr>
          <w:p w14:paraId="1D3D65B3" w14:textId="77777777" w:rsidR="007D15BC" w:rsidRPr="00E14D8A" w:rsidRDefault="007D15BC" w:rsidP="007D15BC">
            <w:pPr>
              <w:keepNext/>
              <w:keepLines/>
              <w:jc w:val="left"/>
              <w:rPr>
                <w:rFonts w:ascii="ITC Avant Garde" w:hAnsi="ITC Avant Garde"/>
                <w:b/>
                <w:color w:val="FFFFFF"/>
                <w:sz w:val="16"/>
                <w:szCs w:val="16"/>
                <w:lang w:val="es-MX"/>
              </w:rPr>
            </w:pPr>
            <w:r w:rsidRPr="00E14D8A">
              <w:rPr>
                <w:rFonts w:ascii="ITC Avant Garde" w:hAnsi="ITC Avant Garde"/>
                <w:b/>
                <w:color w:val="FFFFFF"/>
                <w:sz w:val="16"/>
                <w:szCs w:val="16"/>
                <w:lang w:val="es-MX"/>
              </w:rPr>
              <w:t>Servicios</w:t>
            </w:r>
          </w:p>
        </w:tc>
      </w:tr>
      <w:tr w:rsidR="007D15BC" w:rsidRPr="009F5AFF" w14:paraId="39C22F27" w14:textId="77777777" w:rsidTr="00CB0873">
        <w:tc>
          <w:tcPr>
            <w:tcW w:w="2263" w:type="dxa"/>
            <w:shd w:val="clear" w:color="auto" w:fill="auto"/>
            <w:vAlign w:val="center"/>
          </w:tcPr>
          <w:p w14:paraId="7A787DC8" w14:textId="77777777" w:rsidR="007D15BC" w:rsidRPr="004C1A96" w:rsidRDefault="00A347F0" w:rsidP="007D15BC">
            <w:pPr>
              <w:keepNext/>
              <w:keepLines/>
              <w:ind w:left="22"/>
              <w:jc w:val="left"/>
              <w:rPr>
                <w:rFonts w:ascii="ITC Avant Garde" w:hAnsi="ITC Avant Garde"/>
                <w:sz w:val="16"/>
                <w:szCs w:val="16"/>
                <w:lang w:val="es-MX"/>
              </w:rPr>
            </w:pPr>
            <w:r w:rsidRPr="004C1A96">
              <w:rPr>
                <w:rFonts w:ascii="ITC Avant Garde" w:hAnsi="ITC Avant Garde"/>
                <w:sz w:val="16"/>
                <w:szCs w:val="16"/>
                <w:lang w:val="es-MX"/>
              </w:rPr>
              <w:t>Servicio punto a punto</w:t>
            </w:r>
          </w:p>
        </w:tc>
        <w:tc>
          <w:tcPr>
            <w:tcW w:w="6231" w:type="dxa"/>
            <w:shd w:val="clear" w:color="auto" w:fill="auto"/>
          </w:tcPr>
          <w:p w14:paraId="7B7E5CFC" w14:textId="77777777" w:rsidR="007D15BC" w:rsidRPr="00E14D8A" w:rsidRDefault="00A347F0" w:rsidP="007D15BC">
            <w:pPr>
              <w:keepNext/>
              <w:keepLines/>
              <w:ind w:left="360" w:hanging="360"/>
              <w:jc w:val="left"/>
              <w:rPr>
                <w:rFonts w:ascii="ITC Avant Garde" w:hAnsi="ITC Avant Garde"/>
                <w:sz w:val="16"/>
                <w:szCs w:val="16"/>
                <w:lang w:val="es-MX"/>
              </w:rPr>
            </w:pPr>
            <w:r w:rsidRPr="00E14D8A">
              <w:rPr>
                <w:rFonts w:ascii="ITC Avant Garde" w:hAnsi="ITC Avant Garde"/>
                <w:sz w:val="16"/>
                <w:szCs w:val="16"/>
                <w:lang w:val="es-MX"/>
              </w:rPr>
              <w:t>Servicio de desagregación del bucle punto a punto</w:t>
            </w:r>
          </w:p>
        </w:tc>
      </w:tr>
      <w:tr w:rsidR="00A347F0" w:rsidRPr="009F5AFF" w14:paraId="5B6A129E" w14:textId="77777777" w:rsidTr="00CB0873">
        <w:tc>
          <w:tcPr>
            <w:tcW w:w="2263" w:type="dxa"/>
            <w:vMerge w:val="restart"/>
            <w:shd w:val="clear" w:color="auto" w:fill="auto"/>
            <w:vAlign w:val="center"/>
          </w:tcPr>
          <w:p w14:paraId="6997AB87" w14:textId="77777777" w:rsidR="00A347F0" w:rsidRPr="0028360F" w:rsidRDefault="00A347F0" w:rsidP="00A347F0">
            <w:pPr>
              <w:keepNext/>
              <w:keepLines/>
              <w:ind w:left="22"/>
              <w:jc w:val="left"/>
              <w:rPr>
                <w:rFonts w:ascii="ITC Avant Garde" w:hAnsi="ITC Avant Garde"/>
                <w:sz w:val="16"/>
                <w:szCs w:val="16"/>
                <w:lang w:val="es-MX"/>
              </w:rPr>
            </w:pPr>
            <w:r w:rsidRPr="0028360F">
              <w:rPr>
                <w:rFonts w:ascii="ITC Avant Garde" w:hAnsi="ITC Avant Garde"/>
                <w:sz w:val="16"/>
                <w:szCs w:val="16"/>
                <w:lang w:val="es-MX"/>
              </w:rPr>
              <w:t>Otros servicios relevantes</w:t>
            </w:r>
          </w:p>
        </w:tc>
        <w:tc>
          <w:tcPr>
            <w:tcW w:w="6231" w:type="dxa"/>
            <w:shd w:val="clear" w:color="auto" w:fill="auto"/>
          </w:tcPr>
          <w:p w14:paraId="7A9C5B5E" w14:textId="77777777" w:rsidR="00A347F0" w:rsidRPr="00E14D8A" w:rsidRDefault="00A347F0" w:rsidP="00A347F0">
            <w:pPr>
              <w:keepNext/>
              <w:keepLines/>
              <w:ind w:left="360" w:hanging="360"/>
              <w:jc w:val="left"/>
              <w:rPr>
                <w:rFonts w:ascii="ITC Avant Garde" w:hAnsi="ITC Avant Garde"/>
                <w:sz w:val="16"/>
                <w:szCs w:val="16"/>
                <w:lang w:val="es-MX"/>
              </w:rPr>
            </w:pPr>
            <w:r w:rsidRPr="00E14D8A">
              <w:rPr>
                <w:rFonts w:ascii="ITC Avant Garde" w:hAnsi="ITC Avant Garde"/>
                <w:sz w:val="16"/>
                <w:szCs w:val="16"/>
                <w:lang w:val="es-MX"/>
              </w:rPr>
              <w:t>Servicio de acceso a fibra minorista;</w:t>
            </w:r>
          </w:p>
        </w:tc>
      </w:tr>
      <w:tr w:rsidR="00A347F0" w:rsidRPr="004C1A96" w14:paraId="435C5D8F" w14:textId="77777777" w:rsidTr="00CB0873">
        <w:tc>
          <w:tcPr>
            <w:tcW w:w="2263" w:type="dxa"/>
            <w:vMerge/>
            <w:shd w:val="clear" w:color="auto" w:fill="auto"/>
            <w:vAlign w:val="center"/>
          </w:tcPr>
          <w:p w14:paraId="0F591FC7" w14:textId="77777777" w:rsidR="00A347F0" w:rsidRPr="004C1A96" w:rsidRDefault="00A347F0" w:rsidP="00A347F0">
            <w:pPr>
              <w:keepNext/>
              <w:keepLines/>
              <w:ind w:left="22"/>
              <w:jc w:val="left"/>
              <w:rPr>
                <w:rFonts w:ascii="ITC Avant Garde" w:hAnsi="ITC Avant Garde"/>
                <w:sz w:val="16"/>
                <w:szCs w:val="16"/>
                <w:lang w:val="es-MX"/>
              </w:rPr>
            </w:pPr>
          </w:p>
        </w:tc>
        <w:tc>
          <w:tcPr>
            <w:tcW w:w="6231" w:type="dxa"/>
            <w:shd w:val="clear" w:color="auto" w:fill="auto"/>
          </w:tcPr>
          <w:p w14:paraId="6924C9BE" w14:textId="77777777" w:rsidR="00A347F0" w:rsidRPr="004C1A96" w:rsidRDefault="00A347F0" w:rsidP="00A347F0">
            <w:pPr>
              <w:keepNext/>
              <w:keepLines/>
              <w:ind w:left="360" w:hanging="360"/>
              <w:jc w:val="left"/>
              <w:rPr>
                <w:rFonts w:ascii="ITC Avant Garde" w:hAnsi="ITC Avant Garde"/>
                <w:sz w:val="16"/>
                <w:szCs w:val="16"/>
                <w:lang w:val="es-MX"/>
              </w:rPr>
            </w:pPr>
            <w:r w:rsidRPr="004C1A96">
              <w:rPr>
                <w:rFonts w:ascii="ITC Avant Garde" w:hAnsi="ITC Avant Garde"/>
                <w:sz w:val="16"/>
                <w:szCs w:val="16"/>
                <w:lang w:val="es-MX"/>
              </w:rPr>
              <w:t>Servicio de acceso Indirecto;</w:t>
            </w:r>
          </w:p>
        </w:tc>
      </w:tr>
      <w:tr w:rsidR="00A347F0" w:rsidRPr="004C1A96" w14:paraId="0D6E6A55" w14:textId="77777777" w:rsidTr="00CB0873">
        <w:tc>
          <w:tcPr>
            <w:tcW w:w="2263" w:type="dxa"/>
            <w:vMerge/>
            <w:shd w:val="clear" w:color="auto" w:fill="auto"/>
            <w:vAlign w:val="center"/>
          </w:tcPr>
          <w:p w14:paraId="497E0121" w14:textId="77777777" w:rsidR="00A347F0" w:rsidRPr="004C1A96" w:rsidRDefault="00A347F0" w:rsidP="00A347F0">
            <w:pPr>
              <w:keepNext/>
              <w:keepLines/>
              <w:ind w:left="22"/>
              <w:jc w:val="left"/>
              <w:rPr>
                <w:rFonts w:ascii="ITC Avant Garde" w:hAnsi="ITC Avant Garde"/>
                <w:sz w:val="16"/>
                <w:szCs w:val="16"/>
                <w:lang w:val="es-MX"/>
              </w:rPr>
            </w:pPr>
          </w:p>
        </w:tc>
        <w:tc>
          <w:tcPr>
            <w:tcW w:w="6231" w:type="dxa"/>
            <w:shd w:val="clear" w:color="auto" w:fill="auto"/>
          </w:tcPr>
          <w:p w14:paraId="01FE2216" w14:textId="77777777" w:rsidR="00A347F0" w:rsidRPr="004C1A96" w:rsidRDefault="00A347F0" w:rsidP="00A347F0">
            <w:pPr>
              <w:keepNext/>
              <w:keepLines/>
              <w:ind w:left="360" w:hanging="360"/>
              <w:jc w:val="left"/>
              <w:rPr>
                <w:rFonts w:ascii="ITC Avant Garde" w:hAnsi="ITC Avant Garde"/>
                <w:sz w:val="16"/>
                <w:szCs w:val="16"/>
                <w:lang w:val="es-MX"/>
              </w:rPr>
            </w:pPr>
            <w:r w:rsidRPr="004C1A96">
              <w:rPr>
                <w:rFonts w:ascii="ITC Avant Garde" w:hAnsi="ITC Avant Garde"/>
                <w:sz w:val="16"/>
                <w:szCs w:val="16"/>
                <w:lang w:val="es-MX"/>
              </w:rPr>
              <w:t>Servicio de enlaces dedicados</w:t>
            </w:r>
          </w:p>
        </w:tc>
      </w:tr>
    </w:tbl>
    <w:p w14:paraId="5DF18C7E" w14:textId="6DC6A55F" w:rsidR="00DE7A5B" w:rsidRPr="004C1A96" w:rsidRDefault="00DE7A5B" w:rsidP="00DE7A5B">
      <w:pPr>
        <w:rPr>
          <w:rFonts w:ascii="ITC Avant Garde" w:hAnsi="ITC Avant Garde"/>
          <w:lang w:val="es-MX"/>
        </w:rPr>
      </w:pPr>
      <w:r w:rsidRPr="00E14D8A">
        <w:rPr>
          <w:rFonts w:ascii="ITC Avant Garde" w:hAnsi="ITC Avant Garde"/>
          <w:lang w:val="es-MX"/>
        </w:rPr>
        <w:t xml:space="preserve">Esta lista debe completarse con otros servicios pasivos de acceso a la infraestructura, como </w:t>
      </w:r>
      <w:r w:rsidR="00FB771A" w:rsidRPr="00E14D8A">
        <w:rPr>
          <w:rFonts w:ascii="ITC Avant Garde" w:hAnsi="ITC Avant Garde"/>
          <w:lang w:val="es-MX"/>
        </w:rPr>
        <w:t>fibra obscura, acceso indirecto en cobre</w:t>
      </w:r>
      <w:r w:rsidR="00932A34" w:rsidRPr="00E14D8A">
        <w:rPr>
          <w:rFonts w:ascii="ITC Avant Garde" w:hAnsi="ITC Avant Garde"/>
          <w:lang w:val="es-MX"/>
        </w:rPr>
        <w:t xml:space="preserve"> </w:t>
      </w:r>
      <w:r w:rsidRPr="004C1A96">
        <w:rPr>
          <w:rFonts w:ascii="ITC Avant Garde" w:hAnsi="ITC Avant Garde"/>
          <w:lang w:val="es-MX"/>
        </w:rPr>
        <w:t>u otros servicios auxiliares utilizados para la colocación considerados en las ofertas tarifarias (OREDA</w:t>
      </w:r>
      <w:r w:rsidR="00875932" w:rsidRPr="004C1A96">
        <w:rPr>
          <w:rFonts w:ascii="ITC Avant Garde" w:hAnsi="ITC Avant Garde"/>
          <w:lang w:val="es-MX"/>
        </w:rPr>
        <w:t>/</w:t>
      </w:r>
      <w:r w:rsidRPr="004C1A96">
        <w:rPr>
          <w:rFonts w:ascii="ITC Avant Garde" w:hAnsi="ITC Avant Garde"/>
          <w:lang w:val="es-MX"/>
        </w:rPr>
        <w:t>ORCI), tales como:</w:t>
      </w:r>
    </w:p>
    <w:p w14:paraId="16A7B0DE" w14:textId="77777777" w:rsidR="003008BC" w:rsidRPr="004C1A96" w:rsidRDefault="003008BC" w:rsidP="00DE7A5B">
      <w:pPr>
        <w:rPr>
          <w:rFonts w:ascii="ITC Avant Garde" w:hAnsi="ITC Avant Garde"/>
          <w:lang w:val="es-MX"/>
        </w:rPr>
      </w:pPr>
    </w:p>
    <w:p w14:paraId="3A38E820" w14:textId="45457E8F" w:rsidR="003008BC" w:rsidRPr="004C1A96" w:rsidRDefault="005579D3" w:rsidP="003008BC">
      <w:pPr>
        <w:pStyle w:val="Descripcin"/>
        <w:rPr>
          <w:rFonts w:ascii="ITC Avant Garde" w:hAnsi="ITC Avant Garde"/>
          <w:lang w:val="es-MX"/>
        </w:rPr>
      </w:pPr>
      <w:r w:rsidRPr="004C1A96">
        <w:rPr>
          <w:rFonts w:ascii="ITC Avant Garde" w:hAnsi="ITC Avant Garde"/>
          <w:lang w:val="es-MX"/>
        </w:rPr>
        <w:t xml:space="preserve">Cuadro </w:t>
      </w:r>
      <w:r w:rsidRPr="004C1A96">
        <w:rPr>
          <w:rFonts w:ascii="ITC Avant Garde" w:hAnsi="ITC Avant Garde"/>
          <w:lang w:val="es-MX"/>
        </w:rPr>
        <w:fldChar w:fldCharType="begin"/>
      </w:r>
      <w:r w:rsidRPr="004C1A96">
        <w:rPr>
          <w:rFonts w:ascii="ITC Avant Garde" w:hAnsi="ITC Avant Garde"/>
          <w:lang w:val="es-MX"/>
        </w:rPr>
        <w:instrText xml:space="preserve"> SEQ Cuadro \* ARABIC </w:instrText>
      </w:r>
      <w:r w:rsidRPr="004C1A96">
        <w:rPr>
          <w:rFonts w:ascii="ITC Avant Garde" w:hAnsi="ITC Avant Garde"/>
          <w:lang w:val="es-MX"/>
        </w:rPr>
        <w:fldChar w:fldCharType="separate"/>
      </w:r>
      <w:r w:rsidR="00006265">
        <w:rPr>
          <w:rFonts w:ascii="ITC Avant Garde" w:hAnsi="ITC Avant Garde"/>
          <w:noProof/>
          <w:lang w:val="es-MX"/>
        </w:rPr>
        <w:t>3</w:t>
      </w:r>
      <w:r w:rsidRPr="004C1A96">
        <w:rPr>
          <w:rFonts w:ascii="ITC Avant Garde" w:hAnsi="ITC Avant Garde"/>
          <w:lang w:val="es-MX"/>
        </w:rPr>
        <w:fldChar w:fldCharType="end"/>
      </w:r>
      <w:r w:rsidR="003008BC" w:rsidRPr="004C1A96">
        <w:rPr>
          <w:rFonts w:ascii="ITC Avant Garde" w:hAnsi="ITC Avant Garde"/>
          <w:lang w:val="es-MX"/>
        </w:rPr>
        <w:t xml:space="preserve"> - otros servicios mencionados en las ofertas OREDA/ORCI</w:t>
      </w:r>
      <w:r w:rsidR="00F030C5">
        <w:rPr>
          <w:rStyle w:val="Refdenotaalpie"/>
          <w:rFonts w:ascii="ITC Avant Garde" w:hAnsi="ITC Avant Garde"/>
          <w:lang w:val="es-MX"/>
        </w:rPr>
        <w:footnoteReference w:id="16"/>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6231"/>
      </w:tblGrid>
      <w:tr w:rsidR="00A347F0" w:rsidRPr="004C1A96" w14:paraId="4102C43A" w14:textId="77777777" w:rsidTr="003008BC">
        <w:trPr>
          <w:cantSplit/>
          <w:tblHeader/>
        </w:trPr>
        <w:tc>
          <w:tcPr>
            <w:tcW w:w="2263" w:type="dxa"/>
            <w:shd w:val="clear" w:color="auto" w:fill="2F5897" w:themeFill="text2"/>
            <w:vAlign w:val="center"/>
          </w:tcPr>
          <w:p w14:paraId="342DE54C" w14:textId="58C0DBD7" w:rsidR="00A347F0" w:rsidRPr="00E14D8A" w:rsidRDefault="00A347F0" w:rsidP="003008BC">
            <w:pPr>
              <w:ind w:left="22"/>
              <w:jc w:val="left"/>
              <w:rPr>
                <w:rFonts w:ascii="ITC Avant Garde" w:hAnsi="ITC Avant Garde"/>
                <w:b/>
                <w:color w:val="FFFFFF"/>
                <w:sz w:val="16"/>
                <w:szCs w:val="16"/>
                <w:lang w:val="es-MX"/>
              </w:rPr>
            </w:pPr>
            <w:r w:rsidRPr="00E14D8A">
              <w:rPr>
                <w:rFonts w:ascii="ITC Avant Garde" w:hAnsi="ITC Avant Garde"/>
                <w:b/>
                <w:color w:val="FFFFFF"/>
                <w:sz w:val="16"/>
                <w:szCs w:val="16"/>
                <w:lang w:val="es-MX"/>
              </w:rPr>
              <w:t>Categor</w:t>
            </w:r>
            <w:r w:rsidR="0028360F">
              <w:rPr>
                <w:rFonts w:ascii="ITC Avant Garde" w:hAnsi="ITC Avant Garde"/>
                <w:b/>
                <w:color w:val="FFFFFF"/>
                <w:sz w:val="16"/>
                <w:szCs w:val="16"/>
                <w:lang w:val="es-MX"/>
              </w:rPr>
              <w:t>í</w:t>
            </w:r>
            <w:r w:rsidRPr="00E14D8A">
              <w:rPr>
                <w:rFonts w:ascii="ITC Avant Garde" w:hAnsi="ITC Avant Garde"/>
                <w:b/>
                <w:color w:val="FFFFFF"/>
                <w:sz w:val="16"/>
                <w:szCs w:val="16"/>
                <w:lang w:val="es-MX"/>
              </w:rPr>
              <w:t>a de servicios</w:t>
            </w:r>
          </w:p>
        </w:tc>
        <w:tc>
          <w:tcPr>
            <w:tcW w:w="6230" w:type="dxa"/>
            <w:shd w:val="clear" w:color="auto" w:fill="2F5897" w:themeFill="text2"/>
            <w:vAlign w:val="center"/>
          </w:tcPr>
          <w:p w14:paraId="5FC26DFF" w14:textId="77777777" w:rsidR="00A347F0" w:rsidRPr="00E14D8A" w:rsidRDefault="00A347F0" w:rsidP="003008BC">
            <w:pPr>
              <w:jc w:val="left"/>
              <w:rPr>
                <w:rFonts w:ascii="ITC Avant Garde" w:hAnsi="ITC Avant Garde"/>
                <w:b/>
                <w:color w:val="FFFFFF"/>
                <w:sz w:val="16"/>
                <w:szCs w:val="16"/>
                <w:lang w:val="es-MX"/>
              </w:rPr>
            </w:pPr>
            <w:r w:rsidRPr="00E14D8A">
              <w:rPr>
                <w:rFonts w:ascii="ITC Avant Garde" w:hAnsi="ITC Avant Garde"/>
                <w:b/>
                <w:color w:val="FFFFFF"/>
                <w:sz w:val="16"/>
                <w:szCs w:val="16"/>
                <w:lang w:val="es-MX"/>
              </w:rPr>
              <w:t>Servicios</w:t>
            </w:r>
          </w:p>
        </w:tc>
      </w:tr>
      <w:tr w:rsidR="00130FCB" w:rsidRPr="00FF2101" w14:paraId="19FF7D11" w14:textId="77777777" w:rsidTr="003008BC">
        <w:trPr>
          <w:cantSplit/>
        </w:trPr>
        <w:tc>
          <w:tcPr>
            <w:tcW w:w="2263" w:type="dxa"/>
            <w:vMerge w:val="restart"/>
            <w:shd w:val="clear" w:color="auto" w:fill="auto"/>
            <w:vAlign w:val="center"/>
          </w:tcPr>
          <w:p w14:paraId="222EB0D3" w14:textId="77777777" w:rsidR="00130FCB" w:rsidRPr="004C1A96" w:rsidRDefault="00130FCB" w:rsidP="003008BC">
            <w:pPr>
              <w:ind w:left="22"/>
              <w:jc w:val="left"/>
              <w:rPr>
                <w:rFonts w:ascii="ITC Avant Garde" w:hAnsi="ITC Avant Garde"/>
                <w:sz w:val="16"/>
                <w:szCs w:val="16"/>
                <w:lang w:val="es-MX"/>
              </w:rPr>
            </w:pPr>
            <w:r w:rsidRPr="004C1A96">
              <w:rPr>
                <w:rFonts w:ascii="ITC Avant Garde" w:hAnsi="ITC Avant Garde"/>
                <w:sz w:val="16"/>
                <w:szCs w:val="16"/>
                <w:lang w:val="es-MX"/>
              </w:rPr>
              <w:t>Actividades de Apoyo</w:t>
            </w:r>
          </w:p>
        </w:tc>
        <w:tc>
          <w:tcPr>
            <w:tcW w:w="6230" w:type="dxa"/>
            <w:shd w:val="clear" w:color="auto" w:fill="auto"/>
          </w:tcPr>
          <w:p w14:paraId="74425AA0" w14:textId="77777777" w:rsidR="00130FCB" w:rsidRPr="00E14D8A" w:rsidRDefault="00130FCB" w:rsidP="003008BC">
            <w:pPr>
              <w:ind w:left="360" w:hanging="360"/>
              <w:jc w:val="left"/>
              <w:rPr>
                <w:rFonts w:ascii="ITC Avant Garde" w:hAnsi="ITC Avant Garde"/>
                <w:sz w:val="16"/>
                <w:szCs w:val="16"/>
                <w:lang w:val="es-MX"/>
              </w:rPr>
            </w:pPr>
            <w:r w:rsidRPr="00E14D8A">
              <w:rPr>
                <w:rFonts w:ascii="ITC Avant Garde" w:hAnsi="ITC Avant Garde"/>
                <w:sz w:val="16"/>
                <w:szCs w:val="16"/>
                <w:lang w:val="es-MX"/>
              </w:rPr>
              <w:t>Tipo de Visita Técnica</w:t>
            </w:r>
          </w:p>
          <w:p w14:paraId="309BB35F" w14:textId="77777777" w:rsidR="00130FCB" w:rsidRPr="00E14D8A" w:rsidRDefault="00130FCB" w:rsidP="00556A48">
            <w:pPr>
              <w:pStyle w:val="Prrafodelista"/>
              <w:numPr>
                <w:ilvl w:val="0"/>
                <w:numId w:val="12"/>
              </w:numPr>
              <w:jc w:val="left"/>
              <w:rPr>
                <w:rFonts w:ascii="ITC Avant Garde" w:hAnsi="ITC Avant Garde"/>
                <w:sz w:val="16"/>
                <w:szCs w:val="16"/>
                <w:lang w:val="es-MX"/>
              </w:rPr>
            </w:pPr>
            <w:r w:rsidRPr="00E14D8A">
              <w:rPr>
                <w:rFonts w:ascii="ITC Avant Garde" w:hAnsi="ITC Avant Garde"/>
                <w:sz w:val="16"/>
                <w:szCs w:val="16"/>
                <w:lang w:val="es-MX"/>
              </w:rPr>
              <w:t>Para Postes (por km)</w:t>
            </w:r>
          </w:p>
          <w:p w14:paraId="603D181B" w14:textId="77777777" w:rsidR="00130FCB" w:rsidRPr="00E14D8A" w:rsidRDefault="00130FCB" w:rsidP="00556A48">
            <w:pPr>
              <w:pStyle w:val="Prrafodelista"/>
              <w:numPr>
                <w:ilvl w:val="0"/>
                <w:numId w:val="12"/>
              </w:numPr>
              <w:jc w:val="left"/>
              <w:rPr>
                <w:rFonts w:ascii="ITC Avant Garde" w:hAnsi="ITC Avant Garde"/>
                <w:sz w:val="16"/>
                <w:szCs w:val="16"/>
                <w:lang w:val="es-MX"/>
              </w:rPr>
            </w:pPr>
            <w:r w:rsidRPr="00E14D8A">
              <w:rPr>
                <w:rFonts w:ascii="ITC Avant Garde" w:hAnsi="ITC Avant Garde"/>
                <w:sz w:val="16"/>
                <w:szCs w:val="16"/>
                <w:lang w:val="es-MX"/>
              </w:rPr>
              <w:t>Para Pozos y Canalizaciones (por km)</w:t>
            </w:r>
          </w:p>
          <w:p w14:paraId="22D2A06C" w14:textId="77777777" w:rsidR="00130FCB" w:rsidRPr="004C1A96" w:rsidRDefault="00130FCB" w:rsidP="00556A48">
            <w:pPr>
              <w:pStyle w:val="Prrafodelista"/>
              <w:numPr>
                <w:ilvl w:val="0"/>
                <w:numId w:val="12"/>
              </w:numPr>
              <w:jc w:val="left"/>
              <w:rPr>
                <w:rFonts w:ascii="ITC Avant Garde" w:hAnsi="ITC Avant Garde"/>
                <w:sz w:val="16"/>
                <w:szCs w:val="16"/>
                <w:lang w:val="es-MX"/>
              </w:rPr>
            </w:pPr>
            <w:r w:rsidRPr="004C1A96">
              <w:rPr>
                <w:rFonts w:ascii="ITC Avant Garde" w:hAnsi="ITC Avant Garde"/>
                <w:sz w:val="16"/>
                <w:szCs w:val="16"/>
                <w:lang w:val="es-MX"/>
              </w:rPr>
              <w:t>Para el servicio de Torres (por torre)</w:t>
            </w:r>
          </w:p>
          <w:p w14:paraId="05611632" w14:textId="77777777" w:rsidR="00130FCB" w:rsidRPr="004C1A96" w:rsidRDefault="00130FCB" w:rsidP="00556A48">
            <w:pPr>
              <w:pStyle w:val="Prrafodelista"/>
              <w:numPr>
                <w:ilvl w:val="0"/>
                <w:numId w:val="12"/>
              </w:numPr>
              <w:jc w:val="left"/>
              <w:rPr>
                <w:rFonts w:ascii="ITC Avant Garde" w:hAnsi="ITC Avant Garde"/>
                <w:sz w:val="16"/>
                <w:szCs w:val="16"/>
                <w:lang w:val="es-MX"/>
              </w:rPr>
            </w:pPr>
            <w:r w:rsidRPr="004C1A96">
              <w:rPr>
                <w:rFonts w:ascii="ITC Avant Garde" w:hAnsi="ITC Avant Garde"/>
                <w:sz w:val="16"/>
                <w:szCs w:val="16"/>
                <w:lang w:val="es-MX"/>
              </w:rPr>
              <w:t>Para Sitios, Predios y Espacios Físicos (por predio)</w:t>
            </w:r>
          </w:p>
          <w:p w14:paraId="789D3029" w14:textId="77777777" w:rsidR="00130FCB" w:rsidRPr="004C1A96" w:rsidRDefault="00130FCB" w:rsidP="00556A48">
            <w:pPr>
              <w:pStyle w:val="Prrafodelista"/>
              <w:numPr>
                <w:ilvl w:val="0"/>
                <w:numId w:val="12"/>
              </w:numPr>
              <w:jc w:val="left"/>
              <w:rPr>
                <w:rFonts w:ascii="ITC Avant Garde" w:hAnsi="ITC Avant Garde"/>
                <w:sz w:val="16"/>
                <w:szCs w:val="16"/>
                <w:lang w:val="es-MX"/>
              </w:rPr>
            </w:pPr>
            <w:r w:rsidRPr="004C1A96">
              <w:rPr>
                <w:rFonts w:ascii="ITC Avant Garde" w:hAnsi="ITC Avant Garde"/>
                <w:sz w:val="16"/>
                <w:szCs w:val="16"/>
                <w:lang w:val="es-MX"/>
              </w:rPr>
              <w:t>Para Tendido de Cable sobre Infraestructura Desagregada (por evento)</w:t>
            </w:r>
          </w:p>
          <w:p w14:paraId="414D9758" w14:textId="77777777" w:rsidR="00130FCB" w:rsidRPr="004C1A96" w:rsidRDefault="00130FCB" w:rsidP="00556A48">
            <w:pPr>
              <w:pStyle w:val="Prrafodelista"/>
              <w:numPr>
                <w:ilvl w:val="0"/>
                <w:numId w:val="12"/>
              </w:numPr>
              <w:jc w:val="left"/>
              <w:rPr>
                <w:rFonts w:ascii="ITC Avant Garde" w:hAnsi="ITC Avant Garde"/>
                <w:sz w:val="16"/>
                <w:szCs w:val="16"/>
                <w:lang w:val="es-MX"/>
              </w:rPr>
            </w:pPr>
            <w:r w:rsidRPr="004C1A96">
              <w:rPr>
                <w:rFonts w:ascii="ITC Avant Garde" w:hAnsi="ITC Avant Garde"/>
                <w:sz w:val="16"/>
                <w:szCs w:val="16"/>
                <w:lang w:val="es-MX"/>
              </w:rPr>
              <w:t>Apertura de pozo (por evento)</w:t>
            </w:r>
          </w:p>
          <w:p w14:paraId="58B3EDF3" w14:textId="77777777" w:rsidR="00130FCB" w:rsidRPr="004C1A96" w:rsidRDefault="00130FCB" w:rsidP="00556A48">
            <w:pPr>
              <w:pStyle w:val="Prrafodelista"/>
              <w:numPr>
                <w:ilvl w:val="0"/>
                <w:numId w:val="12"/>
              </w:numPr>
              <w:jc w:val="left"/>
              <w:rPr>
                <w:rFonts w:ascii="ITC Avant Garde" w:hAnsi="ITC Avant Garde"/>
                <w:sz w:val="16"/>
                <w:szCs w:val="16"/>
                <w:lang w:val="es-MX"/>
              </w:rPr>
            </w:pPr>
            <w:r w:rsidRPr="004C1A96">
              <w:rPr>
                <w:rFonts w:ascii="ITC Avant Garde" w:hAnsi="ITC Avant Garde"/>
                <w:sz w:val="16"/>
                <w:szCs w:val="16"/>
                <w:lang w:val="es-MX"/>
              </w:rPr>
              <w:t>Desazolve de pozo (por evento)</w:t>
            </w:r>
          </w:p>
          <w:p w14:paraId="09BC5B19" w14:textId="77777777" w:rsidR="00130FCB" w:rsidRPr="004C1A96" w:rsidRDefault="00130FCB" w:rsidP="00556A48">
            <w:pPr>
              <w:pStyle w:val="Prrafodelista"/>
              <w:numPr>
                <w:ilvl w:val="0"/>
                <w:numId w:val="12"/>
              </w:numPr>
              <w:jc w:val="left"/>
              <w:rPr>
                <w:rFonts w:ascii="ITC Avant Garde" w:hAnsi="ITC Avant Garde"/>
                <w:sz w:val="16"/>
                <w:szCs w:val="16"/>
                <w:lang w:val="es-MX"/>
              </w:rPr>
            </w:pPr>
            <w:r w:rsidRPr="004C1A96">
              <w:rPr>
                <w:rFonts w:ascii="ITC Avant Garde" w:hAnsi="ITC Avant Garde"/>
                <w:sz w:val="16"/>
                <w:szCs w:val="16"/>
                <w:lang w:val="es-MX"/>
              </w:rPr>
              <w:t>Desagüe de pozo (por evento)</w:t>
            </w:r>
          </w:p>
        </w:tc>
      </w:tr>
      <w:tr w:rsidR="00130FCB" w:rsidRPr="009F5AFF" w14:paraId="4A709C11" w14:textId="77777777" w:rsidTr="003008BC">
        <w:trPr>
          <w:cantSplit/>
        </w:trPr>
        <w:tc>
          <w:tcPr>
            <w:tcW w:w="2263" w:type="dxa"/>
            <w:vMerge/>
            <w:shd w:val="clear" w:color="auto" w:fill="auto"/>
            <w:vAlign w:val="center"/>
          </w:tcPr>
          <w:p w14:paraId="796DA461" w14:textId="77777777" w:rsidR="00130FCB" w:rsidRPr="004C1A96" w:rsidRDefault="00130FCB" w:rsidP="003008BC">
            <w:pPr>
              <w:ind w:left="22"/>
              <w:jc w:val="left"/>
              <w:rPr>
                <w:rFonts w:ascii="ITC Avant Garde" w:hAnsi="ITC Avant Garde"/>
                <w:sz w:val="16"/>
                <w:szCs w:val="16"/>
                <w:lang w:val="es-MX"/>
              </w:rPr>
            </w:pPr>
          </w:p>
        </w:tc>
        <w:tc>
          <w:tcPr>
            <w:tcW w:w="6230" w:type="dxa"/>
            <w:shd w:val="clear" w:color="auto" w:fill="auto"/>
          </w:tcPr>
          <w:p w14:paraId="7E4807B5" w14:textId="77777777" w:rsidR="00130FCB" w:rsidRPr="004C1A96" w:rsidRDefault="00130FCB" w:rsidP="003008BC">
            <w:pPr>
              <w:ind w:left="360" w:hanging="360"/>
              <w:jc w:val="left"/>
              <w:rPr>
                <w:rFonts w:ascii="ITC Avant Garde" w:hAnsi="ITC Avant Garde"/>
                <w:sz w:val="16"/>
                <w:szCs w:val="16"/>
                <w:lang w:val="es-MX"/>
              </w:rPr>
            </w:pPr>
            <w:r w:rsidRPr="004C1A96">
              <w:rPr>
                <w:rFonts w:ascii="ITC Avant Garde" w:hAnsi="ITC Avant Garde"/>
                <w:sz w:val="16"/>
                <w:szCs w:val="16"/>
                <w:lang w:val="es-MX"/>
              </w:rPr>
              <w:t>Tipo de análisis de factibilidad</w:t>
            </w:r>
          </w:p>
          <w:p w14:paraId="2C5CAF4E" w14:textId="77777777" w:rsidR="00130FCB" w:rsidRPr="004C1A96" w:rsidRDefault="00130FCB" w:rsidP="00556A48">
            <w:pPr>
              <w:pStyle w:val="Prrafodelista"/>
              <w:numPr>
                <w:ilvl w:val="0"/>
                <w:numId w:val="13"/>
              </w:numPr>
              <w:jc w:val="left"/>
              <w:rPr>
                <w:rFonts w:ascii="ITC Avant Garde" w:hAnsi="ITC Avant Garde"/>
                <w:sz w:val="16"/>
                <w:szCs w:val="16"/>
                <w:lang w:val="es-MX"/>
              </w:rPr>
            </w:pPr>
            <w:r w:rsidRPr="004C1A96">
              <w:rPr>
                <w:rFonts w:ascii="ITC Avant Garde" w:hAnsi="ITC Avant Garde"/>
                <w:sz w:val="16"/>
                <w:szCs w:val="16"/>
                <w:lang w:val="es-MX"/>
              </w:rPr>
              <w:t>Para la compartición de postes (por km)</w:t>
            </w:r>
          </w:p>
          <w:p w14:paraId="7ABE033F" w14:textId="77777777" w:rsidR="00130FCB" w:rsidRPr="004C1A96" w:rsidRDefault="00130FCB" w:rsidP="00556A48">
            <w:pPr>
              <w:pStyle w:val="Prrafodelista"/>
              <w:numPr>
                <w:ilvl w:val="0"/>
                <w:numId w:val="13"/>
              </w:numPr>
              <w:jc w:val="left"/>
              <w:rPr>
                <w:rFonts w:ascii="ITC Avant Garde" w:hAnsi="ITC Avant Garde"/>
                <w:sz w:val="16"/>
                <w:szCs w:val="16"/>
                <w:lang w:val="es-MX"/>
              </w:rPr>
            </w:pPr>
            <w:r w:rsidRPr="004C1A96">
              <w:rPr>
                <w:rFonts w:ascii="ITC Avant Garde" w:hAnsi="ITC Avant Garde"/>
                <w:sz w:val="16"/>
                <w:szCs w:val="16"/>
                <w:lang w:val="es-MX"/>
              </w:rPr>
              <w:t>Para la compartición de pozos, de ductos y canalizaciones (por km)</w:t>
            </w:r>
          </w:p>
          <w:p w14:paraId="668F85C4" w14:textId="77777777" w:rsidR="00130FCB" w:rsidRPr="004C1A96" w:rsidRDefault="00130FCB" w:rsidP="00556A48">
            <w:pPr>
              <w:pStyle w:val="Prrafodelista"/>
              <w:numPr>
                <w:ilvl w:val="0"/>
                <w:numId w:val="13"/>
              </w:numPr>
              <w:jc w:val="left"/>
              <w:rPr>
                <w:rFonts w:ascii="ITC Avant Garde" w:hAnsi="ITC Avant Garde"/>
                <w:sz w:val="16"/>
                <w:szCs w:val="16"/>
                <w:lang w:val="es-MX"/>
              </w:rPr>
            </w:pPr>
            <w:r w:rsidRPr="004C1A96">
              <w:rPr>
                <w:rFonts w:ascii="ITC Avant Garde" w:hAnsi="ITC Avant Garde"/>
                <w:sz w:val="16"/>
                <w:szCs w:val="16"/>
                <w:lang w:val="es-MX"/>
              </w:rPr>
              <w:t>Para la compartición de torres (por torre)</w:t>
            </w:r>
          </w:p>
          <w:p w14:paraId="2B0B900A" w14:textId="77777777" w:rsidR="00130FCB" w:rsidRPr="004C1A96" w:rsidRDefault="00130FCB" w:rsidP="00556A48">
            <w:pPr>
              <w:pStyle w:val="Prrafodelista"/>
              <w:numPr>
                <w:ilvl w:val="0"/>
                <w:numId w:val="13"/>
              </w:numPr>
              <w:jc w:val="left"/>
              <w:rPr>
                <w:rFonts w:ascii="ITC Avant Garde" w:hAnsi="ITC Avant Garde"/>
                <w:sz w:val="16"/>
                <w:szCs w:val="16"/>
                <w:lang w:val="es-MX"/>
              </w:rPr>
            </w:pPr>
            <w:r w:rsidRPr="004C1A96">
              <w:rPr>
                <w:rFonts w:ascii="ITC Avant Garde" w:hAnsi="ITC Avant Garde"/>
                <w:sz w:val="16"/>
                <w:szCs w:val="16"/>
                <w:lang w:val="es-MX"/>
              </w:rPr>
              <w:t>Construcción</w:t>
            </w:r>
            <w:r w:rsidR="00875932" w:rsidRPr="004C1A96">
              <w:rPr>
                <w:rFonts w:ascii="ITC Avant Garde" w:hAnsi="ITC Avant Garde"/>
                <w:sz w:val="16"/>
                <w:szCs w:val="16"/>
                <w:lang w:val="es-MX"/>
              </w:rPr>
              <w:t>/</w:t>
            </w:r>
            <w:r w:rsidRPr="004C1A96">
              <w:rPr>
                <w:rFonts w:ascii="ITC Avant Garde" w:hAnsi="ITC Avant Garde"/>
                <w:sz w:val="16"/>
                <w:szCs w:val="16"/>
                <w:lang w:val="es-MX"/>
              </w:rPr>
              <w:t>Adaptación (Compartición de Espacios) (por servicio)</w:t>
            </w:r>
          </w:p>
          <w:p w14:paraId="75A18F52" w14:textId="77777777" w:rsidR="00130FCB" w:rsidRPr="004C1A96" w:rsidRDefault="00130FCB" w:rsidP="00556A48">
            <w:pPr>
              <w:pStyle w:val="Prrafodelista"/>
              <w:numPr>
                <w:ilvl w:val="0"/>
                <w:numId w:val="13"/>
              </w:numPr>
              <w:jc w:val="left"/>
              <w:rPr>
                <w:rFonts w:ascii="ITC Avant Garde" w:hAnsi="ITC Avant Garde"/>
                <w:sz w:val="16"/>
                <w:szCs w:val="16"/>
                <w:lang w:val="es-MX"/>
              </w:rPr>
            </w:pPr>
            <w:r w:rsidRPr="004C1A96">
              <w:rPr>
                <w:rFonts w:ascii="ITC Avant Garde" w:hAnsi="ITC Avant Garde"/>
                <w:sz w:val="16"/>
                <w:szCs w:val="16"/>
                <w:lang w:val="es-MX"/>
              </w:rPr>
              <w:t>Infraestructura de Fuerza (por servicio)</w:t>
            </w:r>
          </w:p>
          <w:p w14:paraId="520425C3" w14:textId="77777777" w:rsidR="00130FCB" w:rsidRPr="004C1A96" w:rsidRDefault="00130FCB" w:rsidP="00556A48">
            <w:pPr>
              <w:pStyle w:val="Prrafodelista"/>
              <w:numPr>
                <w:ilvl w:val="0"/>
                <w:numId w:val="13"/>
              </w:numPr>
              <w:jc w:val="left"/>
              <w:rPr>
                <w:rFonts w:ascii="ITC Avant Garde" w:hAnsi="ITC Avant Garde"/>
                <w:sz w:val="16"/>
                <w:szCs w:val="16"/>
                <w:lang w:val="es-MX"/>
              </w:rPr>
            </w:pPr>
            <w:r w:rsidRPr="004C1A96">
              <w:rPr>
                <w:rFonts w:ascii="ITC Avant Garde" w:hAnsi="ITC Avant Garde"/>
                <w:sz w:val="16"/>
                <w:szCs w:val="16"/>
                <w:lang w:val="es-MX"/>
              </w:rPr>
              <w:t>Renta de Espacios Físicos (por servicio)</w:t>
            </w:r>
          </w:p>
          <w:p w14:paraId="0429961D" w14:textId="77777777" w:rsidR="00130FCB" w:rsidRPr="004C1A96" w:rsidRDefault="00130FCB" w:rsidP="00556A48">
            <w:pPr>
              <w:pStyle w:val="Prrafodelista"/>
              <w:numPr>
                <w:ilvl w:val="0"/>
                <w:numId w:val="13"/>
              </w:numPr>
              <w:jc w:val="left"/>
              <w:rPr>
                <w:rFonts w:ascii="ITC Avant Garde" w:hAnsi="ITC Avant Garde"/>
                <w:sz w:val="16"/>
                <w:szCs w:val="16"/>
                <w:lang w:val="es-MX"/>
              </w:rPr>
            </w:pPr>
            <w:r w:rsidRPr="004C1A96">
              <w:rPr>
                <w:rFonts w:ascii="ITC Avant Garde" w:hAnsi="ITC Avant Garde"/>
                <w:sz w:val="16"/>
                <w:szCs w:val="16"/>
                <w:lang w:val="es-MX"/>
              </w:rPr>
              <w:t>Renta de Predios (por servicio)</w:t>
            </w:r>
          </w:p>
        </w:tc>
      </w:tr>
      <w:tr w:rsidR="00130FCB" w:rsidRPr="004C1A96" w14:paraId="3582C687" w14:textId="77777777" w:rsidTr="003008BC">
        <w:trPr>
          <w:cantSplit/>
        </w:trPr>
        <w:tc>
          <w:tcPr>
            <w:tcW w:w="2263" w:type="dxa"/>
            <w:vMerge/>
            <w:shd w:val="clear" w:color="auto" w:fill="auto"/>
            <w:vAlign w:val="center"/>
          </w:tcPr>
          <w:p w14:paraId="5D202798" w14:textId="77777777" w:rsidR="00130FCB" w:rsidRPr="004C1A96" w:rsidRDefault="00130FCB" w:rsidP="003008BC">
            <w:pPr>
              <w:ind w:left="22"/>
              <w:jc w:val="left"/>
              <w:rPr>
                <w:rFonts w:ascii="ITC Avant Garde" w:hAnsi="ITC Avant Garde"/>
                <w:sz w:val="16"/>
                <w:szCs w:val="16"/>
                <w:lang w:val="es-MX"/>
              </w:rPr>
            </w:pPr>
          </w:p>
        </w:tc>
        <w:tc>
          <w:tcPr>
            <w:tcW w:w="6230" w:type="dxa"/>
            <w:shd w:val="clear" w:color="auto" w:fill="auto"/>
          </w:tcPr>
          <w:p w14:paraId="359BCFE1" w14:textId="77777777" w:rsidR="00130FCB" w:rsidRPr="004C1A96" w:rsidRDefault="009533FA" w:rsidP="003008BC">
            <w:pPr>
              <w:ind w:left="360" w:hanging="360"/>
              <w:jc w:val="left"/>
              <w:rPr>
                <w:rFonts w:ascii="ITC Avant Garde" w:hAnsi="ITC Avant Garde"/>
                <w:sz w:val="16"/>
                <w:szCs w:val="16"/>
                <w:lang w:val="es-MX"/>
              </w:rPr>
            </w:pPr>
            <w:r w:rsidRPr="004C1A96">
              <w:rPr>
                <w:rFonts w:ascii="ITC Avant Garde" w:hAnsi="ITC Avant Garde"/>
                <w:sz w:val="16"/>
                <w:szCs w:val="16"/>
                <w:lang w:val="es-MX"/>
              </w:rPr>
              <w:t>Verificación</w:t>
            </w:r>
            <w:r w:rsidR="00130FCB" w:rsidRPr="004C1A96">
              <w:rPr>
                <w:rFonts w:ascii="ITC Avant Garde" w:hAnsi="ITC Avant Garde"/>
                <w:sz w:val="16"/>
                <w:szCs w:val="16"/>
                <w:lang w:val="es-MX"/>
              </w:rPr>
              <w:t xml:space="preserve"> </w:t>
            </w:r>
          </w:p>
        </w:tc>
      </w:tr>
      <w:tr w:rsidR="003008BC" w:rsidRPr="004C1A96" w14:paraId="570AD7D6" w14:textId="77777777" w:rsidTr="003008BC">
        <w:trPr>
          <w:cantSplit/>
        </w:trPr>
        <w:tc>
          <w:tcPr>
            <w:tcW w:w="2263" w:type="dxa"/>
            <w:vMerge w:val="restart"/>
            <w:shd w:val="clear" w:color="auto" w:fill="auto"/>
            <w:vAlign w:val="center"/>
          </w:tcPr>
          <w:p w14:paraId="7506F012" w14:textId="77777777" w:rsidR="003008BC" w:rsidRPr="00E14D8A" w:rsidRDefault="003008BC" w:rsidP="003008BC">
            <w:pPr>
              <w:ind w:left="22"/>
              <w:jc w:val="left"/>
              <w:rPr>
                <w:rFonts w:ascii="ITC Avant Garde" w:hAnsi="ITC Avant Garde"/>
                <w:sz w:val="16"/>
                <w:szCs w:val="16"/>
                <w:lang w:val="es-MX"/>
              </w:rPr>
            </w:pPr>
            <w:r w:rsidRPr="004C1A96">
              <w:rPr>
                <w:rFonts w:ascii="ITC Avant Garde" w:hAnsi="ITC Avant Garde"/>
                <w:sz w:val="16"/>
                <w:szCs w:val="16"/>
                <w:lang w:val="es-MX"/>
              </w:rPr>
              <w:t xml:space="preserve">Cobros no recurrentes de la </w:t>
            </w:r>
            <w:r w:rsidR="009533FA" w:rsidRPr="00E14D8A">
              <w:rPr>
                <w:rFonts w:ascii="ITC Avant Garde" w:hAnsi="ITC Avant Garde"/>
                <w:sz w:val="16"/>
                <w:szCs w:val="16"/>
                <w:lang w:val="es-MX"/>
              </w:rPr>
              <w:t>desagregación</w:t>
            </w:r>
            <w:r w:rsidRPr="00E14D8A">
              <w:rPr>
                <w:rFonts w:ascii="ITC Avant Garde" w:hAnsi="ITC Avant Garde"/>
                <w:sz w:val="16"/>
                <w:szCs w:val="16"/>
                <w:lang w:val="es-MX"/>
              </w:rPr>
              <w:t xml:space="preserve"> del Bucle Local</w:t>
            </w:r>
          </w:p>
        </w:tc>
        <w:tc>
          <w:tcPr>
            <w:tcW w:w="6230" w:type="dxa"/>
            <w:shd w:val="clear" w:color="auto" w:fill="auto"/>
          </w:tcPr>
          <w:p w14:paraId="2634EA3C" w14:textId="77777777" w:rsidR="003008BC" w:rsidRPr="00E14D8A" w:rsidRDefault="003008BC" w:rsidP="003008BC">
            <w:pPr>
              <w:ind w:left="360" w:hanging="360"/>
              <w:jc w:val="left"/>
              <w:rPr>
                <w:rFonts w:ascii="ITC Avant Garde" w:hAnsi="ITC Avant Garde"/>
                <w:sz w:val="16"/>
                <w:szCs w:val="16"/>
                <w:lang w:val="es-MX"/>
              </w:rPr>
            </w:pPr>
            <w:r w:rsidRPr="00E14D8A">
              <w:rPr>
                <w:rFonts w:ascii="ITC Avant Garde" w:hAnsi="ITC Avant Garde"/>
                <w:sz w:val="16"/>
                <w:szCs w:val="16"/>
                <w:lang w:val="es-MX"/>
              </w:rPr>
              <w:t>Habilitación SDTBL (Full LLU)</w:t>
            </w:r>
          </w:p>
        </w:tc>
      </w:tr>
      <w:tr w:rsidR="003008BC" w:rsidRPr="004C1A96" w14:paraId="399C4EEB" w14:textId="77777777" w:rsidTr="003008BC">
        <w:trPr>
          <w:cantSplit/>
        </w:trPr>
        <w:tc>
          <w:tcPr>
            <w:tcW w:w="2263" w:type="dxa"/>
            <w:vMerge/>
            <w:shd w:val="clear" w:color="auto" w:fill="auto"/>
            <w:vAlign w:val="center"/>
          </w:tcPr>
          <w:p w14:paraId="560716FD" w14:textId="77777777" w:rsidR="003008BC" w:rsidRPr="004C1A96" w:rsidRDefault="003008BC" w:rsidP="003008BC">
            <w:pPr>
              <w:ind w:left="22"/>
              <w:jc w:val="left"/>
              <w:rPr>
                <w:rFonts w:ascii="ITC Avant Garde" w:hAnsi="ITC Avant Garde"/>
                <w:sz w:val="16"/>
                <w:szCs w:val="16"/>
                <w:lang w:val="es-MX"/>
              </w:rPr>
            </w:pPr>
          </w:p>
        </w:tc>
        <w:tc>
          <w:tcPr>
            <w:tcW w:w="6230" w:type="dxa"/>
            <w:shd w:val="clear" w:color="auto" w:fill="auto"/>
          </w:tcPr>
          <w:p w14:paraId="6909D77A" w14:textId="77777777" w:rsidR="003008BC" w:rsidRPr="004C1A96" w:rsidRDefault="003008BC" w:rsidP="003008BC">
            <w:pPr>
              <w:ind w:left="360" w:hanging="360"/>
              <w:jc w:val="left"/>
              <w:rPr>
                <w:rFonts w:ascii="ITC Avant Garde" w:hAnsi="ITC Avant Garde"/>
                <w:sz w:val="16"/>
                <w:szCs w:val="16"/>
                <w:lang w:val="es-MX"/>
              </w:rPr>
            </w:pPr>
            <w:r w:rsidRPr="004C1A96">
              <w:rPr>
                <w:rFonts w:ascii="ITC Avant Garde" w:hAnsi="ITC Avant Garde"/>
                <w:sz w:val="16"/>
                <w:szCs w:val="16"/>
                <w:lang w:val="es-MX"/>
              </w:rPr>
              <w:t>Habilitación SDTBSL (Full SLU)</w:t>
            </w:r>
          </w:p>
        </w:tc>
      </w:tr>
      <w:tr w:rsidR="003008BC" w:rsidRPr="004C1A96" w14:paraId="6873B574" w14:textId="77777777" w:rsidTr="003008BC">
        <w:trPr>
          <w:cantSplit/>
        </w:trPr>
        <w:tc>
          <w:tcPr>
            <w:tcW w:w="2263" w:type="dxa"/>
            <w:vMerge/>
            <w:shd w:val="clear" w:color="auto" w:fill="auto"/>
            <w:vAlign w:val="center"/>
          </w:tcPr>
          <w:p w14:paraId="3C8C60EB" w14:textId="77777777" w:rsidR="003008BC" w:rsidRPr="004C1A96" w:rsidRDefault="003008BC" w:rsidP="003008BC">
            <w:pPr>
              <w:ind w:left="22"/>
              <w:jc w:val="left"/>
              <w:rPr>
                <w:rFonts w:ascii="ITC Avant Garde" w:hAnsi="ITC Avant Garde"/>
                <w:sz w:val="16"/>
                <w:szCs w:val="16"/>
                <w:lang w:val="es-MX"/>
              </w:rPr>
            </w:pPr>
          </w:p>
        </w:tc>
        <w:tc>
          <w:tcPr>
            <w:tcW w:w="6230" w:type="dxa"/>
            <w:shd w:val="clear" w:color="auto" w:fill="auto"/>
          </w:tcPr>
          <w:p w14:paraId="706EDF26" w14:textId="77777777" w:rsidR="003008BC" w:rsidRPr="004C1A96" w:rsidRDefault="003008BC" w:rsidP="003008BC">
            <w:pPr>
              <w:ind w:left="360" w:hanging="360"/>
              <w:jc w:val="left"/>
              <w:rPr>
                <w:rFonts w:ascii="ITC Avant Garde" w:hAnsi="ITC Avant Garde"/>
                <w:sz w:val="16"/>
                <w:szCs w:val="16"/>
                <w:lang w:val="es-MX"/>
              </w:rPr>
            </w:pPr>
            <w:r w:rsidRPr="004C1A96">
              <w:rPr>
                <w:rFonts w:ascii="ITC Avant Garde" w:hAnsi="ITC Avant Garde"/>
                <w:sz w:val="16"/>
                <w:szCs w:val="16"/>
                <w:lang w:val="es-MX"/>
              </w:rPr>
              <w:t>Habilitación SDCBL (Shared LLU)</w:t>
            </w:r>
          </w:p>
        </w:tc>
      </w:tr>
      <w:tr w:rsidR="003008BC" w:rsidRPr="004C1A96" w14:paraId="108F9FC0" w14:textId="77777777" w:rsidTr="003008BC">
        <w:trPr>
          <w:cantSplit/>
        </w:trPr>
        <w:tc>
          <w:tcPr>
            <w:tcW w:w="2263" w:type="dxa"/>
            <w:vMerge/>
            <w:shd w:val="clear" w:color="auto" w:fill="auto"/>
            <w:vAlign w:val="center"/>
          </w:tcPr>
          <w:p w14:paraId="3A051EB3" w14:textId="77777777" w:rsidR="003008BC" w:rsidRPr="004C1A96" w:rsidRDefault="003008BC" w:rsidP="003008BC">
            <w:pPr>
              <w:ind w:left="22"/>
              <w:jc w:val="left"/>
              <w:rPr>
                <w:rFonts w:ascii="ITC Avant Garde" w:hAnsi="ITC Avant Garde"/>
                <w:sz w:val="16"/>
                <w:szCs w:val="16"/>
                <w:lang w:val="es-MX"/>
              </w:rPr>
            </w:pPr>
          </w:p>
        </w:tc>
        <w:tc>
          <w:tcPr>
            <w:tcW w:w="6230" w:type="dxa"/>
            <w:shd w:val="clear" w:color="auto" w:fill="auto"/>
          </w:tcPr>
          <w:p w14:paraId="717780A8" w14:textId="77777777" w:rsidR="003008BC" w:rsidRPr="004C1A96" w:rsidRDefault="003008BC" w:rsidP="003008BC">
            <w:pPr>
              <w:ind w:left="360" w:hanging="360"/>
              <w:jc w:val="left"/>
              <w:rPr>
                <w:rFonts w:ascii="ITC Avant Garde" w:hAnsi="ITC Avant Garde"/>
                <w:sz w:val="16"/>
                <w:szCs w:val="16"/>
                <w:lang w:val="es-MX"/>
              </w:rPr>
            </w:pPr>
            <w:r w:rsidRPr="004C1A96">
              <w:rPr>
                <w:rFonts w:ascii="ITC Avant Garde" w:hAnsi="ITC Avant Garde"/>
                <w:sz w:val="16"/>
                <w:szCs w:val="16"/>
                <w:lang w:val="es-MX"/>
              </w:rPr>
              <w:t>Habilitación SDCBSL (Shared SLU)</w:t>
            </w:r>
          </w:p>
        </w:tc>
      </w:tr>
      <w:tr w:rsidR="00A347F0" w:rsidRPr="009F5AFF" w14:paraId="1B2F7A9E" w14:textId="77777777" w:rsidTr="003008BC">
        <w:trPr>
          <w:cantSplit/>
        </w:trPr>
        <w:tc>
          <w:tcPr>
            <w:tcW w:w="2263" w:type="dxa"/>
            <w:vMerge w:val="restart"/>
            <w:shd w:val="clear" w:color="auto" w:fill="auto"/>
            <w:vAlign w:val="center"/>
          </w:tcPr>
          <w:p w14:paraId="70F03FD2" w14:textId="28E3ED99" w:rsidR="00A347F0" w:rsidRPr="00E14D8A" w:rsidRDefault="003008BC" w:rsidP="00A33E24">
            <w:pPr>
              <w:ind w:left="22"/>
              <w:jc w:val="left"/>
              <w:rPr>
                <w:rFonts w:ascii="ITC Avant Garde" w:hAnsi="ITC Avant Garde"/>
                <w:sz w:val="16"/>
                <w:szCs w:val="16"/>
                <w:lang w:val="es-MX"/>
              </w:rPr>
            </w:pPr>
            <w:r w:rsidRPr="004C1A96">
              <w:rPr>
                <w:rFonts w:ascii="ITC Avant Garde" w:hAnsi="ITC Avant Garde"/>
                <w:sz w:val="16"/>
                <w:szCs w:val="16"/>
                <w:lang w:val="es-MX"/>
              </w:rPr>
              <w:t>Servicio Auxiliar de Cableado Multipar y Cableado del DFO de</w:t>
            </w:r>
            <w:r w:rsidR="00A33E24">
              <w:rPr>
                <w:rFonts w:ascii="ITC Avant Garde" w:hAnsi="ITC Avant Garde"/>
                <w:sz w:val="16"/>
                <w:szCs w:val="16"/>
                <w:lang w:val="es-MX"/>
              </w:rPr>
              <w:t xml:space="preserve">l AEP </w:t>
            </w:r>
            <w:r w:rsidRPr="004C1A96">
              <w:rPr>
                <w:rFonts w:ascii="ITC Avant Garde" w:hAnsi="ITC Avant Garde"/>
                <w:sz w:val="16"/>
                <w:szCs w:val="16"/>
                <w:lang w:val="es-MX"/>
              </w:rPr>
              <w:t>al DFO del CS</w:t>
            </w:r>
          </w:p>
        </w:tc>
        <w:tc>
          <w:tcPr>
            <w:tcW w:w="6230" w:type="dxa"/>
            <w:shd w:val="clear" w:color="auto" w:fill="auto"/>
          </w:tcPr>
          <w:p w14:paraId="4BCD4889" w14:textId="77777777" w:rsidR="003008BC" w:rsidRPr="00E14D8A" w:rsidRDefault="003008BC" w:rsidP="003008BC">
            <w:pPr>
              <w:ind w:left="360" w:hanging="360"/>
              <w:jc w:val="left"/>
              <w:rPr>
                <w:rFonts w:ascii="ITC Avant Garde" w:hAnsi="ITC Avant Garde"/>
                <w:sz w:val="16"/>
                <w:szCs w:val="16"/>
                <w:lang w:val="es-MX"/>
              </w:rPr>
            </w:pPr>
            <w:r w:rsidRPr="00E14D8A">
              <w:rPr>
                <w:rFonts w:ascii="ITC Avant Garde" w:hAnsi="ITC Avant Garde"/>
                <w:sz w:val="16"/>
                <w:szCs w:val="16"/>
                <w:lang w:val="es-MX"/>
              </w:rPr>
              <w:t>Concepto</w:t>
            </w:r>
          </w:p>
          <w:p w14:paraId="1D648351" w14:textId="77777777" w:rsidR="003008BC" w:rsidRPr="00E14D8A" w:rsidRDefault="003008BC" w:rsidP="00556A48">
            <w:pPr>
              <w:pStyle w:val="Prrafodelista"/>
              <w:numPr>
                <w:ilvl w:val="0"/>
                <w:numId w:val="16"/>
              </w:numPr>
              <w:jc w:val="left"/>
              <w:rPr>
                <w:rFonts w:ascii="ITC Avant Garde" w:hAnsi="ITC Avant Garde"/>
                <w:sz w:val="16"/>
                <w:szCs w:val="16"/>
                <w:lang w:val="es-MX"/>
              </w:rPr>
            </w:pPr>
            <w:r w:rsidRPr="00E14D8A">
              <w:rPr>
                <w:rFonts w:ascii="ITC Avant Garde" w:hAnsi="ITC Avant Garde"/>
                <w:sz w:val="16"/>
                <w:szCs w:val="16"/>
                <w:lang w:val="es-MX"/>
              </w:rPr>
              <w:t>Tablilla de 64 puertos y Módulo Splitter VDSL 2</w:t>
            </w:r>
          </w:p>
          <w:p w14:paraId="340E8235" w14:textId="77777777" w:rsidR="003008BC" w:rsidRPr="004C1A96" w:rsidRDefault="003008BC" w:rsidP="00556A48">
            <w:pPr>
              <w:pStyle w:val="Prrafodelista"/>
              <w:numPr>
                <w:ilvl w:val="0"/>
                <w:numId w:val="16"/>
              </w:numPr>
              <w:jc w:val="left"/>
              <w:rPr>
                <w:rFonts w:ascii="ITC Avant Garde" w:hAnsi="ITC Avant Garde"/>
                <w:sz w:val="16"/>
                <w:szCs w:val="16"/>
                <w:lang w:val="es-MX"/>
              </w:rPr>
            </w:pPr>
            <w:r w:rsidRPr="004C1A96">
              <w:rPr>
                <w:rFonts w:ascii="ITC Avant Garde" w:hAnsi="ITC Avant Garde"/>
                <w:sz w:val="16"/>
                <w:szCs w:val="16"/>
                <w:lang w:val="es-MX"/>
              </w:rPr>
              <w:t>Escalerilla de aluminio de 6 "a 8" para cableado UTP Y</w:t>
            </w:r>
            <w:r w:rsidR="00875932" w:rsidRPr="004C1A96">
              <w:rPr>
                <w:rFonts w:ascii="ITC Avant Garde" w:hAnsi="ITC Avant Garde"/>
                <w:sz w:val="16"/>
                <w:szCs w:val="16"/>
                <w:lang w:val="es-MX"/>
              </w:rPr>
              <w:t>/</w:t>
            </w:r>
            <w:r w:rsidRPr="004C1A96">
              <w:rPr>
                <w:rFonts w:ascii="ITC Avant Garde" w:hAnsi="ITC Avant Garde"/>
                <w:sz w:val="16"/>
                <w:szCs w:val="16"/>
                <w:lang w:val="es-MX"/>
              </w:rPr>
              <w:t>O COAXIAL (por metro lineal)</w:t>
            </w:r>
          </w:p>
          <w:p w14:paraId="2BA6058B" w14:textId="77777777" w:rsidR="00A347F0" w:rsidRPr="004C1A96" w:rsidRDefault="003008BC" w:rsidP="00556A48">
            <w:pPr>
              <w:pStyle w:val="Prrafodelista"/>
              <w:numPr>
                <w:ilvl w:val="0"/>
                <w:numId w:val="16"/>
              </w:numPr>
              <w:jc w:val="left"/>
              <w:rPr>
                <w:rFonts w:ascii="ITC Avant Garde" w:hAnsi="ITC Avant Garde"/>
                <w:sz w:val="16"/>
                <w:szCs w:val="16"/>
                <w:lang w:val="es-MX"/>
              </w:rPr>
            </w:pPr>
            <w:r w:rsidRPr="004C1A96">
              <w:rPr>
                <w:rFonts w:ascii="ITC Avant Garde" w:hAnsi="ITC Avant Garde"/>
                <w:sz w:val="16"/>
                <w:szCs w:val="16"/>
                <w:lang w:val="es-MX"/>
              </w:rPr>
              <w:t>Cableado Multipar de 70 pares con Blindaje y Estañado de Línea (por metro lineal)</w:t>
            </w:r>
          </w:p>
        </w:tc>
      </w:tr>
      <w:tr w:rsidR="00A347F0" w:rsidRPr="009F5AFF" w14:paraId="507F0DFD" w14:textId="77777777" w:rsidTr="003008BC">
        <w:trPr>
          <w:cantSplit/>
        </w:trPr>
        <w:tc>
          <w:tcPr>
            <w:tcW w:w="2263" w:type="dxa"/>
            <w:vMerge/>
            <w:shd w:val="clear" w:color="auto" w:fill="auto"/>
            <w:vAlign w:val="center"/>
          </w:tcPr>
          <w:p w14:paraId="077FC011" w14:textId="77777777" w:rsidR="00A347F0" w:rsidRPr="004C1A96" w:rsidRDefault="00A347F0" w:rsidP="003008BC">
            <w:pPr>
              <w:ind w:left="22"/>
              <w:jc w:val="left"/>
              <w:rPr>
                <w:rFonts w:ascii="ITC Avant Garde" w:hAnsi="ITC Avant Garde"/>
                <w:sz w:val="16"/>
                <w:szCs w:val="16"/>
                <w:lang w:val="es-MX"/>
              </w:rPr>
            </w:pPr>
          </w:p>
        </w:tc>
        <w:tc>
          <w:tcPr>
            <w:tcW w:w="6230" w:type="dxa"/>
            <w:shd w:val="clear" w:color="auto" w:fill="auto"/>
          </w:tcPr>
          <w:p w14:paraId="4AF7F649" w14:textId="77777777" w:rsidR="003008BC" w:rsidRPr="004C1A96" w:rsidRDefault="003008BC" w:rsidP="003008BC">
            <w:pPr>
              <w:jc w:val="left"/>
              <w:rPr>
                <w:rFonts w:ascii="ITC Avant Garde" w:hAnsi="ITC Avant Garde"/>
                <w:sz w:val="16"/>
                <w:szCs w:val="16"/>
                <w:lang w:val="es-MX"/>
              </w:rPr>
            </w:pPr>
            <w:r w:rsidRPr="004C1A96">
              <w:rPr>
                <w:rFonts w:ascii="ITC Avant Garde" w:hAnsi="ITC Avant Garde"/>
                <w:sz w:val="16"/>
                <w:szCs w:val="16"/>
                <w:lang w:val="es-MX"/>
              </w:rPr>
              <w:t>Gastos de instalación</w:t>
            </w:r>
          </w:p>
          <w:p w14:paraId="25B02B82" w14:textId="77777777" w:rsidR="003008BC" w:rsidRPr="004C1A96" w:rsidRDefault="003008BC" w:rsidP="00556A48">
            <w:pPr>
              <w:pStyle w:val="Prrafodelista"/>
              <w:numPr>
                <w:ilvl w:val="0"/>
                <w:numId w:val="15"/>
              </w:numPr>
              <w:jc w:val="left"/>
              <w:rPr>
                <w:rFonts w:ascii="ITC Avant Garde" w:hAnsi="ITC Avant Garde"/>
                <w:sz w:val="16"/>
                <w:szCs w:val="16"/>
                <w:lang w:val="es-MX"/>
              </w:rPr>
            </w:pPr>
            <w:r w:rsidRPr="004C1A96">
              <w:rPr>
                <w:rFonts w:ascii="ITC Avant Garde" w:hAnsi="ITC Avant Garde"/>
                <w:sz w:val="16"/>
                <w:szCs w:val="16"/>
                <w:lang w:val="es-MX"/>
              </w:rPr>
              <w:t>Despliegue por metro lineal</w:t>
            </w:r>
          </w:p>
          <w:p w14:paraId="7281DDA9" w14:textId="77777777" w:rsidR="003008BC" w:rsidRPr="004C1A96" w:rsidRDefault="003008BC" w:rsidP="00556A48">
            <w:pPr>
              <w:pStyle w:val="Prrafodelista"/>
              <w:numPr>
                <w:ilvl w:val="0"/>
                <w:numId w:val="15"/>
              </w:numPr>
              <w:jc w:val="left"/>
              <w:rPr>
                <w:rFonts w:ascii="ITC Avant Garde" w:hAnsi="ITC Avant Garde"/>
                <w:sz w:val="16"/>
                <w:szCs w:val="16"/>
                <w:lang w:val="es-MX"/>
              </w:rPr>
            </w:pPr>
            <w:r w:rsidRPr="004C1A96">
              <w:rPr>
                <w:rFonts w:ascii="ITC Avant Garde" w:hAnsi="ITC Avant Garde"/>
                <w:sz w:val="16"/>
                <w:szCs w:val="16"/>
                <w:lang w:val="es-MX"/>
              </w:rPr>
              <w:t>Construcción de escalerilla por metro lineal</w:t>
            </w:r>
          </w:p>
          <w:p w14:paraId="7B218883" w14:textId="77777777" w:rsidR="00A347F0" w:rsidRPr="004C1A96" w:rsidRDefault="003008BC" w:rsidP="00556A48">
            <w:pPr>
              <w:pStyle w:val="Prrafodelista"/>
              <w:numPr>
                <w:ilvl w:val="0"/>
                <w:numId w:val="15"/>
              </w:numPr>
              <w:jc w:val="left"/>
              <w:rPr>
                <w:rFonts w:ascii="ITC Avant Garde" w:hAnsi="ITC Avant Garde"/>
                <w:sz w:val="16"/>
                <w:szCs w:val="16"/>
                <w:lang w:val="es-MX"/>
              </w:rPr>
            </w:pPr>
            <w:r w:rsidRPr="004C1A96">
              <w:rPr>
                <w:rFonts w:ascii="ITC Avant Garde" w:hAnsi="ITC Avant Garde"/>
                <w:sz w:val="16"/>
                <w:szCs w:val="16"/>
                <w:lang w:val="es-MX"/>
              </w:rPr>
              <w:t>Escalerilla y fibra por metro lineal</w:t>
            </w:r>
          </w:p>
        </w:tc>
      </w:tr>
      <w:tr w:rsidR="00A347F0" w:rsidRPr="009F5AFF" w14:paraId="4F9738A0" w14:textId="77777777" w:rsidTr="003008BC">
        <w:trPr>
          <w:cantSplit/>
        </w:trPr>
        <w:tc>
          <w:tcPr>
            <w:tcW w:w="2263" w:type="dxa"/>
            <w:vMerge/>
            <w:shd w:val="clear" w:color="auto" w:fill="auto"/>
            <w:vAlign w:val="center"/>
          </w:tcPr>
          <w:p w14:paraId="35487B40" w14:textId="77777777" w:rsidR="00A347F0" w:rsidRPr="004C1A96" w:rsidRDefault="00A347F0" w:rsidP="003008BC">
            <w:pPr>
              <w:ind w:left="22"/>
              <w:jc w:val="left"/>
              <w:rPr>
                <w:rFonts w:ascii="ITC Avant Garde" w:hAnsi="ITC Avant Garde"/>
                <w:sz w:val="16"/>
                <w:szCs w:val="16"/>
                <w:lang w:val="es-MX"/>
              </w:rPr>
            </w:pPr>
          </w:p>
        </w:tc>
        <w:tc>
          <w:tcPr>
            <w:tcW w:w="6230" w:type="dxa"/>
            <w:shd w:val="clear" w:color="auto" w:fill="auto"/>
          </w:tcPr>
          <w:p w14:paraId="38AD2602" w14:textId="77777777" w:rsidR="003008BC" w:rsidRPr="004C1A96" w:rsidRDefault="003008BC" w:rsidP="003008BC">
            <w:pPr>
              <w:jc w:val="left"/>
              <w:rPr>
                <w:rFonts w:ascii="ITC Avant Garde" w:hAnsi="ITC Avant Garde"/>
                <w:sz w:val="16"/>
                <w:szCs w:val="16"/>
                <w:lang w:val="es-MX"/>
              </w:rPr>
            </w:pPr>
            <w:r w:rsidRPr="004C1A96">
              <w:rPr>
                <w:rFonts w:ascii="ITC Avant Garde" w:hAnsi="ITC Avant Garde"/>
                <w:sz w:val="16"/>
                <w:szCs w:val="16"/>
                <w:lang w:val="es-MX"/>
              </w:rPr>
              <w:t>Servicio de Anexo de Caja de Distribución</w:t>
            </w:r>
          </w:p>
          <w:p w14:paraId="6597F9CF" w14:textId="77777777" w:rsidR="003008BC" w:rsidRPr="004C1A96" w:rsidRDefault="003008BC" w:rsidP="00556A48">
            <w:pPr>
              <w:pStyle w:val="Prrafodelista"/>
              <w:numPr>
                <w:ilvl w:val="0"/>
                <w:numId w:val="14"/>
              </w:numPr>
              <w:jc w:val="left"/>
              <w:rPr>
                <w:rFonts w:ascii="ITC Avant Garde" w:hAnsi="ITC Avant Garde"/>
                <w:sz w:val="16"/>
                <w:szCs w:val="16"/>
                <w:lang w:val="es-MX"/>
              </w:rPr>
            </w:pPr>
            <w:r w:rsidRPr="004C1A96">
              <w:rPr>
                <w:rFonts w:ascii="ITC Avant Garde" w:hAnsi="ITC Avant Garde"/>
                <w:sz w:val="16"/>
                <w:szCs w:val="16"/>
                <w:lang w:val="es-MX"/>
              </w:rPr>
              <w:t>Instalación de Anexo de Caja de Distribución * (Incluye el costo de instalación para el Anexo de Caja de Distribución y el Cableado Multipar asociado)</w:t>
            </w:r>
          </w:p>
          <w:p w14:paraId="1257674C" w14:textId="77777777" w:rsidR="003008BC" w:rsidRPr="004C1A96" w:rsidRDefault="003008BC" w:rsidP="00556A48">
            <w:pPr>
              <w:pStyle w:val="Prrafodelista"/>
              <w:numPr>
                <w:ilvl w:val="0"/>
                <w:numId w:val="14"/>
              </w:numPr>
              <w:jc w:val="left"/>
              <w:rPr>
                <w:rFonts w:ascii="ITC Avant Garde" w:hAnsi="ITC Avant Garde"/>
                <w:sz w:val="16"/>
                <w:szCs w:val="16"/>
                <w:lang w:val="es-MX"/>
              </w:rPr>
            </w:pPr>
            <w:r w:rsidRPr="004C1A96">
              <w:rPr>
                <w:rFonts w:ascii="ITC Avant Garde" w:hAnsi="ITC Avant Garde"/>
                <w:sz w:val="16"/>
                <w:szCs w:val="16"/>
                <w:lang w:val="es-MX"/>
              </w:rPr>
              <w:t xml:space="preserve">Tablilla de 100 </w:t>
            </w:r>
            <w:r w:rsidR="00F2544C" w:rsidRPr="004C1A96">
              <w:rPr>
                <w:rFonts w:ascii="ITC Avant Garde" w:hAnsi="ITC Avant Garde"/>
                <w:sz w:val="16"/>
                <w:szCs w:val="16"/>
                <w:lang w:val="es-MX"/>
              </w:rPr>
              <w:t>usuarios</w:t>
            </w:r>
          </w:p>
          <w:p w14:paraId="3E229411" w14:textId="77777777" w:rsidR="00A347F0" w:rsidRPr="004C1A96" w:rsidRDefault="003008BC" w:rsidP="00556A48">
            <w:pPr>
              <w:pStyle w:val="Prrafodelista"/>
              <w:numPr>
                <w:ilvl w:val="0"/>
                <w:numId w:val="14"/>
              </w:numPr>
              <w:jc w:val="left"/>
              <w:rPr>
                <w:rFonts w:ascii="ITC Avant Garde" w:hAnsi="ITC Avant Garde"/>
                <w:sz w:val="16"/>
                <w:szCs w:val="16"/>
                <w:lang w:val="es-MX"/>
              </w:rPr>
            </w:pPr>
            <w:r w:rsidRPr="004C1A96">
              <w:rPr>
                <w:rFonts w:ascii="ITC Avant Garde" w:hAnsi="ITC Avant Garde"/>
                <w:sz w:val="16"/>
                <w:szCs w:val="16"/>
                <w:lang w:val="es-MX"/>
              </w:rPr>
              <w:t>Renta anual por el Anexo a Caja de Distribución</w:t>
            </w:r>
          </w:p>
        </w:tc>
      </w:tr>
    </w:tbl>
    <w:p w14:paraId="776433E7" w14:textId="77777777" w:rsidR="00A347F0" w:rsidRPr="004C1A96" w:rsidRDefault="00A347F0" w:rsidP="00A347F0">
      <w:pPr>
        <w:ind w:right="565"/>
        <w:rPr>
          <w:rFonts w:ascii="ITC Avant Garde" w:hAnsi="ITC Avant Garde"/>
          <w:i/>
          <w:lang w:val="es-MX"/>
        </w:rPr>
      </w:pPr>
    </w:p>
    <w:p w14:paraId="5A2826B1" w14:textId="77777777" w:rsidR="00DE7A5B" w:rsidRPr="004C1A96" w:rsidRDefault="00DE7A5B" w:rsidP="00DE7A5B">
      <w:pPr>
        <w:pStyle w:val="Encadr3"/>
        <w:rPr>
          <w:rFonts w:ascii="ITC Avant Garde" w:hAnsi="ITC Avant Garde"/>
          <w:lang w:val="es-MX"/>
        </w:rPr>
      </w:pPr>
      <w:r w:rsidRPr="00E14D8A">
        <w:rPr>
          <w:rFonts w:ascii="ITC Avant Garde" w:hAnsi="ITC Avant Garde"/>
          <w:lang w:val="es-MX"/>
        </w:rPr>
        <w:t>Criterio 5: El modelo debe poder</w:t>
      </w:r>
      <w:r w:rsidR="00FB771A" w:rsidRPr="00E14D8A">
        <w:rPr>
          <w:rFonts w:ascii="ITC Avant Garde" w:hAnsi="ITC Avant Garde"/>
          <w:lang w:val="es-MX"/>
        </w:rPr>
        <w:t xml:space="preserve"> calcular</w:t>
      </w:r>
      <w:r w:rsidRPr="004C1A96">
        <w:rPr>
          <w:rFonts w:ascii="ITC Avant Garde" w:hAnsi="ITC Avant Garde"/>
          <w:lang w:val="es-MX"/>
        </w:rPr>
        <w:t xml:space="preserve"> </w:t>
      </w:r>
      <w:r w:rsidR="003008BC" w:rsidRPr="004C1A96">
        <w:rPr>
          <w:rFonts w:ascii="ITC Avant Garde" w:hAnsi="ITC Avant Garde"/>
          <w:lang w:val="es-MX"/>
        </w:rPr>
        <w:t>los</w:t>
      </w:r>
      <w:r w:rsidRPr="004C1A96">
        <w:rPr>
          <w:rFonts w:ascii="ITC Avant Garde" w:hAnsi="ITC Avant Garde"/>
          <w:lang w:val="es-MX"/>
        </w:rPr>
        <w:t xml:space="preserve"> costos </w:t>
      </w:r>
      <w:r w:rsidR="003008BC" w:rsidRPr="004C1A96">
        <w:rPr>
          <w:rFonts w:ascii="ITC Avant Garde" w:hAnsi="ITC Avant Garde"/>
          <w:lang w:val="es-MX"/>
        </w:rPr>
        <w:t xml:space="preserve">necesarios </w:t>
      </w:r>
      <w:r w:rsidRPr="004C1A96">
        <w:rPr>
          <w:rFonts w:ascii="ITC Avant Garde" w:hAnsi="ITC Avant Garde"/>
          <w:lang w:val="es-MX"/>
        </w:rPr>
        <w:t>para proporcionar un conjunto determinado de servicios, teniendo en cuenta todos los servicios para capturar los incrementos de costos pertinentes.</w:t>
      </w:r>
    </w:p>
    <w:p w14:paraId="51614538" w14:textId="77777777" w:rsidR="00DE7A5B" w:rsidRPr="004C1A96" w:rsidRDefault="00DE7A5B" w:rsidP="00DE7A5B">
      <w:pPr>
        <w:rPr>
          <w:rFonts w:ascii="ITC Avant Garde" w:hAnsi="ITC Avant Garde"/>
          <w:lang w:val="es-MX"/>
        </w:rPr>
      </w:pPr>
    </w:p>
    <w:p w14:paraId="1BA944EC" w14:textId="77777777" w:rsidR="00DE7A5B" w:rsidRPr="00FF2101" w:rsidRDefault="00DE7A5B" w:rsidP="0040723E">
      <w:pPr>
        <w:pStyle w:val="Ttulo3"/>
        <w:rPr>
          <w:lang w:val="es-ES"/>
        </w:rPr>
      </w:pPr>
      <w:bookmarkStart w:id="84" w:name="_Toc525665263"/>
      <w:bookmarkStart w:id="85" w:name="_Toc525665642"/>
      <w:bookmarkStart w:id="86" w:name="_Toc141975000"/>
      <w:r w:rsidRPr="00FF2101">
        <w:rPr>
          <w:lang w:val="es-ES"/>
        </w:rPr>
        <w:t>Nivel de eficiencia del operador modelado</w:t>
      </w:r>
      <w:bookmarkEnd w:id="84"/>
      <w:bookmarkEnd w:id="85"/>
      <w:bookmarkEnd w:id="86"/>
    </w:p>
    <w:p w14:paraId="47C5C177" w14:textId="77777777" w:rsidR="00DE7A5B" w:rsidRPr="008F42FC" w:rsidRDefault="00BC0096" w:rsidP="003C224B">
      <w:pPr>
        <w:pStyle w:val="Ttulo4"/>
        <w:rPr>
          <w:lang w:val="es-MX"/>
        </w:rPr>
      </w:pPr>
      <w:bookmarkStart w:id="87" w:name="_Toc141975001"/>
      <w:bookmarkStart w:id="88" w:name="_Toc525665264"/>
      <w:bookmarkStart w:id="89" w:name="_Toc525665643"/>
      <w:r w:rsidRPr="008F42FC">
        <w:rPr>
          <w:lang w:val="es-MX"/>
        </w:rPr>
        <w:t>Consideración de activos</w:t>
      </w:r>
      <w:r w:rsidR="005A2E48" w:rsidRPr="008F42FC">
        <w:rPr>
          <w:lang w:val="es-MX"/>
        </w:rPr>
        <w:t xml:space="preserve"> modernos</w:t>
      </w:r>
      <w:r w:rsidRPr="008F42FC">
        <w:rPr>
          <w:lang w:val="es-MX"/>
        </w:rPr>
        <w:t xml:space="preserve"> equivalentes</w:t>
      </w:r>
      <w:bookmarkEnd w:id="87"/>
      <w:r w:rsidRPr="008F42FC">
        <w:rPr>
          <w:lang w:val="es-MX"/>
        </w:rPr>
        <w:t xml:space="preserve"> </w:t>
      </w:r>
      <w:bookmarkEnd w:id="88"/>
      <w:bookmarkEnd w:id="89"/>
    </w:p>
    <w:p w14:paraId="089BC0C2" w14:textId="77777777" w:rsidR="00BC0096" w:rsidRPr="004C1A96" w:rsidRDefault="00BC0096" w:rsidP="00BC0096">
      <w:pPr>
        <w:rPr>
          <w:rFonts w:ascii="ITC Avant Garde" w:hAnsi="ITC Avant Garde"/>
          <w:lang w:val="es-MX"/>
        </w:rPr>
      </w:pPr>
      <w:r w:rsidRPr="004C1A96">
        <w:rPr>
          <w:rFonts w:ascii="ITC Avant Garde" w:hAnsi="ITC Avant Garde"/>
          <w:lang w:val="es-MX"/>
        </w:rPr>
        <w:t xml:space="preserve">En muchos casos, es posible que se hayan desarrollado nuevas tecnologías </w:t>
      </w:r>
      <w:r w:rsidR="003008BC" w:rsidRPr="004C1A96">
        <w:rPr>
          <w:rFonts w:ascii="ITC Avant Garde" w:hAnsi="ITC Avant Garde"/>
          <w:lang w:val="es-MX"/>
        </w:rPr>
        <w:t>desde</w:t>
      </w:r>
      <w:r w:rsidRPr="004C1A96">
        <w:rPr>
          <w:rFonts w:ascii="ITC Avant Garde" w:hAnsi="ITC Avant Garde"/>
          <w:lang w:val="es-MX"/>
        </w:rPr>
        <w:t xml:space="preserve"> que se </w:t>
      </w:r>
      <w:r w:rsidR="003008BC" w:rsidRPr="00E14D8A">
        <w:rPr>
          <w:rFonts w:ascii="ITC Avant Garde" w:hAnsi="ITC Avant Garde"/>
          <w:lang w:val="es-MX"/>
        </w:rPr>
        <w:t>despl</w:t>
      </w:r>
      <w:r w:rsidR="005A2E48" w:rsidRPr="00E14D8A">
        <w:rPr>
          <w:rFonts w:ascii="ITC Avant Garde" w:hAnsi="ITC Avant Garde"/>
          <w:lang w:val="es-MX"/>
        </w:rPr>
        <w:t>egó</w:t>
      </w:r>
      <w:r w:rsidR="003008BC" w:rsidRPr="00E14D8A">
        <w:rPr>
          <w:rFonts w:ascii="ITC Avant Garde" w:hAnsi="ITC Avant Garde"/>
          <w:lang w:val="es-MX"/>
        </w:rPr>
        <w:t xml:space="preserve"> la red</w:t>
      </w:r>
      <w:r w:rsidRPr="004C1A96">
        <w:rPr>
          <w:rFonts w:ascii="ITC Avant Garde" w:hAnsi="ITC Avant Garde"/>
          <w:lang w:val="es-MX"/>
        </w:rPr>
        <w:t xml:space="preserve"> existente </w:t>
      </w:r>
      <w:r w:rsidR="003008BC" w:rsidRPr="004C1A96">
        <w:rPr>
          <w:rFonts w:ascii="ITC Avant Garde" w:hAnsi="ITC Avant Garde"/>
          <w:lang w:val="es-MX"/>
        </w:rPr>
        <w:t>d</w:t>
      </w:r>
      <w:r w:rsidRPr="004C1A96">
        <w:rPr>
          <w:rFonts w:ascii="ITC Avant Garde" w:hAnsi="ITC Avant Garde"/>
          <w:lang w:val="es-MX"/>
        </w:rPr>
        <w:t xml:space="preserve">el operador SMP. También puede ocurrir que los activos existentes </w:t>
      </w:r>
      <w:r w:rsidR="003008BC" w:rsidRPr="004C1A96">
        <w:rPr>
          <w:rFonts w:ascii="ITC Avant Garde" w:hAnsi="ITC Avant Garde"/>
          <w:lang w:val="es-MX"/>
        </w:rPr>
        <w:t xml:space="preserve">ya </w:t>
      </w:r>
      <w:r w:rsidRPr="004C1A96">
        <w:rPr>
          <w:rFonts w:ascii="ITC Avant Garde" w:hAnsi="ITC Avant Garde"/>
          <w:lang w:val="es-MX"/>
        </w:rPr>
        <w:t xml:space="preserve">no puedan comprarse. Siempre que las nuevas tecnologías puedan realizar funciones llevadas a cabo por el activo existente con la misma o mejor calidad, el activo </w:t>
      </w:r>
      <w:r w:rsidR="005A2E48" w:rsidRPr="004C1A96">
        <w:rPr>
          <w:rFonts w:ascii="ITC Avant Garde" w:hAnsi="ITC Avant Garde"/>
          <w:lang w:val="es-MX"/>
        </w:rPr>
        <w:t xml:space="preserve">moderno </w:t>
      </w:r>
      <w:r w:rsidRPr="004C1A96">
        <w:rPr>
          <w:rFonts w:ascii="ITC Avant Garde" w:hAnsi="ITC Avant Garde"/>
          <w:lang w:val="es-MX"/>
        </w:rPr>
        <w:t>equivalente (MEA</w:t>
      </w:r>
      <w:r w:rsidR="00D547DD" w:rsidRPr="004C1A96">
        <w:rPr>
          <w:rFonts w:ascii="ITC Avant Garde" w:hAnsi="ITC Avant Garde"/>
          <w:lang w:val="es-MX"/>
        </w:rPr>
        <w:t>,</w:t>
      </w:r>
      <w:r w:rsidR="00B2529B" w:rsidRPr="004C1A96">
        <w:rPr>
          <w:rFonts w:ascii="ITC Avant Garde" w:hAnsi="ITC Avant Garde"/>
          <w:lang w:val="es-MX"/>
        </w:rPr>
        <w:t xml:space="preserve"> por sus siglas en inglés</w:t>
      </w:r>
      <w:r w:rsidR="00D547DD" w:rsidRPr="004C1A96">
        <w:rPr>
          <w:rFonts w:ascii="ITC Avant Garde" w:hAnsi="ITC Avant Garde"/>
          <w:lang w:val="es-MX"/>
        </w:rPr>
        <w:t xml:space="preserve"> </w:t>
      </w:r>
      <w:r w:rsidR="00D547DD" w:rsidRPr="004C1A96">
        <w:rPr>
          <w:rFonts w:ascii="ITC Avant Garde" w:hAnsi="ITC Avant Garde"/>
          <w:i/>
          <w:lang w:val="es-MX"/>
        </w:rPr>
        <w:t>Modern Equivalent Asset</w:t>
      </w:r>
      <w:r w:rsidRPr="004C1A96">
        <w:rPr>
          <w:rFonts w:ascii="ITC Avant Garde" w:hAnsi="ITC Avant Garde"/>
          <w:lang w:val="es-MX"/>
        </w:rPr>
        <w:t>) puede, por lo tanto, ser un activo utilizando la nueva tecnología.</w:t>
      </w:r>
    </w:p>
    <w:p w14:paraId="5A3E93BD" w14:textId="77777777" w:rsidR="00BC0096" w:rsidRPr="004C1A96" w:rsidRDefault="00BC0096" w:rsidP="00BC0096">
      <w:pPr>
        <w:rPr>
          <w:rFonts w:ascii="ITC Avant Garde" w:hAnsi="ITC Avant Garde"/>
          <w:lang w:val="es-MX"/>
        </w:rPr>
      </w:pPr>
      <w:r w:rsidRPr="004C1A96">
        <w:rPr>
          <w:rFonts w:ascii="ITC Avant Garde" w:hAnsi="ITC Avant Garde"/>
          <w:lang w:val="es-MX"/>
        </w:rPr>
        <w:t>Además, el uso del activo</w:t>
      </w:r>
      <w:r w:rsidR="005A2E48" w:rsidRPr="004C1A96">
        <w:rPr>
          <w:rFonts w:ascii="ITC Avant Garde" w:hAnsi="ITC Avant Garde"/>
          <w:lang w:val="es-MX"/>
        </w:rPr>
        <w:t xml:space="preserve"> moderno</w:t>
      </w:r>
      <w:r w:rsidRPr="004C1A96">
        <w:rPr>
          <w:rFonts w:ascii="ITC Avant Garde" w:hAnsi="ITC Avant Garde"/>
          <w:lang w:val="es-MX"/>
        </w:rPr>
        <w:t xml:space="preserve"> equivalente </w:t>
      </w:r>
      <w:r w:rsidR="003008BC" w:rsidRPr="004C1A96">
        <w:rPr>
          <w:rFonts w:ascii="ITC Avant Garde" w:hAnsi="ITC Avant Garde"/>
          <w:lang w:val="es-MX"/>
        </w:rPr>
        <w:t>es inherente</w:t>
      </w:r>
      <w:r w:rsidRPr="004C1A96">
        <w:rPr>
          <w:rFonts w:ascii="ITC Avant Garde" w:hAnsi="ITC Avant Garde"/>
          <w:lang w:val="es-MX"/>
        </w:rPr>
        <w:t xml:space="preserve"> </w:t>
      </w:r>
      <w:r w:rsidR="003008BC" w:rsidRPr="004C1A96">
        <w:rPr>
          <w:rFonts w:ascii="ITC Avant Garde" w:hAnsi="ITC Avant Garde"/>
          <w:lang w:val="es-MX"/>
        </w:rPr>
        <w:t>a</w:t>
      </w:r>
      <w:r w:rsidRPr="004C1A96">
        <w:rPr>
          <w:rFonts w:ascii="ITC Avant Garde" w:hAnsi="ITC Avant Garde"/>
          <w:lang w:val="es-MX"/>
        </w:rPr>
        <w:t>l concepto de costos prospectivos</w:t>
      </w:r>
      <w:r w:rsidR="003008BC" w:rsidRPr="004C1A96">
        <w:rPr>
          <w:rFonts w:ascii="ITC Avant Garde" w:hAnsi="ITC Avant Garde"/>
          <w:lang w:val="es-MX"/>
        </w:rPr>
        <w:t xml:space="preserve"> (</w:t>
      </w:r>
      <w:r w:rsidR="003008BC" w:rsidRPr="004C1A96">
        <w:rPr>
          <w:rFonts w:ascii="ITC Avant Garde" w:hAnsi="ITC Avant Garde"/>
          <w:i/>
          <w:lang w:val="es-MX"/>
        </w:rPr>
        <w:t>Forward Looking costs</w:t>
      </w:r>
      <w:r w:rsidR="003008BC" w:rsidRPr="004C1A96">
        <w:rPr>
          <w:rFonts w:ascii="ITC Avant Garde" w:hAnsi="ITC Avant Garde"/>
          <w:lang w:val="es-MX"/>
        </w:rPr>
        <w:t>)</w:t>
      </w:r>
      <w:r w:rsidRPr="004C1A96">
        <w:rPr>
          <w:rFonts w:ascii="ITC Avant Garde" w:hAnsi="ITC Avant Garde"/>
          <w:lang w:val="es-MX"/>
        </w:rPr>
        <w:t xml:space="preserve"> que implica una perspectiva a largo plazo y permite reflejar el nivel de los costos que se producirían en un mercado competitivo y contestable.</w:t>
      </w:r>
    </w:p>
    <w:p w14:paraId="2DB69B85" w14:textId="77777777" w:rsidR="00BC0096" w:rsidRPr="004C1A96" w:rsidRDefault="00BC0096" w:rsidP="00BC0096">
      <w:pPr>
        <w:rPr>
          <w:rFonts w:ascii="ITC Avant Garde" w:hAnsi="ITC Avant Garde"/>
          <w:lang w:val="es-MX"/>
        </w:rPr>
      </w:pPr>
      <w:r w:rsidRPr="004C1A96">
        <w:rPr>
          <w:rFonts w:ascii="ITC Avant Garde" w:hAnsi="ITC Avant Garde"/>
          <w:lang w:val="es-MX"/>
        </w:rPr>
        <w:t xml:space="preserve">El concepto de MEA permite calcular el costo que enfrentaría un nuevo operador eficiente que invierta hoy en redes de </w:t>
      </w:r>
      <w:r w:rsidR="00CC25BE" w:rsidRPr="004C1A96">
        <w:rPr>
          <w:rFonts w:ascii="ITC Avant Garde" w:hAnsi="ITC Avant Garde"/>
          <w:lang w:val="es-MX"/>
        </w:rPr>
        <w:t>tele</w:t>
      </w:r>
      <w:r w:rsidRPr="004C1A96">
        <w:rPr>
          <w:rFonts w:ascii="ITC Avant Garde" w:hAnsi="ITC Avant Garde"/>
          <w:lang w:val="es-MX"/>
        </w:rPr>
        <w:t>comunicaciones fijas.</w:t>
      </w:r>
      <w:r w:rsidR="00D547DD" w:rsidRPr="004C1A96">
        <w:rPr>
          <w:rFonts w:ascii="ITC Avant Garde" w:hAnsi="ITC Avant Garde"/>
          <w:lang w:val="es-MX"/>
        </w:rPr>
        <w:t xml:space="preserve"> </w:t>
      </w:r>
      <w:r w:rsidRPr="004C1A96">
        <w:rPr>
          <w:rFonts w:ascii="ITC Avant Garde" w:hAnsi="ITC Avant Garde"/>
          <w:lang w:val="es-MX"/>
        </w:rPr>
        <w:t>Desde un punto de vista regulatorio, el concepto de MEA puede ser muy útil ya que:</w:t>
      </w:r>
    </w:p>
    <w:p w14:paraId="5178F955" w14:textId="77777777" w:rsidR="00BC0096" w:rsidRPr="004C1A96" w:rsidRDefault="00BC0096" w:rsidP="00D547DD">
      <w:pPr>
        <w:pStyle w:val="Listaconvietas2"/>
        <w:rPr>
          <w:rFonts w:ascii="ITC Avant Garde" w:hAnsi="ITC Avant Garde"/>
          <w:lang w:val="es-MX"/>
        </w:rPr>
      </w:pPr>
      <w:r w:rsidRPr="004C1A96">
        <w:rPr>
          <w:rFonts w:ascii="ITC Avant Garde" w:hAnsi="ITC Avant Garde"/>
          <w:lang w:val="es-MX"/>
        </w:rPr>
        <w:t xml:space="preserve">Permite a las autoridades reguladoras comprender mejor los costos </w:t>
      </w:r>
      <w:r w:rsidR="00D547DD" w:rsidRPr="004C1A96">
        <w:rPr>
          <w:rFonts w:ascii="ITC Avant Garde" w:hAnsi="ITC Avant Garde"/>
          <w:lang w:val="es-MX"/>
        </w:rPr>
        <w:t>prospectivos</w:t>
      </w:r>
      <w:r w:rsidRPr="004C1A96">
        <w:rPr>
          <w:rFonts w:ascii="ITC Avant Garde" w:hAnsi="ITC Avant Garde"/>
          <w:lang w:val="es-MX"/>
        </w:rPr>
        <w:t xml:space="preserve"> y permite reflejar el nivel de los costos que se producirían en un mercado competitivo y contestable</w:t>
      </w:r>
      <w:r w:rsidR="00D547DD" w:rsidRPr="004C1A96">
        <w:rPr>
          <w:rFonts w:ascii="ITC Avant Garde" w:hAnsi="ITC Avant Garde"/>
          <w:lang w:val="es-MX"/>
        </w:rPr>
        <w:t>;</w:t>
      </w:r>
    </w:p>
    <w:p w14:paraId="29021EAD" w14:textId="77777777" w:rsidR="00BC0096" w:rsidRPr="004C1A96" w:rsidRDefault="00BC0096" w:rsidP="00D547DD">
      <w:pPr>
        <w:pStyle w:val="Listaconvietas2"/>
        <w:rPr>
          <w:rFonts w:ascii="ITC Avant Garde" w:hAnsi="ITC Avant Garde"/>
          <w:lang w:val="es-MX"/>
        </w:rPr>
      </w:pPr>
      <w:r w:rsidRPr="004C1A96">
        <w:rPr>
          <w:rFonts w:ascii="ITC Avant Garde" w:hAnsi="ITC Avant Garde"/>
          <w:lang w:val="es-MX"/>
        </w:rPr>
        <w:t>Calcula costos eficientes y, por lo tanto, permite asegurarse de que los operadores que compran acceso a un activo regulado no paguen por las ineficiencias del operador regulado;</w:t>
      </w:r>
    </w:p>
    <w:p w14:paraId="515FA2CC" w14:textId="77777777" w:rsidR="00BC0096" w:rsidRPr="004C1A96" w:rsidRDefault="00BC0096" w:rsidP="00D547DD">
      <w:pPr>
        <w:pStyle w:val="Listaconvietas2"/>
        <w:rPr>
          <w:rFonts w:ascii="ITC Avant Garde" w:hAnsi="ITC Avant Garde"/>
          <w:lang w:val="es-MX"/>
        </w:rPr>
      </w:pPr>
      <w:r w:rsidRPr="004C1A96">
        <w:rPr>
          <w:rFonts w:ascii="ITC Avant Garde" w:hAnsi="ITC Avant Garde"/>
          <w:lang w:val="es-MX"/>
        </w:rPr>
        <w:t>Permite enviar señales apropiadas "</w:t>
      </w:r>
      <w:r w:rsidR="00D547DD" w:rsidRPr="004C1A96">
        <w:rPr>
          <w:rFonts w:ascii="ITC Avant Garde" w:hAnsi="ITC Avant Garde"/>
          <w:i/>
          <w:lang w:val="es-MX"/>
        </w:rPr>
        <w:t>make or buy</w:t>
      </w:r>
      <w:r w:rsidRPr="004C1A96">
        <w:rPr>
          <w:rFonts w:ascii="ITC Avant Garde" w:hAnsi="ITC Avant Garde"/>
          <w:lang w:val="es-MX"/>
        </w:rPr>
        <w:t xml:space="preserve">". De hecho, como los precios regulados para acceder a los activos se basan en el MEA, es equivalente para un operador alternativo comprar </w:t>
      </w:r>
      <w:r w:rsidR="00D547DD" w:rsidRPr="004C1A96">
        <w:rPr>
          <w:rFonts w:ascii="ITC Avant Garde" w:hAnsi="ITC Avant Garde"/>
          <w:lang w:val="es-MX"/>
        </w:rPr>
        <w:t xml:space="preserve">un </w:t>
      </w:r>
      <w:r w:rsidRPr="004C1A96">
        <w:rPr>
          <w:rFonts w:ascii="ITC Avant Garde" w:hAnsi="ITC Avant Garde"/>
          <w:lang w:val="es-MX"/>
        </w:rPr>
        <w:t xml:space="preserve">acceso o construir un activo equivalente que, por lo tanto, no disuada la inversión en alternativa y promueva la competencia </w:t>
      </w:r>
      <w:r w:rsidRPr="004C1A96">
        <w:rPr>
          <w:rFonts w:ascii="ITC Avant Garde" w:hAnsi="ITC Avant Garde"/>
          <w:lang w:val="es-MX"/>
        </w:rPr>
        <w:lastRenderedPageBreak/>
        <w:t>basada en la infraestructura. Este es uno de los aspectos clave de la definición de MEA.</w:t>
      </w:r>
    </w:p>
    <w:p w14:paraId="5CF53EAE" w14:textId="77777777" w:rsidR="00BC0096" w:rsidRPr="004C1A96" w:rsidRDefault="0062140F" w:rsidP="00BC0096">
      <w:pPr>
        <w:rPr>
          <w:rFonts w:ascii="ITC Avant Garde" w:hAnsi="ITC Avant Garde"/>
          <w:lang w:val="es-MX"/>
        </w:rPr>
      </w:pPr>
      <w:r w:rsidRPr="004C1A96">
        <w:rPr>
          <w:rFonts w:ascii="ITC Avant Garde" w:hAnsi="ITC Avant Garde"/>
          <w:lang w:val="es-MX"/>
        </w:rPr>
        <w:t>E</w:t>
      </w:r>
      <w:r w:rsidR="00BC0096" w:rsidRPr="004C1A96">
        <w:rPr>
          <w:rFonts w:ascii="ITC Avant Garde" w:hAnsi="ITC Avant Garde"/>
          <w:lang w:val="es-MX"/>
        </w:rPr>
        <w:t xml:space="preserve">l uso de los </w:t>
      </w:r>
      <w:r w:rsidR="00407AD2" w:rsidRPr="004C1A96">
        <w:rPr>
          <w:rFonts w:ascii="ITC Avant Garde" w:hAnsi="ITC Avant Garde"/>
          <w:lang w:val="es-MX"/>
        </w:rPr>
        <w:t>CIPLP</w:t>
      </w:r>
      <w:r w:rsidR="00BC0096" w:rsidRPr="004C1A96">
        <w:rPr>
          <w:rFonts w:ascii="ITC Avant Garde" w:hAnsi="ITC Avant Garde"/>
          <w:lang w:val="es-MX"/>
        </w:rPr>
        <w:t xml:space="preserve"> con el MEA garantiza que los costos incurridos de manera ineficiente no sean recuperables</w:t>
      </w:r>
      <w:r w:rsidR="00D547DD" w:rsidRPr="004C1A96">
        <w:rPr>
          <w:rFonts w:ascii="ITC Avant Garde" w:hAnsi="ITC Avant Garde"/>
          <w:lang w:val="es-MX"/>
        </w:rPr>
        <w:t>,</w:t>
      </w:r>
      <w:r w:rsidR="00BC0096" w:rsidRPr="004C1A96">
        <w:rPr>
          <w:rFonts w:ascii="ITC Avant Garde" w:hAnsi="ITC Avant Garde"/>
          <w:lang w:val="es-MX"/>
        </w:rPr>
        <w:t xml:space="preserve"> y requiere una evaluación prospectiva de la recuperación de costos de</w:t>
      </w:r>
      <w:r w:rsidR="00D547DD" w:rsidRPr="004C1A96">
        <w:rPr>
          <w:rFonts w:ascii="ITC Avant Garde" w:hAnsi="ITC Avant Garde"/>
          <w:lang w:val="es-MX"/>
        </w:rPr>
        <w:t>l</w:t>
      </w:r>
      <w:r w:rsidR="00BC0096" w:rsidRPr="004C1A96">
        <w:rPr>
          <w:rFonts w:ascii="ITC Avant Garde" w:hAnsi="ITC Avant Garde"/>
          <w:lang w:val="es-MX"/>
        </w:rPr>
        <w:t xml:space="preserve"> operador ya que un posible nuevo entrante no está limitado por la recuperación de costos históricos.</w:t>
      </w:r>
    </w:p>
    <w:p w14:paraId="4772797E" w14:textId="77777777" w:rsidR="00BC0096" w:rsidRPr="004C1A96" w:rsidRDefault="00BC0096" w:rsidP="00BC0096">
      <w:pPr>
        <w:rPr>
          <w:rFonts w:ascii="ITC Avant Garde" w:hAnsi="ITC Avant Garde"/>
          <w:lang w:val="es-MX"/>
        </w:rPr>
      </w:pPr>
      <w:r w:rsidRPr="004C1A96">
        <w:rPr>
          <w:rFonts w:ascii="ITC Avant Garde" w:hAnsi="ITC Avant Garde"/>
          <w:lang w:val="es-MX"/>
        </w:rPr>
        <w:t>Las mejores prácticas internacionales y particularmente la Comisión Europea recomiendan calcular los costos para el bucle local de cobre en función de los costos de una red eficiente moderna:</w:t>
      </w:r>
    </w:p>
    <w:p w14:paraId="0DABC047" w14:textId="1F33ED22" w:rsidR="00BC0096" w:rsidRPr="004C1A96" w:rsidRDefault="00BC0096" w:rsidP="00D547DD">
      <w:pPr>
        <w:ind w:left="567" w:right="565"/>
        <w:rPr>
          <w:rFonts w:ascii="ITC Avant Garde" w:hAnsi="ITC Avant Garde"/>
          <w:i/>
          <w:lang w:val="es-MX"/>
        </w:rPr>
      </w:pPr>
      <w:r w:rsidRPr="004C1A96">
        <w:rPr>
          <w:rFonts w:ascii="ITC Avant Garde" w:hAnsi="ITC Avant Garde"/>
          <w:i/>
          <w:lang w:val="es-MX"/>
        </w:rPr>
        <w:t>"Construye una red moderna y eficiente, que es una red NGA"</w:t>
      </w:r>
      <w:r w:rsidR="00F030C5">
        <w:rPr>
          <w:rStyle w:val="Refdenotaalpie"/>
          <w:rFonts w:ascii="ITC Avant Garde" w:hAnsi="ITC Avant Garde"/>
          <w:i/>
          <w:lang w:val="es-MX"/>
        </w:rPr>
        <w:footnoteReference w:id="17"/>
      </w:r>
    </w:p>
    <w:p w14:paraId="10FC0DAE" w14:textId="27EE6A0A" w:rsidR="00253E64" w:rsidRPr="004C1A96" w:rsidRDefault="00253E64" w:rsidP="00253E64">
      <w:pPr>
        <w:rPr>
          <w:rFonts w:ascii="ITC Avant Garde" w:hAnsi="ITC Avant Garde"/>
          <w:lang w:val="es-MX"/>
        </w:rPr>
      </w:pPr>
      <w:r w:rsidRPr="00E14D8A">
        <w:rPr>
          <w:rFonts w:ascii="ITC Avant Garde" w:hAnsi="ITC Avant Garde"/>
          <w:lang w:val="es-MX"/>
        </w:rPr>
        <w:t>Este enfoque es también recomendado en la Guía de Contabilidad publicada por la U</w:t>
      </w:r>
      <w:r w:rsidR="00B2529B" w:rsidRPr="00E14D8A">
        <w:rPr>
          <w:rFonts w:ascii="ITC Avant Garde" w:hAnsi="ITC Avant Garde"/>
          <w:lang w:val="es-MX"/>
        </w:rPr>
        <w:t xml:space="preserve">nión </w:t>
      </w:r>
      <w:r w:rsidRPr="004C1A96">
        <w:rPr>
          <w:rFonts w:ascii="ITC Avant Garde" w:hAnsi="ITC Avant Garde"/>
          <w:lang w:val="es-MX"/>
        </w:rPr>
        <w:t>I</w:t>
      </w:r>
      <w:r w:rsidR="00B2529B" w:rsidRPr="004C1A96">
        <w:rPr>
          <w:rFonts w:ascii="ITC Avant Garde" w:hAnsi="ITC Avant Garde"/>
          <w:lang w:val="es-MX"/>
        </w:rPr>
        <w:t xml:space="preserve">nternacional de </w:t>
      </w:r>
      <w:r w:rsidRPr="004C1A96">
        <w:rPr>
          <w:rFonts w:ascii="ITC Avant Garde" w:hAnsi="ITC Avant Garde"/>
          <w:lang w:val="es-MX"/>
        </w:rPr>
        <w:t>T</w:t>
      </w:r>
      <w:r w:rsidR="00B2529B" w:rsidRPr="004C1A96">
        <w:rPr>
          <w:rFonts w:ascii="ITC Avant Garde" w:hAnsi="ITC Avant Garde"/>
          <w:lang w:val="es-MX"/>
        </w:rPr>
        <w:t>elecomunicaciones</w:t>
      </w:r>
      <w:r w:rsidRPr="004C1A96">
        <w:rPr>
          <w:rFonts w:ascii="ITC Avant Garde" w:hAnsi="ITC Avant Garde"/>
          <w:lang w:val="es-MX"/>
        </w:rPr>
        <w:t>:</w:t>
      </w:r>
      <w:r w:rsidR="002213F6">
        <w:rPr>
          <w:rStyle w:val="Refdenotaalpie"/>
          <w:rFonts w:ascii="ITC Avant Garde" w:hAnsi="ITC Avant Garde"/>
          <w:lang w:val="es-MX"/>
        </w:rPr>
        <w:footnoteReference w:id="18"/>
      </w:r>
    </w:p>
    <w:p w14:paraId="30A5944B" w14:textId="77777777" w:rsidR="00253E64" w:rsidRPr="00E14D8A" w:rsidRDefault="00C96820" w:rsidP="00253E64">
      <w:pPr>
        <w:ind w:left="567" w:right="565"/>
        <w:rPr>
          <w:rFonts w:ascii="ITC Avant Garde" w:hAnsi="ITC Avant Garde"/>
          <w:i/>
          <w:lang w:val="es-MX"/>
        </w:rPr>
      </w:pPr>
      <w:r w:rsidRPr="00E14D8A">
        <w:rPr>
          <w:rFonts w:ascii="ITC Avant Garde" w:hAnsi="ITC Avant Garde"/>
          <w:i/>
          <w:lang w:val="es-MX"/>
        </w:rPr>
        <w:t>“</w:t>
      </w:r>
      <w:r w:rsidR="00253E64" w:rsidRPr="00E14D8A">
        <w:rPr>
          <w:rFonts w:ascii="ITC Avant Garde" w:hAnsi="ITC Avant Garde"/>
          <w:i/>
          <w:lang w:val="es-MX"/>
        </w:rPr>
        <w:t>Los "activos equivalentes modernos" (MEA) se deben usar siempre que sea posible, ya que es el criterio de valoración más preciso para reflejar el costo de un operador eficiente, ya que capturará los costos (y eficiencias) asociados que un operador entrante carga, si entra en el mercado en un momento específico "</w:t>
      </w:r>
    </w:p>
    <w:p w14:paraId="5B36D10B" w14:textId="77777777" w:rsidR="00BC0096" w:rsidRPr="004C1A96" w:rsidRDefault="00BC0096" w:rsidP="00BC0096">
      <w:pPr>
        <w:rPr>
          <w:rFonts w:ascii="ITC Avant Garde" w:hAnsi="ITC Avant Garde"/>
          <w:lang w:val="es-MX"/>
        </w:rPr>
      </w:pPr>
      <w:r w:rsidRPr="004C1A96">
        <w:rPr>
          <w:rFonts w:ascii="ITC Avant Garde" w:hAnsi="ITC Avant Garde"/>
          <w:lang w:val="es-MX"/>
        </w:rPr>
        <w:t xml:space="preserve">La evaluación del MEA se lleva </w:t>
      </w:r>
      <w:r w:rsidR="00D547DD" w:rsidRPr="004C1A96">
        <w:rPr>
          <w:rFonts w:ascii="ITC Avant Garde" w:hAnsi="ITC Avant Garde"/>
          <w:lang w:val="es-MX"/>
        </w:rPr>
        <w:t xml:space="preserve">teóricamente </w:t>
      </w:r>
      <w:r w:rsidRPr="004C1A96">
        <w:rPr>
          <w:rFonts w:ascii="ITC Avant Garde" w:hAnsi="ITC Avant Garde"/>
          <w:lang w:val="es-MX"/>
        </w:rPr>
        <w:t>a cabo a través del análisis de 4 aspectos principales:</w:t>
      </w:r>
    </w:p>
    <w:p w14:paraId="60FE7DFE" w14:textId="77777777" w:rsidR="00BC0096" w:rsidRPr="004C1A96" w:rsidRDefault="00B2529B" w:rsidP="00D547DD">
      <w:pPr>
        <w:pStyle w:val="Listaconvietas2"/>
        <w:rPr>
          <w:rFonts w:ascii="ITC Avant Garde" w:hAnsi="ITC Avant Garde"/>
          <w:lang w:val="es-MX"/>
        </w:rPr>
      </w:pPr>
      <w:r w:rsidRPr="004C1A96">
        <w:rPr>
          <w:rFonts w:ascii="ITC Avant Garde" w:hAnsi="ITC Avant Garde"/>
          <w:lang w:val="es-MX"/>
        </w:rPr>
        <w:t>Si</w:t>
      </w:r>
      <w:r w:rsidR="00BC0096" w:rsidRPr="004C1A96">
        <w:rPr>
          <w:rFonts w:ascii="ITC Avant Garde" w:hAnsi="ITC Avant Garde"/>
          <w:lang w:val="es-MX"/>
        </w:rPr>
        <w:t xml:space="preserve"> los productos basados </w:t>
      </w:r>
      <w:r w:rsidR="00BC0096" w:rsidRPr="004C1A96">
        <w:rPr>
          <w:rFonts w:cs="Arial"/>
          <w:lang w:val="es-MX"/>
        </w:rPr>
        <w:t>​​</w:t>
      </w:r>
      <w:r w:rsidR="00BC0096" w:rsidRPr="004C1A96">
        <w:rPr>
          <w:rFonts w:ascii="ITC Avant Garde" w:hAnsi="ITC Avant Garde"/>
          <w:lang w:val="es-MX"/>
        </w:rPr>
        <w:t xml:space="preserve">en el activo moderno a ser considerado reemplazan esencialmente productos similares basados </w:t>
      </w:r>
      <w:r w:rsidR="00BC0096" w:rsidRPr="004C1A96">
        <w:rPr>
          <w:rFonts w:cs="Arial"/>
          <w:lang w:val="es-MX"/>
        </w:rPr>
        <w:t>​​</w:t>
      </w:r>
      <w:r w:rsidR="00BC0096" w:rsidRPr="004C1A96">
        <w:rPr>
          <w:rFonts w:ascii="ITC Avant Garde" w:hAnsi="ITC Avant Garde"/>
          <w:lang w:val="es-MX"/>
        </w:rPr>
        <w:t>en los activos establecidos</w:t>
      </w:r>
      <w:r w:rsidR="009F5817" w:rsidRPr="004C1A96">
        <w:rPr>
          <w:rFonts w:ascii="ITC Avant Garde" w:hAnsi="ITC Avant Garde"/>
          <w:lang w:val="es-MX"/>
        </w:rPr>
        <w:t>,</w:t>
      </w:r>
      <w:r w:rsidRPr="004C1A96">
        <w:rPr>
          <w:rFonts w:ascii="ITC Avant Garde" w:hAnsi="ITC Avant Garde"/>
          <w:lang w:val="es-MX"/>
        </w:rPr>
        <w:t xml:space="preserve"> ¿Sigue el criterio </w:t>
      </w:r>
      <w:r w:rsidR="009F5817" w:rsidRPr="004C1A96">
        <w:rPr>
          <w:rFonts w:ascii="ITC Avant Garde" w:hAnsi="ITC Avant Garde"/>
          <w:lang w:val="es-MX"/>
        </w:rPr>
        <w:t>tecnológico?</w:t>
      </w:r>
    </w:p>
    <w:p w14:paraId="1E3461CD" w14:textId="77777777" w:rsidR="00BC0096" w:rsidRPr="004C1A96" w:rsidRDefault="009533FA" w:rsidP="00D547DD">
      <w:pPr>
        <w:pStyle w:val="Listaconvietas2"/>
        <w:rPr>
          <w:rFonts w:ascii="ITC Avant Garde" w:hAnsi="ITC Avant Garde"/>
          <w:lang w:val="es-MX"/>
        </w:rPr>
      </w:pPr>
      <w:r w:rsidRPr="004C1A96">
        <w:rPr>
          <w:rFonts w:ascii="ITC Avant Garde" w:hAnsi="ITC Avant Garde"/>
          <w:lang w:val="es-MX"/>
        </w:rPr>
        <w:t>La comparación</w:t>
      </w:r>
      <w:r w:rsidR="003A0FB4" w:rsidRPr="004C1A96">
        <w:rPr>
          <w:rFonts w:ascii="ITC Avant Garde" w:hAnsi="ITC Avant Garde"/>
          <w:lang w:val="es-MX"/>
        </w:rPr>
        <w:t xml:space="preserve"> del costo para desplegar las redes </w:t>
      </w:r>
      <w:r w:rsidR="0062140F" w:rsidRPr="004C1A96">
        <w:rPr>
          <w:rFonts w:ascii="ITC Avant Garde" w:hAnsi="ITC Avant Garde"/>
          <w:lang w:val="es-MX"/>
        </w:rPr>
        <w:t>con</w:t>
      </w:r>
      <w:r w:rsidR="003A0FB4" w:rsidRPr="004C1A96">
        <w:rPr>
          <w:rFonts w:ascii="ITC Avant Garde" w:hAnsi="ITC Avant Garde"/>
          <w:lang w:val="es-MX"/>
        </w:rPr>
        <w:t xml:space="preserve"> base al activo moderno o el activo existente utilizado por el operador SMP</w:t>
      </w:r>
      <w:r w:rsidRPr="004C1A96">
        <w:rPr>
          <w:rFonts w:ascii="ITC Avant Garde" w:hAnsi="ITC Avant Garde"/>
          <w:lang w:val="es-MX"/>
        </w:rPr>
        <w:t xml:space="preserve">, </w:t>
      </w:r>
      <w:r w:rsidR="00B2529B" w:rsidRPr="004C1A96">
        <w:rPr>
          <w:rFonts w:ascii="ITC Avant Garde" w:hAnsi="ITC Avant Garde"/>
          <w:lang w:val="es-MX"/>
        </w:rPr>
        <w:t>¿Sigue el criterio del Costo</w:t>
      </w:r>
      <w:r w:rsidR="003A0FB4" w:rsidRPr="004C1A96">
        <w:rPr>
          <w:rFonts w:ascii="ITC Avant Garde" w:hAnsi="ITC Avant Garde"/>
          <w:lang w:val="es-MX"/>
        </w:rPr>
        <w:t>?</w:t>
      </w:r>
    </w:p>
    <w:p w14:paraId="5A98B7DC" w14:textId="77777777" w:rsidR="00253E64" w:rsidRPr="004C1A96" w:rsidRDefault="00BC0096" w:rsidP="00D547DD">
      <w:pPr>
        <w:pStyle w:val="Listaconvietas2"/>
        <w:rPr>
          <w:rFonts w:ascii="ITC Avant Garde" w:hAnsi="ITC Avant Garde"/>
          <w:lang w:val="es-MX"/>
        </w:rPr>
      </w:pPr>
      <w:r w:rsidRPr="004C1A96">
        <w:rPr>
          <w:rFonts w:ascii="ITC Avant Garde" w:hAnsi="ITC Avant Garde"/>
          <w:lang w:val="es-MX"/>
        </w:rPr>
        <w:t>¿El comportamiento</w:t>
      </w:r>
      <w:r w:rsidR="00253E64" w:rsidRPr="004C1A96">
        <w:rPr>
          <w:rFonts w:ascii="ITC Avant Garde" w:hAnsi="ITC Avant Garde"/>
          <w:lang w:val="es-MX"/>
        </w:rPr>
        <w:t xml:space="preserve"> observado</w:t>
      </w:r>
      <w:r w:rsidRPr="004C1A96">
        <w:rPr>
          <w:rFonts w:ascii="ITC Avant Garde" w:hAnsi="ITC Avant Garde"/>
          <w:lang w:val="es-MX"/>
        </w:rPr>
        <w:t xml:space="preserve"> del mercado respalda una suposición de ese activo como MEA? Lo que se puede evaluar con el análisis de tres sub</w:t>
      </w:r>
      <w:r w:rsidR="009533FA" w:rsidRPr="004C1A96">
        <w:rPr>
          <w:rFonts w:ascii="ITC Avant Garde" w:hAnsi="ITC Avant Garde"/>
          <w:lang w:val="es-MX"/>
        </w:rPr>
        <w:t>-</w:t>
      </w:r>
      <w:r w:rsidRPr="004C1A96">
        <w:rPr>
          <w:rFonts w:ascii="ITC Avant Garde" w:hAnsi="ITC Avant Garde"/>
          <w:lang w:val="es-MX"/>
        </w:rPr>
        <w:t xml:space="preserve">criterios específicos: </w:t>
      </w:r>
    </w:p>
    <w:p w14:paraId="2FD24A37" w14:textId="77777777" w:rsidR="00BC0096" w:rsidRPr="004C1A96" w:rsidRDefault="00BC0096" w:rsidP="00253E64">
      <w:pPr>
        <w:pStyle w:val="Listaconvietas2"/>
        <w:numPr>
          <w:ilvl w:val="1"/>
          <w:numId w:val="1"/>
        </w:numPr>
        <w:rPr>
          <w:rFonts w:ascii="ITC Avant Garde" w:hAnsi="ITC Avant Garde"/>
          <w:lang w:val="es-MX"/>
        </w:rPr>
      </w:pPr>
      <w:r w:rsidRPr="004C1A96">
        <w:rPr>
          <w:rFonts w:ascii="ITC Avant Garde" w:hAnsi="ITC Avant Garde"/>
          <w:i/>
          <w:lang w:val="es-MX"/>
        </w:rPr>
        <w:t>Criterio del suscriptor</w:t>
      </w:r>
      <w:r w:rsidRPr="004C1A96">
        <w:rPr>
          <w:rFonts w:ascii="ITC Avant Garde" w:hAnsi="ITC Avant Garde"/>
          <w:lang w:val="es-MX"/>
        </w:rPr>
        <w:t>: Análisis de la evolución del número de conexiones para cada tipo de tecnología;</w:t>
      </w:r>
    </w:p>
    <w:p w14:paraId="3175EAE9" w14:textId="77777777" w:rsidR="00BC0096" w:rsidRPr="004C1A96" w:rsidRDefault="00253E64" w:rsidP="00D547DD">
      <w:pPr>
        <w:pStyle w:val="Listaconvietas2"/>
        <w:numPr>
          <w:ilvl w:val="1"/>
          <w:numId w:val="1"/>
        </w:numPr>
        <w:rPr>
          <w:rFonts w:ascii="ITC Avant Garde" w:hAnsi="ITC Avant Garde"/>
          <w:lang w:val="es-MX"/>
        </w:rPr>
      </w:pPr>
      <w:r w:rsidRPr="004C1A96">
        <w:rPr>
          <w:rFonts w:ascii="ITC Avant Garde" w:hAnsi="ITC Avant Garde"/>
          <w:i/>
          <w:lang w:val="es-MX"/>
        </w:rPr>
        <w:t>C</w:t>
      </w:r>
      <w:r w:rsidR="00BC0096" w:rsidRPr="004C1A96">
        <w:rPr>
          <w:rFonts w:ascii="ITC Avant Garde" w:hAnsi="ITC Avant Garde"/>
          <w:i/>
          <w:lang w:val="es-MX"/>
        </w:rPr>
        <w:t>riterio de estrategia de los operadores</w:t>
      </w:r>
      <w:r w:rsidR="00BC0096" w:rsidRPr="004C1A96">
        <w:rPr>
          <w:rFonts w:ascii="ITC Avant Garde" w:hAnsi="ITC Avant Garde"/>
          <w:lang w:val="es-MX"/>
        </w:rPr>
        <w:t xml:space="preserve">: </w:t>
      </w:r>
      <w:r w:rsidR="00C96820" w:rsidRPr="004C1A96">
        <w:rPr>
          <w:rFonts w:ascii="ITC Avant Garde" w:hAnsi="ITC Avant Garde"/>
          <w:lang w:val="es-MX"/>
        </w:rPr>
        <w:t>O</w:t>
      </w:r>
      <w:r w:rsidR="00BC0096" w:rsidRPr="004C1A96">
        <w:rPr>
          <w:rFonts w:ascii="ITC Avant Garde" w:hAnsi="ITC Avant Garde"/>
          <w:lang w:val="es-MX"/>
        </w:rPr>
        <w:t>bservar la estrategia seguida por los operadores, ya que proporciona un buen indicador de lo que se espera sea la tecnología de red de acceso a largo plazo;</w:t>
      </w:r>
    </w:p>
    <w:p w14:paraId="13C1B8B3" w14:textId="77777777" w:rsidR="00BC0096" w:rsidRPr="004C1A96" w:rsidRDefault="00253E64" w:rsidP="00D547DD">
      <w:pPr>
        <w:pStyle w:val="Listaconvietas2"/>
        <w:numPr>
          <w:ilvl w:val="1"/>
          <w:numId w:val="1"/>
        </w:numPr>
        <w:rPr>
          <w:rFonts w:ascii="ITC Avant Garde" w:hAnsi="ITC Avant Garde"/>
          <w:lang w:val="es-MX"/>
        </w:rPr>
      </w:pPr>
      <w:r w:rsidRPr="004C1A96">
        <w:rPr>
          <w:rFonts w:ascii="ITC Avant Garde" w:hAnsi="ITC Avant Garde"/>
          <w:i/>
          <w:lang w:val="es-MX"/>
        </w:rPr>
        <w:lastRenderedPageBreak/>
        <w:t>C</w:t>
      </w:r>
      <w:r w:rsidR="00BC0096" w:rsidRPr="004C1A96">
        <w:rPr>
          <w:rFonts w:ascii="ITC Avant Garde" w:hAnsi="ITC Avant Garde"/>
          <w:i/>
          <w:lang w:val="es-MX"/>
        </w:rPr>
        <w:t>riterio de precio minorista</w:t>
      </w:r>
      <w:r w:rsidR="00BC0096" w:rsidRPr="004C1A96">
        <w:rPr>
          <w:rFonts w:ascii="ITC Avant Garde" w:hAnsi="ITC Avant Garde"/>
          <w:lang w:val="es-MX"/>
        </w:rPr>
        <w:t>: Análisis de la evolución de los precios minoristas entre las diferentes tecnologías, que debe ser complementado por un análisis de rentabilidad a lo largo de un período de tiempo prolongado.</w:t>
      </w:r>
    </w:p>
    <w:p w14:paraId="09D76C85" w14:textId="77777777" w:rsidR="00BC0096" w:rsidRPr="004C1A96" w:rsidRDefault="00BC0096" w:rsidP="00D547DD">
      <w:pPr>
        <w:pStyle w:val="Listaconvietas2"/>
        <w:rPr>
          <w:rFonts w:ascii="ITC Avant Garde" w:hAnsi="ITC Avant Garde"/>
          <w:lang w:val="es-MX"/>
        </w:rPr>
      </w:pPr>
      <w:r w:rsidRPr="004C1A96">
        <w:rPr>
          <w:rFonts w:ascii="ITC Avant Garde" w:hAnsi="ITC Avant Garde"/>
          <w:lang w:val="es-MX"/>
        </w:rPr>
        <w:t>¿Cuáles son las mejores prácticas internacionales en términos de MEA?</w:t>
      </w:r>
    </w:p>
    <w:p w14:paraId="286AD45A" w14:textId="5AD32D78" w:rsidR="00BC0096" w:rsidRPr="004C1A96" w:rsidRDefault="00253E64" w:rsidP="00BC0096">
      <w:pPr>
        <w:rPr>
          <w:rFonts w:ascii="ITC Avant Garde" w:hAnsi="ITC Avant Garde"/>
          <w:i/>
          <w:lang w:val="es-MX"/>
        </w:rPr>
      </w:pPr>
      <w:r w:rsidRPr="004C1A96">
        <w:rPr>
          <w:rFonts w:ascii="ITC Avant Garde" w:hAnsi="ITC Avant Garde"/>
          <w:lang w:val="es-MX"/>
        </w:rPr>
        <w:t>En pr</w:t>
      </w:r>
      <w:r w:rsidR="004F5923" w:rsidRPr="004C1A96">
        <w:rPr>
          <w:rFonts w:ascii="ITC Avant Garde" w:hAnsi="ITC Avant Garde"/>
          <w:lang w:val="es-MX"/>
        </w:rPr>
        <w:t>á</w:t>
      </w:r>
      <w:r w:rsidRPr="004C1A96">
        <w:rPr>
          <w:rFonts w:ascii="ITC Avant Garde" w:hAnsi="ITC Avant Garde"/>
          <w:lang w:val="es-MX"/>
        </w:rPr>
        <w:t>ctica, e</w:t>
      </w:r>
      <w:r w:rsidR="00BC0096" w:rsidRPr="004C1A96">
        <w:rPr>
          <w:rFonts w:ascii="ITC Avant Garde" w:hAnsi="ITC Avant Garde"/>
          <w:lang w:val="es-MX"/>
        </w:rPr>
        <w:t xml:space="preserve">l activo eficiente moderno correspondiente al bucle local de cobre es la forma moderna y rentable de proporcionar el servicio que comúnmente utiliza el bucle local de cobre. </w:t>
      </w:r>
      <w:r w:rsidRPr="004C1A96">
        <w:rPr>
          <w:rFonts w:ascii="ITC Avant Garde" w:hAnsi="ITC Avant Garde"/>
          <w:lang w:val="es-MX"/>
        </w:rPr>
        <w:t>Desde este punto de vista, d</w:t>
      </w:r>
      <w:r w:rsidR="00BC0096" w:rsidRPr="004C1A96">
        <w:rPr>
          <w:rFonts w:ascii="ITC Avant Garde" w:hAnsi="ITC Avant Garde"/>
          <w:lang w:val="es-MX"/>
        </w:rPr>
        <w:t>os enfoques de modelado son posibles:</w:t>
      </w:r>
    </w:p>
    <w:p w14:paraId="256156B7" w14:textId="16CEF190" w:rsidR="00BC0096" w:rsidRPr="004C1A96" w:rsidRDefault="00BC0096" w:rsidP="00556A48">
      <w:pPr>
        <w:pStyle w:val="Prrafodelista"/>
        <w:numPr>
          <w:ilvl w:val="0"/>
          <w:numId w:val="17"/>
        </w:numPr>
        <w:rPr>
          <w:rFonts w:ascii="ITC Avant Garde" w:hAnsi="ITC Avant Garde"/>
          <w:lang w:val="es-MX"/>
        </w:rPr>
      </w:pPr>
      <w:r w:rsidRPr="004C1A96">
        <w:rPr>
          <w:rFonts w:ascii="ITC Avant Garde" w:hAnsi="ITC Avant Garde"/>
          <w:lang w:val="es-MX"/>
        </w:rPr>
        <w:t>La red de acceso debe basarse en la tecnología más reciente en uso, es decir, un</w:t>
      </w:r>
      <w:r w:rsidR="00B1639E" w:rsidRPr="004C1A96">
        <w:rPr>
          <w:rFonts w:ascii="ITC Avant Garde" w:hAnsi="ITC Avant Garde"/>
          <w:lang w:val="es-MX"/>
        </w:rPr>
        <w:t>a red de</w:t>
      </w:r>
      <w:r w:rsidR="00B67D57" w:rsidRPr="004C1A96">
        <w:rPr>
          <w:rFonts w:ascii="ITC Avant Garde" w:hAnsi="ITC Avant Garde"/>
          <w:lang w:val="es-MX"/>
        </w:rPr>
        <w:t xml:space="preserve"> acceso de próxima generación (</w:t>
      </w:r>
      <w:r w:rsidRPr="004C1A96">
        <w:rPr>
          <w:rFonts w:ascii="ITC Avant Garde" w:hAnsi="ITC Avant Garde"/>
          <w:lang w:val="es-MX"/>
        </w:rPr>
        <w:t>NGA</w:t>
      </w:r>
      <w:r w:rsidR="00B67D57" w:rsidRPr="004C1A96">
        <w:rPr>
          <w:rFonts w:ascii="ITC Avant Garde" w:hAnsi="ITC Avant Garde"/>
          <w:lang w:val="es-MX"/>
        </w:rPr>
        <w:t xml:space="preserve">, por sus siglas en inglés </w:t>
      </w:r>
      <w:r w:rsidR="00B67D57" w:rsidRPr="004C1A96">
        <w:rPr>
          <w:rFonts w:ascii="ITC Avant Garde" w:hAnsi="ITC Avant Garde"/>
          <w:i/>
          <w:lang w:val="es-MX"/>
        </w:rPr>
        <w:t>Next Generation Access</w:t>
      </w:r>
      <w:r w:rsidR="00B67D57" w:rsidRPr="004C1A96">
        <w:rPr>
          <w:rFonts w:ascii="ITC Avant Garde" w:hAnsi="ITC Avant Garde"/>
          <w:lang w:val="es-MX"/>
        </w:rPr>
        <w:t>)</w:t>
      </w:r>
      <w:r w:rsidRPr="004C1A96">
        <w:rPr>
          <w:rFonts w:ascii="ITC Avant Garde" w:hAnsi="ITC Avant Garde"/>
          <w:lang w:val="es-MX"/>
        </w:rPr>
        <w:t xml:space="preserve"> hipotéticamente eficiente"</w:t>
      </w:r>
      <w:r w:rsidR="002213F6">
        <w:rPr>
          <w:rStyle w:val="Refdenotaalpie"/>
          <w:rFonts w:ascii="ITC Avant Garde" w:hAnsi="ITC Avant Garde"/>
          <w:lang w:val="es-MX"/>
        </w:rPr>
        <w:footnoteReference w:id="19"/>
      </w:r>
      <w:r w:rsidRPr="004C1A96">
        <w:rPr>
          <w:rFonts w:ascii="ITC Avant Garde" w:hAnsi="ITC Avant Garde"/>
          <w:lang w:val="es-MX"/>
        </w:rPr>
        <w:t>: se debe modelar una red de fibra única;</w:t>
      </w:r>
    </w:p>
    <w:p w14:paraId="2248720A" w14:textId="77777777" w:rsidR="00BC0096" w:rsidRPr="00E14D8A" w:rsidRDefault="00BC0096" w:rsidP="00556A48">
      <w:pPr>
        <w:pStyle w:val="Prrafodelista"/>
        <w:numPr>
          <w:ilvl w:val="0"/>
          <w:numId w:val="17"/>
        </w:numPr>
        <w:rPr>
          <w:rFonts w:ascii="ITC Avant Garde" w:hAnsi="ITC Avant Garde"/>
          <w:lang w:val="es-MX"/>
        </w:rPr>
      </w:pPr>
      <w:r w:rsidRPr="00E14D8A">
        <w:rPr>
          <w:rFonts w:ascii="ITC Avant Garde" w:hAnsi="ITC Avant Garde"/>
          <w:lang w:val="es-MX"/>
        </w:rPr>
        <w:t>La red de acceso debe basarse en un enfoque híbrido, que consiste, por un lado, en una red NGA para la huella de fibra y, por otro, en una red de cobre que utiliza los modernos equipos de cobre para la huella de cobre.</w:t>
      </w:r>
    </w:p>
    <w:p w14:paraId="504BAF04" w14:textId="029269C3" w:rsidR="00BC0096" w:rsidRPr="004C1A96" w:rsidRDefault="00BC0096" w:rsidP="00BC0096">
      <w:pPr>
        <w:rPr>
          <w:rFonts w:ascii="ITC Avant Garde" w:hAnsi="ITC Avant Garde"/>
          <w:lang w:val="es-MX"/>
        </w:rPr>
      </w:pPr>
      <w:r w:rsidRPr="00E14D8A">
        <w:rPr>
          <w:rFonts w:ascii="ITC Avant Garde" w:hAnsi="ITC Avant Garde"/>
          <w:lang w:val="es-MX"/>
        </w:rPr>
        <w:t xml:space="preserve">De manera consistente con el contexto mexicano donde </w:t>
      </w:r>
      <w:r w:rsidR="005C24A7" w:rsidRPr="004C1A96">
        <w:rPr>
          <w:rFonts w:ascii="ITC Avant Garde" w:hAnsi="ITC Avant Garde"/>
          <w:lang w:val="es-MX"/>
        </w:rPr>
        <w:t xml:space="preserve">hasta </w:t>
      </w:r>
      <w:r w:rsidR="008F42FC">
        <w:rPr>
          <w:rFonts w:ascii="ITC Avant Garde" w:hAnsi="ITC Avant Garde"/>
          <w:lang w:val="es-MX"/>
        </w:rPr>
        <w:t>tres</w:t>
      </w:r>
      <w:r w:rsidR="005C24A7" w:rsidRPr="004C1A96">
        <w:rPr>
          <w:rFonts w:ascii="ITC Avant Garde" w:hAnsi="ITC Avant Garde"/>
          <w:lang w:val="es-MX"/>
        </w:rPr>
        <w:t xml:space="preserve"> </w:t>
      </w:r>
      <w:r w:rsidRPr="004C1A96">
        <w:rPr>
          <w:rFonts w:ascii="ITC Avant Garde" w:hAnsi="ITC Avant Garde"/>
          <w:lang w:val="es-MX"/>
        </w:rPr>
        <w:t>tecnologías (cobre</w:t>
      </w:r>
      <w:r w:rsidR="005C24A7" w:rsidRPr="004C1A96">
        <w:rPr>
          <w:rFonts w:ascii="ITC Avant Garde" w:hAnsi="ITC Avant Garde"/>
          <w:lang w:val="es-MX"/>
        </w:rPr>
        <w:t>, FTTH y FTTC</w:t>
      </w:r>
      <w:r w:rsidRPr="004C1A96">
        <w:rPr>
          <w:rFonts w:ascii="ITC Avant Garde" w:hAnsi="ITC Avant Garde"/>
          <w:lang w:val="es-MX"/>
        </w:rPr>
        <w:t xml:space="preserve">) coexisten, el segundo enfoque parece ser más adecuado. Esto podría ser respaldado por el hecho de que el enfoque híbrido permite capturar el estado de la red fija como es </w:t>
      </w:r>
      <w:r w:rsidR="003A0FB4" w:rsidRPr="004C1A96">
        <w:rPr>
          <w:rFonts w:ascii="ITC Avant Garde" w:hAnsi="ITC Avant Garde"/>
          <w:lang w:val="es-MX"/>
        </w:rPr>
        <w:t>actualmente,</w:t>
      </w:r>
      <w:r w:rsidRPr="004C1A96">
        <w:rPr>
          <w:rFonts w:ascii="ITC Avant Garde" w:hAnsi="ITC Avant Garde"/>
          <w:lang w:val="es-MX"/>
        </w:rPr>
        <w:t xml:space="preserve"> así como también en los próximos años, ya que </w:t>
      </w:r>
      <w:r w:rsidR="008C599E" w:rsidRPr="004C1A96">
        <w:rPr>
          <w:rFonts w:ascii="ITC Avant Garde" w:hAnsi="ITC Avant Garde"/>
          <w:lang w:val="es-MX"/>
        </w:rPr>
        <w:t xml:space="preserve">resulta esperable que </w:t>
      </w:r>
      <w:r w:rsidR="006A6A9E" w:rsidRPr="004C1A96">
        <w:rPr>
          <w:rFonts w:ascii="ITC Avant Garde" w:hAnsi="ITC Avant Garde"/>
          <w:lang w:val="es-MX"/>
        </w:rPr>
        <w:t xml:space="preserve">las </w:t>
      </w:r>
      <w:r w:rsidR="008F42FC">
        <w:rPr>
          <w:rFonts w:ascii="ITC Avant Garde" w:hAnsi="ITC Avant Garde"/>
          <w:lang w:val="es-MX"/>
        </w:rPr>
        <w:t>tres</w:t>
      </w:r>
      <w:r w:rsidR="006A6A9E" w:rsidRPr="004C1A96">
        <w:rPr>
          <w:rFonts w:ascii="ITC Avant Garde" w:hAnsi="ITC Avant Garde"/>
          <w:lang w:val="es-MX"/>
        </w:rPr>
        <w:t xml:space="preserve"> </w:t>
      </w:r>
      <w:r w:rsidR="008C599E" w:rsidRPr="004C1A96">
        <w:rPr>
          <w:rFonts w:ascii="ITC Avant Garde" w:hAnsi="ITC Avant Garde"/>
          <w:lang w:val="es-MX"/>
        </w:rPr>
        <w:t>tecnologías sigan coexistiendo en los próximos años</w:t>
      </w:r>
      <w:r w:rsidRPr="004C1A96">
        <w:rPr>
          <w:rFonts w:ascii="ITC Avant Garde" w:hAnsi="ITC Avant Garde"/>
          <w:lang w:val="es-MX"/>
        </w:rPr>
        <w:t>.</w:t>
      </w:r>
    </w:p>
    <w:p w14:paraId="02860DF0" w14:textId="77777777" w:rsidR="00BC0096" w:rsidRPr="004C1A96" w:rsidRDefault="00BC0096" w:rsidP="00BC0096">
      <w:pPr>
        <w:rPr>
          <w:rFonts w:ascii="ITC Avant Garde" w:hAnsi="ITC Avant Garde"/>
          <w:lang w:val="es-MX"/>
        </w:rPr>
      </w:pPr>
      <w:r w:rsidRPr="004C1A96">
        <w:rPr>
          <w:rFonts w:ascii="ITC Avant Garde" w:hAnsi="ITC Avant Garde"/>
          <w:lang w:val="es-MX"/>
        </w:rPr>
        <w:t xml:space="preserve">Además, cabe señalar que </w:t>
      </w:r>
      <w:r w:rsidR="00253E64" w:rsidRPr="004C1A96">
        <w:rPr>
          <w:rFonts w:ascii="ITC Avant Garde" w:hAnsi="ITC Avant Garde"/>
          <w:lang w:val="es-MX"/>
        </w:rPr>
        <w:t>considerando que el modelo refleja</w:t>
      </w:r>
      <w:r w:rsidRPr="004C1A96">
        <w:rPr>
          <w:rFonts w:ascii="ITC Avant Garde" w:hAnsi="ITC Avant Garde"/>
          <w:lang w:val="es-MX"/>
        </w:rPr>
        <w:t xml:space="preserve"> un operador hipotéticamente eficiente, los costos de migración</w:t>
      </w:r>
      <w:r w:rsidR="00253E64" w:rsidRPr="004C1A96">
        <w:rPr>
          <w:rFonts w:ascii="ITC Avant Garde" w:hAnsi="ITC Avant Garde"/>
          <w:lang w:val="es-MX"/>
        </w:rPr>
        <w:t xml:space="preserve">, </w:t>
      </w:r>
      <w:r w:rsidRPr="004C1A96">
        <w:rPr>
          <w:rFonts w:ascii="ITC Avant Garde" w:hAnsi="ITC Avant Garde"/>
          <w:lang w:val="es-MX"/>
        </w:rPr>
        <w:t>los costos adicionales u otras ineficiencias asociadas con el cambio de la red existente a la red optimizada no deberían incluirse en el modelo de costos.</w:t>
      </w:r>
    </w:p>
    <w:p w14:paraId="6BD16FB9" w14:textId="74C8CFE9" w:rsidR="00BC0096" w:rsidRPr="004C1A96" w:rsidRDefault="00BC0096" w:rsidP="00253E64">
      <w:pPr>
        <w:pStyle w:val="Encadr3"/>
        <w:rPr>
          <w:rFonts w:ascii="ITC Avant Garde" w:hAnsi="ITC Avant Garde"/>
          <w:lang w:val="es-MX"/>
        </w:rPr>
      </w:pPr>
      <w:r w:rsidRPr="004C1A96">
        <w:rPr>
          <w:rFonts w:ascii="ITC Avant Garde" w:hAnsi="ITC Avant Garde"/>
          <w:lang w:val="es-MX"/>
        </w:rPr>
        <w:t xml:space="preserve">Criterio 6: la red eficiente moderna </w:t>
      </w:r>
      <w:r w:rsidR="00F2544C" w:rsidRPr="004C1A96">
        <w:rPr>
          <w:rFonts w:ascii="ITC Avant Garde" w:hAnsi="ITC Avant Garde"/>
          <w:lang w:val="es-MX"/>
        </w:rPr>
        <w:t>está</w:t>
      </w:r>
      <w:r w:rsidRPr="004C1A96">
        <w:rPr>
          <w:rFonts w:ascii="ITC Avant Garde" w:hAnsi="ITC Avant Garde"/>
          <w:lang w:val="es-MX"/>
        </w:rPr>
        <w:t xml:space="preserve"> basada en </w:t>
      </w:r>
      <w:r w:rsidR="00253E64" w:rsidRPr="004C1A96">
        <w:rPr>
          <w:rFonts w:ascii="ITC Avant Garde" w:hAnsi="ITC Avant Garde"/>
          <w:lang w:val="es-MX"/>
        </w:rPr>
        <w:t>un</w:t>
      </w:r>
      <w:r w:rsidRPr="004C1A96">
        <w:rPr>
          <w:rFonts w:ascii="ITC Avant Garde" w:hAnsi="ITC Avant Garde"/>
          <w:lang w:val="es-MX"/>
        </w:rPr>
        <w:t xml:space="preserve"> enfoque híbrido</w:t>
      </w:r>
      <w:r w:rsidR="00253E64" w:rsidRPr="004C1A96">
        <w:rPr>
          <w:rFonts w:ascii="ITC Avant Garde" w:hAnsi="ITC Avant Garde"/>
          <w:lang w:val="es-MX"/>
        </w:rPr>
        <w:t>: una red de cobre</w:t>
      </w:r>
      <w:r w:rsidR="006A6A9E" w:rsidRPr="004C1A96">
        <w:rPr>
          <w:rFonts w:ascii="ITC Avant Garde" w:hAnsi="ITC Avant Garde"/>
          <w:lang w:val="es-MX"/>
        </w:rPr>
        <w:t>,</w:t>
      </w:r>
      <w:r w:rsidR="00253E64" w:rsidRPr="004C1A96">
        <w:rPr>
          <w:rFonts w:ascii="ITC Avant Garde" w:hAnsi="ITC Avant Garde"/>
          <w:lang w:val="es-MX"/>
        </w:rPr>
        <w:t xml:space="preserve"> una red de </w:t>
      </w:r>
      <w:r w:rsidR="006A6A9E" w:rsidRPr="004C1A96">
        <w:rPr>
          <w:rFonts w:ascii="ITC Avant Garde" w:hAnsi="ITC Avant Garde"/>
          <w:lang w:val="es-MX"/>
        </w:rPr>
        <w:t>FTTH y una red de FTTC</w:t>
      </w:r>
      <w:r w:rsidRPr="004C1A96">
        <w:rPr>
          <w:rFonts w:ascii="ITC Avant Garde" w:hAnsi="ITC Avant Garde"/>
          <w:lang w:val="es-MX"/>
        </w:rPr>
        <w:t>.</w:t>
      </w:r>
    </w:p>
    <w:p w14:paraId="5CB80D9C" w14:textId="77777777" w:rsidR="00BC0096" w:rsidRPr="004C1A96" w:rsidRDefault="00BC0096" w:rsidP="00BC0096">
      <w:pPr>
        <w:pStyle w:val="Encadr3"/>
        <w:rPr>
          <w:rFonts w:ascii="ITC Avant Garde" w:hAnsi="ITC Avant Garde"/>
          <w:lang w:val="es-MX"/>
        </w:rPr>
      </w:pPr>
      <w:r w:rsidRPr="004C1A96">
        <w:rPr>
          <w:rFonts w:ascii="ITC Avant Garde" w:hAnsi="ITC Avant Garde"/>
          <w:lang w:val="es-MX"/>
        </w:rPr>
        <w:t xml:space="preserve">No se </w:t>
      </w:r>
      <w:r w:rsidR="004C013F" w:rsidRPr="004C1A96">
        <w:rPr>
          <w:rFonts w:ascii="ITC Avant Garde" w:hAnsi="ITC Avant Garde"/>
          <w:lang w:val="es-MX"/>
        </w:rPr>
        <w:t>incluyen</w:t>
      </w:r>
      <w:r w:rsidRPr="004C1A96">
        <w:rPr>
          <w:rFonts w:ascii="ITC Avant Garde" w:hAnsi="ITC Avant Garde"/>
          <w:lang w:val="es-MX"/>
        </w:rPr>
        <w:t xml:space="preserve"> costos de migración en el modelo.</w:t>
      </w:r>
    </w:p>
    <w:p w14:paraId="1BEEFEC1" w14:textId="77777777" w:rsidR="00DE7A5B" w:rsidRPr="004C1A96" w:rsidRDefault="00DE7A5B" w:rsidP="00DE7A5B">
      <w:pPr>
        <w:rPr>
          <w:rFonts w:ascii="ITC Avant Garde" w:hAnsi="ITC Avant Garde"/>
          <w:lang w:val="es-MX"/>
        </w:rPr>
      </w:pPr>
    </w:p>
    <w:p w14:paraId="3AAFE6DD" w14:textId="77777777" w:rsidR="00BC0096" w:rsidRPr="008F42FC" w:rsidRDefault="00BC0096" w:rsidP="003C224B">
      <w:pPr>
        <w:pStyle w:val="Ttulo4"/>
        <w:rPr>
          <w:lang w:val="es-MX"/>
        </w:rPr>
      </w:pPr>
      <w:bookmarkStart w:id="90" w:name="_Toc525665265"/>
      <w:bookmarkStart w:id="91" w:name="_Toc525665644"/>
      <w:bookmarkStart w:id="92" w:name="_Toc141975002"/>
      <w:r w:rsidRPr="008F42FC">
        <w:rPr>
          <w:lang w:val="es-MX"/>
        </w:rPr>
        <w:t>Red de acceso modelada</w:t>
      </w:r>
      <w:bookmarkEnd w:id="90"/>
      <w:bookmarkEnd w:id="91"/>
      <w:bookmarkEnd w:id="92"/>
    </w:p>
    <w:p w14:paraId="09388155" w14:textId="77777777" w:rsidR="00BC0096" w:rsidRPr="004C1A96" w:rsidRDefault="00BC0096" w:rsidP="00BC0096">
      <w:pPr>
        <w:rPr>
          <w:rFonts w:ascii="ITC Avant Garde" w:hAnsi="ITC Avant Garde"/>
          <w:lang w:val="es-MX"/>
        </w:rPr>
      </w:pPr>
      <w:r w:rsidRPr="004C1A96">
        <w:rPr>
          <w:rFonts w:ascii="ITC Avant Garde" w:hAnsi="ITC Avant Garde"/>
          <w:lang w:val="es-MX"/>
        </w:rPr>
        <w:t>De acuerdo con la sección anterior, el enfoque de modelado para las redes de fibra/cobre podría realizarse según los siguientes enfoques:</w:t>
      </w:r>
    </w:p>
    <w:p w14:paraId="57C65393" w14:textId="02DC9458" w:rsidR="00BC0096" w:rsidRPr="004C1A96" w:rsidRDefault="00F25A52" w:rsidP="00F25A52">
      <w:pPr>
        <w:pStyle w:val="Listaconvietas2"/>
        <w:rPr>
          <w:rFonts w:ascii="ITC Avant Garde" w:hAnsi="ITC Avant Garde"/>
          <w:lang w:val="es-MX"/>
        </w:rPr>
      </w:pPr>
      <w:r w:rsidRPr="00E14D8A">
        <w:rPr>
          <w:rFonts w:ascii="ITC Avant Garde" w:hAnsi="ITC Avant Garde"/>
          <w:lang w:val="es-MX"/>
        </w:rPr>
        <w:t>Modelando</w:t>
      </w:r>
      <w:r w:rsidR="00BC0096" w:rsidRPr="00E14D8A">
        <w:rPr>
          <w:rFonts w:ascii="ITC Avant Garde" w:hAnsi="ITC Avant Garde"/>
          <w:lang w:val="es-MX"/>
        </w:rPr>
        <w:t xml:space="preserve"> una red </w:t>
      </w:r>
      <w:r w:rsidRPr="00E14D8A">
        <w:rPr>
          <w:rFonts w:ascii="ITC Avant Garde" w:hAnsi="ITC Avant Garde"/>
          <w:lang w:val="es-MX"/>
        </w:rPr>
        <w:t xml:space="preserve">de </w:t>
      </w:r>
      <w:r w:rsidR="00BC0096" w:rsidRPr="004C1A96">
        <w:rPr>
          <w:rFonts w:ascii="ITC Avant Garde" w:hAnsi="ITC Avant Garde"/>
          <w:lang w:val="es-MX"/>
        </w:rPr>
        <w:t>fibra como la tecnología moderna</w:t>
      </w:r>
      <w:r w:rsidRPr="004C1A96">
        <w:rPr>
          <w:rFonts w:ascii="ITC Avant Garde" w:hAnsi="ITC Avant Garde"/>
          <w:lang w:val="es-MX"/>
        </w:rPr>
        <w:t>, considerando los a</w:t>
      </w:r>
      <w:r w:rsidR="00BC0096" w:rsidRPr="004C1A96">
        <w:rPr>
          <w:rFonts w:ascii="ITC Avant Garde" w:hAnsi="ITC Avant Garde"/>
          <w:lang w:val="es-MX"/>
        </w:rPr>
        <w:t xml:space="preserve">justes relevantes mediante la sustitución de los parámetros económicos de la red de acceso de fibra, el costo unitario de los cables, las tendencias de los </w:t>
      </w:r>
      <w:r w:rsidR="00BC0096" w:rsidRPr="004C1A96">
        <w:rPr>
          <w:rFonts w:ascii="ITC Avant Garde" w:hAnsi="ITC Avant Garde"/>
          <w:lang w:val="es-MX"/>
        </w:rPr>
        <w:lastRenderedPageBreak/>
        <w:t>precios y la vida de los activos para que coincidan con las características de una red de cobre</w:t>
      </w:r>
      <w:r w:rsidR="007459E6" w:rsidRPr="004C1A96">
        <w:rPr>
          <w:rFonts w:ascii="ITC Avant Garde" w:hAnsi="ITC Avant Garde"/>
          <w:lang w:val="es-MX"/>
        </w:rPr>
        <w:t>.</w:t>
      </w:r>
    </w:p>
    <w:p w14:paraId="6E8102FE" w14:textId="7423B61E" w:rsidR="00BC0096" w:rsidRPr="004C1A96" w:rsidRDefault="00BC0096" w:rsidP="00F25A52">
      <w:pPr>
        <w:pStyle w:val="Listaconvietas2"/>
        <w:rPr>
          <w:rFonts w:ascii="ITC Avant Garde" w:hAnsi="ITC Avant Garde"/>
          <w:lang w:val="es-MX"/>
        </w:rPr>
      </w:pPr>
      <w:r w:rsidRPr="004C1A96">
        <w:rPr>
          <w:rFonts w:ascii="ITC Avant Garde" w:hAnsi="ITC Avant Garde"/>
          <w:lang w:val="es-MX"/>
        </w:rPr>
        <w:t>Modelando tanto red</w:t>
      </w:r>
      <w:r w:rsidR="007459E6" w:rsidRPr="004C1A96">
        <w:rPr>
          <w:rFonts w:ascii="ITC Avant Garde" w:hAnsi="ITC Avant Garde"/>
          <w:lang w:val="es-MX"/>
        </w:rPr>
        <w:t>es</w:t>
      </w:r>
      <w:r w:rsidRPr="004C1A96">
        <w:rPr>
          <w:rFonts w:ascii="ITC Avant Garde" w:hAnsi="ITC Avant Garde"/>
          <w:lang w:val="es-MX"/>
        </w:rPr>
        <w:t xml:space="preserve"> de fibra como de cobre;</w:t>
      </w:r>
    </w:p>
    <w:p w14:paraId="665CCD3F" w14:textId="77777777" w:rsidR="00BC0096" w:rsidRPr="004C1A96" w:rsidRDefault="00F25A52" w:rsidP="00F25A52">
      <w:pPr>
        <w:pStyle w:val="Listaconvietas2"/>
        <w:numPr>
          <w:ilvl w:val="1"/>
          <w:numId w:val="1"/>
        </w:numPr>
        <w:rPr>
          <w:rFonts w:ascii="ITC Avant Garde" w:hAnsi="ITC Avant Garde"/>
          <w:lang w:val="es-MX"/>
        </w:rPr>
      </w:pPr>
      <w:r w:rsidRPr="004C1A96">
        <w:rPr>
          <w:rFonts w:ascii="ITC Avant Garde" w:hAnsi="ITC Avant Garde"/>
          <w:lang w:val="es-MX"/>
        </w:rPr>
        <w:t xml:space="preserve">Que estima </w:t>
      </w:r>
      <w:r w:rsidR="00BC0096" w:rsidRPr="004C1A96">
        <w:rPr>
          <w:rFonts w:ascii="ITC Avant Garde" w:hAnsi="ITC Avant Garde"/>
          <w:lang w:val="es-MX"/>
        </w:rPr>
        <w:t xml:space="preserve">por separado </w:t>
      </w:r>
      <w:r w:rsidRPr="004C1A96">
        <w:rPr>
          <w:rFonts w:ascii="ITC Avant Garde" w:hAnsi="ITC Avant Garde"/>
          <w:lang w:val="es-MX"/>
        </w:rPr>
        <w:t xml:space="preserve">el costo </w:t>
      </w:r>
      <w:r w:rsidR="00BC0096" w:rsidRPr="004C1A96">
        <w:rPr>
          <w:rFonts w:ascii="ITC Avant Garde" w:hAnsi="ITC Avant Garde"/>
          <w:lang w:val="es-MX"/>
        </w:rPr>
        <w:t xml:space="preserve">de servicios basados </w:t>
      </w:r>
      <w:r w:rsidR="00BC0096" w:rsidRPr="004C1A96">
        <w:rPr>
          <w:rFonts w:cs="Arial"/>
          <w:lang w:val="es-MX"/>
        </w:rPr>
        <w:t>​​</w:t>
      </w:r>
      <w:r w:rsidR="00BC0096" w:rsidRPr="004C1A96">
        <w:rPr>
          <w:rFonts w:ascii="ITC Avant Garde" w:hAnsi="ITC Avant Garde"/>
          <w:lang w:val="es-MX"/>
        </w:rPr>
        <w:t xml:space="preserve">en fibra y </w:t>
      </w:r>
      <w:r w:rsidRPr="004C1A96">
        <w:rPr>
          <w:rFonts w:ascii="ITC Avant Garde" w:hAnsi="ITC Avant Garde"/>
          <w:lang w:val="es-MX"/>
        </w:rPr>
        <w:t xml:space="preserve">el costo de </w:t>
      </w:r>
      <w:r w:rsidR="00BC0096" w:rsidRPr="004C1A96">
        <w:rPr>
          <w:rFonts w:ascii="ITC Avant Garde" w:hAnsi="ITC Avant Garde"/>
          <w:lang w:val="es-MX"/>
        </w:rPr>
        <w:t xml:space="preserve">servicios basados </w:t>
      </w:r>
      <w:r w:rsidR="00BC0096" w:rsidRPr="004C1A96">
        <w:rPr>
          <w:rFonts w:cs="Arial"/>
          <w:lang w:val="es-MX"/>
        </w:rPr>
        <w:t>​​</w:t>
      </w:r>
      <w:r w:rsidR="00BC0096" w:rsidRPr="004C1A96">
        <w:rPr>
          <w:rFonts w:ascii="ITC Avant Garde" w:hAnsi="ITC Avant Garde"/>
          <w:lang w:val="es-MX"/>
        </w:rPr>
        <w:t>en cobre;</w:t>
      </w:r>
    </w:p>
    <w:p w14:paraId="113AD736" w14:textId="77777777" w:rsidR="00BC0096" w:rsidRPr="004C1A96" w:rsidRDefault="00F25A52" w:rsidP="00F25A52">
      <w:pPr>
        <w:pStyle w:val="Listaconvietas2"/>
        <w:numPr>
          <w:ilvl w:val="1"/>
          <w:numId w:val="1"/>
        </w:numPr>
        <w:rPr>
          <w:rFonts w:ascii="ITC Avant Garde" w:hAnsi="ITC Avant Garde"/>
          <w:lang w:val="es-MX"/>
        </w:rPr>
      </w:pPr>
      <w:r w:rsidRPr="004C1A96">
        <w:rPr>
          <w:rFonts w:ascii="ITC Avant Garde" w:hAnsi="ITC Avant Garde"/>
          <w:lang w:val="es-MX"/>
        </w:rPr>
        <w:t>Que refleja</w:t>
      </w:r>
      <w:r w:rsidR="00BC0096" w:rsidRPr="004C1A96">
        <w:rPr>
          <w:rFonts w:ascii="ITC Avant Garde" w:hAnsi="ITC Avant Garde"/>
          <w:lang w:val="es-MX"/>
        </w:rPr>
        <w:t xml:space="preserve"> la huella </w:t>
      </w:r>
      <w:r w:rsidRPr="004C1A96">
        <w:rPr>
          <w:rFonts w:ascii="ITC Avant Garde" w:hAnsi="ITC Avant Garde"/>
          <w:lang w:val="es-MX"/>
        </w:rPr>
        <w:t xml:space="preserve">apropiada, </w:t>
      </w:r>
      <w:r w:rsidR="00BC0096" w:rsidRPr="004C1A96">
        <w:rPr>
          <w:rFonts w:ascii="ITC Avant Garde" w:hAnsi="ITC Avant Garde"/>
          <w:lang w:val="es-MX"/>
        </w:rPr>
        <w:t>así como los parámetros específicos para cada red;</w:t>
      </w:r>
    </w:p>
    <w:p w14:paraId="195EE69F" w14:textId="3048D791" w:rsidR="00BC0096" w:rsidRPr="004C1A96" w:rsidRDefault="00F25A52" w:rsidP="00F25A52">
      <w:pPr>
        <w:pStyle w:val="Listaconvietas2"/>
        <w:numPr>
          <w:ilvl w:val="1"/>
          <w:numId w:val="1"/>
        </w:numPr>
        <w:rPr>
          <w:rFonts w:ascii="ITC Avant Garde" w:hAnsi="ITC Avant Garde"/>
          <w:lang w:val="es-MX"/>
        </w:rPr>
      </w:pPr>
      <w:r w:rsidRPr="004C1A96">
        <w:rPr>
          <w:rFonts w:ascii="ITC Avant Garde" w:hAnsi="ITC Avant Garde"/>
          <w:lang w:val="es-MX"/>
        </w:rPr>
        <w:t>Que refleja las economías de costos en</w:t>
      </w:r>
      <w:r w:rsidR="00BC0096" w:rsidRPr="004C1A96">
        <w:rPr>
          <w:rFonts w:ascii="ITC Avant Garde" w:hAnsi="ITC Avant Garde"/>
          <w:lang w:val="es-MX"/>
        </w:rPr>
        <w:t xml:space="preserve"> donde </w:t>
      </w:r>
      <w:r w:rsidR="00DD2EF6" w:rsidRPr="004C1A96">
        <w:rPr>
          <w:rFonts w:ascii="ITC Avant Garde" w:hAnsi="ITC Avant Garde"/>
          <w:lang w:val="es-MX"/>
        </w:rPr>
        <w:t xml:space="preserve">hasta </w:t>
      </w:r>
      <w:r w:rsidR="004F5923" w:rsidRPr="004C1A96">
        <w:rPr>
          <w:rFonts w:ascii="ITC Avant Garde" w:hAnsi="ITC Avant Garde"/>
          <w:lang w:val="es-MX"/>
        </w:rPr>
        <w:t xml:space="preserve">tres </w:t>
      </w:r>
      <w:r w:rsidR="00BC0096" w:rsidRPr="004C1A96">
        <w:rPr>
          <w:rFonts w:ascii="ITC Avant Garde" w:hAnsi="ITC Avant Garde"/>
          <w:lang w:val="es-MX"/>
        </w:rPr>
        <w:t>redes paralelas (cobre</w:t>
      </w:r>
      <w:r w:rsidR="00DD2EF6" w:rsidRPr="004C1A96">
        <w:rPr>
          <w:rFonts w:ascii="ITC Avant Garde" w:hAnsi="ITC Avant Garde"/>
          <w:lang w:val="es-MX"/>
        </w:rPr>
        <w:t xml:space="preserve">, </w:t>
      </w:r>
      <w:r w:rsidR="00BC0096" w:rsidRPr="004C1A96">
        <w:rPr>
          <w:rFonts w:ascii="ITC Avant Garde" w:hAnsi="ITC Avant Garde"/>
          <w:lang w:val="es-MX"/>
        </w:rPr>
        <w:t xml:space="preserve"> </w:t>
      </w:r>
      <w:r w:rsidR="004F5923" w:rsidRPr="004C1A96">
        <w:rPr>
          <w:rFonts w:ascii="ITC Avant Garde" w:hAnsi="ITC Avant Garde"/>
          <w:lang w:val="es-MX"/>
        </w:rPr>
        <w:t>FTTC</w:t>
      </w:r>
      <w:r w:rsidR="00BC0096" w:rsidRPr="004C1A96">
        <w:rPr>
          <w:rFonts w:ascii="ITC Avant Garde" w:hAnsi="ITC Avant Garde"/>
          <w:lang w:val="es-MX"/>
        </w:rPr>
        <w:t xml:space="preserve">, </w:t>
      </w:r>
      <w:r w:rsidR="00DD2EF6" w:rsidRPr="004C1A96">
        <w:rPr>
          <w:rFonts w:ascii="ITC Avant Garde" w:hAnsi="ITC Avant Garde"/>
          <w:lang w:val="es-MX"/>
        </w:rPr>
        <w:t xml:space="preserve">y </w:t>
      </w:r>
      <w:r w:rsidR="009D12BF" w:rsidRPr="004C1A96">
        <w:rPr>
          <w:rFonts w:ascii="ITC Avant Garde" w:hAnsi="ITC Avant Garde"/>
          <w:lang w:val="es-MX"/>
        </w:rPr>
        <w:t>FTTH</w:t>
      </w:r>
      <w:r w:rsidR="00BC0096" w:rsidRPr="004C1A96">
        <w:rPr>
          <w:rFonts w:ascii="ITC Avant Garde" w:hAnsi="ITC Avant Garde"/>
          <w:lang w:val="es-MX"/>
        </w:rPr>
        <w:t>) comparten la misma infraestructura civil.</w:t>
      </w:r>
    </w:p>
    <w:p w14:paraId="68C2177C" w14:textId="77777777" w:rsidR="00BC0096" w:rsidRPr="004C1A96" w:rsidRDefault="00BC0096" w:rsidP="00BC0096">
      <w:pPr>
        <w:rPr>
          <w:rFonts w:ascii="ITC Avant Garde" w:hAnsi="ITC Avant Garde"/>
          <w:lang w:val="es-MX"/>
        </w:rPr>
      </w:pPr>
      <w:r w:rsidRPr="004C1A96">
        <w:rPr>
          <w:rFonts w:ascii="ITC Avant Garde" w:hAnsi="ITC Avant Garde"/>
          <w:lang w:val="es-MX"/>
        </w:rPr>
        <w:t>El primer enfoque</w:t>
      </w:r>
      <w:r w:rsidR="00F25A52" w:rsidRPr="004C1A96">
        <w:rPr>
          <w:rFonts w:ascii="ITC Avant Garde" w:hAnsi="ITC Avant Garde"/>
          <w:lang w:val="es-MX"/>
        </w:rPr>
        <w:t xml:space="preserve"> (</w:t>
      </w:r>
      <w:r w:rsidR="000515D5" w:rsidRPr="004C1A96">
        <w:rPr>
          <w:rFonts w:ascii="ITC Avant Garde" w:hAnsi="ITC Avant Garde"/>
          <w:lang w:val="es-MX"/>
        </w:rPr>
        <w:t xml:space="preserve">es decir, </w:t>
      </w:r>
      <w:r w:rsidRPr="004C1A96">
        <w:rPr>
          <w:rFonts w:ascii="ITC Avant Garde" w:hAnsi="ITC Avant Garde"/>
          <w:lang w:val="es-MX"/>
        </w:rPr>
        <w:t xml:space="preserve">modelar una </w:t>
      </w:r>
      <w:r w:rsidR="00F25A52" w:rsidRPr="004C1A96">
        <w:rPr>
          <w:rFonts w:ascii="ITC Avant Garde" w:hAnsi="ITC Avant Garde"/>
          <w:lang w:val="es-MX"/>
        </w:rPr>
        <w:t xml:space="preserve">única </w:t>
      </w:r>
      <w:r w:rsidRPr="004C1A96">
        <w:rPr>
          <w:rFonts w:ascii="ITC Avant Garde" w:hAnsi="ITC Avant Garde"/>
          <w:lang w:val="es-MX"/>
        </w:rPr>
        <w:t>red con fibra como la tecnología moderna</w:t>
      </w:r>
      <w:r w:rsidR="00F25A52" w:rsidRPr="004C1A96">
        <w:rPr>
          <w:rFonts w:ascii="ITC Avant Garde" w:hAnsi="ITC Avant Garde"/>
          <w:lang w:val="es-MX"/>
        </w:rPr>
        <w:t>)</w:t>
      </w:r>
      <w:r w:rsidRPr="004C1A96">
        <w:rPr>
          <w:rFonts w:ascii="ITC Avant Garde" w:hAnsi="ITC Avant Garde"/>
          <w:lang w:val="es-MX"/>
        </w:rPr>
        <w:t xml:space="preserve">, consiste en utilizar un único modelo con las mismas reglas de ingeniería para determinar el precio de los servicios basados </w:t>
      </w:r>
      <w:r w:rsidRPr="004C1A96">
        <w:rPr>
          <w:rFonts w:cs="Arial"/>
          <w:lang w:val="es-MX"/>
        </w:rPr>
        <w:t>​​</w:t>
      </w:r>
      <w:r w:rsidRPr="004C1A96">
        <w:rPr>
          <w:rFonts w:ascii="ITC Avant Garde" w:hAnsi="ITC Avant Garde"/>
          <w:lang w:val="es-MX"/>
        </w:rPr>
        <w:t xml:space="preserve">en cobre y los servicios basados </w:t>
      </w:r>
      <w:r w:rsidRPr="004C1A96">
        <w:rPr>
          <w:rFonts w:cs="Arial"/>
          <w:lang w:val="es-MX"/>
        </w:rPr>
        <w:t>​​</w:t>
      </w:r>
      <w:r w:rsidRPr="004C1A96">
        <w:rPr>
          <w:rFonts w:ascii="ITC Avant Garde" w:hAnsi="ITC Avant Garde"/>
          <w:lang w:val="es-MX"/>
        </w:rPr>
        <w:t>en fibra. Lo que conducir</w:t>
      </w:r>
      <w:r w:rsidRPr="004C1A96">
        <w:rPr>
          <w:rFonts w:ascii="ITC Avant Garde" w:hAnsi="ITC Avant Garde" w:cs="ITC Avant Garde"/>
          <w:lang w:val="es-MX"/>
        </w:rPr>
        <w:t>í</w:t>
      </w:r>
      <w:r w:rsidRPr="004C1A96">
        <w:rPr>
          <w:rFonts w:ascii="ITC Avant Garde" w:hAnsi="ITC Avant Garde"/>
          <w:lang w:val="es-MX"/>
        </w:rPr>
        <w:t>a a precios armonizados para ambos servicios. Sin embargo, bajo este enfoque, los ajustes relevantes deber</w:t>
      </w:r>
      <w:r w:rsidRPr="004C1A96">
        <w:rPr>
          <w:rFonts w:ascii="ITC Avant Garde" w:hAnsi="ITC Avant Garde" w:cs="ITC Avant Garde"/>
          <w:lang w:val="es-MX"/>
        </w:rPr>
        <w:t>í</w:t>
      </w:r>
      <w:r w:rsidRPr="004C1A96">
        <w:rPr>
          <w:rFonts w:ascii="ITC Avant Garde" w:hAnsi="ITC Avant Garde"/>
          <w:lang w:val="es-MX"/>
        </w:rPr>
        <w:t xml:space="preserve">an implementarse para tener en cuenta las especificidades del cobre, por </w:t>
      </w:r>
      <w:r w:rsidR="009F5817" w:rsidRPr="004C1A96">
        <w:rPr>
          <w:rFonts w:ascii="ITC Avant Garde" w:hAnsi="ITC Avant Garde"/>
          <w:lang w:val="es-MX"/>
        </w:rPr>
        <w:t>ejemplo,</w:t>
      </w:r>
      <w:r w:rsidRPr="004C1A96">
        <w:rPr>
          <w:rFonts w:ascii="ITC Avant Garde" w:hAnsi="ITC Avant Garde"/>
          <w:lang w:val="es-MX"/>
        </w:rPr>
        <w:t xml:space="preserve"> vidas de activos, tendencias de precios, diferencias de velocidad</w:t>
      </w:r>
      <w:r w:rsidR="000515D5" w:rsidRPr="004C1A96">
        <w:rPr>
          <w:rFonts w:ascii="ITC Avant Garde" w:hAnsi="ITC Avant Garde"/>
          <w:lang w:val="es-MX"/>
        </w:rPr>
        <w:t>, entre otras</w:t>
      </w:r>
      <w:r w:rsidRPr="004C1A96">
        <w:rPr>
          <w:rFonts w:ascii="ITC Avant Garde" w:hAnsi="ITC Avant Garde"/>
          <w:lang w:val="es-MX"/>
        </w:rPr>
        <w:t>.</w:t>
      </w:r>
    </w:p>
    <w:p w14:paraId="790BD2F3" w14:textId="77777777" w:rsidR="00BC0096" w:rsidRPr="004C1A96" w:rsidRDefault="00BC0096" w:rsidP="00BC0096">
      <w:pPr>
        <w:rPr>
          <w:rFonts w:ascii="ITC Avant Garde" w:hAnsi="ITC Avant Garde"/>
          <w:lang w:val="es-MX"/>
        </w:rPr>
      </w:pPr>
      <w:r w:rsidRPr="004C1A96">
        <w:rPr>
          <w:rFonts w:ascii="ITC Avant Garde" w:hAnsi="ITC Avant Garde"/>
          <w:lang w:val="es-MX"/>
        </w:rPr>
        <w:t xml:space="preserve">Bajo este enfoque, la fibra y el cobre estarían basados </w:t>
      </w:r>
      <w:r w:rsidRPr="004C1A96">
        <w:rPr>
          <w:rFonts w:cs="Arial"/>
          <w:lang w:val="es-MX"/>
        </w:rPr>
        <w:t>​​</w:t>
      </w:r>
      <w:r w:rsidRPr="004C1A96">
        <w:rPr>
          <w:rFonts w:ascii="ITC Avant Garde" w:hAnsi="ITC Avant Garde"/>
          <w:lang w:val="es-MX"/>
        </w:rPr>
        <w:t>en la misma red, es decir, la misma estructura de nodo.</w:t>
      </w:r>
    </w:p>
    <w:p w14:paraId="55A8AB7D" w14:textId="72DFAA7F" w:rsidR="00BC0096" w:rsidRPr="004C1A96" w:rsidRDefault="00BC0096" w:rsidP="00BC0096">
      <w:pPr>
        <w:rPr>
          <w:rFonts w:ascii="ITC Avant Garde" w:hAnsi="ITC Avant Garde"/>
          <w:lang w:val="es-MX"/>
        </w:rPr>
      </w:pPr>
      <w:r w:rsidRPr="004C1A96">
        <w:rPr>
          <w:rFonts w:ascii="ITC Avant Garde" w:hAnsi="ITC Avant Garde"/>
          <w:lang w:val="es-MX"/>
        </w:rPr>
        <w:t>Bajo el segundo enfoque</w:t>
      </w:r>
      <w:r w:rsidR="00F25A52" w:rsidRPr="004C1A96">
        <w:rPr>
          <w:rFonts w:ascii="ITC Avant Garde" w:hAnsi="ITC Avant Garde"/>
          <w:lang w:val="es-MX"/>
        </w:rPr>
        <w:t xml:space="preserve"> (</w:t>
      </w:r>
      <w:r w:rsidRPr="004C1A96">
        <w:rPr>
          <w:rFonts w:ascii="ITC Avant Garde" w:hAnsi="ITC Avant Garde"/>
          <w:lang w:val="es-MX"/>
        </w:rPr>
        <w:t>modelar separadamente la red de cobre</w:t>
      </w:r>
      <w:r w:rsidR="00CF618A" w:rsidRPr="004C1A96">
        <w:rPr>
          <w:rFonts w:ascii="ITC Avant Garde" w:hAnsi="ITC Avant Garde"/>
          <w:lang w:val="es-MX"/>
        </w:rPr>
        <w:t>, la red FTTH y la red FTTC</w:t>
      </w:r>
      <w:r w:rsidR="00F25A52" w:rsidRPr="004C1A96">
        <w:rPr>
          <w:rFonts w:ascii="ITC Avant Garde" w:hAnsi="ITC Avant Garde"/>
          <w:lang w:val="es-MX"/>
        </w:rPr>
        <w:t>)</w:t>
      </w:r>
      <w:r w:rsidRPr="004C1A96">
        <w:rPr>
          <w:rFonts w:ascii="ITC Avant Garde" w:hAnsi="ITC Avant Garde"/>
          <w:lang w:val="es-MX"/>
        </w:rPr>
        <w:t xml:space="preserve"> </w:t>
      </w:r>
      <w:r w:rsidR="00F25A52" w:rsidRPr="004C1A96">
        <w:rPr>
          <w:rFonts w:ascii="ITC Avant Garde" w:hAnsi="ITC Avant Garde"/>
          <w:lang w:val="es-MX"/>
        </w:rPr>
        <w:t xml:space="preserve">se consideran </w:t>
      </w:r>
      <w:r w:rsidRPr="004C1A96">
        <w:rPr>
          <w:rFonts w:ascii="ITC Avant Garde" w:hAnsi="ITC Avant Garde"/>
          <w:lang w:val="es-MX"/>
        </w:rPr>
        <w:t xml:space="preserve">los </w:t>
      </w:r>
      <w:r w:rsidR="00F25A52" w:rsidRPr="004C1A96">
        <w:rPr>
          <w:rFonts w:ascii="ITC Avant Garde" w:hAnsi="ITC Avant Garde"/>
          <w:lang w:val="es-MX"/>
        </w:rPr>
        <w:t>factores</w:t>
      </w:r>
      <w:r w:rsidRPr="004C1A96">
        <w:rPr>
          <w:rFonts w:ascii="ITC Avant Garde" w:hAnsi="ITC Avant Garde"/>
          <w:lang w:val="es-MX"/>
        </w:rPr>
        <w:t xml:space="preserve"> de costos apropiados y las reglas de ingeniería (equipos/parámetros específicos) para que cada red </w:t>
      </w:r>
      <w:r w:rsidR="00F25A52" w:rsidRPr="004C1A96">
        <w:rPr>
          <w:rFonts w:ascii="ITC Avant Garde" w:hAnsi="ITC Avant Garde"/>
          <w:lang w:val="es-MX"/>
        </w:rPr>
        <w:t>reflej</w:t>
      </w:r>
      <w:r w:rsidR="00016AA5" w:rsidRPr="004C1A96">
        <w:rPr>
          <w:rFonts w:ascii="ITC Avant Garde" w:hAnsi="ITC Avant Garde"/>
          <w:lang w:val="es-MX"/>
        </w:rPr>
        <w:t>e</w:t>
      </w:r>
      <w:r w:rsidR="00F25A52" w:rsidRPr="004C1A96">
        <w:rPr>
          <w:rFonts w:ascii="ITC Avant Garde" w:hAnsi="ITC Avant Garde"/>
          <w:lang w:val="es-MX"/>
        </w:rPr>
        <w:t xml:space="preserve"> los costos de su propia</w:t>
      </w:r>
      <w:r w:rsidRPr="004C1A96">
        <w:rPr>
          <w:rFonts w:ascii="ITC Avant Garde" w:hAnsi="ITC Avant Garde"/>
          <w:lang w:val="es-MX"/>
        </w:rPr>
        <w:t xml:space="preserve"> tecnología.</w:t>
      </w:r>
    </w:p>
    <w:p w14:paraId="42C7B3F3" w14:textId="29D11D60" w:rsidR="00F25A52" w:rsidRPr="004C1A96" w:rsidRDefault="00F25A52" w:rsidP="00F25A52">
      <w:pPr>
        <w:rPr>
          <w:rFonts w:ascii="ITC Avant Garde" w:hAnsi="ITC Avant Garde"/>
          <w:lang w:val="es-MX"/>
        </w:rPr>
      </w:pPr>
      <w:r w:rsidRPr="004C1A96">
        <w:rPr>
          <w:rFonts w:ascii="ITC Avant Garde" w:hAnsi="ITC Avant Garde"/>
          <w:lang w:val="es-MX"/>
        </w:rPr>
        <w:t xml:space="preserve">Bajo este enfoque, </w:t>
      </w:r>
      <w:r w:rsidR="006E45A3" w:rsidRPr="004C1A96">
        <w:rPr>
          <w:rFonts w:ascii="ITC Avant Garde" w:hAnsi="ITC Avant Garde"/>
          <w:lang w:val="es-MX"/>
        </w:rPr>
        <w:t>FTTH, FTTC</w:t>
      </w:r>
      <w:r w:rsidRPr="004C1A96">
        <w:rPr>
          <w:rFonts w:ascii="ITC Avant Garde" w:hAnsi="ITC Avant Garde"/>
          <w:lang w:val="es-MX"/>
        </w:rPr>
        <w:t xml:space="preserve"> y el cobre se basarían en </w:t>
      </w:r>
      <w:r w:rsidR="00CF618A" w:rsidRPr="004C1A96">
        <w:rPr>
          <w:rFonts w:ascii="ITC Avant Garde" w:hAnsi="ITC Avant Garde"/>
          <w:lang w:val="es-MX"/>
        </w:rPr>
        <w:t xml:space="preserve">tres </w:t>
      </w:r>
      <w:r w:rsidRPr="004C1A96">
        <w:rPr>
          <w:rFonts w:ascii="ITC Avant Garde" w:hAnsi="ITC Avant Garde"/>
          <w:lang w:val="es-MX"/>
        </w:rPr>
        <w:t xml:space="preserve">redes y, por lo tanto, </w:t>
      </w:r>
      <w:r w:rsidR="00CF618A" w:rsidRPr="004C1A96">
        <w:rPr>
          <w:rFonts w:ascii="ITC Avant Garde" w:hAnsi="ITC Avant Garde"/>
          <w:lang w:val="es-MX"/>
        </w:rPr>
        <w:t xml:space="preserve">tres </w:t>
      </w:r>
      <w:r w:rsidRPr="004C1A96">
        <w:rPr>
          <w:rFonts w:ascii="ITC Avant Garde" w:hAnsi="ITC Avant Garde"/>
          <w:lang w:val="es-MX"/>
        </w:rPr>
        <w:t>estructuras de nodos.</w:t>
      </w:r>
    </w:p>
    <w:p w14:paraId="024F4D71" w14:textId="77777777" w:rsidR="001F2EF1" w:rsidRPr="004C1A96" w:rsidRDefault="001F2EF1" w:rsidP="001F2EF1">
      <w:pPr>
        <w:rPr>
          <w:rFonts w:ascii="ITC Avant Garde" w:hAnsi="ITC Avant Garde"/>
          <w:lang w:val="es-MX"/>
        </w:rPr>
      </w:pPr>
      <w:r w:rsidRPr="004C1A96">
        <w:rPr>
          <w:rFonts w:ascii="ITC Avant Garde" w:hAnsi="ITC Avant Garde"/>
          <w:lang w:val="es-MX"/>
        </w:rPr>
        <w:t xml:space="preserve">La decisión a tomar entre estos dos enfoques depende de los </w:t>
      </w:r>
      <w:r w:rsidR="00F2544C" w:rsidRPr="004C1A96">
        <w:rPr>
          <w:rFonts w:ascii="ITC Avant Garde" w:hAnsi="ITC Avant Garde"/>
          <w:lang w:val="es-MX"/>
        </w:rPr>
        <w:t>objetivos</w:t>
      </w:r>
      <w:r w:rsidRPr="004C1A96">
        <w:rPr>
          <w:rFonts w:ascii="ITC Avant Garde" w:hAnsi="ITC Avant Garde"/>
          <w:lang w:val="es-MX"/>
        </w:rPr>
        <w:t xml:space="preserve"> del re</w:t>
      </w:r>
      <w:r w:rsidR="007B421A" w:rsidRPr="004C1A96">
        <w:rPr>
          <w:rFonts w:ascii="ITC Avant Garde" w:hAnsi="ITC Avant Garde"/>
          <w:lang w:val="es-MX"/>
        </w:rPr>
        <w:t>g</w:t>
      </w:r>
      <w:r w:rsidRPr="004C1A96">
        <w:rPr>
          <w:rFonts w:ascii="ITC Avant Garde" w:hAnsi="ITC Avant Garde"/>
          <w:lang w:val="es-MX"/>
        </w:rPr>
        <w:t xml:space="preserve">ulador: </w:t>
      </w:r>
    </w:p>
    <w:p w14:paraId="375AAB90" w14:textId="0D1A5C2F" w:rsidR="001F2EF1" w:rsidRPr="004C1A96" w:rsidRDefault="00016AA5" w:rsidP="001F2EF1">
      <w:pPr>
        <w:pStyle w:val="Listaconvietas2"/>
        <w:rPr>
          <w:rFonts w:ascii="ITC Avant Garde" w:hAnsi="ITC Avant Garde"/>
          <w:lang w:val="es-MX"/>
        </w:rPr>
      </w:pPr>
      <w:r w:rsidRPr="004C1A96">
        <w:rPr>
          <w:rFonts w:ascii="ITC Avant Garde" w:hAnsi="ITC Avant Garde"/>
          <w:lang w:val="es-MX"/>
        </w:rPr>
        <w:t>Por</w:t>
      </w:r>
      <w:r w:rsidR="001F2EF1" w:rsidRPr="004C1A96">
        <w:rPr>
          <w:rFonts w:ascii="ITC Avant Garde" w:hAnsi="ITC Avant Garde"/>
          <w:lang w:val="es-MX"/>
        </w:rPr>
        <w:t xml:space="preserve"> un </w:t>
      </w:r>
      <w:r w:rsidR="009F5817" w:rsidRPr="004C1A96">
        <w:rPr>
          <w:rFonts w:ascii="ITC Avant Garde" w:hAnsi="ITC Avant Garde"/>
          <w:lang w:val="es-MX"/>
        </w:rPr>
        <w:t>lado,</w:t>
      </w:r>
      <w:r w:rsidR="001F2EF1" w:rsidRPr="004C1A96">
        <w:rPr>
          <w:rFonts w:ascii="ITC Avant Garde" w:hAnsi="ITC Avant Garde"/>
          <w:lang w:val="es-MX"/>
        </w:rPr>
        <w:t xml:space="preserve"> fijar precios de cobre</w:t>
      </w:r>
      <w:r w:rsidR="00777640" w:rsidRPr="004C1A96">
        <w:rPr>
          <w:rFonts w:ascii="ITC Avant Garde" w:hAnsi="ITC Avant Garde"/>
          <w:lang w:val="es-MX"/>
        </w:rPr>
        <w:t xml:space="preserve">, </w:t>
      </w:r>
      <w:r w:rsidR="006E45A3" w:rsidRPr="004C1A96">
        <w:rPr>
          <w:rFonts w:ascii="ITC Avant Garde" w:hAnsi="ITC Avant Garde"/>
          <w:lang w:val="es-MX"/>
        </w:rPr>
        <w:t xml:space="preserve">FTTH y FTTC </w:t>
      </w:r>
      <w:r w:rsidR="001F2EF1" w:rsidRPr="004C1A96">
        <w:rPr>
          <w:rFonts w:ascii="ITC Avant Garde" w:hAnsi="ITC Avant Garde"/>
          <w:lang w:val="es-MX"/>
        </w:rPr>
        <w:t xml:space="preserve">respectivamente sobre la base de </w:t>
      </w:r>
      <w:r w:rsidR="006E45A3" w:rsidRPr="004C1A96">
        <w:rPr>
          <w:rFonts w:ascii="ITC Avant Garde" w:hAnsi="ITC Avant Garde"/>
          <w:lang w:val="es-MX"/>
        </w:rPr>
        <w:t xml:space="preserve">tres </w:t>
      </w:r>
      <w:r w:rsidR="001F2EF1" w:rsidRPr="004C1A96">
        <w:rPr>
          <w:rFonts w:ascii="ITC Avant Garde" w:hAnsi="ITC Avant Garde"/>
          <w:lang w:val="es-MX"/>
        </w:rPr>
        <w:t>redes de acceso (y luego usar costos específicos de equipos de cobre</w:t>
      </w:r>
      <w:r w:rsidR="00777640" w:rsidRPr="004C1A96">
        <w:rPr>
          <w:rFonts w:ascii="ITC Avant Garde" w:hAnsi="ITC Avant Garde"/>
          <w:lang w:val="es-MX"/>
        </w:rPr>
        <w:t>,</w:t>
      </w:r>
      <w:r w:rsidR="001F2EF1" w:rsidRPr="004C1A96">
        <w:rPr>
          <w:rFonts w:ascii="ITC Avant Garde" w:hAnsi="ITC Avant Garde"/>
          <w:lang w:val="es-MX"/>
        </w:rPr>
        <w:t xml:space="preserve"> </w:t>
      </w:r>
      <w:r w:rsidR="006E45A3" w:rsidRPr="004C1A96">
        <w:rPr>
          <w:rFonts w:ascii="ITC Avant Garde" w:hAnsi="ITC Avant Garde"/>
          <w:lang w:val="es-MX"/>
        </w:rPr>
        <w:t>FTTH y FTTC</w:t>
      </w:r>
      <w:r w:rsidR="001F2EF1" w:rsidRPr="004C1A96">
        <w:rPr>
          <w:rFonts w:ascii="ITC Avant Garde" w:hAnsi="ITC Avant Garde"/>
          <w:lang w:val="es-MX"/>
        </w:rPr>
        <w:t xml:space="preserve">) permite establecer precios que reflejan las diferencias reales de costos y poner </w:t>
      </w:r>
      <w:r w:rsidR="006E45A3" w:rsidRPr="004C1A96">
        <w:rPr>
          <w:rFonts w:ascii="ITC Avant Garde" w:hAnsi="ITC Avant Garde"/>
          <w:lang w:val="es-MX"/>
        </w:rPr>
        <w:t xml:space="preserve">las </w:t>
      </w:r>
      <w:r w:rsidR="001F2EF1" w:rsidRPr="004C1A96">
        <w:rPr>
          <w:rFonts w:ascii="ITC Avant Garde" w:hAnsi="ITC Avant Garde"/>
          <w:lang w:val="es-MX"/>
        </w:rPr>
        <w:t xml:space="preserve">tecnologías en igualdad de condiciones, </w:t>
      </w:r>
    </w:p>
    <w:p w14:paraId="2C74800B" w14:textId="1D8D3D90" w:rsidR="001F2EF1" w:rsidRPr="004C1A96" w:rsidRDefault="000515D5" w:rsidP="001F2EF1">
      <w:pPr>
        <w:pStyle w:val="Listaconvietas2"/>
        <w:rPr>
          <w:rFonts w:ascii="ITC Avant Garde" w:hAnsi="ITC Avant Garde"/>
          <w:lang w:val="es-MX"/>
        </w:rPr>
      </w:pPr>
      <w:r w:rsidRPr="004C1A96">
        <w:rPr>
          <w:rFonts w:ascii="ITC Avant Garde" w:hAnsi="ITC Avant Garde"/>
          <w:lang w:val="es-MX"/>
        </w:rPr>
        <w:t>Por</w:t>
      </w:r>
      <w:r w:rsidR="001F2EF1" w:rsidRPr="004C1A96">
        <w:rPr>
          <w:rFonts w:ascii="ITC Avant Garde" w:hAnsi="ITC Avant Garde"/>
          <w:lang w:val="es-MX"/>
        </w:rPr>
        <w:t xml:space="preserve"> otro lado, el primer enfoque resulta en un precio de</w:t>
      </w:r>
      <w:r w:rsidR="00523CC4" w:rsidRPr="004C1A96">
        <w:rPr>
          <w:rFonts w:ascii="ITC Avant Garde" w:hAnsi="ITC Avant Garde"/>
          <w:lang w:val="es-MX"/>
        </w:rPr>
        <w:t xml:space="preserve"> todas las tecnologías </w:t>
      </w:r>
      <w:r w:rsidR="001F2EF1" w:rsidRPr="004C1A96">
        <w:rPr>
          <w:rFonts w:ascii="ITC Avant Garde" w:hAnsi="ITC Avant Garde"/>
          <w:lang w:val="es-MX"/>
        </w:rPr>
        <w:t>al mismo nivel (el precio de la fibra), lo que facilita la migración del cobre a la fibra, ya que la fibra tendría el mismo precio que el cobre y ofrecería muchas más capacidades.</w:t>
      </w:r>
    </w:p>
    <w:p w14:paraId="0C60F07A" w14:textId="3B22B03B" w:rsidR="00BC0096" w:rsidRPr="004C1A96" w:rsidRDefault="00BC0096" w:rsidP="00BC0096">
      <w:pPr>
        <w:rPr>
          <w:rFonts w:ascii="ITC Avant Garde" w:hAnsi="ITC Avant Garde"/>
          <w:lang w:val="es-MX"/>
        </w:rPr>
      </w:pPr>
      <w:r w:rsidRPr="004C1A96">
        <w:rPr>
          <w:rFonts w:ascii="ITC Avant Garde" w:hAnsi="ITC Avant Garde"/>
          <w:lang w:val="es-MX"/>
        </w:rPr>
        <w:t xml:space="preserve">El modelado de </w:t>
      </w:r>
      <w:r w:rsidR="00CF618A" w:rsidRPr="004C1A96">
        <w:rPr>
          <w:rFonts w:ascii="ITC Avant Garde" w:hAnsi="ITC Avant Garde"/>
          <w:lang w:val="es-MX"/>
        </w:rPr>
        <w:t xml:space="preserve">las tres </w:t>
      </w:r>
      <w:r w:rsidRPr="004C1A96">
        <w:rPr>
          <w:rFonts w:ascii="ITC Avant Garde" w:hAnsi="ITC Avant Garde"/>
          <w:lang w:val="es-MX"/>
        </w:rPr>
        <w:t xml:space="preserve">tecnologías por separado en el mismo modelo </w:t>
      </w:r>
      <w:r w:rsidR="007B421A" w:rsidRPr="004C1A96">
        <w:rPr>
          <w:rFonts w:ascii="ITC Avant Garde" w:hAnsi="ITC Avant Garde"/>
          <w:lang w:val="es-MX"/>
        </w:rPr>
        <w:t>es el</w:t>
      </w:r>
      <w:r w:rsidRPr="004C1A96">
        <w:rPr>
          <w:rFonts w:ascii="ITC Avant Garde" w:hAnsi="ITC Avant Garde"/>
          <w:lang w:val="es-MX"/>
        </w:rPr>
        <w:t xml:space="preserve"> </w:t>
      </w:r>
      <w:r w:rsidR="007B421A" w:rsidRPr="004C1A96">
        <w:rPr>
          <w:rFonts w:ascii="ITC Avant Garde" w:hAnsi="ITC Avant Garde"/>
          <w:lang w:val="es-MX"/>
        </w:rPr>
        <w:t xml:space="preserve">enfoque </w:t>
      </w:r>
      <w:r w:rsidRPr="004C1A96">
        <w:rPr>
          <w:rFonts w:ascii="ITC Avant Garde" w:hAnsi="ITC Avant Garde"/>
          <w:lang w:val="es-MX"/>
        </w:rPr>
        <w:t xml:space="preserve">que está más en línea con el objetivo </w:t>
      </w:r>
      <w:r w:rsidR="007B421A" w:rsidRPr="004C1A96">
        <w:rPr>
          <w:rFonts w:ascii="ITC Avant Garde" w:hAnsi="ITC Avant Garde"/>
          <w:lang w:val="es-MX"/>
        </w:rPr>
        <w:t>de</w:t>
      </w:r>
      <w:r w:rsidRPr="004C1A96">
        <w:rPr>
          <w:rFonts w:ascii="ITC Avant Garde" w:hAnsi="ITC Avant Garde"/>
          <w:lang w:val="es-MX"/>
        </w:rPr>
        <w:t xml:space="preserve"> facilitar la coherencia en los precios y reconciliar los dos modelos anteriores ya desarrollados. </w:t>
      </w:r>
    </w:p>
    <w:p w14:paraId="7DF640EC" w14:textId="346EBBBA" w:rsidR="00BC0096" w:rsidRPr="004C1A96" w:rsidRDefault="00BC0096" w:rsidP="001F2EF1">
      <w:pPr>
        <w:pStyle w:val="Encadr3"/>
        <w:rPr>
          <w:rFonts w:ascii="ITC Avant Garde" w:hAnsi="ITC Avant Garde"/>
          <w:lang w:val="es-MX"/>
        </w:rPr>
      </w:pPr>
      <w:r w:rsidRPr="00E14D8A">
        <w:rPr>
          <w:rFonts w:ascii="ITC Avant Garde" w:hAnsi="ITC Avant Garde"/>
          <w:lang w:val="es-MX"/>
        </w:rPr>
        <w:lastRenderedPageBreak/>
        <w:t xml:space="preserve">Criterio 7: La red de acceso considerada se basa en </w:t>
      </w:r>
      <w:r w:rsidR="00CF618A" w:rsidRPr="004C1A96">
        <w:rPr>
          <w:rFonts w:ascii="ITC Avant Garde" w:hAnsi="ITC Avant Garde"/>
          <w:lang w:val="es-MX"/>
        </w:rPr>
        <w:t xml:space="preserve">tres </w:t>
      </w:r>
      <w:r w:rsidRPr="004C1A96">
        <w:rPr>
          <w:rFonts w:ascii="ITC Avant Garde" w:hAnsi="ITC Avant Garde"/>
          <w:lang w:val="es-MX"/>
        </w:rPr>
        <w:t>redes separadas: cobre</w:t>
      </w:r>
      <w:r w:rsidR="00015CD5" w:rsidRPr="004C1A96">
        <w:rPr>
          <w:rFonts w:ascii="ITC Avant Garde" w:hAnsi="ITC Avant Garde"/>
          <w:lang w:val="es-MX"/>
        </w:rPr>
        <w:t xml:space="preserve">, </w:t>
      </w:r>
      <w:r w:rsidR="00CF618A" w:rsidRPr="004C1A96">
        <w:rPr>
          <w:rFonts w:ascii="ITC Avant Garde" w:hAnsi="ITC Avant Garde"/>
          <w:lang w:val="es-MX"/>
        </w:rPr>
        <w:t>FTTH y FTTC</w:t>
      </w:r>
      <w:r w:rsidRPr="004C1A96">
        <w:rPr>
          <w:rFonts w:ascii="ITC Avant Garde" w:hAnsi="ITC Avant Garde"/>
          <w:lang w:val="es-MX"/>
        </w:rPr>
        <w:t>.</w:t>
      </w:r>
    </w:p>
    <w:p w14:paraId="6B259E4F" w14:textId="77777777" w:rsidR="00BC0096" w:rsidRPr="004C1A96" w:rsidRDefault="00BC0096" w:rsidP="00BC0096">
      <w:pPr>
        <w:rPr>
          <w:rFonts w:ascii="ITC Avant Garde" w:hAnsi="ITC Avant Garde"/>
          <w:lang w:val="es-MX"/>
        </w:rPr>
      </w:pPr>
    </w:p>
    <w:p w14:paraId="1D373137" w14:textId="77777777" w:rsidR="00BC0096" w:rsidRPr="008F42FC" w:rsidRDefault="00BC0096" w:rsidP="003C224B">
      <w:pPr>
        <w:pStyle w:val="Ttulo4"/>
        <w:rPr>
          <w:lang w:val="es-MX"/>
        </w:rPr>
      </w:pPr>
      <w:bookmarkStart w:id="93" w:name="_Toc525665266"/>
      <w:bookmarkStart w:id="94" w:name="_Toc525665645"/>
      <w:bookmarkStart w:id="95" w:name="_Toc141975003"/>
      <w:r w:rsidRPr="008F42FC">
        <w:rPr>
          <w:lang w:val="es-MX"/>
        </w:rPr>
        <w:t>Ubicación de los nodos</w:t>
      </w:r>
      <w:bookmarkEnd w:id="93"/>
      <w:bookmarkEnd w:id="94"/>
      <w:bookmarkEnd w:id="95"/>
    </w:p>
    <w:p w14:paraId="6967CFD6" w14:textId="4145A4EA" w:rsidR="00BC0096" w:rsidRPr="004C1A96" w:rsidRDefault="00BC0096" w:rsidP="00BC0096">
      <w:pPr>
        <w:rPr>
          <w:rFonts w:ascii="ITC Avant Garde" w:hAnsi="ITC Avant Garde"/>
          <w:lang w:val="es-MX"/>
        </w:rPr>
      </w:pPr>
      <w:r w:rsidRPr="004C1A96">
        <w:rPr>
          <w:rFonts w:ascii="ITC Avant Garde" w:hAnsi="ITC Avant Garde"/>
          <w:lang w:val="es-MX"/>
        </w:rPr>
        <w:t>La ubicación de</w:t>
      </w:r>
      <w:r w:rsidR="001F2EF1" w:rsidRPr="004C1A96">
        <w:rPr>
          <w:rFonts w:ascii="ITC Avant Garde" w:hAnsi="ITC Avant Garde"/>
          <w:lang w:val="es-MX"/>
        </w:rPr>
        <w:t xml:space="preserve"> </w:t>
      </w:r>
      <w:r w:rsidRPr="004C1A96">
        <w:rPr>
          <w:rFonts w:ascii="ITC Avant Garde" w:hAnsi="ITC Avant Garde"/>
          <w:lang w:val="es-MX"/>
        </w:rPr>
        <w:t>nodo</w:t>
      </w:r>
      <w:r w:rsidR="001F2EF1" w:rsidRPr="004C1A96">
        <w:rPr>
          <w:rFonts w:ascii="ITC Avant Garde" w:hAnsi="ITC Avant Garde"/>
          <w:lang w:val="es-MX"/>
        </w:rPr>
        <w:t>s de la red de acceso</w:t>
      </w:r>
      <w:r w:rsidRPr="004C1A96">
        <w:rPr>
          <w:rFonts w:ascii="ITC Avant Garde" w:hAnsi="ITC Avant Garde"/>
          <w:lang w:val="es-MX"/>
        </w:rPr>
        <w:t xml:space="preserve"> que debe considerarse en el modelo depende de la elección del operador que se modelará</w:t>
      </w:r>
      <w:r w:rsidR="007F6FB2" w:rsidRPr="00E14D8A">
        <w:rPr>
          <w:rFonts w:ascii="ITC Avant Garde" w:hAnsi="ITC Avant Garde"/>
          <w:lang w:val="es-MX"/>
        </w:rPr>
        <w:t>.</w:t>
      </w:r>
      <w:r w:rsidRPr="00E14D8A">
        <w:rPr>
          <w:rFonts w:ascii="ITC Avant Garde" w:hAnsi="ITC Avant Garde"/>
          <w:lang w:val="es-MX"/>
        </w:rPr>
        <w:t xml:space="preserve"> En el caso de modelar </w:t>
      </w:r>
      <w:r w:rsidR="00B36DD9" w:rsidRPr="00E14D8A">
        <w:rPr>
          <w:rFonts w:ascii="ITC Avant Garde" w:hAnsi="ITC Avant Garde"/>
          <w:lang w:val="es-MX"/>
        </w:rPr>
        <w:t>al</w:t>
      </w:r>
      <w:r w:rsidRPr="004C1A96">
        <w:rPr>
          <w:rFonts w:ascii="ITC Avant Garde" w:hAnsi="ITC Avant Garde"/>
          <w:lang w:val="es-MX"/>
        </w:rPr>
        <w:t xml:space="preserve"> </w:t>
      </w:r>
      <w:r w:rsidR="001F2EF1" w:rsidRPr="004C1A96">
        <w:rPr>
          <w:rFonts w:ascii="ITC Avant Garde" w:hAnsi="ITC Avant Garde"/>
          <w:lang w:val="es-MX"/>
        </w:rPr>
        <w:t>AEP</w:t>
      </w:r>
      <w:r w:rsidRPr="004C1A96">
        <w:rPr>
          <w:rFonts w:ascii="ITC Avant Garde" w:hAnsi="ITC Avant Garde"/>
          <w:lang w:val="es-MX"/>
        </w:rPr>
        <w:t xml:space="preserve">, la ubicación de los nodos que se podría tomar en consideración es la </w:t>
      </w:r>
      <w:r w:rsidR="001F2EF1" w:rsidRPr="004C1A96">
        <w:rPr>
          <w:rFonts w:ascii="ITC Avant Garde" w:hAnsi="ITC Avant Garde"/>
          <w:lang w:val="es-MX"/>
        </w:rPr>
        <w:t>del</w:t>
      </w:r>
      <w:r w:rsidRPr="004C1A96">
        <w:rPr>
          <w:rFonts w:ascii="ITC Avant Garde" w:hAnsi="ITC Avant Garde"/>
          <w:lang w:val="es-MX"/>
        </w:rPr>
        <w:t xml:space="preserve"> operador, por lo que este parámetro no es un resultado de ningún proceso de optimización.</w:t>
      </w:r>
    </w:p>
    <w:p w14:paraId="4E9D422C" w14:textId="0CE42824" w:rsidR="00BC0096" w:rsidRPr="004C1A96" w:rsidRDefault="00BC0096" w:rsidP="00BC0096">
      <w:pPr>
        <w:rPr>
          <w:rFonts w:ascii="ITC Avant Garde" w:hAnsi="ITC Avant Garde"/>
          <w:lang w:val="es-MX"/>
        </w:rPr>
      </w:pPr>
      <w:r w:rsidRPr="004C1A96">
        <w:rPr>
          <w:rFonts w:ascii="ITC Avant Garde" w:hAnsi="ITC Avant Garde"/>
          <w:lang w:val="es-MX"/>
        </w:rPr>
        <w:t xml:space="preserve">Sin embargo, en el caso de modelar un operador hipotéticamente eficiente, en lugar de un operador que imita la red del operador SMP, se puede usar la red </w:t>
      </w:r>
      <w:r w:rsidR="003B1FBF" w:rsidRPr="004C1A96">
        <w:rPr>
          <w:rFonts w:ascii="ITC Avant Garde" w:hAnsi="ITC Avant Garde"/>
          <w:lang w:val="es-MX"/>
        </w:rPr>
        <w:t xml:space="preserve">del </w:t>
      </w:r>
      <w:r w:rsidR="009F5817" w:rsidRPr="004C1A96">
        <w:rPr>
          <w:rFonts w:ascii="ITC Avant Garde" w:hAnsi="ITC Avant Garde"/>
          <w:lang w:val="es-MX"/>
        </w:rPr>
        <w:t>AEP como</w:t>
      </w:r>
      <w:r w:rsidRPr="004C1A96">
        <w:rPr>
          <w:rFonts w:ascii="ITC Avant Garde" w:hAnsi="ITC Avant Garde"/>
          <w:lang w:val="es-MX"/>
        </w:rPr>
        <w:t xml:space="preserve"> base para definir los nodos de acceso de red que se han establecido en ubicaciones geográficas</w:t>
      </w:r>
      <w:r w:rsidR="001F2EF1" w:rsidRPr="004C1A96">
        <w:rPr>
          <w:rFonts w:ascii="ITC Avant Garde" w:hAnsi="ITC Avant Garde"/>
          <w:lang w:val="es-MX"/>
        </w:rPr>
        <w:t xml:space="preserve"> (</w:t>
      </w:r>
      <w:r w:rsidRPr="004C1A96">
        <w:rPr>
          <w:rFonts w:ascii="ITC Avant Garde" w:hAnsi="ITC Avant Garde"/>
          <w:lang w:val="es-MX"/>
        </w:rPr>
        <w:t>llamados sitios</w:t>
      </w:r>
      <w:r w:rsidR="001F2EF1" w:rsidRPr="004C1A96">
        <w:rPr>
          <w:rFonts w:ascii="ITC Avant Garde" w:hAnsi="ITC Avant Garde"/>
          <w:lang w:val="es-MX"/>
        </w:rPr>
        <w:t>)</w:t>
      </w:r>
      <w:r w:rsidRPr="004C1A96">
        <w:rPr>
          <w:rFonts w:ascii="ITC Avant Garde" w:hAnsi="ITC Avant Garde"/>
          <w:lang w:val="es-MX"/>
        </w:rPr>
        <w:t xml:space="preserve">, considerados como ideales para el despliegue de la red de cobre y también tomando en consideración las especificidades del territorio y la sociedad mexicanos. Esto podría proporcionar un punto de partida razonable para el modelo. Por otro lado, las ubicaciones geográficas existentes de los nodos que se encuentran en sitios, que es un espacio físico que incluye protección de blindaje, sistemas eléctricos, sistema de energía de reserva y sistema climático, pueden ser inconsistentes con lo que podría suponerse para una nueva red de fibra óptica. </w:t>
      </w:r>
      <w:r w:rsidR="006E45A3" w:rsidRPr="004C1A96">
        <w:rPr>
          <w:rFonts w:ascii="ITC Avant Garde" w:hAnsi="ITC Avant Garde"/>
          <w:lang w:val="es-MX"/>
        </w:rPr>
        <w:t>P</w:t>
      </w:r>
      <w:r w:rsidRPr="004C1A96">
        <w:rPr>
          <w:rFonts w:ascii="ITC Avant Garde" w:hAnsi="ITC Avant Garde"/>
          <w:lang w:val="es-MX"/>
        </w:rPr>
        <w:t>articularmente debido a que la fibra óptica tiene un alcance considerablemente mayor que el cobre debido a diferentes atributos tecnológicos.</w:t>
      </w:r>
    </w:p>
    <w:p w14:paraId="02006E60" w14:textId="77777777" w:rsidR="00BC0096" w:rsidRPr="004C1A96" w:rsidRDefault="001F2EF1" w:rsidP="00BC0096">
      <w:pPr>
        <w:rPr>
          <w:rFonts w:ascii="ITC Avant Garde" w:hAnsi="ITC Avant Garde"/>
          <w:lang w:val="es-MX"/>
        </w:rPr>
      </w:pPr>
      <w:r w:rsidRPr="004C1A96">
        <w:rPr>
          <w:rFonts w:ascii="ITC Avant Garde" w:hAnsi="ITC Avant Garde"/>
          <w:lang w:val="es-MX"/>
        </w:rPr>
        <w:t>Al final, l</w:t>
      </w:r>
      <w:r w:rsidR="00BC0096" w:rsidRPr="004C1A96">
        <w:rPr>
          <w:rFonts w:ascii="ITC Avant Garde" w:hAnsi="ITC Avant Garde"/>
          <w:lang w:val="es-MX"/>
        </w:rPr>
        <w:t>a determinación de la ubicación de los nodos se puede realizar utilizando varios enfoques:</w:t>
      </w:r>
    </w:p>
    <w:p w14:paraId="65970AED" w14:textId="77777777" w:rsidR="00BC0096" w:rsidRPr="004C1A96" w:rsidRDefault="00BC0096" w:rsidP="00556A48">
      <w:pPr>
        <w:pStyle w:val="Prrafodelista"/>
        <w:numPr>
          <w:ilvl w:val="0"/>
          <w:numId w:val="18"/>
        </w:numPr>
        <w:rPr>
          <w:rFonts w:ascii="ITC Avant Garde" w:hAnsi="ITC Avant Garde"/>
          <w:lang w:val="es-MX"/>
        </w:rPr>
      </w:pPr>
      <w:r w:rsidRPr="004C1A96">
        <w:rPr>
          <w:rFonts w:ascii="ITC Avant Garde" w:hAnsi="ITC Avant Garde"/>
          <w:lang w:val="es-MX"/>
        </w:rPr>
        <w:t xml:space="preserve">Enfoque </w:t>
      </w:r>
      <w:r w:rsidR="001F2EF1" w:rsidRPr="004C1A96">
        <w:rPr>
          <w:rFonts w:ascii="ITC Avant Garde" w:hAnsi="ITC Avant Garde"/>
          <w:i/>
          <w:lang w:val="es-MX"/>
        </w:rPr>
        <w:t>scorched earth</w:t>
      </w:r>
      <w:r w:rsidR="001F2EF1" w:rsidRPr="004C1A96">
        <w:rPr>
          <w:rFonts w:ascii="ITC Avant Garde" w:hAnsi="ITC Avant Garde"/>
          <w:lang w:val="es-MX"/>
        </w:rPr>
        <w:t xml:space="preserve"> </w:t>
      </w:r>
      <w:r w:rsidRPr="004C1A96">
        <w:rPr>
          <w:rFonts w:ascii="ITC Avant Garde" w:hAnsi="ITC Avant Garde"/>
          <w:lang w:val="es-MX"/>
        </w:rPr>
        <w:t>(construyendo desde cero);</w:t>
      </w:r>
    </w:p>
    <w:p w14:paraId="6E8B0CD3" w14:textId="77777777" w:rsidR="00BC0096" w:rsidRPr="004C1A96" w:rsidRDefault="00BC0096" w:rsidP="00556A48">
      <w:pPr>
        <w:pStyle w:val="Prrafodelista"/>
        <w:numPr>
          <w:ilvl w:val="0"/>
          <w:numId w:val="18"/>
        </w:numPr>
        <w:rPr>
          <w:rFonts w:ascii="ITC Avant Garde" w:hAnsi="ITC Avant Garde"/>
          <w:lang w:val="es-MX"/>
        </w:rPr>
      </w:pPr>
      <w:r w:rsidRPr="004C1A96">
        <w:rPr>
          <w:rFonts w:ascii="ITC Avant Garde" w:hAnsi="ITC Avant Garde"/>
          <w:lang w:val="es-MX"/>
        </w:rPr>
        <w:t xml:space="preserve">Enfoque </w:t>
      </w:r>
      <w:r w:rsidR="001F2EF1" w:rsidRPr="004C1A96">
        <w:rPr>
          <w:rFonts w:ascii="ITC Avant Garde" w:hAnsi="ITC Avant Garde"/>
          <w:i/>
          <w:lang w:val="es-MX"/>
        </w:rPr>
        <w:t>sorched node</w:t>
      </w:r>
      <w:r w:rsidRPr="004C1A96">
        <w:rPr>
          <w:rFonts w:ascii="ITC Avant Garde" w:hAnsi="ITC Avant Garde"/>
          <w:lang w:val="es-MX"/>
        </w:rPr>
        <w:t xml:space="preserve"> (es decir, los nodos de acceso del </w:t>
      </w:r>
      <w:r w:rsidR="001F2EF1" w:rsidRPr="004C1A96">
        <w:rPr>
          <w:rFonts w:ascii="ITC Avant Garde" w:hAnsi="ITC Avant Garde"/>
          <w:lang w:val="es-MX"/>
        </w:rPr>
        <w:t>AEP</w:t>
      </w:r>
      <w:r w:rsidRPr="004C1A96">
        <w:rPr>
          <w:rFonts w:ascii="ITC Avant Garde" w:hAnsi="ITC Avant Garde"/>
          <w:lang w:val="es-MX"/>
        </w:rPr>
        <w:t>);</w:t>
      </w:r>
    </w:p>
    <w:p w14:paraId="6777EC9E" w14:textId="77777777" w:rsidR="00BC0096" w:rsidRPr="004C1A96" w:rsidRDefault="00BC0096" w:rsidP="00556A48">
      <w:pPr>
        <w:pStyle w:val="Prrafodelista"/>
        <w:numPr>
          <w:ilvl w:val="0"/>
          <w:numId w:val="18"/>
        </w:numPr>
        <w:rPr>
          <w:rFonts w:ascii="ITC Avant Garde" w:hAnsi="ITC Avant Garde"/>
          <w:lang w:val="es-MX"/>
        </w:rPr>
      </w:pPr>
      <w:r w:rsidRPr="004C1A96">
        <w:rPr>
          <w:rFonts w:ascii="ITC Avant Garde" w:hAnsi="ITC Avant Garde"/>
          <w:lang w:val="es-MX"/>
        </w:rPr>
        <w:t xml:space="preserve">Enfoque </w:t>
      </w:r>
      <w:r w:rsidR="001F2EF1" w:rsidRPr="004C1A96">
        <w:rPr>
          <w:rFonts w:ascii="ITC Avant Garde" w:hAnsi="ITC Avant Garde"/>
          <w:i/>
          <w:lang w:val="es-MX"/>
        </w:rPr>
        <w:t>sorched node</w:t>
      </w:r>
      <w:r w:rsidRPr="004C1A96">
        <w:rPr>
          <w:rFonts w:ascii="ITC Avant Garde" w:hAnsi="ITC Avant Garde"/>
          <w:lang w:val="es-MX"/>
        </w:rPr>
        <w:t xml:space="preserve"> modificado:</w:t>
      </w:r>
    </w:p>
    <w:p w14:paraId="7EBD4DE0" w14:textId="77777777" w:rsidR="00BC0096" w:rsidRPr="004C1A96" w:rsidRDefault="00BC0096" w:rsidP="00556A48">
      <w:pPr>
        <w:pStyle w:val="Prrafodelista"/>
        <w:numPr>
          <w:ilvl w:val="1"/>
          <w:numId w:val="18"/>
        </w:numPr>
        <w:rPr>
          <w:rFonts w:ascii="ITC Avant Garde" w:hAnsi="ITC Avant Garde"/>
          <w:lang w:val="es-MX"/>
        </w:rPr>
      </w:pPr>
      <w:r w:rsidRPr="004C1A96">
        <w:rPr>
          <w:rFonts w:ascii="ITC Avant Garde" w:hAnsi="ITC Avant Garde"/>
          <w:lang w:val="es-MX"/>
        </w:rPr>
        <w:t xml:space="preserve">en función de los nodos de acceso de cobre actuales </w:t>
      </w:r>
      <w:r w:rsidR="003A0FB4" w:rsidRPr="004C1A96">
        <w:rPr>
          <w:rFonts w:ascii="ITC Avant Garde" w:hAnsi="ITC Avant Garde"/>
          <w:lang w:val="es-MX"/>
        </w:rPr>
        <w:t>u</w:t>
      </w:r>
      <w:r w:rsidRPr="004C1A96">
        <w:rPr>
          <w:rFonts w:ascii="ITC Avant Garde" w:hAnsi="ITC Avant Garde"/>
          <w:lang w:val="es-MX"/>
        </w:rPr>
        <w:t xml:space="preserve"> objetivo del </w:t>
      </w:r>
      <w:r w:rsidR="001F2EF1" w:rsidRPr="004C1A96">
        <w:rPr>
          <w:rFonts w:ascii="ITC Avant Garde" w:hAnsi="ITC Avant Garde"/>
          <w:lang w:val="es-MX"/>
        </w:rPr>
        <w:t>AE</w:t>
      </w:r>
      <w:r w:rsidRPr="004C1A96">
        <w:rPr>
          <w:rFonts w:ascii="ITC Avant Garde" w:hAnsi="ITC Avant Garde"/>
          <w:lang w:val="es-MX"/>
        </w:rPr>
        <w:t>P;</w:t>
      </w:r>
    </w:p>
    <w:p w14:paraId="3F617A78" w14:textId="77777777" w:rsidR="00BC0096" w:rsidRPr="004C1A96" w:rsidRDefault="00BC0096" w:rsidP="00556A48">
      <w:pPr>
        <w:pStyle w:val="Prrafodelista"/>
        <w:numPr>
          <w:ilvl w:val="1"/>
          <w:numId w:val="18"/>
        </w:numPr>
        <w:rPr>
          <w:rFonts w:ascii="ITC Avant Garde" w:hAnsi="ITC Avant Garde"/>
          <w:lang w:val="es-MX"/>
        </w:rPr>
      </w:pPr>
      <w:r w:rsidRPr="004C1A96">
        <w:rPr>
          <w:rFonts w:ascii="ITC Avant Garde" w:hAnsi="ITC Avant Garde"/>
          <w:lang w:val="es-MX"/>
        </w:rPr>
        <w:t xml:space="preserve">basado en los nodos de acceso a la red de fibra del </w:t>
      </w:r>
      <w:r w:rsidR="001F2EF1" w:rsidRPr="004C1A96">
        <w:rPr>
          <w:rFonts w:ascii="ITC Avant Garde" w:hAnsi="ITC Avant Garde"/>
          <w:lang w:val="es-MX"/>
        </w:rPr>
        <w:t>AE</w:t>
      </w:r>
      <w:r w:rsidRPr="004C1A96">
        <w:rPr>
          <w:rFonts w:ascii="ITC Avant Garde" w:hAnsi="ITC Avant Garde"/>
          <w:lang w:val="es-MX"/>
        </w:rPr>
        <w:t>P y otros operadores;</w:t>
      </w:r>
    </w:p>
    <w:p w14:paraId="19A41D3F" w14:textId="77777777" w:rsidR="00BC0096" w:rsidRPr="004C1A96" w:rsidRDefault="001F2EF1" w:rsidP="00556A48">
      <w:pPr>
        <w:pStyle w:val="Prrafodelista"/>
        <w:numPr>
          <w:ilvl w:val="1"/>
          <w:numId w:val="18"/>
        </w:numPr>
        <w:rPr>
          <w:rFonts w:ascii="ITC Avant Garde" w:hAnsi="ITC Avant Garde"/>
          <w:lang w:val="es-MX"/>
        </w:rPr>
      </w:pPr>
      <w:r w:rsidRPr="004C1A96">
        <w:rPr>
          <w:rFonts w:ascii="ITC Avant Garde" w:hAnsi="ITC Avant Garde"/>
          <w:lang w:val="es-MX"/>
        </w:rPr>
        <w:t>e</w:t>
      </w:r>
      <w:r w:rsidR="00BC0096" w:rsidRPr="004C1A96">
        <w:rPr>
          <w:rFonts w:ascii="ITC Avant Garde" w:hAnsi="ITC Avant Garde"/>
          <w:lang w:val="es-MX"/>
        </w:rPr>
        <w:t xml:space="preserve">n función de los nodos de acceso de cobre y fibra actuales u objetivo del </w:t>
      </w:r>
      <w:r w:rsidRPr="004C1A96">
        <w:rPr>
          <w:rFonts w:ascii="ITC Avant Garde" w:hAnsi="ITC Avant Garde"/>
          <w:lang w:val="es-MX"/>
        </w:rPr>
        <w:t>AE</w:t>
      </w:r>
      <w:r w:rsidR="00BC0096" w:rsidRPr="004C1A96">
        <w:rPr>
          <w:rFonts w:ascii="ITC Avant Garde" w:hAnsi="ITC Avant Garde"/>
          <w:lang w:val="es-MX"/>
        </w:rPr>
        <w:t>P.</w:t>
      </w:r>
    </w:p>
    <w:p w14:paraId="4802B096" w14:textId="77777777" w:rsidR="00BC0096" w:rsidRPr="004C1A96" w:rsidRDefault="00BC0096" w:rsidP="00BC0096">
      <w:pPr>
        <w:rPr>
          <w:rFonts w:ascii="ITC Avant Garde" w:hAnsi="ITC Avant Garde"/>
          <w:lang w:val="es-MX"/>
        </w:rPr>
      </w:pPr>
      <w:r w:rsidRPr="004C1A96">
        <w:rPr>
          <w:rFonts w:ascii="ITC Avant Garde" w:hAnsi="ITC Avant Garde"/>
          <w:lang w:val="es-MX"/>
        </w:rPr>
        <w:t>El primer enfoque (</w:t>
      </w:r>
      <w:r w:rsidR="001F2EF1" w:rsidRPr="004C1A96">
        <w:rPr>
          <w:rFonts w:ascii="ITC Avant Garde" w:hAnsi="ITC Avant Garde"/>
          <w:i/>
          <w:lang w:val="es-MX"/>
        </w:rPr>
        <w:t>scorched earth</w:t>
      </w:r>
      <w:r w:rsidRPr="004C1A96">
        <w:rPr>
          <w:rFonts w:ascii="ITC Avant Garde" w:hAnsi="ITC Avant Garde"/>
          <w:lang w:val="es-MX"/>
        </w:rPr>
        <w:t>) proporciona el enfoque teórico más óptimo para modelar un operador hipotéticamente eficiente, ya que supone que la red se construye completamente desde cero. Sin embargo, es complejo de implementar, y no se sabe que ninguna A</w:t>
      </w:r>
      <w:r w:rsidR="00595966" w:rsidRPr="004C1A96">
        <w:rPr>
          <w:rFonts w:ascii="ITC Avant Garde" w:hAnsi="ITC Avant Garde"/>
          <w:lang w:val="es-MX"/>
        </w:rPr>
        <w:t xml:space="preserve">gencias </w:t>
      </w:r>
      <w:r w:rsidRPr="004C1A96">
        <w:rPr>
          <w:rFonts w:ascii="ITC Avant Garde" w:hAnsi="ITC Avant Garde"/>
          <w:lang w:val="es-MX"/>
        </w:rPr>
        <w:t>N</w:t>
      </w:r>
      <w:r w:rsidR="00595966" w:rsidRPr="004C1A96">
        <w:rPr>
          <w:rFonts w:ascii="ITC Avant Garde" w:hAnsi="ITC Avant Garde"/>
          <w:lang w:val="es-MX"/>
        </w:rPr>
        <w:t xml:space="preserve">acionales </w:t>
      </w:r>
      <w:r w:rsidR="00F71486" w:rsidRPr="004C1A96">
        <w:rPr>
          <w:rFonts w:ascii="ITC Avant Garde" w:hAnsi="ITC Avant Garde"/>
          <w:lang w:val="es-MX"/>
        </w:rPr>
        <w:t xml:space="preserve">de </w:t>
      </w:r>
      <w:r w:rsidRPr="004C1A96">
        <w:rPr>
          <w:rFonts w:ascii="ITC Avant Garde" w:hAnsi="ITC Avant Garde"/>
          <w:lang w:val="es-MX"/>
        </w:rPr>
        <w:t>R</w:t>
      </w:r>
      <w:r w:rsidR="00595966" w:rsidRPr="004C1A96">
        <w:rPr>
          <w:rFonts w:ascii="ITC Avant Garde" w:hAnsi="ITC Avant Garde"/>
          <w:lang w:val="es-MX"/>
        </w:rPr>
        <w:t>egulación (</w:t>
      </w:r>
      <w:r w:rsidRPr="004C1A96">
        <w:rPr>
          <w:rFonts w:ascii="ITC Avant Garde" w:hAnsi="ITC Avant Garde"/>
          <w:lang w:val="es-MX"/>
        </w:rPr>
        <w:t>ANR</w:t>
      </w:r>
      <w:r w:rsidR="00595966" w:rsidRPr="004C1A96">
        <w:rPr>
          <w:rFonts w:ascii="ITC Avant Garde" w:hAnsi="ITC Avant Garde"/>
          <w:lang w:val="es-MX"/>
        </w:rPr>
        <w:t>)</w:t>
      </w:r>
      <w:r w:rsidRPr="004C1A96">
        <w:rPr>
          <w:rFonts w:ascii="ITC Avant Garde" w:hAnsi="ITC Avant Garde"/>
          <w:lang w:val="es-MX"/>
        </w:rPr>
        <w:t xml:space="preserve"> haya adoptado este enfoque porque existe el riesgo de modelar una red sobre optimizada, que ignora las limitaciones implícitas de la geografía</w:t>
      </w:r>
      <w:r w:rsidR="00875932" w:rsidRPr="004C1A96">
        <w:rPr>
          <w:rFonts w:ascii="ITC Avant Garde" w:hAnsi="ITC Avant Garde"/>
          <w:lang w:val="es-MX"/>
        </w:rPr>
        <w:t>/</w:t>
      </w:r>
      <w:r w:rsidRPr="004C1A96">
        <w:rPr>
          <w:rFonts w:ascii="ITC Avant Garde" w:hAnsi="ITC Avant Garde"/>
          <w:lang w:val="es-MX"/>
        </w:rPr>
        <w:t>urbanismo. Además, la definición de criterios para identificar las ubicaciones correctas para los nodos de acceso puede ser muy subjetiva o simplemente imposible debido a que existe un número infinito de posibilidades.</w:t>
      </w:r>
    </w:p>
    <w:p w14:paraId="2A3D34E6" w14:textId="77777777" w:rsidR="00BC0096" w:rsidRPr="004C1A96" w:rsidRDefault="00BC0096" w:rsidP="00BC0096">
      <w:pPr>
        <w:rPr>
          <w:rFonts w:ascii="ITC Avant Garde" w:hAnsi="ITC Avant Garde"/>
          <w:lang w:val="es-MX"/>
        </w:rPr>
      </w:pPr>
      <w:r w:rsidRPr="004C1A96">
        <w:rPr>
          <w:rFonts w:ascii="ITC Avant Garde" w:hAnsi="ITC Avant Garde"/>
          <w:lang w:val="es-MX"/>
        </w:rPr>
        <w:lastRenderedPageBreak/>
        <w:t>El segundo y tercer enfoque (</w:t>
      </w:r>
      <w:r w:rsidR="00CA69A7" w:rsidRPr="004C1A96">
        <w:rPr>
          <w:rFonts w:ascii="ITC Avant Garde" w:hAnsi="ITC Avant Garde"/>
          <w:i/>
          <w:lang w:val="es-MX"/>
        </w:rPr>
        <w:t>sorched node</w:t>
      </w:r>
      <w:r w:rsidR="00CA69A7" w:rsidRPr="004C1A96">
        <w:rPr>
          <w:rFonts w:ascii="ITC Avant Garde" w:hAnsi="ITC Avant Garde"/>
          <w:lang w:val="es-MX"/>
        </w:rPr>
        <w:t xml:space="preserve"> </w:t>
      </w:r>
      <w:r w:rsidRPr="004C1A96">
        <w:rPr>
          <w:rFonts w:ascii="ITC Avant Garde" w:hAnsi="ITC Avant Garde"/>
          <w:lang w:val="es-MX"/>
        </w:rPr>
        <w:t xml:space="preserve">y </w:t>
      </w:r>
      <w:r w:rsidR="00CA69A7" w:rsidRPr="004C1A96">
        <w:rPr>
          <w:rFonts w:ascii="ITC Avant Garde" w:hAnsi="ITC Avant Garde"/>
          <w:i/>
          <w:lang w:val="es-MX"/>
        </w:rPr>
        <w:t>sorched node</w:t>
      </w:r>
      <w:r w:rsidR="00CA69A7" w:rsidRPr="004C1A96">
        <w:rPr>
          <w:rFonts w:ascii="ITC Avant Garde" w:hAnsi="ITC Avant Garde"/>
          <w:lang w:val="es-MX"/>
        </w:rPr>
        <w:t xml:space="preserve"> modificado</w:t>
      </w:r>
      <w:r w:rsidRPr="004C1A96">
        <w:rPr>
          <w:rFonts w:ascii="ITC Avant Garde" w:hAnsi="ITC Avant Garde"/>
          <w:lang w:val="es-MX"/>
        </w:rPr>
        <w:t>) derriban las barreras del primer enfoque.</w:t>
      </w:r>
    </w:p>
    <w:p w14:paraId="09231D32" w14:textId="77777777" w:rsidR="00BC0096" w:rsidRPr="004C1A96" w:rsidRDefault="00BC0096" w:rsidP="00BC0096">
      <w:pPr>
        <w:rPr>
          <w:rFonts w:ascii="ITC Avant Garde" w:hAnsi="ITC Avant Garde"/>
          <w:lang w:val="es-MX"/>
        </w:rPr>
      </w:pPr>
      <w:r w:rsidRPr="004C1A96">
        <w:rPr>
          <w:rFonts w:ascii="ITC Avant Garde" w:hAnsi="ITC Avant Garde"/>
          <w:lang w:val="es-MX"/>
        </w:rPr>
        <w:t>Bajo el segundo enfoque (</w:t>
      </w:r>
      <w:r w:rsidR="00CA69A7" w:rsidRPr="004C1A96">
        <w:rPr>
          <w:rFonts w:ascii="ITC Avant Garde" w:hAnsi="ITC Avant Garde"/>
          <w:i/>
          <w:lang w:val="es-MX"/>
        </w:rPr>
        <w:t>sorched node</w:t>
      </w:r>
      <w:r w:rsidRPr="004C1A96">
        <w:rPr>
          <w:rFonts w:ascii="ITC Avant Garde" w:hAnsi="ITC Avant Garde"/>
          <w:lang w:val="es-MX"/>
        </w:rPr>
        <w:t>), el operador modelado imitaría</w:t>
      </w:r>
      <w:r w:rsidR="00CA69A7" w:rsidRPr="004C1A96">
        <w:rPr>
          <w:rFonts w:ascii="ITC Avant Garde" w:hAnsi="ITC Avant Garde"/>
          <w:lang w:val="es-MX"/>
        </w:rPr>
        <w:t xml:space="preserve"> exactamente</w:t>
      </w:r>
      <w:r w:rsidRPr="004C1A96">
        <w:rPr>
          <w:rFonts w:ascii="ITC Avant Garde" w:hAnsi="ITC Avant Garde"/>
          <w:lang w:val="es-MX"/>
        </w:rPr>
        <w:t xml:space="preserve"> la red del </w:t>
      </w:r>
      <w:r w:rsidR="00CA69A7" w:rsidRPr="004C1A96">
        <w:rPr>
          <w:rFonts w:ascii="ITC Avant Garde" w:hAnsi="ITC Avant Garde"/>
          <w:lang w:val="es-MX"/>
        </w:rPr>
        <w:t>AEP</w:t>
      </w:r>
      <w:r w:rsidRPr="004C1A96">
        <w:rPr>
          <w:rFonts w:ascii="ITC Avant Garde" w:hAnsi="ITC Avant Garde"/>
          <w:lang w:val="es-MX"/>
        </w:rPr>
        <w:t>. No se realizarán ajustes ni correcciones. Esto contradice la suposición hipotética del operador eficiente y no podría usarse conjuntamente con la elección de un operador hipotéticamente eficiente.</w:t>
      </w:r>
    </w:p>
    <w:p w14:paraId="2323BF23" w14:textId="77777777" w:rsidR="00BC0096" w:rsidRPr="004C1A96" w:rsidRDefault="00BC0096" w:rsidP="00BC0096">
      <w:pPr>
        <w:rPr>
          <w:rFonts w:ascii="ITC Avant Garde" w:hAnsi="ITC Avant Garde"/>
          <w:lang w:val="es-MX"/>
        </w:rPr>
      </w:pPr>
      <w:r w:rsidRPr="004C1A96">
        <w:rPr>
          <w:rFonts w:ascii="ITC Avant Garde" w:hAnsi="ITC Avant Garde"/>
          <w:lang w:val="es-MX"/>
        </w:rPr>
        <w:t>El tercer enfoque tiene en cuenta los cambios previstos de la estructura de</w:t>
      </w:r>
      <w:r w:rsidR="00CA69A7" w:rsidRPr="004C1A96">
        <w:rPr>
          <w:rFonts w:ascii="ITC Avant Garde" w:hAnsi="ITC Avant Garde"/>
          <w:lang w:val="es-MX"/>
        </w:rPr>
        <w:t xml:space="preserve"> </w:t>
      </w:r>
      <w:r w:rsidRPr="004C1A96">
        <w:rPr>
          <w:rFonts w:ascii="ITC Avant Garde" w:hAnsi="ITC Avant Garde"/>
          <w:lang w:val="es-MX"/>
        </w:rPr>
        <w:t>l</w:t>
      </w:r>
      <w:r w:rsidR="00CA69A7" w:rsidRPr="004C1A96">
        <w:rPr>
          <w:rFonts w:ascii="ITC Avant Garde" w:hAnsi="ITC Avant Garde"/>
          <w:lang w:val="es-MX"/>
        </w:rPr>
        <w:t>os</w:t>
      </w:r>
      <w:r w:rsidRPr="004C1A96">
        <w:rPr>
          <w:rFonts w:ascii="ITC Avant Garde" w:hAnsi="ITC Avant Garde"/>
          <w:lang w:val="es-MX"/>
        </w:rPr>
        <w:t xml:space="preserve"> nodo</w:t>
      </w:r>
      <w:r w:rsidR="00CA69A7" w:rsidRPr="004C1A96">
        <w:rPr>
          <w:rFonts w:ascii="ITC Avant Garde" w:hAnsi="ITC Avant Garde"/>
          <w:lang w:val="es-MX"/>
        </w:rPr>
        <w:t>s</w:t>
      </w:r>
      <w:r w:rsidRPr="004C1A96">
        <w:rPr>
          <w:rFonts w:ascii="ITC Avant Garde" w:hAnsi="ITC Avant Garde"/>
          <w:lang w:val="es-MX"/>
        </w:rPr>
        <w:t xml:space="preserve">, lo que lo hace un poco más </w:t>
      </w:r>
      <w:r w:rsidR="00CA69A7" w:rsidRPr="004C1A96">
        <w:rPr>
          <w:rFonts w:ascii="ITC Avant Garde" w:hAnsi="ITC Avant Garde"/>
          <w:lang w:val="es-MX"/>
        </w:rPr>
        <w:t>prospectivo</w:t>
      </w:r>
      <w:r w:rsidRPr="004C1A96">
        <w:rPr>
          <w:rFonts w:ascii="ITC Avant Garde" w:hAnsi="ITC Avant Garde"/>
          <w:lang w:val="es-MX"/>
        </w:rPr>
        <w:t xml:space="preserve"> y permite un cierto grado de eficiencia.</w:t>
      </w:r>
    </w:p>
    <w:p w14:paraId="2D686F7E" w14:textId="77777777" w:rsidR="00BC0096" w:rsidRPr="004C1A96" w:rsidRDefault="00BC0096" w:rsidP="00BC0096">
      <w:pPr>
        <w:rPr>
          <w:rFonts w:ascii="ITC Avant Garde" w:hAnsi="ITC Avant Garde"/>
          <w:lang w:val="es-MX"/>
        </w:rPr>
      </w:pPr>
      <w:r w:rsidRPr="004C1A96">
        <w:rPr>
          <w:rFonts w:ascii="ITC Avant Garde" w:hAnsi="ITC Avant Garde"/>
          <w:lang w:val="es-MX"/>
        </w:rPr>
        <w:t xml:space="preserve">Por ejemplo, el uso de una configuración de nodo diferente puede conducir a una red más o menos eficiente. La figura siguiente muestra que las dos configuraciones conducen a la misma </w:t>
      </w:r>
      <w:r w:rsidR="003A0FB4" w:rsidRPr="004C1A96">
        <w:rPr>
          <w:rFonts w:ascii="ITC Avant Garde" w:hAnsi="ITC Avant Garde"/>
          <w:lang w:val="es-MX"/>
        </w:rPr>
        <w:t>cobertura,</w:t>
      </w:r>
      <w:r w:rsidRPr="004C1A96">
        <w:rPr>
          <w:rFonts w:ascii="ITC Avant Garde" w:hAnsi="ITC Avant Garde"/>
          <w:lang w:val="es-MX"/>
        </w:rPr>
        <w:t xml:space="preserve"> pero con dos inventarios diferentes que generan dos costos diferentes: cuando los nodos se fusionan, los cables de distribución entrantes y l</w:t>
      </w:r>
      <w:r w:rsidR="00CA69A7" w:rsidRPr="004C1A96">
        <w:rPr>
          <w:rFonts w:ascii="ITC Avant Garde" w:hAnsi="ITC Avant Garde"/>
          <w:lang w:val="es-MX"/>
        </w:rPr>
        <w:t>os cierres</w:t>
      </w:r>
      <w:r w:rsidRPr="004C1A96">
        <w:rPr>
          <w:rFonts w:ascii="ITC Avant Garde" w:hAnsi="ITC Avant Garde"/>
          <w:lang w:val="es-MX"/>
        </w:rPr>
        <w:t xml:space="preserve"> de empalme son más grandes. Por el contrario, </w:t>
      </w:r>
      <w:r w:rsidR="00F71486" w:rsidRPr="004C1A96">
        <w:rPr>
          <w:rFonts w:ascii="ITC Avant Garde" w:hAnsi="ITC Avant Garde"/>
          <w:lang w:val="es-MX"/>
        </w:rPr>
        <w:t xml:space="preserve">la red de </w:t>
      </w:r>
      <w:r w:rsidR="009F5817" w:rsidRPr="004C1A96">
        <w:rPr>
          <w:rFonts w:ascii="ITC Avant Garde" w:hAnsi="ITC Avant Garde"/>
          <w:lang w:val="es-MX"/>
        </w:rPr>
        <w:t>retorno “</w:t>
      </w:r>
      <w:r w:rsidRPr="004C1A96">
        <w:rPr>
          <w:rFonts w:ascii="ITC Avant Garde" w:hAnsi="ITC Avant Garde"/>
          <w:i/>
          <w:lang w:val="es-MX"/>
        </w:rPr>
        <w:t>backhaul</w:t>
      </w:r>
      <w:r w:rsidR="00F71486" w:rsidRPr="004C1A96">
        <w:rPr>
          <w:rFonts w:ascii="ITC Avant Garde" w:hAnsi="ITC Avant Garde"/>
          <w:i/>
          <w:lang w:val="es-MX"/>
        </w:rPr>
        <w:t>”</w:t>
      </w:r>
      <w:r w:rsidRPr="004C1A96">
        <w:rPr>
          <w:rFonts w:ascii="ITC Avant Garde" w:hAnsi="ITC Avant Garde"/>
          <w:lang w:val="es-MX"/>
        </w:rPr>
        <w:t>, que surge de los nodos, usa cables más pequeños.</w:t>
      </w:r>
    </w:p>
    <w:p w14:paraId="1A89FD15" w14:textId="77777777" w:rsidR="00BC0096" w:rsidRPr="004C1A96" w:rsidRDefault="00BC0096" w:rsidP="00BC0096">
      <w:pPr>
        <w:rPr>
          <w:rFonts w:ascii="ITC Avant Garde" w:hAnsi="ITC Avant Garde"/>
          <w:lang w:val="es-MX"/>
        </w:rPr>
      </w:pPr>
    </w:p>
    <w:p w14:paraId="3ABECCF8" w14:textId="6FA07DF6" w:rsidR="00BC0096" w:rsidRPr="004C1A96" w:rsidRDefault="006D69ED" w:rsidP="00BC0096">
      <w:pPr>
        <w:pStyle w:val="Descripcin"/>
        <w:keepNext/>
        <w:rPr>
          <w:rFonts w:ascii="ITC Avant Garde" w:hAnsi="ITC Avant Garde"/>
          <w:lang w:val="es-MX"/>
        </w:rPr>
      </w:pPr>
      <w:r w:rsidRPr="004C1A96">
        <w:rPr>
          <w:rFonts w:ascii="ITC Avant Garde" w:hAnsi="ITC Avant Garde"/>
          <w:lang w:val="es-MX"/>
        </w:rPr>
        <w:t xml:space="preserve">Figura </w:t>
      </w:r>
      <w:r w:rsidRPr="004C1A96">
        <w:rPr>
          <w:rFonts w:ascii="ITC Avant Garde" w:hAnsi="ITC Avant Garde"/>
          <w:lang w:val="es-MX"/>
        </w:rPr>
        <w:fldChar w:fldCharType="begin"/>
      </w:r>
      <w:r w:rsidRPr="004C1A96">
        <w:rPr>
          <w:rFonts w:ascii="ITC Avant Garde" w:hAnsi="ITC Avant Garde"/>
          <w:lang w:val="es-MX"/>
        </w:rPr>
        <w:instrText xml:space="preserve"> SEQ Figura \* ARABIC </w:instrText>
      </w:r>
      <w:r w:rsidRPr="004C1A96">
        <w:rPr>
          <w:rFonts w:ascii="ITC Avant Garde" w:hAnsi="ITC Avant Garde"/>
          <w:lang w:val="es-MX"/>
        </w:rPr>
        <w:fldChar w:fldCharType="separate"/>
      </w:r>
      <w:r w:rsidR="00006265">
        <w:rPr>
          <w:rFonts w:ascii="ITC Avant Garde" w:hAnsi="ITC Avant Garde"/>
          <w:noProof/>
          <w:lang w:val="es-MX"/>
        </w:rPr>
        <w:t>2</w:t>
      </w:r>
      <w:r w:rsidRPr="004C1A96">
        <w:rPr>
          <w:rFonts w:ascii="ITC Avant Garde" w:hAnsi="ITC Avant Garde"/>
          <w:lang w:val="es-MX"/>
        </w:rPr>
        <w:fldChar w:fldCharType="end"/>
      </w:r>
      <w:r w:rsidRPr="004C1A96">
        <w:rPr>
          <w:rFonts w:ascii="ITC Avant Garde" w:hAnsi="ITC Avant Garde"/>
          <w:lang w:val="es-MX"/>
        </w:rPr>
        <w:t xml:space="preserve"> </w:t>
      </w:r>
      <w:r w:rsidR="00BC0096" w:rsidRPr="004C1A96">
        <w:rPr>
          <w:rFonts w:ascii="ITC Avant Garde" w:hAnsi="ITC Avant Garde"/>
          <w:lang w:val="es-MX"/>
        </w:rPr>
        <w:t>- Uso de nodos de varios tamaños en la red de fibra (solo con fines ilustrativos)</w:t>
      </w:r>
    </w:p>
    <w:p w14:paraId="44CA24BA" w14:textId="7DD94E50" w:rsidR="00BC0096" w:rsidRPr="004C1A96" w:rsidRDefault="002213F6" w:rsidP="00BC0096">
      <w:pPr>
        <w:rPr>
          <w:rFonts w:ascii="ITC Avant Garde" w:hAnsi="ITC Avant Garde"/>
          <w:lang w:val="es-MX"/>
        </w:rPr>
      </w:pPr>
      <w:r w:rsidRPr="00BE63E3">
        <w:rPr>
          <w:rFonts w:ascii="ITC Avant Garde" w:hAnsi="ITC Avant Garde"/>
          <w:noProof/>
          <w:lang w:val="es-MX" w:eastAsia="es-MX"/>
        </w:rPr>
        <w:drawing>
          <wp:inline distT="0" distB="0" distL="0" distR="0" wp14:anchorId="149E3F0A" wp14:editId="15E50C5F">
            <wp:extent cx="5399405" cy="1997075"/>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9405" cy="1997075"/>
                    </a:xfrm>
                    <a:prstGeom prst="rect">
                      <a:avLst/>
                    </a:prstGeom>
                    <a:noFill/>
                    <a:ln>
                      <a:noFill/>
                    </a:ln>
                  </pic:spPr>
                </pic:pic>
              </a:graphicData>
            </a:graphic>
          </wp:inline>
        </w:drawing>
      </w:r>
    </w:p>
    <w:p w14:paraId="19EFDD39" w14:textId="77777777" w:rsidR="00BC0096" w:rsidRPr="00E14D8A" w:rsidRDefault="00BC0096" w:rsidP="00BC0096">
      <w:pPr>
        <w:pStyle w:val="Source"/>
        <w:rPr>
          <w:rFonts w:ascii="ITC Avant Garde" w:hAnsi="ITC Avant Garde"/>
          <w:lang w:val="es-MX"/>
        </w:rPr>
      </w:pPr>
    </w:p>
    <w:p w14:paraId="22068B88" w14:textId="3D2B5CE7" w:rsidR="00BC0096" w:rsidRPr="004C1A96" w:rsidRDefault="00BC0096" w:rsidP="00BC0096">
      <w:pPr>
        <w:rPr>
          <w:rFonts w:ascii="ITC Avant Garde" w:hAnsi="ITC Avant Garde"/>
          <w:lang w:val="es-MX"/>
        </w:rPr>
      </w:pPr>
      <w:r w:rsidRPr="00E14D8A">
        <w:rPr>
          <w:rFonts w:ascii="ITC Avant Garde" w:hAnsi="ITC Avant Garde"/>
          <w:lang w:val="es-MX"/>
        </w:rPr>
        <w:t xml:space="preserve">El enfoque </w:t>
      </w:r>
      <w:r w:rsidR="00CA69A7" w:rsidRPr="00E14D8A">
        <w:rPr>
          <w:rFonts w:ascii="ITC Avant Garde" w:hAnsi="ITC Avant Garde"/>
          <w:i/>
          <w:lang w:val="es-MX"/>
        </w:rPr>
        <w:t>sorched node</w:t>
      </w:r>
      <w:r w:rsidR="00CA69A7" w:rsidRPr="004C1A96">
        <w:rPr>
          <w:rFonts w:ascii="ITC Avant Garde" w:hAnsi="ITC Avant Garde"/>
          <w:lang w:val="es-MX"/>
        </w:rPr>
        <w:t xml:space="preserve"> modificado </w:t>
      </w:r>
      <w:r w:rsidRPr="004C1A96">
        <w:rPr>
          <w:rFonts w:ascii="ITC Avant Garde" w:hAnsi="ITC Avant Garde"/>
          <w:lang w:val="es-MX"/>
        </w:rPr>
        <w:t>es consistente con el utilizado en el modelo de cobre:</w:t>
      </w:r>
      <w:r w:rsidR="002213F6">
        <w:rPr>
          <w:rStyle w:val="Refdenotaalpie"/>
          <w:rFonts w:ascii="ITC Avant Garde" w:hAnsi="ITC Avant Garde"/>
          <w:lang w:val="es-MX"/>
        </w:rPr>
        <w:footnoteReference w:id="20"/>
      </w:r>
    </w:p>
    <w:p w14:paraId="7023A03E" w14:textId="77777777" w:rsidR="00BC0096" w:rsidRPr="009F5AFF" w:rsidRDefault="00BC0096" w:rsidP="00CA69A7">
      <w:pPr>
        <w:ind w:left="567" w:right="565"/>
        <w:rPr>
          <w:rFonts w:ascii="ITC Avant Garde" w:hAnsi="ITC Avant Garde"/>
          <w:i/>
          <w:lang w:val="es-ES"/>
        </w:rPr>
      </w:pPr>
      <w:r w:rsidRPr="009F5AFF">
        <w:rPr>
          <w:rFonts w:ascii="ITC Avant Garde" w:hAnsi="ITC Avant Garde"/>
          <w:i/>
          <w:lang w:val="es-ES"/>
        </w:rPr>
        <w:t xml:space="preserve">«Enfoque </w:t>
      </w:r>
      <w:r w:rsidR="00CA69A7" w:rsidRPr="009F5AFF">
        <w:rPr>
          <w:rFonts w:ascii="ITC Avant Garde" w:hAnsi="ITC Avant Garde"/>
          <w:i/>
          <w:lang w:val="es-ES"/>
        </w:rPr>
        <w:t xml:space="preserve">scorching </w:t>
      </w:r>
      <w:r w:rsidRPr="009F5AFF">
        <w:rPr>
          <w:rFonts w:ascii="ITC Avant Garde" w:hAnsi="ITC Avant Garde"/>
          <w:i/>
          <w:lang w:val="es-ES"/>
        </w:rPr>
        <w:t xml:space="preserve">= </w:t>
      </w:r>
      <w:r w:rsidR="00CA69A7" w:rsidRPr="009F5AFF">
        <w:rPr>
          <w:rFonts w:ascii="ITC Avant Garde" w:hAnsi="ITC Avant Garde"/>
          <w:i/>
          <w:lang w:val="es-ES"/>
        </w:rPr>
        <w:t xml:space="preserve">Scorched node </w:t>
      </w:r>
      <w:r w:rsidRPr="009F5AFF">
        <w:rPr>
          <w:rFonts w:ascii="ITC Avant Garde" w:hAnsi="ITC Avant Garde"/>
          <w:i/>
          <w:lang w:val="es-ES"/>
        </w:rPr>
        <w:t>(modificado);</w:t>
      </w:r>
    </w:p>
    <w:p w14:paraId="21C76170" w14:textId="77777777" w:rsidR="00BC0096" w:rsidRPr="004C1A96" w:rsidRDefault="00BC0096" w:rsidP="00CA69A7">
      <w:pPr>
        <w:ind w:left="567" w:right="565"/>
        <w:rPr>
          <w:rFonts w:ascii="ITC Avant Garde" w:hAnsi="ITC Avant Garde"/>
          <w:i/>
          <w:lang w:val="es-MX"/>
        </w:rPr>
      </w:pPr>
      <w:r w:rsidRPr="004C1A96">
        <w:rPr>
          <w:rFonts w:ascii="ITC Avant Garde" w:hAnsi="ITC Avant Garde"/>
          <w:i/>
          <w:lang w:val="es-MX"/>
        </w:rPr>
        <w:t>Permite [</w:t>
      </w:r>
      <w:r w:rsidR="00CA69A7" w:rsidRPr="004C1A96">
        <w:rPr>
          <w:rFonts w:ascii="ITC Avant Garde" w:hAnsi="ITC Avant Garde"/>
          <w:i/>
          <w:lang w:val="es-MX"/>
        </w:rPr>
        <w:t xml:space="preserve">Scorched node </w:t>
      </w:r>
      <w:r w:rsidRPr="004C1A96">
        <w:rPr>
          <w:rFonts w:ascii="ITC Avant Garde" w:hAnsi="ITC Avant Garde"/>
          <w:i/>
          <w:lang w:val="es-MX"/>
        </w:rPr>
        <w:t>(modificado)] eliminar ineficiencias en la ubicación de los nodos manteniendo la topología de r</w:t>
      </w:r>
      <w:r w:rsidR="00CA69A7" w:rsidRPr="004C1A96">
        <w:rPr>
          <w:rFonts w:ascii="ITC Avant Garde" w:hAnsi="ITC Avant Garde"/>
          <w:i/>
          <w:lang w:val="es-MX"/>
        </w:rPr>
        <w:t>ed</w:t>
      </w:r>
      <w:r w:rsidRPr="004C1A96">
        <w:rPr>
          <w:rFonts w:ascii="ITC Avant Garde" w:hAnsi="ITC Avant Garde"/>
          <w:i/>
          <w:lang w:val="es-MX"/>
        </w:rPr>
        <w:t xml:space="preserve"> existente. ")</w:t>
      </w:r>
    </w:p>
    <w:p w14:paraId="78F1C35A" w14:textId="1377E3DB" w:rsidR="00BC0096" w:rsidRPr="004C1A96" w:rsidRDefault="00BC0096" w:rsidP="00BC0096">
      <w:pPr>
        <w:rPr>
          <w:rFonts w:ascii="ITC Avant Garde" w:hAnsi="ITC Avant Garde"/>
          <w:lang w:val="es-MX"/>
        </w:rPr>
      </w:pPr>
      <w:r w:rsidRPr="004C1A96">
        <w:rPr>
          <w:rFonts w:ascii="ITC Avant Garde" w:hAnsi="ITC Avant Garde"/>
          <w:lang w:val="es-MX"/>
        </w:rPr>
        <w:lastRenderedPageBreak/>
        <w:t>Al igual que en el modelo de fibra:</w:t>
      </w:r>
      <w:r w:rsidR="002213F6">
        <w:rPr>
          <w:rStyle w:val="Refdenotaalpie"/>
          <w:rFonts w:ascii="ITC Avant Garde" w:hAnsi="ITC Avant Garde"/>
          <w:lang w:val="es-MX"/>
        </w:rPr>
        <w:footnoteReference w:id="21"/>
      </w:r>
    </w:p>
    <w:p w14:paraId="6DE04057" w14:textId="77777777" w:rsidR="00BC0096" w:rsidRPr="004C1A96" w:rsidRDefault="00BC0096" w:rsidP="00CA69A7">
      <w:pPr>
        <w:ind w:left="567" w:right="565"/>
        <w:rPr>
          <w:rFonts w:ascii="ITC Avant Garde" w:hAnsi="ITC Avant Garde"/>
          <w:i/>
          <w:lang w:val="es-MX"/>
        </w:rPr>
      </w:pPr>
      <w:r w:rsidRPr="00E14D8A">
        <w:rPr>
          <w:rFonts w:ascii="ITC Avant Garde" w:hAnsi="ITC Avant Garde"/>
          <w:i/>
          <w:lang w:val="es-MX"/>
        </w:rPr>
        <w:t xml:space="preserve">«Se considera el enfoque </w:t>
      </w:r>
      <w:r w:rsidR="00CA69A7" w:rsidRPr="00E14D8A">
        <w:rPr>
          <w:rFonts w:ascii="ITC Avant Garde" w:hAnsi="ITC Avant Garde"/>
          <w:i/>
          <w:lang w:val="es-MX"/>
        </w:rPr>
        <w:t xml:space="preserve">Scorched node </w:t>
      </w:r>
      <w:r w:rsidRPr="00E14D8A">
        <w:rPr>
          <w:rFonts w:ascii="ITC Avant Garde" w:hAnsi="ITC Avant Garde"/>
          <w:i/>
          <w:lang w:val="es-MX"/>
        </w:rPr>
        <w:t>modificado para la definición de los algoritmos técnicos de d</w:t>
      </w:r>
      <w:r w:rsidRPr="004C1A96">
        <w:rPr>
          <w:rFonts w:ascii="ITC Avant Garde" w:hAnsi="ITC Avant Garde"/>
          <w:i/>
          <w:lang w:val="es-MX"/>
        </w:rPr>
        <w:t>imensionado en el Modelo."</w:t>
      </w:r>
    </w:p>
    <w:p w14:paraId="61BD04D0" w14:textId="77777777" w:rsidR="00BC0096" w:rsidRPr="004C1A96" w:rsidRDefault="00BC0096" w:rsidP="00BC0096">
      <w:pPr>
        <w:rPr>
          <w:rFonts w:ascii="ITC Avant Garde" w:hAnsi="ITC Avant Garde"/>
          <w:lang w:val="es-MX"/>
        </w:rPr>
      </w:pPr>
      <w:r w:rsidRPr="004C1A96">
        <w:rPr>
          <w:rFonts w:ascii="ITC Avant Garde" w:hAnsi="ITC Avant Garde"/>
          <w:lang w:val="es-MX"/>
        </w:rPr>
        <w:t>Además, esta familia de enfoques se puede dividir en 3 categorías según el operador, los nodos y la tecnología que se tengan en cuenta.</w:t>
      </w:r>
    </w:p>
    <w:p w14:paraId="2B6E7DD3" w14:textId="77777777" w:rsidR="00BC0096" w:rsidRPr="004C1A96" w:rsidRDefault="00BC0096" w:rsidP="00BC0096">
      <w:pPr>
        <w:rPr>
          <w:rFonts w:ascii="ITC Avant Garde" w:hAnsi="ITC Avant Garde"/>
          <w:lang w:val="es-MX"/>
        </w:rPr>
      </w:pPr>
      <w:r w:rsidRPr="004C1A96">
        <w:rPr>
          <w:rFonts w:ascii="ITC Avant Garde" w:hAnsi="ITC Avant Garde"/>
          <w:lang w:val="es-MX"/>
        </w:rPr>
        <w:t xml:space="preserve">El enfoque 3-a se basa en los nodos de acceso de cobre actuales </w:t>
      </w:r>
      <w:r w:rsidR="003A0FB4" w:rsidRPr="004C1A96">
        <w:rPr>
          <w:rFonts w:ascii="ITC Avant Garde" w:hAnsi="ITC Avant Garde"/>
          <w:lang w:val="es-MX"/>
        </w:rPr>
        <w:t>u</w:t>
      </w:r>
      <w:r w:rsidRPr="004C1A96">
        <w:rPr>
          <w:rFonts w:ascii="ITC Avant Garde" w:hAnsi="ITC Avant Garde"/>
          <w:lang w:val="es-MX"/>
        </w:rPr>
        <w:t xml:space="preserve"> objetivo del operador </w:t>
      </w:r>
      <w:r w:rsidR="003C772E" w:rsidRPr="004C1A96">
        <w:rPr>
          <w:rFonts w:ascii="ITC Avant Garde" w:hAnsi="ITC Avant Garde"/>
          <w:lang w:val="es-MX"/>
        </w:rPr>
        <w:t>SMP</w:t>
      </w:r>
      <w:r w:rsidRPr="004C1A96">
        <w:rPr>
          <w:rFonts w:ascii="ITC Avant Garde" w:hAnsi="ITC Avant Garde"/>
          <w:lang w:val="es-MX"/>
        </w:rPr>
        <w:t>: este enfoque incluye sol</w:t>
      </w:r>
      <w:r w:rsidR="00CA69A7" w:rsidRPr="004C1A96">
        <w:rPr>
          <w:rFonts w:ascii="ITC Avant Garde" w:hAnsi="ITC Avant Garde"/>
          <w:lang w:val="es-MX"/>
        </w:rPr>
        <w:t>amente</w:t>
      </w:r>
      <w:r w:rsidRPr="004C1A96">
        <w:rPr>
          <w:rFonts w:ascii="ITC Avant Garde" w:hAnsi="ITC Avant Garde"/>
          <w:lang w:val="es-MX"/>
        </w:rPr>
        <w:t xml:space="preserve"> nodos de cobre asociados a la red del</w:t>
      </w:r>
      <w:r w:rsidR="003C772E" w:rsidRPr="004C1A96">
        <w:rPr>
          <w:rFonts w:ascii="ITC Avant Garde" w:hAnsi="ITC Avant Garde"/>
          <w:lang w:val="es-MX"/>
        </w:rPr>
        <w:t xml:space="preserve"> </w:t>
      </w:r>
      <w:r w:rsidR="00F2544C" w:rsidRPr="004C1A96">
        <w:rPr>
          <w:rFonts w:ascii="ITC Avant Garde" w:hAnsi="ITC Avant Garde"/>
          <w:lang w:val="es-MX"/>
        </w:rPr>
        <w:t>operador</w:t>
      </w:r>
      <w:r w:rsidRPr="004C1A96">
        <w:rPr>
          <w:rFonts w:ascii="ITC Avant Garde" w:hAnsi="ITC Avant Garde"/>
          <w:lang w:val="es-MX"/>
        </w:rPr>
        <w:t xml:space="preserve"> </w:t>
      </w:r>
      <w:r w:rsidR="003C772E" w:rsidRPr="004C1A96">
        <w:rPr>
          <w:rFonts w:ascii="ITC Avant Garde" w:hAnsi="ITC Avant Garde"/>
          <w:lang w:val="es-MX"/>
        </w:rPr>
        <w:t>SMP</w:t>
      </w:r>
      <w:r w:rsidR="00CA69A7" w:rsidRPr="004C1A96">
        <w:rPr>
          <w:rFonts w:ascii="ITC Avant Garde" w:hAnsi="ITC Avant Garde"/>
          <w:lang w:val="es-MX"/>
        </w:rPr>
        <w:t xml:space="preserve">, </w:t>
      </w:r>
      <w:r w:rsidR="00F2544C" w:rsidRPr="004C1A96">
        <w:rPr>
          <w:rFonts w:ascii="ITC Avant Garde" w:hAnsi="ITC Avant Garde"/>
          <w:lang w:val="es-MX"/>
        </w:rPr>
        <w:t>entonces</w:t>
      </w:r>
      <w:r w:rsidRPr="004C1A96">
        <w:rPr>
          <w:rFonts w:ascii="ITC Avant Garde" w:hAnsi="ITC Avant Garde"/>
          <w:lang w:val="es-MX"/>
        </w:rPr>
        <w:t xml:space="preserve"> podría ser adecuado para modelar sol</w:t>
      </w:r>
      <w:r w:rsidR="00CA69A7" w:rsidRPr="004C1A96">
        <w:rPr>
          <w:rFonts w:ascii="ITC Avant Garde" w:hAnsi="ITC Avant Garde"/>
          <w:lang w:val="es-MX"/>
        </w:rPr>
        <w:t>amente</w:t>
      </w:r>
      <w:r w:rsidRPr="004C1A96">
        <w:rPr>
          <w:rFonts w:ascii="ITC Avant Garde" w:hAnsi="ITC Avant Garde"/>
          <w:lang w:val="es-MX"/>
        </w:rPr>
        <w:t xml:space="preserve"> redes de cobre (esto está en línea con el modelo de cobre).</w:t>
      </w:r>
    </w:p>
    <w:p w14:paraId="48DDCE76" w14:textId="77777777" w:rsidR="00BC0096" w:rsidRPr="004C1A96" w:rsidRDefault="00BC0096" w:rsidP="00BC0096">
      <w:pPr>
        <w:rPr>
          <w:rFonts w:ascii="ITC Avant Garde" w:hAnsi="ITC Avant Garde"/>
          <w:lang w:val="es-MX"/>
        </w:rPr>
      </w:pPr>
      <w:r w:rsidRPr="004C1A96">
        <w:rPr>
          <w:rFonts w:ascii="ITC Avant Garde" w:hAnsi="ITC Avant Garde"/>
          <w:lang w:val="es-MX"/>
        </w:rPr>
        <w:t xml:space="preserve">El enfoque 3-b se basa únicamente en los nodos de fibra de los nodos de acceso a la red del operador SMP y otros operadores. Este enfoque de modelado excluye los nodos de cobre y parece apropiado solo para modelos de costo de fibra (esto está en línea con el modelo de fibra). Además, debido a </w:t>
      </w:r>
      <w:r w:rsidR="00CA69A7" w:rsidRPr="004C1A96">
        <w:rPr>
          <w:rFonts w:ascii="ITC Avant Garde" w:hAnsi="ITC Avant Garde"/>
          <w:lang w:val="es-MX"/>
        </w:rPr>
        <w:t>que el</w:t>
      </w:r>
      <w:r w:rsidRPr="004C1A96">
        <w:rPr>
          <w:rFonts w:ascii="ITC Avant Garde" w:hAnsi="ITC Avant Garde"/>
          <w:lang w:val="es-MX"/>
        </w:rPr>
        <w:t xml:space="preserve"> rendimiento</w:t>
      </w:r>
      <w:r w:rsidR="00CA69A7" w:rsidRPr="004C1A96">
        <w:rPr>
          <w:rFonts w:ascii="ITC Avant Garde" w:hAnsi="ITC Avant Garde"/>
          <w:lang w:val="es-MX"/>
        </w:rPr>
        <w:t xml:space="preserve"> </w:t>
      </w:r>
      <w:r w:rsidR="00D91C2C" w:rsidRPr="004C1A96">
        <w:rPr>
          <w:rFonts w:ascii="ITC Avant Garde" w:hAnsi="ITC Avant Garde"/>
          <w:lang w:val="es-MX"/>
        </w:rPr>
        <w:t xml:space="preserve">máximo </w:t>
      </w:r>
      <w:r w:rsidR="00CA69A7" w:rsidRPr="004C1A96">
        <w:rPr>
          <w:rFonts w:ascii="ITC Avant Garde" w:hAnsi="ITC Avant Garde"/>
          <w:lang w:val="es-MX"/>
        </w:rPr>
        <w:t>de las líneas depende de</w:t>
      </w:r>
      <w:r w:rsidRPr="004C1A96">
        <w:rPr>
          <w:rFonts w:ascii="ITC Avant Garde" w:hAnsi="ITC Avant Garde"/>
          <w:lang w:val="es-MX"/>
        </w:rPr>
        <w:t xml:space="preserve"> la longitud de la línea</w:t>
      </w:r>
      <w:r w:rsidR="003C772E" w:rsidRPr="004C1A96">
        <w:rPr>
          <w:rFonts w:ascii="ITC Avant Garde" w:hAnsi="ITC Avant Garde"/>
          <w:lang w:val="es-MX"/>
        </w:rPr>
        <w:t xml:space="preserve"> </w:t>
      </w:r>
      <w:r w:rsidR="00473233" w:rsidRPr="004C1A96">
        <w:rPr>
          <w:rFonts w:ascii="ITC Avant Garde" w:hAnsi="ITC Avant Garde"/>
          <w:lang w:val="es-MX"/>
        </w:rPr>
        <w:t>en la red de cobre y no en la red de fibra, una</w:t>
      </w:r>
      <w:r w:rsidRPr="004C1A96">
        <w:rPr>
          <w:rFonts w:ascii="ITC Avant Garde" w:hAnsi="ITC Avant Garde"/>
          <w:lang w:val="es-MX"/>
        </w:rPr>
        <w:t xml:space="preserve"> red de fibra completa tenderá a tener una red </w:t>
      </w:r>
      <w:r w:rsidR="00473233" w:rsidRPr="004C1A96">
        <w:rPr>
          <w:rFonts w:ascii="ITC Avant Garde" w:hAnsi="ITC Avant Garde"/>
          <w:lang w:val="es-MX"/>
        </w:rPr>
        <w:t>de transporte</w:t>
      </w:r>
      <w:r w:rsidRPr="004C1A96">
        <w:rPr>
          <w:rFonts w:ascii="ITC Avant Garde" w:hAnsi="ITC Avant Garde"/>
          <w:lang w:val="es-MX"/>
        </w:rPr>
        <w:t xml:space="preserve"> más </w:t>
      </w:r>
      <w:r w:rsidR="00473233" w:rsidRPr="004C1A96">
        <w:rPr>
          <w:rFonts w:ascii="ITC Avant Garde" w:hAnsi="ITC Avant Garde"/>
          <w:lang w:val="es-MX"/>
        </w:rPr>
        <w:t>reducida</w:t>
      </w:r>
      <w:r w:rsidRPr="004C1A96">
        <w:rPr>
          <w:rFonts w:ascii="ITC Avant Garde" w:hAnsi="ITC Avant Garde"/>
          <w:lang w:val="es-MX"/>
        </w:rPr>
        <w:t xml:space="preserve"> con menos intercambios para conectar todas las instalaciones, lo que crea una diferencia con el </w:t>
      </w:r>
      <w:r w:rsidR="00473233" w:rsidRPr="004C1A96">
        <w:rPr>
          <w:rFonts w:ascii="ITC Avant Garde" w:hAnsi="ITC Avant Garde"/>
          <w:lang w:val="es-MX"/>
        </w:rPr>
        <w:t>enfoque</w:t>
      </w:r>
      <w:r w:rsidRPr="004C1A96">
        <w:rPr>
          <w:rFonts w:ascii="ITC Avant Garde" w:hAnsi="ITC Avant Garde"/>
          <w:lang w:val="es-MX"/>
        </w:rPr>
        <w:t xml:space="preserve"> 3-a. Sin embargo, este método </w:t>
      </w:r>
      <w:r w:rsidR="00473233" w:rsidRPr="004C1A96">
        <w:rPr>
          <w:rFonts w:ascii="ITC Avant Garde" w:hAnsi="ITC Avant Garde"/>
          <w:lang w:val="es-MX"/>
        </w:rPr>
        <w:t xml:space="preserve">no </w:t>
      </w:r>
      <w:r w:rsidRPr="004C1A96">
        <w:rPr>
          <w:rFonts w:ascii="ITC Avant Garde" w:hAnsi="ITC Avant Garde"/>
          <w:lang w:val="es-MX"/>
        </w:rPr>
        <w:t>está adaptado para modelar redes donde coexisten ambas tecnologías</w:t>
      </w:r>
      <w:r w:rsidR="00D91C2C" w:rsidRPr="004C1A96">
        <w:rPr>
          <w:rFonts w:ascii="ITC Avant Garde" w:hAnsi="ITC Avant Garde"/>
          <w:lang w:val="es-MX"/>
        </w:rPr>
        <w:t>.</w:t>
      </w:r>
    </w:p>
    <w:p w14:paraId="0046514C" w14:textId="77777777" w:rsidR="00BC0096" w:rsidRPr="004C1A96" w:rsidRDefault="00BC0096" w:rsidP="00BC0096">
      <w:pPr>
        <w:rPr>
          <w:rFonts w:ascii="ITC Avant Garde" w:hAnsi="ITC Avant Garde"/>
          <w:lang w:val="es-MX"/>
        </w:rPr>
      </w:pPr>
      <w:r w:rsidRPr="004C1A96">
        <w:rPr>
          <w:rFonts w:ascii="ITC Avant Garde" w:hAnsi="ITC Avant Garde"/>
          <w:lang w:val="es-MX"/>
        </w:rPr>
        <w:t xml:space="preserve">Este caso está cubierto por el último enfoque 3-c que considera los dos nodos de tecnologías (cobre y fibra) </w:t>
      </w:r>
      <w:r w:rsidR="003545A7" w:rsidRPr="004C1A96">
        <w:rPr>
          <w:rFonts w:ascii="ITC Avant Garde" w:hAnsi="ITC Avant Garde"/>
          <w:lang w:val="es-MX"/>
        </w:rPr>
        <w:t xml:space="preserve">tomando en cuenta </w:t>
      </w:r>
      <w:r w:rsidRPr="004C1A96">
        <w:rPr>
          <w:rFonts w:ascii="ITC Avant Garde" w:hAnsi="ITC Avant Garde"/>
          <w:lang w:val="es-MX"/>
        </w:rPr>
        <w:t xml:space="preserve">solo la red del operador </w:t>
      </w:r>
      <w:r w:rsidR="003C772E" w:rsidRPr="004C1A96">
        <w:rPr>
          <w:rFonts w:ascii="ITC Avant Garde" w:hAnsi="ITC Avant Garde"/>
          <w:lang w:val="es-MX"/>
        </w:rPr>
        <w:t>SMP</w:t>
      </w:r>
      <w:r w:rsidRPr="004C1A96">
        <w:rPr>
          <w:rFonts w:ascii="ITC Avant Garde" w:hAnsi="ITC Avant Garde"/>
          <w:lang w:val="es-MX"/>
        </w:rPr>
        <w:t>. Por lo tanto, este enfoque podría considerar los nodos de acceso de cobre y fibra actuales u objetivos del operador</w:t>
      </w:r>
      <w:r w:rsidRPr="004C1A96" w:rsidDel="003C772E">
        <w:rPr>
          <w:rFonts w:ascii="ITC Avant Garde" w:hAnsi="ITC Avant Garde"/>
          <w:lang w:val="es-MX"/>
        </w:rPr>
        <w:t xml:space="preserve"> </w:t>
      </w:r>
      <w:r w:rsidR="003C772E" w:rsidRPr="004C1A96">
        <w:rPr>
          <w:rFonts w:ascii="ITC Avant Garde" w:hAnsi="ITC Avant Garde"/>
          <w:lang w:val="es-MX"/>
        </w:rPr>
        <w:t>SMP</w:t>
      </w:r>
      <w:r w:rsidRPr="004C1A96">
        <w:rPr>
          <w:rFonts w:ascii="ITC Avant Garde" w:hAnsi="ITC Avant Garde"/>
          <w:lang w:val="es-MX"/>
        </w:rPr>
        <w:t>.</w:t>
      </w:r>
    </w:p>
    <w:p w14:paraId="17CF7F90" w14:textId="72AC9E4E" w:rsidR="00BC0096" w:rsidRPr="004C1A96" w:rsidRDefault="00BC0096" w:rsidP="00BC0096">
      <w:pPr>
        <w:pStyle w:val="Encadr3"/>
        <w:rPr>
          <w:rFonts w:ascii="ITC Avant Garde" w:hAnsi="ITC Avant Garde"/>
          <w:lang w:val="es-MX"/>
        </w:rPr>
      </w:pPr>
      <w:r w:rsidRPr="004C1A96">
        <w:rPr>
          <w:rFonts w:ascii="ITC Avant Garde" w:hAnsi="ITC Avant Garde"/>
          <w:lang w:val="es-MX"/>
        </w:rPr>
        <w:t>Criterio 8: El enfoque 3-c</w:t>
      </w:r>
      <w:r w:rsidR="00473233" w:rsidRPr="004C1A96">
        <w:rPr>
          <w:rFonts w:ascii="ITC Avant Garde" w:hAnsi="ITC Avant Garde"/>
          <w:lang w:val="es-MX"/>
        </w:rPr>
        <w:t>,</w:t>
      </w:r>
      <w:r w:rsidRPr="004C1A96">
        <w:rPr>
          <w:rFonts w:ascii="ITC Avant Garde" w:hAnsi="ITC Avant Garde"/>
          <w:lang w:val="es-MX"/>
        </w:rPr>
        <w:t xml:space="preserve"> </w:t>
      </w:r>
      <w:r w:rsidR="00473233" w:rsidRPr="004C1A96">
        <w:rPr>
          <w:rFonts w:ascii="ITC Avant Garde" w:hAnsi="ITC Avant Garde"/>
          <w:lang w:val="es-MX"/>
        </w:rPr>
        <w:t>es decir</w:t>
      </w:r>
      <w:r w:rsidRPr="004C1A96">
        <w:rPr>
          <w:rFonts w:ascii="ITC Avant Garde" w:hAnsi="ITC Avant Garde"/>
          <w:lang w:val="es-MX"/>
        </w:rPr>
        <w:t xml:space="preserve"> </w:t>
      </w:r>
      <w:r w:rsidR="00473233" w:rsidRPr="004C1A96">
        <w:rPr>
          <w:rFonts w:ascii="ITC Avant Garde" w:hAnsi="ITC Avant Garde"/>
          <w:lang w:val="es-MX"/>
        </w:rPr>
        <w:t xml:space="preserve">un </w:t>
      </w:r>
      <w:r w:rsidRPr="004C1A96">
        <w:rPr>
          <w:rFonts w:ascii="ITC Avant Garde" w:hAnsi="ITC Avant Garde"/>
          <w:lang w:val="es-MX"/>
        </w:rPr>
        <w:t xml:space="preserve">enfoque </w:t>
      </w:r>
      <w:r w:rsidR="00473233" w:rsidRPr="004C1A96">
        <w:rPr>
          <w:rFonts w:ascii="ITC Avant Garde" w:hAnsi="ITC Avant Garde"/>
          <w:i/>
          <w:lang w:val="es-MX"/>
        </w:rPr>
        <w:t>scorched node</w:t>
      </w:r>
      <w:r w:rsidRPr="004C1A96">
        <w:rPr>
          <w:rFonts w:ascii="ITC Avant Garde" w:hAnsi="ITC Avant Garde"/>
          <w:lang w:val="es-MX"/>
        </w:rPr>
        <w:t xml:space="preserve"> modificado considerando nodos de </w:t>
      </w:r>
      <w:r w:rsidR="00DA24C7" w:rsidRPr="004C1A96">
        <w:rPr>
          <w:rFonts w:ascii="ITC Avant Garde" w:hAnsi="ITC Avant Garde"/>
          <w:lang w:val="es-MX"/>
        </w:rPr>
        <w:t xml:space="preserve">las </w:t>
      </w:r>
      <w:r w:rsidRPr="004C1A96">
        <w:rPr>
          <w:rFonts w:ascii="ITC Avant Garde" w:hAnsi="ITC Avant Garde"/>
          <w:lang w:val="es-MX"/>
        </w:rPr>
        <w:t xml:space="preserve">tecnologías </w:t>
      </w:r>
      <w:r w:rsidR="00DA24C7" w:rsidRPr="004C1A96">
        <w:rPr>
          <w:rFonts w:ascii="ITC Avant Garde" w:hAnsi="ITC Avant Garde"/>
          <w:lang w:val="es-MX"/>
        </w:rPr>
        <w:t xml:space="preserve">modeladas </w:t>
      </w:r>
      <w:r w:rsidRPr="004C1A96">
        <w:rPr>
          <w:rFonts w:ascii="ITC Avant Garde" w:hAnsi="ITC Avant Garde"/>
          <w:lang w:val="es-MX"/>
        </w:rPr>
        <w:t xml:space="preserve">(cobre y </w:t>
      </w:r>
      <w:r w:rsidR="006E45A3" w:rsidRPr="004C1A96">
        <w:rPr>
          <w:rFonts w:ascii="ITC Avant Garde" w:hAnsi="ITC Avant Garde"/>
          <w:lang w:val="es-MX"/>
        </w:rPr>
        <w:t>FTTH y FTTC</w:t>
      </w:r>
      <w:r w:rsidRPr="004C1A96">
        <w:rPr>
          <w:rFonts w:ascii="ITC Avant Garde" w:hAnsi="ITC Avant Garde"/>
          <w:lang w:val="es-MX"/>
        </w:rPr>
        <w:t xml:space="preserve">) del </w:t>
      </w:r>
      <w:r w:rsidR="00473233" w:rsidRPr="004C1A96">
        <w:rPr>
          <w:rFonts w:ascii="ITC Avant Garde" w:hAnsi="ITC Avant Garde"/>
          <w:lang w:val="es-MX"/>
        </w:rPr>
        <w:t>AE</w:t>
      </w:r>
      <w:r w:rsidRPr="004C1A96">
        <w:rPr>
          <w:rFonts w:ascii="ITC Avant Garde" w:hAnsi="ITC Avant Garde"/>
          <w:lang w:val="es-MX"/>
        </w:rPr>
        <w:t>P solamente</w:t>
      </w:r>
      <w:r w:rsidR="00473233" w:rsidRPr="004C1A96">
        <w:rPr>
          <w:rFonts w:ascii="ITC Avant Garde" w:hAnsi="ITC Avant Garde"/>
          <w:lang w:val="es-MX"/>
        </w:rPr>
        <w:t>, el más apropiado para este modelo.</w:t>
      </w:r>
    </w:p>
    <w:p w14:paraId="0E5D773B" w14:textId="77777777" w:rsidR="00BC0096" w:rsidRPr="0028360F" w:rsidRDefault="00BC0096" w:rsidP="0040723E">
      <w:pPr>
        <w:pStyle w:val="Ttulo3"/>
        <w:rPr>
          <w:lang w:val="es-MX"/>
        </w:rPr>
      </w:pPr>
      <w:bookmarkStart w:id="96" w:name="_Toc525665267"/>
      <w:bookmarkStart w:id="97" w:name="_Toc525665646"/>
      <w:bookmarkStart w:id="98" w:name="_Toc141975004"/>
      <w:r w:rsidRPr="0028360F">
        <w:rPr>
          <w:lang w:val="es-MX"/>
        </w:rPr>
        <w:t>Huella del operador modelado</w:t>
      </w:r>
      <w:bookmarkEnd w:id="96"/>
      <w:bookmarkEnd w:id="97"/>
      <w:bookmarkEnd w:id="98"/>
    </w:p>
    <w:p w14:paraId="32B3C396" w14:textId="77777777" w:rsidR="00BC0096" w:rsidRPr="004C1A96" w:rsidRDefault="00BC0096" w:rsidP="00BC0096">
      <w:pPr>
        <w:rPr>
          <w:rFonts w:ascii="ITC Avant Garde" w:hAnsi="ITC Avant Garde"/>
          <w:lang w:val="es-MX"/>
        </w:rPr>
      </w:pPr>
      <w:r w:rsidRPr="004C1A96">
        <w:rPr>
          <w:rFonts w:ascii="ITC Avant Garde" w:hAnsi="ITC Avant Garde"/>
          <w:lang w:val="es-MX"/>
        </w:rPr>
        <w:t xml:space="preserve">La huella del operador modelado es el conjunto de áreas geográficas donde se supone que la red </w:t>
      </w:r>
      <w:r w:rsidR="009533FA" w:rsidRPr="00E14D8A">
        <w:rPr>
          <w:rFonts w:ascii="ITC Avant Garde" w:hAnsi="ITC Avant Garde"/>
          <w:lang w:val="es-MX"/>
        </w:rPr>
        <w:t>está</w:t>
      </w:r>
      <w:r w:rsidR="00473233" w:rsidRPr="00E14D8A">
        <w:rPr>
          <w:rFonts w:ascii="ITC Avant Garde" w:hAnsi="ITC Avant Garde"/>
          <w:lang w:val="es-MX"/>
        </w:rPr>
        <w:t xml:space="preserve"> </w:t>
      </w:r>
      <w:r w:rsidR="00F2544C" w:rsidRPr="00E14D8A">
        <w:rPr>
          <w:rFonts w:ascii="ITC Avant Garde" w:hAnsi="ITC Avant Garde"/>
          <w:lang w:val="es-MX"/>
        </w:rPr>
        <w:t>desplegada</w:t>
      </w:r>
      <w:r w:rsidR="00473233" w:rsidRPr="004C1A96">
        <w:rPr>
          <w:rFonts w:ascii="ITC Avant Garde" w:hAnsi="ITC Avant Garde"/>
          <w:lang w:val="es-MX"/>
        </w:rPr>
        <w:t xml:space="preserve"> </w:t>
      </w:r>
      <w:r w:rsidRPr="004C1A96">
        <w:rPr>
          <w:rFonts w:ascii="ITC Avant Garde" w:hAnsi="ITC Avant Garde"/>
          <w:lang w:val="es-MX"/>
        </w:rPr>
        <w:t xml:space="preserve">en el modelo de costos. Se pueden considerar tres huellas alternativas </w:t>
      </w:r>
      <w:r w:rsidR="00473233" w:rsidRPr="004C1A96">
        <w:rPr>
          <w:rFonts w:ascii="ITC Avant Garde" w:hAnsi="ITC Avant Garde"/>
          <w:lang w:val="es-MX"/>
        </w:rPr>
        <w:t>en el modelo</w:t>
      </w:r>
      <w:r w:rsidRPr="004C1A96">
        <w:rPr>
          <w:rFonts w:ascii="ITC Avant Garde" w:hAnsi="ITC Avant Garde"/>
          <w:lang w:val="es-MX"/>
        </w:rPr>
        <w:t>:</w:t>
      </w:r>
    </w:p>
    <w:p w14:paraId="35633154" w14:textId="63C75F8F" w:rsidR="00BC0096" w:rsidRPr="004C1A96" w:rsidRDefault="00BC0096" w:rsidP="00473233">
      <w:pPr>
        <w:pStyle w:val="Listaconvietas2"/>
        <w:rPr>
          <w:rFonts w:ascii="ITC Avant Garde" w:hAnsi="ITC Avant Garde"/>
          <w:lang w:val="es-MX"/>
        </w:rPr>
      </w:pPr>
      <w:r w:rsidRPr="004C1A96">
        <w:rPr>
          <w:rFonts w:ascii="ITC Avant Garde" w:hAnsi="ITC Avant Garde"/>
          <w:lang w:val="es-MX"/>
        </w:rPr>
        <w:t xml:space="preserve">Una huella nacional, que potencialmente llegue a todos los hogares </w:t>
      </w:r>
      <w:r w:rsidR="00473233" w:rsidRPr="004C1A96">
        <w:rPr>
          <w:rFonts w:ascii="ITC Avant Garde" w:hAnsi="ITC Avant Garde"/>
          <w:lang w:val="es-MX"/>
        </w:rPr>
        <w:t xml:space="preserve">principales, </w:t>
      </w:r>
      <w:r w:rsidRPr="004C1A96">
        <w:rPr>
          <w:rFonts w:ascii="ITC Avant Garde" w:hAnsi="ITC Avant Garde"/>
          <w:lang w:val="es-MX"/>
        </w:rPr>
        <w:t>secundarios y lugares de trabajo relevantes en México</w:t>
      </w:r>
      <w:r w:rsidR="00F313AF" w:rsidRPr="004C1A96">
        <w:rPr>
          <w:rFonts w:ascii="ITC Avant Garde" w:hAnsi="ITC Avant Garde"/>
          <w:lang w:val="es-MX"/>
        </w:rPr>
        <w:t>, t</w:t>
      </w:r>
      <w:r w:rsidRPr="004C1A96">
        <w:rPr>
          <w:rFonts w:ascii="ITC Avant Garde" w:hAnsi="ITC Avant Garde"/>
          <w:lang w:val="es-MX"/>
        </w:rPr>
        <w:t xml:space="preserve">eniendo en cuenta tanto el área considerada comercialmente viable por los operadores y donde el despliegue de cobre y/o </w:t>
      </w:r>
      <w:r w:rsidR="006E45A3" w:rsidRPr="004C1A96">
        <w:rPr>
          <w:rFonts w:ascii="ITC Avant Garde" w:hAnsi="ITC Avant Garde"/>
          <w:lang w:val="es-MX"/>
        </w:rPr>
        <w:t xml:space="preserve">FTTH y/o FTTC </w:t>
      </w:r>
      <w:r w:rsidRPr="004C1A96">
        <w:rPr>
          <w:rFonts w:ascii="ITC Avant Garde" w:hAnsi="ITC Avant Garde"/>
          <w:lang w:val="es-MX"/>
        </w:rPr>
        <w:t xml:space="preserve">es efectivo, y el área restante </w:t>
      </w:r>
      <w:r w:rsidR="00897777" w:rsidRPr="004C1A96">
        <w:rPr>
          <w:rFonts w:ascii="ITC Avant Garde" w:hAnsi="ITC Avant Garde"/>
          <w:lang w:val="es-MX"/>
        </w:rPr>
        <w:t xml:space="preserve">la cual se estima </w:t>
      </w:r>
      <w:r w:rsidRPr="004C1A96">
        <w:rPr>
          <w:rFonts w:ascii="ITC Avant Garde" w:hAnsi="ITC Avant Garde"/>
          <w:lang w:val="es-MX"/>
        </w:rPr>
        <w:t>como demasiado costosa para desplegarse y que puede estar conectada a través de un Plan Nacional de Banda Ancha;</w:t>
      </w:r>
    </w:p>
    <w:p w14:paraId="39682335" w14:textId="7F5A57DD" w:rsidR="00BC0096" w:rsidRPr="004C1A96" w:rsidRDefault="00BC0096" w:rsidP="00473233">
      <w:pPr>
        <w:pStyle w:val="Listaconvietas2"/>
        <w:rPr>
          <w:rFonts w:ascii="ITC Avant Garde" w:hAnsi="ITC Avant Garde"/>
          <w:lang w:val="es-MX"/>
        </w:rPr>
      </w:pPr>
      <w:r w:rsidRPr="004C1A96">
        <w:rPr>
          <w:rFonts w:ascii="ITC Avant Garde" w:hAnsi="ITC Avant Garde"/>
          <w:lang w:val="es-MX"/>
        </w:rPr>
        <w:lastRenderedPageBreak/>
        <w:t>La cobertura actual de cobre</w:t>
      </w:r>
      <w:r w:rsidR="006E45A3" w:rsidRPr="004C1A96">
        <w:rPr>
          <w:rFonts w:ascii="ITC Avant Garde" w:hAnsi="ITC Avant Garde"/>
          <w:lang w:val="es-MX"/>
        </w:rPr>
        <w:t>,</w:t>
      </w:r>
      <w:r w:rsidRPr="004C1A96">
        <w:rPr>
          <w:rFonts w:ascii="ITC Avant Garde" w:hAnsi="ITC Avant Garde"/>
          <w:lang w:val="es-MX"/>
        </w:rPr>
        <w:t xml:space="preserve"> </w:t>
      </w:r>
      <w:r w:rsidR="006E45A3" w:rsidRPr="004C1A96">
        <w:rPr>
          <w:rFonts w:ascii="ITC Avant Garde" w:hAnsi="ITC Avant Garde"/>
          <w:lang w:val="es-MX"/>
        </w:rPr>
        <w:t xml:space="preserve">FTTH y FTTC </w:t>
      </w:r>
      <w:r w:rsidRPr="004C1A96">
        <w:rPr>
          <w:rFonts w:ascii="ITC Avant Garde" w:hAnsi="ITC Avant Garde"/>
          <w:lang w:val="es-MX"/>
        </w:rPr>
        <w:t>en México</w:t>
      </w:r>
      <w:r w:rsidR="00F313AF" w:rsidRPr="004C1A96">
        <w:rPr>
          <w:rFonts w:ascii="ITC Avant Garde" w:hAnsi="ITC Avant Garde"/>
          <w:lang w:val="es-MX"/>
        </w:rPr>
        <w:t>;</w:t>
      </w:r>
    </w:p>
    <w:p w14:paraId="6B1B6ADD" w14:textId="1E9D3D4A" w:rsidR="00BC0096" w:rsidRPr="004C1A96" w:rsidRDefault="00BC0096" w:rsidP="00473233">
      <w:pPr>
        <w:pStyle w:val="Listaconvietas2"/>
        <w:rPr>
          <w:rFonts w:ascii="ITC Avant Garde" w:hAnsi="ITC Avant Garde"/>
          <w:lang w:val="es-MX"/>
        </w:rPr>
      </w:pPr>
      <w:r w:rsidRPr="004C1A96">
        <w:rPr>
          <w:rFonts w:ascii="ITC Avant Garde" w:hAnsi="ITC Avant Garde"/>
          <w:lang w:val="es-MX"/>
        </w:rPr>
        <w:t>Una cobertura futura de cobre</w:t>
      </w:r>
      <w:r w:rsidR="006E45A3" w:rsidRPr="004C1A96">
        <w:rPr>
          <w:rFonts w:ascii="ITC Avant Garde" w:hAnsi="ITC Avant Garde"/>
          <w:lang w:val="es-MX"/>
        </w:rPr>
        <w:t>,</w:t>
      </w:r>
      <w:r w:rsidRPr="004C1A96">
        <w:rPr>
          <w:rFonts w:ascii="ITC Avant Garde" w:hAnsi="ITC Avant Garde"/>
          <w:lang w:val="es-MX"/>
        </w:rPr>
        <w:t xml:space="preserve"> </w:t>
      </w:r>
      <w:r w:rsidR="006E45A3" w:rsidRPr="004C1A96">
        <w:rPr>
          <w:rFonts w:ascii="ITC Avant Garde" w:hAnsi="ITC Avant Garde"/>
          <w:lang w:val="es-MX"/>
        </w:rPr>
        <w:t>FTTH y FTTC</w:t>
      </w:r>
      <w:r w:rsidRPr="004C1A96">
        <w:rPr>
          <w:rFonts w:ascii="ITC Avant Garde" w:hAnsi="ITC Avant Garde"/>
          <w:lang w:val="es-MX"/>
        </w:rPr>
        <w:t xml:space="preserve"> que refleje implementaciones futuras o específicas (limitando la huella al área considerada comercialmente viable por los operadores y donde los operadores tienen planes de implementaciones futuras).</w:t>
      </w:r>
    </w:p>
    <w:p w14:paraId="15DF8C7C" w14:textId="77777777" w:rsidR="00BC0096" w:rsidRPr="004C1A96" w:rsidRDefault="00BC0096" w:rsidP="00BC0096">
      <w:pPr>
        <w:rPr>
          <w:rFonts w:ascii="ITC Avant Garde" w:hAnsi="ITC Avant Garde"/>
          <w:lang w:val="es-MX"/>
        </w:rPr>
      </w:pPr>
      <w:r w:rsidRPr="004C1A96">
        <w:rPr>
          <w:rFonts w:ascii="ITC Avant Garde" w:hAnsi="ITC Avant Garde"/>
          <w:lang w:val="es-MX"/>
        </w:rPr>
        <w:t xml:space="preserve">Tener en cuenta una huella nacional </w:t>
      </w:r>
      <w:r w:rsidR="00F2544C" w:rsidRPr="004C1A96">
        <w:rPr>
          <w:rFonts w:ascii="ITC Avant Garde" w:hAnsi="ITC Avant Garde"/>
          <w:lang w:val="es-MX"/>
        </w:rPr>
        <w:t>resultaría</w:t>
      </w:r>
      <w:r w:rsidRPr="004C1A96">
        <w:rPr>
          <w:rFonts w:ascii="ITC Avant Garde" w:hAnsi="ITC Avant Garde"/>
          <w:lang w:val="es-MX"/>
        </w:rPr>
        <w:t xml:space="preserve"> </w:t>
      </w:r>
      <w:r w:rsidR="00F313AF" w:rsidRPr="004C1A96">
        <w:rPr>
          <w:rFonts w:ascii="ITC Avant Garde" w:hAnsi="ITC Avant Garde"/>
          <w:lang w:val="es-MX"/>
        </w:rPr>
        <w:t>en</w:t>
      </w:r>
      <w:r w:rsidRPr="004C1A96">
        <w:rPr>
          <w:rFonts w:ascii="ITC Avant Garde" w:hAnsi="ITC Avant Garde"/>
          <w:lang w:val="es-MX"/>
        </w:rPr>
        <w:t xml:space="preserve"> costos</w:t>
      </w:r>
      <w:r w:rsidR="00F313AF" w:rsidRPr="004C1A96">
        <w:rPr>
          <w:rFonts w:ascii="ITC Avant Garde" w:hAnsi="ITC Avant Garde"/>
          <w:lang w:val="es-MX"/>
        </w:rPr>
        <w:t xml:space="preserve"> por </w:t>
      </w:r>
      <w:r w:rsidR="00F2544C" w:rsidRPr="004C1A96">
        <w:rPr>
          <w:rFonts w:ascii="ITC Avant Garde" w:hAnsi="ITC Avant Garde"/>
          <w:lang w:val="es-MX"/>
        </w:rPr>
        <w:t>línea</w:t>
      </w:r>
      <w:r w:rsidRPr="004C1A96">
        <w:rPr>
          <w:rFonts w:ascii="ITC Avant Garde" w:hAnsi="ITC Avant Garde"/>
          <w:lang w:val="es-MX"/>
        </w:rPr>
        <w:t xml:space="preserve"> más altos</w:t>
      </w:r>
      <w:r w:rsidR="00F313AF" w:rsidRPr="004C1A96">
        <w:rPr>
          <w:rFonts w:ascii="ITC Avant Garde" w:hAnsi="ITC Avant Garde"/>
          <w:lang w:val="es-MX"/>
        </w:rPr>
        <w:t>,</w:t>
      </w:r>
      <w:r w:rsidRPr="004C1A96">
        <w:rPr>
          <w:rFonts w:ascii="ITC Avant Garde" w:hAnsi="ITC Avant Garde"/>
          <w:lang w:val="es-MX"/>
        </w:rPr>
        <w:t xml:space="preserve"> debido a las líneas costosas </w:t>
      </w:r>
      <w:r w:rsidR="00F313AF" w:rsidRPr="004C1A96">
        <w:rPr>
          <w:rFonts w:ascii="ITC Avant Garde" w:hAnsi="ITC Avant Garde"/>
          <w:lang w:val="es-MX"/>
        </w:rPr>
        <w:t>(y generalmente n</w:t>
      </w:r>
      <w:r w:rsidRPr="004C1A96">
        <w:rPr>
          <w:rFonts w:ascii="ITC Avant Garde" w:hAnsi="ITC Avant Garde"/>
          <w:lang w:val="es-MX"/>
        </w:rPr>
        <w:t>o rentables</w:t>
      </w:r>
      <w:r w:rsidR="00F313AF" w:rsidRPr="004C1A96">
        <w:rPr>
          <w:rFonts w:ascii="ITC Avant Garde" w:hAnsi="ITC Avant Garde"/>
          <w:lang w:val="es-MX"/>
        </w:rPr>
        <w:t>)</w:t>
      </w:r>
      <w:r w:rsidRPr="004C1A96">
        <w:rPr>
          <w:rFonts w:ascii="ITC Avant Garde" w:hAnsi="ITC Avant Garde"/>
          <w:lang w:val="es-MX"/>
        </w:rPr>
        <w:t xml:space="preserve"> que en realidad no se </w:t>
      </w:r>
      <w:r w:rsidR="00F313AF" w:rsidRPr="004C1A96">
        <w:rPr>
          <w:rFonts w:ascii="ITC Avant Garde" w:hAnsi="ITC Avant Garde"/>
          <w:lang w:val="es-MX"/>
        </w:rPr>
        <w:t>han desplegado</w:t>
      </w:r>
      <w:r w:rsidRPr="004C1A96">
        <w:rPr>
          <w:rFonts w:ascii="ITC Avant Garde" w:hAnsi="ITC Avant Garde"/>
          <w:lang w:val="es-MX"/>
        </w:rPr>
        <w:t xml:space="preserve">, lo que haría que el modelo </w:t>
      </w:r>
      <w:r w:rsidR="003A0FB4" w:rsidRPr="004C1A96">
        <w:rPr>
          <w:rFonts w:ascii="ITC Avant Garde" w:hAnsi="ITC Avant Garde"/>
          <w:lang w:val="es-MX"/>
        </w:rPr>
        <w:t>sobre recupere</w:t>
      </w:r>
      <w:r w:rsidRPr="004C1A96">
        <w:rPr>
          <w:rFonts w:ascii="ITC Avant Garde" w:hAnsi="ITC Avant Garde"/>
          <w:lang w:val="es-MX"/>
        </w:rPr>
        <w:t xml:space="preserve"> los costos reales del </w:t>
      </w:r>
      <w:r w:rsidR="003C772E" w:rsidRPr="004C1A96">
        <w:rPr>
          <w:rFonts w:ascii="ITC Avant Garde" w:hAnsi="ITC Avant Garde"/>
          <w:lang w:val="es-MX"/>
        </w:rPr>
        <w:t xml:space="preserve">operador </w:t>
      </w:r>
      <w:r w:rsidRPr="004C1A96">
        <w:rPr>
          <w:rFonts w:ascii="ITC Avant Garde" w:hAnsi="ITC Avant Garde"/>
          <w:lang w:val="es-MX"/>
        </w:rPr>
        <w:t xml:space="preserve">SMP. Sin embargo, basar el análisis en la cobertura de tecnología actual permite capturar con precisión todos los costos del operador. </w:t>
      </w:r>
    </w:p>
    <w:p w14:paraId="3C1D2F9D" w14:textId="77777777" w:rsidR="00BC0096" w:rsidRPr="004C1A96" w:rsidRDefault="00BC0096" w:rsidP="00BC0096">
      <w:pPr>
        <w:rPr>
          <w:rFonts w:ascii="ITC Avant Garde" w:hAnsi="ITC Avant Garde"/>
          <w:lang w:val="es-MX"/>
        </w:rPr>
      </w:pPr>
      <w:r w:rsidRPr="004C1A96">
        <w:rPr>
          <w:rFonts w:ascii="ITC Avant Garde" w:hAnsi="ITC Avant Garde"/>
          <w:lang w:val="es-MX"/>
        </w:rPr>
        <w:t xml:space="preserve">Los modelos de costos </w:t>
      </w:r>
      <w:r w:rsidR="003A02C7" w:rsidRPr="004C1A96">
        <w:rPr>
          <w:rFonts w:ascii="ITC Avant Garde" w:hAnsi="ITC Avant Garde"/>
          <w:i/>
          <w:lang w:val="es-MX"/>
        </w:rPr>
        <w:t>Bottom-Up</w:t>
      </w:r>
      <w:r w:rsidR="008D4C08" w:rsidRPr="004C1A96">
        <w:rPr>
          <w:rFonts w:ascii="ITC Avant Garde" w:hAnsi="ITC Avant Garde"/>
          <w:lang w:val="es-MX"/>
        </w:rPr>
        <w:t xml:space="preserve"> modernos</w:t>
      </w:r>
      <w:r w:rsidRPr="004C1A96">
        <w:rPr>
          <w:rFonts w:ascii="ITC Avant Garde" w:hAnsi="ITC Avant Garde"/>
          <w:lang w:val="es-MX"/>
        </w:rPr>
        <w:t xml:space="preserve"> usan comúnmente datos de "sistema</w:t>
      </w:r>
      <w:r w:rsidR="00671A72" w:rsidRPr="004C1A96">
        <w:rPr>
          <w:rFonts w:ascii="ITC Avant Garde" w:hAnsi="ITC Avant Garde"/>
          <w:lang w:val="es-MX"/>
        </w:rPr>
        <w:t>s</w:t>
      </w:r>
      <w:r w:rsidRPr="004C1A96">
        <w:rPr>
          <w:rFonts w:ascii="ITC Avant Garde" w:hAnsi="ITC Avant Garde"/>
          <w:lang w:val="es-MX"/>
        </w:rPr>
        <w:t xml:space="preserve"> de información geográfica" (</w:t>
      </w:r>
      <w:r w:rsidR="00671A72" w:rsidRPr="004C1A96">
        <w:rPr>
          <w:rFonts w:ascii="ITC Avant Garde" w:hAnsi="ITC Avant Garde"/>
          <w:lang w:val="es-MX"/>
        </w:rPr>
        <w:t>S</w:t>
      </w:r>
      <w:r w:rsidRPr="004C1A96">
        <w:rPr>
          <w:rFonts w:ascii="ITC Avant Garde" w:hAnsi="ITC Avant Garde"/>
          <w:lang w:val="es-MX"/>
        </w:rPr>
        <w:t>I</w:t>
      </w:r>
      <w:r w:rsidR="00671A72" w:rsidRPr="004C1A96">
        <w:rPr>
          <w:rFonts w:ascii="ITC Avant Garde" w:hAnsi="ITC Avant Garde"/>
          <w:lang w:val="es-MX"/>
        </w:rPr>
        <w:t>G</w:t>
      </w:r>
      <w:r w:rsidRPr="004C1A96">
        <w:rPr>
          <w:rFonts w:ascii="ITC Avant Garde" w:hAnsi="ITC Avant Garde"/>
          <w:lang w:val="es-MX"/>
        </w:rPr>
        <w:t xml:space="preserve">), que proporcionan características geográficas detalladas de la red modelada, hasta </w:t>
      </w:r>
      <w:r w:rsidR="00763735" w:rsidRPr="004C1A96">
        <w:rPr>
          <w:rFonts w:ascii="ITC Avant Garde" w:hAnsi="ITC Avant Garde"/>
          <w:lang w:val="es-MX"/>
        </w:rPr>
        <w:t xml:space="preserve">el nivel de </w:t>
      </w:r>
      <w:r w:rsidRPr="004C1A96">
        <w:rPr>
          <w:rFonts w:ascii="ITC Avant Garde" w:hAnsi="ITC Avant Garde"/>
          <w:lang w:val="es-MX"/>
        </w:rPr>
        <w:t>calle, propiedad y edificio. Esto permite subdivisiones refinadas y flexibles de la red modelada.</w:t>
      </w:r>
    </w:p>
    <w:p w14:paraId="46B86736" w14:textId="77777777" w:rsidR="00BC0096" w:rsidRPr="004C1A96" w:rsidRDefault="00BC0096" w:rsidP="00BC0096">
      <w:pPr>
        <w:rPr>
          <w:rFonts w:ascii="ITC Avant Garde" w:hAnsi="ITC Avant Garde"/>
          <w:lang w:val="es-MX"/>
        </w:rPr>
      </w:pPr>
      <w:r w:rsidRPr="004C1A96">
        <w:rPr>
          <w:rFonts w:ascii="ITC Avant Garde" w:hAnsi="ITC Avant Garde"/>
          <w:lang w:val="es-MX"/>
        </w:rPr>
        <w:t xml:space="preserve">Dado que el modelo se basa en </w:t>
      </w:r>
      <w:r w:rsidR="00763735" w:rsidRPr="004C1A96">
        <w:rPr>
          <w:rFonts w:ascii="ITC Avant Garde" w:hAnsi="ITC Avant Garde"/>
          <w:lang w:val="es-MX"/>
        </w:rPr>
        <w:t xml:space="preserve">un </w:t>
      </w:r>
      <w:r w:rsidRPr="004C1A96">
        <w:rPr>
          <w:rFonts w:ascii="ITC Avant Garde" w:hAnsi="ITC Avant Garde"/>
          <w:lang w:val="es-MX"/>
        </w:rPr>
        <w:t>SIG usando la base de datos de carreteras (datos del Instituto Nacional de Estadística y Geografía</w:t>
      </w:r>
      <w:r w:rsidR="00763735" w:rsidRPr="004C1A96">
        <w:rPr>
          <w:rFonts w:ascii="ITC Avant Garde" w:hAnsi="ITC Avant Garde"/>
          <w:lang w:val="es-MX"/>
        </w:rPr>
        <w:t xml:space="preserve">, o </w:t>
      </w:r>
      <w:r w:rsidRPr="004C1A96">
        <w:rPr>
          <w:rFonts w:ascii="ITC Avant Garde" w:hAnsi="ITC Avant Garde"/>
          <w:lang w:val="es-MX"/>
        </w:rPr>
        <w:t xml:space="preserve">INEGI) en combinación con la información sobre edificios e instalaciones mexicanas (derivada de </w:t>
      </w:r>
      <w:r w:rsidR="00763735" w:rsidRPr="004C1A96">
        <w:rPr>
          <w:rFonts w:ascii="ITC Avant Garde" w:hAnsi="ITC Avant Garde"/>
          <w:lang w:val="es-MX"/>
        </w:rPr>
        <w:t>unos mapas del INEGI</w:t>
      </w:r>
      <w:r w:rsidRPr="004C1A96">
        <w:rPr>
          <w:rFonts w:ascii="ITC Avant Garde" w:hAnsi="ITC Avant Garde"/>
          <w:lang w:val="es-MX"/>
        </w:rPr>
        <w:t xml:space="preserve"> </w:t>
      </w:r>
      <w:r w:rsidR="00763735" w:rsidRPr="004C1A96">
        <w:rPr>
          <w:rFonts w:ascii="ITC Avant Garde" w:hAnsi="ITC Avant Garde"/>
          <w:lang w:val="es-MX"/>
        </w:rPr>
        <w:t xml:space="preserve">que </w:t>
      </w:r>
      <w:r w:rsidRPr="004C1A96">
        <w:rPr>
          <w:rFonts w:ascii="ITC Avant Garde" w:hAnsi="ITC Avant Garde"/>
          <w:lang w:val="es-MX"/>
        </w:rPr>
        <w:t xml:space="preserve">detallan estadísticas sobre edificios y viviendas), es posible determinar los edificios que son relevantes para conectarse con la red moderna que está construyendo un operador hipotéticamente eficiente. Esto implica que </w:t>
      </w:r>
      <w:r w:rsidR="00763735" w:rsidRPr="004C1A96">
        <w:rPr>
          <w:rFonts w:ascii="ITC Avant Garde" w:hAnsi="ITC Avant Garde"/>
          <w:lang w:val="es-MX"/>
        </w:rPr>
        <w:t xml:space="preserve">el </w:t>
      </w:r>
      <w:r w:rsidRPr="004C1A96">
        <w:rPr>
          <w:rFonts w:ascii="ITC Avant Garde" w:hAnsi="ITC Avant Garde"/>
          <w:lang w:val="es-MX"/>
        </w:rPr>
        <w:t>IFT, basado en una selección de las diferentes subcategorías para propiedades y edificios de estas bases de datos, podrá establecer la base para una cobertura total que conecte a todos los hogares, lugares de trabajo relevantes, edificios públicos, edificios comerciales y edificios industriales, lo que significa el 100 por ciento de los edificios que se han identificado.</w:t>
      </w:r>
    </w:p>
    <w:p w14:paraId="2B5C5FE8" w14:textId="77777777" w:rsidR="00BC0096" w:rsidRPr="004C1A96" w:rsidRDefault="00BC0096" w:rsidP="00BC0096">
      <w:pPr>
        <w:rPr>
          <w:rFonts w:ascii="ITC Avant Garde" w:hAnsi="ITC Avant Garde"/>
          <w:lang w:val="es-MX"/>
        </w:rPr>
      </w:pPr>
      <w:r w:rsidRPr="004C1A96">
        <w:rPr>
          <w:rFonts w:ascii="ITC Avant Garde" w:hAnsi="ITC Avant Garde"/>
          <w:lang w:val="es-MX"/>
        </w:rPr>
        <w:t xml:space="preserve">El modelo podría desplegar inicialmente la red a todos los edificios identificados y seleccionados y así establecer una cobertura </w:t>
      </w:r>
      <w:r w:rsidR="00F2544C" w:rsidRPr="004C1A96">
        <w:rPr>
          <w:rFonts w:ascii="ITC Avant Garde" w:hAnsi="ITC Avant Garde"/>
          <w:lang w:val="es-MX"/>
        </w:rPr>
        <w:t>nacional</w:t>
      </w:r>
      <w:r w:rsidRPr="004C1A96">
        <w:rPr>
          <w:rFonts w:ascii="ITC Avant Garde" w:hAnsi="ITC Avant Garde"/>
          <w:lang w:val="es-MX"/>
        </w:rPr>
        <w:t>. Esto significa que la red se modela como una red nacional e inicialmente se construye con cobertura total de los hogares, lo que significa que cumple con el objetivo dentro de un determinado número de años por determinar.</w:t>
      </w:r>
    </w:p>
    <w:p w14:paraId="11D8003B" w14:textId="60C79B98" w:rsidR="00BC0096" w:rsidRPr="004C1A96" w:rsidRDefault="00BC0096" w:rsidP="00BC0096">
      <w:pPr>
        <w:rPr>
          <w:rFonts w:ascii="ITC Avant Garde" w:hAnsi="ITC Avant Garde"/>
          <w:lang w:val="es-MX"/>
        </w:rPr>
      </w:pPr>
      <w:r w:rsidRPr="004C1A96">
        <w:rPr>
          <w:rFonts w:ascii="ITC Avant Garde" w:hAnsi="ITC Avant Garde"/>
          <w:lang w:val="es-MX"/>
        </w:rPr>
        <w:t xml:space="preserve">La segunda opción tiene en cuenta las </w:t>
      </w:r>
      <w:r w:rsidR="007247A9" w:rsidRPr="004C1A96">
        <w:rPr>
          <w:rFonts w:ascii="ITC Avant Garde" w:hAnsi="ITC Avant Garde"/>
          <w:lang w:val="es-MX"/>
        </w:rPr>
        <w:t xml:space="preserve">tres </w:t>
      </w:r>
      <w:r w:rsidRPr="004C1A96">
        <w:rPr>
          <w:rFonts w:ascii="ITC Avant Garde" w:hAnsi="ITC Avant Garde"/>
          <w:lang w:val="es-MX"/>
        </w:rPr>
        <w:t xml:space="preserve">tecnologías y considera la cobertura actual de </w:t>
      </w:r>
      <w:r w:rsidR="007247A9" w:rsidRPr="004C1A96">
        <w:rPr>
          <w:rFonts w:ascii="ITC Avant Garde" w:hAnsi="ITC Avant Garde"/>
          <w:lang w:val="es-MX"/>
        </w:rPr>
        <w:t xml:space="preserve">FTTH, FTTC </w:t>
      </w:r>
      <w:r w:rsidRPr="004C1A96">
        <w:rPr>
          <w:rFonts w:ascii="ITC Avant Garde" w:hAnsi="ITC Avant Garde"/>
          <w:lang w:val="es-MX"/>
        </w:rPr>
        <w:t xml:space="preserve">y cobre. La huella resultante contendría en realidad </w:t>
      </w:r>
      <w:r w:rsidR="007247A9" w:rsidRPr="004C1A96">
        <w:rPr>
          <w:rFonts w:ascii="ITC Avant Garde" w:hAnsi="ITC Avant Garde"/>
          <w:lang w:val="es-MX"/>
        </w:rPr>
        <w:t xml:space="preserve">tres </w:t>
      </w:r>
      <w:r w:rsidRPr="004C1A96">
        <w:rPr>
          <w:rFonts w:ascii="ITC Avant Garde" w:hAnsi="ITC Avant Garde"/>
          <w:lang w:val="es-MX"/>
        </w:rPr>
        <w:t>sub</w:t>
      </w:r>
      <w:r w:rsidR="00763735" w:rsidRPr="004C1A96">
        <w:rPr>
          <w:rFonts w:ascii="ITC Avant Garde" w:hAnsi="ITC Avant Garde"/>
          <w:lang w:val="es-MX"/>
        </w:rPr>
        <w:t>-huellas</w:t>
      </w:r>
      <w:r w:rsidRPr="004C1A96">
        <w:rPr>
          <w:rFonts w:ascii="ITC Avant Garde" w:hAnsi="ITC Avant Garde"/>
          <w:lang w:val="es-MX"/>
        </w:rPr>
        <w:t>, un</w:t>
      </w:r>
      <w:r w:rsidR="00763735" w:rsidRPr="004C1A96">
        <w:rPr>
          <w:rFonts w:ascii="ITC Avant Garde" w:hAnsi="ITC Avant Garde"/>
          <w:lang w:val="es-MX"/>
        </w:rPr>
        <w:t>a</w:t>
      </w:r>
      <w:r w:rsidRPr="004C1A96">
        <w:rPr>
          <w:rFonts w:ascii="ITC Avant Garde" w:hAnsi="ITC Avant Garde"/>
          <w:lang w:val="es-MX"/>
        </w:rPr>
        <w:t xml:space="preserve"> para cada tecnología.</w:t>
      </w:r>
    </w:p>
    <w:p w14:paraId="268D8CB6" w14:textId="4EE197C9" w:rsidR="00BC0096" w:rsidRPr="004C1A96" w:rsidRDefault="00BC0096" w:rsidP="00BC0096">
      <w:pPr>
        <w:rPr>
          <w:rFonts w:ascii="ITC Avant Garde" w:hAnsi="ITC Avant Garde"/>
          <w:lang w:val="es-MX"/>
        </w:rPr>
      </w:pPr>
      <w:r w:rsidRPr="004C1A96">
        <w:rPr>
          <w:rFonts w:ascii="ITC Avant Garde" w:hAnsi="ITC Avant Garde"/>
          <w:lang w:val="es-MX"/>
        </w:rPr>
        <w:t xml:space="preserve">Finalmente, dado que gran parte de México aún no está cubierta ni por el cobre ni por </w:t>
      </w:r>
      <w:r w:rsidR="00F22772" w:rsidRPr="004C1A96">
        <w:rPr>
          <w:rFonts w:ascii="ITC Avant Garde" w:hAnsi="ITC Avant Garde"/>
          <w:lang w:val="es-MX"/>
        </w:rPr>
        <w:t>FTTH/FTTC</w:t>
      </w:r>
      <w:r w:rsidRPr="004C1A96">
        <w:rPr>
          <w:rFonts w:ascii="ITC Avant Garde" w:hAnsi="ITC Avant Garde"/>
          <w:lang w:val="es-MX"/>
        </w:rPr>
        <w:t>, pero podría cubrirse en el futuro, la huella basada en la cobertura actual de cobre</w:t>
      </w:r>
      <w:r w:rsidR="00F22772" w:rsidRPr="004C1A96">
        <w:rPr>
          <w:rFonts w:ascii="ITC Avant Garde" w:hAnsi="ITC Avant Garde"/>
          <w:lang w:val="es-MX"/>
        </w:rPr>
        <w:t>,</w:t>
      </w:r>
      <w:r w:rsidRPr="004C1A96">
        <w:rPr>
          <w:rFonts w:ascii="ITC Avant Garde" w:hAnsi="ITC Avant Garde"/>
          <w:lang w:val="es-MX"/>
        </w:rPr>
        <w:t xml:space="preserve"> </w:t>
      </w:r>
      <w:r w:rsidR="00F22772" w:rsidRPr="004C1A96">
        <w:rPr>
          <w:rFonts w:ascii="ITC Avant Garde" w:hAnsi="ITC Avant Garde"/>
          <w:lang w:val="es-MX"/>
        </w:rPr>
        <w:t xml:space="preserve">FTTH </w:t>
      </w:r>
      <w:r w:rsidRPr="004C1A96">
        <w:rPr>
          <w:rFonts w:ascii="ITC Avant Garde" w:hAnsi="ITC Avant Garde"/>
          <w:lang w:val="es-MX"/>
        </w:rPr>
        <w:t xml:space="preserve">y </w:t>
      </w:r>
      <w:r w:rsidR="00F22772" w:rsidRPr="004C1A96">
        <w:rPr>
          <w:rFonts w:ascii="ITC Avant Garde" w:hAnsi="ITC Avant Garde"/>
          <w:lang w:val="es-MX"/>
        </w:rPr>
        <w:t xml:space="preserve">FTTC </w:t>
      </w:r>
      <w:r w:rsidRPr="004C1A96">
        <w:rPr>
          <w:rFonts w:ascii="ITC Avant Garde" w:hAnsi="ITC Avant Garde"/>
          <w:lang w:val="es-MX"/>
        </w:rPr>
        <w:t>podría extenderse a todos los posibles hogares y hogares secundarios y lugares de trabajo relevantes</w:t>
      </w:r>
      <w:r w:rsidR="00897777" w:rsidRPr="004C1A96">
        <w:rPr>
          <w:rFonts w:ascii="ITC Avant Garde" w:hAnsi="ITC Avant Garde"/>
          <w:lang w:val="es-MX"/>
        </w:rPr>
        <w:t xml:space="preserve"> del país</w:t>
      </w:r>
      <w:r w:rsidR="008D4C08" w:rsidRPr="004C1A96">
        <w:rPr>
          <w:rFonts w:ascii="ITC Avant Garde" w:hAnsi="ITC Avant Garde"/>
          <w:lang w:val="es-MX"/>
        </w:rPr>
        <w:t>.</w:t>
      </w:r>
    </w:p>
    <w:p w14:paraId="21F59031" w14:textId="77777777" w:rsidR="00BC0096" w:rsidRPr="004C1A96" w:rsidRDefault="00BC0096" w:rsidP="00BC0096">
      <w:pPr>
        <w:pStyle w:val="Encadr3"/>
        <w:rPr>
          <w:rFonts w:ascii="ITC Avant Garde" w:hAnsi="ITC Avant Garde"/>
          <w:lang w:val="es-MX"/>
        </w:rPr>
      </w:pPr>
      <w:r w:rsidRPr="004C1A96">
        <w:rPr>
          <w:rFonts w:ascii="ITC Avant Garde" w:hAnsi="ITC Avant Garde"/>
          <w:lang w:val="es-MX"/>
        </w:rPr>
        <w:t>Criterio 9: La huella de la red que despliega el operador modelado es un parámetro clave del modelo de costo.</w:t>
      </w:r>
    </w:p>
    <w:p w14:paraId="64A97F04" w14:textId="4E85BB18" w:rsidR="00BC0096" w:rsidRPr="004C1A96" w:rsidRDefault="00763735" w:rsidP="00BC0096">
      <w:pPr>
        <w:pStyle w:val="Encadr3"/>
        <w:rPr>
          <w:rFonts w:ascii="ITC Avant Garde" w:hAnsi="ITC Avant Garde"/>
          <w:lang w:val="es-MX"/>
        </w:rPr>
      </w:pPr>
      <w:r w:rsidRPr="004C1A96">
        <w:rPr>
          <w:rFonts w:ascii="ITC Avant Garde" w:hAnsi="ITC Avant Garde"/>
          <w:lang w:val="es-MX"/>
        </w:rPr>
        <w:lastRenderedPageBreak/>
        <w:t>L</w:t>
      </w:r>
      <w:r w:rsidR="00BC0096" w:rsidRPr="004C1A96">
        <w:rPr>
          <w:rFonts w:ascii="ITC Avant Garde" w:hAnsi="ITC Avant Garde"/>
          <w:lang w:val="es-MX"/>
        </w:rPr>
        <w:t>a cobertura actual de cobre</w:t>
      </w:r>
      <w:r w:rsidR="007247A9" w:rsidRPr="004C1A96">
        <w:rPr>
          <w:rFonts w:ascii="ITC Avant Garde" w:hAnsi="ITC Avant Garde"/>
          <w:lang w:val="es-MX"/>
        </w:rPr>
        <w:t>, FTTH y FTTC</w:t>
      </w:r>
      <w:r w:rsidR="00BC0096" w:rsidRPr="004C1A96">
        <w:rPr>
          <w:rFonts w:ascii="ITC Avant Garde" w:hAnsi="ITC Avant Garde"/>
          <w:lang w:val="es-MX"/>
        </w:rPr>
        <w:t xml:space="preserve"> </w:t>
      </w:r>
      <w:r w:rsidRPr="004C1A96">
        <w:rPr>
          <w:rFonts w:ascii="ITC Avant Garde" w:hAnsi="ITC Avant Garde"/>
          <w:lang w:val="es-MX"/>
        </w:rPr>
        <w:t>es</w:t>
      </w:r>
      <w:r w:rsidR="00BC0096" w:rsidRPr="004C1A96">
        <w:rPr>
          <w:rFonts w:ascii="ITC Avant Garde" w:hAnsi="ITC Avant Garde"/>
          <w:lang w:val="es-MX"/>
        </w:rPr>
        <w:t xml:space="preserve"> la más relevante para el cálculo del costo de los servicios de red de acceso regulado.</w:t>
      </w:r>
    </w:p>
    <w:p w14:paraId="557AA6C6" w14:textId="77777777" w:rsidR="00BC0096" w:rsidRPr="004C1A96" w:rsidRDefault="00BC0096" w:rsidP="00BC0096">
      <w:pPr>
        <w:pStyle w:val="Encadr3"/>
        <w:rPr>
          <w:rFonts w:ascii="ITC Avant Garde" w:hAnsi="ITC Avant Garde"/>
          <w:lang w:val="es-MX"/>
        </w:rPr>
      </w:pPr>
      <w:r w:rsidRPr="004C1A96">
        <w:rPr>
          <w:rFonts w:ascii="ITC Avant Garde" w:hAnsi="ITC Avant Garde"/>
          <w:lang w:val="es-MX"/>
        </w:rPr>
        <w:t xml:space="preserve">Con el fin de conciliar los datos de geomarketing y la demanda específica, </w:t>
      </w:r>
      <w:r w:rsidR="00763735" w:rsidRPr="004C1A96">
        <w:rPr>
          <w:rFonts w:ascii="ITC Avant Garde" w:hAnsi="ITC Avant Garde"/>
          <w:lang w:val="es-MX"/>
        </w:rPr>
        <w:t>la cobertura anual se deriva de la cobertura nacional, haciendo</w:t>
      </w:r>
      <w:r w:rsidRPr="004C1A96">
        <w:rPr>
          <w:rFonts w:ascii="ITC Avant Garde" w:hAnsi="ITC Avant Garde"/>
          <w:lang w:val="es-MX"/>
        </w:rPr>
        <w:t xml:space="preserve"> un ajuste de la huella considerando las premisas más económicamente viables que permitan alcanzar la demanda específica.</w:t>
      </w:r>
    </w:p>
    <w:p w14:paraId="5181ECB5" w14:textId="77777777" w:rsidR="00BC0096" w:rsidRPr="00FF2101" w:rsidRDefault="00453F6F" w:rsidP="00F17242">
      <w:pPr>
        <w:pStyle w:val="Ttulo2"/>
        <w:rPr>
          <w:lang w:val="es-ES"/>
        </w:rPr>
      </w:pPr>
      <w:bookmarkStart w:id="99" w:name="_Toc525665268"/>
      <w:bookmarkStart w:id="100" w:name="_Toc525665647"/>
      <w:bookmarkStart w:id="101" w:name="_Toc141975005"/>
      <w:r w:rsidRPr="00FF2101">
        <w:rPr>
          <w:lang w:val="es-ES"/>
        </w:rPr>
        <w:t xml:space="preserve">Enfoque de </w:t>
      </w:r>
      <w:r w:rsidR="003A0FB4" w:rsidRPr="00FF2101">
        <w:rPr>
          <w:lang w:val="es-ES"/>
        </w:rPr>
        <w:t>modelación</w:t>
      </w:r>
      <w:r w:rsidRPr="00FF2101">
        <w:rPr>
          <w:lang w:val="es-ES"/>
        </w:rPr>
        <w:t xml:space="preserve"> de la red de acceso</w:t>
      </w:r>
      <w:bookmarkEnd w:id="99"/>
      <w:bookmarkEnd w:id="100"/>
      <w:bookmarkEnd w:id="101"/>
    </w:p>
    <w:p w14:paraId="0062AFAE" w14:textId="77777777" w:rsidR="00453F6F" w:rsidRPr="0028360F" w:rsidRDefault="00453F6F" w:rsidP="0040723E">
      <w:pPr>
        <w:pStyle w:val="Ttulo3"/>
        <w:rPr>
          <w:lang w:val="es-MX"/>
        </w:rPr>
      </w:pPr>
      <w:bookmarkStart w:id="102" w:name="_Toc525665269"/>
      <w:bookmarkStart w:id="103" w:name="_Toc525665648"/>
      <w:bookmarkStart w:id="104" w:name="_Toc141975006"/>
      <w:r w:rsidRPr="0028360F">
        <w:rPr>
          <w:lang w:val="es-MX"/>
        </w:rPr>
        <w:t>Alcance de la red modelada</w:t>
      </w:r>
      <w:bookmarkEnd w:id="102"/>
      <w:bookmarkEnd w:id="103"/>
      <w:bookmarkEnd w:id="104"/>
    </w:p>
    <w:p w14:paraId="64FA441B" w14:textId="77777777" w:rsidR="00453F6F" w:rsidRPr="004C1A96" w:rsidRDefault="00453F6F" w:rsidP="00453F6F">
      <w:pPr>
        <w:rPr>
          <w:rFonts w:ascii="ITC Avant Garde" w:hAnsi="ITC Avant Garde"/>
          <w:lang w:val="es-MX"/>
        </w:rPr>
      </w:pPr>
      <w:r w:rsidRPr="004C1A96">
        <w:rPr>
          <w:rFonts w:ascii="ITC Avant Garde" w:hAnsi="ITC Avant Garde"/>
          <w:lang w:val="es-MX"/>
        </w:rPr>
        <w:t>En una red fija, la red de acceso generalmente se define como la parte pasiva de la red que conecta cada premisa de usuario final o punto de terminación de red (NTP</w:t>
      </w:r>
      <w:r w:rsidR="00763735" w:rsidRPr="00E14D8A">
        <w:rPr>
          <w:rFonts w:ascii="ITC Avant Garde" w:hAnsi="ITC Avant Garde"/>
          <w:lang w:val="es-MX"/>
        </w:rPr>
        <w:t>,</w:t>
      </w:r>
      <w:r w:rsidR="00446220" w:rsidRPr="00E14D8A">
        <w:rPr>
          <w:rFonts w:ascii="ITC Avant Garde" w:hAnsi="ITC Avant Garde"/>
          <w:lang w:val="es-MX"/>
        </w:rPr>
        <w:t xml:space="preserve"> por sus siglas en inglés</w:t>
      </w:r>
      <w:r w:rsidR="00763735" w:rsidRPr="00E14D8A">
        <w:rPr>
          <w:rFonts w:ascii="ITC Avant Garde" w:hAnsi="ITC Avant Garde"/>
          <w:lang w:val="es-MX"/>
        </w:rPr>
        <w:t xml:space="preserve"> </w:t>
      </w:r>
      <w:r w:rsidR="00763735" w:rsidRPr="004C1A96">
        <w:rPr>
          <w:rFonts w:ascii="ITC Avant Garde" w:hAnsi="ITC Avant Garde"/>
          <w:i/>
          <w:lang w:val="es-MX"/>
        </w:rPr>
        <w:t>Network Termination Point</w:t>
      </w:r>
      <w:r w:rsidRPr="004C1A96">
        <w:rPr>
          <w:rFonts w:ascii="ITC Avant Garde" w:hAnsi="ITC Avant Garde"/>
          <w:lang w:val="es-MX"/>
        </w:rPr>
        <w:t xml:space="preserve">) a un nodo de acceso donde se instalan los primeros </w:t>
      </w:r>
      <w:r w:rsidR="00763735" w:rsidRPr="004C1A96">
        <w:rPr>
          <w:rFonts w:ascii="ITC Avant Garde" w:hAnsi="ITC Avant Garde"/>
          <w:lang w:val="es-MX"/>
        </w:rPr>
        <w:t xml:space="preserve">equipos </w:t>
      </w:r>
      <w:r w:rsidRPr="004C1A96">
        <w:rPr>
          <w:rFonts w:ascii="ITC Avant Garde" w:hAnsi="ITC Avant Garde"/>
          <w:lang w:val="es-MX"/>
        </w:rPr>
        <w:t>activos. El nodo de acceso está, por un lado, conectado a la red de acceso y, por otro lado, está conectado a la red central y se encuentra en un sitio.</w:t>
      </w:r>
    </w:p>
    <w:p w14:paraId="7013ABDB" w14:textId="77777777" w:rsidR="00453F6F" w:rsidRPr="004C1A96" w:rsidRDefault="00453F6F" w:rsidP="00453F6F">
      <w:pPr>
        <w:rPr>
          <w:rFonts w:ascii="ITC Avant Garde" w:hAnsi="ITC Avant Garde"/>
          <w:lang w:val="es-MX"/>
        </w:rPr>
      </w:pPr>
      <w:r w:rsidRPr="004C1A96">
        <w:rPr>
          <w:rFonts w:ascii="ITC Avant Garde" w:hAnsi="ITC Avant Garde"/>
          <w:lang w:val="es-MX"/>
        </w:rPr>
        <w:t>Los activos de red de acceso son todos los activos asociados con las líneas de clientes entre las premisas del cliente final y el nodo de acceso e incluyen:</w:t>
      </w:r>
    </w:p>
    <w:p w14:paraId="3DB4D5F0" w14:textId="77777777" w:rsidR="00763735" w:rsidRPr="004C1A96" w:rsidRDefault="00453F6F" w:rsidP="00453F6F">
      <w:pPr>
        <w:pStyle w:val="Listaconvietas2"/>
        <w:rPr>
          <w:rFonts w:ascii="ITC Avant Garde" w:hAnsi="ITC Avant Garde"/>
          <w:lang w:val="es-MX"/>
        </w:rPr>
      </w:pPr>
      <w:r w:rsidRPr="004C1A96">
        <w:rPr>
          <w:rFonts w:ascii="ITC Avant Garde" w:hAnsi="ITC Avant Garde"/>
          <w:lang w:val="es-MX"/>
        </w:rPr>
        <w:t>La tarjeta de línea en el nodo de acceso que conecta a los clientes finales;</w:t>
      </w:r>
    </w:p>
    <w:p w14:paraId="5D8028E2" w14:textId="1BE192F8" w:rsidR="00763735" w:rsidRPr="004C1A96" w:rsidRDefault="00453F6F" w:rsidP="00453F6F">
      <w:pPr>
        <w:pStyle w:val="Listaconvietas2"/>
        <w:rPr>
          <w:rFonts w:ascii="ITC Avant Garde" w:hAnsi="ITC Avant Garde"/>
          <w:lang w:val="es-MX"/>
        </w:rPr>
      </w:pPr>
      <w:r w:rsidRPr="004C1A96">
        <w:rPr>
          <w:rFonts w:ascii="ITC Avant Garde" w:hAnsi="ITC Avant Garde"/>
          <w:lang w:val="es-MX"/>
        </w:rPr>
        <w:t xml:space="preserve">Conectores cruzados de fibra óptica y </w:t>
      </w:r>
      <w:r w:rsidR="0006783B" w:rsidRPr="004C1A96">
        <w:rPr>
          <w:rFonts w:ascii="ITC Avant Garde" w:hAnsi="ITC Avant Garde"/>
          <w:lang w:val="es-MX"/>
        </w:rPr>
        <w:t xml:space="preserve">Bastidor </w:t>
      </w:r>
      <w:r w:rsidRPr="004C1A96">
        <w:rPr>
          <w:rFonts w:ascii="ITC Avant Garde" w:hAnsi="ITC Avant Garde"/>
          <w:lang w:val="es-MX"/>
        </w:rPr>
        <w:t>de Distribución Óptica</w:t>
      </w:r>
      <w:r w:rsidR="0006783B" w:rsidRPr="004C1A96">
        <w:rPr>
          <w:rFonts w:ascii="ITC Avant Garde" w:hAnsi="ITC Avant Garde"/>
          <w:lang w:val="es-MX"/>
        </w:rPr>
        <w:t xml:space="preserve"> (</w:t>
      </w:r>
      <w:r w:rsidR="005570A2" w:rsidRPr="004C1A96">
        <w:rPr>
          <w:rFonts w:ascii="ITC Avant Garde" w:hAnsi="ITC Avant Garde"/>
          <w:i/>
          <w:lang w:val="es-MX"/>
        </w:rPr>
        <w:t>Optical Distribution Frame</w:t>
      </w:r>
      <w:r w:rsidR="009B7521" w:rsidRPr="004C1A96">
        <w:rPr>
          <w:rFonts w:ascii="ITC Avant Garde" w:hAnsi="ITC Avant Garde"/>
          <w:i/>
          <w:lang w:val="es-MX"/>
        </w:rPr>
        <w:t xml:space="preserve"> </w:t>
      </w:r>
      <w:r w:rsidR="0006783B" w:rsidRPr="004C1A96">
        <w:rPr>
          <w:rFonts w:ascii="ITC Avant Garde" w:hAnsi="ITC Avant Garde"/>
          <w:lang w:val="es-MX"/>
        </w:rPr>
        <w:t>ODF</w:t>
      </w:r>
      <w:r w:rsidR="005570A2" w:rsidRPr="004C1A96">
        <w:rPr>
          <w:rFonts w:ascii="ITC Avant Garde" w:hAnsi="ITC Avant Garde"/>
          <w:lang w:val="es-MX"/>
        </w:rPr>
        <w:t>, por sus siglas en inglés</w:t>
      </w:r>
      <w:r w:rsidR="0006783B" w:rsidRPr="004C1A96">
        <w:rPr>
          <w:rFonts w:ascii="ITC Avant Garde" w:hAnsi="ITC Avant Garde"/>
          <w:lang w:val="es-MX"/>
        </w:rPr>
        <w:t>)</w:t>
      </w:r>
      <w:r w:rsidRPr="004C1A96">
        <w:rPr>
          <w:rFonts w:ascii="ITC Avant Garde" w:hAnsi="ITC Avant Garde"/>
          <w:lang w:val="es-MX"/>
        </w:rPr>
        <w:t>, que son equipos para terminación, conexión y reticulación de fibras y equipos asociados para conexiones de clientes en nodos de acceso;</w:t>
      </w:r>
    </w:p>
    <w:p w14:paraId="18AD57FF" w14:textId="77777777" w:rsidR="0059553F" w:rsidRPr="004C1A96" w:rsidRDefault="00453F6F" w:rsidP="00453F6F">
      <w:pPr>
        <w:pStyle w:val="Listaconvietas2"/>
        <w:rPr>
          <w:rFonts w:ascii="ITC Avant Garde" w:hAnsi="ITC Avant Garde"/>
          <w:lang w:val="es-MX"/>
        </w:rPr>
      </w:pPr>
      <w:r w:rsidRPr="004C1A96">
        <w:rPr>
          <w:rFonts w:ascii="ITC Avant Garde" w:hAnsi="ITC Avant Garde"/>
          <w:lang w:val="es-MX"/>
        </w:rPr>
        <w:t xml:space="preserve">Cables de fibra, ductos, conmutadores y otros equipos que pasan del nodo de acceso al NTP, que es el punto de conexión para fibra en las instalaciones del cliente final, o al </w:t>
      </w:r>
      <w:r w:rsidR="0006783B" w:rsidRPr="004C1A96">
        <w:rPr>
          <w:rFonts w:ascii="ITC Avant Garde" w:hAnsi="ITC Avant Garde"/>
          <w:lang w:val="es-MX"/>
        </w:rPr>
        <w:t>Bastidor de D</w:t>
      </w:r>
      <w:r w:rsidR="001A3FDF" w:rsidRPr="004C1A96">
        <w:rPr>
          <w:rFonts w:ascii="ITC Avant Garde" w:hAnsi="ITC Avant Garde"/>
          <w:lang w:val="es-MX"/>
        </w:rPr>
        <w:t>istribución del</w:t>
      </w:r>
      <w:r w:rsidR="0006783B" w:rsidRPr="004C1A96">
        <w:rPr>
          <w:rFonts w:ascii="ITC Avant Garde" w:hAnsi="ITC Avant Garde"/>
          <w:lang w:val="es-MX"/>
        </w:rPr>
        <w:t xml:space="preserve"> </w:t>
      </w:r>
      <w:r w:rsidR="009F5817" w:rsidRPr="004C1A96">
        <w:rPr>
          <w:rFonts w:ascii="ITC Avant Garde" w:hAnsi="ITC Avant Garde"/>
          <w:lang w:val="es-MX"/>
        </w:rPr>
        <w:t>Edificio (</w:t>
      </w:r>
      <w:r w:rsidRPr="004C1A96">
        <w:rPr>
          <w:rFonts w:ascii="ITC Avant Garde" w:hAnsi="ITC Avant Garde"/>
          <w:lang w:val="es-MX"/>
        </w:rPr>
        <w:t xml:space="preserve">BDF) en el caso de </w:t>
      </w:r>
      <w:r w:rsidR="006F20DA" w:rsidRPr="004C1A96">
        <w:rPr>
          <w:rFonts w:ascii="ITC Avant Garde" w:hAnsi="ITC Avant Garde"/>
          <w:lang w:val="es-MX"/>
        </w:rPr>
        <w:t xml:space="preserve">unidades </w:t>
      </w:r>
      <w:r w:rsidRPr="004C1A96">
        <w:rPr>
          <w:rFonts w:ascii="ITC Avant Garde" w:hAnsi="ITC Avant Garde"/>
          <w:lang w:val="es-MX"/>
        </w:rPr>
        <w:t>de vivienda múltiple, que es un dispositivo para cableado y equipo en el nodo de propiedad, y que gestiona la transición de redes de acceso a redes de cableado interior, que va a un NTP;</w:t>
      </w:r>
    </w:p>
    <w:p w14:paraId="4D1588B5" w14:textId="77777777" w:rsidR="0059553F" w:rsidRPr="004C1A96" w:rsidRDefault="00453F6F" w:rsidP="00453F6F">
      <w:pPr>
        <w:pStyle w:val="Listaconvietas2"/>
        <w:rPr>
          <w:rFonts w:ascii="ITC Avant Garde" w:hAnsi="ITC Avant Garde"/>
          <w:lang w:val="es-MX"/>
        </w:rPr>
      </w:pPr>
      <w:r w:rsidRPr="004C1A96">
        <w:rPr>
          <w:rFonts w:ascii="ITC Avant Garde" w:hAnsi="ITC Avant Garde"/>
          <w:lang w:val="es-MX"/>
        </w:rPr>
        <w:t xml:space="preserve">Los cables, incluido el equipo de </w:t>
      </w:r>
      <w:r w:rsidR="001A3FDF" w:rsidRPr="004C1A96">
        <w:rPr>
          <w:rFonts w:ascii="ITC Avant Garde" w:hAnsi="ITC Avant Garde"/>
          <w:lang w:val="es-MX"/>
        </w:rPr>
        <w:t>c</w:t>
      </w:r>
      <w:r w:rsidR="0059553F" w:rsidRPr="004C1A96">
        <w:rPr>
          <w:rFonts w:ascii="ITC Avant Garde" w:hAnsi="ITC Avant Garde"/>
          <w:lang w:val="es-MX"/>
        </w:rPr>
        <w:t>ierre de empalme</w:t>
      </w:r>
      <w:r w:rsidRPr="004C1A96">
        <w:rPr>
          <w:rFonts w:ascii="ITC Avant Garde" w:hAnsi="ITC Avant Garde"/>
          <w:lang w:val="es-MX"/>
        </w:rPr>
        <w:t xml:space="preserve"> utilizado para </w:t>
      </w:r>
      <w:r w:rsidR="0059553F" w:rsidRPr="004C1A96">
        <w:rPr>
          <w:rFonts w:ascii="ITC Avant Garde" w:hAnsi="ITC Avant Garde"/>
          <w:lang w:val="es-MX"/>
        </w:rPr>
        <w:t>la red de</w:t>
      </w:r>
      <w:r w:rsidRPr="004C1A96">
        <w:rPr>
          <w:rFonts w:ascii="ITC Avant Garde" w:hAnsi="ITC Avant Garde"/>
          <w:lang w:val="es-MX"/>
        </w:rPr>
        <w:t xml:space="preserve"> </w:t>
      </w:r>
      <w:r w:rsidR="009F5817" w:rsidRPr="004C1A96">
        <w:rPr>
          <w:rFonts w:ascii="ITC Avant Garde" w:hAnsi="ITC Avant Garde"/>
          <w:lang w:val="es-MX"/>
        </w:rPr>
        <w:t>fibra,</w:t>
      </w:r>
      <w:r w:rsidRPr="004C1A96">
        <w:rPr>
          <w:rFonts w:ascii="ITC Avant Garde" w:hAnsi="ITC Avant Garde"/>
          <w:lang w:val="es-MX"/>
        </w:rPr>
        <w:t xml:space="preserve"> </w:t>
      </w:r>
      <w:r w:rsidR="00F2544C" w:rsidRPr="004C1A96">
        <w:rPr>
          <w:rFonts w:ascii="ITC Avant Garde" w:hAnsi="ITC Avant Garde"/>
          <w:lang w:val="es-MX"/>
        </w:rPr>
        <w:t>así</w:t>
      </w:r>
      <w:r w:rsidR="0059553F" w:rsidRPr="004C1A96">
        <w:rPr>
          <w:rFonts w:ascii="ITC Avant Garde" w:hAnsi="ITC Avant Garde"/>
          <w:lang w:val="es-MX"/>
        </w:rPr>
        <w:t xml:space="preserve"> como</w:t>
      </w:r>
      <w:r w:rsidRPr="004C1A96">
        <w:rPr>
          <w:rFonts w:ascii="ITC Avant Garde" w:hAnsi="ITC Avant Garde"/>
          <w:lang w:val="es-MX"/>
        </w:rPr>
        <w:t xml:space="preserve"> la </w:t>
      </w:r>
      <w:r w:rsidR="0059553F" w:rsidRPr="004C1A96">
        <w:rPr>
          <w:rFonts w:ascii="ITC Avant Garde" w:hAnsi="ITC Avant Garde"/>
          <w:lang w:val="es-MX"/>
        </w:rPr>
        <w:t>acometida</w:t>
      </w:r>
      <w:r w:rsidRPr="004C1A96">
        <w:rPr>
          <w:rFonts w:ascii="ITC Avant Garde" w:hAnsi="ITC Avant Garde"/>
          <w:lang w:val="es-MX"/>
        </w:rPr>
        <w:t>, que es el cable dedicado para cada edificio;</w:t>
      </w:r>
    </w:p>
    <w:p w14:paraId="4E2A7500" w14:textId="77777777" w:rsidR="0059553F" w:rsidRPr="004C1A96" w:rsidRDefault="00453F6F" w:rsidP="00453F6F">
      <w:pPr>
        <w:pStyle w:val="Listaconvietas2"/>
        <w:rPr>
          <w:rFonts w:ascii="ITC Avant Garde" w:hAnsi="ITC Avant Garde"/>
          <w:lang w:val="es-MX"/>
        </w:rPr>
      </w:pPr>
      <w:r w:rsidRPr="004C1A96">
        <w:rPr>
          <w:rFonts w:ascii="ITC Avant Garde" w:hAnsi="ITC Avant Garde"/>
          <w:lang w:val="es-MX"/>
        </w:rPr>
        <w:t>Las obras de ingeniería civil donde los cables se despliegan como ductos, zanjas, pozos de registro;</w:t>
      </w:r>
    </w:p>
    <w:p w14:paraId="4DD75465" w14:textId="2947AD1F" w:rsidR="0059553F" w:rsidRPr="004C1A96" w:rsidRDefault="00453F6F" w:rsidP="00453F6F">
      <w:pPr>
        <w:pStyle w:val="Listaconvietas2"/>
        <w:rPr>
          <w:rFonts w:ascii="ITC Avant Garde" w:hAnsi="ITC Avant Garde"/>
          <w:lang w:val="es-MX"/>
        </w:rPr>
      </w:pPr>
      <w:r w:rsidRPr="004C1A96">
        <w:rPr>
          <w:rFonts w:ascii="ITC Avant Garde" w:hAnsi="ITC Avant Garde"/>
          <w:lang w:val="es-MX"/>
        </w:rPr>
        <w:t xml:space="preserve">Puntos de flexibilidad intermediarios en la red, como </w:t>
      </w:r>
      <w:r w:rsidR="0059553F" w:rsidRPr="004C1A96">
        <w:rPr>
          <w:rFonts w:ascii="ITC Avant Garde" w:hAnsi="ITC Avant Garde"/>
          <w:lang w:val="es-MX"/>
        </w:rPr>
        <w:t>puntos</w:t>
      </w:r>
      <w:r w:rsidRPr="004C1A96">
        <w:rPr>
          <w:rFonts w:ascii="ITC Avant Garde" w:hAnsi="ITC Avant Garde"/>
          <w:lang w:val="es-MX"/>
        </w:rPr>
        <w:t xml:space="preserve"> </w:t>
      </w:r>
      <w:r w:rsidR="0059553F" w:rsidRPr="004C1A96">
        <w:rPr>
          <w:rFonts w:ascii="ITC Avant Garde" w:hAnsi="ITC Avant Garde"/>
          <w:lang w:val="es-MX"/>
        </w:rPr>
        <w:t xml:space="preserve">de </w:t>
      </w:r>
      <w:r w:rsidRPr="004C1A96">
        <w:rPr>
          <w:rFonts w:ascii="ITC Avant Garde" w:hAnsi="ITC Avant Garde"/>
          <w:lang w:val="es-MX"/>
        </w:rPr>
        <w:t>distribución</w:t>
      </w:r>
      <w:r w:rsidR="002448C1">
        <w:rPr>
          <w:rStyle w:val="Refdenotaalpie"/>
          <w:rFonts w:ascii="ITC Avant Garde" w:hAnsi="ITC Avant Garde"/>
          <w:lang w:val="es-MX"/>
        </w:rPr>
        <w:footnoteReference w:id="22"/>
      </w:r>
      <w:r w:rsidRPr="004C1A96">
        <w:rPr>
          <w:rFonts w:ascii="ITC Avant Garde" w:hAnsi="ITC Avant Garde"/>
          <w:lang w:val="es-MX"/>
        </w:rPr>
        <w:t>;</w:t>
      </w:r>
    </w:p>
    <w:p w14:paraId="58CD86E6" w14:textId="77777777" w:rsidR="00453F6F" w:rsidRPr="004C1A96" w:rsidRDefault="00453F6F" w:rsidP="00453F6F">
      <w:pPr>
        <w:pStyle w:val="Listaconvietas2"/>
        <w:rPr>
          <w:rFonts w:ascii="ITC Avant Garde" w:hAnsi="ITC Avant Garde"/>
          <w:lang w:val="es-MX"/>
        </w:rPr>
      </w:pPr>
      <w:r w:rsidRPr="00E14D8A">
        <w:rPr>
          <w:rFonts w:ascii="ITC Avant Garde" w:hAnsi="ITC Avant Garde"/>
          <w:lang w:val="es-MX"/>
        </w:rPr>
        <w:lastRenderedPageBreak/>
        <w:t>El equipo en la</w:t>
      </w:r>
      <w:r w:rsidR="0059553F" w:rsidRPr="00E14D8A">
        <w:rPr>
          <w:rFonts w:ascii="ITC Avant Garde" w:hAnsi="ITC Avant Garde"/>
          <w:lang w:val="es-MX"/>
        </w:rPr>
        <w:t>s</w:t>
      </w:r>
      <w:r w:rsidRPr="00E14D8A">
        <w:rPr>
          <w:rFonts w:ascii="ITC Avant Garde" w:hAnsi="ITC Avant Garde"/>
          <w:lang w:val="es-MX"/>
        </w:rPr>
        <w:t xml:space="preserve"> premisa</w:t>
      </w:r>
      <w:r w:rsidR="0059553F" w:rsidRPr="004C1A96">
        <w:rPr>
          <w:rFonts w:ascii="ITC Avant Garde" w:hAnsi="ITC Avant Garde"/>
          <w:lang w:val="es-MX"/>
        </w:rPr>
        <w:t>s</w:t>
      </w:r>
      <w:r w:rsidRPr="004C1A96">
        <w:rPr>
          <w:rFonts w:ascii="ITC Avant Garde" w:hAnsi="ITC Avant Garde"/>
          <w:lang w:val="es-MX"/>
        </w:rPr>
        <w:t xml:space="preserve"> del cliente final, como los puntos de terminación de la red, el </w:t>
      </w:r>
      <w:r w:rsidR="001A3FDF" w:rsidRPr="004C1A96">
        <w:rPr>
          <w:rFonts w:ascii="ITC Avant Garde" w:hAnsi="ITC Avant Garde"/>
          <w:lang w:val="es-MX"/>
        </w:rPr>
        <w:t>BDF</w:t>
      </w:r>
      <w:r w:rsidRPr="004C1A96">
        <w:rPr>
          <w:rFonts w:ascii="ITC Avant Garde" w:hAnsi="ITC Avant Garde"/>
          <w:lang w:val="es-MX"/>
        </w:rPr>
        <w:t xml:space="preserve"> en el caso de unidades de viviendas múltiples;</w:t>
      </w:r>
    </w:p>
    <w:p w14:paraId="5FBD0815" w14:textId="77777777" w:rsidR="00B22871" w:rsidRPr="004C1A96" w:rsidRDefault="00B22871" w:rsidP="00453F6F">
      <w:pPr>
        <w:rPr>
          <w:rFonts w:ascii="ITC Avant Garde" w:hAnsi="ITC Avant Garde"/>
          <w:lang w:val="es-MX"/>
        </w:rPr>
      </w:pPr>
    </w:p>
    <w:p w14:paraId="71EC085C" w14:textId="03EC3D84" w:rsidR="00B22871" w:rsidRPr="004C1A96" w:rsidRDefault="006D69ED" w:rsidP="00B22871">
      <w:pPr>
        <w:pStyle w:val="Descripcin"/>
        <w:keepNext/>
        <w:rPr>
          <w:rFonts w:ascii="ITC Avant Garde" w:hAnsi="ITC Avant Garde"/>
          <w:lang w:val="es-MX"/>
        </w:rPr>
      </w:pPr>
      <w:r w:rsidRPr="004C1A96">
        <w:rPr>
          <w:rFonts w:ascii="ITC Avant Garde" w:hAnsi="ITC Avant Garde"/>
          <w:lang w:val="es-MX"/>
        </w:rPr>
        <w:t xml:space="preserve">Figura </w:t>
      </w:r>
      <w:r w:rsidRPr="004C1A96">
        <w:rPr>
          <w:rFonts w:ascii="ITC Avant Garde" w:hAnsi="ITC Avant Garde"/>
          <w:lang w:val="es-MX"/>
        </w:rPr>
        <w:fldChar w:fldCharType="begin"/>
      </w:r>
      <w:r w:rsidRPr="004C1A96">
        <w:rPr>
          <w:rFonts w:ascii="ITC Avant Garde" w:hAnsi="ITC Avant Garde"/>
          <w:lang w:val="es-MX"/>
        </w:rPr>
        <w:instrText xml:space="preserve"> SEQ Figura \* ARABIC </w:instrText>
      </w:r>
      <w:r w:rsidRPr="004C1A96">
        <w:rPr>
          <w:rFonts w:ascii="ITC Avant Garde" w:hAnsi="ITC Avant Garde"/>
          <w:lang w:val="es-MX"/>
        </w:rPr>
        <w:fldChar w:fldCharType="separate"/>
      </w:r>
      <w:r w:rsidR="00006265">
        <w:rPr>
          <w:rFonts w:ascii="ITC Avant Garde" w:hAnsi="ITC Avant Garde"/>
          <w:noProof/>
          <w:lang w:val="es-MX"/>
        </w:rPr>
        <w:t>3</w:t>
      </w:r>
      <w:r w:rsidRPr="004C1A96">
        <w:rPr>
          <w:rFonts w:ascii="ITC Avant Garde" w:hAnsi="ITC Avant Garde"/>
          <w:lang w:val="es-MX"/>
        </w:rPr>
        <w:fldChar w:fldCharType="end"/>
      </w:r>
      <w:r w:rsidRPr="004C1A96">
        <w:rPr>
          <w:rFonts w:ascii="ITC Avant Garde" w:hAnsi="ITC Avant Garde"/>
          <w:lang w:val="es-MX"/>
        </w:rPr>
        <w:t xml:space="preserve"> </w:t>
      </w:r>
      <w:r w:rsidR="00B22871" w:rsidRPr="004C1A96">
        <w:rPr>
          <w:rFonts w:ascii="ITC Avant Garde" w:hAnsi="ITC Avant Garde"/>
          <w:lang w:val="es-MX"/>
        </w:rPr>
        <w:t>- Arquitectura de la red de acceso</w:t>
      </w:r>
    </w:p>
    <w:p w14:paraId="07099F7F" w14:textId="7234C64F" w:rsidR="00B22871" w:rsidRPr="004C1A96" w:rsidRDefault="002213F6" w:rsidP="002213F6">
      <w:pPr>
        <w:jc w:val="center"/>
        <w:rPr>
          <w:rFonts w:ascii="ITC Avant Garde" w:hAnsi="ITC Avant Garde"/>
          <w:lang w:val="es-MX"/>
        </w:rPr>
      </w:pPr>
      <w:r w:rsidRPr="00872052">
        <w:rPr>
          <w:rFonts w:ascii="ITC Avant Garde" w:hAnsi="ITC Avant Garde"/>
          <w:noProof/>
          <w:lang w:val="es-MX" w:eastAsia="es-MX"/>
        </w:rPr>
        <w:drawing>
          <wp:inline distT="0" distB="0" distL="0" distR="0" wp14:anchorId="6DA8BC95" wp14:editId="7D5791F1">
            <wp:extent cx="5399405" cy="2660015"/>
            <wp:effectExtent l="0" t="0" r="0" b="6985"/>
            <wp:docPr id="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9405" cy="2660015"/>
                    </a:xfrm>
                    <a:prstGeom prst="rect">
                      <a:avLst/>
                    </a:prstGeom>
                    <a:noFill/>
                  </pic:spPr>
                </pic:pic>
              </a:graphicData>
            </a:graphic>
          </wp:inline>
        </w:drawing>
      </w:r>
    </w:p>
    <w:p w14:paraId="1738782C" w14:textId="77777777" w:rsidR="00B22871" w:rsidRPr="00E14D8A" w:rsidRDefault="00B22871" w:rsidP="00453F6F">
      <w:pPr>
        <w:rPr>
          <w:rFonts w:ascii="ITC Avant Garde" w:hAnsi="ITC Avant Garde"/>
          <w:lang w:val="es-MX"/>
        </w:rPr>
      </w:pPr>
    </w:p>
    <w:p w14:paraId="6C66E9D4" w14:textId="77777777" w:rsidR="004900D4" w:rsidRPr="004C1A96" w:rsidRDefault="00C1352A" w:rsidP="00C1352A">
      <w:pPr>
        <w:rPr>
          <w:rFonts w:ascii="ITC Avant Garde" w:hAnsi="ITC Avant Garde"/>
          <w:lang w:val="es-MX"/>
        </w:rPr>
      </w:pPr>
      <w:r w:rsidRPr="00E14D8A">
        <w:rPr>
          <w:rFonts w:ascii="ITC Avant Garde" w:hAnsi="ITC Avant Garde"/>
          <w:lang w:val="es-MX"/>
        </w:rPr>
        <w:t xml:space="preserve">La red de acceso debe modelarse de extremo a extremo e incluir todos los activos entre el nodo de acceso y el punto de terminación de la red en las instalaciones del cliente final. </w:t>
      </w:r>
    </w:p>
    <w:p w14:paraId="43254C8C" w14:textId="77777777" w:rsidR="003E59D9" w:rsidRPr="004C1A96" w:rsidRDefault="003E59D9" w:rsidP="00C1352A">
      <w:pPr>
        <w:rPr>
          <w:rFonts w:ascii="ITC Avant Garde" w:hAnsi="ITC Avant Garde"/>
          <w:lang w:val="es-MX"/>
        </w:rPr>
      </w:pPr>
    </w:p>
    <w:p w14:paraId="08F66B4F" w14:textId="077D59AE" w:rsidR="003E59D9" w:rsidRPr="004C1A96" w:rsidRDefault="006D69ED" w:rsidP="003E59D9">
      <w:pPr>
        <w:pStyle w:val="Descripcin"/>
        <w:keepNext/>
        <w:rPr>
          <w:rFonts w:ascii="ITC Avant Garde" w:hAnsi="ITC Avant Garde"/>
          <w:lang w:val="es-MX"/>
        </w:rPr>
      </w:pPr>
      <w:r w:rsidRPr="004C1A96">
        <w:rPr>
          <w:rFonts w:ascii="ITC Avant Garde" w:hAnsi="ITC Avant Garde"/>
          <w:lang w:val="es-MX"/>
        </w:rPr>
        <w:t xml:space="preserve">Figura </w:t>
      </w:r>
      <w:r w:rsidRPr="004C1A96">
        <w:rPr>
          <w:rFonts w:ascii="ITC Avant Garde" w:hAnsi="ITC Avant Garde"/>
          <w:lang w:val="es-MX"/>
        </w:rPr>
        <w:fldChar w:fldCharType="begin"/>
      </w:r>
      <w:r w:rsidRPr="004C1A96">
        <w:rPr>
          <w:rFonts w:ascii="ITC Avant Garde" w:hAnsi="ITC Avant Garde"/>
          <w:lang w:val="es-MX"/>
        </w:rPr>
        <w:instrText xml:space="preserve"> SEQ Figura \* ARABIC </w:instrText>
      </w:r>
      <w:r w:rsidRPr="004C1A96">
        <w:rPr>
          <w:rFonts w:ascii="ITC Avant Garde" w:hAnsi="ITC Avant Garde"/>
          <w:lang w:val="es-MX"/>
        </w:rPr>
        <w:fldChar w:fldCharType="separate"/>
      </w:r>
      <w:r w:rsidR="00006265">
        <w:rPr>
          <w:rFonts w:ascii="ITC Avant Garde" w:hAnsi="ITC Avant Garde"/>
          <w:noProof/>
          <w:lang w:val="es-MX"/>
        </w:rPr>
        <w:t>4</w:t>
      </w:r>
      <w:r w:rsidRPr="004C1A96">
        <w:rPr>
          <w:rFonts w:ascii="ITC Avant Garde" w:hAnsi="ITC Avant Garde"/>
          <w:lang w:val="es-MX"/>
        </w:rPr>
        <w:fldChar w:fldCharType="end"/>
      </w:r>
      <w:r w:rsidRPr="004C1A96">
        <w:rPr>
          <w:rFonts w:ascii="ITC Avant Garde" w:hAnsi="ITC Avant Garde"/>
          <w:lang w:val="es-MX"/>
        </w:rPr>
        <w:t xml:space="preserve"> </w:t>
      </w:r>
      <w:r w:rsidR="003E59D9" w:rsidRPr="004C1A96">
        <w:rPr>
          <w:rFonts w:ascii="ITC Avant Garde" w:hAnsi="ITC Avant Garde"/>
          <w:lang w:val="es-MX"/>
        </w:rPr>
        <w:t>– Frontera entre el acceso y la red de transporte</w:t>
      </w:r>
    </w:p>
    <w:p w14:paraId="707F5E02" w14:textId="78144DB2" w:rsidR="003E59D9" w:rsidRPr="004C1A96" w:rsidRDefault="002213F6" w:rsidP="002213F6">
      <w:pPr>
        <w:jc w:val="center"/>
        <w:rPr>
          <w:rFonts w:ascii="ITC Avant Garde" w:hAnsi="ITC Avant Garde"/>
          <w:lang w:val="es-MX"/>
        </w:rPr>
      </w:pPr>
      <w:r w:rsidRPr="00872052">
        <w:rPr>
          <w:rFonts w:ascii="ITC Avant Garde" w:hAnsi="ITC Avant Garde"/>
          <w:b/>
          <w:noProof/>
          <w:sz w:val="22"/>
          <w:szCs w:val="22"/>
          <w:lang w:val="es-MX" w:eastAsia="es-MX"/>
        </w:rPr>
        <w:drawing>
          <wp:inline distT="0" distB="0" distL="0" distR="0" wp14:anchorId="3DF58DAA" wp14:editId="10489119">
            <wp:extent cx="4523740" cy="2390140"/>
            <wp:effectExtent l="0" t="0" r="0" b="0"/>
            <wp:docPr id="3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3740" cy="2390140"/>
                    </a:xfrm>
                    <a:prstGeom prst="rect">
                      <a:avLst/>
                    </a:prstGeom>
                    <a:noFill/>
                  </pic:spPr>
                </pic:pic>
              </a:graphicData>
            </a:graphic>
          </wp:inline>
        </w:drawing>
      </w:r>
    </w:p>
    <w:p w14:paraId="651BB892" w14:textId="77777777" w:rsidR="003E59D9" w:rsidRPr="004C1A96" w:rsidRDefault="006F20DA" w:rsidP="00C1352A">
      <w:pPr>
        <w:rPr>
          <w:rFonts w:ascii="ITC Avant Garde" w:hAnsi="ITC Avant Garde"/>
          <w:lang w:val="es-MX"/>
        </w:rPr>
      </w:pPr>
      <w:r w:rsidRPr="00E14D8A">
        <w:rPr>
          <w:rFonts w:ascii="ITC Avant Garde" w:hAnsi="ITC Avant Garde"/>
          <w:lang w:val="es-MX"/>
        </w:rPr>
        <w:t>Típicamente, c</w:t>
      </w:r>
      <w:r w:rsidR="00C1352A" w:rsidRPr="00E14D8A">
        <w:rPr>
          <w:rFonts w:ascii="ITC Avant Garde" w:hAnsi="ITC Avant Garde"/>
          <w:lang w:val="es-MX"/>
        </w:rPr>
        <w:t xml:space="preserve">uando los costos son comunes </w:t>
      </w:r>
      <w:r w:rsidR="0059553F" w:rsidRPr="004C1A96">
        <w:rPr>
          <w:rFonts w:ascii="ITC Avant Garde" w:hAnsi="ITC Avant Garde"/>
          <w:lang w:val="es-MX"/>
        </w:rPr>
        <w:t>a</w:t>
      </w:r>
      <w:r w:rsidR="00C1352A" w:rsidRPr="004C1A96">
        <w:rPr>
          <w:rFonts w:ascii="ITC Avant Garde" w:hAnsi="ITC Avant Garde"/>
          <w:lang w:val="es-MX"/>
        </w:rPr>
        <w:t xml:space="preserve"> </w:t>
      </w:r>
      <w:r w:rsidR="007B4F5E" w:rsidRPr="004C1A96">
        <w:rPr>
          <w:rFonts w:ascii="ITC Avant Garde" w:hAnsi="ITC Avant Garde"/>
          <w:lang w:val="es-MX"/>
        </w:rPr>
        <w:t>la red de</w:t>
      </w:r>
      <w:r w:rsidR="00C1352A" w:rsidRPr="004C1A96">
        <w:rPr>
          <w:rFonts w:ascii="ITC Avant Garde" w:hAnsi="ITC Avant Garde"/>
          <w:lang w:val="es-MX"/>
        </w:rPr>
        <w:t xml:space="preserve"> acceso y </w:t>
      </w:r>
      <w:r w:rsidR="0059553F" w:rsidRPr="004C1A96">
        <w:rPr>
          <w:rFonts w:ascii="ITC Avant Garde" w:hAnsi="ITC Avant Garde"/>
          <w:lang w:val="es-MX"/>
        </w:rPr>
        <w:t xml:space="preserve">a </w:t>
      </w:r>
      <w:r w:rsidR="00C1352A" w:rsidRPr="004C1A96">
        <w:rPr>
          <w:rFonts w:ascii="ITC Avant Garde" w:hAnsi="ITC Avant Garde"/>
          <w:lang w:val="es-MX"/>
        </w:rPr>
        <w:t xml:space="preserve">la red </w:t>
      </w:r>
      <w:r w:rsidR="007B4F5E" w:rsidRPr="004C1A96">
        <w:rPr>
          <w:rFonts w:ascii="ITC Avant Garde" w:hAnsi="ITC Avant Garde"/>
          <w:lang w:val="es-MX"/>
        </w:rPr>
        <w:t>de transporte</w:t>
      </w:r>
      <w:r w:rsidR="00C1352A" w:rsidRPr="004C1A96">
        <w:rPr>
          <w:rFonts w:ascii="ITC Avant Garde" w:hAnsi="ITC Avant Garde"/>
          <w:lang w:val="es-MX"/>
        </w:rPr>
        <w:t xml:space="preserve">, </w:t>
      </w:r>
      <w:r w:rsidRPr="004C1A96">
        <w:rPr>
          <w:rFonts w:ascii="ITC Avant Garde" w:hAnsi="ITC Avant Garde"/>
          <w:lang w:val="es-MX"/>
        </w:rPr>
        <w:t>así como en el caso en que</w:t>
      </w:r>
      <w:r w:rsidR="00C1352A" w:rsidRPr="004C1A96">
        <w:rPr>
          <w:rFonts w:ascii="ITC Avant Garde" w:hAnsi="ITC Avant Garde"/>
          <w:lang w:val="es-MX"/>
        </w:rPr>
        <w:t xml:space="preserve"> los costos están relacionados con el número de suscriptores en lugar del tráfico, estos se modelan en el modelo de red de acceso. </w:t>
      </w:r>
    </w:p>
    <w:p w14:paraId="7384A322" w14:textId="77777777" w:rsidR="003E59D9" w:rsidRPr="004C1A96" w:rsidRDefault="00C1352A" w:rsidP="00C1352A">
      <w:pPr>
        <w:rPr>
          <w:rFonts w:ascii="ITC Avant Garde" w:hAnsi="ITC Avant Garde"/>
          <w:lang w:val="es-MX"/>
        </w:rPr>
      </w:pPr>
      <w:r w:rsidRPr="004C1A96">
        <w:rPr>
          <w:rFonts w:ascii="ITC Avant Garde" w:hAnsi="ITC Avant Garde"/>
          <w:lang w:val="es-MX"/>
        </w:rPr>
        <w:lastRenderedPageBreak/>
        <w:t>Es importante tener en cuenta que algunos activos</w:t>
      </w:r>
      <w:r w:rsidR="0059553F" w:rsidRPr="004C1A96">
        <w:rPr>
          <w:rFonts w:ascii="ITC Avant Garde" w:hAnsi="ITC Avant Garde"/>
          <w:lang w:val="es-MX"/>
        </w:rPr>
        <w:t xml:space="preserve"> de la red</w:t>
      </w:r>
      <w:r w:rsidRPr="004C1A96">
        <w:rPr>
          <w:rFonts w:ascii="ITC Avant Garde" w:hAnsi="ITC Avant Garde"/>
          <w:lang w:val="es-MX"/>
        </w:rPr>
        <w:t>, como</w:t>
      </w:r>
      <w:r w:rsidR="0059553F" w:rsidRPr="004C1A96">
        <w:rPr>
          <w:rFonts w:ascii="ITC Avant Garde" w:hAnsi="ITC Avant Garde"/>
          <w:lang w:val="es-MX"/>
        </w:rPr>
        <w:t xml:space="preserve"> por ejemplo</w:t>
      </w:r>
      <w:r w:rsidRPr="004C1A96">
        <w:rPr>
          <w:rFonts w:ascii="ITC Avant Garde" w:hAnsi="ITC Avant Garde"/>
          <w:lang w:val="es-MX"/>
        </w:rPr>
        <w:t xml:space="preserve"> la parte de la </w:t>
      </w:r>
      <w:r w:rsidR="0059553F" w:rsidRPr="004C1A96">
        <w:rPr>
          <w:rFonts w:ascii="ITC Avant Garde" w:hAnsi="ITC Avant Garde"/>
          <w:lang w:val="es-MX"/>
        </w:rPr>
        <w:t>acometida</w:t>
      </w:r>
      <w:r w:rsidRPr="004C1A96">
        <w:rPr>
          <w:rFonts w:ascii="ITC Avant Garde" w:hAnsi="ITC Avant Garde"/>
          <w:lang w:val="es-MX"/>
        </w:rPr>
        <w:t xml:space="preserve"> implementada en el dominio privado, se pueden financiar por separado mediante cargos iniciales pagados por clientes finales que, por lo tanto, deben excluirse de la base de costos sujeta al cálculo de costos de servicios regulados. </w:t>
      </w:r>
    </w:p>
    <w:p w14:paraId="5DEABEE2" w14:textId="0A81C16C" w:rsidR="0059553F" w:rsidRPr="004C1A96" w:rsidRDefault="0059553F" w:rsidP="00C1352A">
      <w:pPr>
        <w:rPr>
          <w:rFonts w:ascii="ITC Avant Garde" w:hAnsi="ITC Avant Garde"/>
          <w:lang w:val="es-MX"/>
        </w:rPr>
      </w:pPr>
      <w:r w:rsidRPr="004C1A96">
        <w:rPr>
          <w:rFonts w:ascii="ITC Avant Garde" w:hAnsi="ITC Avant Garde"/>
          <w:lang w:val="es-MX"/>
        </w:rPr>
        <w:t>Asimismo,</w:t>
      </w:r>
      <w:r w:rsidR="00C1352A" w:rsidRPr="004C1A96">
        <w:rPr>
          <w:rFonts w:ascii="ITC Avant Garde" w:hAnsi="ITC Avant Garde"/>
          <w:lang w:val="es-MX"/>
        </w:rPr>
        <w:t xml:space="preserve"> el cableado interno, que es una red local dentro de un edificio o propiedad</w:t>
      </w:r>
      <w:r w:rsidRPr="004C1A96">
        <w:rPr>
          <w:rFonts w:ascii="ITC Avant Garde" w:hAnsi="ITC Avant Garde"/>
          <w:lang w:val="es-MX"/>
        </w:rPr>
        <w:t xml:space="preserve"> </w:t>
      </w:r>
      <w:r w:rsidR="00C1352A" w:rsidRPr="004C1A96">
        <w:rPr>
          <w:rFonts w:ascii="ITC Avant Garde" w:hAnsi="ITC Avant Garde"/>
          <w:lang w:val="es-MX"/>
        </w:rPr>
        <w:t>se excluye del modelo de costo.</w:t>
      </w:r>
    </w:p>
    <w:p w14:paraId="11A9BDDE" w14:textId="77777777" w:rsidR="00C1352A" w:rsidRPr="004C1A96" w:rsidRDefault="00C1352A" w:rsidP="003E59D9">
      <w:pPr>
        <w:pStyle w:val="Encadr3"/>
        <w:rPr>
          <w:rFonts w:ascii="ITC Avant Garde" w:hAnsi="ITC Avant Garde"/>
          <w:lang w:val="es-MX"/>
        </w:rPr>
      </w:pPr>
      <w:r w:rsidRPr="004C1A96">
        <w:rPr>
          <w:rFonts w:ascii="ITC Avant Garde" w:hAnsi="ITC Avant Garde"/>
          <w:lang w:val="es-MX"/>
        </w:rPr>
        <w:t>Criterio 10: el alcance de la red de acceso modelad</w:t>
      </w:r>
      <w:r w:rsidR="0059553F" w:rsidRPr="004C1A96">
        <w:rPr>
          <w:rFonts w:ascii="ITC Avant Garde" w:hAnsi="ITC Avant Garde"/>
          <w:lang w:val="es-MX"/>
        </w:rPr>
        <w:t>a</w:t>
      </w:r>
      <w:r w:rsidRPr="004C1A96">
        <w:rPr>
          <w:rFonts w:ascii="ITC Avant Garde" w:hAnsi="ITC Avant Garde"/>
          <w:lang w:val="es-MX"/>
        </w:rPr>
        <w:t xml:space="preserve"> comienza en los nodos de acceso, donde la tarjeta de línea (desde el lado del cliente) es el límite, y termina en el NTP en las instalaciones del cliente final.</w:t>
      </w:r>
    </w:p>
    <w:p w14:paraId="37E5B85A" w14:textId="77777777" w:rsidR="00C1352A" w:rsidRPr="004C1A96" w:rsidRDefault="00C1352A" w:rsidP="003E59D9">
      <w:pPr>
        <w:pStyle w:val="Encadr3"/>
        <w:rPr>
          <w:rFonts w:ascii="ITC Avant Garde" w:hAnsi="ITC Avant Garde"/>
          <w:lang w:val="es-MX"/>
        </w:rPr>
      </w:pPr>
      <w:r w:rsidRPr="004C1A96">
        <w:rPr>
          <w:rFonts w:ascii="ITC Avant Garde" w:hAnsi="ITC Avant Garde"/>
          <w:lang w:val="es-MX"/>
        </w:rPr>
        <w:t>Más específicamente, la frontera entre las redes de acceso y núcleo es el equipo DSLAM</w:t>
      </w:r>
      <w:r w:rsidR="00875932" w:rsidRPr="004C1A96">
        <w:rPr>
          <w:rFonts w:ascii="ITC Avant Garde" w:hAnsi="ITC Avant Garde"/>
          <w:lang w:val="es-MX"/>
        </w:rPr>
        <w:t>/</w:t>
      </w:r>
      <w:r w:rsidRPr="004C1A96">
        <w:rPr>
          <w:rFonts w:ascii="ITC Avant Garde" w:hAnsi="ITC Avant Garde"/>
          <w:lang w:val="es-MX"/>
        </w:rPr>
        <w:t xml:space="preserve">OLT colocado en el nodo de acceso que se considera que pertenece a la red </w:t>
      </w:r>
      <w:r w:rsidR="0059553F" w:rsidRPr="004C1A96">
        <w:rPr>
          <w:rFonts w:ascii="ITC Avant Garde" w:hAnsi="ITC Avant Garde"/>
          <w:lang w:val="es-MX"/>
        </w:rPr>
        <w:t xml:space="preserve">de </w:t>
      </w:r>
      <w:r w:rsidR="00F2544C" w:rsidRPr="004C1A96">
        <w:rPr>
          <w:rFonts w:ascii="ITC Avant Garde" w:hAnsi="ITC Avant Garde"/>
          <w:lang w:val="es-MX"/>
        </w:rPr>
        <w:t>transporte</w:t>
      </w:r>
      <w:r w:rsidRPr="004C1A96">
        <w:rPr>
          <w:rFonts w:ascii="ITC Avant Garde" w:hAnsi="ITC Avant Garde"/>
          <w:lang w:val="es-MX"/>
        </w:rPr>
        <w:t xml:space="preserve"> y se considera que todos los demás elementos pasivos del lado del client</w:t>
      </w:r>
      <w:r w:rsidR="00B929A7" w:rsidRPr="004C1A96">
        <w:rPr>
          <w:rFonts w:ascii="ITC Avant Garde" w:hAnsi="ITC Avant Garde"/>
          <w:lang w:val="es-MX"/>
        </w:rPr>
        <w:t>e pertenecen a la red de acceso</w:t>
      </w:r>
      <w:r w:rsidRPr="004C1A96">
        <w:rPr>
          <w:rFonts w:ascii="ITC Avant Garde" w:hAnsi="ITC Avant Garde"/>
          <w:lang w:val="es-MX"/>
        </w:rPr>
        <w:t>.</w:t>
      </w:r>
    </w:p>
    <w:p w14:paraId="02DE3236" w14:textId="77777777" w:rsidR="00C1352A" w:rsidRPr="004C1A96" w:rsidRDefault="00C1352A" w:rsidP="003E59D9">
      <w:pPr>
        <w:pStyle w:val="Encadr3"/>
        <w:rPr>
          <w:rFonts w:ascii="ITC Avant Garde" w:hAnsi="ITC Avant Garde"/>
          <w:lang w:val="es-MX"/>
        </w:rPr>
      </w:pPr>
      <w:r w:rsidRPr="004C1A96">
        <w:rPr>
          <w:rFonts w:ascii="ITC Avant Garde" w:hAnsi="ITC Avant Garde"/>
          <w:lang w:val="es-MX"/>
        </w:rPr>
        <w:t xml:space="preserve">Con respecto a la </w:t>
      </w:r>
      <w:r w:rsidR="0059553F" w:rsidRPr="004C1A96">
        <w:rPr>
          <w:rFonts w:ascii="ITC Avant Garde" w:hAnsi="ITC Avant Garde"/>
          <w:lang w:val="es-MX"/>
        </w:rPr>
        <w:t>acometida</w:t>
      </w:r>
      <w:r w:rsidRPr="004C1A96">
        <w:rPr>
          <w:rFonts w:ascii="ITC Avant Garde" w:hAnsi="ITC Avant Garde"/>
          <w:lang w:val="es-MX"/>
        </w:rPr>
        <w:t>, este segmento de la red se tendrá en cuenta solo para las instalaciones conectadas</w:t>
      </w:r>
      <w:r w:rsidR="00210928" w:rsidRPr="004C1A96">
        <w:rPr>
          <w:rFonts w:ascii="ITC Avant Garde" w:hAnsi="ITC Avant Garde"/>
          <w:lang w:val="es-MX"/>
        </w:rPr>
        <w:t>.</w:t>
      </w:r>
    </w:p>
    <w:p w14:paraId="1F538016" w14:textId="77777777" w:rsidR="003E59D9" w:rsidRPr="0028360F" w:rsidRDefault="003E59D9" w:rsidP="0040723E">
      <w:pPr>
        <w:pStyle w:val="Ttulo3"/>
        <w:rPr>
          <w:lang w:val="es-MX"/>
        </w:rPr>
      </w:pPr>
      <w:bookmarkStart w:id="105" w:name="_Toc525665270"/>
      <w:bookmarkStart w:id="106" w:name="_Toc525665649"/>
      <w:bookmarkStart w:id="107" w:name="_Toc141975007"/>
      <w:r w:rsidRPr="0028360F">
        <w:rPr>
          <w:lang w:val="es-MX"/>
        </w:rPr>
        <w:t>Enfoque de modelado</w:t>
      </w:r>
      <w:bookmarkEnd w:id="105"/>
      <w:bookmarkEnd w:id="106"/>
      <w:bookmarkEnd w:id="107"/>
    </w:p>
    <w:p w14:paraId="61659D36" w14:textId="77777777" w:rsidR="003E59D9" w:rsidRPr="004C1A96" w:rsidRDefault="003E59D9" w:rsidP="003E59D9">
      <w:pPr>
        <w:rPr>
          <w:rFonts w:ascii="ITC Avant Garde" w:hAnsi="ITC Avant Garde"/>
          <w:lang w:val="es-MX"/>
        </w:rPr>
      </w:pPr>
      <w:r w:rsidRPr="004C1A96">
        <w:rPr>
          <w:rFonts w:ascii="ITC Avant Garde" w:hAnsi="ITC Avant Garde"/>
          <w:lang w:val="es-MX"/>
        </w:rPr>
        <w:t>Los modelos de costos de red de acceso son fundamentalmente diferentes de los modelos de c</w:t>
      </w:r>
      <w:r w:rsidRPr="00E14D8A">
        <w:rPr>
          <w:rFonts w:ascii="ITC Avant Garde" w:hAnsi="ITC Avant Garde"/>
          <w:lang w:val="es-MX"/>
        </w:rPr>
        <w:t xml:space="preserve">osto de red de </w:t>
      </w:r>
      <w:r w:rsidR="0059553F" w:rsidRPr="00E14D8A">
        <w:rPr>
          <w:rFonts w:ascii="ITC Avant Garde" w:hAnsi="ITC Avant Garde"/>
          <w:lang w:val="es-MX"/>
        </w:rPr>
        <w:t>transporte</w:t>
      </w:r>
      <w:r w:rsidRPr="00E14D8A">
        <w:rPr>
          <w:rFonts w:ascii="ITC Avant Garde" w:hAnsi="ITC Avant Garde"/>
          <w:lang w:val="es-MX"/>
        </w:rPr>
        <w:t>. Esto se debe al hecho de que los activos pasivos son predominantes</w:t>
      </w:r>
      <w:r w:rsidR="0059553F" w:rsidRPr="004C1A96">
        <w:rPr>
          <w:rFonts w:ascii="ITC Avant Garde" w:hAnsi="ITC Avant Garde"/>
          <w:lang w:val="es-MX"/>
        </w:rPr>
        <w:t xml:space="preserve">: </w:t>
      </w:r>
      <w:r w:rsidRPr="004C1A96">
        <w:rPr>
          <w:rFonts w:ascii="ITC Avant Garde" w:hAnsi="ITC Avant Garde"/>
          <w:lang w:val="es-MX"/>
        </w:rPr>
        <w:t xml:space="preserve">los trabajos de ingeniería civil representan la gran mayoría de los costos y los volúmenes agregados de la red de acceso son comúnmente más grandes que la red </w:t>
      </w:r>
      <w:r w:rsidR="0059553F" w:rsidRPr="004C1A96">
        <w:rPr>
          <w:rFonts w:ascii="ITC Avant Garde" w:hAnsi="ITC Avant Garde"/>
          <w:lang w:val="es-MX"/>
        </w:rPr>
        <w:t>de transporte</w:t>
      </w:r>
      <w:r w:rsidRPr="004C1A96">
        <w:rPr>
          <w:rFonts w:ascii="ITC Avant Garde" w:hAnsi="ITC Avant Garde"/>
          <w:lang w:val="es-MX"/>
        </w:rPr>
        <w:t>.</w:t>
      </w:r>
    </w:p>
    <w:p w14:paraId="124D1CED" w14:textId="77777777" w:rsidR="003E59D9" w:rsidRPr="004C1A96" w:rsidRDefault="003E59D9" w:rsidP="003E59D9">
      <w:pPr>
        <w:rPr>
          <w:rFonts w:ascii="ITC Avant Garde" w:hAnsi="ITC Avant Garde"/>
          <w:lang w:val="es-MX"/>
        </w:rPr>
      </w:pPr>
      <w:r w:rsidRPr="004C1A96">
        <w:rPr>
          <w:rFonts w:ascii="ITC Avant Garde" w:hAnsi="ITC Avant Garde"/>
          <w:lang w:val="es-MX"/>
        </w:rPr>
        <w:t>El enfoque de modelado generalmente debe reflejar especificidades clave de las redes de acceso:</w:t>
      </w:r>
    </w:p>
    <w:p w14:paraId="335B70B0" w14:textId="77777777" w:rsidR="003E59D9" w:rsidRPr="004C1A96" w:rsidRDefault="00546591" w:rsidP="00546591">
      <w:pPr>
        <w:pStyle w:val="Listaconvietas2"/>
        <w:rPr>
          <w:rFonts w:ascii="ITC Avant Garde" w:hAnsi="ITC Avant Garde"/>
          <w:lang w:val="es-MX"/>
        </w:rPr>
      </w:pPr>
      <w:r w:rsidRPr="004C1A96">
        <w:rPr>
          <w:rFonts w:ascii="ITC Avant Garde" w:hAnsi="ITC Avant Garde"/>
          <w:lang w:val="es-MX"/>
        </w:rPr>
        <w:t>L</w:t>
      </w:r>
      <w:r w:rsidR="003E59D9" w:rsidRPr="004C1A96">
        <w:rPr>
          <w:rFonts w:ascii="ITC Avant Garde" w:hAnsi="ITC Avant Garde"/>
          <w:lang w:val="es-MX"/>
        </w:rPr>
        <w:t xml:space="preserve">a demanda </w:t>
      </w:r>
      <w:r w:rsidRPr="004C1A96">
        <w:rPr>
          <w:rFonts w:ascii="ITC Avant Garde" w:hAnsi="ITC Avant Garde"/>
          <w:lang w:val="es-MX"/>
        </w:rPr>
        <w:t xml:space="preserve">es el </w:t>
      </w:r>
      <w:r w:rsidR="00F2544C" w:rsidRPr="004C1A96">
        <w:rPr>
          <w:rFonts w:ascii="ITC Avant Garde" w:hAnsi="ITC Avant Garde"/>
          <w:lang w:val="es-MX"/>
        </w:rPr>
        <w:t>número</w:t>
      </w:r>
      <w:r w:rsidRPr="004C1A96">
        <w:rPr>
          <w:rFonts w:ascii="ITC Avant Garde" w:hAnsi="ITC Avant Garde"/>
          <w:lang w:val="es-MX"/>
        </w:rPr>
        <w:t xml:space="preserve"> de líneas a despl</w:t>
      </w:r>
      <w:r w:rsidR="00B471D2" w:rsidRPr="004C1A96">
        <w:rPr>
          <w:rFonts w:ascii="ITC Avant Garde" w:hAnsi="ITC Avant Garde"/>
          <w:lang w:val="es-MX"/>
        </w:rPr>
        <w:t>egar</w:t>
      </w:r>
      <w:r w:rsidRPr="004C1A96">
        <w:rPr>
          <w:rFonts w:ascii="ITC Avant Garde" w:hAnsi="ITC Avant Garde"/>
          <w:lang w:val="es-MX"/>
        </w:rPr>
        <w:t xml:space="preserve"> y no el </w:t>
      </w:r>
      <w:r w:rsidR="00F2544C" w:rsidRPr="004C1A96">
        <w:rPr>
          <w:rFonts w:ascii="ITC Avant Garde" w:hAnsi="ITC Avant Garde"/>
          <w:lang w:val="es-MX"/>
        </w:rPr>
        <w:t>tráfico</w:t>
      </w:r>
      <w:r w:rsidRPr="004C1A96">
        <w:rPr>
          <w:rFonts w:ascii="ITC Avant Garde" w:hAnsi="ITC Avant Garde"/>
          <w:lang w:val="es-MX"/>
        </w:rPr>
        <w:t xml:space="preserve"> generado por los usuarios</w:t>
      </w:r>
      <w:r w:rsidR="003E59D9" w:rsidRPr="004C1A96">
        <w:rPr>
          <w:rFonts w:ascii="ITC Avant Garde" w:hAnsi="ITC Avant Garde"/>
          <w:lang w:val="es-MX"/>
        </w:rPr>
        <w:t>;</w:t>
      </w:r>
    </w:p>
    <w:p w14:paraId="55FED971" w14:textId="77777777" w:rsidR="003E59D9" w:rsidRPr="004C1A96" w:rsidRDefault="003E59D9" w:rsidP="00546591">
      <w:pPr>
        <w:pStyle w:val="Listaconvietas2"/>
        <w:rPr>
          <w:rFonts w:ascii="ITC Avant Garde" w:hAnsi="ITC Avant Garde"/>
          <w:lang w:val="es-MX"/>
        </w:rPr>
      </w:pPr>
      <w:r w:rsidRPr="004C1A96">
        <w:rPr>
          <w:rFonts w:ascii="ITC Avant Garde" w:hAnsi="ITC Avant Garde"/>
          <w:lang w:val="es-MX"/>
        </w:rPr>
        <w:t>Las redes siguen calles y caminos como las redes de distribución de electricidad;</w:t>
      </w:r>
    </w:p>
    <w:p w14:paraId="2CE8A529" w14:textId="77777777" w:rsidR="003E59D9" w:rsidRPr="004C1A96" w:rsidRDefault="00546591" w:rsidP="00546591">
      <w:pPr>
        <w:pStyle w:val="Listaconvietas2"/>
        <w:rPr>
          <w:rFonts w:ascii="ITC Avant Garde" w:hAnsi="ITC Avant Garde"/>
          <w:lang w:val="es-MX"/>
        </w:rPr>
      </w:pPr>
      <w:r w:rsidRPr="004C1A96">
        <w:rPr>
          <w:rFonts w:ascii="ITC Avant Garde" w:hAnsi="ITC Avant Garde"/>
          <w:lang w:val="es-MX"/>
        </w:rPr>
        <w:t>L</w:t>
      </w:r>
      <w:r w:rsidR="003E59D9" w:rsidRPr="004C1A96">
        <w:rPr>
          <w:rFonts w:ascii="ITC Avant Garde" w:hAnsi="ITC Avant Garde"/>
          <w:lang w:val="es-MX"/>
        </w:rPr>
        <w:t>os costos de la red de acceso fijo consisten principalmente en:</w:t>
      </w:r>
    </w:p>
    <w:p w14:paraId="7414D8F4" w14:textId="77777777" w:rsidR="003E59D9" w:rsidRPr="004C1A96" w:rsidRDefault="003E59D9" w:rsidP="00546591">
      <w:pPr>
        <w:pStyle w:val="Listaconvietas2"/>
        <w:numPr>
          <w:ilvl w:val="1"/>
          <w:numId w:val="1"/>
        </w:numPr>
        <w:rPr>
          <w:rFonts w:ascii="ITC Avant Garde" w:hAnsi="ITC Avant Garde"/>
          <w:lang w:val="es-MX"/>
        </w:rPr>
      </w:pPr>
      <w:r w:rsidRPr="004C1A96">
        <w:rPr>
          <w:rFonts w:ascii="ITC Avant Garde" w:hAnsi="ITC Avant Garde"/>
          <w:lang w:val="es-MX"/>
        </w:rPr>
        <w:t xml:space="preserve">costos de ingeniería civil que dependen </w:t>
      </w:r>
      <w:r w:rsidR="00546591" w:rsidRPr="004C1A96">
        <w:rPr>
          <w:rFonts w:ascii="ITC Avant Garde" w:hAnsi="ITC Avant Garde"/>
          <w:lang w:val="es-MX"/>
        </w:rPr>
        <w:t xml:space="preserve">en una cierta </w:t>
      </w:r>
      <w:r w:rsidR="00B471D2" w:rsidRPr="004C1A96">
        <w:rPr>
          <w:rFonts w:ascii="ITC Avant Garde" w:hAnsi="ITC Avant Garde"/>
          <w:lang w:val="es-MX"/>
        </w:rPr>
        <w:t>medida</w:t>
      </w:r>
      <w:r w:rsidR="00546591" w:rsidRPr="004C1A96">
        <w:rPr>
          <w:rFonts w:ascii="ITC Avant Garde" w:hAnsi="ITC Avant Garde"/>
          <w:lang w:val="es-MX"/>
        </w:rPr>
        <w:t xml:space="preserve"> de la longitud de calles</w:t>
      </w:r>
      <w:r w:rsidR="00875932" w:rsidRPr="004C1A96">
        <w:rPr>
          <w:rFonts w:ascii="ITC Avant Garde" w:hAnsi="ITC Avant Garde"/>
          <w:lang w:val="es-MX"/>
        </w:rPr>
        <w:t>/</w:t>
      </w:r>
      <w:r w:rsidR="00546591" w:rsidRPr="004C1A96">
        <w:rPr>
          <w:rFonts w:ascii="ITC Avant Garde" w:hAnsi="ITC Avant Garde"/>
          <w:lang w:val="es-MX"/>
        </w:rPr>
        <w:t>carreteras</w:t>
      </w:r>
      <w:r w:rsidRPr="004C1A96">
        <w:rPr>
          <w:rFonts w:ascii="ITC Avant Garde" w:hAnsi="ITC Avant Garde"/>
          <w:lang w:val="es-MX"/>
        </w:rPr>
        <w:t xml:space="preserve"> </w:t>
      </w:r>
      <w:r w:rsidR="00546591" w:rsidRPr="004C1A96">
        <w:rPr>
          <w:rFonts w:ascii="ITC Avant Garde" w:hAnsi="ITC Avant Garde"/>
          <w:lang w:val="es-MX"/>
        </w:rPr>
        <w:t xml:space="preserve">especificas a </w:t>
      </w:r>
      <w:r w:rsidR="00B471D2" w:rsidRPr="004C1A96">
        <w:rPr>
          <w:rFonts w:ascii="ITC Avant Garde" w:hAnsi="ITC Avant Garde"/>
          <w:lang w:val="es-MX"/>
        </w:rPr>
        <w:t xml:space="preserve">cada </w:t>
      </w:r>
      <w:r w:rsidR="00F2544C" w:rsidRPr="004C1A96">
        <w:rPr>
          <w:rFonts w:ascii="ITC Avant Garde" w:hAnsi="ITC Avant Garde"/>
          <w:lang w:val="es-MX"/>
        </w:rPr>
        <w:t>área</w:t>
      </w:r>
      <w:r w:rsidRPr="004C1A96">
        <w:rPr>
          <w:rFonts w:ascii="ITC Avant Garde" w:hAnsi="ITC Avant Garde"/>
          <w:lang w:val="es-MX"/>
        </w:rPr>
        <w:t>;</w:t>
      </w:r>
    </w:p>
    <w:p w14:paraId="5ED3F848" w14:textId="77777777" w:rsidR="003E59D9" w:rsidRPr="004C1A96" w:rsidRDefault="003E59D9" w:rsidP="00546591">
      <w:pPr>
        <w:pStyle w:val="Listaconvietas2"/>
        <w:numPr>
          <w:ilvl w:val="1"/>
          <w:numId w:val="1"/>
        </w:numPr>
        <w:rPr>
          <w:rFonts w:ascii="ITC Avant Garde" w:hAnsi="ITC Avant Garde"/>
          <w:lang w:val="es-MX"/>
        </w:rPr>
      </w:pPr>
      <w:r w:rsidRPr="004C1A96">
        <w:rPr>
          <w:rFonts w:ascii="ITC Avant Garde" w:hAnsi="ITC Avant Garde"/>
          <w:lang w:val="es-MX"/>
        </w:rPr>
        <w:t>costos de cable que dependen</w:t>
      </w:r>
      <w:r w:rsidR="00546591" w:rsidRPr="004C1A96">
        <w:rPr>
          <w:rFonts w:ascii="ITC Avant Garde" w:hAnsi="ITC Avant Garde"/>
          <w:lang w:val="es-MX"/>
        </w:rPr>
        <w:t>,</w:t>
      </w:r>
      <w:r w:rsidRPr="004C1A96">
        <w:rPr>
          <w:rFonts w:ascii="ITC Avant Garde" w:hAnsi="ITC Avant Garde"/>
          <w:lang w:val="es-MX"/>
        </w:rPr>
        <w:t xml:space="preserve"> </w:t>
      </w:r>
      <w:r w:rsidR="00546591" w:rsidRPr="004C1A96">
        <w:rPr>
          <w:rFonts w:ascii="ITC Avant Garde" w:hAnsi="ITC Avant Garde"/>
          <w:lang w:val="es-MX"/>
        </w:rPr>
        <w:t>en</w:t>
      </w:r>
      <w:r w:rsidRPr="004C1A96">
        <w:rPr>
          <w:rFonts w:ascii="ITC Avant Garde" w:hAnsi="ITC Avant Garde"/>
          <w:lang w:val="es-MX"/>
        </w:rPr>
        <w:t xml:space="preserve"> un</w:t>
      </w:r>
      <w:r w:rsidR="00546591" w:rsidRPr="004C1A96">
        <w:rPr>
          <w:rFonts w:ascii="ITC Avant Garde" w:hAnsi="ITC Avant Garde"/>
          <w:lang w:val="es-MX"/>
        </w:rPr>
        <w:t>a</w:t>
      </w:r>
      <w:r w:rsidRPr="004C1A96">
        <w:rPr>
          <w:rFonts w:ascii="ITC Avant Garde" w:hAnsi="ITC Avant Garde"/>
          <w:lang w:val="es-MX"/>
        </w:rPr>
        <w:t xml:space="preserve"> </w:t>
      </w:r>
      <w:r w:rsidR="00546591" w:rsidRPr="004C1A96">
        <w:rPr>
          <w:rFonts w:ascii="ITC Avant Garde" w:hAnsi="ITC Avant Garde"/>
          <w:lang w:val="es-MX"/>
        </w:rPr>
        <w:t xml:space="preserve">cierta </w:t>
      </w:r>
      <w:r w:rsidR="00B471D2" w:rsidRPr="004C1A96">
        <w:rPr>
          <w:rFonts w:ascii="ITC Avant Garde" w:hAnsi="ITC Avant Garde"/>
          <w:lang w:val="es-MX"/>
        </w:rPr>
        <w:t>medida</w:t>
      </w:r>
      <w:r w:rsidR="00546591" w:rsidRPr="004C1A96">
        <w:rPr>
          <w:rFonts w:ascii="ITC Avant Garde" w:hAnsi="ITC Avant Garde"/>
          <w:lang w:val="es-MX"/>
        </w:rPr>
        <w:t>,</w:t>
      </w:r>
      <w:r w:rsidRPr="004C1A96">
        <w:rPr>
          <w:rFonts w:ascii="ITC Avant Garde" w:hAnsi="ITC Avant Garde"/>
          <w:lang w:val="es-MX"/>
        </w:rPr>
        <w:t xml:space="preserve"> </w:t>
      </w:r>
      <w:r w:rsidR="00546591" w:rsidRPr="004C1A96">
        <w:rPr>
          <w:rFonts w:ascii="ITC Avant Garde" w:hAnsi="ITC Avant Garde"/>
          <w:lang w:val="es-MX"/>
        </w:rPr>
        <w:t>de</w:t>
      </w:r>
      <w:r w:rsidRPr="004C1A96">
        <w:rPr>
          <w:rFonts w:ascii="ITC Avant Garde" w:hAnsi="ITC Avant Garde"/>
          <w:lang w:val="es-MX"/>
        </w:rPr>
        <w:t xml:space="preserve"> la longitud de calles</w:t>
      </w:r>
      <w:r w:rsidR="00875932" w:rsidRPr="004C1A96">
        <w:rPr>
          <w:rFonts w:ascii="ITC Avant Garde" w:hAnsi="ITC Avant Garde"/>
          <w:lang w:val="es-MX"/>
        </w:rPr>
        <w:t>/</w:t>
      </w:r>
      <w:r w:rsidRPr="004C1A96">
        <w:rPr>
          <w:rFonts w:ascii="ITC Avant Garde" w:hAnsi="ITC Avant Garde"/>
          <w:lang w:val="es-MX"/>
        </w:rPr>
        <w:t xml:space="preserve">carreteras y </w:t>
      </w:r>
      <w:r w:rsidR="00546591" w:rsidRPr="004C1A96">
        <w:rPr>
          <w:rFonts w:ascii="ITC Avant Garde" w:hAnsi="ITC Avant Garde"/>
          <w:lang w:val="es-MX"/>
        </w:rPr>
        <w:t xml:space="preserve">de </w:t>
      </w:r>
      <w:r w:rsidRPr="004C1A96">
        <w:rPr>
          <w:rFonts w:ascii="ITC Avant Garde" w:hAnsi="ITC Avant Garde"/>
          <w:lang w:val="es-MX"/>
        </w:rPr>
        <w:t>la cantidad de locales atendidos por los cables.</w:t>
      </w:r>
    </w:p>
    <w:p w14:paraId="04E8D4E0" w14:textId="77777777" w:rsidR="003E59D9" w:rsidRPr="004C1A96" w:rsidRDefault="003E59D9" w:rsidP="003E59D9">
      <w:pPr>
        <w:rPr>
          <w:rFonts w:ascii="ITC Avant Garde" w:hAnsi="ITC Avant Garde"/>
          <w:lang w:val="es-MX"/>
        </w:rPr>
      </w:pPr>
      <w:r w:rsidRPr="004C1A96">
        <w:rPr>
          <w:rFonts w:ascii="ITC Avant Garde" w:hAnsi="ITC Avant Garde"/>
          <w:lang w:val="es-MX"/>
        </w:rPr>
        <w:t>En este contexto, modela</w:t>
      </w:r>
      <w:r w:rsidR="00546591" w:rsidRPr="004C1A96">
        <w:rPr>
          <w:rFonts w:ascii="ITC Avant Garde" w:hAnsi="ITC Avant Garde"/>
          <w:lang w:val="es-MX"/>
        </w:rPr>
        <w:t>r</w:t>
      </w:r>
      <w:r w:rsidRPr="004C1A96">
        <w:rPr>
          <w:rFonts w:ascii="ITC Avant Garde" w:hAnsi="ITC Avant Garde"/>
          <w:lang w:val="es-MX"/>
        </w:rPr>
        <w:t xml:space="preserve"> con precisión, </w:t>
      </w:r>
      <w:r w:rsidR="00546591" w:rsidRPr="004C1A96">
        <w:rPr>
          <w:rFonts w:ascii="ITC Avant Garde" w:hAnsi="ITC Avant Garde"/>
          <w:lang w:val="es-MX"/>
        </w:rPr>
        <w:t xml:space="preserve">según un enfoque </w:t>
      </w:r>
      <w:r w:rsidR="00546591" w:rsidRPr="004C1A96">
        <w:rPr>
          <w:rFonts w:ascii="ITC Avant Garde" w:hAnsi="ITC Avant Garde"/>
          <w:i/>
          <w:lang w:val="es-MX"/>
        </w:rPr>
        <w:t>Bottom Up</w:t>
      </w:r>
      <w:r w:rsidRPr="004C1A96">
        <w:rPr>
          <w:rFonts w:ascii="ITC Avant Garde" w:hAnsi="ITC Avant Garde"/>
          <w:lang w:val="es-MX"/>
        </w:rPr>
        <w:t>, los costos de la red de acceso requieren acceso a amplios</w:t>
      </w:r>
      <w:r w:rsidR="00546591" w:rsidRPr="004C1A96">
        <w:rPr>
          <w:rFonts w:ascii="ITC Avant Garde" w:hAnsi="ITC Avant Garde"/>
          <w:lang w:val="es-MX"/>
        </w:rPr>
        <w:t xml:space="preserve"> bases de</w:t>
      </w:r>
      <w:r w:rsidRPr="004C1A96">
        <w:rPr>
          <w:rFonts w:ascii="ITC Avant Garde" w:hAnsi="ITC Avant Garde"/>
          <w:lang w:val="es-MX"/>
        </w:rPr>
        <w:t xml:space="preserve"> datos geográficos y demográficos sobre la ubicación de las instalaciones y </w:t>
      </w:r>
      <w:r w:rsidR="00546591" w:rsidRPr="004C1A96">
        <w:rPr>
          <w:rFonts w:ascii="ITC Avant Garde" w:hAnsi="ITC Avant Garde"/>
          <w:lang w:val="es-MX"/>
        </w:rPr>
        <w:t>sobre</w:t>
      </w:r>
      <w:r w:rsidRPr="004C1A96">
        <w:rPr>
          <w:rFonts w:ascii="ITC Avant Garde" w:hAnsi="ITC Avant Garde"/>
          <w:lang w:val="es-MX"/>
        </w:rPr>
        <w:t xml:space="preserve"> las redes de carreteras y calles, llamados geodatos.</w:t>
      </w:r>
    </w:p>
    <w:p w14:paraId="733B4C5F" w14:textId="6BB3605D" w:rsidR="003E59D9" w:rsidRPr="004C1A96" w:rsidRDefault="003E59D9" w:rsidP="003E59D9">
      <w:pPr>
        <w:rPr>
          <w:rFonts w:ascii="ITC Avant Garde" w:hAnsi="ITC Avant Garde"/>
          <w:lang w:val="es-MX"/>
        </w:rPr>
      </w:pPr>
      <w:r w:rsidRPr="004C1A96">
        <w:rPr>
          <w:rFonts w:ascii="ITC Avant Garde" w:hAnsi="ITC Avant Garde"/>
          <w:lang w:val="es-MX"/>
        </w:rPr>
        <w:lastRenderedPageBreak/>
        <w:t>Dichos datos pueden usarse en un enfoque de muestreo</w:t>
      </w:r>
      <w:r w:rsidR="00875932" w:rsidRPr="004C1A96">
        <w:rPr>
          <w:rFonts w:ascii="ITC Avant Garde" w:hAnsi="ITC Avant Garde"/>
          <w:lang w:val="es-MX"/>
        </w:rPr>
        <w:t>/</w:t>
      </w:r>
      <w:r w:rsidRPr="004C1A96">
        <w:rPr>
          <w:rFonts w:ascii="ITC Avant Garde" w:hAnsi="ITC Avant Garde"/>
          <w:lang w:val="es-MX"/>
        </w:rPr>
        <w:t>geot</w:t>
      </w:r>
      <w:r w:rsidR="003A0FB4" w:rsidRPr="004C1A96">
        <w:rPr>
          <w:rFonts w:ascii="ITC Avant Garde" w:hAnsi="ITC Avant Garde"/>
          <w:lang w:val="es-MX"/>
        </w:rPr>
        <w:t>yping</w:t>
      </w:r>
      <w:r w:rsidR="00875932" w:rsidRPr="004C1A96">
        <w:rPr>
          <w:rFonts w:ascii="ITC Avant Garde" w:hAnsi="ITC Avant Garde"/>
          <w:lang w:val="es-MX"/>
        </w:rPr>
        <w:t>/</w:t>
      </w:r>
      <w:r w:rsidRPr="004C1A96">
        <w:rPr>
          <w:rFonts w:ascii="ITC Avant Garde" w:hAnsi="ITC Avant Garde"/>
          <w:lang w:val="es-MX"/>
        </w:rPr>
        <w:t>extrapolación por el cual los costos se calculan con precisión para las áreas de muestra y luego se extrapolan a la parte restante del país. Este fue el enfoque en los modelos anteriores</w:t>
      </w:r>
      <w:r w:rsidR="002448C1">
        <w:rPr>
          <w:rStyle w:val="Refdenotaalpie"/>
          <w:rFonts w:ascii="ITC Avant Garde" w:hAnsi="ITC Avant Garde"/>
          <w:lang w:val="es-MX"/>
        </w:rPr>
        <w:footnoteReference w:id="23"/>
      </w:r>
      <w:r w:rsidRPr="004C1A96">
        <w:rPr>
          <w:rFonts w:ascii="ITC Avant Garde" w:hAnsi="ITC Avant Garde"/>
          <w:lang w:val="es-MX"/>
        </w:rPr>
        <w:t>.</w:t>
      </w:r>
    </w:p>
    <w:p w14:paraId="44EDBECA" w14:textId="77777777" w:rsidR="003E59D9" w:rsidRPr="004C1A96" w:rsidRDefault="003E59D9" w:rsidP="003E59D9">
      <w:pPr>
        <w:rPr>
          <w:rFonts w:ascii="ITC Avant Garde" w:hAnsi="ITC Avant Garde"/>
          <w:lang w:val="es-MX"/>
        </w:rPr>
      </w:pPr>
      <w:r w:rsidRPr="00E14D8A">
        <w:rPr>
          <w:rFonts w:ascii="ITC Avant Garde" w:hAnsi="ITC Avant Garde"/>
          <w:lang w:val="es-MX"/>
        </w:rPr>
        <w:t xml:space="preserve">Dichos datos también se pueden usar para calcular los costos </w:t>
      </w:r>
      <w:r w:rsidR="00546591" w:rsidRPr="00E14D8A">
        <w:rPr>
          <w:rFonts w:ascii="ITC Avant Garde" w:hAnsi="ITC Avant Garde"/>
          <w:lang w:val="es-MX"/>
        </w:rPr>
        <w:t>asociados a</w:t>
      </w:r>
      <w:r w:rsidRPr="00E14D8A">
        <w:rPr>
          <w:rFonts w:ascii="ITC Avant Garde" w:hAnsi="ITC Avant Garde"/>
          <w:lang w:val="es-MX"/>
        </w:rPr>
        <w:t xml:space="preserve"> cada calle del país. Trabajar con datos a nivel de la calle o a nivel de sec</w:t>
      </w:r>
      <w:r w:rsidRPr="006C39A2">
        <w:rPr>
          <w:rFonts w:ascii="ITC Avant Garde" w:hAnsi="ITC Avant Garde"/>
          <w:lang w:val="es-MX"/>
        </w:rPr>
        <w:t>ción</w:t>
      </w:r>
      <w:r w:rsidR="00546591" w:rsidRPr="006C39A2">
        <w:rPr>
          <w:rFonts w:ascii="ITC Avant Garde" w:hAnsi="ITC Avant Garde"/>
          <w:lang w:val="es-MX"/>
        </w:rPr>
        <w:t xml:space="preserve"> </w:t>
      </w:r>
      <w:r w:rsidRPr="004C1A96">
        <w:rPr>
          <w:rFonts w:ascii="ITC Avant Garde" w:hAnsi="ITC Avant Garde"/>
          <w:lang w:val="es-MX"/>
        </w:rPr>
        <w:t xml:space="preserve">proporciona mayor robustez y transparencia, y permite ajustes de eficiencia más robustos y objetivos en comparación con los métodos basados </w:t>
      </w:r>
      <w:r w:rsidRPr="004C1A96">
        <w:rPr>
          <w:rFonts w:cs="Arial"/>
          <w:lang w:val="es-MX"/>
        </w:rPr>
        <w:t>​​</w:t>
      </w:r>
      <w:r w:rsidRPr="004C1A96">
        <w:rPr>
          <w:rFonts w:ascii="ITC Avant Garde" w:hAnsi="ITC Avant Garde"/>
          <w:lang w:val="es-MX"/>
        </w:rPr>
        <w:t>en muestras. La secci</w:t>
      </w:r>
      <w:r w:rsidRPr="004C1A96">
        <w:rPr>
          <w:rFonts w:ascii="ITC Avant Garde" w:hAnsi="ITC Avant Garde" w:cs="ITC Avant Garde"/>
          <w:lang w:val="es-MX"/>
        </w:rPr>
        <w:t>ó</w:t>
      </w:r>
      <w:r w:rsidRPr="004C1A96">
        <w:rPr>
          <w:rFonts w:ascii="ITC Avant Garde" w:hAnsi="ITC Avant Garde"/>
          <w:lang w:val="es-MX"/>
        </w:rPr>
        <w:t>n se refiere a todos los edificios de una carretera</w:t>
      </w:r>
      <w:r w:rsidR="00875932" w:rsidRPr="004C1A96">
        <w:rPr>
          <w:rFonts w:ascii="ITC Avant Garde" w:hAnsi="ITC Avant Garde"/>
          <w:lang w:val="es-MX"/>
        </w:rPr>
        <w:t>/</w:t>
      </w:r>
      <w:r w:rsidRPr="004C1A96">
        <w:rPr>
          <w:rFonts w:ascii="ITC Avant Garde" w:hAnsi="ITC Avant Garde"/>
          <w:lang w:val="es-MX"/>
        </w:rPr>
        <w:t xml:space="preserve">calle </w:t>
      </w:r>
      <w:r w:rsidR="00546591" w:rsidRPr="004C1A96">
        <w:rPr>
          <w:rFonts w:ascii="ITC Avant Garde" w:hAnsi="ITC Avant Garde"/>
          <w:lang w:val="es-MX"/>
        </w:rPr>
        <w:t xml:space="preserve">ubicadas </w:t>
      </w:r>
      <w:r w:rsidRPr="004C1A96">
        <w:rPr>
          <w:rFonts w:ascii="ITC Avant Garde" w:hAnsi="ITC Avant Garde"/>
          <w:lang w:val="es-MX"/>
        </w:rPr>
        <w:t>entre dos secciones transversales</w:t>
      </w:r>
      <w:r w:rsidR="00546591" w:rsidRPr="004C1A96">
        <w:rPr>
          <w:rFonts w:ascii="ITC Avant Garde" w:hAnsi="ITC Avant Garde"/>
          <w:lang w:val="es-MX"/>
        </w:rPr>
        <w:t xml:space="preserve"> consecutivas</w:t>
      </w:r>
      <w:r w:rsidRPr="004C1A96">
        <w:rPr>
          <w:rFonts w:ascii="ITC Avant Garde" w:hAnsi="ITC Avant Garde"/>
          <w:lang w:val="es-MX"/>
        </w:rPr>
        <w:t>, como se ilustra en la figura a continuación.</w:t>
      </w:r>
    </w:p>
    <w:p w14:paraId="6FBD22F9" w14:textId="77777777" w:rsidR="003E59D9" w:rsidRPr="004C1A96" w:rsidRDefault="003E59D9" w:rsidP="003E59D9">
      <w:pPr>
        <w:rPr>
          <w:rFonts w:ascii="ITC Avant Garde" w:hAnsi="ITC Avant Garde"/>
          <w:lang w:val="es-MX"/>
        </w:rPr>
      </w:pPr>
    </w:p>
    <w:p w14:paraId="45F39142" w14:textId="07F5515C" w:rsidR="003E59D9" w:rsidRPr="00E14D8A" w:rsidRDefault="006D69ED" w:rsidP="003E59D9">
      <w:pPr>
        <w:pStyle w:val="Descripcin"/>
        <w:keepNext/>
        <w:rPr>
          <w:rFonts w:ascii="ITC Avant Garde" w:hAnsi="ITC Avant Garde"/>
          <w:lang w:val="es-MX"/>
        </w:rPr>
      </w:pPr>
      <w:r w:rsidRPr="004C1A96">
        <w:rPr>
          <w:rFonts w:ascii="ITC Avant Garde" w:hAnsi="ITC Avant Garde"/>
          <w:lang w:val="es-MX"/>
        </w:rPr>
        <w:t xml:space="preserve">Figura </w:t>
      </w:r>
      <w:r w:rsidRPr="004C1A96">
        <w:rPr>
          <w:rFonts w:ascii="ITC Avant Garde" w:hAnsi="ITC Avant Garde"/>
          <w:lang w:val="es-MX"/>
        </w:rPr>
        <w:fldChar w:fldCharType="begin"/>
      </w:r>
      <w:r w:rsidRPr="004C1A96">
        <w:rPr>
          <w:rFonts w:ascii="ITC Avant Garde" w:hAnsi="ITC Avant Garde"/>
          <w:lang w:val="es-MX"/>
        </w:rPr>
        <w:instrText xml:space="preserve"> SEQ Figura \* ARABIC </w:instrText>
      </w:r>
      <w:r w:rsidRPr="004C1A96">
        <w:rPr>
          <w:rFonts w:ascii="ITC Avant Garde" w:hAnsi="ITC Avant Garde"/>
          <w:lang w:val="es-MX"/>
        </w:rPr>
        <w:fldChar w:fldCharType="separate"/>
      </w:r>
      <w:r w:rsidR="00006265">
        <w:rPr>
          <w:rFonts w:ascii="ITC Avant Garde" w:hAnsi="ITC Avant Garde"/>
          <w:noProof/>
          <w:lang w:val="es-MX"/>
        </w:rPr>
        <w:t>5</w:t>
      </w:r>
      <w:r w:rsidRPr="004C1A96">
        <w:rPr>
          <w:rFonts w:ascii="ITC Avant Garde" w:hAnsi="ITC Avant Garde"/>
          <w:lang w:val="es-MX"/>
        </w:rPr>
        <w:fldChar w:fldCharType="end"/>
      </w:r>
      <w:r w:rsidRPr="004C1A96">
        <w:rPr>
          <w:rFonts w:ascii="ITC Avant Garde" w:hAnsi="ITC Avant Garde"/>
          <w:lang w:val="es-MX"/>
        </w:rPr>
        <w:t xml:space="preserve"> </w:t>
      </w:r>
      <w:r w:rsidR="003E59D9" w:rsidRPr="004C1A96">
        <w:rPr>
          <w:rFonts w:ascii="ITC Avant Garde" w:hAnsi="ITC Avant Garde"/>
          <w:lang w:val="es-MX"/>
        </w:rPr>
        <w:t xml:space="preserve">– </w:t>
      </w:r>
      <w:r w:rsidR="003A0FB4" w:rsidRPr="004C1A96">
        <w:rPr>
          <w:rFonts w:ascii="ITC Avant Garde" w:hAnsi="ITC Avant Garde"/>
          <w:lang w:val="es-MX"/>
        </w:rPr>
        <w:t>Ilustración</w:t>
      </w:r>
      <w:r w:rsidR="003E59D9" w:rsidRPr="00E14D8A">
        <w:rPr>
          <w:rFonts w:ascii="ITC Avant Garde" w:hAnsi="ITC Avant Garde"/>
          <w:lang w:val="es-MX"/>
        </w:rPr>
        <w:t xml:space="preserve"> de una sección </w:t>
      </w:r>
    </w:p>
    <w:p w14:paraId="2C1872E9" w14:textId="2ADCBFFC" w:rsidR="003E59D9" w:rsidRPr="004C1A96" w:rsidRDefault="002213F6" w:rsidP="003E59D9">
      <w:pPr>
        <w:jc w:val="center"/>
        <w:rPr>
          <w:rFonts w:ascii="ITC Avant Garde" w:hAnsi="ITC Avant Garde"/>
          <w:lang w:val="es-MX"/>
        </w:rPr>
      </w:pPr>
      <w:r w:rsidRPr="00872052">
        <w:rPr>
          <w:rStyle w:val="PrrafodelistaCar"/>
          <w:rFonts w:ascii="ITC Avant Garde" w:hAnsi="ITC Avant Garde" w:cs="Arial"/>
          <w:noProof/>
          <w:lang w:val="es-MX" w:eastAsia="es-MX"/>
        </w:rPr>
        <w:drawing>
          <wp:inline distT="0" distB="0" distL="0" distR="0" wp14:anchorId="71BDECD4" wp14:editId="1E3377C8">
            <wp:extent cx="3491011" cy="2107692"/>
            <wp:effectExtent l="0" t="0" r="0" b="6985"/>
            <wp:docPr id="39"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9253" cy="2118706"/>
                    </a:xfrm>
                    <a:prstGeom prst="rect">
                      <a:avLst/>
                    </a:prstGeom>
                    <a:noFill/>
                  </pic:spPr>
                </pic:pic>
              </a:graphicData>
            </a:graphic>
          </wp:inline>
        </w:drawing>
      </w:r>
    </w:p>
    <w:p w14:paraId="40FD17A1" w14:textId="77777777" w:rsidR="003E59D9" w:rsidRPr="00E14D8A" w:rsidRDefault="003E59D9" w:rsidP="003E59D9">
      <w:pPr>
        <w:rPr>
          <w:rFonts w:ascii="ITC Avant Garde" w:hAnsi="ITC Avant Garde"/>
          <w:lang w:val="es-MX"/>
        </w:rPr>
      </w:pPr>
    </w:p>
    <w:p w14:paraId="4880642A" w14:textId="77777777" w:rsidR="003E59D9" w:rsidRPr="004C1A96" w:rsidRDefault="003E59D9" w:rsidP="003E59D9">
      <w:pPr>
        <w:rPr>
          <w:rFonts w:ascii="ITC Avant Garde" w:hAnsi="ITC Avant Garde"/>
          <w:lang w:val="es-MX"/>
        </w:rPr>
      </w:pPr>
      <w:r w:rsidRPr="00E14D8A">
        <w:rPr>
          <w:rFonts w:ascii="ITC Avant Garde" w:hAnsi="ITC Avant Garde"/>
          <w:lang w:val="es-MX"/>
        </w:rPr>
        <w:t>Además, trabajar en el nivel de la sección permite realizar anális</w:t>
      </w:r>
      <w:r w:rsidR="00446220" w:rsidRPr="00E14D8A">
        <w:rPr>
          <w:rFonts w:ascii="ITC Avant Garde" w:hAnsi="ITC Avant Garde"/>
          <w:lang w:val="es-MX"/>
        </w:rPr>
        <w:t>i</w:t>
      </w:r>
      <w:r w:rsidRPr="006C39A2">
        <w:rPr>
          <w:rFonts w:ascii="ITC Avant Garde" w:hAnsi="ITC Avant Garde"/>
          <w:lang w:val="es-MX"/>
        </w:rPr>
        <w:t>s sub</w:t>
      </w:r>
      <w:r w:rsidR="009533FA" w:rsidRPr="006C39A2">
        <w:rPr>
          <w:rFonts w:ascii="ITC Avant Garde" w:hAnsi="ITC Avant Garde"/>
          <w:lang w:val="es-MX"/>
        </w:rPr>
        <w:t>-</w:t>
      </w:r>
      <w:r w:rsidRPr="004C1A96">
        <w:rPr>
          <w:rFonts w:ascii="ITC Avant Garde" w:hAnsi="ITC Avant Garde"/>
          <w:lang w:val="es-MX"/>
        </w:rPr>
        <w:t>nacional</w:t>
      </w:r>
      <w:r w:rsidR="00546591" w:rsidRPr="004C1A96">
        <w:rPr>
          <w:rFonts w:ascii="ITC Avant Garde" w:hAnsi="ITC Avant Garde"/>
          <w:lang w:val="es-MX"/>
        </w:rPr>
        <w:t>es</w:t>
      </w:r>
      <w:r w:rsidRPr="004C1A96">
        <w:rPr>
          <w:rFonts w:ascii="ITC Avant Garde" w:hAnsi="ITC Avant Garde"/>
          <w:lang w:val="es-MX"/>
        </w:rPr>
        <w:t xml:space="preserve"> de los costos de manera precisa y flexible. Esto permite derivar precios promediados, o precios basados </w:t>
      </w:r>
      <w:r w:rsidRPr="004C1A96">
        <w:rPr>
          <w:rFonts w:cs="Arial"/>
          <w:lang w:val="es-MX"/>
        </w:rPr>
        <w:t>​​</w:t>
      </w:r>
      <w:r w:rsidRPr="004C1A96">
        <w:rPr>
          <w:rFonts w:ascii="ITC Avant Garde" w:hAnsi="ITC Avant Garde"/>
          <w:lang w:val="es-MX"/>
        </w:rPr>
        <w:t xml:space="preserve">en una huella limitada. </w:t>
      </w:r>
    </w:p>
    <w:p w14:paraId="008F6F96" w14:textId="77777777" w:rsidR="003E59D9" w:rsidRPr="004C1A96" w:rsidRDefault="003E59D9" w:rsidP="003E59D9">
      <w:pPr>
        <w:rPr>
          <w:rFonts w:ascii="ITC Avant Garde" w:hAnsi="ITC Avant Garde"/>
          <w:lang w:val="es-MX"/>
        </w:rPr>
      </w:pPr>
      <w:r w:rsidRPr="004C1A96">
        <w:rPr>
          <w:rFonts w:ascii="ITC Avant Garde" w:hAnsi="ITC Avant Garde"/>
          <w:lang w:val="es-MX"/>
        </w:rPr>
        <w:t>Sin embargo, e</w:t>
      </w:r>
      <w:r w:rsidR="00546591" w:rsidRPr="004C1A96">
        <w:rPr>
          <w:rFonts w:ascii="ITC Avant Garde" w:hAnsi="ITC Avant Garde"/>
          <w:lang w:val="es-MX"/>
        </w:rPr>
        <w:t>ste</w:t>
      </w:r>
      <w:r w:rsidRPr="004C1A96">
        <w:rPr>
          <w:rFonts w:ascii="ITC Avant Garde" w:hAnsi="ITC Avant Garde"/>
          <w:lang w:val="es-MX"/>
        </w:rPr>
        <w:t xml:space="preserve"> enfoque está sujeto a la disponibilidad de datos completos y al mismo nivel de granularidad (</w:t>
      </w:r>
      <w:r w:rsidR="00546591" w:rsidRPr="004C1A96">
        <w:rPr>
          <w:rFonts w:ascii="ITC Avant Garde" w:hAnsi="ITC Avant Garde"/>
          <w:lang w:val="es-MX"/>
        </w:rPr>
        <w:t>al nivel</w:t>
      </w:r>
      <w:r w:rsidRPr="004C1A96">
        <w:rPr>
          <w:rFonts w:ascii="ITC Avant Garde" w:hAnsi="ITC Avant Garde"/>
          <w:lang w:val="es-MX"/>
        </w:rPr>
        <w:t xml:space="preserve"> de </w:t>
      </w:r>
      <w:r w:rsidR="00546591" w:rsidRPr="004C1A96">
        <w:rPr>
          <w:rFonts w:ascii="ITC Avant Garde" w:hAnsi="ITC Avant Garde"/>
          <w:lang w:val="es-MX"/>
        </w:rPr>
        <w:t>calles</w:t>
      </w:r>
      <w:r w:rsidRPr="004C1A96">
        <w:rPr>
          <w:rFonts w:ascii="ITC Avant Garde" w:hAnsi="ITC Avant Garde"/>
          <w:lang w:val="es-MX"/>
        </w:rPr>
        <w:t>).</w:t>
      </w:r>
    </w:p>
    <w:p w14:paraId="19B8762E" w14:textId="77777777" w:rsidR="003E59D9" w:rsidRPr="004C1A96" w:rsidRDefault="003E59D9" w:rsidP="003E59D9">
      <w:pPr>
        <w:rPr>
          <w:rFonts w:ascii="ITC Avant Garde" w:hAnsi="ITC Avant Garde"/>
          <w:lang w:val="es-MX"/>
        </w:rPr>
      </w:pPr>
      <w:r w:rsidRPr="004C1A96">
        <w:rPr>
          <w:rFonts w:ascii="ITC Avant Garde" w:hAnsi="ITC Avant Garde"/>
          <w:lang w:val="es-MX"/>
        </w:rPr>
        <w:t xml:space="preserve">La información </w:t>
      </w:r>
      <w:r w:rsidR="004C5CB3" w:rsidRPr="004C1A96">
        <w:rPr>
          <w:rFonts w:ascii="ITC Avant Garde" w:hAnsi="ITC Avant Garde"/>
          <w:lang w:val="es-MX"/>
        </w:rPr>
        <w:t>obtenida</w:t>
      </w:r>
      <w:r w:rsidRPr="004C1A96">
        <w:rPr>
          <w:rFonts w:ascii="ITC Avant Garde" w:hAnsi="ITC Avant Garde"/>
          <w:lang w:val="es-MX"/>
        </w:rPr>
        <w:t xml:space="preserve"> </w:t>
      </w:r>
      <w:r w:rsidR="004C5CB3" w:rsidRPr="004C1A96">
        <w:rPr>
          <w:rFonts w:ascii="ITC Avant Garde" w:hAnsi="ITC Avant Garde"/>
          <w:lang w:val="es-MX"/>
        </w:rPr>
        <w:t>del</w:t>
      </w:r>
      <w:r w:rsidRPr="004C1A96">
        <w:rPr>
          <w:rFonts w:ascii="ITC Avant Garde" w:hAnsi="ITC Avant Garde"/>
          <w:lang w:val="es-MX"/>
        </w:rPr>
        <w:t xml:space="preserve"> INEGI </w:t>
      </w:r>
      <w:r w:rsidR="00546591" w:rsidRPr="004C1A96">
        <w:rPr>
          <w:rFonts w:ascii="ITC Avant Garde" w:hAnsi="ITC Avant Garde"/>
          <w:lang w:val="es-MX"/>
        </w:rPr>
        <w:t xml:space="preserve">permitió </w:t>
      </w:r>
      <w:r w:rsidR="001716C2" w:rsidRPr="004C1A96">
        <w:rPr>
          <w:rFonts w:ascii="ITC Avant Garde" w:hAnsi="ITC Avant Garde"/>
          <w:lang w:val="es-MX"/>
        </w:rPr>
        <w:t xml:space="preserve">derivar </w:t>
      </w:r>
      <w:r w:rsidRPr="004C1A96">
        <w:rPr>
          <w:rFonts w:ascii="ITC Avant Garde" w:hAnsi="ITC Avant Garde"/>
          <w:lang w:val="es-MX"/>
        </w:rPr>
        <w:t xml:space="preserve">todos los datos requeridos para el análisis geomarketing, </w:t>
      </w:r>
      <w:r w:rsidR="001716C2" w:rsidRPr="004C1A96">
        <w:rPr>
          <w:rFonts w:ascii="ITC Avant Garde" w:hAnsi="ITC Avant Garde"/>
          <w:lang w:val="es-MX"/>
        </w:rPr>
        <w:t>considerando</w:t>
      </w:r>
      <w:r w:rsidRPr="004C1A96">
        <w:rPr>
          <w:rFonts w:ascii="ITC Avant Garde" w:hAnsi="ITC Avant Garde"/>
          <w:lang w:val="es-MX"/>
        </w:rPr>
        <w:t xml:space="preserve"> algunas suposiciones adicionales para algunas áreas.</w:t>
      </w:r>
    </w:p>
    <w:p w14:paraId="485562D7" w14:textId="77777777" w:rsidR="003E59D9" w:rsidRPr="004C1A96" w:rsidRDefault="003E59D9" w:rsidP="00A11503">
      <w:pPr>
        <w:pStyle w:val="Encadr3"/>
        <w:rPr>
          <w:rFonts w:ascii="ITC Avant Garde" w:hAnsi="ITC Avant Garde"/>
          <w:lang w:val="es-MX"/>
        </w:rPr>
      </w:pPr>
      <w:r w:rsidRPr="004C1A96">
        <w:rPr>
          <w:rFonts w:ascii="ITC Avant Garde" w:hAnsi="ITC Avant Garde"/>
          <w:lang w:val="es-MX"/>
        </w:rPr>
        <w:t xml:space="preserve">Criterio 11: El enfoque </w:t>
      </w:r>
      <w:r w:rsidR="001716C2" w:rsidRPr="004C1A96">
        <w:rPr>
          <w:rFonts w:ascii="ITC Avant Garde" w:hAnsi="ITC Avant Garde"/>
          <w:lang w:val="es-MX"/>
        </w:rPr>
        <w:t>de modelado</w:t>
      </w:r>
      <w:r w:rsidRPr="004C1A96">
        <w:rPr>
          <w:rFonts w:ascii="ITC Avant Garde" w:hAnsi="ITC Avant Garde"/>
          <w:lang w:val="es-MX"/>
        </w:rPr>
        <w:t xml:space="preserve"> consiste en dimensionar los activos de la red de acceso a nivel de sección (es decir, cada segmento de carretera entre dos intersecciones).</w:t>
      </w:r>
    </w:p>
    <w:p w14:paraId="1B9A2A30" w14:textId="77777777" w:rsidR="003E59D9" w:rsidRPr="004C1A96" w:rsidRDefault="003E59D9" w:rsidP="003E59D9">
      <w:pPr>
        <w:rPr>
          <w:rFonts w:ascii="ITC Avant Garde" w:hAnsi="ITC Avant Garde"/>
          <w:lang w:val="es-MX"/>
        </w:rPr>
      </w:pPr>
      <w:r w:rsidRPr="004C1A96">
        <w:rPr>
          <w:rFonts w:ascii="ITC Avant Garde" w:hAnsi="ITC Avant Garde"/>
          <w:lang w:val="es-MX"/>
        </w:rPr>
        <w:lastRenderedPageBreak/>
        <w:t>El cálculo de los costos unitarios de los servicios admitidos por la red de acceso fijo generalmente se realiza en tres fases:</w:t>
      </w:r>
    </w:p>
    <w:p w14:paraId="04512425" w14:textId="77777777" w:rsidR="003E59D9" w:rsidRPr="004C1A96" w:rsidRDefault="003E59D9" w:rsidP="001716C2">
      <w:pPr>
        <w:pStyle w:val="Listaconvietas2"/>
        <w:rPr>
          <w:rFonts w:ascii="ITC Avant Garde" w:hAnsi="ITC Avant Garde"/>
          <w:lang w:val="es-MX"/>
        </w:rPr>
      </w:pPr>
      <w:r w:rsidRPr="004C1A96">
        <w:rPr>
          <w:rFonts w:ascii="ITC Avant Garde" w:hAnsi="ITC Avant Garde"/>
          <w:lang w:val="es-MX"/>
        </w:rPr>
        <w:t>Dimensionar la red, es decir, modelar el inventario de la red (equipos e infraestructura);</w:t>
      </w:r>
    </w:p>
    <w:p w14:paraId="37E45577" w14:textId="77777777" w:rsidR="003E59D9" w:rsidRPr="004C1A96" w:rsidRDefault="001716C2" w:rsidP="001716C2">
      <w:pPr>
        <w:pStyle w:val="Listaconvietas2"/>
        <w:rPr>
          <w:rFonts w:ascii="ITC Avant Garde" w:hAnsi="ITC Avant Garde"/>
          <w:lang w:val="es-MX"/>
        </w:rPr>
      </w:pPr>
      <w:r w:rsidRPr="004C1A96">
        <w:rPr>
          <w:rFonts w:ascii="ITC Avant Garde" w:hAnsi="ITC Avant Garde"/>
          <w:lang w:val="es-MX"/>
        </w:rPr>
        <w:t>Evaluar los costos</w:t>
      </w:r>
      <w:r w:rsidR="003E59D9" w:rsidRPr="004C1A96">
        <w:rPr>
          <w:rFonts w:ascii="ITC Avant Garde" w:hAnsi="ITC Avant Garde"/>
          <w:lang w:val="es-MX"/>
        </w:rPr>
        <w:t xml:space="preserve"> de la red, es decir, derivar los costos de la red de su inventario;</w:t>
      </w:r>
    </w:p>
    <w:p w14:paraId="4DAF8EA5" w14:textId="77777777" w:rsidR="003E59D9" w:rsidRPr="004C1A96" w:rsidRDefault="003E59D9" w:rsidP="001716C2">
      <w:pPr>
        <w:pStyle w:val="Listaconvietas2"/>
        <w:rPr>
          <w:rFonts w:ascii="ITC Avant Garde" w:hAnsi="ITC Avant Garde"/>
          <w:lang w:val="es-MX"/>
        </w:rPr>
      </w:pPr>
      <w:r w:rsidRPr="004C1A96">
        <w:rPr>
          <w:rFonts w:ascii="ITC Avant Garde" w:hAnsi="ITC Avant Garde"/>
          <w:lang w:val="es-MX"/>
        </w:rPr>
        <w:t>Calcular los costos unitarios de los servicios, dividiendo los costos totales por la demanda relevante que los costos deberían recuperar.</w:t>
      </w:r>
    </w:p>
    <w:p w14:paraId="630036AB" w14:textId="77777777" w:rsidR="003E59D9" w:rsidRPr="004C1A96" w:rsidRDefault="003E59D9" w:rsidP="003E59D9">
      <w:pPr>
        <w:rPr>
          <w:rFonts w:ascii="ITC Avant Garde" w:hAnsi="ITC Avant Garde"/>
          <w:lang w:val="es-MX"/>
        </w:rPr>
      </w:pPr>
      <w:r w:rsidRPr="004C1A96">
        <w:rPr>
          <w:rFonts w:ascii="ITC Avant Garde" w:hAnsi="ITC Avant Garde"/>
          <w:lang w:val="es-MX"/>
        </w:rPr>
        <w:t xml:space="preserve">En la sección </w:t>
      </w:r>
      <w:r w:rsidR="001716C2" w:rsidRPr="004C1A96">
        <w:rPr>
          <w:rFonts w:ascii="ITC Avant Garde" w:hAnsi="ITC Avant Garde"/>
          <w:lang w:val="es-MX"/>
        </w:rPr>
        <w:t>2.</w:t>
      </w:r>
      <w:r w:rsidRPr="004C1A96">
        <w:rPr>
          <w:rFonts w:ascii="ITC Avant Garde" w:hAnsi="ITC Avant Garde"/>
          <w:lang w:val="es-MX"/>
        </w:rPr>
        <w:t xml:space="preserve">4 se abordan los costos de la red y los costos unitarios. Con referencia a la fase de dimensionamiento de la red y considerando el alcance de la red de acceso, el punto de partida es </w:t>
      </w:r>
      <w:r w:rsidR="001716C2" w:rsidRPr="004C1A96">
        <w:rPr>
          <w:rFonts w:ascii="ITC Avant Garde" w:hAnsi="ITC Avant Garde"/>
          <w:lang w:val="es-MX"/>
        </w:rPr>
        <w:t xml:space="preserve">de un lado </w:t>
      </w:r>
      <w:r w:rsidRPr="004C1A96">
        <w:rPr>
          <w:rFonts w:ascii="ITC Avant Garde" w:hAnsi="ITC Avant Garde"/>
          <w:lang w:val="es-MX"/>
        </w:rPr>
        <w:t xml:space="preserve">el conjunto de ubicaciones de nodos de acceso y </w:t>
      </w:r>
      <w:r w:rsidR="001716C2" w:rsidRPr="004C1A96">
        <w:rPr>
          <w:rFonts w:ascii="ITC Avant Garde" w:hAnsi="ITC Avant Garde"/>
          <w:lang w:val="es-MX"/>
        </w:rPr>
        <w:t>del</w:t>
      </w:r>
      <w:r w:rsidRPr="004C1A96">
        <w:rPr>
          <w:rFonts w:ascii="ITC Avant Garde" w:hAnsi="ITC Avant Garde"/>
          <w:lang w:val="es-MX"/>
        </w:rPr>
        <w:t xml:space="preserve"> otro lado, el conjunto de ubicaciones de las instalaciones del usuario final:</w:t>
      </w:r>
    </w:p>
    <w:p w14:paraId="1A3E1916" w14:textId="77777777" w:rsidR="003E59D9" w:rsidRPr="004C1A96" w:rsidRDefault="003E59D9" w:rsidP="001716C2">
      <w:pPr>
        <w:pStyle w:val="Listaconvietas2"/>
        <w:rPr>
          <w:rFonts w:ascii="ITC Avant Garde" w:hAnsi="ITC Avant Garde"/>
          <w:lang w:val="es-MX"/>
        </w:rPr>
      </w:pPr>
      <w:r w:rsidRPr="004C1A96">
        <w:rPr>
          <w:rFonts w:ascii="ITC Avant Garde" w:hAnsi="ITC Avant Garde"/>
          <w:lang w:val="es-MX"/>
        </w:rPr>
        <w:t>Las ubicaciones de</w:t>
      </w:r>
      <w:r w:rsidR="001716C2" w:rsidRPr="004C1A96">
        <w:rPr>
          <w:rFonts w:ascii="ITC Avant Garde" w:hAnsi="ITC Avant Garde"/>
          <w:lang w:val="es-MX"/>
        </w:rPr>
        <w:t xml:space="preserve"> </w:t>
      </w:r>
      <w:r w:rsidRPr="004C1A96">
        <w:rPr>
          <w:rFonts w:ascii="ITC Avant Garde" w:hAnsi="ITC Avant Garde"/>
          <w:lang w:val="es-MX"/>
        </w:rPr>
        <w:t>l</w:t>
      </w:r>
      <w:r w:rsidR="001716C2" w:rsidRPr="004C1A96">
        <w:rPr>
          <w:rFonts w:ascii="ITC Avant Garde" w:hAnsi="ITC Avant Garde"/>
          <w:lang w:val="es-MX"/>
        </w:rPr>
        <w:t>os</w:t>
      </w:r>
      <w:r w:rsidRPr="004C1A96">
        <w:rPr>
          <w:rFonts w:ascii="ITC Avant Garde" w:hAnsi="ITC Avant Garde"/>
          <w:lang w:val="es-MX"/>
        </w:rPr>
        <w:t xml:space="preserve"> nodo</w:t>
      </w:r>
      <w:r w:rsidR="001716C2" w:rsidRPr="004C1A96">
        <w:rPr>
          <w:rFonts w:ascii="ITC Avant Garde" w:hAnsi="ITC Avant Garde"/>
          <w:lang w:val="es-MX"/>
        </w:rPr>
        <w:t>s</w:t>
      </w:r>
      <w:r w:rsidRPr="004C1A96">
        <w:rPr>
          <w:rFonts w:ascii="ITC Avant Garde" w:hAnsi="ITC Avant Garde"/>
          <w:lang w:val="es-MX"/>
        </w:rPr>
        <w:t xml:space="preserve"> de acceso </w:t>
      </w:r>
      <w:r w:rsidR="001716C2" w:rsidRPr="004C1A96">
        <w:rPr>
          <w:rFonts w:ascii="ITC Avant Garde" w:hAnsi="ITC Avant Garde"/>
          <w:lang w:val="es-MX"/>
        </w:rPr>
        <w:t xml:space="preserve">se </w:t>
      </w:r>
      <w:r w:rsidR="00F2544C" w:rsidRPr="004C1A96">
        <w:rPr>
          <w:rFonts w:ascii="ITC Avant Garde" w:hAnsi="ITC Avant Garde"/>
          <w:lang w:val="es-MX"/>
        </w:rPr>
        <w:t>obtienen</w:t>
      </w:r>
      <w:r w:rsidR="001716C2" w:rsidRPr="004C1A96">
        <w:rPr>
          <w:rFonts w:ascii="ITC Avant Garde" w:hAnsi="ITC Avant Garde"/>
          <w:lang w:val="es-MX"/>
        </w:rPr>
        <w:t xml:space="preserve"> de acuerdo con el enfoque Scorched Node modificado</w:t>
      </w:r>
      <w:r w:rsidRPr="004C1A96">
        <w:rPr>
          <w:rFonts w:ascii="ITC Avant Garde" w:hAnsi="ITC Avant Garde"/>
          <w:lang w:val="es-MX"/>
        </w:rPr>
        <w:t>;</w:t>
      </w:r>
    </w:p>
    <w:p w14:paraId="5B552819" w14:textId="77777777" w:rsidR="003E59D9" w:rsidRPr="004C1A96" w:rsidRDefault="003E59D9" w:rsidP="001716C2">
      <w:pPr>
        <w:pStyle w:val="Listaconvietas2"/>
        <w:rPr>
          <w:rFonts w:ascii="ITC Avant Garde" w:hAnsi="ITC Avant Garde"/>
          <w:lang w:val="es-MX"/>
        </w:rPr>
      </w:pPr>
      <w:r w:rsidRPr="004C1A96">
        <w:rPr>
          <w:rFonts w:ascii="ITC Avant Garde" w:hAnsi="ITC Avant Garde"/>
          <w:lang w:val="es-MX"/>
        </w:rPr>
        <w:t xml:space="preserve">Las ubicaciones de los locales de los usuarios finales se </w:t>
      </w:r>
      <w:r w:rsidR="00F2544C" w:rsidRPr="004C1A96">
        <w:rPr>
          <w:rFonts w:ascii="ITC Avant Garde" w:hAnsi="ITC Avant Garde"/>
          <w:lang w:val="es-MX"/>
        </w:rPr>
        <w:t>obtienen</w:t>
      </w:r>
      <w:r w:rsidRPr="004C1A96">
        <w:rPr>
          <w:rFonts w:ascii="ITC Avant Garde" w:hAnsi="ITC Avant Garde"/>
          <w:lang w:val="es-MX"/>
        </w:rPr>
        <w:t xml:space="preserve"> a través de bases de datos de mapas geográficos digitales disponibles para México, tal como se explicó anteriormente.</w:t>
      </w:r>
    </w:p>
    <w:p w14:paraId="6CF02F61" w14:textId="77777777" w:rsidR="003E59D9" w:rsidRPr="004C1A96" w:rsidRDefault="003E59D9" w:rsidP="003E59D9">
      <w:pPr>
        <w:rPr>
          <w:rFonts w:ascii="ITC Avant Garde" w:hAnsi="ITC Avant Garde"/>
          <w:lang w:val="es-MX"/>
        </w:rPr>
      </w:pPr>
      <w:r w:rsidRPr="004C1A96">
        <w:rPr>
          <w:rFonts w:ascii="ITC Avant Garde" w:hAnsi="ITC Avant Garde"/>
          <w:lang w:val="es-MX"/>
        </w:rPr>
        <w:t xml:space="preserve">El siguiente paso de la fase de dimensionamiento de la red es identificar qué instalaciones están conectadas a qué nodo de acceso, es decir, determinar </w:t>
      </w:r>
      <w:r w:rsidR="001716C2" w:rsidRPr="004C1A96">
        <w:rPr>
          <w:rFonts w:ascii="ITC Avant Garde" w:hAnsi="ITC Avant Garde"/>
          <w:lang w:val="es-MX"/>
        </w:rPr>
        <w:t xml:space="preserve">el área </w:t>
      </w:r>
      <w:r w:rsidRPr="004C1A96">
        <w:rPr>
          <w:rFonts w:ascii="ITC Avant Garde" w:hAnsi="ITC Avant Garde"/>
          <w:lang w:val="es-MX"/>
        </w:rPr>
        <w:t>de cobertura de cada nodo de acceso. Las áreas de cobertura de los nodos de acceso se pueden determinar de dos maneras:</w:t>
      </w:r>
    </w:p>
    <w:p w14:paraId="55569672" w14:textId="77777777" w:rsidR="003E59D9" w:rsidRPr="004C1A96" w:rsidRDefault="003E59D9" w:rsidP="001716C2">
      <w:pPr>
        <w:pStyle w:val="Listaconvietas2"/>
        <w:rPr>
          <w:rFonts w:ascii="ITC Avant Garde" w:hAnsi="ITC Avant Garde"/>
          <w:lang w:val="es-MX"/>
        </w:rPr>
      </w:pPr>
      <w:r w:rsidRPr="004C1A96">
        <w:rPr>
          <w:rFonts w:ascii="ITC Avant Garde" w:hAnsi="ITC Avant Garde"/>
          <w:lang w:val="es-MX"/>
        </w:rPr>
        <w:t xml:space="preserve">De acuerdo con las áreas de cobertura reales de los nodos de acceso en la red del </w:t>
      </w:r>
      <w:r w:rsidR="001B3F60" w:rsidRPr="004C1A96">
        <w:rPr>
          <w:rFonts w:ascii="ITC Avant Garde" w:hAnsi="ITC Avant Garde"/>
          <w:lang w:val="es-MX"/>
        </w:rPr>
        <w:t>AEP</w:t>
      </w:r>
      <w:r w:rsidRPr="004C1A96">
        <w:rPr>
          <w:rFonts w:ascii="ITC Avant Garde" w:hAnsi="ITC Avant Garde"/>
          <w:lang w:val="es-MX"/>
        </w:rPr>
        <w:t>; o</w:t>
      </w:r>
    </w:p>
    <w:p w14:paraId="75D67724" w14:textId="77777777" w:rsidR="003E59D9" w:rsidRPr="004C1A96" w:rsidRDefault="003E59D9" w:rsidP="001716C2">
      <w:pPr>
        <w:pStyle w:val="Listaconvietas2"/>
        <w:rPr>
          <w:rFonts w:ascii="ITC Avant Garde" w:hAnsi="ITC Avant Garde"/>
          <w:lang w:val="es-MX"/>
        </w:rPr>
      </w:pPr>
      <w:r w:rsidRPr="004C1A96">
        <w:rPr>
          <w:rFonts w:ascii="ITC Avant Garde" w:hAnsi="ITC Avant Garde"/>
          <w:lang w:val="es-MX"/>
        </w:rPr>
        <w:t>Al optimizar las áreas de cobertura.</w:t>
      </w:r>
    </w:p>
    <w:p w14:paraId="3FA59737" w14:textId="77777777" w:rsidR="003E59D9" w:rsidRPr="004C1A96" w:rsidRDefault="003E59D9" w:rsidP="003E59D9">
      <w:pPr>
        <w:rPr>
          <w:rFonts w:ascii="ITC Avant Garde" w:hAnsi="ITC Avant Garde"/>
          <w:lang w:val="es-MX"/>
        </w:rPr>
      </w:pPr>
      <w:r w:rsidRPr="004C1A96">
        <w:rPr>
          <w:rFonts w:ascii="ITC Avant Garde" w:hAnsi="ITC Avant Garde"/>
          <w:lang w:val="es-MX"/>
        </w:rPr>
        <w:t xml:space="preserve">El uso de áreas de cobertura reales no sería consistente con la opción de modelar una red moderna para un operador hipotéticamente eficiente. La optimización de las áreas de cobertura es más consistente cuando se busca una red optimizada y cuando se modela un operador eficiente. Esto se puede realizar utilizando el enfoque Voronoï, un enfoque matemático que calcula distancias a puntos, que asigna todas las secciones (y las instalaciones ubicadas en esta sección) que son las más cercanas a un </w:t>
      </w:r>
      <w:r w:rsidR="001716C2" w:rsidRPr="004C1A96">
        <w:rPr>
          <w:rFonts w:ascii="ITC Avant Garde" w:hAnsi="ITC Avant Garde"/>
          <w:lang w:val="es-MX"/>
        </w:rPr>
        <w:t xml:space="preserve">cierto </w:t>
      </w:r>
      <w:r w:rsidRPr="004C1A96">
        <w:rPr>
          <w:rFonts w:ascii="ITC Avant Garde" w:hAnsi="ITC Avant Garde"/>
          <w:lang w:val="es-MX"/>
        </w:rPr>
        <w:t>nodo de acceso</w:t>
      </w:r>
      <w:r w:rsidR="001716C2" w:rsidRPr="004C1A96">
        <w:rPr>
          <w:rFonts w:ascii="ITC Avant Garde" w:hAnsi="ITC Avant Garde"/>
          <w:lang w:val="es-MX"/>
        </w:rPr>
        <w:t>,</w:t>
      </w:r>
      <w:r w:rsidRPr="004C1A96">
        <w:rPr>
          <w:rFonts w:ascii="ITC Avant Garde" w:hAnsi="ITC Avant Garde"/>
          <w:lang w:val="es-MX"/>
        </w:rPr>
        <w:t xml:space="preserve"> en lugar de a cualquier otro nodo de acceso según </w:t>
      </w:r>
      <w:r w:rsidR="003A0FB4" w:rsidRPr="004C1A96">
        <w:rPr>
          <w:rFonts w:ascii="ITC Avant Garde" w:hAnsi="ITC Avant Garde"/>
          <w:lang w:val="es-MX"/>
        </w:rPr>
        <w:t>la distancia</w:t>
      </w:r>
      <w:r w:rsidRPr="004C1A96">
        <w:rPr>
          <w:rFonts w:ascii="ITC Avant Garde" w:hAnsi="ITC Avant Garde"/>
          <w:lang w:val="es-MX"/>
        </w:rPr>
        <w:t xml:space="preserve"> de la red de carreteras. Proporciona cobertura de nodo</w:t>
      </w:r>
      <w:r w:rsidR="001716C2" w:rsidRPr="004C1A96">
        <w:rPr>
          <w:rFonts w:ascii="ITC Avant Garde" w:hAnsi="ITC Avant Garde"/>
          <w:lang w:val="es-MX"/>
        </w:rPr>
        <w:t>s</w:t>
      </w:r>
      <w:r w:rsidRPr="004C1A96">
        <w:rPr>
          <w:rFonts w:ascii="ITC Avant Garde" w:hAnsi="ITC Avant Garde"/>
          <w:lang w:val="es-MX"/>
        </w:rPr>
        <w:t xml:space="preserve"> de acceso óptim</w:t>
      </w:r>
      <w:r w:rsidR="001716C2" w:rsidRPr="004C1A96">
        <w:rPr>
          <w:rFonts w:ascii="ITC Avant Garde" w:hAnsi="ITC Avant Garde"/>
          <w:lang w:val="es-MX"/>
        </w:rPr>
        <w:t>a</w:t>
      </w:r>
      <w:r w:rsidRPr="004C1A96">
        <w:rPr>
          <w:rFonts w:ascii="ITC Avant Garde" w:hAnsi="ITC Avant Garde"/>
          <w:lang w:val="es-MX"/>
        </w:rPr>
        <w:t xml:space="preserve"> para una ubicación dada de </w:t>
      </w:r>
      <w:r w:rsidR="001716C2" w:rsidRPr="004C1A96">
        <w:rPr>
          <w:rFonts w:ascii="ITC Avant Garde" w:hAnsi="ITC Avant Garde"/>
          <w:lang w:val="es-MX"/>
        </w:rPr>
        <w:t>estos</w:t>
      </w:r>
      <w:r w:rsidRPr="004C1A96">
        <w:rPr>
          <w:rFonts w:ascii="ITC Avant Garde" w:hAnsi="ITC Avant Garde"/>
          <w:lang w:val="es-MX"/>
        </w:rPr>
        <w:t xml:space="preserve"> nodo</w:t>
      </w:r>
      <w:r w:rsidR="001716C2" w:rsidRPr="004C1A96">
        <w:rPr>
          <w:rFonts w:ascii="ITC Avant Garde" w:hAnsi="ITC Avant Garde"/>
          <w:lang w:val="es-MX"/>
        </w:rPr>
        <w:t>s</w:t>
      </w:r>
      <w:r w:rsidRPr="004C1A96">
        <w:rPr>
          <w:rFonts w:ascii="ITC Avant Garde" w:hAnsi="ITC Avant Garde"/>
          <w:lang w:val="es-MX"/>
        </w:rPr>
        <w:t>.</w:t>
      </w:r>
    </w:p>
    <w:p w14:paraId="4EA6EBA0" w14:textId="77777777" w:rsidR="00A11503" w:rsidRPr="004C1A96" w:rsidRDefault="00A11503" w:rsidP="003E59D9">
      <w:pPr>
        <w:rPr>
          <w:rFonts w:ascii="ITC Avant Garde" w:hAnsi="ITC Avant Garde"/>
          <w:lang w:val="es-MX"/>
        </w:rPr>
      </w:pPr>
    </w:p>
    <w:p w14:paraId="74AA4060" w14:textId="1BB57D18" w:rsidR="00A11503" w:rsidRPr="00E14D8A" w:rsidRDefault="006D69ED" w:rsidP="00A11503">
      <w:pPr>
        <w:pStyle w:val="Descripcin"/>
        <w:keepNext/>
        <w:rPr>
          <w:rFonts w:ascii="ITC Avant Garde" w:hAnsi="ITC Avant Garde"/>
          <w:lang w:val="es-MX"/>
        </w:rPr>
      </w:pPr>
      <w:r w:rsidRPr="004C1A96">
        <w:rPr>
          <w:rFonts w:ascii="ITC Avant Garde" w:hAnsi="ITC Avant Garde"/>
          <w:lang w:val="es-MX"/>
        </w:rPr>
        <w:lastRenderedPageBreak/>
        <w:t xml:space="preserve">Figura </w:t>
      </w:r>
      <w:r w:rsidRPr="004C1A96">
        <w:rPr>
          <w:rFonts w:ascii="ITC Avant Garde" w:hAnsi="ITC Avant Garde"/>
          <w:lang w:val="es-MX"/>
        </w:rPr>
        <w:fldChar w:fldCharType="begin"/>
      </w:r>
      <w:r w:rsidRPr="004C1A96">
        <w:rPr>
          <w:rFonts w:ascii="ITC Avant Garde" w:hAnsi="ITC Avant Garde"/>
          <w:lang w:val="es-MX"/>
        </w:rPr>
        <w:instrText xml:space="preserve"> SEQ Figura \* ARABIC </w:instrText>
      </w:r>
      <w:r w:rsidRPr="004C1A96">
        <w:rPr>
          <w:rFonts w:ascii="ITC Avant Garde" w:hAnsi="ITC Avant Garde"/>
          <w:lang w:val="es-MX"/>
        </w:rPr>
        <w:fldChar w:fldCharType="separate"/>
      </w:r>
      <w:r w:rsidR="00006265">
        <w:rPr>
          <w:rFonts w:ascii="ITC Avant Garde" w:hAnsi="ITC Avant Garde"/>
          <w:noProof/>
          <w:lang w:val="es-MX"/>
        </w:rPr>
        <w:t>6</w:t>
      </w:r>
      <w:r w:rsidRPr="004C1A96">
        <w:rPr>
          <w:rFonts w:ascii="ITC Avant Garde" w:hAnsi="ITC Avant Garde"/>
          <w:lang w:val="es-MX"/>
        </w:rPr>
        <w:fldChar w:fldCharType="end"/>
      </w:r>
      <w:r w:rsidRPr="004C1A96">
        <w:rPr>
          <w:rFonts w:ascii="ITC Avant Garde" w:hAnsi="ITC Avant Garde"/>
          <w:lang w:val="es-MX"/>
        </w:rPr>
        <w:t xml:space="preserve"> </w:t>
      </w:r>
      <w:r w:rsidR="00A11503" w:rsidRPr="004C1A96">
        <w:rPr>
          <w:rFonts w:ascii="ITC Avant Garde" w:hAnsi="ITC Avant Garde"/>
          <w:lang w:val="es-MX"/>
        </w:rPr>
        <w:t>– Ilustración de un ejemplo de área de cobertura del nodo de acceso y área de cobertura del nodo</w:t>
      </w:r>
      <w:r w:rsidR="00A11503" w:rsidRPr="00E14D8A">
        <w:rPr>
          <w:rFonts w:ascii="ITC Avant Garde" w:hAnsi="ITC Avant Garde"/>
          <w:lang w:val="es-MX"/>
        </w:rPr>
        <w:t xml:space="preserve"> de acceso optimizado</w:t>
      </w:r>
    </w:p>
    <w:p w14:paraId="42748841" w14:textId="6396CEC9" w:rsidR="00A11503" w:rsidRPr="004C1A96" w:rsidRDefault="002213F6" w:rsidP="00A11503">
      <w:pPr>
        <w:jc w:val="center"/>
        <w:rPr>
          <w:rFonts w:ascii="ITC Avant Garde" w:hAnsi="ITC Avant Garde"/>
          <w:lang w:val="es-MX"/>
        </w:rPr>
      </w:pPr>
      <w:r w:rsidRPr="00872052">
        <w:rPr>
          <w:rFonts w:ascii="ITC Avant Garde" w:hAnsi="ITC Avant Garde"/>
          <w:noProof/>
          <w:lang w:val="es-MX" w:eastAsia="es-MX"/>
        </w:rPr>
        <w:drawing>
          <wp:inline distT="0" distB="0" distL="0" distR="0" wp14:anchorId="2B87DA66" wp14:editId="15D24BAE">
            <wp:extent cx="3178980" cy="2917992"/>
            <wp:effectExtent l="0" t="0" r="2540" b="0"/>
            <wp:docPr id="4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 b="2272"/>
                    <a:stretch/>
                  </pic:blipFill>
                  <pic:spPr bwMode="auto">
                    <a:xfrm>
                      <a:off x="0" y="0"/>
                      <a:ext cx="3183464" cy="2922108"/>
                    </a:xfrm>
                    <a:prstGeom prst="rect">
                      <a:avLst/>
                    </a:prstGeom>
                    <a:noFill/>
                    <a:ln>
                      <a:noFill/>
                    </a:ln>
                    <a:extLst>
                      <a:ext uri="{53640926-AAD7-44D8-BBD7-CCE9431645EC}">
                        <a14:shadowObscured xmlns:a14="http://schemas.microsoft.com/office/drawing/2010/main"/>
                      </a:ext>
                    </a:extLst>
                  </pic:spPr>
                </pic:pic>
              </a:graphicData>
            </a:graphic>
          </wp:inline>
        </w:drawing>
      </w:r>
    </w:p>
    <w:p w14:paraId="79452696" w14:textId="77777777" w:rsidR="00A11503" w:rsidRPr="004C1A96" w:rsidRDefault="00A11503" w:rsidP="00A11503">
      <w:pPr>
        <w:pStyle w:val="Encadr3"/>
        <w:rPr>
          <w:rFonts w:ascii="ITC Avant Garde" w:hAnsi="ITC Avant Garde"/>
          <w:lang w:val="es-MX"/>
        </w:rPr>
      </w:pPr>
      <w:r w:rsidRPr="00E14D8A">
        <w:rPr>
          <w:rFonts w:ascii="ITC Avant Garde" w:hAnsi="ITC Avant Garde"/>
          <w:lang w:val="es-MX"/>
        </w:rPr>
        <w:t xml:space="preserve">Criterio 12: </w:t>
      </w:r>
      <w:r w:rsidR="00984BB8" w:rsidRPr="00E14D8A">
        <w:rPr>
          <w:rFonts w:ascii="ITC Avant Garde" w:hAnsi="ITC Avant Garde"/>
          <w:lang w:val="es-MX"/>
        </w:rPr>
        <w:t>C</w:t>
      </w:r>
      <w:r w:rsidRPr="006C39A2">
        <w:rPr>
          <w:rFonts w:ascii="ITC Avant Garde" w:hAnsi="ITC Avant Garde"/>
          <w:lang w:val="es-MX"/>
        </w:rPr>
        <w:t xml:space="preserve">onsistentemente con la elección de un operador eficiente para modelar, </w:t>
      </w:r>
      <w:r w:rsidR="001716C2" w:rsidRPr="006C39A2">
        <w:rPr>
          <w:rFonts w:ascii="ITC Avant Garde" w:hAnsi="ITC Avant Garde"/>
          <w:lang w:val="es-MX"/>
        </w:rPr>
        <w:t xml:space="preserve">y del enfoque Schorched node modificado, </w:t>
      </w:r>
      <w:r w:rsidRPr="004C1A96">
        <w:rPr>
          <w:rFonts w:ascii="ITC Avant Garde" w:hAnsi="ITC Avant Garde"/>
          <w:lang w:val="es-MX"/>
        </w:rPr>
        <w:t xml:space="preserve">las áreas de cobertura de los nodos de red se optimizan utilizando algoritmos matemáticos para asociar cada sección de carretera (y luego a cada usuario final) al </w:t>
      </w:r>
      <w:r w:rsidR="00446220" w:rsidRPr="004C1A96">
        <w:rPr>
          <w:rFonts w:ascii="ITC Avant Garde" w:hAnsi="ITC Avant Garde"/>
          <w:lang w:val="es-MX"/>
        </w:rPr>
        <w:t>Punto de Presencia (PDP)</w:t>
      </w:r>
      <w:r w:rsidR="001B3F60" w:rsidRPr="004C1A96">
        <w:rPr>
          <w:rFonts w:ascii="ITC Avant Garde" w:hAnsi="ITC Avant Garde"/>
          <w:lang w:val="es-MX"/>
        </w:rPr>
        <w:t xml:space="preserve"> </w:t>
      </w:r>
      <w:r w:rsidRPr="004C1A96">
        <w:rPr>
          <w:rFonts w:ascii="ITC Avant Garde" w:hAnsi="ITC Avant Garde"/>
          <w:lang w:val="es-MX"/>
        </w:rPr>
        <w:t>más cercano estimado por distancia de</w:t>
      </w:r>
      <w:r w:rsidR="00984BB8" w:rsidRPr="004C1A96">
        <w:rPr>
          <w:rFonts w:ascii="ITC Avant Garde" w:hAnsi="ITC Avant Garde"/>
          <w:lang w:val="es-MX"/>
        </w:rPr>
        <w:t xml:space="preserve"> los</w:t>
      </w:r>
      <w:r w:rsidRPr="004C1A96">
        <w:rPr>
          <w:rFonts w:ascii="ITC Avant Garde" w:hAnsi="ITC Avant Garde"/>
          <w:lang w:val="es-MX"/>
        </w:rPr>
        <w:t xml:space="preserve"> camino</w:t>
      </w:r>
      <w:r w:rsidR="00984BB8" w:rsidRPr="004C1A96">
        <w:rPr>
          <w:rFonts w:ascii="ITC Avant Garde" w:hAnsi="ITC Avant Garde"/>
          <w:lang w:val="es-MX"/>
        </w:rPr>
        <w:t>s y calles</w:t>
      </w:r>
      <w:r w:rsidRPr="004C1A96">
        <w:rPr>
          <w:rFonts w:ascii="ITC Avant Garde" w:hAnsi="ITC Avant Garde"/>
          <w:lang w:val="es-MX"/>
        </w:rPr>
        <w:t>.</w:t>
      </w:r>
    </w:p>
    <w:p w14:paraId="5A09A034" w14:textId="77777777" w:rsidR="00A11503" w:rsidRPr="004C1A96" w:rsidRDefault="00A11503" w:rsidP="00A11503">
      <w:pPr>
        <w:rPr>
          <w:rFonts w:ascii="ITC Avant Garde" w:hAnsi="ITC Avant Garde"/>
          <w:lang w:val="es-MX"/>
        </w:rPr>
      </w:pPr>
      <w:r w:rsidRPr="004C1A96">
        <w:rPr>
          <w:rFonts w:ascii="ITC Avant Garde" w:hAnsi="ITC Avant Garde"/>
          <w:lang w:val="es-MX"/>
        </w:rPr>
        <w:t>Una vez determinadas las áreas de cobertura de</w:t>
      </w:r>
      <w:r w:rsidR="001B3F60" w:rsidRPr="004C1A96">
        <w:rPr>
          <w:rFonts w:ascii="ITC Avant Garde" w:hAnsi="ITC Avant Garde"/>
          <w:lang w:val="es-MX"/>
        </w:rPr>
        <w:t xml:space="preserve"> </w:t>
      </w:r>
      <w:r w:rsidRPr="004C1A96">
        <w:rPr>
          <w:rFonts w:ascii="ITC Avant Garde" w:hAnsi="ITC Avant Garde"/>
          <w:lang w:val="es-MX"/>
        </w:rPr>
        <w:t>l</w:t>
      </w:r>
      <w:r w:rsidR="001B3F60" w:rsidRPr="004C1A96">
        <w:rPr>
          <w:rFonts w:ascii="ITC Avant Garde" w:hAnsi="ITC Avant Garde"/>
          <w:lang w:val="es-MX"/>
        </w:rPr>
        <w:t>os</w:t>
      </w:r>
      <w:r w:rsidRPr="004C1A96">
        <w:rPr>
          <w:rFonts w:ascii="ITC Avant Garde" w:hAnsi="ITC Avant Garde"/>
          <w:lang w:val="es-MX"/>
        </w:rPr>
        <w:t xml:space="preserve"> nodo</w:t>
      </w:r>
      <w:r w:rsidR="001B3F60" w:rsidRPr="004C1A96">
        <w:rPr>
          <w:rFonts w:ascii="ITC Avant Garde" w:hAnsi="ITC Avant Garde"/>
          <w:lang w:val="es-MX"/>
        </w:rPr>
        <w:t>s</w:t>
      </w:r>
      <w:r w:rsidRPr="004C1A96">
        <w:rPr>
          <w:rFonts w:ascii="ITC Avant Garde" w:hAnsi="ITC Avant Garde"/>
          <w:lang w:val="es-MX"/>
        </w:rPr>
        <w:t xml:space="preserve"> de acceso, es posible calcular la ruta eficiente que permite al modelo conectar cada premisa del usuario final a un nodo de acceso, utilizando el algoritmo de ruta más corta. Este cálculo distingue entre la parte horizontal y vertical de la red de acceso, es decir, parte a lo largo de la red de carreteras y para la parte privada de la </w:t>
      </w:r>
      <w:r w:rsidR="001B3F60" w:rsidRPr="004C1A96">
        <w:rPr>
          <w:rFonts w:ascii="ITC Avant Garde" w:hAnsi="ITC Avant Garde"/>
          <w:lang w:val="es-MX"/>
        </w:rPr>
        <w:t>acometida</w:t>
      </w:r>
      <w:r w:rsidRPr="004C1A96">
        <w:rPr>
          <w:rFonts w:ascii="ITC Avant Garde" w:hAnsi="ITC Avant Garde"/>
          <w:lang w:val="es-MX"/>
        </w:rPr>
        <w:t xml:space="preserve"> con la conexión de la carretera al edificio con el punto de terminación de la red.</w:t>
      </w:r>
    </w:p>
    <w:p w14:paraId="3E53C554" w14:textId="77777777" w:rsidR="00A11503" w:rsidRPr="004C1A96" w:rsidRDefault="00A11503" w:rsidP="00A11503">
      <w:pPr>
        <w:rPr>
          <w:rFonts w:ascii="ITC Avant Garde" w:hAnsi="ITC Avant Garde"/>
          <w:lang w:val="es-MX"/>
        </w:rPr>
      </w:pPr>
    </w:p>
    <w:p w14:paraId="2EC60A92" w14:textId="77777777" w:rsidR="00A11503" w:rsidRPr="004C1A96" w:rsidRDefault="00A11503" w:rsidP="00A11503">
      <w:pPr>
        <w:rPr>
          <w:rFonts w:ascii="ITC Avant Garde" w:hAnsi="ITC Avant Garde"/>
          <w:lang w:val="es-MX"/>
        </w:rPr>
      </w:pPr>
    </w:p>
    <w:p w14:paraId="7E9061D2" w14:textId="2F475746" w:rsidR="00A11503" w:rsidRPr="004C1A96" w:rsidRDefault="006D69ED" w:rsidP="00A11503">
      <w:pPr>
        <w:pStyle w:val="Descripcin"/>
        <w:keepNext/>
        <w:rPr>
          <w:rFonts w:ascii="ITC Avant Garde" w:hAnsi="ITC Avant Garde"/>
          <w:lang w:val="es-MX"/>
        </w:rPr>
      </w:pPr>
      <w:r w:rsidRPr="004C1A96">
        <w:rPr>
          <w:rFonts w:ascii="ITC Avant Garde" w:hAnsi="ITC Avant Garde"/>
          <w:lang w:val="es-MX"/>
        </w:rPr>
        <w:lastRenderedPageBreak/>
        <w:t xml:space="preserve">Figura </w:t>
      </w:r>
      <w:r w:rsidRPr="004C1A96">
        <w:rPr>
          <w:rFonts w:ascii="ITC Avant Garde" w:hAnsi="ITC Avant Garde"/>
          <w:lang w:val="es-MX"/>
        </w:rPr>
        <w:fldChar w:fldCharType="begin"/>
      </w:r>
      <w:r w:rsidRPr="004C1A96">
        <w:rPr>
          <w:rFonts w:ascii="ITC Avant Garde" w:hAnsi="ITC Avant Garde"/>
          <w:lang w:val="es-MX"/>
        </w:rPr>
        <w:instrText xml:space="preserve"> SEQ Figura \* ARABIC </w:instrText>
      </w:r>
      <w:r w:rsidRPr="004C1A96">
        <w:rPr>
          <w:rFonts w:ascii="ITC Avant Garde" w:hAnsi="ITC Avant Garde"/>
          <w:lang w:val="es-MX"/>
        </w:rPr>
        <w:fldChar w:fldCharType="separate"/>
      </w:r>
      <w:r w:rsidR="00006265">
        <w:rPr>
          <w:rFonts w:ascii="ITC Avant Garde" w:hAnsi="ITC Avant Garde"/>
          <w:noProof/>
          <w:lang w:val="es-MX"/>
        </w:rPr>
        <w:t>7</w:t>
      </w:r>
      <w:r w:rsidRPr="004C1A96">
        <w:rPr>
          <w:rFonts w:ascii="ITC Avant Garde" w:hAnsi="ITC Avant Garde"/>
          <w:lang w:val="es-MX"/>
        </w:rPr>
        <w:fldChar w:fldCharType="end"/>
      </w:r>
      <w:r w:rsidRPr="004C1A96">
        <w:rPr>
          <w:rFonts w:ascii="ITC Avant Garde" w:hAnsi="ITC Avant Garde"/>
          <w:lang w:val="es-MX"/>
        </w:rPr>
        <w:t xml:space="preserve"> </w:t>
      </w:r>
      <w:r w:rsidR="00A11503" w:rsidRPr="004C1A96">
        <w:rPr>
          <w:rFonts w:ascii="ITC Avant Garde" w:hAnsi="ITC Avant Garde"/>
          <w:lang w:val="es-MX"/>
        </w:rPr>
        <w:t>– Camino más corto desde los nodos de acceso a los edificios</w:t>
      </w:r>
    </w:p>
    <w:p w14:paraId="0405ACE1" w14:textId="4C358204" w:rsidR="00A11503" w:rsidRPr="004C1A96" w:rsidRDefault="002213F6" w:rsidP="00A11503">
      <w:pPr>
        <w:keepNext/>
        <w:spacing w:before="0" w:line="240" w:lineRule="auto"/>
        <w:jc w:val="center"/>
        <w:rPr>
          <w:rFonts w:ascii="ITC Avant Garde" w:hAnsi="ITC Avant Garde"/>
          <w:i/>
          <w:color w:val="808080"/>
          <w:lang w:val="es-MX"/>
        </w:rPr>
      </w:pPr>
      <w:r w:rsidRPr="00872052">
        <w:rPr>
          <w:rFonts w:ascii="ITC Avant Garde" w:hAnsi="ITC Avant Garde"/>
          <w:i/>
          <w:noProof/>
          <w:color w:val="808080"/>
          <w:lang w:val="es-MX" w:eastAsia="es-MX"/>
        </w:rPr>
        <w:drawing>
          <wp:inline distT="0" distB="0" distL="0" distR="0" wp14:anchorId="3BC9B802" wp14:editId="44A4F56D">
            <wp:extent cx="5394960" cy="2941320"/>
            <wp:effectExtent l="0" t="0" r="0" b="0"/>
            <wp:docPr id="41"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4960" cy="2941320"/>
                    </a:xfrm>
                    <a:prstGeom prst="rect">
                      <a:avLst/>
                    </a:prstGeom>
                    <a:noFill/>
                  </pic:spPr>
                </pic:pic>
              </a:graphicData>
            </a:graphic>
          </wp:inline>
        </w:drawing>
      </w:r>
    </w:p>
    <w:p w14:paraId="68C5E351" w14:textId="77777777" w:rsidR="00A11503" w:rsidRPr="00E14D8A" w:rsidRDefault="00A11503" w:rsidP="00A11503">
      <w:pPr>
        <w:rPr>
          <w:rFonts w:ascii="ITC Avant Garde" w:hAnsi="ITC Avant Garde"/>
          <w:lang w:val="es-MX"/>
        </w:rPr>
      </w:pPr>
    </w:p>
    <w:p w14:paraId="0AAE8161" w14:textId="77777777" w:rsidR="00A11503" w:rsidRPr="00E14D8A" w:rsidRDefault="00A11503" w:rsidP="00A11503">
      <w:pPr>
        <w:rPr>
          <w:rFonts w:ascii="ITC Avant Garde" w:hAnsi="ITC Avant Garde"/>
          <w:lang w:val="es-MX"/>
        </w:rPr>
      </w:pPr>
      <w:r w:rsidRPr="00E14D8A">
        <w:rPr>
          <w:rFonts w:ascii="ITC Avant Garde" w:hAnsi="ITC Avant Garde"/>
          <w:lang w:val="es-MX"/>
        </w:rPr>
        <w:t>Habiendo calculado todas las rutas más cortas requeridas, es posible calcular la demanda en el nivel de sección. La demanda a nivel de sección consiste en:</w:t>
      </w:r>
    </w:p>
    <w:p w14:paraId="63A62FBE" w14:textId="77777777" w:rsidR="00A11503" w:rsidRPr="004C1A96" w:rsidRDefault="00A11503" w:rsidP="001B3F60">
      <w:pPr>
        <w:pStyle w:val="Listaconvietas2"/>
        <w:rPr>
          <w:rFonts w:ascii="ITC Avant Garde" w:hAnsi="ITC Avant Garde"/>
          <w:lang w:val="es-MX"/>
        </w:rPr>
      </w:pPr>
      <w:r w:rsidRPr="004C1A96">
        <w:rPr>
          <w:rFonts w:ascii="ITC Avant Garde" w:hAnsi="ITC Avant Garde"/>
          <w:lang w:val="es-MX"/>
        </w:rPr>
        <w:t xml:space="preserve">La demanda de la sección actual, es decir, </w:t>
      </w:r>
      <w:r w:rsidR="001B3F60" w:rsidRPr="004C1A96">
        <w:rPr>
          <w:rFonts w:ascii="ITC Avant Garde" w:hAnsi="ITC Avant Garde"/>
          <w:lang w:val="es-MX"/>
        </w:rPr>
        <w:t xml:space="preserve">de </w:t>
      </w:r>
      <w:r w:rsidRPr="004C1A96">
        <w:rPr>
          <w:rFonts w:ascii="ITC Avant Garde" w:hAnsi="ITC Avant Garde"/>
          <w:lang w:val="es-MX"/>
        </w:rPr>
        <w:t>todas las instalaciones ubicadas en esta sección; y</w:t>
      </w:r>
    </w:p>
    <w:p w14:paraId="79826D21" w14:textId="77777777" w:rsidR="00A11503" w:rsidRPr="004C1A96" w:rsidRDefault="00A11503" w:rsidP="001B3F60">
      <w:pPr>
        <w:pStyle w:val="Listaconvietas2"/>
        <w:rPr>
          <w:rFonts w:ascii="ITC Avant Garde" w:hAnsi="ITC Avant Garde"/>
          <w:lang w:val="es-MX"/>
        </w:rPr>
      </w:pPr>
      <w:r w:rsidRPr="004C1A96">
        <w:rPr>
          <w:rFonts w:ascii="ITC Avant Garde" w:hAnsi="ITC Avant Garde"/>
          <w:lang w:val="es-MX"/>
        </w:rPr>
        <w:t>La demanda del área posterior de la sección, es decir, todas las instalaciones para las cuales la ruta más corta al nodo de acceso pasa por la sección.</w:t>
      </w:r>
    </w:p>
    <w:p w14:paraId="1BFBCFDD" w14:textId="383C5398" w:rsidR="001B3F60" w:rsidRPr="004C1A96" w:rsidRDefault="006D69ED" w:rsidP="001B3F60">
      <w:pPr>
        <w:pStyle w:val="Descripcin"/>
        <w:keepNext/>
        <w:rPr>
          <w:rFonts w:ascii="ITC Avant Garde" w:hAnsi="ITC Avant Garde"/>
          <w:lang w:val="es-MX"/>
        </w:rPr>
      </w:pPr>
      <w:r w:rsidRPr="004C1A96">
        <w:rPr>
          <w:rFonts w:ascii="ITC Avant Garde" w:hAnsi="ITC Avant Garde"/>
          <w:lang w:val="es-MX"/>
        </w:rPr>
        <w:t xml:space="preserve">Figura </w:t>
      </w:r>
      <w:r w:rsidRPr="004C1A96">
        <w:rPr>
          <w:rFonts w:ascii="ITC Avant Garde" w:hAnsi="ITC Avant Garde"/>
          <w:lang w:val="es-MX"/>
        </w:rPr>
        <w:fldChar w:fldCharType="begin"/>
      </w:r>
      <w:r w:rsidRPr="004C1A96">
        <w:rPr>
          <w:rFonts w:ascii="ITC Avant Garde" w:hAnsi="ITC Avant Garde"/>
          <w:lang w:val="es-MX"/>
        </w:rPr>
        <w:instrText xml:space="preserve"> SEQ Figura \* ARABIC </w:instrText>
      </w:r>
      <w:r w:rsidRPr="004C1A96">
        <w:rPr>
          <w:rFonts w:ascii="ITC Avant Garde" w:hAnsi="ITC Avant Garde"/>
          <w:lang w:val="es-MX"/>
        </w:rPr>
        <w:fldChar w:fldCharType="separate"/>
      </w:r>
      <w:r w:rsidR="00006265">
        <w:rPr>
          <w:rFonts w:ascii="ITC Avant Garde" w:hAnsi="ITC Avant Garde"/>
          <w:noProof/>
          <w:lang w:val="es-MX"/>
        </w:rPr>
        <w:t>8</w:t>
      </w:r>
      <w:r w:rsidRPr="004C1A96">
        <w:rPr>
          <w:rFonts w:ascii="ITC Avant Garde" w:hAnsi="ITC Avant Garde"/>
          <w:lang w:val="es-MX"/>
        </w:rPr>
        <w:fldChar w:fldCharType="end"/>
      </w:r>
      <w:r w:rsidRPr="004C1A96">
        <w:rPr>
          <w:rFonts w:ascii="ITC Avant Garde" w:hAnsi="ITC Avant Garde"/>
          <w:lang w:val="es-MX"/>
        </w:rPr>
        <w:t xml:space="preserve"> </w:t>
      </w:r>
      <w:r w:rsidR="001B3F60" w:rsidRPr="004C1A96">
        <w:rPr>
          <w:rFonts w:ascii="ITC Avant Garde" w:hAnsi="ITC Avant Garde"/>
          <w:lang w:val="es-MX"/>
        </w:rPr>
        <w:t xml:space="preserve">– </w:t>
      </w:r>
      <w:r w:rsidR="00F2544C" w:rsidRPr="004C1A96">
        <w:rPr>
          <w:rFonts w:ascii="ITC Avant Garde" w:hAnsi="ITC Avant Garde"/>
          <w:lang w:val="es-MX"/>
        </w:rPr>
        <w:t>Ilustración</w:t>
      </w:r>
      <w:r w:rsidR="001B3F60" w:rsidRPr="004C1A96">
        <w:rPr>
          <w:rFonts w:ascii="ITC Avant Garde" w:hAnsi="ITC Avant Garde"/>
          <w:lang w:val="es-MX"/>
        </w:rPr>
        <w:t xml:space="preserve"> del área posterior de una sección </w:t>
      </w:r>
    </w:p>
    <w:p w14:paraId="26622475" w14:textId="2756B15E" w:rsidR="001B3F60" w:rsidRPr="004C1A96" w:rsidRDefault="002213F6" w:rsidP="001B3F60">
      <w:pPr>
        <w:jc w:val="center"/>
        <w:rPr>
          <w:rFonts w:ascii="ITC Avant Garde" w:hAnsi="ITC Avant Garde"/>
          <w:lang w:val="es-MX"/>
        </w:rPr>
      </w:pPr>
      <w:r w:rsidRPr="00872052">
        <w:rPr>
          <w:rFonts w:ascii="ITC Avant Garde" w:hAnsi="ITC Avant Garde"/>
          <w:noProof/>
          <w:lang w:val="es-MX" w:eastAsia="es-MX"/>
        </w:rPr>
        <w:drawing>
          <wp:inline distT="0" distB="0" distL="0" distR="0" wp14:anchorId="43DF3CC3" wp14:editId="662AE7F8">
            <wp:extent cx="5400000" cy="2384790"/>
            <wp:effectExtent l="0" t="0" r="0" b="0"/>
            <wp:docPr id="42"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0" cy="2384790"/>
                    </a:xfrm>
                    <a:prstGeom prst="rect">
                      <a:avLst/>
                    </a:prstGeom>
                    <a:noFill/>
                  </pic:spPr>
                </pic:pic>
              </a:graphicData>
            </a:graphic>
          </wp:inline>
        </w:drawing>
      </w:r>
    </w:p>
    <w:p w14:paraId="1E1D67CF" w14:textId="77777777" w:rsidR="001B3F60" w:rsidRPr="00E14D8A" w:rsidRDefault="001B3F60" w:rsidP="00A11503">
      <w:pPr>
        <w:rPr>
          <w:rFonts w:ascii="ITC Avant Garde" w:hAnsi="ITC Avant Garde"/>
          <w:lang w:val="es-MX"/>
        </w:rPr>
      </w:pPr>
    </w:p>
    <w:p w14:paraId="692438BA" w14:textId="77777777" w:rsidR="00A11503" w:rsidRPr="00E14D8A" w:rsidRDefault="00A11503" w:rsidP="00A11503">
      <w:pPr>
        <w:rPr>
          <w:rFonts w:ascii="ITC Avant Garde" w:hAnsi="ITC Avant Garde"/>
          <w:lang w:val="es-MX"/>
        </w:rPr>
      </w:pPr>
      <w:r w:rsidRPr="00E14D8A">
        <w:rPr>
          <w:rFonts w:ascii="ITC Avant Garde" w:hAnsi="ITC Avant Garde"/>
          <w:lang w:val="es-MX"/>
        </w:rPr>
        <w:lastRenderedPageBreak/>
        <w:t>El dimensionamiento de la red de acceso a nivel de sección consiste en calcular el número de activos necesarios para satisfacer la demanda local, dadas las reglas de ingeniería y un catálogo de activos.</w:t>
      </w:r>
    </w:p>
    <w:p w14:paraId="2DA1312E" w14:textId="77777777" w:rsidR="00A11503" w:rsidRPr="006C39A2" w:rsidRDefault="00A11503" w:rsidP="00A11503">
      <w:pPr>
        <w:rPr>
          <w:rFonts w:ascii="ITC Avant Garde" w:hAnsi="ITC Avant Garde"/>
          <w:lang w:val="es-MX"/>
        </w:rPr>
      </w:pPr>
      <w:r w:rsidRPr="00E14D8A">
        <w:rPr>
          <w:rFonts w:ascii="ITC Avant Garde" w:hAnsi="ITC Avant Garde"/>
          <w:lang w:val="es-MX"/>
        </w:rPr>
        <w:t>Finalmente, la red completa, es decir, la red desplegada a nivel nacional, o la red en el nivel del área de n</w:t>
      </w:r>
      <w:r w:rsidRPr="006C39A2">
        <w:rPr>
          <w:rFonts w:ascii="ITC Avant Garde" w:hAnsi="ITC Avant Garde"/>
          <w:lang w:val="es-MX"/>
        </w:rPr>
        <w:t>odo de acceso se dimensiona sumando el número de activos calculados en el nivel de sección. Esto permite obtener el inventario de la red y concluye la fase de dimensionamiento de la red.</w:t>
      </w:r>
    </w:p>
    <w:p w14:paraId="1BE883FC" w14:textId="77777777" w:rsidR="00A11503" w:rsidRPr="004C1A96" w:rsidRDefault="00A11503" w:rsidP="00A11503">
      <w:pPr>
        <w:pStyle w:val="Encadr3"/>
        <w:rPr>
          <w:rFonts w:ascii="ITC Avant Garde" w:hAnsi="ITC Avant Garde"/>
          <w:lang w:val="es-MX"/>
        </w:rPr>
      </w:pPr>
      <w:r w:rsidRPr="004C1A96">
        <w:rPr>
          <w:rFonts w:ascii="ITC Avant Garde" w:hAnsi="ITC Avant Garde"/>
          <w:lang w:val="es-MX"/>
        </w:rPr>
        <w:t>Criterio 13: las instalaciones del usuario final se conectan al nodo de acceso más cercano a través del camino más corto desde el usuario final hasta el nodo de acceso.</w:t>
      </w:r>
    </w:p>
    <w:p w14:paraId="4BDC70A0" w14:textId="77777777" w:rsidR="00A11503" w:rsidRPr="0028360F" w:rsidRDefault="003A0FB4" w:rsidP="0040723E">
      <w:pPr>
        <w:pStyle w:val="Ttulo3"/>
        <w:rPr>
          <w:lang w:val="es-MX"/>
        </w:rPr>
      </w:pPr>
      <w:bookmarkStart w:id="108" w:name="_Toc525665271"/>
      <w:bookmarkStart w:id="109" w:name="_Toc525665650"/>
      <w:bookmarkStart w:id="110" w:name="_Toc141975008"/>
      <w:r w:rsidRPr="0028360F">
        <w:rPr>
          <w:lang w:val="es-MX"/>
        </w:rPr>
        <w:t>Tecnologías</w:t>
      </w:r>
      <w:r w:rsidR="00A11503" w:rsidRPr="0028360F">
        <w:rPr>
          <w:lang w:val="es-MX"/>
        </w:rPr>
        <w:t xml:space="preserve"> modeladas</w:t>
      </w:r>
      <w:bookmarkEnd w:id="108"/>
      <w:bookmarkEnd w:id="109"/>
      <w:bookmarkEnd w:id="110"/>
    </w:p>
    <w:p w14:paraId="62D978DF" w14:textId="77777777" w:rsidR="00A11503" w:rsidRPr="004C1A96" w:rsidRDefault="00A11503" w:rsidP="00A11503">
      <w:pPr>
        <w:rPr>
          <w:rFonts w:ascii="ITC Avant Garde" w:hAnsi="ITC Avant Garde"/>
          <w:lang w:val="es-MX"/>
        </w:rPr>
      </w:pPr>
      <w:r w:rsidRPr="004C1A96">
        <w:rPr>
          <w:rFonts w:ascii="ITC Avant Garde" w:hAnsi="ITC Avant Garde"/>
          <w:lang w:val="es-MX"/>
        </w:rPr>
        <w:t>La tecnología tradicional de acceso de cobre</w:t>
      </w:r>
      <w:r w:rsidR="0053734A" w:rsidRPr="004C1A96">
        <w:rPr>
          <w:rFonts w:ascii="ITC Avant Garde" w:hAnsi="ITC Avant Garde"/>
          <w:lang w:val="es-MX"/>
        </w:rPr>
        <w:t>,</w:t>
      </w:r>
      <w:r w:rsidRPr="004C1A96">
        <w:rPr>
          <w:rFonts w:ascii="ITC Avant Garde" w:hAnsi="ITC Avant Garde"/>
          <w:lang w:val="es-MX"/>
        </w:rPr>
        <w:t xml:space="preserve"> propiedad del operador histórico</w:t>
      </w:r>
      <w:r w:rsidR="0053734A" w:rsidRPr="004C1A96">
        <w:rPr>
          <w:rFonts w:ascii="ITC Avant Garde" w:hAnsi="ITC Avant Garde"/>
          <w:lang w:val="es-MX"/>
        </w:rPr>
        <w:t>,</w:t>
      </w:r>
      <w:r w:rsidRPr="00E14D8A">
        <w:rPr>
          <w:rFonts w:ascii="ITC Avant Garde" w:hAnsi="ITC Avant Garde"/>
          <w:lang w:val="es-MX"/>
        </w:rPr>
        <w:t xml:space="preserve"> </w:t>
      </w:r>
      <w:r w:rsidR="0053734A" w:rsidRPr="00E14D8A">
        <w:rPr>
          <w:rFonts w:ascii="ITC Avant Garde" w:hAnsi="ITC Avant Garde"/>
          <w:lang w:val="es-MX"/>
        </w:rPr>
        <w:t>se modela</w:t>
      </w:r>
      <w:r w:rsidRPr="00E14D8A">
        <w:rPr>
          <w:rFonts w:ascii="ITC Avant Garde" w:hAnsi="ITC Avant Garde"/>
          <w:lang w:val="es-MX"/>
        </w:rPr>
        <w:t xml:space="preserve"> a partir de pares de cobre. En general, la </w:t>
      </w:r>
      <w:r w:rsidRPr="006C39A2">
        <w:rPr>
          <w:rFonts w:ascii="ITC Avant Garde" w:hAnsi="ITC Avant Garde"/>
          <w:lang w:val="es-MX"/>
        </w:rPr>
        <w:t xml:space="preserve">línea desde el cliente hasta el intercambio más cercano consiste en un par trenzado de cobre con los pares individuales agregados en cables más grandes en gabinetes de calle </w:t>
      </w:r>
      <w:r w:rsidR="0053734A" w:rsidRPr="004C1A96">
        <w:rPr>
          <w:rFonts w:ascii="ITC Avant Garde" w:hAnsi="ITC Avant Garde"/>
          <w:lang w:val="es-MX"/>
        </w:rPr>
        <w:t xml:space="preserve">(los puntos de distribución) </w:t>
      </w:r>
      <w:r w:rsidRPr="004C1A96">
        <w:rPr>
          <w:rFonts w:ascii="ITC Avant Garde" w:hAnsi="ITC Avant Garde"/>
          <w:lang w:val="es-MX"/>
        </w:rPr>
        <w:t>para el transporte a</w:t>
      </w:r>
      <w:r w:rsidR="0053734A" w:rsidRPr="004C1A96">
        <w:rPr>
          <w:rFonts w:ascii="ITC Avant Garde" w:hAnsi="ITC Avant Garde"/>
          <w:lang w:val="es-MX"/>
        </w:rPr>
        <w:t xml:space="preserve">l central </w:t>
      </w:r>
      <w:r w:rsidR="00F2544C" w:rsidRPr="004C1A96">
        <w:rPr>
          <w:rFonts w:ascii="ITC Avant Garde" w:hAnsi="ITC Avant Garde"/>
          <w:lang w:val="es-MX"/>
        </w:rPr>
        <w:t>más</w:t>
      </w:r>
      <w:r w:rsidR="0053734A" w:rsidRPr="004C1A96">
        <w:rPr>
          <w:rFonts w:ascii="ITC Avant Garde" w:hAnsi="ITC Avant Garde"/>
          <w:lang w:val="es-MX"/>
        </w:rPr>
        <w:t xml:space="preserve"> cercano</w:t>
      </w:r>
      <w:r w:rsidRPr="004C1A96">
        <w:rPr>
          <w:rFonts w:ascii="ITC Avant Garde" w:hAnsi="ITC Avant Garde"/>
          <w:lang w:val="es-MX"/>
        </w:rPr>
        <w:t>.</w:t>
      </w:r>
    </w:p>
    <w:p w14:paraId="4BFEFF8B" w14:textId="77777777" w:rsidR="00A11503" w:rsidRPr="004C1A96" w:rsidRDefault="0053734A" w:rsidP="00A11503">
      <w:pPr>
        <w:rPr>
          <w:rFonts w:ascii="ITC Avant Garde" w:hAnsi="ITC Avant Garde"/>
          <w:lang w:val="es-MX"/>
        </w:rPr>
      </w:pPr>
      <w:r w:rsidRPr="004C1A96">
        <w:rPr>
          <w:rFonts w:ascii="ITC Avant Garde" w:hAnsi="ITC Avant Garde"/>
          <w:lang w:val="es-MX"/>
        </w:rPr>
        <w:t>Asimismo, l</w:t>
      </w:r>
      <w:r w:rsidR="00A11503" w:rsidRPr="004C1A96">
        <w:rPr>
          <w:rFonts w:ascii="ITC Avant Garde" w:hAnsi="ITC Avant Garde"/>
          <w:lang w:val="es-MX"/>
        </w:rPr>
        <w:t>as redes de acceso de cobre se basan comúnmente en una topología de punto a punto, entre las instalaciones del abonado y los nodos de acceso.</w:t>
      </w:r>
    </w:p>
    <w:p w14:paraId="109E4CFE" w14:textId="2367D747" w:rsidR="00A11503" w:rsidRPr="004C1A96" w:rsidRDefault="00A11503" w:rsidP="00A11503">
      <w:pPr>
        <w:rPr>
          <w:rFonts w:ascii="ITC Avant Garde" w:hAnsi="ITC Avant Garde"/>
          <w:lang w:val="es-MX"/>
        </w:rPr>
      </w:pPr>
      <w:r w:rsidRPr="004C1A96">
        <w:rPr>
          <w:rFonts w:ascii="ITC Avant Garde" w:hAnsi="ITC Avant Garde"/>
          <w:lang w:val="es-MX"/>
        </w:rPr>
        <w:t xml:space="preserve">Dado que casi toda la capacidad de los bucles </w:t>
      </w:r>
      <w:r w:rsidR="0053734A" w:rsidRPr="004C1A96">
        <w:rPr>
          <w:rFonts w:ascii="ITC Avant Garde" w:hAnsi="ITC Avant Garde"/>
          <w:lang w:val="es-MX"/>
        </w:rPr>
        <w:t xml:space="preserve">de cobre </w:t>
      </w:r>
      <w:r w:rsidRPr="004C1A96">
        <w:rPr>
          <w:rFonts w:ascii="ITC Avant Garde" w:hAnsi="ITC Avant Garde"/>
          <w:lang w:val="es-MX"/>
        </w:rPr>
        <w:t xml:space="preserve">se proporciona en pares de cobre, </w:t>
      </w:r>
      <w:r w:rsidR="0053734A" w:rsidRPr="004C1A96">
        <w:rPr>
          <w:rFonts w:ascii="ITC Avant Garde" w:hAnsi="ITC Avant Garde"/>
          <w:lang w:val="es-MX"/>
        </w:rPr>
        <w:t>se han</w:t>
      </w:r>
      <w:r w:rsidRPr="004C1A96">
        <w:rPr>
          <w:rFonts w:ascii="ITC Avant Garde" w:hAnsi="ITC Avant Garde"/>
          <w:lang w:val="es-MX"/>
        </w:rPr>
        <w:t xml:space="preserve"> buscado </w:t>
      </w:r>
      <w:r w:rsidR="0053734A" w:rsidRPr="004C1A96">
        <w:rPr>
          <w:rFonts w:ascii="ITC Avant Garde" w:hAnsi="ITC Avant Garde"/>
          <w:lang w:val="es-MX"/>
        </w:rPr>
        <w:t xml:space="preserve">soluciones técnicas para </w:t>
      </w:r>
      <w:r w:rsidRPr="004C1A96">
        <w:rPr>
          <w:rFonts w:ascii="ITC Avant Garde" w:hAnsi="ITC Avant Garde"/>
          <w:lang w:val="es-MX"/>
        </w:rPr>
        <w:t>aumentar la cantidad de datos</w:t>
      </w:r>
      <w:r w:rsidR="00875932" w:rsidRPr="004C1A96">
        <w:rPr>
          <w:rFonts w:ascii="ITC Avant Garde" w:hAnsi="ITC Avant Garde"/>
          <w:lang w:val="es-MX"/>
        </w:rPr>
        <w:t>/</w:t>
      </w:r>
      <w:r w:rsidRPr="004C1A96">
        <w:rPr>
          <w:rFonts w:ascii="ITC Avant Garde" w:hAnsi="ITC Avant Garde"/>
          <w:lang w:val="es-MX"/>
        </w:rPr>
        <w:t xml:space="preserve">tráfico que se puede transmitir a través de un par de cobre, como las tecnologías xDSL. El aumento de las velocidades de datos se produce a </w:t>
      </w:r>
      <w:r w:rsidR="002A1977" w:rsidRPr="004C1A96">
        <w:rPr>
          <w:rFonts w:ascii="ITC Avant Garde" w:hAnsi="ITC Avant Garde"/>
          <w:lang w:val="es-MX"/>
        </w:rPr>
        <w:t>costa</w:t>
      </w:r>
      <w:r w:rsidRPr="004C1A96">
        <w:rPr>
          <w:rFonts w:ascii="ITC Avant Garde" w:hAnsi="ITC Avant Garde"/>
          <w:lang w:val="es-MX"/>
        </w:rPr>
        <w:t xml:space="preserve"> de una reducción en la distancia de transmisión; los cables de cobre de par trenzado tienen que ser de longitud más corta</w:t>
      </w:r>
      <w:r w:rsidR="002A1977" w:rsidRPr="004C1A96">
        <w:rPr>
          <w:rFonts w:ascii="ITC Avant Garde" w:hAnsi="ITC Avant Garde"/>
          <w:lang w:val="es-MX"/>
        </w:rPr>
        <w:t xml:space="preserve">, lo que ha provocado </w:t>
      </w:r>
      <w:r w:rsidRPr="004C1A96">
        <w:rPr>
          <w:rFonts w:ascii="ITC Avant Garde" w:hAnsi="ITC Avant Garde"/>
          <w:lang w:val="es-MX"/>
        </w:rPr>
        <w:t>que el equipo activo (generalmente DSLAM) esté comenzando a implementarse en las ubicaciones de los gabinetes de las calles</w:t>
      </w:r>
      <w:r w:rsidR="002A1977" w:rsidRPr="004C1A96">
        <w:rPr>
          <w:rFonts w:ascii="ITC Avant Garde" w:hAnsi="ITC Avant Garde"/>
          <w:lang w:val="es-MX"/>
        </w:rPr>
        <w:t xml:space="preserve"> en lugar del central</w:t>
      </w:r>
      <w:r w:rsidR="00CB40E8" w:rsidRPr="004C1A96">
        <w:rPr>
          <w:rFonts w:ascii="ITC Avant Garde" w:hAnsi="ITC Avant Garde"/>
          <w:lang w:val="es-MX"/>
        </w:rPr>
        <w:t xml:space="preserve"> (tecnología FTTC, por sus siglas en inglés </w:t>
      </w:r>
      <w:r w:rsidR="00CB40E8" w:rsidRPr="004C1A96">
        <w:rPr>
          <w:rFonts w:ascii="ITC Avant Garde" w:hAnsi="ITC Avant Garde"/>
          <w:i/>
          <w:iCs/>
          <w:lang w:val="es-MX"/>
        </w:rPr>
        <w:t>Fiber-To-The-Cabinet</w:t>
      </w:r>
      <w:r w:rsidR="00CB40E8" w:rsidRPr="004C1A96">
        <w:rPr>
          <w:rFonts w:ascii="ITC Avant Garde" w:hAnsi="ITC Avant Garde"/>
          <w:lang w:val="es-MX"/>
        </w:rPr>
        <w:t>)</w:t>
      </w:r>
      <w:r w:rsidRPr="004C1A96">
        <w:rPr>
          <w:rFonts w:ascii="ITC Avant Garde" w:hAnsi="ITC Avant Garde"/>
          <w:lang w:val="es-MX"/>
        </w:rPr>
        <w:t>.</w:t>
      </w:r>
    </w:p>
    <w:p w14:paraId="23FC696B" w14:textId="77777777" w:rsidR="00A11503" w:rsidRPr="004C1A96" w:rsidRDefault="00A11503" w:rsidP="00A11503">
      <w:pPr>
        <w:rPr>
          <w:rFonts w:ascii="ITC Avant Garde" w:hAnsi="ITC Avant Garde"/>
          <w:lang w:val="es-MX"/>
        </w:rPr>
      </w:pPr>
      <w:r w:rsidRPr="004C1A96">
        <w:rPr>
          <w:rFonts w:ascii="ITC Avant Garde" w:hAnsi="ITC Avant Garde"/>
          <w:lang w:val="es-MX"/>
        </w:rPr>
        <w:t xml:space="preserve">Además de la tecnología de cobre, existen otras técnicas que se implementan en México que pueden ofrecer servicios mejorados en el </w:t>
      </w:r>
      <w:r w:rsidR="002A1977" w:rsidRPr="004C1A96">
        <w:rPr>
          <w:rFonts w:ascii="ITC Avant Garde" w:hAnsi="ITC Avant Garde"/>
          <w:lang w:val="es-MX"/>
        </w:rPr>
        <w:t>bucle</w:t>
      </w:r>
      <w:r w:rsidRPr="004C1A96">
        <w:rPr>
          <w:rFonts w:ascii="ITC Avant Garde" w:hAnsi="ITC Avant Garde"/>
          <w:lang w:val="es-MX"/>
        </w:rPr>
        <w:t xml:space="preserve"> local, que se basan básicamente en la tecnología de fibra.</w:t>
      </w:r>
      <w:r w:rsidR="002A1977" w:rsidRPr="004C1A96">
        <w:rPr>
          <w:rFonts w:ascii="ITC Avant Garde" w:hAnsi="ITC Avant Garde"/>
          <w:lang w:val="es-MX"/>
        </w:rPr>
        <w:t xml:space="preserve"> En las redes de f</w:t>
      </w:r>
      <w:r w:rsidRPr="004C1A96">
        <w:rPr>
          <w:rFonts w:ascii="ITC Avant Garde" w:hAnsi="ITC Avant Garde"/>
          <w:lang w:val="es-MX"/>
        </w:rPr>
        <w:t>ibra directa al cliente (</w:t>
      </w:r>
      <w:r w:rsidRPr="004C1A96">
        <w:rPr>
          <w:rFonts w:ascii="ITC Avant Garde" w:hAnsi="ITC Avant Garde"/>
          <w:i/>
          <w:lang w:val="es-MX"/>
        </w:rPr>
        <w:t>Fiber To The Home</w:t>
      </w:r>
      <w:r w:rsidRPr="004C1A96">
        <w:rPr>
          <w:rFonts w:ascii="ITC Avant Garde" w:hAnsi="ITC Avant Garde"/>
          <w:lang w:val="es-MX"/>
        </w:rPr>
        <w:t>, FTTH)</w:t>
      </w:r>
      <w:r w:rsidR="002A1977" w:rsidRPr="004C1A96">
        <w:rPr>
          <w:rFonts w:ascii="ITC Avant Garde" w:hAnsi="ITC Avant Garde"/>
          <w:lang w:val="es-MX"/>
        </w:rPr>
        <w:t>,</w:t>
      </w:r>
      <w:r w:rsidRPr="004C1A96">
        <w:rPr>
          <w:rFonts w:ascii="ITC Avant Garde" w:hAnsi="ITC Avant Garde"/>
          <w:lang w:val="es-MX"/>
        </w:rPr>
        <w:t xml:space="preserve"> la fibra llega al límite de la casa del cliente, </w:t>
      </w:r>
      <w:r w:rsidR="002A1977" w:rsidRPr="004C1A96">
        <w:rPr>
          <w:rFonts w:ascii="ITC Avant Garde" w:hAnsi="ITC Avant Garde"/>
          <w:lang w:val="es-MX"/>
        </w:rPr>
        <w:t>por ejemplo, en</w:t>
      </w:r>
      <w:r w:rsidRPr="004C1A96">
        <w:rPr>
          <w:rFonts w:ascii="ITC Avant Garde" w:hAnsi="ITC Avant Garde"/>
          <w:lang w:val="es-MX"/>
        </w:rPr>
        <w:t xml:space="preserve"> una caja en la pared exterior de una casa. Esta tecnología p</w:t>
      </w:r>
      <w:r w:rsidR="002A1977" w:rsidRPr="004C1A96">
        <w:rPr>
          <w:rFonts w:ascii="ITC Avant Garde" w:hAnsi="ITC Avant Garde"/>
          <w:lang w:val="es-MX"/>
        </w:rPr>
        <w:t>uede</w:t>
      </w:r>
      <w:r w:rsidRPr="004C1A96">
        <w:rPr>
          <w:rFonts w:ascii="ITC Avant Garde" w:hAnsi="ITC Avant Garde"/>
          <w:lang w:val="es-MX"/>
        </w:rPr>
        <w:t xml:space="preserve"> implementarse utilizando dos arquitecturas de red:</w:t>
      </w:r>
    </w:p>
    <w:p w14:paraId="2564E9BE" w14:textId="77777777" w:rsidR="00A11503" w:rsidRPr="004C1A96" w:rsidRDefault="002149BD" w:rsidP="002A1977">
      <w:pPr>
        <w:pStyle w:val="Listaconvietas2"/>
        <w:rPr>
          <w:rFonts w:ascii="ITC Avant Garde" w:hAnsi="ITC Avant Garde"/>
          <w:lang w:val="es-MX"/>
        </w:rPr>
      </w:pPr>
      <w:r w:rsidRPr="004C1A96">
        <w:rPr>
          <w:rFonts w:ascii="ITC Avant Garde" w:hAnsi="ITC Avant Garde"/>
          <w:lang w:val="es-MX"/>
        </w:rPr>
        <w:t>U</w:t>
      </w:r>
      <w:r w:rsidR="00A11503" w:rsidRPr="004C1A96">
        <w:rPr>
          <w:rFonts w:ascii="ITC Avant Garde" w:hAnsi="ITC Avant Garde"/>
          <w:lang w:val="es-MX"/>
        </w:rPr>
        <w:t>na arquitectura PON (red óptica pasiva);</w:t>
      </w:r>
    </w:p>
    <w:p w14:paraId="2B67D685" w14:textId="77777777" w:rsidR="00A11503" w:rsidRPr="004C1A96" w:rsidRDefault="002149BD" w:rsidP="002A1977">
      <w:pPr>
        <w:pStyle w:val="Listaconvietas2"/>
        <w:rPr>
          <w:rFonts w:ascii="ITC Avant Garde" w:hAnsi="ITC Avant Garde"/>
          <w:lang w:val="es-MX"/>
        </w:rPr>
      </w:pPr>
      <w:r w:rsidRPr="004C1A96">
        <w:rPr>
          <w:rFonts w:ascii="ITC Avant Garde" w:hAnsi="ITC Avant Garde"/>
          <w:lang w:val="es-MX"/>
        </w:rPr>
        <w:t>U</w:t>
      </w:r>
      <w:r w:rsidR="00A11503" w:rsidRPr="004C1A96">
        <w:rPr>
          <w:rFonts w:ascii="ITC Avant Garde" w:hAnsi="ITC Avant Garde"/>
          <w:lang w:val="es-MX"/>
        </w:rPr>
        <w:t>na arquitectura P</w:t>
      </w:r>
      <w:r w:rsidR="002A1977" w:rsidRPr="004C1A96">
        <w:rPr>
          <w:rFonts w:ascii="ITC Avant Garde" w:hAnsi="ITC Avant Garde"/>
          <w:lang w:val="es-MX"/>
        </w:rPr>
        <w:t>2</w:t>
      </w:r>
      <w:r w:rsidR="00A11503" w:rsidRPr="004C1A96">
        <w:rPr>
          <w:rFonts w:ascii="ITC Avant Garde" w:hAnsi="ITC Avant Garde"/>
          <w:lang w:val="es-MX"/>
        </w:rPr>
        <w:t>P (punto a punto).</w:t>
      </w:r>
    </w:p>
    <w:p w14:paraId="499D8482" w14:textId="77777777" w:rsidR="00A11503" w:rsidRPr="004C1A96" w:rsidRDefault="00A11503" w:rsidP="00A11503">
      <w:pPr>
        <w:rPr>
          <w:rFonts w:ascii="ITC Avant Garde" w:hAnsi="ITC Avant Garde"/>
          <w:lang w:val="es-MX"/>
        </w:rPr>
      </w:pPr>
      <w:r w:rsidRPr="004C1A96">
        <w:rPr>
          <w:rFonts w:ascii="ITC Avant Garde" w:hAnsi="ITC Avant Garde"/>
          <w:lang w:val="es-MX"/>
        </w:rPr>
        <w:t xml:space="preserve">La arquitectura GPON (red óptica pasiva con capacidad Gigabit) significa que la fibra se implementa </w:t>
      </w:r>
      <w:r w:rsidR="002A1977" w:rsidRPr="004C1A96">
        <w:rPr>
          <w:rFonts w:ascii="ITC Avant Garde" w:hAnsi="ITC Avant Garde"/>
          <w:lang w:val="es-MX"/>
        </w:rPr>
        <w:t>siguiendo</w:t>
      </w:r>
      <w:r w:rsidRPr="004C1A96">
        <w:rPr>
          <w:rFonts w:ascii="ITC Avant Garde" w:hAnsi="ITC Avant Garde"/>
          <w:lang w:val="es-MX"/>
        </w:rPr>
        <w:t xml:space="preserve"> una topología de árbol, pero </w:t>
      </w:r>
      <w:r w:rsidR="002A1977" w:rsidRPr="004C1A96">
        <w:rPr>
          <w:rFonts w:ascii="ITC Avant Garde" w:hAnsi="ITC Avant Garde"/>
          <w:lang w:val="es-MX"/>
        </w:rPr>
        <w:t>una</w:t>
      </w:r>
      <w:r w:rsidRPr="004C1A96">
        <w:rPr>
          <w:rFonts w:ascii="ITC Avant Garde" w:hAnsi="ITC Avant Garde"/>
          <w:lang w:val="es-MX"/>
        </w:rPr>
        <w:t xml:space="preserve"> fibra no está dedicada a una premisa: las fibras se dividen </w:t>
      </w:r>
      <w:r w:rsidR="002A1977" w:rsidRPr="004C1A96">
        <w:rPr>
          <w:rFonts w:ascii="ITC Avant Garde" w:hAnsi="ITC Avant Garde"/>
          <w:lang w:val="es-MX"/>
        </w:rPr>
        <w:t>de manera</w:t>
      </w:r>
      <w:r w:rsidRPr="004C1A96">
        <w:rPr>
          <w:rFonts w:ascii="ITC Avant Garde" w:hAnsi="ITC Avant Garde"/>
          <w:lang w:val="es-MX"/>
        </w:rPr>
        <w:t xml:space="preserve"> que varias instalaciones compartan la misma fibra entre el punto de intercambio</w:t>
      </w:r>
      <w:r w:rsidR="002A1977" w:rsidRPr="004C1A96">
        <w:rPr>
          <w:rFonts w:ascii="ITC Avant Garde" w:hAnsi="ITC Avant Garde"/>
          <w:lang w:val="es-MX"/>
        </w:rPr>
        <w:t xml:space="preserve"> (central)</w:t>
      </w:r>
      <w:r w:rsidRPr="004C1A96">
        <w:rPr>
          <w:rFonts w:ascii="ITC Avant Garde" w:hAnsi="ITC Avant Garde"/>
          <w:lang w:val="es-MX"/>
        </w:rPr>
        <w:t xml:space="preserve"> y el </w:t>
      </w:r>
      <w:r w:rsidR="003A0FB4" w:rsidRPr="004C1A96">
        <w:rPr>
          <w:rFonts w:ascii="ITC Avant Garde" w:hAnsi="ITC Avant Garde"/>
          <w:lang w:val="es-MX"/>
        </w:rPr>
        <w:t>divisor</w:t>
      </w:r>
      <w:r w:rsidR="002A1977" w:rsidRPr="004C1A96">
        <w:rPr>
          <w:rFonts w:ascii="ITC Avant Garde" w:hAnsi="ITC Avant Garde"/>
          <w:lang w:val="es-MX"/>
        </w:rPr>
        <w:t xml:space="preserve"> (</w:t>
      </w:r>
      <w:r w:rsidR="002A1977" w:rsidRPr="004C1A96">
        <w:rPr>
          <w:rFonts w:ascii="ITC Avant Garde" w:hAnsi="ITC Avant Garde"/>
          <w:i/>
          <w:lang w:val="es-MX"/>
        </w:rPr>
        <w:t>splitter</w:t>
      </w:r>
      <w:r w:rsidR="002A1977" w:rsidRPr="004C1A96">
        <w:rPr>
          <w:rFonts w:ascii="ITC Avant Garde" w:hAnsi="ITC Avant Garde"/>
          <w:lang w:val="es-MX"/>
        </w:rPr>
        <w:t>)</w:t>
      </w:r>
      <w:r w:rsidR="003A0FB4" w:rsidRPr="004C1A96">
        <w:rPr>
          <w:rFonts w:ascii="ITC Avant Garde" w:hAnsi="ITC Avant Garde"/>
          <w:lang w:val="es-MX"/>
        </w:rPr>
        <w:t>.</w:t>
      </w:r>
      <w:r w:rsidR="002A1977" w:rsidRPr="004C1A96">
        <w:rPr>
          <w:rFonts w:ascii="ITC Avant Garde" w:hAnsi="ITC Avant Garde"/>
          <w:lang w:val="es-MX"/>
        </w:rPr>
        <w:t xml:space="preserve"> </w:t>
      </w:r>
      <w:r w:rsidRPr="004C1A96">
        <w:rPr>
          <w:rFonts w:ascii="ITC Avant Garde" w:hAnsi="ITC Avant Garde"/>
          <w:lang w:val="es-MX"/>
        </w:rPr>
        <w:t xml:space="preserve">Las fibras </w:t>
      </w:r>
      <w:r w:rsidRPr="004C1A96">
        <w:rPr>
          <w:rFonts w:ascii="ITC Avant Garde" w:hAnsi="ITC Avant Garde"/>
          <w:lang w:val="es-MX"/>
        </w:rPr>
        <w:lastRenderedPageBreak/>
        <w:t>desplegadas desde el nodo de acceso al cliente final se dividen progresivamente antes de llegar a las instalaciones finales (</w:t>
      </w:r>
      <w:r w:rsidR="002A1977" w:rsidRPr="004C1A96">
        <w:rPr>
          <w:rFonts w:ascii="ITC Avant Garde" w:hAnsi="ITC Avant Garde"/>
          <w:lang w:val="es-MX"/>
        </w:rPr>
        <w:t>ver</w:t>
      </w:r>
      <w:r w:rsidRPr="004C1A96">
        <w:rPr>
          <w:rFonts w:ascii="ITC Avant Garde" w:hAnsi="ITC Avant Garde"/>
          <w:lang w:val="es-MX"/>
        </w:rPr>
        <w:t xml:space="preserve"> figura </w:t>
      </w:r>
      <w:r w:rsidR="00926902" w:rsidRPr="004C1A96">
        <w:rPr>
          <w:rFonts w:ascii="ITC Avant Garde" w:hAnsi="ITC Avant Garde"/>
          <w:lang w:val="es-MX"/>
        </w:rPr>
        <w:t>siguiente</w:t>
      </w:r>
      <w:r w:rsidRPr="004C1A96">
        <w:rPr>
          <w:rFonts w:ascii="ITC Avant Garde" w:hAnsi="ITC Avant Garde"/>
          <w:lang w:val="es-MX"/>
        </w:rPr>
        <w:t>).</w:t>
      </w:r>
    </w:p>
    <w:p w14:paraId="3AF1410D" w14:textId="77777777" w:rsidR="00A11503" w:rsidRPr="004C1A96" w:rsidRDefault="00A11503" w:rsidP="00A11503">
      <w:pPr>
        <w:rPr>
          <w:rFonts w:ascii="ITC Avant Garde" w:hAnsi="ITC Avant Garde"/>
          <w:lang w:val="es-MX"/>
        </w:rPr>
      </w:pPr>
    </w:p>
    <w:p w14:paraId="545950AF" w14:textId="3726441D" w:rsidR="00A11503" w:rsidRPr="004C1A96" w:rsidRDefault="006D69ED" w:rsidP="00A11503">
      <w:pPr>
        <w:pStyle w:val="Descripcin"/>
        <w:keepNext/>
        <w:rPr>
          <w:rFonts w:ascii="ITC Avant Garde" w:hAnsi="ITC Avant Garde"/>
          <w:lang w:val="es-MX"/>
        </w:rPr>
      </w:pPr>
      <w:r w:rsidRPr="004C1A96">
        <w:rPr>
          <w:rFonts w:ascii="ITC Avant Garde" w:hAnsi="ITC Avant Garde"/>
          <w:lang w:val="es-MX"/>
        </w:rPr>
        <w:t xml:space="preserve">Figura </w:t>
      </w:r>
      <w:r w:rsidRPr="004C1A96">
        <w:rPr>
          <w:rFonts w:ascii="ITC Avant Garde" w:hAnsi="ITC Avant Garde"/>
          <w:lang w:val="es-MX"/>
        </w:rPr>
        <w:fldChar w:fldCharType="begin"/>
      </w:r>
      <w:r w:rsidRPr="004C1A96">
        <w:rPr>
          <w:rFonts w:ascii="ITC Avant Garde" w:hAnsi="ITC Avant Garde"/>
          <w:lang w:val="es-MX"/>
        </w:rPr>
        <w:instrText xml:space="preserve"> SEQ Figura \* ARABIC </w:instrText>
      </w:r>
      <w:r w:rsidRPr="004C1A96">
        <w:rPr>
          <w:rFonts w:ascii="ITC Avant Garde" w:hAnsi="ITC Avant Garde"/>
          <w:lang w:val="es-MX"/>
        </w:rPr>
        <w:fldChar w:fldCharType="separate"/>
      </w:r>
      <w:r w:rsidR="00006265">
        <w:rPr>
          <w:rFonts w:ascii="ITC Avant Garde" w:hAnsi="ITC Avant Garde"/>
          <w:noProof/>
          <w:lang w:val="es-MX"/>
        </w:rPr>
        <w:t>9</w:t>
      </w:r>
      <w:r w:rsidRPr="004C1A96">
        <w:rPr>
          <w:rFonts w:ascii="ITC Avant Garde" w:hAnsi="ITC Avant Garde"/>
          <w:lang w:val="es-MX"/>
        </w:rPr>
        <w:fldChar w:fldCharType="end"/>
      </w:r>
      <w:r w:rsidRPr="004C1A96">
        <w:rPr>
          <w:rFonts w:ascii="ITC Avant Garde" w:hAnsi="ITC Avant Garde"/>
          <w:lang w:val="es-MX"/>
        </w:rPr>
        <w:t xml:space="preserve"> </w:t>
      </w:r>
      <w:r w:rsidR="00A11503" w:rsidRPr="004C1A96">
        <w:rPr>
          <w:rFonts w:ascii="ITC Avant Garde" w:hAnsi="ITC Avant Garde"/>
          <w:lang w:val="es-MX"/>
        </w:rPr>
        <w:t>– Esquema ilustrativo de la tecnología GPON</w:t>
      </w:r>
      <w:r w:rsidR="002213F6">
        <w:rPr>
          <w:rStyle w:val="Refdenotaalpie"/>
          <w:rFonts w:ascii="ITC Avant Garde" w:hAnsi="ITC Avant Garde"/>
          <w:lang w:val="es-MX"/>
        </w:rPr>
        <w:footnoteReference w:id="24"/>
      </w:r>
    </w:p>
    <w:p w14:paraId="017935ED" w14:textId="3C53CABC" w:rsidR="00A11503" w:rsidRPr="004C1A96" w:rsidRDefault="002213F6" w:rsidP="00A11503">
      <w:pPr>
        <w:rPr>
          <w:rFonts w:ascii="ITC Avant Garde" w:hAnsi="ITC Avant Garde"/>
          <w:lang w:val="es-MX"/>
        </w:rPr>
      </w:pPr>
      <w:r w:rsidRPr="00872052">
        <w:rPr>
          <w:rFonts w:ascii="ITC Avant Garde" w:hAnsi="ITC Avant Garde"/>
          <w:noProof/>
          <w:lang w:val="es-MX" w:eastAsia="es-MX"/>
        </w:rPr>
        <w:drawing>
          <wp:inline distT="0" distB="0" distL="0" distR="0" wp14:anchorId="7595697C" wp14:editId="7FFCA185">
            <wp:extent cx="5399405" cy="226631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9405" cy="2266315"/>
                    </a:xfrm>
                    <a:prstGeom prst="rect">
                      <a:avLst/>
                    </a:prstGeom>
                    <a:noFill/>
                    <a:ln>
                      <a:noFill/>
                    </a:ln>
                  </pic:spPr>
                </pic:pic>
              </a:graphicData>
            </a:graphic>
          </wp:inline>
        </w:drawing>
      </w:r>
    </w:p>
    <w:p w14:paraId="22166B3D" w14:textId="77777777" w:rsidR="00A11503" w:rsidRPr="00E14D8A" w:rsidRDefault="00A11503" w:rsidP="00A11503">
      <w:pPr>
        <w:rPr>
          <w:rFonts w:ascii="ITC Avant Garde" w:hAnsi="ITC Avant Garde"/>
          <w:lang w:val="es-MX"/>
        </w:rPr>
      </w:pPr>
    </w:p>
    <w:p w14:paraId="511CC818" w14:textId="77777777" w:rsidR="00A11503" w:rsidRPr="004C1A96" w:rsidRDefault="00A11503" w:rsidP="00A11503">
      <w:pPr>
        <w:rPr>
          <w:rFonts w:ascii="ITC Avant Garde" w:hAnsi="ITC Avant Garde"/>
          <w:lang w:val="es-MX"/>
        </w:rPr>
      </w:pPr>
      <w:r w:rsidRPr="00E14D8A">
        <w:rPr>
          <w:rFonts w:ascii="ITC Avant Garde" w:hAnsi="ITC Avant Garde"/>
          <w:lang w:val="es-MX"/>
        </w:rPr>
        <w:t>A diferencia de la configuración GPON, bajo la arquitectura P</w:t>
      </w:r>
      <w:r w:rsidR="009D12BF" w:rsidRPr="00E14D8A">
        <w:rPr>
          <w:rFonts w:ascii="ITC Avant Garde" w:hAnsi="ITC Avant Garde"/>
          <w:lang w:val="es-MX"/>
        </w:rPr>
        <w:t xml:space="preserve">unto a </w:t>
      </w:r>
      <w:r w:rsidRPr="00E14D8A">
        <w:rPr>
          <w:rFonts w:ascii="ITC Avant Garde" w:hAnsi="ITC Avant Garde"/>
          <w:lang w:val="es-MX"/>
        </w:rPr>
        <w:t>P</w:t>
      </w:r>
      <w:r w:rsidR="009D12BF" w:rsidRPr="006C39A2">
        <w:rPr>
          <w:rFonts w:ascii="ITC Avant Garde" w:hAnsi="ITC Avant Garde"/>
          <w:lang w:val="es-MX"/>
        </w:rPr>
        <w:t>unto (</w:t>
      </w:r>
      <w:r w:rsidRPr="004C1A96">
        <w:rPr>
          <w:rFonts w:ascii="ITC Avant Garde" w:hAnsi="ITC Avant Garde"/>
          <w:lang w:val="es-MX"/>
        </w:rPr>
        <w:t>PTP</w:t>
      </w:r>
      <w:r w:rsidR="009D12BF" w:rsidRPr="004C1A96">
        <w:rPr>
          <w:rFonts w:ascii="ITC Avant Garde" w:hAnsi="ITC Avant Garde"/>
          <w:lang w:val="es-MX"/>
        </w:rPr>
        <w:t>)</w:t>
      </w:r>
      <w:r w:rsidRPr="004C1A96">
        <w:rPr>
          <w:rFonts w:ascii="ITC Avant Garde" w:hAnsi="ITC Avant Garde"/>
          <w:lang w:val="es-MX"/>
        </w:rPr>
        <w:t>, cada fibra está dedicada a cada premisa individual. Las fibras están contenidas con otras fibras en conductos más grandes y se empalman progresivamente, sin dividirse, del nodo de acceso al cliente final.</w:t>
      </w:r>
    </w:p>
    <w:p w14:paraId="5C6D9B56" w14:textId="77777777" w:rsidR="00E51F42" w:rsidRPr="004C1A96" w:rsidRDefault="00086BFA" w:rsidP="00086BFA">
      <w:pPr>
        <w:rPr>
          <w:rFonts w:ascii="ITC Avant Garde" w:hAnsi="ITC Avant Garde"/>
          <w:lang w:val="es-MX"/>
        </w:rPr>
      </w:pPr>
      <w:r w:rsidRPr="004C1A96">
        <w:rPr>
          <w:rFonts w:ascii="ITC Avant Garde" w:hAnsi="ITC Avant Garde"/>
          <w:lang w:val="es-MX"/>
        </w:rPr>
        <w:t>Como consecuencia, cerca del nodo de acceso, los conductos de distribución y de alimentación son progresivamente más grandes que los conductos requeridos en una configuración GPON.</w:t>
      </w:r>
    </w:p>
    <w:p w14:paraId="0F0FB5FC" w14:textId="5B16C135" w:rsidR="00E51F42" w:rsidRPr="004C1A96" w:rsidRDefault="00E51F42" w:rsidP="00B06FDC">
      <w:pPr>
        <w:rPr>
          <w:rFonts w:ascii="ITC Avant Garde" w:hAnsi="ITC Avant Garde"/>
          <w:lang w:val="es-MX"/>
        </w:rPr>
      </w:pPr>
      <w:r w:rsidRPr="004C1A96">
        <w:rPr>
          <w:rFonts w:ascii="ITC Avant Garde" w:hAnsi="ITC Avant Garde"/>
          <w:lang w:val="es-MX"/>
        </w:rPr>
        <w:t xml:space="preserve">Por último, </w:t>
      </w:r>
      <w:r w:rsidR="00B06FDC" w:rsidRPr="004C1A96">
        <w:rPr>
          <w:rFonts w:ascii="ITC Avant Garde" w:hAnsi="ITC Avant Garde"/>
          <w:lang w:val="es-MX"/>
        </w:rPr>
        <w:t xml:space="preserve">tal y como se ha comentado anteriormente, </w:t>
      </w:r>
      <w:r w:rsidRPr="004C1A96">
        <w:rPr>
          <w:rFonts w:ascii="ITC Avant Garde" w:hAnsi="ITC Avant Garde"/>
          <w:lang w:val="es-MX"/>
        </w:rPr>
        <w:t xml:space="preserve">también se puede ofrecer servicios mejorados </w:t>
      </w:r>
      <w:r w:rsidR="00B06FDC" w:rsidRPr="004C1A96">
        <w:rPr>
          <w:rFonts w:ascii="ITC Avant Garde" w:hAnsi="ITC Avant Garde"/>
          <w:lang w:val="es-MX"/>
        </w:rPr>
        <w:t xml:space="preserve">con respecto al cobre, </w:t>
      </w:r>
      <w:r w:rsidRPr="004C1A96">
        <w:rPr>
          <w:rFonts w:ascii="ITC Avant Garde" w:hAnsi="ITC Avant Garde"/>
          <w:lang w:val="es-MX"/>
        </w:rPr>
        <w:t>mediante la conjunción de ambas tecnologías (cobre y fibra) de forma simultánea. Esta conjunción (</w:t>
      </w:r>
      <w:r w:rsidRPr="004C1A96">
        <w:rPr>
          <w:rFonts w:ascii="ITC Avant Garde" w:hAnsi="ITC Avant Garde"/>
          <w:i/>
          <w:lang w:val="es-MX"/>
        </w:rPr>
        <w:t>Fiber</w:t>
      </w:r>
      <w:r w:rsidR="00AA1232" w:rsidRPr="004C1A96">
        <w:rPr>
          <w:rFonts w:ascii="ITC Avant Garde" w:hAnsi="ITC Avant Garde"/>
          <w:i/>
          <w:lang w:val="es-MX"/>
        </w:rPr>
        <w:t>-</w:t>
      </w:r>
      <w:r w:rsidRPr="004C1A96">
        <w:rPr>
          <w:rFonts w:ascii="ITC Avant Garde" w:hAnsi="ITC Avant Garde"/>
          <w:i/>
          <w:lang w:val="es-MX"/>
        </w:rPr>
        <w:t>To</w:t>
      </w:r>
      <w:r w:rsidR="00AA1232" w:rsidRPr="004C1A96">
        <w:rPr>
          <w:rFonts w:ascii="ITC Avant Garde" w:hAnsi="ITC Avant Garde"/>
          <w:i/>
          <w:lang w:val="es-MX"/>
        </w:rPr>
        <w:t>-</w:t>
      </w:r>
      <w:r w:rsidRPr="004C1A96">
        <w:rPr>
          <w:rFonts w:ascii="ITC Avant Garde" w:hAnsi="ITC Avant Garde"/>
          <w:i/>
          <w:lang w:val="es-MX"/>
        </w:rPr>
        <w:t>The</w:t>
      </w:r>
      <w:r w:rsidR="00AA1232" w:rsidRPr="004C1A96">
        <w:rPr>
          <w:rFonts w:ascii="ITC Avant Garde" w:hAnsi="ITC Avant Garde"/>
          <w:i/>
          <w:lang w:val="es-MX"/>
        </w:rPr>
        <w:t>-</w:t>
      </w:r>
      <w:r w:rsidRPr="004C1A96">
        <w:rPr>
          <w:rFonts w:ascii="ITC Avant Garde" w:hAnsi="ITC Avant Garde"/>
          <w:i/>
          <w:lang w:val="es-MX"/>
        </w:rPr>
        <w:t>Cabinet</w:t>
      </w:r>
      <w:r w:rsidRPr="004C1A96">
        <w:rPr>
          <w:rFonts w:ascii="ITC Avant Garde" w:hAnsi="ITC Avant Garde"/>
          <w:lang w:val="es-MX"/>
        </w:rPr>
        <w:t xml:space="preserve">, FTTC) se consigue mediante el uso de redes de fibra </w:t>
      </w:r>
      <w:r w:rsidR="00AA1232" w:rsidRPr="004C1A96">
        <w:rPr>
          <w:rFonts w:ascii="ITC Avant Garde" w:hAnsi="ITC Avant Garde"/>
          <w:lang w:val="es-MX"/>
        </w:rPr>
        <w:t xml:space="preserve">en la red primaria y de cobre en la red secundaria. </w:t>
      </w:r>
    </w:p>
    <w:p w14:paraId="2674122F" w14:textId="0B1FEA68" w:rsidR="00086BFA" w:rsidRPr="004C1A96" w:rsidRDefault="00086BFA" w:rsidP="00086BFA">
      <w:pPr>
        <w:pStyle w:val="Encadr3"/>
        <w:rPr>
          <w:rFonts w:ascii="ITC Avant Garde" w:hAnsi="ITC Avant Garde"/>
          <w:lang w:val="es-MX"/>
        </w:rPr>
      </w:pPr>
      <w:r w:rsidRPr="004C1A96">
        <w:rPr>
          <w:rFonts w:ascii="ITC Avant Garde" w:hAnsi="ITC Avant Garde"/>
          <w:lang w:val="es-MX"/>
        </w:rPr>
        <w:t>Criterio 14: La</w:t>
      </w:r>
      <w:r w:rsidR="007247A9" w:rsidRPr="004C1A96">
        <w:rPr>
          <w:rFonts w:ascii="ITC Avant Garde" w:hAnsi="ITC Avant Garde"/>
          <w:lang w:val="es-MX"/>
        </w:rPr>
        <w:t>s</w:t>
      </w:r>
      <w:r w:rsidRPr="004C1A96">
        <w:rPr>
          <w:rFonts w:ascii="ITC Avant Garde" w:hAnsi="ITC Avant Garde"/>
          <w:lang w:val="es-MX"/>
        </w:rPr>
        <w:t xml:space="preserve"> tecnología</w:t>
      </w:r>
      <w:r w:rsidR="007247A9" w:rsidRPr="004C1A96">
        <w:rPr>
          <w:rFonts w:ascii="ITC Avant Garde" w:hAnsi="ITC Avant Garde"/>
          <w:lang w:val="es-MX"/>
        </w:rPr>
        <w:t>s</w:t>
      </w:r>
      <w:r w:rsidRPr="004C1A96">
        <w:rPr>
          <w:rFonts w:ascii="ITC Avant Garde" w:hAnsi="ITC Avant Garde"/>
          <w:lang w:val="es-MX"/>
        </w:rPr>
        <w:t xml:space="preserve"> de red de acceso de fibra más apropiada</w:t>
      </w:r>
      <w:r w:rsidR="007247A9" w:rsidRPr="004C1A96">
        <w:rPr>
          <w:rFonts w:ascii="ITC Avant Garde" w:hAnsi="ITC Avant Garde"/>
          <w:lang w:val="es-MX"/>
        </w:rPr>
        <w:t>s</w:t>
      </w:r>
      <w:r w:rsidRPr="004C1A96">
        <w:rPr>
          <w:rFonts w:ascii="ITC Avant Garde" w:hAnsi="ITC Avant Garde"/>
          <w:lang w:val="es-MX"/>
        </w:rPr>
        <w:t xml:space="preserve"> para ser modelada</w:t>
      </w:r>
      <w:r w:rsidR="00491559" w:rsidRPr="004C1A96">
        <w:rPr>
          <w:rFonts w:ascii="ITC Avant Garde" w:hAnsi="ITC Avant Garde"/>
          <w:lang w:val="es-MX"/>
        </w:rPr>
        <w:t>s</w:t>
      </w:r>
      <w:r w:rsidRPr="004C1A96">
        <w:rPr>
          <w:rFonts w:ascii="ITC Avant Garde" w:hAnsi="ITC Avant Garde"/>
          <w:lang w:val="es-MX"/>
        </w:rPr>
        <w:t xml:space="preserve"> de acuerdo con el contexto mexicano </w:t>
      </w:r>
      <w:r w:rsidR="007247A9" w:rsidRPr="004C1A96">
        <w:rPr>
          <w:rFonts w:ascii="ITC Avant Garde" w:hAnsi="ITC Avant Garde"/>
          <w:lang w:val="es-MX"/>
        </w:rPr>
        <w:t xml:space="preserve">son </w:t>
      </w:r>
      <w:r w:rsidRPr="004C1A96">
        <w:rPr>
          <w:rFonts w:ascii="ITC Avant Garde" w:hAnsi="ITC Avant Garde"/>
          <w:lang w:val="es-MX"/>
        </w:rPr>
        <w:t>la</w:t>
      </w:r>
      <w:r w:rsidR="007247A9" w:rsidRPr="004C1A96">
        <w:rPr>
          <w:rFonts w:ascii="ITC Avant Garde" w:hAnsi="ITC Avant Garde"/>
          <w:lang w:val="es-MX"/>
        </w:rPr>
        <w:t>s</w:t>
      </w:r>
      <w:r w:rsidRPr="004C1A96">
        <w:rPr>
          <w:rFonts w:ascii="ITC Avant Garde" w:hAnsi="ITC Avant Garde"/>
          <w:lang w:val="es-MX"/>
        </w:rPr>
        <w:t xml:space="preserve"> tecnología</w:t>
      </w:r>
      <w:r w:rsidR="004C1A96" w:rsidRPr="004C1A96">
        <w:rPr>
          <w:rFonts w:ascii="ITC Avant Garde" w:hAnsi="ITC Avant Garde"/>
          <w:lang w:val="es-MX"/>
        </w:rPr>
        <w:t>s</w:t>
      </w:r>
      <w:r w:rsidRPr="004C1A96">
        <w:rPr>
          <w:rFonts w:ascii="ITC Avant Garde" w:hAnsi="ITC Avant Garde"/>
          <w:lang w:val="es-MX"/>
        </w:rPr>
        <w:t xml:space="preserve"> FTTH GPON</w:t>
      </w:r>
      <w:r w:rsidR="007247A9" w:rsidRPr="004C1A96">
        <w:rPr>
          <w:rFonts w:ascii="ITC Avant Garde" w:hAnsi="ITC Avant Garde"/>
          <w:lang w:val="es-MX"/>
        </w:rPr>
        <w:t xml:space="preserve"> y FTTC</w:t>
      </w:r>
      <w:r w:rsidRPr="004C1A96">
        <w:rPr>
          <w:rFonts w:ascii="ITC Avant Garde" w:hAnsi="ITC Avant Garde"/>
          <w:lang w:val="es-MX"/>
        </w:rPr>
        <w:t>.</w:t>
      </w:r>
    </w:p>
    <w:p w14:paraId="3104EE5A" w14:textId="77777777" w:rsidR="00A11503" w:rsidRPr="0028360F" w:rsidRDefault="00A11503" w:rsidP="0040723E">
      <w:pPr>
        <w:pStyle w:val="Ttulo3"/>
        <w:rPr>
          <w:lang w:val="es-MX"/>
        </w:rPr>
      </w:pPr>
      <w:bookmarkStart w:id="111" w:name="_Toc525665272"/>
      <w:bookmarkStart w:id="112" w:name="_Toc525665651"/>
      <w:bookmarkStart w:id="113" w:name="_Toc141975009"/>
      <w:r w:rsidRPr="0028360F">
        <w:rPr>
          <w:lang w:val="es-MX"/>
        </w:rPr>
        <w:t>Demanda de dimensionamiento</w:t>
      </w:r>
      <w:bookmarkEnd w:id="111"/>
      <w:bookmarkEnd w:id="112"/>
      <w:bookmarkEnd w:id="113"/>
    </w:p>
    <w:p w14:paraId="2538BBFA" w14:textId="77777777" w:rsidR="00A11503" w:rsidRPr="004C1A96" w:rsidRDefault="00A11503" w:rsidP="00A11503">
      <w:pPr>
        <w:rPr>
          <w:rFonts w:ascii="ITC Avant Garde" w:hAnsi="ITC Avant Garde"/>
          <w:lang w:val="es-MX"/>
        </w:rPr>
      </w:pPr>
      <w:r w:rsidRPr="004C1A96">
        <w:rPr>
          <w:rFonts w:ascii="ITC Avant Garde" w:hAnsi="ITC Avant Garde"/>
          <w:lang w:val="es-MX"/>
        </w:rPr>
        <w:t>La determinación de la demanda en la red de acceso se puede capturar de dos maneras para fines de modelado:</w:t>
      </w:r>
    </w:p>
    <w:p w14:paraId="0C903207" w14:textId="77777777" w:rsidR="00A11503" w:rsidRPr="004C1A96" w:rsidRDefault="00A11503" w:rsidP="00556A48">
      <w:pPr>
        <w:pStyle w:val="Prrafodelista"/>
        <w:numPr>
          <w:ilvl w:val="0"/>
          <w:numId w:val="19"/>
        </w:numPr>
        <w:rPr>
          <w:rFonts w:ascii="ITC Avant Garde" w:hAnsi="ITC Avant Garde"/>
          <w:lang w:val="es-MX"/>
        </w:rPr>
      </w:pPr>
      <w:r w:rsidRPr="00E14D8A">
        <w:rPr>
          <w:rFonts w:ascii="ITC Avant Garde" w:hAnsi="ITC Avant Garde"/>
          <w:lang w:val="es-MX"/>
        </w:rPr>
        <w:lastRenderedPageBreak/>
        <w:t xml:space="preserve">Determinar la demanda para el dimensionamiento de la red de acceso, ya que la metodología </w:t>
      </w:r>
      <w:r w:rsidR="00AC4C26" w:rsidRPr="00E14D8A">
        <w:rPr>
          <w:rFonts w:ascii="ITC Avant Garde" w:hAnsi="ITC Avant Garde"/>
          <w:lang w:val="es-MX"/>
        </w:rPr>
        <w:t xml:space="preserve">de CIPLP </w:t>
      </w:r>
      <w:r w:rsidRPr="00E14D8A">
        <w:rPr>
          <w:rFonts w:ascii="ITC Avant Garde" w:hAnsi="ITC Avant Garde"/>
          <w:lang w:val="es-MX"/>
        </w:rPr>
        <w:t>refleja los costos eficientes promedio en que incurriría un operador al desplegar una red nueva dimensionada para un nivel dado de demanda</w:t>
      </w:r>
      <w:r w:rsidR="002E396D" w:rsidRPr="004C1A96">
        <w:rPr>
          <w:rFonts w:ascii="ITC Avant Garde" w:hAnsi="ITC Avant Garde"/>
          <w:lang w:val="es-MX"/>
        </w:rPr>
        <w:t xml:space="preserve"> (demanda pasiva)</w:t>
      </w:r>
      <w:r w:rsidRPr="004C1A96">
        <w:rPr>
          <w:rFonts w:ascii="ITC Avant Garde" w:hAnsi="ITC Avant Garde"/>
          <w:lang w:val="es-MX"/>
        </w:rPr>
        <w:t>;</w:t>
      </w:r>
    </w:p>
    <w:p w14:paraId="12DBDF9B" w14:textId="77777777" w:rsidR="00A11503" w:rsidRPr="004C1A96" w:rsidRDefault="00A11503" w:rsidP="00556A48">
      <w:pPr>
        <w:pStyle w:val="Prrafodelista"/>
        <w:numPr>
          <w:ilvl w:val="0"/>
          <w:numId w:val="19"/>
        </w:numPr>
        <w:rPr>
          <w:rFonts w:ascii="ITC Avant Garde" w:hAnsi="ITC Avant Garde"/>
          <w:lang w:val="es-MX"/>
        </w:rPr>
      </w:pPr>
      <w:r w:rsidRPr="004C1A96">
        <w:rPr>
          <w:rFonts w:ascii="ITC Avant Garde" w:hAnsi="ITC Avant Garde"/>
          <w:lang w:val="es-MX"/>
        </w:rPr>
        <w:t>Determinar la demanda que usa efectivamente la red de acceso y en la que se recuperan los costos (es decir, la demanda utilizada para derivar los costos unitarios</w:t>
      </w:r>
      <w:r w:rsidR="002E396D" w:rsidRPr="004C1A96">
        <w:rPr>
          <w:rFonts w:ascii="ITC Avant Garde" w:hAnsi="ITC Avant Garde"/>
          <w:lang w:val="es-MX"/>
        </w:rPr>
        <w:t>, o demanda activa</w:t>
      </w:r>
      <w:r w:rsidRPr="004C1A96">
        <w:rPr>
          <w:rFonts w:ascii="ITC Avant Garde" w:hAnsi="ITC Avant Garde"/>
          <w:lang w:val="es-MX"/>
        </w:rPr>
        <w:t>);</w:t>
      </w:r>
    </w:p>
    <w:p w14:paraId="181E0578" w14:textId="3E1EE5B8" w:rsidR="00A11503" w:rsidRPr="006C39A2" w:rsidRDefault="00A11503" w:rsidP="00A11503">
      <w:pPr>
        <w:rPr>
          <w:rFonts w:ascii="ITC Avant Garde" w:hAnsi="ITC Avant Garde"/>
          <w:lang w:val="es-MX"/>
        </w:rPr>
      </w:pPr>
      <w:r w:rsidRPr="004C1A96">
        <w:rPr>
          <w:rFonts w:ascii="ITC Avant Garde" w:hAnsi="ITC Avant Garde"/>
          <w:lang w:val="es-MX"/>
        </w:rPr>
        <w:t>Una red de acceso está construida para cubrir un área determinada sin tener en cuenta la cantidad real de conexiones activas (suscriptores</w:t>
      </w:r>
      <w:r w:rsidR="00875932" w:rsidRPr="004C1A96">
        <w:rPr>
          <w:rFonts w:ascii="ITC Avant Garde" w:hAnsi="ITC Avant Garde"/>
          <w:lang w:val="es-MX"/>
        </w:rPr>
        <w:t>/</w:t>
      </w:r>
      <w:r w:rsidRPr="004C1A96">
        <w:rPr>
          <w:rFonts w:ascii="ITC Avant Garde" w:hAnsi="ITC Avant Garde"/>
          <w:lang w:val="es-MX"/>
        </w:rPr>
        <w:t>líneas</w:t>
      </w:r>
      <w:r w:rsidR="00875932" w:rsidRPr="004C1A96">
        <w:rPr>
          <w:rFonts w:ascii="ITC Avant Garde" w:hAnsi="ITC Avant Garde"/>
          <w:lang w:val="es-MX"/>
        </w:rPr>
        <w:t>/</w:t>
      </w:r>
      <w:r w:rsidRPr="004C1A96">
        <w:rPr>
          <w:rFonts w:ascii="ITC Avant Garde" w:hAnsi="ITC Avant Garde"/>
          <w:lang w:val="es-MX"/>
        </w:rPr>
        <w:t>puertos) en el área, mientras que las conexiones activas son las que recuperan los costos</w:t>
      </w:r>
      <w:r w:rsidR="002213F6">
        <w:rPr>
          <w:rStyle w:val="Refdenotaalpie"/>
          <w:rFonts w:ascii="ITC Avant Garde" w:hAnsi="ITC Avant Garde"/>
          <w:lang w:val="es-MX"/>
        </w:rPr>
        <w:footnoteReference w:id="25"/>
      </w:r>
      <w:r w:rsidRPr="004C1A96">
        <w:rPr>
          <w:rFonts w:ascii="ITC Avant Garde" w:hAnsi="ITC Avant Garde"/>
          <w:lang w:val="es-MX"/>
        </w:rPr>
        <w:t xml:space="preserve">. Para las redes de acceso, la segunda forma de demanda </w:t>
      </w:r>
      <w:r w:rsidR="002E396D" w:rsidRPr="00E14D8A">
        <w:rPr>
          <w:rFonts w:ascii="ITC Avant Garde" w:hAnsi="ITC Avant Garde"/>
          <w:lang w:val="es-MX"/>
        </w:rPr>
        <w:t xml:space="preserve">(demanda activa) </w:t>
      </w:r>
      <w:r w:rsidRPr="00E14D8A">
        <w:rPr>
          <w:rFonts w:ascii="ITC Avant Garde" w:hAnsi="ITC Avant Garde"/>
          <w:lang w:val="es-MX"/>
        </w:rPr>
        <w:t xml:space="preserve">tiene un impacto limitado en el dimensionamiento de la red. Sin embargo, se requeriría el nivel de demanda </w:t>
      </w:r>
      <w:r w:rsidR="002E396D" w:rsidRPr="00E14D8A">
        <w:rPr>
          <w:rFonts w:ascii="ITC Avant Garde" w:hAnsi="ITC Avant Garde"/>
          <w:lang w:val="es-MX"/>
        </w:rPr>
        <w:t xml:space="preserve">activa </w:t>
      </w:r>
      <w:r w:rsidRPr="006C39A2">
        <w:rPr>
          <w:rFonts w:ascii="ITC Avant Garde" w:hAnsi="ITC Avant Garde"/>
          <w:lang w:val="es-MX"/>
        </w:rPr>
        <w:t>para derivar los costos unitarios. Es por eso que es importante diferenciar estos dos tipos de demanda al desarrollar un modelo de costo de red de acceso.</w:t>
      </w:r>
    </w:p>
    <w:p w14:paraId="52C47CFF" w14:textId="77777777" w:rsidR="00A11503" w:rsidRPr="004C1A96" w:rsidRDefault="00A11503" w:rsidP="005C2495">
      <w:pPr>
        <w:rPr>
          <w:rFonts w:ascii="ITC Avant Garde" w:hAnsi="ITC Avant Garde"/>
          <w:lang w:val="es-MX"/>
        </w:rPr>
      </w:pPr>
      <w:r w:rsidRPr="004C1A96">
        <w:rPr>
          <w:rFonts w:ascii="ITC Avant Garde" w:hAnsi="ITC Avant Garde"/>
          <w:lang w:val="es-MX"/>
        </w:rPr>
        <w:t xml:space="preserve">Por lo tanto, la demanda del dimensionamiento debe ser coherente con la huella de la red </w:t>
      </w:r>
      <w:r w:rsidR="005C2495" w:rsidRPr="004C1A96">
        <w:rPr>
          <w:rFonts w:ascii="ITC Avant Garde" w:hAnsi="ITC Avant Garde"/>
          <w:lang w:val="es-MX"/>
        </w:rPr>
        <w:t>y</w:t>
      </w:r>
      <w:r w:rsidRPr="004C1A96">
        <w:rPr>
          <w:rFonts w:ascii="ITC Avant Garde" w:hAnsi="ITC Avant Garde"/>
          <w:lang w:val="es-MX"/>
        </w:rPr>
        <w:t xml:space="preserve"> consiste en todos los edificios y locales relevantes en México que se han establecido sobre la huella del operador modelado:</w:t>
      </w:r>
    </w:p>
    <w:p w14:paraId="56FC2983" w14:textId="77777777" w:rsidR="00A11503" w:rsidRPr="004C1A96" w:rsidRDefault="002149BD" w:rsidP="002E396D">
      <w:pPr>
        <w:pStyle w:val="Listaconvietas2"/>
        <w:rPr>
          <w:rFonts w:ascii="ITC Avant Garde" w:hAnsi="ITC Avant Garde"/>
          <w:lang w:val="es-MX"/>
        </w:rPr>
      </w:pPr>
      <w:r w:rsidRPr="004C1A96">
        <w:rPr>
          <w:rFonts w:ascii="ITC Avant Garde" w:hAnsi="ITC Avant Garde"/>
          <w:lang w:val="es-MX"/>
        </w:rPr>
        <w:t>L</w:t>
      </w:r>
      <w:r w:rsidR="00A11503" w:rsidRPr="004C1A96">
        <w:rPr>
          <w:rFonts w:ascii="ITC Avant Garde" w:hAnsi="ITC Avant Garde"/>
          <w:lang w:val="es-MX"/>
        </w:rPr>
        <w:t>ocales residenciales</w:t>
      </w:r>
      <w:r w:rsidR="002E396D" w:rsidRPr="004C1A96">
        <w:rPr>
          <w:rFonts w:ascii="ITC Avant Garde" w:hAnsi="ITC Avant Garde"/>
          <w:lang w:val="es-MX"/>
        </w:rPr>
        <w:t>,</w:t>
      </w:r>
      <w:r w:rsidR="00A11503" w:rsidRPr="004C1A96">
        <w:rPr>
          <w:rFonts w:ascii="ITC Avant Garde" w:hAnsi="ITC Avant Garde"/>
          <w:lang w:val="es-MX"/>
        </w:rPr>
        <w:t xml:space="preserve"> donde la gente vive </w:t>
      </w:r>
      <w:r w:rsidR="004B276B" w:rsidRPr="004C1A96">
        <w:rPr>
          <w:rFonts w:ascii="ITC Avant Garde" w:hAnsi="ITC Avant Garde"/>
          <w:lang w:val="es-MX"/>
        </w:rPr>
        <w:t>permanentemente,</w:t>
      </w:r>
      <w:r w:rsidR="00A11503" w:rsidRPr="004C1A96">
        <w:rPr>
          <w:rFonts w:ascii="ITC Avant Garde" w:hAnsi="ITC Avant Garde"/>
          <w:lang w:val="es-MX"/>
        </w:rPr>
        <w:t xml:space="preserve"> así como hogares secundarios;</w:t>
      </w:r>
    </w:p>
    <w:p w14:paraId="22D16F7E" w14:textId="77777777" w:rsidR="00A11503" w:rsidRPr="004C1A96" w:rsidRDefault="002149BD" w:rsidP="002E396D">
      <w:pPr>
        <w:pStyle w:val="Listaconvietas2"/>
        <w:rPr>
          <w:rFonts w:ascii="ITC Avant Garde" w:hAnsi="ITC Avant Garde"/>
          <w:lang w:val="es-MX"/>
        </w:rPr>
      </w:pPr>
      <w:r w:rsidRPr="004C1A96">
        <w:rPr>
          <w:rFonts w:ascii="ITC Avant Garde" w:hAnsi="ITC Avant Garde"/>
          <w:lang w:val="es-MX"/>
        </w:rPr>
        <w:t>L</w:t>
      </w:r>
      <w:r w:rsidR="00A11503" w:rsidRPr="004C1A96">
        <w:rPr>
          <w:rFonts w:ascii="ITC Avant Garde" w:hAnsi="ITC Avant Garde"/>
          <w:lang w:val="es-MX"/>
        </w:rPr>
        <w:t>ocales comerciales</w:t>
      </w:r>
      <w:r w:rsidR="002E396D" w:rsidRPr="004C1A96">
        <w:rPr>
          <w:rFonts w:ascii="ITC Avant Garde" w:hAnsi="ITC Avant Garde"/>
          <w:lang w:val="es-MX"/>
        </w:rPr>
        <w:t>,</w:t>
      </w:r>
      <w:r w:rsidR="00A11503" w:rsidRPr="004C1A96">
        <w:rPr>
          <w:rFonts w:ascii="ITC Avant Garde" w:hAnsi="ITC Avant Garde"/>
          <w:lang w:val="es-MX"/>
        </w:rPr>
        <w:t xml:space="preserve"> donde se ubican pequeñas empresas y que adquieren productos de mercado masivo similares a los que usan los clientes residenciales;</w:t>
      </w:r>
    </w:p>
    <w:p w14:paraId="57AEF3A3" w14:textId="77777777" w:rsidR="00A11503" w:rsidRPr="004C1A96" w:rsidRDefault="002E396D" w:rsidP="002E396D">
      <w:pPr>
        <w:pStyle w:val="Listaconvietas2"/>
        <w:rPr>
          <w:rFonts w:ascii="ITC Avant Garde" w:hAnsi="ITC Avant Garde"/>
          <w:lang w:val="es-MX"/>
        </w:rPr>
      </w:pPr>
      <w:r w:rsidRPr="004C1A96">
        <w:rPr>
          <w:rFonts w:ascii="ITC Avant Garde" w:hAnsi="ITC Avant Garde"/>
          <w:lang w:val="es-MX"/>
        </w:rPr>
        <w:t>E</w:t>
      </w:r>
      <w:r w:rsidR="00A11503" w:rsidRPr="004C1A96">
        <w:rPr>
          <w:rFonts w:ascii="ITC Avant Garde" w:hAnsi="ITC Avant Garde"/>
          <w:lang w:val="es-MX"/>
        </w:rPr>
        <w:t>dificios públicos;</w:t>
      </w:r>
    </w:p>
    <w:p w14:paraId="6DC59D43" w14:textId="77777777" w:rsidR="00A11503" w:rsidRPr="004C1A96" w:rsidRDefault="00A11503" w:rsidP="002E396D">
      <w:pPr>
        <w:pStyle w:val="Listaconvietas2"/>
        <w:rPr>
          <w:rFonts w:ascii="ITC Avant Garde" w:hAnsi="ITC Avant Garde"/>
          <w:lang w:val="es-MX"/>
        </w:rPr>
      </w:pPr>
      <w:r w:rsidRPr="004C1A96">
        <w:rPr>
          <w:rFonts w:ascii="ITC Avant Garde" w:hAnsi="ITC Avant Garde"/>
          <w:lang w:val="es-MX"/>
        </w:rPr>
        <w:t>Edificios comerciales;</w:t>
      </w:r>
    </w:p>
    <w:p w14:paraId="512F0681" w14:textId="77777777" w:rsidR="00A11503" w:rsidRPr="004C1A96" w:rsidRDefault="00A11503" w:rsidP="002E396D">
      <w:pPr>
        <w:pStyle w:val="Listaconvietas2"/>
        <w:rPr>
          <w:rFonts w:ascii="ITC Avant Garde" w:hAnsi="ITC Avant Garde"/>
          <w:lang w:val="es-MX"/>
        </w:rPr>
      </w:pPr>
      <w:r w:rsidRPr="004C1A96">
        <w:rPr>
          <w:rFonts w:ascii="ITC Avant Garde" w:hAnsi="ITC Avant Garde"/>
          <w:lang w:val="es-MX"/>
        </w:rPr>
        <w:t>Edificios industriales</w:t>
      </w:r>
      <w:r w:rsidR="00570745" w:rsidRPr="004C1A96">
        <w:rPr>
          <w:rFonts w:ascii="ITC Avant Garde" w:hAnsi="ITC Avant Garde"/>
          <w:lang w:val="es-MX"/>
        </w:rPr>
        <w:t>.</w:t>
      </w:r>
    </w:p>
    <w:p w14:paraId="141963C0" w14:textId="77777777" w:rsidR="00A11503" w:rsidRPr="00FF2101" w:rsidRDefault="00A11503" w:rsidP="0040723E">
      <w:pPr>
        <w:pStyle w:val="Ttulo3"/>
        <w:rPr>
          <w:lang w:val="es-ES"/>
        </w:rPr>
      </w:pPr>
      <w:bookmarkStart w:id="114" w:name="_Toc525665273"/>
      <w:bookmarkStart w:id="115" w:name="_Toc525665652"/>
      <w:bookmarkStart w:id="116" w:name="_Toc141975010"/>
      <w:r w:rsidRPr="00FF2101">
        <w:rPr>
          <w:lang w:val="es-ES"/>
        </w:rPr>
        <w:t>Reglas de dimensionamiento y diseño de red</w:t>
      </w:r>
      <w:bookmarkEnd w:id="114"/>
      <w:bookmarkEnd w:id="115"/>
      <w:bookmarkEnd w:id="116"/>
    </w:p>
    <w:p w14:paraId="2D146AE8" w14:textId="77777777" w:rsidR="00A374A9" w:rsidRPr="006C39A2" w:rsidRDefault="00A374A9" w:rsidP="00A374A9">
      <w:pPr>
        <w:rPr>
          <w:rFonts w:ascii="ITC Avant Garde" w:hAnsi="ITC Avant Garde"/>
          <w:lang w:val="es-MX"/>
        </w:rPr>
      </w:pPr>
      <w:r w:rsidRPr="004C1A96">
        <w:rPr>
          <w:rFonts w:ascii="ITC Avant Garde" w:hAnsi="ITC Avant Garde"/>
          <w:lang w:val="es-MX"/>
        </w:rPr>
        <w:t xml:space="preserve">Las reglas de dimensionamiento para la red de acceso se </w:t>
      </w:r>
      <w:r w:rsidR="002E396D" w:rsidRPr="004C1A96">
        <w:rPr>
          <w:rFonts w:ascii="ITC Avant Garde" w:hAnsi="ITC Avant Garde"/>
          <w:lang w:val="es-MX"/>
        </w:rPr>
        <w:t>detallan</w:t>
      </w:r>
      <w:r w:rsidRPr="004C1A96">
        <w:rPr>
          <w:rFonts w:ascii="ITC Avant Garde" w:hAnsi="ITC Avant Garde"/>
          <w:lang w:val="es-MX"/>
        </w:rPr>
        <w:t xml:space="preserve"> en la </w:t>
      </w:r>
      <w:r w:rsidR="002E396D" w:rsidRPr="004C1A96">
        <w:rPr>
          <w:rFonts w:ascii="ITC Avant Garde" w:hAnsi="ITC Avant Garde"/>
          <w:lang w:val="es-MX"/>
        </w:rPr>
        <w:t>sección 3</w:t>
      </w:r>
      <w:r w:rsidRPr="00E14D8A">
        <w:rPr>
          <w:rFonts w:ascii="ITC Avant Garde" w:hAnsi="ITC Avant Garde"/>
          <w:lang w:val="es-MX"/>
        </w:rPr>
        <w:t xml:space="preserve">, de forma coherente con los datos recopilados del </w:t>
      </w:r>
      <w:r w:rsidR="005C2495" w:rsidRPr="00E14D8A">
        <w:rPr>
          <w:rFonts w:ascii="ITC Avant Garde" w:hAnsi="ITC Avant Garde"/>
          <w:lang w:val="es-MX"/>
        </w:rPr>
        <w:t>AEP</w:t>
      </w:r>
      <w:r w:rsidRPr="00E14D8A">
        <w:rPr>
          <w:rFonts w:ascii="ITC Avant Garde" w:hAnsi="ITC Avant Garde"/>
          <w:lang w:val="es-MX"/>
        </w:rPr>
        <w:t xml:space="preserve"> y </w:t>
      </w:r>
      <w:r w:rsidR="002E396D" w:rsidRPr="00E14D8A">
        <w:rPr>
          <w:rFonts w:ascii="ITC Avant Garde" w:hAnsi="ITC Avant Garde"/>
          <w:lang w:val="es-MX"/>
        </w:rPr>
        <w:t>con</w:t>
      </w:r>
      <w:r w:rsidRPr="00E14D8A">
        <w:rPr>
          <w:rFonts w:ascii="ITC Avant Garde" w:hAnsi="ITC Avant Garde"/>
          <w:lang w:val="es-MX"/>
        </w:rPr>
        <w:t xml:space="preserve"> las mejores prácticas reales. Los principios generales para el diseño de la red se definen </w:t>
      </w:r>
      <w:r w:rsidR="002E396D" w:rsidRPr="006C39A2">
        <w:rPr>
          <w:rFonts w:ascii="ITC Avant Garde" w:hAnsi="ITC Avant Garde"/>
          <w:lang w:val="es-MX"/>
        </w:rPr>
        <w:t>a continuación</w:t>
      </w:r>
      <w:r w:rsidRPr="006C39A2">
        <w:rPr>
          <w:rFonts w:ascii="ITC Avant Garde" w:hAnsi="ITC Avant Garde"/>
          <w:lang w:val="es-MX"/>
        </w:rPr>
        <w:t>.</w:t>
      </w:r>
    </w:p>
    <w:p w14:paraId="197A1E2E" w14:textId="77777777" w:rsidR="00A374A9" w:rsidRPr="008F42FC" w:rsidRDefault="00A374A9" w:rsidP="003C224B">
      <w:pPr>
        <w:pStyle w:val="Ttulo4"/>
        <w:rPr>
          <w:lang w:val="es-MX"/>
        </w:rPr>
      </w:pPr>
      <w:bookmarkStart w:id="117" w:name="_Toc525665274"/>
      <w:bookmarkStart w:id="118" w:name="_Toc525665653"/>
      <w:bookmarkStart w:id="119" w:name="_Toc141975011"/>
      <w:r w:rsidRPr="008F42FC">
        <w:rPr>
          <w:lang w:val="es-MX"/>
        </w:rPr>
        <w:t>Diseño de red</w:t>
      </w:r>
      <w:bookmarkEnd w:id="117"/>
      <w:bookmarkEnd w:id="118"/>
      <w:bookmarkEnd w:id="119"/>
    </w:p>
    <w:p w14:paraId="7CE47E55" w14:textId="77777777" w:rsidR="002E396D" w:rsidRPr="004C1A96" w:rsidRDefault="002E396D" w:rsidP="00A374A9">
      <w:pPr>
        <w:rPr>
          <w:rFonts w:ascii="ITC Avant Garde" w:hAnsi="ITC Avant Garde"/>
          <w:lang w:val="es-MX"/>
        </w:rPr>
      </w:pPr>
      <w:r w:rsidRPr="004C1A96">
        <w:rPr>
          <w:rFonts w:ascii="ITC Avant Garde" w:hAnsi="ITC Avant Garde"/>
          <w:lang w:val="es-MX"/>
        </w:rPr>
        <w:t>E</w:t>
      </w:r>
      <w:r w:rsidR="00A374A9" w:rsidRPr="004C1A96">
        <w:rPr>
          <w:rFonts w:ascii="ITC Avant Garde" w:hAnsi="ITC Avant Garde"/>
          <w:lang w:val="es-MX"/>
        </w:rPr>
        <w:t>l proceso de dimensionamiento para las categorías de costos directos de la red</w:t>
      </w:r>
      <w:r w:rsidRPr="004C1A96">
        <w:rPr>
          <w:rFonts w:ascii="ITC Avant Garde" w:hAnsi="ITC Avant Garde"/>
          <w:lang w:val="es-MX"/>
        </w:rPr>
        <w:t xml:space="preserve"> </w:t>
      </w:r>
      <w:r w:rsidR="00F2544C" w:rsidRPr="004C1A96">
        <w:rPr>
          <w:rFonts w:ascii="ITC Avant Garde" w:hAnsi="ITC Avant Garde"/>
          <w:lang w:val="es-MX"/>
        </w:rPr>
        <w:t>está</w:t>
      </w:r>
      <w:r w:rsidRPr="00E14D8A">
        <w:rPr>
          <w:rFonts w:ascii="ITC Avant Garde" w:hAnsi="ITC Avant Garde"/>
          <w:lang w:val="es-MX"/>
        </w:rPr>
        <w:t xml:space="preserve"> basado en reglas de </w:t>
      </w:r>
      <w:r w:rsidR="00F2544C" w:rsidRPr="00E14D8A">
        <w:rPr>
          <w:rFonts w:ascii="ITC Avant Garde" w:hAnsi="ITC Avant Garde"/>
          <w:lang w:val="es-MX"/>
        </w:rPr>
        <w:t>ingeniería</w:t>
      </w:r>
      <w:r w:rsidR="004C5CB3" w:rsidRPr="00E14D8A">
        <w:rPr>
          <w:rFonts w:ascii="ITC Avant Garde" w:hAnsi="ITC Avant Garde"/>
          <w:lang w:val="es-MX"/>
        </w:rPr>
        <w:t xml:space="preserve">, los cuales </w:t>
      </w:r>
      <w:r w:rsidR="00A374A9" w:rsidRPr="00E14D8A">
        <w:rPr>
          <w:rFonts w:ascii="ITC Avant Garde" w:hAnsi="ITC Avant Garde"/>
          <w:lang w:val="es-MX"/>
        </w:rPr>
        <w:t>se establece</w:t>
      </w:r>
      <w:r w:rsidRPr="00E14D8A">
        <w:rPr>
          <w:rFonts w:ascii="ITC Avant Garde" w:hAnsi="ITC Avant Garde"/>
          <w:lang w:val="es-MX"/>
        </w:rPr>
        <w:t>n</w:t>
      </w:r>
      <w:r w:rsidR="00A374A9" w:rsidRPr="00E14D8A">
        <w:rPr>
          <w:rFonts w:ascii="ITC Avant Garde" w:hAnsi="ITC Avant Garde"/>
          <w:lang w:val="es-MX"/>
        </w:rPr>
        <w:t xml:space="preserve"> de acuerdo con el principio de </w:t>
      </w:r>
      <w:r w:rsidR="005209E2" w:rsidRPr="004C1A96">
        <w:rPr>
          <w:rFonts w:ascii="ITC Avant Garde" w:hAnsi="ITC Avant Garde"/>
          <w:lang w:val="es-MX"/>
        </w:rPr>
        <w:t>diseño de una</w:t>
      </w:r>
      <w:r w:rsidR="00A374A9" w:rsidRPr="004C1A96">
        <w:rPr>
          <w:rFonts w:ascii="ITC Avant Garde" w:hAnsi="ITC Avant Garde"/>
          <w:lang w:val="es-MX"/>
        </w:rPr>
        <w:t xml:space="preserve"> red moderna eficiente </w:t>
      </w:r>
      <w:r w:rsidR="005209E2" w:rsidRPr="004C1A96">
        <w:rPr>
          <w:rFonts w:ascii="ITC Avant Garde" w:hAnsi="ITC Avant Garde"/>
          <w:lang w:val="es-MX"/>
        </w:rPr>
        <w:t>a través de la cual se ofrezca</w:t>
      </w:r>
      <w:r w:rsidR="00A374A9" w:rsidRPr="004C1A96">
        <w:rPr>
          <w:rFonts w:ascii="ITC Avant Garde" w:hAnsi="ITC Avant Garde"/>
          <w:lang w:val="es-MX"/>
        </w:rPr>
        <w:t xml:space="preserve"> </w:t>
      </w:r>
      <w:r w:rsidR="005209E2" w:rsidRPr="004C1A96">
        <w:rPr>
          <w:rFonts w:ascii="ITC Avant Garde" w:hAnsi="ITC Avant Garde"/>
          <w:lang w:val="es-MX"/>
        </w:rPr>
        <w:t xml:space="preserve">un </w:t>
      </w:r>
      <w:r w:rsidR="00A374A9" w:rsidRPr="004C1A96">
        <w:rPr>
          <w:rFonts w:ascii="ITC Avant Garde" w:hAnsi="ITC Avant Garde"/>
          <w:lang w:val="es-MX"/>
        </w:rPr>
        <w:t xml:space="preserve">nivel de calidad de servicio buscado. </w:t>
      </w:r>
    </w:p>
    <w:p w14:paraId="64CF88D9" w14:textId="77777777" w:rsidR="00A374A9" w:rsidRPr="004C1A96" w:rsidRDefault="00A374A9" w:rsidP="00A374A9">
      <w:pPr>
        <w:rPr>
          <w:rFonts w:ascii="ITC Avant Garde" w:hAnsi="ITC Avant Garde"/>
          <w:lang w:val="es-MX"/>
        </w:rPr>
      </w:pPr>
      <w:r w:rsidRPr="004C1A96">
        <w:rPr>
          <w:rFonts w:ascii="ITC Avant Garde" w:hAnsi="ITC Avant Garde"/>
          <w:lang w:val="es-MX"/>
        </w:rPr>
        <w:lastRenderedPageBreak/>
        <w:t xml:space="preserve">Sin embargo, estas reglas de ingeniería deberían ser provistas por el </w:t>
      </w:r>
      <w:r w:rsidR="002E396D" w:rsidRPr="004C1A96">
        <w:rPr>
          <w:rFonts w:ascii="ITC Avant Garde" w:hAnsi="ITC Avant Garde"/>
          <w:lang w:val="es-MX"/>
        </w:rPr>
        <w:t>AE</w:t>
      </w:r>
      <w:r w:rsidRPr="004C1A96">
        <w:rPr>
          <w:rFonts w:ascii="ITC Avant Garde" w:hAnsi="ITC Avant Garde"/>
          <w:lang w:val="es-MX"/>
        </w:rPr>
        <w:t xml:space="preserve">P y otras partes interesadas que desplieguen redes de fibra, de acuerdo con la solicitud de datos, como punto de partida, y para salvaguardar que </w:t>
      </w:r>
      <w:r w:rsidR="002E396D" w:rsidRPr="004C1A96">
        <w:rPr>
          <w:rFonts w:ascii="ITC Avant Garde" w:hAnsi="ITC Avant Garde"/>
          <w:lang w:val="es-MX"/>
        </w:rPr>
        <w:t>el modelo</w:t>
      </w:r>
      <w:r w:rsidRPr="004C1A96">
        <w:rPr>
          <w:rFonts w:ascii="ITC Avant Garde" w:hAnsi="ITC Avant Garde"/>
          <w:lang w:val="es-MX"/>
        </w:rPr>
        <w:t xml:space="preserve"> refleje el contexto mexicano. De hecho, existen múltiples formas "eficientes" de construir una red, dependiendo de las especificidades reglamentarias locales y del nivel de calidad del servicio que se desea alcanzar: esto implica que las reglas de diseño para las técnicas de implementación, sistemas y arquitectura de red deben basarse primero en las aportaciones mexicanas.</w:t>
      </w:r>
    </w:p>
    <w:p w14:paraId="08C1E459" w14:textId="77777777" w:rsidR="00A374A9" w:rsidRPr="004C1A96" w:rsidRDefault="00A374A9" w:rsidP="00A374A9">
      <w:pPr>
        <w:rPr>
          <w:rFonts w:ascii="ITC Avant Garde" w:hAnsi="ITC Avant Garde"/>
          <w:lang w:val="es-MX"/>
        </w:rPr>
      </w:pPr>
      <w:r w:rsidRPr="004C1A96">
        <w:rPr>
          <w:rFonts w:ascii="ITC Avant Garde" w:hAnsi="ITC Avant Garde"/>
          <w:lang w:val="es-MX"/>
        </w:rPr>
        <w:t>Tales reglas de ingeniería son, por ejemplo:</w:t>
      </w:r>
    </w:p>
    <w:p w14:paraId="1161D2F2" w14:textId="77777777" w:rsidR="00A374A9" w:rsidRPr="004C1A96" w:rsidRDefault="002149BD" w:rsidP="005C04AA">
      <w:pPr>
        <w:pStyle w:val="Listaconvietas2"/>
        <w:rPr>
          <w:rFonts w:ascii="ITC Avant Garde" w:hAnsi="ITC Avant Garde"/>
          <w:lang w:val="es-MX"/>
        </w:rPr>
      </w:pPr>
      <w:r w:rsidRPr="004C1A96">
        <w:rPr>
          <w:rFonts w:ascii="ITC Avant Garde" w:hAnsi="ITC Avant Garde"/>
          <w:lang w:val="es-MX"/>
        </w:rPr>
        <w:t>E</w:t>
      </w:r>
      <w:r w:rsidR="00A374A9" w:rsidRPr="004C1A96">
        <w:rPr>
          <w:rFonts w:ascii="ITC Avant Garde" w:hAnsi="ITC Avant Garde"/>
          <w:lang w:val="es-MX"/>
        </w:rPr>
        <w:t>l número de fibras por vivienda en cada nivel de red,</w:t>
      </w:r>
    </w:p>
    <w:p w14:paraId="70E6529F" w14:textId="77777777" w:rsidR="00A374A9" w:rsidRPr="004C1A96" w:rsidRDefault="002149BD" w:rsidP="005C04AA">
      <w:pPr>
        <w:pStyle w:val="Listaconvietas2"/>
        <w:rPr>
          <w:rFonts w:ascii="ITC Avant Garde" w:hAnsi="ITC Avant Garde"/>
          <w:lang w:val="es-MX"/>
        </w:rPr>
      </w:pPr>
      <w:r w:rsidRPr="004C1A96">
        <w:rPr>
          <w:rFonts w:ascii="ITC Avant Garde" w:hAnsi="ITC Avant Garde"/>
          <w:lang w:val="es-MX"/>
        </w:rPr>
        <w:t>L</w:t>
      </w:r>
      <w:r w:rsidR="00A374A9" w:rsidRPr="004C1A96">
        <w:rPr>
          <w:rFonts w:ascii="ITC Avant Garde" w:hAnsi="ITC Avant Garde"/>
          <w:lang w:val="es-MX"/>
        </w:rPr>
        <w:t>a distancia entre pozos de registro,</w:t>
      </w:r>
      <w:r w:rsidR="005C04AA" w:rsidRPr="004C1A96">
        <w:rPr>
          <w:rFonts w:ascii="ITC Avant Garde" w:hAnsi="ITC Avant Garde"/>
          <w:lang w:val="es-MX"/>
        </w:rPr>
        <w:t xml:space="preserve"> entre postes, entre cierres de empalme;</w:t>
      </w:r>
    </w:p>
    <w:p w14:paraId="4EFC8D41" w14:textId="77777777" w:rsidR="005C04AA" w:rsidRPr="004C1A96" w:rsidRDefault="002149BD" w:rsidP="005C04AA">
      <w:pPr>
        <w:pStyle w:val="Listaconvietas2"/>
        <w:rPr>
          <w:rFonts w:ascii="ITC Avant Garde" w:hAnsi="ITC Avant Garde"/>
          <w:lang w:val="es-MX"/>
        </w:rPr>
      </w:pPr>
      <w:r w:rsidRPr="004C1A96">
        <w:rPr>
          <w:rFonts w:ascii="ITC Avant Garde" w:hAnsi="ITC Avant Garde"/>
          <w:lang w:val="es-MX"/>
        </w:rPr>
        <w:t>S</w:t>
      </w:r>
      <w:r w:rsidR="005C04AA" w:rsidRPr="004C1A96">
        <w:rPr>
          <w:rFonts w:ascii="ITC Avant Garde" w:hAnsi="ITC Avant Garde"/>
          <w:lang w:val="es-MX"/>
        </w:rPr>
        <w:t>egún cuales reglas se considera un despliegue aéreo o subterráneo;</w:t>
      </w:r>
    </w:p>
    <w:p w14:paraId="49C3DB3E" w14:textId="77777777" w:rsidR="00A374A9" w:rsidRPr="004C1A96" w:rsidRDefault="002149BD" w:rsidP="005C04AA">
      <w:pPr>
        <w:pStyle w:val="Listaconvietas2"/>
        <w:rPr>
          <w:rFonts w:ascii="ITC Avant Garde" w:hAnsi="ITC Avant Garde"/>
          <w:lang w:val="es-MX"/>
        </w:rPr>
      </w:pPr>
      <w:r w:rsidRPr="004C1A96">
        <w:rPr>
          <w:rFonts w:ascii="ITC Avant Garde" w:hAnsi="ITC Avant Garde"/>
          <w:lang w:val="es-MX"/>
        </w:rPr>
        <w:t>S</w:t>
      </w:r>
      <w:r w:rsidR="00A374A9" w:rsidRPr="004C1A96">
        <w:rPr>
          <w:rFonts w:ascii="ITC Avant Garde" w:hAnsi="ITC Avant Garde"/>
          <w:lang w:val="es-MX"/>
        </w:rPr>
        <w:t xml:space="preserve">i las </w:t>
      </w:r>
      <w:r w:rsidR="001F22CA" w:rsidRPr="004C1A96">
        <w:rPr>
          <w:rFonts w:ascii="ITC Avant Garde" w:hAnsi="ITC Avant Garde"/>
          <w:lang w:val="es-MX"/>
        </w:rPr>
        <w:t xml:space="preserve">zanjas </w:t>
      </w:r>
      <w:r w:rsidR="00A374A9" w:rsidRPr="004C1A96">
        <w:rPr>
          <w:rFonts w:ascii="ITC Avant Garde" w:hAnsi="ITC Avant Garde"/>
          <w:lang w:val="es-MX"/>
        </w:rPr>
        <w:t>están canalizadas, blindadas o enterradas directamente,</w:t>
      </w:r>
    </w:p>
    <w:p w14:paraId="79BEB130" w14:textId="77777777" w:rsidR="00A374A9" w:rsidRPr="004C1A96" w:rsidRDefault="002149BD" w:rsidP="005C04AA">
      <w:pPr>
        <w:pStyle w:val="Listaconvietas2"/>
        <w:rPr>
          <w:rFonts w:ascii="ITC Avant Garde" w:hAnsi="ITC Avant Garde"/>
          <w:lang w:val="es-MX"/>
        </w:rPr>
      </w:pPr>
      <w:r w:rsidRPr="004C1A96">
        <w:rPr>
          <w:rFonts w:ascii="ITC Avant Garde" w:hAnsi="ITC Avant Garde"/>
          <w:lang w:val="es-MX"/>
        </w:rPr>
        <w:t>D</w:t>
      </w:r>
      <w:r w:rsidR="00A374A9" w:rsidRPr="004C1A96">
        <w:rPr>
          <w:rFonts w:ascii="ITC Avant Garde" w:hAnsi="ITC Avant Garde"/>
          <w:lang w:val="es-MX"/>
        </w:rPr>
        <w:t xml:space="preserve">onde las </w:t>
      </w:r>
      <w:r w:rsidR="001F22CA" w:rsidRPr="004C1A96">
        <w:rPr>
          <w:rFonts w:ascii="ITC Avant Garde" w:hAnsi="ITC Avant Garde"/>
          <w:lang w:val="es-MX"/>
        </w:rPr>
        <w:t xml:space="preserve">zanjas </w:t>
      </w:r>
      <w:r w:rsidR="00A374A9" w:rsidRPr="004C1A96">
        <w:rPr>
          <w:rFonts w:ascii="ITC Avant Garde" w:hAnsi="ITC Avant Garde"/>
          <w:lang w:val="es-MX"/>
        </w:rPr>
        <w:t>están ubicadas en cada sendero de una calle,</w:t>
      </w:r>
    </w:p>
    <w:p w14:paraId="23A06C36" w14:textId="77777777" w:rsidR="00A374A9" w:rsidRPr="004C1A96" w:rsidRDefault="002149BD" w:rsidP="005C04AA">
      <w:pPr>
        <w:pStyle w:val="Listaconvietas2"/>
        <w:rPr>
          <w:rFonts w:ascii="ITC Avant Garde" w:hAnsi="ITC Avant Garde"/>
          <w:lang w:val="es-MX"/>
        </w:rPr>
      </w:pPr>
      <w:r w:rsidRPr="004C1A96">
        <w:rPr>
          <w:rFonts w:ascii="ITC Avant Garde" w:hAnsi="ITC Avant Garde"/>
          <w:lang w:val="es-MX"/>
        </w:rPr>
        <w:t>C</w:t>
      </w:r>
      <w:r w:rsidR="00A374A9" w:rsidRPr="004C1A96">
        <w:rPr>
          <w:rFonts w:ascii="ITC Avant Garde" w:hAnsi="ITC Avant Garde"/>
          <w:lang w:val="es-MX"/>
        </w:rPr>
        <w:t xml:space="preserve">uántas instalaciones puede servir un </w:t>
      </w:r>
      <w:r w:rsidR="00FB3A09" w:rsidRPr="004C1A96">
        <w:rPr>
          <w:rFonts w:ascii="ITC Avant Garde" w:hAnsi="ITC Avant Garde"/>
          <w:lang w:val="es-MX"/>
        </w:rPr>
        <w:t xml:space="preserve">punto de distribución secundario (SDP por sus siglas en inglés, </w:t>
      </w:r>
      <w:r w:rsidR="00FB3A09" w:rsidRPr="004C1A96">
        <w:rPr>
          <w:rFonts w:ascii="ITC Avant Garde" w:hAnsi="ITC Avant Garde"/>
          <w:i/>
          <w:lang w:val="es-MX"/>
        </w:rPr>
        <w:t>Secondary Distribution Point</w:t>
      </w:r>
      <w:r w:rsidR="00FB3A09" w:rsidRPr="004C1A96">
        <w:rPr>
          <w:rFonts w:ascii="ITC Avant Garde" w:hAnsi="ITC Avant Garde"/>
          <w:lang w:val="es-MX"/>
        </w:rPr>
        <w:t>)</w:t>
      </w:r>
      <w:r w:rsidR="00A374A9" w:rsidRPr="004C1A96">
        <w:rPr>
          <w:rFonts w:ascii="ITC Avant Garde" w:hAnsi="ITC Avant Garde"/>
          <w:lang w:val="es-MX"/>
        </w:rPr>
        <w:t>,</w:t>
      </w:r>
    </w:p>
    <w:p w14:paraId="5C640B23" w14:textId="77777777" w:rsidR="00A374A9" w:rsidRPr="004C1A96" w:rsidRDefault="002149BD" w:rsidP="005C04AA">
      <w:pPr>
        <w:pStyle w:val="Listaconvietas2"/>
        <w:rPr>
          <w:rFonts w:ascii="ITC Avant Garde" w:hAnsi="ITC Avant Garde"/>
          <w:lang w:val="es-MX"/>
        </w:rPr>
      </w:pPr>
      <w:r w:rsidRPr="004C1A96">
        <w:rPr>
          <w:rFonts w:ascii="ITC Avant Garde" w:hAnsi="ITC Avant Garde"/>
          <w:lang w:val="es-MX"/>
        </w:rPr>
        <w:t>C</w:t>
      </w:r>
      <w:r w:rsidR="00A374A9" w:rsidRPr="004C1A96">
        <w:rPr>
          <w:rFonts w:ascii="ITC Avant Garde" w:hAnsi="ITC Avant Garde"/>
          <w:lang w:val="es-MX"/>
        </w:rPr>
        <w:t>ómo se asegura la resiliencia de la red.</w:t>
      </w:r>
    </w:p>
    <w:p w14:paraId="050C2E69" w14:textId="77777777" w:rsidR="00A374A9" w:rsidRPr="004C1A96" w:rsidRDefault="00A374A9" w:rsidP="00A374A9">
      <w:pPr>
        <w:rPr>
          <w:rFonts w:ascii="ITC Avant Garde" w:hAnsi="ITC Avant Garde"/>
          <w:lang w:val="es-MX"/>
        </w:rPr>
      </w:pPr>
      <w:r w:rsidRPr="004C1A96">
        <w:rPr>
          <w:rFonts w:ascii="ITC Avant Garde" w:hAnsi="ITC Avant Garde"/>
          <w:lang w:val="es-MX"/>
        </w:rPr>
        <w:t>Las reglas de ingeniería pueden diferir entre diferentes áreas</w:t>
      </w:r>
      <w:r w:rsidR="005C04AA" w:rsidRPr="004C1A96">
        <w:rPr>
          <w:rFonts w:ascii="ITC Avant Garde" w:hAnsi="ITC Avant Garde"/>
          <w:lang w:val="es-MX"/>
        </w:rPr>
        <w:t>,</w:t>
      </w:r>
      <w:r w:rsidRPr="004C1A96">
        <w:rPr>
          <w:rFonts w:ascii="ITC Avant Garde" w:hAnsi="ITC Avant Garde"/>
          <w:lang w:val="es-MX"/>
        </w:rPr>
        <w:t xml:space="preserve"> </w:t>
      </w:r>
      <w:r w:rsidR="005C04AA" w:rsidRPr="004C1A96">
        <w:rPr>
          <w:rFonts w:ascii="ITC Avant Garde" w:hAnsi="ITC Avant Garde"/>
          <w:lang w:val="es-MX"/>
        </w:rPr>
        <w:t>p</w:t>
      </w:r>
      <w:r w:rsidRPr="004C1A96">
        <w:rPr>
          <w:rFonts w:ascii="ITC Avant Garde" w:hAnsi="ITC Avant Garde"/>
          <w:lang w:val="es-MX"/>
        </w:rPr>
        <w:t xml:space="preserve">or ejemplo, el </w:t>
      </w:r>
      <w:r w:rsidR="005C04AA" w:rsidRPr="004C1A96">
        <w:rPr>
          <w:rFonts w:ascii="ITC Avant Garde" w:hAnsi="ITC Avant Garde"/>
          <w:lang w:val="es-MX"/>
        </w:rPr>
        <w:t>despliegue de cables de un solo lado de la calle o de los dos lados</w:t>
      </w:r>
      <w:r w:rsidRPr="004C1A96">
        <w:rPr>
          <w:rFonts w:ascii="ITC Avant Garde" w:hAnsi="ITC Avant Garde"/>
          <w:lang w:val="es-MX"/>
        </w:rPr>
        <w:t xml:space="preserve">, </w:t>
      </w:r>
      <w:r w:rsidR="005C04AA" w:rsidRPr="004C1A96">
        <w:rPr>
          <w:rFonts w:ascii="ITC Avant Garde" w:hAnsi="ITC Avant Garde"/>
          <w:lang w:val="es-MX"/>
        </w:rPr>
        <w:t xml:space="preserve">o </w:t>
      </w:r>
      <w:r w:rsidRPr="004C1A96">
        <w:rPr>
          <w:rFonts w:ascii="ITC Avant Garde" w:hAnsi="ITC Avant Garde"/>
          <w:lang w:val="es-MX"/>
        </w:rPr>
        <w:t>la técnica de despliegue</w:t>
      </w:r>
      <w:r w:rsidR="005C04AA" w:rsidRPr="004C1A96">
        <w:rPr>
          <w:rFonts w:ascii="ITC Avant Garde" w:hAnsi="ITC Avant Garde"/>
          <w:lang w:val="es-MX"/>
        </w:rPr>
        <w:t xml:space="preserve"> usada</w:t>
      </w:r>
      <w:r w:rsidRPr="004C1A96">
        <w:rPr>
          <w:rFonts w:ascii="ITC Avant Garde" w:hAnsi="ITC Avant Garde"/>
          <w:lang w:val="es-MX"/>
        </w:rPr>
        <w:t xml:space="preserve">. Cuando no se dispone de una norma de ingeniería, se pueden utilizar los datos </w:t>
      </w:r>
      <w:r w:rsidR="005C04AA" w:rsidRPr="004C1A96">
        <w:rPr>
          <w:rFonts w:ascii="ITC Avant Garde" w:hAnsi="ITC Avant Garde"/>
          <w:lang w:val="es-MX"/>
        </w:rPr>
        <w:t>derivados de</w:t>
      </w:r>
      <w:r w:rsidRPr="004C1A96">
        <w:rPr>
          <w:rFonts w:ascii="ITC Avant Garde" w:hAnsi="ITC Avant Garde"/>
          <w:lang w:val="es-MX"/>
        </w:rPr>
        <w:t xml:space="preserve"> las mejores prácticas de la industria, así como los </w:t>
      </w:r>
      <w:r w:rsidR="005C04AA" w:rsidRPr="004C1A96">
        <w:rPr>
          <w:rFonts w:ascii="ITC Avant Garde" w:hAnsi="ITC Avant Garde"/>
          <w:lang w:val="es-MX"/>
        </w:rPr>
        <w:t xml:space="preserve">insumos </w:t>
      </w:r>
      <w:r w:rsidRPr="004C1A96">
        <w:rPr>
          <w:rFonts w:ascii="ITC Avant Garde" w:hAnsi="ITC Avant Garde"/>
          <w:lang w:val="es-MX"/>
        </w:rPr>
        <w:t>utilizados en los modelos anteriores</w:t>
      </w:r>
      <w:r w:rsidR="005C04AA" w:rsidRPr="004C1A96">
        <w:rPr>
          <w:rFonts w:ascii="ITC Avant Garde" w:hAnsi="ITC Avant Garde"/>
          <w:lang w:val="es-MX"/>
        </w:rPr>
        <w:t>.</w:t>
      </w:r>
      <w:r w:rsidRPr="004C1A96">
        <w:rPr>
          <w:rFonts w:ascii="ITC Avant Garde" w:hAnsi="ITC Avant Garde"/>
          <w:lang w:val="es-MX"/>
        </w:rPr>
        <w:t xml:space="preserve"> </w:t>
      </w:r>
      <w:r w:rsidR="005C04AA" w:rsidRPr="004C1A96">
        <w:rPr>
          <w:rFonts w:ascii="ITC Avant Garde" w:hAnsi="ITC Avant Garde"/>
          <w:lang w:val="es-MX"/>
        </w:rPr>
        <w:t>L</w:t>
      </w:r>
      <w:r w:rsidRPr="004C1A96">
        <w:rPr>
          <w:rFonts w:ascii="ITC Avant Garde" w:hAnsi="ITC Avant Garde"/>
          <w:lang w:val="es-MX"/>
        </w:rPr>
        <w:t>os datos de otros países también podrían utilizarse potencialmente si fuera necesario.</w:t>
      </w:r>
    </w:p>
    <w:p w14:paraId="3F5D2CD0" w14:textId="77777777" w:rsidR="00A374A9" w:rsidRPr="004C1A96" w:rsidRDefault="00A374A9" w:rsidP="00A374A9">
      <w:pPr>
        <w:rPr>
          <w:rFonts w:ascii="ITC Avant Garde" w:hAnsi="ITC Avant Garde"/>
          <w:lang w:val="es-MX"/>
        </w:rPr>
      </w:pPr>
      <w:r w:rsidRPr="004C1A96">
        <w:rPr>
          <w:rFonts w:ascii="ITC Avant Garde" w:hAnsi="ITC Avant Garde"/>
          <w:lang w:val="es-MX"/>
        </w:rPr>
        <w:t xml:space="preserve">La construcción, el despliegue y el dimensionamiento de la red moderna deben ser coherentes y cumplir con las directrices </w:t>
      </w:r>
      <w:r w:rsidR="005C04AA" w:rsidRPr="004C1A96">
        <w:rPr>
          <w:rFonts w:ascii="ITC Avant Garde" w:hAnsi="ITC Avant Garde"/>
          <w:lang w:val="es-MX"/>
        </w:rPr>
        <w:t xml:space="preserve">del </w:t>
      </w:r>
      <w:r w:rsidRPr="004C1A96">
        <w:rPr>
          <w:rFonts w:ascii="ITC Avant Garde" w:hAnsi="ITC Avant Garde"/>
          <w:lang w:val="es-MX"/>
        </w:rPr>
        <w:t>IFT, con las prácticas del operador local y otros requisitos relevantes si es necesario.</w:t>
      </w:r>
    </w:p>
    <w:p w14:paraId="748D0A04" w14:textId="77777777" w:rsidR="00A374A9" w:rsidRPr="004C1A96" w:rsidRDefault="00A374A9" w:rsidP="00A374A9">
      <w:pPr>
        <w:pStyle w:val="Encadr3"/>
        <w:rPr>
          <w:rFonts w:ascii="ITC Avant Garde" w:hAnsi="ITC Avant Garde"/>
          <w:lang w:val="es-MX"/>
        </w:rPr>
      </w:pPr>
      <w:r w:rsidRPr="004C1A96">
        <w:rPr>
          <w:rFonts w:ascii="ITC Avant Garde" w:hAnsi="ITC Avant Garde"/>
          <w:lang w:val="es-MX"/>
        </w:rPr>
        <w:t xml:space="preserve">Criterio 15: El diseño de la red </w:t>
      </w:r>
      <w:r w:rsidR="005C04AA" w:rsidRPr="004C1A96">
        <w:rPr>
          <w:rFonts w:ascii="ITC Avant Garde" w:hAnsi="ITC Avant Garde"/>
          <w:lang w:val="es-MX"/>
        </w:rPr>
        <w:t>es</w:t>
      </w:r>
      <w:r w:rsidRPr="004C1A96">
        <w:rPr>
          <w:rFonts w:ascii="ITC Avant Garde" w:hAnsi="ITC Avant Garde"/>
          <w:lang w:val="es-MX"/>
        </w:rPr>
        <w:t xml:space="preserve"> basa</w:t>
      </w:r>
      <w:r w:rsidR="005C04AA" w:rsidRPr="004C1A96">
        <w:rPr>
          <w:rFonts w:ascii="ITC Avant Garde" w:hAnsi="ITC Avant Garde"/>
          <w:lang w:val="es-MX"/>
        </w:rPr>
        <w:t>do</w:t>
      </w:r>
      <w:r w:rsidRPr="004C1A96">
        <w:rPr>
          <w:rFonts w:ascii="ITC Avant Garde" w:hAnsi="ITC Avant Garde"/>
          <w:lang w:val="es-MX"/>
        </w:rPr>
        <w:t xml:space="preserve"> en principios técnicos que reflejen las condiciones en México. La construcción, el despliegue y el dimensionamiento de la red moderna </w:t>
      </w:r>
      <w:r w:rsidR="005C2495" w:rsidRPr="004C1A96">
        <w:rPr>
          <w:rFonts w:ascii="ITC Avant Garde" w:hAnsi="ITC Avant Garde"/>
          <w:lang w:val="es-MX"/>
        </w:rPr>
        <w:t xml:space="preserve">es </w:t>
      </w:r>
      <w:r w:rsidRPr="004C1A96">
        <w:rPr>
          <w:rFonts w:ascii="ITC Avant Garde" w:hAnsi="ITC Avant Garde"/>
          <w:lang w:val="es-MX"/>
        </w:rPr>
        <w:t>ser coher</w:t>
      </w:r>
      <w:r w:rsidR="005C2495" w:rsidRPr="004C1A96">
        <w:rPr>
          <w:rFonts w:ascii="ITC Avant Garde" w:hAnsi="ITC Avant Garde"/>
          <w:lang w:val="es-MX"/>
        </w:rPr>
        <w:t>ente</w:t>
      </w:r>
      <w:r w:rsidRPr="004C1A96">
        <w:rPr>
          <w:rFonts w:ascii="ITC Avant Garde" w:hAnsi="ITC Avant Garde"/>
          <w:lang w:val="es-MX"/>
        </w:rPr>
        <w:t xml:space="preserve"> y cump</w:t>
      </w:r>
      <w:r w:rsidR="005C2495" w:rsidRPr="004C1A96">
        <w:rPr>
          <w:rFonts w:ascii="ITC Avant Garde" w:hAnsi="ITC Avant Garde"/>
          <w:lang w:val="es-MX"/>
        </w:rPr>
        <w:t>le</w:t>
      </w:r>
      <w:r w:rsidRPr="004C1A96">
        <w:rPr>
          <w:rFonts w:ascii="ITC Avant Garde" w:hAnsi="ITC Avant Garde"/>
          <w:lang w:val="es-MX"/>
        </w:rPr>
        <w:t xml:space="preserve"> con las directrices IFT, con las prácticas del operador local y otros requisitos relevantes.</w:t>
      </w:r>
    </w:p>
    <w:p w14:paraId="0B0E4340" w14:textId="77777777" w:rsidR="00A374A9" w:rsidRPr="008F42FC" w:rsidRDefault="00A374A9" w:rsidP="003C224B">
      <w:pPr>
        <w:pStyle w:val="Ttulo4"/>
        <w:rPr>
          <w:lang w:val="es-MX"/>
        </w:rPr>
      </w:pPr>
      <w:bookmarkStart w:id="120" w:name="_Toc525665275"/>
      <w:bookmarkStart w:id="121" w:name="_Toc525665654"/>
      <w:bookmarkStart w:id="122" w:name="_Toc141975012"/>
      <w:r w:rsidRPr="008F42FC">
        <w:rPr>
          <w:lang w:val="es-MX"/>
        </w:rPr>
        <w:t>Demanda para el cálculo de los costos unitarios</w:t>
      </w:r>
      <w:bookmarkEnd w:id="120"/>
      <w:bookmarkEnd w:id="121"/>
      <w:bookmarkEnd w:id="122"/>
    </w:p>
    <w:p w14:paraId="3D36A1CD" w14:textId="77777777" w:rsidR="00A374A9" w:rsidRPr="00E14D8A" w:rsidRDefault="00A374A9" w:rsidP="00A374A9">
      <w:pPr>
        <w:rPr>
          <w:rFonts w:ascii="ITC Avant Garde" w:hAnsi="ITC Avant Garde"/>
          <w:lang w:val="es-MX"/>
        </w:rPr>
      </w:pPr>
      <w:r w:rsidRPr="004C1A96">
        <w:rPr>
          <w:rFonts w:ascii="ITC Avant Garde" w:hAnsi="ITC Avant Garde"/>
          <w:lang w:val="es-MX"/>
        </w:rPr>
        <w:t>La demanda para el cálculo de los costos unitarios es la cantidad de clientes que utilizan la red del o</w:t>
      </w:r>
      <w:r w:rsidRPr="00E14D8A">
        <w:rPr>
          <w:rFonts w:ascii="ITC Avant Garde" w:hAnsi="ITC Avant Garde"/>
          <w:lang w:val="es-MX"/>
        </w:rPr>
        <w:t xml:space="preserve">perador hipotéticamente eficiente. Esta demanda puede evaluarse multiplicando la demanda total </w:t>
      </w:r>
      <w:r w:rsidR="005C04AA" w:rsidRPr="00E14D8A">
        <w:rPr>
          <w:rFonts w:ascii="ITC Avant Garde" w:hAnsi="ITC Avant Garde"/>
          <w:lang w:val="es-MX"/>
        </w:rPr>
        <w:t xml:space="preserve">pasiva (es decir todos los edificios conectados o conectables, si solo les falta el despliegue de la acometida) </w:t>
      </w:r>
      <w:r w:rsidRPr="00E14D8A">
        <w:rPr>
          <w:rFonts w:ascii="ITC Avant Garde" w:hAnsi="ITC Avant Garde"/>
          <w:lang w:val="es-MX"/>
        </w:rPr>
        <w:t>por la participación de mercado del operador hipotéticamente eficiente. Es probable que esta demanda evolucione con el tiempo.</w:t>
      </w:r>
    </w:p>
    <w:p w14:paraId="73EA0E1C" w14:textId="77777777" w:rsidR="00A374A9" w:rsidRPr="004C1A96" w:rsidRDefault="00A374A9" w:rsidP="00A374A9">
      <w:pPr>
        <w:rPr>
          <w:rFonts w:ascii="ITC Avant Garde" w:hAnsi="ITC Avant Garde"/>
          <w:lang w:val="es-MX"/>
        </w:rPr>
      </w:pPr>
      <w:r w:rsidRPr="004C1A96">
        <w:rPr>
          <w:rFonts w:ascii="ITC Avant Garde" w:hAnsi="ITC Avant Garde"/>
          <w:lang w:val="es-MX"/>
        </w:rPr>
        <w:lastRenderedPageBreak/>
        <w:t>La presencia de varias redes de acceso coexistentes en un área determinada es el resultado de la historia y el despliegue de tecnologías sucesivas. Si se re</w:t>
      </w:r>
      <w:r w:rsidR="004B276B" w:rsidRPr="004C1A96">
        <w:rPr>
          <w:rFonts w:ascii="ITC Avant Garde" w:hAnsi="ITC Avant Garde"/>
          <w:lang w:val="es-MX"/>
        </w:rPr>
        <w:t>cons</w:t>
      </w:r>
      <w:r w:rsidRPr="004C1A96">
        <w:rPr>
          <w:rFonts w:ascii="ITC Avant Garde" w:hAnsi="ITC Avant Garde"/>
          <w:lang w:val="es-MX"/>
        </w:rPr>
        <w:t xml:space="preserve">truyeran redes (como se supone en el enfoque </w:t>
      </w:r>
      <w:r w:rsidR="005564A2" w:rsidRPr="004C1A96">
        <w:rPr>
          <w:rFonts w:ascii="ITC Avant Garde" w:hAnsi="ITC Avant Garde"/>
          <w:lang w:val="es-MX"/>
        </w:rPr>
        <w:t>CIPLP</w:t>
      </w:r>
      <w:r w:rsidRPr="004C1A96">
        <w:rPr>
          <w:rFonts w:ascii="ITC Avant Garde" w:hAnsi="ITC Avant Garde"/>
          <w:lang w:val="es-MX"/>
        </w:rPr>
        <w:t>), la coexistencia de varias redes de acceso sería muy poco probable. La presencia de varias redes de acceso en paralelo puede considerarse ineficiente desde el punto de vista de</w:t>
      </w:r>
      <w:r w:rsidR="005C04AA" w:rsidRPr="004C1A96">
        <w:rPr>
          <w:rFonts w:ascii="ITC Avant Garde" w:hAnsi="ITC Avant Garde"/>
          <w:lang w:val="es-MX"/>
        </w:rPr>
        <w:t xml:space="preserve">l enfoque </w:t>
      </w:r>
      <w:r w:rsidR="00D3308C" w:rsidRPr="004C1A96">
        <w:rPr>
          <w:rFonts w:ascii="ITC Avant Garde" w:hAnsi="ITC Avant Garde"/>
          <w:lang w:val="es-MX"/>
        </w:rPr>
        <w:t>CIPLP</w:t>
      </w:r>
      <w:r w:rsidRPr="004C1A96">
        <w:rPr>
          <w:rFonts w:ascii="ITC Avant Garde" w:hAnsi="ITC Avant Garde"/>
          <w:lang w:val="es-MX"/>
        </w:rPr>
        <w:t>, especialmente porque pueden soportar los mismos tipos de servicios minoristas. Las redes de acceso a veces se consideran infraestructuras esenciales y, por lo tanto, no es deseable duplicar dichas redes.</w:t>
      </w:r>
    </w:p>
    <w:p w14:paraId="752C43CD" w14:textId="77777777" w:rsidR="00A374A9" w:rsidRPr="004C1A96" w:rsidRDefault="00A374A9" w:rsidP="00A374A9">
      <w:pPr>
        <w:rPr>
          <w:rFonts w:ascii="ITC Avant Garde" w:hAnsi="ITC Avant Garde"/>
          <w:lang w:val="es-MX"/>
        </w:rPr>
      </w:pPr>
      <w:r w:rsidRPr="004C1A96">
        <w:rPr>
          <w:rFonts w:ascii="ITC Avant Garde" w:hAnsi="ITC Avant Garde"/>
          <w:lang w:val="es-MX"/>
        </w:rPr>
        <w:t>Sin embargo, la presencia de varias redes de acceso coexistentes es posible durante una fase de migración de una tecnología a otra.</w:t>
      </w:r>
    </w:p>
    <w:p w14:paraId="3E320496" w14:textId="77777777" w:rsidR="00A374A9" w:rsidRPr="004C1A96" w:rsidRDefault="00A374A9" w:rsidP="00A374A9">
      <w:pPr>
        <w:rPr>
          <w:rFonts w:ascii="ITC Avant Garde" w:hAnsi="ITC Avant Garde"/>
          <w:lang w:val="es-MX"/>
        </w:rPr>
      </w:pPr>
      <w:r w:rsidRPr="004C1A96">
        <w:rPr>
          <w:rFonts w:ascii="ITC Avant Garde" w:hAnsi="ITC Avant Garde"/>
          <w:lang w:val="es-MX"/>
        </w:rPr>
        <w:t xml:space="preserve">Construir el modelo </w:t>
      </w:r>
      <w:r w:rsidR="00576CE6" w:rsidRPr="004C1A96">
        <w:rPr>
          <w:rFonts w:ascii="ITC Avant Garde" w:hAnsi="ITC Avant Garde"/>
          <w:lang w:val="es-MX"/>
        </w:rPr>
        <w:t xml:space="preserve">CIPLP </w:t>
      </w:r>
      <w:r w:rsidRPr="004C1A96">
        <w:rPr>
          <w:rFonts w:ascii="ITC Avant Garde" w:hAnsi="ITC Avant Garde"/>
          <w:lang w:val="es-MX"/>
        </w:rPr>
        <w:t>basado en redes de acceso coexistentes a largo plazo llevaría a costos de acceso artificialmente altos y daría incentivos a la duplicación de redes ineficiente (señales erróneas de "</w:t>
      </w:r>
      <w:r w:rsidR="005C04AA" w:rsidRPr="004C1A96">
        <w:rPr>
          <w:rFonts w:ascii="ITC Avant Garde" w:hAnsi="ITC Avant Garde"/>
          <w:i/>
          <w:lang w:val="es-MX"/>
        </w:rPr>
        <w:t>make</w:t>
      </w:r>
      <w:r w:rsidRPr="004C1A96">
        <w:rPr>
          <w:rFonts w:ascii="ITC Avant Garde" w:hAnsi="ITC Avant Garde"/>
          <w:i/>
          <w:lang w:val="es-MX"/>
        </w:rPr>
        <w:t xml:space="preserve"> o</w:t>
      </w:r>
      <w:r w:rsidR="005C04AA" w:rsidRPr="004C1A96">
        <w:rPr>
          <w:rFonts w:ascii="ITC Avant Garde" w:hAnsi="ITC Avant Garde"/>
          <w:i/>
          <w:lang w:val="es-MX"/>
        </w:rPr>
        <w:t>r</w:t>
      </w:r>
      <w:r w:rsidRPr="004C1A96">
        <w:rPr>
          <w:rFonts w:ascii="ITC Avant Garde" w:hAnsi="ITC Avant Garde"/>
          <w:i/>
          <w:lang w:val="es-MX"/>
        </w:rPr>
        <w:t xml:space="preserve"> </w:t>
      </w:r>
      <w:r w:rsidR="005C04AA" w:rsidRPr="004C1A96">
        <w:rPr>
          <w:rFonts w:ascii="ITC Avant Garde" w:hAnsi="ITC Avant Garde"/>
          <w:i/>
          <w:lang w:val="es-MX"/>
        </w:rPr>
        <w:t>buy</w:t>
      </w:r>
      <w:r w:rsidRPr="004C1A96">
        <w:rPr>
          <w:rFonts w:ascii="ITC Avant Garde" w:hAnsi="ITC Avant Garde"/>
          <w:lang w:val="es-MX"/>
        </w:rPr>
        <w:t xml:space="preserve">"). Por lo tanto, se debe suponer que cada topología de red de acceso admite el 100% de la demanda actual fija del </w:t>
      </w:r>
      <w:r w:rsidR="005C04AA" w:rsidRPr="004C1A96">
        <w:rPr>
          <w:rFonts w:ascii="ITC Avant Garde" w:hAnsi="ITC Avant Garde"/>
          <w:lang w:val="es-MX"/>
        </w:rPr>
        <w:t>AE</w:t>
      </w:r>
      <w:r w:rsidRPr="004C1A96">
        <w:rPr>
          <w:rFonts w:ascii="ITC Avant Garde" w:hAnsi="ITC Avant Garde"/>
          <w:lang w:val="es-MX"/>
        </w:rPr>
        <w:t xml:space="preserve">P en un área determinada, bajo los principios de </w:t>
      </w:r>
      <w:r w:rsidR="00576CE6" w:rsidRPr="004C1A96">
        <w:rPr>
          <w:rFonts w:ascii="ITC Avant Garde" w:hAnsi="ITC Avant Garde"/>
          <w:lang w:val="es-MX"/>
        </w:rPr>
        <w:t>CIPLP</w:t>
      </w:r>
      <w:r w:rsidRPr="004C1A96">
        <w:rPr>
          <w:rFonts w:ascii="ITC Avant Garde" w:hAnsi="ITC Avant Garde"/>
          <w:lang w:val="es-MX"/>
        </w:rPr>
        <w:t>.</w:t>
      </w:r>
    </w:p>
    <w:p w14:paraId="1FE6C4BD" w14:textId="50C65F00" w:rsidR="00A374A9" w:rsidRPr="004C1A96" w:rsidRDefault="00A374A9" w:rsidP="005C04AA">
      <w:pPr>
        <w:pStyle w:val="Encadr3"/>
        <w:rPr>
          <w:rFonts w:ascii="ITC Avant Garde" w:hAnsi="ITC Avant Garde"/>
          <w:lang w:val="es-MX"/>
        </w:rPr>
      </w:pPr>
      <w:r w:rsidRPr="004C1A96">
        <w:rPr>
          <w:rFonts w:ascii="ITC Avant Garde" w:hAnsi="ITC Avant Garde"/>
          <w:lang w:val="es-MX"/>
        </w:rPr>
        <w:t xml:space="preserve">Criterio 16: El modelo </w:t>
      </w:r>
      <w:r w:rsidR="002F50AA" w:rsidRPr="004C1A96">
        <w:rPr>
          <w:rFonts w:ascii="ITC Avant Garde" w:hAnsi="ITC Avant Garde"/>
          <w:lang w:val="es-MX"/>
        </w:rPr>
        <w:t>CIPLP supone</w:t>
      </w:r>
      <w:r w:rsidRPr="004C1A96">
        <w:rPr>
          <w:rFonts w:ascii="ITC Avant Garde" w:hAnsi="ITC Avant Garde"/>
          <w:lang w:val="es-MX"/>
        </w:rPr>
        <w:t xml:space="preserve"> que cada tecnología de red de acceso admite el 100% de la demanda actual de la red fija local del </w:t>
      </w:r>
      <w:r w:rsidR="005C04AA" w:rsidRPr="004C1A96">
        <w:rPr>
          <w:rFonts w:ascii="ITC Avant Garde" w:hAnsi="ITC Avant Garde"/>
          <w:lang w:val="es-MX"/>
        </w:rPr>
        <w:t>AE</w:t>
      </w:r>
      <w:r w:rsidRPr="004C1A96">
        <w:rPr>
          <w:rFonts w:ascii="ITC Avant Garde" w:hAnsi="ITC Avant Garde"/>
          <w:lang w:val="es-MX"/>
        </w:rPr>
        <w:t xml:space="preserve">P en términos de suscripciones activas (es decir, el 100% de la demanda "cobre + </w:t>
      </w:r>
      <w:r w:rsidR="006F5FE3" w:rsidRPr="004C1A96">
        <w:rPr>
          <w:rFonts w:ascii="ITC Avant Garde" w:hAnsi="ITC Avant Garde"/>
          <w:lang w:val="es-MX"/>
        </w:rPr>
        <w:t>FTTH + FTTC</w:t>
      </w:r>
      <w:r w:rsidRPr="004C1A96">
        <w:rPr>
          <w:rFonts w:ascii="ITC Avant Garde" w:hAnsi="ITC Avant Garde"/>
          <w:lang w:val="es-MX"/>
        </w:rPr>
        <w:t>").</w:t>
      </w:r>
    </w:p>
    <w:p w14:paraId="3725BDDC" w14:textId="77777777" w:rsidR="00A374A9" w:rsidRPr="004C1A96" w:rsidRDefault="00A374A9" w:rsidP="00A374A9">
      <w:pPr>
        <w:rPr>
          <w:rFonts w:ascii="ITC Avant Garde" w:hAnsi="ITC Avant Garde"/>
          <w:lang w:val="es-MX"/>
        </w:rPr>
      </w:pPr>
      <w:r w:rsidRPr="004C1A96">
        <w:rPr>
          <w:rFonts w:ascii="ITC Avant Garde" w:hAnsi="ITC Avant Garde"/>
          <w:lang w:val="es-MX"/>
        </w:rPr>
        <w:t>Además, se deben considerar las diferentes etapas de implementación de todas las tecnologías de acceso:</w:t>
      </w:r>
    </w:p>
    <w:p w14:paraId="3DF1839A" w14:textId="50BDA251" w:rsidR="00A374A9" w:rsidRPr="004C1A96" w:rsidRDefault="00A374A9" w:rsidP="005C04AA">
      <w:pPr>
        <w:pStyle w:val="Listaconvietas2"/>
        <w:rPr>
          <w:rFonts w:ascii="ITC Avant Garde" w:hAnsi="ITC Avant Garde"/>
          <w:lang w:val="es-MX"/>
        </w:rPr>
      </w:pPr>
      <w:r w:rsidRPr="004C1A96">
        <w:rPr>
          <w:rFonts w:ascii="ITC Avant Garde" w:hAnsi="ITC Avant Garde"/>
          <w:lang w:val="es-MX"/>
        </w:rPr>
        <w:t xml:space="preserve">La red de cobre tiene una huella de cobertura nacional y admite hoy en día </w:t>
      </w:r>
      <w:r w:rsidR="000D6684" w:rsidRPr="004C1A96">
        <w:rPr>
          <w:rFonts w:ascii="ITC Avant Garde" w:hAnsi="ITC Avant Garde"/>
          <w:lang w:val="es-MX"/>
        </w:rPr>
        <w:t xml:space="preserve">una </w:t>
      </w:r>
      <w:r w:rsidRPr="004C1A96">
        <w:rPr>
          <w:rFonts w:ascii="ITC Avant Garde" w:hAnsi="ITC Avant Garde"/>
          <w:lang w:val="es-MX"/>
        </w:rPr>
        <w:t xml:space="preserve">gran </w:t>
      </w:r>
      <w:r w:rsidR="000D6684" w:rsidRPr="004C1A96">
        <w:rPr>
          <w:rFonts w:ascii="ITC Avant Garde" w:hAnsi="ITC Avant Garde"/>
          <w:lang w:val="es-MX"/>
        </w:rPr>
        <w:t xml:space="preserve">parte </w:t>
      </w:r>
      <w:r w:rsidRPr="004C1A96">
        <w:rPr>
          <w:rFonts w:ascii="ITC Avant Garde" w:hAnsi="ITC Avant Garde"/>
          <w:lang w:val="es-MX"/>
        </w:rPr>
        <w:t>de las suscripciones activas;</w:t>
      </w:r>
    </w:p>
    <w:p w14:paraId="75528D40" w14:textId="77777777" w:rsidR="00A374A9" w:rsidRPr="004C1A96" w:rsidRDefault="00A374A9" w:rsidP="005C04AA">
      <w:pPr>
        <w:pStyle w:val="Listaconvietas2"/>
        <w:rPr>
          <w:rFonts w:ascii="ITC Avant Garde" w:hAnsi="ITC Avant Garde"/>
          <w:lang w:val="es-MX"/>
        </w:rPr>
      </w:pPr>
      <w:r w:rsidRPr="004C1A96">
        <w:rPr>
          <w:rFonts w:ascii="ITC Avant Garde" w:hAnsi="ITC Avant Garde"/>
          <w:lang w:val="es-MX"/>
        </w:rPr>
        <w:t>La red FTTH tiene una implementación no nacional en curso y admite un número creciente de suscripciones activas.</w:t>
      </w:r>
    </w:p>
    <w:p w14:paraId="4E0CB305" w14:textId="0177BFE2" w:rsidR="006F5FE3" w:rsidRPr="004C1A96" w:rsidRDefault="006F5FE3" w:rsidP="005C04AA">
      <w:pPr>
        <w:pStyle w:val="Listaconvietas2"/>
        <w:rPr>
          <w:rFonts w:ascii="ITC Avant Garde" w:hAnsi="ITC Avant Garde"/>
          <w:lang w:val="es-MX"/>
        </w:rPr>
      </w:pPr>
      <w:r w:rsidRPr="004C1A96">
        <w:rPr>
          <w:rFonts w:ascii="ITC Avant Garde" w:hAnsi="ITC Avant Garde"/>
          <w:lang w:val="es-MX"/>
        </w:rPr>
        <w:t xml:space="preserve">La red FTTC también tiene una implementación no nacional, pero </w:t>
      </w:r>
      <w:r w:rsidR="000D6684" w:rsidRPr="004C1A96">
        <w:rPr>
          <w:rFonts w:ascii="ITC Avant Garde" w:hAnsi="ITC Avant Garde"/>
          <w:lang w:val="es-MX"/>
        </w:rPr>
        <w:t xml:space="preserve">sin embargo, </w:t>
      </w:r>
      <w:r w:rsidRPr="004C1A96">
        <w:rPr>
          <w:rFonts w:ascii="ITC Avant Garde" w:hAnsi="ITC Avant Garde"/>
          <w:lang w:val="es-MX"/>
        </w:rPr>
        <w:t>admite un número decreciente de suscripciones activas</w:t>
      </w:r>
      <w:r w:rsidR="000D6684" w:rsidRPr="004C1A96">
        <w:rPr>
          <w:rFonts w:ascii="ITC Avant Garde" w:hAnsi="ITC Avant Garde"/>
          <w:lang w:val="es-MX"/>
        </w:rPr>
        <w:t>, en favor de las redes de FTTH</w:t>
      </w:r>
      <w:r w:rsidRPr="004C1A96">
        <w:rPr>
          <w:rFonts w:ascii="ITC Avant Garde" w:hAnsi="ITC Avant Garde"/>
          <w:lang w:val="es-MX"/>
        </w:rPr>
        <w:t xml:space="preserve">. </w:t>
      </w:r>
    </w:p>
    <w:p w14:paraId="7B01B613" w14:textId="18BFD4B5" w:rsidR="00A374A9" w:rsidRPr="004C1A96" w:rsidRDefault="00A374A9" w:rsidP="00A374A9">
      <w:pPr>
        <w:rPr>
          <w:rFonts w:ascii="ITC Avant Garde" w:hAnsi="ITC Avant Garde"/>
          <w:lang w:val="es-MX"/>
        </w:rPr>
      </w:pPr>
      <w:r w:rsidRPr="004C1A96">
        <w:rPr>
          <w:rFonts w:ascii="ITC Avant Garde" w:hAnsi="ITC Avant Garde"/>
          <w:lang w:val="es-MX"/>
        </w:rPr>
        <w:t xml:space="preserve">Para la red de cobre, es poco probable que ocurra una mayor implementación. Como consecuencia, el 100% de la demanda </w:t>
      </w:r>
      <w:r w:rsidR="00F03FE9" w:rsidRPr="004C1A96">
        <w:rPr>
          <w:rFonts w:ascii="ITC Avant Garde" w:hAnsi="ITC Avant Garde"/>
          <w:lang w:val="es-MX"/>
        </w:rPr>
        <w:t xml:space="preserve">activa </w:t>
      </w:r>
      <w:r w:rsidRPr="004C1A96">
        <w:rPr>
          <w:rFonts w:ascii="ITC Avant Garde" w:hAnsi="ITC Avant Garde"/>
          <w:lang w:val="es-MX"/>
        </w:rPr>
        <w:t>de</w:t>
      </w:r>
      <w:r w:rsidR="00F03FE9" w:rsidRPr="004C1A96">
        <w:rPr>
          <w:rFonts w:ascii="ITC Avant Garde" w:hAnsi="ITC Avant Garde"/>
          <w:lang w:val="es-MX"/>
        </w:rPr>
        <w:t>l</w:t>
      </w:r>
      <w:r w:rsidRPr="004C1A96">
        <w:rPr>
          <w:rFonts w:ascii="ITC Avant Garde" w:hAnsi="ITC Avant Garde"/>
          <w:lang w:val="es-MX"/>
        </w:rPr>
        <w:t xml:space="preserve"> </w:t>
      </w:r>
      <w:r w:rsidR="00F03FE9" w:rsidRPr="004C1A96">
        <w:rPr>
          <w:rFonts w:ascii="ITC Avant Garde" w:hAnsi="ITC Avant Garde"/>
          <w:lang w:val="es-MX"/>
        </w:rPr>
        <w:t>AE</w:t>
      </w:r>
      <w:r w:rsidRPr="004C1A96">
        <w:rPr>
          <w:rFonts w:ascii="ITC Avant Garde" w:hAnsi="ITC Avant Garde"/>
          <w:lang w:val="es-MX"/>
        </w:rPr>
        <w:t>P en el área (en términos de suscripciones activas) se puede</w:t>
      </w:r>
      <w:r w:rsidR="00086BFA" w:rsidRPr="004C1A96">
        <w:rPr>
          <w:rFonts w:ascii="ITC Avant Garde" w:hAnsi="ITC Avant Garde"/>
          <w:lang w:val="es-MX"/>
        </w:rPr>
        <w:t xml:space="preserve"> considerar desde el principio. Para FTTH</w:t>
      </w:r>
      <w:r w:rsidR="006F5FE3" w:rsidRPr="004C1A96">
        <w:rPr>
          <w:rFonts w:ascii="ITC Avant Garde" w:hAnsi="ITC Avant Garde"/>
          <w:lang w:val="es-MX"/>
        </w:rPr>
        <w:t xml:space="preserve"> y FTTC</w:t>
      </w:r>
      <w:r w:rsidR="00086BFA" w:rsidRPr="004C1A96">
        <w:rPr>
          <w:rFonts w:ascii="ITC Avant Garde" w:hAnsi="ITC Avant Garde"/>
          <w:lang w:val="es-MX"/>
        </w:rPr>
        <w:t>, se</w:t>
      </w:r>
      <w:r w:rsidR="006A3B29" w:rsidRPr="004C1A96">
        <w:rPr>
          <w:rFonts w:ascii="ITC Avant Garde" w:hAnsi="ITC Avant Garde"/>
          <w:lang w:val="es-MX"/>
        </w:rPr>
        <w:t xml:space="preserve"> debe seguir el mismo supuesto. </w:t>
      </w:r>
    </w:p>
    <w:p w14:paraId="0BB2F16A" w14:textId="77777777" w:rsidR="00A374A9" w:rsidRPr="004C1A96" w:rsidRDefault="00A374A9" w:rsidP="00A374A9">
      <w:pPr>
        <w:rPr>
          <w:rFonts w:ascii="ITC Avant Garde" w:hAnsi="ITC Avant Garde"/>
          <w:lang w:val="es-MX"/>
        </w:rPr>
      </w:pPr>
      <w:r w:rsidRPr="004C1A96">
        <w:rPr>
          <w:rFonts w:ascii="ITC Avant Garde" w:hAnsi="ITC Avant Garde"/>
          <w:lang w:val="es-MX"/>
        </w:rPr>
        <w:t>En la red de acceso, no todas las instalaciones tienen una suscripción activa que permite recuperar los costos de la línea de acceso asociada. En la práctica, pueden ocurrir varias situaciones. Éstas incluyen:</w:t>
      </w:r>
    </w:p>
    <w:p w14:paraId="6AE42262" w14:textId="77777777" w:rsidR="00F03FE9" w:rsidRPr="004C1A96" w:rsidRDefault="00DE156C" w:rsidP="00A374A9">
      <w:pPr>
        <w:pStyle w:val="Listaconvietas2"/>
        <w:rPr>
          <w:rFonts w:ascii="ITC Avant Garde" w:hAnsi="ITC Avant Garde"/>
          <w:lang w:val="es-MX"/>
        </w:rPr>
      </w:pPr>
      <w:r w:rsidRPr="004C1A96">
        <w:rPr>
          <w:rFonts w:ascii="ITC Avant Garde" w:hAnsi="ITC Avant Garde"/>
          <w:lang w:val="es-MX"/>
        </w:rPr>
        <w:t>I</w:t>
      </w:r>
      <w:r w:rsidR="00A374A9" w:rsidRPr="004C1A96">
        <w:rPr>
          <w:rFonts w:ascii="ITC Avant Garde" w:hAnsi="ITC Avant Garde"/>
          <w:lang w:val="es-MX"/>
        </w:rPr>
        <w:t>nstalaciones aprobadas, es decir, aquellas que están al alcance de la red de distribución;</w:t>
      </w:r>
    </w:p>
    <w:p w14:paraId="4D07F041" w14:textId="77777777" w:rsidR="00F03FE9" w:rsidRPr="004C1A96" w:rsidRDefault="00DE156C" w:rsidP="00A374A9">
      <w:pPr>
        <w:pStyle w:val="Listaconvietas2"/>
        <w:rPr>
          <w:rFonts w:ascii="ITC Avant Garde" w:hAnsi="ITC Avant Garde"/>
          <w:lang w:val="es-MX"/>
        </w:rPr>
      </w:pPr>
      <w:r w:rsidRPr="004C1A96">
        <w:rPr>
          <w:rFonts w:ascii="ITC Avant Garde" w:hAnsi="ITC Avant Garde"/>
          <w:lang w:val="es-MX"/>
        </w:rPr>
        <w:t>I</w:t>
      </w:r>
      <w:r w:rsidR="00A374A9" w:rsidRPr="004C1A96">
        <w:rPr>
          <w:rFonts w:ascii="ITC Avant Garde" w:hAnsi="ITC Avant Garde"/>
          <w:lang w:val="es-MX"/>
        </w:rPr>
        <w:t>nstalaciones conectadas, es decir, aquellas a las que se ha desplegado un cable de caída final;</w:t>
      </w:r>
    </w:p>
    <w:p w14:paraId="4498C1C2" w14:textId="77777777" w:rsidR="00A374A9" w:rsidRPr="004C1A96" w:rsidRDefault="00DE156C" w:rsidP="00A374A9">
      <w:pPr>
        <w:pStyle w:val="Listaconvietas2"/>
        <w:rPr>
          <w:rFonts w:ascii="ITC Avant Garde" w:hAnsi="ITC Avant Garde"/>
          <w:lang w:val="es-MX"/>
        </w:rPr>
      </w:pPr>
      <w:r w:rsidRPr="004C1A96">
        <w:rPr>
          <w:rFonts w:ascii="ITC Avant Garde" w:hAnsi="ITC Avant Garde"/>
          <w:lang w:val="es-MX"/>
        </w:rPr>
        <w:lastRenderedPageBreak/>
        <w:t>L</w:t>
      </w:r>
      <w:r w:rsidR="00A374A9" w:rsidRPr="004C1A96">
        <w:rPr>
          <w:rFonts w:ascii="ITC Avant Garde" w:hAnsi="ITC Avant Garde"/>
          <w:lang w:val="es-MX"/>
        </w:rPr>
        <w:t>ocales que tienen una suscripción activa, es decir, aquellos sobre los cuales se recuperan los costos.</w:t>
      </w:r>
    </w:p>
    <w:p w14:paraId="334E08A4" w14:textId="77777777" w:rsidR="00A374A9" w:rsidRPr="004C1A96" w:rsidRDefault="00A374A9" w:rsidP="00A374A9">
      <w:pPr>
        <w:rPr>
          <w:rFonts w:ascii="ITC Avant Garde" w:hAnsi="ITC Avant Garde"/>
          <w:lang w:val="es-MX"/>
        </w:rPr>
      </w:pPr>
      <w:r w:rsidRPr="004C1A96">
        <w:rPr>
          <w:rFonts w:ascii="ITC Avant Garde" w:hAnsi="ITC Avant Garde"/>
          <w:lang w:val="es-MX"/>
        </w:rPr>
        <w:t xml:space="preserve">Implementar una red desplegando solo la red para clientes activos sería altamente ineficiente a largo plazo. Como consecuencia, las redes de acceso en el modelo </w:t>
      </w:r>
      <w:r w:rsidR="00CF596B" w:rsidRPr="004C1A96">
        <w:rPr>
          <w:rFonts w:ascii="ITC Avant Garde" w:hAnsi="ITC Avant Garde"/>
          <w:lang w:val="es-MX"/>
        </w:rPr>
        <w:t>CIPLP</w:t>
      </w:r>
      <w:r w:rsidRPr="004C1A96">
        <w:rPr>
          <w:rFonts w:ascii="ITC Avant Garde" w:hAnsi="ITC Avant Garde"/>
          <w:lang w:val="es-MX"/>
        </w:rPr>
        <w:t xml:space="preserve"> deben dimensionarse pasando todas las instalaciones del área que cubren. Sin embargo, un operador eficiente no despliega un cable de conexión hasta que el usuario final se active. Pero, es probable que </w:t>
      </w:r>
      <w:r w:rsidR="00F03FE9" w:rsidRPr="004C1A96">
        <w:rPr>
          <w:rFonts w:ascii="ITC Avant Garde" w:hAnsi="ITC Avant Garde"/>
          <w:lang w:val="es-MX"/>
        </w:rPr>
        <w:t xml:space="preserve">cualquier operador, hasta </w:t>
      </w:r>
      <w:r w:rsidR="00DE156C" w:rsidRPr="004C1A96">
        <w:rPr>
          <w:rFonts w:ascii="ITC Avant Garde" w:hAnsi="ITC Avant Garde"/>
          <w:lang w:val="es-MX"/>
        </w:rPr>
        <w:t>el</w:t>
      </w:r>
      <w:r w:rsidR="00F03FE9" w:rsidRPr="004C1A96">
        <w:rPr>
          <w:rFonts w:ascii="ITC Avant Garde" w:hAnsi="ITC Avant Garde"/>
          <w:lang w:val="es-MX"/>
        </w:rPr>
        <w:t xml:space="preserve"> </w:t>
      </w:r>
      <w:r w:rsidR="00F2544C" w:rsidRPr="004C1A96">
        <w:rPr>
          <w:rFonts w:ascii="ITC Avant Garde" w:hAnsi="ITC Avant Garde"/>
          <w:lang w:val="es-MX"/>
        </w:rPr>
        <w:t>más</w:t>
      </w:r>
      <w:r w:rsidR="00F03FE9" w:rsidRPr="004C1A96">
        <w:rPr>
          <w:rFonts w:ascii="ITC Avant Garde" w:hAnsi="ITC Avant Garde"/>
          <w:lang w:val="es-MX"/>
        </w:rPr>
        <w:t xml:space="preserve"> eficiente, </w:t>
      </w:r>
      <w:r w:rsidRPr="004C1A96">
        <w:rPr>
          <w:rFonts w:ascii="ITC Avant Garde" w:hAnsi="ITC Avant Garde"/>
          <w:lang w:val="es-MX"/>
        </w:rPr>
        <w:t xml:space="preserve">experimente </w:t>
      </w:r>
      <w:r w:rsidR="00F03FE9" w:rsidRPr="004C1A96">
        <w:rPr>
          <w:rFonts w:ascii="ITC Avant Garde" w:hAnsi="ITC Avant Garde"/>
          <w:lang w:val="es-MX"/>
        </w:rPr>
        <w:t>la p</w:t>
      </w:r>
      <w:r w:rsidR="004C5CB3" w:rsidRPr="004C1A96">
        <w:rPr>
          <w:rFonts w:ascii="ITC Avant Garde" w:hAnsi="ITC Avant Garde"/>
          <w:lang w:val="es-MX"/>
        </w:rPr>
        <w:t>é</w:t>
      </w:r>
      <w:r w:rsidR="00F03FE9" w:rsidRPr="004C1A96">
        <w:rPr>
          <w:rFonts w:ascii="ITC Avant Garde" w:hAnsi="ITC Avant Garde"/>
          <w:lang w:val="es-MX"/>
        </w:rPr>
        <w:t>rdida</w:t>
      </w:r>
      <w:r w:rsidRPr="004C1A96">
        <w:rPr>
          <w:rFonts w:ascii="ITC Avant Garde" w:hAnsi="ITC Avant Garde"/>
          <w:lang w:val="es-MX"/>
        </w:rPr>
        <w:t xml:space="preserve"> de </w:t>
      </w:r>
      <w:r w:rsidR="00F03FE9" w:rsidRPr="004C1A96">
        <w:rPr>
          <w:rFonts w:ascii="ITC Avant Garde" w:hAnsi="ITC Avant Garde"/>
          <w:lang w:val="es-MX"/>
        </w:rPr>
        <w:t>algunos</w:t>
      </w:r>
      <w:r w:rsidRPr="004C1A96">
        <w:rPr>
          <w:rFonts w:ascii="ITC Avant Garde" w:hAnsi="ITC Avant Garde"/>
          <w:lang w:val="es-MX"/>
        </w:rPr>
        <w:t xml:space="preserve"> usuarios finales después de desplegar un cable de </w:t>
      </w:r>
      <w:r w:rsidR="00F03FE9" w:rsidRPr="004C1A96">
        <w:rPr>
          <w:rFonts w:ascii="ITC Avant Garde" w:hAnsi="ITC Avant Garde"/>
          <w:lang w:val="es-MX"/>
        </w:rPr>
        <w:t>acometida</w:t>
      </w:r>
      <w:r w:rsidRPr="004C1A96">
        <w:rPr>
          <w:rFonts w:ascii="ITC Avant Garde" w:hAnsi="ITC Avant Garde"/>
          <w:lang w:val="es-MX"/>
        </w:rPr>
        <w:t xml:space="preserve"> y</w:t>
      </w:r>
      <w:r w:rsidR="00F03FE9" w:rsidRPr="004C1A96">
        <w:rPr>
          <w:rFonts w:ascii="ITC Avant Garde" w:hAnsi="ITC Avant Garde"/>
          <w:lang w:val="es-MX"/>
        </w:rPr>
        <w:t xml:space="preserve"> que</w:t>
      </w:r>
      <w:r w:rsidRPr="004C1A96">
        <w:rPr>
          <w:rFonts w:ascii="ITC Avant Garde" w:hAnsi="ITC Avant Garde"/>
          <w:lang w:val="es-MX"/>
        </w:rPr>
        <w:t xml:space="preserve">, por lo tanto, el cable de </w:t>
      </w:r>
      <w:r w:rsidR="00F03FE9" w:rsidRPr="004C1A96">
        <w:rPr>
          <w:rFonts w:ascii="ITC Avant Garde" w:hAnsi="ITC Avant Garde"/>
          <w:lang w:val="es-MX"/>
        </w:rPr>
        <w:t>acometida</w:t>
      </w:r>
      <w:r w:rsidRPr="004C1A96">
        <w:rPr>
          <w:rFonts w:ascii="ITC Avant Garde" w:hAnsi="ITC Avant Garde"/>
          <w:lang w:val="es-MX"/>
        </w:rPr>
        <w:t xml:space="preserve"> se vuelv</w:t>
      </w:r>
      <w:r w:rsidR="00DE156C" w:rsidRPr="004C1A96">
        <w:rPr>
          <w:rFonts w:ascii="ITC Avant Garde" w:hAnsi="ITC Avant Garde"/>
          <w:lang w:val="es-MX"/>
        </w:rPr>
        <w:t>a</w:t>
      </w:r>
      <w:r w:rsidRPr="004C1A96">
        <w:rPr>
          <w:rFonts w:ascii="ITC Avant Garde" w:hAnsi="ITC Avant Garde"/>
          <w:lang w:val="es-MX"/>
        </w:rPr>
        <w:t xml:space="preserve"> inactivo. Además, en un edificio con varios alojamientos, parece más eficiente desplegar cables de bajada del sótano del edificio a todos los alojamientos, incluso si algunos alojamientos no alojan a un cliente activo.</w:t>
      </w:r>
    </w:p>
    <w:p w14:paraId="53AE5B43" w14:textId="77777777" w:rsidR="00A374A9" w:rsidRPr="004C1A96" w:rsidRDefault="00A374A9" w:rsidP="00A374A9">
      <w:pPr>
        <w:rPr>
          <w:rFonts w:ascii="ITC Avant Garde" w:hAnsi="ITC Avant Garde"/>
          <w:lang w:val="es-MX"/>
        </w:rPr>
      </w:pPr>
      <w:r w:rsidRPr="004C1A96">
        <w:rPr>
          <w:rFonts w:ascii="ITC Avant Garde" w:hAnsi="ITC Avant Garde"/>
          <w:lang w:val="es-MX"/>
        </w:rPr>
        <w:t xml:space="preserve">Sin embargo, los costos deben recuperarse en el subconjunto de ubicaciones conectadas que se supone </w:t>
      </w:r>
      <w:r w:rsidR="00F03FE9" w:rsidRPr="004C1A96">
        <w:rPr>
          <w:rFonts w:ascii="ITC Avant Garde" w:hAnsi="ITC Avant Garde"/>
          <w:lang w:val="es-MX"/>
        </w:rPr>
        <w:t xml:space="preserve">que </w:t>
      </w:r>
      <w:r w:rsidRPr="004C1A96">
        <w:rPr>
          <w:rFonts w:ascii="ITC Avant Garde" w:hAnsi="ITC Avant Garde"/>
          <w:lang w:val="es-MX"/>
        </w:rPr>
        <w:t>tienen una suscripción activa.</w:t>
      </w:r>
    </w:p>
    <w:p w14:paraId="62EFF174" w14:textId="77777777" w:rsidR="00A374A9" w:rsidRPr="004C1A96" w:rsidRDefault="00A374A9" w:rsidP="00A374A9">
      <w:pPr>
        <w:pStyle w:val="Encadr3"/>
        <w:rPr>
          <w:rFonts w:ascii="ITC Avant Garde" w:hAnsi="ITC Avant Garde"/>
          <w:lang w:val="es-MX"/>
        </w:rPr>
      </w:pPr>
      <w:r w:rsidRPr="004C1A96">
        <w:rPr>
          <w:rFonts w:ascii="ITC Avant Garde" w:hAnsi="ITC Avant Garde"/>
          <w:lang w:val="es-MX"/>
        </w:rPr>
        <w:t xml:space="preserve">Criterio 17: El costo de todas las instalaciones que se </w:t>
      </w:r>
      <w:r w:rsidR="00F03FE9" w:rsidRPr="004C1A96">
        <w:rPr>
          <w:rFonts w:ascii="ITC Avant Garde" w:hAnsi="ITC Avant Garde"/>
          <w:lang w:val="es-MX"/>
        </w:rPr>
        <w:t>consideran como conectadas</w:t>
      </w:r>
      <w:r w:rsidRPr="004C1A96">
        <w:rPr>
          <w:rFonts w:ascii="ITC Avant Garde" w:hAnsi="ITC Avant Garde"/>
          <w:lang w:val="es-MX"/>
        </w:rPr>
        <w:t xml:space="preserve"> se t</w:t>
      </w:r>
      <w:r w:rsidR="00F03FE9" w:rsidRPr="004C1A96">
        <w:rPr>
          <w:rFonts w:ascii="ITC Avant Garde" w:hAnsi="ITC Avant Garde"/>
          <w:lang w:val="es-MX"/>
        </w:rPr>
        <w:t>i</w:t>
      </w:r>
      <w:r w:rsidRPr="004C1A96">
        <w:rPr>
          <w:rFonts w:ascii="ITC Avant Garde" w:hAnsi="ITC Avant Garde"/>
          <w:lang w:val="es-MX"/>
        </w:rPr>
        <w:t>en</w:t>
      </w:r>
      <w:r w:rsidR="00F03FE9" w:rsidRPr="004C1A96">
        <w:rPr>
          <w:rFonts w:ascii="ITC Avant Garde" w:hAnsi="ITC Avant Garde"/>
          <w:lang w:val="es-MX"/>
        </w:rPr>
        <w:t>e</w:t>
      </w:r>
      <w:r w:rsidRPr="004C1A96">
        <w:rPr>
          <w:rFonts w:ascii="ITC Avant Garde" w:hAnsi="ITC Avant Garde"/>
          <w:lang w:val="es-MX"/>
        </w:rPr>
        <w:t xml:space="preserve"> en cuenta en </w:t>
      </w:r>
      <w:r w:rsidR="00F03FE9" w:rsidRPr="004C1A96">
        <w:rPr>
          <w:rFonts w:ascii="ITC Avant Garde" w:hAnsi="ITC Avant Garde"/>
          <w:lang w:val="es-MX"/>
        </w:rPr>
        <w:t xml:space="preserve">la recuperación </w:t>
      </w:r>
      <w:r w:rsidRPr="004C1A96">
        <w:rPr>
          <w:rFonts w:ascii="ITC Avant Garde" w:hAnsi="ITC Avant Garde"/>
          <w:lang w:val="es-MX"/>
        </w:rPr>
        <w:t>de</w:t>
      </w:r>
      <w:r w:rsidR="00F03FE9" w:rsidRPr="004C1A96">
        <w:rPr>
          <w:rFonts w:ascii="ITC Avant Garde" w:hAnsi="ITC Avant Garde"/>
          <w:lang w:val="es-MX"/>
        </w:rPr>
        <w:t xml:space="preserve"> </w:t>
      </w:r>
      <w:r w:rsidRPr="004C1A96">
        <w:rPr>
          <w:rFonts w:ascii="ITC Avant Garde" w:hAnsi="ITC Avant Garde"/>
          <w:lang w:val="es-MX"/>
        </w:rPr>
        <w:t>l</w:t>
      </w:r>
      <w:r w:rsidR="00F03FE9" w:rsidRPr="004C1A96">
        <w:rPr>
          <w:rFonts w:ascii="ITC Avant Garde" w:hAnsi="ITC Avant Garde"/>
          <w:lang w:val="es-MX"/>
        </w:rPr>
        <w:t>os</w:t>
      </w:r>
      <w:r w:rsidRPr="004C1A96">
        <w:rPr>
          <w:rFonts w:ascii="ITC Avant Garde" w:hAnsi="ITC Avant Garde"/>
          <w:lang w:val="es-MX"/>
        </w:rPr>
        <w:t xml:space="preserve"> costo</w:t>
      </w:r>
      <w:r w:rsidR="00F03FE9" w:rsidRPr="004C1A96">
        <w:rPr>
          <w:rFonts w:ascii="ITC Avant Garde" w:hAnsi="ITC Avant Garde"/>
          <w:lang w:val="es-MX"/>
        </w:rPr>
        <w:t>s</w:t>
      </w:r>
      <w:r w:rsidRPr="004C1A96">
        <w:rPr>
          <w:rFonts w:ascii="ITC Avant Garde" w:hAnsi="ITC Avant Garde"/>
          <w:lang w:val="es-MX"/>
        </w:rPr>
        <w:t xml:space="preserve">. Las premisas conectadas y activas </w:t>
      </w:r>
      <w:r w:rsidR="00F03FE9" w:rsidRPr="004C1A96">
        <w:rPr>
          <w:rFonts w:ascii="ITC Avant Garde" w:hAnsi="ITC Avant Garde"/>
          <w:lang w:val="es-MX"/>
        </w:rPr>
        <w:t xml:space="preserve">se </w:t>
      </w:r>
      <w:r w:rsidRPr="004C1A96">
        <w:rPr>
          <w:rFonts w:ascii="ITC Avant Garde" w:hAnsi="ITC Avant Garde"/>
          <w:lang w:val="es-MX"/>
        </w:rPr>
        <w:t>diferencia</w:t>
      </w:r>
      <w:r w:rsidR="00F03FE9" w:rsidRPr="004C1A96">
        <w:rPr>
          <w:rFonts w:ascii="ITC Avant Garde" w:hAnsi="ITC Avant Garde"/>
          <w:lang w:val="es-MX"/>
        </w:rPr>
        <w:t>n</w:t>
      </w:r>
      <w:r w:rsidRPr="004C1A96">
        <w:rPr>
          <w:rFonts w:ascii="ITC Avant Garde" w:hAnsi="ITC Avant Garde"/>
          <w:lang w:val="es-MX"/>
        </w:rPr>
        <w:t xml:space="preserve"> </w:t>
      </w:r>
      <w:r w:rsidR="00F03FE9" w:rsidRPr="004C1A96">
        <w:rPr>
          <w:rFonts w:ascii="ITC Avant Garde" w:hAnsi="ITC Avant Garde"/>
          <w:lang w:val="es-MX"/>
        </w:rPr>
        <w:t>a fin de</w:t>
      </w:r>
      <w:r w:rsidRPr="004C1A96">
        <w:rPr>
          <w:rFonts w:ascii="ITC Avant Garde" w:hAnsi="ITC Avant Garde"/>
          <w:lang w:val="es-MX"/>
        </w:rPr>
        <w:t xml:space="preserve"> considerar que las instalaciones activas incluyen solo líneas con una suscripción activa, mientras que las líneas conectadas incluyen, además de las instalaciones activas, algunas premisas inactivas para reflejar que las transferencias se implementan para tener en cuenta también el abandono del cliente como despliegues de cables sueltos en la construcción con varios alojamientos (independientemente de la </w:t>
      </w:r>
      <w:r w:rsidR="00F03FE9" w:rsidRPr="004C1A96">
        <w:rPr>
          <w:rFonts w:ascii="ITC Avant Garde" w:hAnsi="ITC Avant Garde"/>
          <w:lang w:val="es-MX"/>
        </w:rPr>
        <w:t>p</w:t>
      </w:r>
      <w:r w:rsidRPr="004C1A96">
        <w:rPr>
          <w:rFonts w:ascii="ITC Avant Garde" w:hAnsi="ITC Avant Garde"/>
          <w:lang w:val="es-MX"/>
        </w:rPr>
        <w:t>resencia o no del cliente).</w:t>
      </w:r>
    </w:p>
    <w:p w14:paraId="17C1EE82" w14:textId="327D4DC8" w:rsidR="00A374A9" w:rsidRPr="004C1A96" w:rsidRDefault="00A374A9" w:rsidP="00EC64D6">
      <w:pPr>
        <w:pStyle w:val="Encadr3"/>
        <w:rPr>
          <w:rFonts w:ascii="ITC Avant Garde" w:hAnsi="ITC Avant Garde"/>
          <w:lang w:val="es-MX"/>
        </w:rPr>
      </w:pPr>
      <w:r w:rsidRPr="004C1A96">
        <w:rPr>
          <w:rFonts w:ascii="ITC Avant Garde" w:hAnsi="ITC Avant Garde"/>
          <w:lang w:val="es-MX"/>
        </w:rPr>
        <w:t>La recuperación de costos siempre se realiza en base a las premisas activas.</w:t>
      </w:r>
    </w:p>
    <w:p w14:paraId="05E7B6D7" w14:textId="77777777" w:rsidR="00A374A9" w:rsidRPr="008F42FC" w:rsidRDefault="004B276B" w:rsidP="003C224B">
      <w:pPr>
        <w:pStyle w:val="Ttulo4"/>
        <w:rPr>
          <w:lang w:val="es-MX"/>
        </w:rPr>
      </w:pPr>
      <w:bookmarkStart w:id="123" w:name="_Toc525665276"/>
      <w:bookmarkStart w:id="124" w:name="_Toc525665655"/>
      <w:bookmarkStart w:id="125" w:name="_Toc141975013"/>
      <w:r w:rsidRPr="008F42FC">
        <w:rPr>
          <w:lang w:val="es-MX"/>
        </w:rPr>
        <w:t>Compartición</w:t>
      </w:r>
      <w:r w:rsidR="00A374A9" w:rsidRPr="008F42FC">
        <w:rPr>
          <w:lang w:val="es-MX"/>
        </w:rPr>
        <w:t xml:space="preserve"> de infraestructura</w:t>
      </w:r>
      <w:bookmarkEnd w:id="123"/>
      <w:bookmarkEnd w:id="124"/>
      <w:bookmarkEnd w:id="125"/>
    </w:p>
    <w:p w14:paraId="255DFFC4" w14:textId="77777777" w:rsidR="00A374A9" w:rsidRPr="004C1A96" w:rsidRDefault="00A374A9" w:rsidP="00A374A9">
      <w:pPr>
        <w:rPr>
          <w:rFonts w:ascii="ITC Avant Garde" w:hAnsi="ITC Avant Garde"/>
          <w:lang w:val="es-MX"/>
        </w:rPr>
      </w:pPr>
      <w:r w:rsidRPr="004C1A96">
        <w:rPr>
          <w:rFonts w:ascii="ITC Avant Garde" w:hAnsi="ITC Avant Garde"/>
          <w:lang w:val="es-MX"/>
        </w:rPr>
        <w:t>Una red de acceso puede compartir infraestructura con otros niveles de red (por ejemplo, rutas de</w:t>
      </w:r>
      <w:r w:rsidR="00F03FE9" w:rsidRPr="00E14D8A">
        <w:rPr>
          <w:rFonts w:ascii="ITC Avant Garde" w:hAnsi="ITC Avant Garde"/>
          <w:lang w:val="es-MX"/>
        </w:rPr>
        <w:t xml:space="preserve"> la red</w:t>
      </w:r>
      <w:r w:rsidRPr="00E14D8A">
        <w:rPr>
          <w:rFonts w:ascii="ITC Avant Garde" w:hAnsi="ITC Avant Garde"/>
          <w:lang w:val="es-MX"/>
        </w:rPr>
        <w:t xml:space="preserve"> central), así como con otros operadores, como </w:t>
      </w:r>
      <w:r w:rsidR="00EB2A89" w:rsidRPr="00E14D8A">
        <w:rPr>
          <w:rFonts w:ascii="ITC Avant Garde" w:hAnsi="ITC Avant Garde"/>
          <w:lang w:val="es-MX"/>
        </w:rPr>
        <w:t>otros servic</w:t>
      </w:r>
      <w:r w:rsidR="00D65193" w:rsidRPr="00E14D8A">
        <w:rPr>
          <w:rFonts w:ascii="ITC Avant Garde" w:hAnsi="ITC Avant Garde"/>
          <w:lang w:val="es-MX"/>
        </w:rPr>
        <w:t>i</w:t>
      </w:r>
      <w:r w:rsidR="00EB2A89" w:rsidRPr="00E14D8A">
        <w:rPr>
          <w:rFonts w:ascii="ITC Avant Garde" w:hAnsi="ITC Avant Garde"/>
          <w:lang w:val="es-MX"/>
        </w:rPr>
        <w:t xml:space="preserve">os </w:t>
      </w:r>
      <w:r w:rsidR="00F03FE9" w:rsidRPr="00E14D8A">
        <w:rPr>
          <w:rFonts w:ascii="ITC Avant Garde" w:hAnsi="ITC Avant Garde"/>
          <w:lang w:val="es-MX"/>
        </w:rPr>
        <w:t>(</w:t>
      </w:r>
      <w:r w:rsidR="00F2544C" w:rsidRPr="00E14D8A">
        <w:rPr>
          <w:rFonts w:ascii="ITC Avant Garde" w:hAnsi="ITC Avant Garde"/>
          <w:lang w:val="es-MX"/>
        </w:rPr>
        <w:t>energía</w:t>
      </w:r>
      <w:r w:rsidR="00F03FE9" w:rsidRPr="006C39A2">
        <w:rPr>
          <w:rFonts w:ascii="ITC Avant Garde" w:hAnsi="ITC Avant Garde"/>
          <w:lang w:val="es-MX"/>
        </w:rPr>
        <w:t>, agua)</w:t>
      </w:r>
      <w:r w:rsidRPr="004C1A96">
        <w:rPr>
          <w:rFonts w:ascii="ITC Avant Garde" w:hAnsi="ITC Avant Garde"/>
          <w:lang w:val="es-MX"/>
        </w:rPr>
        <w:t xml:space="preserve">, </w:t>
      </w:r>
      <w:r w:rsidR="00F2544C" w:rsidRPr="004C1A96">
        <w:rPr>
          <w:rFonts w:ascii="ITC Avant Garde" w:hAnsi="ITC Avant Garde"/>
          <w:lang w:val="es-MX"/>
        </w:rPr>
        <w:t>u</w:t>
      </w:r>
      <w:r w:rsidR="00F03FE9" w:rsidRPr="004C1A96">
        <w:rPr>
          <w:rFonts w:ascii="ITC Avant Garde" w:hAnsi="ITC Avant Garde"/>
          <w:lang w:val="es-MX"/>
        </w:rPr>
        <w:t xml:space="preserve"> operadores de </w:t>
      </w:r>
      <w:r w:rsidRPr="004C1A96">
        <w:rPr>
          <w:rFonts w:ascii="ITC Avant Garde" w:hAnsi="ITC Avant Garde"/>
          <w:lang w:val="es-MX"/>
        </w:rPr>
        <w:t>televisión por cable. El uso compartido de la infraestructura de red debe tenerse en cuenta en el modelo de costos. El uso compartido de infraestructura es una práctica común en las implementaciones de redes, ya que el trabajo de ingeniería civil es costoso y los activos de ingeniería civil constituyen una parte importante de la infraestructura.</w:t>
      </w:r>
    </w:p>
    <w:p w14:paraId="2229DBBF" w14:textId="77777777" w:rsidR="00A374A9" w:rsidRPr="004C1A96" w:rsidRDefault="00A374A9" w:rsidP="00A374A9">
      <w:pPr>
        <w:rPr>
          <w:rFonts w:ascii="ITC Avant Garde" w:hAnsi="ITC Avant Garde"/>
          <w:lang w:val="es-MX"/>
        </w:rPr>
      </w:pPr>
      <w:r w:rsidRPr="004C1A96">
        <w:rPr>
          <w:rFonts w:ascii="ITC Avant Garde" w:hAnsi="ITC Avant Garde"/>
          <w:lang w:val="es-MX"/>
        </w:rPr>
        <w:t xml:space="preserve">Por lo tanto, es </w:t>
      </w:r>
      <w:r w:rsidR="00F03FE9" w:rsidRPr="004C1A96">
        <w:rPr>
          <w:rFonts w:ascii="ITC Avant Garde" w:hAnsi="ITC Avant Garde"/>
          <w:lang w:val="es-MX"/>
        </w:rPr>
        <w:t>consistente</w:t>
      </w:r>
      <w:r w:rsidRPr="004C1A96">
        <w:rPr>
          <w:rFonts w:ascii="ITC Avant Garde" w:hAnsi="ITC Avant Garde"/>
          <w:lang w:val="es-MX"/>
        </w:rPr>
        <w:t xml:space="preserve"> considerar el uso compartido de la infraestructura tanto desde el punto de vista empresarial como desde el punto de vista socioeconómico. Generalmente, las ANR son </w:t>
      </w:r>
      <w:r w:rsidR="00F03FE9" w:rsidRPr="004C1A96">
        <w:rPr>
          <w:rFonts w:ascii="ITC Avant Garde" w:hAnsi="ITC Avant Garde"/>
          <w:lang w:val="es-MX"/>
        </w:rPr>
        <w:t>favorables</w:t>
      </w:r>
      <w:r w:rsidRPr="004C1A96">
        <w:rPr>
          <w:rFonts w:ascii="ITC Avant Garde" w:hAnsi="ITC Avant Garde"/>
          <w:lang w:val="es-MX"/>
        </w:rPr>
        <w:t xml:space="preserve"> a</w:t>
      </w:r>
      <w:r w:rsidR="00F03FE9" w:rsidRPr="004C1A96">
        <w:rPr>
          <w:rFonts w:ascii="ITC Avant Garde" w:hAnsi="ITC Avant Garde"/>
          <w:lang w:val="es-MX"/>
        </w:rPr>
        <w:t xml:space="preserve"> </w:t>
      </w:r>
      <w:r w:rsidRPr="004C1A96">
        <w:rPr>
          <w:rFonts w:ascii="ITC Avant Garde" w:hAnsi="ITC Avant Garde"/>
          <w:lang w:val="es-MX"/>
        </w:rPr>
        <w:t>l</w:t>
      </w:r>
      <w:r w:rsidR="00F03FE9" w:rsidRPr="004C1A96">
        <w:rPr>
          <w:rFonts w:ascii="ITC Avant Garde" w:hAnsi="ITC Avant Garde"/>
          <w:lang w:val="es-MX"/>
        </w:rPr>
        <w:t>a</w:t>
      </w:r>
      <w:r w:rsidRPr="004C1A96">
        <w:rPr>
          <w:rFonts w:ascii="ITC Avant Garde" w:hAnsi="ITC Avant Garde"/>
          <w:lang w:val="es-MX"/>
        </w:rPr>
        <w:t xml:space="preserve"> </w:t>
      </w:r>
      <w:r w:rsidR="00F2544C" w:rsidRPr="004C1A96">
        <w:rPr>
          <w:rFonts w:ascii="ITC Avant Garde" w:hAnsi="ITC Avant Garde"/>
          <w:lang w:val="es-MX"/>
        </w:rPr>
        <w:t>compartición</w:t>
      </w:r>
      <w:r w:rsidRPr="004C1A96">
        <w:rPr>
          <w:rFonts w:ascii="ITC Avant Garde" w:hAnsi="ITC Avant Garde"/>
          <w:lang w:val="es-MX"/>
        </w:rPr>
        <w:t xml:space="preserve"> de infraestructura, siempre que no </w:t>
      </w:r>
      <w:r w:rsidR="000C6CFA" w:rsidRPr="004C1A96">
        <w:rPr>
          <w:rFonts w:ascii="ITC Avant Garde" w:hAnsi="ITC Avant Garde"/>
          <w:lang w:val="es-MX"/>
        </w:rPr>
        <w:t>perjud</w:t>
      </w:r>
      <w:r w:rsidR="00DE156C" w:rsidRPr="004C1A96">
        <w:rPr>
          <w:rFonts w:ascii="ITC Avant Garde" w:hAnsi="ITC Avant Garde"/>
          <w:lang w:val="es-MX"/>
        </w:rPr>
        <w:t>iquen</w:t>
      </w:r>
      <w:r w:rsidRPr="004C1A96">
        <w:rPr>
          <w:rFonts w:ascii="ITC Avant Garde" w:hAnsi="ITC Avant Garde"/>
          <w:lang w:val="es-MX"/>
        </w:rPr>
        <w:t xml:space="preserve"> la competencia o la resiliencia de la red</w:t>
      </w:r>
      <w:r w:rsidR="000C6CFA" w:rsidRPr="004C1A96">
        <w:rPr>
          <w:rFonts w:ascii="ITC Avant Garde" w:hAnsi="ITC Avant Garde"/>
          <w:lang w:val="es-MX"/>
        </w:rPr>
        <w:t>,</w:t>
      </w:r>
      <w:r w:rsidRPr="004C1A96">
        <w:rPr>
          <w:rFonts w:ascii="ITC Avant Garde" w:hAnsi="ITC Avant Garde"/>
          <w:lang w:val="es-MX"/>
        </w:rPr>
        <w:t xml:space="preserve"> pero requiere acuerdos entre los participantes del mercado.</w:t>
      </w:r>
    </w:p>
    <w:p w14:paraId="3ADFE430" w14:textId="77777777" w:rsidR="00A374A9" w:rsidRPr="004C1A96" w:rsidRDefault="00A374A9" w:rsidP="00A374A9">
      <w:pPr>
        <w:rPr>
          <w:rFonts w:ascii="ITC Avant Garde" w:hAnsi="ITC Avant Garde"/>
          <w:lang w:val="es-MX"/>
        </w:rPr>
      </w:pPr>
      <w:r w:rsidRPr="004C1A96">
        <w:rPr>
          <w:rFonts w:ascii="ITC Avant Garde" w:hAnsi="ITC Avant Garde"/>
          <w:lang w:val="es-MX"/>
        </w:rPr>
        <w:t xml:space="preserve">Con la aplicación de </w:t>
      </w:r>
      <w:r w:rsidR="000C6CFA" w:rsidRPr="004C1A96">
        <w:rPr>
          <w:rFonts w:ascii="ITC Avant Garde" w:hAnsi="ITC Avant Garde"/>
          <w:lang w:val="es-MX"/>
        </w:rPr>
        <w:t>ciertas medidas</w:t>
      </w:r>
      <w:r w:rsidRPr="004C1A96">
        <w:rPr>
          <w:rFonts w:ascii="ITC Avant Garde" w:hAnsi="ITC Avant Garde"/>
          <w:lang w:val="es-MX"/>
        </w:rPr>
        <w:t xml:space="preserve">, un operador de red puede, bajo ciertas condiciones, tener derecho a acceder a la infraestructura de un propietario de red y tener derecho a coordinar su proyecto con un proyecto de construcción de un </w:t>
      </w:r>
      <w:r w:rsidRPr="004C1A96">
        <w:rPr>
          <w:rFonts w:ascii="ITC Avant Garde" w:hAnsi="ITC Avant Garde"/>
          <w:lang w:val="es-MX"/>
        </w:rPr>
        <w:lastRenderedPageBreak/>
        <w:t>propietario de red para construir redes de banda ancha. Los reguladores manejan la resolución de disputas en caso de que las partes no puedan llegar a un acuerdo de precios. Por lo tanto, este objetivo de compartir infraestructura debe reflejarse en el modelo.</w:t>
      </w:r>
    </w:p>
    <w:p w14:paraId="3A41C8F3" w14:textId="77777777" w:rsidR="00A374A9" w:rsidRPr="004C1A96" w:rsidRDefault="00A374A9" w:rsidP="00A374A9">
      <w:pPr>
        <w:rPr>
          <w:rFonts w:ascii="ITC Avant Garde" w:hAnsi="ITC Avant Garde"/>
          <w:lang w:val="es-MX"/>
        </w:rPr>
      </w:pPr>
      <w:r w:rsidRPr="004C1A96">
        <w:rPr>
          <w:rFonts w:ascii="ITC Avant Garde" w:hAnsi="ITC Avant Garde"/>
          <w:lang w:val="es-MX"/>
        </w:rPr>
        <w:t>La parte de los costos asignados a los otros niveles de la red (por ejemplo, entre la red central y de acceso) y a los otros operadores o servicios se puede determinar de acuerdo con varios tipos de reglas de asignación, tales como:</w:t>
      </w:r>
    </w:p>
    <w:p w14:paraId="08C6DF02" w14:textId="77777777" w:rsidR="00A374A9" w:rsidRPr="004C1A96" w:rsidRDefault="00A374A9" w:rsidP="000C6CFA">
      <w:pPr>
        <w:pStyle w:val="Listaconvietas2"/>
        <w:rPr>
          <w:rFonts w:ascii="ITC Avant Garde" w:hAnsi="ITC Avant Garde"/>
          <w:lang w:val="es-MX"/>
        </w:rPr>
      </w:pPr>
      <w:r w:rsidRPr="004C1A96">
        <w:rPr>
          <w:rFonts w:ascii="ITC Avant Garde" w:hAnsi="ITC Avant Garde"/>
          <w:lang w:val="es-MX"/>
        </w:rPr>
        <w:t>50/50: a cada red se le asigna la mitad de la parte compartida;</w:t>
      </w:r>
    </w:p>
    <w:p w14:paraId="50660334" w14:textId="77777777" w:rsidR="00A374A9" w:rsidRPr="004C1A96" w:rsidRDefault="00A374A9" w:rsidP="000C6CFA">
      <w:pPr>
        <w:pStyle w:val="Listaconvietas2"/>
        <w:rPr>
          <w:rFonts w:ascii="ITC Avant Garde" w:hAnsi="ITC Avant Garde"/>
          <w:lang w:val="es-MX"/>
        </w:rPr>
      </w:pPr>
      <w:r w:rsidRPr="004C1A96">
        <w:rPr>
          <w:rFonts w:ascii="ITC Avant Garde" w:hAnsi="ITC Avant Garde"/>
          <w:lang w:val="es-MX"/>
        </w:rPr>
        <w:t xml:space="preserve">La cantidad de cables: </w:t>
      </w:r>
      <w:r w:rsidR="00DE156C" w:rsidRPr="004C1A96">
        <w:rPr>
          <w:rFonts w:ascii="ITC Avant Garde" w:hAnsi="ITC Avant Garde"/>
          <w:lang w:val="es-MX"/>
        </w:rPr>
        <w:t>A</w:t>
      </w:r>
      <w:r w:rsidRPr="004C1A96">
        <w:rPr>
          <w:rFonts w:ascii="ITC Avant Garde" w:hAnsi="ITC Avant Garde"/>
          <w:lang w:val="es-MX"/>
        </w:rPr>
        <w:t xml:space="preserve"> cada red se le asignan los costos de la parte compartida en proporción a la cantidad de cables que utiliza;</w:t>
      </w:r>
    </w:p>
    <w:p w14:paraId="7495B38F" w14:textId="77777777" w:rsidR="00A374A9" w:rsidRPr="004C1A96" w:rsidRDefault="00A374A9" w:rsidP="000C6CFA">
      <w:pPr>
        <w:pStyle w:val="Listaconvietas2"/>
        <w:rPr>
          <w:rFonts w:ascii="ITC Avant Garde" w:hAnsi="ITC Avant Garde"/>
          <w:lang w:val="es-MX"/>
        </w:rPr>
      </w:pPr>
      <w:r w:rsidRPr="004C1A96">
        <w:rPr>
          <w:rFonts w:ascii="ITC Avant Garde" w:hAnsi="ITC Avant Garde"/>
          <w:lang w:val="es-MX"/>
        </w:rPr>
        <w:t xml:space="preserve">La superficie de los cables: </w:t>
      </w:r>
      <w:r w:rsidR="00DE156C" w:rsidRPr="004C1A96">
        <w:rPr>
          <w:rFonts w:ascii="ITC Avant Garde" w:hAnsi="ITC Avant Garde"/>
          <w:lang w:val="es-MX"/>
        </w:rPr>
        <w:t>A</w:t>
      </w:r>
      <w:r w:rsidRPr="004C1A96">
        <w:rPr>
          <w:rFonts w:ascii="ITC Avant Garde" w:hAnsi="ITC Avant Garde"/>
          <w:lang w:val="es-MX"/>
        </w:rPr>
        <w:t xml:space="preserve"> cada red se le asignan los costos de la parte compartida en proporción a la superficie total de los cables que utiliza (enfoque preferido implementado en el modelo de costos ya que esto es más consistente con los factores de costo);</w:t>
      </w:r>
    </w:p>
    <w:p w14:paraId="2E1674B4" w14:textId="77777777" w:rsidR="00A374A9" w:rsidRPr="004C1A96" w:rsidRDefault="00A374A9" w:rsidP="000C6CFA">
      <w:pPr>
        <w:pStyle w:val="Listaconvietas2"/>
        <w:rPr>
          <w:rFonts w:ascii="ITC Avant Garde" w:hAnsi="ITC Avant Garde"/>
          <w:lang w:val="es-MX"/>
        </w:rPr>
      </w:pPr>
      <w:r w:rsidRPr="004C1A96">
        <w:rPr>
          <w:rFonts w:ascii="ITC Avant Garde" w:hAnsi="ITC Avant Garde"/>
          <w:lang w:val="es-MX"/>
        </w:rPr>
        <w:t>Reglas especiales tales como las reglas estipuladas en el contrato entre dos operadores de red.</w:t>
      </w:r>
    </w:p>
    <w:p w14:paraId="2E87EBB1" w14:textId="77777777" w:rsidR="00A374A9" w:rsidRPr="004C1A96" w:rsidRDefault="00A374A9" w:rsidP="00A374A9">
      <w:pPr>
        <w:rPr>
          <w:rFonts w:ascii="ITC Avant Garde" w:hAnsi="ITC Avant Garde"/>
          <w:lang w:val="es-MX"/>
        </w:rPr>
      </w:pPr>
      <w:r w:rsidRPr="004C1A96">
        <w:rPr>
          <w:rFonts w:ascii="ITC Avant Garde" w:hAnsi="ITC Avant Garde"/>
          <w:lang w:val="es-MX"/>
        </w:rPr>
        <w:t xml:space="preserve">Si solo hay cables de acceso en una sección, entonces el 100% de los costos de la zanja deberían asignarse a la red de acceso y recíprocamente, si en una sección solo hay cables </w:t>
      </w:r>
      <w:r w:rsidR="000C6CFA" w:rsidRPr="004C1A96">
        <w:rPr>
          <w:rFonts w:ascii="ITC Avant Garde" w:hAnsi="ITC Avant Garde"/>
          <w:lang w:val="es-MX"/>
        </w:rPr>
        <w:t>de transporte</w:t>
      </w:r>
      <w:r w:rsidRPr="004C1A96">
        <w:rPr>
          <w:rFonts w:ascii="ITC Avant Garde" w:hAnsi="ITC Avant Garde"/>
          <w:lang w:val="es-MX"/>
        </w:rPr>
        <w:t xml:space="preserve">, entonces el 100% de los costos de la zanja deberían asignarse a la red </w:t>
      </w:r>
      <w:r w:rsidR="000C6CFA" w:rsidRPr="004C1A96">
        <w:rPr>
          <w:rFonts w:ascii="ITC Avant Garde" w:hAnsi="ITC Avant Garde"/>
          <w:lang w:val="es-MX"/>
        </w:rPr>
        <w:t>de transporte</w:t>
      </w:r>
      <w:r w:rsidRPr="004C1A96">
        <w:rPr>
          <w:rFonts w:ascii="ITC Avant Garde" w:hAnsi="ITC Avant Garde"/>
          <w:lang w:val="es-MX"/>
        </w:rPr>
        <w:t xml:space="preserve">. Se pueden usar reglas similares para compartir infraestructura con otros tipos de redes (como redes de electricidad). </w:t>
      </w:r>
    </w:p>
    <w:p w14:paraId="2F69B806" w14:textId="77777777" w:rsidR="00A374A9" w:rsidRPr="004C1A96" w:rsidRDefault="00A374A9" w:rsidP="00A374A9">
      <w:pPr>
        <w:pStyle w:val="Encadr3"/>
        <w:rPr>
          <w:rFonts w:ascii="ITC Avant Garde" w:hAnsi="ITC Avant Garde"/>
          <w:lang w:val="es-MX"/>
        </w:rPr>
      </w:pPr>
      <w:r w:rsidRPr="004C1A96">
        <w:rPr>
          <w:rFonts w:ascii="ITC Avant Garde" w:hAnsi="ITC Avant Garde"/>
          <w:lang w:val="es-MX"/>
        </w:rPr>
        <w:t>Criterio 18: El modelo t</w:t>
      </w:r>
      <w:r w:rsidR="000C6CFA" w:rsidRPr="004C1A96">
        <w:rPr>
          <w:rFonts w:ascii="ITC Avant Garde" w:hAnsi="ITC Avant Garde"/>
          <w:lang w:val="es-MX"/>
        </w:rPr>
        <w:t>i</w:t>
      </w:r>
      <w:r w:rsidRPr="004C1A96">
        <w:rPr>
          <w:rFonts w:ascii="ITC Avant Garde" w:hAnsi="ITC Avant Garde"/>
          <w:lang w:val="es-MX"/>
        </w:rPr>
        <w:t xml:space="preserve">ene en cuenta el uso compartido de infraestructura de red </w:t>
      </w:r>
      <w:r w:rsidR="000C6CFA" w:rsidRPr="004C1A96">
        <w:rPr>
          <w:rFonts w:ascii="ITC Avant Garde" w:hAnsi="ITC Avant Garde"/>
          <w:lang w:val="es-MX"/>
        </w:rPr>
        <w:t>entre</w:t>
      </w:r>
      <w:r w:rsidRPr="004C1A96">
        <w:rPr>
          <w:rFonts w:ascii="ITC Avant Garde" w:hAnsi="ITC Avant Garde"/>
          <w:lang w:val="es-MX"/>
        </w:rPr>
        <w:t xml:space="preserve"> la red </w:t>
      </w:r>
      <w:r w:rsidR="000C6CFA" w:rsidRPr="004C1A96">
        <w:rPr>
          <w:rFonts w:ascii="ITC Avant Garde" w:hAnsi="ITC Avant Garde"/>
          <w:lang w:val="es-MX"/>
        </w:rPr>
        <w:t>de transporte</w:t>
      </w:r>
      <w:r w:rsidRPr="004C1A96">
        <w:rPr>
          <w:rFonts w:ascii="ITC Avant Garde" w:hAnsi="ITC Avant Garde"/>
          <w:lang w:val="es-MX"/>
        </w:rPr>
        <w:t xml:space="preserve"> y </w:t>
      </w:r>
      <w:r w:rsidR="000C6CFA" w:rsidRPr="004C1A96">
        <w:rPr>
          <w:rFonts w:ascii="ITC Avant Garde" w:hAnsi="ITC Avant Garde"/>
          <w:lang w:val="es-MX"/>
        </w:rPr>
        <w:t>la red de</w:t>
      </w:r>
      <w:r w:rsidRPr="004C1A96">
        <w:rPr>
          <w:rFonts w:ascii="ITC Avant Garde" w:hAnsi="ITC Avant Garde"/>
          <w:lang w:val="es-MX"/>
        </w:rPr>
        <w:t xml:space="preserve"> acceso</w:t>
      </w:r>
      <w:r w:rsidR="000C6CFA" w:rsidRPr="004C1A96">
        <w:rPr>
          <w:rFonts w:ascii="ITC Avant Garde" w:hAnsi="ITC Avant Garde"/>
          <w:lang w:val="es-MX"/>
        </w:rPr>
        <w:t xml:space="preserve">, </w:t>
      </w:r>
      <w:r w:rsidR="00F2544C" w:rsidRPr="004C1A96">
        <w:rPr>
          <w:rFonts w:ascii="ITC Avant Garde" w:hAnsi="ITC Avant Garde"/>
          <w:lang w:val="es-MX"/>
        </w:rPr>
        <w:t>así</w:t>
      </w:r>
      <w:r w:rsidR="000C6CFA" w:rsidRPr="004C1A96">
        <w:rPr>
          <w:rFonts w:ascii="ITC Avant Garde" w:hAnsi="ITC Avant Garde"/>
          <w:lang w:val="es-MX"/>
        </w:rPr>
        <w:t xml:space="preserve"> como</w:t>
      </w:r>
      <w:r w:rsidRPr="004C1A96">
        <w:rPr>
          <w:rFonts w:ascii="ITC Avant Garde" w:hAnsi="ITC Avant Garde"/>
          <w:lang w:val="es-MX"/>
        </w:rPr>
        <w:t xml:space="preserve"> con otros tipos de redes e infraestructuras.</w:t>
      </w:r>
    </w:p>
    <w:p w14:paraId="05B3E888" w14:textId="77777777" w:rsidR="00A374A9" w:rsidRPr="00EC64D6" w:rsidRDefault="00A374A9" w:rsidP="00F17242">
      <w:pPr>
        <w:pStyle w:val="Ttulo2"/>
        <w:rPr>
          <w:lang w:val="es-MX"/>
        </w:rPr>
      </w:pPr>
      <w:bookmarkStart w:id="126" w:name="_Toc525665277"/>
      <w:bookmarkStart w:id="127" w:name="_Toc525665656"/>
      <w:bookmarkStart w:id="128" w:name="_Toc141975014"/>
      <w:r w:rsidRPr="00EC64D6">
        <w:rPr>
          <w:lang w:val="es-MX"/>
        </w:rPr>
        <w:t>Enfoque de costeo</w:t>
      </w:r>
      <w:bookmarkEnd w:id="126"/>
      <w:bookmarkEnd w:id="127"/>
      <w:bookmarkEnd w:id="128"/>
    </w:p>
    <w:p w14:paraId="61EC540A" w14:textId="77777777" w:rsidR="00A374A9" w:rsidRPr="003C224B" w:rsidRDefault="00A374A9" w:rsidP="0040723E">
      <w:pPr>
        <w:pStyle w:val="Ttulo3"/>
      </w:pPr>
      <w:bookmarkStart w:id="129" w:name="_Toc525665278"/>
      <w:bookmarkStart w:id="130" w:name="_Toc525665657"/>
      <w:bookmarkStart w:id="131" w:name="_Toc141975015"/>
      <w:r w:rsidRPr="003C224B">
        <w:t>CAPEX</w:t>
      </w:r>
      <w:bookmarkEnd w:id="129"/>
      <w:bookmarkEnd w:id="130"/>
      <w:bookmarkEnd w:id="131"/>
    </w:p>
    <w:p w14:paraId="4260EB09" w14:textId="77777777" w:rsidR="00A374A9" w:rsidRPr="008F42FC" w:rsidRDefault="00A374A9" w:rsidP="003C224B">
      <w:pPr>
        <w:pStyle w:val="Ttulo4"/>
        <w:rPr>
          <w:lang w:val="es-MX"/>
        </w:rPr>
      </w:pPr>
      <w:bookmarkStart w:id="132" w:name="_Toc525665279"/>
      <w:bookmarkStart w:id="133" w:name="_Toc525665658"/>
      <w:bookmarkStart w:id="134" w:name="_Toc141975016"/>
      <w:r w:rsidRPr="008F42FC">
        <w:rPr>
          <w:lang w:val="es-MX"/>
        </w:rPr>
        <w:t>Valoración de los activos</w:t>
      </w:r>
      <w:bookmarkEnd w:id="132"/>
      <w:bookmarkEnd w:id="133"/>
      <w:bookmarkEnd w:id="134"/>
    </w:p>
    <w:p w14:paraId="1B258539" w14:textId="38A4885E" w:rsidR="00A374A9" w:rsidRPr="004C1A96" w:rsidRDefault="00A374A9" w:rsidP="00A374A9">
      <w:pPr>
        <w:rPr>
          <w:rFonts w:ascii="ITC Avant Garde" w:hAnsi="ITC Avant Garde"/>
          <w:lang w:val="es-MX"/>
        </w:rPr>
      </w:pPr>
      <w:r w:rsidRPr="004C1A96">
        <w:rPr>
          <w:rFonts w:ascii="ITC Avant Garde" w:hAnsi="ITC Avant Garde"/>
          <w:lang w:val="es-MX"/>
        </w:rPr>
        <w:t>Los gastos de capital de la red, denominados C</w:t>
      </w:r>
      <w:r w:rsidR="000C6CFA" w:rsidRPr="004C1A96">
        <w:rPr>
          <w:rFonts w:ascii="ITC Avant Garde" w:hAnsi="ITC Avant Garde"/>
          <w:lang w:val="es-MX"/>
        </w:rPr>
        <w:t>APEX</w:t>
      </w:r>
      <w:r w:rsidRPr="004C1A96">
        <w:rPr>
          <w:rFonts w:ascii="ITC Avant Garde" w:hAnsi="ITC Avant Garde"/>
          <w:lang w:val="es-MX"/>
        </w:rPr>
        <w:t>, son costos incurridos cuando el operador invierte en equipos y</w:t>
      </w:r>
      <w:r w:rsidR="00875932" w:rsidRPr="004C1A96">
        <w:rPr>
          <w:rFonts w:ascii="ITC Avant Garde" w:hAnsi="ITC Avant Garde"/>
          <w:lang w:val="es-MX"/>
        </w:rPr>
        <w:t>/</w:t>
      </w:r>
      <w:r w:rsidRPr="004C1A96">
        <w:rPr>
          <w:rFonts w:ascii="ITC Avant Garde" w:hAnsi="ITC Avant Garde"/>
          <w:lang w:val="es-MX"/>
        </w:rPr>
        <w:t xml:space="preserve">o diseña </w:t>
      </w:r>
      <w:r w:rsidR="000015D2" w:rsidRPr="004C1A96">
        <w:rPr>
          <w:rFonts w:ascii="ITC Avant Garde" w:hAnsi="ITC Avant Garde"/>
          <w:lang w:val="es-MX"/>
        </w:rPr>
        <w:t>y</w:t>
      </w:r>
      <w:r w:rsidRPr="00E14D8A">
        <w:rPr>
          <w:rFonts w:ascii="ITC Avant Garde" w:hAnsi="ITC Avant Garde"/>
          <w:lang w:val="es-MX"/>
        </w:rPr>
        <w:t xml:space="preserve"> </w:t>
      </w:r>
      <w:r w:rsidR="004C1A96" w:rsidRPr="00E14D8A">
        <w:rPr>
          <w:rFonts w:ascii="ITC Avant Garde" w:hAnsi="ITC Avant Garde"/>
          <w:lang w:val="es-MX"/>
        </w:rPr>
        <w:t>despliegue</w:t>
      </w:r>
      <w:r w:rsidR="000C6CFA" w:rsidRPr="00E14D8A">
        <w:rPr>
          <w:rFonts w:ascii="ITC Avant Garde" w:hAnsi="ITC Avant Garde"/>
          <w:lang w:val="es-MX"/>
        </w:rPr>
        <w:t xml:space="preserve"> </w:t>
      </w:r>
      <w:r w:rsidRPr="00E14D8A">
        <w:rPr>
          <w:rFonts w:ascii="ITC Avant Garde" w:hAnsi="ITC Avant Garde"/>
          <w:lang w:val="es-MX"/>
        </w:rPr>
        <w:t xml:space="preserve">la infraestructura de la red. </w:t>
      </w:r>
      <w:r w:rsidR="000015D2" w:rsidRPr="00E14D8A">
        <w:rPr>
          <w:rFonts w:ascii="ITC Avant Garde" w:hAnsi="ITC Avant Garde"/>
          <w:lang w:val="es-MX"/>
        </w:rPr>
        <w:t>EL</w:t>
      </w:r>
      <w:r w:rsidRPr="006C39A2">
        <w:rPr>
          <w:rFonts w:ascii="ITC Avant Garde" w:hAnsi="ITC Avant Garde"/>
          <w:lang w:val="es-MX"/>
        </w:rPr>
        <w:t xml:space="preserve"> </w:t>
      </w:r>
      <w:r w:rsidR="000C6CFA" w:rsidRPr="006C39A2">
        <w:rPr>
          <w:rFonts w:ascii="ITC Avant Garde" w:hAnsi="ITC Avant Garde"/>
          <w:lang w:val="es-MX"/>
        </w:rPr>
        <w:t>CAPEX asociado con los equipos</w:t>
      </w:r>
      <w:r w:rsidRPr="006C39A2">
        <w:rPr>
          <w:rFonts w:ascii="ITC Avant Garde" w:hAnsi="ITC Avant Garde"/>
          <w:lang w:val="es-MX"/>
        </w:rPr>
        <w:t xml:space="preserve"> incluye</w:t>
      </w:r>
      <w:r w:rsidR="000C6CFA" w:rsidRPr="004C1A96">
        <w:rPr>
          <w:rFonts w:ascii="ITC Avant Garde" w:hAnsi="ITC Avant Garde"/>
          <w:lang w:val="es-MX"/>
        </w:rPr>
        <w:t>n</w:t>
      </w:r>
      <w:r w:rsidRPr="004C1A96">
        <w:rPr>
          <w:rFonts w:ascii="ITC Avant Garde" w:hAnsi="ITC Avant Garde"/>
          <w:lang w:val="es-MX"/>
        </w:rPr>
        <w:t xml:space="preserve">, por ejemplo, </w:t>
      </w:r>
      <w:r w:rsidR="000C6CFA" w:rsidRPr="004C1A96">
        <w:rPr>
          <w:rFonts w:ascii="ITC Avant Garde" w:hAnsi="ITC Avant Garde"/>
          <w:lang w:val="es-MX"/>
        </w:rPr>
        <w:t xml:space="preserve">los costos de </w:t>
      </w:r>
      <w:r w:rsidRPr="004C1A96">
        <w:rPr>
          <w:rFonts w:ascii="ITC Avant Garde" w:hAnsi="ITC Avant Garde"/>
          <w:lang w:val="es-MX"/>
        </w:rPr>
        <w:t xml:space="preserve">cables, conductos, </w:t>
      </w:r>
      <w:r w:rsidR="000C6CFA" w:rsidRPr="004C1A96">
        <w:rPr>
          <w:rFonts w:ascii="ITC Avant Garde" w:hAnsi="ITC Avant Garde"/>
          <w:lang w:val="es-MX"/>
        </w:rPr>
        <w:t>OLT, DSLAM</w:t>
      </w:r>
      <w:r w:rsidRPr="004C1A96">
        <w:rPr>
          <w:rFonts w:ascii="ITC Avant Garde" w:hAnsi="ITC Avant Garde"/>
          <w:lang w:val="es-MX"/>
        </w:rPr>
        <w:t xml:space="preserve">, mientras que </w:t>
      </w:r>
      <w:r w:rsidR="000015D2" w:rsidRPr="004C1A96">
        <w:rPr>
          <w:rFonts w:ascii="ITC Avant Garde" w:hAnsi="ITC Avant Garde"/>
          <w:lang w:val="es-MX"/>
        </w:rPr>
        <w:t>el</w:t>
      </w:r>
      <w:r w:rsidRPr="004C1A96">
        <w:rPr>
          <w:rFonts w:ascii="ITC Avant Garde" w:hAnsi="ITC Avant Garde"/>
          <w:lang w:val="es-MX"/>
        </w:rPr>
        <w:t xml:space="preserve"> </w:t>
      </w:r>
      <w:r w:rsidR="000C6CFA" w:rsidRPr="004C1A96">
        <w:rPr>
          <w:rFonts w:ascii="ITC Avant Garde" w:hAnsi="ITC Avant Garde"/>
          <w:lang w:val="es-MX"/>
        </w:rPr>
        <w:t>CAPEX incurrid</w:t>
      </w:r>
      <w:r w:rsidR="000015D2" w:rsidRPr="004C1A96">
        <w:rPr>
          <w:rFonts w:ascii="ITC Avant Garde" w:hAnsi="ITC Avant Garde"/>
          <w:lang w:val="es-MX"/>
        </w:rPr>
        <w:t>o</w:t>
      </w:r>
      <w:r w:rsidRPr="004C1A96">
        <w:rPr>
          <w:rFonts w:ascii="ITC Avant Garde" w:hAnsi="ITC Avant Garde"/>
          <w:lang w:val="es-MX"/>
        </w:rPr>
        <w:t xml:space="preserve"> para el diseño y la implementación de la </w:t>
      </w:r>
      <w:r w:rsidRPr="004C1A96">
        <w:rPr>
          <w:rFonts w:ascii="ITC Avant Garde" w:hAnsi="ITC Avant Garde"/>
          <w:lang w:val="es-MX"/>
        </w:rPr>
        <w:lastRenderedPageBreak/>
        <w:t>infraestructura de red pueden ser, por ejemplo, adquisición de sitio y obras civiles, así como planificación de la red y administración del despliegue</w:t>
      </w:r>
      <w:r w:rsidR="002213F6">
        <w:rPr>
          <w:rStyle w:val="Refdenotaalpie"/>
          <w:rFonts w:ascii="ITC Avant Garde" w:hAnsi="ITC Avant Garde"/>
          <w:lang w:val="es-MX"/>
        </w:rPr>
        <w:footnoteReference w:id="26"/>
      </w:r>
      <w:r w:rsidRPr="004C1A96">
        <w:rPr>
          <w:rFonts w:ascii="ITC Avant Garde" w:hAnsi="ITC Avant Garde"/>
          <w:lang w:val="es-MX"/>
        </w:rPr>
        <w:t>.</w:t>
      </w:r>
    </w:p>
    <w:p w14:paraId="0974A417" w14:textId="117EBFE4" w:rsidR="00A374A9" w:rsidRPr="004C1A96" w:rsidRDefault="000C6CFA" w:rsidP="00A374A9">
      <w:pPr>
        <w:rPr>
          <w:rFonts w:ascii="ITC Avant Garde" w:hAnsi="ITC Avant Garde"/>
          <w:lang w:val="es-MX"/>
        </w:rPr>
      </w:pPr>
      <w:r w:rsidRPr="00E14D8A">
        <w:rPr>
          <w:rFonts w:ascii="ITC Avant Garde" w:hAnsi="ITC Avant Garde"/>
          <w:lang w:val="es-MX"/>
        </w:rPr>
        <w:t>Bajo</w:t>
      </w:r>
      <w:r w:rsidR="00A374A9" w:rsidRPr="00E14D8A">
        <w:rPr>
          <w:rFonts w:ascii="ITC Avant Garde" w:hAnsi="ITC Avant Garde"/>
          <w:lang w:val="es-MX"/>
        </w:rPr>
        <w:t xml:space="preserve"> el </w:t>
      </w:r>
      <w:r w:rsidRPr="00E14D8A">
        <w:rPr>
          <w:rFonts w:ascii="ITC Avant Garde" w:hAnsi="ITC Avant Garde"/>
          <w:lang w:val="es-MX"/>
        </w:rPr>
        <w:t>enfoque</w:t>
      </w:r>
      <w:r w:rsidR="003A02C7" w:rsidRPr="00E14D8A">
        <w:rPr>
          <w:rFonts w:ascii="ITC Avant Garde" w:hAnsi="ITC Avant Garde"/>
          <w:lang w:val="es-MX"/>
        </w:rPr>
        <w:t xml:space="preserve"> </w:t>
      </w:r>
      <w:r w:rsidR="003A02C7" w:rsidRPr="00E14D8A">
        <w:rPr>
          <w:rFonts w:ascii="ITC Avant Garde" w:hAnsi="ITC Avant Garde"/>
          <w:i/>
          <w:lang w:val="es-MX"/>
        </w:rPr>
        <w:t>Bottom-Up</w:t>
      </w:r>
      <w:r w:rsidR="003A02C7" w:rsidRPr="00E14D8A">
        <w:rPr>
          <w:rFonts w:ascii="ITC Avant Garde" w:hAnsi="ITC Avant Garde"/>
          <w:lang w:val="es-MX"/>
        </w:rPr>
        <w:t xml:space="preserve"> y la metodología CIPLP</w:t>
      </w:r>
      <w:r w:rsidR="00A374A9" w:rsidRPr="00E14D8A">
        <w:rPr>
          <w:rFonts w:ascii="ITC Avant Garde" w:hAnsi="ITC Avant Garde"/>
          <w:lang w:val="es-MX"/>
        </w:rPr>
        <w:t xml:space="preserve">, </w:t>
      </w:r>
      <w:r w:rsidR="000015D2" w:rsidRPr="006C39A2">
        <w:rPr>
          <w:rFonts w:ascii="ITC Avant Garde" w:hAnsi="ITC Avant Garde"/>
          <w:lang w:val="es-MX"/>
        </w:rPr>
        <w:t>el</w:t>
      </w:r>
      <w:r w:rsidRPr="006C39A2">
        <w:rPr>
          <w:rFonts w:ascii="ITC Avant Garde" w:hAnsi="ITC Avant Garde"/>
          <w:lang w:val="es-MX"/>
        </w:rPr>
        <w:t xml:space="preserve"> CAPEX</w:t>
      </w:r>
      <w:r w:rsidR="00A374A9" w:rsidRPr="006C39A2">
        <w:rPr>
          <w:rFonts w:ascii="ITC Avant Garde" w:hAnsi="ITC Avant Garde"/>
          <w:lang w:val="es-MX"/>
        </w:rPr>
        <w:t xml:space="preserve"> se deriva de la demanda del servicio a través de principios de ingeniería: se calcula como los precios unitarios de cada activo multipli</w:t>
      </w:r>
      <w:r w:rsidR="00A374A9" w:rsidRPr="004C1A96">
        <w:rPr>
          <w:rFonts w:ascii="ITC Avant Garde" w:hAnsi="ITC Avant Garde"/>
          <w:lang w:val="es-MX"/>
        </w:rPr>
        <w:t>cado por el inventario derivado de</w:t>
      </w:r>
      <w:r w:rsidR="003A02C7" w:rsidRPr="004C1A96">
        <w:rPr>
          <w:rFonts w:ascii="ITC Avant Garde" w:hAnsi="ITC Avant Garde"/>
          <w:lang w:val="es-MX"/>
        </w:rPr>
        <w:t xml:space="preserve"> dicho modelado</w:t>
      </w:r>
      <w:r w:rsidR="00A374A9" w:rsidRPr="004C1A96">
        <w:rPr>
          <w:rFonts w:ascii="ITC Avant Garde" w:hAnsi="ITC Avant Garde"/>
          <w:lang w:val="es-MX"/>
        </w:rPr>
        <w:t>. Incluye todos los costos asociados con el despliegue de un activo como el costo del equipo, así como el costo de instalación, diseño y gestión del proyecto.</w:t>
      </w:r>
    </w:p>
    <w:p w14:paraId="5AC7CBAA" w14:textId="77777777" w:rsidR="00A374A9" w:rsidRPr="004C1A96" w:rsidRDefault="00A374A9" w:rsidP="00A374A9">
      <w:pPr>
        <w:rPr>
          <w:rFonts w:ascii="ITC Avant Garde" w:hAnsi="ITC Avant Garde"/>
          <w:lang w:val="es-MX"/>
        </w:rPr>
      </w:pPr>
      <w:r w:rsidRPr="004C1A96">
        <w:rPr>
          <w:rFonts w:ascii="ITC Avant Garde" w:hAnsi="ITC Avant Garde"/>
          <w:lang w:val="es-MX"/>
        </w:rPr>
        <w:t>Es probable que los costos de los activos varíen entre los operadores por una serie de razones, tales como las diferencias en la estructura de la red subyacente, las especificaciones, el enfoque comercial y el poder de negociación debido a las diferentes capacidades y escala. Además, se esperaría que un operador hipotético con una red nacional tenga un poder de negociación más fuerte en comparación con un operador más pequeño. Los modelos deberían tener esto en cuenta.</w:t>
      </w:r>
    </w:p>
    <w:p w14:paraId="3DDD1346" w14:textId="77777777" w:rsidR="00A374A9" w:rsidRPr="004C1A96" w:rsidRDefault="00A374A9" w:rsidP="00A374A9">
      <w:pPr>
        <w:rPr>
          <w:rFonts w:ascii="ITC Avant Garde" w:hAnsi="ITC Avant Garde"/>
          <w:lang w:val="es-MX"/>
        </w:rPr>
      </w:pPr>
      <w:r w:rsidRPr="004C1A96">
        <w:rPr>
          <w:rFonts w:ascii="ITC Avant Garde" w:hAnsi="ITC Avant Garde"/>
          <w:lang w:val="es-MX"/>
        </w:rPr>
        <w:t xml:space="preserve">Como </w:t>
      </w:r>
      <w:r w:rsidR="003A02C7" w:rsidRPr="004C1A96">
        <w:rPr>
          <w:rFonts w:ascii="ITC Avant Garde" w:hAnsi="ITC Avant Garde"/>
          <w:lang w:val="es-MX"/>
        </w:rPr>
        <w:t>los modelos en cuestión</w:t>
      </w:r>
      <w:r w:rsidRPr="004C1A96">
        <w:rPr>
          <w:rFonts w:ascii="ITC Avant Garde" w:hAnsi="ITC Avant Garde"/>
          <w:lang w:val="es-MX"/>
        </w:rPr>
        <w:t xml:space="preserve"> son prospectivos</w:t>
      </w:r>
      <w:r w:rsidR="0048168E" w:rsidRPr="004C1A96">
        <w:rPr>
          <w:rFonts w:ascii="ITC Avant Garde" w:hAnsi="ITC Avant Garde"/>
          <w:lang w:val="es-MX"/>
        </w:rPr>
        <w:t xml:space="preserve"> y reflejan una señal “</w:t>
      </w:r>
      <w:r w:rsidR="0048168E" w:rsidRPr="004C1A96">
        <w:rPr>
          <w:rFonts w:ascii="ITC Avant Garde" w:hAnsi="ITC Avant Garde"/>
          <w:i/>
          <w:lang w:val="es-MX"/>
        </w:rPr>
        <w:t>make or buy”</w:t>
      </w:r>
      <w:r w:rsidRPr="004C1A96">
        <w:rPr>
          <w:rFonts w:ascii="ITC Avant Garde" w:hAnsi="ITC Avant Garde"/>
          <w:lang w:val="es-MX"/>
        </w:rPr>
        <w:t xml:space="preserve">, los costos actuales más que el costo histórico son la base del costo apropiado. Una manera de estimar los costos actuales es calcular el costo de reposición de cada activo, que es el monto que una entidad tendría que pagar para reemplazar un activo en el momento actual de acuerdo con su valor actual, con la excepción de los activos de ingeniería civil reutilizables </w:t>
      </w:r>
      <w:r w:rsidR="004B276B" w:rsidRPr="004C1A96">
        <w:rPr>
          <w:rFonts w:ascii="ITC Avant Garde" w:hAnsi="ITC Avant Garde"/>
          <w:lang w:val="es-MX"/>
        </w:rPr>
        <w:t>(ver</w:t>
      </w:r>
      <w:r w:rsidRPr="004C1A96">
        <w:rPr>
          <w:rFonts w:ascii="ITC Avant Garde" w:hAnsi="ITC Avant Garde"/>
          <w:lang w:val="es-MX"/>
        </w:rPr>
        <w:t xml:space="preserve"> la siguiente sección). El costo de reemplazo puede ser mayor o menor que el costo histórico, ya que los precios y la tecnología evolucionan con el tiempo.</w:t>
      </w:r>
    </w:p>
    <w:p w14:paraId="65392817" w14:textId="77777777" w:rsidR="00A374A9" w:rsidRPr="004C1A96" w:rsidRDefault="00A374A9" w:rsidP="00A374A9">
      <w:pPr>
        <w:rPr>
          <w:rFonts w:ascii="ITC Avant Garde" w:hAnsi="ITC Avant Garde"/>
          <w:lang w:val="es-MX"/>
        </w:rPr>
      </w:pPr>
      <w:r w:rsidRPr="004C1A96">
        <w:rPr>
          <w:rFonts w:ascii="ITC Avant Garde" w:hAnsi="ITC Avant Garde"/>
          <w:lang w:val="es-MX"/>
        </w:rPr>
        <w:t>Las propiedades de uso general, como los edificios de oficinas, deben valorarse normalmente sobre una base de valoración de mercado abierto, ya sea para uso existente o alternativo.</w:t>
      </w:r>
    </w:p>
    <w:p w14:paraId="5CC3D504" w14:textId="77777777" w:rsidR="00A374A9" w:rsidRPr="004C1A96" w:rsidRDefault="00A374A9" w:rsidP="00A374A9">
      <w:pPr>
        <w:rPr>
          <w:rFonts w:ascii="ITC Avant Garde" w:hAnsi="ITC Avant Garde"/>
          <w:lang w:val="es-MX"/>
        </w:rPr>
      </w:pPr>
      <w:r w:rsidRPr="004C1A96">
        <w:rPr>
          <w:rFonts w:ascii="ITC Avant Garde" w:hAnsi="ITC Avant Garde"/>
          <w:lang w:val="es-MX"/>
        </w:rPr>
        <w:t xml:space="preserve">Para las propiedades en general, el modelo debe derivar una evaluación del espacio ocupado por diferentes equipos y calcular los costos de alojamiento en función del costo del espacio de construcción por metro cuadrado según los costos de alquiler del </w:t>
      </w:r>
      <w:r w:rsidR="00235347" w:rsidRPr="004C1A96">
        <w:rPr>
          <w:rFonts w:ascii="ITC Avant Garde" w:hAnsi="ITC Avant Garde"/>
          <w:lang w:val="es-MX"/>
        </w:rPr>
        <w:t>AE</w:t>
      </w:r>
      <w:r w:rsidRPr="004C1A96">
        <w:rPr>
          <w:rFonts w:ascii="ITC Avant Garde" w:hAnsi="ITC Avant Garde"/>
          <w:lang w:val="es-MX"/>
        </w:rPr>
        <w:t xml:space="preserve">P y otros interesados </w:t>
      </w:r>
      <w:r w:rsidRPr="004C1A96">
        <w:rPr>
          <w:rFonts w:cs="Arial"/>
          <w:lang w:val="es-MX"/>
        </w:rPr>
        <w:t>​​</w:t>
      </w:r>
      <w:r w:rsidRPr="004C1A96">
        <w:rPr>
          <w:rFonts w:ascii="ITC Avant Garde" w:hAnsi="ITC Avant Garde"/>
          <w:lang w:val="es-MX"/>
        </w:rPr>
        <w:t>o seg</w:t>
      </w:r>
      <w:r w:rsidRPr="004C1A96">
        <w:rPr>
          <w:rFonts w:ascii="ITC Avant Garde" w:hAnsi="ITC Avant Garde" w:cs="ITC Avant Garde"/>
          <w:lang w:val="es-MX"/>
        </w:rPr>
        <w:t>ú</w:t>
      </w:r>
      <w:r w:rsidRPr="004C1A96">
        <w:rPr>
          <w:rFonts w:ascii="ITC Avant Garde" w:hAnsi="ITC Avant Garde"/>
          <w:lang w:val="es-MX"/>
        </w:rPr>
        <w:t>n los precios del mercado, sujeto a la disponibilidad de datos.</w:t>
      </w:r>
    </w:p>
    <w:p w14:paraId="47939EEE" w14:textId="77777777" w:rsidR="00A374A9" w:rsidRPr="004C1A96" w:rsidRDefault="00A374A9" w:rsidP="00A374A9">
      <w:pPr>
        <w:pStyle w:val="Encadr3"/>
        <w:rPr>
          <w:rFonts w:ascii="ITC Avant Garde" w:hAnsi="ITC Avant Garde"/>
          <w:lang w:val="es-MX"/>
        </w:rPr>
      </w:pPr>
      <w:r w:rsidRPr="004C1A96">
        <w:rPr>
          <w:rFonts w:ascii="ITC Avant Garde" w:hAnsi="ITC Avant Garde"/>
          <w:lang w:val="es-MX"/>
        </w:rPr>
        <w:t xml:space="preserve">Criterio </w:t>
      </w:r>
      <w:r w:rsidR="00542089" w:rsidRPr="004C1A96">
        <w:rPr>
          <w:rFonts w:ascii="ITC Avant Garde" w:hAnsi="ITC Avant Garde"/>
          <w:lang w:val="es-MX"/>
        </w:rPr>
        <w:t>19</w:t>
      </w:r>
      <w:r w:rsidRPr="004C1A96">
        <w:rPr>
          <w:rFonts w:ascii="ITC Avant Garde" w:hAnsi="ITC Avant Garde"/>
          <w:lang w:val="es-MX"/>
        </w:rPr>
        <w:t xml:space="preserve">: La inversión </w:t>
      </w:r>
      <w:r w:rsidR="00235347" w:rsidRPr="004C1A96">
        <w:rPr>
          <w:rFonts w:ascii="ITC Avant Garde" w:hAnsi="ITC Avant Garde"/>
          <w:lang w:val="es-MX"/>
        </w:rPr>
        <w:t>en</w:t>
      </w:r>
      <w:r w:rsidRPr="004C1A96">
        <w:rPr>
          <w:rFonts w:ascii="ITC Avant Garde" w:hAnsi="ITC Avant Garde"/>
          <w:lang w:val="es-MX"/>
        </w:rPr>
        <w:t xml:space="preserve"> la red debe valorarse en función del costo actual (en lugar de los costos históricos) con la excepción de los activos de ingeniería civil reutilizables en la medida en que los datos estén disponibles.</w:t>
      </w:r>
    </w:p>
    <w:p w14:paraId="3EBDEA94" w14:textId="61EA608B" w:rsidR="00A374A9" w:rsidRPr="004C1A96" w:rsidRDefault="00A374A9" w:rsidP="00A374A9">
      <w:pPr>
        <w:rPr>
          <w:rFonts w:ascii="ITC Avant Garde" w:hAnsi="ITC Avant Garde"/>
          <w:lang w:val="es-MX"/>
        </w:rPr>
      </w:pPr>
      <w:r w:rsidRPr="004C1A96">
        <w:rPr>
          <w:rFonts w:ascii="ITC Avant Garde" w:hAnsi="ITC Avant Garde"/>
          <w:lang w:val="es-MX"/>
        </w:rPr>
        <w:lastRenderedPageBreak/>
        <w:t>Finalmente, las entradas para los costos unitarios en el modelo se basan en la última información disponible (es decir, datos de 20</w:t>
      </w:r>
      <w:r w:rsidR="000015D2" w:rsidRPr="004C1A96">
        <w:rPr>
          <w:rFonts w:ascii="ITC Avant Garde" w:hAnsi="ITC Avant Garde"/>
          <w:lang w:val="es-MX"/>
        </w:rPr>
        <w:t>23</w:t>
      </w:r>
      <w:r w:rsidRPr="004C1A96">
        <w:rPr>
          <w:rFonts w:ascii="ITC Avant Garde" w:hAnsi="ITC Avant Garde"/>
          <w:lang w:val="es-MX"/>
        </w:rPr>
        <w:t xml:space="preserve"> si está disponible). Para los costos futuros de la implementación, y cuando los datos no están disponibles para el año modelo, se </w:t>
      </w:r>
      <w:r w:rsidR="00F2544C" w:rsidRPr="004C1A96">
        <w:rPr>
          <w:rFonts w:ascii="ITC Avant Garde" w:hAnsi="ITC Avant Garde"/>
          <w:lang w:val="es-MX"/>
        </w:rPr>
        <w:t>realizó</w:t>
      </w:r>
      <w:r w:rsidR="00235347" w:rsidRPr="004C1A96">
        <w:rPr>
          <w:rFonts w:ascii="ITC Avant Garde" w:hAnsi="ITC Avant Garde"/>
          <w:lang w:val="es-MX"/>
        </w:rPr>
        <w:t xml:space="preserve"> </w:t>
      </w:r>
      <w:r w:rsidRPr="004C1A96">
        <w:rPr>
          <w:rFonts w:ascii="ITC Avant Garde" w:hAnsi="ITC Avant Garde"/>
          <w:lang w:val="es-MX"/>
        </w:rPr>
        <w:t>una extrapolación a partir de los datos históricos relevantes y de las tendencias razonables de los precios a largo plazo.</w:t>
      </w:r>
    </w:p>
    <w:p w14:paraId="16DCFF44" w14:textId="77777777" w:rsidR="00A374A9" w:rsidRPr="004C1A96" w:rsidRDefault="00A374A9" w:rsidP="00A374A9">
      <w:pPr>
        <w:rPr>
          <w:rFonts w:ascii="ITC Avant Garde" w:hAnsi="ITC Avant Garde"/>
          <w:lang w:val="es-MX"/>
        </w:rPr>
      </w:pPr>
      <w:r w:rsidRPr="004C1A96">
        <w:rPr>
          <w:rFonts w:ascii="ITC Avant Garde" w:hAnsi="ITC Avant Garde"/>
          <w:lang w:val="es-MX"/>
        </w:rPr>
        <w:t xml:space="preserve">No habrá una actualización anual del modelo y de sus parámetros de entrada, ya que los resultados de los costos se traducirán en precios establecidos en decisiones </w:t>
      </w:r>
      <w:r w:rsidR="00885291" w:rsidRPr="004C1A96">
        <w:rPr>
          <w:rFonts w:ascii="ITC Avant Garde" w:hAnsi="ITC Avant Garde"/>
          <w:lang w:val="es-MX"/>
        </w:rPr>
        <w:t xml:space="preserve">del </w:t>
      </w:r>
      <w:r w:rsidR="00235347" w:rsidRPr="004C1A96">
        <w:rPr>
          <w:rFonts w:ascii="ITC Avant Garde" w:hAnsi="ITC Avant Garde"/>
          <w:lang w:val="es-MX"/>
        </w:rPr>
        <w:t>AE</w:t>
      </w:r>
      <w:r w:rsidRPr="004C1A96">
        <w:rPr>
          <w:rFonts w:ascii="ITC Avant Garde" w:hAnsi="ITC Avant Garde"/>
          <w:lang w:val="es-MX"/>
        </w:rPr>
        <w:t xml:space="preserve">P válidas para períodos reglamentarios. Esto implica que las actualizaciones o posibles revisiones pueden </w:t>
      </w:r>
      <w:r w:rsidR="00235347" w:rsidRPr="004C1A96">
        <w:rPr>
          <w:rFonts w:ascii="ITC Avant Garde" w:hAnsi="ITC Avant Garde"/>
          <w:lang w:val="es-MX"/>
        </w:rPr>
        <w:t>llevarse a cabo</w:t>
      </w:r>
      <w:r w:rsidRPr="004C1A96">
        <w:rPr>
          <w:rFonts w:ascii="ITC Avant Garde" w:hAnsi="ITC Avant Garde"/>
          <w:lang w:val="es-MX"/>
        </w:rPr>
        <w:t xml:space="preserve"> junto con la</w:t>
      </w:r>
      <w:r w:rsidR="00D14972" w:rsidRPr="004C1A96">
        <w:rPr>
          <w:rFonts w:ascii="ITC Avant Garde" w:hAnsi="ITC Avant Garde"/>
          <w:lang w:val="es-MX"/>
        </w:rPr>
        <w:t xml:space="preserve"> planeación de</w:t>
      </w:r>
      <w:r w:rsidRPr="004C1A96">
        <w:rPr>
          <w:rFonts w:ascii="ITC Avant Garde" w:hAnsi="ITC Avant Garde"/>
          <w:lang w:val="es-MX"/>
        </w:rPr>
        <w:t xml:space="preserve"> decisiones</w:t>
      </w:r>
      <w:r w:rsidR="00235347" w:rsidRPr="004C1A96">
        <w:rPr>
          <w:rFonts w:ascii="ITC Avant Garde" w:hAnsi="ITC Avant Garde"/>
          <w:lang w:val="es-MX"/>
        </w:rPr>
        <w:t xml:space="preserve"> del IFT</w:t>
      </w:r>
      <w:r w:rsidRPr="004C1A96">
        <w:rPr>
          <w:rFonts w:ascii="ITC Avant Garde" w:hAnsi="ITC Avant Garde"/>
          <w:lang w:val="es-MX"/>
        </w:rPr>
        <w:t>, si y solo si las condiciones económicas o de mercado han cambiado radicalmente y las cifras reales del mercado difieren significativamente de la previsión.</w:t>
      </w:r>
    </w:p>
    <w:p w14:paraId="392871AA" w14:textId="50EA4EC3" w:rsidR="00A374A9" w:rsidRPr="004C1A96" w:rsidRDefault="00A374A9" w:rsidP="00A374A9">
      <w:pPr>
        <w:pStyle w:val="Encadr3"/>
        <w:rPr>
          <w:rFonts w:ascii="ITC Avant Garde" w:hAnsi="ITC Avant Garde"/>
          <w:lang w:val="es-MX"/>
        </w:rPr>
      </w:pPr>
      <w:r w:rsidRPr="004C1A96">
        <w:rPr>
          <w:rFonts w:ascii="ITC Avant Garde" w:hAnsi="ITC Avant Garde"/>
          <w:lang w:val="es-MX"/>
        </w:rPr>
        <w:t xml:space="preserve">Criterio </w:t>
      </w:r>
      <w:r w:rsidR="00542089" w:rsidRPr="004C1A96">
        <w:rPr>
          <w:rFonts w:ascii="ITC Avant Garde" w:hAnsi="ITC Avant Garde"/>
          <w:lang w:val="es-MX"/>
        </w:rPr>
        <w:t>20</w:t>
      </w:r>
      <w:r w:rsidRPr="004C1A96">
        <w:rPr>
          <w:rFonts w:ascii="ITC Avant Garde" w:hAnsi="ITC Avant Garde"/>
          <w:lang w:val="es-MX"/>
        </w:rPr>
        <w:t>: Inicialmente, l</w:t>
      </w:r>
      <w:r w:rsidR="00235347" w:rsidRPr="004C1A96">
        <w:rPr>
          <w:rFonts w:ascii="ITC Avant Garde" w:hAnsi="ITC Avant Garde"/>
          <w:lang w:val="es-MX"/>
        </w:rPr>
        <w:t>o</w:t>
      </w:r>
      <w:r w:rsidRPr="004C1A96">
        <w:rPr>
          <w:rFonts w:ascii="ITC Avant Garde" w:hAnsi="ITC Avant Garde"/>
          <w:lang w:val="es-MX"/>
        </w:rPr>
        <w:t>s</w:t>
      </w:r>
      <w:r w:rsidR="00235347" w:rsidRPr="004C1A96">
        <w:rPr>
          <w:rFonts w:ascii="ITC Avant Garde" w:hAnsi="ITC Avant Garde"/>
          <w:lang w:val="es-MX"/>
        </w:rPr>
        <w:t xml:space="preserve"> insumos</w:t>
      </w:r>
      <w:r w:rsidRPr="004C1A96">
        <w:rPr>
          <w:rFonts w:ascii="ITC Avant Garde" w:hAnsi="ITC Avant Garde"/>
          <w:lang w:val="es-MX"/>
        </w:rPr>
        <w:t xml:space="preserve"> de costos se basan en la última información disponible y reflejan el mercado en 20</w:t>
      </w:r>
      <w:r w:rsidR="000015D2" w:rsidRPr="004C1A96">
        <w:rPr>
          <w:rFonts w:ascii="ITC Avant Garde" w:hAnsi="ITC Avant Garde"/>
          <w:lang w:val="es-MX"/>
        </w:rPr>
        <w:t>23</w:t>
      </w:r>
      <w:r w:rsidRPr="004C1A96">
        <w:rPr>
          <w:rFonts w:ascii="ITC Avant Garde" w:hAnsi="ITC Avant Garde"/>
          <w:lang w:val="es-MX"/>
        </w:rPr>
        <w:t xml:space="preserve">, que es el año base para el modelo. </w:t>
      </w:r>
      <w:r w:rsidR="00235347" w:rsidRPr="004C1A96">
        <w:rPr>
          <w:rFonts w:ascii="ITC Avant Garde" w:hAnsi="ITC Avant Garde"/>
          <w:lang w:val="es-MX"/>
        </w:rPr>
        <w:t xml:space="preserve">El </w:t>
      </w:r>
      <w:r w:rsidRPr="004C1A96">
        <w:rPr>
          <w:rFonts w:ascii="ITC Avant Garde" w:hAnsi="ITC Avant Garde"/>
          <w:lang w:val="es-MX"/>
        </w:rPr>
        <w:t xml:space="preserve">IFT puede actualizar o revisar el modelo junto con los preparativos de las decisiones de </w:t>
      </w:r>
      <w:r w:rsidR="00235347" w:rsidRPr="004C1A96">
        <w:rPr>
          <w:rFonts w:ascii="ITC Avant Garde" w:hAnsi="ITC Avant Garde"/>
          <w:lang w:val="es-MX"/>
        </w:rPr>
        <w:t xml:space="preserve">definición de mercados </w:t>
      </w:r>
      <w:r w:rsidR="00F2544C" w:rsidRPr="004C1A96">
        <w:rPr>
          <w:rFonts w:ascii="ITC Avant Garde" w:hAnsi="ITC Avant Garde"/>
          <w:lang w:val="es-MX"/>
        </w:rPr>
        <w:t>e</w:t>
      </w:r>
      <w:r w:rsidR="00235347" w:rsidRPr="004C1A96">
        <w:rPr>
          <w:rFonts w:ascii="ITC Avant Garde" w:hAnsi="ITC Avant Garde"/>
          <w:lang w:val="es-MX"/>
        </w:rPr>
        <w:t xml:space="preserve"> identificación de AEP</w:t>
      </w:r>
      <w:r w:rsidRPr="004C1A96">
        <w:rPr>
          <w:rFonts w:ascii="ITC Avant Garde" w:hAnsi="ITC Avant Garde"/>
          <w:lang w:val="es-MX"/>
        </w:rPr>
        <w:t xml:space="preserve">. </w:t>
      </w:r>
      <w:r w:rsidR="00235347" w:rsidRPr="004C1A96">
        <w:rPr>
          <w:rFonts w:ascii="ITC Avant Garde" w:hAnsi="ITC Avant Garde"/>
          <w:lang w:val="es-MX"/>
        </w:rPr>
        <w:t xml:space="preserve">El </w:t>
      </w:r>
      <w:r w:rsidRPr="004C1A96">
        <w:rPr>
          <w:rFonts w:ascii="ITC Avant Garde" w:hAnsi="ITC Avant Garde"/>
          <w:lang w:val="es-MX"/>
        </w:rPr>
        <w:t xml:space="preserve">IFT también debe poder actualizar el modelo </w:t>
      </w:r>
      <w:r w:rsidR="00F2544C" w:rsidRPr="004C1A96">
        <w:rPr>
          <w:rFonts w:ascii="ITC Avant Garde" w:hAnsi="ITC Avant Garde"/>
          <w:lang w:val="es-MX"/>
        </w:rPr>
        <w:t>s</w:t>
      </w:r>
      <w:r w:rsidR="00885291" w:rsidRPr="004C1A96">
        <w:rPr>
          <w:rFonts w:ascii="ITC Avant Garde" w:hAnsi="ITC Avant Garde"/>
          <w:lang w:val="es-MX"/>
        </w:rPr>
        <w:t>i</w:t>
      </w:r>
      <w:r w:rsidRPr="004C1A96">
        <w:rPr>
          <w:rFonts w:ascii="ITC Avant Garde" w:hAnsi="ITC Avant Garde"/>
          <w:lang w:val="es-MX"/>
        </w:rPr>
        <w:t xml:space="preserve"> parece que los pronósticos (tráfico, costos unitarios, etc.) difieren significativamente de los datos de mercado esperados o si ocurren cambios radicales en el mercado mexicano que son relevantes para el modelo.</w:t>
      </w:r>
    </w:p>
    <w:p w14:paraId="2FD26A52" w14:textId="77777777" w:rsidR="00A374A9" w:rsidRPr="008F42FC" w:rsidRDefault="00A374A9" w:rsidP="003C224B">
      <w:pPr>
        <w:pStyle w:val="Ttulo4"/>
        <w:rPr>
          <w:lang w:val="es-MX"/>
        </w:rPr>
      </w:pPr>
      <w:bookmarkStart w:id="135" w:name="_Toc525665280"/>
      <w:bookmarkStart w:id="136" w:name="_Toc525665659"/>
      <w:bookmarkStart w:id="137" w:name="_Toc141975017"/>
      <w:r w:rsidRPr="008F42FC">
        <w:rPr>
          <w:lang w:val="es-MX"/>
        </w:rPr>
        <w:t>Valoración de activos de ingeniería civil reutilizables</w:t>
      </w:r>
      <w:bookmarkEnd w:id="135"/>
      <w:bookmarkEnd w:id="136"/>
      <w:bookmarkEnd w:id="137"/>
    </w:p>
    <w:p w14:paraId="36459C6A" w14:textId="75E0B215" w:rsidR="00A374A9" w:rsidRPr="004C1A96" w:rsidRDefault="00A374A9" w:rsidP="00A374A9">
      <w:pPr>
        <w:rPr>
          <w:rFonts w:ascii="ITC Avant Garde" w:hAnsi="ITC Avant Garde"/>
          <w:lang w:val="es-MX"/>
        </w:rPr>
      </w:pPr>
      <w:r w:rsidRPr="004C1A96">
        <w:rPr>
          <w:rFonts w:ascii="ITC Avant Garde" w:hAnsi="ITC Avant Garde"/>
          <w:lang w:val="es-MX"/>
        </w:rPr>
        <w:t>Los Activos de ingeniería civil reutilizables (</w:t>
      </w:r>
      <w:r w:rsidR="00E13441" w:rsidRPr="004C1A96">
        <w:rPr>
          <w:rFonts w:ascii="ITC Avant Garde" w:hAnsi="ITC Avant Garde"/>
          <w:lang w:val="es-MX"/>
        </w:rPr>
        <w:t>RCEA por sus siglas en inglés</w:t>
      </w:r>
      <w:r w:rsidR="00CD125A" w:rsidRPr="004C1A96">
        <w:rPr>
          <w:rFonts w:ascii="ITC Avant Garde" w:hAnsi="ITC Avant Garde"/>
          <w:lang w:val="es-MX"/>
        </w:rPr>
        <w:t>,</w:t>
      </w:r>
      <w:r w:rsidR="00E13441" w:rsidRPr="004C1A96">
        <w:rPr>
          <w:rFonts w:ascii="ITC Avant Garde" w:hAnsi="ITC Avant Garde"/>
          <w:lang w:val="es-MX"/>
        </w:rPr>
        <w:t xml:space="preserve"> </w:t>
      </w:r>
      <w:r w:rsidR="00235347" w:rsidRPr="00E14D8A">
        <w:rPr>
          <w:rFonts w:ascii="ITC Avant Garde" w:hAnsi="ITC Avant Garde"/>
          <w:i/>
          <w:lang w:val="es-MX"/>
        </w:rPr>
        <w:t>Reusable Civil Engineering Asset</w:t>
      </w:r>
      <w:r w:rsidR="00235347" w:rsidRPr="00E14D8A">
        <w:rPr>
          <w:rFonts w:ascii="ITC Avant Garde" w:hAnsi="ITC Avant Garde"/>
          <w:lang w:val="es-MX"/>
        </w:rPr>
        <w:t>s</w:t>
      </w:r>
      <w:r w:rsidRPr="00E14D8A">
        <w:rPr>
          <w:rFonts w:ascii="ITC Avant Garde" w:hAnsi="ITC Avant Garde"/>
          <w:lang w:val="es-MX"/>
        </w:rPr>
        <w:t>) son aquellos activos heredados de ingeniería civil que ya están en vigencia (por ejemplo, se usan para la red de cobre) y que pueden reutilizarse para acomodar una red NGA. Esto se refiere solo a los activos de ingeniería civil (zanjas, conductos, postes, pozos de registro)</w:t>
      </w:r>
      <w:r w:rsidRPr="004C1A96">
        <w:rPr>
          <w:rFonts w:ascii="ITC Avant Garde" w:hAnsi="ITC Avant Garde"/>
          <w:lang w:val="es-MX"/>
        </w:rPr>
        <w:t>.</w:t>
      </w:r>
    </w:p>
    <w:p w14:paraId="278E5312" w14:textId="04CC4326" w:rsidR="00A374A9" w:rsidRPr="004C1A96" w:rsidRDefault="00A374A9" w:rsidP="00A374A9">
      <w:pPr>
        <w:rPr>
          <w:rFonts w:ascii="ITC Avant Garde" w:hAnsi="ITC Avant Garde"/>
          <w:lang w:val="es-MX"/>
        </w:rPr>
      </w:pPr>
      <w:r w:rsidRPr="004C1A96">
        <w:rPr>
          <w:rFonts w:ascii="ITC Avant Garde" w:hAnsi="ITC Avant Garde"/>
          <w:lang w:val="es-MX"/>
        </w:rPr>
        <w:t>De acuerdo con la recomendación de la C</w:t>
      </w:r>
      <w:r w:rsidR="009173AC" w:rsidRPr="004C1A96">
        <w:rPr>
          <w:rFonts w:ascii="ITC Avant Garde" w:hAnsi="ITC Avant Garde"/>
          <w:lang w:val="es-MX"/>
        </w:rPr>
        <w:t xml:space="preserve">omisión </w:t>
      </w:r>
      <w:r w:rsidRPr="004C1A96">
        <w:rPr>
          <w:rFonts w:ascii="ITC Avant Garde" w:hAnsi="ITC Avant Garde"/>
          <w:lang w:val="es-MX"/>
        </w:rPr>
        <w:t>E</w:t>
      </w:r>
      <w:r w:rsidR="009173AC" w:rsidRPr="004C1A96">
        <w:rPr>
          <w:rFonts w:ascii="ITC Avant Garde" w:hAnsi="ITC Avant Garde"/>
          <w:lang w:val="es-MX"/>
        </w:rPr>
        <w:t>uropea</w:t>
      </w:r>
      <w:r w:rsidRPr="004C1A96">
        <w:rPr>
          <w:rFonts w:ascii="ITC Avant Garde" w:hAnsi="ITC Avant Garde"/>
          <w:lang w:val="es-MX"/>
        </w:rPr>
        <w:t xml:space="preserve">, </w:t>
      </w:r>
      <w:r w:rsidR="00235347" w:rsidRPr="004C1A96">
        <w:rPr>
          <w:rFonts w:ascii="ITC Avant Garde" w:hAnsi="ITC Avant Garde"/>
          <w:lang w:val="es-MX"/>
        </w:rPr>
        <w:t xml:space="preserve">los </w:t>
      </w:r>
      <w:r w:rsidRPr="004C1A96">
        <w:rPr>
          <w:rFonts w:ascii="ITC Avant Garde" w:hAnsi="ITC Avant Garde"/>
          <w:lang w:val="es-MX"/>
        </w:rPr>
        <w:t>RCEA se valora</w:t>
      </w:r>
      <w:r w:rsidR="00235347" w:rsidRPr="004C1A96">
        <w:rPr>
          <w:rFonts w:ascii="ITC Avant Garde" w:hAnsi="ITC Avant Garde"/>
          <w:lang w:val="es-MX"/>
        </w:rPr>
        <w:t>n</w:t>
      </w:r>
      <w:r w:rsidRPr="004C1A96">
        <w:rPr>
          <w:rFonts w:ascii="ITC Avant Garde" w:hAnsi="ITC Avant Garde"/>
          <w:lang w:val="es-MX"/>
        </w:rPr>
        <w:t xml:space="preserve"> por separado de los demás activos en la base de activos reguladores:</w:t>
      </w:r>
      <w:r w:rsidR="00953B02" w:rsidRPr="004C1A96">
        <w:rPr>
          <w:rStyle w:val="Refdenotaalpie"/>
          <w:rFonts w:ascii="ITC Avant Garde" w:hAnsi="ITC Avant Garde"/>
          <w:lang w:val="es-MX"/>
        </w:rPr>
        <w:t xml:space="preserve"> </w:t>
      </w:r>
      <w:r w:rsidR="002213F6">
        <w:rPr>
          <w:rStyle w:val="Refdenotaalpie"/>
          <w:rFonts w:ascii="ITC Avant Garde" w:hAnsi="ITC Avant Garde"/>
          <w:lang w:val="es-MX"/>
        </w:rPr>
        <w:footnoteReference w:id="27"/>
      </w:r>
    </w:p>
    <w:p w14:paraId="1A1594BC" w14:textId="77777777" w:rsidR="00A374A9" w:rsidRPr="00E14D8A" w:rsidRDefault="00A374A9" w:rsidP="00235347">
      <w:pPr>
        <w:ind w:left="567" w:right="565"/>
        <w:rPr>
          <w:rFonts w:ascii="ITC Avant Garde" w:hAnsi="ITC Avant Garde"/>
          <w:i/>
          <w:lang w:val="es-MX"/>
        </w:rPr>
      </w:pPr>
      <w:r w:rsidRPr="00E14D8A">
        <w:rPr>
          <w:rFonts w:ascii="ITC Avant Garde" w:hAnsi="ITC Avant Garde"/>
          <w:i/>
          <w:lang w:val="es-MX"/>
        </w:rPr>
        <w:t>"Las ANR deben valorar todos los activos que constituyen el RAB de la red modelada sobre la base de los costos de reposición, a excepción de los activos de ingeniería civil heredados reutilizables.</w:t>
      </w:r>
    </w:p>
    <w:p w14:paraId="48F7B6CE" w14:textId="77777777" w:rsidR="00A374A9" w:rsidRPr="004C1A96" w:rsidRDefault="00A374A9" w:rsidP="00953B02">
      <w:pPr>
        <w:ind w:left="567" w:right="565"/>
        <w:rPr>
          <w:rFonts w:ascii="ITC Avant Garde" w:hAnsi="ITC Avant Garde"/>
          <w:i/>
          <w:lang w:val="es-MX"/>
        </w:rPr>
      </w:pPr>
      <w:r w:rsidRPr="00E14D8A">
        <w:rPr>
          <w:rFonts w:ascii="ITC Avant Garde" w:hAnsi="ITC Avant Garde"/>
          <w:i/>
          <w:lang w:val="es-MX"/>
        </w:rPr>
        <w:t>Las ANR deben valorar los activos de ingeniería civil heredados reutilizables y su correspondiente RAB sobre la base del método de indexación. Específicamente, las ANR deben establecer el RAB para este tipo de activos al valor contable regulatorio neto de la depreciación acumulada en el momento del cálculo, indexado por un índice de precios apropiado, como el índice de precios minoristas. Las ANR deben examinar las cuentas del operador del PSM cu</w:t>
      </w:r>
      <w:r w:rsidRPr="004C1A96">
        <w:rPr>
          <w:rFonts w:ascii="ITC Avant Garde" w:hAnsi="ITC Avant Garde"/>
          <w:i/>
          <w:lang w:val="es-MX"/>
        </w:rPr>
        <w:t xml:space="preserve">ando estén disponibles para determinar si son lo </w:t>
      </w:r>
      <w:r w:rsidRPr="004C1A96">
        <w:rPr>
          <w:rFonts w:ascii="ITC Avant Garde" w:hAnsi="ITC Avant Garde"/>
          <w:i/>
          <w:lang w:val="es-MX"/>
        </w:rPr>
        <w:lastRenderedPageBreak/>
        <w:t>suficientemente confiables como base para reconstruir el valor contable regulatorio. Deberían realizar una valoración sobre la base de un índice de referencia de las mejores prácticas en Estados miembros comparables. Las ANR no deben incluir activos legados reutilizables de ingeniería civil que estén totalmente depreciados pero que aún estén en uso ".</w:t>
      </w:r>
    </w:p>
    <w:p w14:paraId="622CD3C0" w14:textId="77777777" w:rsidR="00A374A9" w:rsidRPr="004C1A96" w:rsidRDefault="00A374A9" w:rsidP="00A374A9">
      <w:pPr>
        <w:rPr>
          <w:rFonts w:ascii="ITC Avant Garde" w:hAnsi="ITC Avant Garde"/>
          <w:lang w:val="es-MX"/>
        </w:rPr>
      </w:pPr>
      <w:r w:rsidRPr="004C1A96">
        <w:rPr>
          <w:rFonts w:ascii="ITC Avant Garde" w:hAnsi="ITC Avant Garde"/>
          <w:lang w:val="es-MX"/>
        </w:rPr>
        <w:t xml:space="preserve">Según la Comisión Europea, </w:t>
      </w:r>
      <w:r w:rsidR="00B92FAD" w:rsidRPr="004C1A96">
        <w:rPr>
          <w:rFonts w:ascii="ITC Avant Garde" w:hAnsi="ITC Avant Garde"/>
          <w:lang w:val="es-MX"/>
        </w:rPr>
        <w:t xml:space="preserve">se establece </w:t>
      </w:r>
      <w:r w:rsidRPr="004C1A96">
        <w:rPr>
          <w:rFonts w:ascii="ITC Avant Garde" w:hAnsi="ITC Avant Garde"/>
          <w:lang w:val="es-MX"/>
        </w:rPr>
        <w:t>este enfoque</w:t>
      </w:r>
      <w:r w:rsidR="00B92FAD" w:rsidRPr="004C1A96">
        <w:rPr>
          <w:rFonts w:ascii="ITC Avant Garde" w:hAnsi="ITC Avant Garde"/>
          <w:lang w:val="es-MX"/>
        </w:rPr>
        <w:t>:</w:t>
      </w:r>
    </w:p>
    <w:p w14:paraId="6CC46190" w14:textId="52EA1EFC" w:rsidR="00A374A9" w:rsidRPr="004C1A96" w:rsidRDefault="00A374A9" w:rsidP="00235347">
      <w:pPr>
        <w:ind w:left="567" w:right="565"/>
        <w:rPr>
          <w:rFonts w:ascii="ITC Avant Garde" w:hAnsi="ITC Avant Garde"/>
          <w:i/>
          <w:lang w:val="es-MX"/>
        </w:rPr>
      </w:pPr>
      <w:r w:rsidRPr="004C1A96">
        <w:rPr>
          <w:rFonts w:ascii="ITC Avant Garde" w:hAnsi="ITC Avant Garde"/>
          <w:i/>
          <w:lang w:val="es-MX"/>
        </w:rPr>
        <w:t>"Envía señales de entrada al mercado eficientes para decisiones de" construir o comprar ", y evita el riesgo de una recuperación excesiva de costos para la infraestructura civil heredada reutilizable. No se justifica una recuperación excesiva de los costos para garantizar la entrada eficiente y preservar los incentivos para invertir porque la opción de construcción no es económicamente factible para esta categoría de activos ".</w:t>
      </w:r>
      <w:r w:rsidR="002213F6">
        <w:rPr>
          <w:rStyle w:val="Refdenotaalpie"/>
          <w:rFonts w:ascii="ITC Avant Garde" w:hAnsi="ITC Avant Garde"/>
          <w:i/>
          <w:lang w:val="es-MX"/>
        </w:rPr>
        <w:footnoteReference w:id="28"/>
      </w:r>
    </w:p>
    <w:p w14:paraId="44DFB1F8" w14:textId="77777777" w:rsidR="00A374A9" w:rsidRPr="004C1A96" w:rsidRDefault="00A374A9" w:rsidP="00A374A9">
      <w:pPr>
        <w:rPr>
          <w:rFonts w:ascii="ITC Avant Garde" w:hAnsi="ITC Avant Garde"/>
          <w:lang w:val="es-MX"/>
        </w:rPr>
      </w:pPr>
      <w:r w:rsidRPr="00E14D8A">
        <w:rPr>
          <w:rFonts w:ascii="ITC Avant Garde" w:hAnsi="ITC Avant Garde"/>
          <w:lang w:val="es-MX"/>
        </w:rPr>
        <w:t xml:space="preserve">La parte de los activos reutilizables de ingeniería civil se </w:t>
      </w:r>
      <w:r w:rsidR="00F2544C" w:rsidRPr="00E14D8A">
        <w:rPr>
          <w:rFonts w:ascii="ITC Avant Garde" w:hAnsi="ITC Avant Garde"/>
          <w:lang w:val="es-MX"/>
        </w:rPr>
        <w:t>evalúa</w:t>
      </w:r>
      <w:r w:rsidR="00953B02" w:rsidRPr="00E14D8A">
        <w:rPr>
          <w:rFonts w:ascii="ITC Avant Garde" w:hAnsi="ITC Avant Garde"/>
          <w:lang w:val="es-MX"/>
        </w:rPr>
        <w:t xml:space="preserve"> </w:t>
      </w:r>
      <w:r w:rsidRPr="00E14D8A">
        <w:rPr>
          <w:rFonts w:ascii="ITC Avant Garde" w:hAnsi="ITC Avant Garde"/>
          <w:lang w:val="es-MX"/>
        </w:rPr>
        <w:t xml:space="preserve">sobre la base del despliegue previo realizado por el </w:t>
      </w:r>
      <w:r w:rsidR="00953B02" w:rsidRPr="00E14D8A">
        <w:rPr>
          <w:rFonts w:ascii="ITC Avant Garde" w:hAnsi="ITC Avant Garde"/>
          <w:lang w:val="es-MX"/>
        </w:rPr>
        <w:t>AE</w:t>
      </w:r>
      <w:r w:rsidRPr="00E14D8A">
        <w:rPr>
          <w:rFonts w:ascii="ITC Avant Garde" w:hAnsi="ITC Avant Garde"/>
          <w:lang w:val="es-MX"/>
        </w:rPr>
        <w:t>P y por otr</w:t>
      </w:r>
      <w:r w:rsidRPr="006C39A2">
        <w:rPr>
          <w:rFonts w:ascii="ITC Avant Garde" w:hAnsi="ITC Avant Garde"/>
          <w:lang w:val="es-MX"/>
        </w:rPr>
        <w:t xml:space="preserve">as partes interesadas, así como el punto de referencia recomendado por la Comisión </w:t>
      </w:r>
      <w:r w:rsidR="00C35A29" w:rsidRPr="004C1A96">
        <w:rPr>
          <w:rFonts w:ascii="ITC Avant Garde" w:hAnsi="ITC Avant Garde"/>
          <w:lang w:val="es-MX"/>
        </w:rPr>
        <w:t>Europea</w:t>
      </w:r>
      <w:r w:rsidRPr="004C1A96">
        <w:rPr>
          <w:rFonts w:ascii="ITC Avant Garde" w:hAnsi="ITC Avant Garde"/>
          <w:lang w:val="es-MX"/>
        </w:rPr>
        <w:t>.</w:t>
      </w:r>
      <w:r w:rsidR="00953B02" w:rsidRPr="004C1A96">
        <w:rPr>
          <w:rFonts w:ascii="ITC Avant Garde" w:hAnsi="ITC Avant Garde"/>
          <w:lang w:val="es-MX"/>
        </w:rPr>
        <w:t xml:space="preserve"> </w:t>
      </w:r>
      <w:r w:rsidRPr="004C1A96">
        <w:rPr>
          <w:rFonts w:ascii="ITC Avant Garde" w:hAnsi="ITC Avant Garde"/>
          <w:lang w:val="es-MX"/>
        </w:rPr>
        <w:t xml:space="preserve">Para tener en cuenta </w:t>
      </w:r>
      <w:r w:rsidR="009173AC" w:rsidRPr="004C1A96">
        <w:rPr>
          <w:rFonts w:ascii="ITC Avant Garde" w:hAnsi="ITC Avant Garde"/>
          <w:lang w:val="es-MX"/>
        </w:rPr>
        <w:t xml:space="preserve">dicha </w:t>
      </w:r>
      <w:r w:rsidRPr="004C1A96">
        <w:rPr>
          <w:rFonts w:ascii="ITC Avant Garde" w:hAnsi="ITC Avant Garde"/>
          <w:lang w:val="es-MX"/>
        </w:rPr>
        <w:t>recomendación, la valoración de los activos de ingeniería civil reutilizables podría realizarse en tres pasos:</w:t>
      </w:r>
    </w:p>
    <w:p w14:paraId="54BB5D38" w14:textId="77777777" w:rsidR="00A374A9" w:rsidRPr="004C1A96" w:rsidRDefault="00A374A9" w:rsidP="00556A48">
      <w:pPr>
        <w:pStyle w:val="Prrafodelista"/>
        <w:numPr>
          <w:ilvl w:val="0"/>
          <w:numId w:val="20"/>
        </w:numPr>
        <w:rPr>
          <w:rFonts w:ascii="ITC Avant Garde" w:hAnsi="ITC Avant Garde"/>
          <w:lang w:val="es-MX"/>
        </w:rPr>
      </w:pPr>
      <w:r w:rsidRPr="004C1A96">
        <w:rPr>
          <w:rFonts w:ascii="ITC Avant Garde" w:hAnsi="ITC Avant Garde"/>
          <w:lang w:val="es-MX"/>
        </w:rPr>
        <w:t>Evaluar la participación de los activos de ingeniería civil que pueden reutilizarse;</w:t>
      </w:r>
    </w:p>
    <w:p w14:paraId="32F41D4A" w14:textId="77777777" w:rsidR="00A374A9" w:rsidRPr="004C1A96" w:rsidRDefault="00A374A9" w:rsidP="00556A48">
      <w:pPr>
        <w:pStyle w:val="Prrafodelista"/>
        <w:numPr>
          <w:ilvl w:val="0"/>
          <w:numId w:val="20"/>
        </w:numPr>
        <w:rPr>
          <w:rFonts w:ascii="ITC Avant Garde" w:hAnsi="ITC Avant Garde"/>
          <w:lang w:val="es-MX"/>
        </w:rPr>
      </w:pPr>
      <w:r w:rsidRPr="004C1A96">
        <w:rPr>
          <w:rFonts w:ascii="ITC Avant Garde" w:hAnsi="ITC Avant Garde"/>
          <w:lang w:val="es-MX"/>
        </w:rPr>
        <w:t>Valorar estos activos;</w:t>
      </w:r>
    </w:p>
    <w:p w14:paraId="5A146198" w14:textId="77777777" w:rsidR="00A374A9" w:rsidRPr="004C1A96" w:rsidRDefault="00953B02" w:rsidP="00556A48">
      <w:pPr>
        <w:pStyle w:val="Prrafodelista"/>
        <w:numPr>
          <w:ilvl w:val="0"/>
          <w:numId w:val="20"/>
        </w:numPr>
        <w:rPr>
          <w:rFonts w:ascii="ITC Avant Garde" w:hAnsi="ITC Avant Garde"/>
          <w:lang w:val="es-MX"/>
        </w:rPr>
      </w:pPr>
      <w:r w:rsidRPr="004C1A96">
        <w:rPr>
          <w:rFonts w:ascii="ITC Avant Garde" w:hAnsi="ITC Avant Garde"/>
          <w:lang w:val="es-MX"/>
        </w:rPr>
        <w:t>Despreciar</w:t>
      </w:r>
      <w:r w:rsidR="00A374A9" w:rsidRPr="004C1A96">
        <w:rPr>
          <w:rFonts w:ascii="ITC Avant Garde" w:hAnsi="ITC Avant Garde"/>
          <w:lang w:val="es-MX"/>
        </w:rPr>
        <w:t xml:space="preserve"> estos activos.</w:t>
      </w:r>
    </w:p>
    <w:p w14:paraId="5AF0E985" w14:textId="77777777" w:rsidR="00A374A9" w:rsidRPr="004C1A96" w:rsidRDefault="00A374A9" w:rsidP="00A374A9">
      <w:pPr>
        <w:rPr>
          <w:rFonts w:ascii="ITC Avant Garde" w:hAnsi="ITC Avant Garde"/>
          <w:lang w:val="es-MX"/>
        </w:rPr>
      </w:pPr>
      <w:r w:rsidRPr="004C1A96">
        <w:rPr>
          <w:rFonts w:ascii="ITC Avant Garde" w:hAnsi="ITC Avant Garde"/>
          <w:lang w:val="es-MX"/>
        </w:rPr>
        <w:t xml:space="preserve">En primer lugar, la proporción de activos de ingeniería civil reutilizables -entre la base de activos de ingeniería civil- puede estimarse sobre la base de los recientes despliegues de redes de fibra hechas por el </w:t>
      </w:r>
      <w:r w:rsidR="00953B02" w:rsidRPr="004C1A96">
        <w:rPr>
          <w:rFonts w:ascii="ITC Avant Garde" w:hAnsi="ITC Avant Garde"/>
          <w:lang w:val="es-MX"/>
        </w:rPr>
        <w:t>AE</w:t>
      </w:r>
      <w:r w:rsidRPr="004C1A96">
        <w:rPr>
          <w:rFonts w:ascii="ITC Avant Garde" w:hAnsi="ITC Avant Garde"/>
          <w:lang w:val="es-MX"/>
        </w:rPr>
        <w:t>P y otros operadores, dado que han realizado implementaciones racionales y eficientes.</w:t>
      </w:r>
    </w:p>
    <w:p w14:paraId="673B8355" w14:textId="77777777" w:rsidR="00A374A9" w:rsidRPr="004C1A96" w:rsidRDefault="00A374A9" w:rsidP="00A374A9">
      <w:pPr>
        <w:rPr>
          <w:rFonts w:ascii="ITC Avant Garde" w:hAnsi="ITC Avant Garde"/>
          <w:lang w:val="es-MX"/>
        </w:rPr>
      </w:pPr>
      <w:r w:rsidRPr="004C1A96">
        <w:rPr>
          <w:rFonts w:ascii="ITC Avant Garde" w:hAnsi="ITC Avant Garde"/>
          <w:lang w:val="es-MX"/>
        </w:rPr>
        <w:t xml:space="preserve">La ingeniería civil considerada como "reutilizable" excluye, en particular, los activos de ingeniería civil desplegados en las redes NGA durante los últimos años, ya que estos se modelarían típicamente </w:t>
      </w:r>
      <w:r w:rsidR="00953B02" w:rsidRPr="004C1A96">
        <w:rPr>
          <w:rFonts w:ascii="ITC Avant Garde" w:hAnsi="ITC Avant Garde"/>
          <w:lang w:val="es-MX"/>
        </w:rPr>
        <w:t>usando una</w:t>
      </w:r>
      <w:r w:rsidRPr="004C1A96">
        <w:rPr>
          <w:rFonts w:ascii="ITC Avant Garde" w:hAnsi="ITC Avant Garde"/>
          <w:lang w:val="es-MX"/>
        </w:rPr>
        <w:t xml:space="preserve"> valoración de costos de reemplazo bruta</w:t>
      </w:r>
      <w:r w:rsidR="00953B02" w:rsidRPr="004C1A96">
        <w:rPr>
          <w:rFonts w:ascii="ITC Avant Garde" w:hAnsi="ITC Avant Garde"/>
          <w:lang w:val="es-MX"/>
        </w:rPr>
        <w:t xml:space="preserve">, </w:t>
      </w:r>
      <w:r w:rsidRPr="004C1A96">
        <w:rPr>
          <w:rFonts w:ascii="ITC Avant Garde" w:hAnsi="ITC Avant Garde"/>
          <w:lang w:val="es-MX"/>
        </w:rPr>
        <w:t>más apropiada.</w:t>
      </w:r>
    </w:p>
    <w:p w14:paraId="712A42EC" w14:textId="77777777" w:rsidR="00A374A9" w:rsidRPr="004C1A96" w:rsidRDefault="00A374A9" w:rsidP="00A374A9">
      <w:pPr>
        <w:rPr>
          <w:rFonts w:ascii="ITC Avant Garde" w:hAnsi="ITC Avant Garde"/>
          <w:lang w:val="es-MX"/>
        </w:rPr>
      </w:pPr>
      <w:r w:rsidRPr="004C1A96">
        <w:rPr>
          <w:rFonts w:ascii="ITC Avant Garde" w:hAnsi="ITC Avant Garde"/>
          <w:lang w:val="es-MX"/>
        </w:rPr>
        <w:t>Desde un punto de vista regulatorio, es necesario asegurarse de que la reutilización de los activos de ingeniería civil existentes esté optimizada y, por lo tanto, envíe las señales de inversión adecuadas y eficientes.</w:t>
      </w:r>
    </w:p>
    <w:p w14:paraId="7D5638EA" w14:textId="77777777" w:rsidR="00A374A9" w:rsidRPr="004C1A96" w:rsidRDefault="00A374A9" w:rsidP="00A374A9">
      <w:pPr>
        <w:rPr>
          <w:rFonts w:ascii="ITC Avant Garde" w:hAnsi="ITC Avant Garde"/>
          <w:lang w:val="es-MX"/>
        </w:rPr>
      </w:pPr>
      <w:r w:rsidRPr="004C1A96">
        <w:rPr>
          <w:rFonts w:ascii="ITC Avant Garde" w:hAnsi="ITC Avant Garde"/>
          <w:lang w:val="es-MX"/>
        </w:rPr>
        <w:t>Se pueden usar varios enfoques para valorar los activos de ingeniería civil reutilizables:</w:t>
      </w:r>
    </w:p>
    <w:p w14:paraId="6FD25979" w14:textId="77777777" w:rsidR="00A374A9" w:rsidRPr="004C1A96" w:rsidRDefault="00A374A9" w:rsidP="00556A48">
      <w:pPr>
        <w:pStyle w:val="Prrafodelista"/>
        <w:numPr>
          <w:ilvl w:val="0"/>
          <w:numId w:val="21"/>
        </w:numPr>
        <w:rPr>
          <w:rFonts w:ascii="ITC Avant Garde" w:hAnsi="ITC Avant Garde"/>
          <w:lang w:val="es-MX"/>
        </w:rPr>
      </w:pPr>
      <w:r w:rsidRPr="004C1A96">
        <w:rPr>
          <w:rFonts w:ascii="ITC Avant Garde" w:hAnsi="ITC Avant Garde"/>
          <w:lang w:val="es-MX"/>
        </w:rPr>
        <w:t>De acuerdo con el valor neto contable de los activos de ingeniería civil reutilizables, depreciados a lo largo de la vida restante basada en un enfoque de anualidad inclinada;</w:t>
      </w:r>
    </w:p>
    <w:p w14:paraId="73BF6985" w14:textId="61BC97F7" w:rsidR="00A374A9" w:rsidRPr="004C1A96" w:rsidRDefault="00A374A9" w:rsidP="00556A48">
      <w:pPr>
        <w:pStyle w:val="Prrafodelista"/>
        <w:numPr>
          <w:ilvl w:val="0"/>
          <w:numId w:val="21"/>
        </w:numPr>
        <w:rPr>
          <w:rFonts w:ascii="ITC Avant Garde" w:hAnsi="ITC Avant Garde"/>
          <w:lang w:val="es-MX"/>
        </w:rPr>
      </w:pPr>
      <w:r w:rsidRPr="004C1A96">
        <w:rPr>
          <w:rFonts w:ascii="ITC Avant Garde" w:hAnsi="ITC Avant Garde"/>
          <w:lang w:val="es-MX"/>
        </w:rPr>
        <w:lastRenderedPageBreak/>
        <w:t>De acuerdo con el valor residual pro forma de los activos de ingeniería civil reutilizables derivados de una anualidad inclinada (o "indexación"</w:t>
      </w:r>
      <w:r w:rsidR="002E3370">
        <w:rPr>
          <w:rStyle w:val="Refdenotaalpie"/>
          <w:rFonts w:ascii="ITC Avant Garde" w:hAnsi="ITC Avant Garde"/>
          <w:lang w:val="es-MX"/>
        </w:rPr>
        <w:footnoteReference w:id="29"/>
      </w:r>
      <w:r w:rsidRPr="004C1A96">
        <w:rPr>
          <w:rFonts w:ascii="ITC Avant Garde" w:hAnsi="ITC Avant Garde"/>
          <w:lang w:val="es-MX"/>
        </w:rPr>
        <w:t>) realizada en el despliegue anterior de los activos de ingeniería civil reutilizables;</w:t>
      </w:r>
    </w:p>
    <w:p w14:paraId="1140092F" w14:textId="77777777" w:rsidR="00A374A9" w:rsidRPr="00E14D8A" w:rsidRDefault="00A374A9" w:rsidP="00556A48">
      <w:pPr>
        <w:pStyle w:val="Prrafodelista"/>
        <w:numPr>
          <w:ilvl w:val="0"/>
          <w:numId w:val="21"/>
        </w:numPr>
        <w:rPr>
          <w:rFonts w:ascii="ITC Avant Garde" w:hAnsi="ITC Avant Garde"/>
          <w:lang w:val="es-MX"/>
        </w:rPr>
      </w:pPr>
      <w:r w:rsidRPr="00E14D8A">
        <w:rPr>
          <w:rFonts w:ascii="ITC Avant Garde" w:hAnsi="ITC Avant Garde"/>
          <w:lang w:val="es-MX"/>
        </w:rPr>
        <w:t>De acuerdo con los costos brutos de reemplazo en los que se aplica un descuento específico;</w:t>
      </w:r>
    </w:p>
    <w:p w14:paraId="60ACF8E9" w14:textId="77777777" w:rsidR="00A374A9" w:rsidRPr="00E14D8A" w:rsidRDefault="00A374A9" w:rsidP="00556A48">
      <w:pPr>
        <w:pStyle w:val="Prrafodelista"/>
        <w:numPr>
          <w:ilvl w:val="0"/>
          <w:numId w:val="21"/>
        </w:numPr>
        <w:rPr>
          <w:rFonts w:ascii="ITC Avant Garde" w:hAnsi="ITC Avant Garde"/>
          <w:lang w:val="es-MX"/>
        </w:rPr>
      </w:pPr>
      <w:r w:rsidRPr="00E14D8A">
        <w:rPr>
          <w:rFonts w:ascii="ITC Avant Garde" w:hAnsi="ITC Avant Garde"/>
          <w:lang w:val="es-MX"/>
        </w:rPr>
        <w:t>De acuerdo con los precios regulados del acceso a la ingeniería civil, con una indexación adecuada;</w:t>
      </w:r>
    </w:p>
    <w:p w14:paraId="66D5DC42" w14:textId="77777777" w:rsidR="00A374A9" w:rsidRPr="00E14D8A" w:rsidRDefault="00A374A9" w:rsidP="00556A48">
      <w:pPr>
        <w:pStyle w:val="Prrafodelista"/>
        <w:numPr>
          <w:ilvl w:val="0"/>
          <w:numId w:val="21"/>
        </w:numPr>
        <w:rPr>
          <w:rFonts w:ascii="ITC Avant Garde" w:hAnsi="ITC Avant Garde"/>
          <w:lang w:val="es-MX"/>
        </w:rPr>
      </w:pPr>
      <w:r w:rsidRPr="00E14D8A">
        <w:rPr>
          <w:rFonts w:ascii="ITC Avant Garde" w:hAnsi="ITC Avant Garde"/>
          <w:lang w:val="es-MX"/>
        </w:rPr>
        <w:t>Sin valoración específica para los activos de ingeniería civil (valor contable bruto).</w:t>
      </w:r>
    </w:p>
    <w:p w14:paraId="356FB31C" w14:textId="77777777" w:rsidR="00A374A9" w:rsidRPr="004C1A96" w:rsidRDefault="00A374A9" w:rsidP="00A374A9">
      <w:pPr>
        <w:rPr>
          <w:rFonts w:ascii="ITC Avant Garde" w:hAnsi="ITC Avant Garde"/>
          <w:lang w:val="es-MX"/>
        </w:rPr>
      </w:pPr>
      <w:r w:rsidRPr="004C1A96">
        <w:rPr>
          <w:rFonts w:ascii="ITC Avant Garde" w:hAnsi="ITC Avant Garde"/>
          <w:lang w:val="es-MX"/>
        </w:rPr>
        <w:t xml:space="preserve">Los enfoques </w:t>
      </w:r>
      <w:r w:rsidR="00D876C1" w:rsidRPr="004C1A96">
        <w:rPr>
          <w:rFonts w:ascii="ITC Avant Garde" w:hAnsi="ITC Avant Garde"/>
          <w:lang w:val="es-MX"/>
        </w:rPr>
        <w:t>(</w:t>
      </w:r>
      <w:r w:rsidRPr="004C1A96">
        <w:rPr>
          <w:rFonts w:ascii="ITC Avant Garde" w:hAnsi="ITC Avant Garde"/>
          <w:lang w:val="es-MX"/>
        </w:rPr>
        <w:t>a</w:t>
      </w:r>
      <w:r w:rsidR="00D876C1" w:rsidRPr="004C1A96">
        <w:rPr>
          <w:rFonts w:ascii="ITC Avant Garde" w:hAnsi="ITC Avant Garde"/>
          <w:lang w:val="es-MX"/>
        </w:rPr>
        <w:t>)</w:t>
      </w:r>
      <w:r w:rsidRPr="004C1A96">
        <w:rPr>
          <w:rFonts w:ascii="ITC Avant Garde" w:hAnsi="ITC Avant Garde"/>
          <w:lang w:val="es-MX"/>
        </w:rPr>
        <w:t xml:space="preserve"> y </w:t>
      </w:r>
      <w:r w:rsidR="00D876C1" w:rsidRPr="004C1A96">
        <w:rPr>
          <w:rFonts w:ascii="ITC Avant Garde" w:hAnsi="ITC Avant Garde"/>
          <w:lang w:val="es-MX"/>
        </w:rPr>
        <w:t>(</w:t>
      </w:r>
      <w:r w:rsidRPr="004C1A96">
        <w:rPr>
          <w:rFonts w:ascii="ITC Avant Garde" w:hAnsi="ITC Avant Garde"/>
          <w:lang w:val="es-MX"/>
        </w:rPr>
        <w:t>b</w:t>
      </w:r>
      <w:r w:rsidR="00D876C1" w:rsidRPr="004C1A96">
        <w:rPr>
          <w:rFonts w:ascii="ITC Avant Garde" w:hAnsi="ITC Avant Garde"/>
          <w:lang w:val="es-MX"/>
        </w:rPr>
        <w:t>)</w:t>
      </w:r>
      <w:r w:rsidRPr="004C1A96">
        <w:rPr>
          <w:rFonts w:ascii="ITC Avant Garde" w:hAnsi="ITC Avant Garde"/>
          <w:lang w:val="es-MX"/>
        </w:rPr>
        <w:t xml:space="preserve"> (valor contable neto y anualidad inclinada pro forma) siguen los principios establecidos por la recomendación</w:t>
      </w:r>
      <w:r w:rsidR="00C35A29" w:rsidRPr="004C1A96">
        <w:rPr>
          <w:rFonts w:ascii="ITC Avant Garde" w:hAnsi="ITC Avant Garde"/>
          <w:lang w:val="es-MX"/>
        </w:rPr>
        <w:t xml:space="preserve"> de la Comisión Europea</w:t>
      </w:r>
      <w:r w:rsidRPr="004C1A96">
        <w:rPr>
          <w:rFonts w:ascii="ITC Avant Garde" w:hAnsi="ITC Avant Garde"/>
          <w:lang w:val="es-MX"/>
        </w:rPr>
        <w:t xml:space="preserve"> antes mencionada. Bajo estos enfoques, el valor residual (ya sea del valor contable neto o de la anualidad inclinada pro forma) se amortizará en la vida restante del activo.</w:t>
      </w:r>
    </w:p>
    <w:p w14:paraId="1936F890" w14:textId="77777777" w:rsidR="004B276B" w:rsidRPr="004C1A96" w:rsidRDefault="004B276B" w:rsidP="004B276B">
      <w:pPr>
        <w:rPr>
          <w:rFonts w:ascii="ITC Avant Garde" w:hAnsi="ITC Avant Garde"/>
          <w:lang w:val="es-MX"/>
        </w:rPr>
      </w:pPr>
      <w:r w:rsidRPr="004C1A96">
        <w:rPr>
          <w:rFonts w:ascii="ITC Avant Garde" w:hAnsi="ITC Avant Garde"/>
          <w:lang w:val="es-MX"/>
        </w:rPr>
        <w:t xml:space="preserve">El enfoque </w:t>
      </w:r>
      <w:r w:rsidR="00D876C1" w:rsidRPr="004C1A96">
        <w:rPr>
          <w:rFonts w:ascii="ITC Avant Garde" w:hAnsi="ITC Avant Garde"/>
          <w:lang w:val="es-MX"/>
        </w:rPr>
        <w:t>(</w:t>
      </w:r>
      <w:r w:rsidRPr="004C1A96">
        <w:rPr>
          <w:rFonts w:ascii="ITC Avant Garde" w:hAnsi="ITC Avant Garde"/>
          <w:lang w:val="es-MX"/>
        </w:rPr>
        <w:t>a</w:t>
      </w:r>
      <w:r w:rsidR="00D876C1" w:rsidRPr="004C1A96">
        <w:rPr>
          <w:rFonts w:ascii="ITC Avant Garde" w:hAnsi="ITC Avant Garde"/>
          <w:lang w:val="es-MX"/>
        </w:rPr>
        <w:t>)</w:t>
      </w:r>
      <w:r w:rsidRPr="004C1A96">
        <w:rPr>
          <w:rFonts w:ascii="ITC Avant Garde" w:hAnsi="ITC Avant Garde"/>
          <w:lang w:val="es-MX"/>
        </w:rPr>
        <w:t xml:space="preserve"> (valor contable neto) se ajusta a las mejores prácticas europeas implementadas en desarrollos de modelos de costos recientes y permite una recuperación adecuada de los costos debido al uso del valor contable neto, los costos ya recuperados no se tienen en cuenta. Ha sido implementado por la A</w:t>
      </w:r>
      <w:r w:rsidR="009B4975" w:rsidRPr="004C1A96">
        <w:rPr>
          <w:rFonts w:ascii="ITC Avant Garde" w:hAnsi="ITC Avant Garde"/>
          <w:lang w:val="es-MX"/>
        </w:rPr>
        <w:t>RN</w:t>
      </w:r>
      <w:r w:rsidRPr="004C1A96">
        <w:rPr>
          <w:rFonts w:ascii="ITC Avant Garde" w:hAnsi="ITC Avant Garde"/>
          <w:lang w:val="es-MX"/>
        </w:rPr>
        <w:t xml:space="preserve"> irlandesa (</w:t>
      </w:r>
      <w:r w:rsidRPr="004C1A96">
        <w:rPr>
          <w:rFonts w:ascii="ITC Avant Garde" w:hAnsi="ITC Avant Garde"/>
          <w:i/>
          <w:lang w:val="es-MX"/>
        </w:rPr>
        <w:t>ComReg</w:t>
      </w:r>
      <w:r w:rsidRPr="004C1A96">
        <w:rPr>
          <w:rFonts w:ascii="ITC Avant Garde" w:hAnsi="ITC Avant Garde"/>
          <w:lang w:val="es-MX"/>
        </w:rPr>
        <w:t>):</w:t>
      </w:r>
    </w:p>
    <w:p w14:paraId="6CEA7969" w14:textId="0EA0FA4D" w:rsidR="004B276B" w:rsidRPr="004C1A96" w:rsidRDefault="004B276B" w:rsidP="0091536E">
      <w:pPr>
        <w:ind w:left="567" w:right="565"/>
        <w:rPr>
          <w:rFonts w:ascii="ITC Avant Garde" w:hAnsi="ITC Avant Garde"/>
          <w:i/>
          <w:lang w:val="es-MX"/>
        </w:rPr>
      </w:pPr>
      <w:r w:rsidRPr="004C1A96">
        <w:rPr>
          <w:rFonts w:ascii="ITC Avant Garde" w:hAnsi="ITC Avant Garde"/>
          <w:i/>
          <w:lang w:val="es-MX"/>
        </w:rPr>
        <w:t>"Para asegurar la recuperación de costos para los activos reutilizables, ComReg considera que es necesario depreciar el valor contable regulatorio neto de la depreciación acumulada en el momento del cálculo a lo largo de la vida restante de los activos".</w:t>
      </w:r>
      <w:r w:rsidR="002E3370">
        <w:rPr>
          <w:rStyle w:val="Refdenotaalpie"/>
          <w:rFonts w:ascii="ITC Avant Garde" w:hAnsi="ITC Avant Garde"/>
          <w:i/>
          <w:lang w:val="es-MX"/>
        </w:rPr>
        <w:footnoteReference w:id="30"/>
      </w:r>
    </w:p>
    <w:p w14:paraId="7A40ADD2" w14:textId="77777777" w:rsidR="004B276B" w:rsidRPr="006C39A2" w:rsidRDefault="004B276B" w:rsidP="004B276B">
      <w:pPr>
        <w:rPr>
          <w:rFonts w:ascii="ITC Avant Garde" w:hAnsi="ITC Avant Garde"/>
          <w:lang w:val="es-MX"/>
        </w:rPr>
      </w:pPr>
      <w:r w:rsidRPr="00E14D8A">
        <w:rPr>
          <w:rFonts w:ascii="ITC Avant Garde" w:hAnsi="ITC Avant Garde"/>
          <w:lang w:val="es-MX"/>
        </w:rPr>
        <w:t xml:space="preserve">Consiste en depreciar el valor neto contable durante la vida útil restante del activo, de acuerdo con la fórmula de anualidad inclinada. Conforme a la fórmula de anualidades inclinadas, la anualidad crece cada año por una tendencia de precios relevante para el activo (precios históricos del activo, índice de precios del sector, índice de precios del trabajo, etc.). </w:t>
      </w:r>
      <w:r w:rsidR="00D876C1" w:rsidRPr="00E14D8A">
        <w:rPr>
          <w:rFonts w:ascii="ITC Avant Garde" w:hAnsi="ITC Avant Garde"/>
          <w:lang w:val="es-MX"/>
        </w:rPr>
        <w:t>L</w:t>
      </w:r>
      <w:r w:rsidRPr="00E14D8A">
        <w:rPr>
          <w:rFonts w:ascii="ITC Avant Garde" w:hAnsi="ITC Avant Garde"/>
          <w:lang w:val="es-MX"/>
        </w:rPr>
        <w:t xml:space="preserve">a anualidad aumenta (disminuye) si el </w:t>
      </w:r>
      <w:r w:rsidR="00D876C1" w:rsidRPr="00E14D8A">
        <w:rPr>
          <w:rFonts w:ascii="ITC Avant Garde" w:hAnsi="ITC Avant Garde"/>
          <w:lang w:val="es-MX"/>
        </w:rPr>
        <w:t>precio cambia</w:t>
      </w:r>
      <w:r w:rsidRPr="006C39A2">
        <w:rPr>
          <w:rFonts w:ascii="ITC Avant Garde" w:hAnsi="ITC Avant Garde"/>
          <w:lang w:val="es-MX"/>
        </w:rPr>
        <w:t xml:space="preserve"> hacia arriba (hacia abajo).</w:t>
      </w:r>
    </w:p>
    <w:p w14:paraId="1E595B16" w14:textId="77777777" w:rsidR="004B276B" w:rsidRPr="004C1A96" w:rsidRDefault="004B276B" w:rsidP="004B276B">
      <w:pPr>
        <w:rPr>
          <w:rFonts w:ascii="ITC Avant Garde" w:hAnsi="ITC Avant Garde"/>
          <w:lang w:val="es-MX"/>
        </w:rPr>
      </w:pPr>
      <w:r w:rsidRPr="004C1A96">
        <w:rPr>
          <w:rFonts w:ascii="ITC Avant Garde" w:hAnsi="ITC Avant Garde"/>
          <w:lang w:val="es-MX"/>
        </w:rPr>
        <w:t xml:space="preserve">La vida útil de los activos utilizada en los libros </w:t>
      </w:r>
      <w:r w:rsidR="00D876C1" w:rsidRPr="004C1A96">
        <w:rPr>
          <w:rFonts w:ascii="ITC Avant Garde" w:hAnsi="ITC Avant Garde"/>
          <w:lang w:val="es-MX"/>
        </w:rPr>
        <w:t xml:space="preserve">contables </w:t>
      </w:r>
      <w:r w:rsidRPr="004C1A96">
        <w:rPr>
          <w:rFonts w:ascii="ITC Avant Garde" w:hAnsi="ITC Avant Garde"/>
          <w:lang w:val="es-MX"/>
        </w:rPr>
        <w:t>se compara con la vida de los activos utilizada en el modelado ascendente, y puede ajustarse.</w:t>
      </w:r>
      <w:r w:rsidR="00D876C1" w:rsidRPr="004C1A96">
        <w:rPr>
          <w:rFonts w:ascii="ITC Avant Garde" w:hAnsi="ITC Avant Garde"/>
          <w:lang w:val="es-MX"/>
        </w:rPr>
        <w:t xml:space="preserve"> </w:t>
      </w:r>
      <w:r w:rsidRPr="004C1A96">
        <w:rPr>
          <w:rFonts w:ascii="ITC Avant Garde" w:hAnsi="ITC Avant Garde"/>
          <w:lang w:val="es-MX"/>
        </w:rPr>
        <w:t>Al final de la vida útil restante del activo, se ha recuperado el valor neto contable del activo.</w:t>
      </w:r>
    </w:p>
    <w:p w14:paraId="65080FF7" w14:textId="77777777" w:rsidR="004B276B" w:rsidRPr="004C1A96" w:rsidRDefault="004B276B" w:rsidP="004B276B">
      <w:pPr>
        <w:rPr>
          <w:rFonts w:ascii="ITC Avant Garde" w:hAnsi="ITC Avant Garde"/>
          <w:lang w:val="es-MX"/>
        </w:rPr>
      </w:pPr>
      <w:r w:rsidRPr="004C1A96">
        <w:rPr>
          <w:rFonts w:ascii="ITC Avant Garde" w:hAnsi="ITC Avant Garde"/>
          <w:lang w:val="es-MX"/>
        </w:rPr>
        <w:t xml:space="preserve">El enfoque </w:t>
      </w:r>
      <w:r w:rsidR="00D876C1" w:rsidRPr="004C1A96">
        <w:rPr>
          <w:rFonts w:ascii="ITC Avant Garde" w:hAnsi="ITC Avant Garde"/>
          <w:lang w:val="es-MX"/>
        </w:rPr>
        <w:t>(</w:t>
      </w:r>
      <w:r w:rsidRPr="004C1A96">
        <w:rPr>
          <w:rFonts w:ascii="ITC Avant Garde" w:hAnsi="ITC Avant Garde"/>
          <w:lang w:val="es-MX"/>
        </w:rPr>
        <w:t>b</w:t>
      </w:r>
      <w:r w:rsidR="00D876C1" w:rsidRPr="004C1A96">
        <w:rPr>
          <w:rFonts w:ascii="ITC Avant Garde" w:hAnsi="ITC Avant Garde"/>
          <w:lang w:val="es-MX"/>
        </w:rPr>
        <w:t>)</w:t>
      </w:r>
      <w:r w:rsidRPr="004C1A96">
        <w:rPr>
          <w:rFonts w:ascii="ITC Avant Garde" w:hAnsi="ITC Avant Garde"/>
          <w:lang w:val="es-MX"/>
        </w:rPr>
        <w:t xml:space="preserve"> (</w:t>
      </w:r>
      <w:r w:rsidR="00D876C1" w:rsidRPr="004C1A96">
        <w:rPr>
          <w:rFonts w:ascii="ITC Avant Garde" w:hAnsi="ITC Avant Garde"/>
          <w:lang w:val="es-MX"/>
        </w:rPr>
        <w:t>anualidad inclinada pro forma</w:t>
      </w:r>
      <w:r w:rsidRPr="004C1A96">
        <w:rPr>
          <w:rFonts w:ascii="ITC Avant Garde" w:hAnsi="ITC Avant Garde"/>
          <w:lang w:val="es-MX"/>
        </w:rPr>
        <w:t>) es más complejo de implementar y requiere un amplio conocimiento de las inversiones anteriores en infraestructura de ingeniería civil.</w:t>
      </w:r>
    </w:p>
    <w:p w14:paraId="015960AF" w14:textId="202A6FCB" w:rsidR="004B276B" w:rsidRPr="004C1A96" w:rsidRDefault="004B276B" w:rsidP="004B276B">
      <w:pPr>
        <w:rPr>
          <w:rFonts w:ascii="ITC Avant Garde" w:hAnsi="ITC Avant Garde"/>
          <w:lang w:val="fr-FR"/>
        </w:rPr>
      </w:pPr>
      <w:r w:rsidRPr="004C1A96">
        <w:rPr>
          <w:rFonts w:ascii="ITC Avant Garde" w:hAnsi="ITC Avant Garde"/>
          <w:lang w:val="es-MX"/>
        </w:rPr>
        <w:lastRenderedPageBreak/>
        <w:t>Para cada inversión pasada, su valor histórico en el momento de la inversión se recupera y deprecia (aplicando anualidades inclinadas) a lo largo de toda la vida de la inversión, es decir, primero en el período pasado, luego en el presente y en el futuro. Para una inversión dada, el valor contable neto puede diferir del valor neto pro forma, ya que las depreciaciones pasadas en los libros no necesariamente siguen el mismo perfil de anualidad inclinada.</w:t>
      </w:r>
      <w:r w:rsidR="00D876C1" w:rsidRPr="004C1A96">
        <w:rPr>
          <w:rFonts w:ascii="ITC Avant Garde" w:hAnsi="ITC Avant Garde"/>
          <w:lang w:val="es-MX"/>
        </w:rPr>
        <w:t xml:space="preserve"> </w:t>
      </w:r>
      <w:r w:rsidR="00D876C1" w:rsidRPr="004C1A96">
        <w:rPr>
          <w:rFonts w:ascii="ITC Avant Garde" w:hAnsi="ITC Avant Garde"/>
          <w:lang w:val="fr-FR"/>
        </w:rPr>
        <w:t>Este enfoque ha sido implementado por la ARN francesa (</w:t>
      </w:r>
      <w:r w:rsidR="00CF7228" w:rsidRPr="004C1A96">
        <w:rPr>
          <w:rFonts w:ascii="ITC Avant Garde" w:hAnsi="ITC Avant Garde" w:cs="Arial"/>
          <w:color w:val="545454"/>
          <w:shd w:val="clear" w:color="auto" w:fill="FFFFFF"/>
          <w:lang w:val="fr-FR"/>
        </w:rPr>
        <w:t>l'Autorité de régulation des communications électroniques et des Postes</w:t>
      </w:r>
      <w:r w:rsidR="00D876C1" w:rsidRPr="004C1A96">
        <w:rPr>
          <w:rFonts w:ascii="ITC Avant Garde" w:hAnsi="ITC Avant Garde"/>
          <w:lang w:val="fr-FR"/>
        </w:rPr>
        <w:t>) desde 2005.</w:t>
      </w:r>
      <w:r w:rsidR="00D876C1" w:rsidRPr="004C1A96">
        <w:rPr>
          <w:rStyle w:val="Refdenotaalpie"/>
          <w:rFonts w:ascii="ITC Avant Garde" w:hAnsi="ITC Avant Garde"/>
          <w:lang w:val="fr-FR"/>
        </w:rPr>
        <w:t xml:space="preserve"> </w:t>
      </w:r>
      <w:r w:rsidR="002E3370">
        <w:rPr>
          <w:rStyle w:val="Refdenotaalpie"/>
          <w:rFonts w:ascii="ITC Avant Garde" w:hAnsi="ITC Avant Garde"/>
          <w:lang w:val="fr-FR"/>
        </w:rPr>
        <w:footnoteReference w:id="31"/>
      </w:r>
    </w:p>
    <w:p w14:paraId="5CDEC6E8" w14:textId="77777777" w:rsidR="004B276B" w:rsidRPr="00E14D8A" w:rsidRDefault="004B276B" w:rsidP="004B276B">
      <w:pPr>
        <w:rPr>
          <w:rFonts w:ascii="ITC Avant Garde" w:hAnsi="ITC Avant Garde"/>
          <w:lang w:val="es-MX"/>
        </w:rPr>
      </w:pPr>
      <w:r w:rsidRPr="00E14D8A">
        <w:rPr>
          <w:rFonts w:ascii="ITC Avant Garde" w:hAnsi="ITC Avant Garde"/>
          <w:lang w:val="es-MX"/>
        </w:rPr>
        <w:t>Al final de la vida útil restante del activo, el valor neto contable del activo en el año base no se ha recuperado necesariamente. Por el contrario, el valor histórico del activo en el momento de la inversión se recupera a lo largo de toda la vida del activo.</w:t>
      </w:r>
    </w:p>
    <w:p w14:paraId="69818800" w14:textId="4F21FC59" w:rsidR="004B276B" w:rsidRPr="004C1A96" w:rsidRDefault="004B276B" w:rsidP="004B276B">
      <w:pPr>
        <w:rPr>
          <w:rFonts w:ascii="ITC Avant Garde" w:hAnsi="ITC Avant Garde"/>
          <w:lang w:val="es-MX"/>
        </w:rPr>
      </w:pPr>
      <w:r w:rsidRPr="00E14D8A">
        <w:rPr>
          <w:rFonts w:ascii="ITC Avant Garde" w:hAnsi="ITC Avant Garde"/>
          <w:lang w:val="es-MX"/>
        </w:rPr>
        <w:t xml:space="preserve">El enfoque </w:t>
      </w:r>
      <w:r w:rsidR="00D876C1" w:rsidRPr="00E14D8A">
        <w:rPr>
          <w:rFonts w:ascii="ITC Avant Garde" w:hAnsi="ITC Avant Garde"/>
          <w:lang w:val="es-MX"/>
        </w:rPr>
        <w:t>(c)</w:t>
      </w:r>
      <w:r w:rsidRPr="00E14D8A">
        <w:rPr>
          <w:rFonts w:ascii="ITC Avant Garde" w:hAnsi="ITC Avant Garde"/>
          <w:lang w:val="es-MX"/>
        </w:rPr>
        <w:t xml:space="preserve">, basado en factores de descuento, requiere una evaluación previa del descuento que se aplicará a los costos de reemplazo bruto de los activos de ingeniería civil. Esta evaluación generalmente se basa en una comparación del valor contable neto con los costos brutos de reposición (los resultados están entonces cerca de acercarse a </w:t>
      </w:r>
      <w:r w:rsidR="00D876C1" w:rsidRPr="00E14D8A">
        <w:rPr>
          <w:rFonts w:ascii="ITC Avant Garde" w:hAnsi="ITC Avant Garde"/>
          <w:lang w:val="es-MX"/>
        </w:rPr>
        <w:t>(</w:t>
      </w:r>
      <w:r w:rsidRPr="00E14D8A">
        <w:rPr>
          <w:rFonts w:ascii="ITC Avant Garde" w:hAnsi="ITC Avant Garde"/>
          <w:lang w:val="es-MX"/>
        </w:rPr>
        <w:t>a</w:t>
      </w:r>
      <w:r w:rsidR="00D876C1" w:rsidRPr="006C39A2">
        <w:rPr>
          <w:rFonts w:ascii="ITC Avant Garde" w:hAnsi="ITC Avant Garde"/>
          <w:lang w:val="es-MX"/>
        </w:rPr>
        <w:t>)</w:t>
      </w:r>
      <w:r w:rsidRPr="006C39A2">
        <w:rPr>
          <w:rFonts w:ascii="ITC Avant Garde" w:hAnsi="ITC Avant Garde"/>
          <w:lang w:val="es-MX"/>
        </w:rPr>
        <w:t xml:space="preserve">, excepto que no valdrían a cero los activos totalmente depreciados). Este enfoque se ha implementado notablemente en Noruega en el modelo de costos desarrollado por </w:t>
      </w:r>
      <w:r w:rsidR="00D52E38" w:rsidRPr="004C1A96">
        <w:rPr>
          <w:rFonts w:ascii="ITC Avant Garde" w:hAnsi="ITC Avant Garde"/>
          <w:lang w:val="es-MX"/>
        </w:rPr>
        <w:t xml:space="preserve">la ARN noruega (NCOM, por sus siglas en noruego, </w:t>
      </w:r>
      <w:r w:rsidR="00D52E38" w:rsidRPr="004C1A96">
        <w:rPr>
          <w:rFonts w:ascii="ITC Avant Garde" w:hAnsi="ITC Avant Garde"/>
          <w:i/>
          <w:lang w:val="es-MX"/>
        </w:rPr>
        <w:t>Nasjonal Kommunikasjonsmyndighet</w:t>
      </w:r>
      <w:r w:rsidR="00D52E38" w:rsidRPr="004C1A96">
        <w:rPr>
          <w:rFonts w:ascii="ITC Avant Garde" w:hAnsi="ITC Avant Garde"/>
          <w:lang w:val="es-MX"/>
        </w:rPr>
        <w:t xml:space="preserve">) </w:t>
      </w:r>
      <w:r w:rsidRPr="004C1A96">
        <w:rPr>
          <w:rFonts w:ascii="ITC Avant Garde" w:hAnsi="ITC Avant Garde"/>
          <w:lang w:val="es-MX"/>
        </w:rPr>
        <w:t>en 2012 y actualizado en 2015</w:t>
      </w:r>
      <w:r w:rsidR="00722642">
        <w:rPr>
          <w:rStyle w:val="Refdenotaalpie"/>
          <w:rFonts w:ascii="ITC Avant Garde" w:hAnsi="ITC Avant Garde"/>
          <w:lang w:val="es-MX"/>
        </w:rPr>
        <w:footnoteReference w:id="32"/>
      </w:r>
      <w:r w:rsidRPr="004C1A96">
        <w:rPr>
          <w:rFonts w:ascii="ITC Avant Garde" w:hAnsi="ITC Avant Garde"/>
          <w:lang w:val="es-MX"/>
        </w:rPr>
        <w:t>.</w:t>
      </w:r>
    </w:p>
    <w:p w14:paraId="294B4583" w14:textId="77777777" w:rsidR="004B276B" w:rsidRPr="00E14D8A" w:rsidRDefault="004B276B" w:rsidP="004B276B">
      <w:pPr>
        <w:rPr>
          <w:rFonts w:ascii="ITC Avant Garde" w:hAnsi="ITC Avant Garde"/>
          <w:lang w:val="es-MX"/>
        </w:rPr>
      </w:pPr>
      <w:r w:rsidRPr="00E14D8A">
        <w:rPr>
          <w:rFonts w:ascii="ITC Avant Garde" w:hAnsi="ITC Avant Garde"/>
          <w:lang w:val="es-MX"/>
        </w:rPr>
        <w:t>En este enfoque, la calibración del factor de descuento se realiza mediante la implementación del enfoque (a) en una muestra de inversiones.</w:t>
      </w:r>
    </w:p>
    <w:p w14:paraId="47B68071" w14:textId="77777777" w:rsidR="004B276B" w:rsidRPr="004C1A96" w:rsidRDefault="004B276B" w:rsidP="004B276B">
      <w:pPr>
        <w:rPr>
          <w:rFonts w:ascii="ITC Avant Garde" w:hAnsi="ITC Avant Garde"/>
          <w:lang w:val="es-MX"/>
        </w:rPr>
      </w:pPr>
      <w:r w:rsidRPr="00E14D8A">
        <w:rPr>
          <w:rFonts w:ascii="ITC Avant Garde" w:hAnsi="ITC Avant Garde"/>
          <w:lang w:val="es-MX"/>
        </w:rPr>
        <w:t xml:space="preserve">El enfoque </w:t>
      </w:r>
      <w:r w:rsidR="00D876C1" w:rsidRPr="00E14D8A">
        <w:rPr>
          <w:rFonts w:ascii="ITC Avant Garde" w:hAnsi="ITC Avant Garde"/>
          <w:lang w:val="es-MX"/>
        </w:rPr>
        <w:t>(</w:t>
      </w:r>
      <w:r w:rsidRPr="00E14D8A">
        <w:rPr>
          <w:rFonts w:ascii="ITC Avant Garde" w:hAnsi="ITC Avant Garde"/>
          <w:lang w:val="es-MX"/>
        </w:rPr>
        <w:t>d</w:t>
      </w:r>
      <w:r w:rsidR="00D876C1" w:rsidRPr="00E14D8A">
        <w:rPr>
          <w:rFonts w:ascii="ITC Avant Garde" w:hAnsi="ITC Avant Garde"/>
          <w:lang w:val="es-MX"/>
        </w:rPr>
        <w:t>)</w:t>
      </w:r>
      <w:r w:rsidRPr="00E14D8A">
        <w:rPr>
          <w:rFonts w:ascii="ITC Avant Garde" w:hAnsi="ITC Avant Garde"/>
          <w:lang w:val="es-MX"/>
        </w:rPr>
        <w:t>, basado en los costos de acceso a la infraestructura regulad</w:t>
      </w:r>
      <w:r w:rsidR="00D876C1" w:rsidRPr="00E14D8A">
        <w:rPr>
          <w:rFonts w:ascii="ITC Avant Garde" w:hAnsi="ITC Avant Garde"/>
          <w:lang w:val="es-MX"/>
        </w:rPr>
        <w:t>a</w:t>
      </w:r>
      <w:r w:rsidRPr="00E14D8A">
        <w:rPr>
          <w:rFonts w:ascii="ITC Avant Garde" w:hAnsi="ITC Avant Garde"/>
          <w:lang w:val="es-MX"/>
        </w:rPr>
        <w:t xml:space="preserve">, envía señales de "compra", pero puede conducir a un cálculo circular ya que el modelo de costos también </w:t>
      </w:r>
      <w:r w:rsidR="00E8437A" w:rsidRPr="00E14D8A">
        <w:rPr>
          <w:rFonts w:ascii="ITC Avant Garde" w:hAnsi="ITC Avant Garde"/>
          <w:lang w:val="es-MX"/>
        </w:rPr>
        <w:t>permite</w:t>
      </w:r>
      <w:r w:rsidRPr="00E14D8A">
        <w:rPr>
          <w:rFonts w:ascii="ITC Avant Garde" w:hAnsi="ITC Avant Garde"/>
          <w:lang w:val="es-MX"/>
        </w:rPr>
        <w:t xml:space="preserve"> derivar costos regulatorios de acceso a infraestructura de ingeniería civil.</w:t>
      </w:r>
    </w:p>
    <w:p w14:paraId="3F6A3E53" w14:textId="3DCF8352" w:rsidR="004B276B" w:rsidRPr="004C1A96" w:rsidRDefault="004B276B" w:rsidP="004B276B">
      <w:pPr>
        <w:rPr>
          <w:rFonts w:ascii="ITC Avant Garde" w:hAnsi="ITC Avant Garde"/>
          <w:lang w:val="es-MX"/>
        </w:rPr>
      </w:pPr>
      <w:r w:rsidRPr="004C1A96">
        <w:rPr>
          <w:rFonts w:ascii="ITC Avant Garde" w:hAnsi="ITC Avant Garde"/>
          <w:lang w:val="es-MX"/>
        </w:rPr>
        <w:t xml:space="preserve">Bajo este enfoque, el cargo de acceso al ducto en el año t se extrapolará del cargo de acceso al ducto en </w:t>
      </w:r>
      <w:r w:rsidR="005E71CE" w:rsidRPr="004C1A96">
        <w:rPr>
          <w:rFonts w:ascii="ITC Avant Garde" w:hAnsi="ITC Avant Garde"/>
          <w:lang w:val="es-MX"/>
        </w:rPr>
        <w:t xml:space="preserve">2023 </w:t>
      </w:r>
      <w:r w:rsidRPr="004C1A96">
        <w:rPr>
          <w:rFonts w:ascii="ITC Avant Garde" w:hAnsi="ITC Avant Garde"/>
          <w:lang w:val="es-MX"/>
        </w:rPr>
        <w:t xml:space="preserve">a través de un factor de crecimiento </w:t>
      </w:r>
      <w:r w:rsidRPr="004C1A96">
        <w:rPr>
          <w:rFonts w:ascii="ITC Avant Garde" w:hAnsi="ITC Avant Garde" w:hint="eastAsia"/>
          <w:lang w:val="es-MX"/>
        </w:rPr>
        <w:t>π</w:t>
      </w:r>
      <w:r w:rsidRPr="004C1A96">
        <w:rPr>
          <w:rFonts w:ascii="ITC Avant Garde" w:hAnsi="ITC Avant Garde"/>
          <w:lang w:val="es-MX"/>
        </w:rPr>
        <w:t xml:space="preserve"> o indexación basado en el índice de precios al consumidor, índice de precios laborales o cualquier otro índice de inflación relevante:</w:t>
      </w:r>
    </w:p>
    <w:p w14:paraId="69E5D6BC" w14:textId="48B7FAC3" w:rsidR="004B276B" w:rsidRPr="004C1A96" w:rsidRDefault="004B276B" w:rsidP="004B276B">
      <w:pPr>
        <w:rPr>
          <w:rFonts w:ascii="ITC Avant Garde" w:hAnsi="ITC Avant Garde"/>
          <w:lang w:val="es-MX"/>
        </w:rPr>
      </w:pPr>
      <w:r w:rsidRPr="004C1A96">
        <w:rPr>
          <w:rFonts w:ascii="ITC Avant Garde" w:hAnsi="ITC Avant Garde"/>
          <w:lang w:val="es-MX"/>
        </w:rPr>
        <w:t>Carga de acceso al conducto (t) = Carga de acceso al conducto (</w:t>
      </w:r>
      <w:r w:rsidR="005E71CE" w:rsidRPr="004C1A96">
        <w:rPr>
          <w:rFonts w:ascii="ITC Avant Garde" w:hAnsi="ITC Avant Garde"/>
          <w:lang w:val="es-MX"/>
        </w:rPr>
        <w:t>2023</w:t>
      </w:r>
      <w:r w:rsidRPr="004C1A96">
        <w:rPr>
          <w:rFonts w:ascii="ITC Avant Garde" w:hAnsi="ITC Avant Garde"/>
          <w:lang w:val="es-MX"/>
        </w:rPr>
        <w:t xml:space="preserve">) * (1 + </w:t>
      </w:r>
      <w:r w:rsidRPr="004C1A96">
        <w:rPr>
          <w:rFonts w:ascii="ITC Avant Garde" w:hAnsi="ITC Avant Garde" w:hint="eastAsia"/>
          <w:lang w:val="es-MX"/>
        </w:rPr>
        <w:t>π</w:t>
      </w:r>
      <w:r w:rsidRPr="004C1A96">
        <w:rPr>
          <w:rFonts w:ascii="ITC Avant Garde" w:hAnsi="ITC Avant Garde"/>
          <w:lang w:val="es-MX"/>
        </w:rPr>
        <w:t>) ^ t</w:t>
      </w:r>
    </w:p>
    <w:p w14:paraId="316BC94F" w14:textId="77777777" w:rsidR="004B276B" w:rsidRPr="004C1A96" w:rsidRDefault="004B276B" w:rsidP="004B276B">
      <w:pPr>
        <w:rPr>
          <w:rFonts w:ascii="ITC Avant Garde" w:hAnsi="ITC Avant Garde"/>
          <w:lang w:val="es-MX"/>
        </w:rPr>
      </w:pPr>
      <w:r w:rsidRPr="004C1A96">
        <w:rPr>
          <w:rFonts w:ascii="ITC Avant Garde" w:hAnsi="ITC Avant Garde"/>
          <w:lang w:val="es-MX"/>
        </w:rPr>
        <w:t>Esto imita el perfil de depreciación de una anualidad inclinada, donde la anualidad crece</w:t>
      </w:r>
      <w:r w:rsidR="00875932" w:rsidRPr="004C1A96">
        <w:rPr>
          <w:rFonts w:ascii="ITC Avant Garde" w:hAnsi="ITC Avant Garde"/>
          <w:lang w:val="es-MX"/>
        </w:rPr>
        <w:t>/</w:t>
      </w:r>
      <w:r w:rsidRPr="004C1A96">
        <w:rPr>
          <w:rFonts w:ascii="ITC Avant Garde" w:hAnsi="ITC Avant Garde"/>
          <w:lang w:val="es-MX"/>
        </w:rPr>
        <w:t>declina cada año según la tendencia del precio del activo.</w:t>
      </w:r>
    </w:p>
    <w:p w14:paraId="0F169B77" w14:textId="77777777" w:rsidR="004B276B" w:rsidRPr="004C1A96" w:rsidRDefault="004B276B" w:rsidP="004B276B">
      <w:pPr>
        <w:rPr>
          <w:rFonts w:ascii="ITC Avant Garde" w:hAnsi="ITC Avant Garde"/>
          <w:lang w:val="es-MX"/>
        </w:rPr>
      </w:pPr>
      <w:r w:rsidRPr="004C1A96">
        <w:rPr>
          <w:rFonts w:ascii="ITC Avant Garde" w:hAnsi="ITC Avant Garde"/>
          <w:lang w:val="es-MX"/>
        </w:rPr>
        <w:t xml:space="preserve">Finalmente, el enfoque </w:t>
      </w:r>
      <w:r w:rsidR="00E8437A" w:rsidRPr="004C1A96">
        <w:rPr>
          <w:rFonts w:ascii="ITC Avant Garde" w:hAnsi="ITC Avant Garde"/>
          <w:lang w:val="es-MX"/>
        </w:rPr>
        <w:t>(e)</w:t>
      </w:r>
      <w:r w:rsidRPr="004C1A96">
        <w:rPr>
          <w:rFonts w:ascii="ITC Avant Garde" w:hAnsi="ITC Avant Garde"/>
          <w:lang w:val="es-MX"/>
        </w:rPr>
        <w:t xml:space="preserve"> se implementa cuando no hay activos de ingeniería civil reutilizables, por ejemplo, cuando se excavaron zanjas sin ductos y deben abrirse y construirse una vez más para el despliegue de NGA. Cuando los activos de ingeniería civil pueden reutilizarse, el uso de los costos de reemplazo bruto de los activos puede </w:t>
      </w:r>
      <w:r w:rsidRPr="004C1A96">
        <w:rPr>
          <w:rFonts w:ascii="ITC Avant Garde" w:hAnsi="ITC Avant Garde"/>
          <w:lang w:val="es-MX"/>
        </w:rPr>
        <w:lastRenderedPageBreak/>
        <w:t>llevar a una sobreestimación de los costos de red que implica una recuperación excesiva. Como consecuencia, valorar los activos de ingeniería civil reutilizables de acuerdo con sus costos de reemplazo brutos incentivaría la construcción de las infraestructuras una vez más, lo que no es adecuado desde un punto de vista regulatorio.</w:t>
      </w:r>
    </w:p>
    <w:p w14:paraId="7156EDCF" w14:textId="77777777" w:rsidR="004B276B" w:rsidRPr="004C1A96" w:rsidRDefault="004B276B" w:rsidP="004B276B">
      <w:pPr>
        <w:rPr>
          <w:rFonts w:ascii="ITC Avant Garde" w:hAnsi="ITC Avant Garde"/>
          <w:lang w:val="es-MX"/>
        </w:rPr>
      </w:pPr>
      <w:r w:rsidRPr="004C1A96">
        <w:rPr>
          <w:rFonts w:ascii="ITC Avant Garde" w:hAnsi="ITC Avant Garde"/>
          <w:lang w:val="es-MX"/>
        </w:rPr>
        <w:t>En conjunto, el examen de los diferentes métodos para valorar los activos de ingeniería civil reutilizables demuestra que plantean diferentes requisitos de acceso a los datos y que presentan diferentes ventajas y desventajas.</w:t>
      </w:r>
    </w:p>
    <w:p w14:paraId="57A85E9F" w14:textId="45CC28C7" w:rsidR="008C28C2" w:rsidRPr="004C1A96" w:rsidRDefault="008C28C2" w:rsidP="00E17365">
      <w:pPr>
        <w:rPr>
          <w:rFonts w:ascii="ITC Avant Garde" w:hAnsi="ITC Avant Garde"/>
          <w:lang w:val="es-MX"/>
        </w:rPr>
      </w:pPr>
      <w:r w:rsidRPr="004C1A96">
        <w:rPr>
          <w:rFonts w:ascii="ITC Avant Garde" w:hAnsi="ITC Avant Garde"/>
          <w:lang w:val="es-MX"/>
        </w:rPr>
        <w:t>De manera adicional a lo señalado anteriormente para los activos de ingeniería civil, en el entorno actual de telecomunicaciones, es evidente que las redes de acceso de cobre se encuentran cada día más obsoletas, al ser incapaces de ofrecer las velocidades crecientes de banda ancha demandadas por los usuarios</w:t>
      </w:r>
      <w:r w:rsidR="00E17365">
        <w:rPr>
          <w:rFonts w:ascii="ITC Avant Garde" w:hAnsi="ITC Avant Garde"/>
          <w:lang w:val="es-MX"/>
        </w:rPr>
        <w:t xml:space="preserve">. </w:t>
      </w:r>
      <w:r w:rsidRPr="004C1A96">
        <w:rPr>
          <w:rFonts w:ascii="ITC Avant Garde" w:hAnsi="ITC Avant Garde"/>
          <w:lang w:val="es-MX"/>
        </w:rPr>
        <w:t xml:space="preserve">Adicionalmente, los cables de cobre también presentan un alto grado de depreciación acumulada en las finanzas del AEP, al haber sido desplegados hace un número sustancial de años. Por tanto, se estima que, para evitar una sobre-recuperación de los costos relacionados con los cables de cobre, el Modelo debe extender la aplicación del </w:t>
      </w:r>
      <w:r w:rsidR="0062046E" w:rsidRPr="004C1A96">
        <w:rPr>
          <w:rFonts w:ascii="ITC Avant Garde" w:hAnsi="ITC Avant Garde"/>
          <w:lang w:val="es-MX"/>
        </w:rPr>
        <w:t xml:space="preserve">ajuste </w:t>
      </w:r>
      <w:r w:rsidRPr="004C1A96">
        <w:rPr>
          <w:rFonts w:ascii="ITC Avant Garde" w:hAnsi="ITC Avant Garde"/>
          <w:lang w:val="es-MX"/>
        </w:rPr>
        <w:t>explicado previamente para el valor de reposición de l</w:t>
      </w:r>
      <w:r w:rsidR="0062046E" w:rsidRPr="004C1A96">
        <w:rPr>
          <w:rFonts w:ascii="ITC Avant Garde" w:hAnsi="ITC Avant Garde"/>
          <w:lang w:val="es-MX"/>
        </w:rPr>
        <w:t>os activos de ingeniería civil (</w:t>
      </w:r>
      <w:r w:rsidRPr="004C1A96">
        <w:rPr>
          <w:rFonts w:ascii="ITC Avant Garde" w:hAnsi="ITC Avant Garde"/>
          <w:lang w:val="es-MX"/>
        </w:rPr>
        <w:t>canalizaciones, pozos y postes</w:t>
      </w:r>
      <w:r w:rsidR="0062046E" w:rsidRPr="004C1A96">
        <w:rPr>
          <w:rFonts w:ascii="ITC Avant Garde" w:hAnsi="ITC Avant Garde"/>
          <w:lang w:val="es-MX"/>
        </w:rPr>
        <w:t>)</w:t>
      </w:r>
      <w:r w:rsidRPr="004C1A96">
        <w:rPr>
          <w:rFonts w:ascii="ITC Avant Garde" w:hAnsi="ITC Avant Garde"/>
          <w:lang w:val="es-MX"/>
        </w:rPr>
        <w:t xml:space="preserve">, también a los activos relacionados con los cables de cobre en el Modelo. Se hace notar que esta aproximación ya ha sido empleada previamente por otros reguladores de telecomunicaciones en el entorno internacional. </w:t>
      </w:r>
    </w:p>
    <w:p w14:paraId="2EEE0647" w14:textId="279240D0" w:rsidR="00086BFA" w:rsidRPr="004C1A96" w:rsidRDefault="00086BFA" w:rsidP="00086BFA">
      <w:pPr>
        <w:pStyle w:val="Encadr3"/>
        <w:rPr>
          <w:rFonts w:ascii="ITC Avant Garde" w:hAnsi="ITC Avant Garde"/>
          <w:lang w:val="es-MX"/>
        </w:rPr>
      </w:pPr>
      <w:r w:rsidRPr="004C1A96">
        <w:rPr>
          <w:rFonts w:ascii="ITC Avant Garde" w:hAnsi="ITC Avant Garde"/>
          <w:lang w:val="es-MX"/>
        </w:rPr>
        <w:t xml:space="preserve">Criterio 21: </w:t>
      </w:r>
      <w:r w:rsidR="006A3B29" w:rsidRPr="004C1A96">
        <w:rPr>
          <w:rFonts w:ascii="ITC Avant Garde" w:hAnsi="ITC Avant Garde"/>
          <w:lang w:val="es-MX"/>
        </w:rPr>
        <w:t>L</w:t>
      </w:r>
      <w:r w:rsidRPr="004C1A96">
        <w:rPr>
          <w:rFonts w:ascii="ITC Avant Garde" w:hAnsi="ITC Avant Garde"/>
          <w:lang w:val="es-MX"/>
        </w:rPr>
        <w:t xml:space="preserve">os activos reutilizables </w:t>
      </w:r>
      <w:r w:rsidR="0062046E" w:rsidRPr="004C1A96">
        <w:rPr>
          <w:rFonts w:ascii="ITC Avant Garde" w:hAnsi="ITC Avant Garde"/>
          <w:lang w:val="es-MX"/>
        </w:rPr>
        <w:t xml:space="preserve">y los cables de cobre </w:t>
      </w:r>
      <w:r w:rsidRPr="004C1A96">
        <w:rPr>
          <w:rFonts w:ascii="ITC Avant Garde" w:hAnsi="ITC Avant Garde"/>
          <w:lang w:val="es-MX"/>
        </w:rPr>
        <w:t xml:space="preserve">se deben valorar al valor neto contable del AEP. De lo contrario, se </w:t>
      </w:r>
      <w:r w:rsidR="006A3B29" w:rsidRPr="004C1A96">
        <w:rPr>
          <w:rFonts w:ascii="ITC Avant Garde" w:hAnsi="ITC Avant Garde"/>
          <w:lang w:val="es-MX"/>
        </w:rPr>
        <w:t>usa</w:t>
      </w:r>
      <w:r w:rsidRPr="004C1A96">
        <w:rPr>
          <w:rFonts w:ascii="ITC Avant Garde" w:hAnsi="ITC Avant Garde"/>
          <w:lang w:val="es-MX"/>
        </w:rPr>
        <w:t xml:space="preserve"> una valoración basada en la participación del valor neto contable restante procedente de un índice de referencia internacional.</w:t>
      </w:r>
    </w:p>
    <w:p w14:paraId="788725D2" w14:textId="77777777" w:rsidR="00A04AD9" w:rsidRPr="000B0E8F" w:rsidRDefault="004B276B" w:rsidP="0040723E">
      <w:pPr>
        <w:pStyle w:val="Ttulo3"/>
        <w:rPr>
          <w:lang w:val="es-MX"/>
        </w:rPr>
      </w:pPr>
      <w:bookmarkStart w:id="139" w:name="_Toc525665281"/>
      <w:bookmarkStart w:id="140" w:name="_Toc525665660"/>
      <w:bookmarkStart w:id="141" w:name="_Toc141975018"/>
      <w:r w:rsidRPr="000B0E8F">
        <w:rPr>
          <w:lang w:val="es-MX"/>
        </w:rPr>
        <w:t>Anualización de</w:t>
      </w:r>
      <w:r w:rsidR="00A04AD9" w:rsidRPr="000B0E8F">
        <w:rPr>
          <w:lang w:val="es-MX"/>
        </w:rPr>
        <w:t xml:space="preserve"> los CAPEX</w:t>
      </w:r>
      <w:bookmarkEnd w:id="139"/>
      <w:bookmarkEnd w:id="140"/>
      <w:bookmarkEnd w:id="141"/>
    </w:p>
    <w:p w14:paraId="73C2D435" w14:textId="77777777" w:rsidR="00A04AD9" w:rsidRPr="008F42FC" w:rsidRDefault="00E8437A" w:rsidP="003C224B">
      <w:pPr>
        <w:pStyle w:val="Ttulo4"/>
        <w:rPr>
          <w:lang w:val="es-MX"/>
        </w:rPr>
      </w:pPr>
      <w:bookmarkStart w:id="142" w:name="_Toc525665282"/>
      <w:bookmarkStart w:id="143" w:name="_Toc525665661"/>
      <w:bookmarkStart w:id="144" w:name="_Toc141975019"/>
      <w:r w:rsidRPr="008F42FC">
        <w:rPr>
          <w:lang w:val="es-MX"/>
        </w:rPr>
        <w:t xml:space="preserve">Costo Promedio Ponderado del Capital (CPPC o </w:t>
      </w:r>
      <w:r w:rsidR="00A04AD9" w:rsidRPr="008F42FC">
        <w:rPr>
          <w:lang w:val="es-MX"/>
        </w:rPr>
        <w:t>WACC</w:t>
      </w:r>
      <w:r w:rsidRPr="008F42FC">
        <w:rPr>
          <w:lang w:val="es-MX"/>
        </w:rPr>
        <w:t>)</w:t>
      </w:r>
      <w:bookmarkEnd w:id="142"/>
      <w:bookmarkEnd w:id="143"/>
      <w:bookmarkEnd w:id="144"/>
    </w:p>
    <w:p w14:paraId="1453FD40" w14:textId="77777777" w:rsidR="00A04AD9" w:rsidRPr="00E14D8A" w:rsidRDefault="00A04AD9" w:rsidP="00A04AD9">
      <w:pPr>
        <w:rPr>
          <w:rFonts w:ascii="ITC Avant Garde" w:hAnsi="ITC Avant Garde"/>
          <w:lang w:val="es-MX"/>
        </w:rPr>
      </w:pPr>
      <w:r w:rsidRPr="004C1A96">
        <w:rPr>
          <w:rFonts w:ascii="ITC Avant Garde" w:hAnsi="ITC Avant Garde"/>
          <w:lang w:val="es-MX"/>
        </w:rPr>
        <w:t>El costo del capital mide la oportunidad o el costo alternativo de las fuentes de capital (deuda y capital) invertidas en la red.</w:t>
      </w:r>
      <w:r w:rsidR="00E8437A" w:rsidRPr="00E14D8A">
        <w:rPr>
          <w:rFonts w:ascii="ITC Avant Garde" w:hAnsi="ITC Avant Garde"/>
          <w:lang w:val="es-MX"/>
        </w:rPr>
        <w:t xml:space="preserve"> </w:t>
      </w:r>
      <w:r w:rsidRPr="00E14D8A">
        <w:rPr>
          <w:rFonts w:ascii="ITC Avant Garde" w:hAnsi="ITC Avant Garde"/>
          <w:lang w:val="es-MX"/>
        </w:rPr>
        <w:t>Considera que el rendimiento de los activos de la empresa debe ser igual al rendimiento total esperado por sus accionistas y acreedores de la deuda, ponderado por su contribución respectiva al financiamiento de la empresa.</w:t>
      </w:r>
    </w:p>
    <w:p w14:paraId="7FE08B3C" w14:textId="61C90B67" w:rsidR="00A04AD9" w:rsidRPr="004C1A96" w:rsidRDefault="00A04AD9" w:rsidP="00EB0D4A">
      <w:pPr>
        <w:pStyle w:val="Encadr3"/>
        <w:rPr>
          <w:rFonts w:ascii="ITC Avant Garde" w:hAnsi="ITC Avant Garde"/>
          <w:lang w:val="es-MX"/>
        </w:rPr>
      </w:pPr>
      <w:r w:rsidRPr="00E14D8A">
        <w:rPr>
          <w:rFonts w:ascii="ITC Avant Garde" w:hAnsi="ITC Avant Garde"/>
          <w:lang w:val="es-MX"/>
        </w:rPr>
        <w:t xml:space="preserve">Criterio </w:t>
      </w:r>
      <w:r w:rsidR="00542089" w:rsidRPr="00E14D8A">
        <w:rPr>
          <w:rFonts w:ascii="ITC Avant Garde" w:hAnsi="ITC Avant Garde"/>
          <w:lang w:val="es-MX"/>
        </w:rPr>
        <w:t>22</w:t>
      </w:r>
      <w:r w:rsidRPr="00E14D8A">
        <w:rPr>
          <w:rFonts w:ascii="ITC Avant Garde" w:hAnsi="ITC Avant Garde"/>
          <w:lang w:val="es-MX"/>
        </w:rPr>
        <w:t xml:space="preserve">: </w:t>
      </w:r>
      <w:r w:rsidR="00EB0D4A" w:rsidRPr="00E14D8A">
        <w:rPr>
          <w:rFonts w:ascii="ITC Avant Garde" w:hAnsi="ITC Avant Garde"/>
          <w:lang w:val="es-MX"/>
        </w:rPr>
        <w:t>S</w:t>
      </w:r>
      <w:r w:rsidRPr="00E14D8A">
        <w:rPr>
          <w:rFonts w:ascii="ITC Avant Garde" w:hAnsi="ITC Avant Garde"/>
          <w:lang w:val="es-MX"/>
        </w:rPr>
        <w:t xml:space="preserve">e </w:t>
      </w:r>
      <w:r w:rsidR="009E1A99" w:rsidRPr="00E14D8A">
        <w:rPr>
          <w:rFonts w:ascii="ITC Avant Garde" w:hAnsi="ITC Avant Garde"/>
          <w:lang w:val="es-MX"/>
        </w:rPr>
        <w:t>utilizará</w:t>
      </w:r>
      <w:r w:rsidRPr="00E14D8A">
        <w:rPr>
          <w:rFonts w:ascii="ITC Avant Garde" w:hAnsi="ITC Avant Garde"/>
          <w:lang w:val="es-MX"/>
        </w:rPr>
        <w:t xml:space="preserve"> el último cálculo de WACC (realizado y decidido por </w:t>
      </w:r>
      <w:r w:rsidR="00E8437A" w:rsidRPr="00E14D8A">
        <w:rPr>
          <w:rFonts w:ascii="ITC Avant Garde" w:hAnsi="ITC Avant Garde"/>
          <w:lang w:val="es-MX"/>
        </w:rPr>
        <w:t xml:space="preserve">el </w:t>
      </w:r>
      <w:r w:rsidRPr="00E14D8A">
        <w:rPr>
          <w:rFonts w:ascii="ITC Avant Garde" w:hAnsi="ITC Avant Garde"/>
          <w:lang w:val="es-MX"/>
        </w:rPr>
        <w:t>IFT)</w:t>
      </w:r>
      <w:r w:rsidR="00722642">
        <w:rPr>
          <w:rStyle w:val="Refdenotaalpie"/>
          <w:rFonts w:ascii="ITC Avant Garde" w:hAnsi="ITC Avant Garde"/>
          <w:lang w:val="es-MX"/>
        </w:rPr>
        <w:footnoteReference w:id="33"/>
      </w:r>
      <w:r w:rsidRPr="004C1A96">
        <w:rPr>
          <w:rFonts w:ascii="ITC Avant Garde" w:hAnsi="ITC Avant Garde"/>
          <w:lang w:val="es-MX"/>
        </w:rPr>
        <w:t>.</w:t>
      </w:r>
    </w:p>
    <w:p w14:paraId="166B549D" w14:textId="77777777" w:rsidR="00A04AD9" w:rsidRPr="00E14D8A" w:rsidRDefault="00A04AD9" w:rsidP="00A04AD9">
      <w:pPr>
        <w:rPr>
          <w:rFonts w:ascii="ITC Avant Garde" w:hAnsi="ITC Avant Garde"/>
          <w:lang w:val="es-MX"/>
        </w:rPr>
      </w:pPr>
      <w:r w:rsidRPr="00E14D8A">
        <w:rPr>
          <w:rFonts w:ascii="ITC Avant Garde" w:hAnsi="ITC Avant Garde"/>
          <w:lang w:val="es-MX"/>
        </w:rPr>
        <w:t>Por otro lado, el WACC podría considerarse en el modelo según dos métodos alternativos:</w:t>
      </w:r>
    </w:p>
    <w:p w14:paraId="2E99D79D" w14:textId="77777777" w:rsidR="00A04AD9" w:rsidRPr="00E14D8A" w:rsidRDefault="00A04AD9" w:rsidP="009E1A99">
      <w:pPr>
        <w:pStyle w:val="Listaconvietas2"/>
        <w:rPr>
          <w:rFonts w:ascii="ITC Avant Garde" w:hAnsi="ITC Avant Garde"/>
          <w:lang w:val="es-MX"/>
        </w:rPr>
      </w:pPr>
      <w:r w:rsidRPr="00E14D8A">
        <w:rPr>
          <w:rFonts w:ascii="ITC Avant Garde" w:hAnsi="ITC Avant Garde"/>
          <w:lang w:val="es-MX"/>
        </w:rPr>
        <w:lastRenderedPageBreak/>
        <w:t xml:space="preserve">WACC nominal, </w:t>
      </w:r>
      <w:r w:rsidR="009E1A99" w:rsidRPr="00E14D8A">
        <w:rPr>
          <w:rFonts w:ascii="ITC Avant Garde" w:hAnsi="ITC Avant Garde"/>
          <w:lang w:val="es-MX"/>
        </w:rPr>
        <w:t xml:space="preserve">que </w:t>
      </w:r>
      <w:r w:rsidRPr="00E14D8A">
        <w:rPr>
          <w:rFonts w:ascii="ITC Avant Garde" w:hAnsi="ITC Avant Garde"/>
          <w:lang w:val="es-MX"/>
        </w:rPr>
        <w:t>no tiene en cuenta la tasa de inflación del país o sector al que se refiere. Esta alternativa se utiliza principalmente en modelos estáticos, limitados a la producción de resultados para un solo año;</w:t>
      </w:r>
    </w:p>
    <w:p w14:paraId="5EF16DF0" w14:textId="77777777" w:rsidR="00A04AD9" w:rsidRPr="004C1A96" w:rsidRDefault="00A04AD9" w:rsidP="009E1A99">
      <w:pPr>
        <w:pStyle w:val="Listaconvietas2"/>
        <w:rPr>
          <w:rFonts w:ascii="ITC Avant Garde" w:hAnsi="ITC Avant Garde"/>
          <w:lang w:val="es-MX"/>
        </w:rPr>
      </w:pPr>
      <w:r w:rsidRPr="004C1A96">
        <w:rPr>
          <w:rFonts w:ascii="ITC Avant Garde" w:hAnsi="ITC Avant Garde"/>
          <w:lang w:val="es-MX"/>
        </w:rPr>
        <w:t>WACC real que tiene en cuenta la tasa de inflación. Este enfoque es la alternativa generalmente adoptada en modelos de varios años, que proyectan los resultados en el futuro.</w:t>
      </w:r>
    </w:p>
    <w:p w14:paraId="6F136A19" w14:textId="77777777" w:rsidR="00A04AD9" w:rsidRPr="004C1A96" w:rsidRDefault="009E1A99" w:rsidP="00A04AD9">
      <w:pPr>
        <w:rPr>
          <w:rFonts w:ascii="ITC Avant Garde" w:hAnsi="ITC Avant Garde"/>
          <w:lang w:val="es-MX"/>
        </w:rPr>
      </w:pPr>
      <w:r w:rsidRPr="004C1A96">
        <w:rPr>
          <w:rFonts w:ascii="ITC Avant Garde" w:hAnsi="ITC Avant Garde"/>
          <w:lang w:val="es-MX"/>
        </w:rPr>
        <w:t>En</w:t>
      </w:r>
      <w:r w:rsidR="00A04AD9" w:rsidRPr="004C1A96">
        <w:rPr>
          <w:rFonts w:ascii="ITC Avant Garde" w:hAnsi="ITC Avant Garde"/>
          <w:lang w:val="es-MX"/>
        </w:rPr>
        <w:t xml:space="preserve"> los modelos anteriores, el primer enfoque se usa en el modelo de cobre, mientras que el segundo se sigue en el modelo de fibra.</w:t>
      </w:r>
    </w:p>
    <w:p w14:paraId="56DA4016" w14:textId="77777777" w:rsidR="00A04AD9" w:rsidRPr="004C1A96" w:rsidRDefault="00A04AD9" w:rsidP="00A04AD9">
      <w:pPr>
        <w:rPr>
          <w:rFonts w:ascii="ITC Avant Garde" w:hAnsi="ITC Avant Garde"/>
          <w:lang w:val="es-MX"/>
        </w:rPr>
      </w:pPr>
      <w:r w:rsidRPr="004C1A96">
        <w:rPr>
          <w:rFonts w:ascii="ITC Avant Garde" w:hAnsi="ITC Avant Garde"/>
          <w:lang w:val="es-MX"/>
        </w:rPr>
        <w:t xml:space="preserve">El costo del capital podría evaluarse como un cálculo separado y usarse en el modelo </w:t>
      </w:r>
      <w:r w:rsidR="00AC4C26" w:rsidRPr="004C1A96">
        <w:rPr>
          <w:rFonts w:ascii="ITC Avant Garde" w:hAnsi="ITC Avant Garde"/>
          <w:lang w:val="es-MX"/>
        </w:rPr>
        <w:t>de CIPLP</w:t>
      </w:r>
      <w:r w:rsidRPr="004C1A96">
        <w:rPr>
          <w:rFonts w:ascii="ITC Avant Garde" w:hAnsi="ITC Avant Garde"/>
          <w:lang w:val="es-MX"/>
        </w:rPr>
        <w:t>, debe ser posible cambiar su valor en el modelo.</w:t>
      </w:r>
    </w:p>
    <w:p w14:paraId="0DD96157" w14:textId="46B85AFE" w:rsidR="00A04AD9" w:rsidRPr="004C1A96" w:rsidRDefault="00A04AD9" w:rsidP="00A04AD9">
      <w:pPr>
        <w:rPr>
          <w:rFonts w:ascii="ITC Avant Garde" w:hAnsi="ITC Avant Garde"/>
          <w:lang w:val="es-MX" w:eastAsia="x-none"/>
        </w:rPr>
      </w:pPr>
      <w:r w:rsidRPr="004C1A96">
        <w:rPr>
          <w:rFonts w:ascii="ITC Avant Garde" w:hAnsi="ITC Avant Garde"/>
          <w:lang w:val="es-MX"/>
        </w:rPr>
        <w:t>La elección del uso de WACC real o nominal debe ser consistente con la elección de la base del precio (si los precios están regulados en términos nominales, el costo del capital también debe expresarse en términos nominales).</w:t>
      </w:r>
      <w:r w:rsidR="009E1A99" w:rsidRPr="004C1A96">
        <w:rPr>
          <w:rStyle w:val="Refdenotaalpie"/>
          <w:rFonts w:ascii="ITC Avant Garde" w:hAnsi="ITC Avant Garde"/>
          <w:lang w:val="es-MX" w:eastAsia="x-none"/>
        </w:rPr>
        <w:t xml:space="preserve"> </w:t>
      </w:r>
      <w:r w:rsidR="00722642">
        <w:rPr>
          <w:rStyle w:val="Refdenotaalpie"/>
          <w:rFonts w:ascii="ITC Avant Garde" w:hAnsi="ITC Avant Garde"/>
          <w:lang w:val="es-MX" w:eastAsia="x-none"/>
        </w:rPr>
        <w:footnoteReference w:id="34"/>
      </w:r>
    </w:p>
    <w:p w14:paraId="6777F5CF" w14:textId="77777777" w:rsidR="00086BFA" w:rsidRPr="004C1A96" w:rsidRDefault="00086BFA" w:rsidP="00086BFA">
      <w:pPr>
        <w:pStyle w:val="Encadr3"/>
        <w:rPr>
          <w:rFonts w:ascii="ITC Avant Garde" w:hAnsi="ITC Avant Garde"/>
          <w:lang w:val="es-MX"/>
        </w:rPr>
      </w:pPr>
      <w:r w:rsidRPr="004C1A96">
        <w:rPr>
          <w:rFonts w:ascii="ITC Avant Garde" w:hAnsi="ITC Avant Garde"/>
          <w:lang w:val="es-MX"/>
        </w:rPr>
        <w:t>Criterio 23: Un WACC nominal se tendrá en cuenta en el modelo de costos.</w:t>
      </w:r>
    </w:p>
    <w:p w14:paraId="17A6D499" w14:textId="77777777" w:rsidR="00A04AD9" w:rsidRPr="008F42FC" w:rsidRDefault="00A04AD9" w:rsidP="003C224B">
      <w:pPr>
        <w:pStyle w:val="Ttulo4"/>
        <w:rPr>
          <w:lang w:val="es-MX"/>
        </w:rPr>
      </w:pPr>
      <w:bookmarkStart w:id="145" w:name="_Toc525665283"/>
      <w:bookmarkStart w:id="146" w:name="_Toc525665662"/>
      <w:bookmarkStart w:id="147" w:name="_Ref141710568"/>
      <w:bookmarkStart w:id="148" w:name="_Toc141975020"/>
      <w:r w:rsidRPr="008F42FC">
        <w:rPr>
          <w:lang w:val="es-MX"/>
        </w:rPr>
        <w:t>Tendencias de precios y vidas de activos</w:t>
      </w:r>
      <w:bookmarkEnd w:id="145"/>
      <w:bookmarkEnd w:id="146"/>
      <w:bookmarkEnd w:id="147"/>
      <w:bookmarkEnd w:id="148"/>
    </w:p>
    <w:p w14:paraId="7636AA73" w14:textId="77777777" w:rsidR="00A04AD9" w:rsidRPr="004C1A96" w:rsidRDefault="00A04AD9" w:rsidP="00A04AD9">
      <w:pPr>
        <w:rPr>
          <w:rFonts w:ascii="ITC Avant Garde" w:hAnsi="ITC Avant Garde"/>
          <w:lang w:val="es-MX"/>
        </w:rPr>
      </w:pPr>
      <w:r w:rsidRPr="004C1A96">
        <w:rPr>
          <w:rFonts w:ascii="ITC Avant Garde" w:hAnsi="ITC Avant Garde"/>
          <w:lang w:val="es-MX"/>
        </w:rPr>
        <w:t>Las tendencias de los precios y la vida de los activos son parámetros clave para la depreciación de Capex en costos anualizados</w:t>
      </w:r>
      <w:r w:rsidR="009E1A99" w:rsidRPr="004C1A96">
        <w:rPr>
          <w:rFonts w:ascii="ITC Avant Garde" w:hAnsi="ITC Avant Garde"/>
          <w:lang w:val="es-MX"/>
        </w:rPr>
        <w:t>.</w:t>
      </w:r>
    </w:p>
    <w:p w14:paraId="2A36072E" w14:textId="77777777" w:rsidR="00A04AD9" w:rsidRPr="00E14D8A" w:rsidRDefault="00A04AD9" w:rsidP="00A04AD9">
      <w:pPr>
        <w:rPr>
          <w:rFonts w:ascii="ITC Avant Garde" w:hAnsi="ITC Avant Garde"/>
          <w:lang w:val="es-MX"/>
        </w:rPr>
      </w:pPr>
      <w:r w:rsidRPr="00E14D8A">
        <w:rPr>
          <w:rFonts w:ascii="ITC Avant Garde" w:hAnsi="ITC Avant Garde"/>
          <w:lang w:val="es-MX"/>
        </w:rPr>
        <w:t>En teoría, la vida útil de los activos utilizada en el modelo ascendente debe corresponder a la vida económica de los activos, que es el período de tiempo esperado durante el cual un activo es útil y es económicamente ventajoso utilizar el activo. En el contexto de las implementaciones de NGA, la Comisión Europea ha subrayado recientemente que la vida económica debería capturar la vida tecnológica y los desarrollos futuros de la red:</w:t>
      </w:r>
    </w:p>
    <w:p w14:paraId="75BE3012" w14:textId="5033CD4C" w:rsidR="00A04AD9" w:rsidRPr="004C1A96" w:rsidRDefault="00A04AD9" w:rsidP="009E1A99">
      <w:pPr>
        <w:ind w:left="567" w:right="565"/>
        <w:rPr>
          <w:rFonts w:ascii="ITC Avant Garde" w:hAnsi="ITC Avant Garde"/>
          <w:i/>
          <w:lang w:val="es-MX"/>
        </w:rPr>
      </w:pPr>
      <w:r w:rsidRPr="004C1A96">
        <w:rPr>
          <w:rFonts w:ascii="ITC Avant Garde" w:hAnsi="ITC Avant Garde"/>
          <w:i/>
          <w:lang w:val="es-MX"/>
        </w:rPr>
        <w:t>"... Al establecer la vida económica de los activos en una red F</w:t>
      </w:r>
      <w:r w:rsidR="00EB0D4A" w:rsidRPr="004C1A96">
        <w:rPr>
          <w:rFonts w:ascii="ITC Avant Garde" w:hAnsi="ITC Avant Garde"/>
          <w:i/>
          <w:lang w:val="es-MX"/>
        </w:rPr>
        <w:t>TT</w:t>
      </w:r>
      <w:r w:rsidRPr="004C1A96">
        <w:rPr>
          <w:rFonts w:ascii="ITC Avant Garde" w:hAnsi="ITC Avant Garde"/>
          <w:i/>
          <w:lang w:val="es-MX"/>
        </w:rPr>
        <w:t>C modelada, las ANR deben tener en cuenta los desarrollos tecnológicos y de red esperados de los diferentes componentes de la red"</w:t>
      </w:r>
      <w:r w:rsidR="00722642">
        <w:rPr>
          <w:rStyle w:val="Refdenotaalpie"/>
          <w:rFonts w:ascii="ITC Avant Garde" w:hAnsi="ITC Avant Garde"/>
          <w:i/>
          <w:lang w:val="es-MX"/>
        </w:rPr>
        <w:footnoteReference w:id="35"/>
      </w:r>
    </w:p>
    <w:p w14:paraId="1C4723DE" w14:textId="77777777" w:rsidR="00A04AD9" w:rsidRPr="00E14D8A" w:rsidRDefault="00A04AD9" w:rsidP="00A04AD9">
      <w:pPr>
        <w:rPr>
          <w:rFonts w:ascii="ITC Avant Garde" w:hAnsi="ITC Avant Garde"/>
          <w:lang w:val="es-MX"/>
        </w:rPr>
      </w:pPr>
      <w:r w:rsidRPr="004C1A96">
        <w:rPr>
          <w:rFonts w:ascii="ITC Avant Garde" w:hAnsi="ITC Avant Garde"/>
          <w:lang w:val="es-MX"/>
        </w:rPr>
        <w:t xml:space="preserve">En la práctica, sin embargo, los modelos </w:t>
      </w:r>
      <w:r w:rsidR="003A02C7" w:rsidRPr="00E14D8A">
        <w:rPr>
          <w:rFonts w:ascii="ITC Avant Garde" w:hAnsi="ITC Avant Garde"/>
          <w:lang w:val="es-MX"/>
        </w:rPr>
        <w:t xml:space="preserve">con enfoque Bottom-Up </w:t>
      </w:r>
      <w:r w:rsidRPr="00E14D8A">
        <w:rPr>
          <w:rFonts w:ascii="ITC Avant Garde" w:hAnsi="ITC Avant Garde"/>
          <w:lang w:val="es-MX"/>
        </w:rPr>
        <w:t>a menudo usan la vida útil de los activos que se usa en las cuentas de los operadores como un proxy. Aunque este enfoque puede subestimar la vida útil del activo, debido a las prácticas contables conservadoras, tiene la ventaja de ser más objetivo y robusto. Además, la vida del activo utilizada en las cuentas debería, en principio, reflejar la vida económica de los activos.</w:t>
      </w:r>
    </w:p>
    <w:p w14:paraId="7037C2E7" w14:textId="6BACB9D4" w:rsidR="00A04AD9" w:rsidRPr="004C1A96" w:rsidRDefault="00A04AD9" w:rsidP="00A04AD9">
      <w:pPr>
        <w:rPr>
          <w:rFonts w:ascii="ITC Avant Garde" w:hAnsi="ITC Avant Garde"/>
          <w:lang w:val="es-MX"/>
        </w:rPr>
      </w:pPr>
      <w:r w:rsidRPr="00E14D8A">
        <w:rPr>
          <w:rFonts w:ascii="ITC Avant Garde" w:hAnsi="ITC Avant Garde"/>
          <w:lang w:val="es-MX"/>
        </w:rPr>
        <w:t xml:space="preserve">La vida útil de los activos </w:t>
      </w:r>
      <w:r w:rsidR="00237EBF" w:rsidRPr="00E14D8A">
        <w:rPr>
          <w:rFonts w:ascii="ITC Avant Garde" w:hAnsi="ITC Avant Garde"/>
          <w:lang w:val="es-MX"/>
        </w:rPr>
        <w:t xml:space="preserve">ha sido extraída de la información </w:t>
      </w:r>
      <w:r w:rsidR="00237EBF" w:rsidRPr="006C39A2">
        <w:rPr>
          <w:rFonts w:ascii="ITC Avant Garde" w:hAnsi="ITC Avant Garde"/>
          <w:lang w:val="es-MX"/>
        </w:rPr>
        <w:t>sobre vidas útiles disponible en la Sep</w:t>
      </w:r>
      <w:r w:rsidR="00237EBF" w:rsidRPr="004C1A96">
        <w:rPr>
          <w:rFonts w:ascii="ITC Avant Garde" w:hAnsi="ITC Avant Garde"/>
          <w:lang w:val="es-MX"/>
        </w:rPr>
        <w:t xml:space="preserve">aración Contable del AEP, en el caso de estar disponible. </w:t>
      </w:r>
      <w:r w:rsidR="0084244B" w:rsidRPr="004C1A96">
        <w:rPr>
          <w:rFonts w:ascii="ITC Avant Garde" w:hAnsi="ITC Avant Garde"/>
          <w:lang w:val="es-MX"/>
        </w:rPr>
        <w:t>No obstante, e</w:t>
      </w:r>
      <w:r w:rsidR="00237EBF" w:rsidRPr="004C1A96">
        <w:rPr>
          <w:rFonts w:ascii="ITC Avant Garde" w:hAnsi="ITC Avant Garde"/>
          <w:lang w:val="es-MX"/>
        </w:rPr>
        <w:t xml:space="preserve">n caso </w:t>
      </w:r>
      <w:r w:rsidR="00237EBF" w:rsidRPr="004C1A96">
        <w:rPr>
          <w:rFonts w:ascii="ITC Avant Garde" w:hAnsi="ITC Avant Garde"/>
          <w:lang w:val="es-MX"/>
        </w:rPr>
        <w:lastRenderedPageBreak/>
        <w:t xml:space="preserve">de no estar disponible para un activo en particular, </w:t>
      </w:r>
      <w:r w:rsidRPr="004C1A96">
        <w:rPr>
          <w:rFonts w:ascii="ITC Avant Garde" w:hAnsi="ITC Avant Garde"/>
          <w:lang w:val="es-MX"/>
        </w:rPr>
        <w:t>se toman</w:t>
      </w:r>
      <w:r w:rsidR="00542089" w:rsidRPr="004C1A96">
        <w:rPr>
          <w:rFonts w:ascii="ITC Avant Garde" w:hAnsi="ITC Avant Garde"/>
          <w:lang w:val="es-MX"/>
        </w:rPr>
        <w:t xml:space="preserve"> </w:t>
      </w:r>
      <w:r w:rsidRPr="004C1A96">
        <w:rPr>
          <w:rFonts w:ascii="ITC Avant Garde" w:hAnsi="ITC Avant Garde"/>
          <w:lang w:val="es-MX"/>
        </w:rPr>
        <w:t>en consideración las vidas útiles utilizadas en los modelos anteriores y los valores de referencia de los</w:t>
      </w:r>
      <w:r w:rsidR="00542089" w:rsidRPr="004C1A96">
        <w:rPr>
          <w:rFonts w:ascii="ITC Avant Garde" w:hAnsi="ITC Avant Garde"/>
          <w:lang w:val="es-MX"/>
        </w:rPr>
        <w:t xml:space="preserve"> activos</w:t>
      </w:r>
      <w:r w:rsidRPr="004C1A96">
        <w:rPr>
          <w:rFonts w:ascii="ITC Avant Garde" w:hAnsi="ITC Avant Garde"/>
          <w:lang w:val="es-MX"/>
        </w:rPr>
        <w:t xml:space="preserve"> utilizados en modelos de costos similares desarrollados por otras ANR. La información sobre los tiempos de vida de los activos se detalla en la</w:t>
      </w:r>
      <w:r w:rsidR="00542089" w:rsidRPr="004C1A96">
        <w:rPr>
          <w:rFonts w:ascii="ITC Avant Garde" w:hAnsi="ITC Avant Garde"/>
          <w:lang w:val="es-MX"/>
        </w:rPr>
        <w:t xml:space="preserve"> siguiente sección</w:t>
      </w:r>
      <w:r w:rsidRPr="004C1A96">
        <w:rPr>
          <w:rFonts w:ascii="ITC Avant Garde" w:hAnsi="ITC Avant Garde"/>
          <w:lang w:val="es-MX"/>
        </w:rPr>
        <w:t>.</w:t>
      </w:r>
    </w:p>
    <w:p w14:paraId="0F54E049" w14:textId="154E874D" w:rsidR="00A04AD9" w:rsidRPr="004C1A96" w:rsidRDefault="00A04AD9" w:rsidP="00542089">
      <w:pPr>
        <w:pStyle w:val="Encadr3"/>
        <w:rPr>
          <w:rFonts w:ascii="ITC Avant Garde" w:hAnsi="ITC Avant Garde"/>
          <w:lang w:val="es-MX"/>
        </w:rPr>
      </w:pPr>
      <w:r w:rsidRPr="004C1A96">
        <w:rPr>
          <w:rFonts w:ascii="ITC Avant Garde" w:hAnsi="ITC Avant Garde"/>
          <w:lang w:val="es-MX"/>
        </w:rPr>
        <w:t xml:space="preserve">Criterio </w:t>
      </w:r>
      <w:r w:rsidR="00542089" w:rsidRPr="004C1A96">
        <w:rPr>
          <w:rFonts w:ascii="ITC Avant Garde" w:hAnsi="ITC Avant Garde"/>
          <w:lang w:val="es-MX"/>
        </w:rPr>
        <w:t>24</w:t>
      </w:r>
      <w:r w:rsidRPr="004C1A96">
        <w:rPr>
          <w:rFonts w:ascii="ITC Avant Garde" w:hAnsi="ITC Avant Garde"/>
          <w:lang w:val="es-MX"/>
        </w:rPr>
        <w:t xml:space="preserve">: </w:t>
      </w:r>
      <w:r w:rsidR="00093CDF" w:rsidRPr="004C1A96">
        <w:rPr>
          <w:rFonts w:ascii="ITC Avant Garde" w:hAnsi="ITC Avant Garde"/>
          <w:lang w:val="es-MX"/>
        </w:rPr>
        <w:t>L</w:t>
      </w:r>
      <w:r w:rsidR="00542089" w:rsidRPr="004C1A96">
        <w:rPr>
          <w:rFonts w:ascii="ITC Avant Garde" w:hAnsi="ITC Avant Garde"/>
          <w:lang w:val="es-MX"/>
        </w:rPr>
        <w:t xml:space="preserve">as </w:t>
      </w:r>
      <w:r w:rsidRPr="004C1A96">
        <w:rPr>
          <w:rFonts w:ascii="ITC Avant Garde" w:hAnsi="ITC Avant Garde"/>
          <w:lang w:val="es-MX"/>
        </w:rPr>
        <w:t>vida</w:t>
      </w:r>
      <w:r w:rsidR="00542089" w:rsidRPr="004C1A96">
        <w:rPr>
          <w:rFonts w:ascii="ITC Avant Garde" w:hAnsi="ITC Avant Garde"/>
          <w:lang w:val="es-MX"/>
        </w:rPr>
        <w:t xml:space="preserve">s </w:t>
      </w:r>
      <w:r w:rsidR="00F2544C" w:rsidRPr="004C1A96">
        <w:rPr>
          <w:rFonts w:ascii="ITC Avant Garde" w:hAnsi="ITC Avant Garde"/>
          <w:lang w:val="es-MX"/>
        </w:rPr>
        <w:t>útiles</w:t>
      </w:r>
      <w:r w:rsidRPr="004C1A96">
        <w:rPr>
          <w:rFonts w:ascii="ITC Avant Garde" w:hAnsi="ITC Avant Garde"/>
          <w:lang w:val="es-MX"/>
        </w:rPr>
        <w:t xml:space="preserve"> de los activos </w:t>
      </w:r>
      <w:r w:rsidR="00542089" w:rsidRPr="004C1A96">
        <w:rPr>
          <w:rFonts w:ascii="ITC Avant Garde" w:hAnsi="ITC Avant Garde"/>
          <w:lang w:val="es-MX"/>
        </w:rPr>
        <w:t xml:space="preserve">se </w:t>
      </w:r>
      <w:r w:rsidR="00F2544C" w:rsidRPr="004C1A96">
        <w:rPr>
          <w:rFonts w:ascii="ITC Avant Garde" w:hAnsi="ITC Avant Garde"/>
          <w:lang w:val="es-MX"/>
        </w:rPr>
        <w:t>evalúan</w:t>
      </w:r>
      <w:r w:rsidRPr="004C1A96">
        <w:rPr>
          <w:rFonts w:ascii="ITC Avant Garde" w:hAnsi="ITC Avant Garde"/>
          <w:lang w:val="es-MX"/>
        </w:rPr>
        <w:t xml:space="preserve"> de acuerdo con los </w:t>
      </w:r>
      <w:r w:rsidR="00542089" w:rsidRPr="004C1A96">
        <w:rPr>
          <w:rFonts w:ascii="ITC Avant Garde" w:hAnsi="ITC Avant Garde"/>
          <w:lang w:val="es-MX"/>
        </w:rPr>
        <w:t xml:space="preserve">insumos </w:t>
      </w:r>
      <w:r w:rsidR="0084244B" w:rsidRPr="004C1A96">
        <w:rPr>
          <w:rFonts w:ascii="ITC Avant Garde" w:hAnsi="ITC Avant Garde"/>
          <w:lang w:val="es-MX"/>
        </w:rPr>
        <w:t xml:space="preserve">extraídos de la Separación Contable del AEP </w:t>
      </w:r>
      <w:r w:rsidRPr="004C1A96">
        <w:rPr>
          <w:rFonts w:ascii="ITC Avant Garde" w:hAnsi="ITC Avant Garde"/>
          <w:lang w:val="es-MX"/>
        </w:rPr>
        <w:t>u otros puntos de referencia relevantes.</w:t>
      </w:r>
    </w:p>
    <w:p w14:paraId="45B00316" w14:textId="382179AB" w:rsidR="00D37FEE" w:rsidRPr="00E14D8A" w:rsidRDefault="00A04AD9" w:rsidP="00A04AD9">
      <w:pPr>
        <w:rPr>
          <w:rFonts w:ascii="ITC Avant Garde" w:hAnsi="ITC Avant Garde"/>
          <w:lang w:val="es-MX"/>
        </w:rPr>
      </w:pPr>
      <w:r w:rsidRPr="004C1A96">
        <w:rPr>
          <w:rFonts w:ascii="ITC Avant Garde" w:hAnsi="ITC Avant Garde"/>
          <w:lang w:val="es-MX"/>
        </w:rPr>
        <w:t xml:space="preserve">Las tendencias de los precios se evaluarán a largo plazo según los </w:t>
      </w:r>
      <w:r w:rsidR="00D37FEE" w:rsidRPr="004C1A96">
        <w:rPr>
          <w:rFonts w:ascii="ITC Avant Garde" w:hAnsi="ITC Avant Garde"/>
          <w:lang w:val="es-MX"/>
        </w:rPr>
        <w:t xml:space="preserve">datos de proyecciones de inflación </w:t>
      </w:r>
      <w:r w:rsidR="002A27E5">
        <w:rPr>
          <w:rFonts w:ascii="ITC Avant Garde" w:hAnsi="ITC Avant Garde"/>
          <w:lang w:val="es-MX"/>
        </w:rPr>
        <w:t>de la Encuesta de Expectativas de los especialistas en economía del sector privado</w:t>
      </w:r>
      <w:r w:rsidR="00722642">
        <w:rPr>
          <w:rFonts w:ascii="ITC Avant Garde" w:hAnsi="ITC Avant Garde"/>
          <w:lang w:val="es-MX"/>
        </w:rPr>
        <w:t xml:space="preserve"> publicada por </w:t>
      </w:r>
      <w:r w:rsidR="003E21DD">
        <w:rPr>
          <w:rFonts w:ascii="ITC Avant Garde" w:hAnsi="ITC Avant Garde"/>
          <w:lang w:val="es-MX"/>
        </w:rPr>
        <w:t xml:space="preserve">el </w:t>
      </w:r>
      <w:r w:rsidR="00722642">
        <w:rPr>
          <w:rFonts w:ascii="ITC Avant Garde" w:hAnsi="ITC Avant Garde"/>
          <w:lang w:val="es-MX"/>
        </w:rPr>
        <w:t>Ba</w:t>
      </w:r>
      <w:r w:rsidR="00945C7E">
        <w:rPr>
          <w:rFonts w:ascii="ITC Avant Garde" w:hAnsi="ITC Avant Garde"/>
          <w:lang w:val="es-MX"/>
        </w:rPr>
        <w:t>nco de Méx</w:t>
      </w:r>
      <w:r w:rsidR="00722642">
        <w:rPr>
          <w:rFonts w:ascii="ITC Avant Garde" w:hAnsi="ITC Avant Garde"/>
          <w:lang w:val="es-MX"/>
        </w:rPr>
        <w:t>ico</w:t>
      </w:r>
      <w:r w:rsidR="00945C7E">
        <w:rPr>
          <w:rFonts w:ascii="ITC Avant Garde" w:hAnsi="ITC Avant Garde"/>
          <w:lang w:val="es-MX"/>
        </w:rPr>
        <w:t xml:space="preserve"> (en lo sucesivo, “Banxico”)</w:t>
      </w:r>
      <w:r w:rsidR="00722642">
        <w:rPr>
          <w:rStyle w:val="Refdenotaalpie"/>
          <w:rFonts w:ascii="ITC Avant Garde" w:hAnsi="ITC Avant Garde"/>
          <w:lang w:val="es-MX"/>
        </w:rPr>
        <w:footnoteReference w:id="36"/>
      </w:r>
      <w:r w:rsidR="00D37FEE" w:rsidRPr="004C1A96">
        <w:rPr>
          <w:rFonts w:ascii="ITC Avant Garde" w:hAnsi="ITC Avant Garde"/>
          <w:lang w:val="es-MX"/>
        </w:rPr>
        <w:t>. Más concretamente, se utiliza la expectativa de inflación general para el año 2024, por valor de 4</w:t>
      </w:r>
      <w:r w:rsidR="009F5AFF">
        <w:rPr>
          <w:rFonts w:ascii="ITC Avant Garde" w:hAnsi="ITC Avant Garde"/>
          <w:lang w:val="es-MX"/>
        </w:rPr>
        <w:t>.</w:t>
      </w:r>
      <w:r w:rsidR="00D37FEE" w:rsidRPr="004C1A96">
        <w:rPr>
          <w:rFonts w:ascii="ITC Avant Garde" w:hAnsi="ITC Avant Garde"/>
          <w:lang w:val="es-MX"/>
        </w:rPr>
        <w:t xml:space="preserve">05% (correspondiente al mes de junio). Adicionalmente, para reflejar el efecto </w:t>
      </w:r>
      <w:r w:rsidR="00D37FEE" w:rsidRPr="00E14D8A">
        <w:rPr>
          <w:rFonts w:ascii="ITC Avant Garde" w:hAnsi="ITC Avant Garde"/>
          <w:lang w:val="es-MX"/>
        </w:rPr>
        <w:t>del progreso tecnológico, se aplica una tendencia relativa a dicho progreso por valor de 0</w:t>
      </w:r>
      <w:r w:rsidR="009F5AFF">
        <w:rPr>
          <w:rFonts w:ascii="ITC Avant Garde" w:hAnsi="ITC Avant Garde"/>
          <w:lang w:val="es-MX"/>
        </w:rPr>
        <w:t>.</w:t>
      </w:r>
      <w:r w:rsidR="00D37FEE" w:rsidRPr="00E14D8A">
        <w:rPr>
          <w:rFonts w:ascii="ITC Avant Garde" w:hAnsi="ITC Avant Garde"/>
          <w:lang w:val="es-MX"/>
        </w:rPr>
        <w:t>32% (basada en valores utilizados históricamente por el Instituto), de acuerdo con la siguiente fórmula: Tendencia de precios = (1+4</w:t>
      </w:r>
      <w:r w:rsidR="009F5AFF">
        <w:rPr>
          <w:rFonts w:ascii="ITC Avant Garde" w:hAnsi="ITC Avant Garde"/>
          <w:lang w:val="es-MX"/>
        </w:rPr>
        <w:t>.</w:t>
      </w:r>
      <w:r w:rsidR="00D37FEE" w:rsidRPr="00E14D8A">
        <w:rPr>
          <w:rFonts w:ascii="ITC Avant Garde" w:hAnsi="ITC Avant Garde"/>
          <w:lang w:val="es-MX"/>
        </w:rPr>
        <w:t>05%)/(1+0</w:t>
      </w:r>
      <w:r w:rsidR="009F5AFF">
        <w:rPr>
          <w:rFonts w:ascii="ITC Avant Garde" w:hAnsi="ITC Avant Garde"/>
          <w:lang w:val="es-MX"/>
        </w:rPr>
        <w:t>.</w:t>
      </w:r>
      <w:r w:rsidR="00D37FEE" w:rsidRPr="00E14D8A">
        <w:rPr>
          <w:rFonts w:ascii="ITC Avant Garde" w:hAnsi="ITC Avant Garde"/>
          <w:lang w:val="es-MX"/>
        </w:rPr>
        <w:t>32%)-1 = 3</w:t>
      </w:r>
      <w:r w:rsidR="009F5AFF">
        <w:rPr>
          <w:rFonts w:ascii="ITC Avant Garde" w:hAnsi="ITC Avant Garde"/>
          <w:lang w:val="es-MX"/>
        </w:rPr>
        <w:t>.</w:t>
      </w:r>
      <w:r w:rsidR="00D37FEE" w:rsidRPr="00E14D8A">
        <w:rPr>
          <w:rFonts w:ascii="ITC Avant Garde" w:hAnsi="ITC Avant Garde"/>
          <w:lang w:val="es-MX"/>
        </w:rPr>
        <w:t>72%.</w:t>
      </w:r>
    </w:p>
    <w:p w14:paraId="06BA788D" w14:textId="5F9FC835" w:rsidR="00A04AD9" w:rsidRPr="004C1A96" w:rsidRDefault="00A04AD9" w:rsidP="00542089">
      <w:pPr>
        <w:pStyle w:val="Encadr3"/>
        <w:rPr>
          <w:rFonts w:ascii="ITC Avant Garde" w:hAnsi="ITC Avant Garde"/>
          <w:lang w:val="es-MX"/>
        </w:rPr>
      </w:pPr>
      <w:r w:rsidRPr="004C1A96">
        <w:rPr>
          <w:rFonts w:ascii="ITC Avant Garde" w:hAnsi="ITC Avant Garde"/>
          <w:lang w:val="es-MX"/>
        </w:rPr>
        <w:t xml:space="preserve">Criterio </w:t>
      </w:r>
      <w:r w:rsidR="00542089" w:rsidRPr="004C1A96">
        <w:rPr>
          <w:rFonts w:ascii="ITC Avant Garde" w:hAnsi="ITC Avant Garde"/>
          <w:lang w:val="es-MX"/>
        </w:rPr>
        <w:t>25</w:t>
      </w:r>
      <w:r w:rsidRPr="004C1A96">
        <w:rPr>
          <w:rFonts w:ascii="ITC Avant Garde" w:hAnsi="ITC Avant Garde"/>
          <w:lang w:val="es-MX"/>
        </w:rPr>
        <w:t xml:space="preserve">: </w:t>
      </w:r>
      <w:r w:rsidR="00093CDF" w:rsidRPr="004C1A96">
        <w:rPr>
          <w:rFonts w:ascii="ITC Avant Garde" w:hAnsi="ITC Avant Garde"/>
          <w:lang w:val="es-MX"/>
        </w:rPr>
        <w:t>L</w:t>
      </w:r>
      <w:r w:rsidRPr="004C1A96">
        <w:rPr>
          <w:rFonts w:ascii="ITC Avant Garde" w:hAnsi="ITC Avant Garde"/>
          <w:lang w:val="es-MX"/>
        </w:rPr>
        <w:t xml:space="preserve">as tendencias de precios a largo plazo se evaluarán para todos los activos y costos operativos, según los datos proporcionados por </w:t>
      </w:r>
      <w:r w:rsidR="002A27E5">
        <w:rPr>
          <w:rFonts w:ascii="ITC Avant Garde" w:hAnsi="ITC Avant Garde"/>
          <w:lang w:val="es-MX"/>
        </w:rPr>
        <w:t>la Encuesta sobre las expectativas de los especialistas en economía del sector privado</w:t>
      </w:r>
      <w:r w:rsidR="003E21DD">
        <w:rPr>
          <w:rFonts w:ascii="ITC Avant Garde" w:hAnsi="ITC Avant Garde"/>
          <w:lang w:val="es-MX"/>
        </w:rPr>
        <w:t xml:space="preserve"> del Banco de México</w:t>
      </w:r>
      <w:r w:rsidR="00D37FEE" w:rsidRPr="004C1A96">
        <w:rPr>
          <w:rFonts w:ascii="ITC Avant Garde" w:hAnsi="ITC Avant Garde"/>
          <w:lang w:val="es-MX"/>
        </w:rPr>
        <w:t>, en particular, con relación a las proyecciones sobre del índice de inflación.</w:t>
      </w:r>
    </w:p>
    <w:p w14:paraId="75AACF0D" w14:textId="77777777" w:rsidR="00A04AD9" w:rsidRPr="008F42FC" w:rsidRDefault="00724174" w:rsidP="003C224B">
      <w:pPr>
        <w:pStyle w:val="Ttulo4"/>
        <w:rPr>
          <w:lang w:val="es-MX"/>
        </w:rPr>
      </w:pPr>
      <w:bookmarkStart w:id="149" w:name="_Toc525665284"/>
      <w:bookmarkStart w:id="150" w:name="_Toc525665663"/>
      <w:bookmarkStart w:id="151" w:name="_Toc141975021"/>
      <w:r w:rsidRPr="008F42FC">
        <w:rPr>
          <w:lang w:val="es-MX"/>
        </w:rPr>
        <w:t>Metodología de depreciación de las inversiones</w:t>
      </w:r>
      <w:bookmarkEnd w:id="149"/>
      <w:bookmarkEnd w:id="150"/>
      <w:bookmarkEnd w:id="151"/>
    </w:p>
    <w:p w14:paraId="34D6228E" w14:textId="77777777" w:rsidR="00724174" w:rsidRPr="006C39A2" w:rsidRDefault="00724174" w:rsidP="00724174">
      <w:pPr>
        <w:rPr>
          <w:rFonts w:ascii="ITC Avant Garde" w:hAnsi="ITC Avant Garde"/>
          <w:lang w:val="es-MX"/>
        </w:rPr>
      </w:pPr>
      <w:r w:rsidRPr="004C1A96">
        <w:rPr>
          <w:rFonts w:ascii="ITC Avant Garde" w:hAnsi="ITC Avant Garde"/>
          <w:lang w:val="es-MX"/>
        </w:rPr>
        <w:t xml:space="preserve">Un elemento importante de un modelo </w:t>
      </w:r>
      <w:r w:rsidR="00AC4C26" w:rsidRPr="004C1A96">
        <w:rPr>
          <w:rFonts w:ascii="ITC Avant Garde" w:hAnsi="ITC Avant Garde"/>
          <w:lang w:val="es-MX"/>
        </w:rPr>
        <w:t xml:space="preserve">de CIPLP </w:t>
      </w:r>
      <w:r w:rsidRPr="004C1A96">
        <w:rPr>
          <w:rFonts w:ascii="ITC Avant Garde" w:hAnsi="ITC Avant Garde"/>
          <w:lang w:val="es-MX"/>
        </w:rPr>
        <w:t>es la estimación del costo anual generado por los activos</w:t>
      </w:r>
      <w:r w:rsidR="00542089" w:rsidRPr="00E14D8A">
        <w:rPr>
          <w:rFonts w:ascii="ITC Avant Garde" w:hAnsi="ITC Avant Garde"/>
          <w:lang w:val="es-MX"/>
        </w:rPr>
        <w:t xml:space="preserve"> (</w:t>
      </w:r>
      <w:r w:rsidRPr="00E14D8A">
        <w:rPr>
          <w:rFonts w:ascii="ITC Avant Garde" w:hAnsi="ITC Avant Garde"/>
          <w:lang w:val="es-MX"/>
        </w:rPr>
        <w:t>la anualidad</w:t>
      </w:r>
      <w:r w:rsidR="00542089" w:rsidRPr="00E14D8A">
        <w:rPr>
          <w:rFonts w:ascii="ITC Avant Garde" w:hAnsi="ITC Avant Garde"/>
          <w:lang w:val="es-MX"/>
        </w:rPr>
        <w:t>)</w:t>
      </w:r>
      <w:r w:rsidRPr="00E14D8A">
        <w:rPr>
          <w:rFonts w:ascii="ITC Avant Garde" w:hAnsi="ITC Avant Garde"/>
          <w:lang w:val="es-MX"/>
        </w:rPr>
        <w:t>. Las anualidades miden tanto el cargo de depreciación como el c</w:t>
      </w:r>
      <w:r w:rsidR="00542089" w:rsidRPr="00E14D8A">
        <w:rPr>
          <w:rFonts w:ascii="ITC Avant Garde" w:hAnsi="ITC Avant Garde"/>
          <w:lang w:val="es-MX"/>
        </w:rPr>
        <w:t>osto</w:t>
      </w:r>
      <w:r w:rsidRPr="00E14D8A">
        <w:rPr>
          <w:rFonts w:ascii="ITC Avant Garde" w:hAnsi="ITC Avant Garde"/>
          <w:lang w:val="es-MX"/>
        </w:rPr>
        <w:t xml:space="preserve"> de capital asociado </w:t>
      </w:r>
      <w:r w:rsidR="00542089" w:rsidRPr="006C39A2">
        <w:rPr>
          <w:rFonts w:ascii="ITC Avant Garde" w:hAnsi="ITC Avant Garde"/>
          <w:lang w:val="es-MX"/>
        </w:rPr>
        <w:t xml:space="preserve">a la inversión en </w:t>
      </w:r>
      <w:r w:rsidRPr="006C39A2">
        <w:rPr>
          <w:rFonts w:ascii="ITC Avant Garde" w:hAnsi="ITC Avant Garde"/>
          <w:lang w:val="es-MX"/>
        </w:rPr>
        <w:t>el activo.</w:t>
      </w:r>
    </w:p>
    <w:p w14:paraId="15F86CBE" w14:textId="77777777" w:rsidR="00724174" w:rsidRPr="004C1A96" w:rsidRDefault="00724174" w:rsidP="00724174">
      <w:pPr>
        <w:rPr>
          <w:rFonts w:ascii="ITC Avant Garde" w:hAnsi="ITC Avant Garde"/>
          <w:lang w:val="es-MX"/>
        </w:rPr>
      </w:pPr>
      <w:r w:rsidRPr="004C1A96">
        <w:rPr>
          <w:rFonts w:ascii="ITC Avant Garde" w:hAnsi="ITC Avant Garde"/>
          <w:lang w:val="es-MX"/>
        </w:rPr>
        <w:t>Una anualidad es el pago anual que, cuando se descuenta a un costo de capital apropiado a lo largo de la vida del activo, proporciona el costo de reposición de un activo. El método de anualidad puede ser estándar o inclinado. Un enfoque alternativo a estos dos métodos es la anualidad ajustada, que mide el cargo de depreciación como el cambio anual en el valor presente neto (VAN) de un activo, ajustado por factores tales como cambios en el perfil de producción y precios, costos generales y el costo de capital.</w:t>
      </w:r>
    </w:p>
    <w:p w14:paraId="76706F9D" w14:textId="77777777" w:rsidR="00724174" w:rsidRPr="004C1A96" w:rsidRDefault="00724174" w:rsidP="00724174">
      <w:pPr>
        <w:rPr>
          <w:rFonts w:ascii="ITC Avant Garde" w:hAnsi="ITC Avant Garde"/>
          <w:lang w:val="es-MX"/>
        </w:rPr>
      </w:pPr>
      <w:r w:rsidRPr="004C1A96">
        <w:rPr>
          <w:rFonts w:ascii="ITC Avant Garde" w:hAnsi="ITC Avant Garde"/>
          <w:lang w:val="es-MX"/>
        </w:rPr>
        <w:t>Generalmente se usan cinco fórmulas de anualidades:</w:t>
      </w:r>
    </w:p>
    <w:p w14:paraId="5276DBE3" w14:textId="77777777" w:rsidR="00724174" w:rsidRPr="004C1A96" w:rsidRDefault="00724174" w:rsidP="00556A48">
      <w:pPr>
        <w:pStyle w:val="Prrafodelista"/>
        <w:numPr>
          <w:ilvl w:val="0"/>
          <w:numId w:val="25"/>
        </w:numPr>
        <w:rPr>
          <w:rFonts w:ascii="ITC Avant Garde" w:hAnsi="ITC Avant Garde"/>
          <w:lang w:val="es-MX"/>
        </w:rPr>
      </w:pPr>
      <w:r w:rsidRPr="004C1A96">
        <w:rPr>
          <w:rFonts w:ascii="ITC Avant Garde" w:hAnsi="ITC Avant Garde"/>
          <w:lang w:val="es-MX"/>
        </w:rPr>
        <w:t>Contabilidad de costos históricos (HCA);</w:t>
      </w:r>
    </w:p>
    <w:p w14:paraId="34DE6510" w14:textId="77777777" w:rsidR="00724174" w:rsidRPr="004C1A96" w:rsidRDefault="00724174" w:rsidP="00556A48">
      <w:pPr>
        <w:pStyle w:val="Prrafodelista"/>
        <w:numPr>
          <w:ilvl w:val="0"/>
          <w:numId w:val="25"/>
        </w:numPr>
        <w:rPr>
          <w:rFonts w:ascii="ITC Avant Garde" w:hAnsi="ITC Avant Garde"/>
          <w:lang w:val="es-MX"/>
        </w:rPr>
      </w:pPr>
      <w:r w:rsidRPr="004C1A96">
        <w:rPr>
          <w:rFonts w:ascii="ITC Avant Garde" w:hAnsi="ITC Avant Garde"/>
          <w:lang w:val="es-MX"/>
        </w:rPr>
        <w:t>Contabilidad de Costos Actual (CCA);</w:t>
      </w:r>
    </w:p>
    <w:p w14:paraId="52D7E93C" w14:textId="77777777" w:rsidR="00724174" w:rsidRPr="004C1A96" w:rsidRDefault="00724174" w:rsidP="00556A48">
      <w:pPr>
        <w:pStyle w:val="Prrafodelista"/>
        <w:numPr>
          <w:ilvl w:val="0"/>
          <w:numId w:val="25"/>
        </w:numPr>
        <w:rPr>
          <w:rFonts w:ascii="ITC Avant Garde" w:hAnsi="ITC Avant Garde"/>
          <w:lang w:val="es-MX"/>
        </w:rPr>
      </w:pPr>
      <w:r w:rsidRPr="004C1A96">
        <w:rPr>
          <w:rFonts w:ascii="ITC Avant Garde" w:hAnsi="ITC Avant Garde"/>
          <w:lang w:val="es-MX"/>
        </w:rPr>
        <w:t>anualidad estándar;</w:t>
      </w:r>
    </w:p>
    <w:p w14:paraId="401B7525" w14:textId="77777777" w:rsidR="00724174" w:rsidRPr="004C1A96" w:rsidRDefault="00724174" w:rsidP="00556A48">
      <w:pPr>
        <w:pStyle w:val="Prrafodelista"/>
        <w:numPr>
          <w:ilvl w:val="0"/>
          <w:numId w:val="25"/>
        </w:numPr>
        <w:rPr>
          <w:rFonts w:ascii="ITC Avant Garde" w:hAnsi="ITC Avant Garde"/>
          <w:lang w:val="es-MX"/>
        </w:rPr>
      </w:pPr>
      <w:r w:rsidRPr="004C1A96">
        <w:rPr>
          <w:rFonts w:ascii="ITC Avant Garde" w:hAnsi="ITC Avant Garde"/>
          <w:lang w:val="es-MX"/>
        </w:rPr>
        <w:t>anualidad inclinada; y</w:t>
      </w:r>
    </w:p>
    <w:p w14:paraId="7869D7D1" w14:textId="77777777" w:rsidR="00724174" w:rsidRPr="004C1A96" w:rsidRDefault="00724174" w:rsidP="00556A48">
      <w:pPr>
        <w:pStyle w:val="Prrafodelista"/>
        <w:numPr>
          <w:ilvl w:val="0"/>
          <w:numId w:val="25"/>
        </w:numPr>
        <w:rPr>
          <w:rFonts w:ascii="ITC Avant Garde" w:hAnsi="ITC Avant Garde"/>
          <w:lang w:val="es-MX"/>
        </w:rPr>
      </w:pPr>
      <w:r w:rsidRPr="004C1A96">
        <w:rPr>
          <w:rFonts w:ascii="ITC Avant Garde" w:hAnsi="ITC Avant Garde"/>
          <w:lang w:val="es-MX"/>
        </w:rPr>
        <w:t>anualidad inclinada ajustada</w:t>
      </w:r>
    </w:p>
    <w:p w14:paraId="0F8962CB" w14:textId="77777777" w:rsidR="00542089" w:rsidRPr="004C1A96" w:rsidRDefault="00542089" w:rsidP="00724174">
      <w:pPr>
        <w:rPr>
          <w:rFonts w:ascii="ITC Avant Garde" w:hAnsi="ITC Avant Garde"/>
          <w:lang w:val="es-MX"/>
        </w:rPr>
      </w:pPr>
    </w:p>
    <w:p w14:paraId="249FAE96" w14:textId="77777777" w:rsidR="00AC2FC4" w:rsidRPr="004C1A96" w:rsidRDefault="00724174" w:rsidP="00724174">
      <w:pPr>
        <w:rPr>
          <w:rFonts w:ascii="ITC Avant Garde" w:hAnsi="ITC Avant Garde"/>
          <w:lang w:val="es-MX"/>
        </w:rPr>
      </w:pPr>
      <w:r w:rsidRPr="004C1A96">
        <w:rPr>
          <w:rFonts w:ascii="ITC Avant Garde" w:hAnsi="ITC Avant Garde"/>
          <w:lang w:val="es-MX"/>
        </w:rPr>
        <w:t xml:space="preserve">Los métodos de depreciación se describen con más detalle en el </w:t>
      </w:r>
      <w:r w:rsidR="00901A79" w:rsidRPr="004C1A96">
        <w:rPr>
          <w:rFonts w:ascii="ITC Avant Garde" w:hAnsi="ITC Avant Garde"/>
          <w:lang w:val="es-MX"/>
        </w:rPr>
        <w:t>anexo</w:t>
      </w:r>
      <w:r w:rsidR="00542089" w:rsidRPr="004C1A96">
        <w:rPr>
          <w:rFonts w:ascii="ITC Avant Garde" w:hAnsi="ITC Avant Garde"/>
          <w:lang w:val="es-MX"/>
        </w:rPr>
        <w:t>.</w:t>
      </w:r>
      <w:r w:rsidR="00AC2FC4" w:rsidRPr="004C1A96">
        <w:rPr>
          <w:rFonts w:ascii="ITC Avant Garde" w:hAnsi="ITC Avant Garde"/>
          <w:lang w:val="es-MX"/>
        </w:rPr>
        <w:t xml:space="preserve"> Una descripción </w:t>
      </w:r>
      <w:r w:rsidR="00F2544C" w:rsidRPr="004C1A96">
        <w:rPr>
          <w:rFonts w:ascii="ITC Avant Garde" w:hAnsi="ITC Avant Garde"/>
          <w:lang w:val="es-MX"/>
        </w:rPr>
        <w:t>sintética</w:t>
      </w:r>
      <w:r w:rsidR="00AC2FC4" w:rsidRPr="004C1A96">
        <w:rPr>
          <w:rFonts w:ascii="ITC Avant Garde" w:hAnsi="ITC Avant Garde"/>
          <w:lang w:val="es-MX"/>
        </w:rPr>
        <w:t xml:space="preserve"> esta proporcionada a continuación.</w:t>
      </w:r>
    </w:p>
    <w:p w14:paraId="1CF963BF" w14:textId="77777777" w:rsidR="00724174" w:rsidRPr="004C1A96" w:rsidRDefault="00724174" w:rsidP="00556A48">
      <w:pPr>
        <w:pStyle w:val="Prrafodelista"/>
        <w:numPr>
          <w:ilvl w:val="0"/>
          <w:numId w:val="26"/>
        </w:numPr>
        <w:rPr>
          <w:rFonts w:ascii="ITC Avant Garde" w:hAnsi="ITC Avant Garde"/>
          <w:u w:val="single"/>
          <w:lang w:val="es-MX"/>
        </w:rPr>
      </w:pPr>
      <w:r w:rsidRPr="004C1A96">
        <w:rPr>
          <w:rFonts w:ascii="ITC Avant Garde" w:hAnsi="ITC Avant Garde"/>
          <w:u w:val="single"/>
          <w:lang w:val="es-MX"/>
        </w:rPr>
        <w:t>Contabilidad de costos históricos (HCA)</w:t>
      </w:r>
    </w:p>
    <w:p w14:paraId="26745328" w14:textId="77777777" w:rsidR="00724174" w:rsidRPr="004C1A96" w:rsidRDefault="00724174" w:rsidP="00724174">
      <w:pPr>
        <w:rPr>
          <w:rFonts w:ascii="ITC Avant Garde" w:hAnsi="ITC Avant Garde"/>
          <w:lang w:val="es-MX"/>
        </w:rPr>
      </w:pPr>
      <w:r w:rsidRPr="004C1A96">
        <w:rPr>
          <w:rFonts w:ascii="ITC Avant Garde" w:hAnsi="ITC Avant Garde"/>
          <w:lang w:val="es-MX"/>
        </w:rPr>
        <w:t xml:space="preserve">Este es el método más usado en contabilidad. Los cargos </w:t>
      </w:r>
      <w:r w:rsidR="00AC2FC4" w:rsidRPr="004C1A96">
        <w:rPr>
          <w:rFonts w:ascii="ITC Avant Garde" w:hAnsi="ITC Avant Garde"/>
          <w:lang w:val="es-MX"/>
        </w:rPr>
        <w:t>de</w:t>
      </w:r>
      <w:r w:rsidRPr="004C1A96">
        <w:rPr>
          <w:rFonts w:ascii="ITC Avant Garde" w:hAnsi="ITC Avant Garde"/>
          <w:lang w:val="es-MX"/>
        </w:rPr>
        <w:t xml:space="preserve"> depreciación se obtienen simplemente dividiendo la inversión por la vida del activo.</w:t>
      </w:r>
    </w:p>
    <w:p w14:paraId="57A6E4EB" w14:textId="6F8C21B8" w:rsidR="00AC2FC4" w:rsidRPr="004C1A96" w:rsidRDefault="00724174" w:rsidP="00724174">
      <w:pPr>
        <w:rPr>
          <w:rFonts w:ascii="ITC Avant Garde" w:hAnsi="ITC Avant Garde"/>
          <w:lang w:val="es-MX"/>
        </w:rPr>
      </w:pPr>
      <w:r w:rsidRPr="004C1A96">
        <w:rPr>
          <w:rFonts w:ascii="ITC Avant Garde" w:hAnsi="ITC Avant Garde"/>
          <w:lang w:val="es-MX"/>
        </w:rPr>
        <w:t xml:space="preserve">El problema con este enfoque es que, cuando se incluye el rendimiento del capital empleado para derivar anualidades, estas </w:t>
      </w:r>
      <w:r w:rsidR="00AC2FC4" w:rsidRPr="004C1A96">
        <w:rPr>
          <w:rFonts w:ascii="ITC Avant Garde" w:hAnsi="ITC Avant Garde"/>
          <w:lang w:val="es-MX"/>
        </w:rPr>
        <w:t>anualidades</w:t>
      </w:r>
      <w:r w:rsidRPr="004C1A96">
        <w:rPr>
          <w:rFonts w:ascii="ITC Avant Garde" w:hAnsi="ITC Avant Garde"/>
          <w:lang w:val="es-MX"/>
        </w:rPr>
        <w:t xml:space="preserve"> no evolucionan de manera fluida: la </w:t>
      </w:r>
      <w:r w:rsidR="00AC2FC4" w:rsidRPr="004C1A96">
        <w:rPr>
          <w:rFonts w:ascii="ITC Avant Garde" w:hAnsi="ITC Avant Garde"/>
          <w:lang w:val="es-MX"/>
        </w:rPr>
        <w:t>anualidad</w:t>
      </w:r>
      <w:r w:rsidRPr="004C1A96">
        <w:rPr>
          <w:rFonts w:ascii="ITC Avant Garde" w:hAnsi="ITC Avant Garde"/>
          <w:lang w:val="es-MX"/>
        </w:rPr>
        <w:t xml:space="preserve"> es muy sensible a los ciclos de inversión.</w:t>
      </w:r>
    </w:p>
    <w:p w14:paraId="38A8FED6" w14:textId="77777777" w:rsidR="00724174" w:rsidRPr="004C1A96" w:rsidRDefault="00724174" w:rsidP="00556A48">
      <w:pPr>
        <w:pStyle w:val="Prrafodelista"/>
        <w:numPr>
          <w:ilvl w:val="0"/>
          <w:numId w:val="26"/>
        </w:numPr>
        <w:rPr>
          <w:rFonts w:ascii="ITC Avant Garde" w:hAnsi="ITC Avant Garde"/>
          <w:u w:val="single"/>
          <w:lang w:val="es-MX"/>
        </w:rPr>
      </w:pPr>
      <w:r w:rsidRPr="004C1A96">
        <w:rPr>
          <w:rFonts w:ascii="ITC Avant Garde" w:hAnsi="ITC Avant Garde"/>
          <w:u w:val="single"/>
          <w:lang w:val="es-MX"/>
        </w:rPr>
        <w:t>Contabilidad de Costos Actual (CCA)</w:t>
      </w:r>
    </w:p>
    <w:p w14:paraId="46452E0F" w14:textId="77777777" w:rsidR="00724174" w:rsidRPr="004C1A96" w:rsidRDefault="00724174" w:rsidP="00724174">
      <w:pPr>
        <w:rPr>
          <w:rFonts w:ascii="ITC Avant Garde" w:hAnsi="ITC Avant Garde"/>
          <w:lang w:val="es-MX"/>
        </w:rPr>
      </w:pPr>
      <w:r w:rsidRPr="004C1A96">
        <w:rPr>
          <w:rFonts w:ascii="ITC Avant Garde" w:hAnsi="ITC Avant Garde"/>
          <w:lang w:val="es-MX"/>
        </w:rPr>
        <w:t>El enfoque actual de contabilidad de costos es un método que valora los activos a sus costos actuales de reemplazo en lugar de su costo original. Esta familia de métodos se puede dividir en dos enfoques:</w:t>
      </w:r>
    </w:p>
    <w:p w14:paraId="6704D8E1" w14:textId="77777777" w:rsidR="00724174" w:rsidRPr="004C1A96" w:rsidRDefault="00724174" w:rsidP="00556A48">
      <w:pPr>
        <w:pStyle w:val="Prrafodelista"/>
        <w:numPr>
          <w:ilvl w:val="1"/>
          <w:numId w:val="26"/>
        </w:numPr>
        <w:rPr>
          <w:rFonts w:ascii="ITC Avant Garde" w:hAnsi="ITC Avant Garde"/>
          <w:i/>
          <w:lang w:val="es-MX"/>
        </w:rPr>
      </w:pPr>
      <w:r w:rsidRPr="004C1A96">
        <w:rPr>
          <w:rFonts w:ascii="ITC Avant Garde" w:hAnsi="ITC Avant Garde"/>
          <w:i/>
          <w:lang w:val="es-MX"/>
        </w:rPr>
        <w:t>CCA-OCM (costo operativo de mantenimiento)</w:t>
      </w:r>
    </w:p>
    <w:p w14:paraId="40010B00" w14:textId="77777777" w:rsidR="00724174" w:rsidRPr="004C1A96" w:rsidRDefault="00724174" w:rsidP="00724174">
      <w:pPr>
        <w:rPr>
          <w:rFonts w:ascii="ITC Avant Garde" w:hAnsi="ITC Avant Garde"/>
          <w:lang w:val="es-MX"/>
        </w:rPr>
      </w:pPr>
      <w:r w:rsidRPr="004C1A96">
        <w:rPr>
          <w:rFonts w:ascii="ITC Avant Garde" w:hAnsi="ITC Avant Garde"/>
          <w:lang w:val="es-MX"/>
        </w:rPr>
        <w:t xml:space="preserve">Este método captura los cambios en los precios de los activos, </w:t>
      </w:r>
      <w:r w:rsidR="00AC2FC4" w:rsidRPr="004C1A96">
        <w:rPr>
          <w:rFonts w:ascii="ITC Avant Garde" w:hAnsi="ITC Avant Garde"/>
          <w:lang w:val="es-MX"/>
        </w:rPr>
        <w:t>por lo cual</w:t>
      </w:r>
      <w:r w:rsidRPr="004C1A96">
        <w:rPr>
          <w:rFonts w:ascii="ITC Avant Garde" w:hAnsi="ITC Avant Garde"/>
          <w:lang w:val="es-MX"/>
        </w:rPr>
        <w:t xml:space="preserve"> se llama método de depreciación de contabilidad de costos corrientes.</w:t>
      </w:r>
    </w:p>
    <w:p w14:paraId="030FE1FC" w14:textId="77777777" w:rsidR="00724174" w:rsidRPr="004C1A96" w:rsidRDefault="00724174" w:rsidP="00724174">
      <w:pPr>
        <w:rPr>
          <w:rFonts w:ascii="ITC Avant Garde" w:hAnsi="ITC Avant Garde"/>
          <w:lang w:val="es-MX"/>
        </w:rPr>
      </w:pPr>
      <w:r w:rsidRPr="004C1A96">
        <w:rPr>
          <w:rFonts w:ascii="ITC Avant Garde" w:hAnsi="ITC Avant Garde"/>
          <w:lang w:val="es-MX"/>
        </w:rPr>
        <w:t>Este método tiene un serio inconveniente</w:t>
      </w:r>
      <w:r w:rsidR="00AC2FC4" w:rsidRPr="004C1A96">
        <w:rPr>
          <w:rFonts w:ascii="ITC Avant Garde" w:hAnsi="ITC Avant Garde"/>
          <w:lang w:val="es-MX"/>
        </w:rPr>
        <w:t>: c</w:t>
      </w:r>
      <w:r w:rsidRPr="004C1A96">
        <w:rPr>
          <w:rFonts w:ascii="ITC Avant Garde" w:hAnsi="ITC Avant Garde"/>
          <w:lang w:val="es-MX"/>
        </w:rPr>
        <w:t xml:space="preserve">ontrariamente al método HCA, el método CCA-OCM no garantiza que los costos se recuperen exactamente, es decir, la suma de anualidades descontadas no es igual a la inversión inicial. Por lo tanto, si el precio de acceso se basa en este método, el </w:t>
      </w:r>
      <w:r w:rsidR="00AC2FC4" w:rsidRPr="004C1A96">
        <w:rPr>
          <w:rFonts w:ascii="ITC Avant Garde" w:hAnsi="ITC Avant Garde"/>
          <w:lang w:val="es-MX"/>
        </w:rPr>
        <w:t xml:space="preserve">precio de </w:t>
      </w:r>
      <w:r w:rsidRPr="004C1A96">
        <w:rPr>
          <w:rFonts w:ascii="ITC Avant Garde" w:hAnsi="ITC Avant Garde"/>
          <w:lang w:val="es-MX"/>
        </w:rPr>
        <w:t>acceso a una infraestructura no está orientado a los costos (excepto en circunstancias muy específicas). Esta es la razón por la cual este método no es apropiado para el cálculo de la depreciación para fines regulatorios.</w:t>
      </w:r>
    </w:p>
    <w:p w14:paraId="135D3201" w14:textId="77777777" w:rsidR="00724174" w:rsidRPr="004C1A96" w:rsidRDefault="00724174" w:rsidP="00556A48">
      <w:pPr>
        <w:pStyle w:val="Prrafodelista"/>
        <w:numPr>
          <w:ilvl w:val="1"/>
          <w:numId w:val="26"/>
        </w:numPr>
        <w:rPr>
          <w:rFonts w:ascii="ITC Avant Garde" w:hAnsi="ITC Avant Garde"/>
          <w:i/>
          <w:lang w:val="es-MX"/>
        </w:rPr>
      </w:pPr>
      <w:r w:rsidRPr="004C1A96">
        <w:rPr>
          <w:rFonts w:ascii="ITC Avant Garde" w:hAnsi="ITC Avant Garde"/>
          <w:i/>
          <w:lang w:val="es-MX"/>
        </w:rPr>
        <w:t>CCA-FCM (costo financiero de mantenimiento)</w:t>
      </w:r>
    </w:p>
    <w:p w14:paraId="7953FF58" w14:textId="77777777" w:rsidR="00724174" w:rsidRPr="004C1A96" w:rsidRDefault="00724174" w:rsidP="00724174">
      <w:pPr>
        <w:rPr>
          <w:rFonts w:ascii="ITC Avant Garde" w:hAnsi="ITC Avant Garde"/>
          <w:lang w:val="es-MX"/>
        </w:rPr>
      </w:pPr>
      <w:r w:rsidRPr="004C1A96">
        <w:rPr>
          <w:rFonts w:ascii="ITC Avant Garde" w:hAnsi="ITC Avant Garde"/>
          <w:lang w:val="es-MX"/>
        </w:rPr>
        <w:t>De forma similar al CCA-OCM, el método CCA-FCM tiene en cuenta los cambios en los precios de los activos. Al mismo tiempo, al contrario del método CCA-OCM, el método CCA-FCM asegura que los costos se recuperen exactamente. Esta es la razón por la cual los reguladores nacionales prefieren este método.</w:t>
      </w:r>
    </w:p>
    <w:p w14:paraId="2677BF8B" w14:textId="0C9F9FB5" w:rsidR="00AC2FC4" w:rsidRPr="004C1A96" w:rsidRDefault="00724174" w:rsidP="00724174">
      <w:pPr>
        <w:rPr>
          <w:rFonts w:ascii="ITC Avant Garde" w:hAnsi="ITC Avant Garde"/>
          <w:lang w:val="es-MX"/>
        </w:rPr>
      </w:pPr>
      <w:r w:rsidRPr="004C1A96">
        <w:rPr>
          <w:rFonts w:ascii="ITC Avant Garde" w:hAnsi="ITC Avant Garde"/>
          <w:lang w:val="es-MX"/>
        </w:rPr>
        <w:t xml:space="preserve">Sin embargo, como en el caso de HCA, el método no garantiza exactamente que las </w:t>
      </w:r>
      <w:r w:rsidR="00AC2FC4" w:rsidRPr="004C1A96">
        <w:rPr>
          <w:rFonts w:ascii="ITC Avant Garde" w:hAnsi="ITC Avant Garde"/>
          <w:lang w:val="es-MX"/>
        </w:rPr>
        <w:t>anualidades</w:t>
      </w:r>
      <w:r w:rsidRPr="004C1A96">
        <w:rPr>
          <w:rFonts w:ascii="ITC Avant Garde" w:hAnsi="ITC Avant Garde"/>
          <w:lang w:val="es-MX"/>
        </w:rPr>
        <w:t xml:space="preserve"> que enfrenta un operador evolucionan sin </w:t>
      </w:r>
      <w:r w:rsidR="00AC2FC4" w:rsidRPr="004C1A96">
        <w:rPr>
          <w:rFonts w:ascii="ITC Avant Garde" w:hAnsi="ITC Avant Garde"/>
          <w:lang w:val="es-MX"/>
        </w:rPr>
        <w:t>discontinuidad en el momento de reinversión,</w:t>
      </w:r>
      <w:r w:rsidRPr="004C1A96">
        <w:rPr>
          <w:rFonts w:ascii="ITC Avant Garde" w:hAnsi="ITC Avant Garde"/>
          <w:lang w:val="es-MX"/>
        </w:rPr>
        <w:t xml:space="preserve"> cuando los precios del activo están cambiando. </w:t>
      </w:r>
    </w:p>
    <w:p w14:paraId="5AFBF29D" w14:textId="77777777" w:rsidR="00724174" w:rsidRPr="004C1A96" w:rsidRDefault="00AC2FC4" w:rsidP="00556A48">
      <w:pPr>
        <w:pStyle w:val="Prrafodelista"/>
        <w:numPr>
          <w:ilvl w:val="0"/>
          <w:numId w:val="26"/>
        </w:numPr>
        <w:rPr>
          <w:rFonts w:ascii="ITC Avant Garde" w:hAnsi="ITC Avant Garde"/>
          <w:u w:val="single"/>
          <w:lang w:val="es-MX"/>
        </w:rPr>
      </w:pPr>
      <w:r w:rsidRPr="004C1A96">
        <w:rPr>
          <w:rFonts w:ascii="ITC Avant Garde" w:hAnsi="ITC Avant Garde"/>
          <w:u w:val="single"/>
          <w:lang w:val="es-MX"/>
        </w:rPr>
        <w:t>A</w:t>
      </w:r>
      <w:r w:rsidR="00724174" w:rsidRPr="004C1A96">
        <w:rPr>
          <w:rFonts w:ascii="ITC Avant Garde" w:hAnsi="ITC Avant Garde"/>
          <w:u w:val="single"/>
          <w:lang w:val="es-MX"/>
        </w:rPr>
        <w:t>nualidad estándar</w:t>
      </w:r>
    </w:p>
    <w:p w14:paraId="0E9756F1" w14:textId="77777777" w:rsidR="00724174" w:rsidRPr="004C1A96" w:rsidRDefault="00724174" w:rsidP="00724174">
      <w:pPr>
        <w:rPr>
          <w:rFonts w:ascii="ITC Avant Garde" w:hAnsi="ITC Avant Garde"/>
          <w:lang w:val="es-MX"/>
        </w:rPr>
      </w:pPr>
      <w:r w:rsidRPr="004C1A96">
        <w:rPr>
          <w:rFonts w:ascii="ITC Avant Garde" w:hAnsi="ITC Avant Garde"/>
          <w:lang w:val="es-MX"/>
        </w:rPr>
        <w:t>El enfoque de anualidad estándar consiste en calcular una anualidad que es idéntic</w:t>
      </w:r>
      <w:r w:rsidR="00AC2FC4" w:rsidRPr="004C1A96">
        <w:rPr>
          <w:rFonts w:ascii="ITC Avant Garde" w:hAnsi="ITC Avant Garde"/>
          <w:lang w:val="es-MX"/>
        </w:rPr>
        <w:t>a</w:t>
      </w:r>
      <w:r w:rsidRPr="004C1A96">
        <w:rPr>
          <w:rFonts w:ascii="ITC Avant Garde" w:hAnsi="ITC Avant Garde"/>
          <w:lang w:val="es-MX"/>
        </w:rPr>
        <w:t xml:space="preserve"> cada año</w:t>
      </w:r>
      <w:r w:rsidR="00AC2FC4" w:rsidRPr="004C1A96">
        <w:rPr>
          <w:rFonts w:ascii="ITC Avant Garde" w:hAnsi="ITC Avant Garde"/>
          <w:lang w:val="es-MX"/>
        </w:rPr>
        <w:t xml:space="preserve"> (aunque la </w:t>
      </w:r>
      <w:r w:rsidR="00F2544C" w:rsidRPr="004C1A96">
        <w:rPr>
          <w:rFonts w:ascii="ITC Avant Garde" w:hAnsi="ITC Avant Garde"/>
          <w:lang w:val="es-MX"/>
        </w:rPr>
        <w:t>proporción</w:t>
      </w:r>
      <w:r w:rsidR="00AC2FC4" w:rsidRPr="004C1A96">
        <w:rPr>
          <w:rFonts w:ascii="ITC Avant Garde" w:hAnsi="ITC Avant Garde"/>
          <w:lang w:val="es-MX"/>
        </w:rPr>
        <w:t xml:space="preserve"> entre el cargo de depreciación y el costo de capital varía entre años)</w:t>
      </w:r>
      <w:r w:rsidRPr="004C1A96">
        <w:rPr>
          <w:rFonts w:ascii="ITC Avant Garde" w:hAnsi="ITC Avant Garde"/>
          <w:lang w:val="es-MX"/>
        </w:rPr>
        <w:t xml:space="preserve"> y se ajusta a los criterios de recuperación de costos. Por lo tanto, el enfoque estándar de anualidad calcula un cargo de depreciación creciente y un rendimiento decreciente sobre el capital empleado a medida que la anualidad se </w:t>
      </w:r>
      <w:r w:rsidRPr="004C1A96">
        <w:rPr>
          <w:rFonts w:ascii="ITC Avant Garde" w:hAnsi="ITC Avant Garde"/>
          <w:lang w:val="es-MX"/>
        </w:rPr>
        <w:lastRenderedPageBreak/>
        <w:t>mantiene estable a lo largo del tiempo. Este método es apropiado cuando los precios de los activos y los volúmenes de productos producidos por los activos son estables a lo largo del tiempo.</w:t>
      </w:r>
      <w:r w:rsidR="00AC2FC4" w:rsidRPr="004C1A96">
        <w:rPr>
          <w:rFonts w:ascii="ITC Avant Garde" w:hAnsi="ITC Avant Garde"/>
          <w:lang w:val="es-MX"/>
        </w:rPr>
        <w:t xml:space="preserve"> Cuando los precios de los activos cambian, los problemas identificados en el método HCA y CCA FCM también se encuentran.</w:t>
      </w:r>
    </w:p>
    <w:p w14:paraId="5EEF1039" w14:textId="77777777" w:rsidR="00724174" w:rsidRPr="004C1A96" w:rsidRDefault="00AC2FC4" w:rsidP="00556A48">
      <w:pPr>
        <w:pStyle w:val="Prrafodelista"/>
        <w:numPr>
          <w:ilvl w:val="0"/>
          <w:numId w:val="26"/>
        </w:numPr>
        <w:rPr>
          <w:rFonts w:ascii="ITC Avant Garde" w:hAnsi="ITC Avant Garde"/>
          <w:u w:val="single"/>
          <w:lang w:val="es-MX"/>
        </w:rPr>
      </w:pPr>
      <w:r w:rsidRPr="004C1A96">
        <w:rPr>
          <w:rFonts w:ascii="ITC Avant Garde" w:hAnsi="ITC Avant Garde"/>
          <w:u w:val="single"/>
          <w:lang w:val="es-MX"/>
        </w:rPr>
        <w:t>A</w:t>
      </w:r>
      <w:r w:rsidR="00724174" w:rsidRPr="004C1A96">
        <w:rPr>
          <w:rFonts w:ascii="ITC Avant Garde" w:hAnsi="ITC Avant Garde"/>
          <w:u w:val="single"/>
          <w:lang w:val="es-MX"/>
        </w:rPr>
        <w:t>nualidad inclinada</w:t>
      </w:r>
    </w:p>
    <w:p w14:paraId="144E4F26" w14:textId="77777777" w:rsidR="00724174" w:rsidRPr="004C1A96" w:rsidRDefault="00724174" w:rsidP="00724174">
      <w:pPr>
        <w:rPr>
          <w:rFonts w:ascii="ITC Avant Garde" w:hAnsi="ITC Avant Garde"/>
          <w:lang w:val="es-MX"/>
        </w:rPr>
      </w:pPr>
      <w:r w:rsidRPr="004C1A96">
        <w:rPr>
          <w:rFonts w:ascii="ITC Avant Garde" w:hAnsi="ITC Avant Garde"/>
          <w:lang w:val="es-MX"/>
        </w:rPr>
        <w:t>La fórmula de anualidad inclinada es probablemente la fórmula de depreciación más utilizada para fines regulatorios. Incorpora una inclinación que permite que el cálculo de anualidades evolucione de acuerdo con los cambios en el precio de los activos: si el precio de un activo aumenta en un 5% anual, las anualidades también aumentarán con un 5% anual.</w:t>
      </w:r>
    </w:p>
    <w:p w14:paraId="1B3F22A0" w14:textId="20BC62A9" w:rsidR="00724174" w:rsidRPr="004C1A96" w:rsidRDefault="00724174" w:rsidP="00724174">
      <w:pPr>
        <w:rPr>
          <w:rFonts w:ascii="ITC Avant Garde" w:hAnsi="ITC Avant Garde"/>
          <w:lang w:val="es-MX"/>
        </w:rPr>
      </w:pPr>
      <w:r w:rsidRPr="004C1A96">
        <w:rPr>
          <w:rFonts w:ascii="ITC Avant Garde" w:hAnsi="ITC Avant Garde"/>
          <w:lang w:val="es-MX"/>
        </w:rPr>
        <w:t>Dicha fórmula envía señales apropiadas "</w:t>
      </w:r>
      <w:r w:rsidR="00AC2FC4" w:rsidRPr="004C1A96">
        <w:rPr>
          <w:rFonts w:ascii="ITC Avant Garde" w:hAnsi="ITC Avant Garde"/>
          <w:i/>
          <w:lang w:val="es-MX"/>
        </w:rPr>
        <w:t>build or buy</w:t>
      </w:r>
      <w:r w:rsidRPr="004C1A96">
        <w:rPr>
          <w:rFonts w:ascii="ITC Avant Garde" w:hAnsi="ITC Avant Garde"/>
          <w:lang w:val="es-MX"/>
        </w:rPr>
        <w:t xml:space="preserve">" a los </w:t>
      </w:r>
      <w:r w:rsidR="00AC2FC4" w:rsidRPr="004C1A96">
        <w:rPr>
          <w:rFonts w:ascii="ITC Avant Garde" w:hAnsi="ITC Avant Garde"/>
          <w:lang w:val="es-MX"/>
        </w:rPr>
        <w:t>operadores</w:t>
      </w:r>
      <w:r w:rsidRPr="004C1A96">
        <w:rPr>
          <w:rFonts w:ascii="ITC Avant Garde" w:hAnsi="ITC Avant Garde"/>
          <w:lang w:val="es-MX"/>
        </w:rPr>
        <w:t xml:space="preserve"> del mercado. Facilita la replicación de los cargos anuales que un operador en un mercado competitivo enfrentaría. También es coherente con el "índice de precios" recomendado por la Comisión Europea para la valoración y amortización de activos de ingeniería civil reutilizables.</w:t>
      </w:r>
      <w:r w:rsidR="008B786E">
        <w:rPr>
          <w:rStyle w:val="Refdenotaalpie"/>
          <w:rFonts w:ascii="ITC Avant Garde" w:hAnsi="ITC Avant Garde"/>
          <w:lang w:val="es-MX"/>
        </w:rPr>
        <w:footnoteReference w:id="37"/>
      </w:r>
    </w:p>
    <w:p w14:paraId="602001FB" w14:textId="77777777" w:rsidR="00724174" w:rsidRPr="00E14D8A" w:rsidRDefault="00724174" w:rsidP="00724174">
      <w:pPr>
        <w:rPr>
          <w:rFonts w:ascii="ITC Avant Garde" w:hAnsi="ITC Avant Garde"/>
          <w:lang w:val="es-MX"/>
        </w:rPr>
      </w:pPr>
      <w:r w:rsidRPr="004C1A96">
        <w:rPr>
          <w:rFonts w:ascii="ITC Avant Garde" w:hAnsi="ITC Avant Garde"/>
          <w:lang w:val="es-MX"/>
        </w:rPr>
        <w:t xml:space="preserve">Aún más importante, las </w:t>
      </w:r>
      <w:r w:rsidR="00B90EB1" w:rsidRPr="004C1A96">
        <w:rPr>
          <w:rFonts w:ascii="ITC Avant Garde" w:hAnsi="ITC Avant Garde"/>
          <w:lang w:val="es-MX"/>
        </w:rPr>
        <w:t>anualidades</w:t>
      </w:r>
      <w:r w:rsidRPr="00E14D8A">
        <w:rPr>
          <w:rFonts w:ascii="ITC Avant Garde" w:hAnsi="ITC Avant Garde"/>
          <w:lang w:val="es-MX"/>
        </w:rPr>
        <w:t xml:space="preserve"> inclinadas permiten una evolución uniforme de los costos anuales a pesar de los cambios en los precios y los ciclos de inversión. Al final de la vida útil de un activo, es decir, cuando el activo necesita ser renovado, las anualidades calculadas con el método de anualidad inclinada serán similares justo antes y justo después de la renovación del activo. Por lo tanto, las anualidades evolucionan sin las discontinuidades que </w:t>
      </w:r>
      <w:r w:rsidR="00B90EB1" w:rsidRPr="00E14D8A">
        <w:rPr>
          <w:rFonts w:ascii="ITC Avant Garde" w:hAnsi="ITC Avant Garde"/>
          <w:lang w:val="es-MX"/>
        </w:rPr>
        <w:t>genera el</w:t>
      </w:r>
      <w:r w:rsidRPr="00E14D8A">
        <w:rPr>
          <w:rFonts w:ascii="ITC Avant Garde" w:hAnsi="ITC Avant Garde"/>
          <w:lang w:val="es-MX"/>
        </w:rPr>
        <w:t xml:space="preserve"> enfoque de anualidad estándar.</w:t>
      </w:r>
    </w:p>
    <w:p w14:paraId="46F8DA51" w14:textId="77777777" w:rsidR="00AC2FC4" w:rsidRPr="004C1A96" w:rsidRDefault="00724174" w:rsidP="00724174">
      <w:pPr>
        <w:rPr>
          <w:rFonts w:ascii="ITC Avant Garde" w:hAnsi="ITC Avant Garde"/>
          <w:lang w:val="es-MX"/>
        </w:rPr>
      </w:pPr>
      <w:r w:rsidRPr="004C1A96">
        <w:rPr>
          <w:rFonts w:ascii="ITC Avant Garde" w:hAnsi="ITC Avant Garde"/>
          <w:lang w:val="es-MX"/>
        </w:rPr>
        <w:t>Sin embargo, la anualidad inclinada puede no ser un buen indicador de la depreciación económica cuando el volumen de productos producidos por un activo no es estable o crece desde un nivel bajo. Este puede ser el caso para productos nuevos (que tienen una curva logística) o cuando la demanda está evolucionando rápidamente</w:t>
      </w:r>
      <w:r w:rsidR="00B90EB1" w:rsidRPr="004C1A96">
        <w:rPr>
          <w:rFonts w:ascii="ITC Avant Garde" w:hAnsi="ITC Avant Garde"/>
          <w:lang w:val="es-MX"/>
        </w:rPr>
        <w:t>.</w:t>
      </w:r>
    </w:p>
    <w:p w14:paraId="53DC30FD" w14:textId="77777777" w:rsidR="00724174" w:rsidRPr="004C1A96" w:rsidRDefault="00AC2FC4" w:rsidP="00556A48">
      <w:pPr>
        <w:pStyle w:val="Prrafodelista"/>
        <w:numPr>
          <w:ilvl w:val="0"/>
          <w:numId w:val="26"/>
        </w:numPr>
        <w:rPr>
          <w:rFonts w:ascii="ITC Avant Garde" w:hAnsi="ITC Avant Garde"/>
          <w:u w:val="single"/>
          <w:lang w:val="es-MX"/>
        </w:rPr>
      </w:pPr>
      <w:r w:rsidRPr="004C1A96">
        <w:rPr>
          <w:rFonts w:ascii="ITC Avant Garde" w:hAnsi="ITC Avant Garde"/>
          <w:u w:val="single"/>
          <w:lang w:val="es-MX"/>
        </w:rPr>
        <w:t>A</w:t>
      </w:r>
      <w:r w:rsidR="00724174" w:rsidRPr="004C1A96">
        <w:rPr>
          <w:rFonts w:ascii="ITC Avant Garde" w:hAnsi="ITC Avant Garde"/>
          <w:u w:val="single"/>
          <w:lang w:val="es-MX"/>
        </w:rPr>
        <w:t>nualidad inclinada ajustada</w:t>
      </w:r>
    </w:p>
    <w:p w14:paraId="41503267" w14:textId="77777777" w:rsidR="00724174" w:rsidRPr="004C1A96" w:rsidRDefault="00724174" w:rsidP="00724174">
      <w:pPr>
        <w:rPr>
          <w:rFonts w:ascii="ITC Avant Garde" w:hAnsi="ITC Avant Garde"/>
          <w:lang w:val="es-MX"/>
        </w:rPr>
      </w:pPr>
      <w:r w:rsidRPr="004C1A96">
        <w:rPr>
          <w:rFonts w:ascii="ITC Avant Garde" w:hAnsi="ITC Avant Garde"/>
          <w:lang w:val="es-MX"/>
        </w:rPr>
        <w:t xml:space="preserve">Es posible modificar la fórmula de anualidades inclinadas para calcular anualidades que tengan en cuenta la evolución del número de productos producidos por los activos. Esto se conoce como una "anualidad inclinada </w:t>
      </w:r>
      <w:r w:rsidR="00B90EB1" w:rsidRPr="004C1A96">
        <w:rPr>
          <w:rFonts w:ascii="ITC Avant Garde" w:hAnsi="ITC Avant Garde"/>
          <w:lang w:val="es-MX"/>
        </w:rPr>
        <w:t>ajustada</w:t>
      </w:r>
      <w:r w:rsidRPr="004C1A96">
        <w:rPr>
          <w:rFonts w:ascii="ITC Avant Garde" w:hAnsi="ITC Avant Garde"/>
          <w:lang w:val="es-MX"/>
        </w:rPr>
        <w:t xml:space="preserve">". Este enfoque usa la misma fórmula que en la anualidad inclinada, excepto </w:t>
      </w:r>
      <w:r w:rsidR="004B276B" w:rsidRPr="004C1A96">
        <w:rPr>
          <w:rFonts w:ascii="ITC Avant Garde" w:hAnsi="ITC Avant Garde"/>
          <w:lang w:val="es-MX"/>
        </w:rPr>
        <w:t>que,</w:t>
      </w:r>
      <w:r w:rsidRPr="004C1A96">
        <w:rPr>
          <w:rFonts w:ascii="ITC Avant Garde" w:hAnsi="ITC Avant Garde"/>
          <w:lang w:val="es-MX"/>
        </w:rPr>
        <w:t xml:space="preserve"> en lugar de una anualidad total constante, se usa una anualidad de unidad constante (y la anualidad total varía con el número de </w:t>
      </w:r>
      <w:r w:rsidR="00B90EB1" w:rsidRPr="004C1A96">
        <w:rPr>
          <w:rFonts w:ascii="ITC Avant Garde" w:hAnsi="ITC Avant Garde"/>
          <w:lang w:val="es-MX"/>
        </w:rPr>
        <w:t>productos</w:t>
      </w:r>
      <w:r w:rsidRPr="004C1A96">
        <w:rPr>
          <w:rFonts w:ascii="ITC Avant Garde" w:hAnsi="ITC Avant Garde"/>
          <w:lang w:val="es-MX"/>
        </w:rPr>
        <w:t>).</w:t>
      </w:r>
    </w:p>
    <w:p w14:paraId="3CAA60C0" w14:textId="77777777" w:rsidR="00724174" w:rsidRPr="004C1A96" w:rsidRDefault="00724174" w:rsidP="00724174">
      <w:pPr>
        <w:rPr>
          <w:rFonts w:ascii="ITC Avant Garde" w:hAnsi="ITC Avant Garde"/>
          <w:lang w:val="es-MX"/>
        </w:rPr>
      </w:pPr>
      <w:r w:rsidRPr="004C1A96">
        <w:rPr>
          <w:rFonts w:ascii="ITC Avant Garde" w:hAnsi="ITC Avant Garde"/>
          <w:lang w:val="es-MX"/>
        </w:rPr>
        <w:t xml:space="preserve">La anualidad en este enfoque varía con el número de productos producidos por los activos y con la tendencia del precio. Cuando el activo produce un número bajo de productos (por ejemplo, FTTH en los primeros años cuando hay pocos clientes), la </w:t>
      </w:r>
      <w:r w:rsidR="00B90EB1" w:rsidRPr="004C1A96">
        <w:rPr>
          <w:rFonts w:ascii="ITC Avant Garde" w:hAnsi="ITC Avant Garde"/>
          <w:lang w:val="es-MX"/>
        </w:rPr>
        <w:lastRenderedPageBreak/>
        <w:t>anualidad</w:t>
      </w:r>
      <w:r w:rsidRPr="004C1A96">
        <w:rPr>
          <w:rFonts w:ascii="ITC Avant Garde" w:hAnsi="ITC Avant Garde"/>
          <w:lang w:val="es-MX"/>
        </w:rPr>
        <w:t xml:space="preserve"> total es baja al principio y luego aumenta cuando aumenta el número de productos producidos (por ejemplo, </w:t>
      </w:r>
      <w:r w:rsidR="00B90EB1" w:rsidRPr="004C1A96">
        <w:rPr>
          <w:rFonts w:ascii="ITC Avant Garde" w:hAnsi="ITC Avant Garde"/>
          <w:lang w:val="es-MX"/>
        </w:rPr>
        <w:t xml:space="preserve">cuando </w:t>
      </w:r>
      <w:r w:rsidRPr="004C1A96">
        <w:rPr>
          <w:rFonts w:ascii="ITC Avant Garde" w:hAnsi="ITC Avant Garde"/>
          <w:lang w:val="es-MX"/>
        </w:rPr>
        <w:t>aumenta la tasa de penetración de FTTH)</w:t>
      </w:r>
      <w:r w:rsidR="004B276B" w:rsidRPr="004C1A96">
        <w:rPr>
          <w:rFonts w:ascii="ITC Avant Garde" w:hAnsi="ITC Avant Garde"/>
          <w:lang w:val="es-MX"/>
        </w:rPr>
        <w:t>.</w:t>
      </w:r>
    </w:p>
    <w:p w14:paraId="6F4E7C97" w14:textId="77777777" w:rsidR="00724174" w:rsidRPr="004C1A96" w:rsidRDefault="00724174" w:rsidP="00724174">
      <w:pPr>
        <w:rPr>
          <w:rFonts w:ascii="ITC Avant Garde" w:hAnsi="ITC Avant Garde"/>
          <w:lang w:val="es-MX"/>
        </w:rPr>
      </w:pPr>
      <w:r w:rsidRPr="004C1A96">
        <w:rPr>
          <w:rFonts w:ascii="ITC Avant Garde" w:hAnsi="ITC Avant Garde"/>
          <w:lang w:val="es-MX"/>
        </w:rPr>
        <w:t>El principal inconveniente de este método de depreciación es que requiere pronósticos sobre los resultados producidos durante un largo período de tiempo</w:t>
      </w:r>
      <w:r w:rsidR="00B90EB1" w:rsidRPr="004C1A96">
        <w:rPr>
          <w:rFonts w:ascii="ITC Avant Garde" w:hAnsi="ITC Avant Garde"/>
          <w:lang w:val="es-MX"/>
        </w:rPr>
        <w:t xml:space="preserve"> (por ejemplo, proyecciones de penetración del servicio FTTH)</w:t>
      </w:r>
      <w:r w:rsidRPr="004C1A96">
        <w:rPr>
          <w:rFonts w:ascii="ITC Avant Garde" w:hAnsi="ITC Avant Garde"/>
          <w:lang w:val="es-MX"/>
        </w:rPr>
        <w:t>. Como consecuencia, podría ser más subjetivo que otros métodos, pero depende de cómo se espera que sea la ruta de desarrollo, y puede ser un método más complejo de implementar. Sin embargo, tiende a dar mejores señales económicas que otros métodos de depreciación cuando el número de productos producidos por un activo no es estable y se espera que cambie significativamente durante el período de pronóstico.</w:t>
      </w:r>
    </w:p>
    <w:p w14:paraId="1851A9F5" w14:textId="1A53395E" w:rsidR="00724174" w:rsidRPr="004C1A96" w:rsidRDefault="00724174" w:rsidP="00B90EB1">
      <w:pPr>
        <w:pStyle w:val="Encadr3"/>
        <w:rPr>
          <w:rFonts w:ascii="ITC Avant Garde" w:hAnsi="ITC Avant Garde"/>
          <w:lang w:val="es-MX"/>
        </w:rPr>
      </w:pPr>
      <w:r w:rsidRPr="004C1A96">
        <w:rPr>
          <w:rFonts w:ascii="ITC Avant Garde" w:hAnsi="ITC Avant Garde"/>
          <w:lang w:val="es-MX"/>
        </w:rPr>
        <w:t xml:space="preserve">Criterio </w:t>
      </w:r>
      <w:r w:rsidR="00F9290D" w:rsidRPr="004C1A96">
        <w:rPr>
          <w:rFonts w:ascii="ITC Avant Garde" w:hAnsi="ITC Avant Garde"/>
          <w:lang w:val="es-MX"/>
        </w:rPr>
        <w:t>26</w:t>
      </w:r>
      <w:r w:rsidRPr="004C1A96">
        <w:rPr>
          <w:rFonts w:ascii="ITC Avant Garde" w:hAnsi="ITC Avant Garde"/>
          <w:lang w:val="es-MX"/>
        </w:rPr>
        <w:t xml:space="preserve">: El enfoque de depreciación de anualidades inclinadas se </w:t>
      </w:r>
      <w:r w:rsidR="001349AD" w:rsidRPr="004C1A96">
        <w:rPr>
          <w:rFonts w:ascii="ITC Avant Garde" w:hAnsi="ITC Avant Garde"/>
          <w:lang w:val="es-MX"/>
        </w:rPr>
        <w:t>usa</w:t>
      </w:r>
      <w:r w:rsidR="002A27FC" w:rsidRPr="004C1A96">
        <w:rPr>
          <w:rFonts w:ascii="ITC Avant Garde" w:hAnsi="ITC Avant Garde"/>
          <w:lang w:val="es-MX"/>
        </w:rPr>
        <w:t xml:space="preserve"> </w:t>
      </w:r>
      <w:r w:rsidRPr="004C1A96">
        <w:rPr>
          <w:rFonts w:ascii="ITC Avant Garde" w:hAnsi="ITC Avant Garde"/>
          <w:lang w:val="es-MX"/>
        </w:rPr>
        <w:t xml:space="preserve">para todos los activos. </w:t>
      </w:r>
    </w:p>
    <w:p w14:paraId="4E8B66FF" w14:textId="77777777" w:rsidR="00724174" w:rsidRPr="000B0E8F" w:rsidRDefault="00724174" w:rsidP="0040723E">
      <w:pPr>
        <w:pStyle w:val="Ttulo3"/>
        <w:rPr>
          <w:lang w:val="es-MX"/>
        </w:rPr>
      </w:pPr>
      <w:bookmarkStart w:id="152" w:name="_Toc525665285"/>
      <w:bookmarkStart w:id="153" w:name="_Toc525665664"/>
      <w:bookmarkStart w:id="154" w:name="_Toc141975022"/>
      <w:r w:rsidRPr="000B0E8F">
        <w:rPr>
          <w:lang w:val="es-MX"/>
        </w:rPr>
        <w:t>Gastos operacionales (OPEX)</w:t>
      </w:r>
      <w:bookmarkEnd w:id="152"/>
      <w:bookmarkEnd w:id="153"/>
      <w:bookmarkEnd w:id="154"/>
    </w:p>
    <w:p w14:paraId="54FB23F2" w14:textId="77777777" w:rsidR="00724174" w:rsidRPr="008F42FC" w:rsidRDefault="00724174" w:rsidP="003C224B">
      <w:pPr>
        <w:pStyle w:val="Ttulo4"/>
        <w:rPr>
          <w:lang w:val="es-MX"/>
        </w:rPr>
      </w:pPr>
      <w:bookmarkStart w:id="155" w:name="_Toc525665286"/>
      <w:bookmarkStart w:id="156" w:name="_Toc525665665"/>
      <w:bookmarkStart w:id="157" w:name="_Ref141710660"/>
      <w:bookmarkStart w:id="158" w:name="_Toc141975023"/>
      <w:r w:rsidRPr="008F42FC">
        <w:rPr>
          <w:lang w:val="es-MX"/>
        </w:rPr>
        <w:t>Mantenimiento de la red</w:t>
      </w:r>
      <w:bookmarkEnd w:id="155"/>
      <w:bookmarkEnd w:id="156"/>
      <w:bookmarkEnd w:id="157"/>
      <w:bookmarkEnd w:id="158"/>
    </w:p>
    <w:p w14:paraId="419ED68D" w14:textId="77777777" w:rsidR="00724174" w:rsidRPr="00E14D8A" w:rsidRDefault="00724174" w:rsidP="00724174">
      <w:pPr>
        <w:rPr>
          <w:rFonts w:ascii="ITC Avant Garde" w:hAnsi="ITC Avant Garde"/>
          <w:lang w:val="es-MX"/>
        </w:rPr>
      </w:pPr>
      <w:r w:rsidRPr="004C1A96">
        <w:rPr>
          <w:rFonts w:ascii="ITC Avant Garde" w:hAnsi="ITC Avant Garde"/>
          <w:lang w:val="es-MX"/>
        </w:rPr>
        <w:t xml:space="preserve">El modelo examinará los costos de operación en un nivel desagregado para garantizar que sean asignados a la parte correcta de la red. Solo los costos de red (al por mayor) deben incluirse en los incrementos de acceso </w:t>
      </w:r>
      <w:r w:rsidR="00B90EB1" w:rsidRPr="00E14D8A">
        <w:rPr>
          <w:rFonts w:ascii="ITC Avant Garde" w:hAnsi="ITC Avant Garde"/>
          <w:lang w:val="es-MX"/>
        </w:rPr>
        <w:t>y transporte</w:t>
      </w:r>
      <w:r w:rsidRPr="00E14D8A">
        <w:rPr>
          <w:rFonts w:ascii="ITC Avant Garde" w:hAnsi="ITC Avant Garde"/>
          <w:lang w:val="es-MX"/>
        </w:rPr>
        <w:t>. Cualquier costo relacionado con las actividades minoristas, como los costos de comercialización y venta al por menor, debe excluirse de estos incrementos.</w:t>
      </w:r>
    </w:p>
    <w:p w14:paraId="0599BEAF" w14:textId="77777777" w:rsidR="00724174" w:rsidRPr="00E14D8A" w:rsidRDefault="00724174" w:rsidP="00724174">
      <w:pPr>
        <w:rPr>
          <w:rFonts w:ascii="ITC Avant Garde" w:hAnsi="ITC Avant Garde"/>
          <w:lang w:val="es-MX"/>
        </w:rPr>
      </w:pPr>
      <w:r w:rsidRPr="00E14D8A">
        <w:rPr>
          <w:rFonts w:ascii="ITC Avant Garde" w:hAnsi="ITC Avant Garde"/>
          <w:lang w:val="es-MX"/>
        </w:rPr>
        <w:t>Los costos de operación para actividades estrechamente relacionadas con la red incluyen provisión, mantenimiento, planificación e instalación de la red.</w:t>
      </w:r>
    </w:p>
    <w:p w14:paraId="047B979E" w14:textId="0C52019F" w:rsidR="006B7679" w:rsidRPr="004C1A96" w:rsidRDefault="00BD0362" w:rsidP="00724174">
      <w:pPr>
        <w:rPr>
          <w:rFonts w:ascii="ITC Avant Garde" w:hAnsi="ITC Avant Garde"/>
          <w:lang w:val="es-MX"/>
        </w:rPr>
      </w:pPr>
      <w:r w:rsidRPr="004C1A96">
        <w:rPr>
          <w:rFonts w:ascii="ITC Avant Garde" w:hAnsi="ITC Avant Garde"/>
          <w:lang w:val="es-MX"/>
        </w:rPr>
        <w:t>En el modelo, el cálculo de los costos operacionales de mantenimiento se realiza a partir “Tasas de mantenimiento” aplicadas en modo de porcentaje sobre el Cap</w:t>
      </w:r>
      <w:r w:rsidR="00E7732B" w:rsidRPr="004C1A96">
        <w:rPr>
          <w:rFonts w:ascii="ITC Avant Garde" w:hAnsi="ITC Avant Garde"/>
          <w:lang w:val="es-MX"/>
        </w:rPr>
        <w:t>E</w:t>
      </w:r>
      <w:r w:rsidRPr="004C1A96">
        <w:rPr>
          <w:rFonts w:ascii="ITC Avant Garde" w:hAnsi="ITC Avant Garde"/>
          <w:lang w:val="es-MX"/>
        </w:rPr>
        <w:t>x total, y diferenciadas para los siguientes tipos de activos:</w:t>
      </w:r>
    </w:p>
    <w:p w14:paraId="4CDA9CE5" w14:textId="3A8E2A1A" w:rsidR="00BD0362" w:rsidRPr="004C1A96" w:rsidRDefault="00BD0362" w:rsidP="003B2E52">
      <w:pPr>
        <w:pStyle w:val="Listaconvietas2"/>
        <w:rPr>
          <w:lang w:val="es-MX"/>
        </w:rPr>
      </w:pPr>
      <w:r w:rsidRPr="004C1A96">
        <w:rPr>
          <w:lang w:val="es-MX"/>
        </w:rPr>
        <w:t>Activos de cobre</w:t>
      </w:r>
    </w:p>
    <w:p w14:paraId="79C1E39D" w14:textId="30B5245E" w:rsidR="00BD0362" w:rsidRPr="004C1A96" w:rsidRDefault="00BD0362" w:rsidP="003B2E52">
      <w:pPr>
        <w:pStyle w:val="Listaconvietas2"/>
        <w:rPr>
          <w:lang w:val="es-MX"/>
        </w:rPr>
      </w:pPr>
      <w:r w:rsidRPr="004C1A96">
        <w:rPr>
          <w:lang w:val="es-MX"/>
        </w:rPr>
        <w:t>Activos de fibra</w:t>
      </w:r>
    </w:p>
    <w:p w14:paraId="31CB60D4" w14:textId="452C81A8" w:rsidR="00BD0362" w:rsidRPr="004C1A96" w:rsidRDefault="00BD0362" w:rsidP="003B2E52">
      <w:pPr>
        <w:pStyle w:val="Listaconvietas2"/>
        <w:rPr>
          <w:lang w:val="es-MX"/>
        </w:rPr>
      </w:pPr>
      <w:r w:rsidRPr="004C1A96">
        <w:rPr>
          <w:lang w:val="es-MX"/>
        </w:rPr>
        <w:t>Activos de infraestructura civil (canalizaciones, pozos y postes)</w:t>
      </w:r>
    </w:p>
    <w:p w14:paraId="01241926" w14:textId="1DC521AB" w:rsidR="00724174" w:rsidRPr="004C1A96" w:rsidRDefault="00724174" w:rsidP="00E7732B">
      <w:pPr>
        <w:pStyle w:val="Encadr3"/>
        <w:rPr>
          <w:rFonts w:ascii="ITC Avant Garde" w:hAnsi="ITC Avant Garde"/>
          <w:lang w:val="es-MX"/>
        </w:rPr>
      </w:pPr>
      <w:r w:rsidRPr="004C1A96">
        <w:rPr>
          <w:rFonts w:ascii="ITC Avant Garde" w:hAnsi="ITC Avant Garde"/>
          <w:lang w:val="es-MX"/>
        </w:rPr>
        <w:t xml:space="preserve">Criterio </w:t>
      </w:r>
      <w:r w:rsidR="00F9290D" w:rsidRPr="004C1A96">
        <w:rPr>
          <w:rFonts w:ascii="ITC Avant Garde" w:hAnsi="ITC Avant Garde"/>
          <w:lang w:val="es-MX"/>
        </w:rPr>
        <w:t>27</w:t>
      </w:r>
      <w:r w:rsidRPr="004C1A96">
        <w:rPr>
          <w:rFonts w:ascii="ITC Avant Garde" w:hAnsi="ITC Avant Garde"/>
          <w:lang w:val="es-MX"/>
        </w:rPr>
        <w:t>:</w:t>
      </w:r>
      <w:r w:rsidR="00E7732B" w:rsidRPr="004C1A96">
        <w:rPr>
          <w:rFonts w:ascii="ITC Avant Garde" w:hAnsi="ITC Avant Garde"/>
          <w:lang w:val="es-MX"/>
        </w:rPr>
        <w:t xml:space="preserve"> Los cost</w:t>
      </w:r>
      <w:r w:rsidR="00D86546" w:rsidRPr="004C1A96">
        <w:rPr>
          <w:rFonts w:ascii="ITC Avant Garde" w:hAnsi="ITC Avant Garde"/>
          <w:lang w:val="es-MX"/>
        </w:rPr>
        <w:t>o</w:t>
      </w:r>
      <w:r w:rsidR="00E7732B" w:rsidRPr="004C1A96">
        <w:rPr>
          <w:rFonts w:ascii="ITC Avant Garde" w:hAnsi="ITC Avant Garde"/>
          <w:lang w:val="es-MX"/>
        </w:rPr>
        <w:t>s de mantenimiento se reflejan mediante tasas aplicadas en forma de porcentaje sobre el CapEx total, y diferenciando según los siguientes grupos de activos: activos de cobre, activos de fibra y activos de infraestructura civil (canalizaciones, pozos y postes)</w:t>
      </w:r>
      <w:r w:rsidRPr="004C1A96">
        <w:rPr>
          <w:rFonts w:ascii="ITC Avant Garde" w:hAnsi="ITC Avant Garde"/>
          <w:lang w:val="es-MX"/>
        </w:rPr>
        <w:t>.</w:t>
      </w:r>
    </w:p>
    <w:p w14:paraId="5DE75575" w14:textId="77777777" w:rsidR="00724174" w:rsidRPr="008F42FC" w:rsidRDefault="00724174" w:rsidP="003C224B">
      <w:pPr>
        <w:pStyle w:val="Ttulo4"/>
        <w:rPr>
          <w:lang w:val="es-MX"/>
        </w:rPr>
      </w:pPr>
      <w:bookmarkStart w:id="159" w:name="_Toc525665287"/>
      <w:bookmarkStart w:id="160" w:name="_Toc525665666"/>
      <w:bookmarkStart w:id="161" w:name="_Toc141975024"/>
      <w:r w:rsidRPr="008F42FC">
        <w:rPr>
          <w:lang w:val="es-MX"/>
        </w:rPr>
        <w:t>costos indirectos y no relacionados con la red</w:t>
      </w:r>
      <w:bookmarkEnd w:id="159"/>
      <w:bookmarkEnd w:id="160"/>
      <w:bookmarkEnd w:id="161"/>
    </w:p>
    <w:p w14:paraId="0EC65B53" w14:textId="77777777" w:rsidR="00724174" w:rsidRPr="00E14D8A" w:rsidRDefault="00724174" w:rsidP="00724174">
      <w:pPr>
        <w:rPr>
          <w:rFonts w:ascii="ITC Avant Garde" w:hAnsi="ITC Avant Garde"/>
          <w:lang w:val="es-MX"/>
        </w:rPr>
      </w:pPr>
      <w:r w:rsidRPr="004C1A96">
        <w:rPr>
          <w:rFonts w:ascii="ITC Avant Garde" w:hAnsi="ITC Avant Garde"/>
          <w:lang w:val="es-MX"/>
        </w:rPr>
        <w:t xml:space="preserve">Es difícil determinar si las actividades que componen los costos operativos se relacionan con la red de acceso, la red </w:t>
      </w:r>
      <w:r w:rsidR="00C73E49" w:rsidRPr="004C1A96">
        <w:rPr>
          <w:rFonts w:ascii="ITC Avant Garde" w:hAnsi="ITC Avant Garde"/>
          <w:lang w:val="es-MX"/>
        </w:rPr>
        <w:t>de transporte</w:t>
      </w:r>
      <w:r w:rsidRPr="004C1A96">
        <w:rPr>
          <w:rFonts w:ascii="ITC Avant Garde" w:hAnsi="ITC Avant Garde"/>
          <w:lang w:val="es-MX"/>
        </w:rPr>
        <w:t xml:space="preserve"> o ambas. Para </w:t>
      </w:r>
      <w:r w:rsidR="00C73E49" w:rsidRPr="00E14D8A">
        <w:rPr>
          <w:rFonts w:ascii="ITC Avant Garde" w:hAnsi="ITC Avant Garde"/>
          <w:lang w:val="es-MX"/>
        </w:rPr>
        <w:t>ciertas</w:t>
      </w:r>
      <w:r w:rsidRPr="00E14D8A">
        <w:rPr>
          <w:rFonts w:ascii="ITC Avant Garde" w:hAnsi="ITC Avant Garde"/>
          <w:lang w:val="es-MX"/>
        </w:rPr>
        <w:t xml:space="preserve"> actividades de costos operativos, un problema adicional es que solo están vinculadas indirectamente a la red</w:t>
      </w:r>
      <w:r w:rsidR="00C73E49" w:rsidRPr="00E14D8A">
        <w:rPr>
          <w:rFonts w:ascii="ITC Avant Garde" w:hAnsi="ITC Avant Garde"/>
          <w:lang w:val="es-MX"/>
        </w:rPr>
        <w:t>:</w:t>
      </w:r>
      <w:r w:rsidRPr="00E14D8A">
        <w:rPr>
          <w:rFonts w:ascii="ITC Avant Garde" w:hAnsi="ITC Avant Garde"/>
          <w:lang w:val="es-MX"/>
        </w:rPr>
        <w:t xml:space="preserve"> </w:t>
      </w:r>
      <w:r w:rsidRPr="00E14D8A">
        <w:rPr>
          <w:rFonts w:ascii="ITC Avant Garde" w:hAnsi="ITC Avant Garde"/>
          <w:lang w:val="es-MX"/>
        </w:rPr>
        <w:lastRenderedPageBreak/>
        <w:t>representan los costos indirectos de la red o los costos generales. Dichos costos operativos comprenden, entre otras cosas:</w:t>
      </w:r>
    </w:p>
    <w:p w14:paraId="6AAA2F41" w14:textId="77777777" w:rsidR="00724174" w:rsidRPr="00E14D8A" w:rsidRDefault="00724174" w:rsidP="00C73E49">
      <w:pPr>
        <w:pStyle w:val="Listaconvietas2"/>
        <w:rPr>
          <w:rFonts w:ascii="ITC Avant Garde" w:hAnsi="ITC Avant Garde"/>
          <w:lang w:val="es-MX"/>
        </w:rPr>
      </w:pPr>
      <w:r w:rsidRPr="00E14D8A">
        <w:rPr>
          <w:rFonts w:ascii="ITC Avant Garde" w:hAnsi="ITC Avant Garde"/>
          <w:lang w:val="es-MX"/>
        </w:rPr>
        <w:t>Transporte, cuando no está directamente relacionado con el personal que interviene en la red,</w:t>
      </w:r>
    </w:p>
    <w:p w14:paraId="1DE3C1FB" w14:textId="77777777" w:rsidR="00724174" w:rsidRPr="004C1A96" w:rsidRDefault="00724174" w:rsidP="00C73E49">
      <w:pPr>
        <w:pStyle w:val="Listaconvietas2"/>
        <w:rPr>
          <w:rFonts w:ascii="ITC Avant Garde" w:hAnsi="ITC Avant Garde"/>
          <w:lang w:val="es-MX"/>
        </w:rPr>
      </w:pPr>
      <w:r w:rsidRPr="004C1A96">
        <w:rPr>
          <w:rFonts w:ascii="ITC Avant Garde" w:hAnsi="ITC Avant Garde"/>
          <w:lang w:val="es-MX"/>
        </w:rPr>
        <w:t>Alojamiento relacionado con edificios de oficinas,</w:t>
      </w:r>
    </w:p>
    <w:p w14:paraId="45958D34" w14:textId="77777777" w:rsidR="00724174" w:rsidRPr="004C1A96" w:rsidRDefault="00724174" w:rsidP="00C73E49">
      <w:pPr>
        <w:pStyle w:val="Listaconvietas2"/>
        <w:rPr>
          <w:rFonts w:ascii="ITC Avant Garde" w:hAnsi="ITC Avant Garde"/>
          <w:lang w:val="es-MX"/>
        </w:rPr>
      </w:pPr>
      <w:r w:rsidRPr="004C1A96">
        <w:rPr>
          <w:rFonts w:ascii="ITC Avant Garde" w:hAnsi="ITC Avant Garde"/>
          <w:lang w:val="es-MX"/>
        </w:rPr>
        <w:t>Planificación de red y optimización de red,</w:t>
      </w:r>
    </w:p>
    <w:p w14:paraId="1556E7A0" w14:textId="77777777" w:rsidR="00724174" w:rsidRPr="004C1A96" w:rsidRDefault="00724174" w:rsidP="00C73E49">
      <w:pPr>
        <w:pStyle w:val="Listaconvietas2"/>
        <w:rPr>
          <w:rFonts w:ascii="ITC Avant Garde" w:hAnsi="ITC Avant Garde"/>
          <w:lang w:val="es-MX"/>
        </w:rPr>
      </w:pPr>
      <w:r w:rsidRPr="004C1A96">
        <w:rPr>
          <w:rFonts w:ascii="ITC Avant Garde" w:hAnsi="ITC Avant Garde"/>
          <w:lang w:val="es-MX"/>
        </w:rPr>
        <w:t>Costos de I</w:t>
      </w:r>
      <w:r w:rsidR="00C73E49" w:rsidRPr="004C1A96">
        <w:rPr>
          <w:rFonts w:ascii="ITC Avant Garde" w:hAnsi="ITC Avant Garde"/>
          <w:lang w:val="es-MX"/>
        </w:rPr>
        <w:t>T</w:t>
      </w:r>
      <w:r w:rsidRPr="004C1A96">
        <w:rPr>
          <w:rFonts w:ascii="ITC Avant Garde" w:hAnsi="ITC Avant Garde"/>
          <w:lang w:val="es-MX"/>
        </w:rPr>
        <w:t xml:space="preserve"> para administrar la red y para los empleados de la compañía,</w:t>
      </w:r>
    </w:p>
    <w:p w14:paraId="42008F89" w14:textId="77777777" w:rsidR="00724174" w:rsidRPr="004C1A96" w:rsidRDefault="00724174" w:rsidP="00C73E49">
      <w:pPr>
        <w:pStyle w:val="Listaconvietas2"/>
        <w:rPr>
          <w:rFonts w:ascii="ITC Avant Garde" w:hAnsi="ITC Avant Garde"/>
          <w:lang w:val="es-MX"/>
        </w:rPr>
      </w:pPr>
      <w:r w:rsidRPr="004C1A96">
        <w:rPr>
          <w:rFonts w:ascii="ITC Avant Garde" w:hAnsi="ITC Avant Garde"/>
          <w:lang w:val="es-MX"/>
        </w:rPr>
        <w:t xml:space="preserve">Gerencia general, incluyendo el departamento de finanzas, recursos humanos, </w:t>
      </w:r>
      <w:r w:rsidR="00C73E49" w:rsidRPr="004C1A96">
        <w:rPr>
          <w:rFonts w:ascii="ITC Avant Garde" w:hAnsi="ITC Avant Garde"/>
          <w:lang w:val="es-MX"/>
        </w:rPr>
        <w:t>senior management</w:t>
      </w:r>
      <w:r w:rsidRPr="004C1A96">
        <w:rPr>
          <w:rFonts w:ascii="ITC Avant Garde" w:hAnsi="ITC Avant Garde"/>
          <w:lang w:val="es-MX"/>
        </w:rPr>
        <w:t>, etc.,</w:t>
      </w:r>
    </w:p>
    <w:p w14:paraId="2A8F4D44" w14:textId="77777777" w:rsidR="00724174" w:rsidRPr="004C1A96" w:rsidRDefault="00724174" w:rsidP="00C73E49">
      <w:pPr>
        <w:pStyle w:val="Listaconvietas2"/>
        <w:rPr>
          <w:rFonts w:ascii="ITC Avant Garde" w:hAnsi="ITC Avant Garde"/>
          <w:lang w:val="es-MX"/>
        </w:rPr>
      </w:pPr>
      <w:r w:rsidRPr="004C1A96">
        <w:rPr>
          <w:rFonts w:ascii="ITC Avant Garde" w:hAnsi="ITC Avant Garde"/>
          <w:lang w:val="es-MX"/>
        </w:rPr>
        <w:t>Costo específico mayorista, es decir, los costos del personal involucrado en facturación de interconexión y gestión de productos de servicios mayoristas.</w:t>
      </w:r>
    </w:p>
    <w:p w14:paraId="56940304" w14:textId="77777777" w:rsidR="00724174" w:rsidRPr="004C1A96" w:rsidRDefault="00724174" w:rsidP="00724174">
      <w:pPr>
        <w:rPr>
          <w:rFonts w:ascii="ITC Avant Garde" w:hAnsi="ITC Avant Garde"/>
          <w:lang w:val="es-MX"/>
        </w:rPr>
      </w:pPr>
      <w:r w:rsidRPr="004C1A96">
        <w:rPr>
          <w:rFonts w:ascii="ITC Avant Garde" w:hAnsi="ITC Avant Garde"/>
          <w:lang w:val="es-MX"/>
        </w:rPr>
        <w:t xml:space="preserve">Estos costos son principalmente costos fijos a corto y mediano plazo y no deben variar entre una red de cobre y fibra. Podrían estimarse a partir de los datos contables del operador SMP, de acuerdo con un enfoque </w:t>
      </w:r>
      <w:r w:rsidR="00C73E49" w:rsidRPr="004C1A96">
        <w:rPr>
          <w:rFonts w:ascii="ITC Avant Garde" w:hAnsi="ITC Avant Garde"/>
          <w:lang w:val="es-MX"/>
        </w:rPr>
        <w:t>Top Down</w:t>
      </w:r>
      <w:r w:rsidRPr="004C1A96">
        <w:rPr>
          <w:rFonts w:ascii="ITC Avant Garde" w:hAnsi="ITC Avant Garde"/>
          <w:lang w:val="es-MX"/>
        </w:rPr>
        <w:t>. Sin embargo, se debe definir una metodología para establecer los criterios que se emplearán para la asignación de costos a los servicios, en otras palabras, para definir qué 'parte equitativa' de estos costos debe soportar cada servicio específico.</w:t>
      </w:r>
    </w:p>
    <w:p w14:paraId="07449E14" w14:textId="77777777" w:rsidR="00724174" w:rsidRPr="004C1A96" w:rsidRDefault="00724174" w:rsidP="00724174">
      <w:pPr>
        <w:rPr>
          <w:rFonts w:ascii="ITC Avant Garde" w:hAnsi="ITC Avant Garde"/>
          <w:lang w:val="es-MX"/>
        </w:rPr>
      </w:pPr>
      <w:r w:rsidRPr="004C1A96">
        <w:rPr>
          <w:rFonts w:ascii="ITC Avant Garde" w:hAnsi="ITC Avant Garde"/>
          <w:lang w:val="es-MX"/>
        </w:rPr>
        <w:t>TERA identificó cuatro metodologías potenciales que podrían utilizarse para la asignación de estas categorías de costos:</w:t>
      </w:r>
    </w:p>
    <w:p w14:paraId="6E710EC6" w14:textId="77777777" w:rsidR="00724174" w:rsidRPr="004C1A96" w:rsidRDefault="001177CC" w:rsidP="00C73E49">
      <w:pPr>
        <w:pStyle w:val="Listaconvietas2"/>
        <w:rPr>
          <w:rFonts w:ascii="ITC Avant Garde" w:hAnsi="ITC Avant Garde"/>
          <w:lang w:val="es-MX"/>
        </w:rPr>
      </w:pPr>
      <w:r w:rsidRPr="004C1A96">
        <w:rPr>
          <w:rFonts w:ascii="ITC Avant Garde" w:hAnsi="ITC Avant Garde"/>
          <w:lang w:val="es-MX"/>
        </w:rPr>
        <w:t>Margen equi</w:t>
      </w:r>
      <w:r w:rsidR="00C53D5E" w:rsidRPr="004C1A96">
        <w:rPr>
          <w:rFonts w:ascii="ITC Avant Garde" w:hAnsi="ITC Avant Garde"/>
          <w:lang w:val="es-MX"/>
        </w:rPr>
        <w:t>-</w:t>
      </w:r>
      <w:r w:rsidRPr="004C1A96">
        <w:rPr>
          <w:rFonts w:ascii="ITC Avant Garde" w:hAnsi="ITC Avant Garde"/>
          <w:lang w:val="es-MX"/>
        </w:rPr>
        <w:t>proporcional</w:t>
      </w:r>
      <w:r w:rsidR="004B276B" w:rsidRPr="004C1A96">
        <w:rPr>
          <w:rFonts w:ascii="ITC Avant Garde" w:hAnsi="ITC Avant Garde"/>
          <w:lang w:val="es-MX"/>
        </w:rPr>
        <w:t xml:space="preserve"> </w:t>
      </w:r>
      <w:r w:rsidR="00724174" w:rsidRPr="004C1A96">
        <w:rPr>
          <w:rFonts w:ascii="ITC Avant Garde" w:hAnsi="ITC Avant Garde"/>
          <w:lang w:val="es-MX"/>
        </w:rPr>
        <w:t>(EPMU</w:t>
      </w:r>
      <w:r w:rsidRPr="004C1A96">
        <w:rPr>
          <w:rFonts w:ascii="ITC Avant Garde" w:hAnsi="ITC Avant Garde"/>
          <w:lang w:val="es-MX"/>
        </w:rPr>
        <w:t xml:space="preserve"> por sus siglas en inglés, </w:t>
      </w:r>
      <w:r w:rsidR="004B276B" w:rsidRPr="004C1A96">
        <w:rPr>
          <w:rFonts w:ascii="ITC Avant Garde" w:hAnsi="ITC Avant Garde"/>
          <w:lang w:val="es-MX"/>
        </w:rPr>
        <w:t>Equi-Proportional Mark-Up</w:t>
      </w:r>
      <w:r w:rsidR="00724174" w:rsidRPr="004C1A96">
        <w:rPr>
          <w:rFonts w:ascii="ITC Avant Garde" w:hAnsi="ITC Avant Garde"/>
          <w:lang w:val="es-MX"/>
        </w:rPr>
        <w:t xml:space="preserve">), que asigna los costos comunes y </w:t>
      </w:r>
      <w:r w:rsidR="00C73E49" w:rsidRPr="004C1A96">
        <w:rPr>
          <w:rFonts w:ascii="ITC Avant Garde" w:hAnsi="ITC Avant Garde"/>
          <w:lang w:val="es-MX"/>
        </w:rPr>
        <w:t>indirec</w:t>
      </w:r>
      <w:r w:rsidR="00724174" w:rsidRPr="004C1A96">
        <w:rPr>
          <w:rFonts w:ascii="ITC Avant Garde" w:hAnsi="ITC Avant Garde"/>
          <w:lang w:val="es-MX"/>
        </w:rPr>
        <w:t>tos a los servicios proporcionalmente a sus costos incrementales. Este método es simple de implementar y se usa comúnmente;</w:t>
      </w:r>
    </w:p>
    <w:p w14:paraId="0250B3E6" w14:textId="77777777" w:rsidR="00724174" w:rsidRPr="004C1A96" w:rsidRDefault="00724174" w:rsidP="00C73E49">
      <w:pPr>
        <w:pStyle w:val="Listaconvietas2"/>
        <w:rPr>
          <w:rFonts w:ascii="ITC Avant Garde" w:hAnsi="ITC Avant Garde"/>
          <w:lang w:val="es-MX"/>
        </w:rPr>
      </w:pPr>
      <w:r w:rsidRPr="004C1A96">
        <w:rPr>
          <w:rFonts w:ascii="ITC Avant Garde" w:hAnsi="ITC Avant Garde"/>
          <w:lang w:val="es-MX"/>
        </w:rPr>
        <w:t>Capacidad efectiva</w:t>
      </w:r>
      <w:r w:rsidR="00C73E49" w:rsidRPr="004C1A96">
        <w:rPr>
          <w:rFonts w:ascii="ITC Avant Garde" w:hAnsi="ITC Avant Garde"/>
          <w:lang w:val="es-MX"/>
        </w:rPr>
        <w:t>:</w:t>
      </w:r>
      <w:r w:rsidRPr="004C1A96">
        <w:rPr>
          <w:rFonts w:ascii="ITC Avant Garde" w:hAnsi="ITC Avant Garde"/>
          <w:lang w:val="es-MX"/>
        </w:rPr>
        <w:t xml:space="preserve"> según este enfoque, los costos comunes </w:t>
      </w:r>
      <w:r w:rsidR="00C53D5E" w:rsidRPr="004C1A96">
        <w:rPr>
          <w:rFonts w:ascii="ITC Avant Garde" w:hAnsi="ITC Avant Garde"/>
          <w:lang w:val="es-MX"/>
        </w:rPr>
        <w:t>e</w:t>
      </w:r>
      <w:r w:rsidRPr="004C1A96">
        <w:rPr>
          <w:rFonts w:ascii="ITC Avant Garde" w:hAnsi="ITC Avant Garde"/>
          <w:lang w:val="es-MX"/>
        </w:rPr>
        <w:t xml:space="preserve"> </w:t>
      </w:r>
      <w:r w:rsidR="00C73E49" w:rsidRPr="004C1A96">
        <w:rPr>
          <w:rFonts w:ascii="ITC Avant Garde" w:hAnsi="ITC Avant Garde"/>
          <w:lang w:val="es-MX"/>
        </w:rPr>
        <w:t xml:space="preserve">indirectos </w:t>
      </w:r>
      <w:r w:rsidRPr="004C1A96">
        <w:rPr>
          <w:rFonts w:ascii="ITC Avant Garde" w:hAnsi="ITC Avant Garde"/>
          <w:lang w:val="es-MX"/>
        </w:rPr>
        <w:t>se asignan en función de la capacidad utilizada por cada servicio de acuerdo con un factor de costo relevante (capacidad en la hora punta, por ejemplo);</w:t>
      </w:r>
    </w:p>
    <w:p w14:paraId="6D123CAB" w14:textId="77777777" w:rsidR="00724174" w:rsidRPr="004C1A96" w:rsidRDefault="00724174" w:rsidP="00C73E49">
      <w:pPr>
        <w:pStyle w:val="Listaconvietas2"/>
        <w:rPr>
          <w:rFonts w:ascii="ITC Avant Garde" w:hAnsi="ITC Avant Garde"/>
          <w:lang w:val="es-MX"/>
        </w:rPr>
      </w:pPr>
      <w:r w:rsidRPr="004C1A96">
        <w:rPr>
          <w:rFonts w:ascii="ITC Avant Garde" w:hAnsi="ITC Avant Garde"/>
          <w:lang w:val="es-MX"/>
        </w:rPr>
        <w:t>Shapley-Shubik</w:t>
      </w:r>
      <w:r w:rsidR="00C73E49" w:rsidRPr="004C1A96">
        <w:rPr>
          <w:rFonts w:ascii="ITC Avant Garde" w:hAnsi="ITC Avant Garde"/>
          <w:lang w:val="es-MX"/>
        </w:rPr>
        <w:t>:</w:t>
      </w:r>
      <w:r w:rsidRPr="004C1A96">
        <w:rPr>
          <w:rFonts w:ascii="ITC Avant Garde" w:hAnsi="ITC Avant Garde"/>
          <w:lang w:val="es-MX"/>
        </w:rPr>
        <w:t xml:space="preserve"> este método consiste en establecer que el costo de un servicio sea igual al promedio de los costos incrementales del servicio después de revisar cada posible orden de llegada del incremento;</w:t>
      </w:r>
    </w:p>
    <w:p w14:paraId="6FAE5C37" w14:textId="77777777" w:rsidR="00724174" w:rsidRPr="004C1A96" w:rsidRDefault="001177CC" w:rsidP="00C73E49">
      <w:pPr>
        <w:pStyle w:val="Listaconvietas2"/>
        <w:rPr>
          <w:rFonts w:ascii="ITC Avant Garde" w:hAnsi="ITC Avant Garde"/>
          <w:lang w:val="es-MX"/>
        </w:rPr>
      </w:pPr>
      <w:r w:rsidRPr="004C1A96">
        <w:rPr>
          <w:rFonts w:ascii="ITC Avant Garde" w:hAnsi="ITC Avant Garde"/>
          <w:lang w:val="es-MX"/>
        </w:rPr>
        <w:t xml:space="preserve">Precios </w:t>
      </w:r>
      <w:r w:rsidR="00F1012B" w:rsidRPr="004C1A96">
        <w:rPr>
          <w:rFonts w:ascii="ITC Avant Garde" w:hAnsi="ITC Avant Garde"/>
          <w:lang w:val="es-MX"/>
        </w:rPr>
        <w:t xml:space="preserve">de </w:t>
      </w:r>
      <w:r w:rsidR="00724174" w:rsidRPr="004C1A96">
        <w:rPr>
          <w:rFonts w:ascii="ITC Avant Garde" w:hAnsi="ITC Avant Garde"/>
          <w:lang w:val="es-MX"/>
        </w:rPr>
        <w:t>Ramsey, que consiste en atribuir los costos comunes a los diferentes servicios, en función del costo marginal de producción relativo de los servicios y la elasticidad del precio.</w:t>
      </w:r>
    </w:p>
    <w:p w14:paraId="0F1490B6" w14:textId="77777777" w:rsidR="00724174" w:rsidRPr="004C1A96" w:rsidRDefault="00724174" w:rsidP="00724174">
      <w:pPr>
        <w:rPr>
          <w:rFonts w:ascii="ITC Avant Garde" w:hAnsi="ITC Avant Garde"/>
          <w:lang w:val="es-MX"/>
        </w:rPr>
      </w:pPr>
      <w:r w:rsidRPr="004C1A96">
        <w:rPr>
          <w:rFonts w:ascii="ITC Avant Garde" w:hAnsi="ITC Avant Garde"/>
          <w:lang w:val="es-MX"/>
        </w:rPr>
        <w:t>Entre todos estos enfoques, el método de fijación de precios de Ramsey se percibe como el más relevante desde una perspectiva económica. Sin embargo, su complejidad y el alto nivel de datos involucrados en su cálculo limitan su uso en modelos de costos.</w:t>
      </w:r>
    </w:p>
    <w:p w14:paraId="23004ACB" w14:textId="77777777" w:rsidR="00724174" w:rsidRPr="004C1A96" w:rsidRDefault="00724174" w:rsidP="00724174">
      <w:pPr>
        <w:rPr>
          <w:rFonts w:ascii="ITC Avant Garde" w:hAnsi="ITC Avant Garde"/>
          <w:lang w:val="es-MX"/>
        </w:rPr>
      </w:pPr>
      <w:r w:rsidRPr="004C1A96">
        <w:rPr>
          <w:rFonts w:ascii="ITC Avant Garde" w:hAnsi="ITC Avant Garde"/>
          <w:lang w:val="es-MX"/>
        </w:rPr>
        <w:lastRenderedPageBreak/>
        <w:t xml:space="preserve">El método </w:t>
      </w:r>
      <w:r w:rsidR="00C73E49" w:rsidRPr="004C1A96">
        <w:rPr>
          <w:rFonts w:ascii="ITC Avant Garde" w:hAnsi="ITC Avant Garde"/>
          <w:lang w:val="es-MX"/>
        </w:rPr>
        <w:t>S</w:t>
      </w:r>
      <w:r w:rsidRPr="004C1A96">
        <w:rPr>
          <w:rFonts w:ascii="ITC Avant Garde" w:hAnsi="ITC Avant Garde"/>
          <w:lang w:val="es-MX"/>
        </w:rPr>
        <w:t>hapley-</w:t>
      </w:r>
      <w:r w:rsidR="00C73E49" w:rsidRPr="004C1A96">
        <w:rPr>
          <w:rFonts w:ascii="ITC Avant Garde" w:hAnsi="ITC Avant Garde"/>
          <w:lang w:val="es-MX"/>
        </w:rPr>
        <w:t>S</w:t>
      </w:r>
      <w:r w:rsidRPr="004C1A96">
        <w:rPr>
          <w:rFonts w:ascii="ITC Avant Garde" w:hAnsi="ITC Avant Garde"/>
          <w:lang w:val="es-MX"/>
        </w:rPr>
        <w:t>hubik se basa en las reglas de la teoría de juegos: consiste en establecer el costo de un servicio igual al promedio de los costos incrementales del servicio después de revisar cada posible orden de llegada del incremento. Esta regla de asignación de costos también se considera como un enfoque económicamente relevante y puede valer la pena considerarla porque brinda diferentes puntos de vista en comparación con las reglas técnicas tradicionales.</w:t>
      </w:r>
    </w:p>
    <w:p w14:paraId="5D421BD2" w14:textId="77777777" w:rsidR="00724174" w:rsidRPr="004C1A96" w:rsidRDefault="00724174" w:rsidP="00724174">
      <w:pPr>
        <w:rPr>
          <w:rFonts w:ascii="ITC Avant Garde" w:hAnsi="ITC Avant Garde"/>
          <w:lang w:val="es-MX"/>
        </w:rPr>
      </w:pPr>
      <w:r w:rsidRPr="004C1A96">
        <w:rPr>
          <w:rFonts w:ascii="ITC Avant Garde" w:hAnsi="ITC Avant Garde"/>
          <w:lang w:val="es-MX"/>
        </w:rPr>
        <w:t>Sin embargo, esta regla de asignación presenta dos dificultades:</w:t>
      </w:r>
    </w:p>
    <w:p w14:paraId="4C322B78" w14:textId="77777777" w:rsidR="00724174" w:rsidRPr="004C1A96" w:rsidRDefault="00C73E49" w:rsidP="00C73E49">
      <w:pPr>
        <w:pStyle w:val="Listaconvietas2"/>
        <w:rPr>
          <w:rFonts w:ascii="ITC Avant Garde" w:hAnsi="ITC Avant Garde"/>
          <w:lang w:val="es-MX"/>
        </w:rPr>
      </w:pPr>
      <w:r w:rsidRPr="004C1A96">
        <w:rPr>
          <w:rFonts w:ascii="ITC Avant Garde" w:hAnsi="ITC Avant Garde"/>
          <w:lang w:val="es-MX"/>
        </w:rPr>
        <w:t>R</w:t>
      </w:r>
      <w:r w:rsidR="00724174" w:rsidRPr="004C1A96">
        <w:rPr>
          <w:rFonts w:ascii="ITC Avant Garde" w:hAnsi="ITC Avant Garde"/>
          <w:lang w:val="es-MX"/>
        </w:rPr>
        <w:t>equiere una gran cantidad de cálculos que crece rápidamente dependiendo del número de incrementos que se deben considerar;</w:t>
      </w:r>
    </w:p>
    <w:p w14:paraId="3BBA6ED0" w14:textId="77777777" w:rsidR="00724174" w:rsidRPr="004C1A96" w:rsidRDefault="00724174" w:rsidP="00C73E49">
      <w:pPr>
        <w:pStyle w:val="Listaconvietas2"/>
        <w:rPr>
          <w:rFonts w:ascii="ITC Avant Garde" w:hAnsi="ITC Avant Garde"/>
          <w:lang w:val="es-MX"/>
        </w:rPr>
      </w:pPr>
      <w:r w:rsidRPr="004C1A96">
        <w:rPr>
          <w:rFonts w:ascii="ITC Avant Garde" w:hAnsi="ITC Avant Garde"/>
          <w:lang w:val="es-MX"/>
        </w:rPr>
        <w:t>Dado que la complejidad del enfoque crece más rápidamente con el número de incrementos, generalmente se consideran incrementos generales para simplificar el enfoque, tales como: incremento del servicio de voz, incremento de banda ancha, incremento de I</w:t>
      </w:r>
      <w:r w:rsidR="00F1012B" w:rsidRPr="004C1A96">
        <w:rPr>
          <w:rFonts w:ascii="ITC Avant Garde" w:hAnsi="ITC Avant Garde"/>
          <w:lang w:val="es-MX"/>
        </w:rPr>
        <w:t xml:space="preserve">nternet </w:t>
      </w:r>
      <w:r w:rsidRPr="004C1A96">
        <w:rPr>
          <w:rFonts w:ascii="ITC Avant Garde" w:hAnsi="ITC Avant Garde"/>
          <w:lang w:val="es-MX"/>
        </w:rPr>
        <w:t>P</w:t>
      </w:r>
      <w:r w:rsidR="00F1012B" w:rsidRPr="004C1A96">
        <w:rPr>
          <w:rFonts w:ascii="ITC Avant Garde" w:hAnsi="ITC Avant Garde"/>
          <w:lang w:val="es-MX"/>
        </w:rPr>
        <w:t xml:space="preserve">rotocol </w:t>
      </w:r>
      <w:r w:rsidRPr="004C1A96">
        <w:rPr>
          <w:rFonts w:ascii="ITC Avant Garde" w:hAnsi="ITC Avant Garde"/>
          <w:lang w:val="es-MX"/>
        </w:rPr>
        <w:t>T</w:t>
      </w:r>
      <w:r w:rsidR="00F1012B" w:rsidRPr="004C1A96">
        <w:rPr>
          <w:rFonts w:ascii="ITC Avant Garde" w:hAnsi="ITC Avant Garde"/>
          <w:lang w:val="es-MX"/>
        </w:rPr>
        <w:t>elevision</w:t>
      </w:r>
      <w:r w:rsidRPr="004C1A96">
        <w:rPr>
          <w:rFonts w:ascii="ITC Avant Garde" w:hAnsi="ITC Avant Garde"/>
          <w:lang w:val="es-MX"/>
        </w:rPr>
        <w:t xml:space="preserve"> y aumento de líneas arrendadas y servicios de datos. Con incrementos tan amplios, los enfoques tradicionales de asignación pueden seguir siendo necesarios para calcular los costos de servicios más pequeños (por ejemplo, para originar llamadas dentro del incremento de voz).</w:t>
      </w:r>
    </w:p>
    <w:p w14:paraId="7A3A01B1" w14:textId="77777777" w:rsidR="00724174" w:rsidRPr="004C1A96" w:rsidRDefault="00724174" w:rsidP="00724174">
      <w:pPr>
        <w:rPr>
          <w:rFonts w:ascii="ITC Avant Garde" w:hAnsi="ITC Avant Garde"/>
          <w:lang w:val="es-MX"/>
        </w:rPr>
      </w:pPr>
      <w:r w:rsidRPr="004C1A96">
        <w:rPr>
          <w:rFonts w:ascii="ITC Avant Garde" w:hAnsi="ITC Avant Garde"/>
          <w:lang w:val="es-MX"/>
        </w:rPr>
        <w:t>Alternativ</w:t>
      </w:r>
      <w:r w:rsidR="004B276B" w:rsidRPr="004C1A96">
        <w:rPr>
          <w:rFonts w:ascii="ITC Avant Garde" w:hAnsi="ITC Avant Garde"/>
          <w:lang w:val="es-MX"/>
        </w:rPr>
        <w:t>amente</w:t>
      </w:r>
      <w:r w:rsidRPr="004C1A96">
        <w:rPr>
          <w:rFonts w:ascii="ITC Avant Garde" w:hAnsi="ITC Avant Garde"/>
          <w:lang w:val="es-MX"/>
        </w:rPr>
        <w:t>, el método de capacidad efectiva, que pertenece a la familia de 'reglas proporcionales' es un enfoque técnico tradicional que también se usa comúnmente y permite tener una asignación de costos específica de un servicio a otro.</w:t>
      </w:r>
    </w:p>
    <w:p w14:paraId="5FE9BAB5" w14:textId="75B67C91" w:rsidR="00724174" w:rsidRPr="004C1A96" w:rsidRDefault="00724174" w:rsidP="00F07F31">
      <w:pPr>
        <w:rPr>
          <w:rFonts w:ascii="ITC Avant Garde" w:hAnsi="ITC Avant Garde"/>
          <w:lang w:val="es-MX"/>
        </w:rPr>
      </w:pPr>
      <w:r w:rsidRPr="004C1A96">
        <w:rPr>
          <w:rFonts w:ascii="ITC Avant Garde" w:hAnsi="ITC Avant Garde"/>
          <w:lang w:val="es-MX"/>
        </w:rPr>
        <w:t>Por otro lado, el enfoque EPMU es comúnmente utilizado como una solución considerablemente más práctica. Si bien este enfoque parece ser simple y práctico, también puede presentar algunas limitaciones, especialmente cuando los costos comunes y conjuntos representan una cantidad importante de la base de costos.</w:t>
      </w:r>
    </w:p>
    <w:p w14:paraId="24ACAD63" w14:textId="77777777" w:rsidR="00724174" w:rsidRPr="004C1A96" w:rsidRDefault="00724174" w:rsidP="00724174">
      <w:pPr>
        <w:rPr>
          <w:rFonts w:ascii="ITC Avant Garde" w:hAnsi="ITC Avant Garde"/>
          <w:lang w:val="es-MX"/>
        </w:rPr>
      </w:pPr>
      <w:r w:rsidRPr="004C1A96">
        <w:rPr>
          <w:rFonts w:ascii="ITC Avant Garde" w:hAnsi="ITC Avant Garde"/>
          <w:lang w:val="es-MX"/>
        </w:rPr>
        <w:t>En cuanto a</w:t>
      </w:r>
      <w:r w:rsidR="002C27B6" w:rsidRPr="004C1A96">
        <w:rPr>
          <w:rFonts w:ascii="ITC Avant Garde" w:hAnsi="ITC Avant Garde"/>
          <w:lang w:val="es-MX"/>
        </w:rPr>
        <w:t xml:space="preserve"> </w:t>
      </w:r>
      <w:r w:rsidRPr="004C1A96">
        <w:rPr>
          <w:rFonts w:ascii="ITC Avant Garde" w:hAnsi="ITC Avant Garde"/>
          <w:lang w:val="es-MX"/>
        </w:rPr>
        <w:t>l</w:t>
      </w:r>
      <w:r w:rsidR="002C27B6" w:rsidRPr="004C1A96">
        <w:rPr>
          <w:rFonts w:ascii="ITC Avant Garde" w:hAnsi="ITC Avant Garde"/>
          <w:lang w:val="es-MX"/>
        </w:rPr>
        <w:t>os</w:t>
      </w:r>
      <w:r w:rsidRPr="004C1A96">
        <w:rPr>
          <w:rFonts w:ascii="ITC Avant Garde" w:hAnsi="ITC Avant Garde"/>
          <w:lang w:val="es-MX"/>
        </w:rPr>
        <w:t xml:space="preserve"> costo</w:t>
      </w:r>
      <w:r w:rsidR="002C27B6" w:rsidRPr="004C1A96">
        <w:rPr>
          <w:rFonts w:ascii="ITC Avant Garde" w:hAnsi="ITC Avant Garde"/>
          <w:lang w:val="es-MX"/>
        </w:rPr>
        <w:t>s</w:t>
      </w:r>
      <w:r w:rsidRPr="004C1A96">
        <w:rPr>
          <w:rFonts w:ascii="ITC Avant Garde" w:hAnsi="ITC Avant Garde"/>
          <w:lang w:val="es-MX"/>
        </w:rPr>
        <w:t xml:space="preserve"> indirecto</w:t>
      </w:r>
      <w:r w:rsidR="002C27B6" w:rsidRPr="004C1A96">
        <w:rPr>
          <w:rFonts w:ascii="ITC Avant Garde" w:hAnsi="ITC Avant Garde"/>
          <w:lang w:val="es-MX"/>
        </w:rPr>
        <w:t>s</w:t>
      </w:r>
      <w:r w:rsidRPr="004C1A96">
        <w:rPr>
          <w:rFonts w:ascii="ITC Avant Garde" w:hAnsi="ITC Avant Garde"/>
          <w:lang w:val="es-MX"/>
        </w:rPr>
        <w:t xml:space="preserve"> de la red, </w:t>
      </w:r>
      <w:r w:rsidR="002C27B6" w:rsidRPr="004C1A96">
        <w:rPr>
          <w:rFonts w:ascii="ITC Avant Garde" w:hAnsi="ITC Avant Garde"/>
          <w:lang w:val="es-MX"/>
        </w:rPr>
        <w:t>cabe destacar</w:t>
      </w:r>
      <w:r w:rsidRPr="004C1A96">
        <w:rPr>
          <w:rFonts w:ascii="ITC Avant Garde" w:hAnsi="ITC Avant Garde"/>
          <w:lang w:val="es-MX"/>
        </w:rPr>
        <w:t xml:space="preserve"> que se han utilizado dos métodos diferentes para ambos modelos.</w:t>
      </w:r>
    </w:p>
    <w:p w14:paraId="0F847D91" w14:textId="1A7CF857" w:rsidR="00724174" w:rsidRPr="004C1A96" w:rsidRDefault="00724174" w:rsidP="00724174">
      <w:pPr>
        <w:rPr>
          <w:rFonts w:ascii="ITC Avant Garde" w:hAnsi="ITC Avant Garde"/>
          <w:lang w:val="es-MX"/>
        </w:rPr>
      </w:pPr>
      <w:r w:rsidRPr="004C1A96">
        <w:rPr>
          <w:rFonts w:ascii="ITC Avant Garde" w:hAnsi="ITC Avant Garde"/>
          <w:lang w:val="es-MX"/>
        </w:rPr>
        <w:t>Para el modelo de cobre, el enfoque EPMU se ha utilizado:</w:t>
      </w:r>
      <w:r w:rsidR="002C27B6" w:rsidRPr="004C1A96">
        <w:rPr>
          <w:rStyle w:val="Refdenotaalpie"/>
          <w:rFonts w:ascii="ITC Avant Garde" w:hAnsi="ITC Avant Garde"/>
          <w:lang w:val="es-MX" w:eastAsia="x-none"/>
        </w:rPr>
        <w:t xml:space="preserve"> </w:t>
      </w:r>
      <w:r w:rsidR="008B786E">
        <w:rPr>
          <w:rStyle w:val="Refdenotaalpie"/>
          <w:rFonts w:ascii="ITC Avant Garde" w:hAnsi="ITC Avant Garde"/>
          <w:lang w:val="es-MX" w:eastAsia="x-none"/>
        </w:rPr>
        <w:footnoteReference w:id="38"/>
      </w:r>
    </w:p>
    <w:p w14:paraId="68D1EBE8" w14:textId="77777777" w:rsidR="00724174" w:rsidRPr="00E14D8A" w:rsidRDefault="00724174" w:rsidP="00C73E49">
      <w:pPr>
        <w:ind w:left="567" w:right="565"/>
        <w:rPr>
          <w:rFonts w:ascii="ITC Avant Garde" w:hAnsi="ITC Avant Garde"/>
          <w:i/>
          <w:lang w:val="es-MX"/>
        </w:rPr>
      </w:pPr>
      <w:r w:rsidRPr="004C1A96">
        <w:rPr>
          <w:rFonts w:ascii="ITC Avant Garde" w:hAnsi="ITC Avant Garde"/>
          <w:i/>
          <w:lang w:val="es-MX"/>
        </w:rPr>
        <w:t xml:space="preserve">«Asignación de costos </w:t>
      </w:r>
      <w:r w:rsidR="004B276B" w:rsidRPr="004C1A96">
        <w:rPr>
          <w:rFonts w:ascii="ITC Avant Garde" w:hAnsi="ITC Avant Garde"/>
          <w:i/>
          <w:lang w:val="es-MX"/>
        </w:rPr>
        <w:t>comunes</w:t>
      </w:r>
      <w:r w:rsidRPr="00E14D8A">
        <w:rPr>
          <w:rFonts w:ascii="ITC Avant Garde" w:hAnsi="ITC Avant Garde"/>
          <w:i/>
          <w:lang w:val="es-MX"/>
        </w:rPr>
        <w:t xml:space="preserve"> [.</w:t>
      </w:r>
      <w:r w:rsidR="005828C0" w:rsidRPr="00E14D8A">
        <w:rPr>
          <w:rFonts w:ascii="ITC Avant Garde" w:hAnsi="ITC Avant Garde"/>
          <w:i/>
          <w:lang w:val="es-MX"/>
        </w:rPr>
        <w:t>.</w:t>
      </w:r>
      <w:r w:rsidRPr="00E14D8A">
        <w:rPr>
          <w:rFonts w:ascii="ITC Avant Garde" w:hAnsi="ITC Avant Garde"/>
          <w:i/>
          <w:lang w:val="es-MX"/>
        </w:rPr>
        <w:t>.] = EPMU;</w:t>
      </w:r>
    </w:p>
    <w:p w14:paraId="58540104" w14:textId="77777777" w:rsidR="00724174" w:rsidRPr="004C1A96" w:rsidRDefault="00724174" w:rsidP="00C73E49">
      <w:pPr>
        <w:ind w:left="567" w:right="565"/>
        <w:rPr>
          <w:rFonts w:ascii="ITC Avant Garde" w:hAnsi="ITC Avant Garde"/>
          <w:i/>
          <w:lang w:val="es-MX"/>
        </w:rPr>
      </w:pPr>
      <w:r w:rsidRPr="00E14D8A">
        <w:rPr>
          <w:rFonts w:ascii="ITC Avant Garde" w:hAnsi="ITC Avant Garde"/>
          <w:i/>
          <w:lang w:val="es-MX"/>
        </w:rPr>
        <w:t xml:space="preserve">Los costos comunes son recuperados como un recargo, esto es de forma proporcional a los costos totales sin </w:t>
      </w:r>
      <w:r w:rsidR="004B276B" w:rsidRPr="004C1A96">
        <w:rPr>
          <w:rFonts w:ascii="ITC Avant Garde" w:hAnsi="ITC Avant Garde"/>
          <w:i/>
          <w:lang w:val="es-MX"/>
        </w:rPr>
        <w:t>recargos»</w:t>
      </w:r>
    </w:p>
    <w:p w14:paraId="29B7D936" w14:textId="061DBED0" w:rsidR="00724174" w:rsidRPr="004C1A96" w:rsidRDefault="00724174" w:rsidP="00724174">
      <w:pPr>
        <w:rPr>
          <w:rFonts w:ascii="ITC Avant Garde" w:hAnsi="ITC Avant Garde"/>
          <w:lang w:val="es-MX"/>
        </w:rPr>
      </w:pPr>
      <w:r w:rsidRPr="004C1A96">
        <w:rPr>
          <w:rFonts w:ascii="ITC Avant Garde" w:hAnsi="ITC Avant Garde"/>
          <w:lang w:val="es-MX"/>
        </w:rPr>
        <w:t xml:space="preserve">Por otro lado, en el modelo de costo de fibra, el método utilizado para </w:t>
      </w:r>
      <w:r w:rsidR="002C27B6" w:rsidRPr="004C1A96">
        <w:rPr>
          <w:rFonts w:ascii="ITC Avant Garde" w:hAnsi="ITC Avant Garde"/>
          <w:lang w:val="es-MX"/>
        </w:rPr>
        <w:t>los OPEX</w:t>
      </w:r>
      <w:r w:rsidRPr="004C1A96">
        <w:rPr>
          <w:rFonts w:ascii="ITC Avant Garde" w:hAnsi="ITC Avant Garde"/>
          <w:lang w:val="es-MX"/>
        </w:rPr>
        <w:t xml:space="preserve"> </w:t>
      </w:r>
      <w:r w:rsidR="002C27B6" w:rsidRPr="004C1A96">
        <w:rPr>
          <w:rFonts w:ascii="ITC Avant Garde" w:hAnsi="ITC Avant Garde"/>
          <w:lang w:val="es-MX"/>
        </w:rPr>
        <w:t xml:space="preserve">de red </w:t>
      </w:r>
      <w:r w:rsidRPr="004C1A96">
        <w:rPr>
          <w:rFonts w:ascii="ITC Avant Garde" w:hAnsi="ITC Avant Garde"/>
          <w:lang w:val="es-MX"/>
        </w:rPr>
        <w:t xml:space="preserve">es el enfoque de </w:t>
      </w:r>
      <w:r w:rsidR="00A14090" w:rsidRPr="004C1A96">
        <w:rPr>
          <w:rFonts w:ascii="ITC Avant Garde" w:hAnsi="ITC Avant Garde"/>
          <w:lang w:val="es-MX"/>
        </w:rPr>
        <w:t>c</w:t>
      </w:r>
      <w:r w:rsidRPr="004C1A96">
        <w:rPr>
          <w:rFonts w:ascii="ITC Avant Garde" w:hAnsi="ITC Avant Garde"/>
          <w:lang w:val="es-MX"/>
        </w:rPr>
        <w:t>apacidad efectiva:</w:t>
      </w:r>
      <w:r w:rsidR="002C27B6" w:rsidRPr="004C1A96">
        <w:rPr>
          <w:rStyle w:val="Refdenotaalpie"/>
          <w:rFonts w:ascii="ITC Avant Garde" w:hAnsi="ITC Avant Garde"/>
          <w:lang w:val="es-MX"/>
        </w:rPr>
        <w:t xml:space="preserve"> </w:t>
      </w:r>
      <w:r w:rsidR="008B786E">
        <w:rPr>
          <w:rStyle w:val="Refdenotaalpie"/>
          <w:rFonts w:ascii="ITC Avant Garde" w:hAnsi="ITC Avant Garde"/>
          <w:lang w:val="es-MX"/>
        </w:rPr>
        <w:footnoteReference w:id="39"/>
      </w:r>
    </w:p>
    <w:p w14:paraId="0D14AF88" w14:textId="77777777" w:rsidR="00724174" w:rsidRPr="00E14D8A" w:rsidRDefault="00724174" w:rsidP="00C73E49">
      <w:pPr>
        <w:ind w:left="567" w:right="565"/>
        <w:rPr>
          <w:rFonts w:ascii="ITC Avant Garde" w:hAnsi="ITC Avant Garde"/>
          <w:i/>
          <w:lang w:val="es-MX"/>
        </w:rPr>
      </w:pPr>
      <w:r w:rsidRPr="004C1A96">
        <w:rPr>
          <w:rFonts w:ascii="ITC Avant Garde" w:hAnsi="ITC Avant Garde"/>
          <w:i/>
          <w:lang w:val="es-MX"/>
        </w:rPr>
        <w:lastRenderedPageBreak/>
        <w:t xml:space="preserve">«La metodología de Capacidad Requerida, por otro </w:t>
      </w:r>
      <w:r w:rsidR="004B276B" w:rsidRPr="004C1A96">
        <w:rPr>
          <w:rFonts w:ascii="ITC Avant Garde" w:hAnsi="ITC Avant Garde"/>
          <w:i/>
          <w:lang w:val="es-MX"/>
        </w:rPr>
        <w:t>lado,</w:t>
      </w:r>
      <w:r w:rsidRPr="00E14D8A">
        <w:rPr>
          <w:rFonts w:ascii="ITC Avant Garde" w:hAnsi="ITC Avant Garde"/>
          <w:i/>
          <w:lang w:val="es-MX"/>
        </w:rPr>
        <w:t xml:space="preserve"> equilibra, entre complejidad de implementación y causalidad del reparto. Es por esto que esta última metodología se considera más adecuada para el reparto de los costos comunes de la red de acceso. "</w:t>
      </w:r>
    </w:p>
    <w:p w14:paraId="6D9EAFBF" w14:textId="04956C85" w:rsidR="00724174" w:rsidRPr="004C1A96" w:rsidRDefault="00724174" w:rsidP="00724174">
      <w:pPr>
        <w:rPr>
          <w:rFonts w:ascii="ITC Avant Garde" w:hAnsi="ITC Avant Garde"/>
          <w:lang w:val="es-MX"/>
        </w:rPr>
      </w:pPr>
      <w:r w:rsidRPr="00E14D8A">
        <w:rPr>
          <w:rFonts w:ascii="ITC Avant Garde" w:hAnsi="ITC Avant Garde"/>
          <w:lang w:val="es-MX"/>
        </w:rPr>
        <w:t>Con respecto al costo indirecto no relacionado con la red, el método de asignación de costos EPMU se adopta en el modelo de costo de fibra:</w:t>
      </w:r>
      <w:r w:rsidR="002C27B6" w:rsidRPr="004C1A96">
        <w:rPr>
          <w:rStyle w:val="Refdenotaalpie"/>
          <w:rFonts w:ascii="ITC Avant Garde" w:hAnsi="ITC Avant Garde"/>
          <w:lang w:val="es-MX" w:eastAsia="x-none"/>
        </w:rPr>
        <w:t xml:space="preserve"> </w:t>
      </w:r>
      <w:r w:rsidR="008664E8">
        <w:rPr>
          <w:rStyle w:val="Refdenotaalpie"/>
          <w:rFonts w:ascii="ITC Avant Garde" w:hAnsi="ITC Avant Garde"/>
          <w:lang w:val="es-MX" w:eastAsia="x-none"/>
        </w:rPr>
        <w:footnoteReference w:id="40"/>
      </w:r>
    </w:p>
    <w:p w14:paraId="7BC92D31" w14:textId="77777777" w:rsidR="00724174" w:rsidRPr="004C1A96" w:rsidRDefault="00724174" w:rsidP="00C73E49">
      <w:pPr>
        <w:ind w:left="567" w:right="565"/>
        <w:rPr>
          <w:rFonts w:ascii="ITC Avant Garde" w:hAnsi="ITC Avant Garde"/>
          <w:i/>
          <w:lang w:val="es-MX"/>
        </w:rPr>
      </w:pPr>
      <w:r w:rsidRPr="004C1A96">
        <w:rPr>
          <w:rFonts w:ascii="ITC Avant Garde" w:hAnsi="ITC Avant Garde"/>
          <w:i/>
          <w:lang w:val="es-MX"/>
        </w:rPr>
        <w:t>«Adoptado. Asignación de costos no comunes de rojo</w:t>
      </w:r>
    </w:p>
    <w:p w14:paraId="6FD7A5E9" w14:textId="77777777" w:rsidR="00724174" w:rsidRPr="00E14D8A" w:rsidRDefault="00724174" w:rsidP="00C73E49">
      <w:pPr>
        <w:ind w:left="567" w:right="565"/>
        <w:rPr>
          <w:rFonts w:ascii="ITC Avant Garde" w:hAnsi="ITC Avant Garde"/>
          <w:i/>
          <w:lang w:val="es-MX"/>
        </w:rPr>
      </w:pPr>
      <w:r w:rsidRPr="00E14D8A">
        <w:rPr>
          <w:rFonts w:ascii="ITC Avant Garde" w:hAnsi="ITC Avant Garde"/>
          <w:i/>
          <w:lang w:val="es-MX"/>
        </w:rPr>
        <w:t xml:space="preserve">Se usa un enfoque EPMU para la asignación de </w:t>
      </w:r>
      <w:r w:rsidR="004B276B" w:rsidRPr="00E14D8A">
        <w:rPr>
          <w:rFonts w:ascii="ITC Avant Garde" w:hAnsi="ITC Avant Garde"/>
          <w:i/>
          <w:lang w:val="es-MX"/>
        </w:rPr>
        <w:t>costos»</w:t>
      </w:r>
    </w:p>
    <w:p w14:paraId="3F04D840" w14:textId="77777777" w:rsidR="002C27B6" w:rsidRPr="00E14D8A" w:rsidRDefault="002C27B6" w:rsidP="00724174">
      <w:pPr>
        <w:rPr>
          <w:rFonts w:ascii="ITC Avant Garde" w:hAnsi="ITC Avant Garde"/>
          <w:lang w:val="es-MX"/>
        </w:rPr>
      </w:pPr>
    </w:p>
    <w:p w14:paraId="37E8EBCA" w14:textId="77777777" w:rsidR="00724174" w:rsidRPr="004C1A96" w:rsidRDefault="00724174" w:rsidP="00724174">
      <w:pPr>
        <w:rPr>
          <w:rFonts w:ascii="ITC Avant Garde" w:hAnsi="ITC Avant Garde"/>
          <w:lang w:val="es-MX"/>
        </w:rPr>
      </w:pPr>
      <w:r w:rsidRPr="004C1A96">
        <w:rPr>
          <w:rFonts w:ascii="ITC Avant Garde" w:hAnsi="ITC Avant Garde"/>
          <w:lang w:val="es-MX"/>
        </w:rPr>
        <w:t>El mismo enfoque se usa en el modelo de cobre.</w:t>
      </w:r>
    </w:p>
    <w:p w14:paraId="0CD96F00" w14:textId="55C55922" w:rsidR="00724174" w:rsidRPr="004C1A96" w:rsidRDefault="00724174" w:rsidP="002C27B6">
      <w:pPr>
        <w:pStyle w:val="Encadr3"/>
        <w:rPr>
          <w:rFonts w:ascii="ITC Avant Garde" w:hAnsi="ITC Avant Garde"/>
          <w:lang w:val="es-MX"/>
        </w:rPr>
      </w:pPr>
      <w:r w:rsidRPr="004C1A96">
        <w:rPr>
          <w:rFonts w:ascii="ITC Avant Garde" w:hAnsi="ITC Avant Garde"/>
          <w:lang w:val="es-MX"/>
        </w:rPr>
        <w:t xml:space="preserve">Criterio </w:t>
      </w:r>
      <w:r w:rsidR="00F9290D" w:rsidRPr="004C1A96">
        <w:rPr>
          <w:rFonts w:ascii="ITC Avant Garde" w:hAnsi="ITC Avant Garde"/>
          <w:lang w:val="es-MX"/>
        </w:rPr>
        <w:t>28</w:t>
      </w:r>
      <w:r w:rsidRPr="004C1A96">
        <w:rPr>
          <w:rFonts w:ascii="ITC Avant Garde" w:hAnsi="ITC Avant Garde"/>
          <w:lang w:val="es-MX"/>
        </w:rPr>
        <w:t>: l</w:t>
      </w:r>
      <w:r w:rsidR="002C27B6" w:rsidRPr="004C1A96">
        <w:rPr>
          <w:rFonts w:ascii="ITC Avant Garde" w:hAnsi="ITC Avant Garde"/>
          <w:lang w:val="es-MX"/>
        </w:rPr>
        <w:t>os OPEX de</w:t>
      </w:r>
      <w:r w:rsidRPr="004C1A96">
        <w:rPr>
          <w:rFonts w:ascii="ITC Avant Garde" w:hAnsi="ITC Avant Garde"/>
          <w:lang w:val="es-MX"/>
        </w:rPr>
        <w:t xml:space="preserve"> red </w:t>
      </w:r>
      <w:r w:rsidR="009F5817" w:rsidRPr="004C1A96">
        <w:rPr>
          <w:rFonts w:ascii="ITC Avant Garde" w:hAnsi="ITC Avant Garde"/>
          <w:lang w:val="es-MX"/>
        </w:rPr>
        <w:t>indirectos,</w:t>
      </w:r>
      <w:r w:rsidR="00C53D5E" w:rsidRPr="004C1A96">
        <w:rPr>
          <w:rFonts w:ascii="ITC Avant Garde" w:hAnsi="ITC Avant Garde"/>
          <w:lang w:val="es-MX"/>
        </w:rPr>
        <w:t xml:space="preserve"> así</w:t>
      </w:r>
      <w:r w:rsidR="002C27B6" w:rsidRPr="004C1A96">
        <w:rPr>
          <w:rFonts w:ascii="ITC Avant Garde" w:hAnsi="ITC Avant Garde"/>
          <w:lang w:val="es-MX"/>
        </w:rPr>
        <w:t xml:space="preserve"> como los OPEX </w:t>
      </w:r>
      <w:r w:rsidRPr="004C1A96">
        <w:rPr>
          <w:rFonts w:ascii="ITC Avant Garde" w:hAnsi="ITC Avant Garde"/>
          <w:lang w:val="es-MX"/>
        </w:rPr>
        <w:t xml:space="preserve">no </w:t>
      </w:r>
      <w:r w:rsidR="002C27B6" w:rsidRPr="004C1A96">
        <w:rPr>
          <w:rFonts w:ascii="ITC Avant Garde" w:hAnsi="ITC Avant Garde"/>
          <w:lang w:val="es-MX"/>
        </w:rPr>
        <w:t xml:space="preserve">relacionados con la </w:t>
      </w:r>
      <w:r w:rsidRPr="004C1A96">
        <w:rPr>
          <w:rFonts w:ascii="ITC Avant Garde" w:hAnsi="ITC Avant Garde"/>
          <w:lang w:val="es-MX"/>
        </w:rPr>
        <w:t xml:space="preserve">red se </w:t>
      </w:r>
      <w:r w:rsidR="00F07F31" w:rsidRPr="004C1A96">
        <w:rPr>
          <w:rFonts w:ascii="ITC Avant Garde" w:hAnsi="ITC Avant Garde"/>
          <w:lang w:val="es-MX"/>
        </w:rPr>
        <w:t>evalúan</w:t>
      </w:r>
      <w:r w:rsidR="005E4098" w:rsidRPr="004C1A96">
        <w:rPr>
          <w:rFonts w:ascii="ITC Avant Garde" w:hAnsi="ITC Avant Garde"/>
          <w:lang w:val="es-MX"/>
        </w:rPr>
        <w:t xml:space="preserve"> </w:t>
      </w:r>
      <w:r w:rsidRPr="004C1A96">
        <w:rPr>
          <w:rFonts w:ascii="ITC Avant Garde" w:hAnsi="ITC Avant Garde"/>
          <w:lang w:val="es-MX"/>
        </w:rPr>
        <w:t xml:space="preserve">a través de un enfoque </w:t>
      </w:r>
      <w:r w:rsidR="002C27B6" w:rsidRPr="004C1A96">
        <w:rPr>
          <w:rFonts w:ascii="ITC Avant Garde" w:hAnsi="ITC Avant Garde"/>
          <w:lang w:val="es-MX"/>
        </w:rPr>
        <w:t>Top Down</w:t>
      </w:r>
      <w:r w:rsidRPr="004C1A96">
        <w:rPr>
          <w:rFonts w:ascii="ITC Avant Garde" w:hAnsi="ITC Avant Garde"/>
          <w:lang w:val="es-MX"/>
        </w:rPr>
        <w:t xml:space="preserve">. </w:t>
      </w:r>
      <w:r w:rsidR="002C27B6" w:rsidRPr="004C1A96">
        <w:rPr>
          <w:rFonts w:ascii="ITC Avant Garde" w:hAnsi="ITC Avant Garde"/>
          <w:lang w:val="es-MX"/>
        </w:rPr>
        <w:t xml:space="preserve">Una asignación </w:t>
      </w:r>
      <w:r w:rsidRPr="004C1A96">
        <w:rPr>
          <w:rFonts w:ascii="ITC Avant Garde" w:hAnsi="ITC Avant Garde"/>
          <w:lang w:val="es-MX"/>
        </w:rPr>
        <w:t>proporcional EPMU se usará en el modelo.</w:t>
      </w:r>
    </w:p>
    <w:p w14:paraId="0C84086D" w14:textId="77777777" w:rsidR="00724174" w:rsidRPr="003C224B" w:rsidRDefault="00A14090" w:rsidP="0040723E">
      <w:pPr>
        <w:pStyle w:val="Ttulo3"/>
      </w:pPr>
      <w:bookmarkStart w:id="162" w:name="_Toc525665288"/>
      <w:bookmarkStart w:id="163" w:name="_Toc525665667"/>
      <w:bookmarkStart w:id="164" w:name="_Toc141975025"/>
      <w:r w:rsidRPr="003C224B">
        <w:t>C</w:t>
      </w:r>
      <w:r w:rsidR="00724174" w:rsidRPr="003C224B">
        <w:t xml:space="preserve">osto del capital </w:t>
      </w:r>
      <w:r w:rsidR="008C2FF5" w:rsidRPr="003C224B">
        <w:t>circulante</w:t>
      </w:r>
      <w:bookmarkEnd w:id="162"/>
      <w:bookmarkEnd w:id="163"/>
      <w:bookmarkEnd w:id="164"/>
    </w:p>
    <w:p w14:paraId="404404A1" w14:textId="1A641983" w:rsidR="00724174" w:rsidRPr="004C1A96" w:rsidRDefault="00724174" w:rsidP="00724174">
      <w:pPr>
        <w:rPr>
          <w:rFonts w:ascii="ITC Avant Garde" w:hAnsi="ITC Avant Garde"/>
          <w:lang w:val="es-MX"/>
        </w:rPr>
      </w:pPr>
      <w:r w:rsidRPr="004C1A96">
        <w:rPr>
          <w:rFonts w:ascii="ITC Avant Garde" w:hAnsi="ITC Avant Garde"/>
          <w:lang w:val="es-MX"/>
        </w:rPr>
        <w:t xml:space="preserve">La actividad de un operador de comunicaciones electrónicas requiere </w:t>
      </w:r>
      <w:r w:rsidR="002C27B6" w:rsidRPr="004C1A96">
        <w:rPr>
          <w:rFonts w:ascii="ITC Avant Garde" w:hAnsi="ITC Avant Garde"/>
          <w:lang w:val="es-MX"/>
        </w:rPr>
        <w:t>(</w:t>
      </w:r>
      <w:r w:rsidRPr="004C1A96">
        <w:rPr>
          <w:rFonts w:ascii="ITC Avant Garde" w:hAnsi="ITC Avant Garde"/>
          <w:lang w:val="es-MX"/>
        </w:rPr>
        <w:t>o genera</w:t>
      </w:r>
      <w:r w:rsidR="002C27B6" w:rsidRPr="00E14D8A">
        <w:rPr>
          <w:rFonts w:ascii="ITC Avant Garde" w:hAnsi="ITC Avant Garde"/>
          <w:lang w:val="es-MX"/>
        </w:rPr>
        <w:t>) salidas (o entradas) de</w:t>
      </w:r>
      <w:r w:rsidRPr="00E14D8A">
        <w:rPr>
          <w:rFonts w:ascii="ITC Avant Garde" w:hAnsi="ITC Avant Garde"/>
          <w:lang w:val="es-MX"/>
        </w:rPr>
        <w:t xml:space="preserve"> efectivo para las operaciones diarias: esta cantidad de efectivo se define como "capital </w:t>
      </w:r>
      <w:r w:rsidR="008C2FF5" w:rsidRPr="00E14D8A">
        <w:rPr>
          <w:rFonts w:ascii="ITC Avant Garde" w:hAnsi="ITC Avant Garde"/>
          <w:lang w:val="es-MX"/>
        </w:rPr>
        <w:t>circulante</w:t>
      </w:r>
      <w:r w:rsidRPr="00E14D8A">
        <w:rPr>
          <w:rFonts w:ascii="ITC Avant Garde" w:hAnsi="ITC Avant Garde"/>
          <w:lang w:val="es-MX"/>
        </w:rPr>
        <w:t>. Consiste en el saldo neto de los usos operativos y las fuentes de fondos, que pueden ser positivos o negativos. En el día a día, puede haber un retraso entre el día en que se incurre en un costo y el momento en que se generan los ingresos destin</w:t>
      </w:r>
      <w:r w:rsidRPr="004C1A96">
        <w:rPr>
          <w:rFonts w:ascii="ITC Avant Garde" w:hAnsi="ITC Avant Garde"/>
          <w:lang w:val="es-MX"/>
        </w:rPr>
        <w:t>ados a recuperar este costo.</w:t>
      </w:r>
    </w:p>
    <w:p w14:paraId="0C7275D3" w14:textId="77777777" w:rsidR="00724174" w:rsidRPr="004C1A96" w:rsidRDefault="00724174" w:rsidP="00724174">
      <w:pPr>
        <w:rPr>
          <w:rFonts w:ascii="ITC Avant Garde" w:hAnsi="ITC Avant Garde"/>
          <w:lang w:val="es-MX"/>
        </w:rPr>
      </w:pPr>
      <w:r w:rsidRPr="004C1A96">
        <w:rPr>
          <w:rFonts w:ascii="ITC Avant Garde" w:hAnsi="ITC Avant Garde"/>
          <w:lang w:val="es-MX"/>
        </w:rPr>
        <w:t xml:space="preserve">El capital de </w:t>
      </w:r>
      <w:r w:rsidR="008C2FF5" w:rsidRPr="004C1A96">
        <w:rPr>
          <w:rFonts w:ascii="ITC Avant Garde" w:hAnsi="ITC Avant Garde"/>
          <w:lang w:val="es-MX"/>
        </w:rPr>
        <w:t>circulante</w:t>
      </w:r>
      <w:r w:rsidRPr="004C1A96">
        <w:rPr>
          <w:rFonts w:ascii="ITC Avant Garde" w:hAnsi="ITC Avant Garde"/>
          <w:lang w:val="es-MX"/>
        </w:rPr>
        <w:t xml:space="preserve"> puede generar ingresos (a través de intereses) cuando sea positivo. Pero también puede generar costos financieros para el operador cuando sea negativo. Es posible que estos ingresos y costos financieros deban tenerse en cuenta en los modelos de costos. El costo del capital </w:t>
      </w:r>
      <w:r w:rsidR="008C2FF5" w:rsidRPr="004C1A96">
        <w:rPr>
          <w:rFonts w:ascii="ITC Avant Garde" w:hAnsi="ITC Avant Garde"/>
          <w:lang w:val="es-MX"/>
        </w:rPr>
        <w:t>circulante</w:t>
      </w:r>
      <w:r w:rsidRPr="004C1A96">
        <w:rPr>
          <w:rFonts w:ascii="ITC Avant Garde" w:hAnsi="ITC Avant Garde"/>
          <w:lang w:val="es-MX"/>
        </w:rPr>
        <w:t xml:space="preserve"> </w:t>
      </w:r>
      <w:r w:rsidR="008C2FF5" w:rsidRPr="004C1A96">
        <w:rPr>
          <w:rFonts w:ascii="ITC Avant Garde" w:hAnsi="ITC Avant Garde"/>
          <w:lang w:val="es-MX"/>
        </w:rPr>
        <w:t xml:space="preserve">se deriva como la </w:t>
      </w:r>
      <w:r w:rsidR="00C53D5E" w:rsidRPr="004C1A96">
        <w:rPr>
          <w:rFonts w:ascii="ITC Avant Garde" w:hAnsi="ITC Avant Garde"/>
          <w:lang w:val="es-MX"/>
        </w:rPr>
        <w:t>diferencia</w:t>
      </w:r>
      <w:r w:rsidR="008C2FF5" w:rsidRPr="004C1A96">
        <w:rPr>
          <w:rFonts w:ascii="ITC Avant Garde" w:hAnsi="ITC Avant Garde"/>
          <w:lang w:val="es-MX"/>
        </w:rPr>
        <w:t xml:space="preserve"> entre</w:t>
      </w:r>
      <w:r w:rsidRPr="004C1A96">
        <w:rPr>
          <w:rFonts w:ascii="ITC Avant Garde" w:hAnsi="ITC Avant Garde"/>
          <w:lang w:val="es-MX"/>
        </w:rPr>
        <w:t xml:space="preserve"> los activos corrientes</w:t>
      </w:r>
      <w:r w:rsidR="000A1C06" w:rsidRPr="004C1A96">
        <w:rPr>
          <w:rFonts w:ascii="ITC Avant Garde" w:hAnsi="ITC Avant Garde"/>
          <w:lang w:val="es-MX"/>
        </w:rPr>
        <w:t xml:space="preserve"> </w:t>
      </w:r>
      <w:r w:rsidR="008C2FF5" w:rsidRPr="004C1A96">
        <w:rPr>
          <w:rFonts w:ascii="ITC Avant Garde" w:hAnsi="ITC Avant Garde"/>
          <w:lang w:val="es-MX"/>
        </w:rPr>
        <w:t>y</w:t>
      </w:r>
      <w:r w:rsidRPr="004C1A96">
        <w:rPr>
          <w:rFonts w:ascii="ITC Avant Garde" w:hAnsi="ITC Avant Garde"/>
          <w:lang w:val="es-MX"/>
        </w:rPr>
        <w:t xml:space="preserve"> los pasivos corrientes</w:t>
      </w:r>
      <w:r w:rsidR="008C2FF5" w:rsidRPr="004C1A96">
        <w:rPr>
          <w:rFonts w:ascii="ITC Avant Garde" w:hAnsi="ITC Avant Garde"/>
          <w:lang w:val="es-MX"/>
        </w:rPr>
        <w:t xml:space="preserve"> (la diferencia es el capital circulante), que se</w:t>
      </w:r>
      <w:r w:rsidRPr="004C1A96">
        <w:rPr>
          <w:rFonts w:ascii="ITC Avant Garde" w:hAnsi="ITC Avant Garde"/>
          <w:lang w:val="es-MX"/>
        </w:rPr>
        <w:t xml:space="preserve"> multiplica por el WACC </w:t>
      </w:r>
      <w:r w:rsidR="008C2FF5" w:rsidRPr="004C1A96">
        <w:rPr>
          <w:rFonts w:ascii="ITC Avant Garde" w:hAnsi="ITC Avant Garde"/>
          <w:lang w:val="es-MX"/>
        </w:rPr>
        <w:t xml:space="preserve">para obtener el costo del </w:t>
      </w:r>
      <w:r w:rsidR="00C53D5E" w:rsidRPr="004C1A96">
        <w:rPr>
          <w:rFonts w:ascii="ITC Avant Garde" w:hAnsi="ITC Avant Garde"/>
          <w:lang w:val="es-MX"/>
        </w:rPr>
        <w:t>capital circulante</w:t>
      </w:r>
      <w:r w:rsidRPr="004C1A96">
        <w:rPr>
          <w:rFonts w:ascii="ITC Avant Garde" w:hAnsi="ITC Avant Garde"/>
          <w:lang w:val="es-MX"/>
        </w:rPr>
        <w:t>.</w:t>
      </w:r>
    </w:p>
    <w:p w14:paraId="1E1ED142" w14:textId="77777777" w:rsidR="00724174" w:rsidRPr="004C1A96" w:rsidRDefault="00724174" w:rsidP="00724174">
      <w:pPr>
        <w:rPr>
          <w:rFonts w:ascii="ITC Avant Garde" w:hAnsi="ITC Avant Garde"/>
          <w:lang w:val="es-MX"/>
        </w:rPr>
      </w:pPr>
      <w:r w:rsidRPr="004C1A96">
        <w:rPr>
          <w:rFonts w:ascii="ITC Avant Garde" w:hAnsi="ITC Avant Garde"/>
          <w:lang w:val="es-MX"/>
        </w:rPr>
        <w:t xml:space="preserve">Un operador de telecomunicaciones enfrenta diferentes tipos de costos que pueden generar capital </w:t>
      </w:r>
      <w:r w:rsidR="008C2FF5" w:rsidRPr="004C1A96">
        <w:rPr>
          <w:rFonts w:ascii="ITC Avant Garde" w:hAnsi="ITC Avant Garde"/>
          <w:lang w:val="es-MX"/>
        </w:rPr>
        <w:t>circulante</w:t>
      </w:r>
      <w:r w:rsidRPr="004C1A96">
        <w:rPr>
          <w:rFonts w:ascii="ITC Avant Garde" w:hAnsi="ITC Avant Garde"/>
          <w:lang w:val="es-MX"/>
        </w:rPr>
        <w:t>:</w:t>
      </w:r>
    </w:p>
    <w:p w14:paraId="1F4E8DE5" w14:textId="77777777" w:rsidR="00724174" w:rsidRPr="004C1A96" w:rsidRDefault="00724174" w:rsidP="008C2FF5">
      <w:pPr>
        <w:pStyle w:val="Listaconvietas2"/>
        <w:rPr>
          <w:rFonts w:ascii="ITC Avant Garde" w:hAnsi="ITC Avant Garde"/>
          <w:lang w:val="es-MX"/>
        </w:rPr>
      </w:pPr>
      <w:r w:rsidRPr="004C1A96">
        <w:rPr>
          <w:rFonts w:ascii="ITC Avant Garde" w:hAnsi="ITC Avant Garde"/>
          <w:lang w:val="es-MX"/>
        </w:rPr>
        <w:t>Capex de red;</w:t>
      </w:r>
    </w:p>
    <w:p w14:paraId="23A65785" w14:textId="77777777" w:rsidR="00724174" w:rsidRPr="004C1A96" w:rsidRDefault="00724174" w:rsidP="008C2FF5">
      <w:pPr>
        <w:pStyle w:val="Listaconvietas2"/>
        <w:rPr>
          <w:rFonts w:ascii="ITC Avant Garde" w:hAnsi="ITC Avant Garde"/>
          <w:lang w:val="es-MX"/>
        </w:rPr>
      </w:pPr>
      <w:r w:rsidRPr="004C1A96">
        <w:rPr>
          <w:rFonts w:ascii="ITC Avant Garde" w:hAnsi="ITC Avant Garde"/>
          <w:lang w:val="es-MX"/>
        </w:rPr>
        <w:t xml:space="preserve">Opex </w:t>
      </w:r>
      <w:r w:rsidR="008C2FF5" w:rsidRPr="004C1A96">
        <w:rPr>
          <w:rFonts w:ascii="ITC Avant Garde" w:hAnsi="ITC Avant Garde"/>
          <w:lang w:val="es-MX"/>
        </w:rPr>
        <w:t>de red</w:t>
      </w:r>
      <w:r w:rsidRPr="004C1A96">
        <w:rPr>
          <w:rFonts w:ascii="ITC Avant Garde" w:hAnsi="ITC Avant Garde"/>
          <w:lang w:val="es-MX"/>
        </w:rPr>
        <w:t>.</w:t>
      </w:r>
    </w:p>
    <w:p w14:paraId="3F784E2D" w14:textId="77777777" w:rsidR="00724174" w:rsidRPr="004C1A96" w:rsidRDefault="00724174" w:rsidP="00724174">
      <w:pPr>
        <w:rPr>
          <w:rFonts w:ascii="ITC Avant Garde" w:hAnsi="ITC Avant Garde"/>
          <w:lang w:val="es-MX"/>
        </w:rPr>
      </w:pPr>
      <w:r w:rsidRPr="004C1A96">
        <w:rPr>
          <w:rFonts w:ascii="ITC Avant Garde" w:hAnsi="ITC Avant Garde"/>
          <w:lang w:val="es-MX"/>
        </w:rPr>
        <w:t xml:space="preserve">Los problemas de capital </w:t>
      </w:r>
      <w:r w:rsidR="008C2FF5" w:rsidRPr="004C1A96">
        <w:rPr>
          <w:rFonts w:ascii="ITC Avant Garde" w:hAnsi="ITC Avant Garde"/>
          <w:lang w:val="es-MX"/>
        </w:rPr>
        <w:t>circulante</w:t>
      </w:r>
      <w:r w:rsidRPr="004C1A96">
        <w:rPr>
          <w:rFonts w:ascii="ITC Avant Garde" w:hAnsi="ITC Avant Garde"/>
          <w:lang w:val="es-MX"/>
        </w:rPr>
        <w:t xml:space="preserve"> generados por estos costos se analizan en detalle a continuación.</w:t>
      </w:r>
    </w:p>
    <w:p w14:paraId="32631DE5" w14:textId="77777777" w:rsidR="00724174" w:rsidRPr="008F42FC" w:rsidRDefault="00724174" w:rsidP="003C224B">
      <w:pPr>
        <w:pStyle w:val="Ttulo4"/>
        <w:rPr>
          <w:lang w:val="es-MX"/>
        </w:rPr>
      </w:pPr>
      <w:bookmarkStart w:id="165" w:name="_Toc525665289"/>
      <w:bookmarkStart w:id="166" w:name="_Toc525665668"/>
      <w:bookmarkStart w:id="167" w:name="_Toc141975026"/>
      <w:r w:rsidRPr="008F42FC">
        <w:rPr>
          <w:lang w:val="es-MX"/>
        </w:rPr>
        <w:lastRenderedPageBreak/>
        <w:t xml:space="preserve">Capital </w:t>
      </w:r>
      <w:r w:rsidR="00CB61CB" w:rsidRPr="008F42FC">
        <w:rPr>
          <w:lang w:val="es-MX"/>
        </w:rPr>
        <w:t xml:space="preserve">circulante </w:t>
      </w:r>
      <w:r w:rsidRPr="008F42FC">
        <w:rPr>
          <w:lang w:val="es-MX"/>
        </w:rPr>
        <w:t>por Capex de red</w:t>
      </w:r>
      <w:bookmarkEnd w:id="165"/>
      <w:bookmarkEnd w:id="166"/>
      <w:bookmarkEnd w:id="167"/>
    </w:p>
    <w:p w14:paraId="1F7EB29C" w14:textId="77777777" w:rsidR="00724174" w:rsidRPr="00E14D8A" w:rsidRDefault="00724174" w:rsidP="00724174">
      <w:pPr>
        <w:rPr>
          <w:rFonts w:ascii="ITC Avant Garde" w:hAnsi="ITC Avant Garde"/>
          <w:lang w:val="es-MX"/>
        </w:rPr>
      </w:pPr>
      <w:r w:rsidRPr="004C1A96">
        <w:rPr>
          <w:rFonts w:ascii="ITC Avant Garde" w:hAnsi="ITC Avant Garde"/>
          <w:lang w:val="es-MX"/>
        </w:rPr>
        <w:t>Al realizar inversiones en redes, un operador generalmente comienza a generar ingresos de su activo varios meses después de que la inversión se complete (el efectivo generado puede utilizarse para financiar el negocio, reembolsar a los accionistas y los bancos). Este período, que va desde el pago de un activo hasta su primer uso operativo, genera capital de trabajo y algunas veces se lo denomina "tiempo de construcción" (el período de "tiempo de co</w:t>
      </w:r>
      <w:r w:rsidRPr="00E14D8A">
        <w:rPr>
          <w:rFonts w:ascii="ITC Avant Garde" w:hAnsi="ITC Avant Garde"/>
          <w:lang w:val="es-MX"/>
        </w:rPr>
        <w:t>nstrucción" puede variar significativamente de un activo a otro).</w:t>
      </w:r>
    </w:p>
    <w:p w14:paraId="5A96CB09" w14:textId="77777777" w:rsidR="00724174" w:rsidRPr="00E14D8A" w:rsidRDefault="00724174" w:rsidP="00724174">
      <w:pPr>
        <w:rPr>
          <w:rFonts w:ascii="ITC Avant Garde" w:hAnsi="ITC Avant Garde"/>
          <w:lang w:val="es-MX"/>
        </w:rPr>
      </w:pPr>
    </w:p>
    <w:p w14:paraId="65F7F33B" w14:textId="2DBA625F" w:rsidR="00724174" w:rsidRPr="00E14D8A" w:rsidRDefault="006D69ED" w:rsidP="00724174">
      <w:pPr>
        <w:pStyle w:val="Descripcin"/>
        <w:keepNext/>
        <w:rPr>
          <w:rFonts w:ascii="ITC Avant Garde" w:hAnsi="ITC Avant Garde"/>
          <w:lang w:val="es-MX"/>
        </w:rPr>
      </w:pPr>
      <w:r w:rsidRPr="00E14D8A">
        <w:rPr>
          <w:rFonts w:ascii="ITC Avant Garde" w:hAnsi="ITC Avant Garde"/>
          <w:lang w:val="es-MX"/>
        </w:rPr>
        <w:t xml:space="preserve">Figura </w:t>
      </w:r>
      <w:r w:rsidRPr="004C1A96">
        <w:rPr>
          <w:rFonts w:ascii="ITC Avant Garde" w:hAnsi="ITC Avant Garde"/>
          <w:lang w:val="es-MX"/>
        </w:rPr>
        <w:fldChar w:fldCharType="begin"/>
      </w:r>
      <w:r w:rsidRPr="004C1A96">
        <w:rPr>
          <w:rFonts w:ascii="ITC Avant Garde" w:hAnsi="ITC Avant Garde"/>
          <w:lang w:val="es-MX"/>
        </w:rPr>
        <w:instrText xml:space="preserve"> SEQ Figura \* ARABIC </w:instrText>
      </w:r>
      <w:r w:rsidRPr="004C1A96">
        <w:rPr>
          <w:rFonts w:ascii="ITC Avant Garde" w:hAnsi="ITC Avant Garde"/>
          <w:lang w:val="es-MX"/>
        </w:rPr>
        <w:fldChar w:fldCharType="separate"/>
      </w:r>
      <w:r w:rsidR="00006265">
        <w:rPr>
          <w:rFonts w:ascii="ITC Avant Garde" w:hAnsi="ITC Avant Garde"/>
          <w:noProof/>
          <w:lang w:val="es-MX"/>
        </w:rPr>
        <w:t>10</w:t>
      </w:r>
      <w:r w:rsidRPr="004C1A96">
        <w:rPr>
          <w:rFonts w:ascii="ITC Avant Garde" w:hAnsi="ITC Avant Garde"/>
          <w:lang w:val="es-MX"/>
        </w:rPr>
        <w:fldChar w:fldCharType="end"/>
      </w:r>
      <w:r w:rsidRPr="004C1A96">
        <w:rPr>
          <w:rFonts w:ascii="ITC Avant Garde" w:hAnsi="ITC Avant Garde"/>
          <w:lang w:val="es-MX"/>
        </w:rPr>
        <w:t xml:space="preserve"> </w:t>
      </w:r>
      <w:r w:rsidR="00724174" w:rsidRPr="004C1A96">
        <w:rPr>
          <w:rFonts w:ascii="ITC Avant Garde" w:hAnsi="ITC Avant Garde"/>
          <w:lang w:val="es-MX"/>
        </w:rPr>
        <w:t xml:space="preserve">- CAPEX de red y capital </w:t>
      </w:r>
      <w:r w:rsidR="008C2FF5" w:rsidRPr="00E14D8A">
        <w:rPr>
          <w:rFonts w:ascii="ITC Avant Garde" w:hAnsi="ITC Avant Garde"/>
          <w:lang w:val="es-MX"/>
        </w:rPr>
        <w:t>circulante</w:t>
      </w:r>
      <w:r w:rsidR="00724174" w:rsidRPr="00E14D8A">
        <w:rPr>
          <w:rFonts w:ascii="ITC Avant Garde" w:hAnsi="ITC Avant Garde"/>
          <w:lang w:val="es-MX"/>
        </w:rPr>
        <w:t xml:space="preserve"> (solo para fines ilustrativos)</w:t>
      </w:r>
    </w:p>
    <w:p w14:paraId="743B0BE7" w14:textId="55823594" w:rsidR="00724174" w:rsidRPr="004C1A96" w:rsidRDefault="00221F97" w:rsidP="00724174">
      <w:pPr>
        <w:jc w:val="center"/>
        <w:rPr>
          <w:rFonts w:ascii="ITC Avant Garde" w:hAnsi="ITC Avant Garde"/>
          <w:lang w:val="es-MX"/>
        </w:rPr>
      </w:pPr>
      <w:r w:rsidRPr="00CD0C09">
        <w:rPr>
          <w:rFonts w:ascii="ITC Avant Garde" w:hAnsi="ITC Avant Garde"/>
          <w:noProof/>
          <w:lang w:val="es-MX" w:eastAsia="es-MX"/>
        </w:rPr>
        <w:drawing>
          <wp:inline distT="0" distB="0" distL="0" distR="0" wp14:anchorId="7F4E4634" wp14:editId="78E8381E">
            <wp:extent cx="4927600" cy="14224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7600" cy="1422400"/>
                    </a:xfrm>
                    <a:prstGeom prst="rect">
                      <a:avLst/>
                    </a:prstGeom>
                    <a:noFill/>
                    <a:ln>
                      <a:noFill/>
                    </a:ln>
                  </pic:spPr>
                </pic:pic>
              </a:graphicData>
            </a:graphic>
          </wp:inline>
        </w:drawing>
      </w:r>
    </w:p>
    <w:p w14:paraId="1ABAD507" w14:textId="4DAB4802" w:rsidR="00813650" w:rsidRPr="004C1A96" w:rsidRDefault="00724174" w:rsidP="00724174">
      <w:pPr>
        <w:rPr>
          <w:rFonts w:ascii="ITC Avant Garde" w:hAnsi="ITC Avant Garde"/>
          <w:lang w:val="es-MX"/>
        </w:rPr>
      </w:pPr>
      <w:r w:rsidRPr="004C1A96">
        <w:rPr>
          <w:rFonts w:ascii="ITC Avant Garde" w:hAnsi="ITC Avant Garde"/>
          <w:lang w:val="es-MX"/>
        </w:rPr>
        <w:t>Para l</w:t>
      </w:r>
      <w:r w:rsidR="008C2FF5" w:rsidRPr="00E14D8A">
        <w:rPr>
          <w:rFonts w:ascii="ITC Avant Garde" w:hAnsi="ITC Avant Garde"/>
          <w:lang w:val="es-MX"/>
        </w:rPr>
        <w:t xml:space="preserve">os </w:t>
      </w:r>
      <w:r w:rsidRPr="00E14D8A">
        <w:rPr>
          <w:rFonts w:ascii="ITC Avant Garde" w:hAnsi="ITC Avant Garde"/>
          <w:lang w:val="es-MX"/>
        </w:rPr>
        <w:t>Capex</w:t>
      </w:r>
      <w:r w:rsidR="008C2FF5" w:rsidRPr="00E14D8A">
        <w:rPr>
          <w:rFonts w:ascii="ITC Avant Garde" w:hAnsi="ITC Avant Garde"/>
          <w:lang w:val="es-MX"/>
        </w:rPr>
        <w:t xml:space="preserve"> de la red</w:t>
      </w:r>
      <w:r w:rsidRPr="004C1A96">
        <w:rPr>
          <w:rFonts w:ascii="ITC Avant Garde" w:hAnsi="ITC Avant Garde"/>
          <w:lang w:val="es-MX"/>
        </w:rPr>
        <w:t xml:space="preserve">, el capital </w:t>
      </w:r>
      <w:r w:rsidR="008C2FF5" w:rsidRPr="004C1A96">
        <w:rPr>
          <w:rFonts w:ascii="ITC Avant Garde" w:hAnsi="ITC Avant Garde"/>
          <w:lang w:val="es-MX"/>
        </w:rPr>
        <w:t>circulante</w:t>
      </w:r>
      <w:r w:rsidRPr="004C1A96">
        <w:rPr>
          <w:rFonts w:ascii="ITC Avant Garde" w:hAnsi="ITC Avant Garde"/>
          <w:lang w:val="es-MX"/>
        </w:rPr>
        <w:t xml:space="preserve"> está, por lo tanto, vinculado al período de "tiempo de construcción" que existe entre los pagos de inversión de la red y cuando la red comienza a generar ingresos. Por ejemplo, si hay un retraso de un mes entre el momento en que se completa la inversión y el tiempo en que se generan los ingresos, entonces es necesario tener en cuenta el costo mensual del capital (es decir, multiplicar las anualidades por el WACC mensual). Esto se puede hacer multiplicando cada anualidad por (1+ WACC) </w:t>
      </w:r>
      <w:r w:rsidR="008C2FF5" w:rsidRPr="004C1A96">
        <w:rPr>
          <w:rFonts w:ascii="ITC Avant Garde" w:hAnsi="ITC Avant Garde"/>
          <w:vertAlign w:val="superscript"/>
          <w:lang w:val="es-MX"/>
        </w:rPr>
        <w:t xml:space="preserve">tiempo </w:t>
      </w:r>
      <w:r w:rsidRPr="004C1A96">
        <w:rPr>
          <w:rFonts w:ascii="ITC Avant Garde" w:hAnsi="ITC Avant Garde"/>
          <w:vertAlign w:val="superscript"/>
          <w:lang w:val="es-MX"/>
        </w:rPr>
        <w:t>para construir (en años)</w:t>
      </w:r>
      <w:r w:rsidRPr="004C1A96">
        <w:rPr>
          <w:rFonts w:ascii="ITC Avant Garde" w:hAnsi="ITC Avant Garde"/>
          <w:lang w:val="es-MX"/>
        </w:rPr>
        <w:t>.</w:t>
      </w:r>
    </w:p>
    <w:p w14:paraId="17B78931" w14:textId="3AE35776" w:rsidR="00724174" w:rsidRPr="004C1A96" w:rsidRDefault="00724174" w:rsidP="00724174">
      <w:pPr>
        <w:rPr>
          <w:rFonts w:ascii="ITC Avant Garde" w:hAnsi="ITC Avant Garde"/>
          <w:lang w:val="es-MX"/>
        </w:rPr>
      </w:pPr>
      <w:r w:rsidRPr="004C1A96">
        <w:rPr>
          <w:rFonts w:ascii="ITC Avant Garde" w:hAnsi="ITC Avant Garde"/>
          <w:lang w:val="es-MX"/>
        </w:rPr>
        <w:t>Dado que la red se "construye de la noche a la mañana"</w:t>
      </w:r>
      <w:r w:rsidR="008C2FF5" w:rsidRPr="004C1A96">
        <w:rPr>
          <w:rFonts w:ascii="ITC Avant Garde" w:hAnsi="ITC Avant Garde"/>
          <w:lang w:val="es-MX"/>
        </w:rPr>
        <w:t xml:space="preserve"> (es decir, se considera que la red se </w:t>
      </w:r>
      <w:r w:rsidR="00C53D5E" w:rsidRPr="004C1A96">
        <w:rPr>
          <w:rFonts w:ascii="ITC Avant Garde" w:hAnsi="ITC Avant Garde"/>
          <w:lang w:val="es-MX"/>
        </w:rPr>
        <w:t>despliega</w:t>
      </w:r>
      <w:r w:rsidR="008C2FF5" w:rsidRPr="004C1A96">
        <w:rPr>
          <w:rFonts w:ascii="ITC Avant Garde" w:hAnsi="ITC Avant Garde"/>
          <w:lang w:val="es-MX"/>
        </w:rPr>
        <w:t xml:space="preserve"> </w:t>
      </w:r>
      <w:r w:rsidR="00C53D5E" w:rsidRPr="004C1A96">
        <w:rPr>
          <w:rFonts w:ascii="ITC Avant Garde" w:hAnsi="ITC Avant Garde"/>
          <w:lang w:val="es-MX"/>
        </w:rPr>
        <w:t>inmediatamente</w:t>
      </w:r>
      <w:r w:rsidR="008C2FF5" w:rsidRPr="004C1A96">
        <w:rPr>
          <w:rFonts w:ascii="ITC Avant Garde" w:hAnsi="ITC Avant Garde"/>
          <w:lang w:val="es-MX"/>
        </w:rPr>
        <w:t xml:space="preserve"> sin </w:t>
      </w:r>
      <w:r w:rsidR="00C53D5E" w:rsidRPr="004C1A96">
        <w:rPr>
          <w:rFonts w:ascii="ITC Avant Garde" w:hAnsi="ITC Avant Garde"/>
          <w:lang w:val="es-MX"/>
        </w:rPr>
        <w:t>noción</w:t>
      </w:r>
      <w:r w:rsidR="008C2FF5" w:rsidRPr="004C1A96">
        <w:rPr>
          <w:rFonts w:ascii="ITC Avant Garde" w:hAnsi="ITC Avant Garde"/>
          <w:lang w:val="es-MX"/>
        </w:rPr>
        <w:t xml:space="preserve"> de duración del despliegue),</w:t>
      </w:r>
      <w:r w:rsidRPr="004C1A96">
        <w:rPr>
          <w:rFonts w:ascii="ITC Avant Garde" w:hAnsi="ITC Avant Garde"/>
          <w:lang w:val="es-MX"/>
        </w:rPr>
        <w:t xml:space="preserve"> con una toma de posesión inmediata y una operación completa, el capital </w:t>
      </w:r>
      <w:r w:rsidR="008C2FF5" w:rsidRPr="004C1A96">
        <w:rPr>
          <w:rFonts w:ascii="ITC Avant Garde" w:hAnsi="ITC Avant Garde"/>
          <w:lang w:val="es-MX"/>
        </w:rPr>
        <w:t>circulante</w:t>
      </w:r>
      <w:r w:rsidRPr="004C1A96">
        <w:rPr>
          <w:rFonts w:ascii="ITC Avant Garde" w:hAnsi="ITC Avant Garde"/>
          <w:lang w:val="es-MX"/>
        </w:rPr>
        <w:t xml:space="preserve"> para el gasto de capital de la red no es relevante.</w:t>
      </w:r>
    </w:p>
    <w:p w14:paraId="42B99486" w14:textId="7741A34C" w:rsidR="00724174" w:rsidRPr="004C1A96" w:rsidRDefault="00724174" w:rsidP="00724174">
      <w:pPr>
        <w:pStyle w:val="Encadr3"/>
        <w:rPr>
          <w:rFonts w:ascii="ITC Avant Garde" w:hAnsi="ITC Avant Garde"/>
          <w:lang w:val="es-MX"/>
        </w:rPr>
      </w:pPr>
      <w:r w:rsidRPr="004C1A96">
        <w:rPr>
          <w:rFonts w:ascii="ITC Avant Garde" w:hAnsi="ITC Avant Garde"/>
          <w:lang w:val="es-MX"/>
        </w:rPr>
        <w:t xml:space="preserve">Criterio </w:t>
      </w:r>
      <w:r w:rsidR="00F9290D" w:rsidRPr="004C1A96">
        <w:rPr>
          <w:rFonts w:ascii="ITC Avant Garde" w:hAnsi="ITC Avant Garde"/>
          <w:lang w:val="es-MX"/>
        </w:rPr>
        <w:t>29</w:t>
      </w:r>
      <w:r w:rsidRPr="004C1A96">
        <w:rPr>
          <w:rFonts w:ascii="ITC Avant Garde" w:hAnsi="ITC Avant Garde"/>
          <w:lang w:val="es-MX"/>
        </w:rPr>
        <w:t xml:space="preserve">: El costo del capital </w:t>
      </w:r>
      <w:r w:rsidR="008C2FF5" w:rsidRPr="004C1A96">
        <w:rPr>
          <w:rFonts w:ascii="ITC Avant Garde" w:hAnsi="ITC Avant Garde"/>
          <w:lang w:val="es-MX"/>
        </w:rPr>
        <w:t>circulante</w:t>
      </w:r>
      <w:r w:rsidRPr="004C1A96">
        <w:rPr>
          <w:rFonts w:ascii="ITC Avant Garde" w:hAnsi="ITC Avant Garde"/>
          <w:lang w:val="es-MX"/>
        </w:rPr>
        <w:t xml:space="preserve"> relacionado con </w:t>
      </w:r>
      <w:r w:rsidR="008C2FF5" w:rsidRPr="004C1A96">
        <w:rPr>
          <w:rFonts w:ascii="ITC Avant Garde" w:hAnsi="ITC Avant Garde"/>
          <w:lang w:val="es-MX"/>
        </w:rPr>
        <w:t xml:space="preserve">los </w:t>
      </w:r>
      <w:r w:rsidRPr="004C1A96">
        <w:rPr>
          <w:rFonts w:ascii="ITC Avant Garde" w:hAnsi="ITC Avant Garde"/>
          <w:lang w:val="es-MX"/>
        </w:rPr>
        <w:t>Capex</w:t>
      </w:r>
      <w:r w:rsidR="008C2FF5" w:rsidRPr="004C1A96">
        <w:rPr>
          <w:rFonts w:ascii="ITC Avant Garde" w:hAnsi="ITC Avant Garde"/>
          <w:lang w:val="es-MX"/>
        </w:rPr>
        <w:t xml:space="preserve"> de la red</w:t>
      </w:r>
      <w:r w:rsidRPr="004C1A96">
        <w:rPr>
          <w:rFonts w:ascii="ITC Avant Garde" w:hAnsi="ITC Avant Garde"/>
          <w:lang w:val="es-MX"/>
        </w:rPr>
        <w:t xml:space="preserve"> no se tendrá en cuenta para el operador hipotéticamente eficiente.</w:t>
      </w:r>
    </w:p>
    <w:p w14:paraId="2AEBAF6C" w14:textId="77777777" w:rsidR="00724174" w:rsidRPr="008F42FC" w:rsidRDefault="00724174" w:rsidP="003C224B">
      <w:pPr>
        <w:pStyle w:val="Ttulo4"/>
        <w:rPr>
          <w:lang w:val="es-MX"/>
        </w:rPr>
      </w:pPr>
      <w:bookmarkStart w:id="168" w:name="_Toc525665290"/>
      <w:bookmarkStart w:id="169" w:name="_Toc525665669"/>
      <w:bookmarkStart w:id="170" w:name="_Toc141975027"/>
      <w:r w:rsidRPr="008F42FC">
        <w:rPr>
          <w:lang w:val="es-MX"/>
        </w:rPr>
        <w:t xml:space="preserve">Capital </w:t>
      </w:r>
      <w:r w:rsidR="00CB61CB" w:rsidRPr="008F42FC">
        <w:rPr>
          <w:lang w:val="es-MX"/>
        </w:rPr>
        <w:t>circulante</w:t>
      </w:r>
      <w:r w:rsidRPr="008F42FC">
        <w:rPr>
          <w:lang w:val="es-MX"/>
        </w:rPr>
        <w:t xml:space="preserve"> por Opex de la red</w:t>
      </w:r>
      <w:bookmarkEnd w:id="168"/>
      <w:bookmarkEnd w:id="169"/>
      <w:bookmarkEnd w:id="170"/>
    </w:p>
    <w:p w14:paraId="2EB588E5" w14:textId="77777777" w:rsidR="00724174" w:rsidRPr="004C1A96" w:rsidRDefault="00724174" w:rsidP="00724174">
      <w:pPr>
        <w:rPr>
          <w:rFonts w:ascii="ITC Avant Garde" w:hAnsi="ITC Avant Garde"/>
          <w:lang w:val="es-MX"/>
        </w:rPr>
      </w:pPr>
      <w:r w:rsidRPr="004C1A96">
        <w:rPr>
          <w:rFonts w:ascii="ITC Avant Garde" w:hAnsi="ITC Avant Garde"/>
          <w:lang w:val="es-MX"/>
        </w:rPr>
        <w:t>Para los costos operativos, puede haber un período de tiempo entre el pago del personal y los proveedores y la generación de ingresos. Por lo tanto, se pueden anticipar dos situaciones:</w:t>
      </w:r>
    </w:p>
    <w:p w14:paraId="055177AF" w14:textId="77777777" w:rsidR="00724174" w:rsidRPr="004C1A96" w:rsidRDefault="00724174" w:rsidP="00CB61CB">
      <w:pPr>
        <w:pStyle w:val="Listaconvietas2"/>
        <w:rPr>
          <w:rFonts w:ascii="ITC Avant Garde" w:hAnsi="ITC Avant Garde"/>
          <w:lang w:val="es-MX"/>
        </w:rPr>
      </w:pPr>
      <w:r w:rsidRPr="00E14D8A">
        <w:rPr>
          <w:rFonts w:ascii="ITC Avant Garde" w:hAnsi="ITC Avant Garde"/>
          <w:lang w:val="es-MX"/>
        </w:rPr>
        <w:t xml:space="preserve">El personal y los proveedores reciben el pago antes de que se obtengan los ingresos: el capital </w:t>
      </w:r>
      <w:r w:rsidR="00CB61CB" w:rsidRPr="00E14D8A">
        <w:rPr>
          <w:rFonts w:ascii="ITC Avant Garde" w:hAnsi="ITC Avant Garde"/>
          <w:lang w:val="es-MX"/>
        </w:rPr>
        <w:t>circulante</w:t>
      </w:r>
      <w:r w:rsidRPr="00E14D8A">
        <w:rPr>
          <w:rFonts w:ascii="ITC Avant Garde" w:hAnsi="ITC Avant Garde"/>
          <w:lang w:val="es-MX"/>
        </w:rPr>
        <w:t xml:space="preserve"> es negativo y la empresa incurre e</w:t>
      </w:r>
      <w:r w:rsidRPr="004C1A96">
        <w:rPr>
          <w:rFonts w:ascii="ITC Avant Garde" w:hAnsi="ITC Avant Garde"/>
          <w:lang w:val="es-MX"/>
        </w:rPr>
        <w:t>n un costo;</w:t>
      </w:r>
    </w:p>
    <w:p w14:paraId="21693AC9" w14:textId="77777777" w:rsidR="00724174" w:rsidRPr="004C1A96" w:rsidRDefault="00724174" w:rsidP="00CB61CB">
      <w:pPr>
        <w:pStyle w:val="Listaconvietas2"/>
        <w:rPr>
          <w:rFonts w:ascii="ITC Avant Garde" w:hAnsi="ITC Avant Garde"/>
          <w:lang w:val="es-MX"/>
        </w:rPr>
      </w:pPr>
      <w:r w:rsidRPr="004C1A96">
        <w:rPr>
          <w:rFonts w:ascii="ITC Avant Garde" w:hAnsi="ITC Avant Garde"/>
          <w:lang w:val="es-MX"/>
        </w:rPr>
        <w:t xml:space="preserve">El personal y los proveedores son remunerados después de obtener los ingresos: el capital </w:t>
      </w:r>
      <w:r w:rsidR="00CB61CB" w:rsidRPr="004C1A96">
        <w:rPr>
          <w:rFonts w:ascii="ITC Avant Garde" w:hAnsi="ITC Avant Garde"/>
          <w:lang w:val="es-MX"/>
        </w:rPr>
        <w:t xml:space="preserve">circulante </w:t>
      </w:r>
      <w:r w:rsidRPr="004C1A96">
        <w:rPr>
          <w:rFonts w:ascii="ITC Avant Garde" w:hAnsi="ITC Avant Garde"/>
          <w:lang w:val="es-MX"/>
        </w:rPr>
        <w:t>es positivo y la empresa obtiene un beneficio.</w:t>
      </w:r>
    </w:p>
    <w:p w14:paraId="5D00EC10" w14:textId="77777777" w:rsidR="004F627A" w:rsidRPr="004C1A96" w:rsidRDefault="00724174" w:rsidP="00724174">
      <w:pPr>
        <w:rPr>
          <w:rFonts w:ascii="ITC Avant Garde" w:hAnsi="ITC Avant Garde"/>
          <w:lang w:val="es-MX"/>
        </w:rPr>
      </w:pPr>
      <w:r w:rsidRPr="004C1A96">
        <w:rPr>
          <w:rFonts w:ascii="ITC Avant Garde" w:hAnsi="ITC Avant Garde"/>
          <w:lang w:val="es-MX"/>
        </w:rPr>
        <w:lastRenderedPageBreak/>
        <w:t> </w:t>
      </w:r>
    </w:p>
    <w:p w14:paraId="076D00C0" w14:textId="056AAAAC" w:rsidR="004F627A" w:rsidRPr="00E14D8A" w:rsidRDefault="006D69ED" w:rsidP="004F627A">
      <w:pPr>
        <w:pStyle w:val="Descripcin"/>
        <w:keepNext/>
        <w:rPr>
          <w:rFonts w:ascii="ITC Avant Garde" w:hAnsi="ITC Avant Garde"/>
          <w:lang w:val="es-MX"/>
        </w:rPr>
      </w:pPr>
      <w:r w:rsidRPr="004C1A96">
        <w:rPr>
          <w:rFonts w:ascii="ITC Avant Garde" w:hAnsi="ITC Avant Garde"/>
          <w:lang w:val="es-MX"/>
        </w:rPr>
        <w:t xml:space="preserve">Figura </w:t>
      </w:r>
      <w:r w:rsidRPr="004C1A96">
        <w:rPr>
          <w:rFonts w:ascii="ITC Avant Garde" w:hAnsi="ITC Avant Garde"/>
          <w:lang w:val="es-MX"/>
        </w:rPr>
        <w:fldChar w:fldCharType="begin"/>
      </w:r>
      <w:r w:rsidRPr="004C1A96">
        <w:rPr>
          <w:rFonts w:ascii="ITC Avant Garde" w:hAnsi="ITC Avant Garde"/>
          <w:lang w:val="es-MX"/>
        </w:rPr>
        <w:instrText xml:space="preserve"> SEQ Figura \* ARABIC </w:instrText>
      </w:r>
      <w:r w:rsidRPr="004C1A96">
        <w:rPr>
          <w:rFonts w:ascii="ITC Avant Garde" w:hAnsi="ITC Avant Garde"/>
          <w:lang w:val="es-MX"/>
        </w:rPr>
        <w:fldChar w:fldCharType="separate"/>
      </w:r>
      <w:r w:rsidR="00006265">
        <w:rPr>
          <w:rFonts w:ascii="ITC Avant Garde" w:hAnsi="ITC Avant Garde"/>
          <w:noProof/>
          <w:lang w:val="es-MX"/>
        </w:rPr>
        <w:t>11</w:t>
      </w:r>
      <w:r w:rsidRPr="004C1A96">
        <w:rPr>
          <w:rFonts w:ascii="ITC Avant Garde" w:hAnsi="ITC Avant Garde"/>
          <w:lang w:val="es-MX"/>
        </w:rPr>
        <w:fldChar w:fldCharType="end"/>
      </w:r>
      <w:r w:rsidRPr="004C1A96">
        <w:rPr>
          <w:rFonts w:ascii="ITC Avant Garde" w:hAnsi="ITC Avant Garde"/>
          <w:lang w:val="es-MX"/>
        </w:rPr>
        <w:t xml:space="preserve"> </w:t>
      </w:r>
      <w:r w:rsidR="004F627A" w:rsidRPr="004C1A96">
        <w:rPr>
          <w:rFonts w:ascii="ITC Avant Garde" w:hAnsi="ITC Avant Garde"/>
          <w:lang w:val="es-MX"/>
        </w:rPr>
        <w:t xml:space="preserve">– OPEX de red y capital circulante (solo para </w:t>
      </w:r>
      <w:r w:rsidR="004F627A" w:rsidRPr="00E14D8A">
        <w:rPr>
          <w:rFonts w:ascii="ITC Avant Garde" w:hAnsi="ITC Avant Garde"/>
          <w:lang w:val="es-MX"/>
        </w:rPr>
        <w:t>fines ilustrativos)</w:t>
      </w:r>
    </w:p>
    <w:p w14:paraId="7BC27E8B" w14:textId="7CA94476" w:rsidR="00724174" w:rsidRPr="004C1A96" w:rsidRDefault="00221F97" w:rsidP="004F627A">
      <w:pPr>
        <w:jc w:val="center"/>
        <w:rPr>
          <w:rFonts w:ascii="ITC Avant Garde" w:hAnsi="ITC Avant Garde"/>
          <w:lang w:val="es-MX"/>
        </w:rPr>
      </w:pPr>
      <w:r w:rsidRPr="00CD0C09">
        <w:rPr>
          <w:rFonts w:ascii="ITC Avant Garde" w:hAnsi="ITC Avant Garde"/>
          <w:noProof/>
          <w:lang w:val="es-MX" w:eastAsia="es-MX"/>
        </w:rPr>
        <w:drawing>
          <wp:inline distT="0" distB="0" distL="0" distR="0" wp14:anchorId="04B46D44" wp14:editId="18D069B3">
            <wp:extent cx="4953000" cy="17018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3000" cy="1701800"/>
                    </a:xfrm>
                    <a:prstGeom prst="rect">
                      <a:avLst/>
                    </a:prstGeom>
                    <a:noFill/>
                    <a:ln>
                      <a:noFill/>
                    </a:ln>
                  </pic:spPr>
                </pic:pic>
              </a:graphicData>
            </a:graphic>
          </wp:inline>
        </w:drawing>
      </w:r>
    </w:p>
    <w:p w14:paraId="3ED2EBBA" w14:textId="21BAB123" w:rsidR="00724174" w:rsidRPr="004C1A96" w:rsidRDefault="00724174" w:rsidP="00724174">
      <w:pPr>
        <w:rPr>
          <w:rFonts w:ascii="ITC Avant Garde" w:hAnsi="ITC Avant Garde"/>
          <w:lang w:val="es-MX"/>
        </w:rPr>
      </w:pPr>
      <w:r w:rsidRPr="004C1A96">
        <w:rPr>
          <w:rFonts w:ascii="ITC Avant Garde" w:hAnsi="ITC Avant Garde"/>
          <w:lang w:val="es-MX"/>
        </w:rPr>
        <w:t xml:space="preserve">Comúnmente, el personal y los proveedores son pagados a fin de mes, mientras que los ingresos se reciben a principios de mes. Como consecuencia, el capital </w:t>
      </w:r>
      <w:r w:rsidR="00CB61CB" w:rsidRPr="004C1A96">
        <w:rPr>
          <w:rFonts w:ascii="ITC Avant Garde" w:hAnsi="ITC Avant Garde"/>
          <w:lang w:val="es-MX"/>
        </w:rPr>
        <w:t>circulante de lo</w:t>
      </w:r>
      <w:r w:rsidRPr="004C1A96">
        <w:rPr>
          <w:rFonts w:ascii="ITC Avant Garde" w:hAnsi="ITC Avant Garde"/>
          <w:lang w:val="es-MX"/>
        </w:rPr>
        <w:t xml:space="preserve"> OPEX de la red se considera positivo o al menos equilibrado.</w:t>
      </w:r>
    </w:p>
    <w:p w14:paraId="1792510B" w14:textId="77777777" w:rsidR="0032750E" w:rsidRPr="0032750E" w:rsidRDefault="00724174" w:rsidP="0032750E">
      <w:pPr>
        <w:spacing w:before="0" w:line="240" w:lineRule="auto"/>
        <w:jc w:val="left"/>
        <w:rPr>
          <w:rFonts w:ascii="Times New Roman" w:hAnsi="Times New Roman"/>
          <w:sz w:val="24"/>
          <w:lang w:val="es-ES" w:eastAsia="en-US"/>
        </w:rPr>
      </w:pPr>
      <w:r w:rsidRPr="004C1A96">
        <w:rPr>
          <w:rFonts w:ascii="ITC Avant Garde" w:hAnsi="ITC Avant Garde"/>
          <w:lang w:val="es-MX"/>
        </w:rPr>
        <w:t>Por lo tanto, se recomienda no tenerlo en cuenta. Esto es consistente con el enfoque adoptado en los modelos anteriores y cómo lo hacen los reguladores en otros países.</w:t>
      </w:r>
      <w:r w:rsidR="00CB61CB" w:rsidRPr="004C1A96">
        <w:rPr>
          <w:rStyle w:val="Refdenotaalpie"/>
          <w:rFonts w:ascii="ITC Avant Garde" w:hAnsi="ITC Avant Garde"/>
          <w:lang w:val="es-MX" w:eastAsia="x-none"/>
        </w:rPr>
        <w:t xml:space="preserve"> </w:t>
      </w:r>
      <w:r w:rsidR="0032750E">
        <w:rPr>
          <w:rStyle w:val="Refdenotaalpie"/>
          <w:rFonts w:ascii="ITC Avant Garde" w:hAnsi="ITC Avant Garde"/>
          <w:lang w:eastAsia="x-none"/>
        </w:rPr>
        <w:footnoteReference w:id="41"/>
      </w:r>
      <w:r w:rsidR="0032750E" w:rsidRPr="0032750E">
        <w:rPr>
          <w:rFonts w:ascii="Times New Roman" w:hAnsi="Times New Roman"/>
          <w:sz w:val="24"/>
          <w:lang w:val="es-ES" w:eastAsia="en-US"/>
        </w:rPr>
        <w:t xml:space="preserve"> </w:t>
      </w:r>
    </w:p>
    <w:p w14:paraId="66C81026" w14:textId="40138F6E" w:rsidR="004F627A" w:rsidRPr="004C1A96" w:rsidRDefault="00724174" w:rsidP="00CB61CB">
      <w:pPr>
        <w:pStyle w:val="Encadr3"/>
        <w:rPr>
          <w:rFonts w:ascii="ITC Avant Garde" w:hAnsi="ITC Avant Garde"/>
          <w:lang w:val="es-MX"/>
        </w:rPr>
      </w:pPr>
      <w:r w:rsidRPr="00E14D8A">
        <w:rPr>
          <w:rFonts w:ascii="ITC Avant Garde" w:hAnsi="ITC Avant Garde"/>
          <w:lang w:val="es-MX"/>
        </w:rPr>
        <w:t xml:space="preserve">Criterio </w:t>
      </w:r>
      <w:r w:rsidR="00F9290D" w:rsidRPr="00E14D8A">
        <w:rPr>
          <w:rFonts w:ascii="ITC Avant Garde" w:hAnsi="ITC Avant Garde"/>
          <w:lang w:val="es-MX"/>
        </w:rPr>
        <w:t>30</w:t>
      </w:r>
      <w:r w:rsidRPr="00E14D8A">
        <w:rPr>
          <w:rFonts w:ascii="ITC Avant Garde" w:hAnsi="ITC Avant Garde"/>
          <w:lang w:val="es-MX"/>
        </w:rPr>
        <w:t xml:space="preserve">: El costo del capital </w:t>
      </w:r>
      <w:r w:rsidR="00C53D5E" w:rsidRPr="004C1A96">
        <w:rPr>
          <w:rFonts w:ascii="ITC Avant Garde" w:hAnsi="ITC Avant Garde"/>
          <w:lang w:val="es-MX"/>
        </w:rPr>
        <w:t>circulante</w:t>
      </w:r>
      <w:r w:rsidR="00CB61CB" w:rsidRPr="004C1A96">
        <w:rPr>
          <w:rFonts w:ascii="ITC Avant Garde" w:hAnsi="ITC Avant Garde"/>
          <w:lang w:val="es-MX"/>
        </w:rPr>
        <w:t xml:space="preserve"> </w:t>
      </w:r>
      <w:r w:rsidRPr="004C1A96">
        <w:rPr>
          <w:rFonts w:ascii="ITC Avant Garde" w:hAnsi="ITC Avant Garde"/>
          <w:lang w:val="es-MX"/>
        </w:rPr>
        <w:t xml:space="preserve">relacionado con </w:t>
      </w:r>
      <w:r w:rsidR="00CB61CB" w:rsidRPr="004C1A96">
        <w:rPr>
          <w:rFonts w:ascii="ITC Avant Garde" w:hAnsi="ITC Avant Garde"/>
          <w:lang w:val="es-MX"/>
        </w:rPr>
        <w:t xml:space="preserve">los </w:t>
      </w:r>
      <w:r w:rsidRPr="004C1A96">
        <w:rPr>
          <w:rFonts w:ascii="ITC Avant Garde" w:hAnsi="ITC Avant Garde"/>
          <w:lang w:val="es-MX"/>
        </w:rPr>
        <w:t>Opex no se tendrá en cuenta para el operador modelado</w:t>
      </w:r>
      <w:r w:rsidR="0032750E">
        <w:rPr>
          <w:rFonts w:ascii="ITC Avant Garde" w:hAnsi="ITC Avant Garde"/>
          <w:lang w:val="es-MX"/>
        </w:rPr>
        <w:t>.</w:t>
      </w:r>
    </w:p>
    <w:p w14:paraId="0BAD14FC" w14:textId="77777777" w:rsidR="00724174" w:rsidRPr="003B2E52" w:rsidRDefault="004F627A" w:rsidP="0040723E">
      <w:pPr>
        <w:pStyle w:val="Ttulo3"/>
        <w:rPr>
          <w:lang w:val="es-MX"/>
        </w:rPr>
      </w:pPr>
      <w:bookmarkStart w:id="171" w:name="_Toc525665291"/>
      <w:bookmarkStart w:id="172" w:name="_Toc525665670"/>
      <w:bookmarkStart w:id="173" w:name="_Toc141975028"/>
      <w:r w:rsidRPr="003B2E52">
        <w:rPr>
          <w:lang w:val="es-MX"/>
        </w:rPr>
        <w:t>Recuperación de costos</w:t>
      </w:r>
      <w:bookmarkEnd w:id="171"/>
      <w:bookmarkEnd w:id="172"/>
      <w:bookmarkEnd w:id="173"/>
    </w:p>
    <w:p w14:paraId="0A0AB09C" w14:textId="77777777" w:rsidR="004F627A" w:rsidRPr="004C1A96" w:rsidRDefault="004F627A" w:rsidP="004F627A">
      <w:pPr>
        <w:rPr>
          <w:rFonts w:ascii="ITC Avant Garde" w:hAnsi="ITC Avant Garde"/>
          <w:lang w:val="es-MX"/>
        </w:rPr>
      </w:pPr>
      <w:r w:rsidRPr="004C1A96">
        <w:rPr>
          <w:rFonts w:ascii="ITC Avant Garde" w:hAnsi="ITC Avant Garde"/>
          <w:lang w:val="es-MX"/>
        </w:rPr>
        <w:t xml:space="preserve">La recuperación de costos es un principio clave en una metodología de costos. Garantiza que </w:t>
      </w:r>
      <w:r w:rsidR="00CB61CB" w:rsidRPr="004C1A96">
        <w:rPr>
          <w:rFonts w:ascii="ITC Avant Garde" w:hAnsi="ITC Avant Garde"/>
          <w:lang w:val="es-MX"/>
        </w:rPr>
        <w:t>el AEP</w:t>
      </w:r>
      <w:r w:rsidRPr="00E14D8A">
        <w:rPr>
          <w:rFonts w:ascii="ITC Avant Garde" w:hAnsi="ITC Avant Garde"/>
          <w:lang w:val="es-MX"/>
        </w:rPr>
        <w:t xml:space="preserve"> pueda cubrir los costos que se incurre</w:t>
      </w:r>
      <w:r w:rsidR="00CB61CB" w:rsidRPr="00E14D8A">
        <w:rPr>
          <w:rFonts w:ascii="ITC Avant Garde" w:hAnsi="ITC Avant Garde"/>
          <w:lang w:val="es-MX"/>
        </w:rPr>
        <w:t>n</w:t>
      </w:r>
      <w:r w:rsidRPr="00E14D8A">
        <w:rPr>
          <w:rFonts w:ascii="ITC Avant Garde" w:hAnsi="ITC Avant Garde"/>
          <w:lang w:val="es-MX"/>
        </w:rPr>
        <w:t xml:space="preserve"> de manera </w:t>
      </w:r>
      <w:r w:rsidRPr="004C1A96">
        <w:rPr>
          <w:rFonts w:ascii="ITC Avant Garde" w:hAnsi="ITC Avant Garde"/>
          <w:lang w:val="es-MX"/>
        </w:rPr>
        <w:t>eficiente y recib</w:t>
      </w:r>
      <w:r w:rsidR="00CB61CB" w:rsidRPr="004C1A96">
        <w:rPr>
          <w:rFonts w:ascii="ITC Avant Garde" w:hAnsi="ITC Avant Garde"/>
          <w:lang w:val="es-MX"/>
        </w:rPr>
        <w:t>e</w:t>
      </w:r>
      <w:r w:rsidRPr="004C1A96">
        <w:rPr>
          <w:rFonts w:ascii="ITC Avant Garde" w:hAnsi="ITC Avant Garde"/>
          <w:lang w:val="es-MX"/>
        </w:rPr>
        <w:t xml:space="preserve"> un rendimiento apropiado del capital invertido.</w:t>
      </w:r>
    </w:p>
    <w:p w14:paraId="572618D4" w14:textId="77777777" w:rsidR="004F627A" w:rsidRPr="004C1A96" w:rsidRDefault="004F627A" w:rsidP="004F627A">
      <w:pPr>
        <w:rPr>
          <w:rFonts w:ascii="ITC Avant Garde" w:hAnsi="ITC Avant Garde"/>
          <w:lang w:val="es-MX"/>
        </w:rPr>
      </w:pPr>
      <w:r w:rsidRPr="004C1A96">
        <w:rPr>
          <w:rFonts w:ascii="ITC Avant Garde" w:hAnsi="ITC Avant Garde"/>
          <w:lang w:val="es-MX"/>
        </w:rPr>
        <w:t>En una perspectiva de fijación de precios, los costos incurridos por un servicio dado se recuperarán mediante la demanda efectiva de este servicio.</w:t>
      </w:r>
    </w:p>
    <w:p w14:paraId="6B9353C8" w14:textId="77777777" w:rsidR="004F627A" w:rsidRPr="004C1A96" w:rsidRDefault="004F627A" w:rsidP="004F627A">
      <w:pPr>
        <w:rPr>
          <w:rFonts w:ascii="ITC Avant Garde" w:hAnsi="ITC Avant Garde"/>
          <w:lang w:val="es-MX"/>
        </w:rPr>
      </w:pPr>
      <w:r w:rsidRPr="004C1A96">
        <w:rPr>
          <w:rFonts w:ascii="ITC Avant Garde" w:hAnsi="ITC Avant Garde"/>
          <w:lang w:val="es-MX"/>
        </w:rPr>
        <w:t xml:space="preserve">En particular, el modelo identificará los activos </w:t>
      </w:r>
      <w:r w:rsidR="00CB61CB" w:rsidRPr="004C1A96">
        <w:rPr>
          <w:rFonts w:ascii="ITC Avant Garde" w:hAnsi="ITC Avant Garde"/>
          <w:lang w:val="es-MX"/>
        </w:rPr>
        <w:t>cuyos costos</w:t>
      </w:r>
      <w:r w:rsidRPr="004C1A96">
        <w:rPr>
          <w:rFonts w:ascii="ITC Avant Garde" w:hAnsi="ITC Avant Garde"/>
          <w:lang w:val="es-MX"/>
        </w:rPr>
        <w:t xml:space="preserve"> no </w:t>
      </w:r>
      <w:r w:rsidR="00CB61CB" w:rsidRPr="004C1A96">
        <w:rPr>
          <w:rFonts w:ascii="ITC Avant Garde" w:hAnsi="ITC Avant Garde"/>
          <w:lang w:val="es-MX"/>
        </w:rPr>
        <w:t xml:space="preserve">deben de </w:t>
      </w:r>
      <w:r w:rsidRPr="004C1A96">
        <w:rPr>
          <w:rFonts w:ascii="ITC Avant Garde" w:hAnsi="ITC Avant Garde"/>
          <w:lang w:val="es-MX"/>
        </w:rPr>
        <w:t>ser</w:t>
      </w:r>
      <w:r w:rsidR="00CB61CB" w:rsidRPr="004C1A96">
        <w:rPr>
          <w:rFonts w:ascii="ITC Avant Garde" w:hAnsi="ITC Avant Garde"/>
          <w:lang w:val="es-MX"/>
        </w:rPr>
        <w:t xml:space="preserve"> </w:t>
      </w:r>
      <w:r w:rsidRPr="004C1A96">
        <w:rPr>
          <w:rFonts w:ascii="ITC Avant Garde" w:hAnsi="ITC Avant Garde"/>
          <w:lang w:val="es-MX"/>
        </w:rPr>
        <w:t>recuperados por el cargo recurrente del servicio (si lo hay). Por ejemplo, los costos incurridos en la activación de la línea por el buscador de acceso o las tarifas de conexión pagadas por el usuario final (pagos iniciales) se excluirán de la base de costos o se compensarán con un cargo correspondiente.</w:t>
      </w:r>
    </w:p>
    <w:p w14:paraId="0E020689" w14:textId="77777777" w:rsidR="004F627A" w:rsidRPr="004C1A96" w:rsidRDefault="004F627A" w:rsidP="004F627A">
      <w:pPr>
        <w:rPr>
          <w:rFonts w:ascii="ITC Avant Garde" w:hAnsi="ITC Avant Garde"/>
          <w:lang w:val="es-MX"/>
        </w:rPr>
      </w:pPr>
      <w:r w:rsidRPr="004C1A96">
        <w:rPr>
          <w:rFonts w:ascii="ITC Avant Garde" w:hAnsi="ITC Avant Garde"/>
          <w:lang w:val="es-MX"/>
        </w:rPr>
        <w:t>Además, el modelo identificará la porción de costos indirectos y comunes que se recuperarán de los servicios regulados.</w:t>
      </w:r>
    </w:p>
    <w:p w14:paraId="7EC17861" w14:textId="77777777" w:rsidR="004F627A" w:rsidRPr="004C1A96" w:rsidRDefault="004F627A" w:rsidP="004F627A">
      <w:pPr>
        <w:rPr>
          <w:rFonts w:ascii="ITC Avant Garde" w:hAnsi="ITC Avant Garde"/>
          <w:lang w:val="es-MX"/>
        </w:rPr>
      </w:pPr>
      <w:r w:rsidRPr="004C1A96">
        <w:rPr>
          <w:rFonts w:ascii="ITC Avant Garde" w:hAnsi="ITC Avant Garde"/>
          <w:lang w:val="es-MX"/>
        </w:rPr>
        <w:t xml:space="preserve">El modelo obtendrá resultados de costos que garanticen </w:t>
      </w:r>
      <w:r w:rsidR="00CB61CB" w:rsidRPr="004C1A96">
        <w:rPr>
          <w:rFonts w:ascii="ITC Avant Garde" w:hAnsi="ITC Avant Garde"/>
          <w:lang w:val="es-MX"/>
        </w:rPr>
        <w:t>que los costos no se sobre-</w:t>
      </w:r>
      <w:r w:rsidRPr="004C1A96">
        <w:rPr>
          <w:rFonts w:ascii="ITC Avant Garde" w:hAnsi="ITC Avant Garde"/>
          <w:lang w:val="es-MX"/>
        </w:rPr>
        <w:t>recupera</w:t>
      </w:r>
      <w:r w:rsidR="00CB61CB" w:rsidRPr="004C1A96">
        <w:rPr>
          <w:rFonts w:ascii="ITC Avant Garde" w:hAnsi="ITC Avant Garde"/>
          <w:lang w:val="es-MX"/>
        </w:rPr>
        <w:t>n ni se sub-</w:t>
      </w:r>
      <w:r w:rsidRPr="004C1A96">
        <w:rPr>
          <w:rFonts w:ascii="ITC Avant Garde" w:hAnsi="ITC Avant Garde"/>
          <w:lang w:val="es-MX"/>
        </w:rPr>
        <w:t>recupera</w:t>
      </w:r>
      <w:r w:rsidR="00CB61CB" w:rsidRPr="004C1A96">
        <w:rPr>
          <w:rFonts w:ascii="ITC Avant Garde" w:hAnsi="ITC Avant Garde"/>
          <w:lang w:val="es-MX"/>
        </w:rPr>
        <w:t>n</w:t>
      </w:r>
      <w:r w:rsidRPr="004C1A96">
        <w:rPr>
          <w:rFonts w:ascii="ITC Avant Garde" w:hAnsi="ITC Avant Garde"/>
          <w:lang w:val="es-MX"/>
        </w:rPr>
        <w:t>. En particular, el modelo no tendrá en cuenta, para el costo de un servicio dado, los activos recuperados de otro servicio.</w:t>
      </w:r>
    </w:p>
    <w:p w14:paraId="5F340D6F" w14:textId="77777777" w:rsidR="004F627A" w:rsidRPr="004C1A96" w:rsidRDefault="004F627A" w:rsidP="004F627A">
      <w:pPr>
        <w:rPr>
          <w:rFonts w:ascii="ITC Avant Garde" w:hAnsi="ITC Avant Garde"/>
          <w:lang w:val="es-MX"/>
        </w:rPr>
      </w:pPr>
      <w:r w:rsidRPr="004C1A96">
        <w:rPr>
          <w:rFonts w:ascii="ITC Avant Garde" w:hAnsi="ITC Avant Garde"/>
          <w:lang w:val="es-MX"/>
        </w:rPr>
        <w:lastRenderedPageBreak/>
        <w:t>Para los servicios de acceso a la red, se debe prestar la debida consideración a:</w:t>
      </w:r>
    </w:p>
    <w:p w14:paraId="6AF44040" w14:textId="4F4C0846" w:rsidR="004F627A" w:rsidRPr="004C1A96" w:rsidRDefault="004F627A" w:rsidP="00F9290D">
      <w:pPr>
        <w:pStyle w:val="Listaconvietas2"/>
        <w:rPr>
          <w:rFonts w:ascii="ITC Avant Garde" w:hAnsi="ITC Avant Garde"/>
          <w:lang w:val="es-MX"/>
        </w:rPr>
      </w:pPr>
      <w:r w:rsidRPr="004C1A96">
        <w:rPr>
          <w:rFonts w:ascii="ITC Avant Garde" w:hAnsi="ITC Avant Garde"/>
          <w:lang w:val="es-MX"/>
        </w:rPr>
        <w:t xml:space="preserve">Los activos cerca de las instalaciones del usuario final: los activos que se benefician de financiación externa, en particular la parte privada de la </w:t>
      </w:r>
      <w:r w:rsidR="00F9290D" w:rsidRPr="004C1A96">
        <w:rPr>
          <w:rFonts w:ascii="ITC Avant Garde" w:hAnsi="ITC Avant Garde"/>
          <w:lang w:val="es-MX"/>
        </w:rPr>
        <w:t>acometida</w:t>
      </w:r>
      <w:r w:rsidRPr="004C1A96">
        <w:rPr>
          <w:rFonts w:ascii="ITC Avant Garde" w:hAnsi="ITC Avant Garde"/>
          <w:lang w:val="es-MX"/>
        </w:rPr>
        <w:t xml:space="preserve"> y el punto de terminación de la red, se identificarán </w:t>
      </w:r>
      <w:r w:rsidR="00F9290D" w:rsidRPr="004C1A96">
        <w:rPr>
          <w:rFonts w:ascii="ITC Avant Garde" w:hAnsi="ITC Avant Garde"/>
          <w:lang w:val="es-MX"/>
        </w:rPr>
        <w:t>a partir de los</w:t>
      </w:r>
      <w:r w:rsidRPr="004C1A96">
        <w:rPr>
          <w:rFonts w:ascii="ITC Avant Garde" w:hAnsi="ITC Avant Garde"/>
          <w:lang w:val="es-MX"/>
        </w:rPr>
        <w:t xml:space="preserve"> datos recopilados del </w:t>
      </w:r>
      <w:r w:rsidR="00F9290D" w:rsidRPr="004C1A96">
        <w:rPr>
          <w:rFonts w:ascii="ITC Avant Garde" w:hAnsi="ITC Avant Garde"/>
          <w:lang w:val="es-MX"/>
        </w:rPr>
        <w:t>AE</w:t>
      </w:r>
      <w:r w:rsidRPr="004C1A96">
        <w:rPr>
          <w:rFonts w:ascii="ITC Avant Garde" w:hAnsi="ITC Avant Garde"/>
          <w:lang w:val="es-MX"/>
        </w:rPr>
        <w:t xml:space="preserve">P, otras partes interesadas y </w:t>
      </w:r>
      <w:r w:rsidR="004B276B" w:rsidRPr="004C1A96">
        <w:rPr>
          <w:rFonts w:ascii="ITC Avant Garde" w:hAnsi="ITC Avant Garde"/>
          <w:lang w:val="es-MX"/>
        </w:rPr>
        <w:t>otras fuentes relevantes</w:t>
      </w:r>
      <w:r w:rsidR="004D360A" w:rsidRPr="004C1A96">
        <w:rPr>
          <w:rFonts w:ascii="ITC Avant Garde" w:hAnsi="ITC Avant Garde"/>
          <w:lang w:val="es-MX"/>
        </w:rPr>
        <w:t>.</w:t>
      </w:r>
    </w:p>
    <w:p w14:paraId="3751CACA" w14:textId="77777777" w:rsidR="007A227B" w:rsidRPr="004C1A96" w:rsidRDefault="007A227B" w:rsidP="007A227B">
      <w:pPr>
        <w:pStyle w:val="Listaconvietas2"/>
        <w:numPr>
          <w:ilvl w:val="0"/>
          <w:numId w:val="0"/>
        </w:numPr>
        <w:ind w:left="643"/>
        <w:rPr>
          <w:rFonts w:ascii="ITC Avant Garde" w:hAnsi="ITC Avant Garde"/>
          <w:lang w:val="es-MX"/>
        </w:rPr>
      </w:pPr>
    </w:p>
    <w:p w14:paraId="57DD84D1" w14:textId="77777777" w:rsidR="004F627A" w:rsidRPr="004C1A96" w:rsidRDefault="004F627A" w:rsidP="00F9290D">
      <w:pPr>
        <w:pStyle w:val="Listaconvietas2"/>
        <w:rPr>
          <w:rFonts w:ascii="ITC Avant Garde" w:hAnsi="ITC Avant Garde"/>
          <w:lang w:val="es-MX"/>
        </w:rPr>
      </w:pPr>
      <w:r w:rsidRPr="004C1A96">
        <w:rPr>
          <w:rFonts w:ascii="ITC Avant Garde" w:hAnsi="ITC Avant Garde"/>
          <w:lang w:val="es-MX"/>
        </w:rPr>
        <w:t xml:space="preserve">Los activos en el nodo de acceso: los activos desplegados para los servicios de acceso (por ejemplo, ODF) se identificarán y diferenciarán de los activos desplegados para la </w:t>
      </w:r>
      <w:r w:rsidR="00F9290D" w:rsidRPr="004C1A96">
        <w:rPr>
          <w:rFonts w:ascii="ITC Avant Garde" w:hAnsi="ITC Avant Garde"/>
          <w:lang w:val="es-MX"/>
        </w:rPr>
        <w:t>de transporte</w:t>
      </w:r>
      <w:r w:rsidRPr="004C1A96">
        <w:rPr>
          <w:rFonts w:ascii="ITC Avant Garde" w:hAnsi="ITC Avant Garde"/>
          <w:lang w:val="es-MX"/>
        </w:rPr>
        <w:t>. Esto definirá la frontera entre el acceso y las redes centrales. Además, los activos propiedad</w:t>
      </w:r>
      <w:r w:rsidR="00F9290D" w:rsidRPr="004C1A96">
        <w:rPr>
          <w:rFonts w:ascii="ITC Avant Garde" w:hAnsi="ITC Avant Garde"/>
          <w:lang w:val="es-MX"/>
        </w:rPr>
        <w:t>es</w:t>
      </w:r>
      <w:r w:rsidRPr="004C1A96">
        <w:rPr>
          <w:rFonts w:ascii="ITC Avant Garde" w:hAnsi="ITC Avant Garde"/>
          <w:lang w:val="es-MX"/>
        </w:rPr>
        <w:t xml:space="preserve"> de los solicitantes de acceso se excluirán a los efectos de la fijación de precios de los servicios de acceso.</w:t>
      </w:r>
    </w:p>
    <w:p w14:paraId="683D332B" w14:textId="77777777" w:rsidR="004F627A" w:rsidRPr="004C1A96" w:rsidRDefault="00FC28C8" w:rsidP="004F627A">
      <w:pPr>
        <w:rPr>
          <w:rFonts w:ascii="ITC Avant Garde" w:hAnsi="ITC Avant Garde"/>
          <w:lang w:val="es-MX"/>
        </w:rPr>
      </w:pPr>
      <w:r w:rsidRPr="004C1A96">
        <w:rPr>
          <w:rFonts w:ascii="ITC Avant Garde" w:hAnsi="ITC Avant Garde"/>
          <w:lang w:val="es-MX"/>
        </w:rPr>
        <w:t xml:space="preserve">En este contexto, el término </w:t>
      </w:r>
      <w:r w:rsidR="004F627A" w:rsidRPr="004C1A96">
        <w:rPr>
          <w:rFonts w:ascii="ITC Avant Garde" w:hAnsi="ITC Avant Garde"/>
          <w:lang w:val="es-MX"/>
        </w:rPr>
        <w:t>"</w:t>
      </w:r>
      <w:r w:rsidRPr="004C1A96">
        <w:rPr>
          <w:rFonts w:ascii="ITC Avant Garde" w:hAnsi="ITC Avant Garde"/>
          <w:lang w:val="es-MX"/>
        </w:rPr>
        <w:t>financiamiento</w:t>
      </w:r>
      <w:r w:rsidR="004F627A" w:rsidRPr="004C1A96">
        <w:rPr>
          <w:rFonts w:ascii="ITC Avant Garde" w:hAnsi="ITC Avant Garde"/>
          <w:lang w:val="es-MX"/>
        </w:rPr>
        <w:t xml:space="preserve"> externo" se refiere a todas las fuentes de ingresos</w:t>
      </w:r>
      <w:r w:rsidR="00875932" w:rsidRPr="004C1A96">
        <w:rPr>
          <w:rFonts w:ascii="ITC Avant Garde" w:hAnsi="ITC Avant Garde"/>
          <w:lang w:val="es-MX"/>
        </w:rPr>
        <w:t>/</w:t>
      </w:r>
      <w:r w:rsidR="004F627A" w:rsidRPr="004C1A96">
        <w:rPr>
          <w:rFonts w:ascii="ITC Avant Garde" w:hAnsi="ITC Avant Garde"/>
          <w:lang w:val="es-MX"/>
        </w:rPr>
        <w:t xml:space="preserve">fondos que no sean el precio regulado derivado del modelo (tarifa mensual mayorista pagada por el buscador de acceso, terminación fija, </w:t>
      </w:r>
      <w:r w:rsidRPr="004C1A96">
        <w:rPr>
          <w:rFonts w:ascii="ITC Avant Garde" w:hAnsi="ITC Avant Garde"/>
          <w:lang w:val="es-MX"/>
        </w:rPr>
        <w:t>entre otros</w:t>
      </w:r>
      <w:r w:rsidR="004F627A" w:rsidRPr="004C1A96">
        <w:rPr>
          <w:rFonts w:ascii="ITC Avant Garde" w:hAnsi="ITC Avant Garde"/>
          <w:lang w:val="es-MX"/>
        </w:rPr>
        <w:t>). Puede consistir en:</w:t>
      </w:r>
    </w:p>
    <w:p w14:paraId="0EE0F262" w14:textId="296A0059" w:rsidR="004F627A" w:rsidRPr="004C1A96" w:rsidRDefault="004F627A" w:rsidP="00F9290D">
      <w:pPr>
        <w:pStyle w:val="Listaconvietas2"/>
        <w:rPr>
          <w:rFonts w:ascii="ITC Avant Garde" w:hAnsi="ITC Avant Garde"/>
          <w:lang w:val="es-MX"/>
        </w:rPr>
      </w:pPr>
      <w:r w:rsidRPr="004C1A96">
        <w:rPr>
          <w:rFonts w:ascii="ITC Avant Garde" w:hAnsi="ITC Avant Garde"/>
          <w:lang w:val="es-MX"/>
        </w:rPr>
        <w:t>Tarifa única pagada por adelantado para la instalación de la línea, por el cliente final o por el operador alternativo</w:t>
      </w:r>
      <w:r w:rsidR="004D360A" w:rsidRPr="004C1A96">
        <w:rPr>
          <w:rFonts w:ascii="ITC Avant Garde" w:hAnsi="ITC Avant Garde"/>
          <w:lang w:val="es-MX"/>
        </w:rPr>
        <w:t>.</w:t>
      </w:r>
    </w:p>
    <w:p w14:paraId="66BF5372" w14:textId="77777777" w:rsidR="004F627A" w:rsidRPr="004C1A96" w:rsidRDefault="004F627A" w:rsidP="00F9290D">
      <w:pPr>
        <w:pStyle w:val="Listaconvietas2"/>
        <w:rPr>
          <w:rFonts w:ascii="ITC Avant Garde" w:hAnsi="ITC Avant Garde"/>
          <w:lang w:val="es-MX"/>
        </w:rPr>
      </w:pPr>
      <w:r w:rsidRPr="004C1A96">
        <w:rPr>
          <w:rFonts w:ascii="ITC Avant Garde" w:hAnsi="ITC Avant Garde"/>
          <w:lang w:val="es-MX"/>
        </w:rPr>
        <w:t>Ayudas estatales o subsidios municipales diseñados para recuperar todo o parte de un determinado conjunto de servicios o despliegue de activos.</w:t>
      </w:r>
    </w:p>
    <w:p w14:paraId="54F11EF2" w14:textId="77777777" w:rsidR="004F627A" w:rsidRPr="004C1A96" w:rsidRDefault="004F627A" w:rsidP="004F627A">
      <w:pPr>
        <w:rPr>
          <w:rFonts w:ascii="ITC Avant Garde" w:hAnsi="ITC Avant Garde"/>
          <w:lang w:val="es-MX"/>
        </w:rPr>
      </w:pPr>
      <w:r w:rsidRPr="004C1A96">
        <w:rPr>
          <w:rFonts w:ascii="ITC Avant Garde" w:hAnsi="ITC Avant Garde"/>
          <w:lang w:val="es-MX"/>
        </w:rPr>
        <w:t>Cuando el cálculo del costo se basa en una huella que corresponde a una implementación impulsada por el mercado, las ayudas estatales y regionales deben excluirse de la base de costos que estará sujeta al cálculo de los resultados de costos para los servicios regulados.</w:t>
      </w:r>
    </w:p>
    <w:p w14:paraId="5BF3FE39" w14:textId="77777777" w:rsidR="004F627A" w:rsidRPr="004C1A96" w:rsidRDefault="004F627A" w:rsidP="00F9290D">
      <w:pPr>
        <w:pStyle w:val="Encadr3"/>
        <w:rPr>
          <w:rFonts w:ascii="ITC Avant Garde" w:hAnsi="ITC Avant Garde"/>
          <w:lang w:val="es-MX"/>
        </w:rPr>
      </w:pPr>
      <w:r w:rsidRPr="004C1A96">
        <w:rPr>
          <w:rFonts w:ascii="ITC Avant Garde" w:hAnsi="ITC Avant Garde"/>
          <w:lang w:val="es-MX"/>
        </w:rPr>
        <w:t xml:space="preserve">Criterio </w:t>
      </w:r>
      <w:r w:rsidR="00F9290D" w:rsidRPr="004C1A96">
        <w:rPr>
          <w:rFonts w:ascii="ITC Avant Garde" w:hAnsi="ITC Avant Garde"/>
          <w:lang w:val="es-MX"/>
        </w:rPr>
        <w:t>31</w:t>
      </w:r>
      <w:r w:rsidRPr="004C1A96">
        <w:rPr>
          <w:rFonts w:ascii="ITC Avant Garde" w:hAnsi="ITC Avant Garde"/>
          <w:lang w:val="es-MX"/>
        </w:rPr>
        <w:t xml:space="preserve">: El modelo asegura la recuperación del costo eficiente para el acceso y los servicios básicos para el operador modelado. En particular, identifica los activos </w:t>
      </w:r>
      <w:r w:rsidR="00F9290D" w:rsidRPr="004C1A96">
        <w:rPr>
          <w:rFonts w:ascii="ITC Avant Garde" w:hAnsi="ITC Avant Garde"/>
          <w:lang w:val="es-MX"/>
        </w:rPr>
        <w:t xml:space="preserve">requeridos </w:t>
      </w:r>
      <w:r w:rsidRPr="004C1A96">
        <w:rPr>
          <w:rFonts w:ascii="ITC Avant Garde" w:hAnsi="ITC Avant Garde"/>
          <w:lang w:val="es-MX"/>
        </w:rPr>
        <w:t>para proporcionar uno u otro servicio para definir la base de costos para el servicio, y no tendrá en cuenta los activos que se benefician de una financiación alternativa, como por ejemplo la ayuda estatal y los pag</w:t>
      </w:r>
      <w:r w:rsidR="00F9290D" w:rsidRPr="004C1A96">
        <w:rPr>
          <w:rFonts w:ascii="ITC Avant Garde" w:hAnsi="ITC Avant Garde"/>
          <w:lang w:val="es-MX"/>
        </w:rPr>
        <w:t xml:space="preserve">os del </w:t>
      </w:r>
      <w:r w:rsidRPr="004C1A96">
        <w:rPr>
          <w:rFonts w:ascii="ITC Avant Garde" w:hAnsi="ITC Avant Garde"/>
          <w:lang w:val="es-MX"/>
        </w:rPr>
        <w:t>cliente</w:t>
      </w:r>
      <w:r w:rsidR="00F9290D" w:rsidRPr="004C1A96">
        <w:rPr>
          <w:rFonts w:ascii="ITC Avant Garde" w:hAnsi="ITC Avant Garde"/>
          <w:lang w:val="es-MX"/>
        </w:rPr>
        <w:t xml:space="preserve"> final</w:t>
      </w:r>
      <w:r w:rsidRPr="004C1A96">
        <w:rPr>
          <w:rFonts w:ascii="ITC Avant Garde" w:hAnsi="ITC Avant Garde"/>
          <w:lang w:val="es-MX"/>
        </w:rPr>
        <w:t>.</w:t>
      </w:r>
    </w:p>
    <w:p w14:paraId="4F86073E" w14:textId="77777777" w:rsidR="00A66A23" w:rsidRPr="003B2E52" w:rsidRDefault="00A66A23" w:rsidP="005E134D">
      <w:pPr>
        <w:pStyle w:val="Ttulo1"/>
        <w:rPr>
          <w:lang w:val="es-MX"/>
        </w:rPr>
      </w:pPr>
      <w:bookmarkStart w:id="174" w:name="_Toc525672852"/>
      <w:bookmarkStart w:id="175" w:name="_Toc525665292"/>
      <w:bookmarkStart w:id="176" w:name="_Toc525665671"/>
      <w:bookmarkStart w:id="177" w:name="_Toc141975029"/>
      <w:r w:rsidRPr="003B2E52">
        <w:rPr>
          <w:lang w:val="es-MX"/>
        </w:rPr>
        <w:lastRenderedPageBreak/>
        <w:t>Descripción del modelo de acceso</w:t>
      </w:r>
      <w:bookmarkEnd w:id="174"/>
      <w:bookmarkEnd w:id="175"/>
      <w:bookmarkEnd w:id="176"/>
      <w:bookmarkEnd w:id="177"/>
    </w:p>
    <w:p w14:paraId="63D0C10B" w14:textId="77777777" w:rsidR="00A66A23" w:rsidRPr="004C1A96" w:rsidRDefault="00A66A23" w:rsidP="00A66A23">
      <w:pPr>
        <w:rPr>
          <w:rFonts w:ascii="ITC Avant Garde" w:hAnsi="ITC Avant Garde"/>
          <w:lang w:val="es-MX"/>
        </w:rPr>
      </w:pPr>
      <w:r w:rsidRPr="004C1A96">
        <w:rPr>
          <w:rFonts w:ascii="ITC Avant Garde" w:hAnsi="ITC Avant Garde"/>
          <w:lang w:val="es-MX"/>
        </w:rPr>
        <w:t>Esta sección detalla la implementación técnica del modelo LRAIC. Tiene la siguiente estructura:</w:t>
      </w:r>
    </w:p>
    <w:p w14:paraId="5A8AB5EF" w14:textId="77777777" w:rsidR="00A66A23" w:rsidRPr="00E14D8A" w:rsidRDefault="00A66A23" w:rsidP="00A66A23">
      <w:pPr>
        <w:pStyle w:val="Listaconvietas2"/>
        <w:rPr>
          <w:rFonts w:ascii="ITC Avant Garde" w:hAnsi="ITC Avant Garde"/>
          <w:lang w:val="es-MX"/>
        </w:rPr>
      </w:pPr>
      <w:r w:rsidRPr="00E14D8A">
        <w:rPr>
          <w:rFonts w:ascii="ITC Avant Garde" w:hAnsi="ITC Avant Garde"/>
          <w:lang w:val="es-MX"/>
        </w:rPr>
        <w:t>La sección 3.1 proporciona una vista de alto nivel de la estructura del modelo;</w:t>
      </w:r>
    </w:p>
    <w:p w14:paraId="16728418" w14:textId="77777777" w:rsidR="00A66A23" w:rsidRPr="00E14D8A" w:rsidRDefault="00A66A23" w:rsidP="00A66A23">
      <w:pPr>
        <w:pStyle w:val="Listaconvietas2"/>
        <w:rPr>
          <w:rFonts w:ascii="ITC Avant Garde" w:hAnsi="ITC Avant Garde"/>
          <w:lang w:val="es-MX"/>
        </w:rPr>
      </w:pPr>
      <w:r w:rsidRPr="00E14D8A">
        <w:rPr>
          <w:rFonts w:ascii="ITC Avant Garde" w:hAnsi="ITC Avant Garde"/>
          <w:lang w:val="es-MX"/>
        </w:rPr>
        <w:t>La sección 3.2 presenta la elaboración y el uso de los bases de datos geomarketing (cálculos fuera de línea);</w:t>
      </w:r>
    </w:p>
    <w:p w14:paraId="42424045" w14:textId="77777777" w:rsidR="00A66A23" w:rsidRPr="004C1A96" w:rsidRDefault="00A66A23" w:rsidP="00A66A23">
      <w:pPr>
        <w:pStyle w:val="Listaconvietas2"/>
        <w:rPr>
          <w:rFonts w:ascii="ITC Avant Garde" w:hAnsi="ITC Avant Garde"/>
          <w:lang w:val="es-MX"/>
        </w:rPr>
      </w:pPr>
      <w:r w:rsidRPr="00E14D8A">
        <w:rPr>
          <w:rFonts w:ascii="ITC Avant Garde" w:hAnsi="ITC Avant Garde"/>
          <w:lang w:val="es-MX"/>
        </w:rPr>
        <w:t>La sección 3.3 detalla los princ</w:t>
      </w:r>
      <w:r w:rsidRPr="004C1A96">
        <w:rPr>
          <w:rFonts w:ascii="ITC Avant Garde" w:hAnsi="ITC Avant Garde"/>
          <w:lang w:val="es-MX"/>
        </w:rPr>
        <w:t>ipios de dimensionamiento utilizados para diseñar las redes de acceso de cobre y fibra;</w:t>
      </w:r>
    </w:p>
    <w:p w14:paraId="02A86FB6" w14:textId="77777777" w:rsidR="00A66A23" w:rsidRPr="004C1A96" w:rsidRDefault="00A66A23" w:rsidP="00A66A23">
      <w:pPr>
        <w:pStyle w:val="Listaconvietas2"/>
        <w:rPr>
          <w:rFonts w:ascii="ITC Avant Garde" w:hAnsi="ITC Avant Garde"/>
          <w:lang w:val="es-MX"/>
        </w:rPr>
      </w:pPr>
      <w:r w:rsidRPr="004C1A96">
        <w:rPr>
          <w:rFonts w:ascii="ITC Avant Garde" w:hAnsi="ITC Avant Garde"/>
          <w:lang w:val="es-MX"/>
        </w:rPr>
        <w:t>La sección 3.4 detalla los cálculos que permiten derivar los costos de red y los costos por servicio.</w:t>
      </w:r>
    </w:p>
    <w:p w14:paraId="12D24806" w14:textId="77777777" w:rsidR="00A66A23" w:rsidRPr="004C1A96" w:rsidRDefault="00A66A23" w:rsidP="00A66A23">
      <w:pPr>
        <w:rPr>
          <w:rFonts w:ascii="ITC Avant Garde" w:hAnsi="ITC Avant Garde"/>
          <w:lang w:val="es-MX"/>
        </w:rPr>
      </w:pPr>
    </w:p>
    <w:p w14:paraId="2821DCC9" w14:textId="77777777" w:rsidR="00A66A23" w:rsidRPr="004C1A96" w:rsidRDefault="00A66A23" w:rsidP="00A66A23">
      <w:pPr>
        <w:rPr>
          <w:rFonts w:ascii="ITC Avant Garde" w:hAnsi="ITC Avant Garde"/>
          <w:lang w:val="es-MX"/>
        </w:rPr>
      </w:pPr>
    </w:p>
    <w:p w14:paraId="361FC3E4" w14:textId="77777777" w:rsidR="00A66A23" w:rsidRPr="004C1A96" w:rsidRDefault="00A66A23" w:rsidP="00A66A23">
      <w:pPr>
        <w:spacing w:before="0" w:line="240" w:lineRule="auto"/>
        <w:jc w:val="left"/>
        <w:rPr>
          <w:rFonts w:ascii="ITC Avant Garde" w:hAnsi="ITC Avant Garde"/>
          <w:lang w:val="es-MX"/>
        </w:rPr>
      </w:pPr>
      <w:r w:rsidRPr="004C1A96">
        <w:rPr>
          <w:rFonts w:ascii="ITC Avant Garde" w:hAnsi="ITC Avant Garde"/>
          <w:lang w:val="es-MX"/>
        </w:rPr>
        <w:br w:type="page"/>
      </w:r>
    </w:p>
    <w:p w14:paraId="7BAAD67E" w14:textId="77777777" w:rsidR="00A66A23" w:rsidRPr="003B2E52" w:rsidRDefault="00A66A23" w:rsidP="00F17242">
      <w:pPr>
        <w:pStyle w:val="Ttulo2"/>
        <w:rPr>
          <w:lang w:val="es-MX"/>
        </w:rPr>
      </w:pPr>
      <w:bookmarkStart w:id="178" w:name="_Toc525672853"/>
      <w:bookmarkStart w:id="179" w:name="_Toc525665293"/>
      <w:bookmarkStart w:id="180" w:name="_Toc525665672"/>
      <w:bookmarkStart w:id="181" w:name="_Toc141975030"/>
      <w:r w:rsidRPr="003B2E52">
        <w:rPr>
          <w:lang w:val="es-MX"/>
        </w:rPr>
        <w:lastRenderedPageBreak/>
        <w:t>Estructura del modelo</w:t>
      </w:r>
      <w:bookmarkEnd w:id="178"/>
      <w:bookmarkEnd w:id="179"/>
      <w:bookmarkEnd w:id="180"/>
      <w:bookmarkEnd w:id="181"/>
    </w:p>
    <w:p w14:paraId="63F3A9B7" w14:textId="77777777" w:rsidR="00A66A23" w:rsidRPr="003B2E52" w:rsidRDefault="00A66A23" w:rsidP="0040723E">
      <w:pPr>
        <w:pStyle w:val="Ttulo3"/>
        <w:rPr>
          <w:lang w:val="es-MX"/>
        </w:rPr>
      </w:pPr>
      <w:bookmarkStart w:id="182" w:name="_Toc525672854"/>
      <w:bookmarkStart w:id="183" w:name="_Toc525665294"/>
      <w:bookmarkStart w:id="184" w:name="_Toc525665673"/>
      <w:bookmarkStart w:id="185" w:name="_Toc141975031"/>
      <w:r w:rsidRPr="003B2E52">
        <w:rPr>
          <w:lang w:val="es-MX"/>
        </w:rPr>
        <w:t>Visión general</w:t>
      </w:r>
      <w:bookmarkEnd w:id="182"/>
      <w:bookmarkEnd w:id="183"/>
      <w:bookmarkEnd w:id="184"/>
      <w:bookmarkEnd w:id="185"/>
    </w:p>
    <w:p w14:paraId="15C2BAC2" w14:textId="77777777" w:rsidR="00A66A23" w:rsidRPr="004C1A96" w:rsidRDefault="00A66A23" w:rsidP="00A66A23">
      <w:pPr>
        <w:rPr>
          <w:rFonts w:ascii="ITC Avant Garde" w:hAnsi="ITC Avant Garde"/>
          <w:lang w:val="es-MX"/>
        </w:rPr>
      </w:pPr>
      <w:r w:rsidRPr="004C1A96">
        <w:rPr>
          <w:rFonts w:ascii="ITC Avant Garde" w:hAnsi="ITC Avant Garde"/>
          <w:lang w:val="es-MX"/>
        </w:rPr>
        <w:t>Esta sección describe la estructura básica y el funcionamiento del modelo de acceso.</w:t>
      </w:r>
    </w:p>
    <w:p w14:paraId="6A835FD1" w14:textId="04E8EC8A" w:rsidR="00A66A23" w:rsidRPr="004C1A96" w:rsidRDefault="00A66A23" w:rsidP="00A66A23">
      <w:pPr>
        <w:rPr>
          <w:rFonts w:ascii="ITC Avant Garde" w:hAnsi="ITC Avant Garde"/>
          <w:lang w:val="es-MX"/>
        </w:rPr>
      </w:pPr>
      <w:r w:rsidRPr="00E14D8A">
        <w:rPr>
          <w:rFonts w:ascii="ITC Avant Garde" w:hAnsi="ITC Avant Garde"/>
          <w:lang w:val="es-MX"/>
        </w:rPr>
        <w:t>El modelo de costo de la red de acceso estima los costos de todos los cables y zanjas asociados con las líneas de clientes para vincular a todos los clientes desde las instalaciones del cliente a un punto de concentración (PDP), y del punto de concentración (el término “Centrales” llama se emplean en este documento para denominar a la Oficina Central (CO) donde se encuentran los equipos activos</w:t>
      </w:r>
      <w:r w:rsidR="005E56FA" w:rsidRPr="00E14D8A">
        <w:rPr>
          <w:rFonts w:ascii="ITC Avant Garde" w:hAnsi="ITC Avant Garde"/>
          <w:lang w:val="es-MX"/>
        </w:rPr>
        <w:t>)</w:t>
      </w:r>
      <w:r w:rsidRPr="004C1A96">
        <w:rPr>
          <w:rFonts w:ascii="ITC Avant Garde" w:hAnsi="ITC Avant Garde"/>
          <w:lang w:val="es-MX"/>
        </w:rPr>
        <w:t>. Esto se realiza para ambas tecnologías de acceso.</w:t>
      </w:r>
    </w:p>
    <w:p w14:paraId="4CFFCFBC" w14:textId="77777777" w:rsidR="00A66A23" w:rsidRPr="004C1A96" w:rsidRDefault="00A66A23" w:rsidP="00A66A23">
      <w:pPr>
        <w:rPr>
          <w:rFonts w:ascii="ITC Avant Garde" w:hAnsi="ITC Avant Garde"/>
          <w:lang w:val="es-MX"/>
        </w:rPr>
      </w:pPr>
      <w:r w:rsidRPr="004C1A96">
        <w:rPr>
          <w:rFonts w:ascii="ITC Avant Garde" w:hAnsi="ITC Avant Garde"/>
          <w:lang w:val="es-MX"/>
        </w:rPr>
        <w:t>El modelo es una jerarquía de 3 módulos interconectados (ver figura siguiente):</w:t>
      </w:r>
    </w:p>
    <w:p w14:paraId="0CD12DFA" w14:textId="77777777" w:rsidR="00A66A23" w:rsidRPr="004C1A96" w:rsidRDefault="00A66A23" w:rsidP="00A66A23">
      <w:pPr>
        <w:pStyle w:val="Listaconvietas2"/>
        <w:rPr>
          <w:rFonts w:ascii="ITC Avant Garde" w:hAnsi="ITC Avant Garde"/>
          <w:lang w:val="es-MX"/>
        </w:rPr>
      </w:pPr>
      <w:r w:rsidRPr="004C1A96">
        <w:rPr>
          <w:rFonts w:ascii="ITC Avant Garde" w:hAnsi="ITC Avant Garde"/>
          <w:b/>
          <w:lang w:val="es-MX"/>
        </w:rPr>
        <w:t>Procesamiento de datos de geo marketing (cálculo fuera de línea)</w:t>
      </w:r>
      <w:r w:rsidRPr="004C1A96">
        <w:rPr>
          <w:rFonts w:ascii="ITC Avant Garde" w:hAnsi="ITC Avant Garde"/>
          <w:lang w:val="es-MX"/>
        </w:rPr>
        <w:t>: tiene como objetivo determinar todas las rutas de cables desde los usuarios finales hasta los nodos de red (algoritmos de ruta más cortos). Incluye la interpretación de los nodos AEP/IFT, las bases de datos de carreteras y el análisis de direcciones. Se utiliza una herramienta de geo-marketing específica para realizar estos cálculos fuera de línea. Esta parte del modelo no está en consulta pública, pero se proporciona el resultado detallado para la revisión de la industria;</w:t>
      </w:r>
    </w:p>
    <w:p w14:paraId="4FDD78A8" w14:textId="77777777" w:rsidR="00A66A23" w:rsidRPr="004C1A96" w:rsidRDefault="00A66A23" w:rsidP="00A66A23">
      <w:pPr>
        <w:pStyle w:val="Listaconvietas2"/>
        <w:rPr>
          <w:rFonts w:ascii="ITC Avant Garde" w:hAnsi="ITC Avant Garde"/>
          <w:lang w:val="es-MX"/>
        </w:rPr>
      </w:pPr>
      <w:r w:rsidRPr="004C1A96">
        <w:rPr>
          <w:rFonts w:ascii="ITC Avant Garde" w:hAnsi="ITC Avant Garde"/>
          <w:b/>
          <w:lang w:val="es-MX"/>
        </w:rPr>
        <w:t>Dimensionamiento de la red de acceso (SQL):</w:t>
      </w:r>
      <w:r w:rsidRPr="004C1A96">
        <w:rPr>
          <w:rFonts w:ascii="ITC Avant Garde" w:hAnsi="ITC Avant Garde"/>
          <w:lang w:val="es-MX"/>
        </w:rPr>
        <w:t xml:space="preserve"> en función del análisis de datos de geomarketing realizado en los cálculos fuera de línea, así como de la lista de activos disponibles y de las reglas de dimensionamiento, la red de acceso está dimensionada en este módulo (cables, ingeniería civil, etc.), que determina un inventario de activos de la red a desplegar. Debido a la gran cantidad de datos a tratar, el cálculo se realiza con SQL. Esta parte del modelo no está en consulta pública, pero se proporciona el resultado detallado para la revisión de la industria;</w:t>
      </w:r>
    </w:p>
    <w:p w14:paraId="7E6A9EA4" w14:textId="6DB9E4E7" w:rsidR="00A66A23" w:rsidRPr="004C1A96" w:rsidRDefault="00A66A23" w:rsidP="00A66A23">
      <w:pPr>
        <w:pStyle w:val="Listaconvietas2"/>
        <w:rPr>
          <w:rFonts w:ascii="ITC Avant Garde" w:hAnsi="ITC Avant Garde"/>
          <w:lang w:val="es-MX"/>
        </w:rPr>
      </w:pPr>
      <w:r w:rsidRPr="004C1A96">
        <w:rPr>
          <w:rFonts w:ascii="ITC Avant Garde" w:hAnsi="ITC Avant Garde"/>
          <w:b/>
          <w:lang w:val="es-MX"/>
        </w:rPr>
        <w:t>Costo de acceso a la red (Microsoft Excel):</w:t>
      </w:r>
      <w:r w:rsidRPr="004C1A96">
        <w:rPr>
          <w:rFonts w:ascii="ITC Avant Garde" w:hAnsi="ITC Avant Garde"/>
          <w:lang w:val="es-MX"/>
        </w:rPr>
        <w:t xml:space="preserve"> una vez que se realiza el dimensionamiento, los costos se obtienen (multiplicando el recuento de activos obtenido en el módulo anterior por los costos unitarios). Luego se realiza la depreciación y asignación de los costos de zanjas entre las redes centrales y de acceso. La cantidad máxima de cálculos (incluido el cálculo de la inversión) se realiza en Microsoft Excel. Los costos de las redes de </w:t>
      </w:r>
      <w:r w:rsidR="00A37EF6" w:rsidRPr="004C1A96">
        <w:rPr>
          <w:rFonts w:ascii="ITC Avant Garde" w:hAnsi="ITC Avant Garde"/>
          <w:lang w:val="es-MX"/>
        </w:rPr>
        <w:t xml:space="preserve">FTTH, FTTC </w:t>
      </w:r>
      <w:r w:rsidRPr="004C1A96">
        <w:rPr>
          <w:rFonts w:ascii="ITC Avant Garde" w:hAnsi="ITC Avant Garde"/>
          <w:lang w:val="es-MX"/>
        </w:rPr>
        <w:t>y cobre se calculan en este mismo modulo. Este módulo está en consulta pública.</w:t>
      </w:r>
    </w:p>
    <w:p w14:paraId="5B550312" w14:textId="77777777" w:rsidR="00A66A23" w:rsidRPr="004C1A96" w:rsidRDefault="00A66A23" w:rsidP="00A66A23">
      <w:pPr>
        <w:rPr>
          <w:rFonts w:ascii="ITC Avant Garde" w:hAnsi="ITC Avant Garde"/>
          <w:lang w:val="es-MX"/>
        </w:rPr>
      </w:pPr>
    </w:p>
    <w:p w14:paraId="764B7D37" w14:textId="4FA78C04" w:rsidR="00A66A23" w:rsidRPr="004C1A96" w:rsidRDefault="006D69ED" w:rsidP="003B2E52">
      <w:pPr>
        <w:pStyle w:val="Descripcin"/>
        <w:keepNext/>
        <w:rPr>
          <w:rFonts w:ascii="ITC Avant Garde" w:hAnsi="ITC Avant Garde"/>
          <w:lang w:val="es-MX"/>
        </w:rPr>
      </w:pPr>
      <w:r w:rsidRPr="004C1A96">
        <w:rPr>
          <w:rFonts w:ascii="ITC Avant Garde" w:hAnsi="ITC Avant Garde"/>
          <w:lang w:val="es-MX"/>
        </w:rPr>
        <w:lastRenderedPageBreak/>
        <w:t xml:space="preserve">Figura </w:t>
      </w:r>
      <w:r w:rsidRPr="004C1A96">
        <w:rPr>
          <w:rFonts w:ascii="ITC Avant Garde" w:hAnsi="ITC Avant Garde"/>
          <w:lang w:val="es-MX"/>
        </w:rPr>
        <w:fldChar w:fldCharType="begin"/>
      </w:r>
      <w:r w:rsidRPr="004C1A96">
        <w:rPr>
          <w:rFonts w:ascii="ITC Avant Garde" w:hAnsi="ITC Avant Garde"/>
          <w:lang w:val="es-MX"/>
        </w:rPr>
        <w:instrText xml:space="preserve"> SEQ Figura \* ARABIC </w:instrText>
      </w:r>
      <w:r w:rsidRPr="004C1A96">
        <w:rPr>
          <w:rFonts w:ascii="ITC Avant Garde" w:hAnsi="ITC Avant Garde"/>
          <w:lang w:val="es-MX"/>
        </w:rPr>
        <w:fldChar w:fldCharType="separate"/>
      </w:r>
      <w:r w:rsidR="00006265">
        <w:rPr>
          <w:rFonts w:ascii="ITC Avant Garde" w:hAnsi="ITC Avant Garde"/>
          <w:noProof/>
          <w:lang w:val="es-MX"/>
        </w:rPr>
        <w:t>12</w:t>
      </w:r>
      <w:r w:rsidRPr="004C1A96">
        <w:rPr>
          <w:rFonts w:ascii="ITC Avant Garde" w:hAnsi="ITC Avant Garde"/>
          <w:lang w:val="es-MX"/>
        </w:rPr>
        <w:fldChar w:fldCharType="end"/>
      </w:r>
      <w:r w:rsidRPr="004C1A96">
        <w:rPr>
          <w:rFonts w:ascii="ITC Avant Garde" w:hAnsi="ITC Avant Garde"/>
          <w:lang w:val="es-MX"/>
        </w:rPr>
        <w:t xml:space="preserve"> </w:t>
      </w:r>
      <w:r w:rsidR="00A66A23" w:rsidRPr="004C1A96">
        <w:rPr>
          <w:rFonts w:ascii="ITC Avant Garde" w:hAnsi="ITC Avant Garde"/>
          <w:lang w:val="es-MX"/>
        </w:rPr>
        <w:t>– Estructura e</w:t>
      </w:r>
      <w:r w:rsidR="00A66A23" w:rsidRPr="00E14D8A">
        <w:rPr>
          <w:rFonts w:ascii="ITC Avant Garde" w:hAnsi="ITC Avant Garde"/>
          <w:lang w:val="es-MX"/>
        </w:rPr>
        <w:t xml:space="preserve"> interacción del modelo</w:t>
      </w:r>
      <w:r w:rsidR="00221F97" w:rsidRPr="00872052">
        <w:rPr>
          <w:rFonts w:ascii="ITC Avant Garde" w:hAnsi="ITC Avant Garde"/>
          <w:noProof/>
          <w:lang w:val="es-MX" w:eastAsia="es-MX"/>
        </w:rPr>
        <w:drawing>
          <wp:inline distT="0" distB="0" distL="0" distR="0" wp14:anchorId="7C0CAC8C" wp14:editId="0D448048">
            <wp:extent cx="5399405" cy="1769414"/>
            <wp:effectExtent l="0" t="0" r="0" b="254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9405" cy="1769414"/>
                    </a:xfrm>
                    <a:prstGeom prst="rect">
                      <a:avLst/>
                    </a:prstGeom>
                    <a:noFill/>
                    <a:ln>
                      <a:noFill/>
                    </a:ln>
                  </pic:spPr>
                </pic:pic>
              </a:graphicData>
            </a:graphic>
          </wp:inline>
        </w:drawing>
      </w:r>
    </w:p>
    <w:p w14:paraId="490F9F8A" w14:textId="77777777" w:rsidR="00A66A23" w:rsidRPr="003B2E52" w:rsidRDefault="00A66A23" w:rsidP="0040723E">
      <w:pPr>
        <w:pStyle w:val="Ttulo3"/>
        <w:rPr>
          <w:lang w:val="es-MX"/>
        </w:rPr>
      </w:pPr>
      <w:bookmarkStart w:id="186" w:name="_Toc525672855"/>
      <w:bookmarkStart w:id="187" w:name="_Toc525665295"/>
      <w:bookmarkStart w:id="188" w:name="_Toc525665674"/>
      <w:bookmarkStart w:id="189" w:name="_Toc141975032"/>
      <w:r w:rsidRPr="003B2E52">
        <w:rPr>
          <w:lang w:val="es-MX"/>
        </w:rPr>
        <w:t>Estructura del archivo SQL</w:t>
      </w:r>
      <w:bookmarkEnd w:id="186"/>
      <w:bookmarkEnd w:id="187"/>
      <w:bookmarkEnd w:id="188"/>
      <w:bookmarkEnd w:id="189"/>
    </w:p>
    <w:p w14:paraId="77685502" w14:textId="77777777" w:rsidR="00A66A23" w:rsidRPr="004C1A96" w:rsidRDefault="00A66A23" w:rsidP="00A66A23">
      <w:pPr>
        <w:rPr>
          <w:rFonts w:ascii="ITC Avant Garde" w:hAnsi="ITC Avant Garde"/>
          <w:lang w:val="es-MX"/>
        </w:rPr>
      </w:pPr>
      <w:r w:rsidRPr="004C1A96">
        <w:rPr>
          <w:rFonts w:ascii="ITC Avant Garde" w:hAnsi="ITC Avant Garde"/>
          <w:lang w:val="es-MX"/>
        </w:rPr>
        <w:t xml:space="preserve">Esta sección proporciona una descripción general del modelo SQL. </w:t>
      </w:r>
    </w:p>
    <w:p w14:paraId="789232CC" w14:textId="77777777" w:rsidR="00A66A23" w:rsidRPr="004C1A96" w:rsidRDefault="00A66A23" w:rsidP="00A66A23">
      <w:pPr>
        <w:rPr>
          <w:rFonts w:ascii="ITC Avant Garde" w:hAnsi="ITC Avant Garde"/>
          <w:lang w:val="es-MX"/>
        </w:rPr>
      </w:pPr>
      <w:r w:rsidRPr="004C1A96">
        <w:rPr>
          <w:rFonts w:ascii="ITC Avant Garde" w:hAnsi="ITC Avant Garde"/>
          <w:lang w:val="es-MX"/>
        </w:rPr>
        <w:t>La parte SQL está compuesta de 4 bases de datos:</w:t>
      </w:r>
    </w:p>
    <w:p w14:paraId="1BB3ACBB" w14:textId="77777777" w:rsidR="00A66A23" w:rsidRPr="00E14D8A" w:rsidRDefault="00A66A23" w:rsidP="00A66A23">
      <w:pPr>
        <w:pStyle w:val="Listaconvietas2"/>
        <w:rPr>
          <w:rFonts w:ascii="ITC Avant Garde" w:hAnsi="ITC Avant Garde"/>
          <w:lang w:val="es-MX"/>
        </w:rPr>
      </w:pPr>
      <w:r w:rsidRPr="00E14D8A">
        <w:rPr>
          <w:rFonts w:ascii="ITC Avant Garde" w:hAnsi="ITC Avant Garde"/>
          <w:lang w:val="es-MX"/>
        </w:rPr>
        <w:t>3 bases de datos específicas para los insumos de red donde se describen y preparan las rutas/direcciones/secciones pertinentes;</w:t>
      </w:r>
    </w:p>
    <w:p w14:paraId="56F635B5" w14:textId="77777777" w:rsidR="00A66A23" w:rsidRPr="00E14D8A" w:rsidRDefault="00A66A23" w:rsidP="00A66A23">
      <w:pPr>
        <w:pStyle w:val="Listaconvietas2"/>
        <w:rPr>
          <w:rFonts w:ascii="ITC Avant Garde" w:hAnsi="ITC Avant Garde"/>
          <w:lang w:val="es-MX"/>
        </w:rPr>
      </w:pPr>
      <w:r w:rsidRPr="00E14D8A">
        <w:rPr>
          <w:rFonts w:ascii="ITC Avant Garde" w:hAnsi="ITC Avant Garde"/>
          <w:lang w:val="es-MX"/>
        </w:rPr>
        <w:t>1 base de datos que, al ejecutarse, calculará el dimensionamiento para el escenario relevante (es decir, deriva la cantidad necesaria de cada activo en cada sección de calle del país).</w:t>
      </w:r>
    </w:p>
    <w:p w14:paraId="3E774E4D" w14:textId="77777777" w:rsidR="00A66A23" w:rsidRPr="00E14D8A" w:rsidRDefault="00A66A23" w:rsidP="00A66A23">
      <w:pPr>
        <w:pStyle w:val="Descripcin"/>
        <w:keepNext/>
        <w:rPr>
          <w:rFonts w:ascii="ITC Avant Garde" w:hAnsi="ITC Avant Garde"/>
          <w:lang w:val="es-MX"/>
        </w:rPr>
      </w:pPr>
    </w:p>
    <w:p w14:paraId="0203A8E2" w14:textId="0BA9A34B" w:rsidR="00A66A23" w:rsidRPr="00E14D8A" w:rsidRDefault="006D69ED" w:rsidP="00A66A23">
      <w:pPr>
        <w:pStyle w:val="Descripcin"/>
        <w:keepNext/>
        <w:rPr>
          <w:rFonts w:ascii="ITC Avant Garde" w:hAnsi="ITC Avant Garde"/>
          <w:lang w:val="es-MX"/>
        </w:rPr>
      </w:pPr>
      <w:r w:rsidRPr="004C1A96">
        <w:rPr>
          <w:rFonts w:ascii="ITC Avant Garde" w:hAnsi="ITC Avant Garde"/>
          <w:lang w:val="es-MX"/>
        </w:rPr>
        <w:t xml:space="preserve">Figura </w:t>
      </w:r>
      <w:r w:rsidRPr="004C1A96">
        <w:rPr>
          <w:rFonts w:ascii="ITC Avant Garde" w:hAnsi="ITC Avant Garde"/>
          <w:lang w:val="es-MX"/>
        </w:rPr>
        <w:fldChar w:fldCharType="begin"/>
      </w:r>
      <w:r w:rsidRPr="004C1A96">
        <w:rPr>
          <w:rFonts w:ascii="ITC Avant Garde" w:hAnsi="ITC Avant Garde"/>
          <w:lang w:val="es-MX"/>
        </w:rPr>
        <w:instrText xml:space="preserve"> SEQ Figura \* ARABIC </w:instrText>
      </w:r>
      <w:r w:rsidRPr="004C1A96">
        <w:rPr>
          <w:rFonts w:ascii="ITC Avant Garde" w:hAnsi="ITC Avant Garde"/>
          <w:lang w:val="es-MX"/>
        </w:rPr>
        <w:fldChar w:fldCharType="separate"/>
      </w:r>
      <w:r w:rsidR="00006265">
        <w:rPr>
          <w:rFonts w:ascii="ITC Avant Garde" w:hAnsi="ITC Avant Garde"/>
          <w:noProof/>
          <w:lang w:val="es-MX"/>
        </w:rPr>
        <w:t>13</w:t>
      </w:r>
      <w:r w:rsidRPr="004C1A96">
        <w:rPr>
          <w:rFonts w:ascii="ITC Avant Garde" w:hAnsi="ITC Avant Garde"/>
          <w:lang w:val="es-MX"/>
        </w:rPr>
        <w:fldChar w:fldCharType="end"/>
      </w:r>
      <w:r w:rsidRPr="004C1A96">
        <w:rPr>
          <w:rFonts w:ascii="ITC Avant Garde" w:hAnsi="ITC Avant Garde"/>
          <w:lang w:val="es-MX"/>
        </w:rPr>
        <w:t xml:space="preserve"> </w:t>
      </w:r>
      <w:r w:rsidR="00A66A23" w:rsidRPr="004C1A96">
        <w:rPr>
          <w:rFonts w:ascii="ITC Avant Garde" w:hAnsi="ITC Avant Garde"/>
          <w:lang w:val="es-MX"/>
        </w:rPr>
        <w:t>– Arquitectura general del m</w:t>
      </w:r>
      <w:r w:rsidR="00A66A23" w:rsidRPr="00E14D8A">
        <w:rPr>
          <w:rFonts w:ascii="ITC Avant Garde" w:hAnsi="ITC Avant Garde"/>
          <w:lang w:val="es-MX"/>
        </w:rPr>
        <w:t>ódulo SQL</w:t>
      </w:r>
    </w:p>
    <w:p w14:paraId="61728F76" w14:textId="31FE0F19" w:rsidR="00A66A23" w:rsidRPr="004C1A96" w:rsidRDefault="00221F97" w:rsidP="00A66A23">
      <w:pPr>
        <w:jc w:val="center"/>
        <w:rPr>
          <w:rFonts w:ascii="ITC Avant Garde" w:hAnsi="ITC Avant Garde"/>
          <w:lang w:val="es-MX"/>
        </w:rPr>
      </w:pPr>
      <w:r w:rsidRPr="00872052">
        <w:rPr>
          <w:rFonts w:ascii="ITC Avant Garde" w:hAnsi="ITC Avant Garde"/>
          <w:noProof/>
          <w:lang w:val="es-MX" w:eastAsia="es-MX"/>
        </w:rPr>
        <w:drawing>
          <wp:inline distT="0" distB="0" distL="0" distR="0" wp14:anchorId="7A95F98F" wp14:editId="6693EE17">
            <wp:extent cx="4713106" cy="5293934"/>
            <wp:effectExtent l="0" t="0" r="0" b="2540"/>
            <wp:docPr id="32" name="Image 3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39" descr="A screenshot of a comput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21301" cy="5303139"/>
                    </a:xfrm>
                    <a:prstGeom prst="rect">
                      <a:avLst/>
                    </a:prstGeom>
                    <a:noFill/>
                  </pic:spPr>
                </pic:pic>
              </a:graphicData>
            </a:graphic>
          </wp:inline>
        </w:drawing>
      </w:r>
    </w:p>
    <w:p w14:paraId="02F685E7" w14:textId="77777777" w:rsidR="00A66A23" w:rsidRPr="004C1A96" w:rsidRDefault="00A66A23" w:rsidP="00A66A23">
      <w:pPr>
        <w:rPr>
          <w:rFonts w:ascii="ITC Avant Garde" w:hAnsi="ITC Avant Garde"/>
          <w:lang w:val="es-MX"/>
        </w:rPr>
      </w:pPr>
    </w:p>
    <w:p w14:paraId="467BA5D7" w14:textId="77777777" w:rsidR="00A66A23" w:rsidRPr="00E14D8A" w:rsidRDefault="00A66A23" w:rsidP="00A66A23">
      <w:pPr>
        <w:rPr>
          <w:rFonts w:ascii="ITC Avant Garde" w:hAnsi="ITC Avant Garde"/>
          <w:lang w:val="es-MX"/>
        </w:rPr>
      </w:pPr>
      <w:r w:rsidRPr="00E14D8A">
        <w:rPr>
          <w:rFonts w:ascii="ITC Avant Garde" w:hAnsi="ITC Avant Garde"/>
          <w:lang w:val="es-MX"/>
        </w:rPr>
        <w:t xml:space="preserve">Las primeras tres bases de datos se utilizan como un búfer para estructurar la entrada de los datos de cálculos fuera de línea en el formato utilizado por la base de datos de modelo. </w:t>
      </w:r>
    </w:p>
    <w:p w14:paraId="1096086B" w14:textId="77777777" w:rsidR="00A66A23" w:rsidRPr="00E14D8A" w:rsidRDefault="00A66A23" w:rsidP="00A66A23">
      <w:pPr>
        <w:rPr>
          <w:rFonts w:ascii="ITC Avant Garde" w:hAnsi="ITC Avant Garde"/>
          <w:lang w:val="es-MX"/>
        </w:rPr>
      </w:pPr>
      <w:r w:rsidRPr="00E14D8A">
        <w:rPr>
          <w:rFonts w:ascii="ITC Avant Garde" w:hAnsi="ITC Avant Garde"/>
          <w:lang w:val="es-MX"/>
        </w:rPr>
        <w:t>La primera base de datos contiene la totalidad de los datos resultantes del análisis geomarketing. Esta base de datos no contiene ningún algoritmo, y no se modifica durante los cálculos de SQL.</w:t>
      </w:r>
    </w:p>
    <w:p w14:paraId="66CDBD25" w14:textId="77777777" w:rsidR="00A66A23" w:rsidRPr="004C1A96" w:rsidRDefault="00A66A23" w:rsidP="00A66A23">
      <w:pPr>
        <w:rPr>
          <w:rFonts w:ascii="ITC Avant Garde" w:hAnsi="ITC Avant Garde"/>
          <w:lang w:val="es-MX"/>
        </w:rPr>
      </w:pPr>
      <w:r w:rsidRPr="004C1A96">
        <w:rPr>
          <w:rFonts w:ascii="ITC Avant Garde" w:hAnsi="ITC Avant Garde"/>
          <w:lang w:val="es-MX"/>
        </w:rPr>
        <w:t xml:space="preserve">Esta base de datos contiene las siguientes tablas </w:t>
      </w:r>
    </w:p>
    <w:p w14:paraId="50123590" w14:textId="77777777" w:rsidR="00A66A23" w:rsidRPr="004C1A96" w:rsidRDefault="00A66A23" w:rsidP="00A66A23">
      <w:pPr>
        <w:rPr>
          <w:rFonts w:ascii="ITC Avant Garde" w:hAnsi="ITC Avant Garde"/>
          <w:lang w:val="es-MX"/>
        </w:rPr>
      </w:pPr>
    </w:p>
    <w:p w14:paraId="659DAC74" w14:textId="0AC24568" w:rsidR="00A66A23" w:rsidRPr="00E14D8A" w:rsidRDefault="005579D3" w:rsidP="003B2E52">
      <w:pPr>
        <w:pStyle w:val="Descripcin"/>
        <w:keepNext/>
        <w:rPr>
          <w:rFonts w:ascii="ITC Avant Garde" w:hAnsi="ITC Avant Garde"/>
          <w:lang w:val="es-MX"/>
        </w:rPr>
      </w:pPr>
      <w:r w:rsidRPr="004C1A96">
        <w:rPr>
          <w:rFonts w:ascii="ITC Avant Garde" w:hAnsi="ITC Avant Garde"/>
          <w:lang w:val="es-MX"/>
        </w:rPr>
        <w:lastRenderedPageBreak/>
        <w:t xml:space="preserve">Cuadro </w:t>
      </w:r>
      <w:r w:rsidRPr="004C1A96">
        <w:rPr>
          <w:rFonts w:ascii="ITC Avant Garde" w:hAnsi="ITC Avant Garde"/>
          <w:lang w:val="es-MX"/>
        </w:rPr>
        <w:fldChar w:fldCharType="begin"/>
      </w:r>
      <w:r w:rsidRPr="004C1A96">
        <w:rPr>
          <w:rFonts w:ascii="ITC Avant Garde" w:hAnsi="ITC Avant Garde"/>
          <w:lang w:val="es-MX"/>
        </w:rPr>
        <w:instrText xml:space="preserve"> SEQ Cuadro \* ARABIC </w:instrText>
      </w:r>
      <w:r w:rsidRPr="004C1A96">
        <w:rPr>
          <w:rFonts w:ascii="ITC Avant Garde" w:hAnsi="ITC Avant Garde"/>
          <w:lang w:val="es-MX"/>
        </w:rPr>
        <w:fldChar w:fldCharType="separate"/>
      </w:r>
      <w:r w:rsidR="00006265">
        <w:rPr>
          <w:rFonts w:ascii="ITC Avant Garde" w:hAnsi="ITC Avant Garde"/>
          <w:noProof/>
          <w:lang w:val="es-MX"/>
        </w:rPr>
        <w:t>4</w:t>
      </w:r>
      <w:r w:rsidRPr="004C1A96">
        <w:rPr>
          <w:rFonts w:ascii="ITC Avant Garde" w:hAnsi="ITC Avant Garde"/>
          <w:lang w:val="es-MX"/>
        </w:rPr>
        <w:fldChar w:fldCharType="end"/>
      </w:r>
      <w:r w:rsidRPr="004C1A96">
        <w:rPr>
          <w:rFonts w:ascii="ITC Avant Garde" w:hAnsi="ITC Avant Garde"/>
          <w:lang w:val="es-MX"/>
        </w:rPr>
        <w:t xml:space="preserve"> </w:t>
      </w:r>
      <w:r w:rsidR="00A66A23" w:rsidRPr="004C1A96">
        <w:rPr>
          <w:rFonts w:ascii="ITC Avant Garde" w:hAnsi="ITC Avant Garde"/>
          <w:lang w:val="es-MX"/>
        </w:rPr>
        <w:t>-</w:t>
      </w:r>
      <w:r w:rsidR="00A66A23" w:rsidRPr="00E14D8A">
        <w:rPr>
          <w:rFonts w:ascii="ITC Avant Garde" w:hAnsi="ITC Avant Garde"/>
          <w:lang w:val="es-MX"/>
        </w:rPr>
        <w:t xml:space="preserve"> Descripción de las tablas - Base de datos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3"/>
        <w:gridCol w:w="4500"/>
      </w:tblGrid>
      <w:tr w:rsidR="00A66A23" w:rsidRPr="004C1A96" w14:paraId="3D81D823" w14:textId="77777777" w:rsidTr="00064199">
        <w:trPr>
          <w:tblHeader/>
          <w:jc w:val="center"/>
        </w:trPr>
        <w:tc>
          <w:tcPr>
            <w:tcW w:w="3993" w:type="dxa"/>
            <w:shd w:val="clear" w:color="auto" w:fill="2F5897" w:themeFill="text2"/>
          </w:tcPr>
          <w:p w14:paraId="6CEDC17E" w14:textId="77777777" w:rsidR="00A66A23" w:rsidRPr="00E14D8A" w:rsidRDefault="00A66A23" w:rsidP="00064199">
            <w:pPr>
              <w:keepNext/>
              <w:jc w:val="center"/>
              <w:rPr>
                <w:rFonts w:ascii="ITC Avant Garde" w:hAnsi="ITC Avant Garde"/>
                <w:b/>
                <w:color w:val="FFFFFF"/>
                <w:sz w:val="16"/>
                <w:szCs w:val="16"/>
                <w:lang w:val="en-US"/>
              </w:rPr>
            </w:pPr>
            <w:r w:rsidRPr="00E14D8A">
              <w:rPr>
                <w:rFonts w:ascii="ITC Avant Garde" w:hAnsi="ITC Avant Garde"/>
                <w:b/>
                <w:color w:val="FFFFFF"/>
                <w:sz w:val="16"/>
                <w:szCs w:val="16"/>
                <w:lang w:val="en-US"/>
              </w:rPr>
              <w:t>Table name</w:t>
            </w:r>
          </w:p>
        </w:tc>
        <w:tc>
          <w:tcPr>
            <w:tcW w:w="4500" w:type="dxa"/>
            <w:shd w:val="clear" w:color="auto" w:fill="2F5897" w:themeFill="text2"/>
          </w:tcPr>
          <w:p w14:paraId="7824F96E" w14:textId="77777777" w:rsidR="00A66A23" w:rsidRPr="004C1A96" w:rsidRDefault="00A66A23" w:rsidP="00064199">
            <w:pPr>
              <w:keepNext/>
              <w:jc w:val="center"/>
              <w:rPr>
                <w:rFonts w:ascii="ITC Avant Garde" w:hAnsi="ITC Avant Garde"/>
                <w:b/>
                <w:color w:val="FFFFFF"/>
                <w:sz w:val="16"/>
                <w:szCs w:val="16"/>
                <w:lang w:val="en-US"/>
              </w:rPr>
            </w:pPr>
            <w:r w:rsidRPr="004C1A96">
              <w:rPr>
                <w:rFonts w:ascii="ITC Avant Garde" w:hAnsi="ITC Avant Garde"/>
                <w:b/>
                <w:color w:val="FFFFFF"/>
                <w:sz w:val="16"/>
                <w:szCs w:val="16"/>
                <w:lang w:val="en-US"/>
              </w:rPr>
              <w:t>Description</w:t>
            </w:r>
          </w:p>
        </w:tc>
      </w:tr>
      <w:tr w:rsidR="00A66A23" w:rsidRPr="009F5AFF" w14:paraId="6C738796" w14:textId="77777777" w:rsidTr="00064199">
        <w:trPr>
          <w:jc w:val="center"/>
        </w:trPr>
        <w:tc>
          <w:tcPr>
            <w:tcW w:w="3993" w:type="dxa"/>
            <w:shd w:val="clear" w:color="auto" w:fill="auto"/>
          </w:tcPr>
          <w:p w14:paraId="394D9533" w14:textId="77777777" w:rsidR="00A66A23" w:rsidRPr="004C1A96" w:rsidRDefault="00A66A23" w:rsidP="00064199">
            <w:pPr>
              <w:keepNext/>
              <w:rPr>
                <w:rFonts w:ascii="ITC Avant Garde" w:hAnsi="ITC Avant Garde"/>
                <w:sz w:val="16"/>
                <w:szCs w:val="16"/>
                <w:lang w:val="en-US"/>
              </w:rPr>
            </w:pPr>
            <w:r w:rsidRPr="004C1A96">
              <w:rPr>
                <w:rFonts w:ascii="ITC Avant Garde" w:hAnsi="ITC Avant Garde"/>
                <w:sz w:val="16"/>
                <w:szCs w:val="16"/>
                <w:lang w:val="en-US"/>
              </w:rPr>
              <w:t>PDPCOs</w:t>
            </w:r>
          </w:p>
        </w:tc>
        <w:tc>
          <w:tcPr>
            <w:tcW w:w="4500" w:type="dxa"/>
            <w:shd w:val="clear" w:color="auto" w:fill="auto"/>
          </w:tcPr>
          <w:p w14:paraId="7061A13D" w14:textId="77777777" w:rsidR="00A66A23" w:rsidRPr="004C1A96" w:rsidRDefault="00A66A23" w:rsidP="00064199">
            <w:pPr>
              <w:keepNext/>
              <w:rPr>
                <w:rFonts w:ascii="ITC Avant Garde" w:hAnsi="ITC Avant Garde"/>
                <w:sz w:val="16"/>
                <w:szCs w:val="16"/>
                <w:lang w:val="es-MX"/>
              </w:rPr>
            </w:pPr>
            <w:r w:rsidRPr="004C1A96">
              <w:rPr>
                <w:rFonts w:ascii="ITC Avant Garde" w:hAnsi="ITC Avant Garde"/>
                <w:sz w:val="16"/>
                <w:szCs w:val="16"/>
                <w:lang w:val="es-MX"/>
              </w:rPr>
              <w:t>Tabla que describe todos los puntos principales de distribución y las oficinas centrales</w:t>
            </w:r>
          </w:p>
        </w:tc>
      </w:tr>
      <w:tr w:rsidR="00A66A23" w:rsidRPr="009F5AFF" w14:paraId="25E48E6E" w14:textId="77777777" w:rsidTr="00064199">
        <w:trPr>
          <w:jc w:val="center"/>
        </w:trPr>
        <w:tc>
          <w:tcPr>
            <w:tcW w:w="3993" w:type="dxa"/>
            <w:shd w:val="clear" w:color="auto" w:fill="auto"/>
          </w:tcPr>
          <w:p w14:paraId="27256B06" w14:textId="77777777" w:rsidR="00A66A23" w:rsidRPr="004C1A96" w:rsidRDefault="00A66A23" w:rsidP="00064199">
            <w:pPr>
              <w:keepNext/>
              <w:rPr>
                <w:rFonts w:ascii="ITC Avant Garde" w:hAnsi="ITC Avant Garde"/>
                <w:sz w:val="16"/>
                <w:szCs w:val="16"/>
                <w:lang w:val="en-US"/>
              </w:rPr>
            </w:pPr>
            <w:r w:rsidRPr="004C1A96">
              <w:rPr>
                <w:rFonts w:ascii="ITC Avant Garde" w:hAnsi="ITC Avant Garde"/>
                <w:sz w:val="16"/>
                <w:szCs w:val="16"/>
                <w:lang w:val="en-US"/>
              </w:rPr>
              <w:t>_Source_Routes_PDP_CO</w:t>
            </w:r>
          </w:p>
        </w:tc>
        <w:tc>
          <w:tcPr>
            <w:tcW w:w="4500" w:type="dxa"/>
            <w:shd w:val="clear" w:color="auto" w:fill="auto"/>
          </w:tcPr>
          <w:p w14:paraId="61877D73" w14:textId="77777777" w:rsidR="00A66A23" w:rsidRPr="00E14D8A" w:rsidRDefault="00A66A23" w:rsidP="00064199">
            <w:pPr>
              <w:keepNext/>
              <w:rPr>
                <w:rFonts w:ascii="ITC Avant Garde" w:hAnsi="ITC Avant Garde"/>
                <w:sz w:val="16"/>
                <w:szCs w:val="16"/>
                <w:lang w:val="es-MX"/>
              </w:rPr>
            </w:pPr>
            <w:r w:rsidRPr="004C1A96">
              <w:rPr>
                <w:rFonts w:ascii="ITC Avant Garde" w:hAnsi="ITC Avant Garde"/>
                <w:sz w:val="16"/>
                <w:szCs w:val="16"/>
                <w:lang w:val="es-MX"/>
              </w:rPr>
              <w:t>Tabla que identifica todas las rutas utilizadas para vincular los PD</w:t>
            </w:r>
            <w:r w:rsidRPr="00E14D8A">
              <w:rPr>
                <w:rFonts w:ascii="ITC Avant Garde" w:hAnsi="ITC Avant Garde"/>
                <w:sz w:val="16"/>
                <w:szCs w:val="16"/>
                <w:lang w:val="es-MX"/>
              </w:rPr>
              <w:t>P a las oficinas centrales</w:t>
            </w:r>
          </w:p>
        </w:tc>
      </w:tr>
      <w:tr w:rsidR="00A66A23" w:rsidRPr="009F5AFF" w14:paraId="12AF3F79" w14:textId="77777777" w:rsidTr="00064199">
        <w:trPr>
          <w:jc w:val="center"/>
        </w:trPr>
        <w:tc>
          <w:tcPr>
            <w:tcW w:w="3993" w:type="dxa"/>
            <w:shd w:val="clear" w:color="auto" w:fill="auto"/>
          </w:tcPr>
          <w:p w14:paraId="4C38C9C8" w14:textId="77777777" w:rsidR="00A66A23" w:rsidRPr="004C1A96" w:rsidRDefault="00A66A23" w:rsidP="00064199">
            <w:pPr>
              <w:keepNext/>
              <w:rPr>
                <w:rFonts w:ascii="ITC Avant Garde" w:hAnsi="ITC Avant Garde"/>
                <w:sz w:val="16"/>
                <w:szCs w:val="16"/>
                <w:lang w:val="en-US"/>
              </w:rPr>
            </w:pPr>
            <w:r w:rsidRPr="004C1A96">
              <w:rPr>
                <w:rFonts w:ascii="ITC Avant Garde" w:hAnsi="ITC Avant Garde"/>
                <w:sz w:val="16"/>
                <w:szCs w:val="16"/>
                <w:lang w:val="en-US"/>
              </w:rPr>
              <w:t>_Source_Routes_Sections_PDP_CO</w:t>
            </w:r>
          </w:p>
        </w:tc>
        <w:tc>
          <w:tcPr>
            <w:tcW w:w="4500" w:type="dxa"/>
            <w:shd w:val="clear" w:color="auto" w:fill="auto"/>
          </w:tcPr>
          <w:p w14:paraId="39A1E3DC" w14:textId="77777777" w:rsidR="00A66A23" w:rsidRPr="004C1A96" w:rsidRDefault="00A66A23" w:rsidP="00064199">
            <w:pPr>
              <w:keepNext/>
              <w:rPr>
                <w:rFonts w:ascii="ITC Avant Garde" w:hAnsi="ITC Avant Garde"/>
                <w:sz w:val="16"/>
                <w:szCs w:val="16"/>
                <w:lang w:val="es-MX"/>
              </w:rPr>
            </w:pPr>
            <w:r w:rsidRPr="004C1A96">
              <w:rPr>
                <w:rFonts w:ascii="ITC Avant Garde" w:hAnsi="ITC Avant Garde"/>
                <w:sz w:val="16"/>
                <w:szCs w:val="16"/>
                <w:lang w:val="es-MX"/>
              </w:rPr>
              <w:t>Tabla que describe el itinerario de las rutas utilizadas por el PDP a las rutas de la Oficina Central</w:t>
            </w:r>
          </w:p>
        </w:tc>
      </w:tr>
      <w:tr w:rsidR="00A66A23" w:rsidRPr="009F5AFF" w14:paraId="28342644" w14:textId="77777777" w:rsidTr="00064199">
        <w:trPr>
          <w:jc w:val="center"/>
        </w:trPr>
        <w:tc>
          <w:tcPr>
            <w:tcW w:w="3993" w:type="dxa"/>
            <w:shd w:val="clear" w:color="auto" w:fill="auto"/>
          </w:tcPr>
          <w:p w14:paraId="6822C28C" w14:textId="77777777" w:rsidR="00A66A23" w:rsidRPr="004C1A96" w:rsidRDefault="00A66A23" w:rsidP="00064199">
            <w:pPr>
              <w:keepNext/>
              <w:rPr>
                <w:rFonts w:ascii="ITC Avant Garde" w:hAnsi="ITC Avant Garde"/>
                <w:sz w:val="16"/>
                <w:szCs w:val="16"/>
                <w:lang w:val="en-US"/>
              </w:rPr>
            </w:pPr>
            <w:r w:rsidRPr="004C1A96">
              <w:rPr>
                <w:rFonts w:ascii="ITC Avant Garde" w:hAnsi="ITC Avant Garde"/>
                <w:sz w:val="16"/>
                <w:szCs w:val="16"/>
                <w:lang w:val="en-US"/>
              </w:rPr>
              <w:t>_Source_Routes</w:t>
            </w:r>
          </w:p>
        </w:tc>
        <w:tc>
          <w:tcPr>
            <w:tcW w:w="4500" w:type="dxa"/>
            <w:shd w:val="clear" w:color="auto" w:fill="auto"/>
          </w:tcPr>
          <w:p w14:paraId="188E5A8A" w14:textId="77777777" w:rsidR="00A66A23" w:rsidRPr="00E14D8A" w:rsidRDefault="00A66A23" w:rsidP="00064199">
            <w:pPr>
              <w:keepNext/>
              <w:rPr>
                <w:rFonts w:ascii="ITC Avant Garde" w:hAnsi="ITC Avant Garde"/>
                <w:sz w:val="16"/>
                <w:szCs w:val="16"/>
                <w:lang w:val="es-MX"/>
              </w:rPr>
            </w:pPr>
            <w:r w:rsidRPr="004C1A96">
              <w:rPr>
                <w:rFonts w:ascii="ITC Avant Garde" w:hAnsi="ITC Avant Garde"/>
                <w:sz w:val="16"/>
                <w:szCs w:val="16"/>
                <w:lang w:val="es-MX"/>
              </w:rPr>
              <w:t>Tabla que identifica todas las rutas utilizadas para vincular a los usuarios fi</w:t>
            </w:r>
            <w:r w:rsidRPr="00E14D8A">
              <w:rPr>
                <w:rFonts w:ascii="ITC Avant Garde" w:hAnsi="ITC Avant Garde"/>
                <w:sz w:val="16"/>
                <w:szCs w:val="16"/>
                <w:lang w:val="es-MX"/>
              </w:rPr>
              <w:t>nales con un PDP</w:t>
            </w:r>
          </w:p>
        </w:tc>
      </w:tr>
      <w:tr w:rsidR="00A66A23" w:rsidRPr="009F5AFF" w14:paraId="7D518048" w14:textId="77777777" w:rsidTr="00064199">
        <w:trPr>
          <w:jc w:val="center"/>
        </w:trPr>
        <w:tc>
          <w:tcPr>
            <w:tcW w:w="3993" w:type="dxa"/>
            <w:shd w:val="clear" w:color="auto" w:fill="auto"/>
          </w:tcPr>
          <w:p w14:paraId="73ACD924" w14:textId="77777777" w:rsidR="00A66A23" w:rsidRPr="004C1A96" w:rsidRDefault="00A66A23" w:rsidP="00064199">
            <w:pPr>
              <w:keepNext/>
              <w:rPr>
                <w:rFonts w:ascii="ITC Avant Garde" w:hAnsi="ITC Avant Garde"/>
                <w:sz w:val="16"/>
                <w:szCs w:val="16"/>
                <w:lang w:val="en-US"/>
              </w:rPr>
            </w:pPr>
            <w:r w:rsidRPr="004C1A96">
              <w:rPr>
                <w:rFonts w:ascii="ITC Avant Garde" w:hAnsi="ITC Avant Garde"/>
                <w:sz w:val="16"/>
                <w:szCs w:val="16"/>
                <w:lang w:val="en-US"/>
              </w:rPr>
              <w:t>_Source_Routes_Sections</w:t>
            </w:r>
          </w:p>
        </w:tc>
        <w:tc>
          <w:tcPr>
            <w:tcW w:w="4500" w:type="dxa"/>
            <w:shd w:val="clear" w:color="auto" w:fill="auto"/>
          </w:tcPr>
          <w:p w14:paraId="49131D22" w14:textId="77777777" w:rsidR="00A66A23" w:rsidRPr="004C1A96" w:rsidRDefault="00A66A23" w:rsidP="00064199">
            <w:pPr>
              <w:keepNext/>
              <w:rPr>
                <w:rFonts w:ascii="ITC Avant Garde" w:hAnsi="ITC Avant Garde"/>
                <w:sz w:val="16"/>
                <w:szCs w:val="16"/>
                <w:lang w:val="es-MX"/>
              </w:rPr>
            </w:pPr>
            <w:r w:rsidRPr="004C1A96">
              <w:rPr>
                <w:rFonts w:ascii="ITC Avant Garde" w:hAnsi="ITC Avant Garde"/>
                <w:sz w:val="16"/>
                <w:szCs w:val="16"/>
                <w:lang w:val="es-MX"/>
              </w:rPr>
              <w:t>Tabla que describe el itinerario de las rutas utilizadas por las instalaciones a las rutas PDP</w:t>
            </w:r>
          </w:p>
        </w:tc>
      </w:tr>
      <w:tr w:rsidR="00A66A23" w:rsidRPr="009F5AFF" w14:paraId="26B0F917" w14:textId="77777777" w:rsidTr="00064199">
        <w:trPr>
          <w:jc w:val="center"/>
        </w:trPr>
        <w:tc>
          <w:tcPr>
            <w:tcW w:w="3993" w:type="dxa"/>
            <w:shd w:val="clear" w:color="auto" w:fill="auto"/>
          </w:tcPr>
          <w:p w14:paraId="3AB34FAE" w14:textId="77777777" w:rsidR="00A66A23" w:rsidRPr="004C1A96" w:rsidRDefault="00A66A23" w:rsidP="00064199">
            <w:pPr>
              <w:keepNext/>
              <w:rPr>
                <w:rFonts w:ascii="ITC Avant Garde" w:hAnsi="ITC Avant Garde"/>
                <w:sz w:val="16"/>
                <w:szCs w:val="16"/>
                <w:lang w:val="en-US"/>
              </w:rPr>
            </w:pPr>
            <w:r w:rsidRPr="004C1A96">
              <w:rPr>
                <w:rFonts w:ascii="ITC Avant Garde" w:hAnsi="ITC Avant Garde"/>
                <w:sz w:val="16"/>
                <w:szCs w:val="16"/>
                <w:lang w:val="en-US"/>
              </w:rPr>
              <w:t>Address_All</w:t>
            </w:r>
          </w:p>
        </w:tc>
        <w:tc>
          <w:tcPr>
            <w:tcW w:w="4500" w:type="dxa"/>
            <w:shd w:val="clear" w:color="auto" w:fill="auto"/>
          </w:tcPr>
          <w:p w14:paraId="0C049411" w14:textId="77777777" w:rsidR="00A66A23" w:rsidRPr="004C1A96" w:rsidRDefault="00A66A23" w:rsidP="00064199">
            <w:pPr>
              <w:keepNext/>
              <w:rPr>
                <w:rFonts w:ascii="ITC Avant Garde" w:hAnsi="ITC Avant Garde"/>
                <w:sz w:val="16"/>
                <w:szCs w:val="16"/>
                <w:lang w:val="es-MX"/>
              </w:rPr>
            </w:pPr>
            <w:r w:rsidRPr="004C1A96">
              <w:rPr>
                <w:rFonts w:ascii="ITC Avant Garde" w:hAnsi="ITC Avant Garde"/>
                <w:sz w:val="16"/>
                <w:szCs w:val="16"/>
                <w:lang w:val="es-MX"/>
              </w:rPr>
              <w:t>Tabla utilizada para describir todas las direcciones del país</w:t>
            </w:r>
          </w:p>
        </w:tc>
      </w:tr>
      <w:tr w:rsidR="00A66A23" w:rsidRPr="009F5AFF" w14:paraId="68199945" w14:textId="77777777" w:rsidTr="00064199">
        <w:trPr>
          <w:jc w:val="center"/>
        </w:trPr>
        <w:tc>
          <w:tcPr>
            <w:tcW w:w="3993" w:type="dxa"/>
            <w:shd w:val="clear" w:color="auto" w:fill="auto"/>
          </w:tcPr>
          <w:p w14:paraId="6E50A192" w14:textId="77777777" w:rsidR="00A66A23" w:rsidRPr="004C1A96" w:rsidRDefault="00A66A23" w:rsidP="00064199">
            <w:pPr>
              <w:keepNext/>
              <w:rPr>
                <w:rFonts w:ascii="ITC Avant Garde" w:hAnsi="ITC Avant Garde"/>
                <w:sz w:val="16"/>
                <w:szCs w:val="16"/>
                <w:lang w:val="en-US"/>
              </w:rPr>
            </w:pPr>
            <w:r w:rsidRPr="004C1A96">
              <w:rPr>
                <w:rFonts w:ascii="ITC Avant Garde" w:hAnsi="ITC Avant Garde"/>
                <w:sz w:val="16"/>
                <w:szCs w:val="16"/>
                <w:lang w:val="en-US"/>
              </w:rPr>
              <w:t>_Source_Sections_All</w:t>
            </w:r>
          </w:p>
        </w:tc>
        <w:tc>
          <w:tcPr>
            <w:tcW w:w="4500" w:type="dxa"/>
            <w:shd w:val="clear" w:color="auto" w:fill="auto"/>
          </w:tcPr>
          <w:p w14:paraId="2653636A" w14:textId="77777777" w:rsidR="00A66A23" w:rsidRPr="00E14D8A" w:rsidRDefault="00A66A23" w:rsidP="00064199">
            <w:pPr>
              <w:keepNext/>
              <w:rPr>
                <w:rFonts w:ascii="ITC Avant Garde" w:hAnsi="ITC Avant Garde"/>
                <w:sz w:val="16"/>
                <w:szCs w:val="16"/>
                <w:lang w:val="es-MX"/>
              </w:rPr>
            </w:pPr>
            <w:r w:rsidRPr="004C1A96">
              <w:rPr>
                <w:rFonts w:ascii="ITC Avant Garde" w:hAnsi="ITC Avant Garde"/>
                <w:sz w:val="16"/>
                <w:szCs w:val="16"/>
                <w:lang w:val="es-MX"/>
              </w:rPr>
              <w:t>Tabla que describe tod</w:t>
            </w:r>
            <w:r w:rsidRPr="00E14D8A">
              <w:rPr>
                <w:rFonts w:ascii="ITC Avant Garde" w:hAnsi="ITC Avant Garde"/>
                <w:sz w:val="16"/>
                <w:szCs w:val="16"/>
                <w:lang w:val="es-MX"/>
              </w:rPr>
              <w:t>os los tramos viales del país</w:t>
            </w:r>
          </w:p>
        </w:tc>
      </w:tr>
    </w:tbl>
    <w:p w14:paraId="3919DC03" w14:textId="77777777" w:rsidR="00A66A23" w:rsidRPr="004C1A96" w:rsidRDefault="00A66A23" w:rsidP="00A66A23">
      <w:pPr>
        <w:rPr>
          <w:rFonts w:ascii="ITC Avant Garde" w:hAnsi="ITC Avant Garde"/>
          <w:lang w:val="es-MX"/>
        </w:rPr>
      </w:pPr>
    </w:p>
    <w:p w14:paraId="301A20CE" w14:textId="77777777" w:rsidR="00A66A23" w:rsidRPr="00E14D8A" w:rsidRDefault="00A66A23" w:rsidP="00A66A23">
      <w:pPr>
        <w:rPr>
          <w:rFonts w:ascii="ITC Avant Garde" w:hAnsi="ITC Avant Garde"/>
          <w:lang w:val="es-MX"/>
        </w:rPr>
      </w:pPr>
      <w:r w:rsidRPr="004C1A96">
        <w:rPr>
          <w:rFonts w:ascii="ITC Avant Garde" w:hAnsi="ITC Avant Garde"/>
          <w:lang w:val="es-MX"/>
        </w:rPr>
        <w:t>La segunda base de datos prepara y estructura las tablas anteriores, y tambi</w:t>
      </w:r>
      <w:r w:rsidRPr="00E14D8A">
        <w:rPr>
          <w:rFonts w:ascii="ITC Avant Garde" w:hAnsi="ITC Avant Garde"/>
          <w:lang w:val="es-MX"/>
        </w:rPr>
        <w:t>én realiza el cálculo del ajuste de la huella (de una huella nacional hacia la huella de operación efectiva del AEP). Las tablas resultantes son utilizadas por el modelo.</w:t>
      </w:r>
    </w:p>
    <w:p w14:paraId="75693DC6" w14:textId="77777777" w:rsidR="00A66A23" w:rsidRPr="00E14D8A" w:rsidRDefault="00A66A23" w:rsidP="00A66A23">
      <w:pPr>
        <w:rPr>
          <w:rFonts w:ascii="ITC Avant Garde" w:hAnsi="ITC Avant Garde"/>
          <w:lang w:val="es-MX"/>
        </w:rPr>
      </w:pPr>
      <w:r w:rsidRPr="00E14D8A">
        <w:rPr>
          <w:rFonts w:ascii="ITC Avant Garde" w:hAnsi="ITC Avant Garde"/>
          <w:lang w:val="es-MX"/>
        </w:rPr>
        <w:t>Contiene las siguientes tablas.</w:t>
      </w:r>
    </w:p>
    <w:p w14:paraId="6173C4F2" w14:textId="09F26735" w:rsidR="00A66A23" w:rsidRPr="004C1A96" w:rsidRDefault="005579D3" w:rsidP="00A66A23">
      <w:pPr>
        <w:pStyle w:val="Descripcin"/>
        <w:keepNext/>
        <w:rPr>
          <w:rFonts w:ascii="ITC Avant Garde" w:hAnsi="ITC Avant Garde"/>
          <w:lang w:val="es-MX"/>
        </w:rPr>
      </w:pPr>
      <w:r w:rsidRPr="00E14D8A">
        <w:rPr>
          <w:rFonts w:ascii="ITC Avant Garde" w:hAnsi="ITC Avant Garde"/>
          <w:lang w:val="es-MX"/>
        </w:rPr>
        <w:lastRenderedPageBreak/>
        <w:t xml:space="preserve">Cuadro </w:t>
      </w:r>
      <w:r w:rsidRPr="004C1A96">
        <w:rPr>
          <w:rFonts w:ascii="ITC Avant Garde" w:hAnsi="ITC Avant Garde"/>
          <w:lang w:val="es-MX"/>
        </w:rPr>
        <w:fldChar w:fldCharType="begin"/>
      </w:r>
      <w:r w:rsidRPr="004C1A96">
        <w:rPr>
          <w:rFonts w:ascii="ITC Avant Garde" w:hAnsi="ITC Avant Garde"/>
          <w:lang w:val="es-MX"/>
        </w:rPr>
        <w:instrText xml:space="preserve"> SEQ Cuadro \* ARABIC </w:instrText>
      </w:r>
      <w:r w:rsidRPr="004C1A96">
        <w:rPr>
          <w:rFonts w:ascii="ITC Avant Garde" w:hAnsi="ITC Avant Garde"/>
          <w:lang w:val="es-MX"/>
        </w:rPr>
        <w:fldChar w:fldCharType="separate"/>
      </w:r>
      <w:r w:rsidR="00006265">
        <w:rPr>
          <w:rFonts w:ascii="ITC Avant Garde" w:hAnsi="ITC Avant Garde"/>
          <w:noProof/>
          <w:lang w:val="es-MX"/>
        </w:rPr>
        <w:t>5</w:t>
      </w:r>
      <w:r w:rsidRPr="004C1A96">
        <w:rPr>
          <w:rFonts w:ascii="ITC Avant Garde" w:hAnsi="ITC Avant Garde"/>
          <w:lang w:val="es-MX"/>
        </w:rPr>
        <w:fldChar w:fldCharType="end"/>
      </w:r>
      <w:r w:rsidRPr="004C1A96">
        <w:rPr>
          <w:rFonts w:ascii="ITC Avant Garde" w:hAnsi="ITC Avant Garde"/>
          <w:lang w:val="es-MX"/>
        </w:rPr>
        <w:t xml:space="preserve"> </w:t>
      </w:r>
      <w:r w:rsidR="00A66A23" w:rsidRPr="004C1A96">
        <w:rPr>
          <w:rFonts w:ascii="ITC Avant Garde" w:hAnsi="ITC Avant Garde"/>
          <w:lang w:val="es-MX"/>
        </w:rPr>
        <w:t>- Descripción de las tablas - Base de datos 2</w:t>
      </w:r>
    </w:p>
    <w:tbl>
      <w:tblPr>
        <w:tblW w:w="51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3"/>
        <w:gridCol w:w="5321"/>
      </w:tblGrid>
      <w:tr w:rsidR="00A66A23" w:rsidRPr="004C1A96" w14:paraId="24DBB35C" w14:textId="77777777" w:rsidTr="00064199">
        <w:trPr>
          <w:tblHeader/>
          <w:jc w:val="center"/>
        </w:trPr>
        <w:tc>
          <w:tcPr>
            <w:tcW w:w="1934" w:type="pct"/>
            <w:shd w:val="clear" w:color="auto" w:fill="2F5897" w:themeFill="text2"/>
          </w:tcPr>
          <w:p w14:paraId="31576709" w14:textId="77777777" w:rsidR="00A66A23" w:rsidRPr="00E14D8A" w:rsidRDefault="00A66A23" w:rsidP="00064199">
            <w:pPr>
              <w:keepNext/>
              <w:jc w:val="center"/>
              <w:rPr>
                <w:rFonts w:ascii="ITC Avant Garde" w:hAnsi="ITC Avant Garde"/>
                <w:b/>
                <w:color w:val="FFFFFF"/>
                <w:sz w:val="16"/>
                <w:szCs w:val="16"/>
                <w:lang w:val="en-US"/>
              </w:rPr>
            </w:pPr>
            <w:r w:rsidRPr="00E14D8A">
              <w:rPr>
                <w:rFonts w:ascii="ITC Avant Garde" w:hAnsi="ITC Avant Garde"/>
                <w:b/>
                <w:color w:val="FFFFFF"/>
                <w:sz w:val="16"/>
                <w:szCs w:val="16"/>
                <w:lang w:val="en-US"/>
              </w:rPr>
              <w:t>Table name</w:t>
            </w:r>
          </w:p>
        </w:tc>
        <w:tc>
          <w:tcPr>
            <w:tcW w:w="3066" w:type="pct"/>
            <w:shd w:val="clear" w:color="auto" w:fill="2F5897" w:themeFill="text2"/>
          </w:tcPr>
          <w:p w14:paraId="01188610" w14:textId="77777777" w:rsidR="00A66A23" w:rsidRPr="00E14D8A" w:rsidRDefault="00A66A23" w:rsidP="00064199">
            <w:pPr>
              <w:keepNext/>
              <w:jc w:val="center"/>
              <w:rPr>
                <w:rFonts w:ascii="ITC Avant Garde" w:hAnsi="ITC Avant Garde"/>
                <w:b/>
                <w:color w:val="FFFFFF"/>
                <w:sz w:val="16"/>
                <w:szCs w:val="16"/>
                <w:lang w:val="en-US"/>
              </w:rPr>
            </w:pPr>
            <w:r w:rsidRPr="00E14D8A">
              <w:rPr>
                <w:rFonts w:ascii="ITC Avant Garde" w:hAnsi="ITC Avant Garde"/>
                <w:b/>
                <w:color w:val="FFFFFF"/>
                <w:sz w:val="16"/>
                <w:szCs w:val="16"/>
                <w:lang w:val="en-US"/>
              </w:rPr>
              <w:t>Description</w:t>
            </w:r>
          </w:p>
        </w:tc>
      </w:tr>
      <w:tr w:rsidR="00A66A23" w:rsidRPr="009F5AFF" w14:paraId="1095D643" w14:textId="77777777" w:rsidTr="00064199">
        <w:trPr>
          <w:jc w:val="center"/>
        </w:trPr>
        <w:tc>
          <w:tcPr>
            <w:tcW w:w="1934" w:type="pct"/>
            <w:shd w:val="clear" w:color="auto" w:fill="auto"/>
          </w:tcPr>
          <w:p w14:paraId="1B7C95F6" w14:textId="77777777" w:rsidR="00A66A23" w:rsidRPr="004C1A96" w:rsidRDefault="00A66A23" w:rsidP="00064199">
            <w:pPr>
              <w:keepNext/>
              <w:rPr>
                <w:rFonts w:ascii="ITC Avant Garde" w:hAnsi="ITC Avant Garde"/>
                <w:sz w:val="16"/>
                <w:szCs w:val="16"/>
                <w:lang w:val="en-US"/>
              </w:rPr>
            </w:pPr>
            <w:r w:rsidRPr="004C1A96">
              <w:rPr>
                <w:rFonts w:ascii="ITC Avant Garde" w:hAnsi="ITC Avant Garde"/>
                <w:sz w:val="16"/>
                <w:szCs w:val="16"/>
                <w:lang w:val="en-US"/>
              </w:rPr>
              <w:t>Output_PDPCOs</w:t>
            </w:r>
          </w:p>
        </w:tc>
        <w:tc>
          <w:tcPr>
            <w:tcW w:w="3066" w:type="pct"/>
            <w:shd w:val="clear" w:color="auto" w:fill="auto"/>
          </w:tcPr>
          <w:p w14:paraId="1591AC90" w14:textId="77777777" w:rsidR="00A66A23" w:rsidRPr="00E14D8A" w:rsidRDefault="00A66A23" w:rsidP="00064199">
            <w:pPr>
              <w:keepNext/>
              <w:rPr>
                <w:rFonts w:ascii="ITC Avant Garde" w:hAnsi="ITC Avant Garde"/>
                <w:sz w:val="16"/>
                <w:szCs w:val="16"/>
                <w:lang w:val="es-MX"/>
              </w:rPr>
            </w:pPr>
            <w:r w:rsidRPr="004C1A96">
              <w:rPr>
                <w:rFonts w:ascii="ITC Avant Garde" w:hAnsi="ITC Avant Garde"/>
                <w:sz w:val="16"/>
                <w:szCs w:val="16"/>
                <w:lang w:val="es-MX"/>
              </w:rPr>
              <w:t>Tabla que describe todos los puntos principales de distribución y las oficinas cent</w:t>
            </w:r>
            <w:r w:rsidRPr="00E14D8A">
              <w:rPr>
                <w:rFonts w:ascii="ITC Avant Garde" w:hAnsi="ITC Avant Garde"/>
                <w:sz w:val="16"/>
                <w:szCs w:val="16"/>
                <w:lang w:val="es-MX"/>
              </w:rPr>
              <w:t>rales</w:t>
            </w:r>
          </w:p>
        </w:tc>
      </w:tr>
      <w:tr w:rsidR="00A66A23" w:rsidRPr="009F5AFF" w14:paraId="6E89187D" w14:textId="77777777" w:rsidTr="00064199">
        <w:trPr>
          <w:jc w:val="center"/>
        </w:trPr>
        <w:tc>
          <w:tcPr>
            <w:tcW w:w="1934" w:type="pct"/>
            <w:shd w:val="clear" w:color="auto" w:fill="auto"/>
          </w:tcPr>
          <w:p w14:paraId="5F497E2D" w14:textId="77777777" w:rsidR="00A66A23" w:rsidRPr="004C1A96" w:rsidRDefault="00A66A23" w:rsidP="00064199">
            <w:pPr>
              <w:keepNext/>
              <w:rPr>
                <w:rFonts w:ascii="ITC Avant Garde" w:hAnsi="ITC Avant Garde"/>
                <w:sz w:val="16"/>
                <w:szCs w:val="16"/>
                <w:lang w:val="en-US"/>
              </w:rPr>
            </w:pPr>
            <w:r w:rsidRPr="004C1A96">
              <w:rPr>
                <w:rFonts w:ascii="ITC Avant Garde" w:hAnsi="ITC Avant Garde"/>
                <w:sz w:val="16"/>
                <w:szCs w:val="16"/>
                <w:lang w:val="en-US"/>
              </w:rPr>
              <w:t>Output_Routes_PDP_CO</w:t>
            </w:r>
          </w:p>
        </w:tc>
        <w:tc>
          <w:tcPr>
            <w:tcW w:w="3066" w:type="pct"/>
            <w:shd w:val="clear" w:color="auto" w:fill="auto"/>
          </w:tcPr>
          <w:p w14:paraId="217A5E87" w14:textId="77777777" w:rsidR="00A66A23" w:rsidRPr="004C1A96" w:rsidRDefault="00A66A23" w:rsidP="00064199">
            <w:pPr>
              <w:keepNext/>
              <w:rPr>
                <w:rFonts w:ascii="ITC Avant Garde" w:hAnsi="ITC Avant Garde"/>
                <w:sz w:val="16"/>
                <w:szCs w:val="16"/>
                <w:lang w:val="es-MX"/>
              </w:rPr>
            </w:pPr>
            <w:r w:rsidRPr="004C1A96">
              <w:rPr>
                <w:rFonts w:ascii="ITC Avant Garde" w:hAnsi="ITC Avant Garde"/>
                <w:sz w:val="16"/>
                <w:szCs w:val="16"/>
                <w:lang w:val="es-MX"/>
              </w:rPr>
              <w:t>Tabla que identifica todas las rutas utilizadas para vincular los PDP a las oficinas centrales</w:t>
            </w:r>
          </w:p>
        </w:tc>
      </w:tr>
      <w:tr w:rsidR="00A66A23" w:rsidRPr="009F5AFF" w14:paraId="6B5104D0" w14:textId="77777777" w:rsidTr="00064199">
        <w:trPr>
          <w:jc w:val="center"/>
        </w:trPr>
        <w:tc>
          <w:tcPr>
            <w:tcW w:w="1934" w:type="pct"/>
            <w:shd w:val="clear" w:color="auto" w:fill="auto"/>
          </w:tcPr>
          <w:p w14:paraId="1C7D5D23" w14:textId="77777777" w:rsidR="00A66A23" w:rsidRPr="004C1A96" w:rsidRDefault="00A66A23" w:rsidP="00064199">
            <w:pPr>
              <w:keepNext/>
              <w:rPr>
                <w:rFonts w:ascii="ITC Avant Garde" w:hAnsi="ITC Avant Garde"/>
                <w:sz w:val="16"/>
                <w:szCs w:val="16"/>
                <w:lang w:val="en-US"/>
              </w:rPr>
            </w:pPr>
            <w:r w:rsidRPr="004C1A96">
              <w:rPr>
                <w:rFonts w:ascii="ITC Avant Garde" w:hAnsi="ITC Avant Garde"/>
                <w:sz w:val="16"/>
                <w:szCs w:val="16"/>
                <w:lang w:val="en-US"/>
              </w:rPr>
              <w:t>Output_Routes_Sections_PDP_CO</w:t>
            </w:r>
          </w:p>
        </w:tc>
        <w:tc>
          <w:tcPr>
            <w:tcW w:w="3066" w:type="pct"/>
            <w:shd w:val="clear" w:color="auto" w:fill="auto"/>
          </w:tcPr>
          <w:p w14:paraId="106AC695" w14:textId="77777777" w:rsidR="00A66A23" w:rsidRPr="004C1A96" w:rsidRDefault="00A66A23" w:rsidP="00064199">
            <w:pPr>
              <w:keepNext/>
              <w:rPr>
                <w:rFonts w:ascii="ITC Avant Garde" w:hAnsi="ITC Avant Garde"/>
                <w:sz w:val="16"/>
                <w:szCs w:val="16"/>
                <w:lang w:val="es-MX"/>
              </w:rPr>
            </w:pPr>
            <w:r w:rsidRPr="004C1A96">
              <w:rPr>
                <w:rFonts w:ascii="ITC Avant Garde" w:hAnsi="ITC Avant Garde"/>
                <w:sz w:val="16"/>
                <w:szCs w:val="16"/>
                <w:lang w:val="es-MX"/>
              </w:rPr>
              <w:t>Tabla que describe el itinerario de las rutas utilizadas por el PDP a las rutas de la Oficina Central</w:t>
            </w:r>
          </w:p>
        </w:tc>
      </w:tr>
      <w:tr w:rsidR="00A66A23" w:rsidRPr="009F5AFF" w14:paraId="7EEA98A8" w14:textId="77777777" w:rsidTr="00064199">
        <w:trPr>
          <w:jc w:val="center"/>
        </w:trPr>
        <w:tc>
          <w:tcPr>
            <w:tcW w:w="1934" w:type="pct"/>
            <w:shd w:val="clear" w:color="auto" w:fill="auto"/>
          </w:tcPr>
          <w:p w14:paraId="1E3292BB" w14:textId="77777777" w:rsidR="00A66A23" w:rsidRPr="004C1A96" w:rsidRDefault="00A66A23" w:rsidP="00064199">
            <w:pPr>
              <w:keepNext/>
              <w:rPr>
                <w:rFonts w:ascii="ITC Avant Garde" w:hAnsi="ITC Avant Garde"/>
                <w:sz w:val="16"/>
                <w:szCs w:val="16"/>
                <w:lang w:val="en-US"/>
              </w:rPr>
            </w:pPr>
            <w:r w:rsidRPr="004C1A96">
              <w:rPr>
                <w:rFonts w:ascii="ITC Avant Garde" w:hAnsi="ITC Avant Garde"/>
                <w:sz w:val="16"/>
                <w:szCs w:val="16"/>
                <w:lang w:val="en-US"/>
              </w:rPr>
              <w:t>Output_Routes</w:t>
            </w:r>
          </w:p>
        </w:tc>
        <w:tc>
          <w:tcPr>
            <w:tcW w:w="3066" w:type="pct"/>
            <w:shd w:val="clear" w:color="auto" w:fill="auto"/>
          </w:tcPr>
          <w:p w14:paraId="1533CA75" w14:textId="77777777" w:rsidR="00A66A23" w:rsidRPr="004C1A96" w:rsidRDefault="00A66A23" w:rsidP="00064199">
            <w:pPr>
              <w:keepNext/>
              <w:rPr>
                <w:rFonts w:ascii="ITC Avant Garde" w:hAnsi="ITC Avant Garde"/>
                <w:sz w:val="16"/>
                <w:szCs w:val="16"/>
                <w:lang w:val="es-MX"/>
              </w:rPr>
            </w:pPr>
            <w:r w:rsidRPr="004C1A96">
              <w:rPr>
                <w:rFonts w:ascii="ITC Avant Garde" w:hAnsi="ITC Avant Garde"/>
                <w:sz w:val="16"/>
                <w:szCs w:val="16"/>
                <w:lang w:val="es-MX"/>
              </w:rPr>
              <w:t>Tabla que identifica todas las rutas utilizadas para vincular a los usuarios finales con un PDP</w:t>
            </w:r>
          </w:p>
        </w:tc>
      </w:tr>
      <w:tr w:rsidR="00A66A23" w:rsidRPr="009F5AFF" w14:paraId="2BE80AFA" w14:textId="77777777" w:rsidTr="00064199">
        <w:trPr>
          <w:jc w:val="center"/>
        </w:trPr>
        <w:tc>
          <w:tcPr>
            <w:tcW w:w="1934" w:type="pct"/>
            <w:shd w:val="clear" w:color="auto" w:fill="auto"/>
          </w:tcPr>
          <w:p w14:paraId="08EF610B" w14:textId="77777777" w:rsidR="00A66A23" w:rsidRPr="004C1A96" w:rsidRDefault="00A66A23" w:rsidP="00064199">
            <w:pPr>
              <w:keepNext/>
              <w:rPr>
                <w:rFonts w:ascii="ITC Avant Garde" w:hAnsi="ITC Avant Garde"/>
                <w:sz w:val="16"/>
                <w:szCs w:val="16"/>
                <w:lang w:val="en-US"/>
              </w:rPr>
            </w:pPr>
            <w:r w:rsidRPr="004C1A96">
              <w:rPr>
                <w:rFonts w:ascii="ITC Avant Garde" w:hAnsi="ITC Avant Garde"/>
                <w:sz w:val="16"/>
                <w:szCs w:val="16"/>
                <w:lang w:val="en-US"/>
              </w:rPr>
              <w:t>Output_Routes_Sections</w:t>
            </w:r>
          </w:p>
        </w:tc>
        <w:tc>
          <w:tcPr>
            <w:tcW w:w="3066" w:type="pct"/>
            <w:shd w:val="clear" w:color="auto" w:fill="auto"/>
          </w:tcPr>
          <w:p w14:paraId="626A87C9" w14:textId="77777777" w:rsidR="00A66A23" w:rsidRPr="004C1A96" w:rsidRDefault="00A66A23" w:rsidP="00064199">
            <w:pPr>
              <w:keepNext/>
              <w:rPr>
                <w:rFonts w:ascii="ITC Avant Garde" w:hAnsi="ITC Avant Garde"/>
                <w:sz w:val="16"/>
                <w:szCs w:val="16"/>
                <w:lang w:val="es-MX"/>
              </w:rPr>
            </w:pPr>
            <w:r w:rsidRPr="004C1A96">
              <w:rPr>
                <w:rFonts w:ascii="ITC Avant Garde" w:hAnsi="ITC Avant Garde"/>
                <w:sz w:val="16"/>
                <w:szCs w:val="16"/>
                <w:lang w:val="es-MX"/>
              </w:rPr>
              <w:t>Tabla que describe el itinerario de las rutas utilizadas por las instalaciones a las rutas PDP</w:t>
            </w:r>
          </w:p>
        </w:tc>
      </w:tr>
      <w:tr w:rsidR="00A66A23" w:rsidRPr="009F5AFF" w14:paraId="2C5EF229" w14:textId="77777777" w:rsidTr="00064199">
        <w:trPr>
          <w:jc w:val="center"/>
        </w:trPr>
        <w:tc>
          <w:tcPr>
            <w:tcW w:w="1934" w:type="pct"/>
            <w:shd w:val="clear" w:color="auto" w:fill="auto"/>
          </w:tcPr>
          <w:p w14:paraId="7FF9F44E" w14:textId="77777777" w:rsidR="00A66A23" w:rsidRPr="004C1A96" w:rsidRDefault="00A66A23" w:rsidP="00064199">
            <w:pPr>
              <w:keepNext/>
              <w:rPr>
                <w:rFonts w:ascii="ITC Avant Garde" w:hAnsi="ITC Avant Garde"/>
                <w:sz w:val="16"/>
                <w:szCs w:val="16"/>
                <w:lang w:val="en-US"/>
              </w:rPr>
            </w:pPr>
            <w:r w:rsidRPr="004C1A96">
              <w:rPr>
                <w:rFonts w:ascii="ITC Avant Garde" w:hAnsi="ITC Avant Garde"/>
                <w:sz w:val="16"/>
                <w:szCs w:val="16"/>
                <w:lang w:val="en-US"/>
              </w:rPr>
              <w:t>Output_Address_All</w:t>
            </w:r>
          </w:p>
        </w:tc>
        <w:tc>
          <w:tcPr>
            <w:tcW w:w="3066" w:type="pct"/>
            <w:shd w:val="clear" w:color="auto" w:fill="auto"/>
          </w:tcPr>
          <w:p w14:paraId="331E4C39" w14:textId="77777777" w:rsidR="00A66A23" w:rsidRPr="00E14D8A" w:rsidRDefault="00A66A23" w:rsidP="00064199">
            <w:pPr>
              <w:keepNext/>
              <w:rPr>
                <w:rFonts w:ascii="ITC Avant Garde" w:hAnsi="ITC Avant Garde"/>
                <w:sz w:val="16"/>
                <w:szCs w:val="16"/>
                <w:lang w:val="es-MX"/>
              </w:rPr>
            </w:pPr>
            <w:r w:rsidRPr="004C1A96">
              <w:rPr>
                <w:rFonts w:ascii="ITC Avant Garde" w:hAnsi="ITC Avant Garde"/>
                <w:sz w:val="16"/>
                <w:szCs w:val="16"/>
                <w:lang w:val="es-MX"/>
              </w:rPr>
              <w:t xml:space="preserve">Tabla </w:t>
            </w:r>
            <w:r w:rsidRPr="00E14D8A">
              <w:rPr>
                <w:rFonts w:ascii="ITC Avant Garde" w:hAnsi="ITC Avant Garde"/>
                <w:sz w:val="16"/>
                <w:szCs w:val="16"/>
                <w:lang w:val="es-MX"/>
              </w:rPr>
              <w:t>utilizada para describir todas las direcciones del país</w:t>
            </w:r>
          </w:p>
        </w:tc>
      </w:tr>
      <w:tr w:rsidR="00A66A23" w:rsidRPr="009F5AFF" w14:paraId="769D7766" w14:textId="77777777" w:rsidTr="00064199">
        <w:trPr>
          <w:jc w:val="center"/>
        </w:trPr>
        <w:tc>
          <w:tcPr>
            <w:tcW w:w="1934" w:type="pct"/>
            <w:shd w:val="clear" w:color="auto" w:fill="auto"/>
          </w:tcPr>
          <w:p w14:paraId="517CE55C" w14:textId="77777777" w:rsidR="00A66A23" w:rsidRPr="004C1A96" w:rsidRDefault="00A66A23" w:rsidP="00064199">
            <w:pPr>
              <w:keepNext/>
              <w:rPr>
                <w:rFonts w:ascii="ITC Avant Garde" w:hAnsi="ITC Avant Garde"/>
                <w:sz w:val="16"/>
                <w:szCs w:val="16"/>
                <w:lang w:val="en-US"/>
              </w:rPr>
            </w:pPr>
            <w:r w:rsidRPr="004C1A96">
              <w:rPr>
                <w:rFonts w:ascii="ITC Avant Garde" w:hAnsi="ITC Avant Garde"/>
                <w:sz w:val="16"/>
                <w:szCs w:val="16"/>
                <w:lang w:val="en-US"/>
              </w:rPr>
              <w:t>Output_Sets_Of_DropCables</w:t>
            </w:r>
          </w:p>
        </w:tc>
        <w:tc>
          <w:tcPr>
            <w:tcW w:w="3066" w:type="pct"/>
            <w:shd w:val="clear" w:color="auto" w:fill="auto"/>
          </w:tcPr>
          <w:p w14:paraId="3F77EBCA" w14:textId="77777777" w:rsidR="00A66A23" w:rsidRPr="004C1A96" w:rsidRDefault="00A66A23" w:rsidP="00064199">
            <w:pPr>
              <w:keepNext/>
              <w:rPr>
                <w:rFonts w:ascii="ITC Avant Garde" w:hAnsi="ITC Avant Garde"/>
                <w:sz w:val="16"/>
                <w:szCs w:val="16"/>
                <w:lang w:val="es-MX"/>
              </w:rPr>
            </w:pPr>
            <w:r w:rsidRPr="004C1A96">
              <w:rPr>
                <w:rFonts w:ascii="ITC Avant Garde" w:hAnsi="ITC Avant Garde"/>
                <w:sz w:val="16"/>
                <w:szCs w:val="16"/>
                <w:lang w:val="es-MX"/>
              </w:rPr>
              <w:t>Tabla utilizada para describir la parte de la red que está en propiedades privadas</w:t>
            </w:r>
          </w:p>
        </w:tc>
      </w:tr>
      <w:tr w:rsidR="00A66A23" w:rsidRPr="009F5AFF" w14:paraId="3ABA9822" w14:textId="77777777" w:rsidTr="00064199">
        <w:trPr>
          <w:jc w:val="center"/>
        </w:trPr>
        <w:tc>
          <w:tcPr>
            <w:tcW w:w="1934" w:type="pct"/>
            <w:shd w:val="clear" w:color="auto" w:fill="auto"/>
          </w:tcPr>
          <w:p w14:paraId="11FA8E27" w14:textId="77777777" w:rsidR="00A66A23" w:rsidRPr="004C1A96" w:rsidRDefault="00A66A23" w:rsidP="00064199">
            <w:pPr>
              <w:keepNext/>
              <w:rPr>
                <w:rFonts w:ascii="ITC Avant Garde" w:hAnsi="ITC Avant Garde"/>
                <w:sz w:val="16"/>
                <w:szCs w:val="16"/>
                <w:lang w:val="en-US"/>
              </w:rPr>
            </w:pPr>
            <w:r w:rsidRPr="004C1A96">
              <w:rPr>
                <w:rFonts w:ascii="ITC Avant Garde" w:hAnsi="ITC Avant Garde"/>
                <w:sz w:val="16"/>
                <w:szCs w:val="16"/>
                <w:lang w:val="en-US"/>
              </w:rPr>
              <w:t>Output_SectionsUsed</w:t>
            </w:r>
          </w:p>
        </w:tc>
        <w:tc>
          <w:tcPr>
            <w:tcW w:w="3066" w:type="pct"/>
            <w:shd w:val="clear" w:color="auto" w:fill="auto"/>
          </w:tcPr>
          <w:p w14:paraId="542C18A7" w14:textId="77777777" w:rsidR="00A66A23" w:rsidRPr="00E14D8A" w:rsidRDefault="00A66A23" w:rsidP="00064199">
            <w:pPr>
              <w:keepNext/>
              <w:rPr>
                <w:rFonts w:ascii="ITC Avant Garde" w:hAnsi="ITC Avant Garde"/>
                <w:sz w:val="16"/>
                <w:szCs w:val="16"/>
                <w:lang w:val="es-MX"/>
              </w:rPr>
            </w:pPr>
            <w:r w:rsidRPr="004C1A96">
              <w:rPr>
                <w:rFonts w:ascii="ITC Avant Garde" w:hAnsi="ITC Avant Garde"/>
                <w:sz w:val="16"/>
                <w:szCs w:val="16"/>
                <w:lang w:val="es-MX"/>
              </w:rPr>
              <w:t>Tabla utilizada para identificar todas las secciones de carreteras re</w:t>
            </w:r>
            <w:r w:rsidRPr="00E14D8A">
              <w:rPr>
                <w:rFonts w:ascii="ITC Avant Garde" w:hAnsi="ITC Avant Garde"/>
                <w:sz w:val="16"/>
                <w:szCs w:val="16"/>
                <w:lang w:val="es-MX"/>
              </w:rPr>
              <w:t>levantes para el escenario considerado</w:t>
            </w:r>
          </w:p>
        </w:tc>
      </w:tr>
      <w:tr w:rsidR="00A66A23" w:rsidRPr="009F5AFF" w14:paraId="7DA0351F" w14:textId="77777777" w:rsidTr="00064199">
        <w:trPr>
          <w:jc w:val="center"/>
        </w:trPr>
        <w:tc>
          <w:tcPr>
            <w:tcW w:w="1934" w:type="pct"/>
            <w:shd w:val="clear" w:color="auto" w:fill="auto"/>
          </w:tcPr>
          <w:p w14:paraId="236B258C" w14:textId="77777777" w:rsidR="00A66A23" w:rsidRPr="004C1A96" w:rsidRDefault="00A66A23" w:rsidP="00064199">
            <w:pPr>
              <w:keepNext/>
              <w:rPr>
                <w:rFonts w:ascii="ITC Avant Garde" w:hAnsi="ITC Avant Garde"/>
                <w:sz w:val="16"/>
                <w:szCs w:val="16"/>
                <w:lang w:val="en-US"/>
              </w:rPr>
            </w:pPr>
            <w:r w:rsidRPr="004C1A96">
              <w:rPr>
                <w:rFonts w:ascii="ITC Avant Garde" w:hAnsi="ITC Avant Garde"/>
                <w:sz w:val="16"/>
                <w:szCs w:val="16"/>
                <w:lang w:val="en-US"/>
              </w:rPr>
              <w:t>Output_Sections_All</w:t>
            </w:r>
          </w:p>
        </w:tc>
        <w:tc>
          <w:tcPr>
            <w:tcW w:w="3066" w:type="pct"/>
            <w:shd w:val="clear" w:color="auto" w:fill="auto"/>
          </w:tcPr>
          <w:p w14:paraId="608C337D" w14:textId="77777777" w:rsidR="00A66A23" w:rsidRPr="004C1A96" w:rsidRDefault="00A66A23" w:rsidP="00064199">
            <w:pPr>
              <w:keepNext/>
              <w:rPr>
                <w:rFonts w:ascii="ITC Avant Garde" w:hAnsi="ITC Avant Garde"/>
                <w:sz w:val="16"/>
                <w:szCs w:val="16"/>
                <w:lang w:val="es-MX"/>
              </w:rPr>
            </w:pPr>
            <w:r w:rsidRPr="004C1A96">
              <w:rPr>
                <w:rFonts w:ascii="ITC Avant Garde" w:hAnsi="ITC Avant Garde"/>
                <w:sz w:val="16"/>
                <w:szCs w:val="16"/>
                <w:lang w:val="es-MX"/>
              </w:rPr>
              <w:t>Tabla que describe todos los tramos viales del país</w:t>
            </w:r>
          </w:p>
        </w:tc>
      </w:tr>
      <w:tr w:rsidR="00A66A23" w:rsidRPr="009F5AFF" w14:paraId="701D8BE8" w14:textId="77777777" w:rsidTr="00064199">
        <w:trPr>
          <w:jc w:val="center"/>
        </w:trPr>
        <w:tc>
          <w:tcPr>
            <w:tcW w:w="1934" w:type="pct"/>
            <w:shd w:val="clear" w:color="auto" w:fill="auto"/>
          </w:tcPr>
          <w:p w14:paraId="0622E9FD" w14:textId="77777777" w:rsidR="00A66A23" w:rsidRPr="004C1A96" w:rsidRDefault="00A66A23" w:rsidP="00064199">
            <w:pPr>
              <w:keepNext/>
              <w:rPr>
                <w:rFonts w:ascii="ITC Avant Garde" w:hAnsi="ITC Avant Garde"/>
                <w:sz w:val="16"/>
                <w:szCs w:val="16"/>
                <w:lang w:val="en-US"/>
              </w:rPr>
            </w:pPr>
            <w:r w:rsidRPr="004C1A96">
              <w:rPr>
                <w:rFonts w:ascii="ITC Avant Garde" w:hAnsi="ITC Avant Garde"/>
                <w:sz w:val="16"/>
                <w:szCs w:val="16"/>
                <w:lang w:val="en-US"/>
              </w:rPr>
              <w:t>List_Pdp_Fibre</w:t>
            </w:r>
          </w:p>
        </w:tc>
        <w:tc>
          <w:tcPr>
            <w:tcW w:w="3066" w:type="pct"/>
            <w:shd w:val="clear" w:color="auto" w:fill="auto"/>
          </w:tcPr>
          <w:p w14:paraId="04774EFA" w14:textId="77777777" w:rsidR="00A66A23" w:rsidRPr="004C1A96" w:rsidRDefault="00A66A23" w:rsidP="00064199">
            <w:pPr>
              <w:keepNext/>
              <w:rPr>
                <w:rFonts w:ascii="ITC Avant Garde" w:hAnsi="ITC Avant Garde"/>
                <w:sz w:val="16"/>
                <w:szCs w:val="16"/>
                <w:lang w:val="es-MX"/>
              </w:rPr>
            </w:pPr>
            <w:r w:rsidRPr="004C1A96">
              <w:rPr>
                <w:rFonts w:ascii="ITC Avant Garde" w:hAnsi="ITC Avant Garde"/>
                <w:sz w:val="16"/>
                <w:szCs w:val="16"/>
                <w:lang w:val="es-MX"/>
              </w:rPr>
              <w:t>Tabla que contiene la lista de PDP utilizada como entrada para reducir la huella de fibra</w:t>
            </w:r>
          </w:p>
        </w:tc>
      </w:tr>
      <w:tr w:rsidR="00A66A23" w:rsidRPr="009F5AFF" w14:paraId="60D78C62" w14:textId="77777777" w:rsidTr="00064199">
        <w:trPr>
          <w:jc w:val="center"/>
        </w:trPr>
        <w:tc>
          <w:tcPr>
            <w:tcW w:w="1934" w:type="pct"/>
            <w:shd w:val="clear" w:color="auto" w:fill="auto"/>
          </w:tcPr>
          <w:p w14:paraId="388D413D" w14:textId="77777777" w:rsidR="00A66A23" w:rsidRPr="004C1A96" w:rsidRDefault="00A66A23" w:rsidP="00064199">
            <w:pPr>
              <w:keepNext/>
              <w:rPr>
                <w:rFonts w:ascii="ITC Avant Garde" w:hAnsi="ITC Avant Garde"/>
                <w:sz w:val="16"/>
                <w:szCs w:val="16"/>
                <w:lang w:val="es-419"/>
              </w:rPr>
            </w:pPr>
            <w:r w:rsidRPr="004C1A96">
              <w:rPr>
                <w:rFonts w:ascii="ITC Avant Garde" w:hAnsi="ITC Avant Garde"/>
                <w:sz w:val="16"/>
                <w:szCs w:val="16"/>
                <w:lang w:val="es-419"/>
              </w:rPr>
              <w:t>Link_CO_Estado_Municipio_Cible_Copper</w:t>
            </w:r>
          </w:p>
        </w:tc>
        <w:tc>
          <w:tcPr>
            <w:tcW w:w="3066" w:type="pct"/>
            <w:shd w:val="clear" w:color="auto" w:fill="auto"/>
          </w:tcPr>
          <w:p w14:paraId="1E0C81AD" w14:textId="77777777" w:rsidR="00A66A23" w:rsidRPr="00E14D8A" w:rsidRDefault="00A66A23" w:rsidP="00064199">
            <w:pPr>
              <w:keepNext/>
              <w:rPr>
                <w:rFonts w:ascii="ITC Avant Garde" w:hAnsi="ITC Avant Garde"/>
                <w:sz w:val="16"/>
                <w:szCs w:val="16"/>
                <w:lang w:val="es-MX"/>
              </w:rPr>
            </w:pPr>
            <w:r w:rsidRPr="00E14D8A">
              <w:rPr>
                <w:rFonts w:ascii="ITC Avant Garde" w:hAnsi="ITC Avant Garde"/>
                <w:sz w:val="16"/>
                <w:szCs w:val="16"/>
                <w:lang w:val="es-MX"/>
              </w:rPr>
              <w:t>Tabla que describe el vínculo entre Ios municipales y CO, así como la demanda específica para la reducción de la huella de cobre</w:t>
            </w:r>
          </w:p>
        </w:tc>
      </w:tr>
      <w:tr w:rsidR="00A66A23" w:rsidRPr="009F5AFF" w14:paraId="5A9F7EFA" w14:textId="77777777" w:rsidTr="00064199">
        <w:trPr>
          <w:jc w:val="center"/>
        </w:trPr>
        <w:tc>
          <w:tcPr>
            <w:tcW w:w="1934" w:type="pct"/>
            <w:shd w:val="clear" w:color="auto" w:fill="auto"/>
          </w:tcPr>
          <w:p w14:paraId="483170D4" w14:textId="218CFA92" w:rsidR="00A66A23" w:rsidRPr="00E14D8A" w:rsidRDefault="00A66A23" w:rsidP="00064199">
            <w:pPr>
              <w:keepNext/>
              <w:rPr>
                <w:rFonts w:ascii="ITC Avant Garde" w:hAnsi="ITC Avant Garde"/>
                <w:sz w:val="16"/>
                <w:szCs w:val="16"/>
                <w:lang w:val="es-419"/>
              </w:rPr>
            </w:pPr>
            <w:r w:rsidRPr="004C1A96">
              <w:rPr>
                <w:rFonts w:ascii="ITC Avant Garde" w:hAnsi="ITC Avant Garde"/>
                <w:sz w:val="16"/>
                <w:szCs w:val="16"/>
                <w:lang w:val="es-419"/>
              </w:rPr>
              <w:t>Link_CO_Estado_Municipio_Cible_FTTC</w:t>
            </w:r>
          </w:p>
        </w:tc>
        <w:tc>
          <w:tcPr>
            <w:tcW w:w="3066" w:type="pct"/>
            <w:shd w:val="clear" w:color="auto" w:fill="auto"/>
          </w:tcPr>
          <w:p w14:paraId="2BC25E11" w14:textId="127314DF" w:rsidR="00A66A23" w:rsidRPr="004C1A96" w:rsidRDefault="00A66A23" w:rsidP="00064199">
            <w:pPr>
              <w:keepNext/>
              <w:rPr>
                <w:rFonts w:ascii="ITC Avant Garde" w:hAnsi="ITC Avant Garde"/>
                <w:sz w:val="16"/>
                <w:szCs w:val="16"/>
                <w:lang w:val="es-MX"/>
              </w:rPr>
            </w:pPr>
            <w:r w:rsidRPr="00E14D8A">
              <w:rPr>
                <w:rFonts w:ascii="ITC Avant Garde" w:hAnsi="ITC Avant Garde"/>
                <w:sz w:val="16"/>
                <w:szCs w:val="16"/>
                <w:lang w:val="es-MX"/>
              </w:rPr>
              <w:t>Tabla que describe el vínculo entre Ios municipales y CO, así como la demanda específica para la r</w:t>
            </w:r>
            <w:r w:rsidRPr="004C1A96">
              <w:rPr>
                <w:rFonts w:ascii="ITC Avant Garde" w:hAnsi="ITC Avant Garde"/>
                <w:sz w:val="16"/>
                <w:szCs w:val="16"/>
                <w:lang w:val="es-MX"/>
              </w:rPr>
              <w:t>educción de la huella de FTTC</w:t>
            </w:r>
          </w:p>
        </w:tc>
      </w:tr>
      <w:tr w:rsidR="00A66A23" w:rsidRPr="009F5AFF" w14:paraId="1A1B9466" w14:textId="77777777" w:rsidTr="00064199">
        <w:trPr>
          <w:jc w:val="center"/>
        </w:trPr>
        <w:tc>
          <w:tcPr>
            <w:tcW w:w="1934" w:type="pct"/>
            <w:shd w:val="clear" w:color="auto" w:fill="auto"/>
          </w:tcPr>
          <w:p w14:paraId="33D71DA1" w14:textId="77777777" w:rsidR="00A66A23" w:rsidRPr="00E14D8A" w:rsidRDefault="00A66A23" w:rsidP="00064199">
            <w:pPr>
              <w:keepNext/>
              <w:rPr>
                <w:rFonts w:ascii="ITC Avant Garde" w:hAnsi="ITC Avant Garde"/>
                <w:sz w:val="16"/>
                <w:szCs w:val="16"/>
                <w:lang w:val="es-419"/>
              </w:rPr>
            </w:pPr>
            <w:r w:rsidRPr="004C1A96">
              <w:rPr>
                <w:rFonts w:ascii="ITC Avant Garde" w:hAnsi="ITC Avant Garde"/>
                <w:sz w:val="16"/>
                <w:szCs w:val="16"/>
                <w:lang w:val="es-419"/>
              </w:rPr>
              <w:t>Link_CO_Estado_Municipio_Cible_FTTH</w:t>
            </w:r>
          </w:p>
        </w:tc>
        <w:tc>
          <w:tcPr>
            <w:tcW w:w="3066" w:type="pct"/>
            <w:shd w:val="clear" w:color="auto" w:fill="auto"/>
          </w:tcPr>
          <w:p w14:paraId="5E98770A" w14:textId="77777777" w:rsidR="00A66A23" w:rsidRPr="00E14D8A" w:rsidRDefault="00A66A23" w:rsidP="00064199">
            <w:pPr>
              <w:keepNext/>
              <w:rPr>
                <w:rFonts w:ascii="ITC Avant Garde" w:hAnsi="ITC Avant Garde"/>
                <w:sz w:val="16"/>
                <w:szCs w:val="16"/>
                <w:lang w:val="es-MX"/>
              </w:rPr>
            </w:pPr>
            <w:r w:rsidRPr="00E14D8A">
              <w:rPr>
                <w:rFonts w:ascii="ITC Avant Garde" w:hAnsi="ITC Avant Garde"/>
                <w:sz w:val="16"/>
                <w:szCs w:val="16"/>
                <w:lang w:val="es-MX"/>
              </w:rPr>
              <w:t>Tabla que describe el vínculo entre Ios municipales y CO, así como la demanda específica para la reducción de la huella de FTTH</w:t>
            </w:r>
          </w:p>
        </w:tc>
      </w:tr>
      <w:tr w:rsidR="00A66A23" w:rsidRPr="009F5AFF" w14:paraId="6D2459C2" w14:textId="77777777" w:rsidTr="00064199">
        <w:trPr>
          <w:jc w:val="center"/>
        </w:trPr>
        <w:tc>
          <w:tcPr>
            <w:tcW w:w="1934" w:type="pct"/>
            <w:shd w:val="clear" w:color="auto" w:fill="auto"/>
          </w:tcPr>
          <w:p w14:paraId="2F18D7C2" w14:textId="77777777" w:rsidR="00A66A23" w:rsidRPr="004C1A96" w:rsidRDefault="00A66A23" w:rsidP="00064199">
            <w:pPr>
              <w:keepNext/>
              <w:rPr>
                <w:rFonts w:ascii="ITC Avant Garde" w:hAnsi="ITC Avant Garde"/>
                <w:sz w:val="16"/>
                <w:szCs w:val="16"/>
                <w:lang w:val="en-US"/>
              </w:rPr>
            </w:pPr>
            <w:r w:rsidRPr="004C1A96">
              <w:rPr>
                <w:rFonts w:ascii="ITC Avant Garde" w:hAnsi="ITC Avant Garde"/>
                <w:sz w:val="16"/>
                <w:szCs w:val="16"/>
                <w:lang w:val="en-US"/>
              </w:rPr>
              <w:t>Score_per_Sections</w:t>
            </w:r>
          </w:p>
        </w:tc>
        <w:tc>
          <w:tcPr>
            <w:tcW w:w="3066" w:type="pct"/>
            <w:shd w:val="clear" w:color="auto" w:fill="auto"/>
          </w:tcPr>
          <w:p w14:paraId="671A0AFC" w14:textId="77777777" w:rsidR="00A66A23" w:rsidRPr="00E14D8A" w:rsidRDefault="00A66A23" w:rsidP="00064199">
            <w:pPr>
              <w:keepNext/>
              <w:rPr>
                <w:rFonts w:ascii="ITC Avant Garde" w:hAnsi="ITC Avant Garde"/>
                <w:sz w:val="16"/>
                <w:szCs w:val="16"/>
                <w:lang w:val="es-MX"/>
              </w:rPr>
            </w:pPr>
            <w:r w:rsidRPr="004C1A96">
              <w:rPr>
                <w:rFonts w:ascii="ITC Avant Garde" w:hAnsi="ITC Avant Garde"/>
                <w:sz w:val="16"/>
                <w:szCs w:val="16"/>
                <w:lang w:val="es-MX"/>
              </w:rPr>
              <w:t>Tabla que describe el p</w:t>
            </w:r>
            <w:r w:rsidRPr="00E14D8A">
              <w:rPr>
                <w:rFonts w:ascii="ITC Avant Garde" w:hAnsi="ITC Avant Garde"/>
                <w:sz w:val="16"/>
                <w:szCs w:val="16"/>
                <w:lang w:val="es-MX"/>
              </w:rPr>
              <w:t>untaje de cada sección utilizada para la reducción de la huella</w:t>
            </w:r>
          </w:p>
        </w:tc>
      </w:tr>
      <w:tr w:rsidR="00A66A23" w:rsidRPr="009F5AFF" w14:paraId="34F4D7A6" w14:textId="77777777" w:rsidTr="00064199">
        <w:trPr>
          <w:jc w:val="center"/>
        </w:trPr>
        <w:tc>
          <w:tcPr>
            <w:tcW w:w="1934" w:type="pct"/>
            <w:shd w:val="clear" w:color="auto" w:fill="auto"/>
          </w:tcPr>
          <w:p w14:paraId="26945D1E" w14:textId="77777777" w:rsidR="00A66A23" w:rsidRPr="004C1A96" w:rsidRDefault="00A66A23" w:rsidP="00064199">
            <w:pPr>
              <w:keepNext/>
              <w:rPr>
                <w:rFonts w:ascii="ITC Avant Garde" w:hAnsi="ITC Avant Garde"/>
                <w:sz w:val="16"/>
                <w:szCs w:val="16"/>
                <w:lang w:val="en-US"/>
              </w:rPr>
            </w:pPr>
            <w:r w:rsidRPr="004C1A96">
              <w:rPr>
                <w:rFonts w:ascii="ITC Avant Garde" w:hAnsi="ITC Avant Garde"/>
                <w:sz w:val="16"/>
                <w:szCs w:val="16"/>
                <w:lang w:val="en-US"/>
              </w:rPr>
              <w:t>Ranking_per_MUNICIPIO</w:t>
            </w:r>
          </w:p>
        </w:tc>
        <w:tc>
          <w:tcPr>
            <w:tcW w:w="3066" w:type="pct"/>
            <w:shd w:val="clear" w:color="auto" w:fill="auto"/>
          </w:tcPr>
          <w:p w14:paraId="24C50245" w14:textId="77777777" w:rsidR="00A66A23" w:rsidRPr="004C1A96" w:rsidRDefault="00A66A23" w:rsidP="00064199">
            <w:pPr>
              <w:keepNext/>
              <w:rPr>
                <w:rFonts w:ascii="ITC Avant Garde" w:hAnsi="ITC Avant Garde"/>
                <w:sz w:val="16"/>
                <w:szCs w:val="16"/>
                <w:lang w:val="es-MX"/>
              </w:rPr>
            </w:pPr>
            <w:r w:rsidRPr="004C1A96">
              <w:rPr>
                <w:rFonts w:ascii="ITC Avant Garde" w:hAnsi="ITC Avant Garde"/>
                <w:sz w:val="16"/>
                <w:szCs w:val="16"/>
                <w:lang w:val="es-MX"/>
              </w:rPr>
              <w:t>Tabla que describe el ranking por Municipio de cada sección utilizada para la reducción de huella</w:t>
            </w:r>
          </w:p>
        </w:tc>
      </w:tr>
      <w:tr w:rsidR="00A66A23" w:rsidRPr="009F5AFF" w14:paraId="64168E05" w14:textId="77777777" w:rsidTr="00064199">
        <w:trPr>
          <w:jc w:val="center"/>
        </w:trPr>
        <w:tc>
          <w:tcPr>
            <w:tcW w:w="1934" w:type="pct"/>
            <w:shd w:val="clear" w:color="auto" w:fill="auto"/>
          </w:tcPr>
          <w:p w14:paraId="3001D931" w14:textId="77777777" w:rsidR="00A66A23" w:rsidRPr="004C1A96" w:rsidRDefault="00A66A23" w:rsidP="00064199">
            <w:pPr>
              <w:keepNext/>
              <w:rPr>
                <w:rFonts w:ascii="ITC Avant Garde" w:hAnsi="ITC Avant Garde"/>
                <w:sz w:val="16"/>
                <w:szCs w:val="16"/>
                <w:lang w:val="en-US"/>
              </w:rPr>
            </w:pPr>
            <w:r w:rsidRPr="004C1A96">
              <w:rPr>
                <w:rFonts w:ascii="ITC Avant Garde" w:hAnsi="ITC Avant Garde"/>
                <w:sz w:val="16"/>
                <w:szCs w:val="16"/>
                <w:lang w:val="en-US"/>
              </w:rPr>
              <w:t>Ranking_per_CO</w:t>
            </w:r>
          </w:p>
        </w:tc>
        <w:tc>
          <w:tcPr>
            <w:tcW w:w="3066" w:type="pct"/>
            <w:shd w:val="clear" w:color="auto" w:fill="auto"/>
          </w:tcPr>
          <w:p w14:paraId="51F5F721" w14:textId="77777777" w:rsidR="00A66A23" w:rsidRPr="00E14D8A" w:rsidRDefault="00A66A23" w:rsidP="00064199">
            <w:pPr>
              <w:keepNext/>
              <w:rPr>
                <w:rFonts w:ascii="ITC Avant Garde" w:hAnsi="ITC Avant Garde"/>
                <w:sz w:val="16"/>
                <w:szCs w:val="16"/>
                <w:lang w:val="es-MX"/>
              </w:rPr>
            </w:pPr>
            <w:r w:rsidRPr="004C1A96">
              <w:rPr>
                <w:rFonts w:ascii="ITC Avant Garde" w:hAnsi="ITC Avant Garde"/>
                <w:sz w:val="16"/>
                <w:szCs w:val="16"/>
                <w:lang w:val="es-MX"/>
              </w:rPr>
              <w:t>Tabla que describe el ranking por CO de cada sección ut</w:t>
            </w:r>
            <w:r w:rsidRPr="00E14D8A">
              <w:rPr>
                <w:rFonts w:ascii="ITC Avant Garde" w:hAnsi="ITC Avant Garde"/>
                <w:sz w:val="16"/>
                <w:szCs w:val="16"/>
                <w:lang w:val="es-MX"/>
              </w:rPr>
              <w:t>ilizada para la reducción de la huella</w:t>
            </w:r>
          </w:p>
        </w:tc>
      </w:tr>
    </w:tbl>
    <w:p w14:paraId="50533846" w14:textId="77777777" w:rsidR="00A66A23" w:rsidRPr="004C1A96" w:rsidRDefault="00A66A23" w:rsidP="00A66A23">
      <w:pPr>
        <w:rPr>
          <w:rFonts w:ascii="ITC Avant Garde" w:hAnsi="ITC Avant Garde"/>
          <w:lang w:val="es-MX"/>
        </w:rPr>
      </w:pPr>
    </w:p>
    <w:p w14:paraId="23A2A2D5" w14:textId="77777777" w:rsidR="00A66A23" w:rsidRPr="004C1A96" w:rsidRDefault="00A66A23" w:rsidP="00A66A23">
      <w:pPr>
        <w:rPr>
          <w:rFonts w:ascii="ITC Avant Garde" w:hAnsi="ITC Avant Garde"/>
          <w:lang w:val="es-MX"/>
        </w:rPr>
      </w:pPr>
      <w:r w:rsidRPr="004C1A96">
        <w:rPr>
          <w:rFonts w:ascii="ITC Avant Garde" w:hAnsi="ITC Avant Garde"/>
          <w:lang w:val="es-MX"/>
        </w:rPr>
        <w:t>La tercera base de datos resume las tablas que usará directamente el modelo. Esta base de datos se crea a partir de la base de datos n°2 y de las consultas SQL de la base de datos n°4.</w:t>
      </w:r>
    </w:p>
    <w:p w14:paraId="314D9135" w14:textId="77777777" w:rsidR="00A66A23" w:rsidRPr="00E14D8A" w:rsidRDefault="00A66A23" w:rsidP="00A66A23">
      <w:pPr>
        <w:rPr>
          <w:rFonts w:ascii="ITC Avant Garde" w:hAnsi="ITC Avant Garde"/>
          <w:lang w:val="es-MX"/>
        </w:rPr>
      </w:pPr>
      <w:r w:rsidRPr="00E14D8A">
        <w:rPr>
          <w:rFonts w:ascii="ITC Avant Garde" w:hAnsi="ITC Avant Garde"/>
          <w:lang w:val="es-MX"/>
        </w:rPr>
        <w:t>Contiene las siguientes tablas:</w:t>
      </w:r>
    </w:p>
    <w:p w14:paraId="07C87134" w14:textId="2649D2EB" w:rsidR="00A66A23" w:rsidRPr="004C1A96" w:rsidRDefault="005579D3" w:rsidP="00A66A23">
      <w:pPr>
        <w:pStyle w:val="Descripcin"/>
        <w:keepNext/>
        <w:rPr>
          <w:rFonts w:ascii="ITC Avant Garde" w:hAnsi="ITC Avant Garde"/>
          <w:lang w:val="es-MX"/>
        </w:rPr>
      </w:pPr>
      <w:r w:rsidRPr="00E14D8A">
        <w:rPr>
          <w:rFonts w:ascii="ITC Avant Garde" w:hAnsi="ITC Avant Garde"/>
          <w:lang w:val="es-MX"/>
        </w:rPr>
        <w:lastRenderedPageBreak/>
        <w:t xml:space="preserve">Cuadro </w:t>
      </w:r>
      <w:r w:rsidRPr="004C1A96">
        <w:rPr>
          <w:rFonts w:ascii="ITC Avant Garde" w:hAnsi="ITC Avant Garde"/>
          <w:lang w:val="es-MX"/>
        </w:rPr>
        <w:fldChar w:fldCharType="begin"/>
      </w:r>
      <w:r w:rsidRPr="004C1A96">
        <w:rPr>
          <w:rFonts w:ascii="ITC Avant Garde" w:hAnsi="ITC Avant Garde"/>
          <w:lang w:val="es-MX"/>
        </w:rPr>
        <w:instrText xml:space="preserve"> SEQ Cuadro \* ARABIC </w:instrText>
      </w:r>
      <w:r w:rsidRPr="004C1A96">
        <w:rPr>
          <w:rFonts w:ascii="ITC Avant Garde" w:hAnsi="ITC Avant Garde"/>
          <w:lang w:val="es-MX"/>
        </w:rPr>
        <w:fldChar w:fldCharType="separate"/>
      </w:r>
      <w:r w:rsidR="00006265">
        <w:rPr>
          <w:rFonts w:ascii="ITC Avant Garde" w:hAnsi="ITC Avant Garde"/>
          <w:noProof/>
          <w:lang w:val="es-MX"/>
        </w:rPr>
        <w:t>6</w:t>
      </w:r>
      <w:r w:rsidRPr="004C1A96">
        <w:rPr>
          <w:rFonts w:ascii="ITC Avant Garde" w:hAnsi="ITC Avant Garde"/>
          <w:lang w:val="es-MX"/>
        </w:rPr>
        <w:fldChar w:fldCharType="end"/>
      </w:r>
      <w:r w:rsidR="00A66A23" w:rsidRPr="004C1A96">
        <w:rPr>
          <w:rFonts w:ascii="ITC Avant Garde" w:hAnsi="ITC Avant Garde"/>
          <w:lang w:val="es-MX"/>
        </w:rPr>
        <w:t xml:space="preserve"> - Descripción de las tablas - Base de datos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6"/>
        <w:gridCol w:w="4657"/>
      </w:tblGrid>
      <w:tr w:rsidR="00A66A23" w:rsidRPr="004C1A96" w14:paraId="0745816B" w14:textId="77777777" w:rsidTr="00064199">
        <w:trPr>
          <w:tblHeader/>
          <w:jc w:val="center"/>
        </w:trPr>
        <w:tc>
          <w:tcPr>
            <w:tcW w:w="3836" w:type="dxa"/>
            <w:shd w:val="clear" w:color="auto" w:fill="2F5897" w:themeFill="text2"/>
          </w:tcPr>
          <w:p w14:paraId="2FAB8E4A" w14:textId="77777777" w:rsidR="00A66A23" w:rsidRPr="004C1A96" w:rsidRDefault="00A66A23" w:rsidP="00064199">
            <w:pPr>
              <w:keepNext/>
              <w:jc w:val="center"/>
              <w:rPr>
                <w:rFonts w:ascii="ITC Avant Garde" w:hAnsi="ITC Avant Garde"/>
                <w:b/>
                <w:color w:val="FFFFFF"/>
                <w:sz w:val="16"/>
                <w:szCs w:val="16"/>
                <w:lang w:val="en-US"/>
              </w:rPr>
            </w:pPr>
            <w:r w:rsidRPr="004C1A96">
              <w:rPr>
                <w:rFonts w:ascii="ITC Avant Garde" w:hAnsi="ITC Avant Garde"/>
                <w:b/>
                <w:color w:val="FFFFFF"/>
                <w:sz w:val="16"/>
                <w:szCs w:val="16"/>
                <w:lang w:val="en-US"/>
              </w:rPr>
              <w:t>Table name</w:t>
            </w:r>
          </w:p>
        </w:tc>
        <w:tc>
          <w:tcPr>
            <w:tcW w:w="4657" w:type="dxa"/>
            <w:shd w:val="clear" w:color="auto" w:fill="2F5897" w:themeFill="text2"/>
          </w:tcPr>
          <w:p w14:paraId="637E81C6" w14:textId="77777777" w:rsidR="00A66A23" w:rsidRPr="00E14D8A" w:rsidRDefault="00A66A23" w:rsidP="00064199">
            <w:pPr>
              <w:keepNext/>
              <w:jc w:val="center"/>
              <w:rPr>
                <w:rFonts w:ascii="ITC Avant Garde" w:hAnsi="ITC Avant Garde"/>
                <w:b/>
                <w:color w:val="FFFFFF"/>
                <w:sz w:val="16"/>
                <w:szCs w:val="16"/>
                <w:lang w:val="en-US"/>
              </w:rPr>
            </w:pPr>
            <w:r w:rsidRPr="00E14D8A">
              <w:rPr>
                <w:rFonts w:ascii="ITC Avant Garde" w:hAnsi="ITC Avant Garde"/>
                <w:b/>
                <w:color w:val="FFFFFF"/>
                <w:sz w:val="16"/>
                <w:szCs w:val="16"/>
                <w:lang w:val="en-US"/>
              </w:rPr>
              <w:t>Description</w:t>
            </w:r>
          </w:p>
        </w:tc>
      </w:tr>
      <w:tr w:rsidR="00A66A23" w:rsidRPr="009F5AFF" w14:paraId="18FD3462" w14:textId="77777777" w:rsidTr="00064199">
        <w:trPr>
          <w:jc w:val="center"/>
        </w:trPr>
        <w:tc>
          <w:tcPr>
            <w:tcW w:w="3836" w:type="dxa"/>
            <w:shd w:val="clear" w:color="auto" w:fill="auto"/>
          </w:tcPr>
          <w:p w14:paraId="10829C59" w14:textId="77777777" w:rsidR="00A66A23" w:rsidRPr="004C1A96" w:rsidRDefault="00A66A23" w:rsidP="00064199">
            <w:pPr>
              <w:keepNext/>
              <w:rPr>
                <w:rFonts w:ascii="ITC Avant Garde" w:hAnsi="ITC Avant Garde"/>
                <w:sz w:val="16"/>
                <w:szCs w:val="16"/>
                <w:lang w:val="en-US"/>
              </w:rPr>
            </w:pPr>
            <w:r w:rsidRPr="004C1A96">
              <w:rPr>
                <w:rFonts w:ascii="ITC Avant Garde" w:hAnsi="ITC Avant Garde"/>
                <w:sz w:val="16"/>
                <w:szCs w:val="16"/>
                <w:lang w:val="en-US"/>
              </w:rPr>
              <w:t>_Source_Routes</w:t>
            </w:r>
          </w:p>
        </w:tc>
        <w:tc>
          <w:tcPr>
            <w:tcW w:w="4657" w:type="dxa"/>
            <w:shd w:val="clear" w:color="auto" w:fill="auto"/>
          </w:tcPr>
          <w:p w14:paraId="7DB4B7D4" w14:textId="77777777" w:rsidR="00A66A23" w:rsidRPr="004C1A96" w:rsidRDefault="00A66A23" w:rsidP="00064199">
            <w:pPr>
              <w:keepNext/>
              <w:rPr>
                <w:rFonts w:ascii="ITC Avant Garde" w:hAnsi="ITC Avant Garde"/>
                <w:sz w:val="16"/>
                <w:szCs w:val="16"/>
                <w:lang w:val="es-MX"/>
              </w:rPr>
            </w:pPr>
            <w:r w:rsidRPr="004C1A96">
              <w:rPr>
                <w:rFonts w:ascii="ITC Avant Garde" w:hAnsi="ITC Avant Garde"/>
                <w:sz w:val="16"/>
                <w:szCs w:val="16"/>
                <w:lang w:val="es-MX"/>
              </w:rPr>
              <w:t>Tabla que identifica todas las rutas utilizadas para vincular a los usuarios finales con un PDP</w:t>
            </w:r>
          </w:p>
        </w:tc>
      </w:tr>
      <w:tr w:rsidR="00A66A23" w:rsidRPr="009F5AFF" w14:paraId="20A0268D" w14:textId="77777777" w:rsidTr="00064199">
        <w:trPr>
          <w:jc w:val="center"/>
        </w:trPr>
        <w:tc>
          <w:tcPr>
            <w:tcW w:w="3836" w:type="dxa"/>
            <w:shd w:val="clear" w:color="auto" w:fill="auto"/>
          </w:tcPr>
          <w:p w14:paraId="44CF4A86" w14:textId="77777777" w:rsidR="00A66A23" w:rsidRPr="004C1A96" w:rsidRDefault="00A66A23" w:rsidP="00064199">
            <w:pPr>
              <w:keepNext/>
              <w:rPr>
                <w:rFonts w:ascii="ITC Avant Garde" w:hAnsi="ITC Avant Garde"/>
                <w:sz w:val="16"/>
                <w:szCs w:val="16"/>
                <w:lang w:val="en-US"/>
              </w:rPr>
            </w:pPr>
            <w:r w:rsidRPr="004C1A96">
              <w:rPr>
                <w:rFonts w:ascii="ITC Avant Garde" w:hAnsi="ITC Avant Garde"/>
                <w:sz w:val="16"/>
                <w:szCs w:val="16"/>
                <w:lang w:val="en-US"/>
              </w:rPr>
              <w:t>_Source_Routes_Sections</w:t>
            </w:r>
          </w:p>
        </w:tc>
        <w:tc>
          <w:tcPr>
            <w:tcW w:w="4657" w:type="dxa"/>
            <w:shd w:val="clear" w:color="auto" w:fill="auto"/>
          </w:tcPr>
          <w:p w14:paraId="5F6AD5FD" w14:textId="77777777" w:rsidR="00A66A23" w:rsidRPr="00E14D8A" w:rsidRDefault="00A66A23" w:rsidP="00064199">
            <w:pPr>
              <w:keepNext/>
              <w:rPr>
                <w:rFonts w:ascii="ITC Avant Garde" w:hAnsi="ITC Avant Garde"/>
                <w:sz w:val="16"/>
                <w:szCs w:val="16"/>
                <w:lang w:val="es-MX"/>
              </w:rPr>
            </w:pPr>
            <w:r w:rsidRPr="004C1A96">
              <w:rPr>
                <w:rFonts w:ascii="ITC Avant Garde" w:hAnsi="ITC Avant Garde"/>
                <w:sz w:val="16"/>
                <w:szCs w:val="16"/>
                <w:lang w:val="es-MX"/>
              </w:rPr>
              <w:t>Tabla que desc</w:t>
            </w:r>
            <w:r w:rsidRPr="00E14D8A">
              <w:rPr>
                <w:rFonts w:ascii="ITC Avant Garde" w:hAnsi="ITC Avant Garde"/>
                <w:sz w:val="16"/>
                <w:szCs w:val="16"/>
                <w:lang w:val="es-MX"/>
              </w:rPr>
              <w:t>ribe el itinerario en términos de secciones de carreteras utilizadas por la ruta</w:t>
            </w:r>
          </w:p>
        </w:tc>
      </w:tr>
      <w:tr w:rsidR="00A66A23" w:rsidRPr="009F5AFF" w14:paraId="2F6B7838" w14:textId="77777777" w:rsidTr="00064199">
        <w:trPr>
          <w:jc w:val="center"/>
        </w:trPr>
        <w:tc>
          <w:tcPr>
            <w:tcW w:w="3836" w:type="dxa"/>
            <w:shd w:val="clear" w:color="auto" w:fill="auto"/>
          </w:tcPr>
          <w:p w14:paraId="3AF3A852" w14:textId="77777777" w:rsidR="00A66A23" w:rsidRPr="004C1A96" w:rsidRDefault="00A66A23" w:rsidP="00064199">
            <w:pPr>
              <w:keepNext/>
              <w:rPr>
                <w:rFonts w:ascii="ITC Avant Garde" w:hAnsi="ITC Avant Garde"/>
                <w:sz w:val="16"/>
                <w:szCs w:val="16"/>
                <w:lang w:val="en-US"/>
              </w:rPr>
            </w:pPr>
            <w:r w:rsidRPr="004C1A96">
              <w:rPr>
                <w:rFonts w:ascii="ITC Avant Garde" w:hAnsi="ITC Avant Garde"/>
                <w:sz w:val="16"/>
                <w:szCs w:val="16"/>
                <w:lang w:val="en-US"/>
              </w:rPr>
              <w:t>_Source_Routes_PDP_CO</w:t>
            </w:r>
          </w:p>
        </w:tc>
        <w:tc>
          <w:tcPr>
            <w:tcW w:w="4657" w:type="dxa"/>
            <w:shd w:val="clear" w:color="auto" w:fill="auto"/>
          </w:tcPr>
          <w:p w14:paraId="308D1500" w14:textId="77777777" w:rsidR="00A66A23" w:rsidRPr="004C1A96" w:rsidRDefault="00A66A23" w:rsidP="00064199">
            <w:pPr>
              <w:keepNext/>
              <w:rPr>
                <w:rFonts w:ascii="ITC Avant Garde" w:hAnsi="ITC Avant Garde"/>
                <w:sz w:val="16"/>
                <w:szCs w:val="16"/>
                <w:lang w:val="es-MX"/>
              </w:rPr>
            </w:pPr>
            <w:r w:rsidRPr="004C1A96">
              <w:rPr>
                <w:rFonts w:ascii="ITC Avant Garde" w:hAnsi="ITC Avant Garde"/>
                <w:sz w:val="16"/>
                <w:szCs w:val="16"/>
                <w:lang w:val="es-MX"/>
              </w:rPr>
              <w:t>Tabla que identifica todas las rutas utilizadas para vincular los PDP a las oficinas centrales</w:t>
            </w:r>
          </w:p>
        </w:tc>
      </w:tr>
      <w:tr w:rsidR="00A66A23" w:rsidRPr="009F5AFF" w14:paraId="1B04A2B5" w14:textId="77777777" w:rsidTr="00064199">
        <w:trPr>
          <w:jc w:val="center"/>
        </w:trPr>
        <w:tc>
          <w:tcPr>
            <w:tcW w:w="3836" w:type="dxa"/>
            <w:shd w:val="clear" w:color="auto" w:fill="auto"/>
          </w:tcPr>
          <w:p w14:paraId="48EFC04E" w14:textId="77777777" w:rsidR="00A66A23" w:rsidRPr="004C1A96" w:rsidRDefault="00A66A23" w:rsidP="00064199">
            <w:pPr>
              <w:keepNext/>
              <w:rPr>
                <w:rFonts w:ascii="ITC Avant Garde" w:hAnsi="ITC Avant Garde"/>
                <w:sz w:val="16"/>
                <w:szCs w:val="16"/>
                <w:lang w:val="fr-FR"/>
              </w:rPr>
            </w:pPr>
            <w:r w:rsidRPr="004C1A96">
              <w:rPr>
                <w:rFonts w:ascii="ITC Avant Garde" w:hAnsi="ITC Avant Garde"/>
                <w:sz w:val="16"/>
                <w:szCs w:val="16"/>
                <w:lang w:val="fr-FR"/>
              </w:rPr>
              <w:t>_Source_Routes_Sections_PD_PCO</w:t>
            </w:r>
          </w:p>
        </w:tc>
        <w:tc>
          <w:tcPr>
            <w:tcW w:w="4657" w:type="dxa"/>
            <w:shd w:val="clear" w:color="auto" w:fill="auto"/>
          </w:tcPr>
          <w:p w14:paraId="30B14083" w14:textId="77777777" w:rsidR="00A66A23" w:rsidRPr="00E14D8A" w:rsidRDefault="00A66A23" w:rsidP="00064199">
            <w:pPr>
              <w:keepNext/>
              <w:rPr>
                <w:rFonts w:ascii="ITC Avant Garde" w:hAnsi="ITC Avant Garde"/>
                <w:sz w:val="16"/>
                <w:szCs w:val="16"/>
                <w:lang w:val="es-MX"/>
              </w:rPr>
            </w:pPr>
            <w:r w:rsidRPr="004C1A96">
              <w:rPr>
                <w:rFonts w:ascii="ITC Avant Garde" w:hAnsi="ITC Avant Garde"/>
                <w:sz w:val="16"/>
                <w:szCs w:val="16"/>
                <w:lang w:val="es-MX"/>
              </w:rPr>
              <w:t>Tabla que describe el iti</w:t>
            </w:r>
            <w:r w:rsidRPr="00E14D8A">
              <w:rPr>
                <w:rFonts w:ascii="ITC Avant Garde" w:hAnsi="ITC Avant Garde"/>
                <w:sz w:val="16"/>
                <w:szCs w:val="16"/>
                <w:lang w:val="es-MX"/>
              </w:rPr>
              <w:t>nerario en términos de secciones de carreteras utilizadas por la ruta</w:t>
            </w:r>
          </w:p>
        </w:tc>
      </w:tr>
      <w:tr w:rsidR="00A66A23" w:rsidRPr="009F5AFF" w14:paraId="72FD71D5" w14:textId="77777777" w:rsidTr="00064199">
        <w:trPr>
          <w:jc w:val="center"/>
        </w:trPr>
        <w:tc>
          <w:tcPr>
            <w:tcW w:w="3836" w:type="dxa"/>
            <w:shd w:val="clear" w:color="auto" w:fill="auto"/>
          </w:tcPr>
          <w:p w14:paraId="1BE2A750" w14:textId="77777777" w:rsidR="00A66A23" w:rsidRPr="004C1A96" w:rsidRDefault="00A66A23" w:rsidP="00064199">
            <w:pPr>
              <w:keepNext/>
              <w:rPr>
                <w:rFonts w:ascii="ITC Avant Garde" w:hAnsi="ITC Avant Garde"/>
                <w:sz w:val="16"/>
                <w:szCs w:val="16"/>
                <w:lang w:val="en-US"/>
              </w:rPr>
            </w:pPr>
            <w:r w:rsidRPr="004C1A96">
              <w:rPr>
                <w:rFonts w:ascii="ITC Avant Garde" w:hAnsi="ITC Avant Garde"/>
                <w:sz w:val="16"/>
                <w:szCs w:val="16"/>
                <w:lang w:val="en-US"/>
              </w:rPr>
              <w:t>Addresses_All</w:t>
            </w:r>
          </w:p>
        </w:tc>
        <w:tc>
          <w:tcPr>
            <w:tcW w:w="4657" w:type="dxa"/>
            <w:shd w:val="clear" w:color="auto" w:fill="auto"/>
          </w:tcPr>
          <w:p w14:paraId="61396C52" w14:textId="77777777" w:rsidR="00A66A23" w:rsidRPr="004C1A96" w:rsidRDefault="00A66A23" w:rsidP="00064199">
            <w:pPr>
              <w:keepNext/>
              <w:rPr>
                <w:rFonts w:ascii="ITC Avant Garde" w:hAnsi="ITC Avant Garde"/>
                <w:sz w:val="16"/>
                <w:szCs w:val="16"/>
                <w:lang w:val="es-MX"/>
              </w:rPr>
            </w:pPr>
            <w:r w:rsidRPr="004C1A96">
              <w:rPr>
                <w:rFonts w:ascii="ITC Avant Garde" w:hAnsi="ITC Avant Garde"/>
                <w:sz w:val="16"/>
                <w:szCs w:val="16"/>
                <w:lang w:val="es-MX"/>
              </w:rPr>
              <w:t>Esta tabla describe todas las direcciones de la red considerada</w:t>
            </w:r>
          </w:p>
        </w:tc>
      </w:tr>
      <w:tr w:rsidR="00A66A23" w:rsidRPr="009F5AFF" w14:paraId="06FBE2E5" w14:textId="77777777" w:rsidTr="00064199">
        <w:trPr>
          <w:jc w:val="center"/>
        </w:trPr>
        <w:tc>
          <w:tcPr>
            <w:tcW w:w="3836" w:type="dxa"/>
            <w:shd w:val="clear" w:color="auto" w:fill="auto"/>
          </w:tcPr>
          <w:p w14:paraId="0004F5BD" w14:textId="77777777" w:rsidR="00A66A23" w:rsidRPr="004C1A96" w:rsidRDefault="00A66A23" w:rsidP="00064199">
            <w:pPr>
              <w:keepNext/>
              <w:rPr>
                <w:rFonts w:ascii="ITC Avant Garde" w:hAnsi="ITC Avant Garde"/>
                <w:sz w:val="16"/>
                <w:szCs w:val="16"/>
                <w:lang w:val="en-US"/>
              </w:rPr>
            </w:pPr>
            <w:r w:rsidRPr="004C1A96">
              <w:rPr>
                <w:rFonts w:ascii="ITC Avant Garde" w:hAnsi="ITC Avant Garde"/>
                <w:sz w:val="16"/>
                <w:szCs w:val="16"/>
                <w:lang w:val="en-US"/>
              </w:rPr>
              <w:t>PDPCOs</w:t>
            </w:r>
          </w:p>
        </w:tc>
        <w:tc>
          <w:tcPr>
            <w:tcW w:w="4657" w:type="dxa"/>
            <w:shd w:val="clear" w:color="auto" w:fill="auto"/>
          </w:tcPr>
          <w:p w14:paraId="595402CA" w14:textId="77777777" w:rsidR="00A66A23" w:rsidRPr="004C1A96" w:rsidRDefault="00A66A23" w:rsidP="00064199">
            <w:pPr>
              <w:keepNext/>
              <w:rPr>
                <w:rFonts w:ascii="ITC Avant Garde" w:hAnsi="ITC Avant Garde"/>
                <w:sz w:val="16"/>
                <w:szCs w:val="16"/>
                <w:lang w:val="es-MX"/>
              </w:rPr>
            </w:pPr>
            <w:r w:rsidRPr="004C1A96">
              <w:rPr>
                <w:rFonts w:ascii="ITC Avant Garde" w:hAnsi="ITC Avant Garde"/>
                <w:sz w:val="16"/>
                <w:szCs w:val="16"/>
                <w:lang w:val="es-MX"/>
              </w:rPr>
              <w:t>Esta tabla describe todas las oficinas centrales y PDP del escenario considerado</w:t>
            </w:r>
          </w:p>
        </w:tc>
      </w:tr>
      <w:tr w:rsidR="00A66A23" w:rsidRPr="009F5AFF" w14:paraId="4B1EF1A5" w14:textId="77777777" w:rsidTr="00064199">
        <w:trPr>
          <w:jc w:val="center"/>
        </w:trPr>
        <w:tc>
          <w:tcPr>
            <w:tcW w:w="3836" w:type="dxa"/>
            <w:shd w:val="clear" w:color="auto" w:fill="auto"/>
          </w:tcPr>
          <w:p w14:paraId="083C0E90" w14:textId="77777777" w:rsidR="00A66A23" w:rsidRPr="004C1A96" w:rsidRDefault="00A66A23" w:rsidP="00064199">
            <w:pPr>
              <w:keepNext/>
              <w:rPr>
                <w:rFonts w:ascii="ITC Avant Garde" w:hAnsi="ITC Avant Garde"/>
                <w:sz w:val="16"/>
                <w:szCs w:val="16"/>
                <w:lang w:val="en-US"/>
              </w:rPr>
            </w:pPr>
            <w:r w:rsidRPr="004C1A96">
              <w:rPr>
                <w:rFonts w:ascii="ITC Avant Garde" w:hAnsi="ITC Avant Garde"/>
                <w:sz w:val="16"/>
                <w:szCs w:val="16"/>
                <w:lang w:val="en-US"/>
              </w:rPr>
              <w:t>Sets_Of_DropCables</w:t>
            </w:r>
          </w:p>
        </w:tc>
        <w:tc>
          <w:tcPr>
            <w:tcW w:w="4657" w:type="dxa"/>
            <w:shd w:val="clear" w:color="auto" w:fill="auto"/>
          </w:tcPr>
          <w:p w14:paraId="0307539A" w14:textId="77777777" w:rsidR="00A66A23" w:rsidRPr="00E14D8A" w:rsidRDefault="00A66A23" w:rsidP="00064199">
            <w:pPr>
              <w:keepNext/>
              <w:rPr>
                <w:rFonts w:ascii="ITC Avant Garde" w:hAnsi="ITC Avant Garde"/>
                <w:sz w:val="16"/>
                <w:szCs w:val="16"/>
                <w:lang w:val="es-MX"/>
              </w:rPr>
            </w:pPr>
            <w:r w:rsidRPr="00E14D8A">
              <w:rPr>
                <w:rFonts w:ascii="ITC Avant Garde" w:hAnsi="ITC Avant Garde"/>
                <w:sz w:val="16"/>
                <w:szCs w:val="16"/>
                <w:lang w:val="es-MX"/>
              </w:rPr>
              <w:t>Tabla utilizada para describir la parte de la red que está en propiedades privadas</w:t>
            </w:r>
          </w:p>
        </w:tc>
      </w:tr>
    </w:tbl>
    <w:p w14:paraId="7D291158" w14:textId="77777777" w:rsidR="00A66A23" w:rsidRPr="004C1A96" w:rsidRDefault="00A66A23" w:rsidP="00A66A23">
      <w:pPr>
        <w:rPr>
          <w:rFonts w:ascii="ITC Avant Garde" w:hAnsi="ITC Avant Garde"/>
          <w:lang w:val="es-MX"/>
        </w:rPr>
      </w:pPr>
    </w:p>
    <w:p w14:paraId="2B8B5BF9" w14:textId="77777777" w:rsidR="00A66A23" w:rsidRPr="00E14D8A" w:rsidRDefault="00A66A23" w:rsidP="00A66A23">
      <w:pPr>
        <w:rPr>
          <w:rFonts w:ascii="ITC Avant Garde" w:hAnsi="ITC Avant Garde"/>
          <w:lang w:val="es-MX"/>
        </w:rPr>
      </w:pPr>
      <w:r w:rsidRPr="004C1A96">
        <w:rPr>
          <w:rFonts w:ascii="ITC Avant Garde" w:hAnsi="ITC Avant Garde"/>
          <w:lang w:val="es-MX"/>
        </w:rPr>
        <w:t>La cuarta base de datos es el núcleo del modelo; contiene todos los algoritmos necesarios para dimensionar la red de acceso. Utiliza la tercera base de datos como la pri</w:t>
      </w:r>
      <w:r w:rsidRPr="00E14D8A">
        <w:rPr>
          <w:rFonts w:ascii="ITC Avant Garde" w:hAnsi="ITC Avant Garde"/>
          <w:lang w:val="es-MX"/>
        </w:rPr>
        <w:t xml:space="preserve">ncipal fuente de insumos y almacena los resultados intermedios en sus tablas, que se presentan en la tabla a continuación. </w:t>
      </w:r>
    </w:p>
    <w:p w14:paraId="1C5434CE" w14:textId="77777777" w:rsidR="00A66A23" w:rsidRPr="00E14D8A" w:rsidRDefault="00A66A23" w:rsidP="00A66A23">
      <w:pPr>
        <w:rPr>
          <w:rFonts w:ascii="ITC Avant Garde" w:hAnsi="ITC Avant Garde"/>
          <w:lang w:val="es-MX"/>
        </w:rPr>
      </w:pPr>
      <w:r w:rsidRPr="00E14D8A">
        <w:rPr>
          <w:rFonts w:ascii="ITC Avant Garde" w:hAnsi="ITC Avant Garde"/>
          <w:lang w:val="es-MX"/>
        </w:rPr>
        <w:t>Los parámetros del modelo también se almacenan en la cuarta base de datos.</w:t>
      </w:r>
    </w:p>
    <w:p w14:paraId="657A720A" w14:textId="77777777" w:rsidR="00A66A23" w:rsidRPr="004C1A96" w:rsidRDefault="00A66A23" w:rsidP="00A66A23">
      <w:pPr>
        <w:rPr>
          <w:rFonts w:ascii="ITC Avant Garde" w:hAnsi="ITC Avant Garde"/>
          <w:lang w:val="es-MX"/>
        </w:rPr>
      </w:pPr>
    </w:p>
    <w:p w14:paraId="2575D41C" w14:textId="380A0A08" w:rsidR="00A66A23" w:rsidRPr="004C1A96" w:rsidRDefault="005579D3" w:rsidP="00A66A23">
      <w:pPr>
        <w:pStyle w:val="Descripcin"/>
        <w:keepNext/>
        <w:rPr>
          <w:rFonts w:ascii="ITC Avant Garde" w:hAnsi="ITC Avant Garde"/>
          <w:lang w:val="es-MX"/>
        </w:rPr>
      </w:pPr>
      <w:r w:rsidRPr="004C1A96">
        <w:rPr>
          <w:rFonts w:ascii="ITC Avant Garde" w:hAnsi="ITC Avant Garde"/>
          <w:lang w:val="es-MX"/>
        </w:rPr>
        <w:lastRenderedPageBreak/>
        <w:t xml:space="preserve">Cuadro </w:t>
      </w:r>
      <w:r w:rsidRPr="004C1A96">
        <w:rPr>
          <w:rFonts w:ascii="ITC Avant Garde" w:hAnsi="ITC Avant Garde"/>
          <w:lang w:val="es-MX"/>
        </w:rPr>
        <w:fldChar w:fldCharType="begin"/>
      </w:r>
      <w:r w:rsidRPr="004C1A96">
        <w:rPr>
          <w:rFonts w:ascii="ITC Avant Garde" w:hAnsi="ITC Avant Garde"/>
          <w:lang w:val="es-MX"/>
        </w:rPr>
        <w:instrText xml:space="preserve"> SEQ Cuadro \* ARABIC </w:instrText>
      </w:r>
      <w:r w:rsidRPr="004C1A96">
        <w:rPr>
          <w:rFonts w:ascii="ITC Avant Garde" w:hAnsi="ITC Avant Garde"/>
          <w:lang w:val="es-MX"/>
        </w:rPr>
        <w:fldChar w:fldCharType="separate"/>
      </w:r>
      <w:r w:rsidR="00006265">
        <w:rPr>
          <w:rFonts w:ascii="ITC Avant Garde" w:hAnsi="ITC Avant Garde"/>
          <w:noProof/>
          <w:lang w:val="es-MX"/>
        </w:rPr>
        <w:t>7</w:t>
      </w:r>
      <w:r w:rsidRPr="004C1A96">
        <w:rPr>
          <w:rFonts w:ascii="ITC Avant Garde" w:hAnsi="ITC Avant Garde"/>
          <w:lang w:val="es-MX"/>
        </w:rPr>
        <w:fldChar w:fldCharType="end"/>
      </w:r>
      <w:r w:rsidR="00A66A23" w:rsidRPr="004C1A96">
        <w:rPr>
          <w:rFonts w:ascii="ITC Avant Garde" w:hAnsi="ITC Avant Garde"/>
          <w:lang w:val="es-MX"/>
        </w:rPr>
        <w:t xml:space="preserve"> - Descripción de las tablas - Base de datos 4</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6"/>
        <w:gridCol w:w="5798"/>
      </w:tblGrid>
      <w:tr w:rsidR="00A66A23" w:rsidRPr="004C1A96" w14:paraId="371921FA" w14:textId="77777777" w:rsidTr="00064199">
        <w:trPr>
          <w:tblHeader/>
          <w:jc w:val="center"/>
        </w:trPr>
        <w:tc>
          <w:tcPr>
            <w:tcW w:w="2831" w:type="dxa"/>
            <w:shd w:val="clear" w:color="auto" w:fill="2F5897" w:themeFill="text2"/>
          </w:tcPr>
          <w:p w14:paraId="3456EDEB" w14:textId="77777777" w:rsidR="00A66A23" w:rsidRPr="00E14D8A" w:rsidRDefault="00A66A23" w:rsidP="00064199">
            <w:pPr>
              <w:keepNext/>
              <w:jc w:val="center"/>
              <w:rPr>
                <w:rFonts w:ascii="ITC Avant Garde" w:hAnsi="ITC Avant Garde"/>
                <w:b/>
                <w:color w:val="FFFFFF"/>
                <w:sz w:val="16"/>
                <w:szCs w:val="16"/>
                <w:lang w:val="en-US"/>
              </w:rPr>
            </w:pPr>
            <w:r w:rsidRPr="00E14D8A">
              <w:rPr>
                <w:rFonts w:ascii="ITC Avant Garde" w:hAnsi="ITC Avant Garde"/>
                <w:b/>
                <w:color w:val="FFFFFF"/>
                <w:sz w:val="16"/>
                <w:szCs w:val="16"/>
                <w:lang w:val="en-US"/>
              </w:rPr>
              <w:t>Table name</w:t>
            </w:r>
          </w:p>
        </w:tc>
        <w:tc>
          <w:tcPr>
            <w:tcW w:w="5953" w:type="dxa"/>
            <w:shd w:val="clear" w:color="auto" w:fill="2F5897" w:themeFill="text2"/>
          </w:tcPr>
          <w:p w14:paraId="05F22F9C" w14:textId="77777777" w:rsidR="00A66A23" w:rsidRPr="00E14D8A" w:rsidRDefault="00A66A23" w:rsidP="00064199">
            <w:pPr>
              <w:keepNext/>
              <w:jc w:val="center"/>
              <w:rPr>
                <w:rFonts w:ascii="ITC Avant Garde" w:hAnsi="ITC Avant Garde"/>
                <w:b/>
                <w:color w:val="FFFFFF"/>
                <w:sz w:val="16"/>
                <w:szCs w:val="16"/>
                <w:lang w:val="en-US"/>
              </w:rPr>
            </w:pPr>
            <w:r w:rsidRPr="00E14D8A">
              <w:rPr>
                <w:rFonts w:ascii="ITC Avant Garde" w:hAnsi="ITC Avant Garde"/>
                <w:b/>
                <w:color w:val="FFFFFF"/>
                <w:sz w:val="16"/>
                <w:szCs w:val="16"/>
                <w:lang w:val="en-US"/>
              </w:rPr>
              <w:t>Description</w:t>
            </w:r>
          </w:p>
        </w:tc>
      </w:tr>
      <w:tr w:rsidR="00A66A23" w:rsidRPr="009F5AFF" w14:paraId="3901115A" w14:textId="77777777" w:rsidTr="00064199">
        <w:trPr>
          <w:jc w:val="center"/>
        </w:trPr>
        <w:tc>
          <w:tcPr>
            <w:tcW w:w="2831" w:type="dxa"/>
            <w:shd w:val="clear" w:color="auto" w:fill="auto"/>
          </w:tcPr>
          <w:p w14:paraId="5A395766" w14:textId="77777777" w:rsidR="00A66A23" w:rsidRPr="004C1A96" w:rsidRDefault="00A66A23" w:rsidP="00064199">
            <w:pPr>
              <w:keepNext/>
              <w:rPr>
                <w:rFonts w:ascii="ITC Avant Garde" w:hAnsi="ITC Avant Garde"/>
                <w:sz w:val="16"/>
                <w:szCs w:val="16"/>
                <w:lang w:val="en-US"/>
              </w:rPr>
            </w:pPr>
            <w:r w:rsidRPr="004C1A96">
              <w:rPr>
                <w:rFonts w:ascii="ITC Avant Garde" w:hAnsi="ITC Avant Garde"/>
                <w:sz w:val="16"/>
                <w:szCs w:val="16"/>
                <w:lang w:val="en-US"/>
              </w:rPr>
              <w:t>Sections_Premises</w:t>
            </w:r>
          </w:p>
        </w:tc>
        <w:tc>
          <w:tcPr>
            <w:tcW w:w="5953" w:type="dxa"/>
            <w:shd w:val="clear" w:color="auto" w:fill="auto"/>
          </w:tcPr>
          <w:p w14:paraId="64DACD41" w14:textId="77777777" w:rsidR="00A66A23" w:rsidRPr="004C1A96" w:rsidRDefault="00A66A23" w:rsidP="00064199">
            <w:pPr>
              <w:keepNext/>
              <w:rPr>
                <w:rFonts w:ascii="ITC Avant Garde" w:hAnsi="ITC Avant Garde"/>
                <w:sz w:val="16"/>
                <w:szCs w:val="16"/>
                <w:lang w:val="es-MX"/>
              </w:rPr>
            </w:pPr>
            <w:r w:rsidRPr="004C1A96">
              <w:rPr>
                <w:rFonts w:ascii="ITC Avant Garde" w:hAnsi="ITC Avant Garde"/>
                <w:sz w:val="16"/>
                <w:szCs w:val="16"/>
                <w:lang w:val="es-MX"/>
              </w:rPr>
              <w:t>Esta tabla contiene todas las secciones de la carretera relacionadas con las instalaciones de las rutas PDP</w:t>
            </w:r>
          </w:p>
        </w:tc>
      </w:tr>
      <w:tr w:rsidR="00A66A23" w:rsidRPr="009F5AFF" w14:paraId="6F3CF05F" w14:textId="77777777" w:rsidTr="00064199">
        <w:trPr>
          <w:jc w:val="center"/>
        </w:trPr>
        <w:tc>
          <w:tcPr>
            <w:tcW w:w="2831" w:type="dxa"/>
            <w:shd w:val="clear" w:color="auto" w:fill="auto"/>
          </w:tcPr>
          <w:p w14:paraId="79038242" w14:textId="77777777" w:rsidR="00A66A23" w:rsidRPr="004C1A96" w:rsidRDefault="00A66A23" w:rsidP="00064199">
            <w:pPr>
              <w:keepNext/>
              <w:rPr>
                <w:rFonts w:ascii="ITC Avant Garde" w:hAnsi="ITC Avant Garde"/>
                <w:sz w:val="16"/>
                <w:szCs w:val="16"/>
                <w:lang w:val="en-US"/>
              </w:rPr>
            </w:pPr>
            <w:r w:rsidRPr="004C1A96">
              <w:rPr>
                <w:rFonts w:ascii="ITC Avant Garde" w:hAnsi="ITC Avant Garde"/>
                <w:sz w:val="16"/>
                <w:szCs w:val="16"/>
                <w:lang w:val="en-US"/>
              </w:rPr>
              <w:t>Sets_Of_DropCables</w:t>
            </w:r>
          </w:p>
        </w:tc>
        <w:tc>
          <w:tcPr>
            <w:tcW w:w="5953" w:type="dxa"/>
            <w:shd w:val="clear" w:color="auto" w:fill="auto"/>
          </w:tcPr>
          <w:p w14:paraId="16A912A5" w14:textId="77777777" w:rsidR="00A66A23" w:rsidRPr="00E14D8A" w:rsidRDefault="00A66A23" w:rsidP="00064199">
            <w:pPr>
              <w:keepNext/>
              <w:rPr>
                <w:rFonts w:ascii="ITC Avant Garde" w:hAnsi="ITC Avant Garde"/>
                <w:sz w:val="16"/>
                <w:szCs w:val="16"/>
                <w:lang w:val="es-MX"/>
              </w:rPr>
            </w:pPr>
            <w:r w:rsidRPr="004C1A96">
              <w:rPr>
                <w:rFonts w:ascii="ITC Avant Garde" w:hAnsi="ITC Avant Garde"/>
                <w:sz w:val="16"/>
                <w:szCs w:val="16"/>
                <w:lang w:val="es-MX"/>
              </w:rPr>
              <w:t>Tabla utilizada para describir y dimensionar la parte de la re</w:t>
            </w:r>
            <w:r w:rsidRPr="00E14D8A">
              <w:rPr>
                <w:rFonts w:ascii="ITC Avant Garde" w:hAnsi="ITC Avant Garde"/>
                <w:sz w:val="16"/>
                <w:szCs w:val="16"/>
                <w:lang w:val="es-MX"/>
              </w:rPr>
              <w:t>d que está más cerca de los edificios</w:t>
            </w:r>
          </w:p>
        </w:tc>
      </w:tr>
      <w:tr w:rsidR="00A66A23" w:rsidRPr="00FF2101" w14:paraId="5ED535A1" w14:textId="77777777" w:rsidTr="00064199">
        <w:trPr>
          <w:jc w:val="center"/>
        </w:trPr>
        <w:tc>
          <w:tcPr>
            <w:tcW w:w="2831" w:type="dxa"/>
            <w:shd w:val="clear" w:color="auto" w:fill="auto"/>
          </w:tcPr>
          <w:p w14:paraId="0FDE61B4" w14:textId="77777777" w:rsidR="00A66A23" w:rsidRPr="004C1A96" w:rsidRDefault="00A66A23" w:rsidP="00064199">
            <w:pPr>
              <w:keepNext/>
              <w:rPr>
                <w:rFonts w:ascii="ITC Avant Garde" w:hAnsi="ITC Avant Garde"/>
                <w:sz w:val="16"/>
                <w:szCs w:val="16"/>
                <w:lang w:val="en-US"/>
              </w:rPr>
            </w:pPr>
            <w:r w:rsidRPr="004C1A96">
              <w:rPr>
                <w:rFonts w:ascii="ITC Avant Garde" w:hAnsi="ITC Avant Garde"/>
                <w:sz w:val="16"/>
                <w:szCs w:val="16"/>
                <w:lang w:val="en-US"/>
              </w:rPr>
              <w:t>Results_Wires_Copper</w:t>
            </w:r>
          </w:p>
        </w:tc>
        <w:tc>
          <w:tcPr>
            <w:tcW w:w="5953" w:type="dxa"/>
            <w:shd w:val="clear" w:color="auto" w:fill="auto"/>
          </w:tcPr>
          <w:p w14:paraId="6156ED29" w14:textId="77777777" w:rsidR="00A66A23" w:rsidRPr="004C1A96" w:rsidRDefault="00A66A23" w:rsidP="00064199">
            <w:pPr>
              <w:keepNext/>
              <w:rPr>
                <w:rFonts w:ascii="ITC Avant Garde" w:hAnsi="ITC Avant Garde"/>
                <w:sz w:val="16"/>
                <w:szCs w:val="16"/>
                <w:lang w:val="es-MX"/>
              </w:rPr>
            </w:pPr>
            <w:r w:rsidRPr="004C1A96">
              <w:rPr>
                <w:rFonts w:ascii="ITC Avant Garde" w:hAnsi="ITC Avant Garde"/>
                <w:sz w:val="16"/>
                <w:szCs w:val="16"/>
                <w:lang w:val="es-MX"/>
              </w:rPr>
              <w:t>Esta tabla proporciona los resultados de cálculo para alambres de cobre</w:t>
            </w:r>
          </w:p>
        </w:tc>
      </w:tr>
      <w:tr w:rsidR="00A66A23" w:rsidRPr="009F5AFF" w14:paraId="2EC6932D" w14:textId="77777777" w:rsidTr="00064199">
        <w:trPr>
          <w:jc w:val="center"/>
        </w:trPr>
        <w:tc>
          <w:tcPr>
            <w:tcW w:w="2831" w:type="dxa"/>
            <w:shd w:val="clear" w:color="auto" w:fill="auto"/>
          </w:tcPr>
          <w:p w14:paraId="3477455E" w14:textId="77777777" w:rsidR="00A66A23" w:rsidRPr="004C1A96" w:rsidRDefault="00A66A23" w:rsidP="00064199">
            <w:pPr>
              <w:keepNext/>
              <w:rPr>
                <w:rFonts w:ascii="ITC Avant Garde" w:hAnsi="ITC Avant Garde"/>
                <w:sz w:val="16"/>
                <w:szCs w:val="16"/>
                <w:lang w:val="en-US"/>
              </w:rPr>
            </w:pPr>
            <w:r w:rsidRPr="004C1A96">
              <w:rPr>
                <w:rFonts w:ascii="ITC Avant Garde" w:hAnsi="ITC Avant Garde"/>
                <w:sz w:val="16"/>
                <w:szCs w:val="16"/>
                <w:lang w:val="en-US"/>
              </w:rPr>
              <w:t>Results_Wires_Fibre</w:t>
            </w:r>
          </w:p>
        </w:tc>
        <w:tc>
          <w:tcPr>
            <w:tcW w:w="5953" w:type="dxa"/>
            <w:shd w:val="clear" w:color="auto" w:fill="auto"/>
          </w:tcPr>
          <w:p w14:paraId="5EAD05DB" w14:textId="77777777" w:rsidR="00A66A23" w:rsidRPr="004C1A96" w:rsidRDefault="00A66A23" w:rsidP="00064199">
            <w:pPr>
              <w:keepNext/>
              <w:rPr>
                <w:rFonts w:ascii="ITC Avant Garde" w:hAnsi="ITC Avant Garde"/>
                <w:sz w:val="16"/>
                <w:szCs w:val="16"/>
                <w:lang w:val="es-MX"/>
              </w:rPr>
            </w:pPr>
            <w:r w:rsidRPr="004C1A96">
              <w:rPr>
                <w:rFonts w:ascii="ITC Avant Garde" w:hAnsi="ITC Avant Garde"/>
                <w:sz w:val="16"/>
                <w:szCs w:val="16"/>
                <w:lang w:val="es-MX"/>
              </w:rPr>
              <w:t>Esta tabla proporciona los resultados de cálculo para cables de fibra</w:t>
            </w:r>
          </w:p>
        </w:tc>
      </w:tr>
      <w:tr w:rsidR="00A66A23" w:rsidRPr="009F5AFF" w14:paraId="0BEE973D" w14:textId="77777777" w:rsidTr="00064199">
        <w:trPr>
          <w:jc w:val="center"/>
        </w:trPr>
        <w:tc>
          <w:tcPr>
            <w:tcW w:w="2831" w:type="dxa"/>
            <w:shd w:val="clear" w:color="auto" w:fill="auto"/>
          </w:tcPr>
          <w:p w14:paraId="1308FF6A" w14:textId="77777777" w:rsidR="00A66A23" w:rsidRPr="004C1A96" w:rsidRDefault="00A66A23" w:rsidP="00064199">
            <w:pPr>
              <w:keepNext/>
              <w:rPr>
                <w:rFonts w:ascii="ITC Avant Garde" w:hAnsi="ITC Avant Garde"/>
                <w:sz w:val="16"/>
                <w:szCs w:val="16"/>
                <w:lang w:val="en-US"/>
              </w:rPr>
            </w:pPr>
            <w:r w:rsidRPr="004C1A96">
              <w:rPr>
                <w:rFonts w:ascii="ITC Avant Garde" w:hAnsi="ITC Avant Garde"/>
                <w:sz w:val="16"/>
                <w:szCs w:val="16"/>
                <w:lang w:val="en-US"/>
              </w:rPr>
              <w:t>Results_Cables_Copper</w:t>
            </w:r>
          </w:p>
        </w:tc>
        <w:tc>
          <w:tcPr>
            <w:tcW w:w="5953" w:type="dxa"/>
            <w:shd w:val="clear" w:color="auto" w:fill="auto"/>
          </w:tcPr>
          <w:p w14:paraId="5B3B45B8" w14:textId="77777777" w:rsidR="00A66A23" w:rsidRPr="00E14D8A" w:rsidRDefault="00A66A23" w:rsidP="00064199">
            <w:pPr>
              <w:keepNext/>
              <w:rPr>
                <w:rFonts w:ascii="ITC Avant Garde" w:hAnsi="ITC Avant Garde"/>
                <w:sz w:val="16"/>
                <w:szCs w:val="16"/>
                <w:lang w:val="es-MX"/>
              </w:rPr>
            </w:pPr>
            <w:r w:rsidRPr="004C1A96">
              <w:rPr>
                <w:rFonts w:ascii="ITC Avant Garde" w:hAnsi="ITC Avant Garde"/>
                <w:sz w:val="16"/>
                <w:szCs w:val="16"/>
                <w:lang w:val="es-MX"/>
              </w:rPr>
              <w:t>Esta tabla</w:t>
            </w:r>
            <w:r w:rsidRPr="00E14D8A">
              <w:rPr>
                <w:rFonts w:ascii="ITC Avant Garde" w:hAnsi="ITC Avant Garde"/>
                <w:sz w:val="16"/>
                <w:szCs w:val="16"/>
                <w:lang w:val="es-MX"/>
              </w:rPr>
              <w:t xml:space="preserve"> proporciona los resultados de cálculo para cables de cobre subterráneos</w:t>
            </w:r>
          </w:p>
        </w:tc>
      </w:tr>
      <w:tr w:rsidR="00A66A23" w:rsidRPr="00FF2101" w14:paraId="13EA3D2A" w14:textId="77777777" w:rsidTr="00064199">
        <w:trPr>
          <w:jc w:val="center"/>
        </w:trPr>
        <w:tc>
          <w:tcPr>
            <w:tcW w:w="2831" w:type="dxa"/>
            <w:shd w:val="clear" w:color="auto" w:fill="auto"/>
          </w:tcPr>
          <w:p w14:paraId="5B2CA825" w14:textId="77777777" w:rsidR="00A66A23" w:rsidRPr="004C1A96" w:rsidRDefault="00A66A23" w:rsidP="00064199">
            <w:pPr>
              <w:keepNext/>
              <w:rPr>
                <w:rFonts w:ascii="ITC Avant Garde" w:hAnsi="ITC Avant Garde"/>
                <w:sz w:val="16"/>
                <w:szCs w:val="16"/>
                <w:lang w:val="en-US"/>
              </w:rPr>
            </w:pPr>
            <w:r w:rsidRPr="004C1A96">
              <w:rPr>
                <w:rFonts w:ascii="ITC Avant Garde" w:hAnsi="ITC Avant Garde"/>
                <w:sz w:val="16"/>
                <w:szCs w:val="16"/>
                <w:lang w:val="en-US"/>
              </w:rPr>
              <w:t>Results_Cables_Copper_Aer</w:t>
            </w:r>
          </w:p>
        </w:tc>
        <w:tc>
          <w:tcPr>
            <w:tcW w:w="5953" w:type="dxa"/>
            <w:shd w:val="clear" w:color="auto" w:fill="auto"/>
          </w:tcPr>
          <w:p w14:paraId="5B3B7AFE" w14:textId="77777777" w:rsidR="00A66A23" w:rsidRPr="004C1A96" w:rsidRDefault="00A66A23" w:rsidP="00064199">
            <w:pPr>
              <w:keepNext/>
              <w:rPr>
                <w:rFonts w:ascii="ITC Avant Garde" w:hAnsi="ITC Avant Garde"/>
                <w:sz w:val="16"/>
                <w:szCs w:val="16"/>
                <w:lang w:val="es-MX"/>
              </w:rPr>
            </w:pPr>
            <w:r w:rsidRPr="004C1A96">
              <w:rPr>
                <w:rFonts w:ascii="ITC Avant Garde" w:hAnsi="ITC Avant Garde"/>
                <w:sz w:val="16"/>
                <w:szCs w:val="16"/>
                <w:lang w:val="es-MX"/>
              </w:rPr>
              <w:t>Esta tabla proporciona los resultados de cálculo para cables aéreos de cobre</w:t>
            </w:r>
          </w:p>
        </w:tc>
      </w:tr>
      <w:tr w:rsidR="00A66A23" w:rsidRPr="00FF2101" w14:paraId="4ECA7301" w14:textId="77777777" w:rsidTr="00064199">
        <w:trPr>
          <w:jc w:val="center"/>
        </w:trPr>
        <w:tc>
          <w:tcPr>
            <w:tcW w:w="2831" w:type="dxa"/>
            <w:shd w:val="clear" w:color="auto" w:fill="auto"/>
          </w:tcPr>
          <w:p w14:paraId="1C393466" w14:textId="77777777" w:rsidR="00A66A23" w:rsidRPr="004C1A96" w:rsidRDefault="00A66A23" w:rsidP="00064199">
            <w:pPr>
              <w:keepNext/>
              <w:rPr>
                <w:rFonts w:ascii="ITC Avant Garde" w:hAnsi="ITC Avant Garde"/>
                <w:sz w:val="16"/>
                <w:szCs w:val="16"/>
                <w:lang w:val="en-US"/>
              </w:rPr>
            </w:pPr>
            <w:r w:rsidRPr="004C1A96">
              <w:rPr>
                <w:rFonts w:ascii="ITC Avant Garde" w:hAnsi="ITC Avant Garde"/>
                <w:sz w:val="16"/>
                <w:szCs w:val="16"/>
                <w:lang w:val="en-US"/>
              </w:rPr>
              <w:t>Results_Cables_Fibre</w:t>
            </w:r>
          </w:p>
        </w:tc>
        <w:tc>
          <w:tcPr>
            <w:tcW w:w="5953" w:type="dxa"/>
            <w:shd w:val="clear" w:color="auto" w:fill="auto"/>
          </w:tcPr>
          <w:p w14:paraId="599BF31D" w14:textId="77777777" w:rsidR="00A66A23" w:rsidRPr="00E14D8A" w:rsidRDefault="00A66A23" w:rsidP="00064199">
            <w:pPr>
              <w:keepNext/>
              <w:rPr>
                <w:rFonts w:ascii="ITC Avant Garde" w:hAnsi="ITC Avant Garde"/>
                <w:sz w:val="16"/>
                <w:szCs w:val="16"/>
                <w:lang w:val="es-MX"/>
              </w:rPr>
            </w:pPr>
            <w:r w:rsidRPr="004C1A96">
              <w:rPr>
                <w:rFonts w:ascii="ITC Avant Garde" w:hAnsi="ITC Avant Garde"/>
                <w:sz w:val="16"/>
                <w:szCs w:val="16"/>
                <w:lang w:val="es-MX"/>
              </w:rPr>
              <w:t xml:space="preserve">Esta tabla proporciona resultados de cálculo para cables </w:t>
            </w:r>
            <w:r w:rsidRPr="00E14D8A">
              <w:rPr>
                <w:rFonts w:ascii="ITC Avant Garde" w:hAnsi="ITC Avant Garde"/>
                <w:sz w:val="16"/>
                <w:szCs w:val="16"/>
                <w:lang w:val="es-MX"/>
              </w:rPr>
              <w:t>de fibra subterráneos</w:t>
            </w:r>
          </w:p>
        </w:tc>
      </w:tr>
      <w:tr w:rsidR="00A66A23" w:rsidRPr="00FF2101" w14:paraId="00BDF93F" w14:textId="77777777" w:rsidTr="00064199">
        <w:trPr>
          <w:jc w:val="center"/>
        </w:trPr>
        <w:tc>
          <w:tcPr>
            <w:tcW w:w="2831" w:type="dxa"/>
            <w:shd w:val="clear" w:color="auto" w:fill="auto"/>
          </w:tcPr>
          <w:p w14:paraId="47AAD48A" w14:textId="77777777" w:rsidR="00A66A23" w:rsidRPr="004C1A96" w:rsidRDefault="00A66A23" w:rsidP="00064199">
            <w:pPr>
              <w:keepNext/>
              <w:rPr>
                <w:rFonts w:ascii="ITC Avant Garde" w:hAnsi="ITC Avant Garde"/>
                <w:sz w:val="16"/>
                <w:szCs w:val="16"/>
                <w:lang w:val="en-US"/>
              </w:rPr>
            </w:pPr>
            <w:r w:rsidRPr="004C1A96">
              <w:rPr>
                <w:rFonts w:ascii="ITC Avant Garde" w:hAnsi="ITC Avant Garde"/>
                <w:sz w:val="16"/>
                <w:szCs w:val="16"/>
                <w:lang w:val="en-US"/>
              </w:rPr>
              <w:t>Results_Cables_Fibre_Aer</w:t>
            </w:r>
          </w:p>
        </w:tc>
        <w:tc>
          <w:tcPr>
            <w:tcW w:w="5953" w:type="dxa"/>
            <w:shd w:val="clear" w:color="auto" w:fill="auto"/>
          </w:tcPr>
          <w:p w14:paraId="7FA8908A" w14:textId="77777777" w:rsidR="00A66A23" w:rsidRPr="004C1A96" w:rsidRDefault="00A66A23" w:rsidP="00064199">
            <w:pPr>
              <w:keepNext/>
              <w:rPr>
                <w:rFonts w:ascii="ITC Avant Garde" w:hAnsi="ITC Avant Garde"/>
                <w:sz w:val="16"/>
                <w:szCs w:val="16"/>
                <w:lang w:val="es-MX"/>
              </w:rPr>
            </w:pPr>
            <w:r w:rsidRPr="004C1A96">
              <w:rPr>
                <w:rFonts w:ascii="ITC Avant Garde" w:hAnsi="ITC Avant Garde"/>
                <w:sz w:val="16"/>
                <w:szCs w:val="16"/>
                <w:lang w:val="es-MX"/>
              </w:rPr>
              <w:t>Esta tabla proporciona resultados de cálculo para cables de fibra aéreos</w:t>
            </w:r>
          </w:p>
        </w:tc>
      </w:tr>
      <w:tr w:rsidR="00A66A23" w:rsidRPr="009F5AFF" w14:paraId="7F798AE1" w14:textId="77777777" w:rsidTr="00064199">
        <w:trPr>
          <w:jc w:val="center"/>
        </w:trPr>
        <w:tc>
          <w:tcPr>
            <w:tcW w:w="2831" w:type="dxa"/>
            <w:shd w:val="clear" w:color="auto" w:fill="auto"/>
          </w:tcPr>
          <w:p w14:paraId="130F83C9" w14:textId="77777777" w:rsidR="00A66A23" w:rsidRPr="004C1A96" w:rsidRDefault="00A66A23" w:rsidP="00064199">
            <w:pPr>
              <w:keepNext/>
              <w:rPr>
                <w:rFonts w:ascii="ITC Avant Garde" w:hAnsi="ITC Avant Garde"/>
                <w:sz w:val="16"/>
                <w:szCs w:val="16"/>
                <w:lang w:val="en-US"/>
              </w:rPr>
            </w:pPr>
            <w:r w:rsidRPr="004C1A96">
              <w:rPr>
                <w:rFonts w:ascii="ITC Avant Garde" w:hAnsi="ITC Avant Garde"/>
                <w:sz w:val="16"/>
                <w:szCs w:val="16"/>
                <w:lang w:val="en-US"/>
              </w:rPr>
              <w:t>Results_Ducts_Copper</w:t>
            </w:r>
          </w:p>
        </w:tc>
        <w:tc>
          <w:tcPr>
            <w:tcW w:w="5953" w:type="dxa"/>
            <w:shd w:val="clear" w:color="auto" w:fill="auto"/>
          </w:tcPr>
          <w:p w14:paraId="553F7BB4" w14:textId="77777777" w:rsidR="00A66A23" w:rsidRPr="004C1A96" w:rsidRDefault="00A66A23" w:rsidP="00064199">
            <w:pPr>
              <w:keepNext/>
              <w:rPr>
                <w:rFonts w:ascii="ITC Avant Garde" w:hAnsi="ITC Avant Garde"/>
                <w:sz w:val="16"/>
                <w:szCs w:val="16"/>
                <w:lang w:val="es-MX"/>
              </w:rPr>
            </w:pPr>
            <w:r w:rsidRPr="004C1A96">
              <w:rPr>
                <w:rFonts w:ascii="ITC Avant Garde" w:hAnsi="ITC Avant Garde"/>
                <w:sz w:val="16"/>
                <w:szCs w:val="16"/>
                <w:lang w:val="es-MX"/>
              </w:rPr>
              <w:t>Esta tabla proporciona los resultados del cálculo de los conductos de cobre</w:t>
            </w:r>
          </w:p>
        </w:tc>
      </w:tr>
      <w:tr w:rsidR="00A66A23" w:rsidRPr="009F5AFF" w14:paraId="4FFD4331" w14:textId="77777777" w:rsidTr="00064199">
        <w:trPr>
          <w:jc w:val="center"/>
        </w:trPr>
        <w:tc>
          <w:tcPr>
            <w:tcW w:w="2831" w:type="dxa"/>
            <w:shd w:val="clear" w:color="auto" w:fill="auto"/>
          </w:tcPr>
          <w:p w14:paraId="74D1E434" w14:textId="77777777" w:rsidR="00A66A23" w:rsidRPr="004C1A96" w:rsidRDefault="00A66A23" w:rsidP="00064199">
            <w:pPr>
              <w:keepNext/>
              <w:rPr>
                <w:rFonts w:ascii="ITC Avant Garde" w:hAnsi="ITC Avant Garde"/>
                <w:sz w:val="16"/>
                <w:szCs w:val="16"/>
                <w:lang w:val="en-US"/>
              </w:rPr>
            </w:pPr>
            <w:r w:rsidRPr="004C1A96">
              <w:rPr>
                <w:rFonts w:ascii="ITC Avant Garde" w:hAnsi="ITC Avant Garde"/>
                <w:sz w:val="16"/>
                <w:szCs w:val="16"/>
                <w:lang w:val="en-US"/>
              </w:rPr>
              <w:t>Results_Ducts_Fibre</w:t>
            </w:r>
          </w:p>
        </w:tc>
        <w:tc>
          <w:tcPr>
            <w:tcW w:w="5953" w:type="dxa"/>
            <w:shd w:val="clear" w:color="auto" w:fill="auto"/>
          </w:tcPr>
          <w:p w14:paraId="332C9282" w14:textId="77777777" w:rsidR="00A66A23" w:rsidRPr="00E14D8A" w:rsidRDefault="00A66A23" w:rsidP="00064199">
            <w:pPr>
              <w:keepNext/>
              <w:rPr>
                <w:rFonts w:ascii="ITC Avant Garde" w:hAnsi="ITC Avant Garde"/>
                <w:sz w:val="16"/>
                <w:szCs w:val="16"/>
                <w:lang w:val="es-MX"/>
              </w:rPr>
            </w:pPr>
            <w:r w:rsidRPr="004C1A96">
              <w:rPr>
                <w:rFonts w:ascii="ITC Avant Garde" w:hAnsi="ITC Avant Garde"/>
                <w:sz w:val="16"/>
                <w:szCs w:val="16"/>
                <w:lang w:val="es-MX"/>
              </w:rPr>
              <w:t>Esta tabla propo</w:t>
            </w:r>
            <w:r w:rsidRPr="00E14D8A">
              <w:rPr>
                <w:rFonts w:ascii="ITC Avant Garde" w:hAnsi="ITC Avant Garde"/>
                <w:sz w:val="16"/>
                <w:szCs w:val="16"/>
                <w:lang w:val="es-MX"/>
              </w:rPr>
              <w:t>rciona los resultados del cálculo de los conductos de fibra</w:t>
            </w:r>
          </w:p>
        </w:tc>
      </w:tr>
      <w:tr w:rsidR="00A66A23" w:rsidRPr="00FF2101" w14:paraId="3483D381" w14:textId="77777777" w:rsidTr="00064199">
        <w:trPr>
          <w:jc w:val="center"/>
        </w:trPr>
        <w:tc>
          <w:tcPr>
            <w:tcW w:w="2831" w:type="dxa"/>
            <w:shd w:val="clear" w:color="auto" w:fill="auto"/>
          </w:tcPr>
          <w:p w14:paraId="420790F5" w14:textId="77777777" w:rsidR="00A66A23" w:rsidRPr="004C1A96" w:rsidRDefault="00A66A23" w:rsidP="00064199">
            <w:pPr>
              <w:keepNext/>
              <w:rPr>
                <w:rFonts w:ascii="ITC Avant Garde" w:hAnsi="ITC Avant Garde"/>
                <w:sz w:val="16"/>
                <w:szCs w:val="16"/>
                <w:lang w:val="en-US"/>
              </w:rPr>
            </w:pPr>
            <w:r w:rsidRPr="004C1A96">
              <w:rPr>
                <w:rFonts w:ascii="ITC Avant Garde" w:hAnsi="ITC Avant Garde"/>
                <w:sz w:val="16"/>
                <w:szCs w:val="16"/>
                <w:lang w:val="en-US"/>
              </w:rPr>
              <w:t>Results_Trenches</w:t>
            </w:r>
          </w:p>
        </w:tc>
        <w:tc>
          <w:tcPr>
            <w:tcW w:w="5953" w:type="dxa"/>
            <w:shd w:val="clear" w:color="auto" w:fill="auto"/>
          </w:tcPr>
          <w:p w14:paraId="3750DEE5" w14:textId="77777777" w:rsidR="00A66A23" w:rsidRPr="004C1A96" w:rsidRDefault="00A66A23" w:rsidP="00064199">
            <w:pPr>
              <w:keepNext/>
              <w:rPr>
                <w:rFonts w:ascii="ITC Avant Garde" w:hAnsi="ITC Avant Garde"/>
                <w:sz w:val="16"/>
                <w:szCs w:val="16"/>
                <w:lang w:val="es-MX"/>
              </w:rPr>
            </w:pPr>
            <w:r w:rsidRPr="004C1A96">
              <w:rPr>
                <w:rFonts w:ascii="ITC Avant Garde" w:hAnsi="ITC Avant Garde"/>
                <w:sz w:val="16"/>
                <w:szCs w:val="16"/>
                <w:lang w:val="es-MX"/>
              </w:rPr>
              <w:t>Esta tabla proporciona los resultados de cálculo para zanjas</w:t>
            </w:r>
          </w:p>
        </w:tc>
      </w:tr>
      <w:tr w:rsidR="00A66A23" w:rsidRPr="009F5AFF" w14:paraId="6E7CE772" w14:textId="77777777" w:rsidTr="00064199">
        <w:trPr>
          <w:jc w:val="center"/>
        </w:trPr>
        <w:tc>
          <w:tcPr>
            <w:tcW w:w="2831" w:type="dxa"/>
            <w:shd w:val="clear" w:color="auto" w:fill="auto"/>
          </w:tcPr>
          <w:p w14:paraId="4055CD50" w14:textId="77777777" w:rsidR="00A66A23" w:rsidRPr="004C1A96" w:rsidRDefault="00A66A23" w:rsidP="00064199">
            <w:pPr>
              <w:keepNext/>
              <w:rPr>
                <w:rFonts w:ascii="ITC Avant Garde" w:hAnsi="ITC Avant Garde"/>
                <w:sz w:val="16"/>
                <w:szCs w:val="16"/>
                <w:lang w:val="en-US"/>
              </w:rPr>
            </w:pPr>
            <w:r w:rsidRPr="004C1A96">
              <w:rPr>
                <w:rFonts w:ascii="ITC Avant Garde" w:hAnsi="ITC Avant Garde"/>
                <w:sz w:val="16"/>
                <w:szCs w:val="16"/>
                <w:lang w:val="en-US"/>
              </w:rPr>
              <w:t>Results_AerialLength</w:t>
            </w:r>
          </w:p>
        </w:tc>
        <w:tc>
          <w:tcPr>
            <w:tcW w:w="5953" w:type="dxa"/>
            <w:shd w:val="clear" w:color="auto" w:fill="auto"/>
          </w:tcPr>
          <w:p w14:paraId="36B23A8C" w14:textId="77777777" w:rsidR="00A66A23" w:rsidRPr="004C1A96" w:rsidRDefault="00A66A23" w:rsidP="00064199">
            <w:pPr>
              <w:keepNext/>
              <w:rPr>
                <w:rFonts w:ascii="ITC Avant Garde" w:hAnsi="ITC Avant Garde"/>
                <w:sz w:val="16"/>
                <w:szCs w:val="16"/>
                <w:lang w:val="es-MX"/>
              </w:rPr>
            </w:pPr>
            <w:r w:rsidRPr="004C1A96">
              <w:rPr>
                <w:rFonts w:ascii="ITC Avant Garde" w:hAnsi="ITC Avant Garde"/>
                <w:sz w:val="16"/>
                <w:szCs w:val="16"/>
                <w:lang w:val="es-MX"/>
              </w:rPr>
              <w:t>Esta tabla almacena los resultados del cálculo para la longitud aérea</w:t>
            </w:r>
          </w:p>
        </w:tc>
      </w:tr>
      <w:tr w:rsidR="00A66A23" w:rsidRPr="009F5AFF" w14:paraId="3D5DB720" w14:textId="77777777" w:rsidTr="00064199">
        <w:trPr>
          <w:jc w:val="center"/>
        </w:trPr>
        <w:tc>
          <w:tcPr>
            <w:tcW w:w="2831" w:type="dxa"/>
            <w:shd w:val="clear" w:color="auto" w:fill="auto"/>
          </w:tcPr>
          <w:p w14:paraId="48C7F168" w14:textId="77777777" w:rsidR="00A66A23" w:rsidRPr="004C1A96" w:rsidRDefault="00A66A23" w:rsidP="00064199">
            <w:pPr>
              <w:keepNext/>
              <w:rPr>
                <w:rFonts w:ascii="ITC Avant Garde" w:hAnsi="ITC Avant Garde"/>
                <w:sz w:val="16"/>
                <w:szCs w:val="16"/>
                <w:lang w:val="en-US"/>
              </w:rPr>
            </w:pPr>
            <w:r w:rsidRPr="004C1A96">
              <w:rPr>
                <w:rFonts w:ascii="ITC Avant Garde" w:hAnsi="ITC Avant Garde"/>
                <w:sz w:val="16"/>
                <w:szCs w:val="16"/>
                <w:lang w:val="en-US"/>
              </w:rPr>
              <w:t>Results_Aggregated_Assets</w:t>
            </w:r>
          </w:p>
        </w:tc>
        <w:tc>
          <w:tcPr>
            <w:tcW w:w="5953" w:type="dxa"/>
            <w:shd w:val="clear" w:color="auto" w:fill="auto"/>
          </w:tcPr>
          <w:p w14:paraId="3984F953" w14:textId="77777777" w:rsidR="00A66A23" w:rsidRPr="00E14D8A" w:rsidRDefault="00A66A23" w:rsidP="00064199">
            <w:pPr>
              <w:keepNext/>
              <w:rPr>
                <w:rFonts w:ascii="ITC Avant Garde" w:hAnsi="ITC Avant Garde"/>
                <w:sz w:val="16"/>
                <w:szCs w:val="16"/>
                <w:lang w:val="es-MX"/>
              </w:rPr>
            </w:pPr>
            <w:r w:rsidRPr="00E14D8A">
              <w:rPr>
                <w:rFonts w:ascii="ITC Avant Garde" w:hAnsi="ITC Avant Garde"/>
                <w:sz w:val="16"/>
                <w:szCs w:val="16"/>
                <w:lang w:val="es-MX"/>
              </w:rPr>
              <w:t>Esta tabla proporciona resultados agregados de la CO para los activos</w:t>
            </w:r>
          </w:p>
        </w:tc>
      </w:tr>
      <w:tr w:rsidR="00A66A23" w:rsidRPr="004C1A96" w14:paraId="3F458145" w14:textId="77777777" w:rsidTr="00064199">
        <w:trPr>
          <w:jc w:val="center"/>
        </w:trPr>
        <w:tc>
          <w:tcPr>
            <w:tcW w:w="2831" w:type="dxa"/>
            <w:shd w:val="clear" w:color="auto" w:fill="auto"/>
          </w:tcPr>
          <w:p w14:paraId="4F471586" w14:textId="77777777" w:rsidR="00A66A23" w:rsidRPr="004C1A96" w:rsidRDefault="00A66A23" w:rsidP="00064199">
            <w:pPr>
              <w:keepNext/>
              <w:rPr>
                <w:rFonts w:ascii="ITC Avant Garde" w:hAnsi="ITC Avant Garde"/>
                <w:sz w:val="16"/>
                <w:szCs w:val="16"/>
                <w:lang w:val="en-US"/>
              </w:rPr>
            </w:pPr>
            <w:r w:rsidRPr="004C1A96">
              <w:rPr>
                <w:rFonts w:ascii="ITC Avant Garde" w:hAnsi="ITC Avant Garde"/>
                <w:sz w:val="16"/>
                <w:szCs w:val="16"/>
                <w:lang w:val="en-US"/>
              </w:rPr>
              <w:t>Last_Results_Aggregated_Assets_C</w:t>
            </w:r>
          </w:p>
        </w:tc>
        <w:tc>
          <w:tcPr>
            <w:tcW w:w="5953" w:type="dxa"/>
            <w:shd w:val="clear" w:color="auto" w:fill="auto"/>
          </w:tcPr>
          <w:p w14:paraId="751199C8" w14:textId="77777777" w:rsidR="00A66A23" w:rsidRPr="00E14D8A" w:rsidRDefault="00A66A23" w:rsidP="00064199">
            <w:pPr>
              <w:keepNext/>
              <w:rPr>
                <w:rFonts w:ascii="ITC Avant Garde" w:hAnsi="ITC Avant Garde"/>
                <w:sz w:val="16"/>
                <w:szCs w:val="16"/>
                <w:lang w:val="es-MX"/>
              </w:rPr>
            </w:pPr>
            <w:r w:rsidRPr="004C1A96">
              <w:rPr>
                <w:rFonts w:ascii="ITC Avant Garde" w:hAnsi="ITC Avant Garde"/>
                <w:sz w:val="16"/>
                <w:szCs w:val="16"/>
                <w:lang w:val="es-MX"/>
              </w:rPr>
              <w:t xml:space="preserve">Esta tabla almacena los últimos resultados de cobre de la tabla "Results_Aggregated_Assets". </w:t>
            </w:r>
            <w:r w:rsidRPr="00E14D8A">
              <w:rPr>
                <w:rFonts w:ascii="ITC Avant Garde" w:hAnsi="ITC Avant Garde"/>
                <w:sz w:val="16"/>
                <w:szCs w:val="16"/>
              </w:rPr>
              <w:t>No se elimina al establecer un escenario diferente.</w:t>
            </w:r>
          </w:p>
        </w:tc>
      </w:tr>
      <w:tr w:rsidR="00A66A23" w:rsidRPr="000046C1" w14:paraId="69E2A8B8" w14:textId="77777777" w:rsidTr="00064199">
        <w:trPr>
          <w:jc w:val="center"/>
        </w:trPr>
        <w:tc>
          <w:tcPr>
            <w:tcW w:w="2831" w:type="dxa"/>
            <w:shd w:val="clear" w:color="auto" w:fill="auto"/>
          </w:tcPr>
          <w:p w14:paraId="687D1865" w14:textId="77777777" w:rsidR="00A66A23" w:rsidRPr="004C1A96" w:rsidRDefault="00A66A23" w:rsidP="00064199">
            <w:pPr>
              <w:keepNext/>
              <w:rPr>
                <w:rFonts w:ascii="ITC Avant Garde" w:hAnsi="ITC Avant Garde"/>
                <w:sz w:val="16"/>
                <w:szCs w:val="16"/>
                <w:lang w:val="en-US"/>
              </w:rPr>
            </w:pPr>
            <w:r w:rsidRPr="004C1A96">
              <w:rPr>
                <w:rFonts w:ascii="ITC Avant Garde" w:hAnsi="ITC Avant Garde"/>
                <w:sz w:val="16"/>
                <w:szCs w:val="16"/>
                <w:lang w:val="en-US"/>
              </w:rPr>
              <w:t>Last_Results_Aggregated_Assets_F</w:t>
            </w:r>
          </w:p>
        </w:tc>
        <w:tc>
          <w:tcPr>
            <w:tcW w:w="5953" w:type="dxa"/>
            <w:shd w:val="clear" w:color="auto" w:fill="auto"/>
          </w:tcPr>
          <w:p w14:paraId="221DBCDA" w14:textId="333D4471" w:rsidR="00A66A23" w:rsidRPr="004C1A96" w:rsidRDefault="00A66A23" w:rsidP="00064199">
            <w:pPr>
              <w:keepNext/>
              <w:rPr>
                <w:rFonts w:ascii="ITC Avant Garde" w:hAnsi="ITC Avant Garde"/>
                <w:sz w:val="16"/>
                <w:szCs w:val="16"/>
                <w:lang w:val="es-MX"/>
              </w:rPr>
            </w:pPr>
            <w:r w:rsidRPr="00E14D8A">
              <w:rPr>
                <w:rFonts w:ascii="ITC Avant Garde" w:hAnsi="ITC Avant Garde"/>
                <w:sz w:val="16"/>
                <w:szCs w:val="16"/>
                <w:lang w:val="es-MX"/>
              </w:rPr>
              <w:t xml:space="preserve">Esta tabla almacena los resultados de la última FTTH </w:t>
            </w:r>
            <w:r w:rsidRPr="004C1A96">
              <w:rPr>
                <w:rFonts w:ascii="ITC Avant Garde" w:hAnsi="ITC Avant Garde"/>
                <w:sz w:val="16"/>
                <w:szCs w:val="16"/>
                <w:lang w:val="es-MX"/>
              </w:rPr>
              <w:t xml:space="preserve">de la tabla "Results_Aggregated_Assets". </w:t>
            </w:r>
            <w:r w:rsidRPr="000046C1">
              <w:rPr>
                <w:rFonts w:ascii="ITC Avant Garde" w:hAnsi="ITC Avant Garde"/>
                <w:sz w:val="16"/>
                <w:szCs w:val="16"/>
                <w:lang w:val="es-ES"/>
              </w:rPr>
              <w:t>No se elimina al establecer un escenario diferente.</w:t>
            </w:r>
          </w:p>
        </w:tc>
      </w:tr>
      <w:tr w:rsidR="00A66A23" w:rsidRPr="004C1A96" w14:paraId="62F4CBB0" w14:textId="77777777" w:rsidTr="00064199">
        <w:trPr>
          <w:jc w:val="center"/>
        </w:trPr>
        <w:tc>
          <w:tcPr>
            <w:tcW w:w="2831" w:type="dxa"/>
            <w:shd w:val="clear" w:color="auto" w:fill="auto"/>
          </w:tcPr>
          <w:p w14:paraId="376F9D85" w14:textId="77777777" w:rsidR="00A66A23" w:rsidRPr="00E14D8A" w:rsidRDefault="00A66A23" w:rsidP="00064199">
            <w:pPr>
              <w:keepNext/>
              <w:rPr>
                <w:rFonts w:ascii="ITC Avant Garde" w:hAnsi="ITC Avant Garde"/>
                <w:sz w:val="16"/>
                <w:szCs w:val="16"/>
                <w:lang w:val="en-US"/>
              </w:rPr>
            </w:pPr>
            <w:r w:rsidRPr="004C1A96">
              <w:rPr>
                <w:rFonts w:ascii="ITC Avant Garde" w:hAnsi="ITC Avant Garde"/>
                <w:sz w:val="16"/>
                <w:szCs w:val="16"/>
                <w:lang w:val="en-US"/>
              </w:rPr>
              <w:t>Last_Results_Aggregated_Assets_FC</w:t>
            </w:r>
          </w:p>
        </w:tc>
        <w:tc>
          <w:tcPr>
            <w:tcW w:w="5953" w:type="dxa"/>
            <w:shd w:val="clear" w:color="auto" w:fill="auto"/>
          </w:tcPr>
          <w:p w14:paraId="4FFAC8C3" w14:textId="77777777" w:rsidR="00A66A23" w:rsidRPr="004C1A96" w:rsidRDefault="00A66A23" w:rsidP="00064199">
            <w:pPr>
              <w:keepNext/>
              <w:rPr>
                <w:rFonts w:ascii="ITC Avant Garde" w:hAnsi="ITC Avant Garde"/>
                <w:sz w:val="16"/>
                <w:szCs w:val="16"/>
                <w:lang w:val="es-MX"/>
              </w:rPr>
            </w:pPr>
            <w:r w:rsidRPr="00E14D8A">
              <w:rPr>
                <w:rFonts w:ascii="ITC Avant Garde" w:hAnsi="ITC Avant Garde"/>
                <w:sz w:val="16"/>
                <w:szCs w:val="16"/>
                <w:lang w:val="es-MX"/>
              </w:rPr>
              <w:t>Esta tabla almacena los resultados de la última FTTC</w:t>
            </w:r>
            <w:r w:rsidRPr="004C1A96">
              <w:rPr>
                <w:rFonts w:ascii="ITC Avant Garde" w:hAnsi="ITC Avant Garde"/>
                <w:sz w:val="16"/>
                <w:szCs w:val="16"/>
                <w:lang w:val="es-MX"/>
              </w:rPr>
              <w:t xml:space="preserve"> de la tabla "Results_Aggregated_Assets". </w:t>
            </w:r>
            <w:r w:rsidRPr="000046C1">
              <w:rPr>
                <w:rFonts w:ascii="ITC Avant Garde" w:hAnsi="ITC Avant Garde"/>
                <w:sz w:val="16"/>
                <w:szCs w:val="16"/>
                <w:lang w:val="es-ES"/>
              </w:rPr>
              <w:t>No se elimina al establecer un escenario diferente.</w:t>
            </w:r>
          </w:p>
        </w:tc>
      </w:tr>
    </w:tbl>
    <w:p w14:paraId="6436F986" w14:textId="77777777" w:rsidR="00A66A23" w:rsidRPr="004C1A96" w:rsidRDefault="00A66A23" w:rsidP="00A66A23">
      <w:pPr>
        <w:rPr>
          <w:rFonts w:ascii="ITC Avant Garde" w:hAnsi="ITC Avant Garde"/>
          <w:lang w:val="es-MX"/>
        </w:rPr>
      </w:pPr>
    </w:p>
    <w:p w14:paraId="2C0F7AAC" w14:textId="77777777" w:rsidR="00A66A23" w:rsidRPr="004C1A96" w:rsidRDefault="00A66A23" w:rsidP="00A66A23">
      <w:pPr>
        <w:rPr>
          <w:rFonts w:ascii="ITC Avant Garde" w:hAnsi="ITC Avant Garde"/>
          <w:lang w:val="es-MX"/>
        </w:rPr>
      </w:pPr>
    </w:p>
    <w:p w14:paraId="68E1EF06" w14:textId="4B1D0C56" w:rsidR="00A66A23" w:rsidRPr="00E14D8A" w:rsidRDefault="005579D3" w:rsidP="00A66A23">
      <w:pPr>
        <w:pStyle w:val="Descripcin"/>
        <w:keepNext/>
        <w:rPr>
          <w:rFonts w:ascii="ITC Avant Garde" w:hAnsi="ITC Avant Garde"/>
          <w:lang w:val="es-MX"/>
        </w:rPr>
      </w:pPr>
      <w:r w:rsidRPr="004C1A96">
        <w:rPr>
          <w:rFonts w:ascii="ITC Avant Garde" w:hAnsi="ITC Avant Garde"/>
          <w:lang w:val="es-MX"/>
        </w:rPr>
        <w:lastRenderedPageBreak/>
        <w:t xml:space="preserve">Cuadro </w:t>
      </w:r>
      <w:r w:rsidRPr="004C1A96">
        <w:rPr>
          <w:rFonts w:ascii="ITC Avant Garde" w:hAnsi="ITC Avant Garde"/>
          <w:lang w:val="es-MX"/>
        </w:rPr>
        <w:fldChar w:fldCharType="begin"/>
      </w:r>
      <w:r w:rsidRPr="004C1A96">
        <w:rPr>
          <w:rFonts w:ascii="ITC Avant Garde" w:hAnsi="ITC Avant Garde"/>
          <w:lang w:val="es-MX"/>
        </w:rPr>
        <w:instrText xml:space="preserve"> SEQ Cuadro \* ARABIC </w:instrText>
      </w:r>
      <w:r w:rsidRPr="004C1A96">
        <w:rPr>
          <w:rFonts w:ascii="ITC Avant Garde" w:hAnsi="ITC Avant Garde"/>
          <w:lang w:val="es-MX"/>
        </w:rPr>
        <w:fldChar w:fldCharType="separate"/>
      </w:r>
      <w:r w:rsidR="00006265">
        <w:rPr>
          <w:rFonts w:ascii="ITC Avant Garde" w:hAnsi="ITC Avant Garde"/>
          <w:noProof/>
          <w:lang w:val="es-MX"/>
        </w:rPr>
        <w:t>8</w:t>
      </w:r>
      <w:r w:rsidRPr="004C1A96">
        <w:rPr>
          <w:rFonts w:ascii="ITC Avant Garde" w:hAnsi="ITC Avant Garde"/>
          <w:lang w:val="es-MX"/>
        </w:rPr>
        <w:fldChar w:fldCharType="end"/>
      </w:r>
      <w:r w:rsidR="00A66A23" w:rsidRPr="004C1A96">
        <w:rPr>
          <w:rFonts w:ascii="ITC Avant Garde" w:hAnsi="ITC Avant Garde"/>
          <w:lang w:val="es-MX"/>
        </w:rPr>
        <w:t xml:space="preserve"> - Descripción de las tablas de pará</w:t>
      </w:r>
      <w:r w:rsidR="00A66A23" w:rsidRPr="00E14D8A">
        <w:rPr>
          <w:rFonts w:ascii="ITC Avant Garde" w:hAnsi="ITC Avant Garde"/>
          <w:lang w:val="es-MX"/>
        </w:rPr>
        <w:t>metros - Base de datos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4"/>
        <w:gridCol w:w="5489"/>
      </w:tblGrid>
      <w:tr w:rsidR="00A66A23" w:rsidRPr="004C1A96" w14:paraId="7533064C" w14:textId="77777777" w:rsidTr="00064199">
        <w:trPr>
          <w:tblHeader/>
          <w:jc w:val="center"/>
        </w:trPr>
        <w:tc>
          <w:tcPr>
            <w:tcW w:w="3004" w:type="dxa"/>
            <w:shd w:val="clear" w:color="auto" w:fill="2F5897" w:themeFill="text2"/>
          </w:tcPr>
          <w:p w14:paraId="3E9BB184" w14:textId="77777777" w:rsidR="00A66A23" w:rsidRPr="00E14D8A" w:rsidRDefault="00A66A23" w:rsidP="00064199">
            <w:pPr>
              <w:keepNext/>
              <w:jc w:val="center"/>
              <w:rPr>
                <w:rFonts w:ascii="ITC Avant Garde" w:hAnsi="ITC Avant Garde"/>
                <w:b/>
                <w:color w:val="FFFFFF"/>
                <w:sz w:val="16"/>
                <w:szCs w:val="16"/>
                <w:lang w:val="en-US"/>
              </w:rPr>
            </w:pPr>
            <w:r w:rsidRPr="00E14D8A">
              <w:rPr>
                <w:rFonts w:ascii="ITC Avant Garde" w:hAnsi="ITC Avant Garde"/>
                <w:b/>
                <w:color w:val="FFFFFF"/>
                <w:sz w:val="16"/>
                <w:szCs w:val="16"/>
                <w:lang w:val="en-US"/>
              </w:rPr>
              <w:t>Table name</w:t>
            </w:r>
          </w:p>
        </w:tc>
        <w:tc>
          <w:tcPr>
            <w:tcW w:w="5489" w:type="dxa"/>
            <w:shd w:val="clear" w:color="auto" w:fill="2F5897" w:themeFill="text2"/>
          </w:tcPr>
          <w:p w14:paraId="75F5E3DA" w14:textId="77777777" w:rsidR="00A66A23" w:rsidRPr="00E14D8A" w:rsidRDefault="00A66A23" w:rsidP="00064199">
            <w:pPr>
              <w:keepNext/>
              <w:jc w:val="center"/>
              <w:rPr>
                <w:rFonts w:ascii="ITC Avant Garde" w:hAnsi="ITC Avant Garde"/>
                <w:b/>
                <w:color w:val="FFFFFF"/>
                <w:sz w:val="16"/>
                <w:szCs w:val="16"/>
                <w:lang w:val="en-US"/>
              </w:rPr>
            </w:pPr>
            <w:r w:rsidRPr="00E14D8A">
              <w:rPr>
                <w:rFonts w:ascii="ITC Avant Garde" w:hAnsi="ITC Avant Garde"/>
                <w:b/>
                <w:color w:val="FFFFFF"/>
                <w:sz w:val="16"/>
                <w:szCs w:val="16"/>
                <w:lang w:val="en-US"/>
              </w:rPr>
              <w:t>Description</w:t>
            </w:r>
          </w:p>
        </w:tc>
      </w:tr>
      <w:tr w:rsidR="00A66A23" w:rsidRPr="009F5AFF" w14:paraId="6057FB6D" w14:textId="77777777" w:rsidTr="00064199">
        <w:trPr>
          <w:jc w:val="center"/>
        </w:trPr>
        <w:tc>
          <w:tcPr>
            <w:tcW w:w="3004" w:type="dxa"/>
            <w:shd w:val="clear" w:color="auto" w:fill="auto"/>
          </w:tcPr>
          <w:p w14:paraId="41858539" w14:textId="77777777" w:rsidR="00A66A23" w:rsidRPr="004C1A96" w:rsidRDefault="00A66A23" w:rsidP="00064199">
            <w:pPr>
              <w:keepNext/>
              <w:rPr>
                <w:rFonts w:ascii="ITC Avant Garde" w:hAnsi="ITC Avant Garde"/>
                <w:sz w:val="16"/>
                <w:szCs w:val="16"/>
                <w:lang w:val="en-US"/>
              </w:rPr>
            </w:pPr>
            <w:r w:rsidRPr="004C1A96">
              <w:rPr>
                <w:rFonts w:ascii="ITC Avant Garde" w:hAnsi="ITC Avant Garde"/>
                <w:sz w:val="16"/>
                <w:szCs w:val="16"/>
                <w:lang w:val="en-US"/>
              </w:rPr>
              <w:t>Parameters</w:t>
            </w:r>
          </w:p>
        </w:tc>
        <w:tc>
          <w:tcPr>
            <w:tcW w:w="5489" w:type="dxa"/>
            <w:shd w:val="clear" w:color="auto" w:fill="auto"/>
          </w:tcPr>
          <w:p w14:paraId="3A54C009" w14:textId="77777777" w:rsidR="00A66A23" w:rsidRPr="00E14D8A" w:rsidRDefault="00A66A23" w:rsidP="00064199">
            <w:pPr>
              <w:keepNext/>
              <w:rPr>
                <w:rFonts w:ascii="ITC Avant Garde" w:hAnsi="ITC Avant Garde"/>
                <w:sz w:val="16"/>
                <w:szCs w:val="16"/>
                <w:lang w:val="es-MX"/>
              </w:rPr>
            </w:pPr>
            <w:r w:rsidRPr="004C1A96">
              <w:rPr>
                <w:rFonts w:ascii="ITC Avant Garde" w:hAnsi="ITC Avant Garde"/>
                <w:sz w:val="16"/>
                <w:szCs w:val="16"/>
                <w:lang w:val="es-MX"/>
              </w:rPr>
              <w:t>Tabla que contiene</w:t>
            </w:r>
            <w:r w:rsidRPr="00E14D8A">
              <w:rPr>
                <w:rFonts w:ascii="ITC Avant Garde" w:hAnsi="ITC Avant Garde"/>
                <w:sz w:val="16"/>
                <w:szCs w:val="16"/>
                <w:lang w:val="es-MX"/>
              </w:rPr>
              <w:t xml:space="preserve"> todos los parámetros específicos del escenario. Esto incluye parámetros para el escenario actual, pero también los valores de parámetros específicos para cada escenario.</w:t>
            </w:r>
          </w:p>
        </w:tc>
      </w:tr>
      <w:tr w:rsidR="00A66A23" w:rsidRPr="009F5AFF" w14:paraId="0BFDA1A8" w14:textId="77777777" w:rsidTr="00064199">
        <w:trPr>
          <w:jc w:val="center"/>
        </w:trPr>
        <w:tc>
          <w:tcPr>
            <w:tcW w:w="3004" w:type="dxa"/>
            <w:shd w:val="clear" w:color="auto" w:fill="auto"/>
          </w:tcPr>
          <w:p w14:paraId="2A555C7D" w14:textId="77777777" w:rsidR="00A66A23" w:rsidRPr="004C1A96" w:rsidRDefault="00A66A23" w:rsidP="00064199">
            <w:pPr>
              <w:keepNext/>
              <w:rPr>
                <w:rFonts w:ascii="ITC Avant Garde" w:hAnsi="ITC Avant Garde"/>
                <w:sz w:val="16"/>
                <w:szCs w:val="16"/>
                <w:lang w:val="en-US"/>
              </w:rPr>
            </w:pPr>
            <w:r w:rsidRPr="004C1A96">
              <w:rPr>
                <w:rFonts w:ascii="ITC Avant Garde" w:hAnsi="ITC Avant Garde"/>
                <w:sz w:val="16"/>
                <w:szCs w:val="16"/>
                <w:lang w:val="en-US"/>
              </w:rPr>
              <w:t>Parameters_Technical</w:t>
            </w:r>
          </w:p>
        </w:tc>
        <w:tc>
          <w:tcPr>
            <w:tcW w:w="5489" w:type="dxa"/>
            <w:shd w:val="clear" w:color="auto" w:fill="auto"/>
          </w:tcPr>
          <w:p w14:paraId="27CA03B9" w14:textId="77777777" w:rsidR="00A66A23" w:rsidRPr="00E14D8A" w:rsidRDefault="00A66A23" w:rsidP="00064199">
            <w:pPr>
              <w:keepNext/>
              <w:rPr>
                <w:rFonts w:ascii="ITC Avant Garde" w:hAnsi="ITC Avant Garde"/>
                <w:sz w:val="16"/>
                <w:szCs w:val="16"/>
                <w:lang w:val="es-MX"/>
              </w:rPr>
            </w:pPr>
            <w:r w:rsidRPr="004C1A96">
              <w:rPr>
                <w:rFonts w:ascii="ITC Avant Garde" w:hAnsi="ITC Avant Garde"/>
                <w:sz w:val="16"/>
                <w:szCs w:val="16"/>
                <w:lang w:val="es-MX"/>
              </w:rPr>
              <w:t xml:space="preserve">Tabla que contiene todos los parámetros que son independientes </w:t>
            </w:r>
            <w:r w:rsidRPr="00E14D8A">
              <w:rPr>
                <w:rFonts w:ascii="ITC Avant Garde" w:hAnsi="ITC Avant Garde"/>
                <w:sz w:val="16"/>
                <w:szCs w:val="16"/>
                <w:lang w:val="es-MX"/>
              </w:rPr>
              <w:t>de los escenarios.</w:t>
            </w:r>
          </w:p>
        </w:tc>
      </w:tr>
      <w:tr w:rsidR="00A66A23" w:rsidRPr="009F5AFF" w14:paraId="057BD721" w14:textId="77777777" w:rsidTr="00064199">
        <w:trPr>
          <w:jc w:val="center"/>
        </w:trPr>
        <w:tc>
          <w:tcPr>
            <w:tcW w:w="3004" w:type="dxa"/>
            <w:shd w:val="clear" w:color="auto" w:fill="auto"/>
          </w:tcPr>
          <w:p w14:paraId="1C2F6E85" w14:textId="77777777" w:rsidR="00A66A23" w:rsidRPr="004C1A96" w:rsidRDefault="00A66A23" w:rsidP="00064199">
            <w:pPr>
              <w:keepNext/>
              <w:rPr>
                <w:rFonts w:ascii="ITC Avant Garde" w:hAnsi="ITC Avant Garde"/>
                <w:sz w:val="16"/>
                <w:szCs w:val="16"/>
                <w:lang w:val="en-US"/>
              </w:rPr>
            </w:pPr>
            <w:r w:rsidRPr="004C1A96">
              <w:rPr>
                <w:rFonts w:ascii="ITC Avant Garde" w:hAnsi="ITC Avant Garde"/>
                <w:sz w:val="16"/>
                <w:szCs w:val="16"/>
                <w:lang w:val="en-US"/>
              </w:rPr>
              <w:t>Assets</w:t>
            </w:r>
          </w:p>
        </w:tc>
        <w:tc>
          <w:tcPr>
            <w:tcW w:w="5489" w:type="dxa"/>
            <w:shd w:val="clear" w:color="auto" w:fill="auto"/>
          </w:tcPr>
          <w:p w14:paraId="62AF988A" w14:textId="77777777" w:rsidR="00A66A23" w:rsidRPr="004C1A96" w:rsidRDefault="00A66A23" w:rsidP="00064199">
            <w:pPr>
              <w:keepNext/>
              <w:rPr>
                <w:rFonts w:ascii="ITC Avant Garde" w:hAnsi="ITC Avant Garde"/>
                <w:sz w:val="16"/>
                <w:szCs w:val="16"/>
                <w:lang w:val="es-MX"/>
              </w:rPr>
            </w:pPr>
            <w:r w:rsidRPr="004C1A96">
              <w:rPr>
                <w:rFonts w:ascii="ITC Avant Garde" w:hAnsi="ITC Avant Garde"/>
                <w:sz w:val="16"/>
                <w:szCs w:val="16"/>
                <w:lang w:val="es-MX"/>
              </w:rPr>
              <w:t>Tabla que describe todos los activos utilizados para el modelado. Esta tabla se reconstruye cada vez que se ejecuta el modelo (completado con el procedimiento A01b_FillAssetsTable).</w:t>
            </w:r>
          </w:p>
        </w:tc>
      </w:tr>
    </w:tbl>
    <w:p w14:paraId="7AF8BD2A" w14:textId="77777777" w:rsidR="00A66A23" w:rsidRPr="004C1A96" w:rsidRDefault="00A66A23" w:rsidP="00A66A23">
      <w:pPr>
        <w:spacing w:before="0" w:line="240" w:lineRule="auto"/>
        <w:jc w:val="left"/>
        <w:rPr>
          <w:rFonts w:ascii="ITC Avant Garde" w:hAnsi="ITC Avant Garde"/>
          <w:b/>
          <w:color w:val="CC3300"/>
          <w:lang w:val="es-MX"/>
        </w:rPr>
      </w:pPr>
      <w:bookmarkStart w:id="190" w:name="_Toc525672856"/>
    </w:p>
    <w:p w14:paraId="337DEC98" w14:textId="77777777" w:rsidR="00A66A23" w:rsidRPr="00FF2101" w:rsidRDefault="00A66A23" w:rsidP="0040723E">
      <w:pPr>
        <w:pStyle w:val="Ttulo3"/>
        <w:rPr>
          <w:lang w:val="es-ES"/>
        </w:rPr>
      </w:pPr>
      <w:bookmarkStart w:id="191" w:name="_Toc525665296"/>
      <w:bookmarkStart w:id="192" w:name="_Toc525665675"/>
      <w:bookmarkStart w:id="193" w:name="_Toc141975033"/>
      <w:r w:rsidRPr="00FF2101">
        <w:rPr>
          <w:lang w:val="es-ES"/>
        </w:rPr>
        <w:t>Estructura del archivo de Microsoft Excel</w:t>
      </w:r>
      <w:bookmarkEnd w:id="190"/>
      <w:bookmarkEnd w:id="191"/>
      <w:bookmarkEnd w:id="192"/>
      <w:bookmarkEnd w:id="193"/>
    </w:p>
    <w:p w14:paraId="00EA5246" w14:textId="77777777" w:rsidR="00A66A23" w:rsidRPr="00E14D8A" w:rsidRDefault="00A66A23" w:rsidP="00A66A23">
      <w:pPr>
        <w:rPr>
          <w:rFonts w:ascii="ITC Avant Garde" w:hAnsi="ITC Avant Garde"/>
          <w:lang w:val="es-MX"/>
        </w:rPr>
      </w:pPr>
      <w:r w:rsidRPr="004C1A96">
        <w:rPr>
          <w:rFonts w:ascii="ITC Avant Garde" w:hAnsi="ITC Avant Garde"/>
          <w:lang w:val="es-MX"/>
        </w:rPr>
        <w:t>El archivo de Microsoft Excel s</w:t>
      </w:r>
      <w:r w:rsidRPr="00E14D8A">
        <w:rPr>
          <w:rFonts w:ascii="ITC Avant Garde" w:hAnsi="ITC Avant Garde"/>
          <w:lang w:val="es-MX"/>
        </w:rPr>
        <w:t>ólo usa la entrada del modelo de SQL.</w:t>
      </w:r>
    </w:p>
    <w:p w14:paraId="3862ECBF" w14:textId="77777777" w:rsidR="00A66A23" w:rsidRPr="00E14D8A" w:rsidRDefault="00A66A23" w:rsidP="00A66A23">
      <w:pPr>
        <w:rPr>
          <w:rFonts w:ascii="ITC Avant Garde" w:hAnsi="ITC Avant Garde"/>
          <w:lang w:val="es-MX"/>
        </w:rPr>
      </w:pPr>
      <w:r w:rsidRPr="00E14D8A">
        <w:rPr>
          <w:rFonts w:ascii="ITC Avant Garde" w:hAnsi="ITC Avant Garde"/>
          <w:lang w:val="es-MX"/>
        </w:rPr>
        <w:t>La arquitectura de la parte de Microsoft Excel del modelo de acceso se muestra en la siguiente figura:</w:t>
      </w:r>
    </w:p>
    <w:p w14:paraId="46212066" w14:textId="77777777" w:rsidR="00A66A23" w:rsidRPr="00E14D8A" w:rsidRDefault="00A66A23" w:rsidP="00A66A23">
      <w:pPr>
        <w:rPr>
          <w:rFonts w:ascii="ITC Avant Garde" w:hAnsi="ITC Avant Garde"/>
          <w:lang w:val="es-MX"/>
        </w:rPr>
      </w:pPr>
      <w:r w:rsidRPr="00E14D8A">
        <w:rPr>
          <w:rFonts w:ascii="ITC Avant Garde" w:hAnsi="ITC Avant Garde"/>
          <w:lang w:val="es-MX"/>
        </w:rPr>
        <w:t> </w:t>
      </w:r>
    </w:p>
    <w:p w14:paraId="7FE4B328" w14:textId="41CE7062" w:rsidR="00A66A23" w:rsidRPr="004C1A96" w:rsidRDefault="006D69ED" w:rsidP="00A66A23">
      <w:pPr>
        <w:pStyle w:val="Descripcin"/>
        <w:keepNext/>
        <w:rPr>
          <w:rFonts w:ascii="ITC Avant Garde" w:hAnsi="ITC Avant Garde"/>
          <w:lang w:val="es-MX"/>
        </w:rPr>
      </w:pPr>
      <w:r w:rsidRPr="004C1A96">
        <w:rPr>
          <w:rFonts w:ascii="ITC Avant Garde" w:hAnsi="ITC Avant Garde"/>
          <w:lang w:val="es-MX"/>
        </w:rPr>
        <w:t xml:space="preserve">Figura </w:t>
      </w:r>
      <w:r w:rsidRPr="004C1A96">
        <w:rPr>
          <w:rFonts w:ascii="ITC Avant Garde" w:hAnsi="ITC Avant Garde"/>
          <w:lang w:val="es-MX"/>
        </w:rPr>
        <w:fldChar w:fldCharType="begin"/>
      </w:r>
      <w:r w:rsidRPr="004C1A96">
        <w:rPr>
          <w:rFonts w:ascii="ITC Avant Garde" w:hAnsi="ITC Avant Garde"/>
          <w:lang w:val="es-MX"/>
        </w:rPr>
        <w:instrText xml:space="preserve"> SEQ Figura \* ARABIC </w:instrText>
      </w:r>
      <w:r w:rsidRPr="004C1A96">
        <w:rPr>
          <w:rFonts w:ascii="ITC Avant Garde" w:hAnsi="ITC Avant Garde"/>
          <w:lang w:val="es-MX"/>
        </w:rPr>
        <w:fldChar w:fldCharType="separate"/>
      </w:r>
      <w:r w:rsidR="00006265">
        <w:rPr>
          <w:rFonts w:ascii="ITC Avant Garde" w:hAnsi="ITC Avant Garde"/>
          <w:noProof/>
          <w:lang w:val="es-MX"/>
        </w:rPr>
        <w:t>14</w:t>
      </w:r>
      <w:r w:rsidRPr="004C1A96">
        <w:rPr>
          <w:rFonts w:ascii="ITC Avant Garde" w:hAnsi="ITC Avant Garde"/>
          <w:lang w:val="es-MX"/>
        </w:rPr>
        <w:fldChar w:fldCharType="end"/>
      </w:r>
      <w:r w:rsidRPr="004C1A96">
        <w:rPr>
          <w:rFonts w:ascii="ITC Avant Garde" w:hAnsi="ITC Avant Garde"/>
          <w:lang w:val="es-MX"/>
        </w:rPr>
        <w:t xml:space="preserve"> </w:t>
      </w:r>
      <w:r w:rsidR="00A66A23" w:rsidRPr="004C1A96">
        <w:rPr>
          <w:rFonts w:ascii="ITC Avant Garde" w:hAnsi="ITC Avant Garde"/>
          <w:lang w:val="es-MX"/>
        </w:rPr>
        <w:t>- Arquitectura del modelo Excel</w:t>
      </w:r>
    </w:p>
    <w:p w14:paraId="03B9F807" w14:textId="73FC7CE2" w:rsidR="00A66A23" w:rsidRPr="004C1A96" w:rsidRDefault="00221F97" w:rsidP="00A66A23">
      <w:pPr>
        <w:rPr>
          <w:rFonts w:ascii="ITC Avant Garde" w:hAnsi="ITC Avant Garde"/>
          <w:lang w:val="es-MX"/>
        </w:rPr>
      </w:pPr>
      <w:r w:rsidRPr="00872052">
        <w:rPr>
          <w:rFonts w:ascii="ITC Avant Garde" w:hAnsi="ITC Avant Garde"/>
          <w:noProof/>
          <w:lang w:val="es-MX" w:eastAsia="es-MX"/>
        </w:rPr>
        <w:drawing>
          <wp:inline distT="0" distB="0" distL="0" distR="0" wp14:anchorId="384FD2C7" wp14:editId="6955ECB0">
            <wp:extent cx="5399405" cy="2157811"/>
            <wp:effectExtent l="0" t="0" r="0" b="0"/>
            <wp:docPr id="33" name="Image 42"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42" descr="A diagram of a flowchart&#10;&#10;Description automatically generated"/>
                    <pic:cNvPicPr/>
                  </pic:nvPicPr>
                  <pic:blipFill>
                    <a:blip r:embed="rId21"/>
                    <a:stretch>
                      <a:fillRect/>
                    </a:stretch>
                  </pic:blipFill>
                  <pic:spPr>
                    <a:xfrm>
                      <a:off x="0" y="0"/>
                      <a:ext cx="5399405" cy="2157811"/>
                    </a:xfrm>
                    <a:prstGeom prst="rect">
                      <a:avLst/>
                    </a:prstGeom>
                  </pic:spPr>
                </pic:pic>
              </a:graphicData>
            </a:graphic>
          </wp:inline>
        </w:drawing>
      </w:r>
    </w:p>
    <w:p w14:paraId="106CC6A3" w14:textId="77777777" w:rsidR="00A66A23" w:rsidRPr="00E14D8A" w:rsidRDefault="00A66A23" w:rsidP="00A66A23">
      <w:pPr>
        <w:pStyle w:val="Source"/>
        <w:keepNext/>
        <w:rPr>
          <w:rFonts w:ascii="ITC Avant Garde" w:hAnsi="ITC Avant Garde"/>
          <w:lang w:val="es-MX"/>
        </w:rPr>
      </w:pPr>
      <w:r w:rsidRPr="004C1A96">
        <w:rPr>
          <w:rFonts w:ascii="ITC Avant Garde" w:hAnsi="ITC Avant Garde"/>
          <w:lang w:val="es-MX"/>
        </w:rPr>
        <w:t>¿</w:t>
      </w:r>
    </w:p>
    <w:p w14:paraId="380D277E" w14:textId="25CA927E" w:rsidR="00A66A23" w:rsidRPr="004C1A96" w:rsidRDefault="00A66A23" w:rsidP="00A66A23">
      <w:pPr>
        <w:rPr>
          <w:rFonts w:ascii="ITC Avant Garde" w:hAnsi="ITC Avant Garde"/>
          <w:lang w:val="es-MX"/>
        </w:rPr>
      </w:pPr>
      <w:r w:rsidRPr="00E14D8A">
        <w:rPr>
          <w:rFonts w:ascii="ITC Avant Garde" w:hAnsi="ITC Avant Garde"/>
          <w:lang w:val="es-MX"/>
        </w:rPr>
        <w:t xml:space="preserve">Desde el </w:t>
      </w:r>
      <w:r w:rsidRPr="00E14D8A">
        <w:rPr>
          <w:rFonts w:ascii="ITC Avant Garde" w:hAnsi="ITC Avant Garde"/>
          <w:i/>
          <w:lang w:val="es-MX"/>
        </w:rPr>
        <w:t>Dashboard</w:t>
      </w:r>
      <w:r w:rsidRPr="004C1A96">
        <w:rPr>
          <w:rFonts w:ascii="ITC Avant Garde" w:hAnsi="ITC Avant Garde"/>
          <w:lang w:val="es-MX"/>
        </w:rPr>
        <w:t>, es posible seleccionar el año del modelado y el escenario. Una vez que se ha seleccionado el escenario, el modelo proporciona todos los costos del servicio en la hoja de cálculo de "</w:t>
      </w:r>
      <w:r w:rsidR="004E0C4D" w:rsidRPr="004C1A96">
        <w:rPr>
          <w:rFonts w:ascii="ITC Avant Garde" w:hAnsi="ITC Avant Garde"/>
          <w:lang w:val="es-MX"/>
        </w:rPr>
        <w:t>Servicios</w:t>
      </w:r>
      <w:r w:rsidRPr="004C1A96">
        <w:rPr>
          <w:rFonts w:ascii="ITC Avant Garde" w:hAnsi="ITC Avant Garde"/>
          <w:lang w:val="es-MX"/>
        </w:rPr>
        <w:t>".</w:t>
      </w:r>
    </w:p>
    <w:p w14:paraId="6BB0E32A" w14:textId="2E42D458" w:rsidR="00A66A23" w:rsidRPr="004C1A96" w:rsidRDefault="00A66A23" w:rsidP="00A66A23">
      <w:pPr>
        <w:rPr>
          <w:rFonts w:ascii="ITC Avant Garde" w:hAnsi="ITC Avant Garde"/>
          <w:lang w:val="es-MX"/>
        </w:rPr>
      </w:pPr>
      <w:r w:rsidRPr="004C1A96">
        <w:rPr>
          <w:rFonts w:ascii="ITC Avant Garde" w:hAnsi="ITC Avant Garde"/>
          <w:lang w:val="es-MX"/>
        </w:rPr>
        <w:t>La parte del archivo de Microsoft Excel del modelo de costo de la red de acceso está compuesta por 13 hojas de cálculo principales:</w:t>
      </w:r>
    </w:p>
    <w:p w14:paraId="7C07ACA7" w14:textId="77777777" w:rsidR="00A66A23" w:rsidRPr="004C1A96" w:rsidRDefault="00A66A23" w:rsidP="00A66A23">
      <w:pPr>
        <w:spacing w:before="0" w:line="240" w:lineRule="auto"/>
        <w:jc w:val="left"/>
        <w:rPr>
          <w:rFonts w:ascii="ITC Avant Garde" w:hAnsi="ITC Avant Garde"/>
          <w:b/>
          <w:color w:val="CC3300"/>
          <w:szCs w:val="20"/>
          <w:lang w:val="es-MX"/>
        </w:rPr>
      </w:pPr>
      <w:r w:rsidRPr="004C1A96">
        <w:rPr>
          <w:rFonts w:ascii="ITC Avant Garde" w:hAnsi="ITC Avant Garde"/>
          <w:lang w:val="es-MX"/>
        </w:rPr>
        <w:br w:type="page"/>
      </w:r>
    </w:p>
    <w:p w14:paraId="4D77802C" w14:textId="4C45536F" w:rsidR="00A66A23" w:rsidRPr="004C1A96" w:rsidRDefault="005579D3" w:rsidP="00A66A23">
      <w:pPr>
        <w:pStyle w:val="Descripcin"/>
        <w:keepNext/>
        <w:rPr>
          <w:rFonts w:ascii="ITC Avant Garde" w:hAnsi="ITC Avant Garde"/>
          <w:lang w:val="es-MX"/>
        </w:rPr>
      </w:pPr>
      <w:r w:rsidRPr="004C1A96">
        <w:rPr>
          <w:rFonts w:ascii="ITC Avant Garde" w:hAnsi="ITC Avant Garde"/>
          <w:lang w:val="es-MX"/>
        </w:rPr>
        <w:lastRenderedPageBreak/>
        <w:t xml:space="preserve">Cuadro </w:t>
      </w:r>
      <w:r w:rsidRPr="004C1A96">
        <w:rPr>
          <w:rFonts w:ascii="ITC Avant Garde" w:hAnsi="ITC Avant Garde"/>
          <w:lang w:val="es-MX"/>
        </w:rPr>
        <w:fldChar w:fldCharType="begin"/>
      </w:r>
      <w:r w:rsidRPr="004C1A96">
        <w:rPr>
          <w:rFonts w:ascii="ITC Avant Garde" w:hAnsi="ITC Avant Garde"/>
          <w:lang w:val="es-MX"/>
        </w:rPr>
        <w:instrText xml:space="preserve"> SEQ Cuadro \* ARABIC </w:instrText>
      </w:r>
      <w:r w:rsidRPr="004C1A96">
        <w:rPr>
          <w:rFonts w:ascii="ITC Avant Garde" w:hAnsi="ITC Avant Garde"/>
          <w:lang w:val="es-MX"/>
        </w:rPr>
        <w:fldChar w:fldCharType="separate"/>
      </w:r>
      <w:r w:rsidR="00006265">
        <w:rPr>
          <w:rFonts w:ascii="ITC Avant Garde" w:hAnsi="ITC Avant Garde"/>
          <w:noProof/>
          <w:lang w:val="es-MX"/>
        </w:rPr>
        <w:t>9</w:t>
      </w:r>
      <w:r w:rsidRPr="004C1A96">
        <w:rPr>
          <w:rFonts w:ascii="ITC Avant Garde" w:hAnsi="ITC Avant Garde"/>
          <w:lang w:val="es-MX"/>
        </w:rPr>
        <w:fldChar w:fldCharType="end"/>
      </w:r>
      <w:r w:rsidR="00A66A23" w:rsidRPr="004C1A96">
        <w:rPr>
          <w:rFonts w:ascii="ITC Avant Garde" w:hAnsi="ITC Avant Garde"/>
          <w:lang w:val="es-MX"/>
        </w:rPr>
        <w:t xml:space="preserve"> - Descripción de las hojas de cálculo</w:t>
      </w:r>
    </w:p>
    <w:tbl>
      <w:tblPr>
        <w:tblW w:w="5000" w:type="pct"/>
        <w:tblCellMar>
          <w:left w:w="70" w:type="dxa"/>
          <w:right w:w="70" w:type="dxa"/>
        </w:tblCellMar>
        <w:tblLook w:val="04A0" w:firstRow="1" w:lastRow="0" w:firstColumn="1" w:lastColumn="0" w:noHBand="0" w:noVBand="1"/>
      </w:tblPr>
      <w:tblGrid>
        <w:gridCol w:w="2335"/>
        <w:gridCol w:w="6149"/>
      </w:tblGrid>
      <w:tr w:rsidR="00A66A23" w:rsidRPr="004C1A96" w14:paraId="011924B3" w14:textId="77777777" w:rsidTr="00064199">
        <w:trPr>
          <w:trHeight w:val="564"/>
        </w:trPr>
        <w:tc>
          <w:tcPr>
            <w:tcW w:w="1376" w:type="pct"/>
            <w:tcBorders>
              <w:top w:val="single" w:sz="8" w:space="0" w:color="auto"/>
              <w:left w:val="single" w:sz="8" w:space="0" w:color="auto"/>
              <w:bottom w:val="single" w:sz="8" w:space="0" w:color="auto"/>
              <w:right w:val="single" w:sz="8" w:space="0" w:color="auto"/>
            </w:tcBorders>
            <w:shd w:val="clear" w:color="auto" w:fill="2F5897" w:themeFill="text2"/>
            <w:vAlign w:val="center"/>
            <w:hideMark/>
          </w:tcPr>
          <w:p w14:paraId="7C7CFB69" w14:textId="185865A5" w:rsidR="00A66A23" w:rsidRPr="00E14D8A" w:rsidRDefault="00970BFE" w:rsidP="00064199">
            <w:pPr>
              <w:spacing w:before="0" w:line="240" w:lineRule="auto"/>
              <w:jc w:val="center"/>
              <w:rPr>
                <w:rFonts w:ascii="ITC Avant Garde" w:hAnsi="ITC Avant Garde" w:cs="Arial"/>
                <w:b/>
                <w:color w:val="FFFFFF"/>
                <w:sz w:val="16"/>
                <w:szCs w:val="22"/>
                <w:lang w:val="es-MX"/>
              </w:rPr>
            </w:pPr>
            <w:r w:rsidRPr="004C1A96">
              <w:rPr>
                <w:rFonts w:ascii="ITC Avant Garde" w:hAnsi="ITC Avant Garde" w:cs="Arial"/>
                <w:b/>
                <w:color w:val="FFFFFF"/>
                <w:sz w:val="16"/>
                <w:szCs w:val="22"/>
                <w:lang w:val="es-MX"/>
              </w:rPr>
              <w:t>Nombre</w:t>
            </w:r>
          </w:p>
        </w:tc>
        <w:tc>
          <w:tcPr>
            <w:tcW w:w="3624" w:type="pct"/>
            <w:tcBorders>
              <w:top w:val="single" w:sz="8" w:space="0" w:color="auto"/>
              <w:left w:val="nil"/>
              <w:bottom w:val="single" w:sz="8" w:space="0" w:color="auto"/>
              <w:right w:val="single" w:sz="8" w:space="0" w:color="auto"/>
            </w:tcBorders>
            <w:shd w:val="clear" w:color="auto" w:fill="2F5897" w:themeFill="text2"/>
            <w:vAlign w:val="center"/>
            <w:hideMark/>
          </w:tcPr>
          <w:p w14:paraId="61C5ECC5" w14:textId="57C0E13C" w:rsidR="00A66A23" w:rsidRPr="00E14D8A" w:rsidRDefault="00970BFE" w:rsidP="00064199">
            <w:pPr>
              <w:spacing w:before="0" w:line="240" w:lineRule="auto"/>
              <w:jc w:val="center"/>
              <w:rPr>
                <w:rFonts w:ascii="ITC Avant Garde" w:hAnsi="ITC Avant Garde" w:cs="Arial"/>
                <w:b/>
                <w:color w:val="FFFFFF"/>
                <w:sz w:val="16"/>
                <w:szCs w:val="22"/>
                <w:lang w:val="es-MX"/>
              </w:rPr>
            </w:pPr>
            <w:r w:rsidRPr="00E14D8A">
              <w:rPr>
                <w:rFonts w:ascii="ITC Avant Garde" w:hAnsi="ITC Avant Garde" w:cs="Arial"/>
                <w:b/>
                <w:color w:val="FFFFFF"/>
                <w:sz w:val="16"/>
                <w:szCs w:val="22"/>
                <w:lang w:val="es-MX"/>
              </w:rPr>
              <w:t>Descripción</w:t>
            </w:r>
          </w:p>
        </w:tc>
      </w:tr>
      <w:tr w:rsidR="00A66A23" w:rsidRPr="009F5AFF" w14:paraId="613C3793" w14:textId="77777777" w:rsidTr="00064199">
        <w:trPr>
          <w:trHeight w:val="504"/>
        </w:trPr>
        <w:tc>
          <w:tcPr>
            <w:tcW w:w="1376" w:type="pct"/>
            <w:tcBorders>
              <w:top w:val="nil"/>
              <w:left w:val="single" w:sz="8" w:space="0" w:color="auto"/>
              <w:bottom w:val="single" w:sz="8" w:space="0" w:color="auto"/>
              <w:right w:val="single" w:sz="8" w:space="0" w:color="auto"/>
            </w:tcBorders>
            <w:shd w:val="clear" w:color="auto" w:fill="auto"/>
            <w:vAlign w:val="center"/>
            <w:hideMark/>
          </w:tcPr>
          <w:p w14:paraId="387AA493" w14:textId="77777777" w:rsidR="00A66A23" w:rsidRPr="004C1A96" w:rsidRDefault="00A66A23" w:rsidP="00064199">
            <w:pPr>
              <w:spacing w:before="0" w:line="240" w:lineRule="auto"/>
              <w:jc w:val="left"/>
              <w:rPr>
                <w:rFonts w:ascii="ITC Avant Garde" w:hAnsi="ITC Avant Garde" w:cs="Arial"/>
                <w:color w:val="000000"/>
                <w:sz w:val="16"/>
                <w:szCs w:val="22"/>
                <w:lang w:val="es-MX"/>
              </w:rPr>
            </w:pPr>
            <w:r w:rsidRPr="004C1A96">
              <w:rPr>
                <w:rFonts w:ascii="ITC Avant Garde" w:hAnsi="ITC Avant Garde" w:cs="Arial"/>
                <w:color w:val="000000"/>
                <w:sz w:val="16"/>
                <w:szCs w:val="22"/>
                <w:lang w:val="es-MX"/>
              </w:rPr>
              <w:t>Dashboard</w:t>
            </w:r>
          </w:p>
        </w:tc>
        <w:tc>
          <w:tcPr>
            <w:tcW w:w="3624" w:type="pct"/>
            <w:tcBorders>
              <w:top w:val="nil"/>
              <w:left w:val="nil"/>
              <w:bottom w:val="single" w:sz="8" w:space="0" w:color="auto"/>
              <w:right w:val="single" w:sz="8" w:space="0" w:color="auto"/>
            </w:tcBorders>
            <w:shd w:val="clear" w:color="auto" w:fill="auto"/>
            <w:vAlign w:val="center"/>
            <w:hideMark/>
          </w:tcPr>
          <w:p w14:paraId="540865F5" w14:textId="77777777" w:rsidR="00A66A23" w:rsidRPr="00E14D8A" w:rsidRDefault="00A66A23" w:rsidP="00064199">
            <w:pPr>
              <w:spacing w:before="0" w:line="240" w:lineRule="auto"/>
              <w:jc w:val="left"/>
              <w:rPr>
                <w:rFonts w:ascii="ITC Avant Garde" w:hAnsi="ITC Avant Garde" w:cs="Arial"/>
                <w:color w:val="000000"/>
                <w:sz w:val="16"/>
                <w:szCs w:val="22"/>
                <w:lang w:val="es-MX"/>
              </w:rPr>
            </w:pPr>
            <w:r w:rsidRPr="004C1A96">
              <w:rPr>
                <w:rFonts w:ascii="ITC Avant Garde" w:hAnsi="ITC Avant Garde"/>
                <w:sz w:val="16"/>
                <w:lang w:val="es-MX"/>
              </w:rPr>
              <w:t>Esta hoja contiene los prin</w:t>
            </w:r>
            <w:r w:rsidRPr="00E14D8A">
              <w:rPr>
                <w:rFonts w:ascii="ITC Avant Garde" w:hAnsi="ITC Avant Garde"/>
                <w:sz w:val="16"/>
                <w:lang w:val="es-MX"/>
              </w:rPr>
              <w:t>cipales parámetros del modelo</w:t>
            </w:r>
          </w:p>
        </w:tc>
      </w:tr>
      <w:tr w:rsidR="00A66A23" w:rsidRPr="009F5AFF" w14:paraId="36626BE7" w14:textId="77777777" w:rsidTr="00064199">
        <w:trPr>
          <w:trHeight w:val="564"/>
        </w:trPr>
        <w:tc>
          <w:tcPr>
            <w:tcW w:w="1376" w:type="pct"/>
            <w:tcBorders>
              <w:top w:val="nil"/>
              <w:left w:val="single" w:sz="8" w:space="0" w:color="auto"/>
              <w:bottom w:val="single" w:sz="8" w:space="0" w:color="auto"/>
              <w:right w:val="single" w:sz="8" w:space="0" w:color="auto"/>
            </w:tcBorders>
            <w:shd w:val="clear" w:color="auto" w:fill="auto"/>
            <w:vAlign w:val="center"/>
            <w:hideMark/>
          </w:tcPr>
          <w:p w14:paraId="7C989BBC" w14:textId="77777777" w:rsidR="00A66A23" w:rsidRPr="004C1A96" w:rsidRDefault="00A66A23" w:rsidP="00064199">
            <w:pPr>
              <w:spacing w:before="0" w:line="240" w:lineRule="auto"/>
              <w:jc w:val="left"/>
              <w:rPr>
                <w:rFonts w:ascii="ITC Avant Garde" w:hAnsi="ITC Avant Garde" w:cs="Arial"/>
                <w:color w:val="000000"/>
                <w:sz w:val="16"/>
                <w:szCs w:val="22"/>
                <w:lang w:val="es-MX"/>
              </w:rPr>
            </w:pPr>
            <w:r w:rsidRPr="004C1A96">
              <w:rPr>
                <w:rFonts w:ascii="ITC Avant Garde" w:hAnsi="ITC Avant Garde" w:cs="Arial"/>
                <w:color w:val="000000"/>
                <w:sz w:val="16"/>
                <w:szCs w:val="22"/>
                <w:lang w:val="es-MX"/>
              </w:rPr>
              <w:t>Import from MSSQL</w:t>
            </w:r>
          </w:p>
        </w:tc>
        <w:tc>
          <w:tcPr>
            <w:tcW w:w="3624" w:type="pct"/>
            <w:tcBorders>
              <w:top w:val="nil"/>
              <w:left w:val="nil"/>
              <w:bottom w:val="single" w:sz="8" w:space="0" w:color="auto"/>
              <w:right w:val="single" w:sz="8" w:space="0" w:color="auto"/>
            </w:tcBorders>
            <w:shd w:val="clear" w:color="auto" w:fill="auto"/>
            <w:vAlign w:val="center"/>
            <w:hideMark/>
          </w:tcPr>
          <w:p w14:paraId="059B6AF2" w14:textId="77777777" w:rsidR="00A66A23" w:rsidRPr="00E14D8A" w:rsidRDefault="00A66A23" w:rsidP="00064199">
            <w:pPr>
              <w:spacing w:before="0" w:line="240" w:lineRule="auto"/>
              <w:jc w:val="left"/>
              <w:rPr>
                <w:rFonts w:ascii="ITC Avant Garde" w:hAnsi="ITC Avant Garde" w:cs="Arial"/>
                <w:color w:val="000000"/>
                <w:sz w:val="16"/>
                <w:szCs w:val="22"/>
                <w:lang w:val="es-MX"/>
              </w:rPr>
            </w:pPr>
            <w:r w:rsidRPr="004C1A96">
              <w:rPr>
                <w:rFonts w:ascii="ITC Avant Garde" w:hAnsi="ITC Avant Garde"/>
                <w:sz w:val="16"/>
                <w:lang w:val="es-MX"/>
              </w:rPr>
              <w:t>Esta hoja contiene inventarios y métricas importadas del modelo SQL</w:t>
            </w:r>
          </w:p>
        </w:tc>
      </w:tr>
      <w:tr w:rsidR="00A66A23" w:rsidRPr="00FF2101" w14:paraId="40B35621" w14:textId="77777777" w:rsidTr="00064199">
        <w:trPr>
          <w:trHeight w:val="504"/>
        </w:trPr>
        <w:tc>
          <w:tcPr>
            <w:tcW w:w="1376" w:type="pct"/>
            <w:tcBorders>
              <w:top w:val="nil"/>
              <w:left w:val="single" w:sz="8" w:space="0" w:color="auto"/>
              <w:bottom w:val="single" w:sz="8" w:space="0" w:color="auto"/>
              <w:right w:val="single" w:sz="8" w:space="0" w:color="auto"/>
            </w:tcBorders>
            <w:shd w:val="clear" w:color="auto" w:fill="auto"/>
            <w:vAlign w:val="center"/>
            <w:hideMark/>
          </w:tcPr>
          <w:p w14:paraId="78D25A47" w14:textId="77777777" w:rsidR="00A66A23" w:rsidRPr="004C1A96" w:rsidRDefault="00A66A23" w:rsidP="00064199">
            <w:pPr>
              <w:spacing w:before="0" w:line="240" w:lineRule="auto"/>
              <w:jc w:val="left"/>
              <w:rPr>
                <w:rFonts w:ascii="ITC Avant Garde" w:hAnsi="ITC Avant Garde" w:cs="Arial"/>
                <w:color w:val="000000"/>
                <w:sz w:val="16"/>
                <w:szCs w:val="22"/>
                <w:lang w:val="es-MX"/>
              </w:rPr>
            </w:pPr>
            <w:r w:rsidRPr="004C1A96">
              <w:rPr>
                <w:rFonts w:ascii="ITC Avant Garde" w:hAnsi="ITC Avant Garde" w:cs="Arial"/>
                <w:color w:val="000000"/>
                <w:sz w:val="16"/>
                <w:szCs w:val="22"/>
                <w:lang w:val="es-MX"/>
              </w:rPr>
              <w:t>Demand</w:t>
            </w:r>
          </w:p>
        </w:tc>
        <w:tc>
          <w:tcPr>
            <w:tcW w:w="3624" w:type="pct"/>
            <w:tcBorders>
              <w:top w:val="nil"/>
              <w:left w:val="nil"/>
              <w:bottom w:val="single" w:sz="8" w:space="0" w:color="auto"/>
              <w:right w:val="single" w:sz="8" w:space="0" w:color="auto"/>
            </w:tcBorders>
            <w:shd w:val="clear" w:color="auto" w:fill="auto"/>
            <w:vAlign w:val="center"/>
            <w:hideMark/>
          </w:tcPr>
          <w:p w14:paraId="38DE3C12" w14:textId="77777777" w:rsidR="00A66A23" w:rsidRPr="00E14D8A" w:rsidRDefault="00A66A23" w:rsidP="00064199">
            <w:pPr>
              <w:spacing w:before="0" w:line="240" w:lineRule="auto"/>
              <w:jc w:val="left"/>
              <w:rPr>
                <w:rFonts w:ascii="ITC Avant Garde" w:hAnsi="ITC Avant Garde" w:cs="Arial"/>
                <w:color w:val="000000"/>
                <w:sz w:val="16"/>
                <w:szCs w:val="22"/>
                <w:lang w:val="es-MX"/>
              </w:rPr>
            </w:pPr>
            <w:r w:rsidRPr="004C1A96">
              <w:rPr>
                <w:rFonts w:ascii="ITC Avant Garde" w:hAnsi="ITC Avant Garde"/>
                <w:sz w:val="16"/>
                <w:lang w:val="es-MX"/>
              </w:rPr>
              <w:t>Esta hoja contiene cálculos de demanda</w:t>
            </w:r>
          </w:p>
        </w:tc>
      </w:tr>
      <w:tr w:rsidR="00A66A23" w:rsidRPr="009F5AFF" w14:paraId="37BB576A" w14:textId="77777777" w:rsidTr="00064199">
        <w:trPr>
          <w:trHeight w:val="504"/>
        </w:trPr>
        <w:tc>
          <w:tcPr>
            <w:tcW w:w="1376" w:type="pct"/>
            <w:tcBorders>
              <w:top w:val="nil"/>
              <w:left w:val="single" w:sz="8" w:space="0" w:color="auto"/>
              <w:bottom w:val="single" w:sz="8" w:space="0" w:color="auto"/>
              <w:right w:val="single" w:sz="8" w:space="0" w:color="auto"/>
            </w:tcBorders>
            <w:shd w:val="clear" w:color="auto" w:fill="auto"/>
            <w:vAlign w:val="center"/>
            <w:hideMark/>
          </w:tcPr>
          <w:p w14:paraId="3AFC16CA" w14:textId="77777777" w:rsidR="00A66A23" w:rsidRPr="004C1A96" w:rsidRDefault="00A66A23" w:rsidP="00064199">
            <w:pPr>
              <w:spacing w:before="0" w:line="240" w:lineRule="auto"/>
              <w:jc w:val="left"/>
              <w:rPr>
                <w:rFonts w:ascii="ITC Avant Garde" w:hAnsi="ITC Avant Garde" w:cs="Arial"/>
                <w:color w:val="000000"/>
                <w:sz w:val="16"/>
                <w:szCs w:val="22"/>
                <w:lang w:val="es-MX"/>
              </w:rPr>
            </w:pPr>
            <w:r w:rsidRPr="004C1A96">
              <w:rPr>
                <w:rFonts w:ascii="ITC Avant Garde" w:hAnsi="ITC Avant Garde" w:cs="Arial"/>
                <w:color w:val="000000"/>
                <w:sz w:val="16"/>
                <w:szCs w:val="22"/>
                <w:lang w:val="es-MX"/>
              </w:rPr>
              <w:t>Unit costs of assets</w:t>
            </w:r>
          </w:p>
        </w:tc>
        <w:tc>
          <w:tcPr>
            <w:tcW w:w="3624" w:type="pct"/>
            <w:tcBorders>
              <w:top w:val="nil"/>
              <w:left w:val="nil"/>
              <w:bottom w:val="single" w:sz="8" w:space="0" w:color="auto"/>
              <w:right w:val="single" w:sz="8" w:space="0" w:color="auto"/>
            </w:tcBorders>
            <w:shd w:val="clear" w:color="auto" w:fill="auto"/>
            <w:vAlign w:val="center"/>
            <w:hideMark/>
          </w:tcPr>
          <w:p w14:paraId="74032550" w14:textId="77777777" w:rsidR="00A66A23" w:rsidRPr="00E14D8A" w:rsidRDefault="00A66A23" w:rsidP="00064199">
            <w:pPr>
              <w:spacing w:before="0" w:line="240" w:lineRule="auto"/>
              <w:jc w:val="left"/>
              <w:rPr>
                <w:rFonts w:ascii="ITC Avant Garde" w:hAnsi="ITC Avant Garde" w:cs="Arial"/>
                <w:color w:val="000000"/>
                <w:sz w:val="16"/>
                <w:szCs w:val="22"/>
                <w:lang w:val="es-MX"/>
              </w:rPr>
            </w:pPr>
            <w:r w:rsidRPr="00E14D8A">
              <w:rPr>
                <w:rFonts w:ascii="ITC Avant Garde" w:hAnsi="ITC Avant Garde"/>
                <w:sz w:val="16"/>
                <w:lang w:val="es-MX"/>
              </w:rPr>
              <w:t>Esta hoja contiene la lista de activos de la red de acceso</w:t>
            </w:r>
          </w:p>
        </w:tc>
      </w:tr>
      <w:tr w:rsidR="00A66A23" w:rsidRPr="009F5AFF" w14:paraId="5BA8C8DD" w14:textId="77777777" w:rsidTr="00064199">
        <w:trPr>
          <w:trHeight w:val="504"/>
        </w:trPr>
        <w:tc>
          <w:tcPr>
            <w:tcW w:w="1376" w:type="pct"/>
            <w:vMerge w:val="restart"/>
            <w:tcBorders>
              <w:top w:val="nil"/>
              <w:left w:val="single" w:sz="8" w:space="0" w:color="auto"/>
              <w:bottom w:val="single" w:sz="8" w:space="0" w:color="000000"/>
              <w:right w:val="single" w:sz="8" w:space="0" w:color="auto"/>
            </w:tcBorders>
            <w:shd w:val="clear" w:color="auto" w:fill="auto"/>
            <w:vAlign w:val="center"/>
            <w:hideMark/>
          </w:tcPr>
          <w:p w14:paraId="29153FF9" w14:textId="77777777" w:rsidR="00A66A23" w:rsidRPr="004C1A96" w:rsidRDefault="00A66A23" w:rsidP="00064199">
            <w:pPr>
              <w:spacing w:before="0" w:line="240" w:lineRule="auto"/>
              <w:jc w:val="left"/>
              <w:rPr>
                <w:rFonts w:ascii="ITC Avant Garde" w:hAnsi="ITC Avant Garde" w:cs="Arial"/>
                <w:color w:val="000000"/>
                <w:sz w:val="16"/>
                <w:szCs w:val="22"/>
                <w:lang w:val="es-MX"/>
              </w:rPr>
            </w:pPr>
            <w:r w:rsidRPr="004C1A96">
              <w:rPr>
                <w:rFonts w:ascii="ITC Avant Garde" w:hAnsi="ITC Avant Garde" w:cs="Arial"/>
                <w:color w:val="000000"/>
                <w:sz w:val="16"/>
                <w:szCs w:val="22"/>
                <w:lang w:val="es-MX"/>
              </w:rPr>
              <w:t>Routing Matrix per services</w:t>
            </w:r>
          </w:p>
        </w:tc>
        <w:tc>
          <w:tcPr>
            <w:tcW w:w="3624" w:type="pct"/>
            <w:vMerge w:val="restart"/>
            <w:tcBorders>
              <w:top w:val="nil"/>
              <w:left w:val="single" w:sz="8" w:space="0" w:color="auto"/>
              <w:bottom w:val="single" w:sz="8" w:space="0" w:color="000000"/>
              <w:right w:val="single" w:sz="8" w:space="0" w:color="auto"/>
            </w:tcBorders>
            <w:shd w:val="clear" w:color="auto" w:fill="auto"/>
            <w:vAlign w:val="center"/>
            <w:hideMark/>
          </w:tcPr>
          <w:p w14:paraId="2F43EB5B" w14:textId="77777777" w:rsidR="00A66A23" w:rsidRPr="00E14D8A" w:rsidRDefault="00A66A23" w:rsidP="00064199">
            <w:pPr>
              <w:spacing w:before="0" w:line="240" w:lineRule="auto"/>
              <w:jc w:val="left"/>
              <w:rPr>
                <w:rFonts w:ascii="ITC Avant Garde" w:hAnsi="ITC Avant Garde" w:cs="Arial"/>
                <w:color w:val="000000"/>
                <w:sz w:val="16"/>
                <w:szCs w:val="22"/>
                <w:lang w:val="es-MX"/>
              </w:rPr>
            </w:pPr>
            <w:r w:rsidRPr="004C1A96">
              <w:rPr>
                <w:rFonts w:ascii="ITC Avant Garde" w:hAnsi="ITC Avant Garde"/>
                <w:sz w:val="16"/>
                <w:lang w:val="es-MX"/>
              </w:rPr>
              <w:t>Esta hoja contiene la matriz de enrutamiento para servicios</w:t>
            </w:r>
          </w:p>
        </w:tc>
      </w:tr>
      <w:tr w:rsidR="00A66A23" w:rsidRPr="009F5AFF" w14:paraId="4D1FA3AA" w14:textId="77777777" w:rsidTr="00064199">
        <w:trPr>
          <w:trHeight w:val="247"/>
        </w:trPr>
        <w:tc>
          <w:tcPr>
            <w:tcW w:w="1376" w:type="pct"/>
            <w:vMerge/>
            <w:tcBorders>
              <w:top w:val="nil"/>
              <w:left w:val="single" w:sz="8" w:space="0" w:color="auto"/>
              <w:bottom w:val="single" w:sz="8" w:space="0" w:color="000000"/>
              <w:right w:val="single" w:sz="8" w:space="0" w:color="auto"/>
            </w:tcBorders>
            <w:vAlign w:val="center"/>
            <w:hideMark/>
          </w:tcPr>
          <w:p w14:paraId="752EB913" w14:textId="77777777" w:rsidR="00A66A23" w:rsidRPr="004C1A96" w:rsidRDefault="00A66A23" w:rsidP="00064199">
            <w:pPr>
              <w:spacing w:before="0" w:line="240" w:lineRule="auto"/>
              <w:jc w:val="left"/>
              <w:rPr>
                <w:rFonts w:ascii="ITC Avant Garde" w:hAnsi="ITC Avant Garde" w:cs="Arial"/>
                <w:color w:val="000000"/>
                <w:sz w:val="16"/>
                <w:szCs w:val="22"/>
                <w:lang w:val="es-MX"/>
              </w:rPr>
            </w:pPr>
          </w:p>
        </w:tc>
        <w:tc>
          <w:tcPr>
            <w:tcW w:w="3624" w:type="pct"/>
            <w:vMerge/>
            <w:tcBorders>
              <w:top w:val="nil"/>
              <w:left w:val="single" w:sz="8" w:space="0" w:color="auto"/>
              <w:bottom w:val="single" w:sz="8" w:space="0" w:color="000000"/>
              <w:right w:val="single" w:sz="8" w:space="0" w:color="auto"/>
            </w:tcBorders>
            <w:vAlign w:val="center"/>
            <w:hideMark/>
          </w:tcPr>
          <w:p w14:paraId="1C7EF23C" w14:textId="77777777" w:rsidR="00A66A23" w:rsidRPr="004C1A96" w:rsidRDefault="00A66A23" w:rsidP="00064199">
            <w:pPr>
              <w:spacing w:before="0" w:line="240" w:lineRule="auto"/>
              <w:jc w:val="left"/>
              <w:rPr>
                <w:rFonts w:ascii="ITC Avant Garde" w:hAnsi="ITC Avant Garde" w:cs="Arial"/>
                <w:color w:val="000000"/>
                <w:sz w:val="16"/>
                <w:szCs w:val="22"/>
                <w:lang w:val="es-MX"/>
              </w:rPr>
            </w:pPr>
          </w:p>
        </w:tc>
      </w:tr>
      <w:tr w:rsidR="00A66A23" w:rsidRPr="009F5AFF" w14:paraId="3D2F0AAD" w14:textId="77777777" w:rsidTr="00064199">
        <w:trPr>
          <w:trHeight w:val="504"/>
        </w:trPr>
        <w:tc>
          <w:tcPr>
            <w:tcW w:w="1376" w:type="pct"/>
            <w:tcBorders>
              <w:top w:val="nil"/>
              <w:left w:val="single" w:sz="8" w:space="0" w:color="auto"/>
              <w:bottom w:val="single" w:sz="8" w:space="0" w:color="auto"/>
              <w:right w:val="single" w:sz="8" w:space="0" w:color="auto"/>
            </w:tcBorders>
            <w:shd w:val="clear" w:color="auto" w:fill="auto"/>
            <w:vAlign w:val="center"/>
          </w:tcPr>
          <w:p w14:paraId="51D68F9E" w14:textId="77777777" w:rsidR="00A66A23" w:rsidRPr="004C1A96" w:rsidRDefault="00A66A23" w:rsidP="00064199">
            <w:pPr>
              <w:spacing w:before="0" w:line="240" w:lineRule="auto"/>
              <w:jc w:val="left"/>
              <w:rPr>
                <w:rFonts w:ascii="ITC Avant Garde" w:hAnsi="ITC Avant Garde" w:cs="Arial"/>
                <w:color w:val="000000"/>
                <w:sz w:val="16"/>
                <w:szCs w:val="22"/>
                <w:lang w:val="es-MX"/>
              </w:rPr>
            </w:pPr>
            <w:r w:rsidRPr="004C1A96">
              <w:rPr>
                <w:rFonts w:ascii="ITC Avant Garde" w:hAnsi="ITC Avant Garde" w:cs="Arial"/>
                <w:color w:val="000000"/>
                <w:sz w:val="16"/>
                <w:szCs w:val="22"/>
                <w:lang w:val="es-MX"/>
              </w:rPr>
              <w:t>Other inputs</w:t>
            </w:r>
          </w:p>
        </w:tc>
        <w:tc>
          <w:tcPr>
            <w:tcW w:w="3624" w:type="pct"/>
            <w:tcBorders>
              <w:top w:val="nil"/>
              <w:left w:val="nil"/>
              <w:bottom w:val="single" w:sz="8" w:space="0" w:color="auto"/>
              <w:right w:val="single" w:sz="8" w:space="0" w:color="auto"/>
            </w:tcBorders>
            <w:shd w:val="clear" w:color="auto" w:fill="auto"/>
            <w:vAlign w:val="center"/>
          </w:tcPr>
          <w:p w14:paraId="2F507897" w14:textId="6C03DAFF" w:rsidR="00A66A23" w:rsidRPr="00E14D8A" w:rsidRDefault="00A66A23" w:rsidP="00064199">
            <w:pPr>
              <w:spacing w:before="0"/>
              <w:rPr>
                <w:rFonts w:ascii="ITC Avant Garde" w:hAnsi="ITC Avant Garde"/>
                <w:sz w:val="16"/>
                <w:lang w:val="es-MX"/>
              </w:rPr>
            </w:pPr>
            <w:r w:rsidRPr="00E14D8A">
              <w:rPr>
                <w:rFonts w:ascii="ITC Avant Garde" w:hAnsi="ITC Avant Garde"/>
                <w:sz w:val="16"/>
                <w:lang w:val="es-MX"/>
              </w:rPr>
              <w:t xml:space="preserve">Esta hoja contiene </w:t>
            </w:r>
            <w:r w:rsidR="004E0C4D" w:rsidRPr="00E14D8A">
              <w:rPr>
                <w:rFonts w:ascii="ITC Avant Garde" w:hAnsi="ITC Avant Garde"/>
                <w:sz w:val="16"/>
                <w:lang w:val="es-MX"/>
              </w:rPr>
              <w:t xml:space="preserve">datos de entrada </w:t>
            </w:r>
            <w:r w:rsidRPr="00E14D8A">
              <w:rPr>
                <w:rFonts w:ascii="ITC Avant Garde" w:hAnsi="ITC Avant Garde"/>
                <w:sz w:val="16"/>
                <w:lang w:val="es-MX"/>
              </w:rPr>
              <w:t>adicionales que son usados en el modelo</w:t>
            </w:r>
          </w:p>
        </w:tc>
      </w:tr>
      <w:tr w:rsidR="00A66A23" w:rsidRPr="009F5AFF" w14:paraId="1E4E2B9D" w14:textId="77777777" w:rsidTr="000046C1">
        <w:trPr>
          <w:trHeight w:val="504"/>
        </w:trPr>
        <w:tc>
          <w:tcPr>
            <w:tcW w:w="1376" w:type="pct"/>
            <w:tcBorders>
              <w:top w:val="nil"/>
              <w:left w:val="single" w:sz="8" w:space="0" w:color="auto"/>
              <w:bottom w:val="single" w:sz="4" w:space="0" w:color="auto"/>
              <w:right w:val="single" w:sz="8" w:space="0" w:color="auto"/>
            </w:tcBorders>
            <w:shd w:val="clear" w:color="auto" w:fill="auto"/>
            <w:vAlign w:val="center"/>
            <w:hideMark/>
          </w:tcPr>
          <w:p w14:paraId="50B9762C" w14:textId="77777777" w:rsidR="00A66A23" w:rsidRPr="004C1A96" w:rsidRDefault="00A66A23" w:rsidP="00064199">
            <w:pPr>
              <w:spacing w:before="0" w:line="240" w:lineRule="auto"/>
              <w:jc w:val="left"/>
              <w:rPr>
                <w:rFonts w:ascii="ITC Avant Garde" w:hAnsi="ITC Avant Garde" w:cs="Arial"/>
                <w:color w:val="000000"/>
                <w:sz w:val="16"/>
                <w:szCs w:val="22"/>
                <w:lang w:val="es-MX"/>
              </w:rPr>
            </w:pPr>
            <w:r w:rsidRPr="004C1A96">
              <w:rPr>
                <w:rFonts w:ascii="ITC Avant Garde" w:hAnsi="ITC Avant Garde" w:cs="Arial"/>
                <w:color w:val="000000"/>
                <w:sz w:val="16"/>
                <w:szCs w:val="22"/>
                <w:lang w:val="es-MX"/>
              </w:rPr>
              <w:t>Inventory</w:t>
            </w:r>
          </w:p>
        </w:tc>
        <w:tc>
          <w:tcPr>
            <w:tcW w:w="3624" w:type="pct"/>
            <w:tcBorders>
              <w:top w:val="nil"/>
              <w:left w:val="nil"/>
              <w:bottom w:val="single" w:sz="8" w:space="0" w:color="auto"/>
              <w:right w:val="single" w:sz="8" w:space="0" w:color="auto"/>
            </w:tcBorders>
            <w:shd w:val="clear" w:color="auto" w:fill="auto"/>
            <w:vAlign w:val="center"/>
            <w:hideMark/>
          </w:tcPr>
          <w:p w14:paraId="75F76254" w14:textId="77777777" w:rsidR="00A66A23" w:rsidRPr="00E14D8A" w:rsidRDefault="00A66A23" w:rsidP="00064199">
            <w:pPr>
              <w:spacing w:before="0"/>
              <w:rPr>
                <w:rFonts w:ascii="ITC Avant Garde" w:hAnsi="ITC Avant Garde"/>
                <w:sz w:val="16"/>
                <w:lang w:val="es-MX"/>
              </w:rPr>
            </w:pPr>
            <w:r w:rsidRPr="00E14D8A">
              <w:rPr>
                <w:rFonts w:ascii="ITC Avant Garde" w:hAnsi="ITC Avant Garde"/>
                <w:sz w:val="16"/>
                <w:lang w:val="es-MX"/>
              </w:rPr>
              <w:t>Esta hoja contiene el inventario de la red</w:t>
            </w:r>
          </w:p>
          <w:p w14:paraId="2E842362" w14:textId="77777777" w:rsidR="00A66A23" w:rsidRPr="00E14D8A" w:rsidRDefault="00A66A23" w:rsidP="00064199">
            <w:pPr>
              <w:spacing w:before="0" w:line="240" w:lineRule="auto"/>
              <w:jc w:val="left"/>
              <w:rPr>
                <w:rFonts w:ascii="ITC Avant Garde" w:hAnsi="ITC Avant Garde" w:cs="Arial"/>
                <w:color w:val="000000"/>
                <w:sz w:val="16"/>
                <w:szCs w:val="22"/>
                <w:lang w:val="es-MX"/>
              </w:rPr>
            </w:pPr>
          </w:p>
        </w:tc>
      </w:tr>
      <w:tr w:rsidR="00A66A23" w:rsidRPr="009F5AFF" w14:paraId="6450AD70" w14:textId="77777777" w:rsidTr="000046C1">
        <w:trPr>
          <w:trHeight w:val="504"/>
        </w:trPr>
        <w:tc>
          <w:tcPr>
            <w:tcW w:w="13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EBE4AD" w14:textId="77777777" w:rsidR="00A66A23" w:rsidRPr="004C1A96" w:rsidRDefault="00A66A23" w:rsidP="00064199">
            <w:pPr>
              <w:spacing w:before="0" w:line="240" w:lineRule="auto"/>
              <w:jc w:val="left"/>
              <w:rPr>
                <w:rFonts w:ascii="ITC Avant Garde" w:hAnsi="ITC Avant Garde" w:cs="Arial"/>
                <w:color w:val="000000"/>
                <w:sz w:val="16"/>
                <w:szCs w:val="22"/>
                <w:lang w:val="es-MX"/>
              </w:rPr>
            </w:pPr>
            <w:r w:rsidRPr="004C1A96">
              <w:rPr>
                <w:rFonts w:ascii="ITC Avant Garde" w:hAnsi="ITC Avant Garde" w:cs="Arial"/>
                <w:color w:val="000000"/>
                <w:sz w:val="16"/>
                <w:szCs w:val="22"/>
                <w:lang w:val="es-MX"/>
              </w:rPr>
              <w:t>Investment</w:t>
            </w:r>
          </w:p>
        </w:tc>
        <w:tc>
          <w:tcPr>
            <w:tcW w:w="3624" w:type="pct"/>
            <w:tcBorders>
              <w:top w:val="nil"/>
              <w:left w:val="single" w:sz="4" w:space="0" w:color="auto"/>
              <w:bottom w:val="single" w:sz="8" w:space="0" w:color="auto"/>
              <w:right w:val="single" w:sz="8" w:space="0" w:color="auto"/>
            </w:tcBorders>
            <w:shd w:val="clear" w:color="auto" w:fill="auto"/>
            <w:vAlign w:val="center"/>
            <w:hideMark/>
          </w:tcPr>
          <w:p w14:paraId="6FB094FD" w14:textId="77777777" w:rsidR="00A66A23" w:rsidRPr="00E14D8A" w:rsidRDefault="00A66A23" w:rsidP="00064199">
            <w:pPr>
              <w:spacing w:before="0" w:line="240" w:lineRule="auto"/>
              <w:jc w:val="left"/>
              <w:rPr>
                <w:rFonts w:ascii="ITC Avant Garde" w:hAnsi="ITC Avant Garde" w:cs="Arial"/>
                <w:color w:val="000000"/>
                <w:sz w:val="16"/>
                <w:szCs w:val="22"/>
                <w:lang w:val="es-MX"/>
              </w:rPr>
            </w:pPr>
            <w:r w:rsidRPr="004C1A96">
              <w:rPr>
                <w:rFonts w:ascii="ITC Avant Garde" w:hAnsi="ITC Avant Garde"/>
                <w:sz w:val="16"/>
                <w:lang w:val="es-MX"/>
              </w:rPr>
              <w:t>Esta hoja contiene la inversión de la red</w:t>
            </w:r>
          </w:p>
        </w:tc>
      </w:tr>
      <w:tr w:rsidR="00A66A23" w:rsidRPr="009F5AFF" w14:paraId="708C4C1F" w14:textId="77777777" w:rsidTr="000046C1">
        <w:trPr>
          <w:trHeight w:val="504"/>
        </w:trPr>
        <w:tc>
          <w:tcPr>
            <w:tcW w:w="13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1A8186" w14:textId="77777777" w:rsidR="00A66A23" w:rsidRPr="004C1A96" w:rsidRDefault="00A66A23" w:rsidP="00064199">
            <w:pPr>
              <w:spacing w:before="0" w:line="240" w:lineRule="auto"/>
              <w:jc w:val="left"/>
              <w:rPr>
                <w:rFonts w:ascii="ITC Avant Garde" w:hAnsi="ITC Avant Garde" w:cs="Arial"/>
                <w:color w:val="000000"/>
                <w:sz w:val="16"/>
                <w:szCs w:val="22"/>
                <w:lang w:val="es-MX"/>
              </w:rPr>
            </w:pPr>
            <w:r w:rsidRPr="004C1A96">
              <w:rPr>
                <w:rFonts w:ascii="ITC Avant Garde" w:hAnsi="ITC Avant Garde" w:cs="Arial"/>
                <w:color w:val="000000"/>
                <w:sz w:val="16"/>
                <w:szCs w:val="22"/>
                <w:lang w:val="es-MX"/>
              </w:rPr>
              <w:t>Annual Capex</w:t>
            </w:r>
          </w:p>
        </w:tc>
        <w:tc>
          <w:tcPr>
            <w:tcW w:w="3624" w:type="pct"/>
            <w:tcBorders>
              <w:top w:val="nil"/>
              <w:left w:val="single" w:sz="4" w:space="0" w:color="auto"/>
              <w:bottom w:val="single" w:sz="8" w:space="0" w:color="auto"/>
              <w:right w:val="single" w:sz="8" w:space="0" w:color="auto"/>
            </w:tcBorders>
            <w:shd w:val="clear" w:color="auto" w:fill="auto"/>
            <w:vAlign w:val="center"/>
            <w:hideMark/>
          </w:tcPr>
          <w:p w14:paraId="41E7B15E" w14:textId="77777777" w:rsidR="00A66A23" w:rsidRPr="00E14D8A" w:rsidRDefault="00A66A23" w:rsidP="00064199">
            <w:pPr>
              <w:spacing w:before="0" w:line="240" w:lineRule="auto"/>
              <w:jc w:val="left"/>
              <w:rPr>
                <w:rFonts w:ascii="ITC Avant Garde" w:hAnsi="ITC Avant Garde" w:cs="Arial"/>
                <w:color w:val="000000"/>
                <w:sz w:val="16"/>
                <w:szCs w:val="22"/>
                <w:lang w:val="es-MX"/>
              </w:rPr>
            </w:pPr>
            <w:r w:rsidRPr="004C1A96">
              <w:rPr>
                <w:rFonts w:ascii="ITC Avant Garde" w:hAnsi="ITC Avant Garde"/>
                <w:sz w:val="16"/>
                <w:lang w:val="es-MX"/>
              </w:rPr>
              <w:t>Esta hoja contiene el costo anual de la red</w:t>
            </w:r>
          </w:p>
        </w:tc>
      </w:tr>
      <w:tr w:rsidR="00A66A23" w:rsidRPr="009F5AFF" w14:paraId="534E5D80" w14:textId="77777777" w:rsidTr="000046C1">
        <w:trPr>
          <w:trHeight w:val="504"/>
        </w:trPr>
        <w:tc>
          <w:tcPr>
            <w:tcW w:w="13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512D75" w14:textId="77777777" w:rsidR="00A66A23" w:rsidRPr="004C1A96" w:rsidRDefault="00A66A23" w:rsidP="00064199">
            <w:pPr>
              <w:spacing w:before="0" w:line="240" w:lineRule="auto"/>
              <w:jc w:val="left"/>
              <w:rPr>
                <w:rFonts w:ascii="ITC Avant Garde" w:hAnsi="ITC Avant Garde" w:cs="Arial"/>
                <w:color w:val="000000"/>
                <w:sz w:val="16"/>
                <w:szCs w:val="22"/>
                <w:lang w:val="es-MX"/>
              </w:rPr>
            </w:pPr>
            <w:r w:rsidRPr="004C1A96">
              <w:rPr>
                <w:rFonts w:ascii="ITC Avant Garde" w:hAnsi="ITC Avant Garde" w:cs="Arial"/>
                <w:color w:val="000000"/>
                <w:sz w:val="16"/>
                <w:szCs w:val="22"/>
                <w:lang w:val="es-MX"/>
              </w:rPr>
              <w:t>OPEX Calculation</w:t>
            </w:r>
          </w:p>
        </w:tc>
        <w:tc>
          <w:tcPr>
            <w:tcW w:w="3624" w:type="pct"/>
            <w:tcBorders>
              <w:top w:val="nil"/>
              <w:left w:val="single" w:sz="4" w:space="0" w:color="auto"/>
              <w:bottom w:val="single" w:sz="8" w:space="0" w:color="auto"/>
              <w:right w:val="single" w:sz="8" w:space="0" w:color="auto"/>
            </w:tcBorders>
            <w:shd w:val="clear" w:color="auto" w:fill="auto"/>
            <w:vAlign w:val="center"/>
            <w:hideMark/>
          </w:tcPr>
          <w:p w14:paraId="3249C66F" w14:textId="77777777" w:rsidR="00A66A23" w:rsidRPr="00E14D8A" w:rsidRDefault="00A66A23" w:rsidP="00064199">
            <w:pPr>
              <w:spacing w:before="0" w:line="240" w:lineRule="auto"/>
              <w:jc w:val="left"/>
              <w:rPr>
                <w:rFonts w:ascii="ITC Avant Garde" w:hAnsi="ITC Avant Garde" w:cs="Arial"/>
                <w:color w:val="000000"/>
                <w:sz w:val="16"/>
                <w:szCs w:val="22"/>
                <w:lang w:val="es-MX"/>
              </w:rPr>
            </w:pPr>
            <w:r w:rsidRPr="004C1A96">
              <w:rPr>
                <w:rFonts w:ascii="ITC Avant Garde" w:hAnsi="ITC Avant Garde"/>
                <w:sz w:val="16"/>
                <w:lang w:val="es-MX"/>
              </w:rPr>
              <w:t>Esta hoja contiene el cálculo OPEX</w:t>
            </w:r>
          </w:p>
        </w:tc>
      </w:tr>
      <w:tr w:rsidR="004B0FE3" w:rsidRPr="009F5AFF" w14:paraId="0BB22599" w14:textId="77777777" w:rsidTr="00064199">
        <w:trPr>
          <w:trHeight w:val="588"/>
        </w:trPr>
        <w:tc>
          <w:tcPr>
            <w:tcW w:w="1376" w:type="pct"/>
            <w:tcBorders>
              <w:top w:val="single" w:sz="4" w:space="0" w:color="auto"/>
              <w:left w:val="single" w:sz="4" w:space="0" w:color="auto"/>
              <w:bottom w:val="single" w:sz="4" w:space="0" w:color="auto"/>
              <w:right w:val="single" w:sz="4" w:space="0" w:color="auto"/>
            </w:tcBorders>
            <w:shd w:val="clear" w:color="auto" w:fill="auto"/>
            <w:vAlign w:val="center"/>
          </w:tcPr>
          <w:p w14:paraId="6344676B" w14:textId="5FBFBA2F" w:rsidR="004B0FE3" w:rsidRPr="004C1A96" w:rsidRDefault="004B0FE3" w:rsidP="004B0FE3">
            <w:pPr>
              <w:spacing w:before="0" w:line="240" w:lineRule="auto"/>
              <w:jc w:val="left"/>
              <w:rPr>
                <w:rFonts w:ascii="ITC Avant Garde" w:hAnsi="ITC Avant Garde" w:cs="Arial"/>
                <w:color w:val="000000"/>
                <w:sz w:val="16"/>
                <w:szCs w:val="22"/>
                <w:lang w:val="es-MX"/>
              </w:rPr>
            </w:pPr>
            <w:r w:rsidRPr="004C1A96">
              <w:rPr>
                <w:rFonts w:ascii="ITC Avant Garde" w:hAnsi="ITC Avant Garde" w:cs="Arial"/>
                <w:color w:val="000000"/>
                <w:sz w:val="16"/>
                <w:szCs w:val="22"/>
                <w:lang w:val="es-MX"/>
              </w:rPr>
              <w:t>Services</w:t>
            </w:r>
          </w:p>
        </w:tc>
        <w:tc>
          <w:tcPr>
            <w:tcW w:w="3624" w:type="pct"/>
            <w:tcBorders>
              <w:top w:val="nil"/>
              <w:left w:val="single" w:sz="4" w:space="0" w:color="auto"/>
              <w:bottom w:val="single" w:sz="4" w:space="0" w:color="auto"/>
              <w:right w:val="single" w:sz="8" w:space="0" w:color="auto"/>
            </w:tcBorders>
            <w:shd w:val="clear" w:color="auto" w:fill="auto"/>
            <w:vAlign w:val="center"/>
          </w:tcPr>
          <w:p w14:paraId="524066BC" w14:textId="5956800E" w:rsidR="004B0FE3" w:rsidRPr="00E14D8A" w:rsidRDefault="004B0FE3" w:rsidP="004B0FE3">
            <w:pPr>
              <w:spacing w:before="0"/>
              <w:rPr>
                <w:rFonts w:ascii="ITC Avant Garde" w:hAnsi="ITC Avant Garde"/>
                <w:sz w:val="16"/>
                <w:lang w:val="es-MX"/>
              </w:rPr>
            </w:pPr>
            <w:r w:rsidRPr="004C1A96">
              <w:rPr>
                <w:rFonts w:ascii="ITC Avant Garde" w:hAnsi="ITC Avant Garde"/>
                <w:sz w:val="16"/>
                <w:lang w:val="es-MX"/>
              </w:rPr>
              <w:t xml:space="preserve">Esta hoja resume los costos </w:t>
            </w:r>
            <w:r w:rsidRPr="00E14D8A">
              <w:rPr>
                <w:rFonts w:ascii="ITC Avant Garde" w:hAnsi="ITC Avant Garde"/>
                <w:sz w:val="16"/>
                <w:lang w:val="es-MX"/>
              </w:rPr>
              <w:t>anuales totales por tipo de activos y costos unitarios por servicio</w:t>
            </w:r>
          </w:p>
        </w:tc>
      </w:tr>
      <w:tr w:rsidR="004B0FE3" w:rsidRPr="009F5AFF" w14:paraId="5E3BE32D" w14:textId="77777777" w:rsidTr="00064199">
        <w:trPr>
          <w:trHeight w:val="588"/>
        </w:trPr>
        <w:tc>
          <w:tcPr>
            <w:tcW w:w="1376" w:type="pct"/>
            <w:tcBorders>
              <w:top w:val="single" w:sz="4" w:space="0" w:color="auto"/>
              <w:left w:val="single" w:sz="4" w:space="0" w:color="auto"/>
              <w:bottom w:val="single" w:sz="4" w:space="0" w:color="auto"/>
              <w:right w:val="single" w:sz="4" w:space="0" w:color="auto"/>
            </w:tcBorders>
            <w:shd w:val="clear" w:color="auto" w:fill="auto"/>
            <w:vAlign w:val="center"/>
          </w:tcPr>
          <w:p w14:paraId="258DA9AD" w14:textId="7EC1D0EA" w:rsidR="004B0FE3" w:rsidRPr="00E14D8A" w:rsidRDefault="004B0FE3" w:rsidP="004B0FE3">
            <w:pPr>
              <w:spacing w:before="0" w:line="240" w:lineRule="auto"/>
              <w:jc w:val="left"/>
              <w:rPr>
                <w:rFonts w:ascii="ITC Avant Garde" w:hAnsi="ITC Avant Garde" w:cs="Arial"/>
                <w:color w:val="000000"/>
                <w:sz w:val="16"/>
                <w:szCs w:val="22"/>
                <w:lang w:val="es-MX"/>
              </w:rPr>
            </w:pPr>
            <w:r w:rsidRPr="004C1A96">
              <w:rPr>
                <w:rFonts w:ascii="ITC Avant Garde" w:hAnsi="ITC Avant Garde" w:cs="Arial"/>
                <w:color w:val="000000"/>
                <w:sz w:val="16"/>
                <w:szCs w:val="22"/>
                <w:lang w:val="es-MX"/>
              </w:rPr>
              <w:t>Otro</w:t>
            </w:r>
            <w:r w:rsidR="004E0C4D" w:rsidRPr="004C1A96">
              <w:rPr>
                <w:rFonts w:ascii="ITC Avant Garde" w:hAnsi="ITC Avant Garde" w:cs="Arial"/>
                <w:color w:val="000000"/>
                <w:sz w:val="16"/>
                <w:szCs w:val="22"/>
                <w:lang w:val="es-MX"/>
              </w:rPr>
              <w:t>s</w:t>
            </w:r>
            <w:r w:rsidRPr="00E14D8A">
              <w:rPr>
                <w:rFonts w:ascii="ITC Avant Garde" w:hAnsi="ITC Avant Garde" w:cs="Arial"/>
                <w:color w:val="000000"/>
                <w:sz w:val="16"/>
                <w:szCs w:val="22"/>
                <w:lang w:val="es-MX"/>
              </w:rPr>
              <w:t xml:space="preserve"> servicios</w:t>
            </w:r>
          </w:p>
        </w:tc>
        <w:tc>
          <w:tcPr>
            <w:tcW w:w="3624" w:type="pct"/>
            <w:tcBorders>
              <w:top w:val="nil"/>
              <w:left w:val="single" w:sz="4" w:space="0" w:color="auto"/>
              <w:bottom w:val="single" w:sz="4" w:space="0" w:color="auto"/>
              <w:right w:val="single" w:sz="8" w:space="0" w:color="auto"/>
            </w:tcBorders>
            <w:shd w:val="clear" w:color="auto" w:fill="auto"/>
            <w:vAlign w:val="center"/>
          </w:tcPr>
          <w:p w14:paraId="46B30E64" w14:textId="7B3264B3" w:rsidR="004B0FE3" w:rsidRPr="004C1A96" w:rsidRDefault="004B0FE3" w:rsidP="004B0FE3">
            <w:pPr>
              <w:spacing w:before="0"/>
              <w:rPr>
                <w:rFonts w:ascii="ITC Avant Garde" w:hAnsi="ITC Avant Garde"/>
                <w:sz w:val="16"/>
                <w:lang w:val="es-MX"/>
              </w:rPr>
            </w:pPr>
            <w:r w:rsidRPr="00E14D8A">
              <w:rPr>
                <w:rFonts w:ascii="ITC Avant Garde" w:hAnsi="ITC Avant Garde"/>
                <w:sz w:val="16"/>
                <w:lang w:val="es-MX"/>
              </w:rPr>
              <w:t xml:space="preserve">Esta hoja </w:t>
            </w:r>
            <w:r w:rsidR="004E0C4D" w:rsidRPr="004C1A96">
              <w:rPr>
                <w:rFonts w:ascii="ITC Avant Garde" w:hAnsi="ITC Avant Garde"/>
                <w:sz w:val="16"/>
                <w:lang w:val="es-MX"/>
              </w:rPr>
              <w:t xml:space="preserve">calcula </w:t>
            </w:r>
            <w:r w:rsidRPr="004C1A96">
              <w:rPr>
                <w:rFonts w:ascii="ITC Avant Garde" w:hAnsi="ITC Avant Garde"/>
                <w:sz w:val="16"/>
                <w:lang w:val="es-MX"/>
              </w:rPr>
              <w:t>los costos de acceso a la infraestructura</w:t>
            </w:r>
            <w:r w:rsidR="004E0C4D" w:rsidRPr="004C1A96">
              <w:rPr>
                <w:rFonts w:ascii="ITC Avant Garde" w:hAnsi="ITC Avant Garde"/>
                <w:sz w:val="16"/>
                <w:lang w:val="es-MX"/>
              </w:rPr>
              <w:t xml:space="preserve"> pasiva (pozos, postes, canalizaciones, tendido, etc.)</w:t>
            </w:r>
          </w:p>
        </w:tc>
      </w:tr>
      <w:tr w:rsidR="004B0FE3" w:rsidRPr="009F5AFF" w14:paraId="04E32C29" w14:textId="77777777" w:rsidTr="000046C1">
        <w:trPr>
          <w:trHeight w:val="588"/>
        </w:trPr>
        <w:tc>
          <w:tcPr>
            <w:tcW w:w="1376" w:type="pct"/>
            <w:tcBorders>
              <w:top w:val="single" w:sz="4" w:space="0" w:color="auto"/>
              <w:left w:val="single" w:sz="4" w:space="0" w:color="auto"/>
              <w:bottom w:val="single" w:sz="4" w:space="0" w:color="auto"/>
              <w:right w:val="single" w:sz="4" w:space="0" w:color="auto"/>
            </w:tcBorders>
            <w:shd w:val="clear" w:color="auto" w:fill="auto"/>
            <w:vAlign w:val="center"/>
          </w:tcPr>
          <w:p w14:paraId="0065D4CA" w14:textId="54F4F7FF" w:rsidR="004B0FE3" w:rsidRPr="004C1A96" w:rsidRDefault="004B0FE3" w:rsidP="004B0FE3">
            <w:pPr>
              <w:spacing w:before="0" w:line="240" w:lineRule="auto"/>
              <w:jc w:val="left"/>
              <w:rPr>
                <w:rFonts w:ascii="ITC Avant Garde" w:hAnsi="ITC Avant Garde" w:cs="Arial"/>
                <w:color w:val="000000"/>
                <w:sz w:val="16"/>
                <w:szCs w:val="22"/>
                <w:lang w:val="es-MX"/>
              </w:rPr>
            </w:pPr>
            <w:r w:rsidRPr="004C1A96">
              <w:rPr>
                <w:rFonts w:ascii="ITC Avant Garde" w:hAnsi="ITC Avant Garde" w:cs="Arial"/>
                <w:color w:val="000000"/>
                <w:sz w:val="16"/>
                <w:szCs w:val="22"/>
                <w:lang w:val="es-MX"/>
              </w:rPr>
              <w:t>P.Servicios</w:t>
            </w:r>
          </w:p>
        </w:tc>
        <w:tc>
          <w:tcPr>
            <w:tcW w:w="3624" w:type="pct"/>
            <w:tcBorders>
              <w:top w:val="nil"/>
              <w:left w:val="single" w:sz="4" w:space="0" w:color="auto"/>
              <w:bottom w:val="single" w:sz="4" w:space="0" w:color="auto"/>
              <w:right w:val="single" w:sz="8" w:space="0" w:color="auto"/>
            </w:tcBorders>
            <w:shd w:val="clear" w:color="auto" w:fill="auto"/>
            <w:vAlign w:val="center"/>
          </w:tcPr>
          <w:p w14:paraId="5DA10254" w14:textId="09E0D99E" w:rsidR="004B0FE3" w:rsidRPr="004C1A96" w:rsidRDefault="004B0FE3" w:rsidP="004B0FE3">
            <w:pPr>
              <w:spacing w:before="0"/>
              <w:rPr>
                <w:rFonts w:ascii="ITC Avant Garde" w:hAnsi="ITC Avant Garde"/>
                <w:sz w:val="16"/>
                <w:lang w:val="es-MX"/>
              </w:rPr>
            </w:pPr>
            <w:r w:rsidRPr="00E14D8A">
              <w:rPr>
                <w:rFonts w:ascii="ITC Avant Garde" w:hAnsi="ITC Avant Garde"/>
                <w:sz w:val="16"/>
                <w:lang w:val="es-MX"/>
              </w:rPr>
              <w:t xml:space="preserve">Esta hoja resume </w:t>
            </w:r>
            <w:r w:rsidR="002F79BE" w:rsidRPr="00E14D8A">
              <w:rPr>
                <w:rFonts w:ascii="ITC Avant Garde" w:hAnsi="ITC Avant Garde"/>
                <w:sz w:val="16"/>
                <w:lang w:val="es-MX"/>
              </w:rPr>
              <w:t>los costos unitarios de los servicios mo</w:t>
            </w:r>
            <w:r w:rsidR="002F79BE" w:rsidRPr="004C1A96">
              <w:rPr>
                <w:rFonts w:ascii="ITC Avant Garde" w:hAnsi="ITC Avant Garde"/>
                <w:sz w:val="16"/>
                <w:lang w:val="es-MX"/>
              </w:rPr>
              <w:t>delados</w:t>
            </w:r>
          </w:p>
        </w:tc>
      </w:tr>
    </w:tbl>
    <w:p w14:paraId="742D0FAE" w14:textId="77777777" w:rsidR="00A66A23" w:rsidRPr="004C1A96" w:rsidRDefault="00A66A23" w:rsidP="00A66A23">
      <w:pPr>
        <w:rPr>
          <w:rFonts w:ascii="ITC Avant Garde" w:hAnsi="ITC Avant Garde"/>
          <w:lang w:val="es-MX"/>
        </w:rPr>
      </w:pPr>
    </w:p>
    <w:p w14:paraId="7FBF6C09" w14:textId="77777777" w:rsidR="00A66A23" w:rsidRPr="004C1A96" w:rsidRDefault="00A66A23" w:rsidP="00A66A23">
      <w:pPr>
        <w:rPr>
          <w:rFonts w:ascii="ITC Avant Garde" w:hAnsi="ITC Avant Garde"/>
          <w:lang w:val="es-MX"/>
        </w:rPr>
      </w:pPr>
      <w:r w:rsidRPr="004C1A96">
        <w:rPr>
          <w:rFonts w:ascii="ITC Avant Garde" w:hAnsi="ITC Avant Garde"/>
          <w:lang w:val="es-MX"/>
        </w:rPr>
        <w:t>Para facilitar la revisión del modelo, los siguientes colores se utilizan para marcar los diferentes pasos del modelado.</w:t>
      </w:r>
    </w:p>
    <w:p w14:paraId="6DA08FC6" w14:textId="7076265E" w:rsidR="00A66A23" w:rsidRPr="00E14D8A" w:rsidRDefault="005579D3" w:rsidP="004B0FE3">
      <w:pPr>
        <w:pStyle w:val="Descripcin"/>
        <w:keepNext/>
        <w:rPr>
          <w:rFonts w:ascii="ITC Avant Garde" w:hAnsi="ITC Avant Garde"/>
          <w:lang w:val="es-MX"/>
        </w:rPr>
      </w:pPr>
      <w:r w:rsidRPr="004C1A96">
        <w:rPr>
          <w:rFonts w:ascii="ITC Avant Garde" w:hAnsi="ITC Avant Garde"/>
          <w:lang w:val="es-MX"/>
        </w:rPr>
        <w:t xml:space="preserve">Cuadro </w:t>
      </w:r>
      <w:r w:rsidRPr="004C1A96">
        <w:rPr>
          <w:rFonts w:ascii="ITC Avant Garde" w:hAnsi="ITC Avant Garde"/>
          <w:lang w:val="es-MX"/>
        </w:rPr>
        <w:fldChar w:fldCharType="begin"/>
      </w:r>
      <w:r w:rsidRPr="004C1A96">
        <w:rPr>
          <w:rFonts w:ascii="ITC Avant Garde" w:hAnsi="ITC Avant Garde"/>
          <w:lang w:val="es-MX"/>
        </w:rPr>
        <w:instrText xml:space="preserve"> SEQ Cuadro \* ARABIC </w:instrText>
      </w:r>
      <w:r w:rsidRPr="004C1A96">
        <w:rPr>
          <w:rFonts w:ascii="ITC Avant Garde" w:hAnsi="ITC Avant Garde"/>
          <w:lang w:val="es-MX"/>
        </w:rPr>
        <w:fldChar w:fldCharType="separate"/>
      </w:r>
      <w:r w:rsidR="00006265">
        <w:rPr>
          <w:rFonts w:ascii="ITC Avant Garde" w:hAnsi="ITC Avant Garde"/>
          <w:noProof/>
          <w:lang w:val="es-MX"/>
        </w:rPr>
        <w:t>10</w:t>
      </w:r>
      <w:r w:rsidRPr="004C1A96">
        <w:rPr>
          <w:rFonts w:ascii="ITC Avant Garde" w:hAnsi="ITC Avant Garde"/>
          <w:lang w:val="es-MX"/>
        </w:rPr>
        <w:fldChar w:fldCharType="end"/>
      </w:r>
      <w:r w:rsidR="00A66A23" w:rsidRPr="004C1A96">
        <w:rPr>
          <w:rFonts w:ascii="ITC Avant Garde" w:hAnsi="ITC Avant Garde"/>
        </w:rPr>
        <w:t xml:space="preserve"> - Có</w:t>
      </w:r>
      <w:r w:rsidR="00A66A23" w:rsidRPr="00E14D8A">
        <w:rPr>
          <w:rFonts w:ascii="ITC Avant Garde" w:hAnsi="ITC Avant Garde"/>
        </w:rPr>
        <w:t xml:space="preserve">digo de </w:t>
      </w:r>
      <w:r w:rsidR="00A66A23" w:rsidRPr="00E14D8A">
        <w:rPr>
          <w:rFonts w:ascii="ITC Avant Garde" w:hAnsi="ITC Avant Garde"/>
          <w:lang w:val="es-MX"/>
        </w:rPr>
        <w:t>color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6"/>
        <w:gridCol w:w="4248"/>
      </w:tblGrid>
      <w:tr w:rsidR="00A66A23" w:rsidRPr="004C1A96" w14:paraId="41732951" w14:textId="77777777" w:rsidTr="00064199">
        <w:trPr>
          <w:jc w:val="center"/>
        </w:trPr>
        <w:tc>
          <w:tcPr>
            <w:tcW w:w="4246" w:type="dxa"/>
            <w:shd w:val="clear" w:color="auto" w:fill="2F5897" w:themeFill="text2"/>
          </w:tcPr>
          <w:p w14:paraId="43B89E88" w14:textId="77777777" w:rsidR="00A66A23" w:rsidRPr="00E14D8A" w:rsidRDefault="00A66A23" w:rsidP="00064199">
            <w:pPr>
              <w:keepNext/>
              <w:jc w:val="center"/>
              <w:rPr>
                <w:rFonts w:ascii="ITC Avant Garde" w:hAnsi="ITC Avant Garde"/>
                <w:b/>
                <w:color w:val="FFFFFF"/>
                <w:sz w:val="16"/>
                <w:szCs w:val="16"/>
                <w:lang w:val="es-MX"/>
              </w:rPr>
            </w:pPr>
            <w:r w:rsidRPr="00E14D8A">
              <w:rPr>
                <w:rFonts w:ascii="ITC Avant Garde" w:hAnsi="ITC Avant Garde"/>
                <w:b/>
                <w:color w:val="FFFFFF"/>
                <w:sz w:val="16"/>
                <w:szCs w:val="16"/>
                <w:lang w:val="es-MX"/>
              </w:rPr>
              <w:t>Color</w:t>
            </w:r>
          </w:p>
        </w:tc>
        <w:tc>
          <w:tcPr>
            <w:tcW w:w="4247" w:type="dxa"/>
            <w:shd w:val="clear" w:color="auto" w:fill="2F5897" w:themeFill="text2"/>
          </w:tcPr>
          <w:p w14:paraId="1CA6AE23" w14:textId="77777777" w:rsidR="00A66A23" w:rsidRPr="004C1A96" w:rsidRDefault="00A66A23" w:rsidP="00064199">
            <w:pPr>
              <w:keepNext/>
              <w:jc w:val="center"/>
              <w:rPr>
                <w:rFonts w:ascii="ITC Avant Garde" w:hAnsi="ITC Avant Garde"/>
                <w:b/>
                <w:color w:val="FFFFFF"/>
                <w:sz w:val="16"/>
                <w:szCs w:val="16"/>
                <w:lang w:val="es-MX"/>
              </w:rPr>
            </w:pPr>
            <w:r w:rsidRPr="004C1A96">
              <w:rPr>
                <w:rFonts w:ascii="ITC Avant Garde" w:hAnsi="ITC Avant Garde"/>
                <w:b/>
                <w:color w:val="FFFFFF"/>
                <w:sz w:val="16"/>
                <w:szCs w:val="16"/>
                <w:lang w:val="es-MX"/>
              </w:rPr>
              <w:t>Código</w:t>
            </w:r>
          </w:p>
        </w:tc>
      </w:tr>
      <w:tr w:rsidR="00A66A23" w:rsidRPr="004C1A96" w14:paraId="32AEFF9A" w14:textId="77777777" w:rsidTr="00064199">
        <w:trPr>
          <w:jc w:val="center"/>
        </w:trPr>
        <w:tc>
          <w:tcPr>
            <w:tcW w:w="4246" w:type="dxa"/>
            <w:shd w:val="clear" w:color="auto" w:fill="auto"/>
          </w:tcPr>
          <w:p w14:paraId="7A04CF88" w14:textId="77777777" w:rsidR="00A66A23" w:rsidRPr="004C1A96" w:rsidRDefault="00A66A23" w:rsidP="00064199">
            <w:pPr>
              <w:keepNext/>
              <w:rPr>
                <w:rFonts w:ascii="ITC Avant Garde" w:hAnsi="ITC Avant Garde"/>
                <w:sz w:val="16"/>
                <w:szCs w:val="16"/>
                <w:lang w:val="es-MX"/>
              </w:rPr>
            </w:pPr>
            <w:r w:rsidRPr="004C1A96">
              <w:rPr>
                <w:rFonts w:ascii="ITC Avant Garde" w:hAnsi="ITC Avant Garde"/>
                <w:sz w:val="16"/>
                <w:szCs w:val="16"/>
              </w:rPr>
              <w:t>Verde</w:t>
            </w:r>
          </w:p>
        </w:tc>
        <w:tc>
          <w:tcPr>
            <w:tcW w:w="4247" w:type="dxa"/>
            <w:shd w:val="clear" w:color="auto" w:fill="auto"/>
          </w:tcPr>
          <w:p w14:paraId="259A7CB5" w14:textId="77777777" w:rsidR="00A66A23" w:rsidRPr="00E14D8A" w:rsidRDefault="00A66A23" w:rsidP="00064199">
            <w:pPr>
              <w:keepNext/>
              <w:rPr>
                <w:rFonts w:ascii="ITC Avant Garde" w:hAnsi="ITC Avant Garde"/>
                <w:sz w:val="16"/>
                <w:szCs w:val="16"/>
                <w:lang w:val="es-MX"/>
              </w:rPr>
            </w:pPr>
            <w:r w:rsidRPr="00E14D8A">
              <w:rPr>
                <w:rFonts w:ascii="ITC Avant Garde" w:hAnsi="ITC Avant Garde"/>
                <w:sz w:val="16"/>
                <w:szCs w:val="16"/>
                <w:lang w:val="es-MX"/>
              </w:rPr>
              <w:t>Hojas de entrada</w:t>
            </w:r>
          </w:p>
        </w:tc>
      </w:tr>
      <w:tr w:rsidR="00A66A23" w:rsidRPr="004C1A96" w14:paraId="4466076C" w14:textId="77777777" w:rsidTr="00064199">
        <w:trPr>
          <w:trHeight w:val="288"/>
          <w:jc w:val="center"/>
        </w:trPr>
        <w:tc>
          <w:tcPr>
            <w:tcW w:w="4246" w:type="dxa"/>
            <w:shd w:val="clear" w:color="auto" w:fill="auto"/>
          </w:tcPr>
          <w:p w14:paraId="7E90743C" w14:textId="77777777" w:rsidR="00A66A23" w:rsidRPr="004C1A96" w:rsidRDefault="00A66A23" w:rsidP="00064199">
            <w:pPr>
              <w:keepNext/>
              <w:rPr>
                <w:rFonts w:ascii="ITC Avant Garde" w:hAnsi="ITC Avant Garde"/>
                <w:sz w:val="16"/>
                <w:szCs w:val="16"/>
                <w:lang w:val="es-MX"/>
              </w:rPr>
            </w:pPr>
            <w:r w:rsidRPr="004C1A96">
              <w:rPr>
                <w:rFonts w:ascii="ITC Avant Garde" w:hAnsi="ITC Avant Garde"/>
                <w:sz w:val="16"/>
                <w:szCs w:val="16"/>
              </w:rPr>
              <w:t>Azul</w:t>
            </w:r>
          </w:p>
        </w:tc>
        <w:tc>
          <w:tcPr>
            <w:tcW w:w="4247" w:type="dxa"/>
            <w:shd w:val="clear" w:color="auto" w:fill="auto"/>
          </w:tcPr>
          <w:p w14:paraId="06C811F8" w14:textId="77777777" w:rsidR="00A66A23" w:rsidRPr="00E14D8A" w:rsidRDefault="00A66A23" w:rsidP="00064199">
            <w:pPr>
              <w:keepNext/>
              <w:rPr>
                <w:rFonts w:ascii="ITC Avant Garde" w:hAnsi="ITC Avant Garde"/>
                <w:sz w:val="16"/>
                <w:szCs w:val="16"/>
                <w:lang w:val="es-MX"/>
              </w:rPr>
            </w:pPr>
            <w:r w:rsidRPr="00E14D8A">
              <w:rPr>
                <w:rFonts w:ascii="ITC Avant Garde" w:hAnsi="ITC Avant Garde"/>
                <w:sz w:val="16"/>
                <w:szCs w:val="16"/>
                <w:lang w:val="es-MX"/>
              </w:rPr>
              <w:t>Dimensionamiento</w:t>
            </w:r>
          </w:p>
        </w:tc>
      </w:tr>
      <w:tr w:rsidR="00A66A23" w:rsidRPr="004C1A96" w14:paraId="683E57EF" w14:textId="77777777" w:rsidTr="00064199">
        <w:trPr>
          <w:jc w:val="center"/>
        </w:trPr>
        <w:tc>
          <w:tcPr>
            <w:tcW w:w="4246" w:type="dxa"/>
            <w:shd w:val="clear" w:color="auto" w:fill="auto"/>
          </w:tcPr>
          <w:p w14:paraId="19379A25" w14:textId="077F3CFF" w:rsidR="00A66A23" w:rsidRPr="00E14D8A" w:rsidRDefault="00A66A23" w:rsidP="00064199">
            <w:pPr>
              <w:keepNext/>
              <w:rPr>
                <w:rFonts w:ascii="ITC Avant Garde" w:hAnsi="ITC Avant Garde"/>
                <w:sz w:val="16"/>
                <w:szCs w:val="16"/>
                <w:lang w:val="es-MX"/>
              </w:rPr>
            </w:pPr>
            <w:r w:rsidRPr="004C1A96">
              <w:rPr>
                <w:rFonts w:ascii="ITC Avant Garde" w:hAnsi="ITC Avant Garde"/>
                <w:sz w:val="16"/>
                <w:szCs w:val="16"/>
              </w:rPr>
              <w:t>R</w:t>
            </w:r>
            <w:r w:rsidRPr="00E14D8A">
              <w:rPr>
                <w:rFonts w:ascii="ITC Avant Garde" w:hAnsi="ITC Avant Garde"/>
                <w:sz w:val="16"/>
                <w:szCs w:val="16"/>
              </w:rPr>
              <w:t>ojo</w:t>
            </w:r>
          </w:p>
        </w:tc>
        <w:tc>
          <w:tcPr>
            <w:tcW w:w="4247" w:type="dxa"/>
            <w:shd w:val="clear" w:color="auto" w:fill="auto"/>
          </w:tcPr>
          <w:p w14:paraId="0521441A" w14:textId="77777777" w:rsidR="00A66A23" w:rsidRPr="004C1A96" w:rsidRDefault="00A66A23" w:rsidP="00064199">
            <w:pPr>
              <w:keepNext/>
              <w:rPr>
                <w:rFonts w:ascii="ITC Avant Garde" w:hAnsi="ITC Avant Garde"/>
                <w:sz w:val="16"/>
                <w:szCs w:val="16"/>
                <w:lang w:val="es-MX"/>
              </w:rPr>
            </w:pPr>
            <w:r w:rsidRPr="00E14D8A">
              <w:rPr>
                <w:rFonts w:ascii="ITC Avant Garde" w:hAnsi="ITC Avant Garde"/>
                <w:sz w:val="16"/>
                <w:szCs w:val="16"/>
                <w:lang w:val="es-MX"/>
              </w:rPr>
              <w:t>Resul</w:t>
            </w:r>
            <w:r w:rsidRPr="004C1A96">
              <w:rPr>
                <w:rFonts w:ascii="ITC Avant Garde" w:hAnsi="ITC Avant Garde"/>
                <w:sz w:val="16"/>
                <w:szCs w:val="16"/>
                <w:lang w:val="es-MX"/>
              </w:rPr>
              <w:t>tados</w:t>
            </w:r>
          </w:p>
        </w:tc>
      </w:tr>
      <w:tr w:rsidR="00A66A23" w:rsidRPr="004C1A96" w14:paraId="66D32A04" w14:textId="77777777" w:rsidTr="00064199">
        <w:trPr>
          <w:jc w:val="center"/>
        </w:trPr>
        <w:tc>
          <w:tcPr>
            <w:tcW w:w="4246" w:type="dxa"/>
            <w:shd w:val="clear" w:color="auto" w:fill="auto"/>
          </w:tcPr>
          <w:p w14:paraId="3AC05865" w14:textId="77777777" w:rsidR="00A66A23" w:rsidRPr="004C1A96" w:rsidRDefault="00A66A23" w:rsidP="00064199">
            <w:pPr>
              <w:keepNext/>
              <w:rPr>
                <w:rFonts w:ascii="ITC Avant Garde" w:hAnsi="ITC Avant Garde"/>
                <w:sz w:val="16"/>
                <w:szCs w:val="16"/>
                <w:lang w:val="es-MX"/>
              </w:rPr>
            </w:pPr>
            <w:r w:rsidRPr="004C1A96">
              <w:rPr>
                <w:rFonts w:ascii="ITC Avant Garde" w:hAnsi="ITC Avant Garde"/>
                <w:sz w:val="16"/>
                <w:szCs w:val="16"/>
              </w:rPr>
              <w:t>Gris</w:t>
            </w:r>
          </w:p>
        </w:tc>
        <w:tc>
          <w:tcPr>
            <w:tcW w:w="4247" w:type="dxa"/>
            <w:shd w:val="clear" w:color="auto" w:fill="auto"/>
          </w:tcPr>
          <w:p w14:paraId="000BFC1A" w14:textId="77777777" w:rsidR="00A66A23" w:rsidRPr="00E14D8A" w:rsidRDefault="00A66A23" w:rsidP="00064199">
            <w:pPr>
              <w:keepNext/>
              <w:rPr>
                <w:rFonts w:ascii="ITC Avant Garde" w:hAnsi="ITC Avant Garde"/>
                <w:sz w:val="16"/>
                <w:szCs w:val="16"/>
                <w:lang w:val="es-MX"/>
              </w:rPr>
            </w:pPr>
            <w:r w:rsidRPr="00E14D8A">
              <w:rPr>
                <w:rFonts w:ascii="ITC Avant Garde" w:hAnsi="ITC Avant Garde"/>
                <w:sz w:val="16"/>
                <w:szCs w:val="16"/>
                <w:lang w:val="es-MX"/>
              </w:rPr>
              <w:t>Leyendas</w:t>
            </w:r>
          </w:p>
        </w:tc>
      </w:tr>
    </w:tbl>
    <w:p w14:paraId="66A6F45F" w14:textId="77777777" w:rsidR="00A66A23" w:rsidRPr="00E14D8A" w:rsidRDefault="00A66A23" w:rsidP="00A66A23">
      <w:pPr>
        <w:rPr>
          <w:rFonts w:ascii="ITC Avant Garde" w:hAnsi="ITC Avant Garde"/>
          <w:lang w:val="es-MX"/>
        </w:rPr>
      </w:pPr>
    </w:p>
    <w:p w14:paraId="2DF9CA76" w14:textId="77777777" w:rsidR="00A66A23" w:rsidRPr="00E14D8A" w:rsidRDefault="00A66A23" w:rsidP="00A66A23">
      <w:pPr>
        <w:rPr>
          <w:rFonts w:ascii="ITC Avant Garde" w:hAnsi="ITC Avant Garde"/>
          <w:lang w:val="es-MX"/>
        </w:rPr>
      </w:pPr>
    </w:p>
    <w:p w14:paraId="62D8E48F" w14:textId="77777777" w:rsidR="00A66A23" w:rsidRPr="004C1A96" w:rsidRDefault="00A66A23" w:rsidP="00A66A23">
      <w:pPr>
        <w:spacing w:before="0" w:line="240" w:lineRule="auto"/>
        <w:jc w:val="left"/>
        <w:rPr>
          <w:rFonts w:ascii="ITC Avant Garde" w:hAnsi="ITC Avant Garde"/>
          <w:b/>
          <w:color w:val="CC3300"/>
          <w:sz w:val="24"/>
          <w:lang w:val="es-MX"/>
        </w:rPr>
      </w:pPr>
      <w:r w:rsidRPr="00E14D8A">
        <w:rPr>
          <w:rFonts w:ascii="ITC Avant Garde" w:hAnsi="ITC Avant Garde"/>
          <w:lang w:val="es-MX"/>
        </w:rPr>
        <w:br w:type="page"/>
      </w:r>
    </w:p>
    <w:p w14:paraId="35C53E08" w14:textId="77777777" w:rsidR="00A66A23" w:rsidRPr="003B2E52" w:rsidRDefault="00A66A23" w:rsidP="00F17242">
      <w:pPr>
        <w:pStyle w:val="Ttulo2"/>
        <w:rPr>
          <w:lang w:val="es-MX"/>
        </w:rPr>
      </w:pPr>
      <w:bookmarkStart w:id="194" w:name="_Toc525672857"/>
      <w:bookmarkStart w:id="195" w:name="_Toc525665297"/>
      <w:bookmarkStart w:id="196" w:name="_Toc525665676"/>
      <w:bookmarkStart w:id="197" w:name="_Toc141975034"/>
      <w:r w:rsidRPr="003B2E52">
        <w:rPr>
          <w:lang w:val="es-MX"/>
        </w:rPr>
        <w:lastRenderedPageBreak/>
        <w:t>Análisis geomarketing</w:t>
      </w:r>
      <w:bookmarkEnd w:id="194"/>
      <w:bookmarkEnd w:id="195"/>
      <w:bookmarkEnd w:id="196"/>
      <w:bookmarkEnd w:id="197"/>
    </w:p>
    <w:p w14:paraId="6AE98AF3" w14:textId="77777777" w:rsidR="00A66A23" w:rsidRPr="004C1A96" w:rsidRDefault="00A66A23" w:rsidP="00A66A23">
      <w:pPr>
        <w:rPr>
          <w:rFonts w:ascii="ITC Avant Garde" w:hAnsi="ITC Avant Garde"/>
          <w:lang w:val="es-MX"/>
        </w:rPr>
      </w:pPr>
      <w:r w:rsidRPr="004C1A96">
        <w:rPr>
          <w:rFonts w:ascii="ITC Avant Garde" w:hAnsi="ITC Avant Garde"/>
          <w:lang w:val="es-MX"/>
        </w:rPr>
        <w:t>Los datos de geo-marketing son un insumo clave del modelo. Se requieren varios pasos preliminares para estimar la demanda de acceso a partir de estos datos:</w:t>
      </w:r>
    </w:p>
    <w:p w14:paraId="1C848883" w14:textId="77777777" w:rsidR="00A66A23" w:rsidRPr="00E14D8A" w:rsidRDefault="00A66A23" w:rsidP="00A66A23">
      <w:pPr>
        <w:pStyle w:val="Listaconvietas2"/>
        <w:rPr>
          <w:rFonts w:ascii="ITC Avant Garde" w:hAnsi="ITC Avant Garde"/>
          <w:lang w:val="es-MX"/>
        </w:rPr>
      </w:pPr>
      <w:r w:rsidRPr="004C1A96">
        <w:rPr>
          <w:rFonts w:ascii="ITC Avant Garde" w:hAnsi="ITC Avant Garde"/>
          <w:lang w:val="es-MX"/>
        </w:rPr>
        <w:t>Recoger los archivos de referencia;</w:t>
      </w:r>
    </w:p>
    <w:p w14:paraId="2375C35D" w14:textId="77777777" w:rsidR="00A66A23" w:rsidRPr="00E14D8A" w:rsidRDefault="00A66A23" w:rsidP="00A66A23">
      <w:pPr>
        <w:pStyle w:val="Listaconvietas2"/>
        <w:rPr>
          <w:rFonts w:ascii="ITC Avant Garde" w:hAnsi="ITC Avant Garde"/>
          <w:lang w:val="es-MX"/>
        </w:rPr>
      </w:pPr>
      <w:r w:rsidRPr="00E14D8A">
        <w:rPr>
          <w:rFonts w:ascii="ITC Avant Garde" w:hAnsi="ITC Avant Garde"/>
          <w:lang w:val="es-MX"/>
        </w:rPr>
        <w:t>Trabajar en la base de datos de la red de carreteras;</w:t>
      </w:r>
    </w:p>
    <w:p w14:paraId="77D47BFB" w14:textId="77777777" w:rsidR="00A66A23" w:rsidRPr="004C1A96" w:rsidRDefault="00A66A23" w:rsidP="00A66A23">
      <w:pPr>
        <w:pStyle w:val="Listaconvietas2"/>
        <w:rPr>
          <w:rFonts w:ascii="ITC Avant Garde" w:hAnsi="ITC Avant Garde"/>
          <w:lang w:val="es-MX"/>
        </w:rPr>
      </w:pPr>
      <w:r w:rsidRPr="004C1A96">
        <w:rPr>
          <w:rFonts w:ascii="ITC Avant Garde" w:hAnsi="ITC Avant Garde"/>
          <w:lang w:val="es-MX"/>
        </w:rPr>
        <w:t>Trabajar en la base de datos de direcciones.</w:t>
      </w:r>
    </w:p>
    <w:p w14:paraId="2DA54B0A" w14:textId="77777777" w:rsidR="00A66A23" w:rsidRPr="004C1A96" w:rsidRDefault="00A66A23" w:rsidP="00A66A23">
      <w:pPr>
        <w:rPr>
          <w:rFonts w:ascii="ITC Avant Garde" w:hAnsi="ITC Avant Garde"/>
          <w:lang w:val="es-MX"/>
        </w:rPr>
      </w:pPr>
    </w:p>
    <w:p w14:paraId="393C860A" w14:textId="77777777" w:rsidR="00A66A23" w:rsidRPr="003B2E52" w:rsidRDefault="00A66A23" w:rsidP="0040723E">
      <w:pPr>
        <w:pStyle w:val="Ttulo3"/>
        <w:rPr>
          <w:lang w:val="es-MX"/>
        </w:rPr>
      </w:pPr>
      <w:bookmarkStart w:id="198" w:name="_Toc525672858"/>
      <w:bookmarkStart w:id="199" w:name="_Toc525665298"/>
      <w:bookmarkStart w:id="200" w:name="_Toc525665677"/>
      <w:bookmarkStart w:id="201" w:name="_Ref141970485"/>
      <w:bookmarkStart w:id="202" w:name="_Toc141975035"/>
      <w:r w:rsidRPr="003B2E52">
        <w:rPr>
          <w:lang w:val="es-MX"/>
        </w:rPr>
        <w:t>Archivos de referencia</w:t>
      </w:r>
      <w:bookmarkEnd w:id="198"/>
      <w:bookmarkEnd w:id="199"/>
      <w:bookmarkEnd w:id="200"/>
      <w:bookmarkEnd w:id="201"/>
      <w:bookmarkEnd w:id="202"/>
    </w:p>
    <w:p w14:paraId="2A96D7C7" w14:textId="77777777" w:rsidR="00A66A23" w:rsidRPr="00E14D8A" w:rsidRDefault="00A66A23" w:rsidP="00A66A23">
      <w:pPr>
        <w:rPr>
          <w:rFonts w:ascii="ITC Avant Garde" w:hAnsi="ITC Avant Garde"/>
          <w:lang w:val="es-MX"/>
        </w:rPr>
      </w:pPr>
      <w:r w:rsidRPr="00E14D8A">
        <w:rPr>
          <w:rFonts w:ascii="ITC Avant Garde" w:hAnsi="ITC Avant Garde"/>
          <w:lang w:val="es-MX"/>
        </w:rPr>
        <w:t>La siguiente tabla enumera los archivos que han sido considerados como archivos de referencia para definir la demanda de la red de acceso (ver Figura inferior).</w:t>
      </w:r>
    </w:p>
    <w:p w14:paraId="77E0AC14" w14:textId="77777777" w:rsidR="00A66A23" w:rsidRPr="00E14D8A" w:rsidRDefault="00A66A23" w:rsidP="00A66A23">
      <w:pPr>
        <w:rPr>
          <w:rFonts w:ascii="ITC Avant Garde" w:hAnsi="ITC Avant Garde"/>
          <w:lang w:val="es-MX"/>
        </w:rPr>
      </w:pPr>
    </w:p>
    <w:p w14:paraId="013683B7" w14:textId="0FE54977" w:rsidR="00A66A23" w:rsidRPr="004C1A96" w:rsidRDefault="005579D3" w:rsidP="00A66A23">
      <w:pPr>
        <w:pStyle w:val="Descripcin"/>
        <w:keepNext/>
        <w:rPr>
          <w:rFonts w:ascii="ITC Avant Garde" w:hAnsi="ITC Avant Garde"/>
          <w:lang w:val="es-MX"/>
        </w:rPr>
      </w:pPr>
      <w:r w:rsidRPr="004C1A96">
        <w:rPr>
          <w:rFonts w:ascii="ITC Avant Garde" w:hAnsi="ITC Avant Garde"/>
          <w:lang w:val="es-MX"/>
        </w:rPr>
        <w:t xml:space="preserve">Cuadro </w:t>
      </w:r>
      <w:r w:rsidRPr="004C1A96">
        <w:rPr>
          <w:rFonts w:ascii="ITC Avant Garde" w:hAnsi="ITC Avant Garde"/>
          <w:lang w:val="es-MX"/>
        </w:rPr>
        <w:fldChar w:fldCharType="begin"/>
      </w:r>
      <w:r w:rsidRPr="004C1A96">
        <w:rPr>
          <w:rFonts w:ascii="ITC Avant Garde" w:hAnsi="ITC Avant Garde"/>
          <w:lang w:val="es-MX"/>
        </w:rPr>
        <w:instrText xml:space="preserve"> SEQ Cuadro \* ARABIC </w:instrText>
      </w:r>
      <w:r w:rsidRPr="004C1A96">
        <w:rPr>
          <w:rFonts w:ascii="ITC Avant Garde" w:hAnsi="ITC Avant Garde"/>
          <w:lang w:val="es-MX"/>
        </w:rPr>
        <w:fldChar w:fldCharType="separate"/>
      </w:r>
      <w:r w:rsidR="00006265">
        <w:rPr>
          <w:rFonts w:ascii="ITC Avant Garde" w:hAnsi="ITC Avant Garde"/>
          <w:noProof/>
          <w:lang w:val="es-MX"/>
        </w:rPr>
        <w:t>11</w:t>
      </w:r>
      <w:r w:rsidRPr="004C1A96">
        <w:rPr>
          <w:rFonts w:ascii="ITC Avant Garde" w:hAnsi="ITC Avant Garde"/>
          <w:lang w:val="es-MX"/>
        </w:rPr>
        <w:fldChar w:fldCharType="end"/>
      </w:r>
      <w:r w:rsidRPr="004C1A96">
        <w:rPr>
          <w:rFonts w:ascii="ITC Avant Garde" w:hAnsi="ITC Avant Garde"/>
          <w:lang w:val="es-MX"/>
        </w:rPr>
        <w:t xml:space="preserve"> </w:t>
      </w:r>
      <w:r w:rsidR="00A66A23" w:rsidRPr="004C1A96">
        <w:rPr>
          <w:rFonts w:ascii="ITC Avant Garde" w:hAnsi="ITC Avant Garde"/>
          <w:lang w:val="es-MX"/>
        </w:rPr>
        <w:t>– Tablas de entrada para el análisis de geomarketing</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79"/>
        <w:gridCol w:w="4366"/>
        <w:gridCol w:w="2976"/>
      </w:tblGrid>
      <w:tr w:rsidR="00A66A23" w:rsidRPr="004C1A96" w14:paraId="24D3E854" w14:textId="77777777" w:rsidTr="00064199">
        <w:tc>
          <w:tcPr>
            <w:tcW w:w="959" w:type="dxa"/>
            <w:shd w:val="clear" w:color="auto" w:fill="2F5897" w:themeFill="text2"/>
            <w:vAlign w:val="center"/>
          </w:tcPr>
          <w:p w14:paraId="2367AE1E" w14:textId="77777777" w:rsidR="00A66A23" w:rsidRPr="00E14D8A" w:rsidRDefault="00A66A23" w:rsidP="00064199">
            <w:pPr>
              <w:keepNext/>
              <w:keepLines/>
              <w:jc w:val="left"/>
              <w:rPr>
                <w:rFonts w:ascii="ITC Avant Garde" w:hAnsi="ITC Avant Garde"/>
                <w:b/>
                <w:color w:val="FFFFFF"/>
                <w:sz w:val="16"/>
                <w:szCs w:val="16"/>
                <w:lang w:val="es-MX"/>
              </w:rPr>
            </w:pPr>
            <w:r w:rsidRPr="00E14D8A">
              <w:rPr>
                <w:rFonts w:ascii="ITC Avant Garde" w:hAnsi="ITC Avant Garde"/>
                <w:b/>
                <w:color w:val="FFFFFF"/>
                <w:sz w:val="16"/>
                <w:szCs w:val="16"/>
                <w:lang w:val="es-MX"/>
              </w:rPr>
              <w:t>Red</w:t>
            </w:r>
          </w:p>
        </w:tc>
        <w:tc>
          <w:tcPr>
            <w:tcW w:w="879" w:type="dxa"/>
            <w:shd w:val="clear" w:color="auto" w:fill="2F5897" w:themeFill="text2"/>
            <w:vAlign w:val="center"/>
          </w:tcPr>
          <w:p w14:paraId="5B8F75F0" w14:textId="77777777" w:rsidR="00A66A23" w:rsidRPr="00E14D8A" w:rsidRDefault="00A66A23" w:rsidP="00064199">
            <w:pPr>
              <w:keepNext/>
              <w:keepLines/>
              <w:jc w:val="left"/>
              <w:rPr>
                <w:rFonts w:ascii="ITC Avant Garde" w:hAnsi="ITC Avant Garde"/>
                <w:b/>
                <w:color w:val="FFFFFF"/>
                <w:sz w:val="16"/>
                <w:szCs w:val="16"/>
                <w:lang w:val="es-MX"/>
              </w:rPr>
            </w:pPr>
            <w:r w:rsidRPr="00E14D8A">
              <w:rPr>
                <w:rFonts w:ascii="ITC Avant Garde" w:hAnsi="ITC Avant Garde"/>
                <w:b/>
                <w:color w:val="FFFFFF"/>
                <w:sz w:val="16"/>
                <w:szCs w:val="16"/>
                <w:lang w:val="es-MX"/>
              </w:rPr>
              <w:t>Tipo de archivo</w:t>
            </w:r>
          </w:p>
        </w:tc>
        <w:tc>
          <w:tcPr>
            <w:tcW w:w="4366" w:type="dxa"/>
            <w:shd w:val="clear" w:color="auto" w:fill="2F5897" w:themeFill="text2"/>
            <w:vAlign w:val="center"/>
          </w:tcPr>
          <w:p w14:paraId="29AC50A4" w14:textId="77777777" w:rsidR="00A66A23" w:rsidRPr="00E14D8A" w:rsidRDefault="00A66A23" w:rsidP="00064199">
            <w:pPr>
              <w:keepNext/>
              <w:keepLines/>
              <w:jc w:val="left"/>
              <w:rPr>
                <w:rFonts w:ascii="ITC Avant Garde" w:hAnsi="ITC Avant Garde"/>
                <w:b/>
                <w:color w:val="FFFFFF"/>
                <w:sz w:val="16"/>
                <w:szCs w:val="16"/>
                <w:lang w:val="es-MX"/>
              </w:rPr>
            </w:pPr>
            <w:r w:rsidRPr="00E14D8A">
              <w:rPr>
                <w:rFonts w:ascii="ITC Avant Garde" w:hAnsi="ITC Avant Garde"/>
                <w:b/>
                <w:color w:val="FFFFFF"/>
                <w:sz w:val="16"/>
                <w:szCs w:val="16"/>
                <w:lang w:val="es-MX"/>
              </w:rPr>
              <w:t>Descripción</w:t>
            </w:r>
          </w:p>
        </w:tc>
        <w:tc>
          <w:tcPr>
            <w:tcW w:w="2976" w:type="dxa"/>
            <w:shd w:val="clear" w:color="auto" w:fill="2F5897" w:themeFill="text2"/>
            <w:vAlign w:val="center"/>
          </w:tcPr>
          <w:p w14:paraId="529E7AA5" w14:textId="77777777" w:rsidR="00A66A23" w:rsidRPr="004C1A96" w:rsidRDefault="00A66A23" w:rsidP="00064199">
            <w:pPr>
              <w:keepNext/>
              <w:keepLines/>
              <w:jc w:val="left"/>
              <w:rPr>
                <w:rFonts w:ascii="ITC Avant Garde" w:hAnsi="ITC Avant Garde"/>
                <w:b/>
                <w:color w:val="FFFFFF"/>
                <w:sz w:val="16"/>
                <w:szCs w:val="16"/>
                <w:lang w:val="es-MX"/>
              </w:rPr>
            </w:pPr>
            <w:r w:rsidRPr="004C1A96">
              <w:rPr>
                <w:rFonts w:ascii="ITC Avant Garde" w:hAnsi="ITC Avant Garde"/>
                <w:b/>
                <w:color w:val="FFFFFF"/>
                <w:sz w:val="16"/>
                <w:szCs w:val="16"/>
                <w:lang w:val="es-MX"/>
              </w:rPr>
              <w:t>Fuente</w:t>
            </w:r>
          </w:p>
        </w:tc>
      </w:tr>
      <w:tr w:rsidR="00A66A23" w:rsidRPr="009F5AFF" w14:paraId="0C2CCE3C" w14:textId="77777777" w:rsidTr="00064199">
        <w:tc>
          <w:tcPr>
            <w:tcW w:w="959" w:type="dxa"/>
            <w:shd w:val="clear" w:color="auto" w:fill="auto"/>
            <w:vAlign w:val="center"/>
          </w:tcPr>
          <w:p w14:paraId="7084B6EE" w14:textId="77777777" w:rsidR="00A66A23" w:rsidRPr="004C1A96" w:rsidRDefault="00A66A23" w:rsidP="00064199">
            <w:pPr>
              <w:keepNext/>
              <w:keepLines/>
              <w:jc w:val="left"/>
              <w:rPr>
                <w:rFonts w:ascii="ITC Avant Garde" w:hAnsi="ITC Avant Garde"/>
                <w:sz w:val="16"/>
                <w:szCs w:val="16"/>
                <w:lang w:val="es-MX"/>
              </w:rPr>
            </w:pPr>
            <w:r w:rsidRPr="004C1A96">
              <w:rPr>
                <w:rFonts w:ascii="ITC Avant Garde" w:hAnsi="ITC Avant Garde"/>
                <w:sz w:val="16"/>
                <w:szCs w:val="16"/>
                <w:lang w:val="es-MX"/>
              </w:rPr>
              <w:t>Todas</w:t>
            </w:r>
          </w:p>
        </w:tc>
        <w:tc>
          <w:tcPr>
            <w:tcW w:w="879" w:type="dxa"/>
            <w:shd w:val="clear" w:color="auto" w:fill="auto"/>
            <w:vAlign w:val="center"/>
          </w:tcPr>
          <w:p w14:paraId="2E6AAF30" w14:textId="77777777" w:rsidR="00A66A23" w:rsidRPr="00E14D8A" w:rsidRDefault="00A66A23" w:rsidP="00064199">
            <w:pPr>
              <w:keepNext/>
              <w:keepLines/>
              <w:jc w:val="left"/>
              <w:rPr>
                <w:rFonts w:ascii="ITC Avant Garde" w:hAnsi="ITC Avant Garde"/>
                <w:sz w:val="16"/>
                <w:szCs w:val="16"/>
                <w:lang w:val="es-MX"/>
              </w:rPr>
            </w:pPr>
            <w:r w:rsidRPr="00E14D8A">
              <w:rPr>
                <w:rFonts w:ascii="ITC Avant Garde" w:hAnsi="ITC Avant Garde"/>
                <w:sz w:val="16"/>
                <w:szCs w:val="16"/>
                <w:lang w:val="es-MX"/>
              </w:rPr>
              <w:t>GIS</w:t>
            </w:r>
          </w:p>
        </w:tc>
        <w:tc>
          <w:tcPr>
            <w:tcW w:w="4366" w:type="dxa"/>
            <w:shd w:val="clear" w:color="auto" w:fill="auto"/>
            <w:vAlign w:val="center"/>
          </w:tcPr>
          <w:p w14:paraId="4DCF9F7A" w14:textId="77777777" w:rsidR="00A66A23" w:rsidRPr="00E14D8A" w:rsidRDefault="00A66A23" w:rsidP="00064199">
            <w:pPr>
              <w:keepNext/>
              <w:keepLines/>
              <w:jc w:val="left"/>
              <w:rPr>
                <w:rFonts w:ascii="ITC Avant Garde" w:hAnsi="ITC Avant Garde"/>
                <w:sz w:val="16"/>
                <w:szCs w:val="16"/>
                <w:lang w:val="es-MX"/>
              </w:rPr>
            </w:pPr>
            <w:r w:rsidRPr="00E14D8A">
              <w:rPr>
                <w:rFonts w:ascii="ITC Avant Garde" w:hAnsi="ITC Avant Garde"/>
                <w:sz w:val="16"/>
                <w:szCs w:val="16"/>
                <w:lang w:val="es-MX"/>
              </w:rPr>
              <w:t>Describe la red de carreteras a nivel regional y nacional</w:t>
            </w:r>
          </w:p>
        </w:tc>
        <w:tc>
          <w:tcPr>
            <w:tcW w:w="2976" w:type="dxa"/>
            <w:shd w:val="clear" w:color="auto" w:fill="auto"/>
            <w:vAlign w:val="center"/>
          </w:tcPr>
          <w:p w14:paraId="3125D966" w14:textId="77777777" w:rsidR="00A66A23" w:rsidRPr="004C1A96" w:rsidRDefault="00A66A23" w:rsidP="00064199">
            <w:pPr>
              <w:pStyle w:val="Prrafodelista"/>
              <w:keepNext/>
              <w:keepLines/>
              <w:numPr>
                <w:ilvl w:val="0"/>
                <w:numId w:val="7"/>
              </w:numPr>
              <w:ind w:left="175" w:hanging="142"/>
              <w:jc w:val="left"/>
              <w:rPr>
                <w:rFonts w:ascii="ITC Avant Garde" w:hAnsi="ITC Avant Garde"/>
                <w:sz w:val="16"/>
                <w:szCs w:val="16"/>
                <w:lang w:val="es-MX"/>
              </w:rPr>
            </w:pPr>
            <w:r w:rsidRPr="004C1A96">
              <w:rPr>
                <w:rFonts w:ascii="ITC Avant Garde" w:hAnsi="ITC Avant Garde"/>
                <w:sz w:val="16"/>
                <w:szCs w:val="16"/>
                <w:lang w:val="es-MX"/>
              </w:rPr>
              <w:t>Marco Geo estadistico, diciembre 2017 (INEGI)</w:t>
            </w:r>
          </w:p>
          <w:p w14:paraId="1411DBE0" w14:textId="77777777" w:rsidR="00A66A23" w:rsidRPr="004C1A96" w:rsidRDefault="00A66A23" w:rsidP="00064199">
            <w:pPr>
              <w:pStyle w:val="Prrafodelista"/>
              <w:keepNext/>
              <w:keepLines/>
              <w:numPr>
                <w:ilvl w:val="0"/>
                <w:numId w:val="7"/>
              </w:numPr>
              <w:ind w:left="175" w:hanging="142"/>
              <w:jc w:val="left"/>
              <w:rPr>
                <w:rFonts w:ascii="ITC Avant Garde" w:hAnsi="ITC Avant Garde"/>
                <w:sz w:val="16"/>
                <w:szCs w:val="16"/>
                <w:lang w:val="es-MX"/>
              </w:rPr>
            </w:pPr>
            <w:r w:rsidRPr="004C1A96">
              <w:rPr>
                <w:rFonts w:ascii="ITC Avant Garde" w:hAnsi="ITC Avant Garde"/>
                <w:sz w:val="16"/>
                <w:szCs w:val="16"/>
                <w:lang w:val="es-MX"/>
              </w:rPr>
              <w:t>Red Nacional de Caminos 2017 (INEGI)</w:t>
            </w:r>
          </w:p>
        </w:tc>
      </w:tr>
      <w:tr w:rsidR="00A66A23" w:rsidRPr="004C1A96" w14:paraId="4855EF7B" w14:textId="77777777" w:rsidTr="00064199">
        <w:tc>
          <w:tcPr>
            <w:tcW w:w="959" w:type="dxa"/>
            <w:shd w:val="clear" w:color="auto" w:fill="auto"/>
            <w:vAlign w:val="center"/>
          </w:tcPr>
          <w:p w14:paraId="2DF08D91" w14:textId="77777777" w:rsidR="00A66A23" w:rsidRPr="004C1A96" w:rsidRDefault="00A66A23" w:rsidP="00064199">
            <w:pPr>
              <w:keepNext/>
              <w:keepLines/>
              <w:jc w:val="left"/>
              <w:rPr>
                <w:rFonts w:ascii="ITC Avant Garde" w:hAnsi="ITC Avant Garde"/>
                <w:sz w:val="16"/>
                <w:szCs w:val="16"/>
                <w:lang w:val="es-MX"/>
              </w:rPr>
            </w:pPr>
            <w:r w:rsidRPr="004C1A96">
              <w:rPr>
                <w:rFonts w:ascii="ITC Avant Garde" w:hAnsi="ITC Avant Garde"/>
                <w:sz w:val="16"/>
                <w:szCs w:val="16"/>
                <w:lang w:val="es-MX"/>
              </w:rPr>
              <w:t>Todas</w:t>
            </w:r>
          </w:p>
        </w:tc>
        <w:tc>
          <w:tcPr>
            <w:tcW w:w="879" w:type="dxa"/>
            <w:shd w:val="clear" w:color="auto" w:fill="auto"/>
            <w:vAlign w:val="center"/>
          </w:tcPr>
          <w:p w14:paraId="0073CF3E" w14:textId="77777777" w:rsidR="00A66A23" w:rsidRPr="00E14D8A" w:rsidRDefault="00A66A23" w:rsidP="00064199">
            <w:pPr>
              <w:keepNext/>
              <w:keepLines/>
              <w:jc w:val="left"/>
              <w:rPr>
                <w:rFonts w:ascii="ITC Avant Garde" w:hAnsi="ITC Avant Garde"/>
                <w:sz w:val="16"/>
                <w:szCs w:val="16"/>
                <w:lang w:val="es-MX"/>
              </w:rPr>
            </w:pPr>
            <w:r w:rsidRPr="00E14D8A">
              <w:rPr>
                <w:rFonts w:ascii="ITC Avant Garde" w:hAnsi="ITC Avant Garde"/>
                <w:sz w:val="16"/>
                <w:szCs w:val="16"/>
                <w:lang w:val="es-MX"/>
              </w:rPr>
              <w:t>DB/GIS</w:t>
            </w:r>
          </w:p>
        </w:tc>
        <w:tc>
          <w:tcPr>
            <w:tcW w:w="4366" w:type="dxa"/>
            <w:shd w:val="clear" w:color="auto" w:fill="auto"/>
            <w:vAlign w:val="center"/>
          </w:tcPr>
          <w:p w14:paraId="30A69F62" w14:textId="3609D0EE" w:rsidR="00A66A23" w:rsidRPr="004C1A96" w:rsidRDefault="00B328EB" w:rsidP="00750E4B">
            <w:pPr>
              <w:keepNext/>
              <w:keepLines/>
              <w:jc w:val="left"/>
              <w:rPr>
                <w:rFonts w:ascii="ITC Avant Garde" w:hAnsi="ITC Avant Garde"/>
                <w:sz w:val="16"/>
                <w:szCs w:val="16"/>
                <w:lang w:val="es-MX"/>
              </w:rPr>
            </w:pPr>
            <w:r>
              <w:rPr>
                <w:rFonts w:ascii="ITC Avant Garde" w:hAnsi="ITC Avant Garde"/>
                <w:sz w:val="16"/>
                <w:szCs w:val="16"/>
                <w:lang w:val="es-MX"/>
              </w:rPr>
              <w:t>R</w:t>
            </w:r>
            <w:r w:rsidR="00A66A23" w:rsidRPr="00E14D8A">
              <w:rPr>
                <w:rFonts w:ascii="ITC Avant Garde" w:hAnsi="ITC Avant Garde"/>
                <w:sz w:val="16"/>
                <w:szCs w:val="16"/>
                <w:lang w:val="es-MX"/>
              </w:rPr>
              <w:t>ecuento de edificios residenciales y de viviendas amanzanadas</w:t>
            </w:r>
            <w:r>
              <w:rPr>
                <w:rFonts w:ascii="ITC Avant Garde" w:hAnsi="ITC Avant Garde"/>
                <w:sz w:val="16"/>
                <w:szCs w:val="16"/>
                <w:lang w:val="es-MX"/>
              </w:rPr>
              <w:t>, e</w:t>
            </w:r>
            <w:r w:rsidR="00A66A23" w:rsidRPr="004C1A96">
              <w:rPr>
                <w:rFonts w:ascii="ITC Avant Garde" w:hAnsi="ITC Avant Garde"/>
                <w:sz w:val="16"/>
                <w:szCs w:val="16"/>
                <w:lang w:val="es-MX"/>
              </w:rPr>
              <w:t>dificios comerciales</w:t>
            </w:r>
            <w:r>
              <w:rPr>
                <w:rFonts w:ascii="ITC Avant Garde" w:hAnsi="ITC Avant Garde"/>
                <w:sz w:val="16"/>
                <w:szCs w:val="16"/>
                <w:lang w:val="es-MX"/>
              </w:rPr>
              <w:t>, y manzanas</w:t>
            </w:r>
            <w:r w:rsidR="00A66A23" w:rsidRPr="004C1A96">
              <w:rPr>
                <w:rFonts w:ascii="ITC Avant Garde" w:hAnsi="ITC Avant Garde"/>
                <w:sz w:val="16"/>
                <w:szCs w:val="16"/>
                <w:lang w:val="es-MX"/>
              </w:rPr>
              <w:t>.</w:t>
            </w:r>
          </w:p>
        </w:tc>
        <w:tc>
          <w:tcPr>
            <w:tcW w:w="2976" w:type="dxa"/>
            <w:shd w:val="clear" w:color="auto" w:fill="auto"/>
            <w:vAlign w:val="center"/>
          </w:tcPr>
          <w:p w14:paraId="033D390A" w14:textId="77777777" w:rsidR="00A66A23" w:rsidRPr="004C1A96" w:rsidRDefault="00A66A23" w:rsidP="00064199">
            <w:pPr>
              <w:pStyle w:val="Prrafodelista"/>
              <w:keepNext/>
              <w:keepLines/>
              <w:numPr>
                <w:ilvl w:val="0"/>
                <w:numId w:val="7"/>
              </w:numPr>
              <w:ind w:left="209" w:hanging="151"/>
              <w:jc w:val="left"/>
              <w:rPr>
                <w:rFonts w:ascii="ITC Avant Garde" w:hAnsi="ITC Avant Garde"/>
                <w:sz w:val="16"/>
                <w:szCs w:val="16"/>
                <w:lang w:val="es-MX"/>
              </w:rPr>
            </w:pPr>
            <w:r w:rsidRPr="004C1A96">
              <w:rPr>
                <w:rFonts w:ascii="ITC Avant Garde" w:hAnsi="ITC Avant Garde"/>
                <w:sz w:val="16"/>
                <w:szCs w:val="16"/>
                <w:lang w:val="es-MX"/>
              </w:rPr>
              <w:t>Manzanas – Nacional;</w:t>
            </w:r>
          </w:p>
          <w:p w14:paraId="5EC1E9B8" w14:textId="77777777" w:rsidR="00A66A23" w:rsidRPr="004C1A96" w:rsidRDefault="00A66A23" w:rsidP="00064199">
            <w:pPr>
              <w:pStyle w:val="Prrafodelista"/>
              <w:keepNext/>
              <w:keepLines/>
              <w:numPr>
                <w:ilvl w:val="0"/>
                <w:numId w:val="7"/>
              </w:numPr>
              <w:ind w:left="209" w:hanging="151"/>
              <w:jc w:val="left"/>
              <w:rPr>
                <w:rFonts w:ascii="ITC Avant Garde" w:hAnsi="ITC Avant Garde"/>
                <w:sz w:val="16"/>
                <w:szCs w:val="16"/>
                <w:lang w:val="es-MX"/>
              </w:rPr>
            </w:pPr>
            <w:r w:rsidRPr="004C1A96">
              <w:rPr>
                <w:rFonts w:ascii="ITC Avant Garde" w:hAnsi="ITC Avant Garde"/>
                <w:sz w:val="16"/>
                <w:szCs w:val="16"/>
                <w:lang w:val="es-MX"/>
              </w:rPr>
              <w:t>“cat_localidad_ENE2018”</w:t>
            </w:r>
          </w:p>
          <w:p w14:paraId="50301911" w14:textId="77777777" w:rsidR="00A66A23" w:rsidRPr="004C1A96" w:rsidRDefault="00A66A23" w:rsidP="00064199">
            <w:pPr>
              <w:pStyle w:val="Prrafodelista"/>
              <w:keepNext/>
              <w:keepLines/>
              <w:numPr>
                <w:ilvl w:val="0"/>
                <w:numId w:val="7"/>
              </w:numPr>
              <w:ind w:left="209" w:hanging="151"/>
              <w:jc w:val="left"/>
              <w:rPr>
                <w:rFonts w:ascii="ITC Avant Garde" w:hAnsi="ITC Avant Garde"/>
                <w:sz w:val="16"/>
                <w:szCs w:val="16"/>
                <w:lang w:val="es-MX"/>
              </w:rPr>
            </w:pPr>
            <w:r w:rsidRPr="004C1A96">
              <w:rPr>
                <w:rFonts w:ascii="ITC Avant Garde" w:hAnsi="ITC Avant Garde"/>
                <w:sz w:val="16"/>
                <w:szCs w:val="16"/>
                <w:lang w:val="es-MX"/>
              </w:rPr>
              <w:t>The “IVLAYNE Nacional”;</w:t>
            </w:r>
          </w:p>
          <w:p w14:paraId="603E7279" w14:textId="77777777" w:rsidR="00A66A23" w:rsidRPr="004C1A96" w:rsidRDefault="00A66A23" w:rsidP="00064199">
            <w:pPr>
              <w:pStyle w:val="Prrafodelista"/>
              <w:keepNext/>
              <w:keepLines/>
              <w:numPr>
                <w:ilvl w:val="0"/>
                <w:numId w:val="7"/>
              </w:numPr>
              <w:ind w:left="209" w:hanging="151"/>
              <w:jc w:val="left"/>
              <w:rPr>
                <w:rFonts w:ascii="ITC Avant Garde" w:hAnsi="ITC Avant Garde"/>
                <w:sz w:val="16"/>
                <w:szCs w:val="16"/>
                <w:lang w:val="es-MX"/>
              </w:rPr>
            </w:pPr>
            <w:r w:rsidRPr="004C1A96">
              <w:rPr>
                <w:rFonts w:ascii="ITC Avant Garde" w:hAnsi="ITC Avant Garde"/>
                <w:sz w:val="16"/>
                <w:szCs w:val="16"/>
                <w:lang w:val="es-MX"/>
              </w:rPr>
              <w:t>FTP INEGI Complemento;</w:t>
            </w:r>
          </w:p>
          <w:p w14:paraId="56BA68DE" w14:textId="77777777" w:rsidR="00A66A23" w:rsidRPr="004C1A96" w:rsidRDefault="00A66A23" w:rsidP="00064199">
            <w:pPr>
              <w:pStyle w:val="Prrafodelista"/>
              <w:keepNext/>
              <w:keepLines/>
              <w:numPr>
                <w:ilvl w:val="0"/>
                <w:numId w:val="7"/>
              </w:numPr>
              <w:ind w:left="209" w:hanging="151"/>
              <w:jc w:val="left"/>
              <w:rPr>
                <w:rFonts w:ascii="ITC Avant Garde" w:hAnsi="ITC Avant Garde"/>
                <w:sz w:val="16"/>
                <w:szCs w:val="16"/>
                <w:lang w:val="es-MX"/>
              </w:rPr>
            </w:pPr>
            <w:r w:rsidRPr="004C1A96">
              <w:rPr>
                <w:rFonts w:ascii="ITC Avant Garde" w:hAnsi="ITC Avant Garde"/>
                <w:sz w:val="16"/>
                <w:szCs w:val="16"/>
                <w:lang w:val="es-MX"/>
              </w:rPr>
              <w:t>The DENUE (Denue-nacional-shp-11-2017).</w:t>
            </w:r>
          </w:p>
        </w:tc>
      </w:tr>
      <w:tr w:rsidR="00A66A23" w:rsidRPr="008F42FC" w14:paraId="400B7F80" w14:textId="77777777" w:rsidTr="00064199">
        <w:tc>
          <w:tcPr>
            <w:tcW w:w="959" w:type="dxa"/>
            <w:shd w:val="clear" w:color="auto" w:fill="auto"/>
            <w:vAlign w:val="center"/>
          </w:tcPr>
          <w:p w14:paraId="23D10B91" w14:textId="77777777" w:rsidR="00A66A23" w:rsidRPr="004C1A96" w:rsidRDefault="00A66A23" w:rsidP="00064199">
            <w:pPr>
              <w:keepNext/>
              <w:keepLines/>
              <w:jc w:val="left"/>
              <w:rPr>
                <w:rFonts w:ascii="ITC Avant Garde" w:hAnsi="ITC Avant Garde"/>
                <w:sz w:val="16"/>
                <w:szCs w:val="16"/>
                <w:lang w:val="es-MX"/>
              </w:rPr>
            </w:pPr>
            <w:r w:rsidRPr="004C1A96">
              <w:rPr>
                <w:rFonts w:ascii="ITC Avant Garde" w:hAnsi="ITC Avant Garde"/>
                <w:sz w:val="16"/>
                <w:szCs w:val="16"/>
                <w:lang w:val="es-MX"/>
              </w:rPr>
              <w:t>Cobre</w:t>
            </w:r>
          </w:p>
        </w:tc>
        <w:tc>
          <w:tcPr>
            <w:tcW w:w="879" w:type="dxa"/>
            <w:shd w:val="clear" w:color="auto" w:fill="auto"/>
            <w:vAlign w:val="center"/>
          </w:tcPr>
          <w:p w14:paraId="25B570E6" w14:textId="77777777" w:rsidR="00A66A23" w:rsidRPr="00E14D8A" w:rsidRDefault="00A66A23" w:rsidP="00064199">
            <w:pPr>
              <w:keepNext/>
              <w:keepLines/>
              <w:jc w:val="left"/>
              <w:rPr>
                <w:rFonts w:ascii="ITC Avant Garde" w:hAnsi="ITC Avant Garde"/>
                <w:sz w:val="16"/>
                <w:szCs w:val="16"/>
                <w:lang w:val="es-MX"/>
              </w:rPr>
            </w:pPr>
            <w:r w:rsidRPr="00E14D8A">
              <w:rPr>
                <w:rFonts w:ascii="ITC Avant Garde" w:hAnsi="ITC Avant Garde"/>
                <w:sz w:val="16"/>
                <w:szCs w:val="16"/>
                <w:lang w:val="es-MX"/>
              </w:rPr>
              <w:t>xlsx</w:t>
            </w:r>
          </w:p>
        </w:tc>
        <w:tc>
          <w:tcPr>
            <w:tcW w:w="4366" w:type="dxa"/>
            <w:shd w:val="clear" w:color="auto" w:fill="auto"/>
            <w:vAlign w:val="center"/>
          </w:tcPr>
          <w:p w14:paraId="3CB8FC60" w14:textId="370C90CB" w:rsidR="00A66A23" w:rsidRPr="00E14D8A" w:rsidRDefault="00A66A23" w:rsidP="00064199">
            <w:pPr>
              <w:keepNext/>
              <w:keepLines/>
              <w:jc w:val="left"/>
              <w:rPr>
                <w:rFonts w:ascii="ITC Avant Garde" w:hAnsi="ITC Avant Garde"/>
                <w:sz w:val="16"/>
                <w:szCs w:val="16"/>
                <w:lang w:val="es-MX"/>
              </w:rPr>
            </w:pPr>
            <w:r w:rsidRPr="00E14D8A">
              <w:rPr>
                <w:rFonts w:ascii="ITC Avant Garde" w:hAnsi="ITC Avant Garde"/>
                <w:sz w:val="16"/>
                <w:szCs w:val="16"/>
                <w:lang w:val="es-MX"/>
              </w:rPr>
              <w:t>La ubicación de los nodos de acceso de cobre la proporciona el AEP.</w:t>
            </w:r>
          </w:p>
        </w:tc>
        <w:tc>
          <w:tcPr>
            <w:tcW w:w="2976" w:type="dxa"/>
            <w:shd w:val="clear" w:color="auto" w:fill="auto"/>
            <w:vAlign w:val="center"/>
          </w:tcPr>
          <w:p w14:paraId="1FB6BA08" w14:textId="1BA18E4A" w:rsidR="00A66A23" w:rsidRPr="00E14D8A" w:rsidRDefault="00750E4B" w:rsidP="00064199">
            <w:pPr>
              <w:pStyle w:val="Prrafodelista"/>
              <w:keepNext/>
              <w:keepLines/>
              <w:numPr>
                <w:ilvl w:val="0"/>
                <w:numId w:val="7"/>
              </w:numPr>
              <w:ind w:left="317" w:hanging="284"/>
              <w:jc w:val="left"/>
              <w:rPr>
                <w:rFonts w:ascii="ITC Avant Garde" w:hAnsi="ITC Avant Garde"/>
                <w:sz w:val="16"/>
                <w:szCs w:val="16"/>
                <w:lang w:val="es-MX"/>
              </w:rPr>
            </w:pPr>
            <w:r>
              <w:rPr>
                <w:rFonts w:ascii="ITC Avant Garde" w:hAnsi="ITC Avant Garde"/>
                <w:sz w:val="16"/>
                <w:szCs w:val="16"/>
                <w:lang w:val="es-MX"/>
              </w:rPr>
              <w:t>AEP</w:t>
            </w:r>
          </w:p>
        </w:tc>
      </w:tr>
      <w:tr w:rsidR="00A66A23" w:rsidRPr="008F42FC" w14:paraId="26F133D8" w14:textId="77777777" w:rsidTr="00064199">
        <w:tc>
          <w:tcPr>
            <w:tcW w:w="959" w:type="dxa"/>
            <w:shd w:val="clear" w:color="auto" w:fill="auto"/>
            <w:vAlign w:val="center"/>
          </w:tcPr>
          <w:p w14:paraId="14272CFE" w14:textId="1FDC67DB" w:rsidR="00A66A23" w:rsidRPr="004C1A96" w:rsidRDefault="00AF6757" w:rsidP="00064199">
            <w:pPr>
              <w:keepNext/>
              <w:keepLines/>
              <w:jc w:val="left"/>
              <w:rPr>
                <w:rFonts w:ascii="ITC Avant Garde" w:hAnsi="ITC Avant Garde"/>
                <w:sz w:val="16"/>
                <w:szCs w:val="16"/>
                <w:lang w:val="es-MX"/>
              </w:rPr>
            </w:pPr>
            <w:r>
              <w:rPr>
                <w:rFonts w:ascii="ITC Avant Garde" w:hAnsi="ITC Avant Garde"/>
                <w:sz w:val="16"/>
                <w:szCs w:val="16"/>
                <w:lang w:val="es-MX"/>
              </w:rPr>
              <w:t>FTTH</w:t>
            </w:r>
          </w:p>
        </w:tc>
        <w:tc>
          <w:tcPr>
            <w:tcW w:w="879" w:type="dxa"/>
            <w:shd w:val="clear" w:color="auto" w:fill="auto"/>
            <w:vAlign w:val="center"/>
          </w:tcPr>
          <w:p w14:paraId="3DF5B76F" w14:textId="77777777" w:rsidR="00A66A23" w:rsidRPr="00E14D8A" w:rsidRDefault="00A66A23" w:rsidP="00064199">
            <w:pPr>
              <w:keepNext/>
              <w:keepLines/>
              <w:jc w:val="left"/>
              <w:rPr>
                <w:rFonts w:ascii="ITC Avant Garde" w:hAnsi="ITC Avant Garde"/>
                <w:sz w:val="16"/>
                <w:szCs w:val="16"/>
                <w:lang w:val="es-MX"/>
              </w:rPr>
            </w:pPr>
            <w:r w:rsidRPr="00E14D8A">
              <w:rPr>
                <w:rFonts w:ascii="ITC Avant Garde" w:hAnsi="ITC Avant Garde"/>
                <w:sz w:val="16"/>
                <w:szCs w:val="16"/>
                <w:lang w:val="es-MX"/>
              </w:rPr>
              <w:t>xlsx</w:t>
            </w:r>
          </w:p>
        </w:tc>
        <w:tc>
          <w:tcPr>
            <w:tcW w:w="4366" w:type="dxa"/>
            <w:shd w:val="clear" w:color="auto" w:fill="auto"/>
            <w:vAlign w:val="center"/>
          </w:tcPr>
          <w:p w14:paraId="168AE8C8" w14:textId="6588EE29" w:rsidR="00A66A23" w:rsidRPr="00E14D8A" w:rsidRDefault="00A66A23" w:rsidP="00064199">
            <w:pPr>
              <w:keepNext/>
              <w:keepLines/>
              <w:jc w:val="left"/>
              <w:rPr>
                <w:rFonts w:ascii="ITC Avant Garde" w:hAnsi="ITC Avant Garde"/>
                <w:sz w:val="16"/>
                <w:szCs w:val="16"/>
                <w:lang w:val="es-MX"/>
              </w:rPr>
            </w:pPr>
            <w:r w:rsidRPr="00E14D8A">
              <w:rPr>
                <w:rFonts w:ascii="ITC Avant Garde" w:hAnsi="ITC Avant Garde"/>
                <w:sz w:val="16"/>
                <w:szCs w:val="16"/>
                <w:lang w:val="es-MX"/>
              </w:rPr>
              <w:t xml:space="preserve">La ubicación de los nodos de acceso de </w:t>
            </w:r>
            <w:r w:rsidR="00AF6757">
              <w:rPr>
                <w:rFonts w:ascii="ITC Avant Garde" w:hAnsi="ITC Avant Garde"/>
                <w:sz w:val="16"/>
                <w:szCs w:val="16"/>
                <w:lang w:val="es-MX"/>
              </w:rPr>
              <w:t>FTTH</w:t>
            </w:r>
            <w:r w:rsidR="00AF6757" w:rsidRPr="00E14D8A">
              <w:rPr>
                <w:rFonts w:ascii="ITC Avant Garde" w:hAnsi="ITC Avant Garde"/>
                <w:sz w:val="16"/>
                <w:szCs w:val="16"/>
                <w:lang w:val="es-MX"/>
              </w:rPr>
              <w:t xml:space="preserve"> </w:t>
            </w:r>
            <w:r w:rsidRPr="00E14D8A">
              <w:rPr>
                <w:rFonts w:ascii="ITC Avant Garde" w:hAnsi="ITC Avant Garde"/>
                <w:sz w:val="16"/>
                <w:szCs w:val="16"/>
                <w:lang w:val="es-MX"/>
              </w:rPr>
              <w:t>la proporciona el AEP.</w:t>
            </w:r>
          </w:p>
        </w:tc>
        <w:tc>
          <w:tcPr>
            <w:tcW w:w="2976" w:type="dxa"/>
            <w:shd w:val="clear" w:color="auto" w:fill="auto"/>
            <w:vAlign w:val="center"/>
          </w:tcPr>
          <w:p w14:paraId="6A10F0C2" w14:textId="51257E2C" w:rsidR="00A66A23" w:rsidRPr="004C1A96" w:rsidRDefault="00750E4B" w:rsidP="00064199">
            <w:pPr>
              <w:pStyle w:val="Prrafodelista"/>
              <w:keepNext/>
              <w:keepLines/>
              <w:numPr>
                <w:ilvl w:val="0"/>
                <w:numId w:val="7"/>
              </w:numPr>
              <w:ind w:left="317" w:hanging="284"/>
              <w:jc w:val="left"/>
              <w:rPr>
                <w:rFonts w:ascii="ITC Avant Garde" w:hAnsi="ITC Avant Garde"/>
                <w:sz w:val="16"/>
                <w:szCs w:val="16"/>
                <w:lang w:val="es-MX"/>
              </w:rPr>
            </w:pPr>
            <w:r>
              <w:rPr>
                <w:rFonts w:ascii="ITC Avant Garde" w:hAnsi="ITC Avant Garde"/>
                <w:sz w:val="16"/>
                <w:szCs w:val="16"/>
                <w:lang w:val="es-MX"/>
              </w:rPr>
              <w:t>AEP</w:t>
            </w:r>
          </w:p>
        </w:tc>
      </w:tr>
      <w:tr w:rsidR="00AF6757" w:rsidRPr="008F42FC" w14:paraId="14D8E40C" w14:textId="77777777" w:rsidTr="00064199">
        <w:tc>
          <w:tcPr>
            <w:tcW w:w="959" w:type="dxa"/>
            <w:shd w:val="clear" w:color="auto" w:fill="auto"/>
            <w:vAlign w:val="center"/>
          </w:tcPr>
          <w:p w14:paraId="046D3CFE" w14:textId="74A0E111" w:rsidR="00AF6757" w:rsidRPr="004C1A96" w:rsidRDefault="00AF6757" w:rsidP="00AF6757">
            <w:pPr>
              <w:keepNext/>
              <w:keepLines/>
              <w:jc w:val="left"/>
              <w:rPr>
                <w:rFonts w:ascii="ITC Avant Garde" w:hAnsi="ITC Avant Garde"/>
                <w:sz w:val="16"/>
                <w:szCs w:val="16"/>
                <w:lang w:val="es-MX"/>
              </w:rPr>
            </w:pPr>
            <w:r>
              <w:rPr>
                <w:rFonts w:ascii="ITC Avant Garde" w:hAnsi="ITC Avant Garde"/>
                <w:sz w:val="16"/>
                <w:szCs w:val="16"/>
                <w:lang w:val="es-MX"/>
              </w:rPr>
              <w:t>FTTC</w:t>
            </w:r>
          </w:p>
        </w:tc>
        <w:tc>
          <w:tcPr>
            <w:tcW w:w="879" w:type="dxa"/>
            <w:shd w:val="clear" w:color="auto" w:fill="auto"/>
            <w:vAlign w:val="center"/>
          </w:tcPr>
          <w:p w14:paraId="6DC99956" w14:textId="49311C8B" w:rsidR="00AF6757" w:rsidRPr="00E14D8A" w:rsidRDefault="00AF6757" w:rsidP="00AF6757">
            <w:pPr>
              <w:keepNext/>
              <w:keepLines/>
              <w:jc w:val="left"/>
              <w:rPr>
                <w:rFonts w:ascii="ITC Avant Garde" w:hAnsi="ITC Avant Garde"/>
                <w:sz w:val="16"/>
                <w:szCs w:val="16"/>
                <w:lang w:val="es-MX"/>
              </w:rPr>
            </w:pPr>
            <w:r w:rsidRPr="00E14D8A">
              <w:rPr>
                <w:rFonts w:ascii="ITC Avant Garde" w:hAnsi="ITC Avant Garde"/>
                <w:sz w:val="16"/>
                <w:szCs w:val="16"/>
                <w:lang w:val="es-MX"/>
              </w:rPr>
              <w:t>xlsx</w:t>
            </w:r>
          </w:p>
        </w:tc>
        <w:tc>
          <w:tcPr>
            <w:tcW w:w="4366" w:type="dxa"/>
            <w:shd w:val="clear" w:color="auto" w:fill="auto"/>
            <w:vAlign w:val="center"/>
          </w:tcPr>
          <w:p w14:paraId="6A0C79DE" w14:textId="05729114" w:rsidR="00AF6757" w:rsidRPr="00E14D8A" w:rsidRDefault="00AF6757" w:rsidP="00AF6757">
            <w:pPr>
              <w:keepNext/>
              <w:keepLines/>
              <w:jc w:val="left"/>
              <w:rPr>
                <w:rFonts w:ascii="ITC Avant Garde" w:hAnsi="ITC Avant Garde"/>
                <w:sz w:val="16"/>
                <w:szCs w:val="16"/>
                <w:lang w:val="es-MX"/>
              </w:rPr>
            </w:pPr>
            <w:r w:rsidRPr="00E14D8A">
              <w:rPr>
                <w:rFonts w:ascii="ITC Avant Garde" w:hAnsi="ITC Avant Garde"/>
                <w:sz w:val="16"/>
                <w:szCs w:val="16"/>
                <w:lang w:val="es-MX"/>
              </w:rPr>
              <w:t xml:space="preserve">La ubicación de los nodos de acceso de </w:t>
            </w:r>
            <w:r>
              <w:rPr>
                <w:rFonts w:ascii="ITC Avant Garde" w:hAnsi="ITC Avant Garde"/>
                <w:sz w:val="16"/>
                <w:szCs w:val="16"/>
                <w:lang w:val="es-MX"/>
              </w:rPr>
              <w:t>FTTC</w:t>
            </w:r>
            <w:r w:rsidRPr="00E14D8A">
              <w:rPr>
                <w:rFonts w:ascii="ITC Avant Garde" w:hAnsi="ITC Avant Garde"/>
                <w:sz w:val="16"/>
                <w:szCs w:val="16"/>
                <w:lang w:val="es-MX"/>
              </w:rPr>
              <w:t xml:space="preserve"> la proporciona el AEP.</w:t>
            </w:r>
          </w:p>
        </w:tc>
        <w:tc>
          <w:tcPr>
            <w:tcW w:w="2976" w:type="dxa"/>
            <w:shd w:val="clear" w:color="auto" w:fill="auto"/>
            <w:vAlign w:val="center"/>
          </w:tcPr>
          <w:p w14:paraId="7BAC1CC6" w14:textId="13568790" w:rsidR="00AF6757" w:rsidRPr="004C1A96" w:rsidDel="00750E4B" w:rsidRDefault="00AF6757" w:rsidP="00AF6757">
            <w:pPr>
              <w:pStyle w:val="Prrafodelista"/>
              <w:keepNext/>
              <w:keepLines/>
              <w:numPr>
                <w:ilvl w:val="0"/>
                <w:numId w:val="7"/>
              </w:numPr>
              <w:ind w:left="317" w:hanging="284"/>
              <w:jc w:val="left"/>
              <w:rPr>
                <w:rFonts w:ascii="ITC Avant Garde" w:hAnsi="ITC Avant Garde"/>
                <w:sz w:val="16"/>
                <w:szCs w:val="16"/>
                <w:lang w:val="es-MX"/>
              </w:rPr>
            </w:pPr>
            <w:r>
              <w:rPr>
                <w:rFonts w:ascii="ITC Avant Garde" w:hAnsi="ITC Avant Garde"/>
                <w:sz w:val="16"/>
                <w:szCs w:val="16"/>
                <w:lang w:val="es-MX"/>
              </w:rPr>
              <w:t>AEP</w:t>
            </w:r>
          </w:p>
        </w:tc>
      </w:tr>
    </w:tbl>
    <w:p w14:paraId="0E5EB87E" w14:textId="77777777" w:rsidR="00A66A23" w:rsidRPr="004C1A96" w:rsidRDefault="00A66A23" w:rsidP="00A66A23">
      <w:pPr>
        <w:pStyle w:val="Source"/>
        <w:keepNext/>
        <w:rPr>
          <w:rFonts w:ascii="ITC Avant Garde" w:hAnsi="ITC Avant Garde"/>
          <w:lang w:val="es-MX"/>
        </w:rPr>
      </w:pPr>
      <w:r w:rsidRPr="004C1A96">
        <w:rPr>
          <w:rFonts w:ascii="ITC Avant Garde" w:hAnsi="ITC Avant Garde"/>
          <w:lang w:val="es-MX"/>
        </w:rPr>
        <w:t>¿</w:t>
      </w:r>
    </w:p>
    <w:p w14:paraId="59792DB1" w14:textId="4A8A40AD" w:rsidR="00A66A23" w:rsidRPr="00E14D8A" w:rsidRDefault="004F1555" w:rsidP="00BF311C">
      <w:pPr>
        <w:rPr>
          <w:rFonts w:ascii="ITC Avant Garde" w:hAnsi="ITC Avant Garde"/>
          <w:lang w:val="es-MX"/>
        </w:rPr>
      </w:pPr>
      <w:r>
        <w:rPr>
          <w:rFonts w:ascii="ITC Avant Garde" w:hAnsi="ITC Avant Garde"/>
          <w:lang w:val="es-MX"/>
        </w:rPr>
        <w:t>D</w:t>
      </w:r>
      <w:r w:rsidR="00750E4B">
        <w:rPr>
          <w:rFonts w:ascii="ITC Avant Garde" w:hAnsi="ITC Avant Garde"/>
          <w:lang w:val="es-MX"/>
        </w:rPr>
        <w:t xml:space="preserve">urante el proceso de actualización del modelo, se ha comprobado que el número de </w:t>
      </w:r>
      <w:r w:rsidR="00750E4B" w:rsidRPr="00750E4B">
        <w:rPr>
          <w:rFonts w:ascii="ITC Avant Garde" w:hAnsi="ITC Avant Garde"/>
          <w:lang w:val="es-MX"/>
        </w:rPr>
        <w:t xml:space="preserve">viviendas en </w:t>
      </w:r>
      <w:r>
        <w:rPr>
          <w:rFonts w:ascii="ITC Avant Garde" w:hAnsi="ITC Avant Garde"/>
          <w:lang w:val="es-MX"/>
        </w:rPr>
        <w:t xml:space="preserve">México </w:t>
      </w:r>
      <w:r w:rsidR="00750E4B">
        <w:rPr>
          <w:rFonts w:ascii="ITC Avant Garde" w:hAnsi="ITC Avant Garde"/>
          <w:lang w:val="es-MX"/>
        </w:rPr>
        <w:t xml:space="preserve">únicamente se ha visto incrementado en un </w:t>
      </w:r>
      <w:r w:rsidR="00750E4B" w:rsidRPr="00750E4B">
        <w:rPr>
          <w:rFonts w:ascii="ITC Avant Garde" w:hAnsi="ITC Avant Garde"/>
          <w:lang w:val="es-MX"/>
        </w:rPr>
        <w:t>0</w:t>
      </w:r>
      <w:r w:rsidR="00750E4B">
        <w:rPr>
          <w:rFonts w:ascii="ITC Avant Garde" w:hAnsi="ITC Avant Garde"/>
          <w:lang w:val="es-MX"/>
        </w:rPr>
        <w:t>.</w:t>
      </w:r>
      <w:r w:rsidR="00750E4B" w:rsidRPr="00750E4B">
        <w:rPr>
          <w:rFonts w:ascii="ITC Avant Garde" w:hAnsi="ITC Avant Garde"/>
          <w:lang w:val="es-MX"/>
        </w:rPr>
        <w:t xml:space="preserve">28% </w:t>
      </w:r>
      <w:r w:rsidR="00750E4B">
        <w:rPr>
          <w:rFonts w:ascii="ITC Avant Garde" w:hAnsi="ITC Avant Garde"/>
          <w:lang w:val="es-MX"/>
        </w:rPr>
        <w:t xml:space="preserve">entre los años </w:t>
      </w:r>
      <w:r w:rsidR="00750E4B" w:rsidRPr="00750E4B">
        <w:rPr>
          <w:rFonts w:ascii="ITC Avant Garde" w:hAnsi="ITC Avant Garde"/>
          <w:lang w:val="es-MX"/>
        </w:rPr>
        <w:t>2018 y 2023</w:t>
      </w:r>
      <w:r w:rsidR="00750E4B">
        <w:rPr>
          <w:rFonts w:ascii="ITC Avant Garde" w:hAnsi="ITC Avant Garde"/>
          <w:lang w:val="es-MX"/>
        </w:rPr>
        <w:t xml:space="preserve">, </w:t>
      </w:r>
      <w:r w:rsidR="00750E4B" w:rsidRPr="00750E4B">
        <w:rPr>
          <w:rFonts w:ascii="ITC Avant Garde" w:hAnsi="ITC Avant Garde"/>
          <w:lang w:val="es-MX"/>
        </w:rPr>
        <w:t xml:space="preserve">según los datos </w:t>
      </w:r>
      <w:r w:rsidR="00750E4B">
        <w:rPr>
          <w:rFonts w:ascii="ITC Avant Garde" w:hAnsi="ITC Avant Garde"/>
          <w:lang w:val="es-MX"/>
        </w:rPr>
        <w:t xml:space="preserve">disponibles en </w:t>
      </w:r>
      <w:r w:rsidR="00750E4B" w:rsidRPr="00750E4B">
        <w:rPr>
          <w:rFonts w:ascii="ITC Avant Garde" w:hAnsi="ITC Avant Garde"/>
          <w:lang w:val="es-MX"/>
        </w:rPr>
        <w:t>el INEGI (desde 35.125.682 viviendas en 2018 hasta 35.225.237 en 2023)</w:t>
      </w:r>
      <w:r w:rsidR="00750E4B">
        <w:rPr>
          <w:rFonts w:ascii="ITC Avant Garde" w:hAnsi="ITC Avant Garde"/>
          <w:lang w:val="es-MX"/>
        </w:rPr>
        <w:t>. Por este motivo,</w:t>
      </w:r>
      <w:r w:rsidR="00C1094A">
        <w:rPr>
          <w:rFonts w:ascii="ITC Avant Garde" w:hAnsi="ITC Avant Garde"/>
          <w:lang w:val="es-MX"/>
        </w:rPr>
        <w:t xml:space="preserve"> no se ha considerado necesario llevar a cabo una actualización de la información relativa a geo-marketing, dado que el impacto de dicha actualización </w:t>
      </w:r>
      <w:r w:rsidR="00BF311C">
        <w:rPr>
          <w:rFonts w:ascii="ITC Avant Garde" w:hAnsi="ITC Avant Garde"/>
          <w:lang w:val="es-MX"/>
        </w:rPr>
        <w:t xml:space="preserve">en el modelo </w:t>
      </w:r>
      <w:r w:rsidR="00C1094A">
        <w:rPr>
          <w:rFonts w:ascii="ITC Avant Garde" w:hAnsi="ITC Avant Garde"/>
          <w:lang w:val="es-MX"/>
        </w:rPr>
        <w:t xml:space="preserve">sería mínimo. </w:t>
      </w:r>
      <w:r w:rsidR="005A0444">
        <w:rPr>
          <w:rFonts w:ascii="ITC Avant Garde" w:hAnsi="ITC Avant Garde"/>
          <w:lang w:val="es-MX"/>
        </w:rPr>
        <w:t xml:space="preserve">A este respecto, se señala que la </w:t>
      </w:r>
      <w:r w:rsidR="005A0444">
        <w:rPr>
          <w:rFonts w:ascii="ITC Avant Garde" w:hAnsi="ITC Avant Garde"/>
          <w:lang w:val="es-MX"/>
        </w:rPr>
        <w:lastRenderedPageBreak/>
        <w:t>información empleada en la versión actual del modelo es la correspondiente a su desarrollo inicial, en el año 2018.</w:t>
      </w:r>
    </w:p>
    <w:p w14:paraId="18DAB89E" w14:textId="77777777" w:rsidR="00A66A23" w:rsidRPr="00FF2101" w:rsidRDefault="00A66A23" w:rsidP="0040723E">
      <w:pPr>
        <w:pStyle w:val="Ttulo3"/>
        <w:rPr>
          <w:lang w:val="es-ES"/>
        </w:rPr>
      </w:pPr>
      <w:bookmarkStart w:id="203" w:name="_Toc525672859"/>
      <w:bookmarkStart w:id="204" w:name="_Toc525665299"/>
      <w:bookmarkStart w:id="205" w:name="_Toc525665678"/>
      <w:bookmarkStart w:id="206" w:name="_Toc141975036"/>
      <w:r w:rsidRPr="00FF2101">
        <w:rPr>
          <w:lang w:val="es-ES"/>
        </w:rPr>
        <w:t>Trabajo preliminar en la base de datos de la red de carreteras</w:t>
      </w:r>
      <w:bookmarkEnd w:id="203"/>
      <w:bookmarkEnd w:id="204"/>
      <w:bookmarkEnd w:id="205"/>
      <w:bookmarkEnd w:id="206"/>
    </w:p>
    <w:p w14:paraId="19E94CA8" w14:textId="3D9DE710" w:rsidR="00A66A23" w:rsidRPr="004C1A96" w:rsidRDefault="00A66A23" w:rsidP="00A66A23">
      <w:pPr>
        <w:rPr>
          <w:rFonts w:ascii="ITC Avant Garde" w:hAnsi="ITC Avant Garde"/>
          <w:lang w:val="es-MX"/>
        </w:rPr>
      </w:pPr>
      <w:r w:rsidRPr="004C1A96">
        <w:rPr>
          <w:rFonts w:ascii="ITC Avant Garde" w:hAnsi="ITC Avant Garde"/>
          <w:lang w:val="es-MX"/>
        </w:rPr>
        <w:t xml:space="preserve">Las bases de datos </w:t>
      </w:r>
      <w:r w:rsidR="0083729A">
        <w:rPr>
          <w:rFonts w:ascii="ITC Avant Garde" w:hAnsi="ITC Avant Garde"/>
          <w:lang w:val="es-MX"/>
        </w:rPr>
        <w:t xml:space="preserve">listadas en la sección anterior </w:t>
      </w:r>
      <w:r w:rsidRPr="004C1A96">
        <w:rPr>
          <w:rFonts w:ascii="ITC Avant Garde" w:hAnsi="ITC Avant Garde"/>
          <w:lang w:val="es-MX"/>
        </w:rPr>
        <w:t xml:space="preserve">brindan detalles sobre toda la red vial mexicana. Para garantizar la conectividad de la red de carreteras, se </w:t>
      </w:r>
      <w:r w:rsidR="00BF311C">
        <w:rPr>
          <w:rFonts w:ascii="ITC Avant Garde" w:hAnsi="ITC Avant Garde"/>
          <w:lang w:val="es-MX"/>
        </w:rPr>
        <w:t xml:space="preserve">requirieron </w:t>
      </w:r>
      <w:r w:rsidRPr="004C1A96">
        <w:rPr>
          <w:rFonts w:ascii="ITC Avant Garde" w:hAnsi="ITC Avant Garde"/>
          <w:lang w:val="es-MX"/>
        </w:rPr>
        <w:t>varios ajustes</w:t>
      </w:r>
      <w:r w:rsidR="00BF311C">
        <w:rPr>
          <w:rFonts w:ascii="ITC Avant Garde" w:hAnsi="ITC Avant Garde"/>
          <w:lang w:val="es-MX"/>
        </w:rPr>
        <w:t xml:space="preserve">: </w:t>
      </w:r>
    </w:p>
    <w:p w14:paraId="262E98E8" w14:textId="77777777" w:rsidR="00A66A23" w:rsidRPr="00E14D8A" w:rsidRDefault="00A66A23" w:rsidP="00A66A23">
      <w:pPr>
        <w:pStyle w:val="Listaconvietas2"/>
        <w:rPr>
          <w:rFonts w:ascii="ITC Avant Garde" w:hAnsi="ITC Avant Garde"/>
          <w:lang w:val="es-MX"/>
        </w:rPr>
      </w:pPr>
      <w:r w:rsidRPr="00E14D8A">
        <w:rPr>
          <w:rFonts w:ascii="ITC Avant Garde" w:hAnsi="ITC Avant Garde"/>
          <w:lang w:val="es-MX"/>
        </w:rPr>
        <w:t>Eliminar las secciones de la carretera que no están conectadas a la red y donde no se encuentran edificios (por ejemplo, estadios, canteras, entre otros);</w:t>
      </w:r>
    </w:p>
    <w:p w14:paraId="64ACC7E2" w14:textId="77777777" w:rsidR="00A66A23" w:rsidRPr="004C1A96" w:rsidRDefault="00A66A23" w:rsidP="00A66A23">
      <w:pPr>
        <w:pStyle w:val="Listaconvietas2"/>
        <w:rPr>
          <w:rFonts w:ascii="ITC Avant Garde" w:hAnsi="ITC Avant Garde"/>
          <w:lang w:val="es-MX"/>
        </w:rPr>
      </w:pPr>
      <w:r w:rsidRPr="00E14D8A">
        <w:rPr>
          <w:rFonts w:ascii="ITC Avant Garde" w:hAnsi="ITC Avant Garde"/>
          <w:lang w:val="es-MX"/>
        </w:rPr>
        <w:t>Agregar secciones de camino para conectar secciones de camino aisladas con el resto de la red para asegurar la conectividad de la red y</w:t>
      </w:r>
      <w:r w:rsidRPr="004C1A96">
        <w:rPr>
          <w:rFonts w:ascii="ITC Avant Garde" w:hAnsi="ITC Avant Garde"/>
          <w:lang w:val="es-MX"/>
        </w:rPr>
        <w:t xml:space="preserve"> para conectar los edificios correspondientes (vea la figura siguiente). Estas secciones de camino aisladas están conectadas con una línea recta (proyección ortogonal) al resto de la red.</w:t>
      </w:r>
    </w:p>
    <w:p w14:paraId="537D0D81" w14:textId="77777777" w:rsidR="00A66A23" w:rsidRPr="004C1A96" w:rsidRDefault="00A66A23" w:rsidP="00A66A23">
      <w:pPr>
        <w:rPr>
          <w:rFonts w:ascii="ITC Avant Garde" w:hAnsi="ITC Avant Garde"/>
          <w:lang w:val="es-MX"/>
        </w:rPr>
      </w:pPr>
      <w:r w:rsidRPr="004C1A96">
        <w:rPr>
          <w:rFonts w:ascii="ITC Avant Garde" w:hAnsi="ITC Avant Garde"/>
          <w:lang w:val="es-MX"/>
        </w:rPr>
        <w:t> </w:t>
      </w:r>
    </w:p>
    <w:p w14:paraId="7F7BF6FC" w14:textId="3DBD909D" w:rsidR="00A66A23" w:rsidRPr="00E14D8A" w:rsidRDefault="006D69ED" w:rsidP="00A66A23">
      <w:pPr>
        <w:pStyle w:val="Descripcin"/>
        <w:keepNext/>
        <w:jc w:val="both"/>
        <w:rPr>
          <w:rFonts w:ascii="ITC Avant Garde" w:hAnsi="ITC Avant Garde"/>
          <w:lang w:val="es-MX"/>
        </w:rPr>
      </w:pPr>
      <w:r w:rsidRPr="004C1A96">
        <w:rPr>
          <w:rFonts w:ascii="ITC Avant Garde" w:hAnsi="ITC Avant Garde"/>
          <w:lang w:val="es-MX"/>
        </w:rPr>
        <w:t xml:space="preserve">Figura </w:t>
      </w:r>
      <w:r w:rsidRPr="004C1A96">
        <w:rPr>
          <w:rFonts w:ascii="ITC Avant Garde" w:hAnsi="ITC Avant Garde"/>
          <w:lang w:val="es-MX"/>
        </w:rPr>
        <w:fldChar w:fldCharType="begin"/>
      </w:r>
      <w:r w:rsidRPr="004C1A96">
        <w:rPr>
          <w:rFonts w:ascii="ITC Avant Garde" w:hAnsi="ITC Avant Garde"/>
          <w:lang w:val="es-MX"/>
        </w:rPr>
        <w:instrText xml:space="preserve"> SEQ Figura \* ARABIC </w:instrText>
      </w:r>
      <w:r w:rsidRPr="004C1A96">
        <w:rPr>
          <w:rFonts w:ascii="ITC Avant Garde" w:hAnsi="ITC Avant Garde"/>
          <w:lang w:val="es-MX"/>
        </w:rPr>
        <w:fldChar w:fldCharType="separate"/>
      </w:r>
      <w:r w:rsidR="00006265">
        <w:rPr>
          <w:rFonts w:ascii="ITC Avant Garde" w:hAnsi="ITC Avant Garde"/>
          <w:noProof/>
          <w:lang w:val="es-MX"/>
        </w:rPr>
        <w:t>15</w:t>
      </w:r>
      <w:r w:rsidRPr="004C1A96">
        <w:rPr>
          <w:rFonts w:ascii="ITC Avant Garde" w:hAnsi="ITC Avant Garde"/>
          <w:lang w:val="es-MX"/>
        </w:rPr>
        <w:fldChar w:fldCharType="end"/>
      </w:r>
      <w:r w:rsidRPr="004C1A96">
        <w:rPr>
          <w:rFonts w:ascii="ITC Avant Garde" w:hAnsi="ITC Avant Garde"/>
          <w:lang w:val="es-MX"/>
        </w:rPr>
        <w:t xml:space="preserve"> </w:t>
      </w:r>
      <w:r w:rsidR="00A66A23" w:rsidRPr="004C1A96">
        <w:rPr>
          <w:rFonts w:ascii="ITC Avant Garde" w:hAnsi="ITC Avant Garde"/>
          <w:lang w:val="es-MX"/>
        </w:rPr>
        <w:t>- Ejemplo de secci</w:t>
      </w:r>
      <w:r w:rsidR="00A66A23" w:rsidRPr="00E14D8A">
        <w:rPr>
          <w:rFonts w:ascii="ITC Avant Garde" w:hAnsi="ITC Avant Garde"/>
          <w:lang w:val="es-MX"/>
        </w:rPr>
        <w:t>ón de camino aislada para conectarse al resto de la red</w:t>
      </w:r>
    </w:p>
    <w:p w14:paraId="51BF1BAE" w14:textId="683413DA" w:rsidR="00A66A23" w:rsidRPr="004C1A96" w:rsidRDefault="00221F97" w:rsidP="00A66A23">
      <w:pPr>
        <w:rPr>
          <w:rFonts w:ascii="ITC Avant Garde" w:hAnsi="ITC Avant Garde"/>
          <w:lang w:val="es-MX"/>
        </w:rPr>
      </w:pPr>
      <w:r w:rsidRPr="00872052">
        <w:rPr>
          <w:rFonts w:ascii="ITC Avant Garde" w:hAnsi="ITC Avant Garde"/>
          <w:noProof/>
          <w:lang w:val="es-MX" w:eastAsia="es-MX"/>
        </w:rPr>
        <w:drawing>
          <wp:inline distT="0" distB="0" distL="0" distR="0" wp14:anchorId="30EA8D27" wp14:editId="3135EDC8">
            <wp:extent cx="4895850" cy="2342564"/>
            <wp:effectExtent l="0" t="0" r="0" b="635"/>
            <wp:docPr id="36" name="Image 16" descr="A aerial view of a f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16" descr="A aerial view of a far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13235" cy="2350882"/>
                    </a:xfrm>
                    <a:prstGeom prst="rect">
                      <a:avLst/>
                    </a:prstGeom>
                    <a:noFill/>
                  </pic:spPr>
                </pic:pic>
              </a:graphicData>
            </a:graphic>
          </wp:inline>
        </w:drawing>
      </w:r>
    </w:p>
    <w:p w14:paraId="2B95BF0C" w14:textId="77777777" w:rsidR="00A66A23" w:rsidRPr="00E14D8A" w:rsidRDefault="00A66A23" w:rsidP="00A66A23">
      <w:pPr>
        <w:pStyle w:val="Source"/>
        <w:keepNext/>
        <w:rPr>
          <w:rFonts w:ascii="ITC Avant Garde" w:hAnsi="ITC Avant Garde"/>
          <w:lang w:val="es-MX"/>
        </w:rPr>
      </w:pPr>
      <w:r w:rsidRPr="004C1A96">
        <w:rPr>
          <w:rFonts w:ascii="ITC Avant Garde" w:hAnsi="ITC Avant Garde"/>
          <w:lang w:val="es-MX"/>
        </w:rPr>
        <w:t>¿</w:t>
      </w:r>
    </w:p>
    <w:p w14:paraId="63EE57B5" w14:textId="77777777" w:rsidR="00A66A23" w:rsidRPr="00E14D8A" w:rsidRDefault="00A66A23" w:rsidP="00A66A23">
      <w:pPr>
        <w:rPr>
          <w:rFonts w:ascii="ITC Avant Garde" w:hAnsi="ITC Avant Garde"/>
          <w:lang w:val="es-MX"/>
        </w:rPr>
      </w:pPr>
      <w:r w:rsidRPr="00E14D8A">
        <w:rPr>
          <w:rFonts w:ascii="ITC Avant Garde" w:hAnsi="ITC Avant Garde"/>
          <w:lang w:val="es-MX"/>
        </w:rPr>
        <w:t>Durante el modelado, todas las viviendas se agregan para llegar a la CO siguiendo la red de carreteras.</w:t>
      </w:r>
    </w:p>
    <w:p w14:paraId="49A797F7" w14:textId="6DB63344" w:rsidR="00A66A23" w:rsidRPr="004C1A96" w:rsidRDefault="00A66A23" w:rsidP="00A66A23">
      <w:pPr>
        <w:rPr>
          <w:rFonts w:ascii="ITC Avant Garde" w:hAnsi="ITC Avant Garde"/>
          <w:lang w:val="es-MX"/>
        </w:rPr>
      </w:pPr>
      <w:r w:rsidRPr="004C1A96">
        <w:rPr>
          <w:rFonts w:ascii="ITC Avant Garde" w:hAnsi="ITC Avant Garde"/>
          <w:lang w:val="es-MX"/>
        </w:rPr>
        <w:t xml:space="preserve">La red vial final se ajusta en base a las bases de </w:t>
      </w:r>
      <w:r w:rsidR="00BF311C">
        <w:rPr>
          <w:rFonts w:ascii="ITC Avant Garde" w:hAnsi="ITC Avant Garde"/>
          <w:lang w:val="es-MX"/>
        </w:rPr>
        <w:t xml:space="preserve">carreteras disponibles, </w:t>
      </w:r>
      <w:r w:rsidRPr="004C1A96">
        <w:rPr>
          <w:rFonts w:ascii="ITC Avant Garde" w:hAnsi="ITC Avant Garde"/>
          <w:lang w:val="es-MX"/>
        </w:rPr>
        <w:t>la información vial utilizada en el modelo consiste en secciones de caminos y nodos al final de cada tramo de carretera. Una sección de carretera es un segmento de carretera que no se cruza con ninguna otra carretera.</w:t>
      </w:r>
    </w:p>
    <w:p w14:paraId="3D7DB712" w14:textId="77777777" w:rsidR="00A66A23" w:rsidRPr="004C1A96" w:rsidRDefault="00A66A23" w:rsidP="00A66A23">
      <w:pPr>
        <w:rPr>
          <w:rFonts w:ascii="ITC Avant Garde" w:hAnsi="ITC Avant Garde"/>
          <w:lang w:val="es-MX"/>
        </w:rPr>
      </w:pPr>
      <w:r w:rsidRPr="004C1A96">
        <w:rPr>
          <w:rFonts w:ascii="ITC Avant Garde" w:hAnsi="ITC Avant Garde"/>
          <w:lang w:val="es-MX"/>
        </w:rPr>
        <w:t> </w:t>
      </w:r>
    </w:p>
    <w:p w14:paraId="1AE50D4D" w14:textId="29D1CD2D" w:rsidR="00A66A23" w:rsidRPr="004C1A96" w:rsidRDefault="006D69ED" w:rsidP="00A66A23">
      <w:pPr>
        <w:pStyle w:val="Descripcin"/>
        <w:keepNext/>
        <w:rPr>
          <w:rFonts w:ascii="ITC Avant Garde" w:hAnsi="ITC Avant Garde"/>
        </w:rPr>
      </w:pPr>
      <w:r w:rsidRPr="004C1A96">
        <w:rPr>
          <w:rFonts w:ascii="ITC Avant Garde" w:hAnsi="ITC Avant Garde"/>
          <w:lang w:val="es-MX"/>
        </w:rPr>
        <w:lastRenderedPageBreak/>
        <w:t xml:space="preserve">Figura </w:t>
      </w:r>
      <w:r w:rsidRPr="004C1A96">
        <w:rPr>
          <w:rFonts w:ascii="ITC Avant Garde" w:hAnsi="ITC Avant Garde"/>
          <w:lang w:val="es-MX"/>
        </w:rPr>
        <w:fldChar w:fldCharType="begin"/>
      </w:r>
      <w:r w:rsidRPr="004C1A96">
        <w:rPr>
          <w:rFonts w:ascii="ITC Avant Garde" w:hAnsi="ITC Avant Garde"/>
          <w:lang w:val="es-MX"/>
        </w:rPr>
        <w:instrText xml:space="preserve"> SEQ Figura \* ARABIC </w:instrText>
      </w:r>
      <w:r w:rsidRPr="004C1A96">
        <w:rPr>
          <w:rFonts w:ascii="ITC Avant Garde" w:hAnsi="ITC Avant Garde"/>
          <w:lang w:val="es-MX"/>
        </w:rPr>
        <w:fldChar w:fldCharType="separate"/>
      </w:r>
      <w:r w:rsidR="00006265">
        <w:rPr>
          <w:rFonts w:ascii="ITC Avant Garde" w:hAnsi="ITC Avant Garde"/>
          <w:noProof/>
          <w:lang w:val="es-MX"/>
        </w:rPr>
        <w:t>16</w:t>
      </w:r>
      <w:r w:rsidRPr="004C1A96">
        <w:rPr>
          <w:rFonts w:ascii="ITC Avant Garde" w:hAnsi="ITC Avant Garde"/>
          <w:lang w:val="es-MX"/>
        </w:rPr>
        <w:fldChar w:fldCharType="end"/>
      </w:r>
      <w:r w:rsidRPr="004C1A96">
        <w:rPr>
          <w:rFonts w:ascii="ITC Avant Garde" w:hAnsi="ITC Avant Garde"/>
          <w:lang w:val="es-MX"/>
        </w:rPr>
        <w:t xml:space="preserve"> </w:t>
      </w:r>
      <w:r w:rsidR="00A66A23" w:rsidRPr="004C1A96">
        <w:rPr>
          <w:rFonts w:ascii="ITC Avant Garde" w:hAnsi="ITC Avant Garde"/>
        </w:rPr>
        <w:t>- Secciones de camino</w:t>
      </w:r>
    </w:p>
    <w:p w14:paraId="603BFBB1" w14:textId="6485B71D" w:rsidR="00A66A23" w:rsidRPr="004C1A96" w:rsidRDefault="00221F97" w:rsidP="00A66A23">
      <w:pPr>
        <w:rPr>
          <w:rFonts w:ascii="ITC Avant Garde" w:hAnsi="ITC Avant Garde"/>
          <w:lang w:val="es-MX"/>
        </w:rPr>
      </w:pPr>
      <w:r w:rsidRPr="00872052">
        <w:rPr>
          <w:rFonts w:ascii="ITC Avant Garde" w:hAnsi="ITC Avant Garde"/>
          <w:noProof/>
          <w:lang w:val="es-MX" w:eastAsia="es-MX"/>
        </w:rPr>
        <w:drawing>
          <wp:inline distT="0" distB="0" distL="0" distR="0" wp14:anchorId="78CEB4DD" wp14:editId="2CFD809E">
            <wp:extent cx="4880610" cy="2009775"/>
            <wp:effectExtent l="0" t="0" r="0" b="9525"/>
            <wp:docPr id="3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80610" cy="2009775"/>
                    </a:xfrm>
                    <a:prstGeom prst="rect">
                      <a:avLst/>
                    </a:prstGeom>
                    <a:noFill/>
                    <a:ln>
                      <a:noFill/>
                    </a:ln>
                  </pic:spPr>
                </pic:pic>
              </a:graphicData>
            </a:graphic>
          </wp:inline>
        </w:drawing>
      </w:r>
    </w:p>
    <w:p w14:paraId="7833A265" w14:textId="77777777" w:rsidR="00A66A23" w:rsidRPr="004C1A96" w:rsidRDefault="00A66A23" w:rsidP="00A66A23">
      <w:pPr>
        <w:pStyle w:val="Source"/>
        <w:keepNext/>
        <w:rPr>
          <w:rFonts w:ascii="ITC Avant Garde" w:hAnsi="ITC Avant Garde"/>
          <w:lang w:val="es-MX"/>
        </w:rPr>
      </w:pPr>
    </w:p>
    <w:p w14:paraId="6FE9E883" w14:textId="77777777" w:rsidR="00A66A23" w:rsidRPr="00FF2101" w:rsidRDefault="00A66A23" w:rsidP="0040723E">
      <w:pPr>
        <w:pStyle w:val="Ttulo3"/>
        <w:rPr>
          <w:lang w:val="es-ES"/>
        </w:rPr>
      </w:pPr>
      <w:bookmarkStart w:id="207" w:name="_Toc525672860"/>
      <w:bookmarkStart w:id="208" w:name="_Toc525665300"/>
      <w:bookmarkStart w:id="209" w:name="_Toc525665679"/>
      <w:bookmarkStart w:id="210" w:name="_Toc141975037"/>
      <w:r w:rsidRPr="00FF2101">
        <w:rPr>
          <w:lang w:val="es-ES"/>
        </w:rPr>
        <w:t>Trabajo preliminar en la ubicación de los nodos</w:t>
      </w:r>
      <w:bookmarkEnd w:id="207"/>
      <w:bookmarkEnd w:id="208"/>
      <w:bookmarkEnd w:id="209"/>
      <w:bookmarkEnd w:id="210"/>
    </w:p>
    <w:p w14:paraId="7B89D21D" w14:textId="191C3DAE" w:rsidR="00A66A23" w:rsidRPr="00E14D8A" w:rsidRDefault="00A66A23" w:rsidP="00A66A23">
      <w:pPr>
        <w:rPr>
          <w:rFonts w:ascii="ITC Avant Garde" w:hAnsi="ITC Avant Garde"/>
          <w:lang w:val="es-MX"/>
        </w:rPr>
      </w:pPr>
      <w:r w:rsidRPr="004C1A96">
        <w:rPr>
          <w:rFonts w:ascii="ITC Avant Garde" w:hAnsi="ITC Avant Garde"/>
          <w:lang w:val="es-MX"/>
        </w:rPr>
        <w:t xml:space="preserve">Las bases de datos que describen la ubicación de los nodos </w:t>
      </w:r>
      <w:r w:rsidR="00BF311C">
        <w:rPr>
          <w:rFonts w:ascii="ITC Avant Garde" w:hAnsi="ITC Avant Garde"/>
          <w:lang w:val="es-MX"/>
        </w:rPr>
        <w:t xml:space="preserve">fueron </w:t>
      </w:r>
      <w:r w:rsidRPr="004C1A96">
        <w:rPr>
          <w:rFonts w:ascii="ITC Avant Garde" w:hAnsi="ITC Avant Garde"/>
          <w:lang w:val="es-MX"/>
        </w:rPr>
        <w:t>provistas por el AEP</w:t>
      </w:r>
      <w:r w:rsidR="00AF6757">
        <w:rPr>
          <w:rFonts w:ascii="ITC Avant Garde" w:hAnsi="ITC Avant Garde"/>
          <w:lang w:val="es-MX"/>
        </w:rPr>
        <w:t>.</w:t>
      </w:r>
      <w:r w:rsidRPr="00E14D8A">
        <w:rPr>
          <w:rFonts w:ascii="ITC Avant Garde" w:hAnsi="ITC Avant Garde"/>
          <w:lang w:val="es-MX"/>
        </w:rPr>
        <w:t xml:space="preserve"> </w:t>
      </w:r>
    </w:p>
    <w:p w14:paraId="1BC3711C" w14:textId="6B76FC59" w:rsidR="00891405" w:rsidRDefault="00A66A23" w:rsidP="00A66A23">
      <w:pPr>
        <w:rPr>
          <w:rFonts w:ascii="ITC Avant Garde" w:hAnsi="ITC Avant Garde"/>
          <w:lang w:val="es-MX"/>
        </w:rPr>
      </w:pPr>
      <w:r w:rsidRPr="00E14D8A">
        <w:rPr>
          <w:rFonts w:ascii="ITC Avant Garde" w:hAnsi="ITC Avant Garde"/>
          <w:lang w:val="es-MX"/>
        </w:rPr>
        <w:t>En general, los nodos de fibra tienen la misma posición que los de cobre, lo que significa que las Centrales (CO) de fibra se han posicionado ex post en las mismas posiciones que l</w:t>
      </w:r>
      <w:r w:rsidR="00AF54E8">
        <w:rPr>
          <w:rFonts w:ascii="ITC Avant Garde" w:hAnsi="ITC Avant Garde"/>
          <w:lang w:val="es-MX"/>
        </w:rPr>
        <w:t>a</w:t>
      </w:r>
      <w:r w:rsidRPr="00E14D8A">
        <w:rPr>
          <w:rFonts w:ascii="ITC Avant Garde" w:hAnsi="ITC Avant Garde"/>
          <w:lang w:val="es-MX"/>
        </w:rPr>
        <w:t xml:space="preserve">s CO de cobre. </w:t>
      </w:r>
    </w:p>
    <w:p w14:paraId="416B9213" w14:textId="1C993D6A" w:rsidR="00891405" w:rsidRPr="00891405" w:rsidRDefault="00475E24" w:rsidP="00891405">
      <w:pPr>
        <w:rPr>
          <w:rFonts w:ascii="ITC Avant Garde" w:hAnsi="ITC Avant Garde"/>
          <w:lang w:val="es-MX"/>
        </w:rPr>
      </w:pPr>
      <w:r>
        <w:rPr>
          <w:rFonts w:ascii="ITC Avant Garde" w:hAnsi="ITC Avant Garde"/>
          <w:lang w:val="es-MX"/>
        </w:rPr>
        <w:t xml:space="preserve">Con el objetivo de seguir el enfoque </w:t>
      </w:r>
      <w:r w:rsidRPr="00891405">
        <w:rPr>
          <w:rFonts w:ascii="ITC Avant Garde" w:hAnsi="ITC Avant Garde"/>
          <w:lang w:val="es-MX"/>
        </w:rPr>
        <w:t>‘Scorched Node modificado’</w:t>
      </w:r>
      <w:r>
        <w:rPr>
          <w:rFonts w:ascii="ITC Avant Garde" w:hAnsi="ITC Avant Garde"/>
          <w:lang w:val="es-MX"/>
        </w:rPr>
        <w:t xml:space="preserve">, el modelo parte de la información </w:t>
      </w:r>
      <w:r w:rsidR="00891405" w:rsidRPr="00891405">
        <w:rPr>
          <w:rFonts w:ascii="ITC Avant Garde" w:hAnsi="ITC Avant Garde"/>
          <w:lang w:val="es-MX"/>
        </w:rPr>
        <w:t>sobre la ubicación de Centrales (COs, Central Offices) y Cajas de distribución (PDPs, Primary Distribution Points) proporcionada por el AEP, a la cual se realizaron algunos ajustes de eficiencia</w:t>
      </w:r>
      <w:r w:rsidR="00AF54E8">
        <w:rPr>
          <w:rFonts w:ascii="ITC Avant Garde" w:hAnsi="ITC Avant Garde"/>
          <w:lang w:val="es-MX"/>
        </w:rPr>
        <w:t>:</w:t>
      </w:r>
      <w:r w:rsidR="00091947">
        <w:rPr>
          <w:rFonts w:ascii="ITC Avant Garde" w:hAnsi="ITC Avant Garde"/>
          <w:lang w:val="es-MX"/>
        </w:rPr>
        <w:t xml:space="preserve"> </w:t>
      </w:r>
    </w:p>
    <w:p w14:paraId="3F54FD2E" w14:textId="7B927CA6" w:rsidR="00091947" w:rsidRPr="00FF2101" w:rsidRDefault="00091947" w:rsidP="00FF2101">
      <w:pPr>
        <w:pStyle w:val="Lsiet"/>
        <w:rPr>
          <w:rFonts w:ascii="ITC Avant Garde" w:hAnsi="ITC Avant Garde"/>
          <w:lang w:val="es-ES"/>
        </w:rPr>
      </w:pPr>
      <w:r w:rsidRPr="00FF2101">
        <w:rPr>
          <w:rFonts w:ascii="ITC Avant Garde" w:hAnsi="ITC Avant Garde"/>
          <w:lang w:val="es-ES"/>
        </w:rPr>
        <w:t>Se fusionaron los PDPs que estaban situados entre sí a menos de 20 metros de distancia.</w:t>
      </w:r>
    </w:p>
    <w:p w14:paraId="06964C36" w14:textId="54165820" w:rsidR="00891405" w:rsidRPr="00FF2101" w:rsidRDefault="00091947" w:rsidP="00FF2101">
      <w:pPr>
        <w:pStyle w:val="Lsiet"/>
        <w:rPr>
          <w:rFonts w:ascii="ITC Avant Garde" w:hAnsi="ITC Avant Garde"/>
          <w:lang w:val="es-ES"/>
        </w:rPr>
      </w:pPr>
      <w:r w:rsidRPr="00FF2101">
        <w:rPr>
          <w:rFonts w:ascii="ITC Avant Garde" w:hAnsi="ITC Avant Garde"/>
          <w:lang w:val="es-ES"/>
        </w:rPr>
        <w:t>Para los PDP</w:t>
      </w:r>
      <w:r w:rsidR="00AF54E8" w:rsidRPr="00FF2101">
        <w:rPr>
          <w:rFonts w:ascii="ITC Avant Garde" w:hAnsi="ITC Avant Garde"/>
          <w:lang w:val="es-ES"/>
        </w:rPr>
        <w:t>s</w:t>
      </w:r>
      <w:r w:rsidRPr="00FF2101">
        <w:rPr>
          <w:rFonts w:ascii="ITC Avant Garde" w:hAnsi="ITC Avant Garde"/>
          <w:lang w:val="es-ES"/>
        </w:rPr>
        <w:t xml:space="preserve"> que no presentaban </w:t>
      </w:r>
      <w:r w:rsidR="00891405" w:rsidRPr="00FF2101">
        <w:rPr>
          <w:rFonts w:ascii="ITC Avant Garde" w:hAnsi="ITC Avant Garde"/>
          <w:lang w:val="es-ES"/>
        </w:rPr>
        <w:t>coordenadas geogr</w:t>
      </w:r>
      <w:r w:rsidR="00891405" w:rsidRPr="00FF2101">
        <w:rPr>
          <w:rFonts w:ascii="ITC Avant Garde" w:hAnsi="ITC Avant Garde" w:cs="Calibri"/>
          <w:lang w:val="es-ES"/>
        </w:rPr>
        <w:t>á</w:t>
      </w:r>
      <w:r w:rsidR="00891405" w:rsidRPr="00FF2101">
        <w:rPr>
          <w:rFonts w:ascii="ITC Avant Garde" w:hAnsi="ITC Avant Garde"/>
          <w:lang w:val="es-ES"/>
        </w:rPr>
        <w:t>ficas</w:t>
      </w:r>
      <w:r w:rsidRPr="00FF2101">
        <w:rPr>
          <w:rFonts w:ascii="ITC Avant Garde" w:hAnsi="ITC Avant Garde"/>
          <w:lang w:val="es-ES"/>
        </w:rPr>
        <w:t>,</w:t>
      </w:r>
      <w:r w:rsidR="00891405" w:rsidRPr="00FF2101">
        <w:rPr>
          <w:rFonts w:ascii="ITC Avant Garde" w:hAnsi="ITC Avant Garde"/>
          <w:lang w:val="es-ES"/>
        </w:rPr>
        <w:t xml:space="preserve"> se modelaron </w:t>
      </w:r>
      <w:r w:rsidR="00891405" w:rsidRPr="00FF2101">
        <w:rPr>
          <w:rFonts w:ascii="ITC Avant Garde" w:hAnsi="ITC Avant Garde" w:cs="Calibri"/>
          <w:lang w:val="es-ES"/>
        </w:rPr>
        <w:t>“</w:t>
      </w:r>
      <w:r w:rsidR="00891405" w:rsidRPr="00FF2101">
        <w:rPr>
          <w:rFonts w:ascii="ITC Avant Garde" w:hAnsi="ITC Avant Garde"/>
          <w:lang w:val="es-ES"/>
        </w:rPr>
        <w:t>From scratch</w:t>
      </w:r>
      <w:r w:rsidR="00891405" w:rsidRPr="00FF2101">
        <w:rPr>
          <w:rFonts w:ascii="ITC Avant Garde" w:hAnsi="ITC Avant Garde" w:cs="Calibri"/>
          <w:lang w:val="es-ES"/>
        </w:rPr>
        <w:t>”</w:t>
      </w:r>
      <w:r w:rsidR="00AF54E8" w:rsidRPr="00FF2101">
        <w:rPr>
          <w:rFonts w:ascii="ITC Avant Garde" w:hAnsi="ITC Avant Garde" w:cs="Calibri"/>
          <w:lang w:val="es-ES"/>
        </w:rPr>
        <w:t>,</w:t>
      </w:r>
      <w:r w:rsidR="00891405" w:rsidRPr="00FF2101">
        <w:rPr>
          <w:rFonts w:ascii="ITC Avant Garde" w:hAnsi="ITC Avant Garde"/>
          <w:lang w:val="es-ES"/>
        </w:rPr>
        <w:t xml:space="preserve"> de manera que </w:t>
      </w:r>
      <w:r w:rsidRPr="00FF2101">
        <w:rPr>
          <w:rFonts w:ascii="ITC Avant Garde" w:hAnsi="ITC Avant Garde"/>
          <w:lang w:val="es-ES"/>
        </w:rPr>
        <w:t xml:space="preserve">pudieran satisfacer </w:t>
      </w:r>
      <w:r w:rsidR="00891405" w:rsidRPr="00FF2101">
        <w:rPr>
          <w:rFonts w:ascii="ITC Avant Garde" w:hAnsi="ITC Avant Garde"/>
          <w:lang w:val="es-ES"/>
        </w:rPr>
        <w:t>la demanda pasiva de la manera más eficiente posible</w:t>
      </w:r>
      <w:r w:rsidRPr="00FF2101">
        <w:rPr>
          <w:rFonts w:ascii="ITC Avant Garde" w:hAnsi="ITC Avant Garde"/>
          <w:lang w:val="es-ES"/>
        </w:rPr>
        <w:t>.</w:t>
      </w:r>
    </w:p>
    <w:p w14:paraId="57EC94D9" w14:textId="77777777" w:rsidR="00A66A23" w:rsidRPr="00FF2101" w:rsidRDefault="00A66A23" w:rsidP="00FF2101">
      <w:pPr>
        <w:pStyle w:val="Lsiet"/>
        <w:numPr>
          <w:ilvl w:val="0"/>
          <w:numId w:val="0"/>
        </w:numPr>
        <w:ind w:left="720" w:hanging="360"/>
        <w:rPr>
          <w:rFonts w:ascii="ITC Avant Garde" w:hAnsi="ITC Avant Garde"/>
          <w:lang w:val="es-MX"/>
        </w:rPr>
      </w:pPr>
    </w:p>
    <w:p w14:paraId="2A171D5A" w14:textId="77777777" w:rsidR="00A66A23" w:rsidRPr="00FF2101" w:rsidRDefault="00A66A23" w:rsidP="0040723E">
      <w:pPr>
        <w:pStyle w:val="Ttulo3"/>
        <w:rPr>
          <w:lang w:val="es-ES"/>
        </w:rPr>
      </w:pPr>
      <w:bookmarkStart w:id="211" w:name="_Toc525672861"/>
      <w:bookmarkStart w:id="212" w:name="_Toc525665301"/>
      <w:bookmarkStart w:id="213" w:name="_Toc525665680"/>
      <w:bookmarkStart w:id="214" w:name="_Toc141975038"/>
      <w:r w:rsidRPr="00FF2101">
        <w:rPr>
          <w:lang w:val="es-ES"/>
        </w:rPr>
        <w:t>Trabajo preliminar sobre la correspondencia entre PDP y CO</w:t>
      </w:r>
      <w:bookmarkEnd w:id="211"/>
      <w:bookmarkEnd w:id="212"/>
      <w:bookmarkEnd w:id="213"/>
      <w:bookmarkEnd w:id="214"/>
    </w:p>
    <w:p w14:paraId="53CDDB56" w14:textId="717BC0A1" w:rsidR="00A66A23" w:rsidRPr="00E14D8A" w:rsidRDefault="00A66A23" w:rsidP="00A66A23">
      <w:pPr>
        <w:rPr>
          <w:rFonts w:ascii="ITC Avant Garde" w:hAnsi="ITC Avant Garde"/>
          <w:lang w:val="es-MX"/>
        </w:rPr>
      </w:pPr>
      <w:r w:rsidRPr="004C1A96">
        <w:rPr>
          <w:rFonts w:ascii="ITC Avant Garde" w:hAnsi="ITC Avant Garde"/>
          <w:lang w:val="es-MX"/>
        </w:rPr>
        <w:t xml:space="preserve">El análisis de las listas PDP/CO proporcionadas por </w:t>
      </w:r>
      <w:r w:rsidRPr="00E14D8A">
        <w:rPr>
          <w:rFonts w:ascii="ITC Avant Garde" w:hAnsi="ITC Avant Garde"/>
          <w:lang w:val="es-MX"/>
        </w:rPr>
        <w:t>el AEP revel</w:t>
      </w:r>
      <w:r w:rsidR="0078728F">
        <w:rPr>
          <w:rFonts w:ascii="ITC Avant Garde" w:hAnsi="ITC Avant Garde"/>
          <w:lang w:val="es-MX"/>
        </w:rPr>
        <w:t xml:space="preserve">ó </w:t>
      </w:r>
      <w:r w:rsidRPr="00E14D8A">
        <w:rPr>
          <w:rFonts w:ascii="ITC Avant Garde" w:hAnsi="ITC Avant Garde"/>
          <w:lang w:val="es-MX"/>
        </w:rPr>
        <w:t xml:space="preserve">que los datos iniciales proporcionados </w:t>
      </w:r>
      <w:r w:rsidR="0078728F">
        <w:rPr>
          <w:rFonts w:ascii="ITC Avant Garde" w:hAnsi="ITC Avant Garde"/>
          <w:lang w:val="es-MX"/>
        </w:rPr>
        <w:t xml:space="preserve">contenían </w:t>
      </w:r>
      <w:r w:rsidRPr="00E14D8A">
        <w:rPr>
          <w:rFonts w:ascii="ITC Avant Garde" w:hAnsi="ITC Avant Garde"/>
          <w:lang w:val="es-MX"/>
        </w:rPr>
        <w:t>algunas inconsistencias con respecto a la asociación de los PDP a un CO que parecen ser ineficientes.</w:t>
      </w:r>
    </w:p>
    <w:p w14:paraId="1B6463B0" w14:textId="01C11A2C" w:rsidR="00A66A23" w:rsidRPr="00E14D8A" w:rsidRDefault="00A66A23" w:rsidP="00A66A23">
      <w:pPr>
        <w:rPr>
          <w:rFonts w:ascii="ITC Avant Garde" w:hAnsi="ITC Avant Garde"/>
          <w:lang w:val="es-MX"/>
        </w:rPr>
      </w:pPr>
      <w:r w:rsidRPr="00E14D8A">
        <w:rPr>
          <w:rFonts w:ascii="ITC Avant Garde" w:hAnsi="ITC Avant Garde"/>
          <w:lang w:val="es-MX"/>
        </w:rPr>
        <w:t xml:space="preserve">Un ejemplo de esto se puede ver en la figura a bajo que muestra </w:t>
      </w:r>
      <w:r w:rsidR="00A2218B">
        <w:rPr>
          <w:rFonts w:ascii="ITC Avant Garde" w:hAnsi="ITC Avant Garde"/>
          <w:lang w:val="es-MX"/>
        </w:rPr>
        <w:t xml:space="preserve">un ejemplo ilustrativo de </w:t>
      </w:r>
      <w:r w:rsidRPr="00E14D8A">
        <w:rPr>
          <w:rFonts w:ascii="ITC Avant Garde" w:hAnsi="ITC Avant Garde"/>
          <w:lang w:val="es-MX"/>
        </w:rPr>
        <w:t>que algunos PDP (‘SC_xx’) inicialmente asociados al CO ‘SC_’ estaban realmente dispersos entre los nodos del CO ‘AA_’.</w:t>
      </w:r>
    </w:p>
    <w:p w14:paraId="410F15EC" w14:textId="2C5FD473" w:rsidR="00A66A23" w:rsidRPr="004C1A96" w:rsidRDefault="00A66A23" w:rsidP="00A66A23">
      <w:pPr>
        <w:pStyle w:val="Descripcin"/>
        <w:keepNext/>
        <w:rPr>
          <w:rFonts w:ascii="ITC Avant Garde" w:hAnsi="ITC Avant Garde"/>
          <w:lang w:val="es-MX"/>
        </w:rPr>
      </w:pPr>
      <w:r w:rsidRPr="004C1A96">
        <w:rPr>
          <w:rFonts w:ascii="ITC Avant Garde" w:hAnsi="ITC Avant Garde"/>
          <w:lang w:val="es-MX"/>
        </w:rPr>
        <w:lastRenderedPageBreak/>
        <w:t> </w:t>
      </w:r>
      <w:r w:rsidR="006D69ED" w:rsidRPr="004C1A96">
        <w:rPr>
          <w:rFonts w:ascii="ITC Avant Garde" w:hAnsi="ITC Avant Garde"/>
          <w:lang w:val="es-MX"/>
        </w:rPr>
        <w:t xml:space="preserve">Figura </w:t>
      </w:r>
      <w:r w:rsidR="006D69ED" w:rsidRPr="004C1A96">
        <w:rPr>
          <w:rFonts w:ascii="ITC Avant Garde" w:hAnsi="ITC Avant Garde"/>
          <w:lang w:val="es-MX"/>
        </w:rPr>
        <w:fldChar w:fldCharType="begin"/>
      </w:r>
      <w:r w:rsidR="006D69ED" w:rsidRPr="004C1A96">
        <w:rPr>
          <w:rFonts w:ascii="ITC Avant Garde" w:hAnsi="ITC Avant Garde"/>
          <w:lang w:val="es-MX"/>
        </w:rPr>
        <w:instrText xml:space="preserve"> SEQ Figura \* ARABIC </w:instrText>
      </w:r>
      <w:r w:rsidR="006D69ED" w:rsidRPr="004C1A96">
        <w:rPr>
          <w:rFonts w:ascii="ITC Avant Garde" w:hAnsi="ITC Avant Garde"/>
          <w:lang w:val="es-MX"/>
        </w:rPr>
        <w:fldChar w:fldCharType="separate"/>
      </w:r>
      <w:r w:rsidR="00006265">
        <w:rPr>
          <w:rFonts w:ascii="ITC Avant Garde" w:hAnsi="ITC Avant Garde"/>
          <w:noProof/>
          <w:lang w:val="es-MX"/>
        </w:rPr>
        <w:t>17</w:t>
      </w:r>
      <w:r w:rsidR="006D69ED" w:rsidRPr="004C1A96">
        <w:rPr>
          <w:rFonts w:ascii="ITC Avant Garde" w:hAnsi="ITC Avant Garde"/>
          <w:lang w:val="es-MX"/>
        </w:rPr>
        <w:fldChar w:fldCharType="end"/>
      </w:r>
      <w:r w:rsidR="006D69ED" w:rsidRPr="004C1A96">
        <w:rPr>
          <w:rFonts w:ascii="ITC Avant Garde" w:hAnsi="ITC Avant Garde"/>
          <w:lang w:val="es-MX"/>
        </w:rPr>
        <w:t xml:space="preserve"> </w:t>
      </w:r>
      <w:r w:rsidRPr="004C1A96">
        <w:rPr>
          <w:rFonts w:ascii="ITC Avant Garde" w:hAnsi="ITC Avant Garde"/>
          <w:lang w:val="es-MX"/>
        </w:rPr>
        <w:t>- Ejemplo de problemas de adaptación entre algunos PDP a algunos CO</w:t>
      </w:r>
    </w:p>
    <w:p w14:paraId="7AC8CFE1" w14:textId="711EDB7C" w:rsidR="00A66A23" w:rsidRPr="004C1A96" w:rsidRDefault="00221F97" w:rsidP="00A66A23">
      <w:pPr>
        <w:rPr>
          <w:rFonts w:ascii="ITC Avant Garde" w:hAnsi="ITC Avant Garde"/>
          <w:lang w:val="es-MX"/>
        </w:rPr>
      </w:pPr>
      <w:r w:rsidRPr="00872052">
        <w:rPr>
          <w:rFonts w:ascii="ITC Avant Garde" w:hAnsi="ITC Avant Garde"/>
          <w:noProof/>
          <w:lang w:val="es-MX" w:eastAsia="es-MX"/>
        </w:rPr>
        <w:drawing>
          <wp:inline distT="0" distB="0" distL="0" distR="0" wp14:anchorId="47D7255F" wp14:editId="23C19B22">
            <wp:extent cx="5399405" cy="3097333"/>
            <wp:effectExtent l="0" t="0" r="0" b="8255"/>
            <wp:docPr id="46" name="Image 26" descr="A map with many poin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26" descr="A map with many points and line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99405" cy="3097333"/>
                    </a:xfrm>
                    <a:prstGeom prst="rect">
                      <a:avLst/>
                    </a:prstGeom>
                    <a:noFill/>
                  </pic:spPr>
                </pic:pic>
              </a:graphicData>
            </a:graphic>
          </wp:inline>
        </w:drawing>
      </w:r>
    </w:p>
    <w:p w14:paraId="04DBE014" w14:textId="77777777" w:rsidR="00A66A23" w:rsidRPr="004C1A96" w:rsidRDefault="00A66A23" w:rsidP="00A66A23">
      <w:pPr>
        <w:rPr>
          <w:rFonts w:ascii="ITC Avant Garde" w:hAnsi="ITC Avant Garde"/>
          <w:lang w:val="es-MX"/>
        </w:rPr>
      </w:pPr>
    </w:p>
    <w:p w14:paraId="02302421" w14:textId="3399D60D" w:rsidR="00A66A23" w:rsidRPr="00E14D8A" w:rsidRDefault="00A66A23" w:rsidP="00A66A23">
      <w:pPr>
        <w:rPr>
          <w:rFonts w:ascii="ITC Avant Garde" w:hAnsi="ITC Avant Garde"/>
          <w:lang w:val="es-MX"/>
        </w:rPr>
      </w:pPr>
      <w:r w:rsidRPr="00E14D8A">
        <w:rPr>
          <w:rFonts w:ascii="ITC Avant Garde" w:hAnsi="ITC Avant Garde"/>
          <w:lang w:val="es-MX"/>
        </w:rPr>
        <w:t xml:space="preserve">Este tipo de “inconsistencias” proviene generalmente de la historia del desarrollo del AEP, dado que la red se ha desplegada progresivamente, siguiendo el crecimiento de las zonas urbanas, por lo que un diseño óptimo a un cierto momento puede resultar en ser ineficiente unos años </w:t>
      </w:r>
      <w:r w:rsidR="0078728F" w:rsidRPr="00E14D8A">
        <w:rPr>
          <w:rFonts w:ascii="ITC Avant Garde" w:hAnsi="ITC Avant Garde"/>
          <w:lang w:val="es-MX"/>
        </w:rPr>
        <w:t>después</w:t>
      </w:r>
      <w:r w:rsidRPr="00E14D8A">
        <w:rPr>
          <w:rFonts w:ascii="ITC Avant Garde" w:hAnsi="ITC Avant Garde"/>
          <w:lang w:val="es-MX"/>
        </w:rPr>
        <w:t xml:space="preserve">. </w:t>
      </w:r>
    </w:p>
    <w:p w14:paraId="0BE6B6B2" w14:textId="77777777" w:rsidR="00A66A23" w:rsidRPr="004C1A96" w:rsidRDefault="00A66A23" w:rsidP="00A66A23">
      <w:pPr>
        <w:rPr>
          <w:rFonts w:ascii="ITC Avant Garde" w:hAnsi="ITC Avant Garde"/>
          <w:lang w:val="es-MX"/>
        </w:rPr>
      </w:pPr>
      <w:r w:rsidRPr="004C1A96">
        <w:rPr>
          <w:rFonts w:ascii="ITC Avant Garde" w:hAnsi="ITC Avant Garde"/>
          <w:lang w:val="es-MX"/>
        </w:rPr>
        <w:t>De acuerdo con el enfoque scorche node modificado que se adoptó, esas inconsistencias se corrigieron en las bases de datos resultantes con el fin de considerar un nivel de eficiencia más elevado, por lo que no se permiten superposiciones en las áreas de cobertura de CO.</w:t>
      </w:r>
    </w:p>
    <w:p w14:paraId="2CFB80B1" w14:textId="628BC83E" w:rsidR="00A66A23" w:rsidRPr="004C1A96" w:rsidRDefault="00A66A23" w:rsidP="00A66A23">
      <w:pPr>
        <w:rPr>
          <w:rFonts w:ascii="ITC Avant Garde" w:hAnsi="ITC Avant Garde"/>
          <w:lang w:val="es-MX"/>
        </w:rPr>
      </w:pPr>
      <w:r w:rsidRPr="004C1A96">
        <w:rPr>
          <w:rFonts w:ascii="ITC Avant Garde" w:hAnsi="ITC Avant Garde"/>
          <w:lang w:val="es-MX"/>
        </w:rPr>
        <w:t>Este ajuste se realiza cambiando la asociación entre PDP a CO, por ejemplo, los PDP AA_0015, AA_0016 y AA_0025 ya no est</w:t>
      </w:r>
      <w:r w:rsidR="00A2218B">
        <w:rPr>
          <w:rFonts w:ascii="ITC Avant Garde" w:hAnsi="ITC Avant Garde"/>
          <w:lang w:val="es-MX"/>
        </w:rPr>
        <w:t>arían</w:t>
      </w:r>
      <w:r w:rsidRPr="004C1A96">
        <w:rPr>
          <w:rFonts w:ascii="ITC Avant Garde" w:hAnsi="ITC Avant Garde"/>
          <w:lang w:val="es-MX"/>
        </w:rPr>
        <w:t xml:space="preserve"> asociados al CO AA_ sino al CO SC_ y, de forma similar, los PDP SC_0104 y SC_</w:t>
      </w:r>
      <w:r w:rsidR="00A2218B" w:rsidRPr="004C1A96">
        <w:rPr>
          <w:rFonts w:ascii="ITC Avant Garde" w:hAnsi="ITC Avant Garde"/>
          <w:lang w:val="es-MX"/>
        </w:rPr>
        <w:t>00</w:t>
      </w:r>
      <w:r w:rsidR="00A2218B">
        <w:rPr>
          <w:rFonts w:ascii="ITC Avant Garde" w:hAnsi="ITC Avant Garde"/>
          <w:lang w:val="es-MX"/>
        </w:rPr>
        <w:t>71</w:t>
      </w:r>
      <w:r w:rsidR="00A2218B" w:rsidRPr="004C1A96">
        <w:rPr>
          <w:rFonts w:ascii="ITC Avant Garde" w:hAnsi="ITC Avant Garde"/>
          <w:lang w:val="es-MX"/>
        </w:rPr>
        <w:t xml:space="preserve"> </w:t>
      </w:r>
      <w:r w:rsidRPr="004C1A96">
        <w:rPr>
          <w:rFonts w:ascii="ITC Avant Garde" w:hAnsi="ITC Avant Garde"/>
          <w:lang w:val="es-MX"/>
        </w:rPr>
        <w:t>están asociados al CO AA_.</w:t>
      </w:r>
    </w:p>
    <w:p w14:paraId="4D1357BE" w14:textId="6ED1FBD9" w:rsidR="00A66A23" w:rsidRPr="00FF2101" w:rsidRDefault="00A66A23" w:rsidP="0040723E">
      <w:pPr>
        <w:pStyle w:val="Ttulo3"/>
        <w:rPr>
          <w:lang w:val="es-ES"/>
        </w:rPr>
      </w:pPr>
      <w:bookmarkStart w:id="215" w:name="_Toc525672862"/>
      <w:bookmarkStart w:id="216" w:name="_Toc525665302"/>
      <w:bookmarkStart w:id="217" w:name="_Toc525665681"/>
      <w:bookmarkStart w:id="218" w:name="_Toc141975039"/>
      <w:r w:rsidRPr="00FF2101">
        <w:rPr>
          <w:lang w:val="es-ES"/>
        </w:rPr>
        <w:t>Trabajo preliminar en la base de datos de direcciones</w:t>
      </w:r>
      <w:bookmarkEnd w:id="215"/>
      <w:bookmarkEnd w:id="216"/>
      <w:bookmarkEnd w:id="217"/>
      <w:bookmarkEnd w:id="218"/>
    </w:p>
    <w:p w14:paraId="7A1A046A" w14:textId="77777777" w:rsidR="00A66A23" w:rsidRPr="00E14D8A" w:rsidRDefault="00A66A23" w:rsidP="00A66A23">
      <w:pPr>
        <w:rPr>
          <w:rFonts w:ascii="ITC Avant Garde" w:hAnsi="ITC Avant Garde"/>
          <w:lang w:val="es-MX"/>
        </w:rPr>
      </w:pPr>
      <w:r w:rsidRPr="004C1A96">
        <w:rPr>
          <w:rFonts w:ascii="ITC Avant Garde" w:hAnsi="ITC Avant Garde"/>
          <w:lang w:val="es-MX"/>
        </w:rPr>
        <w:t>Como se explica en la parte de principios metodológicos y conceptuales, las redes de acceso en el modelo CIPLP</w:t>
      </w:r>
      <w:r w:rsidRPr="00E14D8A">
        <w:rPr>
          <w:rFonts w:ascii="ITC Avant Garde" w:hAnsi="ITC Avant Garde"/>
          <w:lang w:val="es-MX"/>
        </w:rPr>
        <w:t xml:space="preserve"> se dimensionan pasando todas las premisas del área que cubren.</w:t>
      </w:r>
    </w:p>
    <w:p w14:paraId="53284207" w14:textId="0C767286" w:rsidR="00A66A23" w:rsidRPr="00E14D8A" w:rsidRDefault="00A66A23" w:rsidP="00A66A23">
      <w:pPr>
        <w:rPr>
          <w:rFonts w:ascii="ITC Avant Garde" w:hAnsi="ITC Avant Garde"/>
          <w:lang w:val="es-MX"/>
        </w:rPr>
      </w:pPr>
      <w:r w:rsidRPr="00E14D8A">
        <w:rPr>
          <w:rFonts w:ascii="ITC Avant Garde" w:hAnsi="ITC Avant Garde"/>
          <w:lang w:val="es-MX"/>
        </w:rPr>
        <w:t>La huella total y la distribución de edificios se identifica con base en las siguientes fuentes</w:t>
      </w:r>
      <w:r w:rsidR="00767755">
        <w:rPr>
          <w:rFonts w:ascii="ITC Avant Garde" w:hAnsi="ITC Avant Garde"/>
          <w:lang w:val="es-MX"/>
        </w:rPr>
        <w:t xml:space="preserve">, en línea con lo señalado en la sección </w:t>
      </w:r>
      <w:r w:rsidR="00767755">
        <w:rPr>
          <w:rFonts w:ascii="ITC Avant Garde" w:hAnsi="ITC Avant Garde"/>
          <w:lang w:val="es-MX"/>
        </w:rPr>
        <w:fldChar w:fldCharType="begin"/>
      </w:r>
      <w:r w:rsidR="00767755">
        <w:rPr>
          <w:rFonts w:ascii="ITC Avant Garde" w:hAnsi="ITC Avant Garde"/>
          <w:lang w:val="es-MX"/>
        </w:rPr>
        <w:instrText xml:space="preserve"> REF _Ref141970485 \r \h </w:instrText>
      </w:r>
      <w:r w:rsidR="00767755">
        <w:rPr>
          <w:rFonts w:ascii="ITC Avant Garde" w:hAnsi="ITC Avant Garde"/>
          <w:lang w:val="es-MX"/>
        </w:rPr>
      </w:r>
      <w:r w:rsidR="00767755">
        <w:rPr>
          <w:rFonts w:ascii="ITC Avant Garde" w:hAnsi="ITC Avant Garde"/>
          <w:lang w:val="es-MX"/>
        </w:rPr>
        <w:fldChar w:fldCharType="separate"/>
      </w:r>
      <w:r w:rsidR="00006265">
        <w:rPr>
          <w:rFonts w:ascii="ITC Avant Garde" w:hAnsi="ITC Avant Garde" w:hint="eastAsia"/>
          <w:cs/>
          <w:lang w:val="es-MX"/>
        </w:rPr>
        <w:t>‎</w:t>
      </w:r>
      <w:r w:rsidR="00006265">
        <w:rPr>
          <w:rFonts w:ascii="ITC Avant Garde" w:hAnsi="ITC Avant Garde"/>
          <w:lang w:val="es-MX"/>
        </w:rPr>
        <w:t>3.2.1</w:t>
      </w:r>
      <w:r w:rsidR="00767755">
        <w:rPr>
          <w:rFonts w:ascii="ITC Avant Garde" w:hAnsi="ITC Avant Garde"/>
          <w:lang w:val="es-MX"/>
        </w:rPr>
        <w:fldChar w:fldCharType="end"/>
      </w:r>
      <w:r w:rsidRPr="00E14D8A">
        <w:rPr>
          <w:rFonts w:ascii="ITC Avant Garde" w:hAnsi="ITC Avant Garde"/>
          <w:lang w:val="es-MX"/>
        </w:rPr>
        <w:t>:</w:t>
      </w:r>
    </w:p>
    <w:p w14:paraId="4A79F98F" w14:textId="77777777" w:rsidR="00A66A23" w:rsidRPr="004C1A96" w:rsidRDefault="00A66A23" w:rsidP="00A66A23">
      <w:pPr>
        <w:pStyle w:val="Listaconvietas2"/>
        <w:rPr>
          <w:rFonts w:ascii="ITC Avant Garde" w:hAnsi="ITC Avant Garde"/>
          <w:lang w:val="es-MX"/>
        </w:rPr>
      </w:pPr>
      <w:r w:rsidRPr="004C1A96">
        <w:rPr>
          <w:rFonts w:ascii="ITC Avant Garde" w:hAnsi="ITC Avant Garde"/>
          <w:lang w:val="es-MX"/>
        </w:rPr>
        <w:t>Para el conteo de edificios residenciales y viviendas amanzanadas, se utilizan las bases IVLAYNE Nacional proporcionadas por INEGI;</w:t>
      </w:r>
    </w:p>
    <w:p w14:paraId="4467B5D2" w14:textId="77777777" w:rsidR="00A66A23" w:rsidRPr="004C1A96" w:rsidRDefault="00A66A23" w:rsidP="00A66A23">
      <w:pPr>
        <w:pStyle w:val="Listaconvietas2"/>
        <w:rPr>
          <w:rFonts w:ascii="ITC Avant Garde" w:hAnsi="ITC Avant Garde"/>
          <w:lang w:val="es-MX"/>
        </w:rPr>
      </w:pPr>
      <w:r w:rsidRPr="004C1A96">
        <w:rPr>
          <w:rFonts w:ascii="ITC Avant Garde" w:hAnsi="ITC Avant Garde"/>
          <w:lang w:val="es-MX"/>
        </w:rPr>
        <w:lastRenderedPageBreak/>
        <w:t>Para edificios comerciales, se usa la base de datos DENUE proporcionada por INEGI.</w:t>
      </w:r>
    </w:p>
    <w:p w14:paraId="59B70F15" w14:textId="77777777" w:rsidR="00A66A23" w:rsidRPr="004C1A96" w:rsidRDefault="00A66A23" w:rsidP="00A66A23">
      <w:pPr>
        <w:pStyle w:val="Listaconvietas2"/>
        <w:rPr>
          <w:rFonts w:ascii="ITC Avant Garde" w:hAnsi="ITC Avant Garde"/>
          <w:lang w:val="es-MX"/>
        </w:rPr>
      </w:pPr>
      <w:r w:rsidRPr="004C1A96">
        <w:rPr>
          <w:rFonts w:ascii="ITC Avant Garde" w:hAnsi="ITC Avant Garde"/>
          <w:lang w:val="es-MX"/>
        </w:rPr>
        <w:t>Para Manzanas, se utiliza la base de datos "Manzanas - Nacional" proporcionada por INEGI.</w:t>
      </w:r>
    </w:p>
    <w:p w14:paraId="5ECA71A4" w14:textId="4D7D277A" w:rsidR="00A66A23" w:rsidRPr="004C1A96" w:rsidRDefault="00A66A23" w:rsidP="00A66A23">
      <w:pPr>
        <w:rPr>
          <w:rFonts w:ascii="ITC Avant Garde" w:hAnsi="ITC Avant Garde"/>
          <w:lang w:val="es-MX"/>
        </w:rPr>
      </w:pPr>
      <w:r w:rsidRPr="004C1A96">
        <w:rPr>
          <w:rFonts w:ascii="ITC Avant Garde" w:hAnsi="ITC Avant Garde"/>
          <w:lang w:val="es-MX"/>
        </w:rPr>
        <w:t>El número de hogares se determin</w:t>
      </w:r>
      <w:r w:rsidR="00007E27">
        <w:rPr>
          <w:rFonts w:ascii="ITC Avant Garde" w:hAnsi="ITC Avant Garde"/>
          <w:lang w:val="es-MX"/>
        </w:rPr>
        <w:t>ó</w:t>
      </w:r>
      <w:r w:rsidRPr="004C1A96">
        <w:rPr>
          <w:rFonts w:ascii="ITC Avant Garde" w:hAnsi="ITC Avant Garde"/>
          <w:lang w:val="es-MX"/>
        </w:rPr>
        <w:t xml:space="preserve"> en función de la cantidad de viviendas contenidas en cada Manzana que se distribuy</w:t>
      </w:r>
      <w:r w:rsidR="00007E27">
        <w:rPr>
          <w:rFonts w:ascii="ITC Avant Garde" w:hAnsi="ITC Avant Garde"/>
          <w:lang w:val="es-MX"/>
        </w:rPr>
        <w:t>ó</w:t>
      </w:r>
      <w:r w:rsidRPr="004C1A96">
        <w:rPr>
          <w:rFonts w:ascii="ITC Avant Garde" w:hAnsi="ITC Avant Garde"/>
          <w:lang w:val="es-MX"/>
        </w:rPr>
        <w:t xml:space="preserve"> a los edificios utilizando la base de datos IVLAYNE que contiene la ubicación de todos los edificios y sus tipos (residencial / comercial).</w:t>
      </w:r>
    </w:p>
    <w:p w14:paraId="177698B1" w14:textId="223BDA9A" w:rsidR="00A66A23" w:rsidRPr="004C1A96" w:rsidRDefault="00007E27" w:rsidP="00A66A23">
      <w:pPr>
        <w:rPr>
          <w:rFonts w:ascii="ITC Avant Garde" w:hAnsi="ITC Avant Garde"/>
          <w:lang w:val="es-MX"/>
        </w:rPr>
      </w:pPr>
      <w:r>
        <w:rPr>
          <w:rFonts w:ascii="ITC Avant Garde" w:hAnsi="ITC Avant Garde"/>
          <w:lang w:val="es-MX"/>
        </w:rPr>
        <w:t>L</w:t>
      </w:r>
      <w:r w:rsidR="00A66A23" w:rsidRPr="004C1A96">
        <w:rPr>
          <w:rFonts w:ascii="ITC Avant Garde" w:hAnsi="ITC Avant Garde"/>
          <w:lang w:val="es-MX"/>
        </w:rPr>
        <w:t>a base de datos DENUE</w:t>
      </w:r>
      <w:r>
        <w:rPr>
          <w:rFonts w:ascii="ITC Avant Garde" w:hAnsi="ITC Avant Garde"/>
          <w:lang w:val="es-MX"/>
        </w:rPr>
        <w:t>,</w:t>
      </w:r>
      <w:r w:rsidR="00A66A23" w:rsidRPr="004C1A96">
        <w:rPr>
          <w:rFonts w:ascii="ITC Avant Garde" w:hAnsi="ITC Avant Garde"/>
          <w:lang w:val="es-MX"/>
        </w:rPr>
        <w:t xml:space="preserve"> que contiene solo edificios comerciales con el número externo de cada edificio y el tamaño del negocio, se us</w:t>
      </w:r>
      <w:r>
        <w:rPr>
          <w:rFonts w:ascii="ITC Avant Garde" w:hAnsi="ITC Avant Garde"/>
          <w:lang w:val="es-MX"/>
        </w:rPr>
        <w:t>ó</w:t>
      </w:r>
      <w:r w:rsidR="00A66A23" w:rsidRPr="004C1A96">
        <w:rPr>
          <w:rFonts w:ascii="ITC Avant Garde" w:hAnsi="ITC Avant Garde"/>
          <w:lang w:val="es-MX"/>
        </w:rPr>
        <w:t xml:space="preserve"> como proxy para inferir el número de locales.</w:t>
      </w:r>
    </w:p>
    <w:p w14:paraId="3BCC784C" w14:textId="6D3E16B7" w:rsidR="00A66A23" w:rsidRPr="004C1A96" w:rsidRDefault="00A66A23" w:rsidP="00A66A23">
      <w:pPr>
        <w:rPr>
          <w:rFonts w:ascii="ITC Avant Garde" w:hAnsi="ITC Avant Garde"/>
          <w:lang w:val="es-MX"/>
        </w:rPr>
      </w:pPr>
      <w:r w:rsidRPr="004C1A96">
        <w:rPr>
          <w:rFonts w:ascii="ITC Avant Garde" w:hAnsi="ITC Avant Garde"/>
          <w:lang w:val="es-MX"/>
        </w:rPr>
        <w:t xml:space="preserve">Una vez compiladas todas estas bases de datos, los edificios se </w:t>
      </w:r>
      <w:r w:rsidR="00007E27">
        <w:rPr>
          <w:rFonts w:ascii="ITC Avant Garde" w:hAnsi="ITC Avant Garde"/>
          <w:lang w:val="es-MX"/>
        </w:rPr>
        <w:t xml:space="preserve">proyectaron </w:t>
      </w:r>
      <w:r w:rsidRPr="004C1A96">
        <w:rPr>
          <w:rFonts w:ascii="ITC Avant Garde" w:hAnsi="ITC Avant Garde"/>
          <w:lang w:val="es-MX"/>
        </w:rPr>
        <w:t>a la sección de la carretera correspondiente y para cada edificio se establece la cantidad de hogares y lugares de trabajo.</w:t>
      </w:r>
    </w:p>
    <w:p w14:paraId="2E2FC5B7" w14:textId="758AEF19" w:rsidR="00A66A23" w:rsidRPr="004C1A96" w:rsidRDefault="00A66A23" w:rsidP="00A66A23">
      <w:pPr>
        <w:pStyle w:val="Descripcin"/>
        <w:keepNext/>
        <w:rPr>
          <w:rFonts w:ascii="ITC Avant Garde" w:hAnsi="ITC Avant Garde"/>
          <w:lang w:val="es-MX"/>
        </w:rPr>
      </w:pPr>
      <w:r w:rsidRPr="004C1A96">
        <w:rPr>
          <w:rFonts w:ascii="ITC Avant Garde" w:hAnsi="ITC Avant Garde"/>
          <w:lang w:val="es-MX"/>
        </w:rPr>
        <w:t> </w:t>
      </w:r>
      <w:r w:rsidR="006D69ED" w:rsidRPr="004C1A96">
        <w:rPr>
          <w:rFonts w:ascii="ITC Avant Garde" w:hAnsi="ITC Avant Garde"/>
          <w:lang w:val="es-MX"/>
        </w:rPr>
        <w:t xml:space="preserve">Figura </w:t>
      </w:r>
      <w:r w:rsidR="006D69ED" w:rsidRPr="004C1A96">
        <w:rPr>
          <w:rFonts w:ascii="ITC Avant Garde" w:hAnsi="ITC Avant Garde"/>
          <w:lang w:val="es-MX"/>
        </w:rPr>
        <w:fldChar w:fldCharType="begin"/>
      </w:r>
      <w:r w:rsidR="006D69ED" w:rsidRPr="004C1A96">
        <w:rPr>
          <w:rFonts w:ascii="ITC Avant Garde" w:hAnsi="ITC Avant Garde"/>
          <w:lang w:val="es-MX"/>
        </w:rPr>
        <w:instrText xml:space="preserve"> SEQ Figura \* ARABIC </w:instrText>
      </w:r>
      <w:r w:rsidR="006D69ED" w:rsidRPr="004C1A96">
        <w:rPr>
          <w:rFonts w:ascii="ITC Avant Garde" w:hAnsi="ITC Avant Garde"/>
          <w:lang w:val="es-MX"/>
        </w:rPr>
        <w:fldChar w:fldCharType="separate"/>
      </w:r>
      <w:r w:rsidR="00006265">
        <w:rPr>
          <w:rFonts w:ascii="ITC Avant Garde" w:hAnsi="ITC Avant Garde"/>
          <w:noProof/>
          <w:lang w:val="es-MX"/>
        </w:rPr>
        <w:t>18</w:t>
      </w:r>
      <w:r w:rsidR="006D69ED" w:rsidRPr="004C1A96">
        <w:rPr>
          <w:rFonts w:ascii="ITC Avant Garde" w:hAnsi="ITC Avant Garde"/>
          <w:lang w:val="es-MX"/>
        </w:rPr>
        <w:fldChar w:fldCharType="end"/>
      </w:r>
      <w:r w:rsidR="006D69ED" w:rsidRPr="004C1A96">
        <w:rPr>
          <w:rFonts w:ascii="ITC Avant Garde" w:hAnsi="ITC Avant Garde"/>
          <w:lang w:val="es-MX"/>
        </w:rPr>
        <w:t xml:space="preserve"> </w:t>
      </w:r>
      <w:r w:rsidRPr="004C1A96">
        <w:rPr>
          <w:rFonts w:ascii="ITC Avant Garde" w:hAnsi="ITC Avant Garde"/>
          <w:lang w:val="es-MX"/>
        </w:rPr>
        <w:t>- Proyección de direcciones en la sección de la carretera</w:t>
      </w:r>
    </w:p>
    <w:p w14:paraId="79C0C99B" w14:textId="01FA6358" w:rsidR="00A66A23" w:rsidRPr="004C1A96" w:rsidRDefault="00007E27" w:rsidP="00A66A23">
      <w:pPr>
        <w:jc w:val="center"/>
        <w:rPr>
          <w:rFonts w:ascii="ITC Avant Garde" w:hAnsi="ITC Avant Garde"/>
          <w:lang w:val="es-MX"/>
        </w:rPr>
      </w:pPr>
      <w:r w:rsidRPr="00273E03">
        <w:rPr>
          <w:noProof/>
          <w:lang w:val="en-US" w:eastAsia="en-US"/>
        </w:rPr>
        <w:drawing>
          <wp:inline distT="0" distB="0" distL="0" distR="0" wp14:anchorId="36C50191" wp14:editId="6F993541">
            <wp:extent cx="2990850" cy="156991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2612"/>
                    <a:stretch/>
                  </pic:blipFill>
                  <pic:spPr bwMode="auto">
                    <a:xfrm>
                      <a:off x="0" y="0"/>
                      <a:ext cx="2993062" cy="1571071"/>
                    </a:xfrm>
                    <a:prstGeom prst="rect">
                      <a:avLst/>
                    </a:prstGeom>
                    <a:noFill/>
                    <a:ln>
                      <a:noFill/>
                    </a:ln>
                    <a:extLst>
                      <a:ext uri="{53640926-AAD7-44D8-BBD7-CCE9431645EC}">
                        <a14:shadowObscured xmlns:a14="http://schemas.microsoft.com/office/drawing/2010/main"/>
                      </a:ext>
                    </a:extLst>
                  </pic:spPr>
                </pic:pic>
              </a:graphicData>
            </a:graphic>
          </wp:inline>
        </w:drawing>
      </w:r>
    </w:p>
    <w:p w14:paraId="477EE447" w14:textId="47693FD3" w:rsidR="00007E27" w:rsidRPr="00E14D8A" w:rsidRDefault="00CA5DF9" w:rsidP="00CA5DF9">
      <w:pPr>
        <w:rPr>
          <w:rFonts w:ascii="ITC Avant Garde" w:hAnsi="ITC Avant Garde"/>
          <w:lang w:val="es-MX"/>
        </w:rPr>
      </w:pPr>
      <w:r>
        <w:rPr>
          <w:rFonts w:ascii="ITC Avant Garde" w:hAnsi="ITC Avant Garde"/>
          <w:lang w:val="es-MX"/>
        </w:rPr>
        <w:t>Por último, s</w:t>
      </w:r>
      <w:r w:rsidR="00A66A23" w:rsidRPr="00E14D8A">
        <w:rPr>
          <w:rFonts w:ascii="ITC Avant Garde" w:hAnsi="ITC Avant Garde"/>
          <w:lang w:val="es-MX"/>
        </w:rPr>
        <w:t>e debe tener en cuenta que</w:t>
      </w:r>
      <w:r>
        <w:rPr>
          <w:rFonts w:ascii="ITC Avant Garde" w:hAnsi="ITC Avant Garde"/>
          <w:lang w:val="es-MX"/>
        </w:rPr>
        <w:t>, en el caso d</w:t>
      </w:r>
      <w:r w:rsidR="00A66A23" w:rsidRPr="00E14D8A">
        <w:rPr>
          <w:rFonts w:ascii="ITC Avant Garde" w:hAnsi="ITC Avant Garde"/>
          <w:lang w:val="es-MX"/>
        </w:rPr>
        <w:t>el segmento "</w:t>
      </w:r>
      <w:r>
        <w:rPr>
          <w:rFonts w:ascii="ITC Avant Garde" w:hAnsi="ITC Avant Garde"/>
          <w:lang w:val="es-MX"/>
        </w:rPr>
        <w:t>Vertical</w:t>
      </w:r>
      <w:r w:rsidR="00A66A23" w:rsidRPr="00E14D8A">
        <w:rPr>
          <w:rFonts w:ascii="ITC Avant Garde" w:hAnsi="ITC Avant Garde"/>
          <w:lang w:val="es-MX"/>
        </w:rPr>
        <w:t>" (distancia entre la sección de la carretera y el edificio)</w:t>
      </w:r>
      <w:r>
        <w:rPr>
          <w:rFonts w:ascii="ITC Avant Garde" w:hAnsi="ITC Avant Garde"/>
          <w:lang w:val="es-MX"/>
        </w:rPr>
        <w:t>, el cálculo de las distancias asociad</w:t>
      </w:r>
      <w:r w:rsidR="009A616A">
        <w:rPr>
          <w:rFonts w:ascii="ITC Avant Garde" w:hAnsi="ITC Avant Garde"/>
          <w:lang w:val="es-MX"/>
        </w:rPr>
        <w:t>a</w:t>
      </w:r>
      <w:r>
        <w:rPr>
          <w:rFonts w:ascii="ITC Avant Garde" w:hAnsi="ITC Avant Garde"/>
          <w:lang w:val="es-MX"/>
        </w:rPr>
        <w:t xml:space="preserve">s a dichos segmentos </w:t>
      </w:r>
      <w:r w:rsidR="009A616A">
        <w:rPr>
          <w:rFonts w:ascii="ITC Avant Garde" w:hAnsi="ITC Avant Garde"/>
          <w:lang w:val="es-MX"/>
        </w:rPr>
        <w:t xml:space="preserve">verticales </w:t>
      </w:r>
      <w:r>
        <w:rPr>
          <w:rFonts w:ascii="ITC Avant Garde" w:hAnsi="ITC Avant Garde"/>
          <w:lang w:val="es-MX"/>
        </w:rPr>
        <w:t xml:space="preserve">se incluye en el </w:t>
      </w:r>
      <w:r w:rsidR="00B9665B">
        <w:rPr>
          <w:rFonts w:ascii="ITC Avant Garde" w:hAnsi="ITC Avant Garde"/>
          <w:lang w:val="es-MX"/>
        </w:rPr>
        <w:t>Módulo de “</w:t>
      </w:r>
      <w:r w:rsidR="00B9665B" w:rsidRPr="00B9665B">
        <w:rPr>
          <w:rFonts w:ascii="ITC Avant Garde" w:hAnsi="ITC Avant Garde"/>
          <w:lang w:val="es-MX"/>
        </w:rPr>
        <w:t>Costo de acceso a la red</w:t>
      </w:r>
      <w:r w:rsidR="00B9665B">
        <w:rPr>
          <w:rFonts w:ascii="ITC Avant Garde" w:hAnsi="ITC Avant Garde"/>
          <w:lang w:val="es-MX"/>
        </w:rPr>
        <w:t>”</w:t>
      </w:r>
      <w:r w:rsidR="00B9665B" w:rsidRPr="00B9665B">
        <w:rPr>
          <w:rFonts w:ascii="ITC Avant Garde" w:hAnsi="ITC Avant Garde"/>
          <w:lang w:val="es-MX"/>
        </w:rPr>
        <w:t xml:space="preserve"> (</w:t>
      </w:r>
      <w:r w:rsidR="00B9665B">
        <w:rPr>
          <w:rFonts w:ascii="ITC Avant Garde" w:hAnsi="ITC Avant Garde"/>
          <w:lang w:val="es-MX"/>
        </w:rPr>
        <w:t xml:space="preserve">en </w:t>
      </w:r>
      <w:r w:rsidR="00B9665B" w:rsidRPr="00B9665B">
        <w:rPr>
          <w:rFonts w:ascii="ITC Avant Garde" w:hAnsi="ITC Avant Garde"/>
          <w:lang w:val="es-MX"/>
        </w:rPr>
        <w:t>Microsoft Excel)</w:t>
      </w:r>
      <w:r>
        <w:rPr>
          <w:rFonts w:ascii="ITC Avant Garde" w:hAnsi="ITC Avant Garde"/>
          <w:lang w:val="es-MX"/>
        </w:rPr>
        <w:t xml:space="preserve">, para lo que se ha tenido en cuenta una </w:t>
      </w:r>
      <w:r w:rsidRPr="00CA5DF9">
        <w:rPr>
          <w:rFonts w:ascii="ITC Avant Garde" w:hAnsi="ITC Avant Garde"/>
          <w:lang w:val="es-MX"/>
        </w:rPr>
        <w:t>longitud adicional de cable de fibra/cobre y zanjas entre cada edificio y la red vial</w:t>
      </w:r>
      <w:r>
        <w:rPr>
          <w:rFonts w:ascii="ITC Avant Garde" w:hAnsi="ITC Avant Garde"/>
          <w:lang w:val="es-MX"/>
        </w:rPr>
        <w:t>, estimada a partir de un muestreo geográfico.</w:t>
      </w:r>
    </w:p>
    <w:p w14:paraId="024C7A90" w14:textId="77777777" w:rsidR="00A66A23" w:rsidRPr="00FF2101" w:rsidRDefault="00A66A23" w:rsidP="0040723E">
      <w:pPr>
        <w:pStyle w:val="Ttulo3"/>
        <w:rPr>
          <w:lang w:val="es-ES"/>
        </w:rPr>
      </w:pPr>
      <w:bookmarkStart w:id="219" w:name="_Toc525672863"/>
      <w:bookmarkStart w:id="220" w:name="_Toc525665303"/>
      <w:bookmarkStart w:id="221" w:name="_Toc525665682"/>
      <w:bookmarkStart w:id="222" w:name="_Toc141975040"/>
      <w:r w:rsidRPr="00FF2101">
        <w:rPr>
          <w:lang w:val="es-ES"/>
        </w:rPr>
        <w:t>Ajuste de la huella considerado en cada escenario</w:t>
      </w:r>
      <w:bookmarkEnd w:id="219"/>
      <w:bookmarkEnd w:id="220"/>
      <w:bookmarkEnd w:id="221"/>
      <w:bookmarkEnd w:id="222"/>
    </w:p>
    <w:p w14:paraId="4B06A27B" w14:textId="5F0064DB" w:rsidR="00A66A23" w:rsidRPr="00E14D8A" w:rsidRDefault="00A66A23" w:rsidP="00A66A23">
      <w:pPr>
        <w:rPr>
          <w:rFonts w:ascii="ITC Avant Garde" w:hAnsi="ITC Avant Garde"/>
          <w:lang w:val="es-MX"/>
        </w:rPr>
      </w:pPr>
      <w:r w:rsidRPr="004C1A96">
        <w:rPr>
          <w:rFonts w:ascii="ITC Avant Garde" w:hAnsi="ITC Avant Garde"/>
          <w:lang w:val="es-MX"/>
        </w:rPr>
        <w:t>Tal como se describe en la sección de principios metodol</w:t>
      </w:r>
      <w:r w:rsidRPr="00E14D8A">
        <w:rPr>
          <w:rFonts w:ascii="ITC Avant Garde" w:hAnsi="ITC Avant Garde"/>
          <w:lang w:val="es-MX"/>
        </w:rPr>
        <w:t>ógicos, la huella geográfica para costear la red del operador modelado es la del AEP. Esto significa que primero debe identificarse una huella nacional (completa) y restringirse al área de cobertura que sea relevante con respecto al estado actual de despliegue del operador modelado.</w:t>
      </w:r>
    </w:p>
    <w:p w14:paraId="58941D0E" w14:textId="77777777" w:rsidR="00A66A23" w:rsidRPr="00E14D8A" w:rsidRDefault="00A66A23" w:rsidP="00A66A23">
      <w:pPr>
        <w:rPr>
          <w:rFonts w:ascii="ITC Avant Garde" w:hAnsi="ITC Avant Garde"/>
          <w:lang w:val="es-MX"/>
        </w:rPr>
      </w:pPr>
      <w:r w:rsidRPr="00E14D8A">
        <w:rPr>
          <w:rFonts w:ascii="ITC Avant Garde" w:hAnsi="ITC Avant Garde"/>
          <w:lang w:val="es-MX"/>
        </w:rPr>
        <w:t>La identificación de la huella se realiza en tres pasos:</w:t>
      </w:r>
    </w:p>
    <w:p w14:paraId="452B80CC" w14:textId="77777777" w:rsidR="00A66A23" w:rsidRPr="004C1A96" w:rsidRDefault="00A66A23" w:rsidP="00A66A23">
      <w:pPr>
        <w:rPr>
          <w:rFonts w:ascii="ITC Avant Garde" w:hAnsi="ITC Avant Garde"/>
          <w:b/>
          <w:lang w:val="es-MX"/>
        </w:rPr>
      </w:pPr>
      <w:r w:rsidRPr="004C1A96">
        <w:rPr>
          <w:rFonts w:ascii="ITC Avant Garde" w:hAnsi="ITC Avant Garde"/>
          <w:b/>
          <w:lang w:val="es-MX"/>
        </w:rPr>
        <w:t>Primer paso:</w:t>
      </w:r>
    </w:p>
    <w:p w14:paraId="30F8DC5D" w14:textId="77777777" w:rsidR="00A66A23" w:rsidRPr="004C1A96" w:rsidRDefault="00A66A23" w:rsidP="00A66A23">
      <w:pPr>
        <w:rPr>
          <w:rFonts w:ascii="ITC Avant Garde" w:hAnsi="ITC Avant Garde"/>
          <w:lang w:val="es-MX"/>
        </w:rPr>
      </w:pPr>
      <w:r w:rsidRPr="004C1A96">
        <w:rPr>
          <w:rFonts w:ascii="ITC Avant Garde" w:hAnsi="ITC Avant Garde"/>
          <w:lang w:val="es-MX"/>
        </w:rPr>
        <w:lastRenderedPageBreak/>
        <w:t>Inicialmente, se establecen todos los edificios que sean relevantes para conectarse a la red que comprende residencias y ubicaciones comerciales. Esto determinará una red nacional con una cobertura del 100 por ciento.</w:t>
      </w:r>
    </w:p>
    <w:p w14:paraId="562AB5D9" w14:textId="77777777" w:rsidR="00A66A23" w:rsidRPr="004C1A96" w:rsidRDefault="00A66A23" w:rsidP="00A66A23">
      <w:pPr>
        <w:rPr>
          <w:rFonts w:ascii="ITC Avant Garde" w:hAnsi="ITC Avant Garde"/>
          <w:b/>
          <w:lang w:val="es-MX"/>
        </w:rPr>
      </w:pPr>
      <w:r w:rsidRPr="004C1A96">
        <w:rPr>
          <w:rFonts w:ascii="ITC Avant Garde" w:hAnsi="ITC Avant Garde"/>
          <w:b/>
          <w:lang w:val="es-MX"/>
        </w:rPr>
        <w:t>Segundo paso:</w:t>
      </w:r>
    </w:p>
    <w:p w14:paraId="3F8F2C69" w14:textId="4C525AEF" w:rsidR="00A66A23" w:rsidRPr="004C1A96" w:rsidRDefault="00A66A23" w:rsidP="00A66A23">
      <w:pPr>
        <w:rPr>
          <w:rFonts w:ascii="ITC Avant Garde" w:hAnsi="ITC Avant Garde"/>
          <w:lang w:val="es-MX"/>
        </w:rPr>
      </w:pPr>
      <w:r w:rsidRPr="004C1A96">
        <w:rPr>
          <w:rFonts w:ascii="ITC Avant Garde" w:hAnsi="ITC Avant Garde"/>
          <w:lang w:val="es-MX"/>
        </w:rPr>
        <w:t>Según el resultado del primer paso, que conecta todos los edificios identificados, la huella excluirá los edificios más costosos (estos edificios no están conectados a la red) mediante la eliminación de los puntos porcentuales de las líneas aprobadas que tienen el costo más alto para conectarse a la red moderna (el número de líneas pasadas se utiliza como la variable de control). Esto establecerá una huella que es relevante para la fijación de precios de los servicios nacionales regulados.</w:t>
      </w:r>
    </w:p>
    <w:p w14:paraId="72A7852B" w14:textId="77777777" w:rsidR="00A66A23" w:rsidRPr="00E14D8A" w:rsidRDefault="00A66A23" w:rsidP="00A66A23">
      <w:pPr>
        <w:rPr>
          <w:rFonts w:ascii="ITC Avant Garde" w:hAnsi="ITC Avant Garde"/>
          <w:lang w:val="es-MX"/>
        </w:rPr>
      </w:pPr>
      <w:r w:rsidRPr="00E14D8A">
        <w:rPr>
          <w:rFonts w:ascii="ITC Avant Garde" w:hAnsi="ITC Avant Garde"/>
          <w:lang w:val="es-MX"/>
        </w:rPr>
        <w:t>Los edificios más caros que se descartan en el cálculo se determinan clasificando cada sección de acuerdo con la siguiente métrica, que se utiliza como un proxy para el costo incremental de cada sección a través de la ruta al nodo de acceso.</w:t>
      </w:r>
    </w:p>
    <w:p w14:paraId="510F28EA" w14:textId="77777777" w:rsidR="00221F97" w:rsidRPr="00872052" w:rsidRDefault="00221F97" w:rsidP="00221F97">
      <w:pPr>
        <w:rPr>
          <w:rFonts w:ascii="ITC Avant Garde" w:hAnsi="ITC Avant Garde"/>
          <w:lang w:val="es-MX"/>
        </w:rPr>
      </w:pPr>
    </w:p>
    <w:p w14:paraId="4DA178C4" w14:textId="77777777" w:rsidR="00221F97" w:rsidRPr="00872052" w:rsidRDefault="00E61923" w:rsidP="00221F97">
      <w:pPr>
        <w:rPr>
          <w:rFonts w:ascii="ITC Avant Garde" w:hAnsi="ITC Avant Garde"/>
          <w:sz w:val="16"/>
          <w:lang w:val="en-US"/>
        </w:rPr>
      </w:pPr>
      <m:oMathPara>
        <m:oMath>
          <m:nary>
            <m:naryPr>
              <m:chr m:val="∑"/>
              <m:limLoc m:val="undOvr"/>
              <m:supHide m:val="1"/>
              <m:ctrlPr>
                <w:rPr>
                  <w:rFonts w:ascii="Cambria Math" w:hAnsi="Cambria Math"/>
                  <w:i/>
                  <w:sz w:val="18"/>
                  <w:lang w:val="en-US"/>
                </w:rPr>
              </m:ctrlPr>
            </m:naryPr>
            <m:sub>
              <m:r>
                <w:rPr>
                  <w:rFonts w:ascii="Cambria Math" w:hAnsi="Cambria Math"/>
                  <w:sz w:val="14"/>
                  <w:lang w:val="en-US"/>
                </w:rPr>
                <m:t>uplink sections</m:t>
              </m:r>
            </m:sub>
            <m:sup/>
            <m:e>
              <m:f>
                <m:fPr>
                  <m:ctrlPr>
                    <w:rPr>
                      <w:rFonts w:ascii="Cambria Math" w:hAnsi="Cambria Math"/>
                      <w:i/>
                      <w:sz w:val="18"/>
                      <w:lang w:val="en-US"/>
                    </w:rPr>
                  </m:ctrlPr>
                </m:fPr>
                <m:num>
                  <m:r>
                    <w:rPr>
                      <w:rFonts w:ascii="Cambria Math" w:hAnsi="Cambria Math"/>
                      <w:sz w:val="14"/>
                      <w:lang w:val="en-US"/>
                    </w:rPr>
                    <m:t>Length of the section</m:t>
                  </m:r>
                </m:num>
                <m:den>
                  <m:r>
                    <w:rPr>
                      <w:rFonts w:ascii="Cambria Math" w:hAnsi="Cambria Math"/>
                      <w:sz w:val="14"/>
                      <w:lang w:val="en-US"/>
                    </w:rPr>
                    <m:t>Number of local+distribution lines using this section</m:t>
                  </m:r>
                </m:den>
              </m:f>
            </m:e>
          </m:nary>
          <m:r>
            <w:rPr>
              <w:rFonts w:ascii="Cambria Math" w:hAnsi="Cambria Math"/>
              <w:sz w:val="18"/>
              <w:lang w:val="en-US"/>
            </w:rPr>
            <m:t>=</m:t>
          </m:r>
          <m:nary>
            <m:naryPr>
              <m:chr m:val="∑"/>
              <m:limLoc m:val="undOvr"/>
              <m:ctrlPr>
                <w:rPr>
                  <w:rFonts w:ascii="Cambria Math" w:hAnsi="Cambria Math"/>
                  <w:i/>
                  <w:sz w:val="18"/>
                  <w:lang w:val="en-US"/>
                </w:rPr>
              </m:ctrlPr>
            </m:naryPr>
            <m:sub>
              <m:r>
                <w:rPr>
                  <w:rFonts w:ascii="Cambria Math" w:hAnsi="Cambria Math"/>
                  <w:sz w:val="18"/>
                  <w:lang w:val="en-US"/>
                </w:rPr>
                <m:t>i=1</m:t>
              </m:r>
            </m:sub>
            <m:sup>
              <m:r>
                <w:rPr>
                  <w:rFonts w:ascii="Cambria Math" w:hAnsi="Cambria Math"/>
                  <w:sz w:val="18"/>
                  <w:lang w:val="en-US"/>
                </w:rPr>
                <m:t>n</m:t>
              </m:r>
            </m:sup>
            <m:e>
              <m:f>
                <m:fPr>
                  <m:ctrlPr>
                    <w:rPr>
                      <w:rFonts w:ascii="Cambria Math" w:hAnsi="Cambria Math"/>
                      <w:i/>
                      <w:sz w:val="18"/>
                      <w:lang w:val="en-US"/>
                    </w:rPr>
                  </m:ctrlPr>
                </m:fPr>
                <m:num>
                  <m:sSub>
                    <m:sSubPr>
                      <m:ctrlPr>
                        <w:rPr>
                          <w:rFonts w:ascii="Cambria Math" w:hAnsi="Cambria Math"/>
                          <w:i/>
                          <w:sz w:val="14"/>
                          <w:lang w:val="en-US"/>
                        </w:rPr>
                      </m:ctrlPr>
                    </m:sSubPr>
                    <m:e>
                      <m:r>
                        <w:rPr>
                          <w:rFonts w:ascii="Cambria Math" w:hAnsi="Cambria Math"/>
                          <w:sz w:val="14"/>
                          <w:lang w:val="en-US"/>
                        </w:rPr>
                        <m:t>Length of the section</m:t>
                      </m:r>
                    </m:e>
                    <m:sub>
                      <m:r>
                        <w:rPr>
                          <w:rFonts w:ascii="Cambria Math" w:hAnsi="Cambria Math"/>
                          <w:sz w:val="14"/>
                          <w:lang w:val="en-US"/>
                        </w:rPr>
                        <m:t>i</m:t>
                      </m:r>
                    </m:sub>
                  </m:sSub>
                </m:num>
                <m:den>
                  <m:sSub>
                    <m:sSubPr>
                      <m:ctrlPr>
                        <w:rPr>
                          <w:rFonts w:ascii="Cambria Math" w:hAnsi="Cambria Math"/>
                          <w:i/>
                          <w:sz w:val="14"/>
                          <w:lang w:val="en-US"/>
                        </w:rPr>
                      </m:ctrlPr>
                    </m:sSubPr>
                    <m:e>
                      <m:r>
                        <w:rPr>
                          <w:rFonts w:ascii="Cambria Math" w:hAnsi="Cambria Math"/>
                          <w:sz w:val="14"/>
                          <w:lang w:val="en-US"/>
                        </w:rPr>
                        <m:t>Number of local</m:t>
                      </m:r>
                    </m:e>
                    <m:sub>
                      <m:r>
                        <w:rPr>
                          <w:rFonts w:ascii="Cambria Math" w:hAnsi="Cambria Math"/>
                          <w:sz w:val="14"/>
                          <w:lang w:val="en-US"/>
                        </w:rPr>
                        <m:t>i</m:t>
                      </m:r>
                    </m:sub>
                  </m:sSub>
                  <m:r>
                    <w:rPr>
                      <w:rFonts w:ascii="Cambria Math" w:hAnsi="Cambria Math"/>
                      <w:sz w:val="14"/>
                      <w:lang w:val="en-US"/>
                    </w:rPr>
                    <m:t>+</m:t>
                  </m:r>
                  <m:sSub>
                    <m:sSubPr>
                      <m:ctrlPr>
                        <w:rPr>
                          <w:rFonts w:ascii="Cambria Math" w:hAnsi="Cambria Math"/>
                          <w:i/>
                          <w:sz w:val="14"/>
                          <w:lang w:val="en-US"/>
                        </w:rPr>
                      </m:ctrlPr>
                    </m:sSubPr>
                    <m:e>
                      <m:r>
                        <w:rPr>
                          <w:rFonts w:ascii="Cambria Math" w:hAnsi="Cambria Math"/>
                          <w:sz w:val="14"/>
                          <w:lang w:val="en-US"/>
                        </w:rPr>
                        <m:t>distribution lines using this section</m:t>
                      </m:r>
                    </m:e>
                    <m:sub>
                      <m:r>
                        <w:rPr>
                          <w:rFonts w:ascii="Cambria Math" w:hAnsi="Cambria Math"/>
                          <w:sz w:val="14"/>
                          <w:lang w:val="en-US"/>
                        </w:rPr>
                        <m:t>i</m:t>
                      </m:r>
                    </m:sub>
                  </m:sSub>
                </m:den>
              </m:f>
            </m:e>
          </m:nary>
        </m:oMath>
      </m:oMathPara>
    </w:p>
    <w:p w14:paraId="6C3D42B8" w14:textId="77777777" w:rsidR="00A66A23" w:rsidRPr="004C1A96" w:rsidRDefault="00A66A23" w:rsidP="00A66A23">
      <w:pPr>
        <w:rPr>
          <w:rFonts w:ascii="ITC Avant Garde" w:hAnsi="ITC Avant Garde"/>
          <w:lang w:val="es-MX"/>
        </w:rPr>
      </w:pPr>
    </w:p>
    <w:p w14:paraId="05356F3B" w14:textId="77777777" w:rsidR="00A66A23" w:rsidRPr="00E14D8A" w:rsidRDefault="00A66A23" w:rsidP="00A66A23">
      <w:pPr>
        <w:rPr>
          <w:rFonts w:ascii="ITC Avant Garde" w:hAnsi="ITC Avant Garde"/>
          <w:lang w:val="es-MX"/>
        </w:rPr>
      </w:pPr>
      <w:r w:rsidRPr="00E14D8A">
        <w:rPr>
          <w:rFonts w:ascii="ITC Avant Garde" w:hAnsi="ITC Avant Garde"/>
          <w:lang w:val="es-MX"/>
        </w:rPr>
        <w:t>Para n secciones de enlace ascendente</w:t>
      </w:r>
    </w:p>
    <w:p w14:paraId="6DF8CA93" w14:textId="77777777" w:rsidR="00A66A23" w:rsidRPr="00E14D8A" w:rsidRDefault="00A66A23" w:rsidP="00A66A23">
      <w:pPr>
        <w:rPr>
          <w:rFonts w:ascii="ITC Avant Garde" w:hAnsi="ITC Avant Garde"/>
          <w:lang w:val="es-MX"/>
        </w:rPr>
      </w:pPr>
    </w:p>
    <w:p w14:paraId="7C8066AE" w14:textId="77777777" w:rsidR="00A66A23" w:rsidRPr="004C1A96" w:rsidRDefault="00A66A23" w:rsidP="00A66A23">
      <w:pPr>
        <w:rPr>
          <w:rFonts w:ascii="ITC Avant Garde" w:hAnsi="ITC Avant Garde"/>
          <w:lang w:val="es-MX"/>
        </w:rPr>
      </w:pPr>
      <w:r w:rsidRPr="00E14D8A">
        <w:rPr>
          <w:rFonts w:ascii="ITC Avant Garde" w:hAnsi="ITC Avant Garde"/>
          <w:lang w:val="es-MX"/>
        </w:rPr>
        <w:t>Por ejemplo, en la cobertura del nodo de acceso esquemático en la figura a continuación, la puntuación de la sección 2 se determina de la</w:t>
      </w:r>
      <w:r w:rsidRPr="004C1A96">
        <w:rPr>
          <w:rFonts w:ascii="ITC Avant Garde" w:hAnsi="ITC Avant Garde"/>
          <w:lang w:val="es-MX"/>
        </w:rPr>
        <w:t xml:space="preserve"> siguiente manera:</w:t>
      </w:r>
    </w:p>
    <w:p w14:paraId="64F01606" w14:textId="77777777" w:rsidR="00A66A23" w:rsidRPr="008F42FC" w:rsidRDefault="00A66A23" w:rsidP="00A66A23">
      <w:pPr>
        <w:rPr>
          <w:rFonts w:ascii="ITC Avant Garde" w:hAnsi="ITC Avant Garde"/>
          <w:lang w:val="es-MX"/>
        </w:rPr>
      </w:pPr>
    </w:p>
    <w:p w14:paraId="0E7D9E54" w14:textId="77777777" w:rsidR="00221F97" w:rsidRPr="00872052" w:rsidRDefault="00221F97" w:rsidP="00221F97">
      <w:pPr>
        <w:rPr>
          <w:rFonts w:ascii="ITC Avant Garde" w:hAnsi="ITC Avant Garde"/>
          <w:lang w:val="en-US"/>
        </w:rPr>
      </w:pPr>
      <m:oMathPara>
        <m:oMath>
          <m:r>
            <w:rPr>
              <w:rFonts w:ascii="Cambria Math" w:hAnsi="Cambria Math"/>
              <w:lang w:val="en-US"/>
            </w:rPr>
            <m:t>Puntuación sección 2=</m:t>
          </m:r>
          <m:f>
            <m:fPr>
              <m:ctrlPr>
                <w:rPr>
                  <w:rFonts w:ascii="Cambria Math" w:hAnsi="Cambria Math"/>
                  <w:i/>
                  <w:lang w:val="en-US"/>
                </w:rPr>
              </m:ctrlPr>
            </m:fPr>
            <m:num>
              <m:r>
                <w:rPr>
                  <w:rFonts w:ascii="Cambria Math" w:hAnsi="Cambria Math"/>
                  <w:lang w:val="en-US"/>
                </w:rPr>
                <m:t>L1</m:t>
              </m:r>
            </m:num>
            <m:den>
              <m:r>
                <w:rPr>
                  <w:rFonts w:ascii="Cambria Math" w:hAnsi="Cambria Math"/>
                  <w:lang w:val="en-US"/>
                </w:rPr>
                <m:t>2+1+1+5+1+1+1+1</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L2</m:t>
              </m:r>
            </m:num>
            <m:den>
              <m:r>
                <w:rPr>
                  <w:rFonts w:ascii="Cambria Math" w:hAnsi="Cambria Math"/>
                  <w:lang w:val="en-US"/>
                </w:rPr>
                <m:t>1+5+1+1+1+1</m:t>
              </m:r>
            </m:den>
          </m:f>
        </m:oMath>
      </m:oMathPara>
    </w:p>
    <w:p w14:paraId="6989C4E9" w14:textId="77777777" w:rsidR="00A66A23" w:rsidRPr="004C1A96" w:rsidRDefault="00A66A23" w:rsidP="00A66A23">
      <w:pPr>
        <w:rPr>
          <w:rFonts w:ascii="ITC Avant Garde" w:hAnsi="ITC Avant Garde"/>
          <w:lang w:val="es-MX"/>
        </w:rPr>
      </w:pPr>
    </w:p>
    <w:p w14:paraId="65540B97" w14:textId="0E446209" w:rsidR="00A66A23" w:rsidRPr="004C1A96" w:rsidRDefault="00A66A23" w:rsidP="00A66A23">
      <w:pPr>
        <w:pStyle w:val="Descripcin"/>
        <w:keepNext/>
        <w:rPr>
          <w:rFonts w:ascii="ITC Avant Garde" w:hAnsi="ITC Avant Garde"/>
          <w:lang w:val="es-MX"/>
        </w:rPr>
      </w:pPr>
      <w:r w:rsidRPr="004C1A96">
        <w:rPr>
          <w:rFonts w:ascii="ITC Avant Garde" w:hAnsi="ITC Avant Garde"/>
          <w:lang w:val="es-MX"/>
        </w:rPr>
        <w:lastRenderedPageBreak/>
        <w:t> </w:t>
      </w:r>
      <w:r w:rsidR="006D69ED" w:rsidRPr="00E14D8A">
        <w:rPr>
          <w:rFonts w:ascii="ITC Avant Garde" w:hAnsi="ITC Avant Garde"/>
          <w:lang w:val="es-MX"/>
        </w:rPr>
        <w:t xml:space="preserve">Figura </w:t>
      </w:r>
      <w:r w:rsidR="006D69ED" w:rsidRPr="004C1A96">
        <w:rPr>
          <w:rFonts w:ascii="ITC Avant Garde" w:hAnsi="ITC Avant Garde"/>
          <w:lang w:val="es-MX"/>
        </w:rPr>
        <w:fldChar w:fldCharType="begin"/>
      </w:r>
      <w:r w:rsidR="006D69ED" w:rsidRPr="004C1A96">
        <w:rPr>
          <w:rFonts w:ascii="ITC Avant Garde" w:hAnsi="ITC Avant Garde"/>
          <w:lang w:val="es-MX"/>
        </w:rPr>
        <w:instrText xml:space="preserve"> SEQ Figura \* ARABIC </w:instrText>
      </w:r>
      <w:r w:rsidR="006D69ED" w:rsidRPr="004C1A96">
        <w:rPr>
          <w:rFonts w:ascii="ITC Avant Garde" w:hAnsi="ITC Avant Garde"/>
          <w:lang w:val="es-MX"/>
        </w:rPr>
        <w:fldChar w:fldCharType="separate"/>
      </w:r>
      <w:r w:rsidR="00006265">
        <w:rPr>
          <w:rFonts w:ascii="ITC Avant Garde" w:hAnsi="ITC Avant Garde"/>
          <w:noProof/>
          <w:lang w:val="es-MX"/>
        </w:rPr>
        <w:t>19</w:t>
      </w:r>
      <w:r w:rsidR="006D69ED" w:rsidRPr="004C1A96">
        <w:rPr>
          <w:rFonts w:ascii="ITC Avant Garde" w:hAnsi="ITC Avant Garde"/>
          <w:lang w:val="es-MX"/>
        </w:rPr>
        <w:fldChar w:fldCharType="end"/>
      </w:r>
      <w:r w:rsidR="006D69ED" w:rsidRPr="004C1A96">
        <w:rPr>
          <w:rFonts w:ascii="ITC Avant Garde" w:hAnsi="ITC Avant Garde"/>
          <w:lang w:val="es-MX"/>
        </w:rPr>
        <w:t xml:space="preserve"> </w:t>
      </w:r>
      <w:r w:rsidRPr="004C1A96">
        <w:rPr>
          <w:rFonts w:ascii="ITC Avant Garde" w:hAnsi="ITC Avant Garde"/>
          <w:lang w:val="es-MX"/>
        </w:rPr>
        <w:t>- Ejemplo esquemático de cobertura de nodo de acceso</w:t>
      </w:r>
    </w:p>
    <w:p w14:paraId="644D7DBD" w14:textId="59FF3173" w:rsidR="00A66A23" w:rsidRPr="004C1A96" w:rsidRDefault="00221F97" w:rsidP="009C0ABF">
      <w:pPr>
        <w:tabs>
          <w:tab w:val="left" w:pos="2601"/>
        </w:tabs>
        <w:rPr>
          <w:rFonts w:ascii="ITC Avant Garde" w:hAnsi="ITC Avant Garde"/>
          <w:lang w:val="es-MX"/>
        </w:rPr>
      </w:pPr>
      <w:r>
        <w:rPr>
          <w:rFonts w:ascii="ITC Avant Garde" w:hAnsi="ITC Avant Garde"/>
          <w:lang w:val="es-MX"/>
        </w:rPr>
        <w:tab/>
      </w:r>
      <w:r w:rsidRPr="00872052">
        <w:rPr>
          <w:rFonts w:ascii="ITC Avant Garde" w:hAnsi="ITC Avant Garde"/>
          <w:noProof/>
          <w:lang w:val="es-MX" w:eastAsia="es-MX"/>
        </w:rPr>
        <w:drawing>
          <wp:inline distT="0" distB="0" distL="0" distR="0" wp14:anchorId="2E18F042" wp14:editId="0DC5CFEC">
            <wp:extent cx="4902907" cy="3409950"/>
            <wp:effectExtent l="0" t="0" r="0" b="0"/>
            <wp:docPr id="53" name="Image 52"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2" descr="A diagram of a 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02907" cy="3409950"/>
                    </a:xfrm>
                    <a:prstGeom prst="rect">
                      <a:avLst/>
                    </a:prstGeom>
                    <a:noFill/>
                    <a:ln>
                      <a:noFill/>
                    </a:ln>
                  </pic:spPr>
                </pic:pic>
              </a:graphicData>
            </a:graphic>
          </wp:inline>
        </w:drawing>
      </w:r>
    </w:p>
    <w:p w14:paraId="0BDDAC5B" w14:textId="77777777" w:rsidR="00A66A23" w:rsidRPr="004C1A96" w:rsidRDefault="00A66A23" w:rsidP="00A66A23">
      <w:pPr>
        <w:rPr>
          <w:rFonts w:ascii="ITC Avant Garde" w:hAnsi="ITC Avant Garde"/>
          <w:lang w:val="es-MX"/>
        </w:rPr>
      </w:pPr>
    </w:p>
    <w:p w14:paraId="5229D9BA" w14:textId="77777777" w:rsidR="00A66A23" w:rsidRPr="00E14D8A" w:rsidRDefault="00A66A23" w:rsidP="00A66A23">
      <w:pPr>
        <w:rPr>
          <w:rFonts w:ascii="ITC Avant Garde" w:hAnsi="ITC Avant Garde"/>
          <w:b/>
          <w:lang w:val="es-MX"/>
        </w:rPr>
      </w:pPr>
      <w:r w:rsidRPr="00E14D8A">
        <w:rPr>
          <w:rFonts w:ascii="ITC Avant Garde" w:hAnsi="ITC Avant Garde"/>
          <w:b/>
          <w:lang w:val="es-MX"/>
        </w:rPr>
        <w:t>Tercer paso:</w:t>
      </w:r>
    </w:p>
    <w:p w14:paraId="2A929707" w14:textId="77777777" w:rsidR="00A66A23" w:rsidRPr="00E14D8A" w:rsidRDefault="00A66A23" w:rsidP="00A66A23">
      <w:pPr>
        <w:rPr>
          <w:rFonts w:ascii="ITC Avant Garde" w:hAnsi="ITC Avant Garde"/>
          <w:lang w:val="es-MX"/>
        </w:rPr>
      </w:pPr>
      <w:r w:rsidRPr="00E14D8A">
        <w:rPr>
          <w:rFonts w:ascii="ITC Avant Garde" w:hAnsi="ITC Avant Garde"/>
          <w:lang w:val="es-MX"/>
        </w:rPr>
        <w:t>El tercer paso consiste en determinar el umbral que indica las líneas caras (secciones) y eliminarlas de la huella que se utilizará en el modelo.</w:t>
      </w:r>
    </w:p>
    <w:p w14:paraId="54B8B4F1" w14:textId="16723D2E" w:rsidR="00A66A23" w:rsidRPr="004C1A96" w:rsidRDefault="00A66A23" w:rsidP="00A66A23">
      <w:pPr>
        <w:rPr>
          <w:rFonts w:ascii="ITC Avant Garde" w:hAnsi="ITC Avant Garde"/>
          <w:lang w:val="es-MX"/>
        </w:rPr>
      </w:pPr>
      <w:r w:rsidRPr="004C1A96">
        <w:rPr>
          <w:rFonts w:ascii="ITC Avant Garde" w:hAnsi="ITC Avant Garde"/>
          <w:lang w:val="es-MX"/>
        </w:rPr>
        <w:t xml:space="preserve">Este paso se lleva a cabo de manera diferente entre </w:t>
      </w:r>
      <w:r w:rsidR="00E266FA">
        <w:rPr>
          <w:rFonts w:ascii="ITC Avant Garde" w:hAnsi="ITC Avant Garde"/>
          <w:lang w:val="es-MX"/>
        </w:rPr>
        <w:t xml:space="preserve">los </w:t>
      </w:r>
      <w:r w:rsidRPr="004C1A96">
        <w:rPr>
          <w:rFonts w:ascii="ITC Avant Garde" w:hAnsi="ITC Avant Garde"/>
          <w:lang w:val="es-MX"/>
        </w:rPr>
        <w:t xml:space="preserve">escenario de cobre y </w:t>
      </w:r>
      <w:r w:rsidR="00E266FA">
        <w:rPr>
          <w:rFonts w:ascii="ITC Avant Garde" w:hAnsi="ITC Avant Garde"/>
          <w:lang w:val="es-MX"/>
        </w:rPr>
        <w:t>FTTH/FTTC</w:t>
      </w:r>
      <w:r w:rsidRPr="004C1A96">
        <w:rPr>
          <w:rFonts w:ascii="ITC Avant Garde" w:hAnsi="ITC Avant Garde"/>
          <w:lang w:val="es-MX"/>
        </w:rPr>
        <w:t>.</w:t>
      </w:r>
    </w:p>
    <w:p w14:paraId="4D0273BE" w14:textId="77777777" w:rsidR="00A66A23" w:rsidRPr="004C1A96" w:rsidRDefault="00A66A23" w:rsidP="00A66A23">
      <w:pPr>
        <w:pStyle w:val="Listaconvietas2"/>
        <w:numPr>
          <w:ilvl w:val="0"/>
          <w:numId w:val="29"/>
        </w:numPr>
        <w:rPr>
          <w:rFonts w:ascii="ITC Avant Garde" w:hAnsi="ITC Avant Garde"/>
          <w:b/>
          <w:lang w:val="es-MX"/>
        </w:rPr>
      </w:pPr>
      <w:r w:rsidRPr="004C1A96">
        <w:rPr>
          <w:rFonts w:ascii="ITC Avant Garde" w:hAnsi="ITC Avant Garde"/>
          <w:b/>
          <w:lang w:val="es-MX"/>
        </w:rPr>
        <w:t>Para el escenario de cobre:</w:t>
      </w:r>
    </w:p>
    <w:p w14:paraId="721F12F7" w14:textId="77777777" w:rsidR="00A66A23" w:rsidRPr="004C1A96" w:rsidRDefault="00A66A23" w:rsidP="00A66A23">
      <w:pPr>
        <w:rPr>
          <w:rFonts w:ascii="ITC Avant Garde" w:hAnsi="ITC Avant Garde"/>
          <w:lang w:val="es-MX"/>
        </w:rPr>
      </w:pPr>
      <w:r w:rsidRPr="004C1A96">
        <w:rPr>
          <w:rFonts w:ascii="ITC Avant Garde" w:hAnsi="ITC Avant Garde"/>
          <w:lang w:val="es-MX"/>
        </w:rPr>
        <w:t>Con respecto al escenario de cobre, se considera una huella nacional: esto significa que todos los CO se toman en consideración, pero con un número restringido de edificios/locales por CO/municipio ya que el operador modelado es eficiente y no desplegaría todas las instalaciones sino solo en los más económicamente viables.</w:t>
      </w:r>
    </w:p>
    <w:p w14:paraId="2D2790DB" w14:textId="77777777" w:rsidR="00A66A23" w:rsidRPr="004C1A96" w:rsidRDefault="00A66A23" w:rsidP="00A66A23">
      <w:pPr>
        <w:rPr>
          <w:rFonts w:ascii="ITC Avant Garde" w:hAnsi="ITC Avant Garde"/>
          <w:lang w:val="es-MX"/>
        </w:rPr>
      </w:pPr>
      <w:r w:rsidRPr="004C1A96">
        <w:rPr>
          <w:rFonts w:ascii="ITC Avant Garde" w:hAnsi="ITC Avant Garde"/>
          <w:lang w:val="es-MX"/>
        </w:rPr>
        <w:t>Se debe determinar un umbral para identificar los edificios (o secciones) económicamente más viables. Este umbral se determina a nivel de "municipio", lo que significa que considerando un número específico de locales por "municipio", las secciones se clasifican por "municipio" siguiendo el principio presentado en el paso 2 y el umbral se determina por "municipio" de modo que el número de locales por debajo del umbral sea menor o igual a la demanda total por "Municipio".</w:t>
      </w:r>
    </w:p>
    <w:p w14:paraId="39D56640" w14:textId="466BF579" w:rsidR="00A66A23" w:rsidRPr="004C1A96" w:rsidRDefault="00A66A23" w:rsidP="00A66A23">
      <w:pPr>
        <w:pStyle w:val="Listaconvietas2"/>
        <w:numPr>
          <w:ilvl w:val="0"/>
          <w:numId w:val="29"/>
        </w:numPr>
        <w:rPr>
          <w:rFonts w:ascii="ITC Avant Garde" w:hAnsi="ITC Avant Garde"/>
          <w:b/>
          <w:lang w:val="es-MX"/>
        </w:rPr>
      </w:pPr>
      <w:r w:rsidRPr="004C1A96">
        <w:rPr>
          <w:rFonts w:ascii="ITC Avant Garde" w:hAnsi="ITC Avant Garde"/>
          <w:b/>
          <w:lang w:val="es-MX"/>
        </w:rPr>
        <w:t xml:space="preserve">Para el escenario de </w:t>
      </w:r>
      <w:r w:rsidR="0040723E">
        <w:rPr>
          <w:rFonts w:ascii="ITC Avant Garde" w:hAnsi="ITC Avant Garde"/>
          <w:b/>
          <w:lang w:val="es-MX"/>
        </w:rPr>
        <w:t>FTTH/FTTC</w:t>
      </w:r>
      <w:r w:rsidRPr="004C1A96">
        <w:rPr>
          <w:rFonts w:ascii="ITC Avant Garde" w:hAnsi="ITC Avant Garde"/>
          <w:b/>
          <w:lang w:val="es-MX"/>
        </w:rPr>
        <w:t>:</w:t>
      </w:r>
    </w:p>
    <w:p w14:paraId="4AC078CB" w14:textId="585B8F64" w:rsidR="00A66A23" w:rsidRPr="004C1A96" w:rsidRDefault="00A66A23" w:rsidP="00A66A23">
      <w:pPr>
        <w:rPr>
          <w:rFonts w:ascii="ITC Avant Garde" w:hAnsi="ITC Avant Garde"/>
          <w:lang w:val="es-MX"/>
        </w:rPr>
      </w:pPr>
      <w:r w:rsidRPr="004C1A96">
        <w:rPr>
          <w:rFonts w:ascii="ITC Avant Garde" w:hAnsi="ITC Avant Garde"/>
          <w:lang w:val="es-MX"/>
        </w:rPr>
        <w:lastRenderedPageBreak/>
        <w:t xml:space="preserve">Dado que el despliegue de </w:t>
      </w:r>
      <w:r w:rsidR="0040723E">
        <w:rPr>
          <w:rFonts w:ascii="ITC Avant Garde" w:hAnsi="ITC Avant Garde"/>
          <w:lang w:val="es-MX"/>
        </w:rPr>
        <w:t>redes FTTH/FTTC</w:t>
      </w:r>
      <w:r w:rsidR="0040723E" w:rsidRPr="004C1A96">
        <w:rPr>
          <w:rFonts w:ascii="ITC Avant Garde" w:hAnsi="ITC Avant Garde"/>
          <w:lang w:val="es-MX"/>
        </w:rPr>
        <w:t xml:space="preserve"> </w:t>
      </w:r>
      <w:r w:rsidRPr="004C1A96">
        <w:rPr>
          <w:rFonts w:ascii="ITC Avant Garde" w:hAnsi="ITC Avant Garde"/>
          <w:lang w:val="es-MX"/>
        </w:rPr>
        <w:t>en México es considerablemente más bajo que el de cobre, el costo de los servicios no puede basarse en una huella nacional completa ni en una huella nacional restringida (como el cobre).</w:t>
      </w:r>
    </w:p>
    <w:p w14:paraId="54E6F1E4" w14:textId="77777777" w:rsidR="00A66A23" w:rsidRPr="004C1A96" w:rsidRDefault="00A66A23" w:rsidP="00A66A23">
      <w:pPr>
        <w:rPr>
          <w:rFonts w:ascii="ITC Avant Garde" w:hAnsi="ITC Avant Garde"/>
          <w:lang w:val="es-MX"/>
        </w:rPr>
      </w:pPr>
      <w:r w:rsidRPr="004C1A96">
        <w:rPr>
          <w:rFonts w:ascii="ITC Avant Garde" w:hAnsi="ITC Avant Garde"/>
          <w:lang w:val="es-MX"/>
        </w:rPr>
        <w:t>La huella que se considera tiene en cuenta el estado actual de la implementación de fibra al considerar solo CO donde se implementan los PDP de fibra y al limitar el número de instalaciones a las que se encuentran en el área posterior de los PDP desplegadas actualmente.</w:t>
      </w:r>
    </w:p>
    <w:p w14:paraId="106F4EAA" w14:textId="22C3814E" w:rsidR="00A66A23" w:rsidRPr="004C1A96" w:rsidRDefault="00A66A23" w:rsidP="0040723E">
      <w:pPr>
        <w:rPr>
          <w:rFonts w:ascii="ITC Avant Garde" w:hAnsi="ITC Avant Garde"/>
          <w:lang w:val="es-MX"/>
        </w:rPr>
      </w:pPr>
      <w:r w:rsidRPr="004C1A96">
        <w:rPr>
          <w:rFonts w:ascii="ITC Avant Garde" w:hAnsi="ITC Avant Garde"/>
          <w:lang w:val="es-MX"/>
        </w:rPr>
        <w:t>Teniendo en cuenta el mismo enfoque, pero utilizando una clasificación al nivel de CO, este enfoque lleva al despliegue de PDP adicionales (además de los actuales) en la misma área que los PDP implementados actuales, de modo que la demanda total por CO no exceda la cantidad máxima de locales que existe en las áreas de cobertura actuales. Esto garantizará el despliegue de fibra en el área donde actualmente es más dinámica y al mismo tiempo desplegar solo las instalaciones económicamente más viables.</w:t>
      </w:r>
    </w:p>
    <w:p w14:paraId="0C77C540" w14:textId="77777777" w:rsidR="00A66A23" w:rsidRPr="008F42FC" w:rsidRDefault="00A66A23" w:rsidP="00F17242">
      <w:pPr>
        <w:pStyle w:val="Ttulo2"/>
      </w:pPr>
      <w:bookmarkStart w:id="223" w:name="_Toc141974782"/>
      <w:bookmarkStart w:id="224" w:name="_Toc141974783"/>
      <w:bookmarkStart w:id="225" w:name="_Toc141974784"/>
      <w:bookmarkStart w:id="226" w:name="_Toc141974785"/>
      <w:bookmarkStart w:id="227" w:name="_Toc141974786"/>
      <w:bookmarkStart w:id="228" w:name="_Toc141974787"/>
      <w:bookmarkStart w:id="229" w:name="_Toc141974788"/>
      <w:bookmarkStart w:id="230" w:name="_Toc141974789"/>
      <w:bookmarkStart w:id="231" w:name="_Toc141974790"/>
      <w:bookmarkStart w:id="232" w:name="_Toc141974791"/>
      <w:bookmarkStart w:id="233" w:name="_Toc141973398"/>
      <w:bookmarkStart w:id="234" w:name="_Toc141974792"/>
      <w:bookmarkStart w:id="235" w:name="_Toc141974793"/>
      <w:bookmarkStart w:id="236" w:name="_Toc525672865"/>
      <w:bookmarkStart w:id="237" w:name="_Toc525665305"/>
      <w:bookmarkStart w:id="238" w:name="_Toc525665684"/>
      <w:bookmarkStart w:id="239" w:name="_Toc141975041"/>
      <w:bookmarkEnd w:id="223"/>
      <w:bookmarkEnd w:id="224"/>
      <w:bookmarkEnd w:id="225"/>
      <w:bookmarkEnd w:id="226"/>
      <w:bookmarkEnd w:id="227"/>
      <w:bookmarkEnd w:id="228"/>
      <w:bookmarkEnd w:id="229"/>
      <w:bookmarkEnd w:id="230"/>
      <w:bookmarkEnd w:id="231"/>
      <w:bookmarkEnd w:id="232"/>
      <w:bookmarkEnd w:id="233"/>
      <w:bookmarkEnd w:id="234"/>
      <w:bookmarkEnd w:id="235"/>
      <w:r w:rsidRPr="008F42FC">
        <w:t>Diseño de red</w:t>
      </w:r>
      <w:bookmarkEnd w:id="236"/>
      <w:bookmarkEnd w:id="237"/>
      <w:bookmarkEnd w:id="238"/>
      <w:bookmarkEnd w:id="239"/>
    </w:p>
    <w:p w14:paraId="69D6CFE3" w14:textId="75225868" w:rsidR="00A66A23" w:rsidRPr="004C1A96" w:rsidRDefault="00A66A23" w:rsidP="00A66A23">
      <w:pPr>
        <w:rPr>
          <w:rFonts w:ascii="ITC Avant Garde" w:hAnsi="ITC Avant Garde"/>
          <w:lang w:val="es-MX"/>
        </w:rPr>
      </w:pPr>
      <w:r w:rsidRPr="004C1A96">
        <w:rPr>
          <w:rFonts w:ascii="ITC Avant Garde" w:hAnsi="ITC Avant Garde"/>
          <w:lang w:val="es-MX"/>
        </w:rPr>
        <w:t>Esta sección tiene como objetivo describir el proceso de dimensionamiento de la red de cobre</w:t>
      </w:r>
      <w:r w:rsidR="00B53F7F" w:rsidRPr="004C1A96">
        <w:rPr>
          <w:rFonts w:ascii="ITC Avant Garde" w:hAnsi="ITC Avant Garde"/>
          <w:lang w:val="es-MX"/>
        </w:rPr>
        <w:t>,</w:t>
      </w:r>
      <w:r w:rsidRPr="00E14D8A">
        <w:rPr>
          <w:rFonts w:ascii="ITC Avant Garde" w:hAnsi="ITC Avant Garde"/>
          <w:lang w:val="es-MX"/>
        </w:rPr>
        <w:t xml:space="preserve"> </w:t>
      </w:r>
      <w:r w:rsidR="00B53F7F" w:rsidRPr="00E14D8A">
        <w:rPr>
          <w:rFonts w:ascii="ITC Avant Garde" w:hAnsi="ITC Avant Garde"/>
          <w:lang w:val="es-MX"/>
        </w:rPr>
        <w:t>FTTH y FTTC</w:t>
      </w:r>
      <w:r w:rsidRPr="004C1A96">
        <w:rPr>
          <w:rFonts w:ascii="ITC Avant Garde" w:hAnsi="ITC Avant Garde"/>
          <w:lang w:val="es-MX"/>
        </w:rPr>
        <w:t>. Al final del proceso de dimensionamiento, se determinan los recuentos de activos para la red de cobre y fibra.</w:t>
      </w:r>
    </w:p>
    <w:p w14:paraId="70F214AC" w14:textId="4D5336FA" w:rsidR="00A66A23" w:rsidRPr="003C224B" w:rsidRDefault="00A66A23" w:rsidP="0040723E">
      <w:pPr>
        <w:pStyle w:val="Ttulo3"/>
      </w:pPr>
      <w:bookmarkStart w:id="240" w:name="_Toc525672866"/>
      <w:bookmarkStart w:id="241" w:name="_Toc525665306"/>
      <w:bookmarkStart w:id="242" w:name="_Toc525665685"/>
      <w:bookmarkStart w:id="243" w:name="_Toc141975042"/>
      <w:r w:rsidRPr="003C224B">
        <w:t>Arquitecturas de cobre</w:t>
      </w:r>
      <w:r w:rsidR="00B53F7F" w:rsidRPr="003C224B">
        <w:t>,</w:t>
      </w:r>
      <w:r w:rsidRPr="003C224B">
        <w:t xml:space="preserve"> </w:t>
      </w:r>
      <w:bookmarkEnd w:id="240"/>
      <w:bookmarkEnd w:id="241"/>
      <w:bookmarkEnd w:id="242"/>
      <w:r w:rsidR="00B53F7F" w:rsidRPr="003C224B">
        <w:t>FTTH y FTTC</w:t>
      </w:r>
      <w:bookmarkEnd w:id="243"/>
    </w:p>
    <w:p w14:paraId="12100931" w14:textId="63B89762" w:rsidR="00A66A23" w:rsidRPr="004C1A96" w:rsidRDefault="00A66A23" w:rsidP="00A66A23">
      <w:pPr>
        <w:rPr>
          <w:rFonts w:ascii="ITC Avant Garde" w:hAnsi="ITC Avant Garde"/>
          <w:lang w:val="es-MX"/>
        </w:rPr>
      </w:pPr>
      <w:r w:rsidRPr="004C1A96">
        <w:rPr>
          <w:rFonts w:ascii="ITC Avant Garde" w:hAnsi="ITC Avant Garde"/>
          <w:lang w:val="es-MX"/>
        </w:rPr>
        <w:t>Dado que las tecnologías que se modelarán en México (el cobre</w:t>
      </w:r>
      <w:r w:rsidR="00B53F7F" w:rsidRPr="004C1A96">
        <w:rPr>
          <w:rFonts w:ascii="ITC Avant Garde" w:hAnsi="ITC Avant Garde"/>
          <w:lang w:val="es-MX"/>
        </w:rPr>
        <w:t>,</w:t>
      </w:r>
      <w:r w:rsidRPr="00E14D8A">
        <w:rPr>
          <w:rFonts w:ascii="ITC Avant Garde" w:hAnsi="ITC Avant Garde"/>
          <w:lang w:val="es-MX"/>
        </w:rPr>
        <w:t xml:space="preserve"> la fibra FTTH PON</w:t>
      </w:r>
      <w:r w:rsidR="00B53F7F" w:rsidRPr="00E14D8A">
        <w:rPr>
          <w:rFonts w:ascii="ITC Avant Garde" w:hAnsi="ITC Avant Garde"/>
          <w:lang w:val="es-MX"/>
        </w:rPr>
        <w:t xml:space="preserve"> y la fibra FTTC</w:t>
      </w:r>
      <w:r w:rsidRPr="004C1A96">
        <w:rPr>
          <w:rFonts w:ascii="ITC Avant Garde" w:hAnsi="ITC Avant Garde"/>
          <w:lang w:val="es-MX"/>
        </w:rPr>
        <w:t>) se basan en una estructura similar que utiliza tres niveles en la red:</w:t>
      </w:r>
    </w:p>
    <w:p w14:paraId="0C3D5646" w14:textId="77777777" w:rsidR="00A66A23" w:rsidRPr="004C1A96" w:rsidRDefault="00A66A23" w:rsidP="00A66A23">
      <w:pPr>
        <w:pStyle w:val="Prrafodelista"/>
        <w:numPr>
          <w:ilvl w:val="0"/>
          <w:numId w:val="30"/>
        </w:numPr>
        <w:rPr>
          <w:rFonts w:ascii="ITC Avant Garde" w:hAnsi="ITC Avant Garde"/>
          <w:lang w:val="es-MX"/>
        </w:rPr>
      </w:pPr>
      <w:r w:rsidRPr="004C1A96">
        <w:rPr>
          <w:rFonts w:ascii="ITC Avant Garde" w:hAnsi="ITC Avant Garde"/>
          <w:lang w:val="es-MX"/>
        </w:rPr>
        <w:t>Red primaria: CO-PDP;</w:t>
      </w:r>
    </w:p>
    <w:p w14:paraId="28237B1F" w14:textId="77777777" w:rsidR="00A66A23" w:rsidRPr="004C1A96" w:rsidRDefault="00A66A23" w:rsidP="00A66A23">
      <w:pPr>
        <w:pStyle w:val="Prrafodelista"/>
        <w:numPr>
          <w:ilvl w:val="0"/>
          <w:numId w:val="30"/>
        </w:numPr>
        <w:rPr>
          <w:rFonts w:ascii="ITC Avant Garde" w:hAnsi="ITC Avant Garde"/>
          <w:lang w:val="es-MX"/>
        </w:rPr>
      </w:pPr>
      <w:r w:rsidRPr="004C1A96">
        <w:rPr>
          <w:rFonts w:ascii="ITC Avant Garde" w:hAnsi="ITC Avant Garde"/>
          <w:lang w:val="es-MX"/>
        </w:rPr>
        <w:t>Red secundaria: PDP- SDP;</w:t>
      </w:r>
    </w:p>
    <w:p w14:paraId="743716DF" w14:textId="77777777" w:rsidR="00A66A23" w:rsidRPr="004C1A96" w:rsidRDefault="00A66A23" w:rsidP="00A66A23">
      <w:pPr>
        <w:pStyle w:val="Prrafodelista"/>
        <w:numPr>
          <w:ilvl w:val="0"/>
          <w:numId w:val="30"/>
        </w:numPr>
        <w:rPr>
          <w:rFonts w:ascii="ITC Avant Garde" w:hAnsi="ITC Avant Garde"/>
          <w:lang w:val="es-MX"/>
        </w:rPr>
      </w:pPr>
      <w:r w:rsidRPr="004C1A96">
        <w:rPr>
          <w:rFonts w:ascii="ITC Avant Garde" w:hAnsi="ITC Avant Garde"/>
          <w:lang w:val="es-MX"/>
        </w:rPr>
        <w:t>Acometida.</w:t>
      </w:r>
    </w:p>
    <w:p w14:paraId="00755536" w14:textId="66BA03F2" w:rsidR="00A66A23" w:rsidRPr="004C1A96" w:rsidRDefault="00A66A23" w:rsidP="00A66A23">
      <w:pPr>
        <w:rPr>
          <w:rFonts w:ascii="ITC Avant Garde" w:hAnsi="ITC Avant Garde"/>
          <w:lang w:val="es-MX"/>
        </w:rPr>
      </w:pPr>
      <w:r w:rsidRPr="004C1A96">
        <w:rPr>
          <w:rFonts w:ascii="ITC Avant Garde" w:hAnsi="ITC Avant Garde"/>
          <w:lang w:val="es-MX"/>
        </w:rPr>
        <w:t>El modelo se basa en datos de entrada de geomarketing idénticos, que se usan de forma diferente según la red que se modele (</w:t>
      </w:r>
      <w:r w:rsidR="00C8485E" w:rsidRPr="004C1A96">
        <w:rPr>
          <w:rFonts w:ascii="ITC Avant Garde" w:hAnsi="ITC Avant Garde"/>
          <w:lang w:val="es-MX"/>
        </w:rPr>
        <w:t xml:space="preserve">FTTH, FTTC </w:t>
      </w:r>
      <w:r w:rsidRPr="004C1A96">
        <w:rPr>
          <w:rFonts w:ascii="ITC Avant Garde" w:hAnsi="ITC Avant Garde"/>
          <w:lang w:val="es-MX"/>
        </w:rPr>
        <w:t>o cobre).</w:t>
      </w:r>
    </w:p>
    <w:p w14:paraId="3052B72F" w14:textId="77777777" w:rsidR="00A66A23" w:rsidRPr="004C1A96" w:rsidRDefault="00A66A23" w:rsidP="00A66A23">
      <w:pPr>
        <w:rPr>
          <w:rFonts w:ascii="ITC Avant Garde" w:hAnsi="ITC Avant Garde"/>
          <w:lang w:val="es-MX"/>
        </w:rPr>
      </w:pPr>
    </w:p>
    <w:p w14:paraId="704A5340" w14:textId="77777777" w:rsidR="00A66A23" w:rsidRPr="008F42FC" w:rsidRDefault="00A66A23" w:rsidP="003C224B">
      <w:pPr>
        <w:pStyle w:val="Ttulo4"/>
        <w:rPr>
          <w:lang w:val="es-MX"/>
        </w:rPr>
      </w:pPr>
      <w:bookmarkStart w:id="244" w:name="_Toc525672867"/>
      <w:bookmarkStart w:id="245" w:name="_Toc525665307"/>
      <w:bookmarkStart w:id="246" w:name="_Toc525665686"/>
      <w:bookmarkStart w:id="247" w:name="_Toc141975043"/>
      <w:r w:rsidRPr="008F42FC">
        <w:rPr>
          <w:lang w:val="es-MX"/>
        </w:rPr>
        <w:t>Arquitectura de cobre</w:t>
      </w:r>
      <w:bookmarkEnd w:id="244"/>
      <w:bookmarkEnd w:id="245"/>
      <w:bookmarkEnd w:id="246"/>
      <w:bookmarkEnd w:id="247"/>
    </w:p>
    <w:p w14:paraId="6E68A709" w14:textId="77777777" w:rsidR="00A66A23" w:rsidRPr="00E14D8A" w:rsidRDefault="00A66A23" w:rsidP="00A66A23">
      <w:pPr>
        <w:rPr>
          <w:rFonts w:ascii="ITC Avant Garde" w:hAnsi="ITC Avant Garde"/>
          <w:lang w:val="es-MX"/>
        </w:rPr>
      </w:pPr>
      <w:r w:rsidRPr="004C1A96">
        <w:rPr>
          <w:rFonts w:ascii="ITC Avant Garde" w:hAnsi="ITC Avant Garde"/>
          <w:lang w:val="es-MX"/>
        </w:rPr>
        <w:t>Como se indica en la sección 2, la arquitectura de la red de cobre modelada de</w:t>
      </w:r>
      <w:r w:rsidRPr="00E14D8A">
        <w:rPr>
          <w:rFonts w:ascii="ITC Avant Garde" w:hAnsi="ITC Avant Garde"/>
          <w:lang w:val="es-MX"/>
        </w:rPr>
        <w:t>l AEP incluye 3 niveles de nodos: CO, PDP y SDP.</w:t>
      </w:r>
    </w:p>
    <w:p w14:paraId="3FDCF257" w14:textId="77777777" w:rsidR="00A66A23" w:rsidRPr="00E14D8A" w:rsidRDefault="00A66A23" w:rsidP="00A66A23">
      <w:pPr>
        <w:rPr>
          <w:rFonts w:ascii="ITC Avant Garde" w:hAnsi="ITC Avant Garde"/>
          <w:lang w:val="es-MX"/>
        </w:rPr>
      </w:pPr>
    </w:p>
    <w:p w14:paraId="1A49C701" w14:textId="5993B6FD" w:rsidR="00A66A23" w:rsidRPr="004C1A96" w:rsidRDefault="006D69ED" w:rsidP="00A66A23">
      <w:pPr>
        <w:pStyle w:val="Descripcin"/>
        <w:keepNext/>
        <w:rPr>
          <w:rFonts w:ascii="ITC Avant Garde" w:hAnsi="ITC Avant Garde"/>
          <w:lang w:val="es-MX"/>
        </w:rPr>
      </w:pPr>
      <w:r w:rsidRPr="00E14D8A">
        <w:rPr>
          <w:rFonts w:ascii="ITC Avant Garde" w:hAnsi="ITC Avant Garde"/>
          <w:lang w:val="es-MX"/>
        </w:rPr>
        <w:lastRenderedPageBreak/>
        <w:t xml:space="preserve">Figura </w:t>
      </w:r>
      <w:r w:rsidRPr="004C1A96">
        <w:rPr>
          <w:rFonts w:ascii="ITC Avant Garde" w:hAnsi="ITC Avant Garde"/>
          <w:lang w:val="es-MX"/>
        </w:rPr>
        <w:fldChar w:fldCharType="begin"/>
      </w:r>
      <w:r w:rsidRPr="004C1A96">
        <w:rPr>
          <w:rFonts w:ascii="ITC Avant Garde" w:hAnsi="ITC Avant Garde"/>
          <w:lang w:val="es-MX"/>
        </w:rPr>
        <w:instrText xml:space="preserve"> SEQ Figura \* ARABIC </w:instrText>
      </w:r>
      <w:r w:rsidRPr="004C1A96">
        <w:rPr>
          <w:rFonts w:ascii="ITC Avant Garde" w:hAnsi="ITC Avant Garde"/>
          <w:lang w:val="es-MX"/>
        </w:rPr>
        <w:fldChar w:fldCharType="separate"/>
      </w:r>
      <w:r w:rsidR="00006265">
        <w:rPr>
          <w:rFonts w:ascii="ITC Avant Garde" w:hAnsi="ITC Avant Garde"/>
          <w:noProof/>
          <w:lang w:val="es-MX"/>
        </w:rPr>
        <w:t>20</w:t>
      </w:r>
      <w:r w:rsidRPr="004C1A96">
        <w:rPr>
          <w:rFonts w:ascii="ITC Avant Garde" w:hAnsi="ITC Avant Garde"/>
          <w:lang w:val="es-MX"/>
        </w:rPr>
        <w:fldChar w:fldCharType="end"/>
      </w:r>
      <w:r w:rsidRPr="004C1A96">
        <w:rPr>
          <w:rFonts w:ascii="ITC Avant Garde" w:hAnsi="ITC Avant Garde"/>
          <w:lang w:val="es-MX"/>
        </w:rPr>
        <w:t xml:space="preserve"> </w:t>
      </w:r>
      <w:r w:rsidR="00A66A23" w:rsidRPr="004C1A96">
        <w:rPr>
          <w:rFonts w:ascii="ITC Avant Garde" w:hAnsi="ITC Avant Garde"/>
          <w:lang w:val="es-MX"/>
        </w:rPr>
        <w:t>- Arquitectura de red de cobre   </w:t>
      </w:r>
    </w:p>
    <w:p w14:paraId="1B642B36" w14:textId="3CCA3BE3" w:rsidR="00A66A23" w:rsidRPr="004C1A96" w:rsidRDefault="00CD4672" w:rsidP="000046C1">
      <w:pPr>
        <w:jc w:val="center"/>
        <w:rPr>
          <w:rFonts w:ascii="ITC Avant Garde" w:hAnsi="ITC Avant Garde"/>
          <w:lang w:val="es-MX"/>
        </w:rPr>
      </w:pPr>
      <w:r w:rsidRPr="00872052">
        <w:rPr>
          <w:rFonts w:ascii="ITC Avant Garde" w:hAnsi="ITC Avant Garde"/>
          <w:noProof/>
          <w:lang w:val="es-MX" w:eastAsia="es-MX"/>
        </w:rPr>
        <w:drawing>
          <wp:inline distT="0" distB="0" distL="0" distR="0" wp14:anchorId="356835ED" wp14:editId="79E9A35B">
            <wp:extent cx="4508500" cy="1818005"/>
            <wp:effectExtent l="0" t="0" r="6350" b="0"/>
            <wp:docPr id="3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08500" cy="1818005"/>
                    </a:xfrm>
                    <a:prstGeom prst="rect">
                      <a:avLst/>
                    </a:prstGeom>
                    <a:noFill/>
                    <a:ln>
                      <a:noFill/>
                    </a:ln>
                  </pic:spPr>
                </pic:pic>
              </a:graphicData>
            </a:graphic>
          </wp:inline>
        </w:drawing>
      </w:r>
    </w:p>
    <w:p w14:paraId="6CDA72C8" w14:textId="77777777" w:rsidR="00A66A23" w:rsidRPr="00E14D8A" w:rsidRDefault="00A66A23" w:rsidP="00A66A23">
      <w:pPr>
        <w:rPr>
          <w:rFonts w:ascii="ITC Avant Garde" w:hAnsi="ITC Avant Garde"/>
          <w:lang w:val="es-MX"/>
        </w:rPr>
      </w:pPr>
      <w:r w:rsidRPr="00E14D8A">
        <w:rPr>
          <w:rFonts w:ascii="ITC Avant Garde" w:hAnsi="ITC Avant Garde"/>
          <w:lang w:val="es-MX"/>
        </w:rPr>
        <w:t>En general, los SDP se ubican muy cerca del usuario final (la mayor parte del tiempo en la sección de la calle del usuario final). Como consecuencia, los SDP no han sido considerados en el tratamiento de los datos de geo-marketing, y se reubicaron con un enfoque bottom up.</w:t>
      </w:r>
    </w:p>
    <w:p w14:paraId="29B62555" w14:textId="77777777" w:rsidR="00A66A23" w:rsidRPr="004C1A96" w:rsidRDefault="00A66A23" w:rsidP="00A66A23">
      <w:pPr>
        <w:rPr>
          <w:rFonts w:ascii="ITC Avant Garde" w:hAnsi="ITC Avant Garde"/>
          <w:lang w:val="es-MX"/>
        </w:rPr>
      </w:pPr>
      <w:r w:rsidRPr="004C1A96">
        <w:rPr>
          <w:rFonts w:ascii="ITC Avant Garde" w:hAnsi="ITC Avant Garde"/>
          <w:lang w:val="es-MX"/>
        </w:rPr>
        <w:t>Las siguientes 2 rutas de camino necesitan ser determinadas:</w:t>
      </w:r>
    </w:p>
    <w:p w14:paraId="4BC2FEE0" w14:textId="77777777" w:rsidR="00A66A23" w:rsidRPr="004C1A96" w:rsidRDefault="00A66A23" w:rsidP="00A66A23">
      <w:pPr>
        <w:pStyle w:val="Listaconvietas2"/>
        <w:rPr>
          <w:rFonts w:ascii="ITC Avant Garde" w:hAnsi="ITC Avant Garde"/>
          <w:lang w:val="es-MX"/>
        </w:rPr>
      </w:pPr>
      <w:r w:rsidRPr="004C1A96">
        <w:rPr>
          <w:rFonts w:ascii="ITC Avant Garde" w:hAnsi="ITC Avant Garde"/>
          <w:lang w:val="es-MX"/>
        </w:rPr>
        <w:t>Usuario final/PDP;</w:t>
      </w:r>
    </w:p>
    <w:p w14:paraId="12B8BEC7" w14:textId="77777777" w:rsidR="00A66A23" w:rsidRPr="004C1A96" w:rsidRDefault="00A66A23" w:rsidP="00A66A23">
      <w:pPr>
        <w:pStyle w:val="Listaconvietas2"/>
        <w:rPr>
          <w:rFonts w:ascii="ITC Avant Garde" w:hAnsi="ITC Avant Garde"/>
          <w:lang w:val="es-MX"/>
        </w:rPr>
      </w:pPr>
      <w:r w:rsidRPr="004C1A96">
        <w:rPr>
          <w:rFonts w:ascii="ITC Avant Garde" w:hAnsi="ITC Avant Garde"/>
          <w:lang w:val="es-MX"/>
        </w:rPr>
        <w:t>PDP/CO.</w:t>
      </w:r>
    </w:p>
    <w:p w14:paraId="547BA53E" w14:textId="77777777" w:rsidR="00A66A23" w:rsidRPr="004C1A96" w:rsidRDefault="00A66A23" w:rsidP="00A66A23">
      <w:pPr>
        <w:rPr>
          <w:rFonts w:ascii="ITC Avant Garde" w:hAnsi="ITC Avant Garde"/>
          <w:lang w:val="es-MX"/>
        </w:rPr>
      </w:pPr>
    </w:p>
    <w:p w14:paraId="267F2A45" w14:textId="44027921" w:rsidR="00A66A23" w:rsidRPr="008F42FC" w:rsidRDefault="00A66A23" w:rsidP="003C224B">
      <w:pPr>
        <w:pStyle w:val="Ttulo4"/>
        <w:rPr>
          <w:lang w:val="es-MX"/>
        </w:rPr>
      </w:pPr>
      <w:bookmarkStart w:id="248" w:name="_Toc525672868"/>
      <w:bookmarkStart w:id="249" w:name="_Toc525665308"/>
      <w:bookmarkStart w:id="250" w:name="_Toc525665687"/>
      <w:bookmarkStart w:id="251" w:name="_Toc141975044"/>
      <w:r w:rsidRPr="008F42FC">
        <w:rPr>
          <w:lang w:val="es-MX"/>
        </w:rPr>
        <w:t xml:space="preserve">Arquitectura de </w:t>
      </w:r>
      <w:bookmarkEnd w:id="248"/>
      <w:bookmarkEnd w:id="249"/>
      <w:bookmarkEnd w:id="250"/>
      <w:r w:rsidR="00B53F7F" w:rsidRPr="008F42FC">
        <w:rPr>
          <w:lang w:val="es-MX"/>
        </w:rPr>
        <w:t>FTTH</w:t>
      </w:r>
      <w:bookmarkEnd w:id="251"/>
    </w:p>
    <w:p w14:paraId="77855E5F" w14:textId="77777777" w:rsidR="00A66A23" w:rsidRPr="004C1A96" w:rsidRDefault="00A66A23" w:rsidP="00A66A23">
      <w:pPr>
        <w:rPr>
          <w:rFonts w:ascii="ITC Avant Garde" w:hAnsi="ITC Avant Garde"/>
          <w:lang w:val="es-MX"/>
        </w:rPr>
      </w:pPr>
      <w:r w:rsidRPr="004C1A96">
        <w:rPr>
          <w:rFonts w:ascii="ITC Avant Garde" w:hAnsi="ITC Avant Garde"/>
          <w:lang w:val="es-MX"/>
        </w:rPr>
        <w:t>La arquitectura modelada sigue la arquitectura de la red de cobre, es decir, las premisas se agregan en un SDP, los SDP se agregan a un PDP y los PDP se agregan a un CO.</w:t>
      </w:r>
    </w:p>
    <w:p w14:paraId="52826363" w14:textId="77777777" w:rsidR="00A66A23" w:rsidRPr="004C1A96" w:rsidRDefault="00A66A23" w:rsidP="00A66A23">
      <w:pPr>
        <w:rPr>
          <w:rFonts w:ascii="ITC Avant Garde" w:hAnsi="ITC Avant Garde"/>
          <w:lang w:val="es-MX"/>
        </w:rPr>
      </w:pPr>
    </w:p>
    <w:p w14:paraId="6F2BB6FC" w14:textId="4861ED4F" w:rsidR="00A66A23" w:rsidRPr="00E14D8A" w:rsidRDefault="00A66A23" w:rsidP="00A66A23">
      <w:pPr>
        <w:pStyle w:val="Descripcin"/>
        <w:keepNext/>
        <w:rPr>
          <w:rFonts w:ascii="ITC Avant Garde" w:hAnsi="ITC Avant Garde"/>
          <w:lang w:val="es-MX"/>
        </w:rPr>
      </w:pPr>
      <w:r w:rsidRPr="00E14D8A">
        <w:rPr>
          <w:rFonts w:ascii="ITC Avant Garde" w:hAnsi="ITC Avant Garde"/>
          <w:lang w:val="es-MX"/>
        </w:rPr>
        <w:t> </w:t>
      </w:r>
      <w:r w:rsidR="006D69ED" w:rsidRPr="00E14D8A">
        <w:rPr>
          <w:rFonts w:ascii="ITC Avant Garde" w:hAnsi="ITC Avant Garde"/>
          <w:lang w:val="es-MX"/>
        </w:rPr>
        <w:t xml:space="preserve">Figura </w:t>
      </w:r>
      <w:r w:rsidR="006D69ED" w:rsidRPr="004C1A96">
        <w:rPr>
          <w:rFonts w:ascii="ITC Avant Garde" w:hAnsi="ITC Avant Garde"/>
          <w:lang w:val="es-MX"/>
        </w:rPr>
        <w:fldChar w:fldCharType="begin"/>
      </w:r>
      <w:r w:rsidR="006D69ED" w:rsidRPr="004C1A96">
        <w:rPr>
          <w:rFonts w:ascii="ITC Avant Garde" w:hAnsi="ITC Avant Garde"/>
          <w:lang w:val="es-MX"/>
        </w:rPr>
        <w:instrText xml:space="preserve"> SEQ Figura \* ARABIC </w:instrText>
      </w:r>
      <w:r w:rsidR="006D69ED" w:rsidRPr="004C1A96">
        <w:rPr>
          <w:rFonts w:ascii="ITC Avant Garde" w:hAnsi="ITC Avant Garde"/>
          <w:lang w:val="es-MX"/>
        </w:rPr>
        <w:fldChar w:fldCharType="separate"/>
      </w:r>
      <w:r w:rsidR="00006265">
        <w:rPr>
          <w:rFonts w:ascii="ITC Avant Garde" w:hAnsi="ITC Avant Garde"/>
          <w:noProof/>
          <w:lang w:val="es-MX"/>
        </w:rPr>
        <w:t>21</w:t>
      </w:r>
      <w:r w:rsidR="006D69ED" w:rsidRPr="004C1A96">
        <w:rPr>
          <w:rFonts w:ascii="ITC Avant Garde" w:hAnsi="ITC Avant Garde"/>
          <w:lang w:val="es-MX"/>
        </w:rPr>
        <w:fldChar w:fldCharType="end"/>
      </w:r>
      <w:r w:rsidR="006D69ED" w:rsidRPr="004C1A96">
        <w:rPr>
          <w:rFonts w:ascii="ITC Avant Garde" w:hAnsi="ITC Avant Garde"/>
          <w:lang w:val="es-MX"/>
        </w:rPr>
        <w:t xml:space="preserve"> </w:t>
      </w:r>
      <w:r w:rsidRPr="004C1A96">
        <w:rPr>
          <w:rFonts w:ascii="ITC Avant Garde" w:hAnsi="ITC Avant Garde"/>
          <w:lang w:val="es-MX"/>
        </w:rPr>
        <w:t xml:space="preserve">- Arquitectura de red de </w:t>
      </w:r>
      <w:r w:rsidR="00C8485E" w:rsidRPr="00E14D8A">
        <w:rPr>
          <w:rFonts w:ascii="ITC Avant Garde" w:hAnsi="ITC Avant Garde"/>
          <w:lang w:val="es-MX"/>
        </w:rPr>
        <w:t xml:space="preserve">FTTH </w:t>
      </w:r>
      <w:r w:rsidRPr="00E14D8A">
        <w:rPr>
          <w:rFonts w:ascii="ITC Avant Garde" w:hAnsi="ITC Avant Garde"/>
          <w:lang w:val="es-MX"/>
        </w:rPr>
        <w:t>(solo para fines ilustrativos)</w:t>
      </w:r>
    </w:p>
    <w:p w14:paraId="7B17E292" w14:textId="0D3E214B" w:rsidR="00A66A23" w:rsidRPr="004C1A96" w:rsidRDefault="00CD4672" w:rsidP="00A66A23">
      <w:pPr>
        <w:jc w:val="center"/>
        <w:rPr>
          <w:rFonts w:ascii="ITC Avant Garde" w:hAnsi="ITC Avant Garde"/>
          <w:lang w:val="es-MX"/>
        </w:rPr>
      </w:pPr>
      <w:r w:rsidRPr="00872052">
        <w:rPr>
          <w:rFonts w:ascii="ITC Avant Garde" w:hAnsi="ITC Avant Garde"/>
          <w:noProof/>
          <w:lang w:val="es-MX" w:eastAsia="es-MX"/>
        </w:rPr>
        <w:drawing>
          <wp:inline distT="0" distB="0" distL="0" distR="0" wp14:anchorId="23900075" wp14:editId="666E438C">
            <wp:extent cx="4508500" cy="1818005"/>
            <wp:effectExtent l="0" t="0" r="6350" b="0"/>
            <wp:docPr id="6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08500" cy="1818005"/>
                    </a:xfrm>
                    <a:prstGeom prst="rect">
                      <a:avLst/>
                    </a:prstGeom>
                    <a:noFill/>
                    <a:ln>
                      <a:noFill/>
                    </a:ln>
                  </pic:spPr>
                </pic:pic>
              </a:graphicData>
            </a:graphic>
          </wp:inline>
        </w:drawing>
      </w:r>
    </w:p>
    <w:p w14:paraId="5E5BF326" w14:textId="77777777" w:rsidR="00A66A23" w:rsidRPr="004C1A96" w:rsidRDefault="00A66A23" w:rsidP="00A66A23">
      <w:pPr>
        <w:rPr>
          <w:rFonts w:ascii="ITC Avant Garde" w:hAnsi="ITC Avant Garde"/>
          <w:lang w:val="es-MX"/>
        </w:rPr>
      </w:pPr>
    </w:p>
    <w:p w14:paraId="088BD93E" w14:textId="77777777" w:rsidR="00A66A23" w:rsidRPr="00E14D8A" w:rsidRDefault="00A66A23" w:rsidP="00A66A23">
      <w:pPr>
        <w:rPr>
          <w:rFonts w:ascii="ITC Avant Garde" w:hAnsi="ITC Avant Garde"/>
          <w:lang w:val="es-MX"/>
        </w:rPr>
      </w:pPr>
      <w:r w:rsidRPr="00E14D8A">
        <w:rPr>
          <w:rFonts w:ascii="ITC Avant Garde" w:hAnsi="ITC Avant Garde"/>
          <w:lang w:val="es-MX"/>
        </w:rPr>
        <w:t>Según los datos proporcionados por el AEP y de acuerdo con los principios establecidos en la sección 2, la red de fibra se modela considerando una tecnología PON.</w:t>
      </w:r>
    </w:p>
    <w:p w14:paraId="7819CA3B" w14:textId="77777777" w:rsidR="00A66A23" w:rsidRPr="00E14D8A" w:rsidRDefault="00A66A23" w:rsidP="00A66A23">
      <w:pPr>
        <w:rPr>
          <w:rFonts w:ascii="ITC Avant Garde" w:hAnsi="ITC Avant Garde"/>
          <w:lang w:val="es-MX"/>
        </w:rPr>
      </w:pPr>
      <w:r w:rsidRPr="00E14D8A">
        <w:rPr>
          <w:rFonts w:ascii="ITC Avant Garde" w:hAnsi="ITC Avant Garde"/>
          <w:lang w:val="es-MX"/>
        </w:rPr>
        <w:t>El modelo se basa en esta tecnología considerando dos etapas de división:</w:t>
      </w:r>
    </w:p>
    <w:p w14:paraId="107027CE" w14:textId="77777777" w:rsidR="00A66A23" w:rsidRPr="004C1A96" w:rsidRDefault="00A66A23" w:rsidP="00A66A23">
      <w:pPr>
        <w:pStyle w:val="Listaconvietas2"/>
        <w:rPr>
          <w:rFonts w:ascii="ITC Avant Garde" w:hAnsi="ITC Avant Garde"/>
          <w:lang w:val="es-MX"/>
        </w:rPr>
      </w:pPr>
      <w:r w:rsidRPr="004C1A96">
        <w:rPr>
          <w:rFonts w:ascii="ITC Avant Garde" w:hAnsi="ITC Avant Garde"/>
          <w:lang w:val="es-MX"/>
        </w:rPr>
        <w:lastRenderedPageBreak/>
        <w:t>En el nivel "Cierres de Empalme de Derivación Óptica" / PDP, la relación de división considerada es 1: 8;</w:t>
      </w:r>
    </w:p>
    <w:p w14:paraId="39B3D2BE" w14:textId="77777777" w:rsidR="00A66A23" w:rsidRPr="004C1A96" w:rsidRDefault="00A66A23" w:rsidP="00A66A23">
      <w:pPr>
        <w:pStyle w:val="Listaconvietas2"/>
        <w:rPr>
          <w:rFonts w:ascii="ITC Avant Garde" w:hAnsi="ITC Avant Garde"/>
          <w:lang w:val="es-MX"/>
        </w:rPr>
      </w:pPr>
      <w:r w:rsidRPr="004C1A96">
        <w:rPr>
          <w:rFonts w:ascii="ITC Avant Garde" w:hAnsi="ITC Avant Garde"/>
          <w:lang w:val="es-MX"/>
        </w:rPr>
        <w:t>En el nivel "Terminal Óptica" / SDP, la relación de división considerada es 1: 8.</w:t>
      </w:r>
    </w:p>
    <w:p w14:paraId="42A892BF" w14:textId="77777777" w:rsidR="00A66A23" w:rsidRPr="004C1A96" w:rsidRDefault="00A66A23" w:rsidP="00A66A23">
      <w:pPr>
        <w:pStyle w:val="Listaconvietas2"/>
        <w:numPr>
          <w:ilvl w:val="0"/>
          <w:numId w:val="0"/>
        </w:numPr>
        <w:ind w:left="643" w:hanging="360"/>
        <w:rPr>
          <w:rFonts w:ascii="ITC Avant Garde" w:hAnsi="ITC Avant Garde"/>
          <w:lang w:val="es-MX"/>
        </w:rPr>
      </w:pPr>
    </w:p>
    <w:p w14:paraId="58128D6A" w14:textId="5756649F" w:rsidR="00A66A23" w:rsidRPr="004C1A96" w:rsidRDefault="006D69ED" w:rsidP="00A66A23">
      <w:pPr>
        <w:pStyle w:val="Descripcin"/>
        <w:keepNext/>
        <w:rPr>
          <w:rFonts w:ascii="ITC Avant Garde" w:hAnsi="ITC Avant Garde"/>
          <w:lang w:val="es-MX"/>
        </w:rPr>
      </w:pPr>
      <w:r w:rsidRPr="004C1A96">
        <w:rPr>
          <w:rFonts w:ascii="ITC Avant Garde" w:hAnsi="ITC Avant Garde"/>
          <w:lang w:val="es-MX"/>
        </w:rPr>
        <w:t xml:space="preserve">Figura </w:t>
      </w:r>
      <w:r w:rsidRPr="004C1A96">
        <w:rPr>
          <w:rFonts w:ascii="ITC Avant Garde" w:hAnsi="ITC Avant Garde"/>
          <w:lang w:val="es-MX"/>
        </w:rPr>
        <w:fldChar w:fldCharType="begin"/>
      </w:r>
      <w:r w:rsidRPr="004C1A96">
        <w:rPr>
          <w:rFonts w:ascii="ITC Avant Garde" w:hAnsi="ITC Avant Garde"/>
          <w:lang w:val="es-MX"/>
        </w:rPr>
        <w:instrText xml:space="preserve"> SEQ Figura \* ARABIC </w:instrText>
      </w:r>
      <w:r w:rsidRPr="004C1A96">
        <w:rPr>
          <w:rFonts w:ascii="ITC Avant Garde" w:hAnsi="ITC Avant Garde"/>
          <w:lang w:val="es-MX"/>
        </w:rPr>
        <w:fldChar w:fldCharType="separate"/>
      </w:r>
      <w:r w:rsidR="00006265">
        <w:rPr>
          <w:rFonts w:ascii="ITC Avant Garde" w:hAnsi="ITC Avant Garde"/>
          <w:noProof/>
          <w:lang w:val="es-MX"/>
        </w:rPr>
        <w:t>22</w:t>
      </w:r>
      <w:r w:rsidRPr="004C1A96">
        <w:rPr>
          <w:rFonts w:ascii="ITC Avant Garde" w:hAnsi="ITC Avant Garde"/>
          <w:lang w:val="es-MX"/>
        </w:rPr>
        <w:fldChar w:fldCharType="end"/>
      </w:r>
      <w:r w:rsidRPr="004C1A96">
        <w:rPr>
          <w:rFonts w:ascii="ITC Avant Garde" w:hAnsi="ITC Avant Garde"/>
          <w:lang w:val="es-MX"/>
        </w:rPr>
        <w:t xml:space="preserve"> </w:t>
      </w:r>
      <w:r w:rsidR="00A66A23" w:rsidRPr="004C1A96">
        <w:rPr>
          <w:rFonts w:ascii="ITC Avant Garde" w:hAnsi="ITC Avant Garde"/>
          <w:lang w:val="es-MX"/>
        </w:rPr>
        <w:t xml:space="preserve">- Niveles de división de la red de fibra </w:t>
      </w:r>
    </w:p>
    <w:p w14:paraId="5AC80827" w14:textId="7DFFF9CC" w:rsidR="00A66A23" w:rsidRPr="004C1A96" w:rsidRDefault="00CD4672" w:rsidP="000046C1">
      <w:pPr>
        <w:jc w:val="center"/>
        <w:rPr>
          <w:rFonts w:ascii="ITC Avant Garde" w:hAnsi="ITC Avant Garde"/>
          <w:lang w:val="es-MX"/>
        </w:rPr>
      </w:pPr>
      <w:r w:rsidRPr="00872052">
        <w:rPr>
          <w:rFonts w:ascii="ITC Avant Garde" w:hAnsi="ITC Avant Garde"/>
          <w:noProof/>
          <w:lang w:val="es-MX" w:eastAsia="es-MX"/>
        </w:rPr>
        <w:drawing>
          <wp:inline distT="0" distB="0" distL="0" distR="0" wp14:anchorId="601F08E2" wp14:editId="21A4B705">
            <wp:extent cx="4714875" cy="3187700"/>
            <wp:effectExtent l="0" t="0" r="0" b="0"/>
            <wp:docPr id="63"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8" cstate="print"/>
                    <a:srcRect/>
                    <a:stretch>
                      <a:fillRect/>
                    </a:stretch>
                  </pic:blipFill>
                  <pic:spPr bwMode="auto">
                    <a:xfrm>
                      <a:off x="0" y="0"/>
                      <a:ext cx="4714875" cy="3187700"/>
                    </a:xfrm>
                    <a:prstGeom prst="rect">
                      <a:avLst/>
                    </a:prstGeom>
                    <a:noFill/>
                    <a:ln w="9525">
                      <a:noFill/>
                      <a:miter lim="800000"/>
                      <a:headEnd/>
                      <a:tailEnd/>
                    </a:ln>
                  </pic:spPr>
                </pic:pic>
              </a:graphicData>
            </a:graphic>
          </wp:inline>
        </w:drawing>
      </w:r>
    </w:p>
    <w:p w14:paraId="46EDA88B" w14:textId="77777777" w:rsidR="00A66A23" w:rsidRPr="00E14D8A" w:rsidRDefault="00A66A23" w:rsidP="00A66A23">
      <w:pPr>
        <w:rPr>
          <w:rFonts w:ascii="ITC Avant Garde" w:hAnsi="ITC Avant Garde"/>
          <w:lang w:val="es-MX"/>
        </w:rPr>
      </w:pPr>
    </w:p>
    <w:p w14:paraId="3DB6EDD4" w14:textId="77777777" w:rsidR="00B53F7F" w:rsidRPr="008F42FC" w:rsidRDefault="00B53F7F" w:rsidP="003C224B">
      <w:pPr>
        <w:pStyle w:val="Ttulo4"/>
        <w:rPr>
          <w:lang w:val="es-MX"/>
        </w:rPr>
      </w:pPr>
      <w:bookmarkStart w:id="252" w:name="_Toc141975045"/>
      <w:r w:rsidRPr="008F42FC">
        <w:rPr>
          <w:lang w:val="es-MX"/>
        </w:rPr>
        <w:t>Arquitectura de FTTC</w:t>
      </w:r>
      <w:bookmarkEnd w:id="252"/>
    </w:p>
    <w:p w14:paraId="2DCEACEB" w14:textId="274A1847" w:rsidR="00B53F7F" w:rsidRPr="004C1A96" w:rsidRDefault="00B53F7F" w:rsidP="008A7B36">
      <w:pPr>
        <w:rPr>
          <w:rFonts w:ascii="ITC Avant Garde" w:hAnsi="ITC Avant Garde"/>
          <w:lang w:val="es-MX"/>
        </w:rPr>
      </w:pPr>
      <w:r w:rsidRPr="004C1A96">
        <w:rPr>
          <w:rFonts w:ascii="ITC Avant Garde" w:hAnsi="ITC Avant Garde"/>
          <w:lang w:val="es-MX"/>
        </w:rPr>
        <w:t>La arquitectura modelada sigue la arquitectura de la red de cobre y de FTT</w:t>
      </w:r>
      <w:r w:rsidR="00C8485E" w:rsidRPr="00E14D8A">
        <w:rPr>
          <w:rFonts w:ascii="ITC Avant Garde" w:hAnsi="ITC Avant Garde"/>
          <w:lang w:val="es-MX"/>
        </w:rPr>
        <w:t>H</w:t>
      </w:r>
      <w:r w:rsidRPr="00E14D8A">
        <w:rPr>
          <w:rFonts w:ascii="ITC Avant Garde" w:hAnsi="ITC Avant Garde"/>
          <w:lang w:val="es-MX"/>
        </w:rPr>
        <w:t>, es decir, las premisas se agregan en un SDP, los SDP se agregan a un PDP y los PDP se agregan a un CO</w:t>
      </w:r>
      <w:r w:rsidRPr="004C1A96">
        <w:rPr>
          <w:rFonts w:ascii="ITC Avant Garde" w:hAnsi="ITC Avant Garde"/>
          <w:lang w:val="es-MX"/>
        </w:rPr>
        <w:t xml:space="preserve">. La principal diferencia radica en la tecnología utilizada en los diferentes </w:t>
      </w:r>
      <w:r w:rsidR="008A7B36" w:rsidRPr="004C1A96">
        <w:rPr>
          <w:rFonts w:ascii="ITC Avant Garde" w:hAnsi="ITC Avant Garde"/>
          <w:lang w:val="es-MX"/>
        </w:rPr>
        <w:t>segmentos de la red</w:t>
      </w:r>
      <w:r w:rsidR="004A1426" w:rsidRPr="004C1A96">
        <w:rPr>
          <w:rFonts w:ascii="ITC Avant Garde" w:hAnsi="ITC Avant Garde"/>
          <w:lang w:val="es-MX"/>
        </w:rPr>
        <w:t>, siendo la fibra empleada en la red primaria (desde la CO hasta el PDP</w:t>
      </w:r>
      <w:r w:rsidR="00915D5E" w:rsidRPr="004C1A96">
        <w:rPr>
          <w:rFonts w:ascii="ITC Avant Garde" w:hAnsi="ITC Avant Garde"/>
          <w:lang w:val="es-MX"/>
        </w:rPr>
        <w:t>) y el cobre empleado en la red secundaria y acometida (desde el PDP hasta el usuario)</w:t>
      </w:r>
      <w:r w:rsidR="008A7B36" w:rsidRPr="004C1A96">
        <w:rPr>
          <w:rFonts w:ascii="ITC Avant Garde" w:hAnsi="ITC Avant Garde"/>
          <w:lang w:val="es-MX"/>
        </w:rPr>
        <w:t xml:space="preserve">. </w:t>
      </w:r>
    </w:p>
    <w:p w14:paraId="6CCC881D" w14:textId="17D05E31" w:rsidR="00B53F7F" w:rsidRPr="00E14D8A" w:rsidRDefault="006D69ED" w:rsidP="008A7B36">
      <w:pPr>
        <w:jc w:val="center"/>
        <w:rPr>
          <w:rFonts w:ascii="ITC Avant Garde" w:hAnsi="ITC Avant Garde"/>
          <w:b/>
          <w:bCs/>
          <w:color w:val="CC3300"/>
          <w:szCs w:val="20"/>
          <w:lang w:val="es-MX"/>
        </w:rPr>
      </w:pPr>
      <w:r w:rsidRPr="000046C1">
        <w:rPr>
          <w:rFonts w:ascii="ITC Avant Garde" w:hAnsi="ITC Avant Garde"/>
          <w:b/>
          <w:bCs/>
          <w:color w:val="CC3300"/>
          <w:szCs w:val="20"/>
          <w:lang w:val="es-MX"/>
        </w:rPr>
        <w:t xml:space="preserve">Figura </w:t>
      </w:r>
      <w:r w:rsidRPr="000046C1">
        <w:rPr>
          <w:rFonts w:ascii="ITC Avant Garde" w:hAnsi="ITC Avant Garde"/>
          <w:b/>
          <w:bCs/>
          <w:color w:val="CC3300"/>
          <w:szCs w:val="20"/>
          <w:lang w:val="es-MX"/>
        </w:rPr>
        <w:fldChar w:fldCharType="begin"/>
      </w:r>
      <w:r w:rsidRPr="000046C1">
        <w:rPr>
          <w:rFonts w:ascii="ITC Avant Garde" w:hAnsi="ITC Avant Garde"/>
          <w:b/>
          <w:bCs/>
          <w:color w:val="CC3300"/>
          <w:szCs w:val="20"/>
          <w:lang w:val="es-MX"/>
        </w:rPr>
        <w:instrText xml:space="preserve"> SEQ Figura \* ARABIC </w:instrText>
      </w:r>
      <w:r w:rsidRPr="000046C1">
        <w:rPr>
          <w:rFonts w:ascii="ITC Avant Garde" w:hAnsi="ITC Avant Garde"/>
          <w:b/>
          <w:bCs/>
          <w:color w:val="CC3300"/>
          <w:szCs w:val="20"/>
          <w:lang w:val="es-MX"/>
        </w:rPr>
        <w:fldChar w:fldCharType="separate"/>
      </w:r>
      <w:r w:rsidR="00006265">
        <w:rPr>
          <w:rFonts w:ascii="ITC Avant Garde" w:hAnsi="ITC Avant Garde"/>
          <w:b/>
          <w:bCs/>
          <w:noProof/>
          <w:color w:val="CC3300"/>
          <w:szCs w:val="20"/>
          <w:lang w:val="es-MX"/>
        </w:rPr>
        <w:t>23</w:t>
      </w:r>
      <w:r w:rsidRPr="000046C1">
        <w:rPr>
          <w:rFonts w:ascii="ITC Avant Garde" w:hAnsi="ITC Avant Garde"/>
          <w:b/>
          <w:bCs/>
          <w:color w:val="CC3300"/>
          <w:szCs w:val="20"/>
          <w:lang w:val="es-MX"/>
        </w:rPr>
        <w:fldChar w:fldCharType="end"/>
      </w:r>
      <w:r w:rsidRPr="000046C1">
        <w:rPr>
          <w:rFonts w:ascii="ITC Avant Garde" w:hAnsi="ITC Avant Garde"/>
          <w:b/>
          <w:bCs/>
          <w:color w:val="CC3300"/>
          <w:szCs w:val="20"/>
          <w:lang w:val="es-MX"/>
        </w:rPr>
        <w:t xml:space="preserve"> </w:t>
      </w:r>
      <w:r w:rsidR="00B53F7F" w:rsidRPr="004C1A96">
        <w:rPr>
          <w:rFonts w:ascii="ITC Avant Garde" w:hAnsi="ITC Avant Garde"/>
          <w:b/>
          <w:bCs/>
          <w:color w:val="CC3300"/>
          <w:szCs w:val="20"/>
          <w:lang w:val="es-MX"/>
        </w:rPr>
        <w:t xml:space="preserve">- Arquitectura de red de </w:t>
      </w:r>
      <w:r w:rsidR="008A7B36" w:rsidRPr="00E14D8A">
        <w:rPr>
          <w:rFonts w:ascii="ITC Avant Garde" w:hAnsi="ITC Avant Garde"/>
          <w:b/>
          <w:bCs/>
          <w:color w:val="CC3300"/>
          <w:szCs w:val="20"/>
          <w:lang w:val="es-MX"/>
        </w:rPr>
        <w:t>FTTC</w:t>
      </w:r>
      <w:r w:rsidR="00B53F7F" w:rsidRPr="00E14D8A">
        <w:rPr>
          <w:rFonts w:ascii="ITC Avant Garde" w:hAnsi="ITC Avant Garde"/>
          <w:b/>
          <w:bCs/>
          <w:color w:val="CC3300"/>
          <w:szCs w:val="20"/>
          <w:lang w:val="es-MX"/>
        </w:rPr>
        <w:t xml:space="preserve"> (solo para fines ilustrativos)</w:t>
      </w:r>
    </w:p>
    <w:p w14:paraId="49B77F7F" w14:textId="3CF1E994" w:rsidR="005579D3" w:rsidRPr="00E14D8A" w:rsidRDefault="00CD4672" w:rsidP="00B53F7F">
      <w:pPr>
        <w:jc w:val="center"/>
        <w:rPr>
          <w:rFonts w:ascii="ITC Avant Garde" w:hAnsi="ITC Avant Garde"/>
          <w:noProof/>
          <w:lang w:val="es-MX" w:eastAsia="es-MX"/>
        </w:rPr>
      </w:pPr>
      <w:r w:rsidRPr="00872052">
        <w:rPr>
          <w:rFonts w:ascii="ITC Avant Garde" w:hAnsi="ITC Avant Garde"/>
          <w:noProof/>
          <w:lang w:val="es-MX" w:eastAsia="es-MX"/>
        </w:rPr>
        <w:lastRenderedPageBreak/>
        <w:drawing>
          <wp:inline distT="0" distB="0" distL="0" distR="0" wp14:anchorId="279A9BBF" wp14:editId="7155C513">
            <wp:extent cx="4508500" cy="1818005"/>
            <wp:effectExtent l="0" t="0" r="6350" b="0"/>
            <wp:docPr id="1722486394" name="Picture 1722486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08500" cy="1818005"/>
                    </a:xfrm>
                    <a:prstGeom prst="rect">
                      <a:avLst/>
                    </a:prstGeom>
                    <a:noFill/>
                    <a:ln>
                      <a:noFill/>
                    </a:ln>
                  </pic:spPr>
                </pic:pic>
              </a:graphicData>
            </a:graphic>
          </wp:inline>
        </w:drawing>
      </w:r>
    </w:p>
    <w:p w14:paraId="7D8EAB14" w14:textId="3A339D1A" w:rsidR="00B53F7F" w:rsidRPr="004C1A96" w:rsidRDefault="00B53F7F" w:rsidP="00B53F7F">
      <w:pPr>
        <w:jc w:val="center"/>
        <w:rPr>
          <w:rFonts w:ascii="ITC Avant Garde" w:hAnsi="ITC Avant Garde"/>
          <w:b/>
          <w:bCs/>
          <w:color w:val="CC3300"/>
          <w:szCs w:val="20"/>
          <w:lang w:val="es-MX"/>
        </w:rPr>
      </w:pPr>
    </w:p>
    <w:p w14:paraId="2667B750" w14:textId="098F60E0" w:rsidR="00A66A23" w:rsidRPr="004C1A96" w:rsidRDefault="00A66A23" w:rsidP="00A66A23">
      <w:pPr>
        <w:rPr>
          <w:rFonts w:ascii="ITC Avant Garde" w:hAnsi="ITC Avant Garde"/>
          <w:lang w:val="es-MX"/>
        </w:rPr>
      </w:pPr>
      <w:r w:rsidRPr="004C1A96">
        <w:rPr>
          <w:rFonts w:ascii="ITC Avant Garde" w:hAnsi="ITC Avant Garde"/>
          <w:lang w:val="es-MX"/>
        </w:rPr>
        <w:t xml:space="preserve">Como se describió anteriormente, el despliegue de fibra </w:t>
      </w:r>
      <w:r w:rsidR="008A7B36" w:rsidRPr="004C1A96">
        <w:rPr>
          <w:rFonts w:ascii="ITC Avant Garde" w:hAnsi="ITC Avant Garde"/>
          <w:lang w:val="es-MX"/>
        </w:rPr>
        <w:t xml:space="preserve">(FTTH o FTTC) </w:t>
      </w:r>
      <w:r w:rsidRPr="00E14D8A">
        <w:rPr>
          <w:rFonts w:ascii="ITC Avant Garde" w:hAnsi="ITC Avant Garde"/>
          <w:lang w:val="es-MX"/>
        </w:rPr>
        <w:t xml:space="preserve">en México es relativamente limitado, por lo que una huella </w:t>
      </w:r>
      <w:r w:rsidRPr="004C1A96">
        <w:rPr>
          <w:rFonts w:ascii="ITC Avant Garde" w:hAnsi="ITC Avant Garde"/>
          <w:lang w:val="es-MX"/>
        </w:rPr>
        <w:t xml:space="preserve">nacional no es adecuada para los costos de </w:t>
      </w:r>
      <w:r w:rsidR="008A7B36" w:rsidRPr="004C1A96">
        <w:rPr>
          <w:rFonts w:ascii="ITC Avant Garde" w:hAnsi="ITC Avant Garde"/>
          <w:lang w:val="es-MX"/>
        </w:rPr>
        <w:t xml:space="preserve">estos </w:t>
      </w:r>
      <w:r w:rsidRPr="004C1A96">
        <w:rPr>
          <w:rFonts w:ascii="ITC Avant Garde" w:hAnsi="ITC Avant Garde"/>
          <w:lang w:val="es-MX"/>
        </w:rPr>
        <w:t>servicios.</w:t>
      </w:r>
    </w:p>
    <w:p w14:paraId="73F0313B" w14:textId="77777777" w:rsidR="00A66A23" w:rsidRPr="004C1A96" w:rsidRDefault="00A66A23" w:rsidP="00A66A23">
      <w:pPr>
        <w:rPr>
          <w:rFonts w:ascii="ITC Avant Garde" w:hAnsi="ITC Avant Garde"/>
          <w:lang w:val="es-MX"/>
        </w:rPr>
      </w:pPr>
      <w:r w:rsidRPr="004C1A96">
        <w:rPr>
          <w:rFonts w:ascii="ITC Avant Garde" w:hAnsi="ITC Avant Garde"/>
          <w:lang w:val="es-MX"/>
        </w:rPr>
        <w:t>La huella está entonces restringida, de modo que las áreas de cobertura modeladas se corresponden tanto como sea posible con la realidad.</w:t>
      </w:r>
    </w:p>
    <w:p w14:paraId="609D94F9" w14:textId="0C853F27" w:rsidR="00A66A23" w:rsidRPr="004C1A96" w:rsidRDefault="00A66A23" w:rsidP="00A66A23">
      <w:pPr>
        <w:rPr>
          <w:rFonts w:ascii="ITC Avant Garde" w:hAnsi="ITC Avant Garde"/>
          <w:lang w:val="es-MX"/>
        </w:rPr>
      </w:pPr>
      <w:r w:rsidRPr="004C1A96">
        <w:rPr>
          <w:rFonts w:ascii="ITC Avant Garde" w:hAnsi="ITC Avant Garde"/>
          <w:lang w:val="es-MX"/>
        </w:rPr>
        <w:t>Como se mencionó anteriormente, la huella FTTH</w:t>
      </w:r>
      <w:r w:rsidR="00B53F7F" w:rsidRPr="004C1A96">
        <w:rPr>
          <w:rFonts w:ascii="ITC Avant Garde" w:hAnsi="ITC Avant Garde"/>
          <w:lang w:val="es-MX"/>
        </w:rPr>
        <w:t xml:space="preserve"> y FTTC</w:t>
      </w:r>
      <w:r w:rsidRPr="004C1A96">
        <w:rPr>
          <w:rFonts w:ascii="ITC Avant Garde" w:hAnsi="ITC Avant Garde"/>
          <w:lang w:val="es-MX"/>
        </w:rPr>
        <w:t xml:space="preserve"> nacional inicial utilizada como punto de partida es idéntica a la red de cobre:</w:t>
      </w:r>
    </w:p>
    <w:p w14:paraId="18690E12" w14:textId="77777777" w:rsidR="00A66A23" w:rsidRPr="004C1A96" w:rsidRDefault="00A66A23" w:rsidP="00A66A23">
      <w:pPr>
        <w:pStyle w:val="Listaconvietas2"/>
        <w:rPr>
          <w:rFonts w:ascii="ITC Avant Garde" w:hAnsi="ITC Avant Garde"/>
          <w:lang w:val="es-MX"/>
        </w:rPr>
      </w:pPr>
      <w:r w:rsidRPr="004C1A96">
        <w:rPr>
          <w:rFonts w:ascii="ITC Avant Garde" w:hAnsi="ITC Avant Garde"/>
          <w:lang w:val="es-MX"/>
        </w:rPr>
        <w:t>Los ODF de fibra están ubicados en la misma ubicación que las oficinas centrales de cobre;</w:t>
      </w:r>
    </w:p>
    <w:p w14:paraId="114D7473" w14:textId="77777777" w:rsidR="00A66A23" w:rsidRPr="004C1A96" w:rsidRDefault="00A66A23" w:rsidP="00A66A23">
      <w:pPr>
        <w:pStyle w:val="Listaconvietas2"/>
        <w:rPr>
          <w:rFonts w:ascii="ITC Avant Garde" w:hAnsi="ITC Avant Garde"/>
          <w:lang w:val="es-MX"/>
        </w:rPr>
      </w:pPr>
      <w:r w:rsidRPr="004C1A96">
        <w:rPr>
          <w:rFonts w:ascii="ITC Avant Garde" w:hAnsi="ITC Avant Garde"/>
          <w:lang w:val="es-MX"/>
        </w:rPr>
        <w:t>Las PDP de fibra están ubicadas en la misma ubicación que las PDP de cobre.</w:t>
      </w:r>
    </w:p>
    <w:p w14:paraId="6379242F" w14:textId="51FF2435" w:rsidR="00A66A23" w:rsidRPr="004C1A96" w:rsidRDefault="00A66A23" w:rsidP="00A66A23">
      <w:pPr>
        <w:rPr>
          <w:rFonts w:ascii="ITC Avant Garde" w:hAnsi="ITC Avant Garde"/>
          <w:lang w:val="es-MX"/>
        </w:rPr>
      </w:pPr>
      <w:r w:rsidRPr="004C1A96">
        <w:rPr>
          <w:rFonts w:ascii="ITC Avant Garde" w:hAnsi="ITC Avant Garde"/>
          <w:lang w:val="es-MX"/>
        </w:rPr>
        <w:t xml:space="preserve">Como consecuencia, el procesamiento de geo-marketing debe realizarse una vez para </w:t>
      </w:r>
      <w:r w:rsidR="00232013" w:rsidRPr="004C1A96">
        <w:rPr>
          <w:rFonts w:ascii="ITC Avant Garde" w:hAnsi="ITC Avant Garde"/>
          <w:lang w:val="es-MX"/>
        </w:rPr>
        <w:t xml:space="preserve">todas las </w:t>
      </w:r>
      <w:r w:rsidRPr="004C1A96">
        <w:rPr>
          <w:rFonts w:ascii="ITC Avant Garde" w:hAnsi="ITC Avant Garde"/>
          <w:lang w:val="es-MX"/>
        </w:rPr>
        <w:t>redes, pero con una reducción de huella diferente.</w:t>
      </w:r>
    </w:p>
    <w:p w14:paraId="396E190F" w14:textId="77777777" w:rsidR="00A66A23" w:rsidRPr="004C1A96" w:rsidRDefault="00A66A23" w:rsidP="00A66A23">
      <w:pPr>
        <w:rPr>
          <w:rFonts w:ascii="ITC Avant Garde" w:hAnsi="ITC Avant Garde"/>
          <w:lang w:val="es-MX"/>
        </w:rPr>
      </w:pPr>
      <w:r w:rsidRPr="004C1A96">
        <w:rPr>
          <w:rFonts w:ascii="ITC Avant Garde" w:hAnsi="ITC Avant Garde"/>
          <w:lang w:val="es-MX"/>
        </w:rPr>
        <w:t>El siguiente párrafo presenta los principales pasos seguidos para tratar los aportes provistos por el AEP.</w:t>
      </w:r>
    </w:p>
    <w:p w14:paraId="328731B2" w14:textId="77777777" w:rsidR="00A66A23" w:rsidRPr="004C1A96" w:rsidRDefault="00A66A23" w:rsidP="00A66A23">
      <w:pPr>
        <w:rPr>
          <w:rFonts w:ascii="ITC Avant Garde" w:hAnsi="ITC Avant Garde"/>
          <w:lang w:val="es-MX"/>
        </w:rPr>
      </w:pPr>
    </w:p>
    <w:p w14:paraId="078A4F29" w14:textId="77777777" w:rsidR="00A66A23" w:rsidRPr="008F42FC" w:rsidRDefault="00A66A23" w:rsidP="003C224B">
      <w:pPr>
        <w:pStyle w:val="Ttulo4"/>
        <w:rPr>
          <w:lang w:val="es-MX"/>
        </w:rPr>
      </w:pPr>
      <w:bookmarkStart w:id="253" w:name="_Toc525672869"/>
      <w:bookmarkStart w:id="254" w:name="_Toc525665309"/>
      <w:bookmarkStart w:id="255" w:name="_Toc525665688"/>
      <w:bookmarkStart w:id="256" w:name="_Toc141975046"/>
      <w:r w:rsidRPr="008F42FC">
        <w:rPr>
          <w:lang w:val="es-MX"/>
        </w:rPr>
        <w:t>Procesamiento de geomarketing para ambas redes</w:t>
      </w:r>
      <w:bookmarkEnd w:id="253"/>
      <w:bookmarkEnd w:id="254"/>
      <w:bookmarkEnd w:id="255"/>
      <w:bookmarkEnd w:id="256"/>
    </w:p>
    <w:p w14:paraId="600B9509" w14:textId="77777777" w:rsidR="00A66A23" w:rsidRPr="00E14D8A" w:rsidRDefault="00A66A23" w:rsidP="00A66A23">
      <w:pPr>
        <w:rPr>
          <w:rFonts w:ascii="ITC Avant Garde" w:hAnsi="ITC Avant Garde"/>
          <w:lang w:val="es-MX"/>
        </w:rPr>
      </w:pPr>
      <w:r w:rsidRPr="004C1A96">
        <w:rPr>
          <w:rFonts w:ascii="ITC Avant Garde" w:hAnsi="ITC Avant Garde"/>
          <w:lang w:val="es-MX"/>
        </w:rPr>
        <w:t>Con base en la información proporcionada por el AEP</w:t>
      </w:r>
      <w:r w:rsidRPr="00E14D8A">
        <w:rPr>
          <w:rFonts w:ascii="ITC Avant Garde" w:hAnsi="ITC Avant Garde"/>
          <w:lang w:val="es-MX"/>
        </w:rPr>
        <w:t>, el punto de partida (paso 1) del algoritmo de gráficos es el siguiente:</w:t>
      </w:r>
    </w:p>
    <w:p w14:paraId="37615C80" w14:textId="77777777" w:rsidR="00A66A23" w:rsidRPr="00E14D8A" w:rsidRDefault="00A66A23" w:rsidP="00A66A23">
      <w:pPr>
        <w:pStyle w:val="Listaconvietas2"/>
        <w:rPr>
          <w:rFonts w:ascii="ITC Avant Garde" w:hAnsi="ITC Avant Garde"/>
          <w:lang w:val="es-MX"/>
        </w:rPr>
      </w:pPr>
      <w:r w:rsidRPr="00E14D8A">
        <w:rPr>
          <w:rFonts w:ascii="ITC Avant Garde" w:hAnsi="ITC Avant Garde"/>
          <w:lang w:val="es-MX"/>
        </w:rPr>
        <w:t>Se conocen ubicaciones de oficinas centrales y PDP;</w:t>
      </w:r>
    </w:p>
    <w:p w14:paraId="2D26795C" w14:textId="77777777" w:rsidR="00A66A23" w:rsidRPr="004C1A96" w:rsidRDefault="00A66A23" w:rsidP="00A66A23">
      <w:pPr>
        <w:pStyle w:val="Listaconvietas2"/>
        <w:rPr>
          <w:rFonts w:ascii="ITC Avant Garde" w:hAnsi="ITC Avant Garde"/>
          <w:lang w:val="es-MX"/>
        </w:rPr>
      </w:pPr>
      <w:r w:rsidRPr="00E14D8A">
        <w:rPr>
          <w:rFonts w:ascii="ITC Avant Garde" w:hAnsi="ITC Avant Garde"/>
          <w:lang w:val="es-MX"/>
        </w:rPr>
        <w:t xml:space="preserve">Se conocen los límites de las </w:t>
      </w:r>
      <w:r w:rsidRPr="004C1A96">
        <w:rPr>
          <w:rFonts w:ascii="ITC Avant Garde" w:hAnsi="ITC Avant Garde"/>
          <w:lang w:val="es-MX"/>
        </w:rPr>
        <w:t>áreas de los CO: una huella nacional se considera como un primer límite global;</w:t>
      </w:r>
    </w:p>
    <w:p w14:paraId="380A969D" w14:textId="77777777" w:rsidR="00A66A23" w:rsidRPr="004C1A96" w:rsidRDefault="00A66A23" w:rsidP="00A66A23">
      <w:pPr>
        <w:pStyle w:val="Listaconvietas2"/>
        <w:rPr>
          <w:rFonts w:ascii="ITC Avant Garde" w:hAnsi="ITC Avant Garde"/>
          <w:lang w:val="es-MX"/>
        </w:rPr>
      </w:pPr>
      <w:r w:rsidRPr="004C1A96">
        <w:rPr>
          <w:rFonts w:ascii="ITC Avant Garde" w:hAnsi="ITC Avant Garde"/>
          <w:lang w:val="es-MX"/>
        </w:rPr>
        <w:t>Se deben determinar los límites de las áreas PDP.</w:t>
      </w:r>
    </w:p>
    <w:p w14:paraId="0940D6DC" w14:textId="77777777" w:rsidR="00A66A23" w:rsidRPr="004C1A96" w:rsidRDefault="00A66A23" w:rsidP="00A66A23">
      <w:pPr>
        <w:pStyle w:val="Listaconvietas2"/>
        <w:numPr>
          <w:ilvl w:val="0"/>
          <w:numId w:val="0"/>
        </w:numPr>
        <w:ind w:left="643" w:hanging="360"/>
        <w:rPr>
          <w:rFonts w:ascii="ITC Avant Garde" w:hAnsi="ITC Avant Garde"/>
          <w:lang w:val="es-MX"/>
        </w:rPr>
      </w:pPr>
    </w:p>
    <w:p w14:paraId="177F76E3" w14:textId="0515AEE5" w:rsidR="00A66A23" w:rsidRPr="004C1A96" w:rsidRDefault="006D69ED" w:rsidP="00A66A23">
      <w:pPr>
        <w:pStyle w:val="Descripcin"/>
        <w:keepNext/>
        <w:rPr>
          <w:rFonts w:ascii="ITC Avant Garde" w:hAnsi="ITC Avant Garde"/>
          <w:lang w:val="es-MX"/>
        </w:rPr>
      </w:pPr>
      <w:r w:rsidRPr="004C1A96">
        <w:rPr>
          <w:rFonts w:ascii="ITC Avant Garde" w:hAnsi="ITC Avant Garde"/>
          <w:lang w:val="es-MX"/>
        </w:rPr>
        <w:lastRenderedPageBreak/>
        <w:t xml:space="preserve">Figura </w:t>
      </w:r>
      <w:r w:rsidRPr="004C1A96">
        <w:rPr>
          <w:rFonts w:ascii="ITC Avant Garde" w:hAnsi="ITC Avant Garde"/>
          <w:lang w:val="es-MX"/>
        </w:rPr>
        <w:fldChar w:fldCharType="begin"/>
      </w:r>
      <w:r w:rsidRPr="004C1A96">
        <w:rPr>
          <w:rFonts w:ascii="ITC Avant Garde" w:hAnsi="ITC Avant Garde"/>
          <w:lang w:val="es-MX"/>
        </w:rPr>
        <w:instrText xml:space="preserve"> SEQ Figura \* ARABIC </w:instrText>
      </w:r>
      <w:r w:rsidRPr="004C1A96">
        <w:rPr>
          <w:rFonts w:ascii="ITC Avant Garde" w:hAnsi="ITC Avant Garde"/>
          <w:lang w:val="es-MX"/>
        </w:rPr>
        <w:fldChar w:fldCharType="separate"/>
      </w:r>
      <w:r w:rsidR="00006265">
        <w:rPr>
          <w:rFonts w:ascii="ITC Avant Garde" w:hAnsi="ITC Avant Garde"/>
          <w:noProof/>
          <w:lang w:val="es-MX"/>
        </w:rPr>
        <w:t>24</w:t>
      </w:r>
      <w:r w:rsidRPr="004C1A96">
        <w:rPr>
          <w:rFonts w:ascii="ITC Avant Garde" w:hAnsi="ITC Avant Garde"/>
          <w:lang w:val="es-MX"/>
        </w:rPr>
        <w:fldChar w:fldCharType="end"/>
      </w:r>
      <w:r w:rsidRPr="004C1A96">
        <w:rPr>
          <w:rFonts w:ascii="ITC Avant Garde" w:hAnsi="ITC Avant Garde"/>
          <w:lang w:val="es-MX"/>
        </w:rPr>
        <w:t xml:space="preserve"> </w:t>
      </w:r>
      <w:r w:rsidR="00A66A23" w:rsidRPr="004C1A96">
        <w:rPr>
          <w:rFonts w:ascii="ITC Avant Garde" w:hAnsi="ITC Avant Garde"/>
          <w:lang w:val="es-MX"/>
        </w:rPr>
        <w:t>- Gráficos de geomarketing (Paso 1: PUNTO DE PARTIDA)</w:t>
      </w:r>
    </w:p>
    <w:p w14:paraId="1000A873" w14:textId="6A970297" w:rsidR="00A66A23" w:rsidRPr="004C1A96" w:rsidRDefault="00CD4672" w:rsidP="00A66A23">
      <w:pPr>
        <w:jc w:val="center"/>
        <w:rPr>
          <w:rFonts w:ascii="ITC Avant Garde" w:hAnsi="ITC Avant Garde"/>
          <w:lang w:val="es-MX"/>
        </w:rPr>
      </w:pPr>
      <w:r w:rsidRPr="00872052">
        <w:rPr>
          <w:rFonts w:ascii="ITC Avant Garde" w:hAnsi="ITC Avant Garde"/>
          <w:noProof/>
          <w:lang w:val="es-MX" w:eastAsia="es-MX"/>
        </w:rPr>
        <w:drawing>
          <wp:inline distT="0" distB="0" distL="0" distR="0" wp14:anchorId="3E4B3EF6" wp14:editId="67BB309E">
            <wp:extent cx="4472940" cy="2724642"/>
            <wp:effectExtent l="0" t="0" r="0" b="0"/>
            <wp:docPr id="64" name="Image 40" descr="A map of a dog with red dots and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40" descr="A map of a dog with red dots and blue dots&#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81920" cy="2730112"/>
                    </a:xfrm>
                    <a:prstGeom prst="rect">
                      <a:avLst/>
                    </a:prstGeom>
                    <a:noFill/>
                  </pic:spPr>
                </pic:pic>
              </a:graphicData>
            </a:graphic>
          </wp:inline>
        </w:drawing>
      </w:r>
    </w:p>
    <w:p w14:paraId="044B1048" w14:textId="77777777" w:rsidR="00A66A23" w:rsidRPr="004C1A96" w:rsidRDefault="00A66A23" w:rsidP="00A66A23">
      <w:pPr>
        <w:rPr>
          <w:rFonts w:ascii="ITC Avant Garde" w:hAnsi="ITC Avant Garde"/>
          <w:lang w:val="es-MX"/>
        </w:rPr>
      </w:pPr>
      <w:r w:rsidRPr="004C1A96">
        <w:rPr>
          <w:rFonts w:ascii="ITC Avant Garde" w:hAnsi="ITC Avant Garde"/>
          <w:lang w:val="es-MX"/>
        </w:rPr>
        <w:t> </w:t>
      </w:r>
    </w:p>
    <w:p w14:paraId="4EBC5F17" w14:textId="77777777" w:rsidR="00A66A23" w:rsidRPr="00E14D8A" w:rsidRDefault="00A66A23" w:rsidP="00A66A23">
      <w:pPr>
        <w:rPr>
          <w:rFonts w:ascii="ITC Avant Garde" w:hAnsi="ITC Avant Garde"/>
          <w:lang w:val="es-MX"/>
        </w:rPr>
      </w:pPr>
      <w:r w:rsidRPr="00E14D8A">
        <w:rPr>
          <w:rFonts w:ascii="ITC Avant Garde" w:hAnsi="ITC Avant Garde"/>
          <w:lang w:val="es-MX"/>
        </w:rPr>
        <w:t>Dado que se conoce la huella geográfica global de México, y la ubicación de los nodos (PDP y CO) es proporcionada por el AEP, el objetivo restante es identificar el área de cobertura de PDP/CO.</w:t>
      </w:r>
    </w:p>
    <w:p w14:paraId="2B98D364" w14:textId="77777777" w:rsidR="00A66A23" w:rsidRPr="004C1A96" w:rsidRDefault="00A66A23" w:rsidP="00A66A23">
      <w:pPr>
        <w:rPr>
          <w:rFonts w:ascii="ITC Avant Garde" w:hAnsi="ITC Avant Garde"/>
          <w:lang w:val="es-MX"/>
        </w:rPr>
      </w:pPr>
      <w:r w:rsidRPr="00E14D8A">
        <w:rPr>
          <w:rFonts w:ascii="ITC Avant Garde" w:hAnsi="ITC Avant Garde"/>
          <w:lang w:val="es-MX"/>
        </w:rPr>
        <w:t>Con base en la figura de abajo (que representa una porción aleatoria de México que podría gene</w:t>
      </w:r>
      <w:r w:rsidRPr="004C1A96">
        <w:rPr>
          <w:rFonts w:ascii="ITC Avant Garde" w:hAnsi="ITC Avant Garde"/>
          <w:lang w:val="es-MX"/>
        </w:rPr>
        <w:t>ralizarse a todo el país), el siguiente paso es asociar un área de cobertura y segmentos de carretera/calles a cada nodo.</w:t>
      </w:r>
    </w:p>
    <w:p w14:paraId="20F27B99" w14:textId="77777777" w:rsidR="00A66A23" w:rsidRPr="004C1A96" w:rsidRDefault="00A66A23" w:rsidP="00A66A23">
      <w:pPr>
        <w:rPr>
          <w:rFonts w:ascii="ITC Avant Garde" w:hAnsi="ITC Avant Garde"/>
          <w:lang w:val="es-MX"/>
        </w:rPr>
      </w:pPr>
      <w:r w:rsidRPr="004C1A96">
        <w:rPr>
          <w:rFonts w:ascii="ITC Avant Garde" w:hAnsi="ITC Avant Garde"/>
          <w:lang w:val="es-MX"/>
        </w:rPr>
        <w:t>El próximo paso (paso 2) es, por lo tanto, determinar las áreas de cobertura de PDP.</w:t>
      </w:r>
    </w:p>
    <w:p w14:paraId="117C4F03" w14:textId="77777777" w:rsidR="00A66A23" w:rsidRPr="004C1A96" w:rsidRDefault="00A66A23" w:rsidP="00A66A23">
      <w:pPr>
        <w:rPr>
          <w:rFonts w:ascii="ITC Avant Garde" w:hAnsi="ITC Avant Garde"/>
          <w:lang w:val="es-MX"/>
        </w:rPr>
      </w:pPr>
      <w:r w:rsidRPr="004C1A96">
        <w:rPr>
          <w:rFonts w:ascii="ITC Avant Garde" w:hAnsi="ITC Avant Garde"/>
          <w:lang w:val="es-MX"/>
        </w:rPr>
        <w:t>Cada sección de carretera dentro del área aleatoria debe estar conectada a un PDP. Se debe tener en cuenta que una sección de carretera se puede conectar directamente al CO. Como consecuencia, el CO también tiene un área 'PDP'. Cada sección de camino se asigna al PDP más cercano.</w:t>
      </w:r>
    </w:p>
    <w:p w14:paraId="68EFE2EE" w14:textId="77777777" w:rsidR="00A66A23" w:rsidRPr="004C1A96" w:rsidRDefault="00A66A23" w:rsidP="00A66A23">
      <w:pPr>
        <w:rPr>
          <w:rFonts w:ascii="ITC Avant Garde" w:hAnsi="ITC Avant Garde"/>
          <w:lang w:val="es-MX"/>
        </w:rPr>
      </w:pPr>
    </w:p>
    <w:p w14:paraId="55E1B12E" w14:textId="1910113D" w:rsidR="00A66A23" w:rsidRPr="004C1A96" w:rsidRDefault="006D69ED" w:rsidP="00A66A23">
      <w:pPr>
        <w:pStyle w:val="Descripcin"/>
        <w:keepNext/>
        <w:rPr>
          <w:rFonts w:ascii="ITC Avant Garde" w:hAnsi="ITC Avant Garde"/>
          <w:lang w:val="es-MX"/>
        </w:rPr>
      </w:pPr>
      <w:r w:rsidRPr="004C1A96">
        <w:rPr>
          <w:rFonts w:ascii="ITC Avant Garde" w:hAnsi="ITC Avant Garde"/>
          <w:lang w:val="es-MX"/>
        </w:rPr>
        <w:lastRenderedPageBreak/>
        <w:t xml:space="preserve">Figura </w:t>
      </w:r>
      <w:r w:rsidRPr="004C1A96">
        <w:rPr>
          <w:rFonts w:ascii="ITC Avant Garde" w:hAnsi="ITC Avant Garde"/>
          <w:lang w:val="es-MX"/>
        </w:rPr>
        <w:fldChar w:fldCharType="begin"/>
      </w:r>
      <w:r w:rsidRPr="004C1A96">
        <w:rPr>
          <w:rFonts w:ascii="ITC Avant Garde" w:hAnsi="ITC Avant Garde"/>
          <w:lang w:val="es-MX"/>
        </w:rPr>
        <w:instrText xml:space="preserve"> SEQ Figura \* ARABIC </w:instrText>
      </w:r>
      <w:r w:rsidRPr="004C1A96">
        <w:rPr>
          <w:rFonts w:ascii="ITC Avant Garde" w:hAnsi="ITC Avant Garde"/>
          <w:lang w:val="es-MX"/>
        </w:rPr>
        <w:fldChar w:fldCharType="separate"/>
      </w:r>
      <w:r w:rsidR="00006265">
        <w:rPr>
          <w:rFonts w:ascii="ITC Avant Garde" w:hAnsi="ITC Avant Garde"/>
          <w:noProof/>
          <w:lang w:val="es-MX"/>
        </w:rPr>
        <w:t>25</w:t>
      </w:r>
      <w:r w:rsidRPr="004C1A96">
        <w:rPr>
          <w:rFonts w:ascii="ITC Avant Garde" w:hAnsi="ITC Avant Garde"/>
          <w:lang w:val="es-MX"/>
        </w:rPr>
        <w:fldChar w:fldCharType="end"/>
      </w:r>
      <w:r w:rsidRPr="004C1A96">
        <w:rPr>
          <w:rFonts w:ascii="ITC Avant Garde" w:hAnsi="ITC Avant Garde"/>
          <w:lang w:val="es-MX"/>
        </w:rPr>
        <w:t xml:space="preserve"> </w:t>
      </w:r>
      <w:r w:rsidR="00A66A23" w:rsidRPr="004C1A96">
        <w:rPr>
          <w:rFonts w:ascii="ITC Avant Garde" w:hAnsi="ITC Avant Garde"/>
          <w:lang w:val="es-MX"/>
        </w:rPr>
        <w:t>- Gráficos de geomarketing (Paso 2: DETERMINACIÓN DE LAS ÁREAS PDP)</w:t>
      </w:r>
    </w:p>
    <w:p w14:paraId="4E57210E" w14:textId="2B10E8F5" w:rsidR="00A66A23" w:rsidRPr="004C1A96" w:rsidRDefault="00C95198" w:rsidP="00A66A23">
      <w:pPr>
        <w:jc w:val="center"/>
        <w:rPr>
          <w:rFonts w:ascii="ITC Avant Garde" w:hAnsi="ITC Avant Garde"/>
          <w:lang w:val="es-MX"/>
        </w:rPr>
      </w:pPr>
      <w:r w:rsidRPr="00872052">
        <w:rPr>
          <w:rFonts w:ascii="ITC Avant Garde" w:hAnsi="ITC Avant Garde"/>
          <w:noProof/>
          <w:lang w:val="es-MX" w:eastAsia="es-MX"/>
        </w:rPr>
        <w:drawing>
          <wp:inline distT="0" distB="0" distL="0" distR="0" wp14:anchorId="42C5BAF3" wp14:editId="36A1D2BF">
            <wp:extent cx="4744580" cy="2890109"/>
            <wp:effectExtent l="0" t="0" r="0" b="0"/>
            <wp:docPr id="65" name="Image 49" descr="A map with red dots and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49" descr="A map with red dots and blue dots&#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52440" cy="2894897"/>
                    </a:xfrm>
                    <a:prstGeom prst="rect">
                      <a:avLst/>
                    </a:prstGeom>
                    <a:noFill/>
                  </pic:spPr>
                </pic:pic>
              </a:graphicData>
            </a:graphic>
          </wp:inline>
        </w:drawing>
      </w:r>
    </w:p>
    <w:p w14:paraId="7F9BECC6" w14:textId="77777777" w:rsidR="00A66A23" w:rsidRPr="004C1A96" w:rsidRDefault="00A66A23" w:rsidP="00A66A23">
      <w:pPr>
        <w:rPr>
          <w:rFonts w:ascii="ITC Avant Garde" w:hAnsi="ITC Avant Garde"/>
          <w:lang w:val="es-MX"/>
        </w:rPr>
      </w:pPr>
    </w:p>
    <w:p w14:paraId="1BD76E34" w14:textId="26DB175B" w:rsidR="00A66A23" w:rsidRPr="004C1A96" w:rsidRDefault="00A66A23" w:rsidP="00A66A23">
      <w:pPr>
        <w:pStyle w:val="Descripcin"/>
        <w:keepNext/>
        <w:rPr>
          <w:rFonts w:ascii="ITC Avant Garde" w:hAnsi="ITC Avant Garde"/>
          <w:lang w:val="es-MX"/>
        </w:rPr>
      </w:pPr>
      <w:r w:rsidRPr="00E14D8A">
        <w:rPr>
          <w:rFonts w:ascii="ITC Avant Garde" w:hAnsi="ITC Avant Garde"/>
          <w:lang w:val="es-MX"/>
        </w:rPr>
        <w:t> </w:t>
      </w:r>
      <w:r w:rsidR="006D69ED" w:rsidRPr="00E14D8A">
        <w:rPr>
          <w:rFonts w:ascii="ITC Avant Garde" w:hAnsi="ITC Avant Garde"/>
          <w:lang w:val="es-MX"/>
        </w:rPr>
        <w:t xml:space="preserve">Figura </w:t>
      </w:r>
      <w:r w:rsidR="006D69ED" w:rsidRPr="004C1A96">
        <w:rPr>
          <w:rFonts w:ascii="ITC Avant Garde" w:hAnsi="ITC Avant Garde"/>
          <w:lang w:val="es-MX"/>
        </w:rPr>
        <w:fldChar w:fldCharType="begin"/>
      </w:r>
      <w:r w:rsidR="006D69ED" w:rsidRPr="004C1A96">
        <w:rPr>
          <w:rFonts w:ascii="ITC Avant Garde" w:hAnsi="ITC Avant Garde"/>
          <w:lang w:val="es-MX"/>
        </w:rPr>
        <w:instrText xml:space="preserve"> SEQ Figura \* ARABIC </w:instrText>
      </w:r>
      <w:r w:rsidR="006D69ED" w:rsidRPr="004C1A96">
        <w:rPr>
          <w:rFonts w:ascii="ITC Avant Garde" w:hAnsi="ITC Avant Garde"/>
          <w:lang w:val="es-MX"/>
        </w:rPr>
        <w:fldChar w:fldCharType="separate"/>
      </w:r>
      <w:r w:rsidR="00006265">
        <w:rPr>
          <w:rFonts w:ascii="ITC Avant Garde" w:hAnsi="ITC Avant Garde"/>
          <w:noProof/>
          <w:lang w:val="es-MX"/>
        </w:rPr>
        <w:t>26</w:t>
      </w:r>
      <w:r w:rsidR="006D69ED" w:rsidRPr="004C1A96">
        <w:rPr>
          <w:rFonts w:ascii="ITC Avant Garde" w:hAnsi="ITC Avant Garde"/>
          <w:lang w:val="es-MX"/>
        </w:rPr>
        <w:fldChar w:fldCharType="end"/>
      </w:r>
      <w:r w:rsidR="006D69ED" w:rsidRPr="004C1A96">
        <w:rPr>
          <w:rFonts w:ascii="ITC Avant Garde" w:hAnsi="ITC Avant Garde"/>
          <w:lang w:val="es-MX"/>
        </w:rPr>
        <w:t xml:space="preserve"> </w:t>
      </w:r>
      <w:r w:rsidRPr="004C1A96">
        <w:rPr>
          <w:rFonts w:ascii="ITC Avant Garde" w:hAnsi="ITC Avant Garde"/>
          <w:lang w:val="es-MX"/>
        </w:rPr>
        <w:t>- El área de cobertura podría identificarse para cada PDPCO, la sección de carretera correspondiente también está asociada a cada PDP</w:t>
      </w:r>
    </w:p>
    <w:p w14:paraId="32AB878D" w14:textId="1C6CD703" w:rsidR="00A66A23" w:rsidRPr="004C1A96" w:rsidRDefault="00C95198" w:rsidP="00A66A23">
      <w:pPr>
        <w:jc w:val="center"/>
        <w:rPr>
          <w:rFonts w:ascii="ITC Avant Garde" w:hAnsi="ITC Avant Garde"/>
          <w:lang w:val="es-MX"/>
        </w:rPr>
      </w:pPr>
      <w:r w:rsidRPr="00872052">
        <w:rPr>
          <w:rFonts w:ascii="ITC Avant Garde" w:hAnsi="ITC Avant Garde"/>
          <w:noProof/>
          <w:lang w:val="es-MX" w:eastAsia="es-MX"/>
        </w:rPr>
        <w:drawing>
          <wp:inline distT="0" distB="0" distL="0" distR="0" wp14:anchorId="16814A09" wp14:editId="7901FABB">
            <wp:extent cx="4731286" cy="2562437"/>
            <wp:effectExtent l="0" t="0" r="0" b="0"/>
            <wp:docPr id="66" name="Image 50"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50" descr="A map of a neighborhood&#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47522" cy="2571230"/>
                    </a:xfrm>
                    <a:prstGeom prst="rect">
                      <a:avLst/>
                    </a:prstGeom>
                    <a:noFill/>
                  </pic:spPr>
                </pic:pic>
              </a:graphicData>
            </a:graphic>
          </wp:inline>
        </w:drawing>
      </w:r>
    </w:p>
    <w:p w14:paraId="797BEAB6" w14:textId="77777777" w:rsidR="00A66A23" w:rsidRPr="004C1A96" w:rsidRDefault="00A66A23" w:rsidP="00A66A23">
      <w:pPr>
        <w:rPr>
          <w:rFonts w:ascii="ITC Avant Garde" w:hAnsi="ITC Avant Garde"/>
          <w:lang w:val="es-MX"/>
        </w:rPr>
      </w:pPr>
    </w:p>
    <w:p w14:paraId="21E834B1" w14:textId="77777777" w:rsidR="00A66A23" w:rsidRPr="00E14D8A" w:rsidRDefault="00A66A23" w:rsidP="00A66A23">
      <w:pPr>
        <w:rPr>
          <w:rFonts w:ascii="ITC Avant Garde" w:hAnsi="ITC Avant Garde"/>
          <w:lang w:val="es-MX"/>
        </w:rPr>
      </w:pPr>
      <w:r w:rsidRPr="00E14D8A">
        <w:rPr>
          <w:rFonts w:ascii="ITC Avant Garde" w:hAnsi="ITC Avant Garde"/>
          <w:lang w:val="es-MX"/>
        </w:rPr>
        <w:t>Una vez que se han determinado las áreas de cobertura de PDP, el siguiente paso (paso 3) es determinar la ruta del "usuario final / PDP". Para cada sección de carretera dentro de un área de cobertura de PDP, se usa un algoritmo de ruta más corta para establecer la ruta desde cada sección de carretera hasta el PDP correspondiente.</w:t>
      </w:r>
    </w:p>
    <w:p w14:paraId="25BA5FC7" w14:textId="2504BD03" w:rsidR="00A66A23" w:rsidRPr="004C1A96" w:rsidRDefault="00A66A23" w:rsidP="00A66A23">
      <w:pPr>
        <w:pStyle w:val="Descripcin"/>
        <w:keepNext/>
        <w:rPr>
          <w:rFonts w:ascii="ITC Avant Garde" w:hAnsi="ITC Avant Garde"/>
          <w:lang w:val="es-MX"/>
        </w:rPr>
      </w:pPr>
      <w:r w:rsidRPr="00E14D8A">
        <w:rPr>
          <w:rFonts w:ascii="ITC Avant Garde" w:hAnsi="ITC Avant Garde"/>
          <w:lang w:val="es-MX"/>
        </w:rPr>
        <w:lastRenderedPageBreak/>
        <w:t> </w:t>
      </w:r>
      <w:r w:rsidR="006D69ED" w:rsidRPr="004C1A96">
        <w:rPr>
          <w:rFonts w:ascii="ITC Avant Garde" w:hAnsi="ITC Avant Garde"/>
          <w:lang w:val="es-MX"/>
        </w:rPr>
        <w:t xml:space="preserve">Figura </w:t>
      </w:r>
      <w:r w:rsidR="006D69ED" w:rsidRPr="004C1A96">
        <w:rPr>
          <w:rFonts w:ascii="ITC Avant Garde" w:hAnsi="ITC Avant Garde"/>
          <w:lang w:val="es-MX"/>
        </w:rPr>
        <w:fldChar w:fldCharType="begin"/>
      </w:r>
      <w:r w:rsidR="006D69ED" w:rsidRPr="004C1A96">
        <w:rPr>
          <w:rFonts w:ascii="ITC Avant Garde" w:hAnsi="ITC Avant Garde"/>
          <w:lang w:val="es-MX"/>
        </w:rPr>
        <w:instrText xml:space="preserve"> SEQ Figura \* ARABIC </w:instrText>
      </w:r>
      <w:r w:rsidR="006D69ED" w:rsidRPr="004C1A96">
        <w:rPr>
          <w:rFonts w:ascii="ITC Avant Garde" w:hAnsi="ITC Avant Garde"/>
          <w:lang w:val="es-MX"/>
        </w:rPr>
        <w:fldChar w:fldCharType="separate"/>
      </w:r>
      <w:r w:rsidR="00006265">
        <w:rPr>
          <w:rFonts w:ascii="ITC Avant Garde" w:hAnsi="ITC Avant Garde"/>
          <w:noProof/>
          <w:lang w:val="es-MX"/>
        </w:rPr>
        <w:t>27</w:t>
      </w:r>
      <w:r w:rsidR="006D69ED" w:rsidRPr="004C1A96">
        <w:rPr>
          <w:rFonts w:ascii="ITC Avant Garde" w:hAnsi="ITC Avant Garde"/>
          <w:lang w:val="es-MX"/>
        </w:rPr>
        <w:fldChar w:fldCharType="end"/>
      </w:r>
      <w:r w:rsidR="006D69ED" w:rsidRPr="004C1A96">
        <w:rPr>
          <w:rFonts w:ascii="ITC Avant Garde" w:hAnsi="ITC Avant Garde"/>
          <w:lang w:val="es-MX"/>
        </w:rPr>
        <w:t xml:space="preserve"> </w:t>
      </w:r>
      <w:r w:rsidRPr="004C1A96">
        <w:rPr>
          <w:rFonts w:ascii="ITC Avant Garde" w:hAnsi="ITC Avant Garde"/>
          <w:lang w:val="es-MX"/>
        </w:rPr>
        <w:t>Gráficos de geomarketing (Paso 3: DETERMINACIÓN de las rutas de usuario final / PDP)</w:t>
      </w:r>
    </w:p>
    <w:p w14:paraId="79F909F7" w14:textId="31C369C9" w:rsidR="00A66A23" w:rsidRPr="004C1A96" w:rsidRDefault="00C95198" w:rsidP="00A66A23">
      <w:pPr>
        <w:rPr>
          <w:rFonts w:ascii="ITC Avant Garde" w:hAnsi="ITC Avant Garde"/>
          <w:lang w:val="es-MX"/>
        </w:rPr>
      </w:pPr>
      <w:r w:rsidRPr="00872052">
        <w:rPr>
          <w:rFonts w:ascii="ITC Avant Garde" w:hAnsi="ITC Avant Garde"/>
          <w:noProof/>
          <w:lang w:val="es-MX" w:eastAsia="es-MX"/>
        </w:rPr>
        <w:drawing>
          <wp:inline distT="0" distB="0" distL="0" distR="0" wp14:anchorId="30BE1EE9" wp14:editId="08B490C9">
            <wp:extent cx="5399405" cy="2385740"/>
            <wp:effectExtent l="0" t="0" r="0" b="0"/>
            <wp:docPr id="67" name="Image 84"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84" descr="A map of a city&#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399405" cy="2385740"/>
                    </a:xfrm>
                    <a:prstGeom prst="rect">
                      <a:avLst/>
                    </a:prstGeom>
                    <a:noFill/>
                    <a:ln>
                      <a:noFill/>
                    </a:ln>
                    <a:extLst>
                      <a:ext uri="{53640926-AAD7-44D8-BBD7-CCE9431645EC}">
                        <a14:shadowObscured xmlns:a14="http://schemas.microsoft.com/office/drawing/2010/main"/>
                      </a:ext>
                    </a:extLst>
                  </pic:spPr>
                </pic:pic>
              </a:graphicData>
            </a:graphic>
          </wp:inline>
        </w:drawing>
      </w:r>
    </w:p>
    <w:p w14:paraId="62003D2B" w14:textId="77777777" w:rsidR="00A66A23" w:rsidRPr="004C1A96" w:rsidRDefault="00A66A23" w:rsidP="00A66A23">
      <w:pPr>
        <w:rPr>
          <w:rFonts w:ascii="ITC Avant Garde" w:hAnsi="ITC Avant Garde"/>
          <w:lang w:val="es-MX"/>
        </w:rPr>
      </w:pPr>
    </w:p>
    <w:p w14:paraId="3E377EF3" w14:textId="070299A9" w:rsidR="00A66A23" w:rsidRPr="00E14D8A" w:rsidRDefault="006D69ED" w:rsidP="00A66A23">
      <w:pPr>
        <w:pStyle w:val="Descripcin"/>
        <w:keepNext/>
        <w:rPr>
          <w:rFonts w:ascii="ITC Avant Garde" w:hAnsi="ITC Avant Garde"/>
          <w:lang w:val="es-MX"/>
        </w:rPr>
      </w:pPr>
      <w:r w:rsidRPr="00E14D8A">
        <w:rPr>
          <w:rFonts w:ascii="ITC Avant Garde" w:hAnsi="ITC Avant Garde"/>
          <w:lang w:val="es-MX"/>
        </w:rPr>
        <w:t xml:space="preserve">Figura </w:t>
      </w:r>
      <w:r w:rsidRPr="004C1A96">
        <w:rPr>
          <w:rFonts w:ascii="ITC Avant Garde" w:hAnsi="ITC Avant Garde"/>
          <w:lang w:val="es-MX"/>
        </w:rPr>
        <w:fldChar w:fldCharType="begin"/>
      </w:r>
      <w:r w:rsidRPr="004C1A96">
        <w:rPr>
          <w:rFonts w:ascii="ITC Avant Garde" w:hAnsi="ITC Avant Garde"/>
          <w:lang w:val="es-MX"/>
        </w:rPr>
        <w:instrText xml:space="preserve"> SEQ Figura \* ARABIC </w:instrText>
      </w:r>
      <w:r w:rsidRPr="004C1A96">
        <w:rPr>
          <w:rFonts w:ascii="ITC Avant Garde" w:hAnsi="ITC Avant Garde"/>
          <w:lang w:val="es-MX"/>
        </w:rPr>
        <w:fldChar w:fldCharType="separate"/>
      </w:r>
      <w:r w:rsidR="00006265">
        <w:rPr>
          <w:rFonts w:ascii="ITC Avant Garde" w:hAnsi="ITC Avant Garde"/>
          <w:noProof/>
          <w:lang w:val="es-MX"/>
        </w:rPr>
        <w:t>28</w:t>
      </w:r>
      <w:r w:rsidRPr="004C1A96">
        <w:rPr>
          <w:rFonts w:ascii="ITC Avant Garde" w:hAnsi="ITC Avant Garde"/>
          <w:lang w:val="es-MX"/>
        </w:rPr>
        <w:fldChar w:fldCharType="end"/>
      </w:r>
      <w:r w:rsidRPr="004C1A96">
        <w:rPr>
          <w:rFonts w:ascii="ITC Avant Garde" w:hAnsi="ITC Avant Garde"/>
          <w:lang w:val="es-MX"/>
        </w:rPr>
        <w:t xml:space="preserve"> </w:t>
      </w:r>
      <w:r w:rsidR="00A66A23" w:rsidRPr="004C1A96">
        <w:rPr>
          <w:rFonts w:ascii="ITC Avant Garde" w:hAnsi="ITC Avant Garde"/>
          <w:lang w:val="es-MX"/>
        </w:rPr>
        <w:t>Gráficos de geomarke</w:t>
      </w:r>
      <w:r w:rsidR="00A66A23" w:rsidRPr="00E14D8A">
        <w:rPr>
          <w:rFonts w:ascii="ITC Avant Garde" w:hAnsi="ITC Avant Garde"/>
          <w:lang w:val="es-MX"/>
        </w:rPr>
        <w:t>ting (Ejemplos de rutas de usuario final a PDP con fondo de mapa)</w:t>
      </w:r>
    </w:p>
    <w:p w14:paraId="720E126E" w14:textId="7A157E9F" w:rsidR="00A66A23" w:rsidRPr="004C1A96" w:rsidRDefault="00C95198" w:rsidP="00A66A23">
      <w:pPr>
        <w:rPr>
          <w:rFonts w:ascii="ITC Avant Garde" w:hAnsi="ITC Avant Garde"/>
          <w:lang w:val="es-MX"/>
        </w:rPr>
      </w:pPr>
      <w:r w:rsidRPr="00872052">
        <w:rPr>
          <w:rFonts w:ascii="ITC Avant Garde" w:hAnsi="ITC Avant Garde"/>
          <w:noProof/>
          <w:lang w:val="es-MX" w:eastAsia="es-MX"/>
        </w:rPr>
        <w:drawing>
          <wp:inline distT="0" distB="0" distL="0" distR="0" wp14:anchorId="25A78FC7" wp14:editId="28437C11">
            <wp:extent cx="5399405" cy="3489960"/>
            <wp:effectExtent l="0" t="0" r="0" b="0"/>
            <wp:docPr id="68" name="Image 58"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58" descr="A map of a city&#10;&#10;Description automatically generated"/>
                    <pic:cNvPicPr/>
                  </pic:nvPicPr>
                  <pic:blipFill>
                    <a:blip r:embed="rId33"/>
                    <a:stretch>
                      <a:fillRect/>
                    </a:stretch>
                  </pic:blipFill>
                  <pic:spPr>
                    <a:xfrm>
                      <a:off x="0" y="0"/>
                      <a:ext cx="5399405" cy="3489960"/>
                    </a:xfrm>
                    <a:prstGeom prst="rect">
                      <a:avLst/>
                    </a:prstGeom>
                  </pic:spPr>
                </pic:pic>
              </a:graphicData>
            </a:graphic>
          </wp:inline>
        </w:drawing>
      </w:r>
    </w:p>
    <w:p w14:paraId="20E60438" w14:textId="77777777" w:rsidR="00A66A23" w:rsidRPr="004C1A96" w:rsidRDefault="00A66A23" w:rsidP="00A66A23">
      <w:pPr>
        <w:pStyle w:val="Source"/>
        <w:rPr>
          <w:rFonts w:ascii="ITC Avant Garde" w:hAnsi="ITC Avant Garde"/>
          <w:lang w:val="es-MX"/>
        </w:rPr>
      </w:pPr>
      <w:r w:rsidRPr="004C1A96">
        <w:rPr>
          <w:rFonts w:ascii="ITC Avant Garde" w:hAnsi="ITC Avant Garde"/>
          <w:lang w:val="es-MX"/>
        </w:rPr>
        <w:t> Leyenda: CO, diamantes en rojo - PDP, círculo en azul, Senderos en función de PDP-CO de los que dependen</w:t>
      </w:r>
    </w:p>
    <w:p w14:paraId="333C8E5E" w14:textId="77777777" w:rsidR="00A66A23" w:rsidRPr="00E14D8A" w:rsidRDefault="00A66A23" w:rsidP="00A66A23">
      <w:pPr>
        <w:rPr>
          <w:rFonts w:ascii="ITC Avant Garde" w:hAnsi="ITC Avant Garde"/>
          <w:lang w:val="es-MX"/>
        </w:rPr>
      </w:pPr>
    </w:p>
    <w:p w14:paraId="352E8491" w14:textId="77777777" w:rsidR="00A66A23" w:rsidRPr="00E14D8A" w:rsidRDefault="00A66A23" w:rsidP="00A66A23">
      <w:pPr>
        <w:rPr>
          <w:rFonts w:ascii="ITC Avant Garde" w:hAnsi="ITC Avant Garde"/>
          <w:lang w:val="es-MX"/>
        </w:rPr>
      </w:pPr>
      <w:r w:rsidRPr="00E14D8A">
        <w:rPr>
          <w:rFonts w:ascii="ITC Avant Garde" w:hAnsi="ITC Avant Garde"/>
          <w:lang w:val="es-MX"/>
        </w:rPr>
        <w:lastRenderedPageBreak/>
        <w:t>Luego, se usa un algoritmo de ruta más corta para establecer la ruta desde cada PDP al CO correspondiente.</w:t>
      </w:r>
    </w:p>
    <w:p w14:paraId="54A06F0A" w14:textId="77777777" w:rsidR="00A66A23" w:rsidRPr="00E14D8A" w:rsidRDefault="00A66A23" w:rsidP="00A66A23">
      <w:pPr>
        <w:rPr>
          <w:rFonts w:ascii="ITC Avant Garde" w:hAnsi="ITC Avant Garde"/>
          <w:lang w:val="es-MX"/>
        </w:rPr>
      </w:pPr>
    </w:p>
    <w:p w14:paraId="29D0AD99" w14:textId="339E8972" w:rsidR="00A66A23" w:rsidRPr="004C1A96" w:rsidRDefault="00A66A23" w:rsidP="00A66A23">
      <w:pPr>
        <w:pStyle w:val="Descripcin"/>
        <w:keepNext/>
        <w:rPr>
          <w:rFonts w:ascii="ITC Avant Garde" w:hAnsi="ITC Avant Garde"/>
          <w:lang w:val="es-MX"/>
        </w:rPr>
      </w:pPr>
      <w:r w:rsidRPr="004C1A96">
        <w:rPr>
          <w:rFonts w:ascii="ITC Avant Garde" w:hAnsi="ITC Avant Garde"/>
          <w:lang w:val="es-MX"/>
        </w:rPr>
        <w:t> </w:t>
      </w:r>
      <w:r w:rsidR="006D69ED" w:rsidRPr="004C1A96">
        <w:rPr>
          <w:rFonts w:ascii="ITC Avant Garde" w:hAnsi="ITC Avant Garde"/>
          <w:lang w:val="es-MX"/>
        </w:rPr>
        <w:t xml:space="preserve">Figura </w:t>
      </w:r>
      <w:r w:rsidR="006D69ED" w:rsidRPr="004C1A96">
        <w:rPr>
          <w:rFonts w:ascii="ITC Avant Garde" w:hAnsi="ITC Avant Garde"/>
          <w:lang w:val="es-MX"/>
        </w:rPr>
        <w:fldChar w:fldCharType="begin"/>
      </w:r>
      <w:r w:rsidR="006D69ED" w:rsidRPr="004C1A96">
        <w:rPr>
          <w:rFonts w:ascii="ITC Avant Garde" w:hAnsi="ITC Avant Garde"/>
          <w:lang w:val="es-MX"/>
        </w:rPr>
        <w:instrText xml:space="preserve"> SEQ Figura \* ARABIC </w:instrText>
      </w:r>
      <w:r w:rsidR="006D69ED" w:rsidRPr="004C1A96">
        <w:rPr>
          <w:rFonts w:ascii="ITC Avant Garde" w:hAnsi="ITC Avant Garde"/>
          <w:lang w:val="es-MX"/>
        </w:rPr>
        <w:fldChar w:fldCharType="separate"/>
      </w:r>
      <w:r w:rsidR="00006265">
        <w:rPr>
          <w:rFonts w:ascii="ITC Avant Garde" w:hAnsi="ITC Avant Garde"/>
          <w:noProof/>
          <w:lang w:val="es-MX"/>
        </w:rPr>
        <w:t>29</w:t>
      </w:r>
      <w:r w:rsidR="006D69ED" w:rsidRPr="004C1A96">
        <w:rPr>
          <w:rFonts w:ascii="ITC Avant Garde" w:hAnsi="ITC Avant Garde"/>
          <w:lang w:val="es-MX"/>
        </w:rPr>
        <w:fldChar w:fldCharType="end"/>
      </w:r>
      <w:r w:rsidR="006D69ED" w:rsidRPr="004C1A96">
        <w:rPr>
          <w:rFonts w:ascii="ITC Avant Garde" w:hAnsi="ITC Avant Garde"/>
          <w:lang w:val="es-MX"/>
        </w:rPr>
        <w:t xml:space="preserve"> </w:t>
      </w:r>
      <w:r w:rsidRPr="004C1A96">
        <w:rPr>
          <w:rFonts w:ascii="ITC Avant Garde" w:hAnsi="ITC Avant Garde"/>
          <w:lang w:val="es-MX"/>
        </w:rPr>
        <w:t>Gráficos de geomarketing (Paso 4: DETERMINACIÓN de las rutas PDP / CO)</w:t>
      </w:r>
    </w:p>
    <w:p w14:paraId="45A08DB0" w14:textId="0FDA6E88" w:rsidR="00A66A23" w:rsidRPr="004C1A96" w:rsidRDefault="00C95198" w:rsidP="00A66A23">
      <w:pPr>
        <w:jc w:val="center"/>
        <w:rPr>
          <w:rFonts w:ascii="ITC Avant Garde" w:hAnsi="ITC Avant Garde"/>
          <w:lang w:val="es-MX"/>
        </w:rPr>
      </w:pPr>
      <w:r w:rsidRPr="00872052">
        <w:rPr>
          <w:rFonts w:ascii="ITC Avant Garde" w:hAnsi="ITC Avant Garde"/>
          <w:noProof/>
          <w:lang w:val="es-MX" w:eastAsia="es-MX"/>
        </w:rPr>
        <w:drawing>
          <wp:inline distT="0" distB="0" distL="0" distR="0" wp14:anchorId="49CF0C01" wp14:editId="270C6FD6">
            <wp:extent cx="3776133" cy="2333614"/>
            <wp:effectExtent l="0" t="0" r="0" b="0"/>
            <wp:docPr id="69" name="Image 83" descr="A map with a red d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83" descr="A map with a red dot&#10;&#10;Description automatically generate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
                    <a:stretch/>
                  </pic:blipFill>
                  <pic:spPr bwMode="auto">
                    <a:xfrm>
                      <a:off x="0" y="0"/>
                      <a:ext cx="3789392" cy="2341808"/>
                    </a:xfrm>
                    <a:prstGeom prst="rect">
                      <a:avLst/>
                    </a:prstGeom>
                    <a:noFill/>
                    <a:ln>
                      <a:noFill/>
                    </a:ln>
                    <a:extLst>
                      <a:ext uri="{53640926-AAD7-44D8-BBD7-CCE9431645EC}">
                        <a14:shadowObscured xmlns:a14="http://schemas.microsoft.com/office/drawing/2010/main"/>
                      </a:ext>
                    </a:extLst>
                  </pic:spPr>
                </pic:pic>
              </a:graphicData>
            </a:graphic>
          </wp:inline>
        </w:drawing>
      </w:r>
    </w:p>
    <w:p w14:paraId="3B68813D" w14:textId="77777777" w:rsidR="00A66A23" w:rsidRPr="004C1A96" w:rsidRDefault="00A66A23" w:rsidP="00A66A23">
      <w:pPr>
        <w:rPr>
          <w:rFonts w:ascii="ITC Avant Garde" w:hAnsi="ITC Avant Garde"/>
          <w:lang w:val="es-MX"/>
        </w:rPr>
      </w:pPr>
    </w:p>
    <w:p w14:paraId="3332D502" w14:textId="77777777" w:rsidR="00A66A23" w:rsidRPr="00E14D8A" w:rsidRDefault="00A66A23" w:rsidP="00A66A23">
      <w:pPr>
        <w:rPr>
          <w:rFonts w:ascii="ITC Avant Garde" w:hAnsi="ITC Avant Garde"/>
          <w:lang w:val="es-MX"/>
        </w:rPr>
      </w:pPr>
      <w:r w:rsidRPr="00E14D8A">
        <w:rPr>
          <w:rFonts w:ascii="ITC Avant Garde" w:hAnsi="ITC Avant Garde"/>
          <w:lang w:val="es-MX"/>
        </w:rPr>
        <w:t>Después del paso 4, las rutas de usuario final / PDP y PDP / CO se han determinado (es decir, se identificó la lista de secciones utilizadas por cada ruta).</w:t>
      </w:r>
    </w:p>
    <w:p w14:paraId="40226B05" w14:textId="77777777" w:rsidR="00A66A23" w:rsidRPr="00E14D8A" w:rsidRDefault="00A66A23" w:rsidP="00A66A23">
      <w:pPr>
        <w:rPr>
          <w:rFonts w:ascii="ITC Avant Garde" w:hAnsi="ITC Avant Garde"/>
          <w:lang w:val="es-MX"/>
        </w:rPr>
      </w:pPr>
    </w:p>
    <w:p w14:paraId="037068A0" w14:textId="0313D0EE" w:rsidR="00A66A23" w:rsidRPr="004C1A96" w:rsidRDefault="00A66A23" w:rsidP="00A66A23">
      <w:pPr>
        <w:pStyle w:val="Descripcin"/>
        <w:keepNext/>
        <w:rPr>
          <w:rFonts w:ascii="ITC Avant Garde" w:hAnsi="ITC Avant Garde"/>
          <w:lang w:val="es-MX"/>
        </w:rPr>
      </w:pPr>
      <w:r w:rsidRPr="004C1A96">
        <w:rPr>
          <w:rFonts w:ascii="ITC Avant Garde" w:hAnsi="ITC Avant Garde"/>
          <w:lang w:val="es-MX"/>
        </w:rPr>
        <w:t> </w:t>
      </w:r>
      <w:r w:rsidR="006D69ED" w:rsidRPr="004C1A96">
        <w:rPr>
          <w:rFonts w:ascii="ITC Avant Garde" w:hAnsi="ITC Avant Garde"/>
          <w:lang w:val="es-MX"/>
        </w:rPr>
        <w:t xml:space="preserve">Figura </w:t>
      </w:r>
      <w:r w:rsidR="006D69ED" w:rsidRPr="004C1A96">
        <w:rPr>
          <w:rFonts w:ascii="ITC Avant Garde" w:hAnsi="ITC Avant Garde"/>
          <w:lang w:val="es-MX"/>
        </w:rPr>
        <w:fldChar w:fldCharType="begin"/>
      </w:r>
      <w:r w:rsidR="006D69ED" w:rsidRPr="004C1A96">
        <w:rPr>
          <w:rFonts w:ascii="ITC Avant Garde" w:hAnsi="ITC Avant Garde"/>
          <w:lang w:val="es-MX"/>
        </w:rPr>
        <w:instrText xml:space="preserve"> SEQ Figura \* ARABIC </w:instrText>
      </w:r>
      <w:r w:rsidR="006D69ED" w:rsidRPr="004C1A96">
        <w:rPr>
          <w:rFonts w:ascii="ITC Avant Garde" w:hAnsi="ITC Avant Garde"/>
          <w:lang w:val="es-MX"/>
        </w:rPr>
        <w:fldChar w:fldCharType="separate"/>
      </w:r>
      <w:r w:rsidR="00006265">
        <w:rPr>
          <w:rFonts w:ascii="ITC Avant Garde" w:hAnsi="ITC Avant Garde"/>
          <w:noProof/>
          <w:lang w:val="es-MX"/>
        </w:rPr>
        <w:t>30</w:t>
      </w:r>
      <w:r w:rsidR="006D69ED" w:rsidRPr="004C1A96">
        <w:rPr>
          <w:rFonts w:ascii="ITC Avant Garde" w:hAnsi="ITC Avant Garde"/>
          <w:lang w:val="es-MX"/>
        </w:rPr>
        <w:fldChar w:fldCharType="end"/>
      </w:r>
      <w:r w:rsidR="006D69ED" w:rsidRPr="004C1A96">
        <w:rPr>
          <w:rFonts w:ascii="ITC Avant Garde" w:hAnsi="ITC Avant Garde"/>
          <w:lang w:val="es-MX"/>
        </w:rPr>
        <w:t xml:space="preserve"> </w:t>
      </w:r>
      <w:r w:rsidRPr="004C1A96">
        <w:rPr>
          <w:rFonts w:ascii="ITC Avant Garde" w:hAnsi="ITC Avant Garde"/>
          <w:lang w:val="es-MX"/>
        </w:rPr>
        <w:t>Gráfico de geomarketing (Ejemplo de rutas de usuario final a CO)</w:t>
      </w:r>
    </w:p>
    <w:p w14:paraId="0A6A7262" w14:textId="0711331D" w:rsidR="00A66A23" w:rsidRPr="004C1A96" w:rsidRDefault="00C95198" w:rsidP="00A66A23">
      <w:pPr>
        <w:rPr>
          <w:rFonts w:ascii="ITC Avant Garde" w:hAnsi="ITC Avant Garde"/>
          <w:lang w:val="es-MX"/>
        </w:rPr>
      </w:pPr>
      <w:r w:rsidRPr="00872052">
        <w:rPr>
          <w:rFonts w:ascii="ITC Avant Garde" w:hAnsi="ITC Avant Garde"/>
          <w:noProof/>
          <w:lang w:val="es-MX" w:eastAsia="es-MX"/>
        </w:rPr>
        <w:drawing>
          <wp:inline distT="0" distB="0" distL="0" distR="0" wp14:anchorId="39E2890C" wp14:editId="42B05CF6">
            <wp:extent cx="5296843" cy="2454275"/>
            <wp:effectExtent l="0" t="0" r="0" b="0"/>
            <wp:docPr id="71" name="Image 89"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89" descr="A map of a city&#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03983" cy="2457583"/>
                    </a:xfrm>
                    <a:prstGeom prst="rect">
                      <a:avLst/>
                    </a:prstGeom>
                    <a:noFill/>
                  </pic:spPr>
                </pic:pic>
              </a:graphicData>
            </a:graphic>
          </wp:inline>
        </w:drawing>
      </w:r>
    </w:p>
    <w:p w14:paraId="30B2CC2E" w14:textId="77777777" w:rsidR="00A66A23" w:rsidRPr="004C1A96" w:rsidRDefault="00A66A23" w:rsidP="00A66A23">
      <w:pPr>
        <w:rPr>
          <w:rFonts w:ascii="ITC Avant Garde" w:hAnsi="ITC Avant Garde"/>
          <w:lang w:val="es-MX"/>
        </w:rPr>
      </w:pPr>
    </w:p>
    <w:p w14:paraId="564FCB7D" w14:textId="77777777" w:rsidR="00A66A23" w:rsidRPr="00FF2101" w:rsidRDefault="00A66A23" w:rsidP="0040723E">
      <w:pPr>
        <w:pStyle w:val="Ttulo3"/>
        <w:rPr>
          <w:lang w:val="es-ES"/>
        </w:rPr>
      </w:pPr>
      <w:bookmarkStart w:id="257" w:name="_Toc525672870"/>
      <w:bookmarkStart w:id="258" w:name="_Toc525665310"/>
      <w:bookmarkStart w:id="259" w:name="_Toc525665689"/>
      <w:bookmarkStart w:id="260" w:name="_Ref141710383"/>
      <w:bookmarkStart w:id="261" w:name="_Toc141975047"/>
      <w:r w:rsidRPr="00FF2101">
        <w:rPr>
          <w:lang w:val="es-ES"/>
        </w:rPr>
        <w:lastRenderedPageBreak/>
        <w:t>Despliegue de la red de cobre</w:t>
      </w:r>
      <w:bookmarkEnd w:id="257"/>
      <w:bookmarkEnd w:id="258"/>
      <w:bookmarkEnd w:id="259"/>
      <w:bookmarkEnd w:id="260"/>
      <w:bookmarkEnd w:id="261"/>
    </w:p>
    <w:p w14:paraId="4E3E5EE3" w14:textId="77777777" w:rsidR="00A66A23" w:rsidRPr="008F42FC" w:rsidRDefault="00A66A23" w:rsidP="003C224B">
      <w:pPr>
        <w:pStyle w:val="Ttulo4"/>
        <w:rPr>
          <w:lang w:val="es-MX"/>
        </w:rPr>
      </w:pPr>
      <w:bookmarkStart w:id="262" w:name="_Toc525672871"/>
      <w:bookmarkStart w:id="263" w:name="_Toc525665311"/>
      <w:bookmarkStart w:id="264" w:name="_Toc525665690"/>
      <w:bookmarkStart w:id="265" w:name="_Toc141975048"/>
      <w:r w:rsidRPr="008F42FC">
        <w:rPr>
          <w:lang w:val="es-MX"/>
        </w:rPr>
        <w:t>Diferentes partes de la red modeladas</w:t>
      </w:r>
      <w:bookmarkEnd w:id="262"/>
      <w:bookmarkEnd w:id="263"/>
      <w:bookmarkEnd w:id="264"/>
      <w:bookmarkEnd w:id="265"/>
    </w:p>
    <w:p w14:paraId="49CB1A8F" w14:textId="77777777" w:rsidR="00A66A23" w:rsidRPr="004C1A96" w:rsidRDefault="00A66A23" w:rsidP="00A66A23">
      <w:pPr>
        <w:rPr>
          <w:rFonts w:ascii="ITC Avant Garde" w:hAnsi="ITC Avant Garde"/>
          <w:lang w:val="es-MX"/>
        </w:rPr>
      </w:pPr>
      <w:r w:rsidRPr="004C1A96">
        <w:rPr>
          <w:rFonts w:ascii="ITC Avant Garde" w:hAnsi="ITC Avant Garde"/>
          <w:lang w:val="es-MX"/>
        </w:rPr>
        <w:t>Desde las instalaciones hasta el CO, varios elementos deben ser modelados:</w:t>
      </w:r>
    </w:p>
    <w:p w14:paraId="0FC6AF9A" w14:textId="77777777" w:rsidR="00A66A23" w:rsidRPr="00E14D8A" w:rsidRDefault="00A66A23" w:rsidP="00A66A23">
      <w:pPr>
        <w:pStyle w:val="Listaconvietas2"/>
        <w:rPr>
          <w:rFonts w:ascii="ITC Avant Garde" w:hAnsi="ITC Avant Garde"/>
          <w:lang w:val="es-MX"/>
        </w:rPr>
      </w:pPr>
      <w:r w:rsidRPr="00E14D8A">
        <w:rPr>
          <w:rFonts w:ascii="ITC Avant Garde" w:hAnsi="ITC Avant Garde"/>
          <w:lang w:val="es-MX"/>
        </w:rPr>
        <w:t>El equipo requerido para unir la sección de la carretera con el SDP (referido como "Acometida"), que consiste en cables de cobre, zanjas / canalizaciones, pozos de registro y postes;</w:t>
      </w:r>
    </w:p>
    <w:p w14:paraId="544B5DA4" w14:textId="77777777" w:rsidR="00A66A23" w:rsidRPr="00E14D8A" w:rsidRDefault="00A66A23" w:rsidP="00A66A23">
      <w:pPr>
        <w:pStyle w:val="Listaconvietas2"/>
        <w:rPr>
          <w:rFonts w:ascii="ITC Avant Garde" w:hAnsi="ITC Avant Garde"/>
          <w:lang w:val="es-MX"/>
        </w:rPr>
      </w:pPr>
      <w:r w:rsidRPr="00E14D8A">
        <w:rPr>
          <w:rFonts w:ascii="ITC Avant Garde" w:hAnsi="ITC Avant Garde"/>
          <w:lang w:val="es-MX"/>
        </w:rPr>
        <w:t>El equipo requerido para vincular el SDP al PDP, incluido el SDP (denominado SDP / "Red Secundaria"), que consiste en cables de cobre, zanjas / Canalizaciones, pozos de registro, postes, cierres de empalme y puntos de distribución;</w:t>
      </w:r>
    </w:p>
    <w:p w14:paraId="6A544D58" w14:textId="77777777" w:rsidR="00A66A23" w:rsidRPr="004C1A96" w:rsidRDefault="00A66A23" w:rsidP="00A66A23">
      <w:pPr>
        <w:pStyle w:val="Listaconvietas2"/>
        <w:rPr>
          <w:rFonts w:ascii="ITC Avant Garde" w:hAnsi="ITC Avant Garde"/>
          <w:lang w:val="es-MX"/>
        </w:rPr>
      </w:pPr>
      <w:r w:rsidRPr="004C1A96">
        <w:rPr>
          <w:rFonts w:ascii="ITC Avant Garde" w:hAnsi="ITC Avant Garde"/>
          <w:lang w:val="es-MX"/>
        </w:rPr>
        <w:t>El equipo requerido para vincular el PDP al CO, incluido el PDP (referido como PDP / "Red Primaria"), que consiste en cables de cobre, zanjas, registros, cierres de empalme y puntos de distribución.</w:t>
      </w:r>
    </w:p>
    <w:p w14:paraId="3F2810F8" w14:textId="509049E0" w:rsidR="00A66A23" w:rsidRPr="004C1A96" w:rsidRDefault="00A66A23" w:rsidP="004A1426">
      <w:pPr>
        <w:pStyle w:val="Listaconvietas2"/>
        <w:rPr>
          <w:rFonts w:ascii="ITC Avant Garde" w:hAnsi="ITC Avant Garde"/>
          <w:lang w:val="es-MX"/>
        </w:rPr>
      </w:pPr>
      <w:r w:rsidRPr="004C1A96">
        <w:rPr>
          <w:rFonts w:ascii="ITC Avant Garde" w:hAnsi="ITC Avant Garde"/>
          <w:lang w:val="es-MX"/>
        </w:rPr>
        <w:t>El equipo dentro del edificio</w:t>
      </w:r>
      <w:r w:rsidR="004A1426" w:rsidRPr="004C1A96">
        <w:rPr>
          <w:rFonts w:ascii="ITC Avant Garde" w:hAnsi="ITC Avant Garde"/>
          <w:lang w:val="es-MX"/>
        </w:rPr>
        <w:t xml:space="preserve"> no se modela. En cambio, el cálculo del segmento vertical, que incluye la longitud adicional de cable de fibra/cobre y zanjas entre cada edificio y la red vial, se realiza en el módulo Excel del modelo integral. </w:t>
      </w:r>
    </w:p>
    <w:p w14:paraId="7F1FD86D" w14:textId="77777777" w:rsidR="00A66A23" w:rsidRPr="004C1A96" w:rsidRDefault="00A66A23" w:rsidP="00A66A23">
      <w:pPr>
        <w:rPr>
          <w:rFonts w:ascii="ITC Avant Garde" w:hAnsi="ITC Avant Garde"/>
          <w:lang w:val="es-MX"/>
        </w:rPr>
      </w:pPr>
    </w:p>
    <w:p w14:paraId="03BEC1BE" w14:textId="77777777" w:rsidR="00A66A23" w:rsidRPr="008F42FC" w:rsidRDefault="00A66A23" w:rsidP="003C224B">
      <w:pPr>
        <w:pStyle w:val="Ttulo4"/>
        <w:rPr>
          <w:lang w:val="es-MX"/>
        </w:rPr>
      </w:pPr>
      <w:bookmarkStart w:id="266" w:name="_Toc525672872"/>
      <w:bookmarkStart w:id="267" w:name="_Toc525665312"/>
      <w:bookmarkStart w:id="268" w:name="_Toc525665691"/>
      <w:bookmarkStart w:id="269" w:name="_Toc141975049"/>
      <w:r w:rsidRPr="008F42FC">
        <w:rPr>
          <w:lang w:val="es-MX"/>
        </w:rPr>
        <w:t>Cables de red de cobre</w:t>
      </w:r>
      <w:bookmarkEnd w:id="266"/>
      <w:bookmarkEnd w:id="267"/>
      <w:bookmarkEnd w:id="268"/>
      <w:bookmarkEnd w:id="269"/>
    </w:p>
    <w:p w14:paraId="481B381E" w14:textId="77777777" w:rsidR="00A66A23" w:rsidRPr="004C1A96" w:rsidRDefault="00A66A23" w:rsidP="00A66A23">
      <w:pPr>
        <w:rPr>
          <w:rFonts w:ascii="ITC Avant Garde" w:hAnsi="ITC Avant Garde"/>
          <w:lang w:val="es-MX"/>
        </w:rPr>
      </w:pPr>
      <w:r w:rsidRPr="004C1A96">
        <w:rPr>
          <w:rFonts w:ascii="ITC Avant Garde" w:hAnsi="ITC Avant Garde"/>
          <w:lang w:val="es-MX"/>
        </w:rPr>
        <w:t>Varios cables, relacionados con diferentes partes de la red, tienen que ser dimensionados para una sección dada. Estos diferentes cables no se comparten, pero usan la misma zanja (o el mismo poste) en dicha sección.</w:t>
      </w:r>
    </w:p>
    <w:p w14:paraId="5744A32D" w14:textId="77777777" w:rsidR="00A66A23" w:rsidRPr="00E14D8A" w:rsidRDefault="00A66A23" w:rsidP="00A66A23">
      <w:pPr>
        <w:rPr>
          <w:rFonts w:ascii="ITC Avant Garde" w:hAnsi="ITC Avant Garde"/>
          <w:lang w:val="es-MX"/>
        </w:rPr>
      </w:pPr>
      <w:r w:rsidRPr="00E14D8A">
        <w:rPr>
          <w:rFonts w:ascii="ITC Avant Garde" w:hAnsi="ITC Avant Garde"/>
          <w:lang w:val="es-MX"/>
        </w:rPr>
        <w:t>Los cables incluyen:</w:t>
      </w:r>
    </w:p>
    <w:p w14:paraId="7F34CBBD" w14:textId="77777777" w:rsidR="00A66A23" w:rsidRPr="00E14D8A" w:rsidRDefault="00A66A23" w:rsidP="00A66A23">
      <w:pPr>
        <w:pStyle w:val="Listaconvietas2"/>
        <w:rPr>
          <w:rFonts w:ascii="ITC Avant Garde" w:hAnsi="ITC Avant Garde"/>
        </w:rPr>
      </w:pPr>
      <w:r w:rsidRPr="00E14D8A">
        <w:rPr>
          <w:rFonts w:ascii="ITC Avant Garde" w:hAnsi="ITC Avant Garde"/>
        </w:rPr>
        <w:t>la acometida;</w:t>
      </w:r>
    </w:p>
    <w:p w14:paraId="2778FC0F" w14:textId="77777777" w:rsidR="00A66A23" w:rsidRPr="00E14D8A" w:rsidRDefault="00A66A23" w:rsidP="00A66A23">
      <w:pPr>
        <w:pStyle w:val="Listaconvietas2"/>
        <w:rPr>
          <w:rFonts w:ascii="ITC Avant Garde" w:hAnsi="ITC Avant Garde"/>
          <w:lang w:val="es-MX"/>
        </w:rPr>
      </w:pPr>
      <w:r w:rsidRPr="00E14D8A">
        <w:rPr>
          <w:rFonts w:ascii="ITC Avant Garde" w:hAnsi="ITC Avant Garde"/>
          <w:lang w:val="es-MX"/>
        </w:rPr>
        <w:t>el cable que conecta el SDP al PDP;</w:t>
      </w:r>
    </w:p>
    <w:p w14:paraId="676AA297" w14:textId="77777777" w:rsidR="00A66A23" w:rsidRPr="004C1A96" w:rsidRDefault="00A66A23" w:rsidP="00A66A23">
      <w:pPr>
        <w:pStyle w:val="Listaconvietas2"/>
        <w:rPr>
          <w:rFonts w:ascii="ITC Avant Garde" w:hAnsi="ITC Avant Garde"/>
          <w:lang w:val="es-MX"/>
        </w:rPr>
      </w:pPr>
      <w:r w:rsidRPr="004C1A96">
        <w:rPr>
          <w:rFonts w:ascii="ITC Avant Garde" w:hAnsi="ITC Avant Garde"/>
          <w:lang w:val="es-MX"/>
        </w:rPr>
        <w:t>el cable que conecta el PDP al CO.</w:t>
      </w:r>
    </w:p>
    <w:p w14:paraId="00EC5E37" w14:textId="77777777" w:rsidR="00A66A23" w:rsidRPr="004C1A96" w:rsidRDefault="00A66A23" w:rsidP="00A66A23">
      <w:pPr>
        <w:pStyle w:val="Listaconvietas2"/>
        <w:numPr>
          <w:ilvl w:val="0"/>
          <w:numId w:val="0"/>
        </w:numPr>
        <w:ind w:left="643" w:hanging="360"/>
        <w:rPr>
          <w:rFonts w:ascii="ITC Avant Garde" w:hAnsi="ITC Avant Garde"/>
          <w:lang w:val="es-MX"/>
        </w:rPr>
      </w:pPr>
    </w:p>
    <w:p w14:paraId="06E711EA" w14:textId="78B4BC62" w:rsidR="00A66A23" w:rsidRPr="004C1A96" w:rsidRDefault="00A66A23" w:rsidP="00A66A23">
      <w:pPr>
        <w:pStyle w:val="Descripcin"/>
        <w:keepNext/>
        <w:rPr>
          <w:rFonts w:ascii="ITC Avant Garde" w:hAnsi="ITC Avant Garde"/>
          <w:lang w:val="es-MX"/>
        </w:rPr>
      </w:pPr>
      <w:r w:rsidRPr="004C1A96">
        <w:rPr>
          <w:rFonts w:ascii="ITC Avant Garde" w:hAnsi="ITC Avant Garde"/>
          <w:lang w:val="es-MX"/>
        </w:rPr>
        <w:lastRenderedPageBreak/>
        <w:t>  </w:t>
      </w:r>
      <w:r w:rsidR="006D69ED" w:rsidRPr="004C1A96">
        <w:rPr>
          <w:rFonts w:ascii="ITC Avant Garde" w:hAnsi="ITC Avant Garde"/>
          <w:lang w:val="es-MX"/>
        </w:rPr>
        <w:t xml:space="preserve">Figura </w:t>
      </w:r>
      <w:r w:rsidR="006D69ED" w:rsidRPr="004C1A96">
        <w:rPr>
          <w:rFonts w:ascii="ITC Avant Garde" w:hAnsi="ITC Avant Garde"/>
          <w:lang w:val="es-MX"/>
        </w:rPr>
        <w:fldChar w:fldCharType="begin"/>
      </w:r>
      <w:r w:rsidR="006D69ED" w:rsidRPr="004C1A96">
        <w:rPr>
          <w:rFonts w:ascii="ITC Avant Garde" w:hAnsi="ITC Avant Garde"/>
          <w:lang w:val="es-MX"/>
        </w:rPr>
        <w:instrText xml:space="preserve"> SEQ Figura \* ARABIC </w:instrText>
      </w:r>
      <w:r w:rsidR="006D69ED" w:rsidRPr="004C1A96">
        <w:rPr>
          <w:rFonts w:ascii="ITC Avant Garde" w:hAnsi="ITC Avant Garde"/>
          <w:lang w:val="es-MX"/>
        </w:rPr>
        <w:fldChar w:fldCharType="separate"/>
      </w:r>
      <w:r w:rsidR="00006265">
        <w:rPr>
          <w:rFonts w:ascii="ITC Avant Garde" w:hAnsi="ITC Avant Garde"/>
          <w:noProof/>
          <w:lang w:val="es-MX"/>
        </w:rPr>
        <w:t>31</w:t>
      </w:r>
      <w:r w:rsidR="006D69ED" w:rsidRPr="004C1A96">
        <w:rPr>
          <w:rFonts w:ascii="ITC Avant Garde" w:hAnsi="ITC Avant Garde"/>
          <w:lang w:val="es-MX"/>
        </w:rPr>
        <w:fldChar w:fldCharType="end"/>
      </w:r>
      <w:r w:rsidR="006D69ED" w:rsidRPr="004C1A96">
        <w:rPr>
          <w:rFonts w:ascii="ITC Avant Garde" w:hAnsi="ITC Avant Garde"/>
          <w:lang w:val="es-MX"/>
        </w:rPr>
        <w:t xml:space="preserve"> </w:t>
      </w:r>
      <w:r w:rsidRPr="004C1A96">
        <w:rPr>
          <w:rFonts w:ascii="ITC Avant Garde" w:hAnsi="ITC Avant Garde"/>
          <w:lang w:val="es-MX"/>
        </w:rPr>
        <w:t>Tipos de cables que pasan por una sección</w:t>
      </w:r>
    </w:p>
    <w:p w14:paraId="69A6FEBF" w14:textId="0A453A3C" w:rsidR="00A66A23" w:rsidRPr="004C1A96" w:rsidRDefault="00C95198" w:rsidP="00A66A23">
      <w:pPr>
        <w:rPr>
          <w:rFonts w:ascii="ITC Avant Garde" w:hAnsi="ITC Avant Garde"/>
          <w:lang w:val="es-MX"/>
        </w:rPr>
      </w:pPr>
      <w:r w:rsidRPr="00872052">
        <w:rPr>
          <w:rFonts w:ascii="ITC Avant Garde" w:hAnsi="ITC Avant Garde"/>
          <w:noProof/>
          <w:lang w:val="es-MX" w:eastAsia="es-MX"/>
        </w:rPr>
        <w:drawing>
          <wp:inline distT="0" distB="0" distL="0" distR="0" wp14:anchorId="1CD7D46F" wp14:editId="1EFD687D">
            <wp:extent cx="5273141" cy="2303145"/>
            <wp:effectExtent l="0" t="0" r="3810" b="1905"/>
            <wp:docPr id="72" name="Image 55" descr="A diagram of a diagram of a conn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55" descr="A diagram of a diagram of a connecti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5297" cy="2304087"/>
                    </a:xfrm>
                    <a:prstGeom prst="rect">
                      <a:avLst/>
                    </a:prstGeom>
                    <a:noFill/>
                  </pic:spPr>
                </pic:pic>
              </a:graphicData>
            </a:graphic>
          </wp:inline>
        </w:drawing>
      </w:r>
    </w:p>
    <w:p w14:paraId="4687C854" w14:textId="77777777" w:rsidR="00A66A23" w:rsidRPr="004C1A96" w:rsidRDefault="00A66A23" w:rsidP="00A66A23">
      <w:pPr>
        <w:rPr>
          <w:rFonts w:ascii="ITC Avant Garde" w:hAnsi="ITC Avant Garde"/>
          <w:lang w:val="es-MX"/>
        </w:rPr>
      </w:pPr>
    </w:p>
    <w:p w14:paraId="621D2611" w14:textId="77777777" w:rsidR="00A66A23" w:rsidRPr="00E14D8A" w:rsidRDefault="00A66A23" w:rsidP="00A66A23">
      <w:pPr>
        <w:rPr>
          <w:rFonts w:ascii="ITC Avant Garde" w:hAnsi="ITC Avant Garde"/>
          <w:lang w:val="es-MX"/>
        </w:rPr>
      </w:pPr>
      <w:r w:rsidRPr="00E14D8A">
        <w:rPr>
          <w:rFonts w:ascii="ITC Avant Garde" w:hAnsi="ITC Avant Garde"/>
          <w:lang w:val="es-MX"/>
        </w:rPr>
        <w:t>Para cada sección y cada categoría de cable, se debe entonces determinar lo siguiente:</w:t>
      </w:r>
    </w:p>
    <w:p w14:paraId="134A3511" w14:textId="77777777" w:rsidR="00A66A23" w:rsidRPr="00E14D8A" w:rsidRDefault="00A66A23" w:rsidP="00A66A23">
      <w:pPr>
        <w:pStyle w:val="Listaconvietas2"/>
        <w:rPr>
          <w:rFonts w:ascii="ITC Avant Garde" w:hAnsi="ITC Avant Garde"/>
          <w:lang w:val="es-MX"/>
        </w:rPr>
      </w:pPr>
      <w:r w:rsidRPr="00E14D8A">
        <w:rPr>
          <w:rFonts w:ascii="ITC Avant Garde" w:hAnsi="ITC Avant Garde"/>
          <w:lang w:val="es-MX"/>
        </w:rPr>
        <w:t>¿Cuántos pares de cobre se requieren para cumplir con el nivel de demanda?</w:t>
      </w:r>
    </w:p>
    <w:p w14:paraId="20E28D51" w14:textId="77777777" w:rsidR="00A66A23" w:rsidRPr="004C1A96" w:rsidRDefault="00A66A23" w:rsidP="00A66A23">
      <w:pPr>
        <w:pStyle w:val="Listaconvietas2"/>
        <w:rPr>
          <w:rFonts w:ascii="ITC Avant Garde" w:hAnsi="ITC Avant Garde"/>
          <w:lang w:val="es-MX"/>
        </w:rPr>
      </w:pPr>
      <w:r w:rsidRPr="004C1A96">
        <w:rPr>
          <w:rFonts w:ascii="ITC Avant Garde" w:hAnsi="ITC Avant Garde"/>
          <w:lang w:val="es-MX"/>
        </w:rPr>
        <w:t>¿Cuál es el tamaño de cable más adecuado en función del número de pares de cobre?</w:t>
      </w:r>
    </w:p>
    <w:p w14:paraId="2E54227C" w14:textId="77777777" w:rsidR="00A66A23" w:rsidRPr="004C1A96" w:rsidRDefault="00A66A23" w:rsidP="00A66A23">
      <w:pPr>
        <w:pStyle w:val="Listaconvietas2"/>
        <w:rPr>
          <w:rFonts w:ascii="ITC Avant Garde" w:hAnsi="ITC Avant Garde"/>
          <w:lang w:val="es-MX"/>
        </w:rPr>
      </w:pPr>
      <w:r w:rsidRPr="004C1A96">
        <w:rPr>
          <w:rFonts w:ascii="ITC Avant Garde" w:hAnsi="ITC Avant Garde"/>
          <w:lang w:val="es-MX"/>
        </w:rPr>
        <w:t>¿Qué tipo de cable se debe usar?</w:t>
      </w:r>
    </w:p>
    <w:p w14:paraId="6CBBC284" w14:textId="77777777" w:rsidR="00A66A23" w:rsidRPr="004C1A96" w:rsidRDefault="00A66A23" w:rsidP="00A66A23">
      <w:pPr>
        <w:rPr>
          <w:rFonts w:ascii="ITC Avant Garde" w:hAnsi="ITC Avant Garde"/>
          <w:lang w:val="es-MX"/>
        </w:rPr>
      </w:pPr>
    </w:p>
    <w:p w14:paraId="7A222920" w14:textId="77777777" w:rsidR="00A66A23" w:rsidRPr="008F42FC" w:rsidRDefault="00A66A23" w:rsidP="003C224B">
      <w:pPr>
        <w:pStyle w:val="Ttulo4"/>
        <w:rPr>
          <w:lang w:val="es-MX"/>
        </w:rPr>
      </w:pPr>
      <w:bookmarkStart w:id="270" w:name="_Toc525672873"/>
      <w:bookmarkStart w:id="271" w:name="_Toc525665313"/>
      <w:bookmarkStart w:id="272" w:name="_Toc525665692"/>
      <w:bookmarkStart w:id="273" w:name="_Toc141975050"/>
      <w:r w:rsidRPr="008F42FC">
        <w:rPr>
          <w:lang w:val="es-MX"/>
        </w:rPr>
        <w:t>Acometida</w:t>
      </w:r>
      <w:bookmarkEnd w:id="270"/>
      <w:bookmarkEnd w:id="271"/>
      <w:bookmarkEnd w:id="272"/>
      <w:bookmarkEnd w:id="273"/>
    </w:p>
    <w:p w14:paraId="0B90B57A" w14:textId="77777777" w:rsidR="00A66A23" w:rsidRPr="004C1A96" w:rsidRDefault="00A66A23" w:rsidP="00A66A23">
      <w:pPr>
        <w:rPr>
          <w:rFonts w:ascii="ITC Avant Garde" w:hAnsi="ITC Avant Garde"/>
          <w:lang w:val="es-MX"/>
        </w:rPr>
      </w:pPr>
      <w:r w:rsidRPr="004C1A96">
        <w:rPr>
          <w:rFonts w:ascii="ITC Avant Garde" w:hAnsi="ITC Avant Garde"/>
          <w:lang w:val="es-MX"/>
        </w:rPr>
        <w:t>Esta sección describe el costo de la acometida, que incluye los costos desde el edificio del cliente hasta el SDP.</w:t>
      </w:r>
    </w:p>
    <w:p w14:paraId="498EBEBE" w14:textId="77777777" w:rsidR="00A66A23" w:rsidRPr="00E14D8A" w:rsidRDefault="00A66A23" w:rsidP="00A66A23">
      <w:pPr>
        <w:rPr>
          <w:rFonts w:ascii="ITC Avant Garde" w:hAnsi="ITC Avant Garde"/>
          <w:lang w:val="es-MX"/>
        </w:rPr>
      </w:pPr>
      <w:r w:rsidRPr="00E14D8A">
        <w:rPr>
          <w:rFonts w:ascii="ITC Avant Garde" w:hAnsi="ITC Avant Garde"/>
          <w:lang w:val="es-MX"/>
        </w:rPr>
        <w:t>El modelado se ha realizado en una base "por dirección". Por lo tanto, para cada sección de carretera, se ha determinado la posición de cada dirección, es decir, la posición relativa de la dirección al nodo de carretera que va al CO y el lado de la dirección (lado izquierdo o derecho de la carretera cuando se mira desde la extremidad más cercana al CO, ver figura inferior). Para cada dirección se ha determinado:</w:t>
      </w:r>
    </w:p>
    <w:p w14:paraId="04386C6C" w14:textId="77777777" w:rsidR="00A66A23" w:rsidRPr="004C1A96" w:rsidRDefault="00A66A23" w:rsidP="00A66A23">
      <w:pPr>
        <w:pStyle w:val="Listaconvietas2"/>
        <w:rPr>
          <w:rFonts w:ascii="ITC Avant Garde" w:hAnsi="ITC Avant Garde"/>
          <w:lang w:val="es-MX"/>
        </w:rPr>
      </w:pPr>
      <w:r w:rsidRPr="004C1A96">
        <w:rPr>
          <w:rFonts w:ascii="ITC Avant Garde" w:hAnsi="ITC Avant Garde"/>
          <w:lang w:val="es-MX"/>
        </w:rPr>
        <w:t>La distancia entre la construcción de la dirección y la intersección de calle relevante;</w:t>
      </w:r>
    </w:p>
    <w:p w14:paraId="03A42635" w14:textId="77777777" w:rsidR="00A66A23" w:rsidRPr="004C1A96" w:rsidRDefault="00A66A23" w:rsidP="00A66A23">
      <w:pPr>
        <w:pStyle w:val="Listaconvietas2"/>
        <w:rPr>
          <w:rFonts w:ascii="ITC Avant Garde" w:hAnsi="ITC Avant Garde"/>
          <w:lang w:val="es-MX"/>
        </w:rPr>
      </w:pPr>
      <w:r w:rsidRPr="004C1A96">
        <w:rPr>
          <w:rFonts w:ascii="ITC Avant Garde" w:hAnsi="ITC Avant Garde"/>
          <w:lang w:val="es-MX"/>
        </w:rPr>
        <w:t>La cantidad de locales conectados para cada dirección.</w:t>
      </w:r>
    </w:p>
    <w:p w14:paraId="4B5A70DB" w14:textId="57388D39" w:rsidR="00A66A23" w:rsidRPr="00E14D8A" w:rsidRDefault="006D69ED" w:rsidP="00A66A23">
      <w:pPr>
        <w:pStyle w:val="Descripcin"/>
        <w:keepNext/>
        <w:rPr>
          <w:rFonts w:ascii="ITC Avant Garde" w:hAnsi="ITC Avant Garde"/>
          <w:lang w:val="es-MX"/>
        </w:rPr>
      </w:pPr>
      <w:r w:rsidRPr="004C1A96">
        <w:rPr>
          <w:rFonts w:ascii="ITC Avant Garde" w:hAnsi="ITC Avant Garde"/>
          <w:lang w:val="es-MX"/>
        </w:rPr>
        <w:lastRenderedPageBreak/>
        <w:t xml:space="preserve">Figura </w:t>
      </w:r>
      <w:r w:rsidRPr="004C1A96">
        <w:rPr>
          <w:rFonts w:ascii="ITC Avant Garde" w:hAnsi="ITC Avant Garde"/>
          <w:lang w:val="es-MX"/>
        </w:rPr>
        <w:fldChar w:fldCharType="begin"/>
      </w:r>
      <w:r w:rsidRPr="004C1A96">
        <w:rPr>
          <w:rFonts w:ascii="ITC Avant Garde" w:hAnsi="ITC Avant Garde"/>
          <w:lang w:val="es-MX"/>
        </w:rPr>
        <w:instrText xml:space="preserve"> SEQ Figura \* ARABIC </w:instrText>
      </w:r>
      <w:r w:rsidRPr="004C1A96">
        <w:rPr>
          <w:rFonts w:ascii="ITC Avant Garde" w:hAnsi="ITC Avant Garde"/>
          <w:lang w:val="es-MX"/>
        </w:rPr>
        <w:fldChar w:fldCharType="separate"/>
      </w:r>
      <w:r w:rsidR="00006265">
        <w:rPr>
          <w:rFonts w:ascii="ITC Avant Garde" w:hAnsi="ITC Avant Garde"/>
          <w:noProof/>
          <w:lang w:val="es-MX"/>
        </w:rPr>
        <w:t>32</w:t>
      </w:r>
      <w:r w:rsidRPr="004C1A96">
        <w:rPr>
          <w:rFonts w:ascii="ITC Avant Garde" w:hAnsi="ITC Avant Garde"/>
          <w:lang w:val="es-MX"/>
        </w:rPr>
        <w:fldChar w:fldCharType="end"/>
      </w:r>
      <w:r w:rsidRPr="004C1A96">
        <w:rPr>
          <w:rFonts w:ascii="ITC Avant Garde" w:hAnsi="ITC Avant Garde"/>
          <w:lang w:val="es-MX"/>
        </w:rPr>
        <w:t xml:space="preserve"> </w:t>
      </w:r>
      <w:r w:rsidR="00A66A23" w:rsidRPr="004C1A96">
        <w:rPr>
          <w:rFonts w:ascii="ITC Avant Garde" w:hAnsi="ITC Avant Garde"/>
          <w:lang w:val="es-MX"/>
        </w:rPr>
        <w:t>Posición de una dirección en el lado izquierdo de una sección de car</w:t>
      </w:r>
      <w:r w:rsidR="00A66A23" w:rsidRPr="00E14D8A">
        <w:rPr>
          <w:rFonts w:ascii="ITC Avant Garde" w:hAnsi="ITC Avant Garde"/>
          <w:lang w:val="es-MX"/>
        </w:rPr>
        <w:t>retera</w:t>
      </w:r>
    </w:p>
    <w:p w14:paraId="67A864D6" w14:textId="5D0748BB" w:rsidR="00A66A23" w:rsidRPr="004C1A96" w:rsidRDefault="00C95198" w:rsidP="00A66A23">
      <w:pPr>
        <w:jc w:val="center"/>
        <w:rPr>
          <w:rFonts w:ascii="ITC Avant Garde" w:hAnsi="ITC Avant Garde"/>
          <w:lang w:val="es-MX"/>
        </w:rPr>
      </w:pPr>
      <w:r w:rsidRPr="00872052">
        <w:rPr>
          <w:rFonts w:ascii="ITC Avant Garde" w:hAnsi="ITC Avant Garde"/>
          <w:noProof/>
          <w:lang w:val="es-MX" w:eastAsia="es-MX"/>
        </w:rPr>
        <w:drawing>
          <wp:inline distT="0" distB="0" distL="0" distR="0" wp14:anchorId="7B7E0C7D" wp14:editId="2DB22075">
            <wp:extent cx="2348942" cy="1859280"/>
            <wp:effectExtent l="0" t="0" r="0" b="0"/>
            <wp:docPr id="73"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66733" cy="1873362"/>
                    </a:xfrm>
                    <a:prstGeom prst="rect">
                      <a:avLst/>
                    </a:prstGeom>
                    <a:noFill/>
                    <a:ln>
                      <a:noFill/>
                    </a:ln>
                  </pic:spPr>
                </pic:pic>
              </a:graphicData>
            </a:graphic>
          </wp:inline>
        </w:drawing>
      </w:r>
    </w:p>
    <w:p w14:paraId="4231596F" w14:textId="77777777" w:rsidR="00A66A23" w:rsidRPr="004C1A96" w:rsidRDefault="00A66A23" w:rsidP="00A66A23">
      <w:pPr>
        <w:rPr>
          <w:rFonts w:ascii="ITC Avant Garde" w:hAnsi="ITC Avant Garde"/>
          <w:lang w:val="es-MX"/>
        </w:rPr>
      </w:pPr>
    </w:p>
    <w:p w14:paraId="7A40BC2E" w14:textId="77777777" w:rsidR="00A66A23" w:rsidRPr="00E14D8A" w:rsidRDefault="00A66A23" w:rsidP="00A66A23">
      <w:pPr>
        <w:rPr>
          <w:rFonts w:ascii="ITC Avant Garde" w:hAnsi="ITC Avant Garde"/>
          <w:lang w:val="es-MX"/>
        </w:rPr>
      </w:pPr>
      <w:r w:rsidRPr="00E14D8A">
        <w:rPr>
          <w:rFonts w:ascii="ITC Avant Garde" w:hAnsi="ITC Avant Garde"/>
          <w:lang w:val="es-MX"/>
        </w:rPr>
        <w:t>Un cable dedicado se extiende desde el SDP hasta las instalaciones.</w:t>
      </w:r>
    </w:p>
    <w:p w14:paraId="20802E25" w14:textId="77777777" w:rsidR="00A66A23" w:rsidRPr="00E14D8A" w:rsidRDefault="00A66A23" w:rsidP="00A66A23">
      <w:pPr>
        <w:rPr>
          <w:rFonts w:ascii="ITC Avant Garde" w:hAnsi="ITC Avant Garde"/>
          <w:lang w:val="es-MX"/>
        </w:rPr>
      </w:pPr>
      <w:r w:rsidRPr="00E14D8A">
        <w:rPr>
          <w:rFonts w:ascii="ITC Avant Garde" w:hAnsi="ITC Avant Garde"/>
          <w:lang w:val="es-MX"/>
        </w:rPr>
        <w:t>El número de pares de cobre desplegados en la acometida depende de la cantidad de locales. Como se establece en las reglas de diseño provistas por el AEP, se instalan 2 pares por local: uno para cada servicio.</w:t>
      </w:r>
    </w:p>
    <w:p w14:paraId="7076F79D" w14:textId="77777777" w:rsidR="00A66A23" w:rsidRPr="004C1A96" w:rsidRDefault="00A66A23" w:rsidP="00A66A23">
      <w:pPr>
        <w:rPr>
          <w:rFonts w:ascii="ITC Avant Garde" w:hAnsi="ITC Avant Garde"/>
          <w:lang w:val="es-MX"/>
        </w:rPr>
      </w:pPr>
    </w:p>
    <w:p w14:paraId="1F062864" w14:textId="77777777" w:rsidR="00A66A23" w:rsidRPr="008F42FC" w:rsidRDefault="00A66A23" w:rsidP="003C224B">
      <w:pPr>
        <w:pStyle w:val="Ttulo4"/>
        <w:rPr>
          <w:lang w:val="es-MX"/>
        </w:rPr>
      </w:pPr>
      <w:bookmarkStart w:id="274" w:name="_Toc525672874"/>
      <w:bookmarkStart w:id="275" w:name="_Toc525665314"/>
      <w:bookmarkStart w:id="276" w:name="_Toc525665693"/>
      <w:bookmarkStart w:id="277" w:name="_Toc141975051"/>
      <w:r w:rsidRPr="008F42FC">
        <w:rPr>
          <w:lang w:val="es-MX"/>
        </w:rPr>
        <w:t>Parte del SDP: "Red Secundaria"</w:t>
      </w:r>
      <w:bookmarkEnd w:id="274"/>
      <w:bookmarkEnd w:id="275"/>
      <w:bookmarkEnd w:id="276"/>
      <w:bookmarkEnd w:id="277"/>
    </w:p>
    <w:p w14:paraId="4A483C99" w14:textId="77777777" w:rsidR="00A66A23" w:rsidRPr="004C1A96" w:rsidRDefault="00A66A23" w:rsidP="00A66A23">
      <w:pPr>
        <w:rPr>
          <w:rFonts w:ascii="ITC Avant Garde" w:hAnsi="ITC Avant Garde"/>
          <w:lang w:val="es-MX"/>
        </w:rPr>
      </w:pPr>
      <w:r w:rsidRPr="004C1A96">
        <w:rPr>
          <w:rFonts w:ascii="ITC Avant Garde" w:hAnsi="ITC Avant Garde"/>
          <w:lang w:val="es-MX"/>
        </w:rPr>
        <w:t>La parte SDP está compuesta por los puntos de distribución SDP, los cables y las zanjas relacionadas, pozos de registro, y postes entre el SDP y el PDP.</w:t>
      </w:r>
    </w:p>
    <w:p w14:paraId="5049A33B" w14:textId="77777777" w:rsidR="00A66A23" w:rsidRPr="004C1A96" w:rsidRDefault="00A66A23" w:rsidP="00A66A23">
      <w:pPr>
        <w:rPr>
          <w:rFonts w:ascii="ITC Avant Garde" w:hAnsi="ITC Avant Garde"/>
          <w:b/>
          <w:lang w:val="es-MX"/>
        </w:rPr>
      </w:pPr>
      <w:r w:rsidRPr="004C1A96">
        <w:rPr>
          <w:rFonts w:ascii="ITC Avant Garde" w:hAnsi="ITC Avant Garde"/>
          <w:b/>
          <w:lang w:val="es-MX"/>
        </w:rPr>
        <w:t>Ubicación de los SDP</w:t>
      </w:r>
    </w:p>
    <w:p w14:paraId="3407EC9F" w14:textId="77777777" w:rsidR="00A66A23" w:rsidRPr="00E14D8A" w:rsidRDefault="00A66A23" w:rsidP="00A66A23">
      <w:pPr>
        <w:rPr>
          <w:rFonts w:ascii="ITC Avant Garde" w:hAnsi="ITC Avant Garde"/>
          <w:lang w:val="es-MX"/>
        </w:rPr>
      </w:pPr>
      <w:r w:rsidRPr="00E14D8A">
        <w:rPr>
          <w:rFonts w:ascii="ITC Avant Garde" w:hAnsi="ITC Avant Garde"/>
          <w:lang w:val="es-MX"/>
        </w:rPr>
        <w:t>Los SDP se modelan en Bottom Up (es decir, su ubicación no se basa en los datos del AEP). El proceso de cálculo agrega todos los conjuntos de cables de bajada al PDP.</w:t>
      </w:r>
    </w:p>
    <w:p w14:paraId="2F0D4F9A" w14:textId="77777777" w:rsidR="00A66A23" w:rsidRPr="004C1A96" w:rsidRDefault="00A66A23" w:rsidP="00A66A23">
      <w:pPr>
        <w:rPr>
          <w:rFonts w:ascii="ITC Avant Garde" w:hAnsi="ITC Avant Garde"/>
          <w:lang w:val="es-MX"/>
        </w:rPr>
      </w:pPr>
      <w:r w:rsidRPr="00E14D8A">
        <w:rPr>
          <w:rFonts w:ascii="ITC Avant Garde" w:hAnsi="ITC Avant Garde"/>
          <w:lang w:val="es-MX"/>
        </w:rPr>
        <w:t>Comenzando más alejado y moviéndose hacia el PDP, en cada ubicación de un edificio, se verifica si el núme</w:t>
      </w:r>
      <w:r w:rsidRPr="004C1A96">
        <w:rPr>
          <w:rFonts w:ascii="ITC Avant Garde" w:hAnsi="ITC Avant Garde"/>
          <w:lang w:val="es-MX"/>
        </w:rPr>
        <w:t>ro de locales a agregar (es decir, que ya no están agregados por un SDP), es igual o superior a 20. Si este es el caso, se instala un nuevo SDP.</w:t>
      </w:r>
    </w:p>
    <w:p w14:paraId="2CB3977F" w14:textId="77777777" w:rsidR="00A66A23" w:rsidRPr="004C1A96" w:rsidRDefault="00A66A23" w:rsidP="00A66A23">
      <w:pPr>
        <w:rPr>
          <w:rFonts w:ascii="ITC Avant Garde" w:hAnsi="ITC Avant Garde"/>
          <w:b/>
          <w:lang w:val="es-MX"/>
        </w:rPr>
      </w:pPr>
      <w:r w:rsidRPr="004C1A96">
        <w:rPr>
          <w:rFonts w:ascii="ITC Avant Garde" w:hAnsi="ITC Avant Garde"/>
          <w:b/>
          <w:lang w:val="es-MX"/>
        </w:rPr>
        <w:t>Tamaño de los SDP</w:t>
      </w:r>
    </w:p>
    <w:p w14:paraId="00C7A0BB" w14:textId="77777777" w:rsidR="00A66A23" w:rsidRPr="004C1A96" w:rsidRDefault="00A66A23" w:rsidP="00A66A23">
      <w:pPr>
        <w:rPr>
          <w:rFonts w:ascii="ITC Avant Garde" w:hAnsi="ITC Avant Garde"/>
          <w:lang w:val="es-MX"/>
        </w:rPr>
      </w:pPr>
      <w:r w:rsidRPr="004C1A96">
        <w:rPr>
          <w:rFonts w:ascii="ITC Avant Garde" w:hAnsi="ITC Avant Garde"/>
          <w:lang w:val="es-MX"/>
        </w:rPr>
        <w:t>En el SDP, se considera que el 110% de los pares entrantes están vinculados al próximo PDP (se considera una capacidad adicional del 10% en la parte SDP (Red Secundaria)). El tamaño del SDP se determina entonces por la suma del número de pares de cobre agregados por este SDP (pares entrantes) y el número de pares salientes.</w:t>
      </w:r>
    </w:p>
    <w:p w14:paraId="056DE540" w14:textId="77777777" w:rsidR="00A66A23" w:rsidRPr="004C1A96" w:rsidRDefault="00A66A23" w:rsidP="00A66A23">
      <w:pPr>
        <w:rPr>
          <w:rFonts w:ascii="ITC Avant Garde" w:hAnsi="ITC Avant Garde"/>
          <w:b/>
          <w:lang w:val="es-MX"/>
        </w:rPr>
      </w:pPr>
      <w:r w:rsidRPr="004C1A96">
        <w:rPr>
          <w:rFonts w:ascii="ITC Avant Garde" w:hAnsi="ITC Avant Garde"/>
          <w:b/>
          <w:lang w:val="es-MX"/>
        </w:rPr>
        <w:t>Cables SDP</w:t>
      </w:r>
    </w:p>
    <w:p w14:paraId="64008E62" w14:textId="77777777" w:rsidR="00A66A23" w:rsidRPr="004C1A96" w:rsidRDefault="00A66A23" w:rsidP="00A66A23">
      <w:pPr>
        <w:rPr>
          <w:rFonts w:ascii="ITC Avant Garde" w:hAnsi="ITC Avant Garde"/>
          <w:lang w:val="es-MX"/>
        </w:rPr>
      </w:pPr>
      <w:r w:rsidRPr="004C1A96">
        <w:rPr>
          <w:rFonts w:ascii="ITC Avant Garde" w:hAnsi="ITC Avant Garde"/>
          <w:lang w:val="es-MX"/>
        </w:rPr>
        <w:t>Para una sección determinada, se considera que la longitud requerida para el cable SDP (cable que conecta los SDP a los PDP) es:</w:t>
      </w:r>
    </w:p>
    <w:p w14:paraId="04632B8A" w14:textId="77777777" w:rsidR="00A66A23" w:rsidRPr="004C1A96" w:rsidRDefault="00A66A23" w:rsidP="00A66A23">
      <w:pPr>
        <w:rPr>
          <w:rFonts w:ascii="ITC Avant Garde" w:hAnsi="ITC Avant Garde"/>
          <w:lang w:val="es-MX"/>
        </w:rPr>
      </w:pPr>
    </w:p>
    <w:p w14:paraId="6B8A10DE" w14:textId="77777777" w:rsidR="00A66A23" w:rsidRPr="004C1A96" w:rsidRDefault="00A66A23" w:rsidP="00A66A23">
      <w:pPr>
        <w:pStyle w:val="Listaconvietas2"/>
        <w:rPr>
          <w:rFonts w:ascii="ITC Avant Garde" w:hAnsi="ITC Avant Garde"/>
          <w:lang w:val="es-MX"/>
        </w:rPr>
      </w:pPr>
      <w:r w:rsidRPr="004C1A96">
        <w:rPr>
          <w:rFonts w:ascii="ITC Avant Garde" w:hAnsi="ITC Avant Garde"/>
          <w:lang w:val="es-MX"/>
        </w:rPr>
        <w:lastRenderedPageBreak/>
        <w:t>La longitud de la sección si algunos cables SDP ya han sido agregados en secciones anteriores;</w:t>
      </w:r>
    </w:p>
    <w:p w14:paraId="2AB5F648" w14:textId="77777777" w:rsidR="00A66A23" w:rsidRPr="004C1A96" w:rsidRDefault="00A66A23" w:rsidP="00A66A23">
      <w:pPr>
        <w:pStyle w:val="Listaconvietas2"/>
        <w:rPr>
          <w:rFonts w:ascii="ITC Avant Garde" w:hAnsi="ITC Avant Garde"/>
          <w:lang w:val="es-MX"/>
        </w:rPr>
      </w:pPr>
      <w:r w:rsidRPr="004C1A96">
        <w:rPr>
          <w:rFonts w:ascii="ITC Avant Garde" w:hAnsi="ITC Avant Garde"/>
          <w:lang w:val="es-MX"/>
        </w:rPr>
        <w:t>la longitud desde el último SDP de la sección hasta el nodo más cercano al CO si la sección de la carretera es una "última sección" de la red (ver figuras a continuación).</w:t>
      </w:r>
    </w:p>
    <w:p w14:paraId="21B5F5B6" w14:textId="2EEEFF9D" w:rsidR="00A66A23" w:rsidRPr="004C1A96" w:rsidRDefault="00A66A23" w:rsidP="00A66A23">
      <w:pPr>
        <w:pStyle w:val="Descripcin"/>
        <w:keepNext/>
        <w:rPr>
          <w:rFonts w:ascii="ITC Avant Garde" w:hAnsi="ITC Avant Garde"/>
          <w:lang w:val="es-MX"/>
        </w:rPr>
      </w:pPr>
      <w:r w:rsidRPr="004C1A96">
        <w:rPr>
          <w:rFonts w:ascii="ITC Avant Garde" w:hAnsi="ITC Avant Garde"/>
          <w:lang w:val="es-MX"/>
        </w:rPr>
        <w:t> </w:t>
      </w:r>
      <w:r w:rsidR="006D69ED" w:rsidRPr="004C1A96">
        <w:rPr>
          <w:rFonts w:ascii="ITC Avant Garde" w:hAnsi="ITC Avant Garde"/>
          <w:lang w:val="es-MX"/>
        </w:rPr>
        <w:t xml:space="preserve">Figura </w:t>
      </w:r>
      <w:r w:rsidR="006D69ED" w:rsidRPr="004C1A96">
        <w:rPr>
          <w:rFonts w:ascii="ITC Avant Garde" w:hAnsi="ITC Avant Garde"/>
          <w:lang w:val="es-MX"/>
        </w:rPr>
        <w:fldChar w:fldCharType="begin"/>
      </w:r>
      <w:r w:rsidR="006D69ED" w:rsidRPr="004C1A96">
        <w:rPr>
          <w:rFonts w:ascii="ITC Avant Garde" w:hAnsi="ITC Avant Garde"/>
          <w:lang w:val="es-MX"/>
        </w:rPr>
        <w:instrText xml:space="preserve"> SEQ Figura \* ARABIC </w:instrText>
      </w:r>
      <w:r w:rsidR="006D69ED" w:rsidRPr="004C1A96">
        <w:rPr>
          <w:rFonts w:ascii="ITC Avant Garde" w:hAnsi="ITC Avant Garde"/>
          <w:lang w:val="es-MX"/>
        </w:rPr>
        <w:fldChar w:fldCharType="separate"/>
      </w:r>
      <w:r w:rsidR="00006265">
        <w:rPr>
          <w:rFonts w:ascii="ITC Avant Garde" w:hAnsi="ITC Avant Garde"/>
          <w:noProof/>
          <w:lang w:val="es-MX"/>
        </w:rPr>
        <w:t>33</w:t>
      </w:r>
      <w:r w:rsidR="006D69ED" w:rsidRPr="004C1A96">
        <w:rPr>
          <w:rFonts w:ascii="ITC Avant Garde" w:hAnsi="ITC Avant Garde"/>
          <w:lang w:val="es-MX"/>
        </w:rPr>
        <w:fldChar w:fldCharType="end"/>
      </w:r>
      <w:r w:rsidR="006D69ED" w:rsidRPr="004C1A96">
        <w:rPr>
          <w:rFonts w:ascii="ITC Avant Garde" w:hAnsi="ITC Avant Garde"/>
          <w:lang w:val="es-MX"/>
        </w:rPr>
        <w:t xml:space="preserve"> </w:t>
      </w:r>
      <w:r w:rsidRPr="004C1A96">
        <w:rPr>
          <w:rFonts w:ascii="ITC Avant Garde" w:hAnsi="ITC Avant Garde"/>
          <w:lang w:val="es-MX"/>
        </w:rPr>
        <w:t>Distancia utilizada para SDP</w:t>
      </w:r>
    </w:p>
    <w:p w14:paraId="5C9FFA84" w14:textId="463AB6C0" w:rsidR="00A66A23" w:rsidRPr="004C1A96" w:rsidRDefault="00C95198" w:rsidP="00A66A23">
      <w:pPr>
        <w:rPr>
          <w:rFonts w:ascii="ITC Avant Garde" w:hAnsi="ITC Avant Garde"/>
          <w:lang w:val="es-MX"/>
        </w:rPr>
      </w:pPr>
      <w:r w:rsidRPr="00872052">
        <w:rPr>
          <w:rFonts w:ascii="ITC Avant Garde" w:hAnsi="ITC Avant Garde"/>
          <w:noProof/>
          <w:lang w:val="es-MX" w:eastAsia="es-MX"/>
        </w:rPr>
        <w:drawing>
          <wp:inline distT="0" distB="0" distL="0" distR="0" wp14:anchorId="5581B2CC" wp14:editId="6BB52E26">
            <wp:extent cx="5399405" cy="1794311"/>
            <wp:effectExtent l="0" t="0" r="0" b="0"/>
            <wp:docPr id="74" name="Image 56"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56" descr="A screen shot of a graph&#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9405" cy="1794311"/>
                    </a:xfrm>
                    <a:prstGeom prst="rect">
                      <a:avLst/>
                    </a:prstGeom>
                    <a:noFill/>
                  </pic:spPr>
                </pic:pic>
              </a:graphicData>
            </a:graphic>
          </wp:inline>
        </w:drawing>
      </w:r>
    </w:p>
    <w:p w14:paraId="005A8B06" w14:textId="77777777" w:rsidR="00A66A23" w:rsidRPr="004C1A96" w:rsidRDefault="00A66A23" w:rsidP="00A66A23">
      <w:pPr>
        <w:rPr>
          <w:rFonts w:ascii="ITC Avant Garde" w:hAnsi="ITC Avant Garde"/>
          <w:lang w:val="es-MX"/>
        </w:rPr>
      </w:pPr>
    </w:p>
    <w:p w14:paraId="2C941C54" w14:textId="67AA6E83" w:rsidR="00A66A23" w:rsidRPr="004C1A96" w:rsidRDefault="00A66A23" w:rsidP="00A66A23">
      <w:pPr>
        <w:pStyle w:val="Descripcin"/>
        <w:keepNext/>
        <w:rPr>
          <w:rFonts w:ascii="ITC Avant Garde" w:hAnsi="ITC Avant Garde"/>
          <w:lang w:val="es-MX"/>
        </w:rPr>
      </w:pPr>
      <w:r w:rsidRPr="00E14D8A">
        <w:rPr>
          <w:rFonts w:ascii="ITC Avant Garde" w:hAnsi="ITC Avant Garde"/>
          <w:lang w:val="es-MX"/>
        </w:rPr>
        <w:t> </w:t>
      </w:r>
      <w:r w:rsidR="006D69ED" w:rsidRPr="00E14D8A">
        <w:rPr>
          <w:rFonts w:ascii="ITC Avant Garde" w:hAnsi="ITC Avant Garde"/>
          <w:lang w:val="es-MX"/>
        </w:rPr>
        <w:t xml:space="preserve">Figura </w:t>
      </w:r>
      <w:r w:rsidR="006D69ED" w:rsidRPr="004C1A96">
        <w:rPr>
          <w:rFonts w:ascii="ITC Avant Garde" w:hAnsi="ITC Avant Garde"/>
          <w:lang w:val="es-MX"/>
        </w:rPr>
        <w:fldChar w:fldCharType="begin"/>
      </w:r>
      <w:r w:rsidR="006D69ED" w:rsidRPr="004C1A96">
        <w:rPr>
          <w:rFonts w:ascii="ITC Avant Garde" w:hAnsi="ITC Avant Garde"/>
          <w:lang w:val="es-MX"/>
        </w:rPr>
        <w:instrText xml:space="preserve"> SEQ Figura \* ARABIC </w:instrText>
      </w:r>
      <w:r w:rsidR="006D69ED" w:rsidRPr="004C1A96">
        <w:rPr>
          <w:rFonts w:ascii="ITC Avant Garde" w:hAnsi="ITC Avant Garde"/>
          <w:lang w:val="es-MX"/>
        </w:rPr>
        <w:fldChar w:fldCharType="separate"/>
      </w:r>
      <w:r w:rsidR="00006265">
        <w:rPr>
          <w:rFonts w:ascii="ITC Avant Garde" w:hAnsi="ITC Avant Garde"/>
          <w:noProof/>
          <w:lang w:val="es-MX"/>
        </w:rPr>
        <w:t>34</w:t>
      </w:r>
      <w:r w:rsidR="006D69ED" w:rsidRPr="004C1A96">
        <w:rPr>
          <w:rFonts w:ascii="ITC Avant Garde" w:hAnsi="ITC Avant Garde"/>
          <w:lang w:val="es-MX"/>
        </w:rPr>
        <w:fldChar w:fldCharType="end"/>
      </w:r>
      <w:r w:rsidR="006D69ED" w:rsidRPr="004C1A96">
        <w:rPr>
          <w:rFonts w:ascii="ITC Avant Garde" w:hAnsi="ITC Avant Garde"/>
          <w:lang w:val="es-MX"/>
        </w:rPr>
        <w:t xml:space="preserve"> </w:t>
      </w:r>
      <w:r w:rsidRPr="004C1A96">
        <w:rPr>
          <w:rFonts w:ascii="ITC Avant Garde" w:hAnsi="ITC Avant Garde"/>
          <w:lang w:val="es-MX"/>
        </w:rPr>
        <w:t>"Última sección"</w:t>
      </w:r>
    </w:p>
    <w:p w14:paraId="490F905E" w14:textId="56A5FEE2" w:rsidR="00A66A23" w:rsidRPr="004C1A96" w:rsidRDefault="00C95198" w:rsidP="00A66A23">
      <w:pPr>
        <w:jc w:val="center"/>
        <w:rPr>
          <w:rFonts w:ascii="ITC Avant Garde" w:hAnsi="ITC Avant Garde"/>
          <w:lang w:val="es-MX"/>
        </w:rPr>
      </w:pPr>
      <w:r w:rsidRPr="00872052">
        <w:rPr>
          <w:rFonts w:ascii="ITC Avant Garde" w:hAnsi="ITC Avant Garde"/>
          <w:noProof/>
          <w:lang w:val="es-MX" w:eastAsia="es-MX"/>
        </w:rPr>
        <w:drawing>
          <wp:inline distT="0" distB="0" distL="0" distR="0" wp14:anchorId="39300728" wp14:editId="028F6852">
            <wp:extent cx="4657725" cy="2651760"/>
            <wp:effectExtent l="0" t="0" r="9525" b="0"/>
            <wp:docPr id="75" name="Image 5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57" descr="A screenshot of a computer&#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57725" cy="2651760"/>
                    </a:xfrm>
                    <a:prstGeom prst="rect">
                      <a:avLst/>
                    </a:prstGeom>
                    <a:noFill/>
                  </pic:spPr>
                </pic:pic>
              </a:graphicData>
            </a:graphic>
          </wp:inline>
        </w:drawing>
      </w:r>
    </w:p>
    <w:p w14:paraId="3E9037FD" w14:textId="77777777" w:rsidR="00A66A23" w:rsidRPr="00E14D8A" w:rsidRDefault="00A66A23" w:rsidP="00A66A23">
      <w:pPr>
        <w:rPr>
          <w:rFonts w:ascii="ITC Avant Garde" w:hAnsi="ITC Avant Garde"/>
          <w:lang w:val="es-MX"/>
        </w:rPr>
      </w:pPr>
      <w:r w:rsidRPr="00E14D8A">
        <w:rPr>
          <w:rFonts w:ascii="ITC Avant Garde" w:hAnsi="ITC Avant Garde"/>
          <w:lang w:val="es-MX"/>
        </w:rPr>
        <w:t>El tamaño del cable utilizado es la suma de todos los cables SDP entrantes en la sección más la suma del tamaño de todos los SDP de la sección.</w:t>
      </w:r>
    </w:p>
    <w:p w14:paraId="3DC0AC04" w14:textId="77777777" w:rsidR="00A66A23" w:rsidRPr="004C1A96" w:rsidRDefault="00A66A23" w:rsidP="00A66A23">
      <w:pPr>
        <w:rPr>
          <w:rFonts w:ascii="ITC Avant Garde" w:hAnsi="ITC Avant Garde"/>
          <w:lang w:val="es-MX"/>
        </w:rPr>
      </w:pPr>
      <w:r w:rsidRPr="00E14D8A">
        <w:rPr>
          <w:rFonts w:ascii="ITC Avant Garde" w:hAnsi="ITC Avant Garde"/>
          <w:lang w:val="es-MX"/>
        </w:rPr>
        <w:t>La elección del cable es el más pequeño disponible con un tamaño mayor que el número requerido de pares de cobre. S</w:t>
      </w:r>
      <w:r w:rsidRPr="004C1A96">
        <w:rPr>
          <w:rFonts w:ascii="ITC Avant Garde" w:hAnsi="ITC Avant Garde"/>
          <w:lang w:val="es-MX"/>
        </w:rPr>
        <w:t>i el tamaño requerido es más grande que el cable más grande, el tipo de cable utilizado es el cable más grande multiplicado por el redondeo del tamaño requerido dividido por el tamaño del cable.</w:t>
      </w:r>
    </w:p>
    <w:p w14:paraId="2393FDC1" w14:textId="77777777" w:rsidR="00A66A23" w:rsidRPr="008F42FC" w:rsidRDefault="00A66A23" w:rsidP="003C224B">
      <w:pPr>
        <w:pStyle w:val="Ttulo4"/>
        <w:rPr>
          <w:lang w:val="es-MX"/>
        </w:rPr>
      </w:pPr>
      <w:bookmarkStart w:id="278" w:name="_Toc525672875"/>
      <w:bookmarkStart w:id="279" w:name="_Toc525665315"/>
      <w:bookmarkStart w:id="280" w:name="_Toc525665694"/>
      <w:bookmarkStart w:id="281" w:name="_Toc141975052"/>
      <w:r w:rsidRPr="008F42FC">
        <w:rPr>
          <w:lang w:val="es-MX"/>
        </w:rPr>
        <w:lastRenderedPageBreak/>
        <w:t>parte PDP: "Red Primaria"</w:t>
      </w:r>
      <w:bookmarkEnd w:id="278"/>
      <w:bookmarkEnd w:id="279"/>
      <w:bookmarkEnd w:id="280"/>
      <w:bookmarkEnd w:id="281"/>
    </w:p>
    <w:p w14:paraId="7F7AA8F4" w14:textId="77777777" w:rsidR="00A66A23" w:rsidRPr="00E14D8A" w:rsidRDefault="00A66A23" w:rsidP="00A66A23">
      <w:pPr>
        <w:rPr>
          <w:rFonts w:ascii="ITC Avant Garde" w:hAnsi="ITC Avant Garde"/>
          <w:lang w:val="es-MX"/>
        </w:rPr>
      </w:pPr>
      <w:r w:rsidRPr="004C1A96">
        <w:rPr>
          <w:rFonts w:ascii="ITC Avant Garde" w:hAnsi="ITC Avant Garde"/>
          <w:lang w:val="es-MX"/>
        </w:rPr>
        <w:t xml:space="preserve">La red primaria se compone de PDP, cables y </w:t>
      </w:r>
      <w:r w:rsidRPr="00E14D8A">
        <w:rPr>
          <w:rFonts w:ascii="ITC Avant Garde" w:hAnsi="ITC Avant Garde"/>
          <w:lang w:val="es-MX"/>
        </w:rPr>
        <w:t>zanjas relacionadas entre el PDP y el CO.</w:t>
      </w:r>
    </w:p>
    <w:p w14:paraId="1FB0A2A9" w14:textId="77777777" w:rsidR="00A66A23" w:rsidRPr="00E14D8A" w:rsidRDefault="00A66A23" w:rsidP="00A66A23">
      <w:pPr>
        <w:rPr>
          <w:rFonts w:ascii="ITC Avant Garde" w:hAnsi="ITC Avant Garde"/>
          <w:b/>
          <w:lang w:val="es-MX"/>
        </w:rPr>
      </w:pPr>
      <w:r w:rsidRPr="00E14D8A">
        <w:rPr>
          <w:rFonts w:ascii="ITC Avant Garde" w:hAnsi="ITC Avant Garde"/>
          <w:b/>
          <w:lang w:val="es-MX"/>
        </w:rPr>
        <w:t>Ubicación de los PDP</w:t>
      </w:r>
    </w:p>
    <w:p w14:paraId="565CF759" w14:textId="77777777" w:rsidR="00A66A23" w:rsidRPr="004C1A96" w:rsidRDefault="00A66A23" w:rsidP="00A66A23">
      <w:pPr>
        <w:rPr>
          <w:rFonts w:ascii="ITC Avant Garde" w:hAnsi="ITC Avant Garde"/>
          <w:lang w:val="es-MX"/>
        </w:rPr>
      </w:pPr>
      <w:r w:rsidRPr="00E14D8A">
        <w:rPr>
          <w:rFonts w:ascii="ITC Avant Garde" w:hAnsi="ITC Avant Garde"/>
          <w:lang w:val="es-MX"/>
        </w:rPr>
        <w:t>Las ubicaciones de PDP han sido provistas por el AEP. Se han localizado en secciones de la red. En caso de que muchos PDP estén presentes en una misma sección, se ha considerado que so</w:t>
      </w:r>
      <w:r w:rsidRPr="004C1A96">
        <w:rPr>
          <w:rFonts w:ascii="ITC Avant Garde" w:hAnsi="ITC Avant Garde"/>
          <w:lang w:val="es-MX"/>
        </w:rPr>
        <w:t>lo había un PDP presente y el otro se modeló como SDP si fuera necesario siguiendo las reglas de dimensionamiento del SDP.</w:t>
      </w:r>
    </w:p>
    <w:p w14:paraId="4789F5E3" w14:textId="77777777" w:rsidR="00A66A23" w:rsidRPr="004C1A96" w:rsidRDefault="00A66A23" w:rsidP="00A66A23">
      <w:pPr>
        <w:rPr>
          <w:rFonts w:ascii="ITC Avant Garde" w:hAnsi="ITC Avant Garde"/>
          <w:b/>
          <w:lang w:val="es-MX"/>
        </w:rPr>
      </w:pPr>
      <w:r w:rsidRPr="004C1A96">
        <w:rPr>
          <w:rFonts w:ascii="ITC Avant Garde" w:hAnsi="ITC Avant Garde"/>
          <w:b/>
          <w:lang w:val="es-MX"/>
        </w:rPr>
        <w:t>Tamaño de los PDP</w:t>
      </w:r>
    </w:p>
    <w:p w14:paraId="12AAD62A" w14:textId="77777777" w:rsidR="00A66A23" w:rsidRPr="004C1A96" w:rsidRDefault="00A66A23" w:rsidP="00A66A23">
      <w:pPr>
        <w:rPr>
          <w:rFonts w:ascii="ITC Avant Garde" w:hAnsi="ITC Avant Garde"/>
          <w:lang w:val="es-MX"/>
        </w:rPr>
      </w:pPr>
      <w:r w:rsidRPr="004C1A96">
        <w:rPr>
          <w:rFonts w:ascii="ITC Avant Garde" w:hAnsi="ITC Avant Garde"/>
          <w:lang w:val="es-MX"/>
        </w:rPr>
        <w:t>En el PDP, se considera que el 110% de los pares entrantes están vinculados al CO (se considera una capacidad adicional del 10% en la Red Primaria). El número de pares es por lo tanto el número de premisas agregadas por el PDP x 2 (pares de cobre por local) x 110% (pares seguidos por el SDP) para los pares entrantes, y el mismo número multiplicado por 110% para los pares salientes al CO.</w:t>
      </w:r>
    </w:p>
    <w:p w14:paraId="3EE6D4C9" w14:textId="77777777" w:rsidR="00A66A23" w:rsidRPr="004C1A96" w:rsidRDefault="00A66A23" w:rsidP="00A66A23">
      <w:pPr>
        <w:rPr>
          <w:rFonts w:ascii="ITC Avant Garde" w:hAnsi="ITC Avant Garde"/>
          <w:lang w:val="es-MX"/>
        </w:rPr>
      </w:pPr>
      <w:r w:rsidRPr="004C1A96">
        <w:rPr>
          <w:rFonts w:ascii="ITC Avant Garde" w:hAnsi="ITC Avant Garde"/>
          <w:lang w:val="es-MX"/>
        </w:rPr>
        <w:t>El tamaño del PDP se determina entonces por la suma del número de pares de cobre agregados por este PDP provenientes de los SDP y el número de pares salientes.</w:t>
      </w:r>
    </w:p>
    <w:p w14:paraId="387E0075" w14:textId="77777777" w:rsidR="00A66A23" w:rsidRPr="004C1A96" w:rsidRDefault="00A66A23" w:rsidP="00A66A23">
      <w:pPr>
        <w:rPr>
          <w:rFonts w:ascii="ITC Avant Garde" w:hAnsi="ITC Avant Garde"/>
          <w:b/>
          <w:lang w:val="es-MX"/>
        </w:rPr>
      </w:pPr>
      <w:r w:rsidRPr="004C1A96">
        <w:rPr>
          <w:rFonts w:ascii="ITC Avant Garde" w:hAnsi="ITC Avant Garde"/>
          <w:b/>
          <w:lang w:val="es-MX"/>
        </w:rPr>
        <w:t>Cables PDP</w:t>
      </w:r>
    </w:p>
    <w:p w14:paraId="54E44F63" w14:textId="77777777" w:rsidR="00A66A23" w:rsidRPr="004C1A96" w:rsidRDefault="00A66A23" w:rsidP="00A66A23">
      <w:pPr>
        <w:rPr>
          <w:rFonts w:ascii="ITC Avant Garde" w:hAnsi="ITC Avant Garde"/>
          <w:lang w:val="es-MX"/>
        </w:rPr>
      </w:pPr>
      <w:r w:rsidRPr="004C1A96">
        <w:rPr>
          <w:rFonts w:ascii="ITC Avant Garde" w:hAnsi="ITC Avant Garde"/>
          <w:lang w:val="es-MX"/>
        </w:rPr>
        <w:t>Para una sección determinada, se considera que la longitud requerida para el cable PDP (cable que conecta los PDP a las oficinas centrales) es la longitud de la sección.</w:t>
      </w:r>
    </w:p>
    <w:p w14:paraId="55C65C5C" w14:textId="77777777" w:rsidR="00A66A23" w:rsidRPr="004C1A96" w:rsidRDefault="00A66A23" w:rsidP="00A66A23">
      <w:pPr>
        <w:rPr>
          <w:rFonts w:ascii="ITC Avant Garde" w:hAnsi="ITC Avant Garde"/>
          <w:lang w:val="es-MX"/>
        </w:rPr>
      </w:pPr>
      <w:r w:rsidRPr="004C1A96">
        <w:rPr>
          <w:rFonts w:ascii="ITC Avant Garde" w:hAnsi="ITC Avant Garde"/>
          <w:lang w:val="es-MX"/>
        </w:rPr>
        <w:t>El tamaño del cable utilizado es la suma de todos los pares de cobre PDP que transitan en la sección.</w:t>
      </w:r>
    </w:p>
    <w:p w14:paraId="35D215A1" w14:textId="77777777" w:rsidR="00A66A23" w:rsidRPr="004C1A96" w:rsidRDefault="00A66A23" w:rsidP="00A66A23">
      <w:pPr>
        <w:rPr>
          <w:rFonts w:ascii="ITC Avant Garde" w:hAnsi="ITC Avant Garde"/>
          <w:lang w:val="es-MX"/>
        </w:rPr>
      </w:pPr>
      <w:r w:rsidRPr="004C1A96">
        <w:rPr>
          <w:rFonts w:ascii="ITC Avant Garde" w:hAnsi="ITC Avant Garde"/>
          <w:lang w:val="es-MX"/>
        </w:rPr>
        <w:t>La elección del cable es el más pequeño para el cual el tamaño es más alto que el número requerido de cable de cobre. Si el tamaño requerido es más grande que el cable más grande, el tipo de cable utilizado es el cable más grande multiplicado por el redondeo del tamaño requerido dividido por el tamaño del cable.</w:t>
      </w:r>
    </w:p>
    <w:p w14:paraId="5794A405" w14:textId="77777777" w:rsidR="00A66A23" w:rsidRPr="004C1A96" w:rsidRDefault="00A66A23" w:rsidP="00A66A23">
      <w:pPr>
        <w:rPr>
          <w:rFonts w:ascii="ITC Avant Garde" w:hAnsi="ITC Avant Garde"/>
          <w:b/>
          <w:lang w:val="es-MX"/>
        </w:rPr>
      </w:pPr>
      <w:r w:rsidRPr="004C1A96">
        <w:rPr>
          <w:rFonts w:ascii="ITC Avant Garde" w:hAnsi="ITC Avant Garde"/>
          <w:b/>
          <w:lang w:val="es-MX"/>
        </w:rPr>
        <w:t>Cierres de empalme PDP</w:t>
      </w:r>
    </w:p>
    <w:p w14:paraId="7C65282F" w14:textId="77777777" w:rsidR="00A66A23" w:rsidRPr="004C1A96" w:rsidRDefault="00A66A23" w:rsidP="00A66A23">
      <w:pPr>
        <w:rPr>
          <w:rFonts w:ascii="ITC Avant Garde" w:hAnsi="ITC Avant Garde"/>
          <w:lang w:val="es-MX"/>
        </w:rPr>
      </w:pPr>
      <w:r w:rsidRPr="004C1A96">
        <w:rPr>
          <w:rFonts w:ascii="ITC Avant Garde" w:hAnsi="ITC Avant Garde"/>
          <w:lang w:val="es-MX"/>
        </w:rPr>
        <w:t>Se instala un cierre en cada sección si la longitud de la sección es superior a 70 metros. El tamaño del cierre corresponde al tamaño del cable PDP.</w:t>
      </w:r>
    </w:p>
    <w:p w14:paraId="4FC38125" w14:textId="77777777" w:rsidR="00A66A23" w:rsidRPr="004C1A96" w:rsidRDefault="00A66A23" w:rsidP="00A66A23">
      <w:pPr>
        <w:rPr>
          <w:rFonts w:ascii="ITC Avant Garde" w:hAnsi="ITC Avant Garde"/>
          <w:lang w:val="es-MX"/>
        </w:rPr>
      </w:pPr>
    </w:p>
    <w:p w14:paraId="1A3E3BD7" w14:textId="77777777" w:rsidR="00A66A23" w:rsidRPr="008F42FC" w:rsidRDefault="00A66A23" w:rsidP="003C224B">
      <w:pPr>
        <w:pStyle w:val="Ttulo4"/>
        <w:rPr>
          <w:lang w:val="es-MX"/>
        </w:rPr>
      </w:pPr>
      <w:bookmarkStart w:id="282" w:name="_Toc525672876"/>
      <w:bookmarkStart w:id="283" w:name="_Toc525665316"/>
      <w:bookmarkStart w:id="284" w:name="_Toc525665695"/>
      <w:bookmarkStart w:id="285" w:name="_Toc141975053"/>
      <w:r w:rsidRPr="008F42FC">
        <w:rPr>
          <w:lang w:val="es-MX"/>
        </w:rPr>
        <w:t>Zanjas / "canalizaciones"</w:t>
      </w:r>
      <w:bookmarkEnd w:id="282"/>
      <w:bookmarkEnd w:id="283"/>
      <w:bookmarkEnd w:id="284"/>
      <w:bookmarkEnd w:id="285"/>
    </w:p>
    <w:p w14:paraId="608A60F3" w14:textId="77777777" w:rsidR="00A66A23" w:rsidRPr="00E14D8A" w:rsidRDefault="00A66A23" w:rsidP="00A66A23">
      <w:pPr>
        <w:rPr>
          <w:rFonts w:ascii="ITC Avant Garde" w:hAnsi="ITC Avant Garde"/>
          <w:lang w:val="es-MX"/>
        </w:rPr>
      </w:pPr>
      <w:r w:rsidRPr="004C1A96">
        <w:rPr>
          <w:rFonts w:ascii="ITC Avant Garde" w:hAnsi="ITC Avant Garde"/>
          <w:lang w:val="es-MX"/>
        </w:rPr>
        <w:t>Las zanja</w:t>
      </w:r>
      <w:r w:rsidRPr="00E14D8A">
        <w:rPr>
          <w:rFonts w:ascii="ITC Avant Garde" w:hAnsi="ITC Avant Garde"/>
          <w:lang w:val="es-MX"/>
        </w:rPr>
        <w:t>s que siguen la red de carreteras se dividen en dos partes, la parte principal y la segunda. Una sección de camino puede tener varias configuraciones:</w:t>
      </w:r>
    </w:p>
    <w:p w14:paraId="37B62CCF" w14:textId="77777777" w:rsidR="00A66A23" w:rsidRPr="00E14D8A" w:rsidRDefault="00A66A23" w:rsidP="00A66A23">
      <w:pPr>
        <w:pStyle w:val="Listaconvietas2"/>
        <w:rPr>
          <w:rFonts w:ascii="ITC Avant Garde" w:hAnsi="ITC Avant Garde"/>
          <w:lang w:val="es-MX"/>
        </w:rPr>
      </w:pPr>
      <w:r w:rsidRPr="00E14D8A">
        <w:rPr>
          <w:rFonts w:ascii="ITC Avant Garde" w:hAnsi="ITC Avant Garde"/>
          <w:lang w:val="es-MX"/>
        </w:rPr>
        <w:t>(1) Acometidas solo en un lado de la carretera;</w:t>
      </w:r>
    </w:p>
    <w:p w14:paraId="0CCB09C0" w14:textId="11340B51" w:rsidR="00A66A23" w:rsidRPr="004C1A96" w:rsidRDefault="00A66A23" w:rsidP="00D00D6D">
      <w:pPr>
        <w:pStyle w:val="Listaconvietas2"/>
        <w:rPr>
          <w:rFonts w:ascii="ITC Avant Garde" w:hAnsi="ITC Avant Garde"/>
          <w:lang w:val="es-MX"/>
        </w:rPr>
      </w:pPr>
      <w:r w:rsidRPr="004C1A96">
        <w:rPr>
          <w:rFonts w:ascii="ITC Avant Garde" w:hAnsi="ITC Avant Garde"/>
          <w:lang w:val="es-MX"/>
        </w:rPr>
        <w:t>(2) Acometidas en ambos lados de la carretera, pero con solo unos pocos en el segundo lado; o</w:t>
      </w:r>
    </w:p>
    <w:p w14:paraId="6441B7B5" w14:textId="77777777" w:rsidR="00A66A23" w:rsidRPr="004C1A96" w:rsidRDefault="00A66A23" w:rsidP="00A66A23">
      <w:pPr>
        <w:pStyle w:val="Listaconvietas2"/>
        <w:rPr>
          <w:rFonts w:ascii="ITC Avant Garde" w:hAnsi="ITC Avant Garde"/>
          <w:lang w:val="es-MX"/>
        </w:rPr>
      </w:pPr>
      <w:r w:rsidRPr="004C1A96">
        <w:rPr>
          <w:rFonts w:ascii="ITC Avant Garde" w:hAnsi="ITC Avant Garde"/>
          <w:lang w:val="es-MX"/>
        </w:rPr>
        <w:t>(3) Acometidas a ambos lados de la carretera.</w:t>
      </w:r>
    </w:p>
    <w:p w14:paraId="483173FE" w14:textId="77777777" w:rsidR="00A66A23" w:rsidRPr="004C1A96" w:rsidRDefault="00A66A23" w:rsidP="00A66A23">
      <w:pPr>
        <w:rPr>
          <w:rFonts w:ascii="ITC Avant Garde" w:hAnsi="ITC Avant Garde"/>
          <w:lang w:val="es-MX"/>
        </w:rPr>
      </w:pPr>
    </w:p>
    <w:p w14:paraId="2C3BBDED" w14:textId="77777777" w:rsidR="00A66A23" w:rsidRPr="004C1A96" w:rsidRDefault="00A66A23" w:rsidP="00A66A23">
      <w:pPr>
        <w:rPr>
          <w:rFonts w:ascii="ITC Avant Garde" w:hAnsi="ITC Avant Garde"/>
          <w:lang w:val="es-MX"/>
        </w:rPr>
      </w:pPr>
      <w:r w:rsidRPr="004C1A96">
        <w:rPr>
          <w:rFonts w:ascii="ITC Avant Garde" w:hAnsi="ITC Avant Garde"/>
          <w:lang w:val="es-MX"/>
        </w:rPr>
        <w:t>El lado principal de la carretera para una sección de carretera se determina como el lado donde la longitud entre la primera y la última acometida es la más larga. El segundo lado es el otro.</w:t>
      </w:r>
    </w:p>
    <w:p w14:paraId="0AF20119" w14:textId="77777777" w:rsidR="00A66A23" w:rsidRPr="004C1A96" w:rsidRDefault="00A66A23" w:rsidP="00A66A23">
      <w:pPr>
        <w:rPr>
          <w:rFonts w:ascii="ITC Avant Garde" w:hAnsi="ITC Avant Garde"/>
          <w:lang w:val="es-MX"/>
        </w:rPr>
      </w:pPr>
      <w:r w:rsidRPr="004C1A96">
        <w:rPr>
          <w:rFonts w:ascii="ITC Avant Garde" w:hAnsi="ITC Avant Garde"/>
          <w:lang w:val="es-MX"/>
        </w:rPr>
        <w:t>Para determinar el cableado necesario para el segundo lado, el modelo determina si es más eficiente cavar todo el segundo lado y luego cruzar la carretera una vez (caso 3), o si es más eficiente cruzar la calle para cada caída cable (caso 2).</w:t>
      </w:r>
    </w:p>
    <w:p w14:paraId="0120C0F3" w14:textId="77777777" w:rsidR="00A66A23" w:rsidRPr="004C1A96" w:rsidRDefault="00A66A23" w:rsidP="00A66A23">
      <w:pPr>
        <w:rPr>
          <w:rFonts w:ascii="ITC Avant Garde" w:hAnsi="ITC Avant Garde"/>
          <w:lang w:val="es-MX"/>
        </w:rPr>
      </w:pPr>
    </w:p>
    <w:p w14:paraId="6096EBD7" w14:textId="77777777" w:rsidR="00A66A23" w:rsidRPr="004C1A96" w:rsidRDefault="00A66A23" w:rsidP="00A66A23">
      <w:pPr>
        <w:rPr>
          <w:rFonts w:ascii="ITC Avant Garde" w:hAnsi="ITC Avant Garde"/>
          <w:lang w:val="es-MX"/>
        </w:rPr>
      </w:pPr>
      <w:r w:rsidRPr="004C1A96">
        <w:rPr>
          <w:rFonts w:ascii="ITC Avant Garde" w:hAnsi="ITC Avant Garde"/>
          <w:lang w:val="es-MX"/>
        </w:rPr>
        <w:t>La longitud del segundo lado es, por lo tanto:</w:t>
      </w:r>
    </w:p>
    <w:p w14:paraId="18E26E7A" w14:textId="77777777" w:rsidR="00A66A23" w:rsidRPr="004C1A96" w:rsidRDefault="00A66A23" w:rsidP="00A66A23">
      <w:pPr>
        <w:pStyle w:val="Listaconvietas2"/>
        <w:rPr>
          <w:rFonts w:ascii="ITC Avant Garde" w:hAnsi="ITC Avant Garde"/>
          <w:lang w:val="es-MX"/>
        </w:rPr>
      </w:pPr>
      <w:r w:rsidRPr="004C1A96">
        <w:rPr>
          <w:rFonts w:ascii="ITC Avant Garde" w:hAnsi="ITC Avant Garde"/>
          <w:lang w:val="es-MX"/>
        </w:rPr>
        <w:t xml:space="preserve">En el caso 2, el ancho de la carretera se multiplica por la cantidad de cables de acometida; </w:t>
      </w:r>
    </w:p>
    <w:p w14:paraId="41B4F551" w14:textId="77777777" w:rsidR="00A66A23" w:rsidRPr="004C1A96" w:rsidRDefault="00A66A23" w:rsidP="00A66A23">
      <w:pPr>
        <w:pStyle w:val="Listaconvietas2"/>
        <w:rPr>
          <w:rFonts w:ascii="ITC Avant Garde" w:hAnsi="ITC Avant Garde"/>
          <w:lang w:val="es-MX"/>
        </w:rPr>
      </w:pPr>
      <w:r w:rsidRPr="004C1A96">
        <w:rPr>
          <w:rFonts w:ascii="ITC Avant Garde" w:hAnsi="ITC Avant Garde"/>
          <w:lang w:val="es-MX"/>
        </w:rPr>
        <w:t>En el caso 3, la longitud entre el primer y el ultimo cable de acometida más el ancho de la carretera.</w:t>
      </w:r>
    </w:p>
    <w:p w14:paraId="56340AB4" w14:textId="77777777" w:rsidR="00A66A23" w:rsidRPr="004C1A96" w:rsidRDefault="00A66A23" w:rsidP="00A66A23">
      <w:pPr>
        <w:rPr>
          <w:rFonts w:ascii="ITC Avant Garde" w:hAnsi="ITC Avant Garde"/>
          <w:lang w:val="es-MX"/>
        </w:rPr>
      </w:pPr>
    </w:p>
    <w:p w14:paraId="258B72E9" w14:textId="77777777" w:rsidR="00A66A23" w:rsidRPr="004C1A96" w:rsidRDefault="00A66A23" w:rsidP="00A66A23">
      <w:pPr>
        <w:rPr>
          <w:rFonts w:ascii="ITC Avant Garde" w:hAnsi="ITC Avant Garde"/>
          <w:lang w:val="es-MX"/>
        </w:rPr>
      </w:pPr>
      <w:r w:rsidRPr="004C1A96">
        <w:rPr>
          <w:rFonts w:ascii="ITC Avant Garde" w:hAnsi="ITC Avant Garde"/>
          <w:lang w:val="es-MX"/>
        </w:rPr>
        <w:t>La longitud del lado principal se establece como:</w:t>
      </w:r>
    </w:p>
    <w:p w14:paraId="71C40E1D" w14:textId="77777777" w:rsidR="00A66A23" w:rsidRPr="004C1A96" w:rsidRDefault="00A66A23" w:rsidP="00A66A23">
      <w:pPr>
        <w:pStyle w:val="Listaconvietas2"/>
        <w:rPr>
          <w:rFonts w:ascii="ITC Avant Garde" w:hAnsi="ITC Avant Garde"/>
          <w:lang w:val="es-MX"/>
        </w:rPr>
      </w:pPr>
      <w:r w:rsidRPr="004C1A96">
        <w:rPr>
          <w:rFonts w:ascii="ITC Avant Garde" w:hAnsi="ITC Avant Garde"/>
          <w:lang w:val="es-MX"/>
        </w:rPr>
        <w:t>La longitud entre el último cable de acometida y el nodo de la sección de carretera más cercana a la CO si la sección es una sección de borde de la red;</w:t>
      </w:r>
    </w:p>
    <w:p w14:paraId="095E5497" w14:textId="77777777" w:rsidR="00A66A23" w:rsidRPr="004C1A96" w:rsidRDefault="00A66A23" w:rsidP="00A66A23">
      <w:pPr>
        <w:pStyle w:val="Listaconvietas2"/>
        <w:rPr>
          <w:rFonts w:ascii="ITC Avant Garde" w:hAnsi="ITC Avant Garde"/>
          <w:lang w:val="es-MX"/>
        </w:rPr>
      </w:pPr>
      <w:r w:rsidRPr="004C1A96">
        <w:rPr>
          <w:rFonts w:ascii="ITC Avant Garde" w:hAnsi="ITC Avant Garde"/>
          <w:lang w:val="es-MX"/>
        </w:rPr>
        <w:t>La longitud de la sección si no es una sección de borde o si la sección es cruzada por un cable SDP o PDP.</w:t>
      </w:r>
    </w:p>
    <w:p w14:paraId="02DFE79F" w14:textId="77777777" w:rsidR="00A66A23" w:rsidRPr="004C1A96" w:rsidRDefault="00A66A23" w:rsidP="00A66A23">
      <w:pPr>
        <w:rPr>
          <w:rFonts w:ascii="ITC Avant Garde" w:hAnsi="ITC Avant Garde"/>
          <w:lang w:val="es-MX"/>
        </w:rPr>
      </w:pPr>
    </w:p>
    <w:p w14:paraId="62C56C2B" w14:textId="77777777" w:rsidR="00A66A23" w:rsidRPr="004C1A96" w:rsidRDefault="00A66A23" w:rsidP="00A66A23">
      <w:pPr>
        <w:rPr>
          <w:rFonts w:ascii="ITC Avant Garde" w:hAnsi="ITC Avant Garde"/>
          <w:lang w:val="es-MX"/>
        </w:rPr>
      </w:pPr>
      <w:r w:rsidRPr="004C1A96">
        <w:rPr>
          <w:rFonts w:ascii="ITC Avant Garde" w:hAnsi="ITC Avant Garde"/>
          <w:lang w:val="es-MX"/>
        </w:rPr>
        <w:t>Las zanjas no se modelan por separado de los conductos; se consideran juntos como un conjunto de zanjas + conductos llamados "canalizaciones". Hay 10 tipos de canalizaciones: cada una es diferente de la otra dependiendo de su capacidad en cantidad de conductos.</w:t>
      </w:r>
    </w:p>
    <w:p w14:paraId="4AD38A4F" w14:textId="77777777" w:rsidR="00A66A23" w:rsidRPr="004C1A96" w:rsidRDefault="00A66A23" w:rsidP="00A66A23">
      <w:pPr>
        <w:rPr>
          <w:rFonts w:ascii="ITC Avant Garde" w:hAnsi="ITC Avant Garde"/>
          <w:lang w:val="es-MX"/>
        </w:rPr>
      </w:pPr>
    </w:p>
    <w:p w14:paraId="306DDDA1" w14:textId="77777777" w:rsidR="00A66A23" w:rsidRPr="004C1A96" w:rsidRDefault="00A66A23" w:rsidP="00A66A23">
      <w:pPr>
        <w:rPr>
          <w:rFonts w:ascii="ITC Avant Garde" w:hAnsi="ITC Avant Garde"/>
          <w:lang w:val="es-MX"/>
        </w:rPr>
      </w:pPr>
      <w:r w:rsidRPr="004C1A96">
        <w:rPr>
          <w:rFonts w:ascii="ITC Avant Garde" w:hAnsi="ITC Avant Garde"/>
          <w:lang w:val="es-MX"/>
        </w:rPr>
        <w:t>Se consideran dos tipos de canalizaciones dependiendo del tipo de suelo:</w:t>
      </w:r>
    </w:p>
    <w:p w14:paraId="01DC36AB" w14:textId="77777777" w:rsidR="00A66A23" w:rsidRPr="004C1A96" w:rsidRDefault="00A66A23" w:rsidP="00A66A23">
      <w:pPr>
        <w:pStyle w:val="Listaconvietas2"/>
        <w:rPr>
          <w:rFonts w:ascii="ITC Avant Garde" w:hAnsi="ITC Avant Garde"/>
          <w:lang w:val="es-MX"/>
        </w:rPr>
      </w:pPr>
      <w:r w:rsidRPr="004C1A96">
        <w:rPr>
          <w:rFonts w:ascii="ITC Avant Garde" w:hAnsi="ITC Avant Garde"/>
          <w:lang w:val="es-MX"/>
        </w:rPr>
        <w:t>"En Banqueta": usado a lo largo de las carreteras;</w:t>
      </w:r>
    </w:p>
    <w:p w14:paraId="7829F50A" w14:textId="77777777" w:rsidR="00A66A23" w:rsidRPr="004C1A96" w:rsidRDefault="00A66A23" w:rsidP="00A66A23">
      <w:pPr>
        <w:pStyle w:val="Listaconvietas2"/>
        <w:rPr>
          <w:rFonts w:ascii="ITC Avant Garde" w:hAnsi="ITC Avant Garde"/>
          <w:lang w:val="es-MX"/>
        </w:rPr>
      </w:pPr>
      <w:r w:rsidRPr="004C1A96">
        <w:rPr>
          <w:rFonts w:ascii="ITC Avant Garde" w:hAnsi="ITC Avant Garde"/>
          <w:lang w:val="es-MX"/>
        </w:rPr>
        <w:t>"Arroyo con Tráfico Pesado": utilizado al cruzar carreteras, este tipo de canalizaciones deberían ser más resistentes al paso de automóviles y vehículos.</w:t>
      </w:r>
    </w:p>
    <w:p w14:paraId="7CAA864E" w14:textId="77777777" w:rsidR="00A66A23" w:rsidRPr="004C1A96" w:rsidRDefault="00A66A23" w:rsidP="00A66A23">
      <w:pPr>
        <w:rPr>
          <w:rFonts w:ascii="ITC Avant Garde" w:hAnsi="ITC Avant Garde"/>
          <w:lang w:val="es-MX"/>
        </w:rPr>
      </w:pPr>
    </w:p>
    <w:p w14:paraId="34EF510D" w14:textId="77777777" w:rsidR="00A66A23" w:rsidRPr="004C1A96" w:rsidRDefault="00A66A23" w:rsidP="00A66A23">
      <w:pPr>
        <w:rPr>
          <w:rFonts w:ascii="ITC Avant Garde" w:hAnsi="ITC Avant Garde"/>
          <w:lang w:val="es-MX"/>
        </w:rPr>
      </w:pPr>
      <w:r w:rsidRPr="004C1A96">
        <w:rPr>
          <w:rFonts w:ascii="ITC Avant Garde" w:hAnsi="ITC Avant Garde"/>
          <w:lang w:val="es-MX"/>
        </w:rPr>
        <w:t>Para cada suelo, se despliegan 10 tipos de canalizaciones.</w:t>
      </w:r>
    </w:p>
    <w:p w14:paraId="5C053D28" w14:textId="77777777" w:rsidR="00A66A23" w:rsidRPr="004C1A96" w:rsidRDefault="00A66A23" w:rsidP="00A66A23">
      <w:pPr>
        <w:rPr>
          <w:rFonts w:ascii="ITC Avant Garde" w:hAnsi="ITC Avant Garde"/>
          <w:lang w:val="es-MX"/>
        </w:rPr>
      </w:pPr>
    </w:p>
    <w:p w14:paraId="500814C7" w14:textId="1B162A98" w:rsidR="00A66A23" w:rsidRPr="004C1A96" w:rsidRDefault="005579D3" w:rsidP="00A66A23">
      <w:pPr>
        <w:pStyle w:val="Descripcin"/>
        <w:keepNext/>
        <w:rPr>
          <w:rFonts w:ascii="ITC Avant Garde" w:hAnsi="ITC Avant Garde"/>
          <w:lang w:val="es-MX"/>
        </w:rPr>
      </w:pPr>
      <w:r w:rsidRPr="004C1A96">
        <w:rPr>
          <w:rFonts w:ascii="ITC Avant Garde" w:hAnsi="ITC Avant Garde"/>
          <w:lang w:val="es-MX"/>
        </w:rPr>
        <w:t xml:space="preserve">Cuadro </w:t>
      </w:r>
      <w:r w:rsidRPr="004C1A96">
        <w:rPr>
          <w:rFonts w:ascii="ITC Avant Garde" w:hAnsi="ITC Avant Garde"/>
          <w:lang w:val="es-MX"/>
        </w:rPr>
        <w:fldChar w:fldCharType="begin"/>
      </w:r>
      <w:r w:rsidRPr="004C1A96">
        <w:rPr>
          <w:rFonts w:ascii="ITC Avant Garde" w:hAnsi="ITC Avant Garde"/>
          <w:lang w:val="es-MX"/>
        </w:rPr>
        <w:instrText xml:space="preserve"> SEQ Cuadro \* ARABIC </w:instrText>
      </w:r>
      <w:r w:rsidRPr="004C1A96">
        <w:rPr>
          <w:rFonts w:ascii="ITC Avant Garde" w:hAnsi="ITC Avant Garde"/>
          <w:lang w:val="es-MX"/>
        </w:rPr>
        <w:fldChar w:fldCharType="separate"/>
      </w:r>
      <w:r w:rsidR="00006265">
        <w:rPr>
          <w:rFonts w:ascii="ITC Avant Garde" w:hAnsi="ITC Avant Garde"/>
          <w:noProof/>
          <w:lang w:val="es-MX"/>
        </w:rPr>
        <w:t>12</w:t>
      </w:r>
      <w:r w:rsidRPr="004C1A96">
        <w:rPr>
          <w:rFonts w:ascii="ITC Avant Garde" w:hAnsi="ITC Avant Garde"/>
          <w:lang w:val="es-MX"/>
        </w:rPr>
        <w:fldChar w:fldCharType="end"/>
      </w:r>
      <w:r w:rsidRPr="004C1A96">
        <w:rPr>
          <w:rFonts w:ascii="ITC Avant Garde" w:hAnsi="ITC Avant Garde"/>
          <w:lang w:val="es-MX"/>
        </w:rPr>
        <w:t xml:space="preserve"> </w:t>
      </w:r>
      <w:r w:rsidR="00A66A23" w:rsidRPr="004C1A96">
        <w:rPr>
          <w:rFonts w:ascii="ITC Avant Garde" w:hAnsi="ITC Avant Garde"/>
          <w:lang w:val="es-MX"/>
        </w:rPr>
        <w:t>- Tipos de "Canalizaciones" utilizados en el modelo</w:t>
      </w:r>
    </w:p>
    <w:tbl>
      <w:tblPr>
        <w:tblW w:w="5780" w:type="dxa"/>
        <w:tblInd w:w="1094" w:type="dxa"/>
        <w:tblCellMar>
          <w:left w:w="70" w:type="dxa"/>
          <w:right w:w="70" w:type="dxa"/>
        </w:tblCellMar>
        <w:tblLook w:val="04A0" w:firstRow="1" w:lastRow="0" w:firstColumn="1" w:lastColumn="0" w:noHBand="0" w:noVBand="1"/>
      </w:tblPr>
      <w:tblGrid>
        <w:gridCol w:w="1240"/>
        <w:gridCol w:w="4540"/>
      </w:tblGrid>
      <w:tr w:rsidR="00A66A23" w:rsidRPr="004C1A96" w14:paraId="12E99EFA" w14:textId="77777777" w:rsidTr="00064199">
        <w:trPr>
          <w:trHeight w:val="300"/>
        </w:trPr>
        <w:tc>
          <w:tcPr>
            <w:tcW w:w="1240" w:type="dxa"/>
            <w:tcBorders>
              <w:top w:val="single" w:sz="8" w:space="0" w:color="auto"/>
              <w:left w:val="single" w:sz="8" w:space="0" w:color="auto"/>
              <w:bottom w:val="single" w:sz="8" w:space="0" w:color="auto"/>
              <w:right w:val="single" w:sz="8" w:space="0" w:color="auto"/>
            </w:tcBorders>
            <w:shd w:val="clear" w:color="000000" w:fill="A6A6A6"/>
            <w:vAlign w:val="center"/>
            <w:hideMark/>
          </w:tcPr>
          <w:p w14:paraId="6111E9B0" w14:textId="77777777" w:rsidR="00A66A23" w:rsidRPr="00E14D8A" w:rsidRDefault="00A66A23" w:rsidP="00064199">
            <w:pPr>
              <w:spacing w:before="0" w:line="240" w:lineRule="auto"/>
              <w:jc w:val="center"/>
              <w:rPr>
                <w:rFonts w:ascii="ITC Avant Garde" w:hAnsi="ITC Avant Garde" w:cs="Arial"/>
                <w:b/>
                <w:color w:val="FFFFFF"/>
                <w:szCs w:val="22"/>
                <w:lang w:val="es-MX"/>
              </w:rPr>
            </w:pPr>
            <w:r w:rsidRPr="00E14D8A">
              <w:rPr>
                <w:rFonts w:ascii="ITC Avant Garde" w:hAnsi="ITC Avant Garde" w:cs="Arial"/>
                <w:b/>
                <w:color w:val="FFFFFF"/>
                <w:szCs w:val="22"/>
                <w:lang w:val="es-MX"/>
              </w:rPr>
              <w:t>Tipo</w:t>
            </w:r>
          </w:p>
        </w:tc>
        <w:tc>
          <w:tcPr>
            <w:tcW w:w="4540" w:type="dxa"/>
            <w:tcBorders>
              <w:top w:val="single" w:sz="8" w:space="0" w:color="auto"/>
              <w:left w:val="nil"/>
              <w:bottom w:val="single" w:sz="8" w:space="0" w:color="auto"/>
              <w:right w:val="single" w:sz="8" w:space="0" w:color="auto"/>
            </w:tcBorders>
            <w:shd w:val="clear" w:color="000000" w:fill="A6A6A6"/>
            <w:vAlign w:val="center"/>
            <w:hideMark/>
          </w:tcPr>
          <w:p w14:paraId="073EE526" w14:textId="77777777" w:rsidR="00A66A23" w:rsidRPr="00E14D8A" w:rsidRDefault="00A66A23" w:rsidP="00064199">
            <w:pPr>
              <w:spacing w:before="0" w:line="240" w:lineRule="auto"/>
              <w:jc w:val="center"/>
              <w:rPr>
                <w:rFonts w:ascii="ITC Avant Garde" w:hAnsi="ITC Avant Garde" w:cs="Arial"/>
                <w:b/>
                <w:color w:val="FFFFFF"/>
                <w:szCs w:val="22"/>
                <w:lang w:val="es-MX"/>
              </w:rPr>
            </w:pPr>
            <w:r w:rsidRPr="00E14D8A">
              <w:rPr>
                <w:rFonts w:ascii="ITC Avant Garde" w:hAnsi="ITC Avant Garde" w:cs="Arial"/>
                <w:b/>
                <w:color w:val="FFFFFF"/>
                <w:szCs w:val="22"/>
                <w:lang w:val="es-MX"/>
              </w:rPr>
              <w:t>Tamaño</w:t>
            </w:r>
          </w:p>
        </w:tc>
      </w:tr>
      <w:tr w:rsidR="00A66A23" w:rsidRPr="004C1A96" w14:paraId="6E11C286" w14:textId="77777777" w:rsidTr="00064199">
        <w:trPr>
          <w:trHeight w:val="300"/>
        </w:trPr>
        <w:tc>
          <w:tcPr>
            <w:tcW w:w="1240" w:type="dxa"/>
            <w:tcBorders>
              <w:top w:val="nil"/>
              <w:left w:val="single" w:sz="8" w:space="0" w:color="auto"/>
              <w:bottom w:val="nil"/>
              <w:right w:val="single" w:sz="8" w:space="0" w:color="auto"/>
            </w:tcBorders>
            <w:shd w:val="clear" w:color="auto" w:fill="auto"/>
            <w:vAlign w:val="center"/>
            <w:hideMark/>
          </w:tcPr>
          <w:p w14:paraId="27848AD4" w14:textId="77777777" w:rsidR="00A66A23" w:rsidRPr="004C1A96" w:rsidRDefault="00A66A23" w:rsidP="00064199">
            <w:pPr>
              <w:spacing w:before="0" w:line="240" w:lineRule="auto"/>
              <w:jc w:val="center"/>
              <w:rPr>
                <w:rFonts w:ascii="ITC Avant Garde" w:hAnsi="ITC Avant Garde" w:cs="Arial"/>
                <w:color w:val="000000"/>
                <w:szCs w:val="22"/>
                <w:lang w:val="es-MX"/>
              </w:rPr>
            </w:pPr>
            <w:r w:rsidRPr="004C1A96">
              <w:rPr>
                <w:rFonts w:ascii="ITC Avant Garde" w:hAnsi="ITC Avant Garde" w:cs="Arial"/>
                <w:color w:val="000000"/>
                <w:szCs w:val="22"/>
                <w:lang w:val="es-MX"/>
              </w:rPr>
              <w:lastRenderedPageBreak/>
              <w:t>2H4</w:t>
            </w:r>
          </w:p>
        </w:tc>
        <w:tc>
          <w:tcPr>
            <w:tcW w:w="4540" w:type="dxa"/>
            <w:tcBorders>
              <w:top w:val="nil"/>
              <w:left w:val="nil"/>
              <w:bottom w:val="single" w:sz="8" w:space="0" w:color="auto"/>
              <w:right w:val="single" w:sz="8" w:space="0" w:color="auto"/>
            </w:tcBorders>
            <w:shd w:val="clear" w:color="auto" w:fill="auto"/>
            <w:vAlign w:val="center"/>
            <w:hideMark/>
          </w:tcPr>
          <w:p w14:paraId="22CEAEB9" w14:textId="77777777" w:rsidR="00A66A23" w:rsidRPr="00E14D8A" w:rsidRDefault="00A66A23" w:rsidP="00064199">
            <w:pPr>
              <w:spacing w:before="0" w:line="240" w:lineRule="auto"/>
              <w:jc w:val="center"/>
              <w:rPr>
                <w:rFonts w:ascii="ITC Avant Garde" w:hAnsi="ITC Avant Garde" w:cs="Arial"/>
                <w:color w:val="000000"/>
                <w:szCs w:val="22"/>
                <w:lang w:val="es-MX"/>
              </w:rPr>
            </w:pPr>
            <w:r w:rsidRPr="004C1A96">
              <w:rPr>
                <w:rFonts w:ascii="ITC Avant Garde" w:hAnsi="ITC Avant Garde" w:cs="Arial"/>
                <w:color w:val="000000"/>
                <w:szCs w:val="22"/>
                <w:lang w:val="es-MX"/>
              </w:rPr>
              <w:t xml:space="preserve">2 </w:t>
            </w:r>
            <w:r w:rsidRPr="00E14D8A">
              <w:rPr>
                <w:rFonts w:ascii="ITC Avant Garde" w:hAnsi="ITC Avant Garde" w:cs="Arial"/>
                <w:color w:val="000000"/>
                <w:szCs w:val="22"/>
                <w:lang w:val="es-MX"/>
              </w:rPr>
              <w:t>ductos de 45mm</w:t>
            </w:r>
          </w:p>
        </w:tc>
      </w:tr>
      <w:tr w:rsidR="00A66A23" w:rsidRPr="004C1A96" w14:paraId="078F2711" w14:textId="77777777" w:rsidTr="00064199">
        <w:trPr>
          <w:trHeight w:val="300"/>
        </w:trPr>
        <w:tc>
          <w:tcPr>
            <w:tcW w:w="12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A608E49" w14:textId="77777777" w:rsidR="00A66A23" w:rsidRPr="004C1A96" w:rsidRDefault="00A66A23" w:rsidP="00064199">
            <w:pPr>
              <w:spacing w:before="0" w:line="240" w:lineRule="auto"/>
              <w:jc w:val="center"/>
              <w:rPr>
                <w:rFonts w:ascii="ITC Avant Garde" w:hAnsi="ITC Avant Garde" w:cs="Arial"/>
                <w:color w:val="000000"/>
                <w:szCs w:val="22"/>
                <w:lang w:val="es-MX"/>
              </w:rPr>
            </w:pPr>
            <w:r w:rsidRPr="004C1A96">
              <w:rPr>
                <w:rFonts w:ascii="ITC Avant Garde" w:hAnsi="ITC Avant Garde" w:cs="Arial"/>
                <w:color w:val="000000"/>
                <w:szCs w:val="22"/>
                <w:lang w:val="es-MX"/>
              </w:rPr>
              <w:t>3H4</w:t>
            </w:r>
          </w:p>
        </w:tc>
        <w:tc>
          <w:tcPr>
            <w:tcW w:w="4540" w:type="dxa"/>
            <w:tcBorders>
              <w:top w:val="nil"/>
              <w:left w:val="nil"/>
              <w:bottom w:val="single" w:sz="8" w:space="0" w:color="auto"/>
              <w:right w:val="single" w:sz="8" w:space="0" w:color="auto"/>
            </w:tcBorders>
            <w:shd w:val="clear" w:color="auto" w:fill="auto"/>
            <w:vAlign w:val="center"/>
            <w:hideMark/>
          </w:tcPr>
          <w:p w14:paraId="253F46E3" w14:textId="77777777" w:rsidR="00A66A23" w:rsidRPr="00E14D8A" w:rsidRDefault="00A66A23" w:rsidP="00064199">
            <w:pPr>
              <w:spacing w:before="0" w:line="240" w:lineRule="auto"/>
              <w:jc w:val="center"/>
              <w:rPr>
                <w:rFonts w:ascii="ITC Avant Garde" w:hAnsi="ITC Avant Garde" w:cs="Arial"/>
                <w:color w:val="000000"/>
                <w:szCs w:val="22"/>
                <w:lang w:val="es-MX"/>
              </w:rPr>
            </w:pPr>
            <w:r w:rsidRPr="004C1A96">
              <w:rPr>
                <w:rFonts w:ascii="ITC Avant Garde" w:hAnsi="ITC Avant Garde" w:cs="Arial"/>
                <w:color w:val="000000"/>
                <w:szCs w:val="22"/>
                <w:lang w:val="es-MX"/>
              </w:rPr>
              <w:t xml:space="preserve">3 </w:t>
            </w:r>
            <w:r w:rsidRPr="00E14D8A">
              <w:rPr>
                <w:rFonts w:ascii="ITC Avant Garde" w:hAnsi="ITC Avant Garde" w:cs="Arial"/>
                <w:color w:val="000000"/>
                <w:szCs w:val="22"/>
                <w:lang w:val="es-MX"/>
              </w:rPr>
              <w:t>ductos de 45mm</w:t>
            </w:r>
          </w:p>
        </w:tc>
      </w:tr>
      <w:tr w:rsidR="00A66A23" w:rsidRPr="004C1A96" w14:paraId="14B8F45A" w14:textId="77777777" w:rsidTr="00064199">
        <w:trPr>
          <w:trHeight w:val="300"/>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19DA7E49" w14:textId="77777777" w:rsidR="00A66A23" w:rsidRPr="004C1A96" w:rsidRDefault="00A66A23" w:rsidP="00064199">
            <w:pPr>
              <w:spacing w:before="0" w:line="240" w:lineRule="auto"/>
              <w:jc w:val="center"/>
              <w:rPr>
                <w:rFonts w:ascii="ITC Avant Garde" w:hAnsi="ITC Avant Garde" w:cs="Arial"/>
                <w:color w:val="000000"/>
                <w:szCs w:val="22"/>
                <w:lang w:val="es-MX"/>
              </w:rPr>
            </w:pPr>
            <w:r w:rsidRPr="004C1A96">
              <w:rPr>
                <w:rFonts w:ascii="ITC Avant Garde" w:hAnsi="ITC Avant Garde" w:cs="Arial"/>
                <w:color w:val="000000"/>
                <w:szCs w:val="22"/>
                <w:lang w:val="es-MX"/>
              </w:rPr>
              <w:t>5H4</w:t>
            </w:r>
          </w:p>
        </w:tc>
        <w:tc>
          <w:tcPr>
            <w:tcW w:w="4540" w:type="dxa"/>
            <w:tcBorders>
              <w:top w:val="nil"/>
              <w:left w:val="nil"/>
              <w:bottom w:val="single" w:sz="8" w:space="0" w:color="auto"/>
              <w:right w:val="single" w:sz="8" w:space="0" w:color="auto"/>
            </w:tcBorders>
            <w:shd w:val="clear" w:color="auto" w:fill="auto"/>
            <w:vAlign w:val="center"/>
            <w:hideMark/>
          </w:tcPr>
          <w:p w14:paraId="6E2B7874" w14:textId="77777777" w:rsidR="00A66A23" w:rsidRPr="00E14D8A" w:rsidRDefault="00A66A23" w:rsidP="00064199">
            <w:pPr>
              <w:spacing w:before="0" w:line="240" w:lineRule="auto"/>
              <w:jc w:val="center"/>
              <w:rPr>
                <w:rFonts w:ascii="ITC Avant Garde" w:hAnsi="ITC Avant Garde" w:cs="Arial"/>
                <w:color w:val="000000"/>
                <w:szCs w:val="22"/>
                <w:lang w:val="es-MX"/>
              </w:rPr>
            </w:pPr>
            <w:r w:rsidRPr="004C1A96">
              <w:rPr>
                <w:rFonts w:ascii="ITC Avant Garde" w:hAnsi="ITC Avant Garde" w:cs="Arial"/>
                <w:color w:val="000000"/>
                <w:szCs w:val="22"/>
                <w:lang w:val="es-MX"/>
              </w:rPr>
              <w:t xml:space="preserve">5 </w:t>
            </w:r>
            <w:r w:rsidRPr="00E14D8A">
              <w:rPr>
                <w:rFonts w:ascii="ITC Avant Garde" w:hAnsi="ITC Avant Garde" w:cs="Arial"/>
                <w:color w:val="000000"/>
                <w:szCs w:val="22"/>
                <w:lang w:val="es-MX"/>
              </w:rPr>
              <w:t>ductos de 45mm</w:t>
            </w:r>
          </w:p>
        </w:tc>
      </w:tr>
      <w:tr w:rsidR="00A66A23" w:rsidRPr="004C1A96" w14:paraId="1E5438FE" w14:textId="77777777" w:rsidTr="00064199">
        <w:trPr>
          <w:trHeight w:val="300"/>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1682DE10" w14:textId="77777777" w:rsidR="00A66A23" w:rsidRPr="004C1A96" w:rsidRDefault="00A66A23" w:rsidP="00064199">
            <w:pPr>
              <w:spacing w:before="0" w:line="240" w:lineRule="auto"/>
              <w:jc w:val="center"/>
              <w:rPr>
                <w:rFonts w:ascii="ITC Avant Garde" w:hAnsi="ITC Avant Garde" w:cs="Arial"/>
                <w:color w:val="000000"/>
                <w:szCs w:val="22"/>
                <w:lang w:val="es-MX"/>
              </w:rPr>
            </w:pPr>
            <w:r w:rsidRPr="004C1A96">
              <w:rPr>
                <w:rFonts w:ascii="ITC Avant Garde" w:hAnsi="ITC Avant Garde" w:cs="Arial"/>
                <w:color w:val="000000"/>
                <w:szCs w:val="22"/>
                <w:lang w:val="es-MX"/>
              </w:rPr>
              <w:t>7H4</w:t>
            </w:r>
          </w:p>
        </w:tc>
        <w:tc>
          <w:tcPr>
            <w:tcW w:w="4540" w:type="dxa"/>
            <w:tcBorders>
              <w:top w:val="nil"/>
              <w:left w:val="nil"/>
              <w:bottom w:val="single" w:sz="8" w:space="0" w:color="auto"/>
              <w:right w:val="single" w:sz="8" w:space="0" w:color="auto"/>
            </w:tcBorders>
            <w:shd w:val="clear" w:color="auto" w:fill="auto"/>
            <w:vAlign w:val="center"/>
            <w:hideMark/>
          </w:tcPr>
          <w:p w14:paraId="358DDC96" w14:textId="77777777" w:rsidR="00A66A23" w:rsidRPr="00E14D8A" w:rsidRDefault="00A66A23" w:rsidP="00064199">
            <w:pPr>
              <w:spacing w:before="0" w:line="240" w:lineRule="auto"/>
              <w:jc w:val="center"/>
              <w:rPr>
                <w:rFonts w:ascii="ITC Avant Garde" w:hAnsi="ITC Avant Garde" w:cs="Arial"/>
                <w:color w:val="000000"/>
                <w:szCs w:val="22"/>
                <w:lang w:val="es-MX"/>
              </w:rPr>
            </w:pPr>
            <w:r w:rsidRPr="004C1A96">
              <w:rPr>
                <w:rFonts w:ascii="ITC Avant Garde" w:hAnsi="ITC Avant Garde" w:cs="Arial"/>
                <w:color w:val="000000"/>
                <w:szCs w:val="22"/>
                <w:lang w:val="es-MX"/>
              </w:rPr>
              <w:t xml:space="preserve">7 </w:t>
            </w:r>
            <w:r w:rsidRPr="00E14D8A">
              <w:rPr>
                <w:rFonts w:ascii="ITC Avant Garde" w:hAnsi="ITC Avant Garde" w:cs="Arial"/>
                <w:color w:val="000000"/>
                <w:szCs w:val="22"/>
                <w:lang w:val="es-MX"/>
              </w:rPr>
              <w:t>ductos de 45mm</w:t>
            </w:r>
          </w:p>
        </w:tc>
      </w:tr>
      <w:tr w:rsidR="00A66A23" w:rsidRPr="004C1A96" w14:paraId="7EED3163" w14:textId="77777777" w:rsidTr="00064199">
        <w:trPr>
          <w:trHeight w:val="300"/>
        </w:trPr>
        <w:tc>
          <w:tcPr>
            <w:tcW w:w="1240" w:type="dxa"/>
            <w:tcBorders>
              <w:top w:val="nil"/>
              <w:left w:val="single" w:sz="8" w:space="0" w:color="auto"/>
              <w:bottom w:val="nil"/>
              <w:right w:val="single" w:sz="8" w:space="0" w:color="auto"/>
            </w:tcBorders>
            <w:shd w:val="clear" w:color="auto" w:fill="auto"/>
            <w:vAlign w:val="center"/>
            <w:hideMark/>
          </w:tcPr>
          <w:p w14:paraId="201B1B3A" w14:textId="77777777" w:rsidR="00A66A23" w:rsidRPr="004C1A96" w:rsidRDefault="00A66A23" w:rsidP="00064199">
            <w:pPr>
              <w:spacing w:before="0" w:line="240" w:lineRule="auto"/>
              <w:jc w:val="center"/>
              <w:rPr>
                <w:rFonts w:ascii="ITC Avant Garde" w:hAnsi="ITC Avant Garde" w:cs="Arial"/>
                <w:color w:val="000000"/>
                <w:szCs w:val="22"/>
                <w:lang w:val="es-MX"/>
              </w:rPr>
            </w:pPr>
            <w:r w:rsidRPr="004C1A96">
              <w:rPr>
                <w:rFonts w:ascii="ITC Avant Garde" w:hAnsi="ITC Avant Garde" w:cs="Arial"/>
                <w:color w:val="000000"/>
                <w:szCs w:val="22"/>
                <w:lang w:val="es-MX"/>
              </w:rPr>
              <w:t>15H4</w:t>
            </w:r>
          </w:p>
        </w:tc>
        <w:tc>
          <w:tcPr>
            <w:tcW w:w="4540" w:type="dxa"/>
            <w:tcBorders>
              <w:top w:val="nil"/>
              <w:left w:val="nil"/>
              <w:bottom w:val="single" w:sz="8" w:space="0" w:color="auto"/>
              <w:right w:val="single" w:sz="8" w:space="0" w:color="auto"/>
            </w:tcBorders>
            <w:shd w:val="clear" w:color="auto" w:fill="auto"/>
            <w:vAlign w:val="center"/>
            <w:hideMark/>
          </w:tcPr>
          <w:p w14:paraId="4AF04754" w14:textId="77777777" w:rsidR="00A66A23" w:rsidRPr="00E14D8A" w:rsidRDefault="00A66A23" w:rsidP="00064199">
            <w:pPr>
              <w:spacing w:before="0" w:line="240" w:lineRule="auto"/>
              <w:jc w:val="center"/>
              <w:rPr>
                <w:rFonts w:ascii="ITC Avant Garde" w:hAnsi="ITC Avant Garde" w:cs="Arial"/>
                <w:color w:val="000000"/>
                <w:szCs w:val="22"/>
                <w:lang w:val="es-MX"/>
              </w:rPr>
            </w:pPr>
            <w:r w:rsidRPr="004C1A96">
              <w:rPr>
                <w:rFonts w:ascii="ITC Avant Garde" w:hAnsi="ITC Avant Garde" w:cs="Arial"/>
                <w:color w:val="000000"/>
                <w:szCs w:val="22"/>
                <w:lang w:val="es-MX"/>
              </w:rPr>
              <w:t>ductos de</w:t>
            </w:r>
          </w:p>
        </w:tc>
      </w:tr>
      <w:tr w:rsidR="00A66A23" w:rsidRPr="009F5AFF" w14:paraId="208CB15B" w14:textId="77777777" w:rsidTr="00064199">
        <w:trPr>
          <w:trHeight w:val="300"/>
        </w:trPr>
        <w:tc>
          <w:tcPr>
            <w:tcW w:w="12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C8C94EE" w14:textId="77777777" w:rsidR="00A66A23" w:rsidRPr="004C1A96" w:rsidRDefault="00A66A23" w:rsidP="00064199">
            <w:pPr>
              <w:spacing w:before="0" w:line="240" w:lineRule="auto"/>
              <w:jc w:val="center"/>
              <w:rPr>
                <w:rFonts w:ascii="ITC Avant Garde" w:hAnsi="ITC Avant Garde" w:cs="Arial"/>
                <w:color w:val="000000"/>
                <w:szCs w:val="22"/>
                <w:lang w:val="es-MX"/>
              </w:rPr>
            </w:pPr>
            <w:r w:rsidRPr="004C1A96">
              <w:rPr>
                <w:rFonts w:ascii="ITC Avant Garde" w:hAnsi="ITC Avant Garde" w:cs="Arial"/>
                <w:color w:val="000000"/>
                <w:szCs w:val="22"/>
                <w:lang w:val="es-MX"/>
              </w:rPr>
              <w:t>2H6</w:t>
            </w:r>
          </w:p>
        </w:tc>
        <w:tc>
          <w:tcPr>
            <w:tcW w:w="4540" w:type="dxa"/>
            <w:tcBorders>
              <w:top w:val="nil"/>
              <w:left w:val="nil"/>
              <w:bottom w:val="single" w:sz="8" w:space="0" w:color="auto"/>
              <w:right w:val="single" w:sz="8" w:space="0" w:color="auto"/>
            </w:tcBorders>
            <w:shd w:val="clear" w:color="auto" w:fill="auto"/>
            <w:vAlign w:val="center"/>
            <w:hideMark/>
          </w:tcPr>
          <w:p w14:paraId="683A52F0" w14:textId="77777777" w:rsidR="00A66A23" w:rsidRPr="00E14D8A" w:rsidRDefault="00A66A23" w:rsidP="00064199">
            <w:pPr>
              <w:spacing w:before="0" w:line="240" w:lineRule="auto"/>
              <w:jc w:val="center"/>
              <w:rPr>
                <w:rFonts w:ascii="ITC Avant Garde" w:hAnsi="ITC Avant Garde" w:cs="Arial"/>
                <w:color w:val="000000"/>
                <w:szCs w:val="22"/>
                <w:lang w:val="es-MX"/>
              </w:rPr>
            </w:pPr>
            <w:r w:rsidRPr="004C1A96">
              <w:rPr>
                <w:rFonts w:ascii="ITC Avant Garde" w:hAnsi="ITC Avant Garde" w:cs="Arial"/>
                <w:color w:val="000000"/>
                <w:szCs w:val="22"/>
                <w:lang w:val="es-MX"/>
              </w:rPr>
              <w:t xml:space="preserve">2 </w:t>
            </w:r>
            <w:r w:rsidRPr="00E14D8A">
              <w:rPr>
                <w:rFonts w:ascii="ITC Avant Garde" w:hAnsi="ITC Avant Garde" w:cs="Arial"/>
                <w:color w:val="000000"/>
                <w:szCs w:val="22"/>
                <w:lang w:val="es-MX"/>
              </w:rPr>
              <w:t>ductos de60mm + 2 ductos de 45mm</w:t>
            </w:r>
          </w:p>
        </w:tc>
      </w:tr>
      <w:tr w:rsidR="00A66A23" w:rsidRPr="009F5AFF" w14:paraId="43A41729" w14:textId="77777777" w:rsidTr="00064199">
        <w:trPr>
          <w:trHeight w:val="300"/>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507CC6AD" w14:textId="77777777" w:rsidR="00A66A23" w:rsidRPr="004C1A96" w:rsidRDefault="00A66A23" w:rsidP="00064199">
            <w:pPr>
              <w:spacing w:before="0" w:line="240" w:lineRule="auto"/>
              <w:jc w:val="center"/>
              <w:rPr>
                <w:rFonts w:ascii="ITC Avant Garde" w:hAnsi="ITC Avant Garde" w:cs="Arial"/>
                <w:color w:val="000000"/>
                <w:szCs w:val="22"/>
                <w:lang w:val="es-MX"/>
              </w:rPr>
            </w:pPr>
            <w:r w:rsidRPr="004C1A96">
              <w:rPr>
                <w:rFonts w:ascii="ITC Avant Garde" w:hAnsi="ITC Avant Garde" w:cs="Arial"/>
                <w:color w:val="000000"/>
                <w:szCs w:val="22"/>
                <w:lang w:val="es-MX"/>
              </w:rPr>
              <w:t>3H6</w:t>
            </w:r>
          </w:p>
        </w:tc>
        <w:tc>
          <w:tcPr>
            <w:tcW w:w="4540" w:type="dxa"/>
            <w:tcBorders>
              <w:top w:val="nil"/>
              <w:left w:val="nil"/>
              <w:bottom w:val="single" w:sz="8" w:space="0" w:color="auto"/>
              <w:right w:val="single" w:sz="8" w:space="0" w:color="auto"/>
            </w:tcBorders>
            <w:shd w:val="clear" w:color="auto" w:fill="auto"/>
            <w:vAlign w:val="center"/>
            <w:hideMark/>
          </w:tcPr>
          <w:p w14:paraId="5DDEB3C9" w14:textId="77777777" w:rsidR="00A66A23" w:rsidRPr="00E14D8A" w:rsidRDefault="00A66A23" w:rsidP="00064199">
            <w:pPr>
              <w:spacing w:before="0" w:line="240" w:lineRule="auto"/>
              <w:jc w:val="center"/>
              <w:rPr>
                <w:rFonts w:ascii="ITC Avant Garde" w:hAnsi="ITC Avant Garde" w:cs="Arial"/>
                <w:color w:val="000000"/>
                <w:szCs w:val="22"/>
                <w:lang w:val="es-MX"/>
              </w:rPr>
            </w:pPr>
            <w:r w:rsidRPr="004C1A96">
              <w:rPr>
                <w:rFonts w:ascii="ITC Avant Garde" w:hAnsi="ITC Avant Garde" w:cs="Arial"/>
                <w:color w:val="000000"/>
                <w:szCs w:val="22"/>
                <w:lang w:val="es-MX"/>
              </w:rPr>
              <w:t xml:space="preserve">3 </w:t>
            </w:r>
            <w:r w:rsidRPr="00E14D8A">
              <w:rPr>
                <w:rFonts w:ascii="ITC Avant Garde" w:hAnsi="ITC Avant Garde" w:cs="Arial"/>
                <w:color w:val="000000"/>
                <w:szCs w:val="22"/>
                <w:lang w:val="es-MX"/>
              </w:rPr>
              <w:t>ductos de 60mm + 4 ductos de 45mm</w:t>
            </w:r>
          </w:p>
        </w:tc>
      </w:tr>
      <w:tr w:rsidR="00A66A23" w:rsidRPr="009F5AFF" w14:paraId="7C4E89F4" w14:textId="77777777" w:rsidTr="00064199">
        <w:trPr>
          <w:trHeight w:val="300"/>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09196461" w14:textId="77777777" w:rsidR="00A66A23" w:rsidRPr="004C1A96" w:rsidRDefault="00A66A23" w:rsidP="00064199">
            <w:pPr>
              <w:spacing w:before="0" w:line="240" w:lineRule="auto"/>
              <w:jc w:val="center"/>
              <w:rPr>
                <w:rFonts w:ascii="ITC Avant Garde" w:hAnsi="ITC Avant Garde" w:cs="Arial"/>
                <w:color w:val="000000"/>
                <w:szCs w:val="22"/>
                <w:lang w:val="es-MX"/>
              </w:rPr>
            </w:pPr>
            <w:r w:rsidRPr="004C1A96">
              <w:rPr>
                <w:rFonts w:ascii="ITC Avant Garde" w:hAnsi="ITC Avant Garde" w:cs="Arial"/>
                <w:color w:val="000000"/>
                <w:szCs w:val="22"/>
                <w:lang w:val="es-MX"/>
              </w:rPr>
              <w:t>4H6</w:t>
            </w:r>
          </w:p>
        </w:tc>
        <w:tc>
          <w:tcPr>
            <w:tcW w:w="4540" w:type="dxa"/>
            <w:tcBorders>
              <w:top w:val="nil"/>
              <w:left w:val="nil"/>
              <w:bottom w:val="single" w:sz="8" w:space="0" w:color="auto"/>
              <w:right w:val="single" w:sz="8" w:space="0" w:color="auto"/>
            </w:tcBorders>
            <w:shd w:val="clear" w:color="auto" w:fill="auto"/>
            <w:vAlign w:val="center"/>
            <w:hideMark/>
          </w:tcPr>
          <w:p w14:paraId="2E2C809B" w14:textId="77777777" w:rsidR="00A66A23" w:rsidRPr="00E14D8A" w:rsidRDefault="00A66A23" w:rsidP="00064199">
            <w:pPr>
              <w:spacing w:before="0" w:line="240" w:lineRule="auto"/>
              <w:jc w:val="center"/>
              <w:rPr>
                <w:rFonts w:ascii="ITC Avant Garde" w:hAnsi="ITC Avant Garde" w:cs="Arial"/>
                <w:color w:val="000000"/>
                <w:szCs w:val="22"/>
                <w:lang w:val="es-MX"/>
              </w:rPr>
            </w:pPr>
            <w:r w:rsidRPr="004C1A96">
              <w:rPr>
                <w:rFonts w:ascii="ITC Avant Garde" w:hAnsi="ITC Avant Garde" w:cs="Arial"/>
                <w:color w:val="000000"/>
                <w:szCs w:val="22"/>
                <w:lang w:val="es-MX"/>
              </w:rPr>
              <w:t xml:space="preserve">4 </w:t>
            </w:r>
            <w:r w:rsidRPr="00E14D8A">
              <w:rPr>
                <w:rFonts w:ascii="ITC Avant Garde" w:hAnsi="ITC Avant Garde" w:cs="Arial"/>
                <w:color w:val="000000"/>
                <w:szCs w:val="22"/>
                <w:lang w:val="es-MX"/>
              </w:rPr>
              <w:t>ductos de 60mm + 4 ductos de 45mm</w:t>
            </w:r>
          </w:p>
        </w:tc>
      </w:tr>
      <w:tr w:rsidR="00A66A23" w:rsidRPr="009F5AFF" w14:paraId="4A40F495" w14:textId="77777777" w:rsidTr="00064199">
        <w:trPr>
          <w:trHeight w:val="300"/>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6C0F5910" w14:textId="77777777" w:rsidR="00A66A23" w:rsidRPr="004C1A96" w:rsidRDefault="00A66A23" w:rsidP="00064199">
            <w:pPr>
              <w:spacing w:before="0" w:line="240" w:lineRule="auto"/>
              <w:jc w:val="center"/>
              <w:rPr>
                <w:rFonts w:ascii="ITC Avant Garde" w:hAnsi="ITC Avant Garde" w:cs="Arial"/>
                <w:color w:val="000000"/>
                <w:szCs w:val="22"/>
                <w:lang w:val="es-MX"/>
              </w:rPr>
            </w:pPr>
            <w:r w:rsidRPr="004C1A96">
              <w:rPr>
                <w:rFonts w:ascii="ITC Avant Garde" w:hAnsi="ITC Avant Garde" w:cs="Arial"/>
                <w:color w:val="000000"/>
                <w:szCs w:val="22"/>
                <w:lang w:val="es-MX"/>
              </w:rPr>
              <w:t>3H8</w:t>
            </w:r>
          </w:p>
        </w:tc>
        <w:tc>
          <w:tcPr>
            <w:tcW w:w="4540" w:type="dxa"/>
            <w:tcBorders>
              <w:top w:val="nil"/>
              <w:left w:val="nil"/>
              <w:bottom w:val="single" w:sz="8" w:space="0" w:color="auto"/>
              <w:right w:val="single" w:sz="8" w:space="0" w:color="auto"/>
            </w:tcBorders>
            <w:shd w:val="clear" w:color="auto" w:fill="auto"/>
            <w:vAlign w:val="center"/>
            <w:hideMark/>
          </w:tcPr>
          <w:p w14:paraId="23D8ABBB" w14:textId="77777777" w:rsidR="00A66A23" w:rsidRPr="00E14D8A" w:rsidRDefault="00A66A23" w:rsidP="00064199">
            <w:pPr>
              <w:spacing w:before="0" w:line="240" w:lineRule="auto"/>
              <w:jc w:val="center"/>
              <w:rPr>
                <w:rFonts w:ascii="ITC Avant Garde" w:hAnsi="ITC Avant Garde" w:cs="Arial"/>
                <w:color w:val="000000"/>
                <w:szCs w:val="22"/>
                <w:lang w:val="es-MX"/>
              </w:rPr>
            </w:pPr>
            <w:r w:rsidRPr="004C1A96">
              <w:rPr>
                <w:rFonts w:ascii="ITC Avant Garde" w:hAnsi="ITC Avant Garde" w:cs="Arial"/>
                <w:color w:val="000000"/>
                <w:szCs w:val="22"/>
                <w:lang w:val="es-MX"/>
              </w:rPr>
              <w:t xml:space="preserve">3 </w:t>
            </w:r>
            <w:r w:rsidRPr="00E14D8A">
              <w:rPr>
                <w:rFonts w:ascii="ITC Avant Garde" w:hAnsi="ITC Avant Garde" w:cs="Arial"/>
                <w:color w:val="000000"/>
                <w:szCs w:val="22"/>
                <w:lang w:val="es-MX"/>
              </w:rPr>
              <w:t>ductos de 80mm + 4 ductos de 45mm</w:t>
            </w:r>
          </w:p>
        </w:tc>
      </w:tr>
      <w:tr w:rsidR="00A66A23" w:rsidRPr="009F5AFF" w14:paraId="152449E5" w14:textId="77777777" w:rsidTr="00064199">
        <w:trPr>
          <w:trHeight w:val="300"/>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38F3D531" w14:textId="77777777" w:rsidR="00A66A23" w:rsidRPr="004C1A96" w:rsidRDefault="00A66A23" w:rsidP="00064199">
            <w:pPr>
              <w:spacing w:before="0" w:line="240" w:lineRule="auto"/>
              <w:jc w:val="center"/>
              <w:rPr>
                <w:rFonts w:ascii="ITC Avant Garde" w:hAnsi="ITC Avant Garde" w:cs="Arial"/>
                <w:color w:val="000000"/>
                <w:szCs w:val="22"/>
                <w:lang w:val="es-MX"/>
              </w:rPr>
            </w:pPr>
            <w:r w:rsidRPr="004C1A96">
              <w:rPr>
                <w:rFonts w:ascii="ITC Avant Garde" w:hAnsi="ITC Avant Garde" w:cs="Arial"/>
                <w:color w:val="000000"/>
                <w:szCs w:val="22"/>
                <w:lang w:val="es-MX"/>
              </w:rPr>
              <w:t>4H8</w:t>
            </w:r>
          </w:p>
        </w:tc>
        <w:tc>
          <w:tcPr>
            <w:tcW w:w="4540" w:type="dxa"/>
            <w:tcBorders>
              <w:top w:val="nil"/>
              <w:left w:val="nil"/>
              <w:bottom w:val="single" w:sz="8" w:space="0" w:color="auto"/>
              <w:right w:val="single" w:sz="8" w:space="0" w:color="auto"/>
            </w:tcBorders>
            <w:shd w:val="clear" w:color="auto" w:fill="auto"/>
            <w:vAlign w:val="center"/>
            <w:hideMark/>
          </w:tcPr>
          <w:p w14:paraId="7D468333" w14:textId="77777777" w:rsidR="00A66A23" w:rsidRPr="00E14D8A" w:rsidRDefault="00A66A23" w:rsidP="00064199">
            <w:pPr>
              <w:spacing w:before="0" w:line="240" w:lineRule="auto"/>
              <w:jc w:val="center"/>
              <w:rPr>
                <w:rFonts w:ascii="ITC Avant Garde" w:hAnsi="ITC Avant Garde" w:cs="Arial"/>
                <w:color w:val="000000"/>
                <w:szCs w:val="22"/>
                <w:lang w:val="es-MX"/>
              </w:rPr>
            </w:pPr>
            <w:r w:rsidRPr="004C1A96">
              <w:rPr>
                <w:rFonts w:ascii="ITC Avant Garde" w:hAnsi="ITC Avant Garde" w:cs="Arial"/>
                <w:color w:val="000000"/>
                <w:szCs w:val="22"/>
                <w:lang w:val="es-MX"/>
              </w:rPr>
              <w:t xml:space="preserve">4 </w:t>
            </w:r>
            <w:r w:rsidRPr="00E14D8A">
              <w:rPr>
                <w:rFonts w:ascii="ITC Avant Garde" w:hAnsi="ITC Avant Garde" w:cs="Arial"/>
                <w:color w:val="000000"/>
                <w:szCs w:val="22"/>
                <w:lang w:val="es-MX"/>
              </w:rPr>
              <w:t>ductos de 80mm + 4 ductos de 45mm</w:t>
            </w:r>
          </w:p>
        </w:tc>
      </w:tr>
    </w:tbl>
    <w:p w14:paraId="2C338E2A" w14:textId="77777777" w:rsidR="00A66A23" w:rsidRPr="004C1A96" w:rsidRDefault="00A66A23" w:rsidP="00A66A23">
      <w:pPr>
        <w:rPr>
          <w:rFonts w:ascii="ITC Avant Garde" w:hAnsi="ITC Avant Garde"/>
          <w:lang w:val="es-MX"/>
        </w:rPr>
      </w:pPr>
    </w:p>
    <w:p w14:paraId="50E1AF08" w14:textId="77777777" w:rsidR="00A66A23" w:rsidRPr="004C1A96" w:rsidRDefault="00A66A23" w:rsidP="00A66A23">
      <w:pPr>
        <w:rPr>
          <w:rFonts w:ascii="ITC Avant Garde" w:hAnsi="ITC Avant Garde"/>
          <w:lang w:val="es-MX"/>
        </w:rPr>
      </w:pPr>
      <w:r w:rsidRPr="004C1A96">
        <w:rPr>
          <w:rFonts w:ascii="ITC Avant Garde" w:hAnsi="ITC Avant Garde"/>
          <w:lang w:val="es-MX"/>
        </w:rPr>
        <w:t>La siguiente figura muestra la configuración de la canalización tipo 7H4.</w:t>
      </w:r>
    </w:p>
    <w:p w14:paraId="7D04B492" w14:textId="2E83C751" w:rsidR="00A66A23" w:rsidRPr="00E14D8A" w:rsidRDefault="00A66A23" w:rsidP="00A66A23">
      <w:pPr>
        <w:pStyle w:val="Descripcin"/>
        <w:keepNext/>
        <w:rPr>
          <w:rFonts w:ascii="ITC Avant Garde" w:hAnsi="ITC Avant Garde"/>
          <w:lang w:val="es-MX"/>
        </w:rPr>
      </w:pPr>
      <w:r w:rsidRPr="00E14D8A">
        <w:rPr>
          <w:rFonts w:ascii="ITC Avant Garde" w:hAnsi="ITC Avant Garde"/>
          <w:lang w:val="es-MX"/>
        </w:rPr>
        <w:t> </w:t>
      </w:r>
      <w:r w:rsidR="006D69ED" w:rsidRPr="00E14D8A">
        <w:rPr>
          <w:rFonts w:ascii="ITC Avant Garde" w:hAnsi="ITC Avant Garde"/>
          <w:lang w:val="es-MX"/>
        </w:rPr>
        <w:t xml:space="preserve">Figura </w:t>
      </w:r>
      <w:r w:rsidR="006D69ED" w:rsidRPr="004C1A96">
        <w:rPr>
          <w:rFonts w:ascii="ITC Avant Garde" w:hAnsi="ITC Avant Garde"/>
          <w:lang w:val="es-MX"/>
        </w:rPr>
        <w:fldChar w:fldCharType="begin"/>
      </w:r>
      <w:r w:rsidR="006D69ED" w:rsidRPr="004C1A96">
        <w:rPr>
          <w:rFonts w:ascii="ITC Avant Garde" w:hAnsi="ITC Avant Garde"/>
          <w:lang w:val="es-MX"/>
        </w:rPr>
        <w:instrText xml:space="preserve"> SEQ Figura \* ARABIC </w:instrText>
      </w:r>
      <w:r w:rsidR="006D69ED" w:rsidRPr="004C1A96">
        <w:rPr>
          <w:rFonts w:ascii="ITC Avant Garde" w:hAnsi="ITC Avant Garde"/>
          <w:lang w:val="es-MX"/>
        </w:rPr>
        <w:fldChar w:fldCharType="separate"/>
      </w:r>
      <w:r w:rsidR="00006265">
        <w:rPr>
          <w:rFonts w:ascii="ITC Avant Garde" w:hAnsi="ITC Avant Garde"/>
          <w:noProof/>
          <w:lang w:val="es-MX"/>
        </w:rPr>
        <w:t>35</w:t>
      </w:r>
      <w:r w:rsidR="006D69ED" w:rsidRPr="004C1A96">
        <w:rPr>
          <w:rFonts w:ascii="ITC Avant Garde" w:hAnsi="ITC Avant Garde"/>
          <w:lang w:val="es-MX"/>
        </w:rPr>
        <w:fldChar w:fldCharType="end"/>
      </w:r>
      <w:r w:rsidR="006D69ED" w:rsidRPr="004C1A96">
        <w:rPr>
          <w:rFonts w:ascii="ITC Avant Garde" w:hAnsi="ITC Avant Garde"/>
          <w:lang w:val="es-MX"/>
        </w:rPr>
        <w:t xml:space="preserve"> </w:t>
      </w:r>
      <w:r w:rsidRPr="004C1A96">
        <w:rPr>
          <w:rFonts w:ascii="ITC Avant Garde" w:hAnsi="ITC Avant Garde"/>
          <w:lang w:val="es-MX"/>
        </w:rPr>
        <w:t xml:space="preserve">Ejemplo de "Canalizaciones" usadas como </w:t>
      </w:r>
      <w:r w:rsidRPr="00E14D8A">
        <w:rPr>
          <w:rFonts w:ascii="ITC Avant Garde" w:hAnsi="ITC Avant Garde"/>
          <w:lang w:val="es-MX"/>
        </w:rPr>
        <w:t>zanjas + conductos tipo 7H4</w:t>
      </w:r>
    </w:p>
    <w:p w14:paraId="3890501B" w14:textId="65D2E74A" w:rsidR="00A66A23" w:rsidRPr="004C1A96" w:rsidRDefault="00C95198" w:rsidP="00A66A23">
      <w:pPr>
        <w:jc w:val="center"/>
        <w:rPr>
          <w:rFonts w:ascii="ITC Avant Garde" w:hAnsi="ITC Avant Garde"/>
          <w:lang w:val="es-MX"/>
        </w:rPr>
      </w:pPr>
      <w:r w:rsidRPr="00872052">
        <w:rPr>
          <w:rFonts w:ascii="ITC Avant Garde" w:hAnsi="ITC Avant Garde"/>
          <w:noProof/>
          <w:lang w:val="es-MX" w:eastAsia="es-MX"/>
        </w:rPr>
        <w:drawing>
          <wp:inline distT="0" distB="0" distL="0" distR="0" wp14:anchorId="66FFE623" wp14:editId="022CA7E8">
            <wp:extent cx="2485687" cy="2406636"/>
            <wp:effectExtent l="0" t="0" r="0" b="0"/>
            <wp:docPr id="76" name="Image 28" descr="A diagram of a rectangular object with lines and measure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28" descr="A diagram of a rectangular object with lines and measurements&#10;&#10;Description automatically generated"/>
                    <pic:cNvPicPr/>
                  </pic:nvPicPr>
                  <pic:blipFill>
                    <a:blip r:embed="rId40"/>
                    <a:stretch>
                      <a:fillRect/>
                    </a:stretch>
                  </pic:blipFill>
                  <pic:spPr>
                    <a:xfrm>
                      <a:off x="0" y="0"/>
                      <a:ext cx="2493677" cy="2414372"/>
                    </a:xfrm>
                    <a:prstGeom prst="rect">
                      <a:avLst/>
                    </a:prstGeom>
                  </pic:spPr>
                </pic:pic>
              </a:graphicData>
            </a:graphic>
          </wp:inline>
        </w:drawing>
      </w:r>
    </w:p>
    <w:p w14:paraId="135DFA72" w14:textId="77777777" w:rsidR="00A66A23" w:rsidRPr="004C1A96" w:rsidRDefault="00A66A23" w:rsidP="00A66A23">
      <w:pPr>
        <w:rPr>
          <w:rFonts w:ascii="ITC Avant Garde" w:hAnsi="ITC Avant Garde"/>
          <w:lang w:val="es-MX"/>
        </w:rPr>
      </w:pPr>
    </w:p>
    <w:p w14:paraId="175DAAB4" w14:textId="77777777" w:rsidR="00A66A23" w:rsidRPr="00E14D8A" w:rsidRDefault="00A66A23" w:rsidP="00A66A23">
      <w:pPr>
        <w:rPr>
          <w:rFonts w:ascii="ITC Avant Garde" w:hAnsi="ITC Avant Garde"/>
          <w:lang w:val="es-MX"/>
        </w:rPr>
      </w:pPr>
      <w:r w:rsidRPr="00E14D8A">
        <w:rPr>
          <w:rFonts w:ascii="ITC Avant Garde" w:hAnsi="ITC Avant Garde"/>
          <w:lang w:val="es-MX"/>
        </w:rPr>
        <w:t>El tamaño de las canalizaciones está dimensionado por la superficie de los cables que deben pasarse. Se considera la superficie total de los cables, y las canalizaciones están dimensionadas para ser rellenados hasta el 80% de su superficie total por la superficie total de los cables.</w:t>
      </w:r>
    </w:p>
    <w:p w14:paraId="022301B3" w14:textId="77777777" w:rsidR="00A66A23" w:rsidRPr="008F42FC" w:rsidRDefault="00A66A23" w:rsidP="003C224B">
      <w:pPr>
        <w:pStyle w:val="Ttulo4"/>
        <w:rPr>
          <w:lang w:val="es-MX"/>
        </w:rPr>
      </w:pPr>
      <w:bookmarkStart w:id="286" w:name="_Toc525665317"/>
      <w:bookmarkStart w:id="287" w:name="_Toc525665696"/>
      <w:bookmarkStart w:id="288" w:name="_Toc141975054"/>
      <w:r w:rsidRPr="008F42FC">
        <w:rPr>
          <w:lang w:val="es-MX"/>
        </w:rPr>
        <w:t>Cierres de empalme</w:t>
      </w:r>
      <w:bookmarkEnd w:id="286"/>
      <w:bookmarkEnd w:id="287"/>
      <w:bookmarkEnd w:id="288"/>
    </w:p>
    <w:p w14:paraId="1404EF7F" w14:textId="77777777" w:rsidR="00A66A23" w:rsidRPr="00E14D8A" w:rsidRDefault="00A66A23" w:rsidP="00A66A23">
      <w:pPr>
        <w:rPr>
          <w:rFonts w:ascii="ITC Avant Garde" w:hAnsi="ITC Avant Garde"/>
          <w:lang w:val="es-MX"/>
        </w:rPr>
      </w:pPr>
      <w:r w:rsidRPr="004C1A96">
        <w:rPr>
          <w:rFonts w:ascii="ITC Avant Garde" w:hAnsi="ITC Avant Garde"/>
          <w:lang w:val="es-MX"/>
        </w:rPr>
        <w:t xml:space="preserve">Las acometidas del SDP al edificio / a la dirección se consideran en un solo cable dedicado, por lo tanto, no se requiere un cierre de </w:t>
      </w:r>
      <w:r w:rsidRPr="00E14D8A">
        <w:rPr>
          <w:rFonts w:ascii="ITC Avant Garde" w:hAnsi="ITC Avant Garde"/>
          <w:lang w:val="es-MX"/>
        </w:rPr>
        <w:t>empalme entre el SDP y el edificio.</w:t>
      </w:r>
    </w:p>
    <w:p w14:paraId="1C6488D9" w14:textId="77777777" w:rsidR="00A66A23" w:rsidRPr="00E14D8A" w:rsidRDefault="00A66A23" w:rsidP="00A66A23">
      <w:pPr>
        <w:rPr>
          <w:rFonts w:ascii="ITC Avant Garde" w:hAnsi="ITC Avant Garde"/>
          <w:lang w:val="es-MX"/>
        </w:rPr>
      </w:pPr>
      <w:r w:rsidRPr="00E14D8A">
        <w:rPr>
          <w:rFonts w:ascii="ITC Avant Garde" w:hAnsi="ITC Avant Garde"/>
          <w:lang w:val="es-MX"/>
        </w:rPr>
        <w:t>Desde el SDP hasta el PDP, se utiliza un cierre de empalme cada vez que se deben agregar dos cables como se muestra en la siguiente figura. Si la sección es inferior a 15 metros, no se instala ninguna junta.</w:t>
      </w:r>
    </w:p>
    <w:p w14:paraId="57E2AFAB" w14:textId="77777777" w:rsidR="00A66A23" w:rsidRPr="00E14D8A" w:rsidRDefault="00A66A23" w:rsidP="00A66A23">
      <w:pPr>
        <w:rPr>
          <w:rFonts w:ascii="ITC Avant Garde" w:hAnsi="ITC Avant Garde"/>
          <w:lang w:val="es-MX"/>
        </w:rPr>
      </w:pPr>
    </w:p>
    <w:p w14:paraId="2E7A0DDC" w14:textId="771C912B" w:rsidR="00A66A23" w:rsidRPr="004C1A96" w:rsidRDefault="006D69ED" w:rsidP="00A66A23">
      <w:pPr>
        <w:pStyle w:val="Descripcin"/>
        <w:keepNext/>
        <w:rPr>
          <w:rFonts w:ascii="ITC Avant Garde" w:hAnsi="ITC Avant Garde"/>
          <w:lang w:val="es-MX"/>
        </w:rPr>
      </w:pPr>
      <w:r w:rsidRPr="004C1A96">
        <w:rPr>
          <w:rFonts w:ascii="ITC Avant Garde" w:hAnsi="ITC Avant Garde"/>
          <w:lang w:val="es-MX"/>
        </w:rPr>
        <w:lastRenderedPageBreak/>
        <w:t xml:space="preserve">Figura </w:t>
      </w:r>
      <w:r w:rsidRPr="004C1A96">
        <w:rPr>
          <w:rFonts w:ascii="ITC Avant Garde" w:hAnsi="ITC Avant Garde"/>
          <w:lang w:val="es-MX"/>
        </w:rPr>
        <w:fldChar w:fldCharType="begin"/>
      </w:r>
      <w:r w:rsidRPr="004C1A96">
        <w:rPr>
          <w:rFonts w:ascii="ITC Avant Garde" w:hAnsi="ITC Avant Garde"/>
          <w:lang w:val="es-MX"/>
        </w:rPr>
        <w:instrText xml:space="preserve"> SEQ Figura \* ARABIC </w:instrText>
      </w:r>
      <w:r w:rsidRPr="004C1A96">
        <w:rPr>
          <w:rFonts w:ascii="ITC Avant Garde" w:hAnsi="ITC Avant Garde"/>
          <w:lang w:val="es-MX"/>
        </w:rPr>
        <w:fldChar w:fldCharType="separate"/>
      </w:r>
      <w:r w:rsidR="00006265">
        <w:rPr>
          <w:rFonts w:ascii="ITC Avant Garde" w:hAnsi="ITC Avant Garde"/>
          <w:noProof/>
          <w:lang w:val="es-MX"/>
        </w:rPr>
        <w:t>36</w:t>
      </w:r>
      <w:r w:rsidRPr="004C1A96">
        <w:rPr>
          <w:rFonts w:ascii="ITC Avant Garde" w:hAnsi="ITC Avant Garde"/>
          <w:lang w:val="es-MX"/>
        </w:rPr>
        <w:fldChar w:fldCharType="end"/>
      </w:r>
      <w:r w:rsidRPr="004C1A96">
        <w:rPr>
          <w:rFonts w:ascii="ITC Avant Garde" w:hAnsi="ITC Avant Garde"/>
          <w:lang w:val="es-MX"/>
        </w:rPr>
        <w:t xml:space="preserve"> </w:t>
      </w:r>
      <w:r w:rsidR="00A66A23" w:rsidRPr="004C1A96">
        <w:rPr>
          <w:rFonts w:ascii="ITC Avant Garde" w:hAnsi="ITC Avant Garde"/>
          <w:lang w:val="es-MX"/>
        </w:rPr>
        <w:t>Juntas y agujeros de unión</w:t>
      </w:r>
    </w:p>
    <w:p w14:paraId="1B72897D" w14:textId="7C997711" w:rsidR="00A66A23" w:rsidRPr="004C1A96" w:rsidRDefault="00C95198" w:rsidP="00A66A23">
      <w:pPr>
        <w:jc w:val="center"/>
        <w:rPr>
          <w:rFonts w:ascii="ITC Avant Garde" w:hAnsi="ITC Avant Garde"/>
          <w:lang w:val="es-MX"/>
        </w:rPr>
      </w:pPr>
      <w:r w:rsidRPr="00872052">
        <w:rPr>
          <w:rFonts w:ascii="ITC Avant Garde" w:hAnsi="ITC Avant Garde"/>
          <w:noProof/>
          <w:lang w:val="es-MX" w:eastAsia="es-MX"/>
        </w:rPr>
        <w:drawing>
          <wp:inline distT="0" distB="0" distL="0" distR="0" wp14:anchorId="2679B6D2" wp14:editId="266762A5">
            <wp:extent cx="2698257" cy="2887345"/>
            <wp:effectExtent l="0" t="0" r="0" b="8255"/>
            <wp:docPr id="77"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00043" cy="2889256"/>
                    </a:xfrm>
                    <a:prstGeom prst="rect">
                      <a:avLst/>
                    </a:prstGeom>
                    <a:noFill/>
                    <a:ln>
                      <a:noFill/>
                    </a:ln>
                  </pic:spPr>
                </pic:pic>
              </a:graphicData>
            </a:graphic>
          </wp:inline>
        </w:drawing>
      </w:r>
    </w:p>
    <w:p w14:paraId="14114EB7" w14:textId="77777777" w:rsidR="00A66A23" w:rsidRPr="004C1A96" w:rsidRDefault="00A66A23" w:rsidP="00A66A23">
      <w:pPr>
        <w:rPr>
          <w:rFonts w:ascii="ITC Avant Garde" w:hAnsi="ITC Avant Garde"/>
          <w:lang w:val="es-MX"/>
        </w:rPr>
      </w:pPr>
    </w:p>
    <w:p w14:paraId="77056ED6" w14:textId="77777777" w:rsidR="00A66A23" w:rsidRPr="00E14D8A" w:rsidRDefault="00A66A23" w:rsidP="00A66A23">
      <w:pPr>
        <w:rPr>
          <w:rFonts w:ascii="ITC Avant Garde" w:hAnsi="ITC Avant Garde"/>
          <w:lang w:val="es-MX"/>
        </w:rPr>
      </w:pPr>
      <w:r w:rsidRPr="00E14D8A">
        <w:rPr>
          <w:rFonts w:ascii="ITC Avant Garde" w:hAnsi="ITC Avant Garde"/>
          <w:lang w:val="es-MX"/>
        </w:rPr>
        <w:t>Un cierre de empalme también se despliega en la intersección con el segundo lado. Estos cierres de empalme se despliegan en postes cuando la sección es aérea y en pozos de registro cuando está bajo tierra.</w:t>
      </w:r>
    </w:p>
    <w:p w14:paraId="2679F5F7" w14:textId="77777777" w:rsidR="00A66A23" w:rsidRPr="00E14D8A" w:rsidRDefault="00A66A23" w:rsidP="00A66A23">
      <w:pPr>
        <w:rPr>
          <w:rFonts w:ascii="ITC Avant Garde" w:hAnsi="ITC Avant Garde"/>
          <w:lang w:val="es-MX"/>
        </w:rPr>
      </w:pPr>
    </w:p>
    <w:p w14:paraId="2FDDBFB3" w14:textId="0D3A75BE" w:rsidR="00A66A23" w:rsidRPr="004C1A96" w:rsidRDefault="006D69ED" w:rsidP="00A66A23">
      <w:pPr>
        <w:pStyle w:val="Descripcin"/>
        <w:keepNext/>
        <w:rPr>
          <w:rFonts w:ascii="ITC Avant Garde" w:hAnsi="ITC Avant Garde"/>
          <w:lang w:val="es-MX"/>
        </w:rPr>
      </w:pPr>
      <w:r w:rsidRPr="004C1A96">
        <w:rPr>
          <w:rFonts w:ascii="ITC Avant Garde" w:hAnsi="ITC Avant Garde"/>
          <w:lang w:val="es-MX"/>
        </w:rPr>
        <w:t xml:space="preserve">Figura </w:t>
      </w:r>
      <w:r w:rsidRPr="004C1A96">
        <w:rPr>
          <w:rFonts w:ascii="ITC Avant Garde" w:hAnsi="ITC Avant Garde"/>
          <w:lang w:val="es-MX"/>
        </w:rPr>
        <w:fldChar w:fldCharType="begin"/>
      </w:r>
      <w:r w:rsidRPr="004C1A96">
        <w:rPr>
          <w:rFonts w:ascii="ITC Avant Garde" w:hAnsi="ITC Avant Garde"/>
          <w:lang w:val="es-MX"/>
        </w:rPr>
        <w:instrText xml:space="preserve"> SEQ Figura \* ARABIC </w:instrText>
      </w:r>
      <w:r w:rsidRPr="004C1A96">
        <w:rPr>
          <w:rFonts w:ascii="ITC Avant Garde" w:hAnsi="ITC Avant Garde"/>
          <w:lang w:val="es-MX"/>
        </w:rPr>
        <w:fldChar w:fldCharType="separate"/>
      </w:r>
      <w:r w:rsidR="00006265">
        <w:rPr>
          <w:rFonts w:ascii="ITC Avant Garde" w:hAnsi="ITC Avant Garde"/>
          <w:noProof/>
          <w:lang w:val="es-MX"/>
        </w:rPr>
        <w:t>37</w:t>
      </w:r>
      <w:r w:rsidRPr="004C1A96">
        <w:rPr>
          <w:rFonts w:ascii="ITC Avant Garde" w:hAnsi="ITC Avant Garde"/>
          <w:lang w:val="es-MX"/>
        </w:rPr>
        <w:fldChar w:fldCharType="end"/>
      </w:r>
      <w:r w:rsidRPr="004C1A96">
        <w:rPr>
          <w:rFonts w:ascii="ITC Avant Garde" w:hAnsi="ITC Avant Garde"/>
          <w:lang w:val="es-MX"/>
        </w:rPr>
        <w:t xml:space="preserve"> </w:t>
      </w:r>
      <w:r w:rsidR="00A66A23" w:rsidRPr="004C1A96">
        <w:rPr>
          <w:rFonts w:ascii="ITC Avant Garde" w:hAnsi="ITC Avant Garde"/>
          <w:lang w:val="es-MX"/>
        </w:rPr>
        <w:t>Cierres en cruces</w:t>
      </w:r>
    </w:p>
    <w:p w14:paraId="69100DFE" w14:textId="6E37E30D" w:rsidR="00A66A23" w:rsidRPr="004C1A96" w:rsidRDefault="00C95198" w:rsidP="00A66A23">
      <w:pPr>
        <w:jc w:val="center"/>
        <w:rPr>
          <w:rFonts w:ascii="ITC Avant Garde" w:hAnsi="ITC Avant Garde"/>
          <w:lang w:val="es-MX"/>
        </w:rPr>
      </w:pPr>
      <w:r w:rsidRPr="00872052">
        <w:rPr>
          <w:rFonts w:ascii="ITC Avant Garde" w:hAnsi="ITC Avant Garde"/>
          <w:noProof/>
          <w:lang w:val="es-MX" w:eastAsia="es-MX"/>
        </w:rPr>
        <w:drawing>
          <wp:inline distT="0" distB="0" distL="0" distR="0" wp14:anchorId="710E6CB2" wp14:editId="516CD5FC">
            <wp:extent cx="4754880" cy="1577848"/>
            <wp:effectExtent l="0" t="0" r="7620" b="3810"/>
            <wp:docPr id="78" name="Image 124" descr="A road with a road and a road with a road and a road with a road and a road with a road and a road with a road and a road with a road and a road w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124" descr="A road with a road and a road with a road and a road with a road and a road with a road and a road with a road and a road with a road and a road with&#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76518" cy="1585028"/>
                    </a:xfrm>
                    <a:prstGeom prst="rect">
                      <a:avLst/>
                    </a:prstGeom>
                    <a:noFill/>
                  </pic:spPr>
                </pic:pic>
              </a:graphicData>
            </a:graphic>
          </wp:inline>
        </w:drawing>
      </w:r>
    </w:p>
    <w:p w14:paraId="27F5AC8E" w14:textId="77777777" w:rsidR="00A66A23" w:rsidRPr="008F42FC" w:rsidRDefault="00A66A23" w:rsidP="003C224B">
      <w:pPr>
        <w:pStyle w:val="Ttulo4"/>
        <w:rPr>
          <w:lang w:val="es-MX"/>
        </w:rPr>
      </w:pPr>
      <w:bookmarkStart w:id="289" w:name="_Toc525672878"/>
      <w:bookmarkStart w:id="290" w:name="_Toc525665318"/>
      <w:bookmarkStart w:id="291" w:name="_Toc525665697"/>
      <w:bookmarkStart w:id="292" w:name="_Toc141975055"/>
      <w:r w:rsidRPr="008F42FC">
        <w:rPr>
          <w:lang w:val="es-MX"/>
        </w:rPr>
        <w:t>Bocas de alcantarillas (Pozos)</w:t>
      </w:r>
      <w:bookmarkEnd w:id="289"/>
      <w:bookmarkEnd w:id="290"/>
      <w:bookmarkEnd w:id="291"/>
      <w:bookmarkEnd w:id="292"/>
    </w:p>
    <w:p w14:paraId="16E990EA" w14:textId="77777777" w:rsidR="00A66A23" w:rsidRPr="004C1A96" w:rsidRDefault="00A66A23" w:rsidP="00A66A23">
      <w:pPr>
        <w:rPr>
          <w:rFonts w:ascii="ITC Avant Garde" w:hAnsi="ITC Avant Garde"/>
          <w:lang w:val="es-MX"/>
        </w:rPr>
      </w:pPr>
      <w:r w:rsidRPr="004C1A96">
        <w:rPr>
          <w:rFonts w:ascii="ITC Avant Garde" w:hAnsi="ITC Avant Garde"/>
          <w:lang w:val="es-MX"/>
        </w:rPr>
        <w:t>Un Pozo es una caja subterránea donde se instalan los cierres de empalme y se puede acceder fácilmente.</w:t>
      </w:r>
    </w:p>
    <w:p w14:paraId="196925DF" w14:textId="77777777" w:rsidR="00A66A23" w:rsidRPr="004C1A96" w:rsidRDefault="00A66A23" w:rsidP="00A66A23">
      <w:pPr>
        <w:rPr>
          <w:rFonts w:ascii="ITC Avant Garde" w:hAnsi="ITC Avant Garde"/>
          <w:lang w:val="es-MX"/>
        </w:rPr>
      </w:pPr>
      <w:r w:rsidRPr="004C1A96">
        <w:rPr>
          <w:rFonts w:ascii="ITC Avant Garde" w:hAnsi="ITC Avant Garde"/>
          <w:lang w:val="es-MX"/>
        </w:rPr>
        <w:t>En el modelo, esta categoría de activos incluye un tipo de cámaras que se implementa en una red. En el cálculo se utiliza un costo unitario de pozo único y representa una configuración promedio.</w:t>
      </w:r>
    </w:p>
    <w:p w14:paraId="71DE8CB6" w14:textId="77777777" w:rsidR="00A66A23" w:rsidRPr="00E14D8A" w:rsidRDefault="00A66A23" w:rsidP="00A66A23">
      <w:pPr>
        <w:rPr>
          <w:rFonts w:ascii="ITC Avant Garde" w:hAnsi="ITC Avant Garde"/>
          <w:lang w:val="es-MX"/>
        </w:rPr>
      </w:pPr>
      <w:r w:rsidRPr="00E14D8A">
        <w:rPr>
          <w:rFonts w:ascii="ITC Avant Garde" w:hAnsi="ITC Avant Garde"/>
          <w:lang w:val="es-MX"/>
        </w:rPr>
        <w:t>Se determina el número de pozos de visita, de modo que la cantidad de equipos subterráneos, por ejemplo, comunes y transversales, podría ser de libre acceso.</w:t>
      </w:r>
    </w:p>
    <w:p w14:paraId="01C924DF" w14:textId="77777777" w:rsidR="00A66A23" w:rsidRPr="004C1A96" w:rsidRDefault="00A66A23" w:rsidP="00A66A23">
      <w:pPr>
        <w:rPr>
          <w:rFonts w:ascii="ITC Avant Garde" w:hAnsi="ITC Avant Garde"/>
          <w:lang w:val="es-MX"/>
        </w:rPr>
      </w:pPr>
      <w:r w:rsidRPr="00E14D8A">
        <w:rPr>
          <w:rFonts w:ascii="ITC Avant Garde" w:hAnsi="ITC Avant Garde"/>
          <w:lang w:val="es-MX"/>
        </w:rPr>
        <w:lastRenderedPageBreak/>
        <w:t>Solo se despliega una boca de alcantarilla / "Pozo" por posición de junta, independientemente del número de u</w:t>
      </w:r>
      <w:r w:rsidRPr="004C1A96">
        <w:rPr>
          <w:rFonts w:ascii="ITC Avant Garde" w:hAnsi="ITC Avant Garde"/>
          <w:lang w:val="es-MX"/>
        </w:rPr>
        <w:t>niones desplegadas en la misma posición.</w:t>
      </w:r>
    </w:p>
    <w:p w14:paraId="1C983124" w14:textId="77777777" w:rsidR="00A66A23" w:rsidRPr="004C1A96" w:rsidRDefault="00A66A23" w:rsidP="00A66A23">
      <w:pPr>
        <w:rPr>
          <w:rFonts w:ascii="ITC Avant Garde" w:hAnsi="ITC Avant Garde"/>
          <w:lang w:val="es-MX"/>
        </w:rPr>
      </w:pPr>
      <w:r w:rsidRPr="004C1A96">
        <w:rPr>
          <w:rFonts w:ascii="ITC Avant Garde" w:hAnsi="ITC Avant Garde"/>
          <w:lang w:val="es-MX"/>
        </w:rPr>
        <w:t>Los pozos de registros se asignan siguiendo las mismas claves de asignación que los cierres de empalme.</w:t>
      </w:r>
    </w:p>
    <w:p w14:paraId="15A1F96A" w14:textId="1CBB062A" w:rsidR="00A66A23" w:rsidRPr="004C1A96" w:rsidRDefault="006D69ED" w:rsidP="00A66A23">
      <w:pPr>
        <w:pStyle w:val="Descripcin"/>
        <w:keepNext/>
        <w:rPr>
          <w:rFonts w:ascii="ITC Avant Garde" w:hAnsi="ITC Avant Garde"/>
          <w:lang w:val="es-MX"/>
        </w:rPr>
      </w:pPr>
      <w:r w:rsidRPr="004C1A96">
        <w:rPr>
          <w:rFonts w:ascii="ITC Avant Garde" w:hAnsi="ITC Avant Garde"/>
          <w:lang w:val="es-MX"/>
        </w:rPr>
        <w:t xml:space="preserve">Figura </w:t>
      </w:r>
      <w:r w:rsidRPr="004C1A96">
        <w:rPr>
          <w:rFonts w:ascii="ITC Avant Garde" w:hAnsi="ITC Avant Garde"/>
          <w:lang w:val="es-MX"/>
        </w:rPr>
        <w:fldChar w:fldCharType="begin"/>
      </w:r>
      <w:r w:rsidRPr="004C1A96">
        <w:rPr>
          <w:rFonts w:ascii="ITC Avant Garde" w:hAnsi="ITC Avant Garde"/>
          <w:lang w:val="es-MX"/>
        </w:rPr>
        <w:instrText xml:space="preserve"> SEQ Figura \* ARABIC </w:instrText>
      </w:r>
      <w:r w:rsidRPr="004C1A96">
        <w:rPr>
          <w:rFonts w:ascii="ITC Avant Garde" w:hAnsi="ITC Avant Garde"/>
          <w:lang w:val="es-MX"/>
        </w:rPr>
        <w:fldChar w:fldCharType="separate"/>
      </w:r>
      <w:r w:rsidR="00006265">
        <w:rPr>
          <w:rFonts w:ascii="ITC Avant Garde" w:hAnsi="ITC Avant Garde"/>
          <w:noProof/>
          <w:lang w:val="es-MX"/>
        </w:rPr>
        <w:t>38</w:t>
      </w:r>
      <w:r w:rsidRPr="004C1A96">
        <w:rPr>
          <w:rFonts w:ascii="ITC Avant Garde" w:hAnsi="ITC Avant Garde"/>
          <w:lang w:val="es-MX"/>
        </w:rPr>
        <w:fldChar w:fldCharType="end"/>
      </w:r>
      <w:r w:rsidRPr="004C1A96">
        <w:rPr>
          <w:rFonts w:ascii="ITC Avant Garde" w:hAnsi="ITC Avant Garde"/>
          <w:lang w:val="es-MX"/>
        </w:rPr>
        <w:t xml:space="preserve"> </w:t>
      </w:r>
      <w:r w:rsidR="00A66A23" w:rsidRPr="004C1A96">
        <w:rPr>
          <w:rFonts w:ascii="ITC Avant Garde" w:hAnsi="ITC Avant Garde"/>
          <w:lang w:val="es-MX"/>
        </w:rPr>
        <w:t>Cierres y pozos</w:t>
      </w:r>
    </w:p>
    <w:p w14:paraId="01EA1EFE" w14:textId="062B14A0" w:rsidR="00C95198" w:rsidRDefault="00C95198" w:rsidP="00A66A23">
      <w:pPr>
        <w:jc w:val="center"/>
        <w:rPr>
          <w:rFonts w:ascii="ITC Avant Garde" w:hAnsi="ITC Avant Garde"/>
          <w:lang w:val="es-MX"/>
        </w:rPr>
      </w:pPr>
      <w:r w:rsidRPr="00872052">
        <w:rPr>
          <w:rFonts w:ascii="ITC Avant Garde" w:hAnsi="ITC Avant Garde"/>
          <w:noProof/>
          <w:lang w:val="es-MX" w:eastAsia="es-MX"/>
        </w:rPr>
        <w:drawing>
          <wp:inline distT="0" distB="0" distL="0" distR="0" wp14:anchorId="3DC300BD" wp14:editId="7D00187D">
            <wp:extent cx="3151776" cy="2966085"/>
            <wp:effectExtent l="0" t="0" r="0" b="5715"/>
            <wp:docPr id="79" name="Image 44"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44" descr="A diagram of a machine&#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54062" cy="2968237"/>
                    </a:xfrm>
                    <a:prstGeom prst="rect">
                      <a:avLst/>
                    </a:prstGeom>
                    <a:noFill/>
                  </pic:spPr>
                </pic:pic>
              </a:graphicData>
            </a:graphic>
          </wp:inline>
        </w:drawing>
      </w:r>
    </w:p>
    <w:p w14:paraId="4625EFE5" w14:textId="3870FE8E" w:rsidR="00A66A23" w:rsidRPr="00722642" w:rsidRDefault="00C95198" w:rsidP="00B651E9">
      <w:pPr>
        <w:tabs>
          <w:tab w:val="left" w:pos="3654"/>
        </w:tabs>
        <w:rPr>
          <w:rFonts w:ascii="ITC Avant Garde" w:hAnsi="ITC Avant Garde"/>
          <w:lang w:val="es-MX"/>
        </w:rPr>
      </w:pPr>
      <w:r>
        <w:rPr>
          <w:rFonts w:ascii="ITC Avant Garde" w:hAnsi="ITC Avant Garde"/>
          <w:lang w:val="es-MX"/>
        </w:rPr>
        <w:tab/>
      </w:r>
    </w:p>
    <w:p w14:paraId="0DB3B4B1" w14:textId="77777777" w:rsidR="00A66A23" w:rsidRPr="008F42FC" w:rsidRDefault="00A66A23" w:rsidP="003C224B">
      <w:pPr>
        <w:pStyle w:val="Ttulo4"/>
        <w:rPr>
          <w:lang w:val="es-MX"/>
        </w:rPr>
      </w:pPr>
      <w:bookmarkStart w:id="293" w:name="_Toc525672879"/>
      <w:bookmarkStart w:id="294" w:name="_Toc525665319"/>
      <w:bookmarkStart w:id="295" w:name="_Toc525665698"/>
      <w:bookmarkStart w:id="296" w:name="_Toc141975056"/>
      <w:r w:rsidRPr="008F42FC">
        <w:rPr>
          <w:lang w:val="es-MX"/>
        </w:rPr>
        <w:t>Postes</w:t>
      </w:r>
      <w:bookmarkEnd w:id="293"/>
      <w:bookmarkEnd w:id="294"/>
      <w:bookmarkEnd w:id="295"/>
      <w:bookmarkEnd w:id="296"/>
    </w:p>
    <w:p w14:paraId="4227A98B" w14:textId="77777777" w:rsidR="00A66A23" w:rsidRPr="00E14D8A" w:rsidRDefault="00A66A23" w:rsidP="00A66A23">
      <w:pPr>
        <w:rPr>
          <w:rFonts w:ascii="ITC Avant Garde" w:hAnsi="ITC Avant Garde"/>
          <w:lang w:val="es-MX"/>
        </w:rPr>
      </w:pPr>
      <w:r w:rsidRPr="004C1A96">
        <w:rPr>
          <w:rFonts w:ascii="ITC Avant Garde" w:hAnsi="ITC Avant Garde"/>
          <w:lang w:val="es-MX"/>
        </w:rPr>
        <w:t>Según las respuestas del AEP</w:t>
      </w:r>
      <w:r w:rsidRPr="00E14D8A">
        <w:rPr>
          <w:rFonts w:ascii="ITC Avant Garde" w:hAnsi="ITC Avant Garde"/>
          <w:lang w:val="es-MX"/>
        </w:rPr>
        <w:t>, la red primaria se construye principalmente utilizando infraestructura subterránea, mientras que la red secundaria y la acometida se implementan principalmente por aéreo.</w:t>
      </w:r>
    </w:p>
    <w:p w14:paraId="06A00FAB" w14:textId="77777777" w:rsidR="00A66A23" w:rsidRPr="004C1A96" w:rsidRDefault="00A66A23" w:rsidP="00A66A23">
      <w:pPr>
        <w:rPr>
          <w:rFonts w:ascii="ITC Avant Garde" w:hAnsi="ITC Avant Garde"/>
          <w:lang w:val="es-MX"/>
        </w:rPr>
      </w:pPr>
      <w:r w:rsidRPr="00E14D8A">
        <w:rPr>
          <w:rFonts w:ascii="ITC Avant Garde" w:hAnsi="ITC Avant Garde"/>
          <w:lang w:val="es-MX"/>
        </w:rPr>
        <w:t>Esto es consistente con el hecho de que la red primaria generalmente contiene una cantidad importante de c</w:t>
      </w:r>
      <w:r w:rsidRPr="004C1A96">
        <w:rPr>
          <w:rFonts w:ascii="ITC Avant Garde" w:hAnsi="ITC Avant Garde"/>
          <w:lang w:val="es-MX"/>
        </w:rPr>
        <w:t>ables de gran tamaño, ya que agrega los cables de la acometida y la red secundaria. Como la capacidad de los postes es limitada, no permite acudir cables de gran tamaño, por lo que la red principal se despliega completamente bajo tierra.</w:t>
      </w:r>
    </w:p>
    <w:p w14:paraId="4585C240" w14:textId="77777777" w:rsidR="00A66A23" w:rsidRPr="004C1A96" w:rsidRDefault="00A66A23" w:rsidP="00A66A23">
      <w:pPr>
        <w:rPr>
          <w:rFonts w:ascii="ITC Avant Garde" w:hAnsi="ITC Avant Garde"/>
          <w:lang w:val="es-MX"/>
        </w:rPr>
      </w:pPr>
      <w:r w:rsidRPr="004C1A96">
        <w:rPr>
          <w:rFonts w:ascii="ITC Avant Garde" w:hAnsi="ITC Avant Garde"/>
          <w:lang w:val="es-MX"/>
        </w:rPr>
        <w:t>En la red secundaria y en la acometida, la red aérea está permitida si los cables en tránsito en la sección son más bajos que la capacidad máxima permitida.</w:t>
      </w:r>
    </w:p>
    <w:p w14:paraId="3779F4C1" w14:textId="77777777" w:rsidR="00A66A23" w:rsidRPr="004C1A96" w:rsidRDefault="00A66A23" w:rsidP="00A66A23">
      <w:pPr>
        <w:rPr>
          <w:rFonts w:ascii="ITC Avant Garde" w:hAnsi="ITC Avant Garde"/>
          <w:lang w:val="es-MX"/>
        </w:rPr>
      </w:pPr>
      <w:r w:rsidRPr="004C1A96">
        <w:rPr>
          <w:rFonts w:ascii="ITC Avant Garde" w:hAnsi="ITC Avant Garde"/>
          <w:lang w:val="es-MX"/>
        </w:rPr>
        <w:t>La capacidad máxima permitida por aéreo es la combinación de dos parámetros de entrada:</w:t>
      </w:r>
    </w:p>
    <w:p w14:paraId="5CAF7258" w14:textId="77777777" w:rsidR="00A66A23" w:rsidRPr="004C1A96" w:rsidRDefault="00A66A23" w:rsidP="00A66A23">
      <w:pPr>
        <w:pStyle w:val="Listaconvietas2"/>
        <w:rPr>
          <w:rFonts w:ascii="ITC Avant Garde" w:hAnsi="ITC Avant Garde"/>
          <w:lang w:val="es-MX"/>
        </w:rPr>
      </w:pPr>
      <w:r w:rsidRPr="004C1A96">
        <w:rPr>
          <w:rFonts w:ascii="ITC Avant Garde" w:hAnsi="ITC Avant Garde"/>
          <w:lang w:val="es-MX"/>
        </w:rPr>
        <w:t>MaxPoleCapa, que es el tamaño máximo de cables permitido en la red aérea;</w:t>
      </w:r>
    </w:p>
    <w:p w14:paraId="51C278D4" w14:textId="77777777" w:rsidR="00A66A23" w:rsidRPr="004C1A96" w:rsidRDefault="00A66A23" w:rsidP="00A66A23">
      <w:pPr>
        <w:pStyle w:val="Listaconvietas2"/>
        <w:rPr>
          <w:rFonts w:ascii="ITC Avant Garde" w:hAnsi="ITC Avant Garde"/>
          <w:lang w:val="es-MX"/>
        </w:rPr>
      </w:pPr>
      <w:r w:rsidRPr="004C1A96">
        <w:rPr>
          <w:rFonts w:ascii="ITC Avant Garde" w:hAnsi="ITC Avant Garde"/>
          <w:lang w:val="es-MX"/>
        </w:rPr>
        <w:t>MaxNbPoles, que es la cantidad máxima de cables (cuya capacidad es MaxPoleCapa) que se permite en la red aérea.</w:t>
      </w:r>
    </w:p>
    <w:p w14:paraId="2CA23535" w14:textId="77777777" w:rsidR="00A66A23" w:rsidRPr="004C1A96" w:rsidRDefault="00A66A23" w:rsidP="00A66A23">
      <w:pPr>
        <w:rPr>
          <w:rFonts w:ascii="ITC Avant Garde" w:hAnsi="ITC Avant Garde"/>
          <w:lang w:val="es-MX"/>
        </w:rPr>
      </w:pPr>
      <w:r w:rsidRPr="004C1A96">
        <w:rPr>
          <w:rFonts w:ascii="ITC Avant Garde" w:hAnsi="ITC Avant Garde"/>
          <w:lang w:val="es-MX"/>
        </w:rPr>
        <w:lastRenderedPageBreak/>
        <w:t>Por lo tanto, en la red primaria no se implementa red aérea mientras que en los otros segmentos se implementa cuando la cantidad de cable x su tamaño es inferior a MaxPoleCapa x MaxNbPoles.</w:t>
      </w:r>
    </w:p>
    <w:p w14:paraId="65E00413" w14:textId="77777777" w:rsidR="00A66A23" w:rsidRPr="004C1A96" w:rsidRDefault="00A66A23" w:rsidP="00A66A23">
      <w:pPr>
        <w:rPr>
          <w:rFonts w:ascii="ITC Avant Garde" w:hAnsi="ITC Avant Garde"/>
          <w:lang w:val="es-MX"/>
        </w:rPr>
      </w:pPr>
      <w:r w:rsidRPr="004C1A96">
        <w:rPr>
          <w:rFonts w:ascii="ITC Avant Garde" w:hAnsi="ITC Avant Garde"/>
          <w:lang w:val="es-MX"/>
        </w:rPr>
        <w:t>Además, en la red aérea, los postes están desplegados en ambos lados de la sección.</w:t>
      </w:r>
    </w:p>
    <w:p w14:paraId="5E09343A" w14:textId="77777777" w:rsidR="00A66A23" w:rsidRPr="004C1A96" w:rsidRDefault="00A66A23" w:rsidP="00A66A23">
      <w:pPr>
        <w:rPr>
          <w:rFonts w:ascii="ITC Avant Garde" w:hAnsi="ITC Avant Garde"/>
          <w:lang w:val="es-MX"/>
        </w:rPr>
      </w:pPr>
      <w:r w:rsidRPr="004C1A96">
        <w:rPr>
          <w:rFonts w:ascii="ITC Avant Garde" w:hAnsi="ITC Avant Garde"/>
          <w:lang w:val="es-MX"/>
        </w:rPr>
        <w:t>Están ubicados según las siguientes reglas:</w:t>
      </w:r>
    </w:p>
    <w:p w14:paraId="2225816B" w14:textId="77777777" w:rsidR="00A66A23" w:rsidRPr="004C1A96" w:rsidRDefault="00A66A23" w:rsidP="00A66A23">
      <w:pPr>
        <w:pStyle w:val="Listaconvietas2"/>
        <w:rPr>
          <w:rFonts w:ascii="ITC Avant Garde" w:hAnsi="ITC Avant Garde"/>
          <w:lang w:val="es-MX"/>
        </w:rPr>
      </w:pPr>
      <w:r w:rsidRPr="004C1A96">
        <w:rPr>
          <w:rFonts w:ascii="ITC Avant Garde" w:hAnsi="ITC Avant Garde"/>
          <w:lang w:val="es-MX"/>
        </w:rPr>
        <w:t>Distancia máxima entre postes (el parámetro de control es "MaxDistancePoles");</w:t>
      </w:r>
    </w:p>
    <w:p w14:paraId="13E2B260" w14:textId="77777777" w:rsidR="00A66A23" w:rsidRPr="004C1A96" w:rsidRDefault="00A66A23" w:rsidP="00A66A23">
      <w:pPr>
        <w:pStyle w:val="Listaconvietas2"/>
        <w:rPr>
          <w:rFonts w:ascii="ITC Avant Garde" w:hAnsi="ITC Avant Garde"/>
          <w:lang w:val="es-MX"/>
        </w:rPr>
      </w:pPr>
      <w:r w:rsidRPr="004C1A96">
        <w:rPr>
          <w:rFonts w:ascii="ITC Avant Garde" w:hAnsi="ITC Avant Garde"/>
          <w:lang w:val="es-MX"/>
        </w:rPr>
        <w:t>Equipo de cable aéreo (SDP, cierres de empalme), que debe desplegarse en los postes.</w:t>
      </w:r>
    </w:p>
    <w:p w14:paraId="7AE1D1CE" w14:textId="77777777" w:rsidR="00A66A23" w:rsidRPr="004C1A96" w:rsidRDefault="00A66A23" w:rsidP="00A66A23">
      <w:pPr>
        <w:pStyle w:val="Listaconvietas2"/>
        <w:numPr>
          <w:ilvl w:val="0"/>
          <w:numId w:val="0"/>
        </w:numPr>
        <w:ind w:left="643"/>
        <w:rPr>
          <w:rFonts w:ascii="ITC Avant Garde" w:hAnsi="ITC Avant Garde"/>
          <w:lang w:val="es-MX"/>
        </w:rPr>
      </w:pPr>
    </w:p>
    <w:p w14:paraId="443AD03C" w14:textId="09B4EBF5" w:rsidR="00A66A23" w:rsidRPr="004C1A96" w:rsidRDefault="006D69ED" w:rsidP="00A66A23">
      <w:pPr>
        <w:pStyle w:val="Descripcin"/>
        <w:keepNext/>
        <w:rPr>
          <w:rFonts w:ascii="ITC Avant Garde" w:hAnsi="ITC Avant Garde"/>
          <w:lang w:val="es-MX"/>
        </w:rPr>
      </w:pPr>
      <w:r w:rsidRPr="004C1A96">
        <w:rPr>
          <w:rFonts w:ascii="ITC Avant Garde" w:hAnsi="ITC Avant Garde"/>
          <w:lang w:val="es-MX"/>
        </w:rPr>
        <w:t xml:space="preserve">Figura </w:t>
      </w:r>
      <w:r w:rsidRPr="004C1A96">
        <w:rPr>
          <w:rFonts w:ascii="ITC Avant Garde" w:hAnsi="ITC Avant Garde"/>
          <w:lang w:val="es-MX"/>
        </w:rPr>
        <w:fldChar w:fldCharType="begin"/>
      </w:r>
      <w:r w:rsidRPr="004C1A96">
        <w:rPr>
          <w:rFonts w:ascii="ITC Avant Garde" w:hAnsi="ITC Avant Garde"/>
          <w:lang w:val="es-MX"/>
        </w:rPr>
        <w:instrText xml:space="preserve"> SEQ Figura \* ARABIC </w:instrText>
      </w:r>
      <w:r w:rsidRPr="004C1A96">
        <w:rPr>
          <w:rFonts w:ascii="ITC Avant Garde" w:hAnsi="ITC Avant Garde"/>
          <w:lang w:val="es-MX"/>
        </w:rPr>
        <w:fldChar w:fldCharType="separate"/>
      </w:r>
      <w:r w:rsidR="00006265">
        <w:rPr>
          <w:rFonts w:ascii="ITC Avant Garde" w:hAnsi="ITC Avant Garde"/>
          <w:noProof/>
          <w:lang w:val="es-MX"/>
        </w:rPr>
        <w:t>39</w:t>
      </w:r>
      <w:r w:rsidRPr="004C1A96">
        <w:rPr>
          <w:rFonts w:ascii="ITC Avant Garde" w:hAnsi="ITC Avant Garde"/>
          <w:lang w:val="es-MX"/>
        </w:rPr>
        <w:fldChar w:fldCharType="end"/>
      </w:r>
      <w:r w:rsidRPr="004C1A96">
        <w:rPr>
          <w:rFonts w:ascii="ITC Avant Garde" w:hAnsi="ITC Avant Garde"/>
          <w:lang w:val="es-MX"/>
        </w:rPr>
        <w:t xml:space="preserve"> </w:t>
      </w:r>
      <w:r w:rsidR="00A66A23" w:rsidRPr="004C1A96">
        <w:rPr>
          <w:rFonts w:ascii="ITC Avant Garde" w:hAnsi="ITC Avant Garde"/>
          <w:lang w:val="es-MX"/>
        </w:rPr>
        <w:t>Ubicación de los postes</w:t>
      </w:r>
    </w:p>
    <w:p w14:paraId="1F536624" w14:textId="3687A8AB" w:rsidR="00A66A23" w:rsidRPr="004C1A96" w:rsidRDefault="00C95198" w:rsidP="00A66A23">
      <w:pPr>
        <w:jc w:val="center"/>
        <w:rPr>
          <w:rFonts w:ascii="ITC Avant Garde" w:hAnsi="ITC Avant Garde"/>
          <w:lang w:val="es-MX"/>
        </w:rPr>
      </w:pPr>
      <w:r w:rsidRPr="00872052">
        <w:rPr>
          <w:rFonts w:ascii="ITC Avant Garde" w:hAnsi="ITC Avant Garde"/>
          <w:noProof/>
          <w:lang w:val="es-MX" w:eastAsia="es-MX"/>
        </w:rPr>
        <w:drawing>
          <wp:inline distT="0" distB="0" distL="0" distR="0" wp14:anchorId="0D5E833D" wp14:editId="7DDD69D6">
            <wp:extent cx="5399405" cy="2118290"/>
            <wp:effectExtent l="0" t="0" r="0" b="0"/>
            <wp:docPr id="80" name="Image 27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270" descr="A screenshot of a video gam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99405" cy="2118290"/>
                    </a:xfrm>
                    <a:prstGeom prst="rect">
                      <a:avLst/>
                    </a:prstGeom>
                    <a:noFill/>
                  </pic:spPr>
                </pic:pic>
              </a:graphicData>
            </a:graphic>
          </wp:inline>
        </w:drawing>
      </w:r>
    </w:p>
    <w:p w14:paraId="65F0FD0A" w14:textId="77777777" w:rsidR="00A66A23" w:rsidRPr="008F42FC" w:rsidRDefault="00A66A23" w:rsidP="003C224B">
      <w:pPr>
        <w:pStyle w:val="Ttulo4"/>
        <w:rPr>
          <w:lang w:val="es-MX"/>
        </w:rPr>
      </w:pPr>
      <w:bookmarkStart w:id="297" w:name="_Toc525672880"/>
      <w:bookmarkStart w:id="298" w:name="_Toc525665320"/>
      <w:bookmarkStart w:id="299" w:name="_Toc525665699"/>
      <w:bookmarkStart w:id="300" w:name="_Toc141975057"/>
      <w:r w:rsidRPr="008F42FC">
        <w:rPr>
          <w:lang w:val="es-MX"/>
        </w:rPr>
        <w:t>Cálculo de longitud de zanjas / "canalizaciones"</w:t>
      </w:r>
      <w:bookmarkEnd w:id="297"/>
      <w:bookmarkEnd w:id="298"/>
      <w:bookmarkEnd w:id="299"/>
      <w:bookmarkEnd w:id="300"/>
    </w:p>
    <w:p w14:paraId="692855BA" w14:textId="77777777" w:rsidR="00A66A23" w:rsidRPr="00E14D8A" w:rsidRDefault="00A66A23" w:rsidP="00A66A23">
      <w:pPr>
        <w:rPr>
          <w:rFonts w:ascii="ITC Avant Garde" w:hAnsi="ITC Avant Garde"/>
          <w:lang w:val="es-MX"/>
        </w:rPr>
      </w:pPr>
      <w:r w:rsidRPr="004C1A96">
        <w:rPr>
          <w:rFonts w:ascii="ITC Avant Garde" w:hAnsi="ITC Avant Garde"/>
          <w:lang w:val="es-MX"/>
        </w:rPr>
        <w:t xml:space="preserve">Cuando se deben cavar </w:t>
      </w:r>
      <w:r w:rsidRPr="00E14D8A">
        <w:rPr>
          <w:rFonts w:ascii="ITC Avant Garde" w:hAnsi="ITC Avant Garde"/>
          <w:lang w:val="es-MX"/>
        </w:rPr>
        <w:t>zanjas / "canalizaciones" en ambos lados de la carretera, hay dos configuraciones principales para la longitud de las zanjas.</w:t>
      </w:r>
    </w:p>
    <w:p w14:paraId="4B6DAC64" w14:textId="6655372B" w:rsidR="00A66A23" w:rsidRPr="004C1A96" w:rsidRDefault="006D69ED" w:rsidP="00A66A23">
      <w:pPr>
        <w:pStyle w:val="Descripcin"/>
        <w:keepNext/>
        <w:rPr>
          <w:rFonts w:ascii="ITC Avant Garde" w:hAnsi="ITC Avant Garde"/>
          <w:lang w:val="es-MX"/>
        </w:rPr>
      </w:pPr>
      <w:r w:rsidRPr="00E14D8A">
        <w:rPr>
          <w:rFonts w:ascii="ITC Avant Garde" w:hAnsi="ITC Avant Garde"/>
          <w:lang w:val="es-MX"/>
        </w:rPr>
        <w:t xml:space="preserve">Figura </w:t>
      </w:r>
      <w:r w:rsidRPr="004C1A96">
        <w:rPr>
          <w:rFonts w:ascii="ITC Avant Garde" w:hAnsi="ITC Avant Garde"/>
          <w:lang w:val="es-MX"/>
        </w:rPr>
        <w:fldChar w:fldCharType="begin"/>
      </w:r>
      <w:r w:rsidRPr="004C1A96">
        <w:rPr>
          <w:rFonts w:ascii="ITC Avant Garde" w:hAnsi="ITC Avant Garde"/>
          <w:lang w:val="es-MX"/>
        </w:rPr>
        <w:instrText xml:space="preserve"> SEQ Figura \* ARABIC </w:instrText>
      </w:r>
      <w:r w:rsidRPr="004C1A96">
        <w:rPr>
          <w:rFonts w:ascii="ITC Avant Garde" w:hAnsi="ITC Avant Garde"/>
          <w:lang w:val="es-MX"/>
        </w:rPr>
        <w:fldChar w:fldCharType="separate"/>
      </w:r>
      <w:r w:rsidR="00006265">
        <w:rPr>
          <w:rFonts w:ascii="ITC Avant Garde" w:hAnsi="ITC Avant Garde"/>
          <w:noProof/>
          <w:lang w:val="es-MX"/>
        </w:rPr>
        <w:t>40</w:t>
      </w:r>
      <w:r w:rsidRPr="004C1A96">
        <w:rPr>
          <w:rFonts w:ascii="ITC Avant Garde" w:hAnsi="ITC Avant Garde"/>
          <w:lang w:val="es-MX"/>
        </w:rPr>
        <w:fldChar w:fldCharType="end"/>
      </w:r>
      <w:r w:rsidRPr="004C1A96">
        <w:rPr>
          <w:rFonts w:ascii="ITC Avant Garde" w:hAnsi="ITC Avant Garde"/>
          <w:lang w:val="es-MX"/>
        </w:rPr>
        <w:t xml:space="preserve"> </w:t>
      </w:r>
      <w:r w:rsidR="00A66A23" w:rsidRPr="004C1A96">
        <w:rPr>
          <w:rFonts w:ascii="ITC Avant Garde" w:hAnsi="ITC Avant Garde"/>
          <w:lang w:val="es-MX"/>
        </w:rPr>
        <w:t>Configuraciones de secciones de camino</w:t>
      </w:r>
    </w:p>
    <w:p w14:paraId="497B60C7" w14:textId="2EAA0231" w:rsidR="00A66A23" w:rsidRPr="004C1A96" w:rsidRDefault="00C95198" w:rsidP="00A66A23">
      <w:pPr>
        <w:jc w:val="center"/>
        <w:rPr>
          <w:rFonts w:ascii="ITC Avant Garde" w:hAnsi="ITC Avant Garde"/>
          <w:lang w:val="es-MX"/>
        </w:rPr>
      </w:pPr>
      <w:r w:rsidRPr="00872052">
        <w:rPr>
          <w:rFonts w:ascii="ITC Avant Garde" w:hAnsi="ITC Avant Garde"/>
          <w:noProof/>
          <w:lang w:val="es-MX" w:eastAsia="es-MX"/>
        </w:rPr>
        <w:drawing>
          <wp:inline distT="0" distB="0" distL="0" distR="0" wp14:anchorId="4B22F0A9" wp14:editId="16775B97">
            <wp:extent cx="5399405" cy="1509497"/>
            <wp:effectExtent l="0" t="0" r="0" b="0"/>
            <wp:docPr id="8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99405" cy="1509497"/>
                    </a:xfrm>
                    <a:prstGeom prst="rect">
                      <a:avLst/>
                    </a:prstGeom>
                    <a:noFill/>
                    <a:ln>
                      <a:noFill/>
                    </a:ln>
                  </pic:spPr>
                </pic:pic>
              </a:graphicData>
            </a:graphic>
          </wp:inline>
        </w:drawing>
      </w:r>
    </w:p>
    <w:p w14:paraId="1D3C9414" w14:textId="77777777" w:rsidR="00A66A23" w:rsidRPr="004C1A96" w:rsidRDefault="00A66A23" w:rsidP="00A66A23">
      <w:pPr>
        <w:pStyle w:val="Source"/>
        <w:rPr>
          <w:rFonts w:ascii="ITC Avant Garde" w:hAnsi="ITC Avant Garde"/>
          <w:lang w:val="es-MX"/>
        </w:rPr>
      </w:pPr>
    </w:p>
    <w:p w14:paraId="38097851" w14:textId="77777777" w:rsidR="00A66A23" w:rsidRPr="00E14D8A" w:rsidRDefault="00A66A23" w:rsidP="00A66A23">
      <w:pPr>
        <w:rPr>
          <w:rFonts w:ascii="ITC Avant Garde" w:hAnsi="ITC Avant Garde"/>
          <w:lang w:val="es-MX"/>
        </w:rPr>
      </w:pPr>
      <w:r w:rsidRPr="004C1A96">
        <w:rPr>
          <w:rFonts w:ascii="ITC Avant Garde" w:hAnsi="ITC Avant Garde"/>
          <w:lang w:val="es-MX"/>
        </w:rPr>
        <w:t>El primer caso (a) corresponde a una situación e</w:t>
      </w:r>
      <w:r w:rsidRPr="00E14D8A">
        <w:rPr>
          <w:rFonts w:ascii="ITC Avant Garde" w:hAnsi="ITC Avant Garde"/>
          <w:lang w:val="es-MX"/>
        </w:rPr>
        <w:t xml:space="preserve">n la que se cavan zanjas en ambos lados de la carretera, y luego se cruza la carretera una vez. El caso (b) corresponde a </w:t>
      </w:r>
      <w:r w:rsidRPr="00E14D8A">
        <w:rPr>
          <w:rFonts w:ascii="ITC Avant Garde" w:hAnsi="ITC Avant Garde"/>
          <w:lang w:val="es-MX"/>
        </w:rPr>
        <w:lastRenderedPageBreak/>
        <w:t>una situación donde se cavan zanjas en el lado principal de la carretera y luego, el camino se cruza una vez para cada dirección en el segundo lado.</w:t>
      </w:r>
    </w:p>
    <w:p w14:paraId="5E5985FA" w14:textId="77777777" w:rsidR="00A66A23" w:rsidRPr="00E14D8A" w:rsidRDefault="00A66A23" w:rsidP="00A66A23">
      <w:pPr>
        <w:rPr>
          <w:rFonts w:ascii="ITC Avant Garde" w:hAnsi="ITC Avant Garde"/>
          <w:lang w:val="es-MX"/>
        </w:rPr>
      </w:pPr>
      <w:r w:rsidRPr="00E14D8A">
        <w:rPr>
          <w:rFonts w:ascii="ITC Avant Garde" w:hAnsi="ITC Avant Garde"/>
          <w:lang w:val="es-MX"/>
        </w:rPr>
        <w:t>Esto se calcula con el fin de minimizar la longitud de las zanjas excavadas, mediante el siguiente proceso:</w:t>
      </w:r>
    </w:p>
    <w:p w14:paraId="2B75BDC2" w14:textId="77777777" w:rsidR="00A66A23" w:rsidRPr="004C1A96" w:rsidRDefault="00A66A23" w:rsidP="00A66A23">
      <w:pPr>
        <w:pStyle w:val="Prrafodelista"/>
        <w:numPr>
          <w:ilvl w:val="0"/>
          <w:numId w:val="31"/>
        </w:numPr>
        <w:rPr>
          <w:rFonts w:ascii="ITC Avant Garde" w:hAnsi="ITC Avant Garde"/>
          <w:lang w:val="es-MX"/>
        </w:rPr>
      </w:pPr>
      <w:r w:rsidRPr="004C1A96">
        <w:rPr>
          <w:rFonts w:ascii="ITC Avant Garde" w:hAnsi="ITC Avant Garde"/>
          <w:lang w:val="es-MX"/>
        </w:rPr>
        <w:t>Identificar en ambos lados la dirección más cercana a la CO y la dirección más alejada de la CO.</w:t>
      </w:r>
    </w:p>
    <w:p w14:paraId="5EFD9191" w14:textId="77777777" w:rsidR="00A66A23" w:rsidRPr="004C1A96" w:rsidRDefault="00A66A23" w:rsidP="00A66A23">
      <w:pPr>
        <w:pStyle w:val="Prrafodelista"/>
        <w:numPr>
          <w:ilvl w:val="0"/>
          <w:numId w:val="31"/>
        </w:numPr>
        <w:rPr>
          <w:rFonts w:ascii="ITC Avant Garde" w:hAnsi="ITC Avant Garde"/>
          <w:lang w:val="es-MX"/>
        </w:rPr>
      </w:pPr>
      <w:r w:rsidRPr="004C1A96">
        <w:rPr>
          <w:rFonts w:ascii="ITC Avant Garde" w:hAnsi="ITC Avant Garde"/>
          <w:lang w:val="es-MX"/>
        </w:rPr>
        <w:t>Identificar el número de direcciones en ambos lados.</w:t>
      </w:r>
    </w:p>
    <w:p w14:paraId="40C65C90" w14:textId="77777777" w:rsidR="00A66A23" w:rsidRPr="004C1A96" w:rsidRDefault="00A66A23" w:rsidP="00A66A23">
      <w:pPr>
        <w:pStyle w:val="Prrafodelista"/>
        <w:numPr>
          <w:ilvl w:val="0"/>
          <w:numId w:val="31"/>
        </w:numPr>
        <w:rPr>
          <w:rFonts w:ascii="ITC Avant Garde" w:hAnsi="ITC Avant Garde"/>
          <w:lang w:val="es-MX"/>
        </w:rPr>
      </w:pPr>
      <w:r w:rsidRPr="004C1A96">
        <w:rPr>
          <w:rFonts w:ascii="ITC Avant Garde" w:hAnsi="ITC Avant Garde"/>
          <w:lang w:val="es-MX"/>
        </w:rPr>
        <w:t>Calcular para ambos lados la longitud requerida para conectar todas las direcciones al otro lado usando el caso (a), y el caso (b) (en el SQL referido como Left_OneCrossLength e Left_ManyCrossLength).</w:t>
      </w:r>
    </w:p>
    <w:p w14:paraId="14D9E7F1" w14:textId="77777777" w:rsidR="00A66A23" w:rsidRPr="004C1A96" w:rsidRDefault="00A66A23" w:rsidP="00A66A23">
      <w:pPr>
        <w:pStyle w:val="Prrafodelista"/>
        <w:numPr>
          <w:ilvl w:val="0"/>
          <w:numId w:val="31"/>
        </w:numPr>
        <w:rPr>
          <w:rFonts w:ascii="ITC Avant Garde" w:hAnsi="ITC Avant Garde"/>
          <w:lang w:val="es-MX"/>
        </w:rPr>
      </w:pPr>
      <w:r w:rsidRPr="004C1A96">
        <w:rPr>
          <w:rFonts w:ascii="ITC Avant Garde" w:hAnsi="ITC Avant Garde"/>
          <w:lang w:val="es-MX"/>
        </w:rPr>
        <w:t>Identificar el lado principal, identificando la combinación más pequeña longitud izquierda + longitud derecha usando el valor descrito arriba (ver Tabla a bajo, determinando cuál de a1, a2, b1 o b2 es la distancia más pequeña) e identificando la estrategia de zanja (una cruz o muchas cruces) seleccionando la que minimiza la longitud. 4 longitudes están definidas:</w:t>
      </w:r>
    </w:p>
    <w:p w14:paraId="06A3C40C" w14:textId="77777777" w:rsidR="00A66A23" w:rsidRPr="004C1A96" w:rsidRDefault="00A66A23" w:rsidP="00A66A23">
      <w:pPr>
        <w:pStyle w:val="Prrafodelista"/>
        <w:numPr>
          <w:ilvl w:val="1"/>
          <w:numId w:val="31"/>
        </w:numPr>
        <w:rPr>
          <w:rFonts w:ascii="ITC Avant Garde" w:hAnsi="ITC Avant Garde"/>
          <w:lang w:val="es-MX"/>
        </w:rPr>
      </w:pPr>
      <w:r w:rsidRPr="004C1A96">
        <w:rPr>
          <w:rFonts w:ascii="ITC Avant Garde" w:hAnsi="ITC Avant Garde"/>
          <w:lang w:val="es-MX"/>
        </w:rPr>
        <w:t>Left_OneCrossLength: longitud de vincular todos los edificios en el lado izquierdo (distancia entre el último y el primer edificio) + cruzar la carretera una vez</w:t>
      </w:r>
    </w:p>
    <w:p w14:paraId="53A4BC60" w14:textId="77777777" w:rsidR="00A66A23" w:rsidRPr="004C1A96" w:rsidRDefault="00A66A23" w:rsidP="00A66A23">
      <w:pPr>
        <w:pStyle w:val="Prrafodelista"/>
        <w:numPr>
          <w:ilvl w:val="1"/>
          <w:numId w:val="31"/>
        </w:numPr>
        <w:rPr>
          <w:rFonts w:ascii="ITC Avant Garde" w:hAnsi="ITC Avant Garde"/>
          <w:lang w:val="es-MX"/>
        </w:rPr>
      </w:pPr>
      <w:r w:rsidRPr="004C1A96">
        <w:rPr>
          <w:rFonts w:ascii="ITC Avant Garde" w:hAnsi="ITC Avant Garde"/>
          <w:lang w:val="es-MX"/>
        </w:rPr>
        <w:t>Left_ManyCrossLength: longitud de cruzar la calle una vez por cada edificio en el lado izquierdo</w:t>
      </w:r>
    </w:p>
    <w:p w14:paraId="71DB9BAB" w14:textId="77777777" w:rsidR="00A66A23" w:rsidRPr="004C1A96" w:rsidRDefault="00A66A23" w:rsidP="00A66A23">
      <w:pPr>
        <w:pStyle w:val="Prrafodelista"/>
        <w:numPr>
          <w:ilvl w:val="1"/>
          <w:numId w:val="31"/>
        </w:numPr>
        <w:rPr>
          <w:rFonts w:ascii="ITC Avant Garde" w:hAnsi="ITC Avant Garde"/>
          <w:lang w:val="es-MX"/>
        </w:rPr>
      </w:pPr>
      <w:r w:rsidRPr="004C1A96">
        <w:rPr>
          <w:rFonts w:ascii="ITC Avant Garde" w:hAnsi="ITC Avant Garde"/>
          <w:lang w:val="es-MX"/>
        </w:rPr>
        <w:t>Right_OneCrossLength: longitud de vincular todos los edificios del lado derecho + cruzar la calle una vez</w:t>
      </w:r>
    </w:p>
    <w:p w14:paraId="10EFE570" w14:textId="77777777" w:rsidR="00A66A23" w:rsidRPr="004C1A96" w:rsidRDefault="00A66A23" w:rsidP="00A66A23">
      <w:pPr>
        <w:pStyle w:val="Prrafodelista"/>
        <w:numPr>
          <w:ilvl w:val="1"/>
          <w:numId w:val="31"/>
        </w:numPr>
        <w:rPr>
          <w:rFonts w:ascii="ITC Avant Garde" w:hAnsi="ITC Avant Garde"/>
          <w:lang w:val="es-MX"/>
        </w:rPr>
      </w:pPr>
      <w:r w:rsidRPr="004C1A96">
        <w:rPr>
          <w:rFonts w:ascii="ITC Avant Garde" w:hAnsi="ITC Avant Garde"/>
          <w:lang w:val="es-MX"/>
        </w:rPr>
        <w:t>Right_ManyCrossLength: longitud de cruzar la calle una vez por cada edificio en el lado derecho</w:t>
      </w:r>
    </w:p>
    <w:p w14:paraId="17890259" w14:textId="7DCB9560" w:rsidR="00A66A23" w:rsidRPr="004C1A96" w:rsidRDefault="005579D3" w:rsidP="00A66A23">
      <w:pPr>
        <w:pStyle w:val="Descripcin"/>
        <w:keepNext/>
        <w:rPr>
          <w:rFonts w:ascii="ITC Avant Garde" w:hAnsi="ITC Avant Garde"/>
          <w:lang w:val="es-MX"/>
        </w:rPr>
      </w:pPr>
      <w:r w:rsidRPr="004C1A96">
        <w:rPr>
          <w:rFonts w:ascii="ITC Avant Garde" w:hAnsi="ITC Avant Garde"/>
          <w:lang w:val="es-MX"/>
        </w:rPr>
        <w:t xml:space="preserve">Cuadro </w:t>
      </w:r>
      <w:r w:rsidRPr="004C1A96">
        <w:rPr>
          <w:rFonts w:ascii="ITC Avant Garde" w:hAnsi="ITC Avant Garde"/>
          <w:lang w:val="es-MX"/>
        </w:rPr>
        <w:fldChar w:fldCharType="begin"/>
      </w:r>
      <w:r w:rsidRPr="004C1A96">
        <w:rPr>
          <w:rFonts w:ascii="ITC Avant Garde" w:hAnsi="ITC Avant Garde"/>
          <w:lang w:val="es-MX"/>
        </w:rPr>
        <w:instrText xml:space="preserve"> SEQ Cuadro \* ARABIC </w:instrText>
      </w:r>
      <w:r w:rsidRPr="004C1A96">
        <w:rPr>
          <w:rFonts w:ascii="ITC Avant Garde" w:hAnsi="ITC Avant Garde"/>
          <w:lang w:val="es-MX"/>
        </w:rPr>
        <w:fldChar w:fldCharType="separate"/>
      </w:r>
      <w:r w:rsidR="00006265">
        <w:rPr>
          <w:rFonts w:ascii="ITC Avant Garde" w:hAnsi="ITC Avant Garde"/>
          <w:noProof/>
          <w:lang w:val="es-MX"/>
        </w:rPr>
        <w:t>13</w:t>
      </w:r>
      <w:r w:rsidRPr="004C1A96">
        <w:rPr>
          <w:rFonts w:ascii="ITC Avant Garde" w:hAnsi="ITC Avant Garde"/>
          <w:lang w:val="es-MX"/>
        </w:rPr>
        <w:fldChar w:fldCharType="end"/>
      </w:r>
      <w:r w:rsidRPr="004C1A96">
        <w:rPr>
          <w:rFonts w:ascii="ITC Avant Garde" w:hAnsi="ITC Avant Garde"/>
          <w:lang w:val="es-MX"/>
        </w:rPr>
        <w:t xml:space="preserve"> </w:t>
      </w:r>
      <w:r w:rsidR="00A66A23" w:rsidRPr="004C1A96">
        <w:rPr>
          <w:rFonts w:ascii="ITC Avant Garde" w:hAnsi="ITC Avant Garde"/>
          <w:lang w:val="es-MX"/>
        </w:rPr>
        <w:t>- Determinación de la estrategia de zanjas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881"/>
        <w:gridCol w:w="2881"/>
      </w:tblGrid>
      <w:tr w:rsidR="00A66A23" w:rsidRPr="004C1A96" w14:paraId="118705F2" w14:textId="77777777" w:rsidTr="00064199">
        <w:trPr>
          <w:jc w:val="center"/>
        </w:trPr>
        <w:tc>
          <w:tcPr>
            <w:tcW w:w="1101" w:type="dxa"/>
            <w:shd w:val="clear" w:color="auto" w:fill="2F5897" w:themeFill="text2"/>
          </w:tcPr>
          <w:p w14:paraId="7E2BCF58" w14:textId="77777777" w:rsidR="00A66A23" w:rsidRPr="00E14D8A" w:rsidRDefault="00A66A23" w:rsidP="00064199">
            <w:pPr>
              <w:keepNext/>
              <w:keepLines/>
              <w:rPr>
                <w:rFonts w:ascii="ITC Avant Garde" w:hAnsi="ITC Avant Garde"/>
                <w:sz w:val="16"/>
                <w:lang w:val="es-MX"/>
              </w:rPr>
            </w:pPr>
          </w:p>
        </w:tc>
        <w:tc>
          <w:tcPr>
            <w:tcW w:w="2881" w:type="dxa"/>
            <w:shd w:val="clear" w:color="auto" w:fill="2F5897" w:themeFill="text2"/>
          </w:tcPr>
          <w:p w14:paraId="71BE59F4" w14:textId="77777777" w:rsidR="00A66A23" w:rsidRPr="00E14D8A" w:rsidRDefault="00A66A23" w:rsidP="00064199">
            <w:pPr>
              <w:keepNext/>
              <w:keepLines/>
              <w:jc w:val="center"/>
              <w:rPr>
                <w:rFonts w:ascii="ITC Avant Garde" w:hAnsi="ITC Avant Garde"/>
                <w:b/>
                <w:color w:val="FFFFFF"/>
                <w:sz w:val="16"/>
                <w:lang w:val="es-MX"/>
              </w:rPr>
            </w:pPr>
            <w:r w:rsidRPr="00E14D8A">
              <w:rPr>
                <w:rFonts w:ascii="ITC Avant Garde" w:hAnsi="ITC Avant Garde"/>
                <w:b/>
                <w:color w:val="FFFFFF"/>
                <w:sz w:val="16"/>
                <w:lang w:val="es-MX"/>
              </w:rPr>
              <w:t>1 (right is main side)</w:t>
            </w:r>
          </w:p>
        </w:tc>
        <w:tc>
          <w:tcPr>
            <w:tcW w:w="2881" w:type="dxa"/>
            <w:shd w:val="clear" w:color="auto" w:fill="2F5897" w:themeFill="text2"/>
          </w:tcPr>
          <w:p w14:paraId="2E8DD091" w14:textId="77777777" w:rsidR="00A66A23" w:rsidRPr="00E14D8A" w:rsidRDefault="00A66A23" w:rsidP="00064199">
            <w:pPr>
              <w:keepNext/>
              <w:keepLines/>
              <w:jc w:val="center"/>
              <w:rPr>
                <w:rFonts w:ascii="ITC Avant Garde" w:hAnsi="ITC Avant Garde"/>
                <w:b/>
                <w:color w:val="FFFFFF"/>
                <w:sz w:val="16"/>
                <w:lang w:val="es-MX"/>
              </w:rPr>
            </w:pPr>
            <w:r w:rsidRPr="00E14D8A">
              <w:rPr>
                <w:rFonts w:ascii="ITC Avant Garde" w:hAnsi="ITC Avant Garde"/>
                <w:b/>
                <w:color w:val="FFFFFF"/>
                <w:sz w:val="16"/>
                <w:lang w:val="es-MX"/>
              </w:rPr>
              <w:t>2 (left is main side)</w:t>
            </w:r>
          </w:p>
        </w:tc>
      </w:tr>
      <w:tr w:rsidR="00A66A23" w:rsidRPr="004C1A96" w14:paraId="2F329A45" w14:textId="77777777" w:rsidTr="00064199">
        <w:trPr>
          <w:jc w:val="center"/>
        </w:trPr>
        <w:tc>
          <w:tcPr>
            <w:tcW w:w="1101" w:type="dxa"/>
            <w:shd w:val="clear" w:color="auto" w:fill="DFE3F0" w:themeFill="accent1" w:themeFillTint="33"/>
          </w:tcPr>
          <w:p w14:paraId="03FBE265" w14:textId="77777777" w:rsidR="00A66A23" w:rsidRPr="004C1A96" w:rsidRDefault="00A66A23" w:rsidP="00064199">
            <w:pPr>
              <w:keepNext/>
              <w:keepLines/>
              <w:rPr>
                <w:rFonts w:ascii="ITC Avant Garde" w:hAnsi="ITC Avant Garde"/>
                <w:b/>
                <w:sz w:val="16"/>
                <w:lang w:val="es-MX"/>
              </w:rPr>
            </w:pPr>
            <w:r w:rsidRPr="004C1A96">
              <w:rPr>
                <w:rFonts w:ascii="ITC Avant Garde" w:hAnsi="ITC Avant Garde"/>
                <w:b/>
                <w:sz w:val="16"/>
                <w:lang w:val="es-MX"/>
              </w:rPr>
              <w:t>A (One cross)</w:t>
            </w:r>
          </w:p>
        </w:tc>
        <w:tc>
          <w:tcPr>
            <w:tcW w:w="2881" w:type="dxa"/>
            <w:shd w:val="clear" w:color="auto" w:fill="auto"/>
          </w:tcPr>
          <w:p w14:paraId="7128E91F" w14:textId="77777777" w:rsidR="00A66A23" w:rsidRPr="004C1A96" w:rsidRDefault="00A66A23" w:rsidP="00064199">
            <w:pPr>
              <w:keepNext/>
              <w:keepLines/>
              <w:jc w:val="center"/>
              <w:rPr>
                <w:rFonts w:ascii="ITC Avant Garde" w:hAnsi="ITC Avant Garde"/>
                <w:sz w:val="16"/>
              </w:rPr>
            </w:pPr>
            <w:r w:rsidRPr="004C1A96">
              <w:rPr>
                <w:rFonts w:ascii="ITC Avant Garde" w:hAnsi="ITC Avant Garde"/>
                <w:sz w:val="16"/>
              </w:rPr>
              <w:t>Left_OneCrossLength</w:t>
            </w:r>
          </w:p>
          <w:p w14:paraId="49843F73" w14:textId="77777777" w:rsidR="00A66A23" w:rsidRPr="00E14D8A" w:rsidRDefault="00A66A23" w:rsidP="00064199">
            <w:pPr>
              <w:keepNext/>
              <w:keepLines/>
              <w:jc w:val="center"/>
              <w:rPr>
                <w:rFonts w:ascii="ITC Avant Garde" w:hAnsi="ITC Avant Garde"/>
                <w:sz w:val="16"/>
              </w:rPr>
            </w:pPr>
            <w:r w:rsidRPr="00E14D8A">
              <w:rPr>
                <w:rFonts w:ascii="ITC Avant Garde" w:hAnsi="ITC Avant Garde"/>
                <w:sz w:val="16"/>
              </w:rPr>
              <w:t>+ Right length if main side</w:t>
            </w:r>
          </w:p>
        </w:tc>
        <w:tc>
          <w:tcPr>
            <w:tcW w:w="2881" w:type="dxa"/>
            <w:shd w:val="clear" w:color="auto" w:fill="auto"/>
          </w:tcPr>
          <w:p w14:paraId="7182FBE9" w14:textId="77777777" w:rsidR="00A66A23" w:rsidRPr="00E14D8A" w:rsidRDefault="00A66A23" w:rsidP="00064199">
            <w:pPr>
              <w:keepNext/>
              <w:keepLines/>
              <w:jc w:val="center"/>
              <w:rPr>
                <w:rFonts w:ascii="ITC Avant Garde" w:hAnsi="ITC Avant Garde"/>
                <w:sz w:val="16"/>
              </w:rPr>
            </w:pPr>
            <w:r w:rsidRPr="00E14D8A">
              <w:rPr>
                <w:rFonts w:ascii="ITC Avant Garde" w:hAnsi="ITC Avant Garde"/>
                <w:sz w:val="16"/>
              </w:rPr>
              <w:t>Right_OneCrossLength</w:t>
            </w:r>
          </w:p>
          <w:p w14:paraId="49071161" w14:textId="77777777" w:rsidR="00A66A23" w:rsidRPr="004C1A96" w:rsidRDefault="00A66A23" w:rsidP="00064199">
            <w:pPr>
              <w:keepNext/>
              <w:keepLines/>
              <w:jc w:val="center"/>
              <w:rPr>
                <w:rFonts w:ascii="ITC Avant Garde" w:hAnsi="ITC Avant Garde"/>
                <w:sz w:val="16"/>
              </w:rPr>
            </w:pPr>
            <w:r w:rsidRPr="00E14D8A">
              <w:rPr>
                <w:rFonts w:ascii="ITC Avant Garde" w:hAnsi="ITC Avant Garde"/>
                <w:sz w:val="16"/>
              </w:rPr>
              <w:t>+ Left length if main side</w:t>
            </w:r>
          </w:p>
        </w:tc>
      </w:tr>
      <w:tr w:rsidR="00A66A23" w:rsidRPr="004C1A96" w14:paraId="0A3D6F5C" w14:textId="77777777" w:rsidTr="00064199">
        <w:trPr>
          <w:jc w:val="center"/>
        </w:trPr>
        <w:tc>
          <w:tcPr>
            <w:tcW w:w="1101" w:type="dxa"/>
            <w:shd w:val="clear" w:color="auto" w:fill="DFE3F0" w:themeFill="accent1" w:themeFillTint="33"/>
          </w:tcPr>
          <w:p w14:paraId="43550F59" w14:textId="77777777" w:rsidR="00A66A23" w:rsidRPr="004C1A96" w:rsidRDefault="00A66A23" w:rsidP="00064199">
            <w:pPr>
              <w:keepNext/>
              <w:keepLines/>
              <w:rPr>
                <w:rFonts w:ascii="ITC Avant Garde" w:hAnsi="ITC Avant Garde"/>
                <w:b/>
                <w:sz w:val="16"/>
                <w:lang w:val="es-MX"/>
              </w:rPr>
            </w:pPr>
            <w:r w:rsidRPr="004C1A96">
              <w:rPr>
                <w:rFonts w:ascii="ITC Avant Garde" w:hAnsi="ITC Avant Garde"/>
                <w:b/>
                <w:sz w:val="16"/>
                <w:lang w:val="es-MX"/>
              </w:rPr>
              <w:t>B (Many cross)</w:t>
            </w:r>
          </w:p>
        </w:tc>
        <w:tc>
          <w:tcPr>
            <w:tcW w:w="2881" w:type="dxa"/>
            <w:shd w:val="clear" w:color="auto" w:fill="auto"/>
          </w:tcPr>
          <w:p w14:paraId="313AB1B5" w14:textId="77777777" w:rsidR="00A66A23" w:rsidRPr="004C1A96" w:rsidRDefault="00A66A23" w:rsidP="00064199">
            <w:pPr>
              <w:keepNext/>
              <w:keepLines/>
              <w:jc w:val="center"/>
              <w:rPr>
                <w:rFonts w:ascii="ITC Avant Garde" w:hAnsi="ITC Avant Garde"/>
                <w:sz w:val="16"/>
              </w:rPr>
            </w:pPr>
            <w:r w:rsidRPr="004C1A96">
              <w:rPr>
                <w:rFonts w:ascii="ITC Avant Garde" w:hAnsi="ITC Avant Garde"/>
                <w:sz w:val="16"/>
              </w:rPr>
              <w:t>Left_ManyCrossLength</w:t>
            </w:r>
          </w:p>
          <w:p w14:paraId="33C04791" w14:textId="77777777" w:rsidR="00A66A23" w:rsidRPr="00E14D8A" w:rsidRDefault="00A66A23" w:rsidP="00064199">
            <w:pPr>
              <w:keepNext/>
              <w:keepLines/>
              <w:jc w:val="center"/>
              <w:rPr>
                <w:rFonts w:ascii="ITC Avant Garde" w:hAnsi="ITC Avant Garde"/>
                <w:sz w:val="16"/>
              </w:rPr>
            </w:pPr>
            <w:r w:rsidRPr="00E14D8A">
              <w:rPr>
                <w:rFonts w:ascii="ITC Avant Garde" w:hAnsi="ITC Avant Garde"/>
                <w:sz w:val="16"/>
              </w:rPr>
              <w:t>+ Right length if main side</w:t>
            </w:r>
          </w:p>
        </w:tc>
        <w:tc>
          <w:tcPr>
            <w:tcW w:w="2881" w:type="dxa"/>
            <w:shd w:val="clear" w:color="auto" w:fill="auto"/>
          </w:tcPr>
          <w:p w14:paraId="72866535" w14:textId="77777777" w:rsidR="00A66A23" w:rsidRPr="00E14D8A" w:rsidRDefault="00A66A23" w:rsidP="00064199">
            <w:pPr>
              <w:keepNext/>
              <w:keepLines/>
              <w:jc w:val="center"/>
              <w:rPr>
                <w:rFonts w:ascii="ITC Avant Garde" w:hAnsi="ITC Avant Garde"/>
                <w:sz w:val="16"/>
              </w:rPr>
            </w:pPr>
            <w:r w:rsidRPr="00E14D8A">
              <w:rPr>
                <w:rFonts w:ascii="ITC Avant Garde" w:hAnsi="ITC Avant Garde"/>
                <w:sz w:val="16"/>
              </w:rPr>
              <w:t>Right_ManyCrossLength</w:t>
            </w:r>
          </w:p>
          <w:p w14:paraId="28E592CC" w14:textId="77777777" w:rsidR="00A66A23" w:rsidRPr="00E14D8A" w:rsidRDefault="00A66A23" w:rsidP="00064199">
            <w:pPr>
              <w:keepNext/>
              <w:keepLines/>
              <w:jc w:val="center"/>
              <w:rPr>
                <w:rFonts w:ascii="ITC Avant Garde" w:hAnsi="ITC Avant Garde"/>
                <w:sz w:val="16"/>
              </w:rPr>
            </w:pPr>
            <w:r w:rsidRPr="00E14D8A">
              <w:rPr>
                <w:rFonts w:ascii="ITC Avant Garde" w:hAnsi="ITC Avant Garde"/>
                <w:sz w:val="16"/>
              </w:rPr>
              <w:t>+ Left length if main side</w:t>
            </w:r>
          </w:p>
        </w:tc>
      </w:tr>
    </w:tbl>
    <w:p w14:paraId="71E5C854" w14:textId="77777777" w:rsidR="00A66A23" w:rsidRPr="004C1A96" w:rsidRDefault="00A66A23" w:rsidP="00A66A23">
      <w:pPr>
        <w:rPr>
          <w:rFonts w:ascii="ITC Avant Garde" w:hAnsi="ITC Avant Garde"/>
        </w:rPr>
      </w:pPr>
    </w:p>
    <w:p w14:paraId="1743294B" w14:textId="77777777" w:rsidR="00A66A23" w:rsidRPr="004C1A96" w:rsidRDefault="00A66A23" w:rsidP="00A66A23">
      <w:pPr>
        <w:rPr>
          <w:rFonts w:ascii="ITC Avant Garde" w:hAnsi="ITC Avant Garde"/>
          <w:lang w:val="es-MX"/>
        </w:rPr>
      </w:pPr>
      <w:r w:rsidRPr="004C1A96">
        <w:rPr>
          <w:rFonts w:ascii="ITC Avant Garde" w:hAnsi="ITC Avant Garde"/>
          <w:lang w:val="es-MX"/>
        </w:rPr>
        <w:t>La longitud de la zanja en el segundo lado es entonces la seleccionada (la seleccionada en la Tabla arriba).</w:t>
      </w:r>
    </w:p>
    <w:p w14:paraId="0693CF95" w14:textId="77777777" w:rsidR="00A66A23" w:rsidRPr="00E14D8A" w:rsidRDefault="00A66A23" w:rsidP="00A66A23">
      <w:pPr>
        <w:rPr>
          <w:rFonts w:ascii="ITC Avant Garde" w:hAnsi="ITC Avant Garde"/>
          <w:lang w:val="es-MX"/>
        </w:rPr>
      </w:pPr>
      <w:r w:rsidRPr="004C1A96">
        <w:rPr>
          <w:rFonts w:ascii="ITC Avant Garde" w:hAnsi="ITC Avant Garde"/>
          <w:lang w:val="es-MX"/>
        </w:rPr>
        <w:t xml:space="preserve">Debe tenerse en cuenta que el </w:t>
      </w:r>
      <w:r w:rsidRPr="00E14D8A">
        <w:rPr>
          <w:rFonts w:ascii="ITC Avant Garde" w:hAnsi="ITC Avant Garde"/>
          <w:lang w:val="es-MX"/>
        </w:rPr>
        <w:t>ancho de la carretera está ponderado por un factor con el fin de tener en cuenta el costo adicional de la construcción de túneles en comparación con las zanjas de los caminos. Este factor se calcula como la relación entre el costo de "canalizaciones en Arroyo con Tráfico Pesado" y las "Canalizaciones en Banqueta" utilizadas en el borde de la carretera.</w:t>
      </w:r>
    </w:p>
    <w:p w14:paraId="6F8F367B" w14:textId="77777777" w:rsidR="00A66A23" w:rsidRPr="004C1A96" w:rsidRDefault="00A66A23" w:rsidP="00A66A23">
      <w:pPr>
        <w:rPr>
          <w:rFonts w:ascii="ITC Avant Garde" w:hAnsi="ITC Avant Garde"/>
          <w:lang w:val="es-MX"/>
        </w:rPr>
      </w:pPr>
      <w:r w:rsidRPr="00E14D8A">
        <w:rPr>
          <w:rFonts w:ascii="ITC Avant Garde" w:hAnsi="ITC Avant Garde"/>
          <w:lang w:val="es-MX"/>
        </w:rPr>
        <w:lastRenderedPageBreak/>
        <w:t>En el lado principal, la longitud es la longitud generada al agregar las casas al siguiente SDP y el SDP al comienzo de la sección, o la longitud de la secci</w:t>
      </w:r>
      <w:r w:rsidRPr="004C1A96">
        <w:rPr>
          <w:rFonts w:ascii="ITC Avant Garde" w:hAnsi="ITC Avant Garde"/>
          <w:lang w:val="es-MX"/>
        </w:rPr>
        <w:t>ón si la ruta es utilizada por una ruta 'PDP al CO' o si la sección agrega algunas otras secciones con los SDP.</w:t>
      </w:r>
    </w:p>
    <w:p w14:paraId="642A0517" w14:textId="1AD1BB1A" w:rsidR="00A66A23" w:rsidRPr="004C1A96" w:rsidRDefault="00A66A23" w:rsidP="00A66A23">
      <w:pPr>
        <w:pStyle w:val="Descripcin"/>
        <w:keepNext/>
        <w:rPr>
          <w:rFonts w:ascii="ITC Avant Garde" w:hAnsi="ITC Avant Garde"/>
          <w:lang w:val="es-MX"/>
        </w:rPr>
      </w:pPr>
      <w:r w:rsidRPr="004C1A96">
        <w:rPr>
          <w:rFonts w:ascii="ITC Avant Garde" w:hAnsi="ITC Avant Garde"/>
          <w:lang w:val="es-MX"/>
        </w:rPr>
        <w:t> </w:t>
      </w:r>
      <w:r w:rsidR="006D69ED" w:rsidRPr="004C1A96">
        <w:rPr>
          <w:rFonts w:ascii="ITC Avant Garde" w:hAnsi="ITC Avant Garde"/>
          <w:lang w:val="es-MX"/>
        </w:rPr>
        <w:t xml:space="preserve">Figura </w:t>
      </w:r>
      <w:r w:rsidR="006D69ED" w:rsidRPr="004C1A96">
        <w:rPr>
          <w:rFonts w:ascii="ITC Avant Garde" w:hAnsi="ITC Avant Garde"/>
          <w:lang w:val="es-MX"/>
        </w:rPr>
        <w:fldChar w:fldCharType="begin"/>
      </w:r>
      <w:r w:rsidR="006D69ED" w:rsidRPr="004C1A96">
        <w:rPr>
          <w:rFonts w:ascii="ITC Avant Garde" w:hAnsi="ITC Avant Garde"/>
          <w:lang w:val="es-MX"/>
        </w:rPr>
        <w:instrText xml:space="preserve"> SEQ Figura \* ARABIC </w:instrText>
      </w:r>
      <w:r w:rsidR="006D69ED" w:rsidRPr="004C1A96">
        <w:rPr>
          <w:rFonts w:ascii="ITC Avant Garde" w:hAnsi="ITC Avant Garde"/>
          <w:lang w:val="es-MX"/>
        </w:rPr>
        <w:fldChar w:fldCharType="separate"/>
      </w:r>
      <w:r w:rsidR="00006265">
        <w:rPr>
          <w:rFonts w:ascii="ITC Avant Garde" w:hAnsi="ITC Avant Garde"/>
          <w:noProof/>
          <w:lang w:val="es-MX"/>
        </w:rPr>
        <w:t>41</w:t>
      </w:r>
      <w:r w:rsidR="006D69ED" w:rsidRPr="004C1A96">
        <w:rPr>
          <w:rFonts w:ascii="ITC Avant Garde" w:hAnsi="ITC Avant Garde"/>
          <w:lang w:val="es-MX"/>
        </w:rPr>
        <w:fldChar w:fldCharType="end"/>
      </w:r>
      <w:r w:rsidR="006D69ED" w:rsidRPr="004C1A96">
        <w:rPr>
          <w:rFonts w:ascii="ITC Avant Garde" w:hAnsi="ITC Avant Garde"/>
          <w:lang w:val="es-MX"/>
        </w:rPr>
        <w:t xml:space="preserve"> </w:t>
      </w:r>
      <w:r w:rsidRPr="004C1A96">
        <w:rPr>
          <w:rFonts w:ascii="ITC Avant Garde" w:hAnsi="ITC Avant Garde"/>
          <w:lang w:val="es-MX"/>
        </w:rPr>
        <w:t>Longitud de la zanja utilizada por los diferentes niveles de la red</w:t>
      </w:r>
    </w:p>
    <w:p w14:paraId="3B123FAA" w14:textId="05007CC1" w:rsidR="00A66A23" w:rsidRPr="004C1A96" w:rsidRDefault="00106551" w:rsidP="00A66A23">
      <w:pPr>
        <w:rPr>
          <w:rFonts w:ascii="ITC Avant Garde" w:hAnsi="ITC Avant Garde"/>
          <w:lang w:val="es-MX"/>
        </w:rPr>
      </w:pPr>
      <w:r w:rsidRPr="00872052">
        <w:rPr>
          <w:rFonts w:ascii="ITC Avant Garde" w:hAnsi="ITC Avant Garde"/>
          <w:noProof/>
          <w:lang w:val="es-MX" w:eastAsia="es-MX"/>
        </w:rPr>
        <w:drawing>
          <wp:inline distT="0" distB="0" distL="0" distR="0" wp14:anchorId="7EBEA332" wp14:editId="7287A002">
            <wp:extent cx="5399405" cy="1579189"/>
            <wp:effectExtent l="0" t="0" r="0" b="2540"/>
            <wp:docPr id="125" name="Image 125" descr="A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 125" descr="A screen shot of a diagram&#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99405" cy="1579189"/>
                    </a:xfrm>
                    <a:prstGeom prst="rect">
                      <a:avLst/>
                    </a:prstGeom>
                    <a:noFill/>
                  </pic:spPr>
                </pic:pic>
              </a:graphicData>
            </a:graphic>
          </wp:inline>
        </w:drawing>
      </w:r>
    </w:p>
    <w:p w14:paraId="46211D59" w14:textId="77777777" w:rsidR="00A66A23" w:rsidRPr="004C1A96" w:rsidRDefault="00A66A23" w:rsidP="00A66A23">
      <w:pPr>
        <w:rPr>
          <w:rFonts w:ascii="ITC Avant Garde" w:hAnsi="ITC Avant Garde"/>
          <w:lang w:val="es-MX"/>
        </w:rPr>
      </w:pPr>
    </w:p>
    <w:p w14:paraId="7F6FA8D5" w14:textId="77777777" w:rsidR="00A66A23" w:rsidRPr="008F42FC" w:rsidRDefault="00A66A23" w:rsidP="003C224B">
      <w:pPr>
        <w:pStyle w:val="Ttulo4"/>
        <w:rPr>
          <w:lang w:val="es-MX"/>
        </w:rPr>
      </w:pPr>
      <w:bookmarkStart w:id="301" w:name="_Toc525672881"/>
      <w:bookmarkStart w:id="302" w:name="_Toc525665321"/>
      <w:bookmarkStart w:id="303" w:name="_Toc525665700"/>
      <w:bookmarkStart w:id="304" w:name="_Toc141975058"/>
      <w:r w:rsidRPr="008F42FC">
        <w:rPr>
          <w:lang w:val="es-MX"/>
        </w:rPr>
        <w:t>Asignación de longitud de zanja</w:t>
      </w:r>
      <w:bookmarkEnd w:id="301"/>
      <w:bookmarkEnd w:id="302"/>
      <w:bookmarkEnd w:id="303"/>
      <w:bookmarkEnd w:id="304"/>
    </w:p>
    <w:p w14:paraId="79ACFAD9" w14:textId="77777777" w:rsidR="00A66A23" w:rsidRPr="004C1A96" w:rsidRDefault="00A66A23" w:rsidP="00A66A23">
      <w:pPr>
        <w:rPr>
          <w:rFonts w:ascii="ITC Avant Garde" w:hAnsi="ITC Avant Garde"/>
          <w:lang w:val="es-MX"/>
        </w:rPr>
      </w:pPr>
      <w:r w:rsidRPr="004C1A96">
        <w:rPr>
          <w:rFonts w:ascii="ITC Avant Garde" w:hAnsi="ITC Avant Garde"/>
          <w:lang w:val="es-MX"/>
        </w:rPr>
        <w:t>La longitud de zanja en el segundo lado se asigna entre la acometida y la red secundaria con base en las siguientes reglas:</w:t>
      </w:r>
    </w:p>
    <w:p w14:paraId="7C204041" w14:textId="77777777" w:rsidR="00A66A23" w:rsidRPr="00E14D8A" w:rsidRDefault="00A66A23" w:rsidP="00A66A23">
      <w:pPr>
        <w:pStyle w:val="Listaconvietas2"/>
        <w:rPr>
          <w:rFonts w:ascii="ITC Avant Garde" w:hAnsi="ITC Avant Garde"/>
          <w:lang w:val="es-MX"/>
        </w:rPr>
      </w:pPr>
      <w:r w:rsidRPr="00E14D8A">
        <w:rPr>
          <w:rFonts w:ascii="ITC Avant Garde" w:hAnsi="ITC Avant Garde"/>
          <w:lang w:val="es-MX"/>
        </w:rPr>
        <w:t>Si no hay ningún SDP instalado en el segundo lado, todo se asigna a la acometida;</w:t>
      </w:r>
    </w:p>
    <w:p w14:paraId="7C4DED54" w14:textId="77777777" w:rsidR="00A66A23" w:rsidRPr="00E14D8A" w:rsidRDefault="00A66A23" w:rsidP="00A66A23">
      <w:pPr>
        <w:pStyle w:val="Listaconvietas2"/>
        <w:rPr>
          <w:rFonts w:ascii="ITC Avant Garde" w:hAnsi="ITC Avant Garde"/>
          <w:lang w:val="es-MX"/>
        </w:rPr>
      </w:pPr>
      <w:r w:rsidRPr="00E14D8A">
        <w:rPr>
          <w:rFonts w:ascii="ITC Avant Garde" w:hAnsi="ITC Avant Garde"/>
          <w:lang w:val="es-MX"/>
        </w:rPr>
        <w:t>Si se instala un SDP en el segundo lado, se calcula la longitud de las zanjas utilizadas por la longitud del SDP, se calcula la longitud de las zanjas utilizadas por la acometida. La longitud total de la zanja se asigna en función de las proporciones respectivas de longitud.</w:t>
      </w:r>
    </w:p>
    <w:p w14:paraId="5496A920" w14:textId="77777777" w:rsidR="00A66A23" w:rsidRPr="004C1A96" w:rsidRDefault="00A66A23" w:rsidP="00A66A23">
      <w:pPr>
        <w:rPr>
          <w:rFonts w:ascii="ITC Avant Garde" w:hAnsi="ITC Avant Garde"/>
          <w:lang w:val="es-MX"/>
        </w:rPr>
      </w:pPr>
      <w:r w:rsidRPr="004C1A96">
        <w:rPr>
          <w:rFonts w:ascii="ITC Avant Garde" w:hAnsi="ITC Avant Garde"/>
          <w:lang w:val="es-MX"/>
        </w:rPr>
        <w:t>Para el lado principal, se usa el mismo principio. Las distancias utilizadas se calculan de la siguiente manera:</w:t>
      </w:r>
    </w:p>
    <w:p w14:paraId="32E302F9" w14:textId="77777777" w:rsidR="00A66A23" w:rsidRPr="004C1A96" w:rsidRDefault="00A66A23" w:rsidP="00A66A23">
      <w:pPr>
        <w:pStyle w:val="Listaconvietas2"/>
        <w:rPr>
          <w:rFonts w:ascii="ITC Avant Garde" w:hAnsi="ITC Avant Garde"/>
          <w:lang w:val="es-MX"/>
        </w:rPr>
      </w:pPr>
      <w:r w:rsidRPr="004C1A96">
        <w:rPr>
          <w:rFonts w:ascii="ITC Avant Garde" w:hAnsi="ITC Avant Garde"/>
          <w:lang w:val="es-MX"/>
        </w:rPr>
        <w:t>Si un enlace de red primaria usa la sección, la longitud de la red primaria es la longitud de la sección.</w:t>
      </w:r>
    </w:p>
    <w:p w14:paraId="49F5D5D6" w14:textId="77777777" w:rsidR="00A66A23" w:rsidRPr="004C1A96" w:rsidRDefault="00A66A23" w:rsidP="00A66A23">
      <w:pPr>
        <w:pStyle w:val="Listaconvietas2"/>
        <w:rPr>
          <w:rFonts w:ascii="ITC Avant Garde" w:hAnsi="ITC Avant Garde"/>
          <w:lang w:val="es-MX"/>
        </w:rPr>
      </w:pPr>
      <w:r w:rsidRPr="004C1A96">
        <w:rPr>
          <w:rFonts w:ascii="ITC Avant Garde" w:hAnsi="ITC Avant Garde"/>
          <w:lang w:val="es-MX"/>
        </w:rPr>
        <w:t xml:space="preserve">Si la sección agrega una sección que tenía un SDP: </w:t>
      </w:r>
    </w:p>
    <w:p w14:paraId="7719423D" w14:textId="77777777" w:rsidR="00A66A23" w:rsidRPr="004C1A96" w:rsidRDefault="00A66A23" w:rsidP="00A66A23">
      <w:pPr>
        <w:pStyle w:val="Listaconvietas2"/>
        <w:numPr>
          <w:ilvl w:val="1"/>
          <w:numId w:val="1"/>
        </w:numPr>
        <w:rPr>
          <w:rFonts w:ascii="ITC Avant Garde" w:hAnsi="ITC Avant Garde"/>
          <w:lang w:val="es-MX"/>
        </w:rPr>
      </w:pPr>
      <w:r w:rsidRPr="004C1A96">
        <w:rPr>
          <w:rFonts w:ascii="ITC Avant Garde" w:hAnsi="ITC Avant Garde"/>
          <w:lang w:val="es-MX"/>
        </w:rPr>
        <w:t>si la sección contiene un PDP, se utiliza la longitud del SDP al PDP</w:t>
      </w:r>
    </w:p>
    <w:p w14:paraId="1F0F13A6" w14:textId="77777777" w:rsidR="00A66A23" w:rsidRPr="004C1A96" w:rsidRDefault="00A66A23" w:rsidP="00A66A23">
      <w:pPr>
        <w:pStyle w:val="Listaconvietas2"/>
        <w:numPr>
          <w:ilvl w:val="1"/>
          <w:numId w:val="1"/>
        </w:numPr>
        <w:rPr>
          <w:rFonts w:ascii="ITC Avant Garde" w:hAnsi="ITC Avant Garde"/>
          <w:lang w:val="es-MX"/>
        </w:rPr>
      </w:pPr>
      <w:r w:rsidRPr="004C1A96">
        <w:rPr>
          <w:rFonts w:ascii="ITC Avant Garde" w:hAnsi="ITC Avant Garde"/>
          <w:lang w:val="es-MX"/>
        </w:rPr>
        <w:t>de lo contrario, se utiliza la longitud de la sección.</w:t>
      </w:r>
    </w:p>
    <w:p w14:paraId="207199F4" w14:textId="77777777" w:rsidR="00A66A23" w:rsidRPr="004C1A96" w:rsidRDefault="00A66A23" w:rsidP="00A66A23">
      <w:pPr>
        <w:pStyle w:val="Listaconvietas2"/>
        <w:rPr>
          <w:rFonts w:ascii="ITC Avant Garde" w:hAnsi="ITC Avant Garde"/>
          <w:lang w:val="es-MX"/>
        </w:rPr>
      </w:pPr>
      <w:r w:rsidRPr="004C1A96">
        <w:rPr>
          <w:rFonts w:ascii="ITC Avant Garde" w:hAnsi="ITC Avant Garde"/>
          <w:lang w:val="es-MX"/>
        </w:rPr>
        <w:t>Si la sección no agrega ninguna sección que tenga un SDP y tenga al menos un SDP:</w:t>
      </w:r>
    </w:p>
    <w:p w14:paraId="412BE687" w14:textId="77777777" w:rsidR="00A66A23" w:rsidRPr="004C1A96" w:rsidRDefault="00A66A23" w:rsidP="00A66A23">
      <w:pPr>
        <w:pStyle w:val="Listaconvietas2"/>
        <w:numPr>
          <w:ilvl w:val="1"/>
          <w:numId w:val="1"/>
        </w:numPr>
        <w:rPr>
          <w:rFonts w:ascii="ITC Avant Garde" w:hAnsi="ITC Avant Garde"/>
          <w:lang w:val="es-MX"/>
        </w:rPr>
      </w:pPr>
      <w:r w:rsidRPr="004C1A96">
        <w:rPr>
          <w:rFonts w:ascii="ITC Avant Garde" w:hAnsi="ITC Avant Garde"/>
          <w:lang w:val="es-MX"/>
        </w:rPr>
        <w:t>Si la sección contiene un PDP, se utiliza la longitud máxima entre el primero y el último SDP y entre el SDP y el PDP;</w:t>
      </w:r>
    </w:p>
    <w:p w14:paraId="4C37AE6C" w14:textId="77777777" w:rsidR="00A66A23" w:rsidRPr="004C1A96" w:rsidRDefault="00A66A23" w:rsidP="00A66A23">
      <w:pPr>
        <w:pStyle w:val="Listaconvietas2"/>
        <w:numPr>
          <w:ilvl w:val="1"/>
          <w:numId w:val="1"/>
        </w:numPr>
        <w:rPr>
          <w:rFonts w:ascii="ITC Avant Garde" w:hAnsi="ITC Avant Garde"/>
          <w:lang w:val="es-MX"/>
        </w:rPr>
      </w:pPr>
      <w:r w:rsidRPr="004C1A96">
        <w:rPr>
          <w:rFonts w:ascii="ITC Avant Garde" w:hAnsi="ITC Avant Garde"/>
          <w:lang w:val="es-MX"/>
        </w:rPr>
        <w:t>Si la sección no contiene un PDP, se utiliza la longitud entre el último SDP y el comienzo de la sección.</w:t>
      </w:r>
    </w:p>
    <w:p w14:paraId="0F2B35DC" w14:textId="77777777" w:rsidR="00A66A23" w:rsidRPr="004C1A96" w:rsidRDefault="00A66A23" w:rsidP="00A66A23">
      <w:pPr>
        <w:pStyle w:val="Listaconvietas2"/>
        <w:rPr>
          <w:rFonts w:ascii="ITC Avant Garde" w:hAnsi="ITC Avant Garde"/>
          <w:lang w:val="es-MX"/>
        </w:rPr>
      </w:pPr>
      <w:r w:rsidRPr="004C1A96">
        <w:rPr>
          <w:rFonts w:ascii="ITC Avant Garde" w:hAnsi="ITC Avant Garde"/>
          <w:lang w:val="es-MX"/>
        </w:rPr>
        <w:lastRenderedPageBreak/>
        <w:t>Si la sección no agrega ninguna sección que tenga un SDP y no se instala SDP en la sección, se usa 0 para la longitud del SDP.</w:t>
      </w:r>
    </w:p>
    <w:p w14:paraId="07BDFD7C" w14:textId="77777777" w:rsidR="00A66A23" w:rsidRPr="004C1A96" w:rsidRDefault="00A66A23" w:rsidP="00A66A23">
      <w:pPr>
        <w:pStyle w:val="Listaconvietas2"/>
        <w:rPr>
          <w:rFonts w:ascii="ITC Avant Garde" w:hAnsi="ITC Avant Garde"/>
          <w:lang w:val="es-MX"/>
        </w:rPr>
      </w:pPr>
      <w:r w:rsidRPr="004C1A96">
        <w:rPr>
          <w:rFonts w:ascii="ITC Avant Garde" w:hAnsi="ITC Avant Garde"/>
          <w:lang w:val="es-MX"/>
        </w:rPr>
        <w:t>Para la longitud de acometida, se utiliza la longitud de las zanjas utilizadas entre las instalaciones y los SDP (ver figura a continuación).</w:t>
      </w:r>
    </w:p>
    <w:p w14:paraId="1EB2393E" w14:textId="31F8DC9D" w:rsidR="00A66A23" w:rsidRPr="00E14D8A" w:rsidRDefault="00A66A23" w:rsidP="00A66A23">
      <w:pPr>
        <w:pStyle w:val="Descripcin"/>
        <w:keepNext/>
        <w:rPr>
          <w:rFonts w:ascii="ITC Avant Garde" w:hAnsi="ITC Avant Garde"/>
          <w:lang w:val="es-MX"/>
        </w:rPr>
      </w:pPr>
      <w:r w:rsidRPr="004C1A96">
        <w:rPr>
          <w:rFonts w:ascii="ITC Avant Garde" w:hAnsi="ITC Avant Garde"/>
          <w:lang w:val="es-MX"/>
        </w:rPr>
        <w:t> </w:t>
      </w:r>
      <w:r w:rsidR="006D69ED" w:rsidRPr="004C1A96">
        <w:rPr>
          <w:rFonts w:ascii="ITC Avant Garde" w:hAnsi="ITC Avant Garde"/>
          <w:lang w:val="es-MX"/>
        </w:rPr>
        <w:t xml:space="preserve">Figura </w:t>
      </w:r>
      <w:r w:rsidR="006D69ED" w:rsidRPr="004C1A96">
        <w:rPr>
          <w:rFonts w:ascii="ITC Avant Garde" w:hAnsi="ITC Avant Garde"/>
          <w:lang w:val="es-MX"/>
        </w:rPr>
        <w:fldChar w:fldCharType="begin"/>
      </w:r>
      <w:r w:rsidR="006D69ED" w:rsidRPr="004C1A96">
        <w:rPr>
          <w:rFonts w:ascii="ITC Avant Garde" w:hAnsi="ITC Avant Garde"/>
          <w:lang w:val="es-MX"/>
        </w:rPr>
        <w:instrText xml:space="preserve"> SEQ Figura \* ARABIC </w:instrText>
      </w:r>
      <w:r w:rsidR="006D69ED" w:rsidRPr="004C1A96">
        <w:rPr>
          <w:rFonts w:ascii="ITC Avant Garde" w:hAnsi="ITC Avant Garde"/>
          <w:lang w:val="es-MX"/>
        </w:rPr>
        <w:fldChar w:fldCharType="separate"/>
      </w:r>
      <w:r w:rsidR="00006265">
        <w:rPr>
          <w:rFonts w:ascii="ITC Avant Garde" w:hAnsi="ITC Avant Garde"/>
          <w:noProof/>
          <w:lang w:val="es-MX"/>
        </w:rPr>
        <w:t>42</w:t>
      </w:r>
      <w:r w:rsidR="006D69ED" w:rsidRPr="004C1A96">
        <w:rPr>
          <w:rFonts w:ascii="ITC Avant Garde" w:hAnsi="ITC Avant Garde"/>
          <w:lang w:val="es-MX"/>
        </w:rPr>
        <w:fldChar w:fldCharType="end"/>
      </w:r>
      <w:r w:rsidR="006D69ED" w:rsidRPr="004C1A96">
        <w:rPr>
          <w:rFonts w:ascii="ITC Avant Garde" w:hAnsi="ITC Avant Garde"/>
          <w:lang w:val="es-MX"/>
        </w:rPr>
        <w:t xml:space="preserve"> </w:t>
      </w:r>
      <w:r w:rsidRPr="004C1A96">
        <w:rPr>
          <w:rFonts w:ascii="ITC Avant Garde" w:hAnsi="ITC Avant Garde"/>
          <w:lang w:val="es-MX"/>
        </w:rPr>
        <w:t xml:space="preserve">- asignación de longitud de </w:t>
      </w:r>
      <w:r w:rsidRPr="00E14D8A">
        <w:rPr>
          <w:rFonts w:ascii="ITC Avant Garde" w:hAnsi="ITC Avant Garde"/>
          <w:lang w:val="es-MX"/>
        </w:rPr>
        <w:t>zanjas</w:t>
      </w:r>
    </w:p>
    <w:p w14:paraId="364AC608" w14:textId="3F5A6EB8" w:rsidR="00A66A23" w:rsidRPr="004C1A96" w:rsidRDefault="00106551" w:rsidP="00A66A23">
      <w:pPr>
        <w:rPr>
          <w:rFonts w:ascii="ITC Avant Garde" w:hAnsi="ITC Avant Garde"/>
          <w:lang w:val="es-MX"/>
        </w:rPr>
      </w:pPr>
      <w:r w:rsidRPr="00872052">
        <w:rPr>
          <w:rFonts w:ascii="ITC Avant Garde" w:hAnsi="ITC Avant Garde"/>
          <w:noProof/>
          <w:lang w:val="es-MX" w:eastAsia="es-MX"/>
        </w:rPr>
        <w:drawing>
          <wp:inline distT="0" distB="0" distL="0" distR="0" wp14:anchorId="0B565918" wp14:editId="0AA4B5CE">
            <wp:extent cx="4964430" cy="1858502"/>
            <wp:effectExtent l="0" t="0" r="7620" b="8890"/>
            <wp:docPr id="82" name="Image 207"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207" descr="A diagram of a diagram&#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88584" cy="1867544"/>
                    </a:xfrm>
                    <a:prstGeom prst="rect">
                      <a:avLst/>
                    </a:prstGeom>
                    <a:noFill/>
                  </pic:spPr>
                </pic:pic>
              </a:graphicData>
            </a:graphic>
          </wp:inline>
        </w:drawing>
      </w:r>
    </w:p>
    <w:p w14:paraId="6D9BF7D2" w14:textId="77777777" w:rsidR="00A66A23" w:rsidRPr="004C1A96" w:rsidRDefault="00A66A23" w:rsidP="00A66A23">
      <w:pPr>
        <w:rPr>
          <w:rFonts w:ascii="ITC Avant Garde" w:hAnsi="ITC Avant Garde"/>
          <w:lang w:val="es-MX"/>
        </w:rPr>
      </w:pPr>
    </w:p>
    <w:p w14:paraId="137F281B" w14:textId="77777777" w:rsidR="00A66A23" w:rsidRPr="00E14D8A" w:rsidRDefault="00A66A23" w:rsidP="00A66A23">
      <w:pPr>
        <w:rPr>
          <w:rFonts w:ascii="ITC Avant Garde" w:hAnsi="ITC Avant Garde"/>
          <w:lang w:val="es-MX"/>
        </w:rPr>
      </w:pPr>
      <w:r w:rsidRPr="00E14D8A">
        <w:rPr>
          <w:rFonts w:ascii="ITC Avant Garde" w:hAnsi="ITC Avant Garde"/>
          <w:lang w:val="es-MX"/>
        </w:rPr>
        <w:t>Para la red de cobre, se considera que el 10% de las canalizaciones se comparten con la red de trasnporte.</w:t>
      </w:r>
    </w:p>
    <w:p w14:paraId="4B717AC1" w14:textId="2AA23FCE" w:rsidR="00A66A23" w:rsidRPr="00FF2101" w:rsidRDefault="00A66A23" w:rsidP="0040723E">
      <w:pPr>
        <w:pStyle w:val="Ttulo3"/>
        <w:rPr>
          <w:lang w:val="es-ES"/>
        </w:rPr>
      </w:pPr>
      <w:bookmarkStart w:id="305" w:name="_Toc525672882"/>
      <w:bookmarkStart w:id="306" w:name="_Toc525665322"/>
      <w:bookmarkStart w:id="307" w:name="_Toc525665701"/>
      <w:bookmarkStart w:id="308" w:name="_Ref141710394"/>
      <w:bookmarkStart w:id="309" w:name="_Toc141975059"/>
      <w:r w:rsidRPr="00FF2101">
        <w:rPr>
          <w:lang w:val="es-ES"/>
        </w:rPr>
        <w:t xml:space="preserve">Despliegue de la red de </w:t>
      </w:r>
      <w:r w:rsidR="00D00D6D" w:rsidRPr="00FF2101">
        <w:rPr>
          <w:lang w:val="es-ES"/>
        </w:rPr>
        <w:t>FTTH</w:t>
      </w:r>
      <w:bookmarkEnd w:id="305"/>
      <w:bookmarkEnd w:id="306"/>
      <w:bookmarkEnd w:id="307"/>
      <w:bookmarkEnd w:id="308"/>
      <w:bookmarkEnd w:id="309"/>
    </w:p>
    <w:p w14:paraId="5B7F261D" w14:textId="77777777" w:rsidR="00A66A23" w:rsidRPr="004C1A96" w:rsidRDefault="00A66A23" w:rsidP="00A66A23">
      <w:pPr>
        <w:rPr>
          <w:rFonts w:ascii="ITC Avant Garde" w:hAnsi="ITC Avant Garde"/>
          <w:lang w:val="es-MX"/>
        </w:rPr>
      </w:pPr>
      <w:r w:rsidRPr="004C1A96">
        <w:rPr>
          <w:rFonts w:ascii="ITC Avant Garde" w:hAnsi="ITC Avant Garde"/>
          <w:lang w:val="es-MX"/>
        </w:rPr>
        <w:t>Los principios seguidos para implementar la red son globalmente similares a los de la red de cobre con pequeños ajustes:</w:t>
      </w:r>
    </w:p>
    <w:p w14:paraId="37E604DF" w14:textId="77777777" w:rsidR="00A66A23" w:rsidRPr="00E14D8A" w:rsidRDefault="00A66A23" w:rsidP="00A66A23">
      <w:pPr>
        <w:pStyle w:val="Listaconvietas2"/>
        <w:rPr>
          <w:rFonts w:ascii="ITC Avant Garde" w:hAnsi="ITC Avant Garde"/>
          <w:lang w:val="es-MX"/>
        </w:rPr>
      </w:pPr>
      <w:r w:rsidRPr="004C1A96">
        <w:rPr>
          <w:rFonts w:ascii="ITC Avant Garde" w:hAnsi="ITC Avant Garde"/>
          <w:lang w:val="es-MX"/>
        </w:rPr>
        <w:t>Se su</w:t>
      </w:r>
      <w:r w:rsidRPr="00E14D8A">
        <w:rPr>
          <w:rFonts w:ascii="ITC Avant Garde" w:hAnsi="ITC Avant Garde"/>
          <w:lang w:val="es-MX"/>
        </w:rPr>
        <w:t>pone 1 fibra por local (según lo establecido por el AEP);</w:t>
      </w:r>
    </w:p>
    <w:p w14:paraId="0E55ACCA" w14:textId="77777777" w:rsidR="00A66A23" w:rsidRPr="00E14D8A" w:rsidRDefault="00A66A23" w:rsidP="00A66A23">
      <w:pPr>
        <w:pStyle w:val="Listaconvietas2"/>
        <w:rPr>
          <w:rFonts w:ascii="ITC Avant Garde" w:hAnsi="ITC Avant Garde"/>
          <w:lang w:val="es-MX"/>
        </w:rPr>
      </w:pPr>
      <w:r w:rsidRPr="00E14D8A">
        <w:rPr>
          <w:rFonts w:ascii="ITC Avant Garde" w:hAnsi="ITC Avant Garde"/>
          <w:lang w:val="es-MX"/>
        </w:rPr>
        <w:t>Se usan cables de fibra en lugar de cables de cobre;</w:t>
      </w:r>
    </w:p>
    <w:p w14:paraId="07D289B1" w14:textId="77777777" w:rsidR="00A66A23" w:rsidRPr="00E14D8A" w:rsidRDefault="00A66A23" w:rsidP="00A66A23">
      <w:pPr>
        <w:pStyle w:val="Listaconvietas2"/>
        <w:rPr>
          <w:rFonts w:ascii="ITC Avant Garde" w:hAnsi="ITC Avant Garde"/>
          <w:lang w:val="es-MX"/>
        </w:rPr>
      </w:pPr>
      <w:r w:rsidRPr="00E14D8A">
        <w:rPr>
          <w:rFonts w:ascii="ITC Avant Garde" w:hAnsi="ITC Avant Garde"/>
          <w:lang w:val="es-MX"/>
        </w:rPr>
        <w:t>Se utilizan DP de fibra en lugar de DP de cobre;</w:t>
      </w:r>
    </w:p>
    <w:p w14:paraId="32F909A4" w14:textId="77777777" w:rsidR="00A66A23" w:rsidRPr="004C1A96" w:rsidRDefault="00A66A23" w:rsidP="00A66A23">
      <w:pPr>
        <w:pStyle w:val="Listaconvietas2"/>
        <w:rPr>
          <w:rFonts w:ascii="ITC Avant Garde" w:hAnsi="ITC Avant Garde"/>
          <w:lang w:val="es-MX"/>
        </w:rPr>
      </w:pPr>
      <w:r w:rsidRPr="004C1A96">
        <w:rPr>
          <w:rFonts w:ascii="ITC Avant Garde" w:hAnsi="ITC Avant Garde"/>
          <w:lang w:val="es-MX"/>
        </w:rPr>
        <w:t>Se utilizan subductos de fibra</w:t>
      </w:r>
    </w:p>
    <w:p w14:paraId="16F3B737" w14:textId="77777777" w:rsidR="00A66A23" w:rsidRPr="004C1A96" w:rsidRDefault="00A66A23" w:rsidP="00A66A23">
      <w:pPr>
        <w:rPr>
          <w:rFonts w:ascii="ITC Avant Garde" w:hAnsi="ITC Avant Garde"/>
          <w:lang w:val="es-MX"/>
        </w:rPr>
      </w:pPr>
      <w:r w:rsidRPr="004C1A96">
        <w:rPr>
          <w:rFonts w:ascii="ITC Avant Garde" w:hAnsi="ITC Avant Garde"/>
          <w:lang w:val="es-MX"/>
        </w:rPr>
        <w:t>Para los cables SDP y PDP, las reglas de cierres son las mismas que para la red de cobre.</w:t>
      </w:r>
    </w:p>
    <w:p w14:paraId="1EC87C45" w14:textId="77777777" w:rsidR="00A66A23" w:rsidRPr="004C1A96" w:rsidRDefault="00A66A23" w:rsidP="00A66A23">
      <w:pPr>
        <w:rPr>
          <w:rFonts w:ascii="ITC Avant Garde" w:hAnsi="ITC Avant Garde"/>
          <w:lang w:val="es-MX"/>
        </w:rPr>
      </w:pPr>
      <w:r w:rsidRPr="004C1A96">
        <w:rPr>
          <w:rFonts w:ascii="ITC Avant Garde" w:hAnsi="ITC Avant Garde"/>
          <w:lang w:val="es-MX"/>
        </w:rPr>
        <w:t>Dado que se considera la tecnología PON, el equipo SDP es un divisor, que agrega 8 fibras.</w:t>
      </w:r>
    </w:p>
    <w:p w14:paraId="0C541AE4" w14:textId="77777777" w:rsidR="00A66A23" w:rsidRPr="004C1A96" w:rsidRDefault="00A66A23" w:rsidP="00A66A23">
      <w:pPr>
        <w:rPr>
          <w:rFonts w:ascii="ITC Avant Garde" w:hAnsi="ITC Avant Garde"/>
          <w:lang w:val="es-MX"/>
        </w:rPr>
      </w:pPr>
      <w:r w:rsidRPr="004C1A96">
        <w:rPr>
          <w:rFonts w:ascii="ITC Avant Garde" w:hAnsi="ITC Avant Garde"/>
          <w:lang w:val="es-MX"/>
        </w:rPr>
        <w:t>En el nivel SDP, el número de líneas requeridas para pasar al PDP es el número de líneas agregadas divididas por 8. En el nivel PDP, el número de líneas requeridas para pasar a la CO el número de líneas agregadas divididas por 8 (1: 8 se usa como una relación de división para ambos niveles de división).</w:t>
      </w:r>
    </w:p>
    <w:p w14:paraId="11985CAC" w14:textId="614A8EEA" w:rsidR="00A66A23" w:rsidRPr="004C1A96" w:rsidRDefault="00A66A23" w:rsidP="00A66A23">
      <w:pPr>
        <w:rPr>
          <w:rFonts w:ascii="ITC Avant Garde" w:hAnsi="ITC Avant Garde"/>
          <w:lang w:val="es-MX"/>
        </w:rPr>
      </w:pPr>
      <w:r w:rsidRPr="004C1A96">
        <w:rPr>
          <w:rFonts w:ascii="ITC Avant Garde" w:hAnsi="ITC Avant Garde"/>
          <w:lang w:val="es-MX"/>
        </w:rPr>
        <w:t>Para la red de fibra, se considera que el 1</w:t>
      </w:r>
      <w:r w:rsidR="00D00D6D" w:rsidRPr="004C1A96">
        <w:rPr>
          <w:rFonts w:ascii="ITC Avant Garde" w:hAnsi="ITC Avant Garde"/>
          <w:lang w:val="es-MX"/>
        </w:rPr>
        <w:t>3</w:t>
      </w:r>
      <w:r w:rsidRPr="004C1A96">
        <w:rPr>
          <w:rFonts w:ascii="ITC Avant Garde" w:hAnsi="ITC Avant Garde"/>
          <w:lang w:val="es-MX"/>
        </w:rPr>
        <w:t>% de las canalizaciones se comparten con la red central.</w:t>
      </w:r>
    </w:p>
    <w:p w14:paraId="1D27DCAC" w14:textId="77777777" w:rsidR="00A66A23" w:rsidRPr="004C1A96" w:rsidRDefault="00A66A23" w:rsidP="00A66A23">
      <w:pPr>
        <w:rPr>
          <w:rFonts w:ascii="ITC Avant Garde" w:hAnsi="ITC Avant Garde"/>
          <w:lang w:val="es-MX"/>
        </w:rPr>
      </w:pPr>
    </w:p>
    <w:p w14:paraId="1D497014" w14:textId="77777777" w:rsidR="00A66A23" w:rsidRPr="008F42FC" w:rsidRDefault="00A66A23" w:rsidP="003C224B">
      <w:pPr>
        <w:pStyle w:val="Ttulo4"/>
        <w:rPr>
          <w:lang w:val="es-MX"/>
        </w:rPr>
      </w:pPr>
      <w:bookmarkStart w:id="310" w:name="_Toc525672883"/>
      <w:bookmarkStart w:id="311" w:name="_Toc525665323"/>
      <w:bookmarkStart w:id="312" w:name="_Toc525665702"/>
      <w:bookmarkStart w:id="313" w:name="_Toc141975060"/>
      <w:r w:rsidRPr="008F42FC">
        <w:rPr>
          <w:lang w:val="es-MX"/>
        </w:rPr>
        <w:lastRenderedPageBreak/>
        <w:t>Subductos</w:t>
      </w:r>
      <w:bookmarkEnd w:id="310"/>
      <w:bookmarkEnd w:id="311"/>
      <w:bookmarkEnd w:id="312"/>
      <w:bookmarkEnd w:id="313"/>
    </w:p>
    <w:p w14:paraId="255D6E95" w14:textId="77777777" w:rsidR="00A66A23" w:rsidRPr="00E14D8A" w:rsidRDefault="00A66A23" w:rsidP="00A66A23">
      <w:pPr>
        <w:rPr>
          <w:rFonts w:ascii="ITC Avant Garde" w:hAnsi="ITC Avant Garde"/>
          <w:lang w:val="es-MX"/>
        </w:rPr>
      </w:pPr>
      <w:r w:rsidRPr="004C1A96">
        <w:rPr>
          <w:rFonts w:ascii="ITC Avant Garde" w:hAnsi="ITC Avant Garde"/>
          <w:lang w:val="es-MX"/>
        </w:rPr>
        <w:t>Dado que la red de fibra utiliza canalizaciones (como la red de cobre) en lugar de zanja</w:t>
      </w:r>
      <w:r w:rsidRPr="00E14D8A">
        <w:rPr>
          <w:rFonts w:ascii="ITC Avant Garde" w:hAnsi="ITC Avant Garde"/>
          <w:lang w:val="es-MX"/>
        </w:rPr>
        <w:t>s + conductos, no se consideran grandes conductos.</w:t>
      </w:r>
    </w:p>
    <w:p w14:paraId="0C681044" w14:textId="77777777" w:rsidR="00A66A23" w:rsidRPr="00E14D8A" w:rsidRDefault="00A66A23" w:rsidP="00A66A23">
      <w:pPr>
        <w:rPr>
          <w:rFonts w:ascii="ITC Avant Garde" w:hAnsi="ITC Avant Garde"/>
          <w:lang w:val="es-MX"/>
        </w:rPr>
      </w:pPr>
      <w:r w:rsidRPr="00E14D8A">
        <w:rPr>
          <w:rFonts w:ascii="ITC Avant Garde" w:hAnsi="ITC Avant Garde"/>
          <w:lang w:val="es-MX"/>
        </w:rPr>
        <w:t>Para la fibra, los subductos se utilizan para proteger los cables de fibra, que a su vez están incrustados en canalizaciones.</w:t>
      </w:r>
    </w:p>
    <w:p w14:paraId="0F44B4C8" w14:textId="77777777" w:rsidR="00A66A23" w:rsidRPr="004C1A96" w:rsidRDefault="00A66A23" w:rsidP="00A66A23">
      <w:pPr>
        <w:rPr>
          <w:rFonts w:ascii="ITC Avant Garde" w:hAnsi="ITC Avant Garde"/>
          <w:lang w:val="es-MX"/>
        </w:rPr>
      </w:pPr>
      <w:r w:rsidRPr="004C1A96">
        <w:rPr>
          <w:rFonts w:ascii="ITC Avant Garde" w:hAnsi="ITC Avant Garde"/>
          <w:lang w:val="es-MX"/>
        </w:rPr>
        <w:t>Se consideran dos subductos de tipo, el tamaño está determinado por la superficie de los cables de fibra que deben pasarse. Se considera la superficie total de los cables, y los conductos están dimensionados para que se llenen hasta el 80% de su superficie total por la superficie total de los cables.</w:t>
      </w:r>
    </w:p>
    <w:p w14:paraId="59D81959" w14:textId="77777777" w:rsidR="00A66A23" w:rsidRPr="004C1A96" w:rsidRDefault="00A66A23" w:rsidP="00A66A23">
      <w:pPr>
        <w:rPr>
          <w:rFonts w:ascii="ITC Avant Garde" w:hAnsi="ITC Avant Garde"/>
          <w:lang w:val="es-MX"/>
        </w:rPr>
      </w:pPr>
    </w:p>
    <w:p w14:paraId="52514A1E" w14:textId="77777777" w:rsidR="00A66A23" w:rsidRPr="008F42FC" w:rsidRDefault="00A66A23" w:rsidP="003C224B">
      <w:pPr>
        <w:pStyle w:val="Ttulo4"/>
        <w:rPr>
          <w:lang w:val="es-MX"/>
        </w:rPr>
      </w:pPr>
      <w:bookmarkStart w:id="314" w:name="_Toc525665324"/>
      <w:bookmarkStart w:id="315" w:name="_Toc525665703"/>
      <w:bookmarkStart w:id="316" w:name="_Toc141975061"/>
      <w:r w:rsidRPr="008F42FC">
        <w:rPr>
          <w:lang w:val="es-MX"/>
        </w:rPr>
        <w:t>Cierre de empalme</w:t>
      </w:r>
      <w:bookmarkEnd w:id="314"/>
      <w:bookmarkEnd w:id="315"/>
      <w:bookmarkEnd w:id="316"/>
    </w:p>
    <w:p w14:paraId="13953220" w14:textId="77777777" w:rsidR="00A66A23" w:rsidRPr="004C1A96" w:rsidRDefault="00A66A23" w:rsidP="00A66A23">
      <w:pPr>
        <w:rPr>
          <w:rFonts w:ascii="ITC Avant Garde" w:hAnsi="ITC Avant Garde"/>
          <w:lang w:val="es-MX"/>
        </w:rPr>
      </w:pPr>
      <w:r w:rsidRPr="004C1A96">
        <w:rPr>
          <w:rFonts w:ascii="ITC Avant Garde" w:hAnsi="ITC Avant Garde"/>
          <w:lang w:val="es-MX"/>
        </w:rPr>
        <w:t>Las acometidas del SDP al edificio / dirección se consideran un solo cable dedicado; por lo tanto, no se requiere un cierre de empalme entre el SDP y la construcción / dirección.</w:t>
      </w:r>
    </w:p>
    <w:p w14:paraId="5DB0A534" w14:textId="77777777" w:rsidR="00A66A23" w:rsidRPr="00E14D8A" w:rsidRDefault="00A66A23" w:rsidP="00A66A23">
      <w:pPr>
        <w:rPr>
          <w:rFonts w:ascii="ITC Avant Garde" w:hAnsi="ITC Avant Garde"/>
          <w:lang w:val="es-MX"/>
        </w:rPr>
      </w:pPr>
      <w:r w:rsidRPr="00E14D8A">
        <w:rPr>
          <w:rFonts w:ascii="ITC Avant Garde" w:hAnsi="ITC Avant Garde"/>
          <w:lang w:val="es-MX"/>
        </w:rPr>
        <w:t>Desde el SDP hasta el PDP, se utiliza un cierre de empalme cada vez que se deben agregar dos cables.</w:t>
      </w:r>
    </w:p>
    <w:p w14:paraId="5CBEA2D7" w14:textId="77777777" w:rsidR="00A66A23" w:rsidRPr="00E14D8A" w:rsidRDefault="00A66A23" w:rsidP="00A66A23">
      <w:pPr>
        <w:rPr>
          <w:rFonts w:ascii="ITC Avant Garde" w:hAnsi="ITC Avant Garde"/>
          <w:lang w:val="es-MX"/>
        </w:rPr>
      </w:pPr>
      <w:r w:rsidRPr="00E14D8A">
        <w:rPr>
          <w:rFonts w:ascii="ITC Avant Garde" w:hAnsi="ITC Avant Garde"/>
          <w:lang w:val="es-MX"/>
        </w:rPr>
        <w:t>Se instala un pozo de registro en cada cierre y cruce donde se instala un cierre. Un pozo se puede compartir para múltiples cierres.</w:t>
      </w:r>
    </w:p>
    <w:p w14:paraId="187A01FA" w14:textId="77777777" w:rsidR="00A66A23" w:rsidRPr="00E14D8A" w:rsidRDefault="00A66A23" w:rsidP="00A66A23">
      <w:pPr>
        <w:rPr>
          <w:rFonts w:ascii="ITC Avant Garde" w:hAnsi="ITC Avant Garde"/>
          <w:lang w:val="es-MX"/>
        </w:rPr>
      </w:pPr>
    </w:p>
    <w:p w14:paraId="1BAA8E91" w14:textId="77777777" w:rsidR="00A66A23" w:rsidRPr="008F42FC" w:rsidRDefault="00A66A23" w:rsidP="003C224B">
      <w:pPr>
        <w:pStyle w:val="Ttulo4"/>
        <w:rPr>
          <w:lang w:val="es-MX"/>
        </w:rPr>
      </w:pPr>
      <w:bookmarkStart w:id="317" w:name="_Toc525672885"/>
      <w:bookmarkStart w:id="318" w:name="_Toc525665325"/>
      <w:bookmarkStart w:id="319" w:name="_Toc525665704"/>
      <w:bookmarkStart w:id="320" w:name="_Toc141975062"/>
      <w:r w:rsidRPr="008F42FC">
        <w:rPr>
          <w:lang w:val="es-MX"/>
        </w:rPr>
        <w:t>Cálculo de la longitud de zanjas / "canalizaciones"</w:t>
      </w:r>
      <w:bookmarkEnd w:id="317"/>
      <w:bookmarkEnd w:id="318"/>
      <w:bookmarkEnd w:id="319"/>
      <w:bookmarkEnd w:id="320"/>
    </w:p>
    <w:p w14:paraId="792C13BC" w14:textId="77777777" w:rsidR="00A66A23" w:rsidRPr="004C1A96" w:rsidRDefault="00A66A23" w:rsidP="00A66A23">
      <w:pPr>
        <w:rPr>
          <w:rFonts w:ascii="ITC Avant Garde" w:hAnsi="ITC Avant Garde"/>
          <w:lang w:val="es-MX"/>
        </w:rPr>
      </w:pPr>
      <w:r w:rsidRPr="004C1A96">
        <w:rPr>
          <w:rFonts w:ascii="ITC Avant Garde" w:hAnsi="ITC Avant Garde"/>
          <w:lang w:val="es-MX"/>
        </w:rPr>
        <w:t>Cuando las zanjas deben ser excavadas en ambos lados de la carretera, hay dos configuraciones principales para la longitud de las zanjas.</w:t>
      </w:r>
    </w:p>
    <w:p w14:paraId="6DC3A3E6" w14:textId="5A732A22" w:rsidR="00A66A23" w:rsidRPr="00E14D8A" w:rsidRDefault="00A66A23" w:rsidP="00A66A23">
      <w:pPr>
        <w:pStyle w:val="Descripcin"/>
        <w:keepNext/>
        <w:rPr>
          <w:rFonts w:ascii="ITC Avant Garde" w:hAnsi="ITC Avant Garde"/>
          <w:lang w:val="es-MX"/>
        </w:rPr>
      </w:pPr>
      <w:r w:rsidRPr="004C1A96">
        <w:rPr>
          <w:rFonts w:ascii="ITC Avant Garde" w:hAnsi="ITC Avant Garde"/>
          <w:lang w:val="es-MX"/>
        </w:rPr>
        <w:t> </w:t>
      </w:r>
      <w:r w:rsidR="006D69ED" w:rsidRPr="00E14D8A">
        <w:rPr>
          <w:rFonts w:ascii="ITC Avant Garde" w:hAnsi="ITC Avant Garde"/>
          <w:lang w:val="es-MX"/>
        </w:rPr>
        <w:t xml:space="preserve">Figura </w:t>
      </w:r>
      <w:r w:rsidR="006D69ED" w:rsidRPr="004C1A96">
        <w:rPr>
          <w:rFonts w:ascii="ITC Avant Garde" w:hAnsi="ITC Avant Garde"/>
          <w:lang w:val="es-MX"/>
        </w:rPr>
        <w:fldChar w:fldCharType="begin"/>
      </w:r>
      <w:r w:rsidR="006D69ED" w:rsidRPr="004C1A96">
        <w:rPr>
          <w:rFonts w:ascii="ITC Avant Garde" w:hAnsi="ITC Avant Garde"/>
          <w:lang w:val="es-MX"/>
        </w:rPr>
        <w:instrText xml:space="preserve"> SEQ Figura \* ARABIC </w:instrText>
      </w:r>
      <w:r w:rsidR="006D69ED" w:rsidRPr="004C1A96">
        <w:rPr>
          <w:rFonts w:ascii="ITC Avant Garde" w:hAnsi="ITC Avant Garde"/>
          <w:lang w:val="es-MX"/>
        </w:rPr>
        <w:fldChar w:fldCharType="separate"/>
      </w:r>
      <w:r w:rsidR="00006265">
        <w:rPr>
          <w:rFonts w:ascii="ITC Avant Garde" w:hAnsi="ITC Avant Garde"/>
          <w:noProof/>
          <w:lang w:val="es-MX"/>
        </w:rPr>
        <w:t>43</w:t>
      </w:r>
      <w:r w:rsidR="006D69ED" w:rsidRPr="004C1A96">
        <w:rPr>
          <w:rFonts w:ascii="ITC Avant Garde" w:hAnsi="ITC Avant Garde"/>
          <w:lang w:val="es-MX"/>
        </w:rPr>
        <w:fldChar w:fldCharType="end"/>
      </w:r>
      <w:r w:rsidR="006D69ED" w:rsidRPr="004C1A96">
        <w:rPr>
          <w:rFonts w:ascii="ITC Avant Garde" w:hAnsi="ITC Avant Garde"/>
          <w:lang w:val="es-MX"/>
        </w:rPr>
        <w:t xml:space="preserve"> </w:t>
      </w:r>
      <w:r w:rsidRPr="004C1A96">
        <w:rPr>
          <w:rFonts w:ascii="ITC Avant Garde" w:hAnsi="ITC Avant Garde"/>
          <w:lang w:val="es-MX"/>
        </w:rPr>
        <w:t xml:space="preserve">- Configuraciones de secciones </w:t>
      </w:r>
      <w:r w:rsidRPr="00E14D8A">
        <w:rPr>
          <w:rFonts w:ascii="ITC Avant Garde" w:hAnsi="ITC Avant Garde"/>
          <w:lang w:val="es-MX"/>
        </w:rPr>
        <w:t>de camino</w:t>
      </w:r>
    </w:p>
    <w:p w14:paraId="0573B248" w14:textId="636D91D4" w:rsidR="00A66A23" w:rsidRPr="004C1A96" w:rsidRDefault="00F719D5" w:rsidP="00A66A23">
      <w:pPr>
        <w:rPr>
          <w:rFonts w:ascii="ITC Avant Garde" w:hAnsi="ITC Avant Garde"/>
          <w:lang w:val="es-MX"/>
        </w:rPr>
      </w:pPr>
      <w:r w:rsidRPr="00872052">
        <w:rPr>
          <w:rFonts w:ascii="ITC Avant Garde" w:hAnsi="ITC Avant Garde"/>
          <w:noProof/>
          <w:lang w:val="es-MX" w:eastAsia="es-MX"/>
        </w:rPr>
        <w:drawing>
          <wp:inline distT="0" distB="0" distL="0" distR="0" wp14:anchorId="7D8053DE" wp14:editId="3F1E7465">
            <wp:extent cx="5399405" cy="1509497"/>
            <wp:effectExtent l="0" t="0" r="0" b="0"/>
            <wp:docPr id="85"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99405" cy="1509497"/>
                    </a:xfrm>
                    <a:prstGeom prst="rect">
                      <a:avLst/>
                    </a:prstGeom>
                    <a:noFill/>
                    <a:ln>
                      <a:noFill/>
                    </a:ln>
                  </pic:spPr>
                </pic:pic>
              </a:graphicData>
            </a:graphic>
          </wp:inline>
        </w:drawing>
      </w:r>
    </w:p>
    <w:p w14:paraId="428B3438" w14:textId="77777777" w:rsidR="00A66A23" w:rsidRPr="004C1A96" w:rsidRDefault="00A66A23" w:rsidP="00A66A23">
      <w:pPr>
        <w:rPr>
          <w:rFonts w:ascii="ITC Avant Garde" w:hAnsi="ITC Avant Garde"/>
          <w:lang w:val="es-MX"/>
        </w:rPr>
      </w:pPr>
    </w:p>
    <w:p w14:paraId="715F2DCB" w14:textId="77777777" w:rsidR="00A66A23" w:rsidRPr="00E14D8A" w:rsidRDefault="00A66A23" w:rsidP="00A66A23">
      <w:pPr>
        <w:rPr>
          <w:rFonts w:ascii="ITC Avant Garde" w:hAnsi="ITC Avant Garde"/>
          <w:lang w:val="es-MX"/>
        </w:rPr>
      </w:pPr>
      <w:r w:rsidRPr="00E14D8A">
        <w:rPr>
          <w:rFonts w:ascii="ITC Avant Garde" w:hAnsi="ITC Avant Garde"/>
          <w:lang w:val="es-MX"/>
        </w:rPr>
        <w:t>El primer caso (a) corresponde a una situación en la que se cavan zanjas en ambos lados de la carretera, y luego se cruza la carretera una vez, y el caso (b) corresponde a una situación donde se cavan zanjas en el lado principal de la carretera y luego, el camino se cruza una vez para cada dirección en el segundo lado.</w:t>
      </w:r>
    </w:p>
    <w:p w14:paraId="6B6CC2B3" w14:textId="77777777" w:rsidR="00A66A23" w:rsidRPr="00E14D8A" w:rsidRDefault="00A66A23" w:rsidP="00A66A23">
      <w:pPr>
        <w:rPr>
          <w:rFonts w:ascii="ITC Avant Garde" w:hAnsi="ITC Avant Garde"/>
          <w:lang w:val="es-MX"/>
        </w:rPr>
      </w:pPr>
      <w:r w:rsidRPr="00E14D8A">
        <w:rPr>
          <w:rFonts w:ascii="ITC Avant Garde" w:hAnsi="ITC Avant Garde"/>
          <w:lang w:val="es-MX"/>
        </w:rPr>
        <w:lastRenderedPageBreak/>
        <w:t>Esto se calcula con el fin de minimizar la longitud de las zanjas excavadas, mediante el siguiente proceso:</w:t>
      </w:r>
    </w:p>
    <w:p w14:paraId="467633E7" w14:textId="77777777" w:rsidR="00A66A23" w:rsidRPr="004C1A96" w:rsidRDefault="00A66A23" w:rsidP="00A66A23">
      <w:pPr>
        <w:pStyle w:val="Prrafodelista"/>
        <w:numPr>
          <w:ilvl w:val="0"/>
          <w:numId w:val="32"/>
        </w:numPr>
        <w:rPr>
          <w:rFonts w:ascii="ITC Avant Garde" w:hAnsi="ITC Avant Garde"/>
          <w:lang w:val="es-MX"/>
        </w:rPr>
      </w:pPr>
      <w:r w:rsidRPr="004C1A96">
        <w:rPr>
          <w:rFonts w:ascii="ITC Avant Garde" w:hAnsi="ITC Avant Garde"/>
          <w:lang w:val="es-MX"/>
        </w:rPr>
        <w:t>Identificar en ambos lados la dirección más cercana a la CO y la dirección más alejada de la CO.</w:t>
      </w:r>
    </w:p>
    <w:p w14:paraId="3FB20DE5" w14:textId="77777777" w:rsidR="00A66A23" w:rsidRPr="004C1A96" w:rsidRDefault="00A66A23" w:rsidP="00A66A23">
      <w:pPr>
        <w:pStyle w:val="Prrafodelista"/>
        <w:numPr>
          <w:ilvl w:val="0"/>
          <w:numId w:val="32"/>
        </w:numPr>
        <w:rPr>
          <w:rFonts w:ascii="ITC Avant Garde" w:hAnsi="ITC Avant Garde"/>
          <w:lang w:val="es-MX"/>
        </w:rPr>
      </w:pPr>
      <w:r w:rsidRPr="004C1A96">
        <w:rPr>
          <w:rFonts w:ascii="ITC Avant Garde" w:hAnsi="ITC Avant Garde"/>
          <w:lang w:val="es-MX"/>
        </w:rPr>
        <w:t>Identificar el número de direcciones en ambos lados.</w:t>
      </w:r>
    </w:p>
    <w:p w14:paraId="2CCBD007" w14:textId="77777777" w:rsidR="00A66A23" w:rsidRPr="004C1A96" w:rsidRDefault="00A66A23" w:rsidP="00A66A23">
      <w:pPr>
        <w:pStyle w:val="Prrafodelista"/>
        <w:numPr>
          <w:ilvl w:val="0"/>
          <w:numId w:val="32"/>
        </w:numPr>
        <w:rPr>
          <w:rFonts w:ascii="ITC Avant Garde" w:hAnsi="ITC Avant Garde"/>
          <w:lang w:val="es-MX"/>
        </w:rPr>
      </w:pPr>
      <w:r w:rsidRPr="004C1A96">
        <w:rPr>
          <w:rFonts w:ascii="ITC Avant Garde" w:hAnsi="ITC Avant Garde"/>
          <w:lang w:val="es-MX"/>
        </w:rPr>
        <w:t>Calculando para ambos lados la longitud requerida para enviar todas las direcciones al otro lado usando el caso (a), y el caso (b) (en el SQL referido como Left_OneCrossLength e Left_ManyCrossLength).</w:t>
      </w:r>
    </w:p>
    <w:p w14:paraId="21F85B1C" w14:textId="77777777" w:rsidR="00A66A23" w:rsidRPr="004C1A96" w:rsidRDefault="00A66A23" w:rsidP="00A66A23">
      <w:pPr>
        <w:pStyle w:val="Prrafodelista"/>
        <w:numPr>
          <w:ilvl w:val="0"/>
          <w:numId w:val="32"/>
        </w:numPr>
        <w:rPr>
          <w:rFonts w:ascii="ITC Avant Garde" w:hAnsi="ITC Avant Garde"/>
          <w:lang w:val="es-MX"/>
        </w:rPr>
      </w:pPr>
      <w:r w:rsidRPr="004C1A96">
        <w:rPr>
          <w:rFonts w:ascii="ITC Avant Garde" w:hAnsi="ITC Avant Garde"/>
          <w:lang w:val="es-MX"/>
        </w:rPr>
        <w:t>Identificar el lado principal, identificando la combinación más pequeña longitud izquierda + longitud derecha usando el valor descrito arriba e identificando la estrategia de zanja (un cruce o muchas cruces).</w:t>
      </w:r>
    </w:p>
    <w:p w14:paraId="4FCC0E59" w14:textId="77777777" w:rsidR="00A66A23" w:rsidRPr="004C1A96" w:rsidRDefault="00A66A23" w:rsidP="00A66A23">
      <w:pPr>
        <w:rPr>
          <w:rFonts w:ascii="ITC Avant Garde" w:hAnsi="ITC Avant Garde"/>
          <w:lang w:val="es-MX"/>
        </w:rPr>
      </w:pPr>
      <w:r w:rsidRPr="004C1A96">
        <w:rPr>
          <w:rFonts w:ascii="ITC Avant Garde" w:hAnsi="ITC Avant Garde"/>
          <w:lang w:val="es-MX"/>
        </w:rPr>
        <w:t>La longitud de la zanja en el segundo lado es entonces la seleccionada.</w:t>
      </w:r>
    </w:p>
    <w:p w14:paraId="624F499E" w14:textId="77777777" w:rsidR="00A66A23" w:rsidRPr="004C1A96" w:rsidRDefault="00A66A23" w:rsidP="00A66A23">
      <w:pPr>
        <w:rPr>
          <w:rFonts w:ascii="ITC Avant Garde" w:hAnsi="ITC Avant Garde"/>
          <w:lang w:val="es-MX"/>
        </w:rPr>
      </w:pPr>
      <w:r w:rsidRPr="004C1A96">
        <w:rPr>
          <w:rFonts w:ascii="ITC Avant Garde" w:hAnsi="ITC Avant Garde"/>
          <w:lang w:val="es-MX"/>
        </w:rPr>
        <w:t>Debe tenerse en cuenta que el ancho de la carretera está ponderado por un factor con el fin de tener en cuenta el costo adicional de la construcción de túneles en comparación con las zanjas de los caminos. Este factor se calcula como la relación entre el costo de "canalizaciones en Arroyo con Tráfico Pesado" y las "Canalizaciones en Banqueta" utilizadas en el borde de la carretera.</w:t>
      </w:r>
    </w:p>
    <w:p w14:paraId="16C811B6" w14:textId="77777777" w:rsidR="00A66A23" w:rsidRPr="004C1A96" w:rsidRDefault="00A66A23" w:rsidP="00A66A23">
      <w:pPr>
        <w:rPr>
          <w:rFonts w:ascii="ITC Avant Garde" w:hAnsi="ITC Avant Garde"/>
          <w:lang w:val="es-MX"/>
        </w:rPr>
      </w:pPr>
      <w:r w:rsidRPr="004C1A96">
        <w:rPr>
          <w:rFonts w:ascii="ITC Avant Garde" w:hAnsi="ITC Avant Garde"/>
          <w:lang w:val="es-MX"/>
        </w:rPr>
        <w:t>En el lado principal, la longitud es la longitud generada al agregar las casas al próximo SDP, o la longitud de la sección si la ruta es utilizada por una ruta PDP al CO.</w:t>
      </w:r>
    </w:p>
    <w:p w14:paraId="52A68BB3" w14:textId="3A587871" w:rsidR="00D00D6D" w:rsidRPr="00FF2101" w:rsidRDefault="00D00D6D" w:rsidP="0040723E">
      <w:pPr>
        <w:pStyle w:val="Ttulo3"/>
        <w:rPr>
          <w:lang w:val="es-ES"/>
        </w:rPr>
      </w:pPr>
      <w:bookmarkStart w:id="321" w:name="_Toc141975063"/>
      <w:r w:rsidRPr="00FF2101">
        <w:rPr>
          <w:lang w:val="es-ES"/>
        </w:rPr>
        <w:t>Despliegue de la red de FTTC</w:t>
      </w:r>
      <w:bookmarkEnd w:id="321"/>
    </w:p>
    <w:p w14:paraId="258FF47D" w14:textId="72235F4A" w:rsidR="001C7AAD" w:rsidRPr="00B651E9" w:rsidRDefault="001C7AAD" w:rsidP="00D00D6D">
      <w:pPr>
        <w:rPr>
          <w:rFonts w:ascii="ITC Avant Garde" w:hAnsi="ITC Avant Garde"/>
          <w:lang w:val="es-ES"/>
        </w:rPr>
      </w:pPr>
      <w:r w:rsidRPr="00B651E9">
        <w:rPr>
          <w:rFonts w:ascii="ITC Avant Garde" w:hAnsi="ITC Avant Garde"/>
          <w:lang w:val="es-ES"/>
        </w:rPr>
        <w:t>El despliegue de la red FTT</w:t>
      </w:r>
      <w:r w:rsidR="00E0598D" w:rsidRPr="00B651E9">
        <w:rPr>
          <w:rFonts w:ascii="ITC Avant Garde" w:hAnsi="ITC Avant Garde"/>
          <w:lang w:val="es-ES"/>
        </w:rPr>
        <w:t xml:space="preserve">C </w:t>
      </w:r>
      <w:r w:rsidRPr="00B651E9">
        <w:rPr>
          <w:rFonts w:ascii="ITC Avant Garde" w:hAnsi="ITC Avant Garde"/>
          <w:lang w:val="es-ES"/>
        </w:rPr>
        <w:t>sigue unas reglas equivalentes a las de la</w:t>
      </w:r>
      <w:r w:rsidR="00E0598D" w:rsidRPr="00B651E9">
        <w:rPr>
          <w:rFonts w:ascii="ITC Avant Garde" w:hAnsi="ITC Avant Garde"/>
          <w:lang w:val="es-ES"/>
        </w:rPr>
        <w:t>s</w:t>
      </w:r>
      <w:r w:rsidRPr="00B651E9">
        <w:rPr>
          <w:rFonts w:ascii="ITC Avant Garde" w:hAnsi="ITC Avant Garde"/>
          <w:lang w:val="es-ES"/>
        </w:rPr>
        <w:t xml:space="preserve"> redes de cobre y </w:t>
      </w:r>
      <w:r w:rsidR="00E0598D" w:rsidRPr="00B651E9">
        <w:rPr>
          <w:rFonts w:ascii="ITC Avant Garde" w:hAnsi="ITC Avant Garde"/>
          <w:lang w:val="es-ES"/>
        </w:rPr>
        <w:t>FTTH</w:t>
      </w:r>
      <w:r w:rsidRPr="00B651E9">
        <w:rPr>
          <w:rFonts w:ascii="ITC Avant Garde" w:hAnsi="ITC Avant Garde"/>
          <w:lang w:val="es-ES"/>
        </w:rPr>
        <w:t>, pero diferenciando en función de los segmentos de la red:</w:t>
      </w:r>
    </w:p>
    <w:p w14:paraId="46C91FE4" w14:textId="61519BEC" w:rsidR="001C7AAD" w:rsidRPr="00B651E9" w:rsidRDefault="001C7AAD" w:rsidP="001C7AAD">
      <w:pPr>
        <w:pStyle w:val="Prrafodelista"/>
        <w:numPr>
          <w:ilvl w:val="0"/>
          <w:numId w:val="35"/>
        </w:numPr>
        <w:rPr>
          <w:rFonts w:ascii="ITC Avant Garde" w:hAnsi="ITC Avant Garde"/>
          <w:lang w:val="es-ES"/>
        </w:rPr>
      </w:pPr>
      <w:r w:rsidRPr="00B651E9">
        <w:rPr>
          <w:rFonts w:ascii="ITC Avant Garde" w:hAnsi="ITC Avant Garde"/>
          <w:lang w:val="es-ES"/>
        </w:rPr>
        <w:t>En la red secundaria y acometida, la tecnología FTTC emplea cobre y, por tanto, el despliegue de la red se realiza siguiendo la aproximación descrita en la sección</w:t>
      </w:r>
      <w:r w:rsidR="00E0598D" w:rsidRPr="00B651E9">
        <w:rPr>
          <w:rFonts w:ascii="ITC Avant Garde" w:hAnsi="ITC Avant Garde"/>
          <w:lang w:val="es-ES"/>
        </w:rPr>
        <w:t xml:space="preserve"> </w:t>
      </w:r>
      <w:r w:rsidR="00E0598D" w:rsidRPr="00B651E9">
        <w:rPr>
          <w:rFonts w:ascii="ITC Avant Garde" w:hAnsi="ITC Avant Garde"/>
          <w:lang w:val="es-ES"/>
        </w:rPr>
        <w:fldChar w:fldCharType="begin"/>
      </w:r>
      <w:r w:rsidR="00E0598D" w:rsidRPr="00B651E9">
        <w:rPr>
          <w:rFonts w:ascii="ITC Avant Garde" w:hAnsi="ITC Avant Garde"/>
          <w:lang w:val="es-ES"/>
        </w:rPr>
        <w:instrText xml:space="preserve"> REF _Ref141710383 \r \h </w:instrText>
      </w:r>
      <w:r w:rsidR="004C1A96">
        <w:rPr>
          <w:rFonts w:ascii="ITC Avant Garde" w:hAnsi="ITC Avant Garde"/>
          <w:lang w:val="es-ES"/>
        </w:rPr>
        <w:instrText xml:space="preserve"> \* MERGEFORMAT </w:instrText>
      </w:r>
      <w:r w:rsidR="00E0598D" w:rsidRPr="00B651E9">
        <w:rPr>
          <w:rFonts w:ascii="ITC Avant Garde" w:hAnsi="ITC Avant Garde"/>
          <w:lang w:val="es-ES"/>
        </w:rPr>
      </w:r>
      <w:r w:rsidR="00E0598D" w:rsidRPr="00B651E9">
        <w:rPr>
          <w:rFonts w:ascii="ITC Avant Garde" w:hAnsi="ITC Avant Garde"/>
          <w:lang w:val="es-ES"/>
        </w:rPr>
        <w:fldChar w:fldCharType="separate"/>
      </w:r>
      <w:r w:rsidR="00006265">
        <w:rPr>
          <w:rFonts w:ascii="ITC Avant Garde" w:hAnsi="ITC Avant Garde" w:hint="eastAsia"/>
          <w:cs/>
          <w:lang w:val="es-ES"/>
        </w:rPr>
        <w:t>‎</w:t>
      </w:r>
      <w:r w:rsidR="00006265">
        <w:rPr>
          <w:rFonts w:ascii="ITC Avant Garde" w:hAnsi="ITC Avant Garde"/>
          <w:lang w:val="es-ES"/>
        </w:rPr>
        <w:t>3.3.2</w:t>
      </w:r>
      <w:r w:rsidR="00E0598D" w:rsidRPr="00B651E9">
        <w:rPr>
          <w:rFonts w:ascii="ITC Avant Garde" w:hAnsi="ITC Avant Garde"/>
          <w:lang w:val="es-ES"/>
        </w:rPr>
        <w:fldChar w:fldCharType="end"/>
      </w:r>
      <w:r w:rsidRPr="00B651E9">
        <w:rPr>
          <w:rFonts w:ascii="ITC Avant Garde" w:hAnsi="ITC Avant Garde"/>
          <w:lang w:val="es-ES"/>
        </w:rPr>
        <w:t xml:space="preserve">. </w:t>
      </w:r>
    </w:p>
    <w:p w14:paraId="64E86DE7" w14:textId="52AFC1EC" w:rsidR="001C7AAD" w:rsidRPr="00B651E9" w:rsidRDefault="001C7AAD" w:rsidP="00B651E9">
      <w:pPr>
        <w:pStyle w:val="Prrafodelista"/>
        <w:numPr>
          <w:ilvl w:val="0"/>
          <w:numId w:val="35"/>
        </w:numPr>
        <w:rPr>
          <w:rFonts w:ascii="ITC Avant Garde" w:hAnsi="ITC Avant Garde"/>
          <w:lang w:val="es-ES"/>
        </w:rPr>
      </w:pPr>
      <w:r w:rsidRPr="00B651E9">
        <w:rPr>
          <w:rFonts w:ascii="ITC Avant Garde" w:hAnsi="ITC Avant Garde"/>
          <w:lang w:val="es-ES"/>
        </w:rPr>
        <w:t>En la red primar</w:t>
      </w:r>
      <w:r w:rsidR="00E0598D" w:rsidRPr="00B651E9">
        <w:rPr>
          <w:rFonts w:ascii="ITC Avant Garde" w:hAnsi="ITC Avant Garde"/>
          <w:lang w:val="es-ES"/>
        </w:rPr>
        <w:t>ia</w:t>
      </w:r>
      <w:r w:rsidRPr="00B651E9">
        <w:rPr>
          <w:rFonts w:ascii="ITC Avant Garde" w:hAnsi="ITC Avant Garde"/>
          <w:lang w:val="es-ES"/>
        </w:rPr>
        <w:t>, la tecnología FTTC emplea la fibra y, por tanto, el despliegue de la red se realiza siguiendo la aproximación descrita en la sección</w:t>
      </w:r>
      <w:r w:rsidR="00E0598D" w:rsidRPr="00B651E9">
        <w:rPr>
          <w:rFonts w:ascii="ITC Avant Garde" w:hAnsi="ITC Avant Garde"/>
          <w:lang w:val="es-ES"/>
        </w:rPr>
        <w:t xml:space="preserve"> </w:t>
      </w:r>
      <w:r w:rsidR="00E0598D" w:rsidRPr="00B651E9">
        <w:rPr>
          <w:rFonts w:ascii="ITC Avant Garde" w:hAnsi="ITC Avant Garde"/>
          <w:lang w:val="es-ES"/>
        </w:rPr>
        <w:fldChar w:fldCharType="begin"/>
      </w:r>
      <w:r w:rsidR="00E0598D" w:rsidRPr="00B651E9">
        <w:rPr>
          <w:rFonts w:ascii="ITC Avant Garde" w:hAnsi="ITC Avant Garde"/>
          <w:lang w:val="es-ES"/>
        </w:rPr>
        <w:instrText xml:space="preserve"> REF _Ref141710394 \r \h </w:instrText>
      </w:r>
      <w:r w:rsidR="004C1A96">
        <w:rPr>
          <w:rFonts w:ascii="ITC Avant Garde" w:hAnsi="ITC Avant Garde"/>
          <w:lang w:val="es-ES"/>
        </w:rPr>
        <w:instrText xml:space="preserve"> \* MERGEFORMAT </w:instrText>
      </w:r>
      <w:r w:rsidR="00E0598D" w:rsidRPr="00B651E9">
        <w:rPr>
          <w:rFonts w:ascii="ITC Avant Garde" w:hAnsi="ITC Avant Garde"/>
          <w:lang w:val="es-ES"/>
        </w:rPr>
      </w:r>
      <w:r w:rsidR="00E0598D" w:rsidRPr="00B651E9">
        <w:rPr>
          <w:rFonts w:ascii="ITC Avant Garde" w:hAnsi="ITC Avant Garde"/>
          <w:lang w:val="es-ES"/>
        </w:rPr>
        <w:fldChar w:fldCharType="separate"/>
      </w:r>
      <w:r w:rsidR="00006265">
        <w:rPr>
          <w:rFonts w:ascii="ITC Avant Garde" w:hAnsi="ITC Avant Garde" w:hint="eastAsia"/>
          <w:cs/>
          <w:lang w:val="es-ES"/>
        </w:rPr>
        <w:t>‎</w:t>
      </w:r>
      <w:r w:rsidR="00006265">
        <w:rPr>
          <w:rFonts w:ascii="ITC Avant Garde" w:hAnsi="ITC Avant Garde"/>
          <w:lang w:val="es-ES"/>
        </w:rPr>
        <w:t>3.3.3</w:t>
      </w:r>
      <w:r w:rsidR="00E0598D" w:rsidRPr="00B651E9">
        <w:rPr>
          <w:rFonts w:ascii="ITC Avant Garde" w:hAnsi="ITC Avant Garde"/>
          <w:lang w:val="es-ES"/>
        </w:rPr>
        <w:fldChar w:fldCharType="end"/>
      </w:r>
      <w:r w:rsidRPr="00B651E9">
        <w:rPr>
          <w:rFonts w:ascii="ITC Avant Garde" w:hAnsi="ITC Avant Garde"/>
          <w:lang w:val="es-ES"/>
        </w:rPr>
        <w:t xml:space="preserve">.   </w:t>
      </w:r>
    </w:p>
    <w:p w14:paraId="145C2865" w14:textId="77777777" w:rsidR="00A66A23" w:rsidRPr="008F42FC" w:rsidRDefault="00A66A23" w:rsidP="00F17242">
      <w:pPr>
        <w:pStyle w:val="Ttulo2"/>
      </w:pPr>
      <w:bookmarkStart w:id="322" w:name="_Toc525672886"/>
      <w:bookmarkStart w:id="323" w:name="_Toc525665326"/>
      <w:bookmarkStart w:id="324" w:name="_Toc525665705"/>
      <w:bookmarkStart w:id="325" w:name="_Toc141975064"/>
      <w:r w:rsidRPr="008F42FC">
        <w:t>Evaluación de los costos</w:t>
      </w:r>
      <w:bookmarkEnd w:id="322"/>
      <w:bookmarkEnd w:id="323"/>
      <w:bookmarkEnd w:id="324"/>
      <w:bookmarkEnd w:id="325"/>
    </w:p>
    <w:p w14:paraId="2E8663CA" w14:textId="77777777" w:rsidR="00A66A23" w:rsidRPr="00E14D8A" w:rsidRDefault="00A66A23" w:rsidP="00A66A23">
      <w:pPr>
        <w:rPr>
          <w:rFonts w:ascii="ITC Avant Garde" w:hAnsi="ITC Avant Garde"/>
          <w:lang w:val="es-MX"/>
        </w:rPr>
      </w:pPr>
      <w:r w:rsidRPr="004C1A96">
        <w:rPr>
          <w:rFonts w:ascii="ITC Avant Garde" w:hAnsi="ITC Avant Garde"/>
          <w:lang w:val="es-MX"/>
        </w:rPr>
        <w:t xml:space="preserve">Esta sección describe los cálculos de costos usados </w:t>
      </w:r>
      <w:r w:rsidRPr="00E14D8A">
        <w:rPr>
          <w:rFonts w:cs="Arial"/>
          <w:lang w:val="es-MX"/>
        </w:rPr>
        <w:t>​​</w:t>
      </w:r>
      <w:r w:rsidRPr="00E14D8A">
        <w:rPr>
          <w:rFonts w:ascii="ITC Avant Garde" w:hAnsi="ITC Avant Garde"/>
          <w:lang w:val="es-MX"/>
        </w:rPr>
        <w:t>dentro del acceso LRAIC y los modelos de costos de la red central.</w:t>
      </w:r>
    </w:p>
    <w:p w14:paraId="74AEFF97" w14:textId="77777777" w:rsidR="00A66A23" w:rsidRPr="004C1A96" w:rsidRDefault="00A66A23" w:rsidP="00A66A23">
      <w:pPr>
        <w:rPr>
          <w:rFonts w:ascii="ITC Avant Garde" w:hAnsi="ITC Avant Garde"/>
          <w:lang w:val="es-MX"/>
        </w:rPr>
      </w:pPr>
      <w:r w:rsidRPr="00E14D8A">
        <w:rPr>
          <w:rFonts w:ascii="ITC Avant Garde" w:hAnsi="ITC Avant Garde"/>
          <w:lang w:val="es-MX"/>
        </w:rPr>
        <w:t>Los cálculos de costos determinan las inversiones requeridas para construir las diferentes redes. Las inversiones se anualizan utilizando un cálcul</w:t>
      </w:r>
      <w:r w:rsidRPr="004C1A96">
        <w:rPr>
          <w:rFonts w:ascii="ITC Avant Garde" w:hAnsi="ITC Avant Garde"/>
          <w:lang w:val="es-MX"/>
        </w:rPr>
        <w:t>o de anualidades inclinadas, cuyos resultados se utilizan para determinar el perfil de recuperación del costo de capital para cada uno de los servicios modelados.</w:t>
      </w:r>
    </w:p>
    <w:p w14:paraId="7890416F" w14:textId="77777777" w:rsidR="00A66A23" w:rsidRPr="003C224B" w:rsidRDefault="00A66A23" w:rsidP="0040723E">
      <w:pPr>
        <w:pStyle w:val="Ttulo3"/>
      </w:pPr>
      <w:bookmarkStart w:id="326" w:name="_Toc525672887"/>
      <w:bookmarkStart w:id="327" w:name="_Toc525665327"/>
      <w:bookmarkStart w:id="328" w:name="_Toc525665706"/>
      <w:bookmarkStart w:id="329" w:name="_Toc141975065"/>
      <w:r w:rsidRPr="003C224B">
        <w:lastRenderedPageBreak/>
        <w:t>Insumos de costos unitarios</w:t>
      </w:r>
      <w:bookmarkEnd w:id="326"/>
      <w:bookmarkEnd w:id="327"/>
      <w:bookmarkEnd w:id="328"/>
      <w:bookmarkEnd w:id="329"/>
    </w:p>
    <w:p w14:paraId="512B29A6" w14:textId="77777777" w:rsidR="00A66A23" w:rsidRPr="004C1A96" w:rsidRDefault="00A66A23" w:rsidP="00A66A23">
      <w:pPr>
        <w:rPr>
          <w:rFonts w:ascii="ITC Avant Garde" w:hAnsi="ITC Avant Garde"/>
          <w:lang w:val="es-MX"/>
        </w:rPr>
      </w:pPr>
      <w:r w:rsidRPr="004C1A96">
        <w:rPr>
          <w:rFonts w:ascii="ITC Avant Garde" w:hAnsi="ITC Avant Garde"/>
          <w:lang w:val="es-MX"/>
        </w:rPr>
        <w:t>Los costos considerados como inversiones son los correspondientes a la compra de activos durables que se espera estén en uso por varios años. Los costos de operación son costos recurrentes.</w:t>
      </w:r>
    </w:p>
    <w:p w14:paraId="7FE9958D" w14:textId="77777777" w:rsidR="00A66A23" w:rsidRPr="00E14D8A" w:rsidRDefault="00A66A23" w:rsidP="00A66A23">
      <w:pPr>
        <w:rPr>
          <w:rFonts w:ascii="ITC Avant Garde" w:hAnsi="ITC Avant Garde"/>
          <w:lang w:val="es-MX"/>
        </w:rPr>
      </w:pPr>
      <w:r w:rsidRPr="00E14D8A">
        <w:rPr>
          <w:rFonts w:ascii="ITC Avant Garde" w:hAnsi="ITC Avant Garde"/>
          <w:lang w:val="es-MX"/>
        </w:rPr>
        <w:t>Esta sección resume los principios generales utilizados para establecer los costos unitarios. Las entradas detalladas de costos unitarios se enumeran en el anexo.</w:t>
      </w:r>
    </w:p>
    <w:p w14:paraId="3F1B30AB" w14:textId="77777777" w:rsidR="00A66A23" w:rsidRPr="00E14D8A" w:rsidRDefault="00A66A23" w:rsidP="00A66A23">
      <w:pPr>
        <w:rPr>
          <w:rFonts w:ascii="ITC Avant Garde" w:hAnsi="ITC Avant Garde"/>
          <w:lang w:val="es-MX"/>
        </w:rPr>
      </w:pPr>
    </w:p>
    <w:p w14:paraId="1126E013" w14:textId="77777777" w:rsidR="00A66A23" w:rsidRPr="008F42FC" w:rsidRDefault="00A66A23" w:rsidP="003C224B">
      <w:pPr>
        <w:pStyle w:val="Ttulo4"/>
        <w:rPr>
          <w:lang w:val="es-MX"/>
        </w:rPr>
      </w:pPr>
      <w:bookmarkStart w:id="330" w:name="_Toc525672888"/>
      <w:bookmarkStart w:id="331" w:name="_Toc525665328"/>
      <w:bookmarkStart w:id="332" w:name="_Toc525665707"/>
      <w:bookmarkStart w:id="333" w:name="_Toc141975066"/>
      <w:r w:rsidRPr="008F42FC">
        <w:rPr>
          <w:lang w:val="es-MX"/>
        </w:rPr>
        <w:t>Inversión</w:t>
      </w:r>
      <w:bookmarkEnd w:id="330"/>
      <w:bookmarkEnd w:id="331"/>
      <w:bookmarkEnd w:id="332"/>
      <w:bookmarkEnd w:id="333"/>
    </w:p>
    <w:p w14:paraId="1B6EE51D" w14:textId="77777777" w:rsidR="00A66A23" w:rsidRPr="004C1A96" w:rsidRDefault="00A66A23" w:rsidP="00A66A23">
      <w:pPr>
        <w:rPr>
          <w:rFonts w:ascii="ITC Avant Garde" w:hAnsi="ITC Avant Garde"/>
          <w:lang w:val="es-MX"/>
        </w:rPr>
      </w:pPr>
      <w:r w:rsidRPr="004C1A96">
        <w:rPr>
          <w:rFonts w:ascii="ITC Avant Garde" w:hAnsi="ITC Avant Garde"/>
          <w:lang w:val="es-MX"/>
        </w:rPr>
        <w:t>El costo unitario de capital para un elemento de red corresponde al costo incurrido para:</w:t>
      </w:r>
    </w:p>
    <w:p w14:paraId="08584375" w14:textId="77777777" w:rsidR="00A66A23" w:rsidRPr="004C1A96" w:rsidRDefault="00A66A23" w:rsidP="00A66A23">
      <w:pPr>
        <w:pStyle w:val="Listaconvietas2"/>
        <w:rPr>
          <w:rFonts w:ascii="ITC Avant Garde" w:hAnsi="ITC Avant Garde"/>
          <w:lang w:val="es-MX"/>
        </w:rPr>
      </w:pPr>
      <w:r w:rsidRPr="004C1A96">
        <w:rPr>
          <w:rFonts w:ascii="ITC Avant Garde" w:hAnsi="ITC Avant Garde"/>
          <w:lang w:val="es-MX"/>
        </w:rPr>
        <w:t>Plan de despliegue del activo de red;</w:t>
      </w:r>
    </w:p>
    <w:p w14:paraId="3D20A2A4" w14:textId="77777777" w:rsidR="00A66A23" w:rsidRPr="00E14D8A" w:rsidRDefault="00A66A23" w:rsidP="00A66A23">
      <w:pPr>
        <w:pStyle w:val="Listaconvietas2"/>
        <w:rPr>
          <w:rFonts w:ascii="ITC Avant Garde" w:hAnsi="ITC Avant Garde"/>
          <w:lang w:val="es-MX"/>
        </w:rPr>
      </w:pPr>
      <w:r w:rsidRPr="00E14D8A">
        <w:rPr>
          <w:rFonts w:ascii="ITC Avant Garde" w:hAnsi="ITC Avant Garde"/>
          <w:lang w:val="es-MX"/>
        </w:rPr>
        <w:t>Comprar una unidad de equipo;</w:t>
      </w:r>
    </w:p>
    <w:p w14:paraId="280C3DD4" w14:textId="77777777" w:rsidR="00A66A23" w:rsidRPr="00E14D8A" w:rsidRDefault="00A66A23" w:rsidP="00A66A23">
      <w:pPr>
        <w:pStyle w:val="Listaconvietas2"/>
        <w:rPr>
          <w:rFonts w:ascii="ITC Avant Garde" w:hAnsi="ITC Avant Garde"/>
          <w:lang w:val="es-MX"/>
        </w:rPr>
      </w:pPr>
      <w:r w:rsidRPr="00E14D8A">
        <w:rPr>
          <w:rFonts w:ascii="ITC Avant Garde" w:hAnsi="ITC Avant Garde"/>
          <w:lang w:val="es-MX"/>
        </w:rPr>
        <w:t>Instale esta unidad de equipo.</w:t>
      </w:r>
    </w:p>
    <w:p w14:paraId="78ACB618" w14:textId="20BB7C3F" w:rsidR="00A66A23" w:rsidRPr="004C1A96" w:rsidRDefault="00A66A23" w:rsidP="00A66A23">
      <w:pPr>
        <w:rPr>
          <w:rFonts w:ascii="ITC Avant Garde" w:hAnsi="ITC Avant Garde"/>
          <w:lang w:val="es-MX"/>
        </w:rPr>
      </w:pPr>
      <w:r w:rsidRPr="00E14D8A">
        <w:rPr>
          <w:rFonts w:ascii="ITC Avant Garde" w:hAnsi="ITC Avant Garde"/>
          <w:lang w:val="es-MX"/>
        </w:rPr>
        <w:t>Los insumos de costos un</w:t>
      </w:r>
      <w:r w:rsidRPr="004C1A96">
        <w:rPr>
          <w:rFonts w:ascii="ITC Avant Garde" w:hAnsi="ITC Avant Garde"/>
          <w:lang w:val="es-MX"/>
        </w:rPr>
        <w:t>itarios en el modelo se basan principalmente en la última información disponible del AEP (es decir, datos de 2023 si están disponibles) que es más probable que reflejen el poder de negociación de un operador que despliega una red nacional en México.</w:t>
      </w:r>
    </w:p>
    <w:p w14:paraId="14D2ACE2" w14:textId="77777777" w:rsidR="00A66A23" w:rsidRPr="004C1A96" w:rsidRDefault="00A66A23" w:rsidP="00A66A23">
      <w:pPr>
        <w:rPr>
          <w:rFonts w:ascii="ITC Avant Garde" w:hAnsi="ITC Avant Garde"/>
          <w:lang w:val="es-MX"/>
        </w:rPr>
      </w:pPr>
      <w:r w:rsidRPr="004C1A96">
        <w:rPr>
          <w:rFonts w:ascii="ITC Avant Garde" w:hAnsi="ITC Avant Garde"/>
          <w:lang w:val="es-MX"/>
        </w:rPr>
        <w:t>Como consecuencia, estos costos unitarios no corresponden a las listas de precios de los fabricantes, sino a las facturas del AEP (es decir, incluidos los descuentos).</w:t>
      </w:r>
    </w:p>
    <w:p w14:paraId="713F1ECF" w14:textId="77777777" w:rsidR="00A66A23" w:rsidRPr="004C1A96" w:rsidRDefault="00A66A23" w:rsidP="00A66A23">
      <w:pPr>
        <w:rPr>
          <w:rFonts w:ascii="ITC Avant Garde" w:hAnsi="ITC Avant Garde"/>
          <w:lang w:val="es-MX"/>
        </w:rPr>
      </w:pPr>
      <w:r w:rsidRPr="004C1A96">
        <w:rPr>
          <w:rFonts w:ascii="ITC Avant Garde" w:hAnsi="ITC Avant Garde"/>
          <w:lang w:val="es-MX"/>
        </w:rPr>
        <w:t>Estos costos han sido ampliamente auditados y comparados con:</w:t>
      </w:r>
    </w:p>
    <w:p w14:paraId="1D8DDAB2" w14:textId="77777777" w:rsidR="00A66A23" w:rsidRPr="004C1A96" w:rsidRDefault="00A66A23" w:rsidP="00A66A23">
      <w:pPr>
        <w:pStyle w:val="Listaconvietas2"/>
        <w:rPr>
          <w:rFonts w:ascii="ITC Avant Garde" w:hAnsi="ITC Avant Garde"/>
        </w:rPr>
      </w:pPr>
      <w:r w:rsidRPr="004C1A96">
        <w:rPr>
          <w:rFonts w:ascii="ITC Avant Garde" w:hAnsi="ITC Avant Garde"/>
        </w:rPr>
        <w:t>El modelo LRAIC anterior;</w:t>
      </w:r>
    </w:p>
    <w:p w14:paraId="66902E20" w14:textId="45A1ED2D" w:rsidR="00A66A23" w:rsidRPr="00B651E9" w:rsidRDefault="00A66A23" w:rsidP="00A66A23">
      <w:pPr>
        <w:pStyle w:val="Listaconvietas2"/>
        <w:rPr>
          <w:rFonts w:ascii="ITC Avant Garde" w:hAnsi="ITC Avant Garde"/>
          <w:lang w:val="es-ES"/>
        </w:rPr>
      </w:pPr>
      <w:r w:rsidRPr="00B651E9">
        <w:rPr>
          <w:rFonts w:ascii="ITC Avant Garde" w:hAnsi="ITC Avant Garde"/>
          <w:lang w:val="es-ES"/>
        </w:rPr>
        <w:t>Datos de referencia</w:t>
      </w:r>
      <w:r w:rsidR="00531956" w:rsidRPr="00B651E9">
        <w:rPr>
          <w:rFonts w:ascii="ITC Avant Garde" w:hAnsi="ITC Avant Garde"/>
          <w:lang w:val="es-ES"/>
        </w:rPr>
        <w:t xml:space="preserve"> facilitados en procesos previos</w:t>
      </w:r>
      <w:r w:rsidRPr="00B651E9">
        <w:rPr>
          <w:rFonts w:ascii="ITC Avant Garde" w:hAnsi="ITC Avant Garde"/>
          <w:lang w:val="es-ES"/>
        </w:rPr>
        <w:t>;</w:t>
      </w:r>
    </w:p>
    <w:p w14:paraId="44466F65" w14:textId="619EB684" w:rsidR="00A66A23" w:rsidRPr="00E14D8A" w:rsidRDefault="00531956" w:rsidP="00A66A23">
      <w:pPr>
        <w:pStyle w:val="Listaconvietas2"/>
        <w:rPr>
          <w:rFonts w:ascii="ITC Avant Garde" w:hAnsi="ITC Avant Garde"/>
          <w:lang w:val="es-MX"/>
        </w:rPr>
      </w:pPr>
      <w:r w:rsidRPr="00E14D8A">
        <w:rPr>
          <w:rFonts w:ascii="ITC Avant Garde" w:hAnsi="ITC Avant Garde"/>
          <w:lang w:val="es-MX"/>
        </w:rPr>
        <w:t>Benchmark internacionales</w:t>
      </w:r>
      <w:r w:rsidR="00A66A23" w:rsidRPr="00E14D8A">
        <w:rPr>
          <w:rFonts w:ascii="ITC Avant Garde" w:hAnsi="ITC Avant Garde"/>
          <w:lang w:val="es-MX"/>
        </w:rPr>
        <w:t>.</w:t>
      </w:r>
    </w:p>
    <w:p w14:paraId="5D2C5380" w14:textId="77777777" w:rsidR="00A66A23" w:rsidRPr="008F42FC" w:rsidRDefault="00A66A23" w:rsidP="003C224B">
      <w:pPr>
        <w:pStyle w:val="Ttulo4"/>
        <w:rPr>
          <w:lang w:val="es-MX"/>
        </w:rPr>
      </w:pPr>
      <w:bookmarkStart w:id="334" w:name="_Toc525672889"/>
      <w:bookmarkStart w:id="335" w:name="_Toc525665329"/>
      <w:bookmarkStart w:id="336" w:name="_Toc525665708"/>
      <w:bookmarkStart w:id="337" w:name="_Toc141975067"/>
      <w:r w:rsidRPr="008F42FC">
        <w:rPr>
          <w:lang w:val="es-MX"/>
        </w:rPr>
        <w:t>Tendencias de precios</w:t>
      </w:r>
      <w:bookmarkEnd w:id="334"/>
      <w:bookmarkEnd w:id="335"/>
      <w:bookmarkEnd w:id="336"/>
      <w:bookmarkEnd w:id="337"/>
    </w:p>
    <w:p w14:paraId="076252DD" w14:textId="38731741" w:rsidR="00A66A23" w:rsidRPr="004C1A96" w:rsidRDefault="00A66A23" w:rsidP="00222375">
      <w:pPr>
        <w:rPr>
          <w:rFonts w:ascii="ITC Avant Garde" w:hAnsi="ITC Avant Garde"/>
          <w:lang w:val="es-MX"/>
        </w:rPr>
      </w:pPr>
      <w:r w:rsidRPr="004C1A96">
        <w:rPr>
          <w:rFonts w:ascii="ITC Avant Garde" w:hAnsi="ITC Avant Garde"/>
          <w:lang w:val="es-MX"/>
        </w:rPr>
        <w:t xml:space="preserve">Para evaluar las tendencias de los precios utilizados en la fórmula de depreciación, se han utilizado </w:t>
      </w:r>
      <w:r w:rsidR="00222375" w:rsidRPr="00E14D8A">
        <w:rPr>
          <w:rFonts w:ascii="ITC Avant Garde" w:hAnsi="ITC Avant Garde"/>
          <w:lang w:val="es-MX"/>
        </w:rPr>
        <w:t xml:space="preserve">los datos de proyecciones de inflación </w:t>
      </w:r>
      <w:r w:rsidR="007E4D97">
        <w:rPr>
          <w:rFonts w:ascii="ITC Avant Garde" w:hAnsi="ITC Avant Garde"/>
          <w:lang w:val="es-MX"/>
        </w:rPr>
        <w:t xml:space="preserve">de la Encuesta </w:t>
      </w:r>
      <w:r w:rsidR="00945C7E">
        <w:rPr>
          <w:rFonts w:ascii="ITC Avant Garde" w:hAnsi="ITC Avant Garde"/>
          <w:lang w:val="es-MX"/>
        </w:rPr>
        <w:t>sobre las</w:t>
      </w:r>
      <w:r w:rsidR="007E4D97">
        <w:rPr>
          <w:rFonts w:ascii="ITC Avant Garde" w:hAnsi="ITC Avant Garde"/>
          <w:lang w:val="es-MX"/>
        </w:rPr>
        <w:t xml:space="preserve"> expectativas de los especialistas en economía del sector privado </w:t>
      </w:r>
      <w:r w:rsidR="0080175A">
        <w:rPr>
          <w:rFonts w:ascii="ITC Avant Garde" w:hAnsi="ITC Avant Garde"/>
          <w:lang w:val="es-MX"/>
        </w:rPr>
        <w:t>publicado por</w:t>
      </w:r>
      <w:r w:rsidR="007E4D97">
        <w:rPr>
          <w:rFonts w:ascii="ITC Avant Garde" w:hAnsi="ITC Avant Garde"/>
          <w:lang w:val="es-MX"/>
        </w:rPr>
        <w:t xml:space="preserve"> Banxico</w:t>
      </w:r>
      <w:r w:rsidR="00222375" w:rsidRPr="00E14D8A">
        <w:rPr>
          <w:rFonts w:ascii="ITC Avant Garde" w:hAnsi="ITC Avant Garde"/>
          <w:lang w:val="es-MX"/>
        </w:rPr>
        <w:t xml:space="preserve">, según lo señalado previamente en la sección </w:t>
      </w:r>
      <w:r w:rsidR="00222375" w:rsidRPr="004C1A96">
        <w:rPr>
          <w:rFonts w:ascii="ITC Avant Garde" w:hAnsi="ITC Avant Garde"/>
          <w:lang w:val="es-MX"/>
        </w:rPr>
        <w:fldChar w:fldCharType="begin"/>
      </w:r>
      <w:r w:rsidR="00222375" w:rsidRPr="004C1A96">
        <w:rPr>
          <w:rFonts w:ascii="ITC Avant Garde" w:hAnsi="ITC Avant Garde"/>
          <w:lang w:val="es-MX"/>
        </w:rPr>
        <w:instrText xml:space="preserve"> REF _Ref141710568 \r \h </w:instrText>
      </w:r>
      <w:r w:rsidR="004C1A96">
        <w:rPr>
          <w:rFonts w:ascii="ITC Avant Garde" w:hAnsi="ITC Avant Garde"/>
          <w:lang w:val="es-MX"/>
        </w:rPr>
        <w:instrText xml:space="preserve"> \* MERGEFORMAT </w:instrText>
      </w:r>
      <w:r w:rsidR="00222375" w:rsidRPr="004C1A96">
        <w:rPr>
          <w:rFonts w:ascii="ITC Avant Garde" w:hAnsi="ITC Avant Garde"/>
          <w:lang w:val="es-MX"/>
        </w:rPr>
      </w:r>
      <w:r w:rsidR="00222375" w:rsidRPr="004C1A96">
        <w:rPr>
          <w:rFonts w:ascii="ITC Avant Garde" w:hAnsi="ITC Avant Garde"/>
          <w:lang w:val="es-MX"/>
        </w:rPr>
        <w:fldChar w:fldCharType="separate"/>
      </w:r>
      <w:r w:rsidR="00006265">
        <w:rPr>
          <w:rFonts w:ascii="ITC Avant Garde" w:hAnsi="ITC Avant Garde" w:hint="eastAsia"/>
          <w:cs/>
          <w:lang w:val="es-MX"/>
        </w:rPr>
        <w:t>‎</w:t>
      </w:r>
      <w:r w:rsidR="00006265">
        <w:rPr>
          <w:rFonts w:ascii="ITC Avant Garde" w:hAnsi="ITC Avant Garde"/>
          <w:lang w:val="es-MX"/>
        </w:rPr>
        <w:t>2.4.2.2</w:t>
      </w:r>
      <w:r w:rsidR="00222375" w:rsidRPr="004C1A96">
        <w:rPr>
          <w:rFonts w:ascii="ITC Avant Garde" w:hAnsi="ITC Avant Garde"/>
          <w:lang w:val="es-MX"/>
        </w:rPr>
        <w:fldChar w:fldCharType="end"/>
      </w:r>
      <w:r w:rsidR="00222375" w:rsidRPr="004C1A96">
        <w:rPr>
          <w:rFonts w:ascii="ITC Avant Garde" w:hAnsi="ITC Avant Garde"/>
          <w:lang w:val="es-MX"/>
        </w:rPr>
        <w:t xml:space="preserve">. </w:t>
      </w:r>
    </w:p>
    <w:p w14:paraId="6211A400" w14:textId="77777777" w:rsidR="00A66A23" w:rsidRPr="004C1A96" w:rsidRDefault="00A66A23" w:rsidP="00A66A23">
      <w:pPr>
        <w:rPr>
          <w:rFonts w:ascii="ITC Avant Garde" w:hAnsi="ITC Avant Garde"/>
          <w:lang w:val="es-MX"/>
        </w:rPr>
      </w:pPr>
    </w:p>
    <w:p w14:paraId="59CD8B49" w14:textId="77777777" w:rsidR="00A66A23" w:rsidRPr="008F42FC" w:rsidRDefault="00A66A23" w:rsidP="003C224B">
      <w:pPr>
        <w:pStyle w:val="Ttulo4"/>
        <w:rPr>
          <w:lang w:val="es-MX"/>
        </w:rPr>
      </w:pPr>
      <w:bookmarkStart w:id="338" w:name="_Toc525672890"/>
      <w:bookmarkStart w:id="339" w:name="_Toc525665330"/>
      <w:bookmarkStart w:id="340" w:name="_Toc525665709"/>
      <w:bookmarkStart w:id="341" w:name="_Toc141975068"/>
      <w:r w:rsidRPr="008F42FC">
        <w:rPr>
          <w:lang w:val="es-MX"/>
        </w:rPr>
        <w:t>Gastos operacionales (OPEX)</w:t>
      </w:r>
      <w:bookmarkEnd w:id="338"/>
      <w:bookmarkEnd w:id="339"/>
      <w:bookmarkEnd w:id="340"/>
      <w:bookmarkEnd w:id="341"/>
    </w:p>
    <w:p w14:paraId="3D654FF4" w14:textId="77777777" w:rsidR="00A66A23" w:rsidRPr="004C1A96" w:rsidRDefault="00A66A23" w:rsidP="00A66A23">
      <w:pPr>
        <w:rPr>
          <w:rFonts w:ascii="ITC Avant Garde" w:hAnsi="ITC Avant Garde"/>
          <w:lang w:val="es-MX"/>
        </w:rPr>
      </w:pPr>
      <w:r w:rsidRPr="004C1A96">
        <w:rPr>
          <w:rFonts w:ascii="ITC Avant Garde" w:hAnsi="ITC Avant Garde"/>
          <w:lang w:val="es-MX"/>
        </w:rPr>
        <w:t>Los gastos operativos para un elemento de red corresponden al costo incurrido, por ejemplo, para:</w:t>
      </w:r>
    </w:p>
    <w:p w14:paraId="72B914B6" w14:textId="77777777" w:rsidR="00A66A23" w:rsidRPr="00E14D8A" w:rsidRDefault="00A66A23" w:rsidP="00A66A23">
      <w:pPr>
        <w:pStyle w:val="Listaconvietas2"/>
        <w:rPr>
          <w:rFonts w:ascii="ITC Avant Garde" w:hAnsi="ITC Avant Garde"/>
        </w:rPr>
      </w:pPr>
      <w:r w:rsidRPr="00E14D8A">
        <w:rPr>
          <w:rFonts w:ascii="ITC Avant Garde" w:hAnsi="ITC Avant Garde"/>
        </w:rPr>
        <w:t>El mantenimiento del equipo;</w:t>
      </w:r>
    </w:p>
    <w:p w14:paraId="415C787D" w14:textId="77777777" w:rsidR="00A66A23" w:rsidRPr="00E14D8A" w:rsidRDefault="00A66A23" w:rsidP="00A66A23">
      <w:pPr>
        <w:pStyle w:val="Listaconvietas2"/>
        <w:rPr>
          <w:rFonts w:ascii="ITC Avant Garde" w:hAnsi="ITC Avant Garde"/>
          <w:lang w:val="es-MX"/>
        </w:rPr>
      </w:pPr>
      <w:r w:rsidRPr="00E14D8A">
        <w:rPr>
          <w:rFonts w:ascii="ITC Avant Garde" w:hAnsi="ITC Avant Garde"/>
          <w:lang w:val="es-MX"/>
        </w:rPr>
        <w:lastRenderedPageBreak/>
        <w:t>El soporte anual del proveedor;</w:t>
      </w:r>
    </w:p>
    <w:p w14:paraId="13871C52" w14:textId="77777777" w:rsidR="00A66A23" w:rsidRPr="00E14D8A" w:rsidRDefault="00A66A23" w:rsidP="00A66A23">
      <w:pPr>
        <w:pStyle w:val="Listaconvietas2"/>
        <w:rPr>
          <w:rFonts w:ascii="ITC Avant Garde" w:hAnsi="ITC Avant Garde"/>
          <w:lang w:val="es-MX"/>
        </w:rPr>
      </w:pPr>
      <w:r w:rsidRPr="00E14D8A">
        <w:rPr>
          <w:rFonts w:ascii="ITC Avant Garde" w:hAnsi="ITC Avant Garde"/>
          <w:lang w:val="es-MX"/>
        </w:rPr>
        <w:t>El costo de alquiler del espacio requerido;</w:t>
      </w:r>
    </w:p>
    <w:p w14:paraId="41561F26" w14:textId="77777777" w:rsidR="00A66A23" w:rsidRPr="004C1A96" w:rsidRDefault="00A66A23" w:rsidP="00A66A23">
      <w:pPr>
        <w:pStyle w:val="Listaconvietas2"/>
        <w:rPr>
          <w:rFonts w:ascii="ITC Avant Garde" w:hAnsi="ITC Avant Garde"/>
        </w:rPr>
      </w:pPr>
      <w:r w:rsidRPr="004C1A96">
        <w:rPr>
          <w:rFonts w:ascii="ITC Avant Garde" w:hAnsi="ITC Avant Garde"/>
        </w:rPr>
        <w:t>El consumo de energía;</w:t>
      </w:r>
    </w:p>
    <w:p w14:paraId="1FF5D8D6" w14:textId="77777777" w:rsidR="00A66A23" w:rsidRPr="004C1A96" w:rsidRDefault="00A66A23" w:rsidP="00A66A23">
      <w:pPr>
        <w:pStyle w:val="Listaconvietas2"/>
        <w:rPr>
          <w:rFonts w:ascii="ITC Avant Garde" w:hAnsi="ITC Avant Garde"/>
        </w:rPr>
      </w:pPr>
      <w:r w:rsidRPr="004C1A96">
        <w:rPr>
          <w:rFonts w:ascii="ITC Avant Garde" w:hAnsi="ITC Avant Garde"/>
        </w:rPr>
        <w:t>El enfriamiento;</w:t>
      </w:r>
    </w:p>
    <w:p w14:paraId="358C5007" w14:textId="77777777" w:rsidR="00A66A23" w:rsidRPr="004C1A96" w:rsidRDefault="00A66A23" w:rsidP="00A66A23">
      <w:pPr>
        <w:pStyle w:val="Listaconvietas2"/>
        <w:rPr>
          <w:rFonts w:ascii="ITC Avant Garde" w:hAnsi="ITC Avant Garde"/>
        </w:rPr>
      </w:pPr>
      <w:r w:rsidRPr="004C1A96">
        <w:rPr>
          <w:rFonts w:ascii="ITC Avant Garde" w:hAnsi="ITC Avant Garde"/>
        </w:rPr>
        <w:t>Etc.</w:t>
      </w:r>
    </w:p>
    <w:p w14:paraId="62E6DE8E" w14:textId="77777777" w:rsidR="00A66A23" w:rsidRPr="004C1A96" w:rsidRDefault="00A66A23" w:rsidP="00A66A23">
      <w:pPr>
        <w:rPr>
          <w:rFonts w:ascii="ITC Avant Garde" w:hAnsi="ITC Avant Garde"/>
          <w:lang w:val="es-MX"/>
        </w:rPr>
      </w:pPr>
    </w:p>
    <w:p w14:paraId="4DF4C866" w14:textId="65610CC1" w:rsidR="00A66A23" w:rsidRPr="004C1A96" w:rsidRDefault="00A66A23" w:rsidP="00A66A23">
      <w:pPr>
        <w:rPr>
          <w:rFonts w:ascii="ITC Avant Garde" w:hAnsi="ITC Avant Garde"/>
          <w:lang w:val="es-MX"/>
        </w:rPr>
      </w:pPr>
      <w:r w:rsidRPr="004C1A96">
        <w:rPr>
          <w:rFonts w:ascii="ITC Avant Garde" w:hAnsi="ITC Avant Garde"/>
          <w:lang w:val="es-MX"/>
        </w:rPr>
        <w:t xml:space="preserve">En el modelo, los gastos operativos se consideran </w:t>
      </w:r>
      <w:r w:rsidR="00390D96" w:rsidRPr="004C1A96">
        <w:rPr>
          <w:rFonts w:ascii="ITC Avant Garde" w:hAnsi="ITC Avant Garde"/>
          <w:lang w:val="es-MX"/>
        </w:rPr>
        <w:t xml:space="preserve">mediante </w:t>
      </w:r>
      <w:r w:rsidRPr="004C1A96">
        <w:rPr>
          <w:rFonts w:ascii="ITC Avant Garde" w:hAnsi="ITC Avant Garde"/>
          <w:lang w:val="es-MX"/>
        </w:rPr>
        <w:t>porcentaje</w:t>
      </w:r>
      <w:r w:rsidR="00390D96" w:rsidRPr="004C1A96">
        <w:rPr>
          <w:rFonts w:ascii="ITC Avant Garde" w:hAnsi="ITC Avant Garde"/>
          <w:lang w:val="es-MX"/>
        </w:rPr>
        <w:t>s</w:t>
      </w:r>
      <w:r w:rsidRPr="004C1A96">
        <w:rPr>
          <w:rFonts w:ascii="ITC Avant Garde" w:hAnsi="ITC Avant Garde"/>
          <w:lang w:val="es-MX"/>
        </w:rPr>
        <w:t xml:space="preserve"> global</w:t>
      </w:r>
      <w:r w:rsidR="00390D96" w:rsidRPr="004C1A96">
        <w:rPr>
          <w:rFonts w:ascii="ITC Avant Garde" w:hAnsi="ITC Avant Garde"/>
          <w:lang w:val="es-MX"/>
        </w:rPr>
        <w:t>es</w:t>
      </w:r>
      <w:r w:rsidRPr="004C1A96">
        <w:rPr>
          <w:rFonts w:ascii="ITC Avant Garde" w:hAnsi="ITC Avant Garde"/>
          <w:lang w:val="es-MX"/>
        </w:rPr>
        <w:t xml:space="preserve"> relacionado</w:t>
      </w:r>
      <w:r w:rsidR="00390D96" w:rsidRPr="004C1A96">
        <w:rPr>
          <w:rFonts w:ascii="ITC Avant Garde" w:hAnsi="ITC Avant Garde"/>
          <w:lang w:val="es-MX"/>
        </w:rPr>
        <w:t>s</w:t>
      </w:r>
      <w:r w:rsidRPr="004C1A96">
        <w:rPr>
          <w:rFonts w:ascii="ITC Avant Garde" w:hAnsi="ITC Avant Garde"/>
          <w:lang w:val="es-MX"/>
        </w:rPr>
        <w:t xml:space="preserve"> con el mantenimiento de la red</w:t>
      </w:r>
      <w:r w:rsidR="00390D96" w:rsidRPr="004C1A96">
        <w:rPr>
          <w:rFonts w:ascii="ITC Avant Garde" w:hAnsi="ITC Avant Garde"/>
          <w:lang w:val="es-MX"/>
        </w:rPr>
        <w:t xml:space="preserve">, según lo explicado previamente en la sección </w:t>
      </w:r>
      <w:r w:rsidR="00390D96" w:rsidRPr="004C1A96">
        <w:rPr>
          <w:rFonts w:ascii="ITC Avant Garde" w:hAnsi="ITC Avant Garde"/>
          <w:lang w:val="es-MX"/>
        </w:rPr>
        <w:fldChar w:fldCharType="begin"/>
      </w:r>
      <w:r w:rsidR="00390D96" w:rsidRPr="004C1A96">
        <w:rPr>
          <w:rFonts w:ascii="ITC Avant Garde" w:hAnsi="ITC Avant Garde"/>
          <w:lang w:val="es-MX"/>
        </w:rPr>
        <w:instrText xml:space="preserve"> REF _Ref141710660 \r \h </w:instrText>
      </w:r>
      <w:r w:rsidR="004C1A96">
        <w:rPr>
          <w:rFonts w:ascii="ITC Avant Garde" w:hAnsi="ITC Avant Garde"/>
          <w:lang w:val="es-MX"/>
        </w:rPr>
        <w:instrText xml:space="preserve"> \* MERGEFORMAT </w:instrText>
      </w:r>
      <w:r w:rsidR="00390D96" w:rsidRPr="004C1A96">
        <w:rPr>
          <w:rFonts w:ascii="ITC Avant Garde" w:hAnsi="ITC Avant Garde"/>
          <w:lang w:val="es-MX"/>
        </w:rPr>
      </w:r>
      <w:r w:rsidR="00390D96" w:rsidRPr="004C1A96">
        <w:rPr>
          <w:rFonts w:ascii="ITC Avant Garde" w:hAnsi="ITC Avant Garde"/>
          <w:lang w:val="es-MX"/>
        </w:rPr>
        <w:fldChar w:fldCharType="separate"/>
      </w:r>
      <w:r w:rsidR="00006265">
        <w:rPr>
          <w:rFonts w:ascii="ITC Avant Garde" w:hAnsi="ITC Avant Garde" w:hint="eastAsia"/>
          <w:cs/>
          <w:lang w:val="es-MX"/>
        </w:rPr>
        <w:t>‎</w:t>
      </w:r>
      <w:r w:rsidR="00006265">
        <w:rPr>
          <w:rFonts w:ascii="ITC Avant Garde" w:hAnsi="ITC Avant Garde"/>
          <w:lang w:val="es-MX"/>
        </w:rPr>
        <w:t>2.4.3.1</w:t>
      </w:r>
      <w:r w:rsidR="00390D96" w:rsidRPr="004C1A96">
        <w:rPr>
          <w:rFonts w:ascii="ITC Avant Garde" w:hAnsi="ITC Avant Garde"/>
          <w:lang w:val="es-MX"/>
        </w:rPr>
        <w:fldChar w:fldCharType="end"/>
      </w:r>
      <w:r w:rsidRPr="004C1A96">
        <w:rPr>
          <w:rFonts w:ascii="ITC Avant Garde" w:hAnsi="ITC Avant Garde"/>
          <w:lang w:val="es-MX"/>
        </w:rPr>
        <w:t>.</w:t>
      </w:r>
    </w:p>
    <w:p w14:paraId="42B8D097" w14:textId="77777777" w:rsidR="00A66A23" w:rsidRPr="00E14D8A" w:rsidRDefault="00A66A23" w:rsidP="00A66A23">
      <w:pPr>
        <w:rPr>
          <w:rFonts w:ascii="ITC Avant Garde" w:hAnsi="ITC Avant Garde"/>
          <w:lang w:val="es-MX"/>
        </w:rPr>
      </w:pPr>
      <w:r w:rsidRPr="004C1A96">
        <w:rPr>
          <w:rFonts w:ascii="ITC Avant Garde" w:hAnsi="ITC Avant Garde"/>
          <w:lang w:val="es-MX"/>
        </w:rPr>
        <w:t>Además de eso, se toma en consideración un costo de reparación de la falla para considerar el costo de la reparación de la falla que ocurre en</w:t>
      </w:r>
      <w:r w:rsidRPr="00E14D8A">
        <w:rPr>
          <w:rFonts w:ascii="ITC Avant Garde" w:hAnsi="ITC Avant Garde"/>
          <w:lang w:val="es-MX"/>
        </w:rPr>
        <w:t xml:space="preserve"> la red. El volumen de falla se identifica utilizando un índice LFI (Índice de fallas de línea) estimado según los datos del AEP.</w:t>
      </w:r>
    </w:p>
    <w:p w14:paraId="4726FB09" w14:textId="77777777" w:rsidR="00A66A23" w:rsidRPr="00E14D8A" w:rsidRDefault="00A66A23" w:rsidP="00A66A23">
      <w:pPr>
        <w:rPr>
          <w:rFonts w:ascii="ITC Avant Garde" w:hAnsi="ITC Avant Garde"/>
          <w:lang w:val="es-MX"/>
        </w:rPr>
      </w:pPr>
      <w:r w:rsidRPr="00E14D8A">
        <w:rPr>
          <w:rFonts w:ascii="ITC Avant Garde" w:hAnsi="ITC Avant Garde"/>
          <w:lang w:val="es-MX"/>
        </w:rPr>
        <w:t>Se utiliza un costo de reparación por falla para evaluar el costo total de OPEX debido a la reparación de fallas, este costo es diferente según la red considerada.</w:t>
      </w:r>
    </w:p>
    <w:p w14:paraId="3D795B5E" w14:textId="77777777" w:rsidR="00A66A23" w:rsidRPr="004C1A96" w:rsidRDefault="00A66A23" w:rsidP="00A66A23">
      <w:pPr>
        <w:rPr>
          <w:rFonts w:ascii="ITC Avant Garde" w:hAnsi="ITC Avant Garde"/>
          <w:lang w:val="es-MX"/>
        </w:rPr>
      </w:pPr>
      <w:r w:rsidRPr="004C1A96">
        <w:rPr>
          <w:rFonts w:ascii="ITC Avant Garde" w:hAnsi="ITC Avant Garde"/>
          <w:lang w:val="es-MX"/>
        </w:rPr>
        <w:t>Finalmente, se agrega un costo de alojamiento para tomar en consideración el costo del alquiler del espacio de CO (Centrales).</w:t>
      </w:r>
    </w:p>
    <w:p w14:paraId="31B406B3" w14:textId="77777777" w:rsidR="00A66A23" w:rsidRPr="003C224B" w:rsidRDefault="00A66A23" w:rsidP="0040723E">
      <w:pPr>
        <w:pStyle w:val="Ttulo3"/>
      </w:pPr>
      <w:bookmarkStart w:id="342" w:name="_Toc525672891"/>
      <w:bookmarkStart w:id="343" w:name="_Toc525665331"/>
      <w:bookmarkStart w:id="344" w:name="_Toc525665710"/>
      <w:bookmarkStart w:id="345" w:name="_Toc141975069"/>
      <w:r w:rsidRPr="003C224B">
        <w:t>Vida útil de los activos</w:t>
      </w:r>
      <w:bookmarkEnd w:id="342"/>
      <w:bookmarkEnd w:id="343"/>
      <w:bookmarkEnd w:id="344"/>
      <w:bookmarkEnd w:id="345"/>
    </w:p>
    <w:p w14:paraId="6271D3F9" w14:textId="77777777" w:rsidR="00A66A23" w:rsidRPr="004C1A96" w:rsidRDefault="00A66A23" w:rsidP="00A66A23">
      <w:pPr>
        <w:rPr>
          <w:rFonts w:ascii="ITC Avant Garde" w:hAnsi="ITC Avant Garde"/>
          <w:lang w:val="es-MX"/>
        </w:rPr>
      </w:pPr>
      <w:r w:rsidRPr="004C1A96">
        <w:rPr>
          <w:rFonts w:ascii="ITC Avant Garde" w:hAnsi="ITC Avant Garde"/>
          <w:lang w:val="es-MX"/>
        </w:rPr>
        <w:t>El modelo de costo de acceso y redes centrales utiliza los siguientes valores para los tiempos de vida útil de los activos de red:</w:t>
      </w:r>
    </w:p>
    <w:p w14:paraId="43DDD438" w14:textId="77777777" w:rsidR="00A66A23" w:rsidRPr="004C1A96" w:rsidRDefault="00A66A23" w:rsidP="00A66A23">
      <w:pPr>
        <w:rPr>
          <w:rFonts w:ascii="ITC Avant Garde" w:hAnsi="ITC Avant Garde"/>
          <w:lang w:val="es-MX"/>
        </w:rPr>
      </w:pPr>
    </w:p>
    <w:p w14:paraId="30233D3D" w14:textId="45284B0B" w:rsidR="00A66A23" w:rsidRPr="004C1A96" w:rsidRDefault="005579D3" w:rsidP="00A66A23">
      <w:pPr>
        <w:pStyle w:val="Descripcin"/>
        <w:keepNext/>
        <w:rPr>
          <w:rFonts w:ascii="ITC Avant Garde" w:hAnsi="ITC Avant Garde"/>
          <w:lang w:val="es-MX"/>
        </w:rPr>
      </w:pPr>
      <w:r w:rsidRPr="004C1A96">
        <w:rPr>
          <w:rFonts w:ascii="ITC Avant Garde" w:hAnsi="ITC Avant Garde"/>
          <w:lang w:val="es-MX"/>
        </w:rPr>
        <w:lastRenderedPageBreak/>
        <w:t xml:space="preserve">Cuadro </w:t>
      </w:r>
      <w:r w:rsidRPr="004C1A96">
        <w:rPr>
          <w:rFonts w:ascii="ITC Avant Garde" w:hAnsi="ITC Avant Garde"/>
          <w:lang w:val="es-MX"/>
        </w:rPr>
        <w:fldChar w:fldCharType="begin"/>
      </w:r>
      <w:r w:rsidRPr="004C1A96">
        <w:rPr>
          <w:rFonts w:ascii="ITC Avant Garde" w:hAnsi="ITC Avant Garde"/>
          <w:lang w:val="es-MX"/>
        </w:rPr>
        <w:instrText xml:space="preserve"> SEQ Cuadro \* ARABIC </w:instrText>
      </w:r>
      <w:r w:rsidRPr="004C1A96">
        <w:rPr>
          <w:rFonts w:ascii="ITC Avant Garde" w:hAnsi="ITC Avant Garde"/>
          <w:lang w:val="es-MX"/>
        </w:rPr>
        <w:fldChar w:fldCharType="separate"/>
      </w:r>
      <w:r w:rsidR="00006265">
        <w:rPr>
          <w:rFonts w:ascii="ITC Avant Garde" w:hAnsi="ITC Avant Garde"/>
          <w:noProof/>
          <w:lang w:val="es-MX"/>
        </w:rPr>
        <w:t>14</w:t>
      </w:r>
      <w:r w:rsidRPr="004C1A96">
        <w:rPr>
          <w:rFonts w:ascii="ITC Avant Garde" w:hAnsi="ITC Avant Garde"/>
          <w:lang w:val="es-MX"/>
        </w:rPr>
        <w:fldChar w:fldCharType="end"/>
      </w:r>
      <w:r w:rsidRPr="004C1A96">
        <w:rPr>
          <w:rFonts w:ascii="ITC Avant Garde" w:hAnsi="ITC Avant Garde"/>
          <w:lang w:val="es-MX"/>
        </w:rPr>
        <w:t xml:space="preserve"> </w:t>
      </w:r>
      <w:r w:rsidR="00A66A23" w:rsidRPr="004C1A96">
        <w:rPr>
          <w:rFonts w:ascii="ITC Avant Garde" w:hAnsi="ITC Avant Garde"/>
          <w:lang w:val="es-MX"/>
        </w:rPr>
        <w:t>- Vida útil de activos</w:t>
      </w:r>
    </w:p>
    <w:tbl>
      <w:tblPr>
        <w:tblW w:w="9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6713"/>
        <w:gridCol w:w="1334"/>
      </w:tblGrid>
      <w:tr w:rsidR="00A66A23" w:rsidRPr="004C1A96" w14:paraId="2CA6B9B7" w14:textId="77777777" w:rsidTr="00064199">
        <w:tc>
          <w:tcPr>
            <w:tcW w:w="1050" w:type="dxa"/>
            <w:shd w:val="clear" w:color="auto" w:fill="2F5897" w:themeFill="text2"/>
            <w:vAlign w:val="center"/>
          </w:tcPr>
          <w:p w14:paraId="52F11F48" w14:textId="77777777" w:rsidR="00A66A23" w:rsidRPr="004C1A96" w:rsidRDefault="00A66A23" w:rsidP="00064199">
            <w:pPr>
              <w:keepNext/>
              <w:keepLines/>
              <w:jc w:val="left"/>
              <w:rPr>
                <w:rFonts w:ascii="ITC Avant Garde" w:hAnsi="ITC Avant Garde"/>
                <w:b/>
                <w:color w:val="FFFFFF"/>
                <w:sz w:val="16"/>
                <w:lang w:val="es-MX"/>
              </w:rPr>
            </w:pPr>
            <w:r w:rsidRPr="004C1A96">
              <w:rPr>
                <w:rFonts w:ascii="ITC Avant Garde" w:hAnsi="ITC Avant Garde"/>
                <w:b/>
                <w:color w:val="FFFFFF"/>
                <w:sz w:val="16"/>
                <w:lang w:val="es-MX"/>
              </w:rPr>
              <w:t>Ntw.</w:t>
            </w:r>
          </w:p>
        </w:tc>
        <w:tc>
          <w:tcPr>
            <w:tcW w:w="6713" w:type="dxa"/>
            <w:shd w:val="clear" w:color="auto" w:fill="2F5897" w:themeFill="text2"/>
            <w:vAlign w:val="center"/>
          </w:tcPr>
          <w:p w14:paraId="0749E9FF" w14:textId="77777777" w:rsidR="00A66A23" w:rsidRPr="00E14D8A" w:rsidRDefault="00A66A23" w:rsidP="00064199">
            <w:pPr>
              <w:keepNext/>
              <w:keepLines/>
              <w:jc w:val="left"/>
              <w:rPr>
                <w:rFonts w:ascii="ITC Avant Garde" w:hAnsi="ITC Avant Garde"/>
                <w:b/>
                <w:color w:val="FFFFFF"/>
                <w:sz w:val="16"/>
                <w:lang w:val="es-MX"/>
              </w:rPr>
            </w:pPr>
            <w:r w:rsidRPr="00E14D8A">
              <w:rPr>
                <w:rFonts w:ascii="ITC Avant Garde" w:hAnsi="ITC Avant Garde"/>
                <w:b/>
                <w:color w:val="FFFFFF"/>
                <w:sz w:val="16"/>
                <w:lang w:val="es-MX"/>
              </w:rPr>
              <w:t>Categoría del activo</w:t>
            </w:r>
          </w:p>
        </w:tc>
        <w:tc>
          <w:tcPr>
            <w:tcW w:w="1334" w:type="dxa"/>
            <w:shd w:val="clear" w:color="auto" w:fill="2F5897" w:themeFill="text2"/>
            <w:vAlign w:val="center"/>
          </w:tcPr>
          <w:p w14:paraId="39A29123" w14:textId="77777777" w:rsidR="00A66A23" w:rsidRPr="00E14D8A" w:rsidRDefault="00A66A23" w:rsidP="00064199">
            <w:pPr>
              <w:keepNext/>
              <w:keepLines/>
              <w:jc w:val="left"/>
              <w:rPr>
                <w:rFonts w:ascii="ITC Avant Garde" w:hAnsi="ITC Avant Garde"/>
                <w:b/>
                <w:color w:val="FFFFFF"/>
                <w:sz w:val="16"/>
                <w:lang w:val="es-MX"/>
              </w:rPr>
            </w:pPr>
            <w:r w:rsidRPr="00E14D8A">
              <w:rPr>
                <w:rFonts w:ascii="ITC Avant Garde" w:hAnsi="ITC Avant Garde"/>
                <w:b/>
                <w:color w:val="FFFFFF"/>
                <w:sz w:val="16"/>
                <w:lang w:val="es-MX"/>
              </w:rPr>
              <w:t>Vida útil</w:t>
            </w:r>
          </w:p>
        </w:tc>
      </w:tr>
      <w:tr w:rsidR="00A66A23" w:rsidRPr="004C1A96" w14:paraId="5F72CD53" w14:textId="77777777" w:rsidTr="00B651E9">
        <w:tc>
          <w:tcPr>
            <w:tcW w:w="1050" w:type="dxa"/>
            <w:shd w:val="clear" w:color="auto" w:fill="auto"/>
            <w:vAlign w:val="center"/>
          </w:tcPr>
          <w:p w14:paraId="132F7EB2" w14:textId="77777777" w:rsidR="00A66A23" w:rsidRPr="004C1A96" w:rsidRDefault="00A66A23" w:rsidP="00064199">
            <w:pPr>
              <w:keepNext/>
              <w:keepLines/>
              <w:jc w:val="left"/>
              <w:rPr>
                <w:rFonts w:ascii="ITC Avant Garde" w:hAnsi="ITC Avant Garde"/>
                <w:sz w:val="16"/>
                <w:lang w:val="es-MX"/>
              </w:rPr>
            </w:pPr>
            <w:r w:rsidRPr="004C1A96">
              <w:rPr>
                <w:rFonts w:ascii="ITC Avant Garde" w:hAnsi="ITC Avant Garde"/>
                <w:sz w:val="16"/>
                <w:lang w:val="es-MX"/>
              </w:rPr>
              <w:t>Access</w:t>
            </w:r>
          </w:p>
        </w:tc>
        <w:tc>
          <w:tcPr>
            <w:tcW w:w="6713" w:type="dxa"/>
            <w:shd w:val="clear" w:color="auto" w:fill="auto"/>
          </w:tcPr>
          <w:p w14:paraId="201C24A5" w14:textId="6661BFE7" w:rsidR="00A66A23" w:rsidRPr="004C1A96" w:rsidRDefault="00A66A23" w:rsidP="00064199">
            <w:pPr>
              <w:keepNext/>
              <w:keepLines/>
              <w:jc w:val="left"/>
              <w:rPr>
                <w:rFonts w:ascii="ITC Avant Garde" w:hAnsi="ITC Avant Garde"/>
                <w:sz w:val="16"/>
                <w:lang w:val="es-MX"/>
              </w:rPr>
            </w:pPr>
            <w:r w:rsidRPr="00B651E9">
              <w:rPr>
                <w:rFonts w:ascii="ITC Avant Garde" w:hAnsi="ITC Avant Garde"/>
                <w:sz w:val="16"/>
                <w:lang w:val="es-MX"/>
              </w:rPr>
              <w:t>Subductos</w:t>
            </w:r>
          </w:p>
        </w:tc>
        <w:tc>
          <w:tcPr>
            <w:tcW w:w="1334" w:type="dxa"/>
            <w:shd w:val="clear" w:color="auto" w:fill="auto"/>
          </w:tcPr>
          <w:p w14:paraId="72B68755" w14:textId="4F0BF7D4" w:rsidR="00A66A23" w:rsidRPr="004C1A96" w:rsidRDefault="00A66A23" w:rsidP="00064199">
            <w:pPr>
              <w:keepNext/>
              <w:keepLines/>
              <w:jc w:val="center"/>
              <w:rPr>
                <w:rFonts w:ascii="ITC Avant Garde" w:hAnsi="ITC Avant Garde"/>
                <w:sz w:val="16"/>
                <w:lang w:val="es-MX"/>
              </w:rPr>
            </w:pPr>
            <w:r w:rsidRPr="00B651E9">
              <w:rPr>
                <w:rFonts w:ascii="ITC Avant Garde" w:hAnsi="ITC Avant Garde"/>
                <w:sz w:val="16"/>
                <w:lang w:val="es-MX"/>
              </w:rPr>
              <w:t>45</w:t>
            </w:r>
          </w:p>
        </w:tc>
      </w:tr>
      <w:tr w:rsidR="00A66A23" w:rsidRPr="004C1A96" w14:paraId="13F14EE1" w14:textId="77777777" w:rsidTr="00B651E9">
        <w:tc>
          <w:tcPr>
            <w:tcW w:w="1050" w:type="dxa"/>
            <w:shd w:val="clear" w:color="auto" w:fill="auto"/>
            <w:vAlign w:val="center"/>
          </w:tcPr>
          <w:p w14:paraId="523BD652" w14:textId="77777777" w:rsidR="00A66A23" w:rsidRPr="004C1A96" w:rsidRDefault="00A66A23" w:rsidP="00064199">
            <w:pPr>
              <w:keepNext/>
              <w:keepLines/>
              <w:jc w:val="left"/>
              <w:rPr>
                <w:rFonts w:ascii="ITC Avant Garde" w:hAnsi="ITC Avant Garde"/>
                <w:sz w:val="16"/>
                <w:lang w:val="es-MX"/>
              </w:rPr>
            </w:pPr>
            <w:r w:rsidRPr="004C1A96">
              <w:rPr>
                <w:rFonts w:ascii="ITC Avant Garde" w:hAnsi="ITC Avant Garde"/>
                <w:sz w:val="16"/>
                <w:lang w:val="es-MX"/>
              </w:rPr>
              <w:t>Access</w:t>
            </w:r>
          </w:p>
        </w:tc>
        <w:tc>
          <w:tcPr>
            <w:tcW w:w="6713" w:type="dxa"/>
            <w:shd w:val="clear" w:color="auto" w:fill="auto"/>
          </w:tcPr>
          <w:p w14:paraId="5C99FA94" w14:textId="36569AAD" w:rsidR="00A66A23" w:rsidRPr="004C1A96" w:rsidRDefault="00A66A23" w:rsidP="00064199">
            <w:pPr>
              <w:keepNext/>
              <w:keepLines/>
              <w:jc w:val="left"/>
              <w:rPr>
                <w:rFonts w:ascii="ITC Avant Garde" w:hAnsi="ITC Avant Garde"/>
                <w:sz w:val="16"/>
                <w:lang w:val="es-MX"/>
              </w:rPr>
            </w:pPr>
            <w:r w:rsidRPr="00B651E9">
              <w:rPr>
                <w:rFonts w:ascii="ITC Avant Garde" w:hAnsi="ITC Avant Garde"/>
                <w:sz w:val="16"/>
                <w:lang w:val="es-MX"/>
              </w:rPr>
              <w:t>Canalizaciones</w:t>
            </w:r>
          </w:p>
        </w:tc>
        <w:tc>
          <w:tcPr>
            <w:tcW w:w="1334" w:type="dxa"/>
            <w:shd w:val="clear" w:color="auto" w:fill="auto"/>
          </w:tcPr>
          <w:p w14:paraId="1A2EE419" w14:textId="3378B8C3" w:rsidR="00A66A23" w:rsidRPr="004C1A96" w:rsidRDefault="00A66A23" w:rsidP="00064199">
            <w:pPr>
              <w:keepNext/>
              <w:keepLines/>
              <w:jc w:val="center"/>
              <w:rPr>
                <w:rFonts w:ascii="ITC Avant Garde" w:hAnsi="ITC Avant Garde"/>
                <w:sz w:val="16"/>
                <w:lang w:val="es-MX"/>
              </w:rPr>
            </w:pPr>
            <w:r w:rsidRPr="00B651E9">
              <w:rPr>
                <w:rFonts w:ascii="ITC Avant Garde" w:hAnsi="ITC Avant Garde"/>
                <w:sz w:val="16"/>
                <w:lang w:val="es-MX"/>
              </w:rPr>
              <w:t>45</w:t>
            </w:r>
          </w:p>
        </w:tc>
      </w:tr>
      <w:tr w:rsidR="00A66A23" w:rsidRPr="004C1A96" w14:paraId="5CCFD467" w14:textId="77777777" w:rsidTr="00B651E9">
        <w:tc>
          <w:tcPr>
            <w:tcW w:w="1050" w:type="dxa"/>
            <w:shd w:val="clear" w:color="auto" w:fill="auto"/>
            <w:vAlign w:val="center"/>
          </w:tcPr>
          <w:p w14:paraId="2B6BBF44" w14:textId="77777777" w:rsidR="00A66A23" w:rsidRPr="004C1A96" w:rsidRDefault="00A66A23" w:rsidP="00064199">
            <w:pPr>
              <w:keepNext/>
              <w:keepLines/>
              <w:jc w:val="left"/>
              <w:rPr>
                <w:rFonts w:ascii="ITC Avant Garde" w:hAnsi="ITC Avant Garde"/>
                <w:sz w:val="16"/>
                <w:lang w:val="es-MX"/>
              </w:rPr>
            </w:pPr>
            <w:r w:rsidRPr="004C1A96">
              <w:rPr>
                <w:rFonts w:ascii="ITC Avant Garde" w:hAnsi="ITC Avant Garde"/>
                <w:sz w:val="16"/>
                <w:lang w:val="es-MX"/>
              </w:rPr>
              <w:t>Access</w:t>
            </w:r>
          </w:p>
        </w:tc>
        <w:tc>
          <w:tcPr>
            <w:tcW w:w="6713" w:type="dxa"/>
            <w:shd w:val="clear" w:color="auto" w:fill="auto"/>
          </w:tcPr>
          <w:p w14:paraId="5F957003" w14:textId="3954E97B" w:rsidR="00A66A23" w:rsidRPr="004C1A96" w:rsidRDefault="00A66A23" w:rsidP="00064199">
            <w:pPr>
              <w:keepNext/>
              <w:keepLines/>
              <w:jc w:val="left"/>
              <w:rPr>
                <w:rFonts w:ascii="ITC Avant Garde" w:hAnsi="ITC Avant Garde"/>
                <w:sz w:val="16"/>
                <w:lang w:val="es-MX"/>
              </w:rPr>
            </w:pPr>
            <w:r w:rsidRPr="00B651E9">
              <w:rPr>
                <w:rFonts w:ascii="ITC Avant Garde" w:hAnsi="ITC Avant Garde"/>
                <w:sz w:val="16"/>
                <w:lang w:val="es-MX"/>
              </w:rPr>
              <w:t>Pozos</w:t>
            </w:r>
          </w:p>
        </w:tc>
        <w:tc>
          <w:tcPr>
            <w:tcW w:w="1334" w:type="dxa"/>
            <w:shd w:val="clear" w:color="auto" w:fill="auto"/>
          </w:tcPr>
          <w:p w14:paraId="02F71AE7" w14:textId="098DE8F5" w:rsidR="00A66A23" w:rsidRPr="004C1A96" w:rsidRDefault="00A66A23" w:rsidP="00064199">
            <w:pPr>
              <w:keepNext/>
              <w:keepLines/>
              <w:jc w:val="center"/>
              <w:rPr>
                <w:rFonts w:ascii="ITC Avant Garde" w:hAnsi="ITC Avant Garde"/>
                <w:sz w:val="16"/>
                <w:lang w:val="es-MX"/>
              </w:rPr>
            </w:pPr>
            <w:r w:rsidRPr="00B651E9">
              <w:rPr>
                <w:rFonts w:ascii="ITC Avant Garde" w:hAnsi="ITC Avant Garde"/>
                <w:sz w:val="16"/>
                <w:lang w:val="es-MX"/>
              </w:rPr>
              <w:t>45</w:t>
            </w:r>
          </w:p>
        </w:tc>
      </w:tr>
      <w:tr w:rsidR="00A66A23" w:rsidRPr="004C1A96" w14:paraId="33C06C5A" w14:textId="77777777" w:rsidTr="00B651E9">
        <w:tc>
          <w:tcPr>
            <w:tcW w:w="1050" w:type="dxa"/>
            <w:shd w:val="clear" w:color="auto" w:fill="auto"/>
            <w:vAlign w:val="center"/>
          </w:tcPr>
          <w:p w14:paraId="2C144E03" w14:textId="77777777" w:rsidR="00A66A23" w:rsidRPr="004C1A96" w:rsidRDefault="00A66A23" w:rsidP="00064199">
            <w:pPr>
              <w:keepNext/>
              <w:keepLines/>
              <w:jc w:val="left"/>
              <w:rPr>
                <w:rFonts w:ascii="ITC Avant Garde" w:hAnsi="ITC Avant Garde"/>
                <w:sz w:val="16"/>
                <w:lang w:val="es-MX"/>
              </w:rPr>
            </w:pPr>
            <w:r w:rsidRPr="004C1A96">
              <w:rPr>
                <w:rFonts w:ascii="ITC Avant Garde" w:hAnsi="ITC Avant Garde"/>
                <w:sz w:val="16"/>
                <w:lang w:val="es-MX"/>
              </w:rPr>
              <w:t>Access</w:t>
            </w:r>
          </w:p>
        </w:tc>
        <w:tc>
          <w:tcPr>
            <w:tcW w:w="6713" w:type="dxa"/>
            <w:shd w:val="clear" w:color="auto" w:fill="auto"/>
          </w:tcPr>
          <w:p w14:paraId="2201845C" w14:textId="242EA73E" w:rsidR="00A66A23" w:rsidRPr="004C1A96" w:rsidRDefault="00A66A23" w:rsidP="00064199">
            <w:pPr>
              <w:keepNext/>
              <w:keepLines/>
              <w:jc w:val="left"/>
              <w:rPr>
                <w:rFonts w:ascii="ITC Avant Garde" w:hAnsi="ITC Avant Garde"/>
                <w:sz w:val="16"/>
                <w:lang w:val="es-MX"/>
              </w:rPr>
            </w:pPr>
            <w:r w:rsidRPr="00B651E9">
              <w:rPr>
                <w:rFonts w:ascii="ITC Avant Garde" w:hAnsi="ITC Avant Garde"/>
                <w:sz w:val="16"/>
                <w:lang w:val="es-MX"/>
              </w:rPr>
              <w:t>Postes</w:t>
            </w:r>
          </w:p>
        </w:tc>
        <w:tc>
          <w:tcPr>
            <w:tcW w:w="1334" w:type="dxa"/>
            <w:shd w:val="clear" w:color="auto" w:fill="auto"/>
          </w:tcPr>
          <w:p w14:paraId="2F3F8AE6" w14:textId="2CD2BDC1" w:rsidR="00A66A23" w:rsidRPr="004C1A96" w:rsidRDefault="00A66A23" w:rsidP="00064199">
            <w:pPr>
              <w:keepNext/>
              <w:keepLines/>
              <w:jc w:val="center"/>
              <w:rPr>
                <w:rFonts w:ascii="ITC Avant Garde" w:hAnsi="ITC Avant Garde"/>
                <w:sz w:val="16"/>
                <w:lang w:val="es-MX"/>
              </w:rPr>
            </w:pPr>
            <w:r w:rsidRPr="00B651E9">
              <w:rPr>
                <w:rFonts w:ascii="ITC Avant Garde" w:hAnsi="ITC Avant Garde"/>
                <w:sz w:val="16"/>
                <w:lang w:val="es-MX"/>
              </w:rPr>
              <w:t>30</w:t>
            </w:r>
          </w:p>
        </w:tc>
      </w:tr>
      <w:tr w:rsidR="00A66A23" w:rsidRPr="004C1A96" w14:paraId="76F3F256" w14:textId="77777777" w:rsidTr="00B651E9">
        <w:tc>
          <w:tcPr>
            <w:tcW w:w="1050" w:type="dxa"/>
            <w:shd w:val="clear" w:color="auto" w:fill="auto"/>
            <w:vAlign w:val="center"/>
          </w:tcPr>
          <w:p w14:paraId="78098784" w14:textId="77777777" w:rsidR="00A66A23" w:rsidRPr="004C1A96" w:rsidRDefault="00A66A23" w:rsidP="00064199">
            <w:pPr>
              <w:keepNext/>
              <w:keepLines/>
              <w:jc w:val="left"/>
              <w:rPr>
                <w:rFonts w:ascii="ITC Avant Garde" w:hAnsi="ITC Avant Garde"/>
                <w:sz w:val="16"/>
                <w:lang w:val="es-MX"/>
              </w:rPr>
            </w:pPr>
            <w:r w:rsidRPr="004C1A96">
              <w:rPr>
                <w:rFonts w:ascii="ITC Avant Garde" w:hAnsi="ITC Avant Garde"/>
                <w:sz w:val="16"/>
                <w:lang w:val="es-MX"/>
              </w:rPr>
              <w:t>Access</w:t>
            </w:r>
          </w:p>
        </w:tc>
        <w:tc>
          <w:tcPr>
            <w:tcW w:w="6713" w:type="dxa"/>
            <w:shd w:val="clear" w:color="auto" w:fill="auto"/>
          </w:tcPr>
          <w:p w14:paraId="20A0D674" w14:textId="2BC672DA" w:rsidR="00A66A23" w:rsidRPr="004C1A96" w:rsidRDefault="00A66A23" w:rsidP="00064199">
            <w:pPr>
              <w:keepNext/>
              <w:keepLines/>
              <w:jc w:val="left"/>
              <w:rPr>
                <w:rFonts w:ascii="ITC Avant Garde" w:hAnsi="ITC Avant Garde"/>
                <w:sz w:val="16"/>
                <w:lang w:val="es-MX"/>
              </w:rPr>
            </w:pPr>
            <w:r w:rsidRPr="00B651E9">
              <w:rPr>
                <w:rFonts w:ascii="ITC Avant Garde" w:hAnsi="ITC Avant Garde"/>
                <w:sz w:val="16"/>
                <w:lang w:val="es-MX"/>
              </w:rPr>
              <w:t>Elementos de la red de transporte (DSLAM/MSAN)</w:t>
            </w:r>
          </w:p>
        </w:tc>
        <w:tc>
          <w:tcPr>
            <w:tcW w:w="1334" w:type="dxa"/>
            <w:shd w:val="clear" w:color="auto" w:fill="auto"/>
          </w:tcPr>
          <w:p w14:paraId="554FF196" w14:textId="7730D196" w:rsidR="00A66A23" w:rsidRPr="004C1A96" w:rsidRDefault="00A66A23" w:rsidP="00064199">
            <w:pPr>
              <w:keepNext/>
              <w:keepLines/>
              <w:jc w:val="center"/>
              <w:rPr>
                <w:rFonts w:ascii="ITC Avant Garde" w:hAnsi="ITC Avant Garde"/>
                <w:sz w:val="16"/>
                <w:lang w:val="es-MX"/>
              </w:rPr>
            </w:pPr>
            <w:r w:rsidRPr="00B651E9">
              <w:rPr>
                <w:rFonts w:ascii="ITC Avant Garde" w:hAnsi="ITC Avant Garde"/>
                <w:sz w:val="16"/>
                <w:lang w:val="es-MX"/>
              </w:rPr>
              <w:t>13</w:t>
            </w:r>
          </w:p>
        </w:tc>
      </w:tr>
      <w:tr w:rsidR="00A66A23" w:rsidRPr="004C1A96" w14:paraId="791DDABE" w14:textId="77777777" w:rsidTr="00B651E9">
        <w:tc>
          <w:tcPr>
            <w:tcW w:w="1050" w:type="dxa"/>
            <w:shd w:val="clear" w:color="auto" w:fill="auto"/>
            <w:vAlign w:val="center"/>
          </w:tcPr>
          <w:p w14:paraId="07A4CE33" w14:textId="77777777" w:rsidR="00A66A23" w:rsidRPr="004C1A96" w:rsidRDefault="00A66A23" w:rsidP="00064199">
            <w:pPr>
              <w:keepNext/>
              <w:keepLines/>
              <w:jc w:val="left"/>
              <w:rPr>
                <w:rFonts w:ascii="ITC Avant Garde" w:hAnsi="ITC Avant Garde"/>
                <w:sz w:val="16"/>
                <w:lang w:val="es-MX"/>
              </w:rPr>
            </w:pPr>
            <w:r w:rsidRPr="004C1A96">
              <w:rPr>
                <w:rFonts w:ascii="ITC Avant Garde" w:hAnsi="ITC Avant Garde"/>
                <w:sz w:val="16"/>
                <w:lang w:val="es-MX"/>
              </w:rPr>
              <w:t>Access</w:t>
            </w:r>
          </w:p>
        </w:tc>
        <w:tc>
          <w:tcPr>
            <w:tcW w:w="6713" w:type="dxa"/>
            <w:shd w:val="clear" w:color="auto" w:fill="auto"/>
          </w:tcPr>
          <w:p w14:paraId="58871EDE" w14:textId="26E550C5" w:rsidR="00A66A23" w:rsidRPr="00B651E9" w:rsidRDefault="00A66A23" w:rsidP="00064199">
            <w:pPr>
              <w:keepNext/>
              <w:keepLines/>
              <w:jc w:val="left"/>
              <w:rPr>
                <w:rFonts w:ascii="ITC Avant Garde" w:hAnsi="ITC Avant Garde"/>
                <w:sz w:val="16"/>
                <w:lang w:val="es-MX"/>
              </w:rPr>
            </w:pPr>
            <w:r w:rsidRPr="00B651E9">
              <w:rPr>
                <w:rFonts w:ascii="ITC Avant Garde" w:hAnsi="ITC Avant Garde"/>
                <w:sz w:val="16"/>
                <w:lang w:val="es-MX"/>
              </w:rPr>
              <w:t>Fibra – Cables subterráneos</w:t>
            </w:r>
          </w:p>
        </w:tc>
        <w:tc>
          <w:tcPr>
            <w:tcW w:w="1334" w:type="dxa"/>
            <w:shd w:val="clear" w:color="auto" w:fill="auto"/>
          </w:tcPr>
          <w:p w14:paraId="52B80828" w14:textId="465850FC" w:rsidR="00A66A23" w:rsidRPr="004C1A96" w:rsidRDefault="00A66A23" w:rsidP="00064199">
            <w:pPr>
              <w:keepNext/>
              <w:keepLines/>
              <w:jc w:val="center"/>
              <w:rPr>
                <w:rFonts w:ascii="ITC Avant Garde" w:hAnsi="ITC Avant Garde"/>
                <w:sz w:val="16"/>
                <w:lang w:val="es-MX"/>
              </w:rPr>
            </w:pPr>
            <w:r w:rsidRPr="00B651E9">
              <w:rPr>
                <w:rFonts w:ascii="ITC Avant Garde" w:hAnsi="ITC Avant Garde"/>
                <w:sz w:val="16"/>
                <w:lang w:val="es-MX"/>
              </w:rPr>
              <w:t>23</w:t>
            </w:r>
          </w:p>
        </w:tc>
      </w:tr>
      <w:tr w:rsidR="00A66A23" w:rsidRPr="004C1A96" w14:paraId="17198AED" w14:textId="77777777" w:rsidTr="00B651E9">
        <w:tc>
          <w:tcPr>
            <w:tcW w:w="1050" w:type="dxa"/>
            <w:shd w:val="clear" w:color="auto" w:fill="auto"/>
            <w:vAlign w:val="center"/>
          </w:tcPr>
          <w:p w14:paraId="095DA0AA" w14:textId="77777777" w:rsidR="00A66A23" w:rsidRPr="004C1A96" w:rsidRDefault="00A66A23" w:rsidP="00064199">
            <w:pPr>
              <w:keepNext/>
              <w:keepLines/>
              <w:jc w:val="left"/>
              <w:rPr>
                <w:rFonts w:ascii="ITC Avant Garde" w:hAnsi="ITC Avant Garde"/>
                <w:sz w:val="16"/>
                <w:lang w:val="es-MX"/>
              </w:rPr>
            </w:pPr>
            <w:r w:rsidRPr="004C1A96">
              <w:rPr>
                <w:rFonts w:ascii="ITC Avant Garde" w:hAnsi="ITC Avant Garde"/>
                <w:sz w:val="16"/>
                <w:lang w:val="es-MX"/>
              </w:rPr>
              <w:t>Access</w:t>
            </w:r>
          </w:p>
        </w:tc>
        <w:tc>
          <w:tcPr>
            <w:tcW w:w="6713" w:type="dxa"/>
            <w:shd w:val="clear" w:color="auto" w:fill="auto"/>
          </w:tcPr>
          <w:p w14:paraId="67E95420" w14:textId="4527AEF6" w:rsidR="00A66A23" w:rsidRPr="004C1A96" w:rsidRDefault="00A66A23" w:rsidP="00064199">
            <w:pPr>
              <w:keepNext/>
              <w:keepLines/>
              <w:jc w:val="left"/>
              <w:rPr>
                <w:rFonts w:ascii="ITC Avant Garde" w:hAnsi="ITC Avant Garde"/>
                <w:sz w:val="16"/>
                <w:lang w:val="es-MX"/>
              </w:rPr>
            </w:pPr>
            <w:r w:rsidRPr="00B651E9">
              <w:rPr>
                <w:rFonts w:ascii="ITC Avant Garde" w:hAnsi="ITC Avant Garde"/>
                <w:sz w:val="16"/>
                <w:lang w:val="es-MX"/>
              </w:rPr>
              <w:t xml:space="preserve">Fibra – Cables aéreos </w:t>
            </w:r>
          </w:p>
        </w:tc>
        <w:tc>
          <w:tcPr>
            <w:tcW w:w="1334" w:type="dxa"/>
            <w:shd w:val="clear" w:color="auto" w:fill="auto"/>
          </w:tcPr>
          <w:p w14:paraId="7D4D3C91" w14:textId="1E6FDDEC" w:rsidR="00A66A23" w:rsidRPr="004C1A96" w:rsidRDefault="00A66A23" w:rsidP="00064199">
            <w:pPr>
              <w:keepNext/>
              <w:keepLines/>
              <w:jc w:val="center"/>
              <w:rPr>
                <w:rFonts w:ascii="ITC Avant Garde" w:hAnsi="ITC Avant Garde"/>
                <w:sz w:val="16"/>
                <w:lang w:val="es-MX"/>
              </w:rPr>
            </w:pPr>
            <w:r w:rsidRPr="00B651E9">
              <w:rPr>
                <w:rFonts w:ascii="ITC Avant Garde" w:hAnsi="ITC Avant Garde"/>
                <w:sz w:val="16"/>
                <w:lang w:val="es-MX"/>
              </w:rPr>
              <w:t>23</w:t>
            </w:r>
          </w:p>
        </w:tc>
      </w:tr>
      <w:tr w:rsidR="00A66A23" w:rsidRPr="004C1A96" w14:paraId="0F49B185" w14:textId="77777777" w:rsidTr="00B651E9">
        <w:tc>
          <w:tcPr>
            <w:tcW w:w="1050" w:type="dxa"/>
            <w:shd w:val="clear" w:color="auto" w:fill="auto"/>
            <w:vAlign w:val="center"/>
          </w:tcPr>
          <w:p w14:paraId="49F37080" w14:textId="77777777" w:rsidR="00A66A23" w:rsidRPr="004C1A96" w:rsidRDefault="00A66A23" w:rsidP="00064199">
            <w:pPr>
              <w:keepNext/>
              <w:keepLines/>
              <w:jc w:val="left"/>
              <w:rPr>
                <w:rFonts w:ascii="ITC Avant Garde" w:hAnsi="ITC Avant Garde"/>
                <w:sz w:val="16"/>
                <w:lang w:val="es-MX"/>
              </w:rPr>
            </w:pPr>
            <w:r w:rsidRPr="004C1A96">
              <w:rPr>
                <w:rFonts w:ascii="ITC Avant Garde" w:hAnsi="ITC Avant Garde"/>
                <w:sz w:val="16"/>
                <w:lang w:val="es-MX"/>
              </w:rPr>
              <w:t>Access</w:t>
            </w:r>
          </w:p>
        </w:tc>
        <w:tc>
          <w:tcPr>
            <w:tcW w:w="6713" w:type="dxa"/>
            <w:shd w:val="clear" w:color="auto" w:fill="auto"/>
          </w:tcPr>
          <w:p w14:paraId="1B2FC681" w14:textId="77777777" w:rsidR="00A66A23" w:rsidRPr="004C1A96" w:rsidRDefault="00A66A23" w:rsidP="00064199">
            <w:pPr>
              <w:keepNext/>
              <w:keepLines/>
              <w:jc w:val="left"/>
              <w:rPr>
                <w:rFonts w:ascii="ITC Avant Garde" w:hAnsi="ITC Avant Garde"/>
                <w:sz w:val="16"/>
                <w:lang w:val="es-MX"/>
              </w:rPr>
            </w:pPr>
            <w:r w:rsidRPr="00B651E9">
              <w:rPr>
                <w:rFonts w:ascii="ITC Avant Garde" w:hAnsi="ITC Avant Garde"/>
                <w:sz w:val="16"/>
                <w:lang w:val="es-MX"/>
              </w:rPr>
              <w:t>Fibra – Empalmes</w:t>
            </w:r>
          </w:p>
        </w:tc>
        <w:tc>
          <w:tcPr>
            <w:tcW w:w="1334" w:type="dxa"/>
            <w:shd w:val="clear" w:color="auto" w:fill="auto"/>
          </w:tcPr>
          <w:p w14:paraId="12DEFAD6" w14:textId="77777777" w:rsidR="00A66A23" w:rsidRPr="004C1A96" w:rsidRDefault="00A66A23" w:rsidP="00064199">
            <w:pPr>
              <w:keepNext/>
              <w:keepLines/>
              <w:jc w:val="center"/>
              <w:rPr>
                <w:rFonts w:ascii="ITC Avant Garde" w:hAnsi="ITC Avant Garde"/>
                <w:sz w:val="16"/>
                <w:lang w:val="es-MX"/>
              </w:rPr>
            </w:pPr>
            <w:r w:rsidRPr="00B651E9">
              <w:rPr>
                <w:rFonts w:ascii="ITC Avant Garde" w:hAnsi="ITC Avant Garde"/>
                <w:sz w:val="16"/>
                <w:lang w:val="es-MX"/>
              </w:rPr>
              <w:t>23</w:t>
            </w:r>
          </w:p>
        </w:tc>
      </w:tr>
      <w:tr w:rsidR="00A66A23" w:rsidRPr="004C1A96" w14:paraId="10C795F0" w14:textId="77777777" w:rsidTr="00B651E9">
        <w:tc>
          <w:tcPr>
            <w:tcW w:w="1050" w:type="dxa"/>
            <w:shd w:val="clear" w:color="auto" w:fill="auto"/>
            <w:vAlign w:val="center"/>
          </w:tcPr>
          <w:p w14:paraId="192C03A0" w14:textId="77777777" w:rsidR="00A66A23" w:rsidRPr="004C1A96" w:rsidRDefault="00A66A23" w:rsidP="00064199">
            <w:pPr>
              <w:keepNext/>
              <w:keepLines/>
              <w:jc w:val="left"/>
              <w:rPr>
                <w:rFonts w:ascii="ITC Avant Garde" w:hAnsi="ITC Avant Garde"/>
                <w:sz w:val="16"/>
                <w:lang w:val="es-MX"/>
              </w:rPr>
            </w:pPr>
            <w:r w:rsidRPr="004C1A96">
              <w:rPr>
                <w:rFonts w:ascii="ITC Avant Garde" w:hAnsi="ITC Avant Garde"/>
                <w:sz w:val="16"/>
                <w:lang w:val="es-MX"/>
              </w:rPr>
              <w:t>Access</w:t>
            </w:r>
          </w:p>
        </w:tc>
        <w:tc>
          <w:tcPr>
            <w:tcW w:w="6713" w:type="dxa"/>
            <w:shd w:val="clear" w:color="auto" w:fill="auto"/>
          </w:tcPr>
          <w:p w14:paraId="4893CF77" w14:textId="77777777" w:rsidR="00A66A23" w:rsidRPr="004C1A96" w:rsidRDefault="00A66A23" w:rsidP="00064199">
            <w:pPr>
              <w:keepNext/>
              <w:keepLines/>
              <w:jc w:val="left"/>
              <w:rPr>
                <w:rFonts w:ascii="ITC Avant Garde" w:hAnsi="ITC Avant Garde"/>
                <w:sz w:val="16"/>
                <w:lang w:val="es-MX"/>
              </w:rPr>
            </w:pPr>
            <w:r w:rsidRPr="00B651E9">
              <w:rPr>
                <w:rFonts w:ascii="ITC Avant Garde" w:hAnsi="ITC Avant Garde"/>
                <w:sz w:val="16"/>
                <w:lang w:val="es-MX"/>
              </w:rPr>
              <w:t>Fibra – Puntos de distribución</w:t>
            </w:r>
          </w:p>
        </w:tc>
        <w:tc>
          <w:tcPr>
            <w:tcW w:w="1334" w:type="dxa"/>
            <w:shd w:val="clear" w:color="auto" w:fill="auto"/>
          </w:tcPr>
          <w:p w14:paraId="698AE6DD" w14:textId="77777777" w:rsidR="00A66A23" w:rsidRPr="004C1A96" w:rsidRDefault="00A66A23" w:rsidP="00064199">
            <w:pPr>
              <w:keepNext/>
              <w:keepLines/>
              <w:jc w:val="center"/>
              <w:rPr>
                <w:rFonts w:ascii="ITC Avant Garde" w:hAnsi="ITC Avant Garde"/>
                <w:sz w:val="16"/>
                <w:lang w:val="es-MX"/>
              </w:rPr>
            </w:pPr>
            <w:r w:rsidRPr="00B651E9">
              <w:rPr>
                <w:rFonts w:ascii="ITC Avant Garde" w:hAnsi="ITC Avant Garde"/>
                <w:sz w:val="16"/>
                <w:lang w:val="es-MX"/>
              </w:rPr>
              <w:t>14</w:t>
            </w:r>
          </w:p>
        </w:tc>
      </w:tr>
      <w:tr w:rsidR="00A66A23" w:rsidRPr="004C1A96" w14:paraId="64C131AE" w14:textId="77777777" w:rsidTr="00064199">
        <w:tc>
          <w:tcPr>
            <w:tcW w:w="1050" w:type="dxa"/>
            <w:shd w:val="clear" w:color="auto" w:fill="auto"/>
            <w:vAlign w:val="center"/>
          </w:tcPr>
          <w:p w14:paraId="53CFD002" w14:textId="77777777" w:rsidR="00A66A23" w:rsidRPr="004C1A96" w:rsidRDefault="00A66A23" w:rsidP="00064199">
            <w:pPr>
              <w:keepNext/>
              <w:keepLines/>
              <w:jc w:val="left"/>
              <w:rPr>
                <w:rFonts w:ascii="ITC Avant Garde" w:hAnsi="ITC Avant Garde"/>
                <w:sz w:val="16"/>
                <w:lang w:val="es-MX"/>
              </w:rPr>
            </w:pPr>
            <w:r w:rsidRPr="004C1A96">
              <w:rPr>
                <w:rFonts w:ascii="ITC Avant Garde" w:hAnsi="ITC Avant Garde"/>
                <w:sz w:val="16"/>
                <w:lang w:val="es-MX"/>
              </w:rPr>
              <w:t>Access</w:t>
            </w:r>
          </w:p>
        </w:tc>
        <w:tc>
          <w:tcPr>
            <w:tcW w:w="6713" w:type="dxa"/>
            <w:shd w:val="clear" w:color="auto" w:fill="auto"/>
          </w:tcPr>
          <w:p w14:paraId="666BC2ED" w14:textId="77777777" w:rsidR="00A66A23" w:rsidRPr="004C1A96" w:rsidRDefault="00A66A23" w:rsidP="00064199">
            <w:pPr>
              <w:keepNext/>
              <w:keepLines/>
              <w:jc w:val="left"/>
              <w:rPr>
                <w:rFonts w:ascii="ITC Avant Garde" w:hAnsi="ITC Avant Garde"/>
                <w:sz w:val="16"/>
                <w:lang w:val="es-MX"/>
              </w:rPr>
            </w:pPr>
            <w:r w:rsidRPr="004C1A96">
              <w:rPr>
                <w:rFonts w:ascii="ITC Avant Garde" w:hAnsi="ITC Avant Garde"/>
                <w:sz w:val="16"/>
                <w:lang w:val="es-MX"/>
              </w:rPr>
              <w:t>ONT</w:t>
            </w:r>
          </w:p>
        </w:tc>
        <w:tc>
          <w:tcPr>
            <w:tcW w:w="1334" w:type="dxa"/>
            <w:shd w:val="clear" w:color="auto" w:fill="auto"/>
          </w:tcPr>
          <w:p w14:paraId="4F21F502" w14:textId="77777777" w:rsidR="00A66A23" w:rsidRPr="00E14D8A" w:rsidRDefault="00A66A23" w:rsidP="00064199">
            <w:pPr>
              <w:keepNext/>
              <w:keepLines/>
              <w:jc w:val="center"/>
              <w:rPr>
                <w:rFonts w:ascii="ITC Avant Garde" w:hAnsi="ITC Avant Garde"/>
                <w:sz w:val="16"/>
                <w:lang w:val="es-MX"/>
              </w:rPr>
            </w:pPr>
            <w:r w:rsidRPr="00E14D8A">
              <w:rPr>
                <w:rFonts w:ascii="ITC Avant Garde" w:hAnsi="ITC Avant Garde"/>
                <w:sz w:val="16"/>
                <w:lang w:val="es-MX"/>
              </w:rPr>
              <w:t>5</w:t>
            </w:r>
          </w:p>
        </w:tc>
      </w:tr>
      <w:tr w:rsidR="00A66A23" w:rsidRPr="004C1A96" w14:paraId="6A6285E4" w14:textId="77777777" w:rsidTr="00B651E9">
        <w:tc>
          <w:tcPr>
            <w:tcW w:w="1050" w:type="dxa"/>
            <w:shd w:val="clear" w:color="auto" w:fill="auto"/>
          </w:tcPr>
          <w:p w14:paraId="629BC5E3" w14:textId="77777777" w:rsidR="00A66A23" w:rsidRPr="004C1A96" w:rsidRDefault="00A66A23" w:rsidP="00064199">
            <w:pPr>
              <w:keepNext/>
              <w:keepLines/>
              <w:jc w:val="left"/>
              <w:rPr>
                <w:rFonts w:ascii="ITC Avant Garde" w:hAnsi="ITC Avant Garde"/>
                <w:sz w:val="16"/>
                <w:lang w:val="es-MX"/>
              </w:rPr>
            </w:pPr>
            <w:r w:rsidRPr="004C1A96">
              <w:rPr>
                <w:rFonts w:ascii="ITC Avant Garde" w:hAnsi="ITC Avant Garde"/>
                <w:sz w:val="16"/>
                <w:lang w:val="es-MX"/>
              </w:rPr>
              <w:t>Access</w:t>
            </w:r>
          </w:p>
        </w:tc>
        <w:tc>
          <w:tcPr>
            <w:tcW w:w="6713" w:type="dxa"/>
            <w:shd w:val="clear" w:color="auto" w:fill="auto"/>
          </w:tcPr>
          <w:p w14:paraId="0D0381F7" w14:textId="77777777" w:rsidR="00A66A23" w:rsidRPr="004C1A96" w:rsidRDefault="00A66A23" w:rsidP="00064199">
            <w:pPr>
              <w:keepNext/>
              <w:keepLines/>
              <w:jc w:val="left"/>
              <w:rPr>
                <w:rFonts w:ascii="ITC Avant Garde" w:hAnsi="ITC Avant Garde"/>
                <w:sz w:val="16"/>
                <w:lang w:val="es-MX"/>
              </w:rPr>
            </w:pPr>
            <w:r w:rsidRPr="00B651E9">
              <w:rPr>
                <w:rFonts w:ascii="ITC Avant Garde" w:hAnsi="ITC Avant Garde"/>
                <w:sz w:val="16"/>
                <w:lang w:val="es-MX"/>
              </w:rPr>
              <w:t>ODF</w:t>
            </w:r>
          </w:p>
        </w:tc>
        <w:tc>
          <w:tcPr>
            <w:tcW w:w="1334" w:type="dxa"/>
            <w:shd w:val="clear" w:color="auto" w:fill="auto"/>
            <w:vAlign w:val="center"/>
          </w:tcPr>
          <w:p w14:paraId="5A9D94CE" w14:textId="77777777" w:rsidR="00A66A23" w:rsidRPr="004C1A96" w:rsidRDefault="00A66A23" w:rsidP="00064199">
            <w:pPr>
              <w:keepNext/>
              <w:keepLines/>
              <w:jc w:val="center"/>
              <w:rPr>
                <w:rFonts w:ascii="ITC Avant Garde" w:hAnsi="ITC Avant Garde"/>
                <w:sz w:val="16"/>
                <w:lang w:val="es-MX"/>
              </w:rPr>
            </w:pPr>
            <w:r w:rsidRPr="00B651E9">
              <w:rPr>
                <w:rFonts w:ascii="ITC Avant Garde" w:hAnsi="ITC Avant Garde"/>
                <w:sz w:val="16"/>
                <w:lang w:val="es-MX"/>
              </w:rPr>
              <w:t>17</w:t>
            </w:r>
          </w:p>
        </w:tc>
      </w:tr>
      <w:tr w:rsidR="00A66A23" w:rsidRPr="004C1A96" w14:paraId="6E4D2D65" w14:textId="77777777" w:rsidTr="00B651E9">
        <w:tc>
          <w:tcPr>
            <w:tcW w:w="1050" w:type="dxa"/>
            <w:shd w:val="clear" w:color="auto" w:fill="auto"/>
          </w:tcPr>
          <w:p w14:paraId="60B75A9C" w14:textId="77777777" w:rsidR="00A66A23" w:rsidRPr="004C1A96" w:rsidRDefault="00A66A23" w:rsidP="00064199">
            <w:pPr>
              <w:keepNext/>
              <w:keepLines/>
              <w:jc w:val="left"/>
              <w:rPr>
                <w:rFonts w:ascii="ITC Avant Garde" w:hAnsi="ITC Avant Garde"/>
                <w:sz w:val="16"/>
                <w:lang w:val="es-MX"/>
              </w:rPr>
            </w:pPr>
            <w:r w:rsidRPr="004C1A96">
              <w:rPr>
                <w:rFonts w:ascii="ITC Avant Garde" w:hAnsi="ITC Avant Garde"/>
                <w:sz w:val="16"/>
                <w:lang w:val="es-MX"/>
              </w:rPr>
              <w:t>Access</w:t>
            </w:r>
          </w:p>
        </w:tc>
        <w:tc>
          <w:tcPr>
            <w:tcW w:w="6713" w:type="dxa"/>
            <w:shd w:val="clear" w:color="auto" w:fill="auto"/>
          </w:tcPr>
          <w:p w14:paraId="751C0A41" w14:textId="77777777" w:rsidR="00A66A23" w:rsidRPr="004C1A96" w:rsidRDefault="00A66A23" w:rsidP="00064199">
            <w:pPr>
              <w:keepNext/>
              <w:keepLines/>
              <w:jc w:val="left"/>
              <w:rPr>
                <w:rFonts w:ascii="ITC Avant Garde" w:hAnsi="ITC Avant Garde"/>
                <w:sz w:val="16"/>
                <w:lang w:val="es-MX"/>
              </w:rPr>
            </w:pPr>
            <w:r w:rsidRPr="00B651E9">
              <w:rPr>
                <w:rFonts w:ascii="ITC Avant Garde" w:hAnsi="ITC Avant Garde"/>
                <w:sz w:val="16"/>
                <w:lang w:val="es-MX"/>
              </w:rPr>
              <w:t>Cobre – Cables subterráneos</w:t>
            </w:r>
          </w:p>
        </w:tc>
        <w:tc>
          <w:tcPr>
            <w:tcW w:w="1334" w:type="dxa"/>
            <w:shd w:val="clear" w:color="auto" w:fill="auto"/>
            <w:vAlign w:val="center"/>
          </w:tcPr>
          <w:p w14:paraId="4FC25BEB" w14:textId="77777777" w:rsidR="00A66A23" w:rsidRPr="004C1A96" w:rsidRDefault="00A66A23" w:rsidP="00064199">
            <w:pPr>
              <w:keepNext/>
              <w:keepLines/>
              <w:jc w:val="center"/>
              <w:rPr>
                <w:rFonts w:ascii="ITC Avant Garde" w:hAnsi="ITC Avant Garde"/>
                <w:sz w:val="16"/>
                <w:lang w:val="es-MX"/>
              </w:rPr>
            </w:pPr>
            <w:r w:rsidRPr="00B651E9">
              <w:rPr>
                <w:rFonts w:ascii="ITC Avant Garde" w:hAnsi="ITC Avant Garde"/>
                <w:sz w:val="16"/>
                <w:lang w:val="es-MX"/>
              </w:rPr>
              <w:t>25</w:t>
            </w:r>
          </w:p>
        </w:tc>
      </w:tr>
      <w:tr w:rsidR="00A66A23" w:rsidRPr="004C1A96" w14:paraId="52223982" w14:textId="77777777" w:rsidTr="00B651E9">
        <w:tc>
          <w:tcPr>
            <w:tcW w:w="1050" w:type="dxa"/>
            <w:shd w:val="clear" w:color="auto" w:fill="auto"/>
          </w:tcPr>
          <w:p w14:paraId="21D37288" w14:textId="77777777" w:rsidR="00A66A23" w:rsidRPr="004C1A96" w:rsidRDefault="00A66A23" w:rsidP="00064199">
            <w:pPr>
              <w:keepNext/>
              <w:keepLines/>
              <w:jc w:val="left"/>
              <w:rPr>
                <w:rFonts w:ascii="ITC Avant Garde" w:hAnsi="ITC Avant Garde"/>
                <w:sz w:val="16"/>
                <w:lang w:val="es-MX"/>
              </w:rPr>
            </w:pPr>
            <w:r w:rsidRPr="004C1A96">
              <w:rPr>
                <w:rFonts w:ascii="ITC Avant Garde" w:hAnsi="ITC Avant Garde"/>
                <w:sz w:val="16"/>
                <w:lang w:val="es-MX"/>
              </w:rPr>
              <w:t>Access</w:t>
            </w:r>
          </w:p>
        </w:tc>
        <w:tc>
          <w:tcPr>
            <w:tcW w:w="6713" w:type="dxa"/>
            <w:shd w:val="clear" w:color="auto" w:fill="auto"/>
          </w:tcPr>
          <w:p w14:paraId="47DD822E" w14:textId="77777777" w:rsidR="00A66A23" w:rsidRPr="004C1A96" w:rsidRDefault="00A66A23" w:rsidP="00064199">
            <w:pPr>
              <w:keepNext/>
              <w:keepLines/>
              <w:jc w:val="left"/>
              <w:rPr>
                <w:rFonts w:ascii="ITC Avant Garde" w:hAnsi="ITC Avant Garde"/>
                <w:sz w:val="16"/>
                <w:lang w:val="es-MX"/>
              </w:rPr>
            </w:pPr>
            <w:r w:rsidRPr="00B651E9">
              <w:rPr>
                <w:rFonts w:ascii="ITC Avant Garde" w:hAnsi="ITC Avant Garde"/>
                <w:sz w:val="16"/>
                <w:lang w:val="es-MX"/>
              </w:rPr>
              <w:t xml:space="preserve">Cobre – Cables aéreos </w:t>
            </w:r>
          </w:p>
        </w:tc>
        <w:tc>
          <w:tcPr>
            <w:tcW w:w="1334" w:type="dxa"/>
            <w:shd w:val="clear" w:color="auto" w:fill="auto"/>
            <w:vAlign w:val="center"/>
          </w:tcPr>
          <w:p w14:paraId="17D7F016" w14:textId="77777777" w:rsidR="00A66A23" w:rsidRPr="004C1A96" w:rsidRDefault="00A66A23" w:rsidP="00064199">
            <w:pPr>
              <w:keepNext/>
              <w:keepLines/>
              <w:jc w:val="center"/>
              <w:rPr>
                <w:rFonts w:ascii="ITC Avant Garde" w:hAnsi="ITC Avant Garde"/>
                <w:sz w:val="16"/>
                <w:lang w:val="es-MX"/>
              </w:rPr>
            </w:pPr>
            <w:r w:rsidRPr="00B651E9">
              <w:rPr>
                <w:rFonts w:ascii="ITC Avant Garde" w:hAnsi="ITC Avant Garde"/>
                <w:sz w:val="16"/>
                <w:lang w:val="es-MX"/>
              </w:rPr>
              <w:t>25</w:t>
            </w:r>
          </w:p>
        </w:tc>
      </w:tr>
      <w:tr w:rsidR="00A66A23" w:rsidRPr="004C1A96" w14:paraId="5287131C" w14:textId="77777777" w:rsidTr="00B651E9">
        <w:tc>
          <w:tcPr>
            <w:tcW w:w="1050" w:type="dxa"/>
            <w:shd w:val="clear" w:color="auto" w:fill="auto"/>
          </w:tcPr>
          <w:p w14:paraId="06050EF1" w14:textId="77777777" w:rsidR="00A66A23" w:rsidRPr="004C1A96" w:rsidRDefault="00A66A23" w:rsidP="00064199">
            <w:pPr>
              <w:keepNext/>
              <w:keepLines/>
              <w:jc w:val="left"/>
              <w:rPr>
                <w:rFonts w:ascii="ITC Avant Garde" w:hAnsi="ITC Avant Garde"/>
                <w:sz w:val="16"/>
                <w:lang w:val="es-MX"/>
              </w:rPr>
            </w:pPr>
            <w:r w:rsidRPr="004C1A96">
              <w:rPr>
                <w:rFonts w:ascii="ITC Avant Garde" w:hAnsi="ITC Avant Garde"/>
                <w:sz w:val="16"/>
                <w:lang w:val="es-MX"/>
              </w:rPr>
              <w:t>Access</w:t>
            </w:r>
          </w:p>
        </w:tc>
        <w:tc>
          <w:tcPr>
            <w:tcW w:w="6713" w:type="dxa"/>
            <w:shd w:val="clear" w:color="auto" w:fill="auto"/>
          </w:tcPr>
          <w:p w14:paraId="0B1AD772" w14:textId="77777777" w:rsidR="00A66A23" w:rsidRPr="004C1A96" w:rsidRDefault="00A66A23" w:rsidP="00064199">
            <w:pPr>
              <w:keepNext/>
              <w:keepLines/>
              <w:jc w:val="left"/>
              <w:rPr>
                <w:rFonts w:ascii="ITC Avant Garde" w:hAnsi="ITC Avant Garde"/>
                <w:sz w:val="16"/>
                <w:lang w:val="es-MX"/>
              </w:rPr>
            </w:pPr>
            <w:r w:rsidRPr="00B651E9">
              <w:rPr>
                <w:rFonts w:ascii="ITC Avant Garde" w:hAnsi="ITC Avant Garde"/>
                <w:sz w:val="16"/>
                <w:lang w:val="es-MX"/>
              </w:rPr>
              <w:t>Cobre – Empalmes</w:t>
            </w:r>
          </w:p>
        </w:tc>
        <w:tc>
          <w:tcPr>
            <w:tcW w:w="1334" w:type="dxa"/>
            <w:shd w:val="clear" w:color="auto" w:fill="auto"/>
            <w:vAlign w:val="center"/>
          </w:tcPr>
          <w:p w14:paraId="1FC7E41E" w14:textId="77777777" w:rsidR="00A66A23" w:rsidRPr="004C1A96" w:rsidRDefault="00A66A23" w:rsidP="00064199">
            <w:pPr>
              <w:keepNext/>
              <w:keepLines/>
              <w:jc w:val="center"/>
              <w:rPr>
                <w:rFonts w:ascii="ITC Avant Garde" w:hAnsi="ITC Avant Garde"/>
                <w:sz w:val="16"/>
                <w:lang w:val="es-MX"/>
              </w:rPr>
            </w:pPr>
            <w:r w:rsidRPr="00B651E9">
              <w:rPr>
                <w:rFonts w:ascii="ITC Avant Garde" w:hAnsi="ITC Avant Garde"/>
                <w:sz w:val="16"/>
                <w:lang w:val="es-MX"/>
              </w:rPr>
              <w:t>25</w:t>
            </w:r>
          </w:p>
        </w:tc>
      </w:tr>
      <w:tr w:rsidR="00A66A23" w:rsidRPr="004C1A96" w14:paraId="36F027CE" w14:textId="77777777" w:rsidTr="00B651E9">
        <w:tc>
          <w:tcPr>
            <w:tcW w:w="1050" w:type="dxa"/>
            <w:shd w:val="clear" w:color="auto" w:fill="auto"/>
          </w:tcPr>
          <w:p w14:paraId="22F50C90" w14:textId="77777777" w:rsidR="00A66A23" w:rsidRPr="004C1A96" w:rsidRDefault="00A66A23" w:rsidP="00064199">
            <w:pPr>
              <w:keepNext/>
              <w:keepLines/>
              <w:jc w:val="left"/>
              <w:rPr>
                <w:rFonts w:ascii="ITC Avant Garde" w:hAnsi="ITC Avant Garde"/>
                <w:sz w:val="16"/>
                <w:lang w:val="es-MX"/>
              </w:rPr>
            </w:pPr>
            <w:r w:rsidRPr="004C1A96">
              <w:rPr>
                <w:rFonts w:ascii="ITC Avant Garde" w:hAnsi="ITC Avant Garde"/>
                <w:sz w:val="16"/>
                <w:lang w:val="es-MX"/>
              </w:rPr>
              <w:t>Access</w:t>
            </w:r>
          </w:p>
        </w:tc>
        <w:tc>
          <w:tcPr>
            <w:tcW w:w="6713" w:type="dxa"/>
            <w:shd w:val="clear" w:color="auto" w:fill="auto"/>
          </w:tcPr>
          <w:p w14:paraId="2DEFBFAA" w14:textId="77777777" w:rsidR="00A66A23" w:rsidRPr="004C1A96" w:rsidRDefault="00A66A23" w:rsidP="00064199">
            <w:pPr>
              <w:keepNext/>
              <w:keepLines/>
              <w:jc w:val="left"/>
              <w:rPr>
                <w:rFonts w:ascii="ITC Avant Garde" w:hAnsi="ITC Avant Garde"/>
                <w:sz w:val="16"/>
                <w:lang w:val="es-MX"/>
              </w:rPr>
            </w:pPr>
            <w:r w:rsidRPr="00B651E9">
              <w:rPr>
                <w:rFonts w:ascii="ITC Avant Garde" w:hAnsi="ITC Avant Garde"/>
                <w:sz w:val="16"/>
                <w:lang w:val="es-MX"/>
              </w:rPr>
              <w:t>Cobre – Puntos de distribución</w:t>
            </w:r>
          </w:p>
        </w:tc>
        <w:tc>
          <w:tcPr>
            <w:tcW w:w="1334" w:type="dxa"/>
            <w:shd w:val="clear" w:color="auto" w:fill="auto"/>
            <w:vAlign w:val="center"/>
          </w:tcPr>
          <w:p w14:paraId="61989DF2" w14:textId="77777777" w:rsidR="00A66A23" w:rsidRPr="004C1A96" w:rsidRDefault="00A66A23" w:rsidP="00064199">
            <w:pPr>
              <w:keepNext/>
              <w:keepLines/>
              <w:jc w:val="center"/>
              <w:rPr>
                <w:rFonts w:ascii="ITC Avant Garde" w:hAnsi="ITC Avant Garde"/>
                <w:sz w:val="16"/>
                <w:lang w:val="es-MX"/>
              </w:rPr>
            </w:pPr>
            <w:r w:rsidRPr="00B651E9">
              <w:rPr>
                <w:rFonts w:ascii="ITC Avant Garde" w:hAnsi="ITC Avant Garde"/>
                <w:sz w:val="16"/>
                <w:lang w:val="es-MX"/>
              </w:rPr>
              <w:t>14</w:t>
            </w:r>
          </w:p>
        </w:tc>
      </w:tr>
      <w:tr w:rsidR="00A66A23" w:rsidRPr="004C1A96" w14:paraId="47676094" w14:textId="77777777" w:rsidTr="00B651E9">
        <w:tc>
          <w:tcPr>
            <w:tcW w:w="1050" w:type="dxa"/>
            <w:shd w:val="clear" w:color="auto" w:fill="auto"/>
            <w:vAlign w:val="center"/>
          </w:tcPr>
          <w:p w14:paraId="3633C9FA" w14:textId="77777777" w:rsidR="00A66A23" w:rsidRPr="004C1A96" w:rsidRDefault="00A66A23" w:rsidP="00064199">
            <w:pPr>
              <w:keepNext/>
              <w:keepLines/>
              <w:jc w:val="left"/>
              <w:rPr>
                <w:rFonts w:ascii="ITC Avant Garde" w:hAnsi="ITC Avant Garde"/>
                <w:sz w:val="16"/>
                <w:lang w:val="es-MX"/>
              </w:rPr>
            </w:pPr>
            <w:r w:rsidRPr="004C1A96">
              <w:rPr>
                <w:rFonts w:ascii="ITC Avant Garde" w:hAnsi="ITC Avant Garde"/>
                <w:sz w:val="16"/>
                <w:lang w:val="es-MX"/>
              </w:rPr>
              <w:t>Access</w:t>
            </w:r>
          </w:p>
        </w:tc>
        <w:tc>
          <w:tcPr>
            <w:tcW w:w="6713" w:type="dxa"/>
            <w:shd w:val="clear" w:color="auto" w:fill="auto"/>
          </w:tcPr>
          <w:p w14:paraId="7BD841E0" w14:textId="44A1764F" w:rsidR="00A66A23" w:rsidRPr="004C1A96" w:rsidRDefault="00A66A23" w:rsidP="00064199">
            <w:pPr>
              <w:keepNext/>
              <w:keepLines/>
              <w:jc w:val="left"/>
              <w:rPr>
                <w:rFonts w:ascii="ITC Avant Garde" w:hAnsi="ITC Avant Garde"/>
                <w:sz w:val="16"/>
                <w:lang w:val="es-MX"/>
              </w:rPr>
            </w:pPr>
            <w:r w:rsidRPr="00B651E9">
              <w:rPr>
                <w:rFonts w:ascii="ITC Avant Garde" w:hAnsi="ITC Avant Garde"/>
                <w:sz w:val="16"/>
                <w:lang w:val="es-MX"/>
              </w:rPr>
              <w:t>MDF</w:t>
            </w:r>
          </w:p>
        </w:tc>
        <w:tc>
          <w:tcPr>
            <w:tcW w:w="1334" w:type="dxa"/>
            <w:shd w:val="clear" w:color="auto" w:fill="auto"/>
            <w:vAlign w:val="center"/>
          </w:tcPr>
          <w:p w14:paraId="32642836" w14:textId="01448ACC" w:rsidR="00A66A23" w:rsidRPr="004C1A96" w:rsidRDefault="00A66A23" w:rsidP="00064199">
            <w:pPr>
              <w:keepNext/>
              <w:keepLines/>
              <w:jc w:val="center"/>
              <w:rPr>
                <w:rFonts w:ascii="ITC Avant Garde" w:hAnsi="ITC Avant Garde"/>
                <w:sz w:val="16"/>
                <w:lang w:val="es-MX"/>
              </w:rPr>
            </w:pPr>
            <w:r w:rsidRPr="00B651E9">
              <w:rPr>
                <w:rFonts w:ascii="ITC Avant Garde" w:hAnsi="ITC Avant Garde"/>
                <w:sz w:val="16"/>
                <w:lang w:val="es-MX"/>
              </w:rPr>
              <w:t>13</w:t>
            </w:r>
          </w:p>
        </w:tc>
      </w:tr>
    </w:tbl>
    <w:p w14:paraId="2EB7F70A" w14:textId="77777777" w:rsidR="00A66A23" w:rsidRPr="00FF2101" w:rsidRDefault="00A66A23" w:rsidP="0040723E">
      <w:pPr>
        <w:pStyle w:val="Ttulo3"/>
        <w:rPr>
          <w:lang w:val="es-ES"/>
        </w:rPr>
      </w:pPr>
      <w:bookmarkStart w:id="346" w:name="_Toc525672892"/>
      <w:bookmarkStart w:id="347" w:name="_Toc525665332"/>
      <w:bookmarkStart w:id="348" w:name="_Toc525665711"/>
      <w:bookmarkStart w:id="349" w:name="_Toc141975070"/>
      <w:r w:rsidRPr="00FF2101">
        <w:rPr>
          <w:lang w:val="es-ES"/>
        </w:rPr>
        <w:t>Costo promedio de capital ponderado (WACC)</w:t>
      </w:r>
      <w:bookmarkEnd w:id="346"/>
      <w:bookmarkEnd w:id="347"/>
      <w:bookmarkEnd w:id="348"/>
      <w:bookmarkEnd w:id="349"/>
    </w:p>
    <w:p w14:paraId="56353BB6" w14:textId="0B5E84EB" w:rsidR="00A66A23" w:rsidRPr="003971F9" w:rsidRDefault="00A66A23" w:rsidP="00A66A23">
      <w:pPr>
        <w:rPr>
          <w:rFonts w:ascii="ITC Avant Garde" w:hAnsi="ITC Avant Garde"/>
          <w:lang w:val="es-MX"/>
        </w:rPr>
      </w:pPr>
      <w:r w:rsidRPr="003971F9">
        <w:rPr>
          <w:rFonts w:ascii="ITC Avant Garde" w:hAnsi="ITC Avant Garde"/>
          <w:lang w:val="es-MX"/>
        </w:rPr>
        <w:t>El costo del capital mide la oportunidad o el costo alternativo de las fuentes de capital (deuda y capital) invertidas en la red.</w:t>
      </w:r>
      <w:r w:rsidR="009131B8" w:rsidRPr="003971F9">
        <w:rPr>
          <w:rFonts w:ascii="ITC Avant Garde" w:hAnsi="ITC Avant Garde"/>
          <w:lang w:val="es-MX"/>
        </w:rPr>
        <w:t xml:space="preserve"> </w:t>
      </w:r>
      <w:r w:rsidRPr="003971F9">
        <w:rPr>
          <w:rFonts w:ascii="ITC Avant Garde" w:hAnsi="ITC Avant Garde"/>
          <w:lang w:val="es-MX"/>
        </w:rPr>
        <w:t>Considera que el rendimiento de los activos de la empresa debe ser igual al rendimiento total esperado por sus accionistas y acreedores de la deuda, ponderado por su contribución respectiva al financiamiento de la empresa.</w:t>
      </w:r>
    </w:p>
    <w:p w14:paraId="6E7CC164" w14:textId="4B6B7E9B" w:rsidR="00A66A23" w:rsidRPr="003971F9" w:rsidRDefault="00A66A23" w:rsidP="009131B8">
      <w:pPr>
        <w:rPr>
          <w:rFonts w:ascii="ITC Avant Garde" w:hAnsi="ITC Avant Garde"/>
          <w:lang w:val="es-MX"/>
        </w:rPr>
      </w:pPr>
      <w:r w:rsidRPr="003971F9">
        <w:rPr>
          <w:rFonts w:ascii="ITC Avant Garde" w:hAnsi="ITC Avant Garde"/>
          <w:lang w:val="es-MX"/>
        </w:rPr>
        <w:t>El cálculo de</w:t>
      </w:r>
      <w:r w:rsidR="00E361F3">
        <w:rPr>
          <w:rFonts w:ascii="ITC Avant Garde" w:hAnsi="ITC Avant Garde"/>
          <w:lang w:val="es-MX"/>
        </w:rPr>
        <w:t>l</w:t>
      </w:r>
      <w:r w:rsidRPr="003971F9">
        <w:rPr>
          <w:rFonts w:ascii="ITC Avant Garde" w:hAnsi="ITC Avant Garde"/>
          <w:lang w:val="es-MX"/>
        </w:rPr>
        <w:t xml:space="preserve"> WACC ha sido realizado recientemente por IFT</w:t>
      </w:r>
      <w:r w:rsidR="009131B8" w:rsidRPr="003971F9">
        <w:rPr>
          <w:rFonts w:ascii="ITC Avant Garde" w:hAnsi="ITC Avant Garde"/>
          <w:lang w:val="es-MX"/>
        </w:rPr>
        <w:t xml:space="preserve">, que </w:t>
      </w:r>
      <w:r w:rsidRPr="003971F9">
        <w:rPr>
          <w:rFonts w:ascii="ITC Avant Garde" w:hAnsi="ITC Avant Garde"/>
          <w:lang w:val="es-MX"/>
        </w:rPr>
        <w:t xml:space="preserve">considera que el costo de capital calculado debe usarse en el modelo, su valor se establece en </w:t>
      </w:r>
      <w:r w:rsidR="003971F9" w:rsidRPr="003971F9">
        <w:rPr>
          <w:rFonts w:ascii="ITC Avant Garde" w:hAnsi="ITC Avant Garde"/>
          <w:lang w:val="es-MX"/>
        </w:rPr>
        <w:t>11</w:t>
      </w:r>
      <w:r w:rsidR="003971F9">
        <w:rPr>
          <w:rFonts w:ascii="ITC Avant Garde" w:hAnsi="ITC Avant Garde"/>
          <w:lang w:val="es-MX"/>
        </w:rPr>
        <w:t>.</w:t>
      </w:r>
      <w:r w:rsidR="003971F9" w:rsidRPr="003971F9">
        <w:rPr>
          <w:rFonts w:ascii="ITC Avant Garde" w:hAnsi="ITC Avant Garde"/>
          <w:lang w:val="es-MX"/>
        </w:rPr>
        <w:t>05</w:t>
      </w:r>
      <w:r w:rsidRPr="003971F9">
        <w:rPr>
          <w:rFonts w:ascii="ITC Avant Garde" w:hAnsi="ITC Avant Garde"/>
          <w:lang w:val="es-MX"/>
        </w:rPr>
        <w:t>%</w:t>
      </w:r>
      <w:r w:rsidR="003971F9">
        <w:rPr>
          <w:rStyle w:val="Refdenotaalpie"/>
          <w:rFonts w:ascii="ITC Avant Garde" w:hAnsi="ITC Avant Garde"/>
          <w:lang w:val="es-MX"/>
        </w:rPr>
        <w:footnoteReference w:id="42"/>
      </w:r>
      <w:r w:rsidRPr="003971F9">
        <w:rPr>
          <w:rFonts w:ascii="ITC Avant Garde" w:hAnsi="ITC Avant Garde"/>
          <w:lang w:val="es-MX"/>
        </w:rPr>
        <w:t>.</w:t>
      </w:r>
      <w:r w:rsidR="00E361F3">
        <w:rPr>
          <w:rFonts w:ascii="ITC Avant Garde" w:hAnsi="ITC Avant Garde"/>
          <w:lang w:val="es-MX"/>
        </w:rPr>
        <w:t xml:space="preserve"> Dicho valor es consistente con el cálculo empleado en el Modelo de Interconexión de redes fijas del Instituto.</w:t>
      </w:r>
    </w:p>
    <w:p w14:paraId="4313FC89" w14:textId="75E4EF46" w:rsidR="00A66A23" w:rsidRPr="00E14D8A" w:rsidRDefault="00A66A23" w:rsidP="00A66A23">
      <w:pPr>
        <w:rPr>
          <w:rFonts w:ascii="ITC Avant Garde" w:hAnsi="ITC Avant Garde"/>
          <w:lang w:val="es-MX"/>
        </w:rPr>
      </w:pPr>
      <w:r w:rsidRPr="003971F9">
        <w:rPr>
          <w:rFonts w:ascii="ITC Avant Garde" w:hAnsi="ITC Avant Garde"/>
          <w:lang w:val="es-MX"/>
        </w:rPr>
        <w:t>El modelo utiliza un valor único de costo de capital (WACC) para todas las actividades fijas (es decir, tanto para la red de fibra como para la de cobre). El parámetro WACC se presenta en la hoja de cálculo "</w:t>
      </w:r>
      <w:r w:rsidR="00E361F3">
        <w:rPr>
          <w:rFonts w:ascii="ITC Avant Garde" w:hAnsi="ITC Avant Garde"/>
          <w:lang w:val="es-MX"/>
        </w:rPr>
        <w:t>Dashboard</w:t>
      </w:r>
      <w:r w:rsidRPr="003971F9">
        <w:rPr>
          <w:rFonts w:ascii="ITC Avant Garde" w:hAnsi="ITC Avant Garde"/>
          <w:lang w:val="es-MX"/>
        </w:rPr>
        <w:t>".</w:t>
      </w:r>
    </w:p>
    <w:p w14:paraId="70CBDA20" w14:textId="77777777" w:rsidR="00A66A23" w:rsidRPr="00E14D8A" w:rsidRDefault="00A66A23" w:rsidP="00A66A23">
      <w:pPr>
        <w:rPr>
          <w:rFonts w:ascii="ITC Avant Garde" w:hAnsi="ITC Avant Garde"/>
          <w:lang w:val="es-MX"/>
        </w:rPr>
      </w:pPr>
    </w:p>
    <w:p w14:paraId="577BECF8" w14:textId="77777777" w:rsidR="00A66A23" w:rsidRPr="003C224B" w:rsidRDefault="00A66A23" w:rsidP="0040723E">
      <w:pPr>
        <w:pStyle w:val="Ttulo3"/>
      </w:pPr>
      <w:bookmarkStart w:id="350" w:name="_Toc525672893"/>
      <w:bookmarkStart w:id="351" w:name="_Toc525665333"/>
      <w:bookmarkStart w:id="352" w:name="_Toc525665712"/>
      <w:bookmarkStart w:id="353" w:name="_Toc141975071"/>
      <w:r w:rsidRPr="003C224B">
        <w:t>Cálculos de anualidad</w:t>
      </w:r>
      <w:bookmarkEnd w:id="350"/>
      <w:bookmarkEnd w:id="351"/>
      <w:bookmarkEnd w:id="352"/>
      <w:bookmarkEnd w:id="353"/>
    </w:p>
    <w:p w14:paraId="483EBCEF" w14:textId="77777777" w:rsidR="00A66A23" w:rsidRPr="004C1A96" w:rsidRDefault="00A66A23" w:rsidP="00A66A23">
      <w:pPr>
        <w:rPr>
          <w:rFonts w:ascii="ITC Avant Garde" w:hAnsi="ITC Avant Garde"/>
          <w:lang w:val="es-MX"/>
        </w:rPr>
      </w:pPr>
      <w:r w:rsidRPr="004C1A96">
        <w:rPr>
          <w:rFonts w:ascii="ITC Avant Garde" w:hAnsi="ITC Avant Garde"/>
          <w:lang w:val="es-MX"/>
        </w:rPr>
        <w:t>El enfoque de depreciación de anualidades inclinadas se implementa en el modelo LRAIC. La siguiente fórmula se usa:</w:t>
      </w:r>
    </w:p>
    <w:p w14:paraId="157FBC11" w14:textId="77777777" w:rsidR="00B85300" w:rsidRDefault="00B85300" w:rsidP="00B85300">
      <w:pPr>
        <w:rPr>
          <w:rFonts w:ascii="ITC Avant Garde" w:hAnsi="ITC Avant Garde"/>
          <w:lang w:val="es-MX"/>
        </w:rPr>
      </w:pPr>
    </w:p>
    <w:p w14:paraId="605E9551" w14:textId="77777777" w:rsidR="00B85300" w:rsidRDefault="00E61923" w:rsidP="00B85300">
      <w:pPr>
        <w:keepNext/>
        <w:keepLines/>
        <w:rPr>
          <w:rFonts w:ascii="ITC Avant Garde" w:hAnsi="ITC Avant Garde" w:cs="Arial"/>
          <w:lang w:val="en-US"/>
        </w:rPr>
      </w:pPr>
      <m:oMathPara>
        <m:oMath>
          <m:sSub>
            <m:sSubPr>
              <m:ctrlPr>
                <w:rPr>
                  <w:rFonts w:ascii="Cambria Math" w:hAnsi="Cambria Math" w:cs="Arial"/>
                  <w:i/>
                  <w:sz w:val="28"/>
                  <w:szCs w:val="28"/>
                  <w:lang w:val="en-US"/>
                </w:rPr>
              </m:ctrlPr>
            </m:sSubPr>
            <m:e>
              <m:r>
                <w:rPr>
                  <w:rFonts w:ascii="Cambria Math" w:hAnsi="Cambria Math" w:cs="Arial"/>
                  <w:sz w:val="28"/>
                  <w:lang w:val="en-US"/>
                </w:rPr>
                <m:t>A</m:t>
              </m:r>
            </m:e>
            <m:sub>
              <m:r>
                <w:rPr>
                  <w:rFonts w:ascii="Cambria Math" w:hAnsi="Cambria Math" w:cs="Arial"/>
                  <w:sz w:val="28"/>
                  <w:lang w:val="en-US"/>
                </w:rPr>
                <m:t>t</m:t>
              </m:r>
            </m:sub>
          </m:sSub>
          <m:r>
            <w:rPr>
              <w:rFonts w:ascii="Cambria Math" w:hAnsi="Cambria Math" w:cs="Arial"/>
              <w:sz w:val="28"/>
              <w:lang w:val="en-US"/>
            </w:rPr>
            <m:t>=I×</m:t>
          </m:r>
          <m:f>
            <m:fPr>
              <m:ctrlPr>
                <w:rPr>
                  <w:rFonts w:ascii="Cambria Math" w:hAnsi="Cambria Math" w:cs="Arial"/>
                  <w:i/>
                  <w:sz w:val="28"/>
                  <w:szCs w:val="28"/>
                  <w:lang w:val="en-US"/>
                </w:rPr>
              </m:ctrlPr>
            </m:fPr>
            <m:num>
              <m:d>
                <m:dPr>
                  <m:ctrlPr>
                    <w:rPr>
                      <w:rFonts w:ascii="Cambria Math" w:hAnsi="Cambria Math" w:cs="Arial"/>
                      <w:i/>
                      <w:sz w:val="28"/>
                      <w:szCs w:val="28"/>
                      <w:lang w:val="en-US"/>
                    </w:rPr>
                  </m:ctrlPr>
                </m:dPr>
                <m:e>
                  <m:r>
                    <w:rPr>
                      <w:rFonts w:ascii="Cambria Math" w:hAnsi="Cambria Math" w:cs="Arial"/>
                      <w:sz w:val="28"/>
                      <w:lang w:val="en-US"/>
                    </w:rPr>
                    <m:t>ω-p</m:t>
                  </m:r>
                </m:e>
              </m:d>
              <m:sSup>
                <m:sSupPr>
                  <m:ctrlPr>
                    <w:rPr>
                      <w:rFonts w:ascii="Cambria Math" w:hAnsi="Cambria Math" w:cs="Arial"/>
                      <w:i/>
                      <w:sz w:val="28"/>
                      <w:szCs w:val="28"/>
                      <w:lang w:val="en-US"/>
                    </w:rPr>
                  </m:ctrlPr>
                </m:sSupPr>
                <m:e>
                  <m:r>
                    <w:rPr>
                      <w:rFonts w:ascii="Cambria Math" w:hAnsi="Cambria Math" w:cs="Arial"/>
                      <w:sz w:val="28"/>
                      <w:lang w:val="en-US"/>
                    </w:rPr>
                    <m:t>(1+p)</m:t>
                  </m:r>
                </m:e>
                <m:sup>
                  <m:r>
                    <w:rPr>
                      <w:rFonts w:ascii="Cambria Math" w:hAnsi="Cambria Math" w:cs="Arial"/>
                      <w:sz w:val="28"/>
                      <w:lang w:val="en-US"/>
                    </w:rPr>
                    <m:t>t</m:t>
                  </m:r>
                </m:sup>
              </m:sSup>
            </m:num>
            <m:den>
              <m:r>
                <w:rPr>
                  <w:rFonts w:ascii="Cambria Math" w:hAnsi="Cambria Math" w:cs="Arial"/>
                  <w:sz w:val="28"/>
                  <w:lang w:val="en-US"/>
                </w:rPr>
                <m:t>1-</m:t>
              </m:r>
              <m:sSup>
                <m:sSupPr>
                  <m:ctrlPr>
                    <w:rPr>
                      <w:rFonts w:ascii="Cambria Math" w:hAnsi="Cambria Math" w:cs="Arial"/>
                      <w:i/>
                      <w:sz w:val="28"/>
                      <w:szCs w:val="28"/>
                      <w:lang w:val="en-US"/>
                    </w:rPr>
                  </m:ctrlPr>
                </m:sSupPr>
                <m:e>
                  <m:d>
                    <m:dPr>
                      <m:ctrlPr>
                        <w:rPr>
                          <w:rFonts w:ascii="Cambria Math" w:hAnsi="Cambria Math" w:cs="Arial"/>
                          <w:i/>
                          <w:sz w:val="28"/>
                          <w:szCs w:val="28"/>
                          <w:lang w:val="en-US"/>
                        </w:rPr>
                      </m:ctrlPr>
                    </m:dPr>
                    <m:e>
                      <m:f>
                        <m:fPr>
                          <m:ctrlPr>
                            <w:rPr>
                              <w:rFonts w:ascii="Cambria Math" w:hAnsi="Cambria Math" w:cs="Arial"/>
                              <w:i/>
                              <w:sz w:val="28"/>
                              <w:szCs w:val="28"/>
                              <w:lang w:val="en-US"/>
                            </w:rPr>
                          </m:ctrlPr>
                        </m:fPr>
                        <m:num>
                          <m:r>
                            <w:rPr>
                              <w:rFonts w:ascii="Cambria Math" w:hAnsi="Cambria Math" w:cs="Arial"/>
                              <w:sz w:val="28"/>
                              <w:lang w:val="en-US"/>
                            </w:rPr>
                            <m:t>1+p</m:t>
                          </m:r>
                        </m:num>
                        <m:den>
                          <m:r>
                            <w:rPr>
                              <w:rFonts w:ascii="Cambria Math" w:hAnsi="Cambria Math" w:cs="Arial"/>
                              <w:sz w:val="28"/>
                              <w:lang w:val="en-US"/>
                            </w:rPr>
                            <m:t>1+ω</m:t>
                          </m:r>
                        </m:den>
                      </m:f>
                    </m:e>
                  </m:d>
                </m:e>
                <m:sup>
                  <m:r>
                    <w:rPr>
                      <w:rFonts w:ascii="Cambria Math" w:hAnsi="Cambria Math" w:cs="Arial"/>
                      <w:sz w:val="28"/>
                      <w:lang w:val="en-US"/>
                    </w:rPr>
                    <m:t>n</m:t>
                  </m:r>
                </m:sup>
              </m:sSup>
            </m:den>
          </m:f>
        </m:oMath>
      </m:oMathPara>
    </w:p>
    <w:p w14:paraId="533ED9E4" w14:textId="77777777" w:rsidR="00B85300" w:rsidRDefault="00B85300" w:rsidP="00B85300">
      <w:pPr>
        <w:rPr>
          <w:rFonts w:ascii="ITC Avant Garde" w:hAnsi="ITC Avant Garde"/>
          <w:lang w:val="es-MX"/>
        </w:rPr>
      </w:pPr>
    </w:p>
    <w:p w14:paraId="27DEB503" w14:textId="77777777" w:rsidR="00A66A23" w:rsidRPr="00E14D8A" w:rsidRDefault="00A66A23" w:rsidP="00A66A23">
      <w:pPr>
        <w:rPr>
          <w:rFonts w:ascii="ITC Avant Garde" w:hAnsi="ITC Avant Garde"/>
          <w:lang w:val="es-MX"/>
        </w:rPr>
      </w:pPr>
      <w:r w:rsidRPr="00E14D8A">
        <w:rPr>
          <w:rFonts w:ascii="ITC Avant Garde" w:hAnsi="ITC Avant Garde"/>
          <w:lang w:val="es-MX"/>
        </w:rPr>
        <w:t>En esta fórmula:</w:t>
      </w:r>
    </w:p>
    <w:p w14:paraId="25D2F069" w14:textId="77777777" w:rsidR="00A66A23" w:rsidRPr="00E14D8A" w:rsidRDefault="00A66A23" w:rsidP="00A66A23">
      <w:pPr>
        <w:pStyle w:val="Listaconvietas2"/>
        <w:rPr>
          <w:rFonts w:ascii="ITC Avant Garde" w:hAnsi="ITC Avant Garde"/>
          <w:lang w:val="es-MX"/>
        </w:rPr>
      </w:pPr>
      <w:r w:rsidRPr="00E14D8A">
        <w:rPr>
          <w:rFonts w:ascii="ITC Avant Garde" w:hAnsi="ITC Avant Garde"/>
          <w:lang w:val="es-MX"/>
        </w:rPr>
        <w:t>I es la inversión;</w:t>
      </w:r>
    </w:p>
    <w:p w14:paraId="285DA817" w14:textId="77777777" w:rsidR="00A66A23" w:rsidRPr="004C1A96" w:rsidRDefault="00A66A23" w:rsidP="00A66A23">
      <w:pPr>
        <w:pStyle w:val="Listaconvietas2"/>
        <w:rPr>
          <w:rFonts w:ascii="ITC Avant Garde" w:hAnsi="ITC Avant Garde"/>
          <w:lang w:val="es-MX"/>
        </w:rPr>
      </w:pPr>
      <w:r w:rsidRPr="004C1A96">
        <w:rPr>
          <w:rFonts w:ascii="Calibri" w:hAnsi="Calibri" w:cs="Calibri"/>
          <w:lang w:val="es-MX"/>
        </w:rPr>
        <w:t>ω</w:t>
      </w:r>
      <w:r w:rsidRPr="004C1A96">
        <w:rPr>
          <w:rFonts w:ascii="ITC Avant Garde" w:hAnsi="ITC Avant Garde"/>
          <w:lang w:val="es-MX"/>
        </w:rPr>
        <w:t xml:space="preserve"> es el costo de capital;</w:t>
      </w:r>
    </w:p>
    <w:p w14:paraId="2C0639D2" w14:textId="77777777" w:rsidR="00A66A23" w:rsidRPr="004C1A96" w:rsidRDefault="00A66A23" w:rsidP="00A66A23">
      <w:pPr>
        <w:pStyle w:val="Listaconvietas2"/>
        <w:rPr>
          <w:rFonts w:ascii="ITC Avant Garde" w:hAnsi="ITC Avant Garde"/>
          <w:lang w:val="es-MX"/>
        </w:rPr>
      </w:pPr>
      <w:r w:rsidRPr="004C1A96">
        <w:rPr>
          <w:rFonts w:ascii="ITC Avant Garde" w:hAnsi="ITC Avant Garde"/>
          <w:lang w:val="es-MX"/>
        </w:rPr>
        <w:t>n es la vida útil del activo;</w:t>
      </w:r>
    </w:p>
    <w:p w14:paraId="05E5015D" w14:textId="77777777" w:rsidR="00A66A23" w:rsidRPr="004C1A96" w:rsidRDefault="00A66A23" w:rsidP="00A66A23">
      <w:pPr>
        <w:pStyle w:val="Listaconvietas2"/>
        <w:rPr>
          <w:rFonts w:ascii="ITC Avant Garde" w:hAnsi="ITC Avant Garde"/>
          <w:lang w:val="es-MX"/>
        </w:rPr>
      </w:pPr>
      <w:r w:rsidRPr="004C1A96">
        <w:rPr>
          <w:rFonts w:ascii="ITC Avant Garde" w:hAnsi="ITC Avant Garde"/>
          <w:lang w:val="es-MX"/>
        </w:rPr>
        <w:t>t es el año considerado;</w:t>
      </w:r>
    </w:p>
    <w:p w14:paraId="3D71F89E" w14:textId="77777777" w:rsidR="00A66A23" w:rsidRPr="004C1A96" w:rsidRDefault="00A66A23" w:rsidP="00A66A23">
      <w:pPr>
        <w:pStyle w:val="Listaconvietas2"/>
        <w:rPr>
          <w:rFonts w:ascii="ITC Avant Garde" w:hAnsi="ITC Avant Garde"/>
          <w:lang w:val="es-MX"/>
        </w:rPr>
      </w:pPr>
      <w:r w:rsidRPr="004C1A96">
        <w:rPr>
          <w:rFonts w:ascii="ITC Avant Garde" w:hAnsi="ITC Avant Garde"/>
          <w:lang w:val="es-MX"/>
        </w:rPr>
        <w:t>p es la inclinación;</w:t>
      </w:r>
    </w:p>
    <w:p w14:paraId="585BA934" w14:textId="77777777" w:rsidR="00A66A23" w:rsidRPr="004C1A96" w:rsidRDefault="00A66A23" w:rsidP="00A66A23">
      <w:pPr>
        <w:pStyle w:val="Listaconvietas2"/>
        <w:rPr>
          <w:rFonts w:ascii="ITC Avant Garde" w:hAnsi="ITC Avant Garde"/>
          <w:lang w:val="es-MX"/>
        </w:rPr>
      </w:pPr>
      <w:r w:rsidRPr="004C1A96">
        <w:rPr>
          <w:rFonts w:ascii="ITC Avant Garde" w:hAnsi="ITC Avant Garde"/>
          <w:i/>
          <w:lang w:val="es-MX"/>
        </w:rPr>
        <w:t>A</w:t>
      </w:r>
      <w:r w:rsidRPr="004C1A96">
        <w:rPr>
          <w:rFonts w:ascii="ITC Avant Garde" w:hAnsi="ITC Avant Garde"/>
          <w:i/>
          <w:sz w:val="28"/>
          <w:vertAlign w:val="subscript"/>
          <w:lang w:val="es-MX"/>
        </w:rPr>
        <w:t>t</w:t>
      </w:r>
      <w:r w:rsidRPr="004C1A96">
        <w:rPr>
          <w:rFonts w:ascii="ITC Avant Garde" w:hAnsi="ITC Avant Garde"/>
          <w:lang w:val="es-MX"/>
        </w:rPr>
        <w:t xml:space="preserve"> es la anualidad del año.</w:t>
      </w:r>
    </w:p>
    <w:p w14:paraId="246CA03B" w14:textId="77777777" w:rsidR="00A66A23" w:rsidRPr="00FF2101" w:rsidRDefault="00A66A23" w:rsidP="0040723E">
      <w:pPr>
        <w:pStyle w:val="Ttulo3"/>
        <w:rPr>
          <w:lang w:val="es-ES"/>
        </w:rPr>
      </w:pPr>
      <w:bookmarkStart w:id="354" w:name="_Toc525672895"/>
      <w:bookmarkStart w:id="355" w:name="_Toc525665334"/>
      <w:bookmarkStart w:id="356" w:name="_Toc525665713"/>
      <w:bookmarkStart w:id="357" w:name="_Toc141975072"/>
      <w:r w:rsidRPr="00FF2101">
        <w:rPr>
          <w:lang w:val="es-ES"/>
        </w:rPr>
        <w:t>Uso compartido y reutilización de activos</w:t>
      </w:r>
      <w:bookmarkEnd w:id="354"/>
      <w:bookmarkEnd w:id="355"/>
      <w:bookmarkEnd w:id="356"/>
      <w:bookmarkEnd w:id="357"/>
    </w:p>
    <w:p w14:paraId="764BAAC2" w14:textId="77777777" w:rsidR="00A66A23" w:rsidRPr="008F42FC" w:rsidRDefault="00A66A23" w:rsidP="003C224B">
      <w:pPr>
        <w:pStyle w:val="Ttulo4"/>
        <w:rPr>
          <w:lang w:val="es-MX"/>
        </w:rPr>
      </w:pPr>
      <w:bookmarkStart w:id="358" w:name="_Toc525672896"/>
      <w:bookmarkStart w:id="359" w:name="_Toc525665335"/>
      <w:bookmarkStart w:id="360" w:name="_Toc525665714"/>
      <w:bookmarkStart w:id="361" w:name="_Toc141975073"/>
      <w:r w:rsidRPr="008F42FC">
        <w:rPr>
          <w:lang w:val="es-MX"/>
        </w:rPr>
        <w:t>Compartición de recursos</w:t>
      </w:r>
      <w:bookmarkEnd w:id="358"/>
      <w:bookmarkEnd w:id="359"/>
      <w:bookmarkEnd w:id="360"/>
      <w:bookmarkEnd w:id="361"/>
    </w:p>
    <w:p w14:paraId="4FE2BE93" w14:textId="77777777" w:rsidR="00A66A23" w:rsidRPr="00E14D8A" w:rsidRDefault="00A66A23" w:rsidP="00A66A23">
      <w:pPr>
        <w:rPr>
          <w:rFonts w:ascii="ITC Avant Garde" w:hAnsi="ITC Avant Garde"/>
          <w:lang w:val="es-MX"/>
        </w:rPr>
      </w:pPr>
      <w:r w:rsidRPr="004C1A96">
        <w:rPr>
          <w:rFonts w:ascii="ITC Avant Garde" w:hAnsi="ITC Avant Garde"/>
          <w:lang w:val="es-MX"/>
        </w:rPr>
        <w:t>La compartición de activos se refiere a la infraestructura compartida entre redes coexistentes y otr</w:t>
      </w:r>
      <w:r w:rsidRPr="00E14D8A">
        <w:rPr>
          <w:rFonts w:ascii="ITC Avant Garde" w:hAnsi="ITC Avant Garde"/>
          <w:lang w:val="es-MX"/>
        </w:rPr>
        <w:t>os servicios.</w:t>
      </w:r>
    </w:p>
    <w:p w14:paraId="7FC8C8BA" w14:textId="77777777" w:rsidR="00930618" w:rsidRPr="004C1A96" w:rsidRDefault="00930618" w:rsidP="00930618">
      <w:pPr>
        <w:rPr>
          <w:rFonts w:ascii="ITC Avant Garde" w:hAnsi="ITC Avant Garde"/>
          <w:lang w:val="es-MX"/>
        </w:rPr>
      </w:pPr>
      <w:r w:rsidRPr="00E14D8A">
        <w:rPr>
          <w:rFonts w:ascii="ITC Avant Garde" w:hAnsi="ITC Avant Garde"/>
          <w:lang w:val="es-MX"/>
        </w:rPr>
        <w:t xml:space="preserve">Con relación a los niveles de compartición entre tecnologías, la información proporcionada por el AEP a nivel </w:t>
      </w:r>
      <w:r w:rsidRPr="004C1A96">
        <w:rPr>
          <w:rFonts w:ascii="ITC Avant Garde" w:hAnsi="ITC Avant Garde"/>
          <w:lang w:val="es-MX"/>
        </w:rPr>
        <w:t xml:space="preserve">de central permite extraer que las líneas de la red se distribuyen entre tecnologías de acuerdo a los siguientes porcentajes: </w:t>
      </w:r>
    </w:p>
    <w:p w14:paraId="69A178D2" w14:textId="0C532C46" w:rsidR="00AE15AD" w:rsidRPr="00B651E9" w:rsidRDefault="00AE15AD" w:rsidP="00AE15AD">
      <w:pPr>
        <w:pStyle w:val="Descripcin"/>
        <w:keepNext/>
        <w:rPr>
          <w:rFonts w:ascii="ITC Avant Garde" w:hAnsi="ITC Avant Garde"/>
          <w:lang w:val="es-ES"/>
        </w:rPr>
      </w:pPr>
      <w:r w:rsidRPr="004C1A96">
        <w:rPr>
          <w:rFonts w:ascii="ITC Avant Garde" w:hAnsi="ITC Avant Garde"/>
          <w:lang w:val="es-MX"/>
        </w:rPr>
        <w:lastRenderedPageBreak/>
        <w:t xml:space="preserve">Cuadro </w:t>
      </w:r>
      <w:r w:rsidRPr="004C1A96">
        <w:rPr>
          <w:rFonts w:ascii="ITC Avant Garde" w:hAnsi="ITC Avant Garde"/>
          <w:lang w:val="es-MX"/>
        </w:rPr>
        <w:fldChar w:fldCharType="begin"/>
      </w:r>
      <w:r w:rsidRPr="004C1A96">
        <w:rPr>
          <w:rFonts w:ascii="ITC Avant Garde" w:hAnsi="ITC Avant Garde"/>
          <w:lang w:val="es-MX"/>
        </w:rPr>
        <w:instrText xml:space="preserve"> SEQ Cuadro \* ARABIC </w:instrText>
      </w:r>
      <w:r w:rsidRPr="004C1A96">
        <w:rPr>
          <w:rFonts w:ascii="ITC Avant Garde" w:hAnsi="ITC Avant Garde"/>
          <w:lang w:val="es-MX"/>
        </w:rPr>
        <w:fldChar w:fldCharType="separate"/>
      </w:r>
      <w:r w:rsidR="00006265">
        <w:rPr>
          <w:rFonts w:ascii="ITC Avant Garde" w:hAnsi="ITC Avant Garde"/>
          <w:noProof/>
          <w:lang w:val="es-MX"/>
        </w:rPr>
        <w:t>15</w:t>
      </w:r>
      <w:r w:rsidRPr="004C1A96">
        <w:rPr>
          <w:rFonts w:ascii="ITC Avant Garde" w:hAnsi="ITC Avant Garde"/>
          <w:lang w:val="es-MX"/>
        </w:rPr>
        <w:fldChar w:fldCharType="end"/>
      </w:r>
      <w:r w:rsidRPr="004C1A96">
        <w:rPr>
          <w:rFonts w:ascii="ITC Avant Garde" w:hAnsi="ITC Avant Garde"/>
          <w:lang w:val="es-MX"/>
        </w:rPr>
        <w:t xml:space="preserve"> - </w:t>
      </w:r>
      <w:r w:rsidRPr="00E14D8A">
        <w:rPr>
          <w:rFonts w:ascii="ITC Avant Garde" w:hAnsi="ITC Avant Garde"/>
          <w:lang w:val="es-MX"/>
        </w:rPr>
        <w:t>Distribución de líneas por tecnología</w:t>
      </w:r>
    </w:p>
    <w:tbl>
      <w:tblPr>
        <w:tblW w:w="3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701"/>
      </w:tblGrid>
      <w:tr w:rsidR="00AE15AD" w:rsidRPr="004C1A96" w14:paraId="239335D0" w14:textId="77777777" w:rsidTr="00B651E9">
        <w:trPr>
          <w:jc w:val="center"/>
        </w:trPr>
        <w:tc>
          <w:tcPr>
            <w:tcW w:w="1696" w:type="dxa"/>
            <w:shd w:val="clear" w:color="auto" w:fill="2F5897" w:themeFill="text2"/>
            <w:vAlign w:val="center"/>
          </w:tcPr>
          <w:p w14:paraId="4E103A4E" w14:textId="17FC3EB2" w:rsidR="00AE15AD" w:rsidRPr="004C1A96" w:rsidRDefault="00AE15AD" w:rsidP="00064199">
            <w:pPr>
              <w:keepNext/>
              <w:keepLines/>
              <w:jc w:val="left"/>
              <w:rPr>
                <w:rFonts w:ascii="ITC Avant Garde" w:hAnsi="ITC Avant Garde"/>
                <w:b/>
                <w:color w:val="FFFFFF"/>
                <w:sz w:val="16"/>
                <w:lang w:val="es-MX"/>
              </w:rPr>
            </w:pPr>
            <w:r w:rsidRPr="004C1A96">
              <w:rPr>
                <w:rFonts w:ascii="ITC Avant Garde" w:hAnsi="ITC Avant Garde"/>
                <w:b/>
                <w:color w:val="FFFFFF"/>
                <w:sz w:val="16"/>
                <w:lang w:val="es-MX"/>
              </w:rPr>
              <w:t>Tipo de líneas</w:t>
            </w:r>
          </w:p>
        </w:tc>
        <w:tc>
          <w:tcPr>
            <w:tcW w:w="1701" w:type="dxa"/>
            <w:shd w:val="clear" w:color="auto" w:fill="2F5897" w:themeFill="text2"/>
            <w:vAlign w:val="center"/>
          </w:tcPr>
          <w:p w14:paraId="5F999FC5" w14:textId="4AEF82CD" w:rsidR="00AE15AD" w:rsidRPr="00E14D8A" w:rsidRDefault="00AE15AD" w:rsidP="00064199">
            <w:pPr>
              <w:keepNext/>
              <w:keepLines/>
              <w:jc w:val="left"/>
              <w:rPr>
                <w:rFonts w:ascii="ITC Avant Garde" w:hAnsi="ITC Avant Garde"/>
                <w:b/>
                <w:color w:val="FFFFFF"/>
                <w:sz w:val="16"/>
                <w:lang w:val="es-MX"/>
              </w:rPr>
            </w:pPr>
            <w:r w:rsidRPr="00E14D8A">
              <w:rPr>
                <w:rFonts w:ascii="ITC Avant Garde" w:hAnsi="ITC Avant Garde"/>
                <w:b/>
                <w:color w:val="FFFFFF"/>
                <w:sz w:val="16"/>
                <w:lang w:val="es-MX"/>
              </w:rPr>
              <w:t>Porcentaje de líneas</w:t>
            </w:r>
          </w:p>
        </w:tc>
      </w:tr>
      <w:tr w:rsidR="00AE15AD" w:rsidRPr="004C1A96" w14:paraId="26BFA58C" w14:textId="77777777" w:rsidTr="00B651E9">
        <w:trPr>
          <w:jc w:val="center"/>
        </w:trPr>
        <w:tc>
          <w:tcPr>
            <w:tcW w:w="1696" w:type="dxa"/>
            <w:shd w:val="clear" w:color="auto" w:fill="auto"/>
          </w:tcPr>
          <w:p w14:paraId="772C4C67" w14:textId="6304AEF2" w:rsidR="00AE15AD" w:rsidRPr="004C1A96" w:rsidRDefault="00AE15AD" w:rsidP="00AE15AD">
            <w:pPr>
              <w:keepNext/>
              <w:keepLines/>
              <w:jc w:val="left"/>
              <w:rPr>
                <w:rFonts w:ascii="ITC Avant Garde" w:hAnsi="ITC Avant Garde"/>
                <w:sz w:val="16"/>
                <w:lang w:val="es-MX"/>
              </w:rPr>
            </w:pPr>
            <w:r w:rsidRPr="00B651E9">
              <w:rPr>
                <w:rFonts w:ascii="ITC Avant Garde" w:hAnsi="ITC Avant Garde"/>
                <w:sz w:val="16"/>
                <w:lang w:val="es-MX"/>
              </w:rPr>
              <w:t>Solo Cobre</w:t>
            </w:r>
          </w:p>
        </w:tc>
        <w:tc>
          <w:tcPr>
            <w:tcW w:w="1701" w:type="dxa"/>
            <w:shd w:val="clear" w:color="auto" w:fill="auto"/>
            <w:vAlign w:val="bottom"/>
          </w:tcPr>
          <w:p w14:paraId="797C0B05" w14:textId="00D7AD6E" w:rsidR="00AE15AD" w:rsidRPr="004C1A96" w:rsidRDefault="00AE15AD" w:rsidP="00AE15AD">
            <w:pPr>
              <w:keepNext/>
              <w:keepLines/>
              <w:jc w:val="center"/>
              <w:rPr>
                <w:rFonts w:ascii="ITC Avant Garde" w:hAnsi="ITC Avant Garde"/>
                <w:sz w:val="16"/>
                <w:lang w:val="es-MX"/>
              </w:rPr>
            </w:pPr>
            <w:r w:rsidRPr="00B651E9">
              <w:rPr>
                <w:rFonts w:ascii="ITC Avant Garde" w:hAnsi="ITC Avant Garde"/>
                <w:sz w:val="16"/>
                <w:lang w:val="es-MX"/>
              </w:rPr>
              <w:t>48</w:t>
            </w:r>
            <w:r w:rsidR="009F5AFF">
              <w:rPr>
                <w:rFonts w:ascii="ITC Avant Garde" w:hAnsi="ITC Avant Garde"/>
                <w:sz w:val="16"/>
                <w:lang w:val="es-MX"/>
              </w:rPr>
              <w:t>.</w:t>
            </w:r>
            <w:r w:rsidRPr="00B651E9">
              <w:rPr>
                <w:rFonts w:ascii="ITC Avant Garde" w:hAnsi="ITC Avant Garde"/>
                <w:sz w:val="16"/>
                <w:lang w:val="es-MX"/>
              </w:rPr>
              <w:t>0%</w:t>
            </w:r>
          </w:p>
        </w:tc>
      </w:tr>
      <w:tr w:rsidR="00AE15AD" w:rsidRPr="004C1A96" w14:paraId="79888B99" w14:textId="77777777" w:rsidTr="00B651E9">
        <w:trPr>
          <w:jc w:val="center"/>
        </w:trPr>
        <w:tc>
          <w:tcPr>
            <w:tcW w:w="1696" w:type="dxa"/>
            <w:shd w:val="clear" w:color="auto" w:fill="auto"/>
          </w:tcPr>
          <w:p w14:paraId="7AA175D7" w14:textId="45B87505" w:rsidR="00AE15AD" w:rsidRPr="004C1A96" w:rsidRDefault="00AE15AD" w:rsidP="00AE15AD">
            <w:pPr>
              <w:keepNext/>
              <w:keepLines/>
              <w:jc w:val="left"/>
              <w:rPr>
                <w:rFonts w:ascii="ITC Avant Garde" w:hAnsi="ITC Avant Garde"/>
                <w:sz w:val="16"/>
                <w:lang w:val="es-MX"/>
              </w:rPr>
            </w:pPr>
            <w:r w:rsidRPr="00B651E9">
              <w:rPr>
                <w:rFonts w:ascii="ITC Avant Garde" w:hAnsi="ITC Avant Garde"/>
                <w:sz w:val="16"/>
                <w:lang w:val="es-MX"/>
              </w:rPr>
              <w:t>Solo FTTH</w:t>
            </w:r>
          </w:p>
        </w:tc>
        <w:tc>
          <w:tcPr>
            <w:tcW w:w="1701" w:type="dxa"/>
            <w:shd w:val="clear" w:color="auto" w:fill="auto"/>
            <w:vAlign w:val="bottom"/>
          </w:tcPr>
          <w:p w14:paraId="1F32C3A6" w14:textId="7543FE2E" w:rsidR="00AE15AD" w:rsidRPr="004C1A96" w:rsidRDefault="00AE15AD" w:rsidP="00AE15AD">
            <w:pPr>
              <w:keepNext/>
              <w:keepLines/>
              <w:jc w:val="center"/>
              <w:rPr>
                <w:rFonts w:ascii="ITC Avant Garde" w:hAnsi="ITC Avant Garde"/>
                <w:sz w:val="16"/>
                <w:lang w:val="es-MX"/>
              </w:rPr>
            </w:pPr>
            <w:r w:rsidRPr="00B651E9">
              <w:rPr>
                <w:rFonts w:ascii="ITC Avant Garde" w:hAnsi="ITC Avant Garde"/>
                <w:sz w:val="16"/>
                <w:lang w:val="es-MX"/>
              </w:rPr>
              <w:t>0</w:t>
            </w:r>
            <w:r w:rsidR="009F5AFF">
              <w:rPr>
                <w:rFonts w:ascii="ITC Avant Garde" w:hAnsi="ITC Avant Garde"/>
                <w:sz w:val="16"/>
                <w:lang w:val="es-MX"/>
              </w:rPr>
              <w:t>.</w:t>
            </w:r>
            <w:r w:rsidRPr="00B651E9">
              <w:rPr>
                <w:rFonts w:ascii="ITC Avant Garde" w:hAnsi="ITC Avant Garde"/>
                <w:sz w:val="16"/>
                <w:lang w:val="es-MX"/>
              </w:rPr>
              <w:t>1%</w:t>
            </w:r>
          </w:p>
        </w:tc>
      </w:tr>
      <w:tr w:rsidR="00AE15AD" w:rsidRPr="004C1A96" w14:paraId="0FDA6F9A" w14:textId="77777777" w:rsidTr="00B651E9">
        <w:trPr>
          <w:jc w:val="center"/>
        </w:trPr>
        <w:tc>
          <w:tcPr>
            <w:tcW w:w="1696" w:type="dxa"/>
            <w:shd w:val="clear" w:color="auto" w:fill="auto"/>
          </w:tcPr>
          <w:p w14:paraId="38773804" w14:textId="506E2B5D" w:rsidR="00AE15AD" w:rsidRPr="004C1A96" w:rsidRDefault="00AE15AD" w:rsidP="00AE15AD">
            <w:pPr>
              <w:keepNext/>
              <w:keepLines/>
              <w:jc w:val="left"/>
              <w:rPr>
                <w:rFonts w:ascii="ITC Avant Garde" w:hAnsi="ITC Avant Garde"/>
                <w:sz w:val="16"/>
                <w:lang w:val="es-MX"/>
              </w:rPr>
            </w:pPr>
            <w:r w:rsidRPr="00B651E9">
              <w:rPr>
                <w:rFonts w:ascii="ITC Avant Garde" w:hAnsi="ITC Avant Garde"/>
                <w:sz w:val="16"/>
                <w:lang w:val="es-MX"/>
              </w:rPr>
              <w:t>Solo FTTC</w:t>
            </w:r>
          </w:p>
        </w:tc>
        <w:tc>
          <w:tcPr>
            <w:tcW w:w="1701" w:type="dxa"/>
            <w:shd w:val="clear" w:color="auto" w:fill="auto"/>
            <w:vAlign w:val="bottom"/>
          </w:tcPr>
          <w:p w14:paraId="50ACCA51" w14:textId="28393213" w:rsidR="00AE15AD" w:rsidRPr="004C1A96" w:rsidRDefault="00AE15AD" w:rsidP="00AE15AD">
            <w:pPr>
              <w:keepNext/>
              <w:keepLines/>
              <w:jc w:val="center"/>
              <w:rPr>
                <w:rFonts w:ascii="ITC Avant Garde" w:hAnsi="ITC Avant Garde"/>
                <w:sz w:val="16"/>
                <w:lang w:val="es-MX"/>
              </w:rPr>
            </w:pPr>
            <w:r w:rsidRPr="00B651E9">
              <w:rPr>
                <w:rFonts w:ascii="ITC Avant Garde" w:hAnsi="ITC Avant Garde"/>
                <w:sz w:val="16"/>
                <w:lang w:val="es-MX"/>
              </w:rPr>
              <w:t>7</w:t>
            </w:r>
            <w:r w:rsidR="009F5AFF">
              <w:rPr>
                <w:rFonts w:ascii="ITC Avant Garde" w:hAnsi="ITC Avant Garde"/>
                <w:sz w:val="16"/>
                <w:lang w:val="es-MX"/>
              </w:rPr>
              <w:t>.</w:t>
            </w:r>
            <w:r w:rsidRPr="00B651E9">
              <w:rPr>
                <w:rFonts w:ascii="ITC Avant Garde" w:hAnsi="ITC Avant Garde"/>
                <w:sz w:val="16"/>
                <w:lang w:val="es-MX"/>
              </w:rPr>
              <w:t>4%</w:t>
            </w:r>
          </w:p>
        </w:tc>
      </w:tr>
      <w:tr w:rsidR="00AE15AD" w:rsidRPr="004C1A96" w14:paraId="7D67D7A7" w14:textId="77777777" w:rsidTr="00B651E9">
        <w:trPr>
          <w:jc w:val="center"/>
        </w:trPr>
        <w:tc>
          <w:tcPr>
            <w:tcW w:w="1696" w:type="dxa"/>
            <w:shd w:val="clear" w:color="auto" w:fill="auto"/>
          </w:tcPr>
          <w:p w14:paraId="5050B96E" w14:textId="2D8273DD" w:rsidR="00AE15AD" w:rsidRPr="004C1A96" w:rsidRDefault="00AE15AD" w:rsidP="00AE15AD">
            <w:pPr>
              <w:keepNext/>
              <w:keepLines/>
              <w:jc w:val="left"/>
              <w:rPr>
                <w:rFonts w:ascii="ITC Avant Garde" w:hAnsi="ITC Avant Garde"/>
                <w:sz w:val="16"/>
                <w:lang w:val="es-MX"/>
              </w:rPr>
            </w:pPr>
            <w:r w:rsidRPr="00B651E9">
              <w:rPr>
                <w:rFonts w:ascii="ITC Avant Garde" w:hAnsi="ITC Avant Garde"/>
                <w:sz w:val="16"/>
                <w:lang w:val="es-MX"/>
              </w:rPr>
              <w:t>Cobre + FTTH</w:t>
            </w:r>
          </w:p>
        </w:tc>
        <w:tc>
          <w:tcPr>
            <w:tcW w:w="1701" w:type="dxa"/>
            <w:shd w:val="clear" w:color="auto" w:fill="auto"/>
            <w:vAlign w:val="bottom"/>
          </w:tcPr>
          <w:p w14:paraId="43E68422" w14:textId="5F57EAFF" w:rsidR="00AE15AD" w:rsidRPr="004C1A96" w:rsidRDefault="00AE15AD" w:rsidP="00AE15AD">
            <w:pPr>
              <w:keepNext/>
              <w:keepLines/>
              <w:jc w:val="center"/>
              <w:rPr>
                <w:rFonts w:ascii="ITC Avant Garde" w:hAnsi="ITC Avant Garde"/>
                <w:sz w:val="16"/>
                <w:lang w:val="es-MX"/>
              </w:rPr>
            </w:pPr>
            <w:r w:rsidRPr="00B651E9">
              <w:rPr>
                <w:rFonts w:ascii="ITC Avant Garde" w:hAnsi="ITC Avant Garde"/>
                <w:sz w:val="16"/>
                <w:lang w:val="es-MX"/>
              </w:rPr>
              <w:t>38</w:t>
            </w:r>
            <w:r w:rsidR="009F5AFF">
              <w:rPr>
                <w:rFonts w:ascii="ITC Avant Garde" w:hAnsi="ITC Avant Garde"/>
                <w:sz w:val="16"/>
                <w:lang w:val="es-MX"/>
              </w:rPr>
              <w:t>.</w:t>
            </w:r>
            <w:r w:rsidRPr="00B651E9">
              <w:rPr>
                <w:rFonts w:ascii="ITC Avant Garde" w:hAnsi="ITC Avant Garde"/>
                <w:sz w:val="16"/>
                <w:lang w:val="es-MX"/>
              </w:rPr>
              <w:t>4%</w:t>
            </w:r>
          </w:p>
        </w:tc>
      </w:tr>
      <w:tr w:rsidR="00AE15AD" w:rsidRPr="004C1A96" w14:paraId="4081BE1E" w14:textId="77777777" w:rsidTr="00B651E9">
        <w:trPr>
          <w:jc w:val="center"/>
        </w:trPr>
        <w:tc>
          <w:tcPr>
            <w:tcW w:w="1696" w:type="dxa"/>
            <w:shd w:val="clear" w:color="auto" w:fill="auto"/>
          </w:tcPr>
          <w:p w14:paraId="238D378F" w14:textId="00A3C067" w:rsidR="00AE15AD" w:rsidRPr="004C1A96" w:rsidRDefault="00AE15AD" w:rsidP="00AE15AD">
            <w:pPr>
              <w:keepNext/>
              <w:keepLines/>
              <w:jc w:val="left"/>
              <w:rPr>
                <w:rFonts w:ascii="ITC Avant Garde" w:hAnsi="ITC Avant Garde"/>
                <w:sz w:val="16"/>
                <w:lang w:val="es-MX"/>
              </w:rPr>
            </w:pPr>
            <w:r w:rsidRPr="00B651E9">
              <w:rPr>
                <w:rFonts w:ascii="ITC Avant Garde" w:hAnsi="ITC Avant Garde"/>
                <w:sz w:val="16"/>
                <w:lang w:val="es-MX"/>
              </w:rPr>
              <w:t>Cobre + FTTC</w:t>
            </w:r>
          </w:p>
        </w:tc>
        <w:tc>
          <w:tcPr>
            <w:tcW w:w="1701" w:type="dxa"/>
            <w:shd w:val="clear" w:color="auto" w:fill="auto"/>
            <w:vAlign w:val="bottom"/>
          </w:tcPr>
          <w:p w14:paraId="7B993B38" w14:textId="6FBCCB79" w:rsidR="00AE15AD" w:rsidRPr="004C1A96" w:rsidRDefault="00AE15AD" w:rsidP="00AE15AD">
            <w:pPr>
              <w:keepNext/>
              <w:keepLines/>
              <w:jc w:val="center"/>
              <w:rPr>
                <w:rFonts w:ascii="ITC Avant Garde" w:hAnsi="ITC Avant Garde"/>
                <w:sz w:val="16"/>
                <w:lang w:val="es-MX"/>
              </w:rPr>
            </w:pPr>
            <w:r w:rsidRPr="00B651E9">
              <w:rPr>
                <w:rFonts w:ascii="ITC Avant Garde" w:hAnsi="ITC Avant Garde"/>
                <w:sz w:val="16"/>
                <w:lang w:val="es-MX"/>
              </w:rPr>
              <w:t>6</w:t>
            </w:r>
            <w:r w:rsidR="009F5AFF">
              <w:rPr>
                <w:rFonts w:ascii="ITC Avant Garde" w:hAnsi="ITC Avant Garde"/>
                <w:sz w:val="16"/>
                <w:lang w:val="es-MX"/>
              </w:rPr>
              <w:t>.</w:t>
            </w:r>
            <w:r w:rsidRPr="00B651E9">
              <w:rPr>
                <w:rFonts w:ascii="ITC Avant Garde" w:hAnsi="ITC Avant Garde"/>
                <w:sz w:val="16"/>
                <w:lang w:val="es-MX"/>
              </w:rPr>
              <w:t>1%</w:t>
            </w:r>
          </w:p>
        </w:tc>
      </w:tr>
      <w:tr w:rsidR="00AE15AD" w:rsidRPr="004C1A96" w14:paraId="798B0CA9" w14:textId="77777777" w:rsidTr="00B651E9">
        <w:trPr>
          <w:jc w:val="center"/>
        </w:trPr>
        <w:tc>
          <w:tcPr>
            <w:tcW w:w="1696" w:type="dxa"/>
            <w:shd w:val="clear" w:color="auto" w:fill="auto"/>
          </w:tcPr>
          <w:p w14:paraId="33BE94F0" w14:textId="2518DE1A" w:rsidR="00AE15AD" w:rsidRPr="00B651E9" w:rsidRDefault="00AE15AD" w:rsidP="00AE15AD">
            <w:pPr>
              <w:keepNext/>
              <w:keepLines/>
              <w:jc w:val="left"/>
              <w:rPr>
                <w:rFonts w:ascii="ITC Avant Garde" w:hAnsi="ITC Avant Garde"/>
                <w:b/>
                <w:bCs/>
                <w:sz w:val="16"/>
                <w:lang w:val="es-MX"/>
              </w:rPr>
            </w:pPr>
            <w:r w:rsidRPr="00B651E9">
              <w:rPr>
                <w:rFonts w:ascii="ITC Avant Garde" w:hAnsi="ITC Avant Garde"/>
                <w:b/>
                <w:bCs/>
                <w:sz w:val="16"/>
                <w:lang w:val="es-MX"/>
              </w:rPr>
              <w:t>TOTAL</w:t>
            </w:r>
          </w:p>
        </w:tc>
        <w:tc>
          <w:tcPr>
            <w:tcW w:w="1701" w:type="dxa"/>
            <w:shd w:val="clear" w:color="auto" w:fill="auto"/>
            <w:vAlign w:val="bottom"/>
          </w:tcPr>
          <w:p w14:paraId="31648D3C" w14:textId="26CAD0BE" w:rsidR="00AE15AD" w:rsidRPr="00B651E9" w:rsidRDefault="00AE15AD" w:rsidP="00AE15AD">
            <w:pPr>
              <w:keepNext/>
              <w:keepLines/>
              <w:jc w:val="center"/>
              <w:rPr>
                <w:rFonts w:ascii="ITC Avant Garde" w:hAnsi="ITC Avant Garde"/>
                <w:b/>
                <w:bCs/>
                <w:sz w:val="16"/>
                <w:lang w:val="es-MX"/>
              </w:rPr>
            </w:pPr>
            <w:r w:rsidRPr="00B651E9">
              <w:rPr>
                <w:rFonts w:ascii="ITC Avant Garde" w:hAnsi="ITC Avant Garde"/>
                <w:b/>
                <w:bCs/>
                <w:sz w:val="16"/>
                <w:lang w:val="es-MX"/>
              </w:rPr>
              <w:t>100</w:t>
            </w:r>
            <w:r w:rsidR="009F5AFF">
              <w:rPr>
                <w:rFonts w:ascii="ITC Avant Garde" w:hAnsi="ITC Avant Garde"/>
                <w:b/>
                <w:bCs/>
                <w:sz w:val="16"/>
                <w:lang w:val="es-MX"/>
              </w:rPr>
              <w:t>.</w:t>
            </w:r>
            <w:r w:rsidRPr="00B651E9">
              <w:rPr>
                <w:rFonts w:ascii="ITC Avant Garde" w:hAnsi="ITC Avant Garde"/>
                <w:b/>
                <w:bCs/>
                <w:sz w:val="16"/>
                <w:lang w:val="es-MX"/>
              </w:rPr>
              <w:t>0%</w:t>
            </w:r>
          </w:p>
        </w:tc>
      </w:tr>
    </w:tbl>
    <w:p w14:paraId="3F31D499" w14:textId="77777777" w:rsidR="00930618" w:rsidRPr="004C1A96" w:rsidRDefault="00930618" w:rsidP="00930618">
      <w:pPr>
        <w:rPr>
          <w:rFonts w:ascii="ITC Avant Garde" w:hAnsi="ITC Avant Garde"/>
          <w:lang w:val="es-MX"/>
        </w:rPr>
      </w:pPr>
      <w:r w:rsidRPr="004C1A96">
        <w:rPr>
          <w:rFonts w:ascii="ITC Avant Garde" w:hAnsi="ITC Avant Garde"/>
          <w:lang w:val="es-MX"/>
        </w:rPr>
        <w:t xml:space="preserve">A partir de los porcentajes de la tabla anterior se calculan las tasas de compartición para cada una de las tecnologías, según las siguientes fórmulas: </w:t>
      </w:r>
    </w:p>
    <w:p w14:paraId="2666D658" w14:textId="7B2195F6" w:rsidR="00B45DE2" w:rsidRDefault="00E61923" w:rsidP="00B45DE2">
      <w:pPr>
        <w:jc w:val="center"/>
        <w:rPr>
          <w:rFonts w:ascii="Cambria Math" w:hAnsi="Cambria Math" w:cs="Cambria Math"/>
          <w:lang w:val="es-MX"/>
        </w:rPr>
      </w:pPr>
      <m:oMathPara>
        <m:oMath>
          <m:sSub>
            <m:sSubPr>
              <m:ctrlPr>
                <w:rPr>
                  <w:rFonts w:ascii="Cambria Math" w:hAnsi="Cambria Math" w:cs="Cambria Math"/>
                  <w:i/>
                </w:rPr>
              </m:ctrlPr>
            </m:sSubPr>
            <m:e>
              <m:r>
                <w:rPr>
                  <w:rFonts w:ascii="Cambria Math" w:hAnsi="Cambria Math" w:cs="Cambria Math"/>
                  <w:lang w:val="es-MX"/>
                </w:rPr>
                <m:t>% Compartición</m:t>
              </m:r>
            </m:e>
            <m:sub>
              <m:r>
                <w:rPr>
                  <w:rFonts w:ascii="Cambria Math" w:hAnsi="Cambria Math" w:cs="Cambria Math"/>
                  <w:lang w:val="es-MX"/>
                </w:rPr>
                <m:t>cobre</m:t>
              </m:r>
            </m:sub>
          </m:sSub>
          <m:r>
            <m:rPr>
              <m:sty m:val="p"/>
            </m:rPr>
            <w:rPr>
              <w:rFonts w:ascii="Cambria Math" w:hAnsi="Cambria Math" w:cs="Cambria Math"/>
              <w:lang w:val="es-MX"/>
            </w:rPr>
            <m:t>=</m:t>
          </m:r>
          <m:f>
            <m:fPr>
              <m:ctrlPr>
                <w:rPr>
                  <w:rFonts w:ascii="Cambria Math" w:hAnsi="Cambria Math" w:cs="Cambria Math"/>
                </w:rPr>
              </m:ctrlPr>
            </m:fPr>
            <m:num>
              <m:r>
                <m:rPr>
                  <m:sty m:val="p"/>
                </m:rPr>
                <w:rPr>
                  <w:rFonts w:ascii="Cambria Math" w:hAnsi="Cambria Math" w:cs="Cambria Math"/>
                  <w:lang w:val="es-MX"/>
                </w:rPr>
                <m:t>50%× 38.4%</m:t>
              </m:r>
            </m:num>
            <m:den>
              <m:r>
                <m:rPr>
                  <m:sty m:val="p"/>
                </m:rPr>
                <w:rPr>
                  <w:rFonts w:ascii="Cambria Math" w:hAnsi="Cambria Math" w:cs="Cambria Math"/>
                  <w:lang w:val="es-MX"/>
                </w:rPr>
                <m:t>48.0%+ 38.4%</m:t>
              </m:r>
            </m:den>
          </m:f>
          <m:r>
            <m:rPr>
              <m:sty m:val="p"/>
            </m:rPr>
            <w:rPr>
              <w:rFonts w:ascii="Cambria Math" w:hAnsi="Cambria Math" w:cs="Cambria Math"/>
              <w:lang w:val="es-MX"/>
            </w:rPr>
            <m:t>=22.2%</m:t>
          </m:r>
        </m:oMath>
      </m:oMathPara>
    </w:p>
    <w:p w14:paraId="5239AF4E" w14:textId="1768D5AF" w:rsidR="00B45DE2" w:rsidRDefault="00E61923" w:rsidP="00B45DE2">
      <w:pPr>
        <w:jc w:val="center"/>
        <w:rPr>
          <w:rFonts w:ascii="Cambria Math" w:hAnsi="Cambria Math" w:cs="Cambria Math"/>
          <w:lang w:val="es-MX"/>
        </w:rPr>
      </w:pPr>
      <m:oMathPara>
        <m:oMath>
          <m:sSub>
            <m:sSubPr>
              <m:ctrlPr>
                <w:rPr>
                  <w:rFonts w:ascii="Cambria Math" w:hAnsi="Cambria Math" w:cs="Cambria Math"/>
                  <w:i/>
                </w:rPr>
              </m:ctrlPr>
            </m:sSubPr>
            <m:e>
              <m:r>
                <w:rPr>
                  <w:rFonts w:ascii="Cambria Math" w:hAnsi="Cambria Math" w:cs="Cambria Math"/>
                  <w:lang w:val="es-MX"/>
                </w:rPr>
                <m:t>% Compartición</m:t>
              </m:r>
            </m:e>
            <m:sub>
              <m:r>
                <w:rPr>
                  <w:rFonts w:ascii="Cambria Math" w:hAnsi="Cambria Math" w:cs="Cambria Math"/>
                  <w:lang w:val="es-MX"/>
                </w:rPr>
                <m:t>FTTH</m:t>
              </m:r>
            </m:sub>
          </m:sSub>
          <m:r>
            <m:rPr>
              <m:sty m:val="p"/>
            </m:rPr>
            <w:rPr>
              <w:rFonts w:ascii="Cambria Math" w:hAnsi="Cambria Math" w:cs="Cambria Math"/>
              <w:lang w:val="es-MX"/>
            </w:rPr>
            <m:t>=</m:t>
          </m:r>
          <m:f>
            <m:fPr>
              <m:ctrlPr>
                <w:rPr>
                  <w:rFonts w:ascii="Cambria Math" w:hAnsi="Cambria Math" w:cs="Cambria Math"/>
                </w:rPr>
              </m:ctrlPr>
            </m:fPr>
            <m:num>
              <m:r>
                <m:rPr>
                  <m:sty m:val="p"/>
                </m:rPr>
                <w:rPr>
                  <w:rFonts w:ascii="Cambria Math" w:hAnsi="Cambria Math" w:cs="Cambria Math"/>
                  <w:lang w:val="es-MX"/>
                </w:rPr>
                <m:t xml:space="preserve">50%× 38.4%+ 50%× 6.1% </m:t>
              </m:r>
            </m:num>
            <m:den>
              <m:r>
                <m:rPr>
                  <m:sty m:val="p"/>
                </m:rPr>
                <w:rPr>
                  <w:rFonts w:ascii="Cambria Math" w:hAnsi="Cambria Math" w:cs="Cambria Math"/>
                  <w:lang w:val="es-MX"/>
                </w:rPr>
                <m:t>0.1%+ 38.4%+ 6.1%</m:t>
              </m:r>
            </m:den>
          </m:f>
          <m:r>
            <m:rPr>
              <m:sty m:val="p"/>
            </m:rPr>
            <w:rPr>
              <w:rFonts w:ascii="Cambria Math" w:hAnsi="Cambria Math" w:cs="Cambria Math"/>
              <w:lang w:val="es-MX"/>
            </w:rPr>
            <m:t>= 49.9%</m:t>
          </m:r>
        </m:oMath>
      </m:oMathPara>
    </w:p>
    <w:p w14:paraId="0A072C2A" w14:textId="0A92D151" w:rsidR="00B45DE2" w:rsidRDefault="00E61923" w:rsidP="00B45DE2">
      <w:pPr>
        <w:jc w:val="center"/>
        <w:rPr>
          <w:lang w:val="es-MX"/>
        </w:rPr>
      </w:pPr>
      <m:oMathPara>
        <m:oMath>
          <m:sSub>
            <m:sSubPr>
              <m:ctrlPr>
                <w:rPr>
                  <w:rFonts w:ascii="Cambria Math" w:hAnsi="Cambria Math" w:cs="Cambria Math"/>
                  <w:i/>
                </w:rPr>
              </m:ctrlPr>
            </m:sSubPr>
            <m:e>
              <m:r>
                <w:rPr>
                  <w:rFonts w:ascii="Cambria Math" w:hAnsi="Cambria Math" w:cs="Cambria Math"/>
                  <w:lang w:val="es-MX"/>
                </w:rPr>
                <m:t>% Compartición</m:t>
              </m:r>
            </m:e>
            <m:sub>
              <m:r>
                <w:rPr>
                  <w:rFonts w:ascii="Cambria Math" w:hAnsi="Cambria Math" w:cs="Cambria Math"/>
                  <w:lang w:val="es-MX"/>
                </w:rPr>
                <m:t>FTTC</m:t>
              </m:r>
            </m:sub>
          </m:sSub>
          <m:r>
            <m:rPr>
              <m:sty m:val="p"/>
            </m:rPr>
            <w:rPr>
              <w:rFonts w:ascii="Cambria Math" w:hAnsi="Cambria Math" w:cs="Cambria Math"/>
              <w:lang w:val="es-MX"/>
            </w:rPr>
            <m:t>=</m:t>
          </m:r>
          <m:f>
            <m:fPr>
              <m:ctrlPr>
                <w:rPr>
                  <w:rFonts w:ascii="Cambria Math" w:hAnsi="Cambria Math" w:cs="Cambria Math"/>
                </w:rPr>
              </m:ctrlPr>
            </m:fPr>
            <m:num>
              <m:r>
                <m:rPr>
                  <m:sty m:val="p"/>
                </m:rPr>
                <w:rPr>
                  <w:rFonts w:ascii="Cambria Math" w:hAnsi="Cambria Math" w:cs="Cambria Math"/>
                  <w:lang w:val="es-MX"/>
                </w:rPr>
                <m:t>50%× 6.1%</m:t>
              </m:r>
            </m:num>
            <m:den>
              <m:r>
                <m:rPr>
                  <m:sty m:val="p"/>
                </m:rPr>
                <w:rPr>
                  <w:rFonts w:ascii="Cambria Math" w:hAnsi="Cambria Math" w:cs="Cambria Math"/>
                  <w:lang w:val="es-MX"/>
                </w:rPr>
                <m:t>7.4%+ 6.1%</m:t>
              </m:r>
            </m:den>
          </m:f>
          <m:r>
            <m:rPr>
              <m:sty m:val="p"/>
            </m:rPr>
            <w:rPr>
              <w:rFonts w:ascii="Cambria Math" w:hAnsi="Cambria Math" w:cs="Cambria Math"/>
              <w:lang w:val="es-MX"/>
            </w:rPr>
            <m:t>=22.6%</m:t>
          </m:r>
        </m:oMath>
      </m:oMathPara>
    </w:p>
    <w:p w14:paraId="378E854C" w14:textId="4AB034E8" w:rsidR="00930618" w:rsidRPr="004C1A96" w:rsidRDefault="00930618" w:rsidP="00930618">
      <w:pPr>
        <w:rPr>
          <w:rFonts w:ascii="ITC Avant Garde" w:hAnsi="ITC Avant Garde"/>
          <w:lang w:val="es-MX"/>
        </w:rPr>
      </w:pPr>
      <w:r w:rsidRPr="004C1A96">
        <w:rPr>
          <w:rFonts w:ascii="ITC Avant Garde" w:hAnsi="ITC Avant Garde"/>
          <w:lang w:val="es-MX"/>
        </w:rPr>
        <w:t xml:space="preserve">De esta forma, los porcentajes anteriores son empleados por el </w:t>
      </w:r>
      <w:r w:rsidR="00E35BFC" w:rsidRPr="004C1A96">
        <w:rPr>
          <w:rFonts w:ascii="ITC Avant Garde" w:hAnsi="ITC Avant Garde"/>
          <w:lang w:val="es-MX"/>
        </w:rPr>
        <w:t>m</w:t>
      </w:r>
      <w:r w:rsidRPr="00E14D8A">
        <w:rPr>
          <w:rFonts w:ascii="ITC Avant Garde" w:hAnsi="ITC Avant Garde"/>
          <w:lang w:val="es-MX"/>
        </w:rPr>
        <w:t>odelo en el cálculo del inventario de activos de infraestructura civil (canalizaciones, postes y ductos) necesarios en la red, evitando una doble-contabilización de activos de infraestructura civil en aquellos casos en los que coexisten dos tecnologías en una misma zona</w:t>
      </w:r>
      <w:r w:rsidR="00E35BFC" w:rsidRPr="00E14D8A">
        <w:rPr>
          <w:rFonts w:ascii="ITC Avant Garde" w:hAnsi="ITC Avant Garde"/>
          <w:lang w:val="es-MX"/>
        </w:rPr>
        <w:t>.</w:t>
      </w:r>
    </w:p>
    <w:p w14:paraId="640FB181" w14:textId="177C2B67" w:rsidR="00E35BFC" w:rsidRPr="004C1A96" w:rsidRDefault="00E35BFC" w:rsidP="00930618">
      <w:pPr>
        <w:rPr>
          <w:rFonts w:ascii="ITC Avant Garde" w:hAnsi="ITC Avant Garde"/>
          <w:lang w:val="es-MX"/>
        </w:rPr>
      </w:pPr>
      <w:r w:rsidRPr="004C1A96">
        <w:rPr>
          <w:rFonts w:ascii="ITC Avant Garde" w:hAnsi="ITC Avant Garde"/>
          <w:lang w:val="es-MX"/>
        </w:rPr>
        <w:t>De manera adicional a lo anterior, el modelo también considera, a partir de la información recibida por el AEP:</w:t>
      </w:r>
    </w:p>
    <w:p w14:paraId="5D0C202F" w14:textId="537EF1D5" w:rsidR="00E35BFC" w:rsidRPr="004C1A96" w:rsidRDefault="00E35BFC" w:rsidP="00E35BFC">
      <w:pPr>
        <w:pStyle w:val="Prrafodelista"/>
        <w:numPr>
          <w:ilvl w:val="0"/>
          <w:numId w:val="36"/>
        </w:numPr>
        <w:rPr>
          <w:rFonts w:ascii="ITC Avant Garde" w:hAnsi="ITC Avant Garde"/>
          <w:lang w:val="es-MX"/>
        </w:rPr>
      </w:pPr>
      <w:r w:rsidRPr="004C1A96">
        <w:rPr>
          <w:rFonts w:ascii="ITC Avant Garde" w:hAnsi="ITC Avant Garde"/>
          <w:lang w:val="es-MX"/>
        </w:rPr>
        <w:t xml:space="preserve">Un nivel de compartición entre la red de acceso y la de transporte/core, por valor de </w:t>
      </w:r>
      <w:r w:rsidR="00CD0F5B" w:rsidRPr="004C1A96">
        <w:rPr>
          <w:rFonts w:ascii="ITC Avant Garde" w:hAnsi="ITC Avant Garde"/>
          <w:lang w:val="es-MX"/>
        </w:rPr>
        <w:t>13%</w:t>
      </w:r>
      <w:r w:rsidRPr="004C1A96">
        <w:rPr>
          <w:rFonts w:ascii="ITC Avant Garde" w:hAnsi="ITC Avant Garde"/>
          <w:lang w:val="es-MX"/>
        </w:rPr>
        <w:t xml:space="preserve">. </w:t>
      </w:r>
    </w:p>
    <w:p w14:paraId="59AC620C" w14:textId="374849A8" w:rsidR="00E35BFC" w:rsidRPr="00B651E9" w:rsidRDefault="00E35BFC" w:rsidP="00B651E9">
      <w:pPr>
        <w:pStyle w:val="Prrafodelista"/>
        <w:numPr>
          <w:ilvl w:val="0"/>
          <w:numId w:val="36"/>
        </w:numPr>
        <w:rPr>
          <w:rFonts w:ascii="ITC Avant Garde" w:hAnsi="ITC Avant Garde"/>
          <w:lang w:val="es-MX"/>
        </w:rPr>
      </w:pPr>
      <w:r w:rsidRPr="004C1A96">
        <w:rPr>
          <w:rFonts w:ascii="ITC Avant Garde" w:hAnsi="ITC Avant Garde"/>
          <w:lang w:val="es-MX"/>
        </w:rPr>
        <w:t xml:space="preserve">Un nivel de compartición entre la red de acceso y otros servicios de utilidades, por valor de </w:t>
      </w:r>
      <w:r w:rsidR="00CD0F5B" w:rsidRPr="004C1A96">
        <w:rPr>
          <w:rFonts w:ascii="ITC Avant Garde" w:hAnsi="ITC Avant Garde"/>
          <w:lang w:val="es-MX"/>
        </w:rPr>
        <w:t>12.5%</w:t>
      </w:r>
      <w:r w:rsidRPr="004C1A96">
        <w:rPr>
          <w:rFonts w:ascii="ITC Avant Garde" w:hAnsi="ITC Avant Garde"/>
          <w:lang w:val="es-MX"/>
        </w:rPr>
        <w:t>.</w:t>
      </w:r>
    </w:p>
    <w:p w14:paraId="52ECFA03" w14:textId="77777777" w:rsidR="00A66A23" w:rsidRPr="008F42FC" w:rsidRDefault="00A66A23" w:rsidP="003C224B">
      <w:pPr>
        <w:pStyle w:val="Ttulo4"/>
        <w:rPr>
          <w:lang w:val="es-MX"/>
        </w:rPr>
      </w:pPr>
      <w:bookmarkStart w:id="362" w:name="_Toc141962213"/>
      <w:bookmarkStart w:id="363" w:name="_Toc525672897"/>
      <w:bookmarkStart w:id="364" w:name="_Toc525665336"/>
      <w:bookmarkStart w:id="365" w:name="_Toc525665715"/>
      <w:bookmarkStart w:id="366" w:name="_Toc141975074"/>
      <w:bookmarkEnd w:id="362"/>
      <w:r w:rsidRPr="008F42FC">
        <w:rPr>
          <w:lang w:val="es-MX"/>
        </w:rPr>
        <w:t>Reutilización de activos</w:t>
      </w:r>
      <w:bookmarkEnd w:id="363"/>
      <w:bookmarkEnd w:id="364"/>
      <w:bookmarkEnd w:id="365"/>
      <w:bookmarkEnd w:id="366"/>
    </w:p>
    <w:p w14:paraId="6840255F" w14:textId="407E2200" w:rsidR="00A66A23" w:rsidRPr="004C1A96" w:rsidRDefault="00A66A23" w:rsidP="00A66A23">
      <w:pPr>
        <w:rPr>
          <w:rFonts w:ascii="ITC Avant Garde" w:hAnsi="ITC Avant Garde"/>
          <w:lang w:val="es-MX"/>
        </w:rPr>
      </w:pPr>
      <w:r w:rsidRPr="004C1A96">
        <w:rPr>
          <w:rFonts w:ascii="ITC Avant Garde" w:hAnsi="ITC Avant Garde"/>
          <w:lang w:val="es-MX"/>
        </w:rPr>
        <w:t>Como descrito en la sección 2, los RCEA son aquellos activos heredados de ingeniería civil que ya están en vigencia (por ejemplo, se usan para la red de cobre) y que pueden reutilizarse para acomodar una red NGA. Esto se refiere solo a los activos de ingeniería civil (zanjas, conductos, postes, pozos de registro)</w:t>
      </w:r>
      <w:r w:rsidR="00274441" w:rsidRPr="00E14D8A">
        <w:rPr>
          <w:rFonts w:ascii="ITC Avant Garde" w:hAnsi="ITC Avant Garde"/>
          <w:lang w:val="es-MX"/>
        </w:rPr>
        <w:t>.</w:t>
      </w:r>
    </w:p>
    <w:p w14:paraId="7FE69702" w14:textId="40F4BE57" w:rsidR="00A66A23" w:rsidRPr="004C1A96" w:rsidRDefault="00A66A23" w:rsidP="00A66A23">
      <w:pPr>
        <w:rPr>
          <w:rFonts w:ascii="ITC Avant Garde" w:hAnsi="ITC Avant Garde"/>
          <w:lang w:val="es-MX"/>
        </w:rPr>
      </w:pPr>
      <w:r w:rsidRPr="004C1A96">
        <w:rPr>
          <w:rFonts w:ascii="ITC Avant Garde" w:hAnsi="ITC Avant Garde"/>
          <w:lang w:val="es-MX"/>
        </w:rPr>
        <w:t xml:space="preserve">De forma consistente con la sección 2, la reutilización de los activos de ingeniería civil se ha tenido en cuenta en el modelo considerando </w:t>
      </w:r>
      <w:r w:rsidR="00CD0F5B" w:rsidRPr="004C1A96">
        <w:rPr>
          <w:rFonts w:ascii="ITC Avant Garde" w:hAnsi="ITC Avant Garde"/>
          <w:lang w:val="es-MX"/>
        </w:rPr>
        <w:t>un 99</w:t>
      </w:r>
      <w:r w:rsidRPr="004C1A96">
        <w:rPr>
          <w:rFonts w:ascii="ITC Avant Garde" w:hAnsi="ITC Avant Garde"/>
          <w:lang w:val="es-MX"/>
        </w:rPr>
        <w:t xml:space="preserve">% de reutilización aplicada </w:t>
      </w:r>
      <w:r w:rsidR="00CD0F5B" w:rsidRPr="004C1A96">
        <w:rPr>
          <w:rFonts w:ascii="ITC Avant Garde" w:hAnsi="ITC Avant Garde"/>
          <w:lang w:val="es-MX"/>
        </w:rPr>
        <w:t xml:space="preserve">a los </w:t>
      </w:r>
      <w:r w:rsidRPr="004C1A96">
        <w:rPr>
          <w:rFonts w:ascii="ITC Avant Garde" w:hAnsi="ITC Avant Garde"/>
          <w:lang w:val="es-MX"/>
        </w:rPr>
        <w:t>pozos y canalizaciones</w:t>
      </w:r>
      <w:r w:rsidR="00CD0F5B" w:rsidRPr="004C1A96">
        <w:rPr>
          <w:rFonts w:ascii="ITC Avant Garde" w:hAnsi="ITC Avant Garde"/>
          <w:lang w:val="es-MX"/>
        </w:rPr>
        <w:t>, y de 94% para los postes.</w:t>
      </w:r>
    </w:p>
    <w:p w14:paraId="3964B7C3" w14:textId="77777777" w:rsidR="00A66A23" w:rsidRPr="003C224B" w:rsidRDefault="00A66A23" w:rsidP="0040723E">
      <w:pPr>
        <w:pStyle w:val="Ttulo3"/>
      </w:pPr>
      <w:bookmarkStart w:id="367" w:name="_Toc525672898"/>
      <w:bookmarkStart w:id="368" w:name="_Toc525665337"/>
      <w:bookmarkStart w:id="369" w:name="_Toc525665716"/>
      <w:bookmarkStart w:id="370" w:name="_Toc141975075"/>
      <w:r w:rsidRPr="003C224B">
        <w:lastRenderedPageBreak/>
        <w:t>Costos comunes</w:t>
      </w:r>
      <w:bookmarkEnd w:id="367"/>
      <w:bookmarkEnd w:id="368"/>
      <w:bookmarkEnd w:id="369"/>
      <w:bookmarkEnd w:id="370"/>
    </w:p>
    <w:p w14:paraId="69061A5F" w14:textId="4A395A0B" w:rsidR="00AD74A7" w:rsidRPr="00E14D8A" w:rsidRDefault="00A66A23" w:rsidP="00AD74A7">
      <w:pPr>
        <w:rPr>
          <w:rFonts w:ascii="ITC Avant Garde" w:hAnsi="ITC Avant Garde"/>
          <w:lang w:val="es-MX"/>
        </w:rPr>
      </w:pPr>
      <w:r w:rsidRPr="004C1A96">
        <w:rPr>
          <w:rFonts w:ascii="ITC Avant Garde" w:hAnsi="ITC Avant Garde"/>
          <w:lang w:val="es-MX"/>
        </w:rPr>
        <w:t>Además de los costos de red directos, un operador enfrenta costos indirectos de red y costos comunes que no son de red. Estos costos son potencialmente materiales y deben recuperarse. De acuerdo con la metodología tradicionalmente utilizada por las ANR para asignar estos costos, se ha implementado el enfoque EPMU.</w:t>
      </w:r>
      <w:r w:rsidR="00AD74A7" w:rsidRPr="00E14D8A">
        <w:rPr>
          <w:rFonts w:ascii="ITC Avant Garde" w:hAnsi="ITC Avant Garde"/>
          <w:lang w:val="es-MX"/>
        </w:rPr>
        <w:t xml:space="preserve"> Estos costos se reflejan en la hoja “Dashboard” del Modelo mediante un mark-up definido en forma de porcentaje.</w:t>
      </w:r>
    </w:p>
    <w:p w14:paraId="1CB5E138" w14:textId="77777777" w:rsidR="00A66A23" w:rsidRPr="003C224B" w:rsidRDefault="00A66A23" w:rsidP="0040723E">
      <w:pPr>
        <w:pStyle w:val="Ttulo3"/>
      </w:pPr>
      <w:bookmarkStart w:id="371" w:name="_Toc525672899"/>
      <w:bookmarkStart w:id="372" w:name="_Toc525665338"/>
      <w:bookmarkStart w:id="373" w:name="_Toc525665717"/>
      <w:bookmarkStart w:id="374" w:name="_Toc141975076"/>
      <w:r w:rsidRPr="003C224B">
        <w:t>Salidas</w:t>
      </w:r>
      <w:bookmarkEnd w:id="371"/>
      <w:bookmarkEnd w:id="372"/>
      <w:bookmarkEnd w:id="373"/>
      <w:bookmarkEnd w:id="374"/>
    </w:p>
    <w:p w14:paraId="088DF318" w14:textId="77777777" w:rsidR="00A66A23" w:rsidRPr="00E14D8A" w:rsidRDefault="00A66A23" w:rsidP="00A66A23">
      <w:pPr>
        <w:rPr>
          <w:rFonts w:ascii="ITC Avant Garde" w:hAnsi="ITC Avant Garde"/>
          <w:lang w:val="es-MX"/>
        </w:rPr>
      </w:pPr>
      <w:r w:rsidRPr="004C1A96">
        <w:rPr>
          <w:rFonts w:ascii="ITC Avant Garde" w:hAnsi="ITC Avant Garde"/>
          <w:lang w:val="es-MX"/>
        </w:rPr>
        <w:t>En el modelo de costos</w:t>
      </w:r>
      <w:r w:rsidRPr="00E14D8A">
        <w:rPr>
          <w:rFonts w:ascii="ITC Avant Garde" w:hAnsi="ITC Avant Garde"/>
          <w:lang w:val="es-MX"/>
        </w:rPr>
        <w:t xml:space="preserve"> de la red de acceso, el costo por línea de acceso se evalúa dividiendo el costo anual de la red por el número de líneas activas.</w:t>
      </w:r>
    </w:p>
    <w:p w14:paraId="2D1CCB96" w14:textId="40A072D2" w:rsidR="00A66A23" w:rsidRPr="004C1A96" w:rsidRDefault="00A66A23" w:rsidP="00A66A23">
      <w:pPr>
        <w:rPr>
          <w:rFonts w:ascii="ITC Avant Garde" w:hAnsi="ITC Avant Garde"/>
          <w:lang w:val="es-MX"/>
        </w:rPr>
      </w:pPr>
      <w:r w:rsidRPr="00E14D8A">
        <w:rPr>
          <w:rFonts w:ascii="ITC Avant Garde" w:hAnsi="ITC Avant Garde"/>
          <w:lang w:val="es-MX"/>
        </w:rPr>
        <w:t>El costo del alquiler del espacio MDF/ODF, la reparación de fallas, así como un recargo por los costos comunes se aplica para d</w:t>
      </w:r>
      <w:r w:rsidRPr="004C1A96">
        <w:rPr>
          <w:rFonts w:ascii="ITC Avant Garde" w:hAnsi="ITC Avant Garde"/>
          <w:lang w:val="es-MX"/>
        </w:rPr>
        <w:t>eterminar el costo total de los productos de acceso.</w:t>
      </w:r>
    </w:p>
    <w:p w14:paraId="44BB059F" w14:textId="77777777" w:rsidR="00A66A23" w:rsidRPr="004C1A96" w:rsidRDefault="00A66A23" w:rsidP="00A66A23">
      <w:pPr>
        <w:rPr>
          <w:rFonts w:ascii="ITC Avant Garde" w:hAnsi="ITC Avant Garde"/>
          <w:lang w:val="es-MX"/>
        </w:rPr>
      </w:pPr>
    </w:p>
    <w:p w14:paraId="55D36D37" w14:textId="77777777" w:rsidR="00A66A23" w:rsidRPr="004C1A96" w:rsidRDefault="00A66A23" w:rsidP="00A66A23">
      <w:pPr>
        <w:spacing w:before="0" w:line="240" w:lineRule="auto"/>
        <w:jc w:val="left"/>
        <w:rPr>
          <w:rFonts w:ascii="ITC Avant Garde" w:hAnsi="ITC Avant Garde"/>
          <w:b/>
          <w:color w:val="808080"/>
          <w:sz w:val="28"/>
          <w:lang w:val="es-MX"/>
        </w:rPr>
      </w:pPr>
      <w:bookmarkStart w:id="375" w:name="_Toc525672909"/>
      <w:r w:rsidRPr="004C1A96">
        <w:rPr>
          <w:rFonts w:ascii="ITC Avant Garde" w:hAnsi="ITC Avant Garde"/>
          <w:lang w:val="es-MX"/>
        </w:rPr>
        <w:br w:type="page"/>
      </w:r>
    </w:p>
    <w:p w14:paraId="2B11C99F" w14:textId="77777777" w:rsidR="00A66A23" w:rsidRPr="008210FD" w:rsidRDefault="00A66A23" w:rsidP="005E134D">
      <w:pPr>
        <w:pStyle w:val="Ttulo1"/>
      </w:pPr>
      <w:bookmarkStart w:id="376" w:name="_Toc525665343"/>
      <w:bookmarkStart w:id="377" w:name="_Toc525665722"/>
      <w:bookmarkStart w:id="378" w:name="_Toc141975077"/>
      <w:r w:rsidRPr="008210FD">
        <w:lastRenderedPageBreak/>
        <w:t>Anexos</w:t>
      </w:r>
      <w:bookmarkEnd w:id="375"/>
      <w:bookmarkEnd w:id="376"/>
      <w:bookmarkEnd w:id="377"/>
      <w:bookmarkEnd w:id="378"/>
    </w:p>
    <w:p w14:paraId="6470AF27" w14:textId="77777777" w:rsidR="00A66A23" w:rsidRPr="008210FD" w:rsidRDefault="00A66A23" w:rsidP="00F17242">
      <w:pPr>
        <w:pStyle w:val="Ttulo2"/>
      </w:pPr>
      <w:bookmarkStart w:id="379" w:name="_Toc525665344"/>
      <w:bookmarkStart w:id="380" w:name="_Toc525665723"/>
      <w:bookmarkStart w:id="381" w:name="_Toc141975078"/>
      <w:r w:rsidRPr="008210FD">
        <w:t>Lista de parámetros técnicos considerados por el dimensionamiento</w:t>
      </w:r>
      <w:bookmarkEnd w:id="379"/>
      <w:bookmarkEnd w:id="380"/>
      <w:bookmarkEnd w:id="381"/>
    </w:p>
    <w:p w14:paraId="51FC5591" w14:textId="77777777" w:rsidR="00A66A23" w:rsidRPr="004C1A96" w:rsidRDefault="00A66A23" w:rsidP="00A66A23">
      <w:pPr>
        <w:framePr w:hSpace="141" w:wrap="around" w:vAnchor="text" w:hAnchor="text" w:xAlign="center" w:y="1"/>
        <w:suppressOverlap/>
        <w:rPr>
          <w:rFonts w:ascii="ITC Avant Garde" w:hAnsi="ITC Avant Garde"/>
          <w:lang w:val="es-MX"/>
        </w:rPr>
      </w:pPr>
      <w:r w:rsidRPr="004C1A96">
        <w:rPr>
          <w:rFonts w:ascii="ITC Avant Garde" w:hAnsi="ITC Avant Garde"/>
          <w:lang w:val="es-MX"/>
        </w:rPr>
        <w:t>Los parámetros incrustados en la tabla "Parámetros" de la base de datos del modelo SQL son los siguientes:</w:t>
      </w:r>
    </w:p>
    <w:p w14:paraId="586B72D1" w14:textId="77777777" w:rsidR="00A66A23" w:rsidRPr="004C1A96" w:rsidRDefault="00A66A23" w:rsidP="00A66A23">
      <w:pPr>
        <w:framePr w:hSpace="141" w:wrap="around" w:vAnchor="text" w:hAnchor="text" w:xAlign="center" w:y="1"/>
        <w:suppressOverlap/>
        <w:rPr>
          <w:rFonts w:ascii="ITC Avant Garde" w:hAnsi="ITC Avant Garde"/>
          <w:lang w:val="es-MX"/>
        </w:rPr>
      </w:pPr>
    </w:p>
    <w:tbl>
      <w:tblPr>
        <w:tblpPr w:leftFromText="141" w:rightFromText="141"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4"/>
        <w:gridCol w:w="2967"/>
        <w:gridCol w:w="3323"/>
      </w:tblGrid>
      <w:tr w:rsidR="00A66A23" w:rsidRPr="004C1A96" w14:paraId="7039122D" w14:textId="77777777" w:rsidTr="00064199">
        <w:trPr>
          <w:tblHeader/>
        </w:trPr>
        <w:tc>
          <w:tcPr>
            <w:tcW w:w="2203" w:type="dxa"/>
            <w:shd w:val="clear" w:color="auto" w:fill="2F5897" w:themeFill="text2"/>
            <w:vAlign w:val="bottom"/>
          </w:tcPr>
          <w:p w14:paraId="2D209F48" w14:textId="77777777" w:rsidR="00A66A23" w:rsidRPr="00E14D8A" w:rsidRDefault="00A66A23" w:rsidP="00064199">
            <w:pPr>
              <w:jc w:val="center"/>
              <w:rPr>
                <w:rFonts w:ascii="ITC Avant Garde" w:hAnsi="ITC Avant Garde" w:cs="Arial"/>
                <w:b/>
                <w:color w:val="FFFFFF"/>
                <w:sz w:val="16"/>
                <w:szCs w:val="16"/>
                <w:lang w:val="es-MX"/>
              </w:rPr>
            </w:pPr>
            <w:r w:rsidRPr="00E14D8A">
              <w:rPr>
                <w:rFonts w:ascii="ITC Avant Garde" w:hAnsi="ITC Avant Garde" w:cs="Arial"/>
                <w:b/>
                <w:color w:val="FFFFFF"/>
                <w:sz w:val="16"/>
                <w:szCs w:val="16"/>
                <w:lang w:val="es-MX"/>
              </w:rPr>
              <w:t>Nombre del parámetro</w:t>
            </w:r>
          </w:p>
        </w:tc>
        <w:tc>
          <w:tcPr>
            <w:tcW w:w="2967" w:type="dxa"/>
            <w:shd w:val="clear" w:color="auto" w:fill="2F5897" w:themeFill="text2"/>
            <w:vAlign w:val="bottom"/>
          </w:tcPr>
          <w:p w14:paraId="578B6173" w14:textId="77777777" w:rsidR="00A66A23" w:rsidRPr="00E14D8A" w:rsidRDefault="00A66A23" w:rsidP="00064199">
            <w:pPr>
              <w:jc w:val="center"/>
              <w:rPr>
                <w:rFonts w:ascii="ITC Avant Garde" w:hAnsi="ITC Avant Garde" w:cs="Arial"/>
                <w:b/>
                <w:color w:val="FFFFFF"/>
                <w:sz w:val="16"/>
                <w:szCs w:val="16"/>
                <w:lang w:val="es-MX"/>
              </w:rPr>
            </w:pPr>
            <w:r w:rsidRPr="00E14D8A">
              <w:rPr>
                <w:rFonts w:ascii="ITC Avant Garde" w:hAnsi="ITC Avant Garde" w:cs="Arial"/>
                <w:b/>
                <w:color w:val="FFFFFF"/>
                <w:sz w:val="16"/>
                <w:szCs w:val="16"/>
                <w:lang w:val="es-MX"/>
              </w:rPr>
              <w:t>Descripción</w:t>
            </w:r>
          </w:p>
        </w:tc>
        <w:tc>
          <w:tcPr>
            <w:tcW w:w="3323" w:type="dxa"/>
            <w:shd w:val="clear" w:color="auto" w:fill="2F5897" w:themeFill="text2"/>
          </w:tcPr>
          <w:p w14:paraId="19265FE2" w14:textId="77777777" w:rsidR="00A66A23" w:rsidRPr="004C1A96" w:rsidRDefault="00A66A23" w:rsidP="00064199">
            <w:pPr>
              <w:jc w:val="center"/>
              <w:rPr>
                <w:rFonts w:ascii="ITC Avant Garde" w:hAnsi="ITC Avant Garde" w:cs="Arial"/>
                <w:b/>
                <w:color w:val="FFFFFF"/>
                <w:sz w:val="16"/>
                <w:szCs w:val="16"/>
                <w:lang w:val="es-MX"/>
              </w:rPr>
            </w:pPr>
            <w:r w:rsidRPr="004C1A96">
              <w:rPr>
                <w:rFonts w:ascii="ITC Avant Garde" w:hAnsi="ITC Avant Garde" w:cs="Arial"/>
                <w:b/>
                <w:color w:val="FFFFFF"/>
                <w:sz w:val="16"/>
                <w:szCs w:val="16"/>
                <w:lang w:val="es-MX"/>
              </w:rPr>
              <w:t>Valores considerados</w:t>
            </w:r>
          </w:p>
        </w:tc>
      </w:tr>
      <w:tr w:rsidR="00A66A23" w:rsidRPr="009F5AFF" w14:paraId="7B278F7F" w14:textId="77777777" w:rsidTr="00064199">
        <w:tc>
          <w:tcPr>
            <w:tcW w:w="2203" w:type="dxa"/>
            <w:shd w:val="clear" w:color="auto" w:fill="auto"/>
            <w:vAlign w:val="center"/>
          </w:tcPr>
          <w:p w14:paraId="587B4793" w14:textId="77777777" w:rsidR="00A66A23" w:rsidRPr="00B651E9" w:rsidRDefault="00A66A23" w:rsidP="00064199">
            <w:pPr>
              <w:rPr>
                <w:rFonts w:ascii="ITC Avant Garde" w:hAnsi="ITC Avant Garde" w:cs="Arial"/>
                <w:sz w:val="16"/>
                <w:szCs w:val="16"/>
              </w:rPr>
            </w:pPr>
            <w:r w:rsidRPr="00B651E9">
              <w:rPr>
                <w:rFonts w:ascii="ITC Avant Garde" w:hAnsi="ITC Avant Garde" w:cs="Arial"/>
                <w:color w:val="000000"/>
                <w:sz w:val="16"/>
                <w:szCs w:val="16"/>
              </w:rPr>
              <w:t>CablesRatio_FDP_Cables_Per_Premises</w:t>
            </w:r>
          </w:p>
        </w:tc>
        <w:tc>
          <w:tcPr>
            <w:tcW w:w="2967" w:type="dxa"/>
            <w:shd w:val="clear" w:color="auto" w:fill="auto"/>
            <w:vAlign w:val="center"/>
          </w:tcPr>
          <w:p w14:paraId="0C75BCBB" w14:textId="77777777" w:rsidR="00A66A23" w:rsidRPr="00E14D8A" w:rsidRDefault="00A66A23" w:rsidP="00064199">
            <w:pPr>
              <w:rPr>
                <w:rFonts w:ascii="ITC Avant Garde" w:hAnsi="ITC Avant Garde" w:cs="Arial"/>
                <w:sz w:val="16"/>
                <w:szCs w:val="16"/>
                <w:lang w:val="es-MX"/>
              </w:rPr>
            </w:pPr>
            <w:r w:rsidRPr="004C1A96">
              <w:rPr>
                <w:rFonts w:ascii="ITC Avant Garde" w:hAnsi="ITC Avant Garde" w:cs="Arial"/>
                <w:color w:val="000000"/>
                <w:sz w:val="16"/>
                <w:szCs w:val="16"/>
                <w:lang w:val="es-MX"/>
              </w:rPr>
              <w:t xml:space="preserve">Se refiere a la relación de cables (desde el </w:t>
            </w:r>
            <w:r w:rsidRPr="00E14D8A">
              <w:rPr>
                <w:rFonts w:ascii="ITC Avant Garde" w:hAnsi="ITC Avant Garde" w:cs="Arial"/>
                <w:color w:val="000000"/>
                <w:sz w:val="16"/>
                <w:szCs w:val="16"/>
                <w:lang w:val="es-MX"/>
              </w:rPr>
              <w:t>FDP) / Número de premisas : corresponde al número de cables (pares de cobre o de fibras óptica) por premisa.</w:t>
            </w:r>
          </w:p>
        </w:tc>
        <w:tc>
          <w:tcPr>
            <w:tcW w:w="3323" w:type="dxa"/>
            <w:vAlign w:val="center"/>
          </w:tcPr>
          <w:p w14:paraId="1BD5FBBF" w14:textId="77777777" w:rsidR="00A66A23" w:rsidRPr="004C1A96" w:rsidRDefault="00A66A23" w:rsidP="00064199">
            <w:pPr>
              <w:rPr>
                <w:rFonts w:ascii="ITC Avant Garde" w:hAnsi="ITC Avant Garde" w:cs="Arial"/>
                <w:color w:val="000000"/>
                <w:sz w:val="16"/>
                <w:szCs w:val="16"/>
                <w:lang w:val="es-MX"/>
              </w:rPr>
            </w:pPr>
            <w:r w:rsidRPr="00E14D8A">
              <w:rPr>
                <w:rFonts w:ascii="ITC Avant Garde" w:hAnsi="ITC Avant Garde" w:cs="Arial"/>
                <w:color w:val="000000"/>
                <w:sz w:val="16"/>
                <w:szCs w:val="16"/>
                <w:lang w:val="es-MX"/>
              </w:rPr>
              <w:t>Este parámetro se ha establec</w:t>
            </w:r>
            <w:r w:rsidRPr="004C1A96">
              <w:rPr>
                <w:rFonts w:ascii="ITC Avant Garde" w:hAnsi="ITC Avant Garde" w:cs="Arial"/>
                <w:color w:val="000000"/>
                <w:sz w:val="16"/>
                <w:szCs w:val="16"/>
                <w:lang w:val="es-MX"/>
              </w:rPr>
              <w:t>ido en 2 el caso de la red de cobre y 1 para la red de fibra óptica</w:t>
            </w:r>
          </w:p>
        </w:tc>
      </w:tr>
      <w:tr w:rsidR="00A66A23" w:rsidRPr="009F5AFF" w14:paraId="294E5C48" w14:textId="77777777" w:rsidTr="00064199">
        <w:tc>
          <w:tcPr>
            <w:tcW w:w="2203" w:type="dxa"/>
            <w:shd w:val="clear" w:color="auto" w:fill="auto"/>
            <w:vAlign w:val="center"/>
          </w:tcPr>
          <w:p w14:paraId="37B8F56C" w14:textId="77777777" w:rsidR="00A66A23" w:rsidRPr="004C1A96" w:rsidRDefault="00A66A23" w:rsidP="00064199">
            <w:pPr>
              <w:rPr>
                <w:rFonts w:ascii="ITC Avant Garde" w:hAnsi="ITC Avant Garde" w:cs="Arial"/>
                <w:sz w:val="16"/>
                <w:szCs w:val="16"/>
                <w:lang w:val="es-MX"/>
              </w:rPr>
            </w:pPr>
            <w:r w:rsidRPr="004C1A96">
              <w:rPr>
                <w:rFonts w:ascii="ITC Avant Garde" w:hAnsi="ITC Avant Garde" w:cs="Arial"/>
                <w:color w:val="000000"/>
                <w:sz w:val="16"/>
                <w:szCs w:val="16"/>
                <w:lang w:val="es-MX"/>
              </w:rPr>
              <w:t>CablesRatio_SDP_To_FDP</w:t>
            </w:r>
          </w:p>
        </w:tc>
        <w:tc>
          <w:tcPr>
            <w:tcW w:w="2967" w:type="dxa"/>
            <w:shd w:val="clear" w:color="auto" w:fill="auto"/>
            <w:vAlign w:val="center"/>
          </w:tcPr>
          <w:p w14:paraId="4DABF47E" w14:textId="77777777" w:rsidR="00A66A23" w:rsidRPr="00E14D8A" w:rsidRDefault="00A66A23" w:rsidP="00064199">
            <w:pPr>
              <w:rPr>
                <w:rFonts w:ascii="ITC Avant Garde" w:hAnsi="ITC Avant Garde" w:cs="Arial"/>
                <w:sz w:val="16"/>
                <w:szCs w:val="16"/>
                <w:lang w:val="es-MX"/>
              </w:rPr>
            </w:pPr>
            <w:r w:rsidRPr="00E14D8A">
              <w:rPr>
                <w:rFonts w:ascii="ITC Avant Garde" w:hAnsi="ITC Avant Garde" w:cs="Arial"/>
                <w:color w:val="000000"/>
                <w:sz w:val="16"/>
                <w:szCs w:val="16"/>
                <w:lang w:val="es-MX"/>
              </w:rPr>
              <w:t>Corresponde a la relación del número de cables (asociado al FDP) exterior / número de cables (asociado al FDP) en interior (en la frontera de la propiedad privada)</w:t>
            </w:r>
          </w:p>
        </w:tc>
        <w:tc>
          <w:tcPr>
            <w:tcW w:w="3323" w:type="dxa"/>
            <w:vAlign w:val="center"/>
          </w:tcPr>
          <w:p w14:paraId="58CF71D2" w14:textId="77777777" w:rsidR="00A66A23" w:rsidRPr="00E14D8A" w:rsidRDefault="00A66A23" w:rsidP="00064199">
            <w:pPr>
              <w:rPr>
                <w:rFonts w:ascii="ITC Avant Garde" w:hAnsi="ITC Avant Garde" w:cs="Arial"/>
                <w:color w:val="000000"/>
                <w:sz w:val="16"/>
                <w:szCs w:val="16"/>
                <w:lang w:val="es-MX"/>
              </w:rPr>
            </w:pPr>
            <w:r w:rsidRPr="00E14D8A">
              <w:rPr>
                <w:rFonts w:ascii="ITC Avant Garde" w:hAnsi="ITC Avant Garde" w:cs="Arial"/>
                <w:color w:val="000000"/>
                <w:sz w:val="16"/>
                <w:szCs w:val="16"/>
                <w:lang w:val="es-MX"/>
              </w:rPr>
              <w:t>Dicho parámetro se estableció tanto para el escenario de cobre como el de fibra.</w:t>
            </w:r>
          </w:p>
        </w:tc>
      </w:tr>
      <w:tr w:rsidR="00A66A23" w:rsidRPr="009F5AFF" w14:paraId="7256479D" w14:textId="77777777" w:rsidTr="00064199">
        <w:tc>
          <w:tcPr>
            <w:tcW w:w="2203" w:type="dxa"/>
            <w:shd w:val="clear" w:color="auto" w:fill="auto"/>
            <w:vAlign w:val="center"/>
          </w:tcPr>
          <w:p w14:paraId="3E370B93" w14:textId="77777777" w:rsidR="00A66A23" w:rsidRPr="004C1A96" w:rsidRDefault="00A66A23" w:rsidP="00064199">
            <w:pPr>
              <w:rPr>
                <w:rFonts w:ascii="ITC Avant Garde" w:hAnsi="ITC Avant Garde" w:cs="Arial"/>
                <w:sz w:val="16"/>
                <w:szCs w:val="16"/>
                <w:lang w:val="es-MX"/>
              </w:rPr>
            </w:pPr>
            <w:r w:rsidRPr="004C1A96">
              <w:rPr>
                <w:rFonts w:ascii="ITC Avant Garde" w:hAnsi="ITC Avant Garde" w:cs="Arial"/>
                <w:color w:val="000000"/>
                <w:sz w:val="16"/>
                <w:szCs w:val="16"/>
                <w:lang w:val="es-MX"/>
              </w:rPr>
              <w:t>CablesRatio_SDP_To_PDP</w:t>
            </w:r>
          </w:p>
        </w:tc>
        <w:tc>
          <w:tcPr>
            <w:tcW w:w="2967" w:type="dxa"/>
            <w:shd w:val="clear" w:color="auto" w:fill="auto"/>
            <w:vAlign w:val="center"/>
          </w:tcPr>
          <w:p w14:paraId="60C3E2F0" w14:textId="77777777" w:rsidR="00A66A23" w:rsidRPr="00E14D8A" w:rsidRDefault="00A66A23" w:rsidP="00064199">
            <w:pPr>
              <w:rPr>
                <w:rFonts w:ascii="ITC Avant Garde" w:hAnsi="ITC Avant Garde" w:cs="Arial"/>
                <w:sz w:val="16"/>
                <w:szCs w:val="16"/>
                <w:lang w:val="es-MX"/>
              </w:rPr>
            </w:pPr>
            <w:r w:rsidRPr="00E14D8A">
              <w:rPr>
                <w:rFonts w:ascii="ITC Avant Garde" w:hAnsi="ITC Avant Garde" w:cs="Arial"/>
                <w:color w:val="000000"/>
                <w:sz w:val="16"/>
                <w:szCs w:val="16"/>
                <w:lang w:val="es-MX"/>
              </w:rPr>
              <w:t>Corresponde a la relación de cables existente entre un SDP exterior / SDP interior.</w:t>
            </w:r>
          </w:p>
        </w:tc>
        <w:tc>
          <w:tcPr>
            <w:tcW w:w="3323" w:type="dxa"/>
            <w:vAlign w:val="center"/>
          </w:tcPr>
          <w:p w14:paraId="55E5F78A" w14:textId="77777777" w:rsidR="00A66A23" w:rsidRPr="004C1A96" w:rsidRDefault="00A66A23" w:rsidP="00064199">
            <w:pPr>
              <w:rPr>
                <w:rFonts w:ascii="ITC Avant Garde" w:hAnsi="ITC Avant Garde" w:cs="Arial"/>
                <w:color w:val="000000"/>
                <w:sz w:val="16"/>
                <w:szCs w:val="16"/>
                <w:lang w:val="es-MX"/>
              </w:rPr>
            </w:pPr>
            <w:r w:rsidRPr="00E14D8A">
              <w:rPr>
                <w:rFonts w:ascii="ITC Avant Garde" w:hAnsi="ITC Avant Garde" w:cs="Arial"/>
                <w:color w:val="000000"/>
                <w:sz w:val="16"/>
                <w:szCs w:val="16"/>
                <w:lang w:val="es-MX"/>
              </w:rPr>
              <w:t>Dicho parámetro se ha establecido en 1.1 para cobre y 1/8 para el e</w:t>
            </w:r>
            <w:r w:rsidRPr="004C1A96">
              <w:rPr>
                <w:rFonts w:ascii="ITC Avant Garde" w:hAnsi="ITC Avant Garde" w:cs="Arial"/>
                <w:color w:val="000000"/>
                <w:sz w:val="16"/>
                <w:szCs w:val="16"/>
                <w:lang w:val="es-MX"/>
              </w:rPr>
              <w:t>scenario FTTH PON (proporción de división utilizada por Telmex).</w:t>
            </w:r>
          </w:p>
        </w:tc>
      </w:tr>
      <w:tr w:rsidR="00A66A23" w:rsidRPr="009F5AFF" w14:paraId="7C4A33BA" w14:textId="77777777" w:rsidTr="00064199">
        <w:tc>
          <w:tcPr>
            <w:tcW w:w="2203" w:type="dxa"/>
            <w:tcBorders>
              <w:top w:val="single" w:sz="4" w:space="0" w:color="auto"/>
              <w:left w:val="single" w:sz="4" w:space="0" w:color="auto"/>
              <w:bottom w:val="single" w:sz="4" w:space="0" w:color="auto"/>
              <w:right w:val="single" w:sz="4" w:space="0" w:color="auto"/>
            </w:tcBorders>
            <w:shd w:val="clear" w:color="auto" w:fill="auto"/>
            <w:vAlign w:val="center"/>
          </w:tcPr>
          <w:p w14:paraId="7306541C" w14:textId="77777777" w:rsidR="00A66A23" w:rsidRPr="004C1A96" w:rsidRDefault="00A66A23" w:rsidP="00064199">
            <w:pPr>
              <w:rPr>
                <w:rFonts w:ascii="ITC Avant Garde" w:hAnsi="ITC Avant Garde" w:cs="Arial"/>
                <w:color w:val="000000"/>
                <w:sz w:val="16"/>
                <w:szCs w:val="16"/>
              </w:rPr>
            </w:pPr>
            <w:r w:rsidRPr="004C1A96">
              <w:rPr>
                <w:rFonts w:ascii="ITC Avant Garde" w:hAnsi="ITC Avant Garde" w:cs="Arial"/>
                <w:color w:val="000000"/>
                <w:sz w:val="16"/>
                <w:szCs w:val="16"/>
              </w:rPr>
              <w:t>CablesRatio_PDP_CopperOut_To_TotalCopperIn</w:t>
            </w:r>
          </w:p>
        </w:tc>
        <w:tc>
          <w:tcPr>
            <w:tcW w:w="2967" w:type="dxa"/>
            <w:tcBorders>
              <w:top w:val="single" w:sz="4" w:space="0" w:color="auto"/>
              <w:left w:val="single" w:sz="4" w:space="0" w:color="auto"/>
              <w:bottom w:val="single" w:sz="4" w:space="0" w:color="auto"/>
              <w:right w:val="single" w:sz="4" w:space="0" w:color="auto"/>
            </w:tcBorders>
            <w:shd w:val="clear" w:color="auto" w:fill="auto"/>
            <w:vAlign w:val="center"/>
          </w:tcPr>
          <w:p w14:paraId="54D59C99" w14:textId="77777777" w:rsidR="00A66A23" w:rsidRPr="00E14D8A" w:rsidRDefault="00A66A23" w:rsidP="00064199">
            <w:pPr>
              <w:rPr>
                <w:rFonts w:ascii="ITC Avant Garde" w:hAnsi="ITC Avant Garde" w:cs="Arial"/>
                <w:color w:val="000000"/>
                <w:sz w:val="16"/>
                <w:szCs w:val="16"/>
                <w:lang w:val="es-MX"/>
              </w:rPr>
            </w:pPr>
            <w:r w:rsidRPr="004C1A96">
              <w:rPr>
                <w:rFonts w:ascii="ITC Avant Garde" w:hAnsi="ITC Avant Garde" w:cs="Arial"/>
                <w:color w:val="000000"/>
                <w:sz w:val="16"/>
                <w:szCs w:val="16"/>
                <w:lang w:val="es-MX"/>
              </w:rPr>
              <w:t>Cociente de cables en PDP</w:t>
            </w:r>
            <w:r w:rsidRPr="00E14D8A">
              <w:rPr>
                <w:rFonts w:ascii="ITC Avant Garde" w:hAnsi="ITC Avant Garde" w:cs="Arial"/>
                <w:color w:val="000000"/>
                <w:sz w:val="16"/>
                <w:szCs w:val="16"/>
                <w:lang w:val="es-MX"/>
              </w:rPr>
              <w:t xml:space="preserve"> asociados a cobre, para calcular el número de pares de cobre salientes en función del número de pares de cobre entrantes.</w:t>
            </w:r>
          </w:p>
        </w:tc>
        <w:tc>
          <w:tcPr>
            <w:tcW w:w="3323" w:type="dxa"/>
            <w:tcBorders>
              <w:top w:val="single" w:sz="4" w:space="0" w:color="auto"/>
              <w:left w:val="single" w:sz="4" w:space="0" w:color="auto"/>
              <w:bottom w:val="single" w:sz="4" w:space="0" w:color="auto"/>
              <w:right w:val="single" w:sz="4" w:space="0" w:color="auto"/>
            </w:tcBorders>
            <w:vAlign w:val="center"/>
          </w:tcPr>
          <w:p w14:paraId="21E57F1D" w14:textId="77777777" w:rsidR="00A66A23" w:rsidRPr="00E14D8A" w:rsidRDefault="00A66A23" w:rsidP="00064199">
            <w:pPr>
              <w:rPr>
                <w:rFonts w:ascii="ITC Avant Garde" w:hAnsi="ITC Avant Garde" w:cs="Arial"/>
                <w:color w:val="000000"/>
                <w:sz w:val="16"/>
                <w:szCs w:val="16"/>
                <w:lang w:val="es-MX"/>
              </w:rPr>
            </w:pPr>
            <w:r w:rsidRPr="00E14D8A">
              <w:rPr>
                <w:rFonts w:ascii="ITC Avant Garde" w:hAnsi="ITC Avant Garde" w:cs="Arial"/>
                <w:color w:val="000000"/>
                <w:sz w:val="16"/>
                <w:szCs w:val="16"/>
                <w:lang w:val="es-MX"/>
              </w:rPr>
              <w:t>Este parámetro se ha establecido en 1.1 para cobre y 0 para la red de fibra óptica.</w:t>
            </w:r>
          </w:p>
        </w:tc>
      </w:tr>
      <w:tr w:rsidR="00A66A23" w:rsidRPr="009F5AFF" w14:paraId="2B8A4F49" w14:textId="77777777" w:rsidTr="00064199">
        <w:tc>
          <w:tcPr>
            <w:tcW w:w="2203" w:type="dxa"/>
            <w:tcBorders>
              <w:top w:val="single" w:sz="4" w:space="0" w:color="auto"/>
              <w:left w:val="single" w:sz="4" w:space="0" w:color="auto"/>
              <w:bottom w:val="single" w:sz="4" w:space="0" w:color="auto"/>
              <w:right w:val="single" w:sz="4" w:space="0" w:color="auto"/>
            </w:tcBorders>
            <w:shd w:val="clear" w:color="auto" w:fill="auto"/>
            <w:vAlign w:val="center"/>
          </w:tcPr>
          <w:p w14:paraId="45AF6F9D" w14:textId="77777777" w:rsidR="00A66A23" w:rsidRPr="00B651E9" w:rsidRDefault="00A66A23" w:rsidP="00064199">
            <w:pPr>
              <w:rPr>
                <w:rFonts w:ascii="ITC Avant Garde" w:hAnsi="ITC Avant Garde" w:cs="Arial"/>
                <w:color w:val="000000"/>
                <w:sz w:val="16"/>
                <w:szCs w:val="16"/>
              </w:rPr>
            </w:pPr>
            <w:r w:rsidRPr="004C1A96">
              <w:rPr>
                <w:rFonts w:ascii="ITC Avant Garde" w:hAnsi="ITC Avant Garde" w:cs="Arial"/>
                <w:color w:val="000000"/>
                <w:sz w:val="16"/>
                <w:szCs w:val="16"/>
              </w:rPr>
              <w:t>CablesRatio_PDP_FibreOut_To_FibreIn</w:t>
            </w:r>
          </w:p>
        </w:tc>
        <w:tc>
          <w:tcPr>
            <w:tcW w:w="2967" w:type="dxa"/>
            <w:tcBorders>
              <w:top w:val="single" w:sz="4" w:space="0" w:color="auto"/>
              <w:left w:val="single" w:sz="4" w:space="0" w:color="auto"/>
              <w:bottom w:val="single" w:sz="4" w:space="0" w:color="auto"/>
              <w:right w:val="single" w:sz="4" w:space="0" w:color="auto"/>
            </w:tcBorders>
            <w:shd w:val="clear" w:color="auto" w:fill="auto"/>
            <w:vAlign w:val="center"/>
          </w:tcPr>
          <w:p w14:paraId="7659BC6A" w14:textId="77777777" w:rsidR="00A66A23" w:rsidRPr="00E14D8A" w:rsidRDefault="00A66A23" w:rsidP="00064199">
            <w:pPr>
              <w:rPr>
                <w:rFonts w:ascii="ITC Avant Garde" w:hAnsi="ITC Avant Garde" w:cs="Arial"/>
                <w:color w:val="000000"/>
                <w:sz w:val="16"/>
                <w:szCs w:val="16"/>
                <w:lang w:val="es-MX"/>
              </w:rPr>
            </w:pPr>
            <w:r w:rsidRPr="004C1A96">
              <w:rPr>
                <w:rFonts w:ascii="ITC Avant Garde" w:hAnsi="ITC Avant Garde" w:cs="Arial"/>
                <w:color w:val="000000"/>
                <w:sz w:val="16"/>
                <w:szCs w:val="16"/>
                <w:lang w:val="es-MX"/>
              </w:rPr>
              <w:t>Cociente de cables en PDP asociados a fibra óptica, para calcular el número de fibras salientes en función del número de fibras entrantes.</w:t>
            </w:r>
          </w:p>
        </w:tc>
        <w:tc>
          <w:tcPr>
            <w:tcW w:w="3323" w:type="dxa"/>
            <w:tcBorders>
              <w:top w:val="single" w:sz="4" w:space="0" w:color="auto"/>
              <w:left w:val="single" w:sz="4" w:space="0" w:color="auto"/>
              <w:bottom w:val="single" w:sz="4" w:space="0" w:color="auto"/>
              <w:right w:val="single" w:sz="4" w:space="0" w:color="auto"/>
            </w:tcBorders>
            <w:vAlign w:val="center"/>
          </w:tcPr>
          <w:p w14:paraId="6B9E1B4D" w14:textId="77777777" w:rsidR="00A66A23" w:rsidRPr="00E14D8A" w:rsidRDefault="00A66A23" w:rsidP="00064199">
            <w:pPr>
              <w:rPr>
                <w:rFonts w:ascii="ITC Avant Garde" w:hAnsi="ITC Avant Garde" w:cs="Arial"/>
                <w:color w:val="000000"/>
                <w:sz w:val="16"/>
                <w:szCs w:val="16"/>
                <w:lang w:val="es-MX"/>
              </w:rPr>
            </w:pPr>
            <w:r w:rsidRPr="00E14D8A">
              <w:rPr>
                <w:rFonts w:ascii="ITC Avant Garde" w:hAnsi="ITC Avant Garde" w:cs="Arial"/>
                <w:color w:val="000000"/>
                <w:sz w:val="16"/>
                <w:szCs w:val="16"/>
                <w:lang w:val="es-MX"/>
              </w:rPr>
              <w:t>Este parámetro se ha establecido en 1.1 (para Dong), 1/8 para FTTH PON y 0 en otro caso.</w:t>
            </w:r>
          </w:p>
        </w:tc>
      </w:tr>
      <w:tr w:rsidR="00A66A23" w:rsidRPr="009F5AFF" w14:paraId="62AB3AAC" w14:textId="77777777" w:rsidTr="00064199">
        <w:tc>
          <w:tcPr>
            <w:tcW w:w="2203" w:type="dxa"/>
            <w:tcBorders>
              <w:top w:val="single" w:sz="4" w:space="0" w:color="auto"/>
              <w:left w:val="single" w:sz="4" w:space="0" w:color="auto"/>
              <w:bottom w:val="single" w:sz="4" w:space="0" w:color="auto"/>
              <w:right w:val="single" w:sz="4" w:space="0" w:color="auto"/>
            </w:tcBorders>
            <w:shd w:val="clear" w:color="auto" w:fill="auto"/>
            <w:vAlign w:val="center"/>
          </w:tcPr>
          <w:p w14:paraId="7410762A" w14:textId="77777777" w:rsidR="00A66A23" w:rsidRPr="004C1A96" w:rsidRDefault="00A66A23" w:rsidP="00064199">
            <w:pPr>
              <w:rPr>
                <w:rFonts w:ascii="ITC Avant Garde" w:hAnsi="ITC Avant Garde" w:cs="Arial"/>
                <w:color w:val="000000"/>
                <w:sz w:val="16"/>
                <w:szCs w:val="16"/>
              </w:rPr>
            </w:pPr>
            <w:r w:rsidRPr="004C1A96">
              <w:rPr>
                <w:rFonts w:ascii="ITC Avant Garde" w:hAnsi="ITC Avant Garde" w:cs="Arial"/>
                <w:color w:val="000000"/>
                <w:sz w:val="16"/>
                <w:szCs w:val="16"/>
              </w:rPr>
              <w:t>CablesRatio_PDP_FibreOut_To_TotalCopperIn</w:t>
            </w:r>
          </w:p>
        </w:tc>
        <w:tc>
          <w:tcPr>
            <w:tcW w:w="2967" w:type="dxa"/>
            <w:tcBorders>
              <w:top w:val="single" w:sz="4" w:space="0" w:color="auto"/>
              <w:left w:val="single" w:sz="4" w:space="0" w:color="auto"/>
              <w:bottom w:val="single" w:sz="4" w:space="0" w:color="auto"/>
              <w:right w:val="single" w:sz="4" w:space="0" w:color="auto"/>
            </w:tcBorders>
            <w:shd w:val="clear" w:color="auto" w:fill="auto"/>
            <w:vAlign w:val="center"/>
          </w:tcPr>
          <w:p w14:paraId="36921083" w14:textId="77777777" w:rsidR="00A66A23" w:rsidRPr="004C1A96" w:rsidRDefault="00A66A23" w:rsidP="00064199">
            <w:pPr>
              <w:rPr>
                <w:rFonts w:ascii="ITC Avant Garde" w:hAnsi="ITC Avant Garde" w:cs="Arial"/>
                <w:color w:val="000000"/>
                <w:sz w:val="16"/>
                <w:szCs w:val="16"/>
                <w:lang w:val="es-MX"/>
              </w:rPr>
            </w:pPr>
            <w:r w:rsidRPr="004C1A96">
              <w:rPr>
                <w:rFonts w:ascii="ITC Avant Garde" w:hAnsi="ITC Avant Garde" w:cs="Arial"/>
                <w:color w:val="000000"/>
                <w:sz w:val="16"/>
                <w:szCs w:val="16"/>
                <w:lang w:val="es-MX"/>
              </w:rPr>
              <w:t>Cociente de cables en PDP, para calcular el número de fibras salientes en función del número de pares de cobre entrantes (en el caso del modelado VDSL)</w:t>
            </w:r>
          </w:p>
        </w:tc>
        <w:tc>
          <w:tcPr>
            <w:tcW w:w="3323" w:type="dxa"/>
            <w:tcBorders>
              <w:top w:val="single" w:sz="4" w:space="0" w:color="auto"/>
              <w:left w:val="single" w:sz="4" w:space="0" w:color="auto"/>
              <w:bottom w:val="single" w:sz="4" w:space="0" w:color="auto"/>
              <w:right w:val="single" w:sz="4" w:space="0" w:color="auto"/>
            </w:tcBorders>
            <w:vAlign w:val="center"/>
          </w:tcPr>
          <w:p w14:paraId="1C9030C2" w14:textId="77777777" w:rsidR="00A66A23" w:rsidRPr="00E14D8A" w:rsidRDefault="00A66A23" w:rsidP="00064199">
            <w:pPr>
              <w:rPr>
                <w:rFonts w:ascii="ITC Avant Garde" w:hAnsi="ITC Avant Garde" w:cs="Arial"/>
                <w:color w:val="000000"/>
                <w:sz w:val="16"/>
                <w:szCs w:val="16"/>
                <w:lang w:val="es-MX"/>
              </w:rPr>
            </w:pPr>
            <w:r w:rsidRPr="00E14D8A">
              <w:rPr>
                <w:rFonts w:ascii="ITC Avant Garde" w:hAnsi="ITC Avant Garde" w:cs="Arial"/>
                <w:color w:val="000000"/>
                <w:sz w:val="16"/>
                <w:szCs w:val="16"/>
                <w:lang w:val="es-MX"/>
              </w:rPr>
              <w:t>Este parámetro se ha considera como cero en todos los escenarios.</w:t>
            </w:r>
          </w:p>
        </w:tc>
      </w:tr>
      <w:tr w:rsidR="00A66A23" w:rsidRPr="009F5AFF" w14:paraId="4AE58726" w14:textId="77777777" w:rsidTr="00064199">
        <w:tc>
          <w:tcPr>
            <w:tcW w:w="2203" w:type="dxa"/>
            <w:shd w:val="clear" w:color="auto" w:fill="auto"/>
            <w:vAlign w:val="center"/>
          </w:tcPr>
          <w:p w14:paraId="5DF6BB2A" w14:textId="77777777" w:rsidR="00A66A23" w:rsidRPr="004C1A96" w:rsidRDefault="00A66A23" w:rsidP="00064199">
            <w:pPr>
              <w:rPr>
                <w:rFonts w:ascii="ITC Avant Garde" w:hAnsi="ITC Avant Garde" w:cs="Arial"/>
                <w:sz w:val="16"/>
                <w:szCs w:val="16"/>
                <w:lang w:val="es-MX"/>
              </w:rPr>
            </w:pPr>
            <w:r w:rsidRPr="004C1A96">
              <w:rPr>
                <w:rFonts w:ascii="ITC Avant Garde" w:hAnsi="ITC Avant Garde" w:cs="Arial"/>
                <w:color w:val="000000"/>
                <w:sz w:val="16"/>
                <w:szCs w:val="16"/>
                <w:lang w:val="es-MX"/>
              </w:rPr>
              <w:t>MinSectionLengthForJoint_Core</w:t>
            </w:r>
          </w:p>
        </w:tc>
        <w:tc>
          <w:tcPr>
            <w:tcW w:w="2967" w:type="dxa"/>
            <w:shd w:val="clear" w:color="auto" w:fill="auto"/>
            <w:vAlign w:val="center"/>
          </w:tcPr>
          <w:p w14:paraId="5D771C90" w14:textId="77777777" w:rsidR="00A66A23" w:rsidRPr="00E14D8A" w:rsidRDefault="00A66A23" w:rsidP="00064199">
            <w:pPr>
              <w:rPr>
                <w:rFonts w:ascii="ITC Avant Garde" w:hAnsi="ITC Avant Garde" w:cs="Arial"/>
                <w:sz w:val="16"/>
                <w:szCs w:val="16"/>
                <w:lang w:val="es-MX"/>
              </w:rPr>
            </w:pPr>
            <w:r w:rsidRPr="00E14D8A">
              <w:rPr>
                <w:rFonts w:ascii="ITC Avant Garde" w:hAnsi="ITC Avant Garde" w:cs="Arial"/>
                <w:color w:val="000000"/>
                <w:sz w:val="16"/>
                <w:szCs w:val="16"/>
                <w:lang w:val="es-MX"/>
              </w:rPr>
              <w:t>Longitud mínima de una sección para obtener una unión final: si una sección de carretera es utilizada por una ruta Core y su longitud es mayor que el parámetro, se instalará una unión</w:t>
            </w:r>
          </w:p>
        </w:tc>
        <w:tc>
          <w:tcPr>
            <w:tcW w:w="3323" w:type="dxa"/>
            <w:vAlign w:val="center"/>
          </w:tcPr>
          <w:p w14:paraId="3D8FA624" w14:textId="77777777" w:rsidR="00A66A23" w:rsidRPr="004C1A96" w:rsidRDefault="00A66A23" w:rsidP="00064199">
            <w:pPr>
              <w:rPr>
                <w:rFonts w:ascii="ITC Avant Garde" w:hAnsi="ITC Avant Garde" w:cs="Arial"/>
                <w:color w:val="000000"/>
                <w:sz w:val="16"/>
                <w:szCs w:val="16"/>
                <w:lang w:val="es-MX"/>
              </w:rPr>
            </w:pPr>
            <w:r w:rsidRPr="004C1A96">
              <w:rPr>
                <w:rFonts w:ascii="ITC Avant Garde" w:hAnsi="ITC Avant Garde" w:cs="Arial"/>
                <w:color w:val="000000"/>
                <w:sz w:val="16"/>
                <w:szCs w:val="16"/>
                <w:lang w:val="es-MX"/>
              </w:rPr>
              <w:t>El valor de este parámetro se ha establecido para la calibración del modelo de modo que sea coherente con la longitud máxima de un tambor de cable.</w:t>
            </w:r>
          </w:p>
        </w:tc>
      </w:tr>
      <w:tr w:rsidR="00A66A23" w:rsidRPr="009F5AFF" w14:paraId="3DEE2024" w14:textId="77777777" w:rsidTr="00064199">
        <w:tc>
          <w:tcPr>
            <w:tcW w:w="2203" w:type="dxa"/>
            <w:shd w:val="clear" w:color="auto" w:fill="auto"/>
            <w:vAlign w:val="center"/>
          </w:tcPr>
          <w:p w14:paraId="627E8F00" w14:textId="77777777" w:rsidR="00A66A23" w:rsidRPr="004C1A96" w:rsidRDefault="00A66A23" w:rsidP="00064199">
            <w:pPr>
              <w:rPr>
                <w:rFonts w:ascii="ITC Avant Garde" w:hAnsi="ITC Avant Garde" w:cs="Arial"/>
                <w:sz w:val="16"/>
                <w:szCs w:val="16"/>
                <w:lang w:val="es-MX"/>
              </w:rPr>
            </w:pPr>
            <w:r w:rsidRPr="004C1A96">
              <w:rPr>
                <w:rFonts w:ascii="ITC Avant Garde" w:hAnsi="ITC Avant Garde" w:cs="Arial"/>
                <w:color w:val="000000"/>
                <w:sz w:val="16"/>
                <w:szCs w:val="16"/>
                <w:lang w:val="es-MX"/>
              </w:rPr>
              <w:t>MinSectionLengthForJoint_PDP</w:t>
            </w:r>
          </w:p>
        </w:tc>
        <w:tc>
          <w:tcPr>
            <w:tcW w:w="2967" w:type="dxa"/>
            <w:shd w:val="clear" w:color="auto" w:fill="auto"/>
            <w:vAlign w:val="center"/>
          </w:tcPr>
          <w:p w14:paraId="2C40D6CE" w14:textId="77777777" w:rsidR="00A66A23" w:rsidRPr="00E14D8A" w:rsidRDefault="00A66A23" w:rsidP="00064199">
            <w:pPr>
              <w:rPr>
                <w:rFonts w:ascii="ITC Avant Garde" w:hAnsi="ITC Avant Garde" w:cs="Arial"/>
                <w:sz w:val="16"/>
                <w:szCs w:val="16"/>
                <w:lang w:val="es-MX"/>
              </w:rPr>
            </w:pPr>
            <w:r w:rsidRPr="00E14D8A">
              <w:rPr>
                <w:rFonts w:ascii="ITC Avant Garde" w:hAnsi="ITC Avant Garde" w:cs="Arial"/>
                <w:color w:val="000000"/>
                <w:sz w:val="16"/>
                <w:szCs w:val="16"/>
                <w:lang w:val="es-MX"/>
              </w:rPr>
              <w:t>Longitud minima de una sección para obtener una union al final</w:t>
            </w:r>
          </w:p>
        </w:tc>
        <w:tc>
          <w:tcPr>
            <w:tcW w:w="3323" w:type="dxa"/>
            <w:vAlign w:val="center"/>
          </w:tcPr>
          <w:p w14:paraId="4E7D7494" w14:textId="77777777" w:rsidR="00A66A23" w:rsidRPr="004C1A96" w:rsidRDefault="00A66A23" w:rsidP="00064199">
            <w:pPr>
              <w:rPr>
                <w:rFonts w:ascii="ITC Avant Garde" w:hAnsi="ITC Avant Garde" w:cs="Arial"/>
                <w:color w:val="000000"/>
                <w:sz w:val="16"/>
                <w:szCs w:val="16"/>
                <w:lang w:val="es-MX"/>
              </w:rPr>
            </w:pPr>
            <w:r w:rsidRPr="004C1A96">
              <w:rPr>
                <w:rFonts w:ascii="ITC Avant Garde" w:hAnsi="ITC Avant Garde" w:cs="Arial"/>
                <w:color w:val="000000"/>
                <w:sz w:val="16"/>
                <w:szCs w:val="16"/>
                <w:lang w:val="es-MX"/>
              </w:rPr>
              <w:t>El valor de este parámetro se ha establecido para la calibración del modelo de manera que sea coherente con la longitud máxima de un tambor de cable.</w:t>
            </w:r>
          </w:p>
        </w:tc>
      </w:tr>
      <w:tr w:rsidR="00A66A23" w:rsidRPr="009F5AFF" w14:paraId="56108DDC" w14:textId="77777777" w:rsidTr="00064199">
        <w:tc>
          <w:tcPr>
            <w:tcW w:w="2203" w:type="dxa"/>
            <w:shd w:val="clear" w:color="auto" w:fill="auto"/>
            <w:vAlign w:val="center"/>
          </w:tcPr>
          <w:p w14:paraId="7353DEC4" w14:textId="77777777" w:rsidR="00A66A23" w:rsidRPr="004C1A96" w:rsidRDefault="00A66A23" w:rsidP="00064199">
            <w:pPr>
              <w:rPr>
                <w:rFonts w:ascii="ITC Avant Garde" w:hAnsi="ITC Avant Garde" w:cs="Arial"/>
                <w:sz w:val="16"/>
                <w:szCs w:val="16"/>
                <w:lang w:val="es-MX"/>
              </w:rPr>
            </w:pPr>
            <w:r w:rsidRPr="004C1A96">
              <w:rPr>
                <w:rFonts w:ascii="ITC Avant Garde" w:hAnsi="ITC Avant Garde" w:cs="Arial"/>
                <w:color w:val="000000"/>
                <w:sz w:val="16"/>
                <w:szCs w:val="16"/>
                <w:lang w:val="es-MX"/>
              </w:rPr>
              <w:lastRenderedPageBreak/>
              <w:t>MinSectionLengthForJoint_SDP</w:t>
            </w:r>
          </w:p>
        </w:tc>
        <w:tc>
          <w:tcPr>
            <w:tcW w:w="2967" w:type="dxa"/>
            <w:shd w:val="clear" w:color="auto" w:fill="auto"/>
            <w:vAlign w:val="center"/>
          </w:tcPr>
          <w:p w14:paraId="7395EF4C" w14:textId="77777777" w:rsidR="00A66A23" w:rsidRPr="00E14D8A" w:rsidRDefault="00A66A23" w:rsidP="00064199">
            <w:pPr>
              <w:rPr>
                <w:rFonts w:ascii="ITC Avant Garde" w:hAnsi="ITC Avant Garde" w:cs="Arial"/>
                <w:sz w:val="16"/>
                <w:szCs w:val="16"/>
                <w:lang w:val="es-MX"/>
              </w:rPr>
            </w:pPr>
            <w:r w:rsidRPr="00E14D8A">
              <w:rPr>
                <w:rFonts w:ascii="ITC Avant Garde" w:hAnsi="ITC Avant Garde" w:cs="Arial"/>
                <w:color w:val="000000"/>
                <w:sz w:val="16"/>
                <w:szCs w:val="16"/>
                <w:lang w:val="es-MX"/>
              </w:rPr>
              <w:t>Longitud minima de una sección para obtener una union al final</w:t>
            </w:r>
          </w:p>
        </w:tc>
        <w:tc>
          <w:tcPr>
            <w:tcW w:w="3323" w:type="dxa"/>
            <w:vAlign w:val="center"/>
          </w:tcPr>
          <w:p w14:paraId="5A0A3E9A" w14:textId="77777777" w:rsidR="00A66A23" w:rsidRPr="00E14D8A" w:rsidRDefault="00A66A23" w:rsidP="00064199">
            <w:pPr>
              <w:rPr>
                <w:rFonts w:ascii="ITC Avant Garde" w:hAnsi="ITC Avant Garde" w:cs="Arial"/>
                <w:color w:val="000000"/>
                <w:sz w:val="16"/>
                <w:szCs w:val="16"/>
                <w:lang w:val="es-MX"/>
              </w:rPr>
            </w:pPr>
            <w:r w:rsidRPr="00B651E9">
              <w:rPr>
                <w:rFonts w:ascii="ITC Avant Garde" w:hAnsi="ITC Avant Garde"/>
                <w:lang w:val="es-MX"/>
              </w:rPr>
              <w:t xml:space="preserve"> </w:t>
            </w:r>
            <w:r w:rsidRPr="004C1A96">
              <w:rPr>
                <w:rFonts w:ascii="ITC Avant Garde" w:hAnsi="ITC Avant Garde" w:cs="Arial"/>
                <w:color w:val="000000"/>
                <w:sz w:val="16"/>
                <w:szCs w:val="16"/>
                <w:lang w:val="es-MX"/>
              </w:rPr>
              <w:t>Este parámetro se ha establecido después de la calibración a 15 m para evitar la unión en secciones muy pequeñas</w:t>
            </w:r>
            <w:r w:rsidRPr="00E14D8A" w:rsidDel="00643C80">
              <w:rPr>
                <w:rFonts w:ascii="ITC Avant Garde" w:hAnsi="ITC Avant Garde" w:cs="Arial"/>
                <w:color w:val="000000"/>
                <w:sz w:val="16"/>
                <w:szCs w:val="16"/>
                <w:lang w:val="es-MX"/>
              </w:rPr>
              <w:t xml:space="preserve"> </w:t>
            </w:r>
            <w:r w:rsidRPr="00E14D8A">
              <w:rPr>
                <w:rFonts w:ascii="ITC Avant Garde" w:hAnsi="ITC Avant Garde" w:cs="Arial"/>
                <w:color w:val="000000"/>
                <w:sz w:val="16"/>
                <w:szCs w:val="16"/>
                <w:lang w:val="es-MX"/>
              </w:rPr>
              <w:t>.</w:t>
            </w:r>
          </w:p>
        </w:tc>
      </w:tr>
      <w:tr w:rsidR="00A66A23" w:rsidRPr="009F5AFF" w14:paraId="3A9D7935" w14:textId="77777777" w:rsidTr="00064199">
        <w:tc>
          <w:tcPr>
            <w:tcW w:w="2203" w:type="dxa"/>
            <w:shd w:val="clear" w:color="auto" w:fill="auto"/>
            <w:vAlign w:val="center"/>
          </w:tcPr>
          <w:p w14:paraId="541F0AAF" w14:textId="77777777" w:rsidR="00A66A23" w:rsidRPr="004C1A96" w:rsidRDefault="00A66A23" w:rsidP="00064199">
            <w:pPr>
              <w:rPr>
                <w:rFonts w:ascii="ITC Avant Garde" w:hAnsi="ITC Avant Garde" w:cs="Arial"/>
                <w:color w:val="000000"/>
                <w:sz w:val="16"/>
                <w:szCs w:val="16"/>
                <w:lang w:val="es-MX"/>
              </w:rPr>
            </w:pPr>
            <w:r w:rsidRPr="004C1A96">
              <w:rPr>
                <w:rFonts w:ascii="ITC Avant Garde" w:hAnsi="ITC Avant Garde" w:cs="Arial"/>
                <w:color w:val="000000"/>
                <w:sz w:val="16"/>
                <w:szCs w:val="16"/>
                <w:lang w:val="es-MX"/>
              </w:rPr>
              <w:t>MinSectionLengthForJoint_Aggregation</w:t>
            </w:r>
          </w:p>
        </w:tc>
        <w:tc>
          <w:tcPr>
            <w:tcW w:w="2967" w:type="dxa"/>
            <w:shd w:val="clear" w:color="auto" w:fill="auto"/>
            <w:vAlign w:val="center"/>
          </w:tcPr>
          <w:p w14:paraId="45E9CCA4" w14:textId="77777777" w:rsidR="00A66A23" w:rsidRPr="004C1A96" w:rsidRDefault="00A66A23" w:rsidP="00064199">
            <w:pPr>
              <w:rPr>
                <w:rFonts w:ascii="ITC Avant Garde" w:hAnsi="ITC Avant Garde" w:cs="Arial"/>
                <w:color w:val="000000"/>
                <w:sz w:val="16"/>
                <w:szCs w:val="16"/>
                <w:lang w:val="es-MX"/>
              </w:rPr>
            </w:pPr>
            <w:r w:rsidRPr="004C1A96">
              <w:rPr>
                <w:rFonts w:ascii="ITC Avant Garde" w:hAnsi="ITC Avant Garde" w:cs="Arial"/>
                <w:color w:val="000000"/>
                <w:sz w:val="16"/>
                <w:szCs w:val="16"/>
                <w:lang w:val="es-MX"/>
              </w:rPr>
              <w:t>Longitud minima de una sección para obtener una union al final</w:t>
            </w:r>
          </w:p>
        </w:tc>
        <w:tc>
          <w:tcPr>
            <w:tcW w:w="3323" w:type="dxa"/>
            <w:vAlign w:val="center"/>
          </w:tcPr>
          <w:p w14:paraId="355C8D17" w14:textId="77777777" w:rsidR="00A66A23" w:rsidRPr="00E14D8A" w:rsidRDefault="00A66A23" w:rsidP="00064199">
            <w:pPr>
              <w:rPr>
                <w:rFonts w:ascii="ITC Avant Garde" w:hAnsi="ITC Avant Garde" w:cs="Arial"/>
                <w:color w:val="000000"/>
                <w:sz w:val="16"/>
                <w:szCs w:val="16"/>
                <w:lang w:val="es-MX"/>
              </w:rPr>
            </w:pPr>
            <w:r w:rsidRPr="00E14D8A">
              <w:rPr>
                <w:rFonts w:ascii="ITC Avant Garde" w:hAnsi="ITC Avant Garde" w:cs="Arial"/>
                <w:color w:val="000000"/>
                <w:sz w:val="16"/>
                <w:szCs w:val="16"/>
                <w:lang w:val="es-MX"/>
              </w:rPr>
              <w:t>Este parámetro se ha establecido después de la calibración a 15 m para evitar la unión en secciones muy pequeñas</w:t>
            </w:r>
          </w:p>
        </w:tc>
      </w:tr>
      <w:tr w:rsidR="00A66A23" w:rsidRPr="009F5AFF" w14:paraId="263E8F7B" w14:textId="77777777" w:rsidTr="00064199">
        <w:tc>
          <w:tcPr>
            <w:tcW w:w="2203" w:type="dxa"/>
            <w:shd w:val="clear" w:color="auto" w:fill="auto"/>
            <w:vAlign w:val="center"/>
          </w:tcPr>
          <w:p w14:paraId="463FB587" w14:textId="77777777" w:rsidR="00A66A23" w:rsidRPr="004C1A96" w:rsidRDefault="00A66A23" w:rsidP="00064199">
            <w:pPr>
              <w:rPr>
                <w:rFonts w:ascii="ITC Avant Garde" w:hAnsi="ITC Avant Garde" w:cs="Arial"/>
                <w:sz w:val="16"/>
                <w:szCs w:val="16"/>
                <w:lang w:val="es-MX"/>
              </w:rPr>
            </w:pPr>
            <w:r w:rsidRPr="004C1A96">
              <w:rPr>
                <w:rFonts w:ascii="ITC Avant Garde" w:hAnsi="ITC Avant Garde" w:cs="Arial"/>
                <w:color w:val="000000"/>
                <w:sz w:val="16"/>
                <w:szCs w:val="16"/>
                <w:lang w:val="es-MX"/>
              </w:rPr>
              <w:t>Scenario</w:t>
            </w:r>
          </w:p>
        </w:tc>
        <w:tc>
          <w:tcPr>
            <w:tcW w:w="2967" w:type="dxa"/>
            <w:shd w:val="clear" w:color="auto" w:fill="auto"/>
            <w:vAlign w:val="center"/>
          </w:tcPr>
          <w:p w14:paraId="1523DCA1" w14:textId="77777777" w:rsidR="00A66A23" w:rsidRPr="00E14D8A" w:rsidRDefault="00A66A23" w:rsidP="00064199">
            <w:pPr>
              <w:rPr>
                <w:rFonts w:ascii="ITC Avant Garde" w:hAnsi="ITC Avant Garde" w:cs="Arial"/>
                <w:sz w:val="16"/>
                <w:szCs w:val="16"/>
                <w:lang w:val="es-MX"/>
              </w:rPr>
            </w:pPr>
            <w:r w:rsidRPr="00E14D8A">
              <w:rPr>
                <w:rFonts w:ascii="ITC Avant Garde" w:hAnsi="ITC Avant Garde" w:cs="Arial"/>
                <w:color w:val="000000"/>
                <w:sz w:val="16"/>
                <w:szCs w:val="16"/>
                <w:lang w:val="es-MX"/>
              </w:rPr>
              <w:t>Indica al algoritmo el scenario que se esta modelando</w:t>
            </w:r>
          </w:p>
        </w:tc>
        <w:tc>
          <w:tcPr>
            <w:tcW w:w="3323" w:type="dxa"/>
            <w:vAlign w:val="center"/>
          </w:tcPr>
          <w:p w14:paraId="1BD3C523" w14:textId="77777777" w:rsidR="00A66A23" w:rsidRPr="00E14D8A" w:rsidRDefault="00A66A23" w:rsidP="00064199">
            <w:pPr>
              <w:rPr>
                <w:rFonts w:ascii="ITC Avant Garde" w:hAnsi="ITC Avant Garde" w:cs="Arial"/>
                <w:color w:val="000000"/>
                <w:sz w:val="16"/>
                <w:szCs w:val="16"/>
                <w:lang w:val="es-MX"/>
              </w:rPr>
            </w:pPr>
            <w:r w:rsidRPr="00E14D8A">
              <w:rPr>
                <w:rFonts w:ascii="ITC Avant Garde" w:hAnsi="ITC Avant Garde" w:cs="Arial"/>
                <w:color w:val="000000"/>
                <w:sz w:val="16"/>
                <w:szCs w:val="16"/>
                <w:lang w:val="es-MX"/>
              </w:rPr>
              <w:t>Corresponde a un parámetro técnico del modelo.</w:t>
            </w:r>
          </w:p>
        </w:tc>
      </w:tr>
      <w:tr w:rsidR="00A66A23" w:rsidRPr="009F5AFF" w14:paraId="55D01937" w14:textId="77777777" w:rsidTr="00064199">
        <w:tc>
          <w:tcPr>
            <w:tcW w:w="2203" w:type="dxa"/>
            <w:shd w:val="clear" w:color="auto" w:fill="auto"/>
            <w:vAlign w:val="center"/>
          </w:tcPr>
          <w:p w14:paraId="49132B43" w14:textId="77777777" w:rsidR="00A66A23" w:rsidRPr="004C1A96" w:rsidRDefault="00A66A23" w:rsidP="00064199">
            <w:pPr>
              <w:rPr>
                <w:rFonts w:ascii="ITC Avant Garde" w:hAnsi="ITC Avant Garde" w:cs="Arial"/>
                <w:sz w:val="16"/>
                <w:szCs w:val="16"/>
                <w:lang w:val="es-MX"/>
              </w:rPr>
            </w:pPr>
            <w:r w:rsidRPr="004C1A96">
              <w:rPr>
                <w:rFonts w:ascii="ITC Avant Garde" w:hAnsi="ITC Avant Garde" w:cs="Arial"/>
                <w:color w:val="000000"/>
                <w:sz w:val="16"/>
                <w:szCs w:val="16"/>
                <w:lang w:val="es-MX"/>
              </w:rPr>
              <w:t>SDP_TriggerPerAddress_NbPremises</w:t>
            </w:r>
          </w:p>
        </w:tc>
        <w:tc>
          <w:tcPr>
            <w:tcW w:w="2967" w:type="dxa"/>
            <w:shd w:val="clear" w:color="auto" w:fill="auto"/>
            <w:vAlign w:val="center"/>
          </w:tcPr>
          <w:p w14:paraId="7F6F9169" w14:textId="77777777" w:rsidR="00A66A23" w:rsidRPr="00E14D8A" w:rsidRDefault="00A66A23" w:rsidP="00064199">
            <w:pPr>
              <w:rPr>
                <w:rFonts w:ascii="ITC Avant Garde" w:hAnsi="ITC Avant Garde" w:cs="Arial"/>
                <w:sz w:val="16"/>
                <w:szCs w:val="16"/>
                <w:lang w:val="es-MX"/>
              </w:rPr>
            </w:pPr>
            <w:r w:rsidRPr="00E14D8A">
              <w:rPr>
                <w:rFonts w:ascii="ITC Avant Garde" w:hAnsi="ITC Avant Garde" w:cs="Arial"/>
                <w:color w:val="000000"/>
                <w:sz w:val="16"/>
                <w:szCs w:val="16"/>
                <w:lang w:val="es-MX"/>
              </w:rPr>
              <w:t>Se instala un nuevo SDP cada vez que se sobrepasa este umbral. Este parámetro afecta el número de SDP por sección en áreas densas</w:t>
            </w:r>
          </w:p>
        </w:tc>
        <w:tc>
          <w:tcPr>
            <w:tcW w:w="3323" w:type="dxa"/>
            <w:vAlign w:val="center"/>
          </w:tcPr>
          <w:p w14:paraId="762A74CF" w14:textId="77777777" w:rsidR="00A66A23" w:rsidRPr="00E14D8A" w:rsidRDefault="00A66A23" w:rsidP="00064199">
            <w:pPr>
              <w:rPr>
                <w:rFonts w:ascii="ITC Avant Garde" w:hAnsi="ITC Avant Garde" w:cs="Arial"/>
                <w:color w:val="000000"/>
                <w:sz w:val="16"/>
                <w:szCs w:val="16"/>
                <w:lang w:val="es-MX"/>
              </w:rPr>
            </w:pPr>
            <w:r w:rsidRPr="00B651E9">
              <w:rPr>
                <w:rFonts w:ascii="ITC Avant Garde" w:hAnsi="ITC Avant Garde"/>
                <w:lang w:val="es-MX"/>
              </w:rPr>
              <w:t xml:space="preserve"> </w:t>
            </w:r>
            <w:r w:rsidRPr="004C1A96">
              <w:rPr>
                <w:rFonts w:ascii="ITC Avant Garde" w:hAnsi="ITC Avant Garde" w:cs="Arial"/>
                <w:color w:val="000000"/>
                <w:sz w:val="16"/>
                <w:szCs w:val="16"/>
                <w:lang w:val="es-MX"/>
              </w:rPr>
              <w:t>Este valor se ha establecido en 10 para el escenario de la red de cobre (</w:t>
            </w:r>
            <w:r w:rsidRPr="00E14D8A">
              <w:rPr>
                <w:rFonts w:ascii="ITC Avant Garde" w:hAnsi="ITC Avant Garde" w:cs="Arial"/>
                <w:color w:val="000000"/>
                <w:sz w:val="16"/>
                <w:szCs w:val="16"/>
                <w:lang w:val="es-MX"/>
              </w:rPr>
              <w:t>según las reglas de ingeniería provistas por Telmex). Mientras que se emplea un valor de 8 para el escenario FTTH PON (tamaño del divisor),</w:t>
            </w:r>
          </w:p>
        </w:tc>
      </w:tr>
      <w:tr w:rsidR="00A66A23" w:rsidRPr="009F5AFF" w14:paraId="63E52549" w14:textId="77777777" w:rsidTr="00064199">
        <w:tc>
          <w:tcPr>
            <w:tcW w:w="2203" w:type="dxa"/>
            <w:shd w:val="clear" w:color="auto" w:fill="auto"/>
            <w:vAlign w:val="center"/>
          </w:tcPr>
          <w:p w14:paraId="2B64421A" w14:textId="77777777" w:rsidR="00A66A23" w:rsidRPr="004C1A96" w:rsidRDefault="00A66A23" w:rsidP="00064199">
            <w:pPr>
              <w:rPr>
                <w:rFonts w:ascii="ITC Avant Garde" w:hAnsi="ITC Avant Garde" w:cs="Arial"/>
                <w:sz w:val="16"/>
                <w:szCs w:val="16"/>
                <w:lang w:val="es-MX"/>
              </w:rPr>
            </w:pPr>
            <w:r w:rsidRPr="004C1A96">
              <w:rPr>
                <w:rFonts w:ascii="ITC Avant Garde" w:hAnsi="ITC Avant Garde" w:cs="Arial"/>
                <w:color w:val="000000"/>
                <w:sz w:val="16"/>
                <w:szCs w:val="16"/>
                <w:lang w:val="es-MX"/>
              </w:rPr>
              <w:t>SDP_TriggerPerSection_Premises</w:t>
            </w:r>
          </w:p>
        </w:tc>
        <w:tc>
          <w:tcPr>
            <w:tcW w:w="2967" w:type="dxa"/>
            <w:shd w:val="clear" w:color="auto" w:fill="auto"/>
            <w:vAlign w:val="center"/>
          </w:tcPr>
          <w:p w14:paraId="4048A13C" w14:textId="77777777" w:rsidR="00A66A23" w:rsidRPr="00E14D8A" w:rsidRDefault="00A66A23" w:rsidP="00064199">
            <w:pPr>
              <w:rPr>
                <w:rFonts w:ascii="ITC Avant Garde" w:hAnsi="ITC Avant Garde" w:cs="Arial"/>
                <w:sz w:val="16"/>
                <w:szCs w:val="16"/>
                <w:lang w:val="es-MX"/>
              </w:rPr>
            </w:pPr>
            <w:r w:rsidRPr="00E14D8A">
              <w:rPr>
                <w:rFonts w:ascii="ITC Avant Garde" w:hAnsi="ITC Avant Garde" w:cs="Arial"/>
                <w:color w:val="000000"/>
                <w:sz w:val="16"/>
                <w:szCs w:val="16"/>
                <w:lang w:val="es-MX"/>
              </w:rPr>
              <w:t>Número mínimo de premisas que desencadena la instalación de SDP en una sección (donde 0 o 1 significa que al menos 1 SDP por sección que tiene premisas). Este parámetro afecta principalmente el número de SDP en áreas no densas</w:t>
            </w:r>
          </w:p>
        </w:tc>
        <w:tc>
          <w:tcPr>
            <w:tcW w:w="3323" w:type="dxa"/>
            <w:vAlign w:val="center"/>
          </w:tcPr>
          <w:p w14:paraId="3D5E40B5" w14:textId="77777777" w:rsidR="00A66A23" w:rsidRPr="00E14D8A" w:rsidRDefault="00A66A23" w:rsidP="00064199">
            <w:pPr>
              <w:rPr>
                <w:rFonts w:ascii="ITC Avant Garde" w:hAnsi="ITC Avant Garde" w:cs="Arial"/>
                <w:color w:val="000000"/>
                <w:sz w:val="16"/>
                <w:szCs w:val="16"/>
                <w:lang w:val="es-MX"/>
              </w:rPr>
            </w:pPr>
            <w:r w:rsidRPr="00B651E9">
              <w:rPr>
                <w:rFonts w:ascii="ITC Avant Garde" w:hAnsi="ITC Avant Garde"/>
                <w:lang w:val="es-MX"/>
              </w:rPr>
              <w:t xml:space="preserve"> </w:t>
            </w:r>
            <w:r w:rsidRPr="004C1A96">
              <w:rPr>
                <w:rFonts w:ascii="ITC Avant Garde" w:hAnsi="ITC Avant Garde" w:cs="Arial"/>
                <w:color w:val="000000"/>
                <w:sz w:val="16"/>
                <w:szCs w:val="16"/>
                <w:lang w:val="es-MX"/>
              </w:rPr>
              <w:t xml:space="preserve">Este valor se usa en para la red de </w:t>
            </w:r>
            <w:r w:rsidRPr="00E14D8A">
              <w:rPr>
                <w:rFonts w:ascii="ITC Avant Garde" w:hAnsi="ITC Avant Garde" w:cs="Arial"/>
                <w:color w:val="000000"/>
                <w:sz w:val="16"/>
                <w:szCs w:val="16"/>
                <w:lang w:val="es-MX"/>
              </w:rPr>
              <w:t>cobre (donde un SDP está instalado en cada sección si hay un edificio presente). Se ha establecido con un valor de 4 para el escenario FTTH PON (se instala un divisor si el número de premisas agregadas en la sección es superior a 4, de lo contrario, la fibra se transfiere a la siguiente sección).</w:t>
            </w:r>
          </w:p>
        </w:tc>
      </w:tr>
      <w:tr w:rsidR="00A66A23" w:rsidRPr="009F5AFF" w14:paraId="23607ECC" w14:textId="77777777" w:rsidTr="00064199">
        <w:tc>
          <w:tcPr>
            <w:tcW w:w="2203" w:type="dxa"/>
            <w:shd w:val="clear" w:color="auto" w:fill="auto"/>
            <w:vAlign w:val="center"/>
          </w:tcPr>
          <w:p w14:paraId="68D450F0" w14:textId="77777777" w:rsidR="00A66A23" w:rsidRPr="004C1A96" w:rsidRDefault="00A66A23" w:rsidP="00064199">
            <w:pPr>
              <w:rPr>
                <w:rFonts w:ascii="ITC Avant Garde" w:hAnsi="ITC Avant Garde" w:cs="Arial"/>
                <w:sz w:val="16"/>
                <w:szCs w:val="16"/>
                <w:lang w:val="es-MX"/>
              </w:rPr>
            </w:pPr>
            <w:r w:rsidRPr="004C1A96">
              <w:rPr>
                <w:rFonts w:ascii="ITC Avant Garde" w:hAnsi="ITC Avant Garde" w:cs="Arial"/>
                <w:color w:val="000000"/>
                <w:sz w:val="16"/>
                <w:szCs w:val="16"/>
                <w:lang w:val="es-MX"/>
              </w:rPr>
              <w:t>Source_Database</w:t>
            </w:r>
          </w:p>
        </w:tc>
        <w:tc>
          <w:tcPr>
            <w:tcW w:w="2967" w:type="dxa"/>
            <w:shd w:val="clear" w:color="auto" w:fill="auto"/>
            <w:vAlign w:val="center"/>
          </w:tcPr>
          <w:p w14:paraId="3431E4D9" w14:textId="77777777" w:rsidR="00A66A23" w:rsidRPr="00E14D8A" w:rsidRDefault="00A66A23" w:rsidP="00064199">
            <w:pPr>
              <w:rPr>
                <w:rFonts w:ascii="ITC Avant Garde" w:hAnsi="ITC Avant Garde" w:cs="Arial"/>
                <w:sz w:val="16"/>
                <w:szCs w:val="16"/>
                <w:lang w:val="es-MX"/>
              </w:rPr>
            </w:pPr>
            <w:r w:rsidRPr="00E14D8A">
              <w:rPr>
                <w:rFonts w:ascii="ITC Avant Garde" w:hAnsi="ITC Avant Garde" w:cs="Arial"/>
                <w:color w:val="000000"/>
                <w:sz w:val="16"/>
                <w:szCs w:val="16"/>
                <w:lang w:val="es-MX"/>
              </w:rPr>
              <w:t>Corresponde a la base de datos utilizada como fuente para el escenario</w:t>
            </w:r>
            <w:r w:rsidRPr="00E14D8A" w:rsidDel="00541C1A">
              <w:rPr>
                <w:rFonts w:ascii="ITC Avant Garde" w:hAnsi="ITC Avant Garde" w:cs="Arial"/>
                <w:color w:val="000000"/>
                <w:sz w:val="16"/>
                <w:szCs w:val="16"/>
                <w:lang w:val="es-MX"/>
              </w:rPr>
              <w:t xml:space="preserve"> </w:t>
            </w:r>
          </w:p>
        </w:tc>
        <w:tc>
          <w:tcPr>
            <w:tcW w:w="3323" w:type="dxa"/>
            <w:vAlign w:val="center"/>
          </w:tcPr>
          <w:p w14:paraId="7925349E" w14:textId="77777777" w:rsidR="00A66A23" w:rsidRPr="004C1A96" w:rsidRDefault="00A66A23" w:rsidP="00064199">
            <w:pPr>
              <w:rPr>
                <w:rFonts w:ascii="ITC Avant Garde" w:hAnsi="ITC Avant Garde" w:cs="Arial"/>
                <w:color w:val="000000"/>
                <w:sz w:val="16"/>
                <w:szCs w:val="16"/>
                <w:lang w:val="es-MX"/>
              </w:rPr>
            </w:pPr>
            <w:r w:rsidRPr="004C1A96">
              <w:rPr>
                <w:rFonts w:ascii="ITC Avant Garde" w:hAnsi="ITC Avant Garde" w:cs="Arial"/>
                <w:color w:val="000000"/>
                <w:sz w:val="16"/>
                <w:szCs w:val="16"/>
                <w:lang w:val="es-MX"/>
              </w:rPr>
              <w:t xml:space="preserve"> Corresponde a un parámetro técnico del modelo</w:t>
            </w:r>
            <w:r w:rsidRPr="004C1A96" w:rsidDel="00541C1A">
              <w:rPr>
                <w:rFonts w:ascii="ITC Avant Garde" w:hAnsi="ITC Avant Garde" w:cs="Arial"/>
                <w:color w:val="000000"/>
                <w:sz w:val="16"/>
                <w:szCs w:val="16"/>
                <w:lang w:val="es-MX"/>
              </w:rPr>
              <w:t xml:space="preserve"> </w:t>
            </w:r>
          </w:p>
        </w:tc>
      </w:tr>
      <w:tr w:rsidR="00A66A23" w:rsidRPr="009F5AFF" w14:paraId="4D4CF9E2" w14:textId="77777777" w:rsidTr="00064199">
        <w:tc>
          <w:tcPr>
            <w:tcW w:w="2203" w:type="dxa"/>
            <w:shd w:val="clear" w:color="auto" w:fill="auto"/>
            <w:vAlign w:val="center"/>
          </w:tcPr>
          <w:p w14:paraId="47ED1314" w14:textId="77777777" w:rsidR="00A66A23" w:rsidRPr="004C1A96" w:rsidRDefault="00A66A23" w:rsidP="00064199">
            <w:pPr>
              <w:rPr>
                <w:rFonts w:ascii="ITC Avant Garde" w:hAnsi="ITC Avant Garde" w:cs="Arial"/>
                <w:sz w:val="16"/>
                <w:szCs w:val="16"/>
                <w:lang w:val="es-MX"/>
              </w:rPr>
            </w:pPr>
            <w:r w:rsidRPr="004C1A96">
              <w:rPr>
                <w:rFonts w:ascii="ITC Avant Garde" w:hAnsi="ITC Avant Garde" w:cs="Arial"/>
                <w:color w:val="000000"/>
                <w:sz w:val="16"/>
                <w:szCs w:val="16"/>
                <w:lang w:val="es-MX"/>
              </w:rPr>
              <w:t>Technology_Aggregation</w:t>
            </w:r>
          </w:p>
        </w:tc>
        <w:tc>
          <w:tcPr>
            <w:tcW w:w="2967" w:type="dxa"/>
            <w:shd w:val="clear" w:color="auto" w:fill="auto"/>
            <w:vAlign w:val="center"/>
          </w:tcPr>
          <w:p w14:paraId="6D01BE3B" w14:textId="77777777" w:rsidR="00A66A23" w:rsidRPr="00E14D8A" w:rsidRDefault="00A66A23" w:rsidP="00064199">
            <w:pPr>
              <w:rPr>
                <w:rFonts w:ascii="ITC Avant Garde" w:hAnsi="ITC Avant Garde" w:cs="Arial"/>
                <w:sz w:val="16"/>
                <w:szCs w:val="16"/>
                <w:lang w:val="es-MX"/>
              </w:rPr>
            </w:pPr>
            <w:r w:rsidRPr="00E14D8A">
              <w:rPr>
                <w:rFonts w:ascii="ITC Avant Garde" w:hAnsi="ITC Avant Garde" w:cs="Arial"/>
                <w:color w:val="000000"/>
                <w:sz w:val="16"/>
                <w:szCs w:val="16"/>
                <w:lang w:val="es-MX"/>
              </w:rPr>
              <w:t xml:space="preserve">Tipo de cables del FDP al SDP (cobre o fibra) </w:t>
            </w:r>
          </w:p>
        </w:tc>
        <w:tc>
          <w:tcPr>
            <w:tcW w:w="3323" w:type="dxa"/>
            <w:vAlign w:val="center"/>
          </w:tcPr>
          <w:p w14:paraId="76EBC0B6" w14:textId="77777777" w:rsidR="00A66A23" w:rsidRPr="00E14D8A" w:rsidRDefault="00A66A23" w:rsidP="00064199">
            <w:pPr>
              <w:rPr>
                <w:rFonts w:ascii="ITC Avant Garde" w:hAnsi="ITC Avant Garde" w:cs="Arial"/>
                <w:color w:val="000000"/>
                <w:sz w:val="16"/>
                <w:szCs w:val="16"/>
                <w:lang w:val="es-MX"/>
              </w:rPr>
            </w:pPr>
            <w:r w:rsidRPr="00E14D8A">
              <w:rPr>
                <w:rFonts w:ascii="ITC Avant Garde" w:hAnsi="ITC Avant Garde" w:cs="Arial"/>
                <w:color w:val="000000"/>
                <w:sz w:val="16"/>
                <w:szCs w:val="16"/>
                <w:lang w:val="es-MX"/>
              </w:rPr>
              <w:t>Este parámetro se ha configurado en cobre (para el escenario de cobre) y fibra (para FTTH).</w:t>
            </w:r>
          </w:p>
        </w:tc>
      </w:tr>
      <w:tr w:rsidR="00A66A23" w:rsidRPr="009F5AFF" w14:paraId="14021E98" w14:textId="77777777" w:rsidTr="00064199">
        <w:tc>
          <w:tcPr>
            <w:tcW w:w="2203" w:type="dxa"/>
            <w:tcBorders>
              <w:top w:val="single" w:sz="4" w:space="0" w:color="auto"/>
              <w:left w:val="single" w:sz="4" w:space="0" w:color="auto"/>
              <w:bottom w:val="single" w:sz="4" w:space="0" w:color="auto"/>
              <w:right w:val="single" w:sz="4" w:space="0" w:color="auto"/>
            </w:tcBorders>
            <w:shd w:val="clear" w:color="auto" w:fill="auto"/>
            <w:vAlign w:val="center"/>
          </w:tcPr>
          <w:p w14:paraId="1D1B1F02" w14:textId="77777777" w:rsidR="00A66A23" w:rsidRPr="004C1A96" w:rsidRDefault="00A66A23" w:rsidP="00064199">
            <w:pPr>
              <w:rPr>
                <w:rFonts w:ascii="ITC Avant Garde" w:hAnsi="ITC Avant Garde" w:cs="Arial"/>
                <w:color w:val="000000"/>
                <w:sz w:val="16"/>
                <w:szCs w:val="16"/>
                <w:lang w:val="es-MX"/>
              </w:rPr>
            </w:pPr>
            <w:r w:rsidRPr="004C1A96">
              <w:rPr>
                <w:rFonts w:ascii="ITC Avant Garde" w:hAnsi="ITC Avant Garde" w:cs="Arial"/>
                <w:color w:val="000000"/>
                <w:sz w:val="16"/>
                <w:szCs w:val="16"/>
                <w:lang w:val="es-MX"/>
              </w:rPr>
              <w:t>Technology_SDP_PDP</w:t>
            </w:r>
          </w:p>
        </w:tc>
        <w:tc>
          <w:tcPr>
            <w:tcW w:w="2967" w:type="dxa"/>
            <w:tcBorders>
              <w:top w:val="single" w:sz="4" w:space="0" w:color="auto"/>
              <w:left w:val="single" w:sz="4" w:space="0" w:color="auto"/>
              <w:bottom w:val="single" w:sz="4" w:space="0" w:color="auto"/>
              <w:right w:val="single" w:sz="4" w:space="0" w:color="auto"/>
            </w:tcBorders>
            <w:shd w:val="clear" w:color="auto" w:fill="auto"/>
            <w:vAlign w:val="center"/>
          </w:tcPr>
          <w:p w14:paraId="34814347" w14:textId="77777777" w:rsidR="00A66A23" w:rsidRPr="00E14D8A" w:rsidRDefault="00A66A23" w:rsidP="00064199">
            <w:pPr>
              <w:rPr>
                <w:rFonts w:ascii="ITC Avant Garde" w:hAnsi="ITC Avant Garde" w:cs="Arial"/>
                <w:color w:val="000000"/>
                <w:sz w:val="16"/>
                <w:szCs w:val="16"/>
                <w:lang w:val="es-MX"/>
              </w:rPr>
            </w:pPr>
            <w:r w:rsidRPr="004C1A96">
              <w:rPr>
                <w:rFonts w:ascii="ITC Avant Garde" w:hAnsi="ITC Avant Garde" w:cs="Arial"/>
                <w:color w:val="000000"/>
                <w:sz w:val="16"/>
                <w:szCs w:val="16"/>
                <w:lang w:val="es-MX"/>
              </w:rPr>
              <w:t>Tipo de cable del SDP al PDP (</w:t>
            </w:r>
            <w:r w:rsidRPr="00E14D8A">
              <w:rPr>
                <w:rFonts w:ascii="ITC Avant Garde" w:hAnsi="ITC Avant Garde" w:cs="Arial"/>
                <w:color w:val="000000"/>
                <w:sz w:val="16"/>
                <w:szCs w:val="16"/>
                <w:lang w:val="es-MX"/>
              </w:rPr>
              <w:t>cobre  o fibra)</w:t>
            </w:r>
          </w:p>
        </w:tc>
        <w:tc>
          <w:tcPr>
            <w:tcW w:w="3323" w:type="dxa"/>
            <w:tcBorders>
              <w:top w:val="single" w:sz="4" w:space="0" w:color="auto"/>
              <w:left w:val="single" w:sz="4" w:space="0" w:color="auto"/>
              <w:bottom w:val="single" w:sz="4" w:space="0" w:color="auto"/>
              <w:right w:val="single" w:sz="4" w:space="0" w:color="auto"/>
            </w:tcBorders>
          </w:tcPr>
          <w:p w14:paraId="5DFED36E" w14:textId="77777777" w:rsidR="00A66A23" w:rsidRPr="00E14D8A" w:rsidRDefault="00A66A23" w:rsidP="00064199">
            <w:pPr>
              <w:rPr>
                <w:rFonts w:ascii="ITC Avant Garde" w:hAnsi="ITC Avant Garde" w:cs="Arial"/>
                <w:color w:val="000000"/>
                <w:sz w:val="16"/>
                <w:szCs w:val="16"/>
                <w:lang w:val="es-MX"/>
              </w:rPr>
            </w:pPr>
            <w:r w:rsidRPr="00E14D8A">
              <w:rPr>
                <w:rFonts w:ascii="ITC Avant Garde" w:hAnsi="ITC Avant Garde" w:cs="Arial"/>
                <w:color w:val="000000"/>
                <w:sz w:val="16"/>
                <w:szCs w:val="16"/>
                <w:lang w:val="es-MX"/>
              </w:rPr>
              <w:t>Este parámetro se ha configurado en cobre (para el escenario de cobre) y fibra (para FTTH).</w:t>
            </w:r>
          </w:p>
        </w:tc>
      </w:tr>
      <w:tr w:rsidR="00A66A23" w:rsidRPr="009F5AFF" w14:paraId="2825987B" w14:textId="77777777" w:rsidTr="00064199">
        <w:tc>
          <w:tcPr>
            <w:tcW w:w="2203" w:type="dxa"/>
            <w:shd w:val="clear" w:color="auto" w:fill="auto"/>
            <w:vAlign w:val="center"/>
          </w:tcPr>
          <w:p w14:paraId="305C7BD2" w14:textId="77777777" w:rsidR="00A66A23" w:rsidRPr="004C1A96" w:rsidRDefault="00A66A23" w:rsidP="00064199">
            <w:pPr>
              <w:rPr>
                <w:rFonts w:ascii="ITC Avant Garde" w:hAnsi="ITC Avant Garde" w:cs="Arial"/>
                <w:sz w:val="16"/>
                <w:szCs w:val="16"/>
                <w:lang w:val="es-MX"/>
              </w:rPr>
            </w:pPr>
            <w:r w:rsidRPr="004C1A96">
              <w:rPr>
                <w:rFonts w:ascii="ITC Avant Garde" w:hAnsi="ITC Avant Garde" w:cs="Arial"/>
                <w:color w:val="000000"/>
                <w:sz w:val="16"/>
                <w:szCs w:val="16"/>
                <w:lang w:val="es-MX"/>
              </w:rPr>
              <w:t>Technology_PDP_CO</w:t>
            </w:r>
          </w:p>
        </w:tc>
        <w:tc>
          <w:tcPr>
            <w:tcW w:w="2967" w:type="dxa"/>
            <w:shd w:val="clear" w:color="auto" w:fill="auto"/>
            <w:vAlign w:val="center"/>
          </w:tcPr>
          <w:p w14:paraId="6706EF85" w14:textId="77777777" w:rsidR="00A66A23" w:rsidRPr="00E14D8A" w:rsidRDefault="00A66A23" w:rsidP="00064199">
            <w:pPr>
              <w:rPr>
                <w:rFonts w:ascii="ITC Avant Garde" w:hAnsi="ITC Avant Garde" w:cs="Arial"/>
                <w:sz w:val="16"/>
                <w:szCs w:val="16"/>
                <w:lang w:val="es-MX"/>
              </w:rPr>
            </w:pPr>
            <w:r w:rsidRPr="00E14D8A">
              <w:rPr>
                <w:rFonts w:ascii="ITC Avant Garde" w:hAnsi="ITC Avant Garde" w:cs="Arial"/>
                <w:color w:val="000000"/>
                <w:sz w:val="16"/>
                <w:szCs w:val="16"/>
                <w:lang w:val="es-MX"/>
              </w:rPr>
              <w:t>Tipo de cable del PDP a la Oficina Central (cobre o fibra)</w:t>
            </w:r>
          </w:p>
        </w:tc>
        <w:tc>
          <w:tcPr>
            <w:tcW w:w="3323" w:type="dxa"/>
          </w:tcPr>
          <w:p w14:paraId="101F9F0E" w14:textId="77777777" w:rsidR="00A66A23" w:rsidRPr="004C1A96" w:rsidRDefault="00A66A23" w:rsidP="00064199">
            <w:pPr>
              <w:rPr>
                <w:rFonts w:ascii="ITC Avant Garde" w:hAnsi="ITC Avant Garde" w:cs="Arial"/>
                <w:color w:val="000000"/>
                <w:sz w:val="16"/>
                <w:szCs w:val="16"/>
                <w:lang w:val="es-MX"/>
              </w:rPr>
            </w:pPr>
            <w:r w:rsidRPr="00E14D8A">
              <w:rPr>
                <w:rFonts w:ascii="ITC Avant Garde" w:hAnsi="ITC Avant Garde" w:cs="Arial"/>
                <w:color w:val="000000"/>
                <w:sz w:val="16"/>
                <w:szCs w:val="16"/>
                <w:lang w:val="es-MX"/>
              </w:rPr>
              <w:t>Este parámetro se ha configurado en cobre (para el escenario de cobre</w:t>
            </w:r>
            <w:r w:rsidRPr="004C1A96">
              <w:rPr>
                <w:rFonts w:ascii="ITC Avant Garde" w:hAnsi="ITC Avant Garde" w:cs="Arial"/>
                <w:color w:val="000000"/>
                <w:sz w:val="16"/>
                <w:szCs w:val="16"/>
                <w:lang w:val="es-MX"/>
              </w:rPr>
              <w:t>) y fibra (para FTTH).</w:t>
            </w:r>
          </w:p>
        </w:tc>
      </w:tr>
      <w:tr w:rsidR="00A66A23" w:rsidRPr="009F5AFF" w14:paraId="5285902C" w14:textId="77777777" w:rsidTr="00064199">
        <w:tc>
          <w:tcPr>
            <w:tcW w:w="2203" w:type="dxa"/>
            <w:shd w:val="clear" w:color="auto" w:fill="auto"/>
            <w:vAlign w:val="center"/>
          </w:tcPr>
          <w:p w14:paraId="45576998" w14:textId="77777777" w:rsidR="00A66A23" w:rsidRPr="004C1A96" w:rsidRDefault="00A66A23" w:rsidP="00064199">
            <w:pPr>
              <w:rPr>
                <w:rFonts w:ascii="ITC Avant Garde" w:hAnsi="ITC Avant Garde" w:cs="Arial"/>
                <w:color w:val="000000"/>
                <w:sz w:val="16"/>
                <w:szCs w:val="16"/>
                <w:lang w:val="es-MX"/>
              </w:rPr>
            </w:pPr>
            <w:r w:rsidRPr="004C1A96">
              <w:rPr>
                <w:rFonts w:ascii="ITC Avant Garde" w:hAnsi="ITC Avant Garde" w:cs="Arial"/>
                <w:color w:val="000000"/>
                <w:sz w:val="16"/>
                <w:szCs w:val="16"/>
                <w:lang w:val="es-MX"/>
              </w:rPr>
              <w:t>Access_Use_Ducts</w:t>
            </w:r>
          </w:p>
        </w:tc>
        <w:tc>
          <w:tcPr>
            <w:tcW w:w="2967" w:type="dxa"/>
            <w:shd w:val="clear" w:color="auto" w:fill="auto"/>
            <w:vAlign w:val="center"/>
          </w:tcPr>
          <w:p w14:paraId="457ACDED" w14:textId="77777777" w:rsidR="00A66A23" w:rsidRPr="00E14D8A" w:rsidRDefault="00A66A23" w:rsidP="00064199">
            <w:pPr>
              <w:rPr>
                <w:rFonts w:ascii="ITC Avant Garde" w:hAnsi="ITC Avant Garde" w:cs="Arial"/>
                <w:color w:val="000000"/>
                <w:sz w:val="16"/>
                <w:szCs w:val="16"/>
                <w:lang w:val="es-MX"/>
              </w:rPr>
            </w:pPr>
            <w:r w:rsidRPr="00E14D8A">
              <w:rPr>
                <w:rFonts w:ascii="ITC Avant Garde" w:hAnsi="ITC Avant Garde" w:cs="Arial"/>
                <w:color w:val="000000"/>
                <w:sz w:val="16"/>
                <w:szCs w:val="16"/>
                <w:lang w:val="es-MX"/>
              </w:rPr>
              <w:t>Independientemente de la agregación, parte de los SDP y PDP de la red usan ductos (para el dimensonamiento de zanjas)</w:t>
            </w:r>
          </w:p>
        </w:tc>
        <w:tc>
          <w:tcPr>
            <w:tcW w:w="3323" w:type="dxa"/>
            <w:vAlign w:val="center"/>
          </w:tcPr>
          <w:p w14:paraId="133AD18B" w14:textId="77777777" w:rsidR="00A66A23" w:rsidRPr="00E14D8A" w:rsidRDefault="00A66A23" w:rsidP="00064199">
            <w:pPr>
              <w:rPr>
                <w:rFonts w:ascii="ITC Avant Garde" w:hAnsi="ITC Avant Garde" w:cs="Arial"/>
                <w:color w:val="000000"/>
                <w:sz w:val="16"/>
                <w:szCs w:val="16"/>
                <w:lang w:val="es-MX"/>
              </w:rPr>
            </w:pPr>
            <w:r w:rsidRPr="00E14D8A">
              <w:rPr>
                <w:rFonts w:ascii="ITC Avant Garde" w:hAnsi="ITC Avant Garde" w:cs="Arial"/>
                <w:color w:val="000000"/>
                <w:sz w:val="16"/>
                <w:szCs w:val="16"/>
                <w:lang w:val="es-MX"/>
              </w:rPr>
              <w:t>Este parámetro se establece en 0 para cobre y 1 para fibra ya que no se usan conductos (o subductos) en las canalizaciones para el escenario de cobre. Sin embargo, para fibra, se asume que se utilizan subductos.</w:t>
            </w:r>
          </w:p>
        </w:tc>
      </w:tr>
      <w:tr w:rsidR="00A66A23" w:rsidRPr="009F5AFF" w14:paraId="7742A3B2" w14:textId="77777777" w:rsidTr="00064199">
        <w:tc>
          <w:tcPr>
            <w:tcW w:w="2203" w:type="dxa"/>
            <w:shd w:val="clear" w:color="auto" w:fill="auto"/>
            <w:vAlign w:val="center"/>
          </w:tcPr>
          <w:p w14:paraId="68F8B72E" w14:textId="77777777" w:rsidR="00A66A23" w:rsidRPr="004C1A96" w:rsidRDefault="00A66A23" w:rsidP="00064199">
            <w:pPr>
              <w:rPr>
                <w:rFonts w:ascii="ITC Avant Garde" w:hAnsi="ITC Avant Garde" w:cs="Arial"/>
                <w:color w:val="000000"/>
                <w:sz w:val="16"/>
                <w:szCs w:val="16"/>
                <w:lang w:val="es-MX"/>
              </w:rPr>
            </w:pPr>
            <w:r w:rsidRPr="004C1A96">
              <w:rPr>
                <w:rFonts w:ascii="ITC Avant Garde" w:hAnsi="ITC Avant Garde" w:cs="Arial"/>
                <w:color w:val="000000"/>
                <w:sz w:val="16"/>
                <w:szCs w:val="16"/>
                <w:lang w:val="es-MX"/>
              </w:rPr>
              <w:t>MaxDistancePoles</w:t>
            </w:r>
          </w:p>
          <w:p w14:paraId="28985FB1" w14:textId="77777777" w:rsidR="00A66A23" w:rsidRPr="004C1A96" w:rsidRDefault="00A66A23" w:rsidP="00064199">
            <w:pPr>
              <w:rPr>
                <w:rFonts w:ascii="ITC Avant Garde" w:hAnsi="ITC Avant Garde" w:cs="Arial"/>
                <w:sz w:val="16"/>
                <w:szCs w:val="16"/>
                <w:lang w:val="es-MX"/>
              </w:rPr>
            </w:pPr>
          </w:p>
          <w:p w14:paraId="789BC611" w14:textId="77777777" w:rsidR="00A66A23" w:rsidRPr="00E14D8A" w:rsidRDefault="00A66A23" w:rsidP="00064199">
            <w:pPr>
              <w:rPr>
                <w:rFonts w:ascii="ITC Avant Garde" w:hAnsi="ITC Avant Garde" w:cs="Arial"/>
                <w:sz w:val="16"/>
                <w:szCs w:val="16"/>
                <w:lang w:val="es-MX"/>
              </w:rPr>
            </w:pPr>
          </w:p>
          <w:p w14:paraId="0B0A5FEF" w14:textId="77777777" w:rsidR="00A66A23" w:rsidRPr="00E14D8A" w:rsidRDefault="00A66A23" w:rsidP="00064199">
            <w:pPr>
              <w:rPr>
                <w:rFonts w:ascii="ITC Avant Garde" w:hAnsi="ITC Avant Garde" w:cs="Arial"/>
                <w:sz w:val="16"/>
                <w:szCs w:val="16"/>
                <w:lang w:val="es-MX"/>
              </w:rPr>
            </w:pPr>
          </w:p>
        </w:tc>
        <w:tc>
          <w:tcPr>
            <w:tcW w:w="2967" w:type="dxa"/>
            <w:shd w:val="clear" w:color="auto" w:fill="auto"/>
            <w:vAlign w:val="center"/>
          </w:tcPr>
          <w:p w14:paraId="280EFAB7" w14:textId="77777777" w:rsidR="00A66A23" w:rsidRPr="00E14D8A" w:rsidRDefault="00A66A23" w:rsidP="00064199">
            <w:pPr>
              <w:rPr>
                <w:rFonts w:ascii="ITC Avant Garde" w:hAnsi="ITC Avant Garde" w:cs="Arial"/>
                <w:color w:val="000000"/>
                <w:sz w:val="16"/>
                <w:szCs w:val="16"/>
                <w:lang w:val="es-MX"/>
              </w:rPr>
            </w:pPr>
            <w:r w:rsidRPr="00E14D8A">
              <w:rPr>
                <w:rFonts w:ascii="ITC Avant Garde" w:hAnsi="ITC Avant Garde" w:cs="Arial"/>
                <w:color w:val="000000"/>
                <w:sz w:val="16"/>
                <w:szCs w:val="16"/>
                <w:lang w:val="es-MX"/>
              </w:rPr>
              <w:lastRenderedPageBreak/>
              <w:t>Distancia máxima entre postes</w:t>
            </w:r>
          </w:p>
        </w:tc>
        <w:tc>
          <w:tcPr>
            <w:tcW w:w="3323" w:type="dxa"/>
            <w:vAlign w:val="center"/>
          </w:tcPr>
          <w:p w14:paraId="61B4FC5F" w14:textId="77777777" w:rsidR="00A66A23" w:rsidRPr="004C1A96" w:rsidRDefault="00A66A23" w:rsidP="00064199">
            <w:pPr>
              <w:rPr>
                <w:rFonts w:ascii="ITC Avant Garde" w:hAnsi="ITC Avant Garde" w:cs="Arial"/>
                <w:color w:val="000000"/>
                <w:sz w:val="16"/>
                <w:szCs w:val="16"/>
                <w:lang w:val="es-MX"/>
              </w:rPr>
            </w:pPr>
            <w:r w:rsidRPr="004C1A96">
              <w:rPr>
                <w:rFonts w:ascii="ITC Avant Garde" w:hAnsi="ITC Avant Garde" w:cs="Arial"/>
                <w:color w:val="000000"/>
                <w:sz w:val="16"/>
                <w:szCs w:val="16"/>
                <w:lang w:val="es-MX"/>
              </w:rPr>
              <w:t xml:space="preserve">Este parámetro condiciona la instalación de postes. Está configurado en 60m de acuerdo con la información </w:t>
            </w:r>
            <w:r w:rsidRPr="004C1A96">
              <w:rPr>
                <w:rFonts w:ascii="ITC Avant Garde" w:hAnsi="ITC Avant Garde" w:cs="Arial"/>
                <w:color w:val="000000"/>
                <w:sz w:val="16"/>
                <w:szCs w:val="16"/>
                <w:lang w:val="es-MX"/>
              </w:rPr>
              <w:lastRenderedPageBreak/>
              <w:t>aportada por Telmex para redes de cobre y fibra.</w:t>
            </w:r>
          </w:p>
        </w:tc>
      </w:tr>
      <w:tr w:rsidR="00A66A23" w:rsidRPr="009F5AFF" w14:paraId="7FA30EB6" w14:textId="77777777" w:rsidTr="00064199">
        <w:tc>
          <w:tcPr>
            <w:tcW w:w="2203" w:type="dxa"/>
            <w:shd w:val="clear" w:color="auto" w:fill="auto"/>
            <w:vAlign w:val="center"/>
          </w:tcPr>
          <w:p w14:paraId="528EE60A" w14:textId="77777777" w:rsidR="00A66A23" w:rsidRPr="004C1A96" w:rsidRDefault="00A66A23" w:rsidP="00064199">
            <w:pPr>
              <w:rPr>
                <w:rFonts w:ascii="ITC Avant Garde" w:hAnsi="ITC Avant Garde" w:cs="Arial"/>
                <w:color w:val="000000"/>
                <w:sz w:val="16"/>
                <w:szCs w:val="16"/>
                <w:lang w:val="es-MX"/>
              </w:rPr>
            </w:pPr>
            <w:r w:rsidRPr="004C1A96">
              <w:rPr>
                <w:rFonts w:ascii="ITC Avant Garde" w:hAnsi="ITC Avant Garde" w:cs="Arial"/>
                <w:color w:val="000000"/>
                <w:sz w:val="16"/>
                <w:szCs w:val="16"/>
                <w:lang w:val="es-MX"/>
              </w:rPr>
              <w:lastRenderedPageBreak/>
              <w:t>MaxNbPoles</w:t>
            </w:r>
          </w:p>
        </w:tc>
        <w:tc>
          <w:tcPr>
            <w:tcW w:w="2967" w:type="dxa"/>
            <w:shd w:val="clear" w:color="auto" w:fill="auto"/>
            <w:vAlign w:val="center"/>
          </w:tcPr>
          <w:p w14:paraId="4F1BE992" w14:textId="77777777" w:rsidR="00A66A23" w:rsidRPr="00E14D8A" w:rsidRDefault="00A66A23" w:rsidP="00064199">
            <w:pPr>
              <w:rPr>
                <w:rFonts w:ascii="ITC Avant Garde" w:hAnsi="ITC Avant Garde" w:cs="Arial"/>
                <w:color w:val="000000"/>
                <w:sz w:val="16"/>
                <w:szCs w:val="16"/>
                <w:lang w:val="es-MX"/>
              </w:rPr>
            </w:pPr>
            <w:r w:rsidRPr="004C1A96">
              <w:rPr>
                <w:rFonts w:ascii="ITC Avant Garde" w:hAnsi="ITC Avant Garde" w:cs="Arial"/>
                <w:color w:val="000000"/>
                <w:sz w:val="16"/>
                <w:szCs w:val="16"/>
                <w:lang w:val="es-MX"/>
              </w:rPr>
              <w:t>Número de pos</w:t>
            </w:r>
            <w:r w:rsidRPr="00E14D8A">
              <w:rPr>
                <w:rFonts w:ascii="ITC Avant Garde" w:hAnsi="ITC Avant Garde" w:cs="Arial"/>
                <w:color w:val="000000"/>
                <w:sz w:val="16"/>
                <w:szCs w:val="16"/>
                <w:lang w:val="es-MX"/>
              </w:rPr>
              <w:t>tes cuya capacidad máxima es MaxPoleCapa y</w:t>
            </w:r>
            <w:r w:rsidRPr="00B651E9">
              <w:rPr>
                <w:rFonts w:ascii="ITC Avant Garde" w:hAnsi="ITC Avant Garde"/>
                <w:lang w:val="es-MX"/>
              </w:rPr>
              <w:t xml:space="preserve"> </w:t>
            </w:r>
            <w:r w:rsidRPr="004C1A96">
              <w:rPr>
                <w:rFonts w:ascii="ITC Avant Garde" w:hAnsi="ITC Avant Garde" w:cs="Arial"/>
                <w:color w:val="000000"/>
                <w:sz w:val="16"/>
                <w:szCs w:val="16"/>
                <w:lang w:val="es-MX"/>
              </w:rPr>
              <w:t xml:space="preserve">que se encuentran en la red aérea. </w:t>
            </w:r>
            <w:r w:rsidRPr="00B651E9">
              <w:rPr>
                <w:rFonts w:ascii="ITC Avant Garde" w:hAnsi="ITC Avant Garde"/>
                <w:lang w:val="es-MX"/>
              </w:rPr>
              <w:t xml:space="preserve"> </w:t>
            </w:r>
            <w:r w:rsidRPr="004C1A96">
              <w:rPr>
                <w:rFonts w:ascii="ITC Avant Garde" w:hAnsi="ITC Avant Garde" w:cs="Arial"/>
                <w:color w:val="000000"/>
                <w:sz w:val="16"/>
                <w:szCs w:val="16"/>
                <w:lang w:val="es-MX"/>
              </w:rPr>
              <w:t>La capacidad máxima aéreaes el product de ambos parámetros</w:t>
            </w:r>
            <w:r w:rsidRPr="00E14D8A" w:rsidDel="00245D84">
              <w:rPr>
                <w:rFonts w:ascii="ITC Avant Garde" w:hAnsi="ITC Avant Garde" w:cs="Arial"/>
                <w:color w:val="000000"/>
                <w:sz w:val="16"/>
                <w:szCs w:val="16"/>
                <w:lang w:val="es-MX"/>
              </w:rPr>
              <w:t xml:space="preserve"> </w:t>
            </w:r>
          </w:p>
        </w:tc>
        <w:tc>
          <w:tcPr>
            <w:tcW w:w="3323" w:type="dxa"/>
            <w:vAlign w:val="center"/>
          </w:tcPr>
          <w:p w14:paraId="7CDC5B01" w14:textId="77777777" w:rsidR="00A66A23" w:rsidRPr="004C1A96" w:rsidRDefault="00A66A23" w:rsidP="00064199">
            <w:pPr>
              <w:rPr>
                <w:rFonts w:ascii="ITC Avant Garde" w:hAnsi="ITC Avant Garde" w:cs="Arial"/>
                <w:color w:val="000000"/>
                <w:sz w:val="16"/>
                <w:szCs w:val="16"/>
                <w:lang w:val="es-MX"/>
              </w:rPr>
            </w:pPr>
            <w:r w:rsidRPr="00E14D8A">
              <w:rPr>
                <w:rFonts w:ascii="ITC Avant Garde" w:hAnsi="ITC Avant Garde" w:cs="Arial"/>
                <w:color w:val="000000"/>
                <w:sz w:val="16"/>
                <w:szCs w:val="16"/>
                <w:lang w:val="es-MX"/>
              </w:rPr>
              <w:t xml:space="preserve">El número máximo de postes </w:t>
            </w:r>
            <w:r w:rsidRPr="004C1A96">
              <w:rPr>
                <w:rFonts w:ascii="ITC Avant Garde" w:hAnsi="ITC Avant Garde" w:cs="Arial"/>
                <w:color w:val="000000"/>
                <w:sz w:val="16"/>
                <w:szCs w:val="16"/>
                <w:lang w:val="es-MX"/>
              </w:rPr>
              <w:t>que tienen la capacidad "MaxPoleCapa" que podrían admitir los postes de Telmex.</w:t>
            </w:r>
          </w:p>
          <w:p w14:paraId="2C9C34D1" w14:textId="77777777" w:rsidR="00A66A23" w:rsidRPr="004C1A96" w:rsidRDefault="00A66A23" w:rsidP="00064199">
            <w:pPr>
              <w:rPr>
                <w:rFonts w:ascii="ITC Avant Garde" w:hAnsi="ITC Avant Garde" w:cs="Arial"/>
                <w:color w:val="000000"/>
                <w:sz w:val="16"/>
                <w:szCs w:val="16"/>
                <w:lang w:val="es-MX"/>
              </w:rPr>
            </w:pPr>
            <w:r w:rsidRPr="004C1A96">
              <w:rPr>
                <w:rFonts w:ascii="ITC Avant Garde" w:hAnsi="ITC Avant Garde" w:cs="Arial"/>
                <w:color w:val="000000"/>
                <w:sz w:val="16"/>
                <w:szCs w:val="16"/>
                <w:lang w:val="es-MX"/>
              </w:rPr>
              <w:t>Este parámetro se establece en 144 para fibra y 150 para cobre.</w:t>
            </w:r>
          </w:p>
        </w:tc>
      </w:tr>
      <w:tr w:rsidR="00A66A23" w:rsidRPr="009F5AFF" w14:paraId="4D8042B2" w14:textId="77777777" w:rsidTr="00064199">
        <w:tc>
          <w:tcPr>
            <w:tcW w:w="2203" w:type="dxa"/>
            <w:shd w:val="clear" w:color="auto" w:fill="auto"/>
            <w:vAlign w:val="center"/>
          </w:tcPr>
          <w:p w14:paraId="2D7865B0" w14:textId="77777777" w:rsidR="00A66A23" w:rsidRPr="004C1A96" w:rsidRDefault="00A66A23" w:rsidP="00064199">
            <w:pPr>
              <w:rPr>
                <w:rFonts w:ascii="ITC Avant Garde" w:hAnsi="ITC Avant Garde" w:cs="Arial"/>
                <w:color w:val="000000"/>
                <w:sz w:val="16"/>
                <w:szCs w:val="16"/>
                <w:lang w:val="es-MX"/>
              </w:rPr>
            </w:pPr>
            <w:r w:rsidRPr="004C1A96">
              <w:rPr>
                <w:rFonts w:ascii="ITC Avant Garde" w:hAnsi="ITC Avant Garde" w:cs="Arial"/>
                <w:color w:val="000000"/>
                <w:sz w:val="16"/>
                <w:szCs w:val="16"/>
                <w:lang w:val="es-MX"/>
              </w:rPr>
              <w:t>MaxPoleCapa</w:t>
            </w:r>
          </w:p>
        </w:tc>
        <w:tc>
          <w:tcPr>
            <w:tcW w:w="2967" w:type="dxa"/>
            <w:shd w:val="clear" w:color="auto" w:fill="auto"/>
            <w:vAlign w:val="center"/>
          </w:tcPr>
          <w:p w14:paraId="7EE1D74B" w14:textId="77777777" w:rsidR="00A66A23" w:rsidRPr="00E14D8A" w:rsidRDefault="00A66A23" w:rsidP="00064199">
            <w:pPr>
              <w:rPr>
                <w:rFonts w:ascii="ITC Avant Garde" w:hAnsi="ITC Avant Garde" w:cs="Arial"/>
                <w:color w:val="000000"/>
                <w:sz w:val="16"/>
                <w:szCs w:val="16"/>
                <w:lang w:val="es-MX"/>
              </w:rPr>
            </w:pPr>
            <w:r w:rsidRPr="004C1A96">
              <w:rPr>
                <w:rFonts w:ascii="ITC Avant Garde" w:hAnsi="ITC Avant Garde" w:cs="Arial"/>
                <w:color w:val="000000"/>
                <w:sz w:val="16"/>
                <w:szCs w:val="16"/>
                <w:lang w:val="es-MX"/>
              </w:rPr>
              <w:t xml:space="preserve">El tamaño máximo de un cable que podría ser </w:t>
            </w:r>
            <w:r w:rsidRPr="00E14D8A">
              <w:rPr>
                <w:rFonts w:ascii="ITC Avant Garde" w:hAnsi="ITC Avant Garde" w:cs="Arial"/>
                <w:color w:val="000000"/>
                <w:sz w:val="16"/>
                <w:szCs w:val="16"/>
                <w:lang w:val="es-MX"/>
              </w:rPr>
              <w:t>soportado en la red aérea</w:t>
            </w:r>
          </w:p>
        </w:tc>
        <w:tc>
          <w:tcPr>
            <w:tcW w:w="3323" w:type="dxa"/>
            <w:vAlign w:val="center"/>
          </w:tcPr>
          <w:p w14:paraId="390D4797" w14:textId="77777777" w:rsidR="00A66A23" w:rsidRPr="004C1A96" w:rsidRDefault="00A66A23" w:rsidP="00064199">
            <w:pPr>
              <w:rPr>
                <w:rFonts w:ascii="ITC Avant Garde" w:hAnsi="ITC Avant Garde" w:cs="Arial"/>
                <w:color w:val="000000"/>
                <w:sz w:val="16"/>
                <w:szCs w:val="16"/>
                <w:lang w:val="es-MX"/>
              </w:rPr>
            </w:pPr>
            <w:r w:rsidRPr="00B651E9">
              <w:rPr>
                <w:rFonts w:ascii="ITC Avant Garde" w:hAnsi="ITC Avant Garde"/>
                <w:lang w:val="es-MX"/>
              </w:rPr>
              <w:t xml:space="preserve"> </w:t>
            </w:r>
            <w:r w:rsidRPr="004C1A96">
              <w:rPr>
                <w:rFonts w:ascii="ITC Avant Garde" w:hAnsi="ITC Avant Garde" w:cs="Arial"/>
                <w:color w:val="000000"/>
                <w:sz w:val="16"/>
                <w:szCs w:val="16"/>
                <w:lang w:val="es-MX"/>
              </w:rPr>
              <w:t>Este parámetro se establece en 2 para ambos escenarios.</w:t>
            </w:r>
          </w:p>
        </w:tc>
      </w:tr>
    </w:tbl>
    <w:p w14:paraId="4C8B9482" w14:textId="77777777" w:rsidR="00A66A23" w:rsidRPr="004C1A96" w:rsidRDefault="00A66A23" w:rsidP="00A66A23">
      <w:pPr>
        <w:rPr>
          <w:rFonts w:ascii="ITC Avant Garde" w:hAnsi="ITC Avant Garde"/>
          <w:lang w:val="es-MX"/>
        </w:rPr>
      </w:pPr>
      <w:r w:rsidRPr="00B651E9">
        <w:rPr>
          <w:rFonts w:ascii="ITC Avant Garde" w:hAnsi="ITC Avant Garde"/>
          <w:lang w:val="es-MX"/>
        </w:rPr>
        <w:br/>
      </w:r>
      <w:r w:rsidRPr="004C1A96">
        <w:rPr>
          <w:rFonts w:ascii="ITC Avant Garde" w:hAnsi="ITC Avant Garde"/>
          <w:lang w:val="es-MX"/>
        </w:rPr>
        <w:t>Por otro lado, los parámetros integrados en la tabla "Parameters_Technical" son los siguientes:</w:t>
      </w:r>
    </w:p>
    <w:p w14:paraId="21CD2402" w14:textId="77777777" w:rsidR="00A66A23" w:rsidRPr="00E14D8A" w:rsidRDefault="00A66A23" w:rsidP="00A66A23">
      <w:pPr>
        <w:rPr>
          <w:rFonts w:ascii="ITC Avant Garde" w:hAnsi="ITC Avant Garde"/>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0"/>
        <w:gridCol w:w="2974"/>
        <w:gridCol w:w="3330"/>
      </w:tblGrid>
      <w:tr w:rsidR="00A66A23" w:rsidRPr="004C1A96" w14:paraId="48367073" w14:textId="77777777" w:rsidTr="00064199">
        <w:trPr>
          <w:tblHeader/>
          <w:jc w:val="center"/>
        </w:trPr>
        <w:tc>
          <w:tcPr>
            <w:tcW w:w="2405" w:type="dxa"/>
            <w:shd w:val="clear" w:color="auto" w:fill="2F5897" w:themeFill="text2"/>
            <w:vAlign w:val="bottom"/>
          </w:tcPr>
          <w:p w14:paraId="55EB1FF7" w14:textId="77777777" w:rsidR="00A66A23" w:rsidRPr="00E14D8A" w:rsidRDefault="00A66A23" w:rsidP="00064199">
            <w:pPr>
              <w:keepNext/>
              <w:jc w:val="center"/>
              <w:rPr>
                <w:rFonts w:ascii="ITC Avant Garde" w:hAnsi="ITC Avant Garde" w:cs="Arial"/>
                <w:b/>
                <w:color w:val="FFFFFF"/>
                <w:sz w:val="16"/>
                <w:lang w:val="es-MX"/>
              </w:rPr>
            </w:pPr>
            <w:r w:rsidRPr="00E14D8A">
              <w:rPr>
                <w:rFonts w:ascii="ITC Avant Garde" w:hAnsi="ITC Avant Garde" w:cs="Arial"/>
                <w:b/>
                <w:color w:val="FFFFFF"/>
                <w:sz w:val="16"/>
                <w:szCs w:val="22"/>
                <w:lang w:val="es-MX"/>
              </w:rPr>
              <w:t>Nombre del parámetro</w:t>
            </w:r>
          </w:p>
        </w:tc>
        <w:tc>
          <w:tcPr>
            <w:tcW w:w="3275" w:type="dxa"/>
            <w:shd w:val="clear" w:color="auto" w:fill="2F5897" w:themeFill="text2"/>
            <w:vAlign w:val="bottom"/>
          </w:tcPr>
          <w:p w14:paraId="38362C42" w14:textId="77777777" w:rsidR="00A66A23" w:rsidRPr="004C1A96" w:rsidRDefault="00A66A23" w:rsidP="00064199">
            <w:pPr>
              <w:keepNext/>
              <w:jc w:val="center"/>
              <w:rPr>
                <w:rFonts w:ascii="ITC Avant Garde" w:hAnsi="ITC Avant Garde" w:cs="Arial"/>
                <w:b/>
                <w:color w:val="FFFFFF"/>
                <w:sz w:val="16"/>
                <w:lang w:val="es-MX"/>
              </w:rPr>
            </w:pPr>
            <w:r w:rsidRPr="004C1A96">
              <w:rPr>
                <w:rFonts w:ascii="ITC Avant Garde" w:hAnsi="ITC Avant Garde" w:cs="Arial"/>
                <w:b/>
                <w:color w:val="FFFFFF"/>
                <w:sz w:val="16"/>
                <w:szCs w:val="22"/>
                <w:lang w:val="es-MX"/>
              </w:rPr>
              <w:t>Descripcón</w:t>
            </w:r>
          </w:p>
        </w:tc>
        <w:tc>
          <w:tcPr>
            <w:tcW w:w="3671" w:type="dxa"/>
            <w:shd w:val="clear" w:color="auto" w:fill="2F5897" w:themeFill="text2"/>
          </w:tcPr>
          <w:p w14:paraId="114CBE8A" w14:textId="77777777" w:rsidR="00A66A23" w:rsidRPr="004C1A96" w:rsidRDefault="00A66A23" w:rsidP="00064199">
            <w:pPr>
              <w:keepNext/>
              <w:jc w:val="center"/>
              <w:rPr>
                <w:rFonts w:ascii="ITC Avant Garde" w:hAnsi="ITC Avant Garde" w:cs="Arial"/>
                <w:b/>
                <w:color w:val="FFFFFF"/>
                <w:sz w:val="16"/>
                <w:szCs w:val="22"/>
                <w:lang w:val="es-MX"/>
              </w:rPr>
            </w:pPr>
            <w:r w:rsidRPr="004C1A96">
              <w:rPr>
                <w:rFonts w:ascii="ITC Avant Garde" w:hAnsi="ITC Avant Garde" w:cs="Arial"/>
                <w:b/>
                <w:color w:val="FFFFFF"/>
                <w:sz w:val="16"/>
                <w:szCs w:val="22"/>
                <w:lang w:val="es-MX"/>
              </w:rPr>
              <w:t>Valores</w:t>
            </w:r>
          </w:p>
        </w:tc>
      </w:tr>
      <w:tr w:rsidR="00A66A23" w:rsidRPr="009F5AFF" w14:paraId="0141B16E" w14:textId="77777777" w:rsidTr="00064199">
        <w:trPr>
          <w:jc w:val="center"/>
        </w:trPr>
        <w:tc>
          <w:tcPr>
            <w:tcW w:w="2405" w:type="dxa"/>
            <w:shd w:val="clear" w:color="auto" w:fill="auto"/>
            <w:vAlign w:val="center"/>
          </w:tcPr>
          <w:p w14:paraId="6B84CE15" w14:textId="77777777" w:rsidR="00A66A23" w:rsidRPr="004C1A96" w:rsidRDefault="00A66A23" w:rsidP="00064199">
            <w:pPr>
              <w:keepNext/>
              <w:jc w:val="center"/>
              <w:rPr>
                <w:rFonts w:ascii="ITC Avant Garde" w:hAnsi="ITC Avant Garde" w:cs="Arial"/>
                <w:sz w:val="16"/>
                <w:lang w:val="es-MX"/>
              </w:rPr>
            </w:pPr>
            <w:r w:rsidRPr="004C1A96">
              <w:rPr>
                <w:rFonts w:ascii="ITC Avant Garde" w:hAnsi="ITC Avant Garde" w:cs="Arial"/>
                <w:color w:val="000000"/>
                <w:sz w:val="16"/>
                <w:szCs w:val="22"/>
                <w:lang w:val="es-MX"/>
              </w:rPr>
              <w:t>MarkUp_Aerial_Cables</w:t>
            </w:r>
          </w:p>
        </w:tc>
        <w:tc>
          <w:tcPr>
            <w:tcW w:w="3275" w:type="dxa"/>
            <w:shd w:val="clear" w:color="auto" w:fill="auto"/>
            <w:vAlign w:val="bottom"/>
          </w:tcPr>
          <w:p w14:paraId="60E2E174" w14:textId="77777777" w:rsidR="00A66A23" w:rsidRPr="00E14D8A" w:rsidRDefault="00A66A23" w:rsidP="00064199">
            <w:pPr>
              <w:keepNext/>
              <w:rPr>
                <w:rFonts w:ascii="ITC Avant Garde" w:hAnsi="ITC Avant Garde" w:cs="Arial"/>
                <w:sz w:val="16"/>
                <w:lang w:val="es-MX"/>
              </w:rPr>
            </w:pPr>
            <w:r w:rsidRPr="00E14D8A">
              <w:rPr>
                <w:rFonts w:ascii="ITC Avant Garde" w:hAnsi="ITC Avant Garde"/>
                <w:sz w:val="16"/>
                <w:lang w:val="es-MX"/>
              </w:rPr>
              <w:t>Este parámetro se utiliza como un marcado para que la toma aérea tenga en cuenta la longitud adicional debida a la curvatura de los cables aéreos.</w:t>
            </w:r>
          </w:p>
        </w:tc>
        <w:tc>
          <w:tcPr>
            <w:tcW w:w="3671" w:type="dxa"/>
          </w:tcPr>
          <w:p w14:paraId="7AF019A5" w14:textId="77777777" w:rsidR="00A66A23" w:rsidRPr="004C1A96" w:rsidRDefault="00A66A23" w:rsidP="00064199">
            <w:pPr>
              <w:rPr>
                <w:rFonts w:ascii="ITC Avant Garde" w:hAnsi="ITC Avant Garde"/>
                <w:sz w:val="16"/>
                <w:lang w:val="es-MX"/>
              </w:rPr>
            </w:pPr>
            <w:r w:rsidRPr="004C1A96">
              <w:rPr>
                <w:rFonts w:ascii="ITC Avant Garde" w:hAnsi="ITC Avant Garde"/>
                <w:sz w:val="16"/>
                <w:lang w:val="es-MX"/>
              </w:rPr>
              <w:t>Como lo expresó Telmex en sus respuestas, se debe agregar un 3.5% de longitud adicional a los cables aéreos.</w:t>
            </w:r>
          </w:p>
          <w:p w14:paraId="6814CE78" w14:textId="77777777" w:rsidR="00A66A23" w:rsidRPr="004C1A96" w:rsidRDefault="00A66A23" w:rsidP="00064199">
            <w:pPr>
              <w:keepNext/>
              <w:rPr>
                <w:rFonts w:ascii="ITC Avant Garde" w:hAnsi="ITC Avant Garde" w:cs="Arial"/>
                <w:color w:val="000000"/>
                <w:sz w:val="16"/>
                <w:szCs w:val="22"/>
                <w:lang w:val="es-MX"/>
              </w:rPr>
            </w:pPr>
            <w:r w:rsidRPr="004C1A96">
              <w:rPr>
                <w:rFonts w:ascii="ITC Avant Garde" w:hAnsi="ITC Avant Garde"/>
                <w:sz w:val="16"/>
                <w:lang w:val="es-MX"/>
              </w:rPr>
              <w:t>Por lo tanto, este parámetro se ha establecido en 1,035 para ambas redes</w:t>
            </w:r>
          </w:p>
        </w:tc>
      </w:tr>
      <w:tr w:rsidR="00A66A23" w:rsidRPr="009F5AFF" w14:paraId="3446070E" w14:textId="77777777" w:rsidTr="00064199">
        <w:trPr>
          <w:jc w:val="center"/>
        </w:trPr>
        <w:tc>
          <w:tcPr>
            <w:tcW w:w="2405" w:type="dxa"/>
            <w:shd w:val="clear" w:color="auto" w:fill="auto"/>
            <w:vAlign w:val="center"/>
          </w:tcPr>
          <w:p w14:paraId="504088A6" w14:textId="77777777" w:rsidR="00A66A23" w:rsidRPr="004C1A96" w:rsidRDefault="00A66A23" w:rsidP="00064199">
            <w:pPr>
              <w:keepNext/>
              <w:jc w:val="center"/>
              <w:rPr>
                <w:rFonts w:ascii="ITC Avant Garde" w:hAnsi="ITC Avant Garde" w:cs="Arial"/>
                <w:sz w:val="16"/>
                <w:lang w:val="es-MX"/>
              </w:rPr>
            </w:pPr>
            <w:r w:rsidRPr="004C1A96">
              <w:rPr>
                <w:rFonts w:ascii="ITC Avant Garde" w:hAnsi="ITC Avant Garde" w:cs="Arial"/>
                <w:color w:val="000000"/>
                <w:sz w:val="16"/>
                <w:szCs w:val="22"/>
                <w:lang w:val="es-MX"/>
              </w:rPr>
              <w:t>Canalizaciones_MaxFill</w:t>
            </w:r>
          </w:p>
        </w:tc>
        <w:tc>
          <w:tcPr>
            <w:tcW w:w="3275" w:type="dxa"/>
            <w:shd w:val="clear" w:color="auto" w:fill="auto"/>
            <w:vAlign w:val="bottom"/>
          </w:tcPr>
          <w:p w14:paraId="56C73148" w14:textId="77777777" w:rsidR="00A66A23" w:rsidRPr="00E14D8A" w:rsidRDefault="00A66A23" w:rsidP="00064199">
            <w:pPr>
              <w:keepNext/>
              <w:rPr>
                <w:rFonts w:ascii="ITC Avant Garde" w:hAnsi="ITC Avant Garde" w:cs="Arial"/>
                <w:sz w:val="16"/>
                <w:lang w:val="es-MX"/>
              </w:rPr>
            </w:pPr>
            <w:r w:rsidRPr="00E14D8A">
              <w:rPr>
                <w:rFonts w:ascii="ITC Avant Garde" w:hAnsi="ITC Avant Garde"/>
                <w:sz w:val="16"/>
                <w:lang w:val="es-MX"/>
              </w:rPr>
              <w:t>La máxima superficie interior de canalizaciones que se puede rellenar con cables antes de agregar un segundo cable</w:t>
            </w:r>
          </w:p>
        </w:tc>
        <w:tc>
          <w:tcPr>
            <w:tcW w:w="3671" w:type="dxa"/>
          </w:tcPr>
          <w:p w14:paraId="32BA6874" w14:textId="77777777" w:rsidR="00A66A23" w:rsidRPr="004C1A96" w:rsidRDefault="00A66A23" w:rsidP="00064199">
            <w:pPr>
              <w:keepNext/>
              <w:rPr>
                <w:rFonts w:ascii="ITC Avant Garde" w:hAnsi="ITC Avant Garde" w:cs="Arial"/>
                <w:color w:val="000000"/>
                <w:sz w:val="16"/>
                <w:szCs w:val="22"/>
                <w:lang w:val="es-MX"/>
              </w:rPr>
            </w:pPr>
            <w:r w:rsidRPr="00E14D8A">
              <w:rPr>
                <w:rFonts w:ascii="ITC Avant Garde" w:hAnsi="ITC Avant Garde"/>
                <w:sz w:val="16"/>
                <w:lang w:val="es-MX"/>
              </w:rPr>
              <w:t>Este parámetro se ha configurado en 0.75.</w:t>
            </w:r>
          </w:p>
        </w:tc>
      </w:tr>
      <w:tr w:rsidR="00A66A23" w:rsidRPr="009F5AFF" w14:paraId="0DBFC97D" w14:textId="77777777" w:rsidTr="00064199">
        <w:trPr>
          <w:jc w:val="center"/>
        </w:trPr>
        <w:tc>
          <w:tcPr>
            <w:tcW w:w="2405" w:type="dxa"/>
            <w:shd w:val="clear" w:color="auto" w:fill="auto"/>
            <w:vAlign w:val="center"/>
          </w:tcPr>
          <w:p w14:paraId="7D89608D" w14:textId="77777777" w:rsidR="00A66A23" w:rsidRPr="004C1A96" w:rsidRDefault="00A66A23" w:rsidP="00064199">
            <w:pPr>
              <w:keepNext/>
              <w:jc w:val="center"/>
              <w:rPr>
                <w:rFonts w:ascii="ITC Avant Garde" w:hAnsi="ITC Avant Garde" w:cs="Arial"/>
                <w:sz w:val="16"/>
                <w:lang w:val="es-MX"/>
              </w:rPr>
            </w:pPr>
            <w:r w:rsidRPr="004C1A96">
              <w:rPr>
                <w:rFonts w:ascii="ITC Avant Garde" w:hAnsi="ITC Avant Garde" w:cs="Arial"/>
                <w:color w:val="000000"/>
                <w:sz w:val="16"/>
                <w:szCs w:val="22"/>
                <w:lang w:val="es-MX"/>
              </w:rPr>
              <w:t>Ducts_MaxFill</w:t>
            </w:r>
          </w:p>
        </w:tc>
        <w:tc>
          <w:tcPr>
            <w:tcW w:w="3275" w:type="dxa"/>
            <w:shd w:val="clear" w:color="auto" w:fill="auto"/>
            <w:vAlign w:val="bottom"/>
          </w:tcPr>
          <w:p w14:paraId="1A49F178" w14:textId="77777777" w:rsidR="00A66A23" w:rsidRPr="00E14D8A" w:rsidRDefault="00A66A23" w:rsidP="00064199">
            <w:pPr>
              <w:keepNext/>
              <w:rPr>
                <w:rFonts w:ascii="ITC Avant Garde" w:hAnsi="ITC Avant Garde" w:cs="Arial"/>
                <w:sz w:val="16"/>
                <w:lang w:val="es-MX"/>
              </w:rPr>
            </w:pPr>
            <w:r w:rsidRPr="00E14D8A">
              <w:rPr>
                <w:rFonts w:ascii="ITC Avant Garde" w:hAnsi="ITC Avant Garde"/>
                <w:sz w:val="16"/>
                <w:lang w:val="es-MX"/>
              </w:rPr>
              <w:t>La superficie interna máxima de los conductos que pueden llenarse con cables antes de agregar un segundo cable.</w:t>
            </w:r>
          </w:p>
        </w:tc>
        <w:tc>
          <w:tcPr>
            <w:tcW w:w="3671" w:type="dxa"/>
          </w:tcPr>
          <w:p w14:paraId="21C13FF8" w14:textId="77777777" w:rsidR="00A66A23" w:rsidRPr="004C1A96" w:rsidRDefault="00A66A23" w:rsidP="00064199">
            <w:pPr>
              <w:keepNext/>
              <w:rPr>
                <w:rFonts w:ascii="ITC Avant Garde" w:hAnsi="ITC Avant Garde" w:cs="Arial"/>
                <w:color w:val="000000"/>
                <w:sz w:val="16"/>
                <w:szCs w:val="22"/>
                <w:lang w:val="es-MX"/>
              </w:rPr>
            </w:pPr>
            <w:r w:rsidRPr="004C1A96">
              <w:rPr>
                <w:rFonts w:ascii="ITC Avant Garde" w:hAnsi="ITC Avant Garde"/>
                <w:sz w:val="16"/>
                <w:lang w:val="es-MX"/>
              </w:rPr>
              <w:t>Este parámetro se ha establecido en 0.75.</w:t>
            </w:r>
          </w:p>
        </w:tc>
      </w:tr>
      <w:tr w:rsidR="00A66A23" w:rsidRPr="009F5AFF" w14:paraId="205F60E1" w14:textId="77777777" w:rsidTr="0006419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11A18353" w14:textId="77777777" w:rsidR="00A66A23" w:rsidRPr="004C1A96" w:rsidRDefault="00A66A23" w:rsidP="00064199">
            <w:pPr>
              <w:keepNext/>
              <w:jc w:val="center"/>
              <w:rPr>
                <w:rFonts w:ascii="ITC Avant Garde" w:hAnsi="ITC Avant Garde" w:cs="Arial"/>
                <w:color w:val="000000"/>
                <w:sz w:val="16"/>
                <w:szCs w:val="22"/>
                <w:lang w:val="es-MX"/>
              </w:rPr>
            </w:pPr>
            <w:r w:rsidRPr="004C1A96">
              <w:rPr>
                <w:rFonts w:ascii="ITC Avant Garde" w:hAnsi="ITC Avant Garde" w:cs="Arial"/>
                <w:color w:val="000000"/>
                <w:sz w:val="16"/>
                <w:szCs w:val="22"/>
                <w:lang w:val="es-MX"/>
              </w:rPr>
              <w:t>Trenches_RoadCrossToSideCostRatio</w:t>
            </w:r>
          </w:p>
        </w:tc>
        <w:tc>
          <w:tcPr>
            <w:tcW w:w="3275" w:type="dxa"/>
            <w:tcBorders>
              <w:top w:val="single" w:sz="4" w:space="0" w:color="auto"/>
              <w:left w:val="single" w:sz="4" w:space="0" w:color="auto"/>
              <w:bottom w:val="single" w:sz="4" w:space="0" w:color="auto"/>
              <w:right w:val="single" w:sz="4" w:space="0" w:color="auto"/>
            </w:tcBorders>
            <w:shd w:val="clear" w:color="auto" w:fill="auto"/>
            <w:vAlign w:val="bottom"/>
          </w:tcPr>
          <w:p w14:paraId="7C37C27E" w14:textId="77777777" w:rsidR="00A66A23" w:rsidRPr="00E14D8A" w:rsidRDefault="00A66A23" w:rsidP="00064199">
            <w:pPr>
              <w:keepNext/>
              <w:rPr>
                <w:rFonts w:ascii="ITC Avant Garde" w:hAnsi="ITC Avant Garde" w:cs="Arial"/>
                <w:color w:val="000000"/>
                <w:sz w:val="16"/>
                <w:szCs w:val="22"/>
                <w:lang w:val="es-MX"/>
              </w:rPr>
            </w:pPr>
            <w:r w:rsidRPr="004C1A96">
              <w:rPr>
                <w:rFonts w:ascii="ITC Avant Garde" w:hAnsi="ITC Avant Garde"/>
                <w:sz w:val="16"/>
                <w:lang w:val="es-MX"/>
              </w:rPr>
              <w:t>La relación del costo unitario del cruce de carreteras dividido por el costo unitario de excavación en el lado de la carretera. La longitud del cruce del camino</w:t>
            </w:r>
            <w:r w:rsidRPr="00E14D8A">
              <w:rPr>
                <w:rFonts w:ascii="ITC Avant Garde" w:hAnsi="ITC Avant Garde"/>
                <w:sz w:val="16"/>
                <w:lang w:val="es-MX"/>
              </w:rPr>
              <w:t xml:space="preserve"> se multiplicará por esta relación.</w:t>
            </w:r>
          </w:p>
        </w:tc>
        <w:tc>
          <w:tcPr>
            <w:tcW w:w="3671" w:type="dxa"/>
            <w:tcBorders>
              <w:top w:val="single" w:sz="4" w:space="0" w:color="auto"/>
              <w:left w:val="single" w:sz="4" w:space="0" w:color="auto"/>
              <w:bottom w:val="single" w:sz="4" w:space="0" w:color="auto"/>
              <w:right w:val="single" w:sz="4" w:space="0" w:color="auto"/>
            </w:tcBorders>
          </w:tcPr>
          <w:p w14:paraId="022D5696" w14:textId="77777777" w:rsidR="00A66A23" w:rsidRPr="00E14D8A" w:rsidRDefault="00A66A23" w:rsidP="00064199">
            <w:pPr>
              <w:rPr>
                <w:rFonts w:ascii="ITC Avant Garde" w:hAnsi="ITC Avant Garde"/>
                <w:sz w:val="16"/>
                <w:lang w:val="es-MX"/>
              </w:rPr>
            </w:pPr>
            <w:r w:rsidRPr="00E14D8A">
              <w:rPr>
                <w:rFonts w:ascii="ITC Avant Garde" w:hAnsi="ITC Avant Garde"/>
                <w:sz w:val="16"/>
                <w:lang w:val="es-MX"/>
              </w:rPr>
              <w:t>Este parámetro se ha establecido en 2.42 y se calculó en función de las respuestas de Telmex como una relación entre el costo de las canalizaciones "Arroyo" y "Banqueta".</w:t>
            </w:r>
          </w:p>
        </w:tc>
      </w:tr>
      <w:tr w:rsidR="00A66A23" w:rsidRPr="004C1A96" w14:paraId="1720B5FE" w14:textId="77777777" w:rsidTr="0006419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06146DE9" w14:textId="77777777" w:rsidR="00A66A23" w:rsidRPr="004C1A96" w:rsidRDefault="00A66A23" w:rsidP="00064199">
            <w:pPr>
              <w:keepNext/>
              <w:jc w:val="center"/>
              <w:rPr>
                <w:rFonts w:ascii="ITC Avant Garde" w:hAnsi="ITC Avant Garde" w:cs="Arial"/>
                <w:color w:val="000000"/>
                <w:sz w:val="16"/>
                <w:szCs w:val="22"/>
                <w:lang w:val="es-MX"/>
              </w:rPr>
            </w:pPr>
            <w:r w:rsidRPr="004C1A96">
              <w:rPr>
                <w:rFonts w:ascii="ITC Avant Garde" w:hAnsi="ITC Avant Garde" w:cs="Arial"/>
                <w:color w:val="000000"/>
                <w:sz w:val="16"/>
                <w:szCs w:val="22"/>
                <w:lang w:val="es-MX"/>
              </w:rPr>
              <w:t>Current_Source_Database</w:t>
            </w:r>
          </w:p>
        </w:tc>
        <w:tc>
          <w:tcPr>
            <w:tcW w:w="3275" w:type="dxa"/>
            <w:tcBorders>
              <w:top w:val="single" w:sz="4" w:space="0" w:color="auto"/>
              <w:left w:val="single" w:sz="4" w:space="0" w:color="auto"/>
              <w:bottom w:val="single" w:sz="4" w:space="0" w:color="auto"/>
              <w:right w:val="single" w:sz="4" w:space="0" w:color="auto"/>
            </w:tcBorders>
            <w:shd w:val="clear" w:color="auto" w:fill="auto"/>
            <w:vAlign w:val="bottom"/>
          </w:tcPr>
          <w:p w14:paraId="58C949C7" w14:textId="77777777" w:rsidR="00A66A23" w:rsidRPr="00E14D8A" w:rsidRDefault="00A66A23" w:rsidP="00064199">
            <w:pPr>
              <w:keepNext/>
              <w:rPr>
                <w:rFonts w:ascii="ITC Avant Garde" w:hAnsi="ITC Avant Garde" w:cs="Arial"/>
                <w:color w:val="000000"/>
                <w:sz w:val="16"/>
                <w:szCs w:val="22"/>
                <w:lang w:val="es-MX"/>
              </w:rPr>
            </w:pPr>
            <w:r w:rsidRPr="004C1A96">
              <w:rPr>
                <w:rFonts w:ascii="ITC Avant Garde" w:hAnsi="ITC Avant Garde"/>
                <w:sz w:val="16"/>
                <w:lang w:val="es-MX"/>
              </w:rPr>
              <w:t>No debería ser modificad</w:t>
            </w:r>
            <w:r w:rsidRPr="00E14D8A">
              <w:rPr>
                <w:rFonts w:ascii="ITC Avant Garde" w:hAnsi="ITC Avant Garde"/>
                <w:sz w:val="16"/>
                <w:lang w:val="es-MX"/>
              </w:rPr>
              <w:t>o. Indica al algoritmo la última base de importación para determinar si es necesario volver a importar o no</w:t>
            </w:r>
          </w:p>
        </w:tc>
        <w:tc>
          <w:tcPr>
            <w:tcW w:w="3671" w:type="dxa"/>
            <w:tcBorders>
              <w:top w:val="single" w:sz="4" w:space="0" w:color="auto"/>
              <w:left w:val="single" w:sz="4" w:space="0" w:color="auto"/>
              <w:bottom w:val="single" w:sz="4" w:space="0" w:color="auto"/>
              <w:right w:val="single" w:sz="4" w:space="0" w:color="auto"/>
            </w:tcBorders>
          </w:tcPr>
          <w:p w14:paraId="3D2031BB" w14:textId="77777777" w:rsidR="00A66A23" w:rsidRPr="004C1A96" w:rsidRDefault="00A66A23" w:rsidP="00064199">
            <w:pPr>
              <w:keepNext/>
              <w:rPr>
                <w:rFonts w:ascii="ITC Avant Garde" w:hAnsi="ITC Avant Garde" w:cs="Arial"/>
                <w:color w:val="000000"/>
                <w:sz w:val="16"/>
                <w:szCs w:val="22"/>
                <w:lang w:val="es-MX"/>
              </w:rPr>
            </w:pPr>
            <w:r w:rsidRPr="00E14D8A">
              <w:rPr>
                <w:rFonts w:ascii="ITC Avant Garde" w:hAnsi="ITC Avant Garde"/>
                <w:sz w:val="16"/>
                <w:lang w:val="es-MX"/>
              </w:rPr>
              <w:t>Parámetro técnico</w:t>
            </w:r>
          </w:p>
        </w:tc>
      </w:tr>
      <w:tr w:rsidR="00A66A23" w:rsidRPr="004C1A96" w14:paraId="628C80BB" w14:textId="77777777" w:rsidTr="0006419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5CF289B1" w14:textId="77777777" w:rsidR="00A66A23" w:rsidRPr="004C1A96" w:rsidRDefault="00A66A23" w:rsidP="00064199">
            <w:pPr>
              <w:keepNext/>
              <w:jc w:val="center"/>
              <w:rPr>
                <w:rFonts w:ascii="ITC Avant Garde" w:hAnsi="ITC Avant Garde" w:cs="Arial"/>
                <w:color w:val="000000"/>
                <w:sz w:val="16"/>
                <w:szCs w:val="22"/>
                <w:lang w:val="es-MX"/>
              </w:rPr>
            </w:pPr>
            <w:r w:rsidRPr="004C1A96">
              <w:rPr>
                <w:rFonts w:ascii="ITC Avant Garde" w:hAnsi="ITC Avant Garde" w:cs="Arial"/>
                <w:color w:val="000000"/>
                <w:sz w:val="16"/>
                <w:szCs w:val="22"/>
                <w:lang w:val="es-MX"/>
              </w:rPr>
              <w:t>Current_Scenario</w:t>
            </w:r>
          </w:p>
        </w:tc>
        <w:tc>
          <w:tcPr>
            <w:tcW w:w="3275" w:type="dxa"/>
            <w:tcBorders>
              <w:top w:val="single" w:sz="4" w:space="0" w:color="auto"/>
              <w:left w:val="single" w:sz="4" w:space="0" w:color="auto"/>
              <w:bottom w:val="single" w:sz="4" w:space="0" w:color="auto"/>
              <w:right w:val="single" w:sz="4" w:space="0" w:color="auto"/>
            </w:tcBorders>
            <w:shd w:val="clear" w:color="auto" w:fill="auto"/>
            <w:vAlign w:val="bottom"/>
          </w:tcPr>
          <w:p w14:paraId="5F9942E2" w14:textId="77777777" w:rsidR="00A66A23" w:rsidRPr="00E14D8A" w:rsidRDefault="00A66A23" w:rsidP="00064199">
            <w:pPr>
              <w:keepNext/>
              <w:rPr>
                <w:rFonts w:ascii="ITC Avant Garde" w:hAnsi="ITC Avant Garde" w:cs="Arial"/>
                <w:color w:val="000000"/>
                <w:sz w:val="16"/>
                <w:szCs w:val="22"/>
                <w:lang w:val="es-MX"/>
              </w:rPr>
            </w:pPr>
            <w:r w:rsidRPr="004C1A96">
              <w:rPr>
                <w:rFonts w:ascii="ITC Avant Garde" w:hAnsi="ITC Avant Garde"/>
                <w:sz w:val="16"/>
                <w:lang w:val="es-MX"/>
              </w:rPr>
              <w:t>N</w:t>
            </w:r>
            <w:r w:rsidRPr="00E14D8A">
              <w:rPr>
                <w:rFonts w:ascii="ITC Avant Garde" w:hAnsi="ITC Avant Garde"/>
                <w:sz w:val="16"/>
                <w:lang w:val="es-MX"/>
              </w:rPr>
              <w:t>o debe ser modificado</w:t>
            </w:r>
          </w:p>
        </w:tc>
        <w:tc>
          <w:tcPr>
            <w:tcW w:w="3671" w:type="dxa"/>
            <w:tcBorders>
              <w:top w:val="single" w:sz="4" w:space="0" w:color="auto"/>
              <w:left w:val="single" w:sz="4" w:space="0" w:color="auto"/>
              <w:bottom w:val="single" w:sz="4" w:space="0" w:color="auto"/>
              <w:right w:val="single" w:sz="4" w:space="0" w:color="auto"/>
            </w:tcBorders>
          </w:tcPr>
          <w:p w14:paraId="15A7D469" w14:textId="77777777" w:rsidR="00A66A23" w:rsidRPr="004C1A96" w:rsidRDefault="00A66A23" w:rsidP="00064199">
            <w:pPr>
              <w:keepNext/>
              <w:rPr>
                <w:rFonts w:ascii="ITC Avant Garde" w:hAnsi="ITC Avant Garde" w:cs="Arial"/>
                <w:color w:val="000000"/>
                <w:sz w:val="16"/>
                <w:szCs w:val="22"/>
                <w:lang w:val="es-MX"/>
              </w:rPr>
            </w:pPr>
            <w:r w:rsidRPr="00E14D8A">
              <w:rPr>
                <w:rFonts w:ascii="ITC Avant Garde" w:hAnsi="ITC Avant Garde"/>
                <w:sz w:val="16"/>
                <w:lang w:val="es-MX"/>
              </w:rPr>
              <w:t>Parámetro técnico</w:t>
            </w:r>
          </w:p>
        </w:tc>
      </w:tr>
    </w:tbl>
    <w:p w14:paraId="433375CD" w14:textId="77777777" w:rsidR="00A66A23" w:rsidRPr="004C1A96" w:rsidRDefault="00A66A23" w:rsidP="00A66A23">
      <w:pPr>
        <w:rPr>
          <w:rFonts w:ascii="ITC Avant Garde" w:hAnsi="ITC Avant Garde"/>
          <w:lang w:val="es-MX"/>
        </w:rPr>
      </w:pPr>
    </w:p>
    <w:p w14:paraId="708BCBAB" w14:textId="47FAABA5" w:rsidR="007A227B" w:rsidRPr="00FF2101" w:rsidRDefault="00A66A23" w:rsidP="00F17242">
      <w:pPr>
        <w:pStyle w:val="Ttulo2"/>
        <w:rPr>
          <w:lang w:val="es-ES"/>
        </w:rPr>
      </w:pPr>
      <w:bookmarkStart w:id="382" w:name="_Toc525315220"/>
      <w:bookmarkStart w:id="383" w:name="_Toc525665346"/>
      <w:bookmarkStart w:id="384" w:name="_Toc525665725"/>
      <w:bookmarkStart w:id="385" w:name="_Toc141975079"/>
      <w:r w:rsidRPr="00FF2101">
        <w:rPr>
          <w:lang w:val="es-ES"/>
        </w:rPr>
        <w:lastRenderedPageBreak/>
        <w:t>Tipos de canalizaciones empleadas en el modelo</w:t>
      </w:r>
      <w:bookmarkEnd w:id="382"/>
      <w:bookmarkEnd w:id="383"/>
      <w:bookmarkEnd w:id="384"/>
      <w:bookmarkEnd w:id="385"/>
    </w:p>
    <w:tbl>
      <w:tblPr>
        <w:tblStyle w:val="Tablaconcuadrcula"/>
        <w:tblW w:w="0" w:type="auto"/>
        <w:tblLook w:val="04A0" w:firstRow="1" w:lastRow="0" w:firstColumn="1" w:lastColumn="0" w:noHBand="0" w:noVBand="1"/>
      </w:tblPr>
      <w:tblGrid>
        <w:gridCol w:w="2915"/>
        <w:gridCol w:w="2691"/>
        <w:gridCol w:w="2888"/>
      </w:tblGrid>
      <w:tr w:rsidR="00AB7138" w:rsidRPr="0049035A" w14:paraId="58454CED" w14:textId="77777777" w:rsidTr="00615463">
        <w:tc>
          <w:tcPr>
            <w:tcW w:w="2915" w:type="dxa"/>
          </w:tcPr>
          <w:p w14:paraId="77971204" w14:textId="77777777" w:rsidR="00AB7138" w:rsidRPr="00872052" w:rsidRDefault="00AB7138" w:rsidP="00615463">
            <w:pPr>
              <w:keepNext/>
              <w:spacing w:before="0" w:line="240" w:lineRule="auto"/>
              <w:jc w:val="center"/>
              <w:rPr>
                <w:rFonts w:ascii="ITC Avant Garde" w:hAnsi="ITC Avant Garde"/>
                <w:b/>
                <w:sz w:val="18"/>
                <w:lang w:val="en-US"/>
              </w:rPr>
            </w:pPr>
            <w:r w:rsidRPr="00872052">
              <w:rPr>
                <w:rFonts w:ascii="ITC Avant Garde" w:hAnsi="ITC Avant Garde"/>
                <w:b/>
                <w:sz w:val="18"/>
                <w:lang w:val="en-US"/>
              </w:rPr>
              <w:t>2H4</w:t>
            </w:r>
          </w:p>
        </w:tc>
        <w:tc>
          <w:tcPr>
            <w:tcW w:w="2691" w:type="dxa"/>
          </w:tcPr>
          <w:p w14:paraId="799B13D8" w14:textId="77777777" w:rsidR="00AB7138" w:rsidRPr="00872052" w:rsidRDefault="00AB7138" w:rsidP="00615463">
            <w:pPr>
              <w:keepNext/>
              <w:spacing w:before="0" w:line="240" w:lineRule="auto"/>
              <w:jc w:val="center"/>
              <w:rPr>
                <w:rFonts w:ascii="ITC Avant Garde" w:hAnsi="ITC Avant Garde"/>
                <w:b/>
                <w:sz w:val="18"/>
                <w:lang w:val="en-US"/>
              </w:rPr>
            </w:pPr>
            <w:r w:rsidRPr="00872052">
              <w:rPr>
                <w:rFonts w:ascii="ITC Avant Garde" w:hAnsi="ITC Avant Garde"/>
                <w:b/>
                <w:sz w:val="18"/>
                <w:lang w:val="en-US"/>
              </w:rPr>
              <w:t>3H4</w:t>
            </w:r>
          </w:p>
        </w:tc>
        <w:tc>
          <w:tcPr>
            <w:tcW w:w="2888" w:type="dxa"/>
          </w:tcPr>
          <w:p w14:paraId="4D5530FE" w14:textId="77777777" w:rsidR="00AB7138" w:rsidRPr="00872052" w:rsidRDefault="00AB7138" w:rsidP="00615463">
            <w:pPr>
              <w:keepNext/>
              <w:spacing w:before="0" w:line="240" w:lineRule="auto"/>
              <w:jc w:val="center"/>
              <w:rPr>
                <w:rFonts w:ascii="ITC Avant Garde" w:hAnsi="ITC Avant Garde"/>
                <w:b/>
                <w:sz w:val="18"/>
                <w:lang w:val="en-US"/>
              </w:rPr>
            </w:pPr>
            <w:r w:rsidRPr="00872052">
              <w:rPr>
                <w:rFonts w:ascii="ITC Avant Garde" w:hAnsi="ITC Avant Garde"/>
                <w:b/>
                <w:sz w:val="18"/>
                <w:lang w:val="en-US"/>
              </w:rPr>
              <w:t>5H4</w:t>
            </w:r>
          </w:p>
        </w:tc>
      </w:tr>
      <w:tr w:rsidR="00AB7138" w:rsidRPr="0049035A" w14:paraId="13C35A4E" w14:textId="77777777" w:rsidTr="00615463">
        <w:tc>
          <w:tcPr>
            <w:tcW w:w="2915" w:type="dxa"/>
            <w:vAlign w:val="center"/>
          </w:tcPr>
          <w:p w14:paraId="75A4F2F7" w14:textId="77777777" w:rsidR="00AB7138" w:rsidRPr="00872052" w:rsidRDefault="00AB7138" w:rsidP="00615463">
            <w:pPr>
              <w:keepNext/>
              <w:spacing w:before="0" w:line="240" w:lineRule="auto"/>
              <w:jc w:val="center"/>
              <w:rPr>
                <w:rFonts w:ascii="ITC Avant Garde" w:hAnsi="ITC Avant Garde"/>
                <w:sz w:val="18"/>
                <w:lang w:val="en-US"/>
              </w:rPr>
            </w:pPr>
            <w:r w:rsidRPr="00872052">
              <w:rPr>
                <w:rFonts w:ascii="ITC Avant Garde" w:hAnsi="ITC Avant Garde"/>
                <w:noProof/>
                <w:sz w:val="18"/>
                <w:lang w:val="es-MX" w:eastAsia="es-MX"/>
              </w:rPr>
              <w:drawing>
                <wp:inline distT="0" distB="0" distL="0" distR="0" wp14:anchorId="184B0EF7" wp14:editId="1289DD9E">
                  <wp:extent cx="1743075" cy="1603006"/>
                  <wp:effectExtent l="0" t="0" r="0" b="0"/>
                  <wp:docPr id="87" name="Image 36" descr="A diagram of a rectangular object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36" descr="A diagram of a rectangular object with lines and numbers&#10;&#10;Description automatically generated"/>
                          <pic:cNvPicPr/>
                        </pic:nvPicPr>
                        <pic:blipFill rotWithShape="1">
                          <a:blip r:embed="rId48"/>
                          <a:srcRect t="11015"/>
                          <a:stretch/>
                        </pic:blipFill>
                        <pic:spPr bwMode="auto">
                          <a:xfrm>
                            <a:off x="0" y="0"/>
                            <a:ext cx="1751826" cy="1611053"/>
                          </a:xfrm>
                          <a:prstGeom prst="rect">
                            <a:avLst/>
                          </a:prstGeom>
                          <a:ln>
                            <a:noFill/>
                          </a:ln>
                          <a:extLst>
                            <a:ext uri="{53640926-AAD7-44D8-BBD7-CCE9431645EC}">
                              <a14:shadowObscured xmlns:a14="http://schemas.microsoft.com/office/drawing/2010/main"/>
                            </a:ext>
                          </a:extLst>
                        </pic:spPr>
                      </pic:pic>
                    </a:graphicData>
                  </a:graphic>
                </wp:inline>
              </w:drawing>
            </w:r>
          </w:p>
        </w:tc>
        <w:tc>
          <w:tcPr>
            <w:tcW w:w="2691" w:type="dxa"/>
            <w:vAlign w:val="center"/>
          </w:tcPr>
          <w:p w14:paraId="5409E9E3" w14:textId="77777777" w:rsidR="00AB7138" w:rsidRPr="00872052" w:rsidRDefault="00AB7138" w:rsidP="00615463">
            <w:pPr>
              <w:keepNext/>
              <w:spacing w:before="0" w:line="240" w:lineRule="auto"/>
              <w:jc w:val="center"/>
              <w:rPr>
                <w:rFonts w:ascii="ITC Avant Garde" w:hAnsi="ITC Avant Garde"/>
                <w:sz w:val="18"/>
                <w:lang w:val="en-US"/>
              </w:rPr>
            </w:pPr>
            <w:r w:rsidRPr="00872052">
              <w:rPr>
                <w:rFonts w:ascii="ITC Avant Garde" w:hAnsi="ITC Avant Garde"/>
                <w:noProof/>
                <w:sz w:val="18"/>
                <w:lang w:val="es-MX" w:eastAsia="es-MX"/>
              </w:rPr>
              <w:drawing>
                <wp:inline distT="0" distB="0" distL="0" distR="0" wp14:anchorId="4E07BF9A" wp14:editId="1A4E628C">
                  <wp:extent cx="1676400" cy="1599748"/>
                  <wp:effectExtent l="0" t="0" r="0" b="635"/>
                  <wp:docPr id="88" name="Image 37" descr="A diagram of a rectangular object with a few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37" descr="A diagram of a rectangular object with a few circles&#10;&#10;Description automatically generated"/>
                          <pic:cNvPicPr/>
                        </pic:nvPicPr>
                        <pic:blipFill rotWithShape="1">
                          <a:blip r:embed="rId49"/>
                          <a:srcRect t="9888"/>
                          <a:stretch/>
                        </pic:blipFill>
                        <pic:spPr bwMode="auto">
                          <a:xfrm>
                            <a:off x="0" y="0"/>
                            <a:ext cx="1676400" cy="1599748"/>
                          </a:xfrm>
                          <a:prstGeom prst="rect">
                            <a:avLst/>
                          </a:prstGeom>
                          <a:ln>
                            <a:noFill/>
                          </a:ln>
                          <a:extLst>
                            <a:ext uri="{53640926-AAD7-44D8-BBD7-CCE9431645EC}">
                              <a14:shadowObscured xmlns:a14="http://schemas.microsoft.com/office/drawing/2010/main"/>
                            </a:ext>
                          </a:extLst>
                        </pic:spPr>
                      </pic:pic>
                    </a:graphicData>
                  </a:graphic>
                </wp:inline>
              </w:drawing>
            </w:r>
          </w:p>
        </w:tc>
        <w:tc>
          <w:tcPr>
            <w:tcW w:w="2888" w:type="dxa"/>
            <w:vAlign w:val="center"/>
          </w:tcPr>
          <w:p w14:paraId="1B5E828F" w14:textId="77777777" w:rsidR="00AB7138" w:rsidRPr="00872052" w:rsidRDefault="00AB7138" w:rsidP="00615463">
            <w:pPr>
              <w:keepNext/>
              <w:spacing w:before="0" w:line="240" w:lineRule="auto"/>
              <w:jc w:val="center"/>
              <w:rPr>
                <w:rFonts w:ascii="ITC Avant Garde" w:hAnsi="ITC Avant Garde"/>
                <w:sz w:val="18"/>
                <w:lang w:val="en-US"/>
              </w:rPr>
            </w:pPr>
            <w:r w:rsidRPr="00872052">
              <w:rPr>
                <w:rFonts w:ascii="ITC Avant Garde" w:hAnsi="ITC Avant Garde"/>
                <w:noProof/>
                <w:sz w:val="18"/>
                <w:lang w:val="es-MX" w:eastAsia="es-MX"/>
              </w:rPr>
              <w:drawing>
                <wp:inline distT="0" distB="0" distL="0" distR="0" wp14:anchorId="4C27420A" wp14:editId="191D67C8">
                  <wp:extent cx="1809750" cy="1601088"/>
                  <wp:effectExtent l="0" t="0" r="0" b="0"/>
                  <wp:docPr id="90" name="Image 24" descr="A diagram of a rectangular object with a number of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24" descr="A diagram of a rectangular object with a number of circles&#10;&#10;Description automatically generated"/>
                          <pic:cNvPicPr/>
                        </pic:nvPicPr>
                        <pic:blipFill rotWithShape="1">
                          <a:blip r:embed="rId50"/>
                          <a:srcRect t="8904"/>
                          <a:stretch/>
                        </pic:blipFill>
                        <pic:spPr bwMode="auto">
                          <a:xfrm>
                            <a:off x="0" y="0"/>
                            <a:ext cx="1835247" cy="1623646"/>
                          </a:xfrm>
                          <a:prstGeom prst="rect">
                            <a:avLst/>
                          </a:prstGeom>
                          <a:ln>
                            <a:noFill/>
                          </a:ln>
                          <a:extLst>
                            <a:ext uri="{53640926-AAD7-44D8-BBD7-CCE9431645EC}">
                              <a14:shadowObscured xmlns:a14="http://schemas.microsoft.com/office/drawing/2010/main"/>
                            </a:ext>
                          </a:extLst>
                        </pic:spPr>
                      </pic:pic>
                    </a:graphicData>
                  </a:graphic>
                </wp:inline>
              </w:drawing>
            </w:r>
          </w:p>
        </w:tc>
      </w:tr>
      <w:tr w:rsidR="00AB7138" w:rsidRPr="0049035A" w14:paraId="554E2F3A" w14:textId="77777777" w:rsidTr="00615463">
        <w:tc>
          <w:tcPr>
            <w:tcW w:w="2915" w:type="dxa"/>
            <w:vAlign w:val="center"/>
          </w:tcPr>
          <w:p w14:paraId="486C1836" w14:textId="77777777" w:rsidR="00AB7138" w:rsidRPr="00872052" w:rsidRDefault="00AB7138" w:rsidP="00615463">
            <w:pPr>
              <w:keepNext/>
              <w:spacing w:line="240" w:lineRule="auto"/>
              <w:jc w:val="center"/>
              <w:rPr>
                <w:rFonts w:ascii="ITC Avant Garde" w:hAnsi="ITC Avant Garde"/>
                <w:b/>
                <w:sz w:val="18"/>
                <w:lang w:val="en-US"/>
              </w:rPr>
            </w:pPr>
            <w:r w:rsidRPr="00872052">
              <w:rPr>
                <w:rFonts w:ascii="ITC Avant Garde" w:hAnsi="ITC Avant Garde"/>
                <w:b/>
                <w:sz w:val="18"/>
                <w:lang w:val="en-US"/>
              </w:rPr>
              <w:t>7H4</w:t>
            </w:r>
          </w:p>
        </w:tc>
        <w:tc>
          <w:tcPr>
            <w:tcW w:w="2691" w:type="dxa"/>
            <w:vAlign w:val="center"/>
          </w:tcPr>
          <w:p w14:paraId="75E99A18" w14:textId="77777777" w:rsidR="00AB7138" w:rsidRPr="00872052" w:rsidRDefault="00AB7138" w:rsidP="00615463">
            <w:pPr>
              <w:keepNext/>
              <w:spacing w:line="240" w:lineRule="auto"/>
              <w:jc w:val="center"/>
              <w:rPr>
                <w:rFonts w:ascii="ITC Avant Garde" w:hAnsi="ITC Avant Garde"/>
                <w:b/>
                <w:sz w:val="18"/>
                <w:lang w:val="en-US"/>
              </w:rPr>
            </w:pPr>
            <w:r w:rsidRPr="00872052">
              <w:rPr>
                <w:rFonts w:ascii="ITC Avant Garde" w:hAnsi="ITC Avant Garde"/>
                <w:b/>
                <w:sz w:val="18"/>
                <w:lang w:val="en-US"/>
              </w:rPr>
              <w:t>15H4</w:t>
            </w:r>
          </w:p>
        </w:tc>
        <w:tc>
          <w:tcPr>
            <w:tcW w:w="2888" w:type="dxa"/>
            <w:vAlign w:val="center"/>
          </w:tcPr>
          <w:p w14:paraId="1DC979B1" w14:textId="77777777" w:rsidR="00AB7138" w:rsidRPr="00872052" w:rsidRDefault="00AB7138" w:rsidP="00615463">
            <w:pPr>
              <w:keepNext/>
              <w:spacing w:line="240" w:lineRule="auto"/>
              <w:jc w:val="center"/>
              <w:rPr>
                <w:rFonts w:ascii="ITC Avant Garde" w:hAnsi="ITC Avant Garde"/>
                <w:b/>
                <w:sz w:val="18"/>
                <w:lang w:val="en-US"/>
              </w:rPr>
            </w:pPr>
            <w:r w:rsidRPr="00872052">
              <w:rPr>
                <w:rFonts w:ascii="ITC Avant Garde" w:hAnsi="ITC Avant Garde"/>
                <w:b/>
                <w:sz w:val="18"/>
                <w:lang w:val="en-US"/>
              </w:rPr>
              <w:t>2H6</w:t>
            </w:r>
          </w:p>
        </w:tc>
      </w:tr>
      <w:tr w:rsidR="00AB7138" w:rsidRPr="0049035A" w14:paraId="461F9C60" w14:textId="77777777" w:rsidTr="00615463">
        <w:tc>
          <w:tcPr>
            <w:tcW w:w="2915" w:type="dxa"/>
            <w:vAlign w:val="center"/>
          </w:tcPr>
          <w:p w14:paraId="33769931" w14:textId="77777777" w:rsidR="00AB7138" w:rsidRPr="00872052" w:rsidRDefault="00AB7138" w:rsidP="00615463">
            <w:pPr>
              <w:keepNext/>
              <w:spacing w:line="240" w:lineRule="auto"/>
              <w:jc w:val="center"/>
              <w:rPr>
                <w:rFonts w:ascii="ITC Avant Garde" w:hAnsi="ITC Avant Garde"/>
                <w:sz w:val="18"/>
                <w:lang w:val="en-US"/>
              </w:rPr>
            </w:pPr>
            <w:r w:rsidRPr="00872052">
              <w:rPr>
                <w:rFonts w:ascii="ITC Avant Garde" w:hAnsi="ITC Avant Garde"/>
                <w:noProof/>
                <w:sz w:val="18"/>
                <w:lang w:val="es-MX" w:eastAsia="es-MX"/>
              </w:rPr>
              <w:drawing>
                <wp:inline distT="0" distB="0" distL="0" distR="0" wp14:anchorId="18231796" wp14:editId="154C8440">
                  <wp:extent cx="1743075" cy="1482571"/>
                  <wp:effectExtent l="0" t="0" r="0" b="3810"/>
                  <wp:docPr id="91" name="Image 43" descr="A diagram of a rectangular object with lin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 43" descr="A diagram of a rectangular object with lines and text&#10;&#10;Description automatically generated"/>
                          <pic:cNvPicPr/>
                        </pic:nvPicPr>
                        <pic:blipFill rotWithShape="1">
                          <a:blip r:embed="rId51"/>
                          <a:srcRect t="10417"/>
                          <a:stretch/>
                        </pic:blipFill>
                        <pic:spPr bwMode="auto">
                          <a:xfrm>
                            <a:off x="0" y="0"/>
                            <a:ext cx="1791563" cy="1523812"/>
                          </a:xfrm>
                          <a:prstGeom prst="rect">
                            <a:avLst/>
                          </a:prstGeom>
                          <a:ln>
                            <a:noFill/>
                          </a:ln>
                          <a:extLst>
                            <a:ext uri="{53640926-AAD7-44D8-BBD7-CCE9431645EC}">
                              <a14:shadowObscured xmlns:a14="http://schemas.microsoft.com/office/drawing/2010/main"/>
                            </a:ext>
                          </a:extLst>
                        </pic:spPr>
                      </pic:pic>
                    </a:graphicData>
                  </a:graphic>
                </wp:inline>
              </w:drawing>
            </w:r>
          </w:p>
        </w:tc>
        <w:tc>
          <w:tcPr>
            <w:tcW w:w="2691" w:type="dxa"/>
            <w:vAlign w:val="center"/>
          </w:tcPr>
          <w:p w14:paraId="67DFAD76" w14:textId="77777777" w:rsidR="00AB7138" w:rsidRPr="00872052" w:rsidRDefault="00AB7138" w:rsidP="00615463">
            <w:pPr>
              <w:keepNext/>
              <w:spacing w:line="240" w:lineRule="auto"/>
              <w:jc w:val="center"/>
              <w:rPr>
                <w:rFonts w:ascii="ITC Avant Garde" w:hAnsi="ITC Avant Garde"/>
                <w:sz w:val="18"/>
                <w:lang w:val="en-US"/>
              </w:rPr>
            </w:pPr>
            <w:r w:rsidRPr="00872052">
              <w:rPr>
                <w:rFonts w:ascii="ITC Avant Garde" w:hAnsi="ITC Avant Garde"/>
                <w:noProof/>
                <w:sz w:val="18"/>
                <w:lang w:val="es-MX" w:eastAsia="es-MX"/>
              </w:rPr>
              <w:drawing>
                <wp:inline distT="0" distB="0" distL="0" distR="0" wp14:anchorId="337A4BEA" wp14:editId="75BF207A">
                  <wp:extent cx="1524000" cy="1500081"/>
                  <wp:effectExtent l="0" t="0" r="0" b="5080"/>
                  <wp:docPr id="92" name="Image 51" descr="A diagram of a rectangular object with dimens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 51" descr="A diagram of a rectangular object with dimensions&#10;&#10;Description automatically generated"/>
                          <pic:cNvPicPr/>
                        </pic:nvPicPr>
                        <pic:blipFill rotWithShape="1">
                          <a:blip r:embed="rId52"/>
                          <a:srcRect t="7188"/>
                          <a:stretch/>
                        </pic:blipFill>
                        <pic:spPr bwMode="auto">
                          <a:xfrm>
                            <a:off x="0" y="0"/>
                            <a:ext cx="1533577" cy="1509507"/>
                          </a:xfrm>
                          <a:prstGeom prst="rect">
                            <a:avLst/>
                          </a:prstGeom>
                          <a:ln>
                            <a:noFill/>
                          </a:ln>
                          <a:extLst>
                            <a:ext uri="{53640926-AAD7-44D8-BBD7-CCE9431645EC}">
                              <a14:shadowObscured xmlns:a14="http://schemas.microsoft.com/office/drawing/2010/main"/>
                            </a:ext>
                          </a:extLst>
                        </pic:spPr>
                      </pic:pic>
                    </a:graphicData>
                  </a:graphic>
                </wp:inline>
              </w:drawing>
            </w:r>
          </w:p>
        </w:tc>
        <w:tc>
          <w:tcPr>
            <w:tcW w:w="2888" w:type="dxa"/>
            <w:vAlign w:val="center"/>
          </w:tcPr>
          <w:p w14:paraId="0B0E7EB5" w14:textId="77777777" w:rsidR="00AB7138" w:rsidRPr="00872052" w:rsidRDefault="00AB7138" w:rsidP="00615463">
            <w:pPr>
              <w:keepNext/>
              <w:spacing w:line="240" w:lineRule="auto"/>
              <w:jc w:val="center"/>
              <w:rPr>
                <w:rFonts w:ascii="ITC Avant Garde" w:hAnsi="ITC Avant Garde"/>
                <w:sz w:val="18"/>
                <w:lang w:val="en-US"/>
              </w:rPr>
            </w:pPr>
            <w:r w:rsidRPr="00872052">
              <w:rPr>
                <w:rFonts w:ascii="ITC Avant Garde" w:hAnsi="ITC Avant Garde"/>
                <w:noProof/>
                <w:sz w:val="18"/>
                <w:lang w:val="es-MX" w:eastAsia="es-MX"/>
              </w:rPr>
              <w:drawing>
                <wp:inline distT="0" distB="0" distL="0" distR="0" wp14:anchorId="404DEBAB" wp14:editId="0856E900">
                  <wp:extent cx="1704975" cy="1485710"/>
                  <wp:effectExtent l="0" t="0" r="0" b="635"/>
                  <wp:docPr id="96" name="Image 53" descr="A diagram of a rectangular object with a square objec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53" descr="A diagram of a rectangular object with a square object in the middle&#10;&#10;Description automatically generated"/>
                          <pic:cNvPicPr/>
                        </pic:nvPicPr>
                        <pic:blipFill rotWithShape="1">
                          <a:blip r:embed="rId53"/>
                          <a:srcRect t="12860"/>
                          <a:stretch/>
                        </pic:blipFill>
                        <pic:spPr bwMode="auto">
                          <a:xfrm>
                            <a:off x="0" y="0"/>
                            <a:ext cx="1725562" cy="1503650"/>
                          </a:xfrm>
                          <a:prstGeom prst="rect">
                            <a:avLst/>
                          </a:prstGeom>
                          <a:ln>
                            <a:noFill/>
                          </a:ln>
                          <a:extLst>
                            <a:ext uri="{53640926-AAD7-44D8-BBD7-CCE9431645EC}">
                              <a14:shadowObscured xmlns:a14="http://schemas.microsoft.com/office/drawing/2010/main"/>
                            </a:ext>
                          </a:extLst>
                        </pic:spPr>
                      </pic:pic>
                    </a:graphicData>
                  </a:graphic>
                </wp:inline>
              </w:drawing>
            </w:r>
          </w:p>
        </w:tc>
      </w:tr>
      <w:tr w:rsidR="00AB7138" w:rsidRPr="0049035A" w14:paraId="7A0A7A5C" w14:textId="77777777" w:rsidTr="00615463">
        <w:tc>
          <w:tcPr>
            <w:tcW w:w="2915" w:type="dxa"/>
            <w:vAlign w:val="center"/>
          </w:tcPr>
          <w:p w14:paraId="45BEF8AC" w14:textId="77777777" w:rsidR="00AB7138" w:rsidRPr="00872052" w:rsidRDefault="00AB7138" w:rsidP="00615463">
            <w:pPr>
              <w:keepNext/>
              <w:spacing w:line="240" w:lineRule="auto"/>
              <w:jc w:val="center"/>
              <w:rPr>
                <w:rFonts w:ascii="ITC Avant Garde" w:hAnsi="ITC Avant Garde"/>
                <w:b/>
                <w:sz w:val="18"/>
                <w:lang w:val="en-US"/>
              </w:rPr>
            </w:pPr>
            <w:r w:rsidRPr="00872052">
              <w:rPr>
                <w:rFonts w:ascii="ITC Avant Garde" w:hAnsi="ITC Avant Garde"/>
                <w:b/>
                <w:sz w:val="18"/>
                <w:lang w:val="en-US"/>
              </w:rPr>
              <w:t>3H6</w:t>
            </w:r>
          </w:p>
        </w:tc>
        <w:tc>
          <w:tcPr>
            <w:tcW w:w="2691" w:type="dxa"/>
            <w:vAlign w:val="center"/>
          </w:tcPr>
          <w:p w14:paraId="4A56CA9B" w14:textId="77777777" w:rsidR="00AB7138" w:rsidRPr="00872052" w:rsidRDefault="00AB7138" w:rsidP="00615463">
            <w:pPr>
              <w:keepNext/>
              <w:spacing w:line="240" w:lineRule="auto"/>
              <w:jc w:val="center"/>
              <w:rPr>
                <w:rFonts w:ascii="ITC Avant Garde" w:hAnsi="ITC Avant Garde"/>
                <w:b/>
                <w:sz w:val="18"/>
                <w:lang w:val="en-US"/>
              </w:rPr>
            </w:pPr>
            <w:r w:rsidRPr="00872052">
              <w:rPr>
                <w:rFonts w:ascii="ITC Avant Garde" w:hAnsi="ITC Avant Garde"/>
                <w:b/>
                <w:sz w:val="18"/>
                <w:lang w:val="en-US"/>
              </w:rPr>
              <w:t>4H6</w:t>
            </w:r>
          </w:p>
        </w:tc>
        <w:tc>
          <w:tcPr>
            <w:tcW w:w="2888" w:type="dxa"/>
            <w:vAlign w:val="center"/>
          </w:tcPr>
          <w:p w14:paraId="7EA77A44" w14:textId="77777777" w:rsidR="00AB7138" w:rsidRPr="00872052" w:rsidRDefault="00AB7138" w:rsidP="00615463">
            <w:pPr>
              <w:keepNext/>
              <w:spacing w:line="240" w:lineRule="auto"/>
              <w:jc w:val="center"/>
              <w:rPr>
                <w:rFonts w:ascii="ITC Avant Garde" w:hAnsi="ITC Avant Garde"/>
                <w:b/>
                <w:sz w:val="18"/>
                <w:lang w:val="en-US"/>
              </w:rPr>
            </w:pPr>
            <w:r w:rsidRPr="00872052">
              <w:rPr>
                <w:rFonts w:ascii="ITC Avant Garde" w:hAnsi="ITC Avant Garde"/>
                <w:b/>
                <w:sz w:val="18"/>
                <w:lang w:val="en-US"/>
              </w:rPr>
              <w:t>3H8</w:t>
            </w:r>
          </w:p>
        </w:tc>
      </w:tr>
      <w:tr w:rsidR="00AB7138" w:rsidRPr="0049035A" w14:paraId="0C8A3802" w14:textId="77777777" w:rsidTr="00615463">
        <w:tc>
          <w:tcPr>
            <w:tcW w:w="2915" w:type="dxa"/>
            <w:vAlign w:val="center"/>
          </w:tcPr>
          <w:p w14:paraId="7F051EC5" w14:textId="77777777" w:rsidR="00AB7138" w:rsidRPr="00872052" w:rsidRDefault="00AB7138" w:rsidP="00615463">
            <w:pPr>
              <w:keepNext/>
              <w:spacing w:line="240" w:lineRule="auto"/>
              <w:jc w:val="center"/>
              <w:rPr>
                <w:rFonts w:ascii="ITC Avant Garde" w:hAnsi="ITC Avant Garde"/>
                <w:sz w:val="18"/>
                <w:lang w:val="en-US"/>
              </w:rPr>
            </w:pPr>
            <w:r w:rsidRPr="00872052">
              <w:rPr>
                <w:rFonts w:ascii="ITC Avant Garde" w:hAnsi="ITC Avant Garde"/>
                <w:noProof/>
                <w:sz w:val="18"/>
                <w:lang w:val="es-MX" w:eastAsia="es-MX"/>
              </w:rPr>
              <w:drawing>
                <wp:inline distT="0" distB="0" distL="0" distR="0" wp14:anchorId="09354B5E" wp14:editId="5C99089F">
                  <wp:extent cx="1655445" cy="1437624"/>
                  <wp:effectExtent l="0" t="0" r="1905" b="0"/>
                  <wp:docPr id="100" name="Image 54" descr="A diagram of a rectangular object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 54" descr="A diagram of a rectangular object with lines and numbers&#10;&#10;Description automatically generated"/>
                          <pic:cNvPicPr/>
                        </pic:nvPicPr>
                        <pic:blipFill rotWithShape="1">
                          <a:blip r:embed="rId54"/>
                          <a:srcRect t="8545"/>
                          <a:stretch/>
                        </pic:blipFill>
                        <pic:spPr bwMode="auto">
                          <a:xfrm>
                            <a:off x="0" y="0"/>
                            <a:ext cx="1702389" cy="1478392"/>
                          </a:xfrm>
                          <a:prstGeom prst="rect">
                            <a:avLst/>
                          </a:prstGeom>
                          <a:ln>
                            <a:noFill/>
                          </a:ln>
                          <a:extLst>
                            <a:ext uri="{53640926-AAD7-44D8-BBD7-CCE9431645EC}">
                              <a14:shadowObscured xmlns:a14="http://schemas.microsoft.com/office/drawing/2010/main"/>
                            </a:ext>
                          </a:extLst>
                        </pic:spPr>
                      </pic:pic>
                    </a:graphicData>
                  </a:graphic>
                </wp:inline>
              </w:drawing>
            </w:r>
          </w:p>
        </w:tc>
        <w:tc>
          <w:tcPr>
            <w:tcW w:w="2691" w:type="dxa"/>
            <w:vAlign w:val="center"/>
          </w:tcPr>
          <w:p w14:paraId="027A5572" w14:textId="77777777" w:rsidR="00AB7138" w:rsidRPr="00872052" w:rsidRDefault="00AB7138" w:rsidP="00615463">
            <w:pPr>
              <w:keepNext/>
              <w:spacing w:line="240" w:lineRule="auto"/>
              <w:jc w:val="center"/>
              <w:rPr>
                <w:rFonts w:ascii="ITC Avant Garde" w:hAnsi="ITC Avant Garde"/>
                <w:sz w:val="18"/>
                <w:lang w:val="en-US"/>
              </w:rPr>
            </w:pPr>
            <w:r w:rsidRPr="00872052">
              <w:rPr>
                <w:rFonts w:ascii="ITC Avant Garde" w:hAnsi="ITC Avant Garde"/>
                <w:noProof/>
                <w:sz w:val="18"/>
                <w:lang w:val="es-MX" w:eastAsia="es-MX"/>
              </w:rPr>
              <w:drawing>
                <wp:inline distT="0" distB="0" distL="0" distR="0" wp14:anchorId="75ECB3CB" wp14:editId="14BA7280">
                  <wp:extent cx="1651514" cy="1433730"/>
                  <wp:effectExtent l="0" t="0" r="6350" b="0"/>
                  <wp:docPr id="101" name="Image 59" descr="A diagram of a rectangular object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 59" descr="A diagram of a rectangular object with lines and numbers&#10;&#10;Description automatically generated"/>
                          <pic:cNvPicPr/>
                        </pic:nvPicPr>
                        <pic:blipFill rotWithShape="1">
                          <a:blip r:embed="rId55"/>
                          <a:srcRect t="8565"/>
                          <a:stretch/>
                        </pic:blipFill>
                        <pic:spPr bwMode="auto">
                          <a:xfrm>
                            <a:off x="0" y="0"/>
                            <a:ext cx="1675875" cy="1454879"/>
                          </a:xfrm>
                          <a:prstGeom prst="rect">
                            <a:avLst/>
                          </a:prstGeom>
                          <a:ln>
                            <a:noFill/>
                          </a:ln>
                          <a:extLst>
                            <a:ext uri="{53640926-AAD7-44D8-BBD7-CCE9431645EC}">
                              <a14:shadowObscured xmlns:a14="http://schemas.microsoft.com/office/drawing/2010/main"/>
                            </a:ext>
                          </a:extLst>
                        </pic:spPr>
                      </pic:pic>
                    </a:graphicData>
                  </a:graphic>
                </wp:inline>
              </w:drawing>
            </w:r>
          </w:p>
        </w:tc>
        <w:tc>
          <w:tcPr>
            <w:tcW w:w="2888" w:type="dxa"/>
            <w:vAlign w:val="center"/>
          </w:tcPr>
          <w:p w14:paraId="2A2C9CDB" w14:textId="77777777" w:rsidR="00AB7138" w:rsidRPr="00872052" w:rsidRDefault="00AB7138" w:rsidP="00615463">
            <w:pPr>
              <w:keepNext/>
              <w:spacing w:line="240" w:lineRule="auto"/>
              <w:jc w:val="center"/>
              <w:rPr>
                <w:rFonts w:ascii="ITC Avant Garde" w:hAnsi="ITC Avant Garde"/>
                <w:sz w:val="18"/>
                <w:lang w:val="en-US"/>
              </w:rPr>
            </w:pPr>
            <w:r w:rsidRPr="00872052">
              <w:rPr>
                <w:rFonts w:ascii="ITC Avant Garde" w:hAnsi="ITC Avant Garde"/>
                <w:noProof/>
                <w:sz w:val="18"/>
                <w:lang w:val="es-MX" w:eastAsia="es-MX"/>
              </w:rPr>
              <w:drawing>
                <wp:inline distT="0" distB="0" distL="0" distR="0" wp14:anchorId="4FC766CD" wp14:editId="2FBF9932">
                  <wp:extent cx="1674595" cy="1523365"/>
                  <wp:effectExtent l="0" t="0" r="1905" b="635"/>
                  <wp:docPr id="102" name="Image 60" descr="A diagram of a rectangular object with lines an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60" descr="A diagram of a rectangular object with lines and circles&#10;&#10;Description automatically generated"/>
                          <pic:cNvPicPr/>
                        </pic:nvPicPr>
                        <pic:blipFill>
                          <a:blip r:embed="rId56"/>
                          <a:stretch>
                            <a:fillRect/>
                          </a:stretch>
                        </pic:blipFill>
                        <pic:spPr>
                          <a:xfrm>
                            <a:off x="0" y="0"/>
                            <a:ext cx="1711977" cy="1557371"/>
                          </a:xfrm>
                          <a:prstGeom prst="rect">
                            <a:avLst/>
                          </a:prstGeom>
                        </pic:spPr>
                      </pic:pic>
                    </a:graphicData>
                  </a:graphic>
                </wp:inline>
              </w:drawing>
            </w:r>
          </w:p>
        </w:tc>
      </w:tr>
      <w:tr w:rsidR="00AB7138" w:rsidRPr="0049035A" w14:paraId="5173619C" w14:textId="77777777" w:rsidTr="00615463">
        <w:trPr>
          <w:trHeight w:val="148"/>
        </w:trPr>
        <w:tc>
          <w:tcPr>
            <w:tcW w:w="2915" w:type="dxa"/>
            <w:vAlign w:val="center"/>
          </w:tcPr>
          <w:p w14:paraId="2D9362EB" w14:textId="77777777" w:rsidR="00AB7138" w:rsidRPr="00872052" w:rsidRDefault="00AB7138" w:rsidP="00615463">
            <w:pPr>
              <w:keepNext/>
              <w:spacing w:line="240" w:lineRule="auto"/>
              <w:jc w:val="center"/>
              <w:rPr>
                <w:rFonts w:ascii="ITC Avant Garde" w:hAnsi="ITC Avant Garde"/>
                <w:b/>
                <w:sz w:val="18"/>
                <w:lang w:val="en-US"/>
              </w:rPr>
            </w:pPr>
            <w:r w:rsidRPr="00872052">
              <w:rPr>
                <w:rFonts w:ascii="ITC Avant Garde" w:hAnsi="ITC Avant Garde"/>
                <w:b/>
                <w:sz w:val="18"/>
                <w:lang w:val="en-US"/>
              </w:rPr>
              <w:t>4H8</w:t>
            </w:r>
          </w:p>
        </w:tc>
        <w:tc>
          <w:tcPr>
            <w:tcW w:w="2691" w:type="dxa"/>
            <w:vAlign w:val="center"/>
          </w:tcPr>
          <w:p w14:paraId="0A46A213" w14:textId="77777777" w:rsidR="00AB7138" w:rsidRPr="00872052" w:rsidRDefault="00AB7138" w:rsidP="00615463">
            <w:pPr>
              <w:keepNext/>
              <w:spacing w:line="240" w:lineRule="auto"/>
              <w:jc w:val="center"/>
              <w:rPr>
                <w:rFonts w:ascii="ITC Avant Garde" w:hAnsi="ITC Avant Garde"/>
                <w:sz w:val="18"/>
                <w:lang w:val="en-US"/>
              </w:rPr>
            </w:pPr>
          </w:p>
        </w:tc>
        <w:tc>
          <w:tcPr>
            <w:tcW w:w="2888" w:type="dxa"/>
            <w:vAlign w:val="center"/>
          </w:tcPr>
          <w:p w14:paraId="52C45811" w14:textId="77777777" w:rsidR="00AB7138" w:rsidRPr="00872052" w:rsidRDefault="00AB7138" w:rsidP="00615463">
            <w:pPr>
              <w:keepNext/>
              <w:spacing w:line="240" w:lineRule="auto"/>
              <w:jc w:val="center"/>
              <w:rPr>
                <w:rFonts w:ascii="ITC Avant Garde" w:hAnsi="ITC Avant Garde"/>
                <w:sz w:val="18"/>
                <w:lang w:val="en-US"/>
              </w:rPr>
            </w:pPr>
          </w:p>
        </w:tc>
      </w:tr>
      <w:tr w:rsidR="00AB7138" w:rsidRPr="0049035A" w14:paraId="5B604BDC" w14:textId="77777777" w:rsidTr="00615463">
        <w:trPr>
          <w:trHeight w:val="3003"/>
        </w:trPr>
        <w:tc>
          <w:tcPr>
            <w:tcW w:w="2915" w:type="dxa"/>
            <w:vAlign w:val="center"/>
          </w:tcPr>
          <w:p w14:paraId="52748AEB" w14:textId="77777777" w:rsidR="00AB7138" w:rsidRPr="00872052" w:rsidRDefault="00AB7138" w:rsidP="00615463">
            <w:pPr>
              <w:keepNext/>
              <w:spacing w:line="240" w:lineRule="auto"/>
              <w:jc w:val="center"/>
              <w:rPr>
                <w:rFonts w:ascii="ITC Avant Garde" w:hAnsi="ITC Avant Garde"/>
                <w:sz w:val="18"/>
                <w:lang w:val="en-US"/>
              </w:rPr>
            </w:pPr>
            <w:r w:rsidRPr="00872052">
              <w:rPr>
                <w:rFonts w:ascii="ITC Avant Garde" w:hAnsi="ITC Avant Garde"/>
                <w:noProof/>
                <w:sz w:val="18"/>
                <w:lang w:val="es-MX" w:eastAsia="es-MX"/>
              </w:rPr>
              <w:drawing>
                <wp:inline distT="0" distB="0" distL="0" distR="0" wp14:anchorId="6464DB05" wp14:editId="0C333014">
                  <wp:extent cx="1828800" cy="1656725"/>
                  <wp:effectExtent l="0" t="0" r="0" b="635"/>
                  <wp:docPr id="103" name="Image 64" descr="A diagram of a box with circle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 64" descr="A diagram of a box with circles and a line&#10;&#10;Description automatically generated"/>
                          <pic:cNvPicPr/>
                        </pic:nvPicPr>
                        <pic:blipFill rotWithShape="1">
                          <a:blip r:embed="rId57"/>
                          <a:srcRect t="3497"/>
                          <a:stretch/>
                        </pic:blipFill>
                        <pic:spPr bwMode="auto">
                          <a:xfrm>
                            <a:off x="0" y="0"/>
                            <a:ext cx="1849819" cy="1675766"/>
                          </a:xfrm>
                          <a:prstGeom prst="rect">
                            <a:avLst/>
                          </a:prstGeom>
                          <a:ln>
                            <a:noFill/>
                          </a:ln>
                          <a:extLst>
                            <a:ext uri="{53640926-AAD7-44D8-BBD7-CCE9431645EC}">
                              <a14:shadowObscured xmlns:a14="http://schemas.microsoft.com/office/drawing/2010/main"/>
                            </a:ext>
                          </a:extLst>
                        </pic:spPr>
                      </pic:pic>
                    </a:graphicData>
                  </a:graphic>
                </wp:inline>
              </w:drawing>
            </w:r>
          </w:p>
          <w:p w14:paraId="5C022CC4" w14:textId="77777777" w:rsidR="00AB7138" w:rsidRPr="00872052" w:rsidRDefault="00AB7138" w:rsidP="00615463">
            <w:pPr>
              <w:keepNext/>
              <w:spacing w:line="240" w:lineRule="auto"/>
              <w:jc w:val="center"/>
              <w:rPr>
                <w:rFonts w:ascii="ITC Avant Garde" w:hAnsi="ITC Avant Garde"/>
                <w:sz w:val="18"/>
                <w:lang w:val="en-US"/>
              </w:rPr>
            </w:pPr>
          </w:p>
        </w:tc>
        <w:tc>
          <w:tcPr>
            <w:tcW w:w="2691" w:type="dxa"/>
            <w:vAlign w:val="center"/>
          </w:tcPr>
          <w:p w14:paraId="5A7C3B69" w14:textId="77777777" w:rsidR="00AB7138" w:rsidRPr="00872052" w:rsidRDefault="00AB7138" w:rsidP="00615463">
            <w:pPr>
              <w:keepNext/>
              <w:spacing w:line="240" w:lineRule="auto"/>
              <w:jc w:val="center"/>
              <w:rPr>
                <w:rFonts w:ascii="ITC Avant Garde" w:hAnsi="ITC Avant Garde"/>
                <w:sz w:val="18"/>
                <w:lang w:val="en-US"/>
              </w:rPr>
            </w:pPr>
          </w:p>
          <w:p w14:paraId="6B000DAC" w14:textId="77777777" w:rsidR="00AB7138" w:rsidRPr="00872052" w:rsidRDefault="00AB7138" w:rsidP="00615463">
            <w:pPr>
              <w:keepNext/>
              <w:spacing w:line="240" w:lineRule="auto"/>
              <w:jc w:val="center"/>
              <w:rPr>
                <w:rFonts w:ascii="ITC Avant Garde" w:hAnsi="ITC Avant Garde"/>
                <w:sz w:val="18"/>
                <w:lang w:val="en-US"/>
              </w:rPr>
            </w:pPr>
          </w:p>
          <w:p w14:paraId="7C197A37" w14:textId="77777777" w:rsidR="00AB7138" w:rsidRPr="00872052" w:rsidRDefault="00AB7138" w:rsidP="00615463">
            <w:pPr>
              <w:keepNext/>
              <w:spacing w:line="240" w:lineRule="auto"/>
              <w:jc w:val="center"/>
              <w:rPr>
                <w:rFonts w:ascii="ITC Avant Garde" w:hAnsi="ITC Avant Garde"/>
                <w:sz w:val="18"/>
                <w:lang w:val="en-US"/>
              </w:rPr>
            </w:pPr>
          </w:p>
        </w:tc>
        <w:tc>
          <w:tcPr>
            <w:tcW w:w="2888" w:type="dxa"/>
            <w:vAlign w:val="center"/>
          </w:tcPr>
          <w:p w14:paraId="78727E32" w14:textId="77777777" w:rsidR="00AB7138" w:rsidRPr="00872052" w:rsidRDefault="00AB7138" w:rsidP="00615463">
            <w:pPr>
              <w:keepNext/>
              <w:spacing w:line="240" w:lineRule="auto"/>
              <w:jc w:val="center"/>
              <w:rPr>
                <w:rFonts w:ascii="ITC Avant Garde" w:hAnsi="ITC Avant Garde"/>
                <w:sz w:val="18"/>
                <w:lang w:val="en-US"/>
              </w:rPr>
            </w:pPr>
          </w:p>
        </w:tc>
      </w:tr>
    </w:tbl>
    <w:p w14:paraId="6915842C" w14:textId="77777777" w:rsidR="00AB7138" w:rsidRPr="00AB7138" w:rsidRDefault="00AB7138" w:rsidP="00AB7138">
      <w:pPr>
        <w:rPr>
          <w:lang w:val="fr-FR"/>
        </w:rPr>
      </w:pPr>
    </w:p>
    <w:sectPr w:rsidR="00AB7138" w:rsidRPr="00AB7138" w:rsidSect="00CF29C8">
      <w:pgSz w:w="11906" w:h="16838" w:code="9"/>
      <w:pgMar w:top="2126"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97565C" w14:textId="77777777" w:rsidR="00E61923" w:rsidRDefault="00E61923" w:rsidP="00772CA6">
      <w:pPr>
        <w:spacing w:before="0" w:line="240" w:lineRule="auto"/>
      </w:pPr>
      <w:r>
        <w:separator/>
      </w:r>
    </w:p>
  </w:endnote>
  <w:endnote w:type="continuationSeparator" w:id="0">
    <w:p w14:paraId="134C58C2" w14:textId="77777777" w:rsidR="00E61923" w:rsidRDefault="00E61923" w:rsidP="00772CA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Avant Garde">
    <w:altName w:val="Avant Garde"/>
    <w:panose1 w:val="020B0402020203020304"/>
    <w:charset w:val="00"/>
    <w:family w:val="swiss"/>
    <w:pitch w:val="variable"/>
    <w:sig w:usb0="00000007" w:usb1="00000000" w:usb2="00000000" w:usb3="00000000" w:csb0="00000093" w:csb1="00000000"/>
  </w:font>
  <w:font w:name="ITC Avant Garde Std Bk">
    <w:panose1 w:val="020B0502020202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9A24D9" w14:textId="77777777" w:rsidR="00E61923" w:rsidRDefault="00E61923" w:rsidP="00772CA6">
      <w:pPr>
        <w:spacing w:before="0" w:line="240" w:lineRule="auto"/>
      </w:pPr>
      <w:r>
        <w:separator/>
      </w:r>
    </w:p>
  </w:footnote>
  <w:footnote w:type="continuationSeparator" w:id="0">
    <w:p w14:paraId="4F11BFA9" w14:textId="77777777" w:rsidR="00E61923" w:rsidRDefault="00E61923" w:rsidP="00772CA6">
      <w:pPr>
        <w:spacing w:before="0" w:line="240" w:lineRule="auto"/>
      </w:pPr>
      <w:r>
        <w:continuationSeparator/>
      </w:r>
    </w:p>
  </w:footnote>
  <w:footnote w:id="1">
    <w:p w14:paraId="18CF7EDF" w14:textId="2B91A16A" w:rsidR="00BC4DC9" w:rsidRPr="00BC4DC9" w:rsidRDefault="00BC4DC9">
      <w:pPr>
        <w:pStyle w:val="Textonotapie"/>
        <w:rPr>
          <w:lang w:val="es-MX"/>
        </w:rPr>
      </w:pPr>
      <w:r>
        <w:rPr>
          <w:rStyle w:val="Refdenotaalpie"/>
        </w:rPr>
        <w:footnoteRef/>
      </w:r>
      <w:r w:rsidRPr="008F42FC">
        <w:rPr>
          <w:lang w:val="es-MX"/>
        </w:rPr>
        <w:t xml:space="preserve"> </w:t>
      </w:r>
      <w:r w:rsidRPr="00CD0C09">
        <w:rPr>
          <w:rFonts w:ascii="ITC Avant Garde" w:hAnsi="ITC Avant Garde"/>
          <w:lang w:val="es-MX"/>
        </w:rPr>
        <w:t>Documento de trabajo del personal de la Comisión que acompaña a la Recomendación de la Comisión sobre el tratamiento reglamentario de las tarifas de terminación fijas y móviles en la U</w:t>
      </w:r>
      <w:r>
        <w:rPr>
          <w:rFonts w:ascii="ITC Avant Garde" w:hAnsi="ITC Avant Garde"/>
          <w:lang w:val="es-MX"/>
        </w:rPr>
        <w:t xml:space="preserve">nión </w:t>
      </w:r>
      <w:r w:rsidRPr="00CD0C09">
        <w:rPr>
          <w:rFonts w:ascii="ITC Avant Garde" w:hAnsi="ITC Avant Garde"/>
          <w:lang w:val="es-MX"/>
        </w:rPr>
        <w:t>E</w:t>
      </w:r>
      <w:r>
        <w:rPr>
          <w:rFonts w:ascii="ITC Avant Garde" w:hAnsi="ITC Avant Garde"/>
          <w:lang w:val="es-MX"/>
        </w:rPr>
        <w:t>uropea</w:t>
      </w:r>
      <w:r w:rsidRPr="00CD0C09">
        <w:rPr>
          <w:rFonts w:ascii="ITC Avant Garde" w:hAnsi="ITC Avant Garde"/>
          <w:lang w:val="es-MX"/>
        </w:rPr>
        <w:t>, Nota Explicativa, C (2009) 3359 final, SEC (2009) 599, mayo de 2009, página 13.</w:t>
      </w:r>
    </w:p>
  </w:footnote>
  <w:footnote w:id="2">
    <w:p w14:paraId="44752151" w14:textId="2B6BF4FA" w:rsidR="00BC4DC9" w:rsidRPr="00BC4DC9" w:rsidRDefault="00BC4DC9">
      <w:pPr>
        <w:pStyle w:val="Textonotapie"/>
        <w:rPr>
          <w:lang w:val="es-MX"/>
        </w:rPr>
      </w:pPr>
      <w:r>
        <w:rPr>
          <w:rStyle w:val="Refdenotaalpie"/>
        </w:rPr>
        <w:footnoteRef/>
      </w:r>
      <w:r w:rsidRPr="008F42FC">
        <w:rPr>
          <w:lang w:val="es-MX"/>
        </w:rPr>
        <w:t xml:space="preserve"> </w:t>
      </w:r>
      <w:r w:rsidRPr="00CD0C09">
        <w:rPr>
          <w:rFonts w:ascii="ITC Avant Garde" w:hAnsi="ITC Avant Garde"/>
          <w:lang w:val="es-MX"/>
        </w:rPr>
        <w:t>Comisión Europea, recomendación sobre "obligaciones consistentes de no discriminación y metodologías de cálculo de costos para promover la competencia y mejorar el entorno de la inversión en banda ancha", 11 de septiembre de 2013, ref C (2013) 5761, artículo 6 (k)</w:t>
      </w:r>
    </w:p>
  </w:footnote>
  <w:footnote w:id="3">
    <w:p w14:paraId="7764A632" w14:textId="37A77442" w:rsidR="00BC4DC9" w:rsidRPr="00BC4DC9" w:rsidRDefault="00BC4DC9">
      <w:pPr>
        <w:pStyle w:val="Textonotapie"/>
        <w:rPr>
          <w:rFonts w:ascii="ITC Avant Garde" w:hAnsi="ITC Avant Garde"/>
          <w:lang w:val="es-MX"/>
        </w:rPr>
      </w:pPr>
      <w:r>
        <w:rPr>
          <w:rStyle w:val="Refdenotaalpie"/>
        </w:rPr>
        <w:footnoteRef/>
      </w:r>
      <w:r w:rsidRPr="008F42FC">
        <w:rPr>
          <w:lang w:val="es-MX"/>
        </w:rPr>
        <w:t xml:space="preserve"> </w:t>
      </w:r>
      <w:r>
        <w:rPr>
          <w:rFonts w:ascii="ITC Avant Garde" w:hAnsi="ITC Avant Garde"/>
          <w:lang w:val="es-MX"/>
        </w:rPr>
        <w:t>IFT (Analysys Mason)</w:t>
      </w:r>
      <w:r w:rsidRPr="00CD0C09">
        <w:rPr>
          <w:rFonts w:ascii="ITC Avant Garde" w:hAnsi="ITC Avant Garde"/>
          <w:lang w:val="es-MX"/>
        </w:rPr>
        <w:t>, Informe final del modelo de costos incrementales de largo plazo – red de acceso fij</w:t>
      </w:r>
      <w:r>
        <w:rPr>
          <w:rFonts w:ascii="ITC Avant Garde" w:hAnsi="ITC Avant Garde"/>
          <w:lang w:val="es-MX"/>
        </w:rPr>
        <w:t>a</w:t>
      </w:r>
      <w:r w:rsidRPr="00CD0C09">
        <w:rPr>
          <w:rFonts w:ascii="ITC Avant Garde" w:hAnsi="ITC Avant Garde"/>
          <w:lang w:val="es-MX"/>
        </w:rPr>
        <w:t xml:space="preserve">, 15 </w:t>
      </w:r>
      <w:r>
        <w:rPr>
          <w:rFonts w:ascii="ITC Avant Garde" w:hAnsi="ITC Avant Garde"/>
          <w:lang w:val="es-MX"/>
        </w:rPr>
        <w:t>de diciembre de</w:t>
      </w:r>
      <w:r w:rsidRPr="00CD0C09">
        <w:rPr>
          <w:rFonts w:ascii="ITC Avant Garde" w:hAnsi="ITC Avant Garde"/>
          <w:lang w:val="es-MX"/>
        </w:rPr>
        <w:t xml:space="preserve"> 2015, página 16</w:t>
      </w:r>
    </w:p>
  </w:footnote>
  <w:footnote w:id="4">
    <w:p w14:paraId="3252D852" w14:textId="7792EF8A" w:rsidR="00BC4DC9" w:rsidRPr="00BC4DC9" w:rsidRDefault="00BC4DC9">
      <w:pPr>
        <w:pStyle w:val="Textonotapie"/>
        <w:rPr>
          <w:lang w:val="es-MX"/>
        </w:rPr>
      </w:pPr>
      <w:r>
        <w:rPr>
          <w:rStyle w:val="Refdenotaalpie"/>
        </w:rPr>
        <w:footnoteRef/>
      </w:r>
      <w:r w:rsidRPr="008F42FC">
        <w:rPr>
          <w:lang w:val="es-MX"/>
        </w:rPr>
        <w:t xml:space="preserve"> </w:t>
      </w:r>
      <w:bookmarkStart w:id="70" w:name="_Hlk141778618"/>
      <w:r w:rsidRPr="00CD0C09">
        <w:rPr>
          <w:rFonts w:ascii="ITC Avant Garde" w:hAnsi="ITC Avant Garde"/>
          <w:lang w:val="es-MX"/>
        </w:rPr>
        <w:t xml:space="preserve">IFT, Desarrollo del modelo de costos para la determinación de las tarifas de acceso a la red de fibra óptica del Agente Económico Preponderante (AEP), Documento metodológico, pagina 10, disponible a través de la siguiente liga: </w:t>
      </w:r>
      <w:hyperlink r:id="rId1" w:history="1">
        <w:r w:rsidRPr="00CD0C09">
          <w:rPr>
            <w:rStyle w:val="Hipervnculo"/>
            <w:rFonts w:ascii="ITC Avant Garde" w:hAnsi="ITC Avant Garde"/>
            <w:lang w:val="es-MX"/>
          </w:rPr>
          <w:t>http://www.ift.org.mx/industria/consultas-publicas/consulta-publica-sobre-el-modelo-de-costos-para-determinar-las-tarifas-de-acceso-para-la</w:t>
        </w:r>
      </w:hyperlink>
      <w:bookmarkEnd w:id="70"/>
    </w:p>
  </w:footnote>
  <w:footnote w:id="5">
    <w:p w14:paraId="6F739219" w14:textId="243841E0" w:rsidR="00BC4DC9" w:rsidRPr="00BC4DC9" w:rsidRDefault="00BC4DC9">
      <w:pPr>
        <w:pStyle w:val="Textonotapie"/>
        <w:rPr>
          <w:lang w:val="es-MX"/>
        </w:rPr>
      </w:pPr>
      <w:r>
        <w:rPr>
          <w:rStyle w:val="Refdenotaalpie"/>
        </w:rPr>
        <w:footnoteRef/>
      </w:r>
      <w:r w:rsidRPr="008F42FC">
        <w:rPr>
          <w:lang w:val="es-MX"/>
        </w:rPr>
        <w:t xml:space="preserve"> </w:t>
      </w:r>
      <w:r w:rsidRPr="00CD0C09">
        <w:rPr>
          <w:rFonts w:ascii="ITC Avant Garde" w:hAnsi="ITC Avant Garde"/>
          <w:lang w:val="es-MX"/>
        </w:rPr>
        <w:t>Comisión Europea, recomendación sobre "obligaciones consistentes de no discriminación y metodologías de cálculo de costos para promover la competencia y mejorar el entorno de la inversión en banda ancha", 11 de septiembre de 2013, ref C (2013) 5761, artículo 6 (k)</w:t>
      </w:r>
    </w:p>
  </w:footnote>
  <w:footnote w:id="6">
    <w:p w14:paraId="48AA729D" w14:textId="3C20CAC6" w:rsidR="00BC4DC9" w:rsidRPr="00BC4DC9" w:rsidRDefault="00BC4DC9">
      <w:pPr>
        <w:pStyle w:val="Textonotapie"/>
        <w:rPr>
          <w:lang w:val="es-MX"/>
        </w:rPr>
      </w:pPr>
      <w:r>
        <w:rPr>
          <w:rStyle w:val="Refdenotaalpie"/>
        </w:rPr>
        <w:footnoteRef/>
      </w:r>
      <w:r w:rsidRPr="008F42FC">
        <w:rPr>
          <w:lang w:val="es-MX"/>
        </w:rPr>
        <w:t xml:space="preserve"> </w:t>
      </w:r>
      <w:r w:rsidRPr="002806BF">
        <w:rPr>
          <w:rFonts w:ascii="ITC Avant Garde" w:hAnsi="ITC Avant Garde"/>
          <w:lang w:val="es-419"/>
        </w:rPr>
        <w:t>I</w:t>
      </w:r>
      <w:r w:rsidRPr="00CD0C09">
        <w:rPr>
          <w:rFonts w:ascii="ITC Avant Garde" w:hAnsi="ITC Avant Garde"/>
          <w:lang w:val="es-419"/>
        </w:rPr>
        <w:t>FT</w:t>
      </w:r>
      <w:r>
        <w:rPr>
          <w:rFonts w:ascii="ITC Avant Garde" w:hAnsi="ITC Avant Garde"/>
          <w:lang w:val="es-419"/>
        </w:rPr>
        <w:t xml:space="preserve"> (Analysys Mason)</w:t>
      </w:r>
      <w:r w:rsidRPr="00CD0C09">
        <w:rPr>
          <w:rFonts w:ascii="ITC Avant Garde" w:hAnsi="ITC Avant Garde"/>
          <w:lang w:val="es-419"/>
        </w:rPr>
        <w:t>, Informe final del modelo de costos incrementales de largo plazo – red de acceso fij</w:t>
      </w:r>
      <w:r>
        <w:rPr>
          <w:rFonts w:ascii="ITC Avant Garde" w:hAnsi="ITC Avant Garde"/>
          <w:lang w:val="es-419"/>
        </w:rPr>
        <w:t>a</w:t>
      </w:r>
      <w:r w:rsidRPr="00CD0C09">
        <w:rPr>
          <w:rFonts w:ascii="ITC Avant Garde" w:hAnsi="ITC Avant Garde"/>
          <w:lang w:val="es-419"/>
        </w:rPr>
        <w:t>, 15</w:t>
      </w:r>
      <w:r>
        <w:rPr>
          <w:rFonts w:ascii="ITC Avant Garde" w:hAnsi="ITC Avant Garde"/>
          <w:lang w:val="es-419"/>
        </w:rPr>
        <w:t xml:space="preserve"> de diciembre de</w:t>
      </w:r>
      <w:r w:rsidRPr="00CD0C09">
        <w:rPr>
          <w:rFonts w:ascii="ITC Avant Garde" w:hAnsi="ITC Avant Garde"/>
          <w:lang w:val="es-419"/>
        </w:rPr>
        <w:t xml:space="preserve">, 2015, </w:t>
      </w:r>
      <w:r>
        <w:rPr>
          <w:rFonts w:ascii="ITC Avant Garde" w:hAnsi="ITC Avant Garde"/>
          <w:lang w:val="es-419"/>
        </w:rPr>
        <w:t>pá</w:t>
      </w:r>
      <w:r w:rsidRPr="00CD0C09">
        <w:rPr>
          <w:rFonts w:ascii="ITC Avant Garde" w:hAnsi="ITC Avant Garde"/>
          <w:lang w:val="es-419"/>
        </w:rPr>
        <w:t>gina 16</w:t>
      </w:r>
    </w:p>
  </w:footnote>
  <w:footnote w:id="7">
    <w:p w14:paraId="49731340" w14:textId="67A2733C" w:rsidR="00BC4DC9" w:rsidRPr="00BC4DC9" w:rsidRDefault="00BC4DC9">
      <w:pPr>
        <w:pStyle w:val="Textonotapie"/>
        <w:rPr>
          <w:lang w:val="es-MX"/>
        </w:rPr>
      </w:pPr>
      <w:r>
        <w:rPr>
          <w:rStyle w:val="Refdenotaalpie"/>
        </w:rPr>
        <w:footnoteRef/>
      </w:r>
      <w:r w:rsidRPr="008F42FC">
        <w:rPr>
          <w:lang w:val="es-MX"/>
        </w:rPr>
        <w:t xml:space="preserve"> </w:t>
      </w:r>
      <w:r>
        <w:rPr>
          <w:rFonts w:ascii="ITC Avant Garde" w:hAnsi="ITC Avant Garde"/>
          <w:lang w:val="es-MX"/>
        </w:rPr>
        <w:t xml:space="preserve">IFT, </w:t>
      </w:r>
      <w:r w:rsidRPr="00CD0C09">
        <w:rPr>
          <w:rFonts w:ascii="ITC Avant Garde" w:hAnsi="ITC Avant Garde"/>
          <w:lang w:val="es-MX"/>
        </w:rPr>
        <w:t>Documento Metodológico</w:t>
      </w:r>
      <w:r w:rsidRPr="00CD0C09">
        <w:rPr>
          <w:rFonts w:ascii="ITC Avant Garde" w:hAnsi="ITC Avant Garde"/>
          <w:lang w:val="es-419"/>
        </w:rPr>
        <w:t>, Desarrollo del modelo de costos para la determinación de las tarifas de acceso a la red de fibra óptica del Agente Económico Preponderante (AEP), página 12</w:t>
      </w:r>
    </w:p>
  </w:footnote>
  <w:footnote w:id="8">
    <w:p w14:paraId="1553AEB3" w14:textId="22C06C08" w:rsidR="00BC4DC9" w:rsidRPr="00BC4DC9" w:rsidRDefault="00BC4DC9">
      <w:pPr>
        <w:pStyle w:val="Textonotapie"/>
        <w:rPr>
          <w:lang w:val="es-MX"/>
        </w:rPr>
      </w:pPr>
      <w:r>
        <w:rPr>
          <w:rStyle w:val="Refdenotaalpie"/>
        </w:rPr>
        <w:footnoteRef/>
      </w:r>
      <w:r w:rsidRPr="008F42FC">
        <w:rPr>
          <w:lang w:val="es-MX"/>
        </w:rPr>
        <w:t xml:space="preserve"> </w:t>
      </w:r>
      <w:r w:rsidRPr="00CD0C09">
        <w:rPr>
          <w:rFonts w:ascii="ITC Avant Garde" w:hAnsi="ITC Avant Garde"/>
          <w:lang w:val="es-419"/>
        </w:rPr>
        <w:t xml:space="preserve">IFT </w:t>
      </w:r>
      <w:r>
        <w:rPr>
          <w:rFonts w:ascii="ITC Avant Garde" w:hAnsi="ITC Avant Garde"/>
          <w:lang w:val="es-419"/>
        </w:rPr>
        <w:t xml:space="preserve">(Analysys Mason), </w:t>
      </w:r>
      <w:r w:rsidRPr="00CD0C09">
        <w:rPr>
          <w:rFonts w:ascii="ITC Avant Garde" w:hAnsi="ITC Avant Garde"/>
          <w:lang w:val="es-419"/>
        </w:rPr>
        <w:t>Informe final del modelo de costos incrementales de largo plazo – red de acceso fij</w:t>
      </w:r>
      <w:r>
        <w:rPr>
          <w:rFonts w:ascii="ITC Avant Garde" w:hAnsi="ITC Avant Garde"/>
          <w:lang w:val="es-419"/>
        </w:rPr>
        <w:t>a</w:t>
      </w:r>
      <w:r w:rsidRPr="00CD0C09">
        <w:rPr>
          <w:rFonts w:ascii="ITC Avant Garde" w:hAnsi="ITC Avant Garde"/>
          <w:lang w:val="es-419"/>
        </w:rPr>
        <w:t xml:space="preserve">, 15 </w:t>
      </w:r>
      <w:r>
        <w:rPr>
          <w:rFonts w:ascii="ITC Avant Garde" w:hAnsi="ITC Avant Garde"/>
          <w:lang w:val="es-419"/>
        </w:rPr>
        <w:t>de diciembre de</w:t>
      </w:r>
      <w:r w:rsidRPr="00CD0C09">
        <w:rPr>
          <w:rFonts w:ascii="ITC Avant Garde" w:hAnsi="ITC Avant Garde"/>
          <w:lang w:val="es-419"/>
        </w:rPr>
        <w:t xml:space="preserve"> 2015</w:t>
      </w:r>
      <w:r>
        <w:rPr>
          <w:rFonts w:ascii="ITC Avant Garde" w:hAnsi="ITC Avant Garde"/>
          <w:lang w:val="es-419"/>
        </w:rPr>
        <w:t>,</w:t>
      </w:r>
      <w:r w:rsidRPr="00CD0C09">
        <w:rPr>
          <w:rFonts w:ascii="ITC Avant Garde" w:hAnsi="ITC Avant Garde"/>
          <w:lang w:val="es-419"/>
        </w:rPr>
        <w:t xml:space="preserve"> página 18</w:t>
      </w:r>
    </w:p>
  </w:footnote>
  <w:footnote w:id="9">
    <w:p w14:paraId="378CFF94" w14:textId="260AEAC9" w:rsidR="00BC4DC9" w:rsidRPr="00BC4DC9" w:rsidRDefault="00BC4DC9">
      <w:pPr>
        <w:pStyle w:val="Textonotapie"/>
        <w:rPr>
          <w:lang w:val="es-MX"/>
        </w:rPr>
      </w:pPr>
      <w:r>
        <w:rPr>
          <w:rStyle w:val="Refdenotaalpie"/>
        </w:rPr>
        <w:footnoteRef/>
      </w:r>
      <w:r w:rsidRPr="008F42FC">
        <w:rPr>
          <w:lang w:val="es-MX"/>
        </w:rPr>
        <w:t xml:space="preserve"> </w:t>
      </w:r>
      <w:r>
        <w:rPr>
          <w:rFonts w:ascii="ITC Avant Garde" w:hAnsi="ITC Avant Garde"/>
          <w:lang w:val="es-MX"/>
        </w:rPr>
        <w:t xml:space="preserve">IFT, </w:t>
      </w:r>
      <w:r w:rsidRPr="00CD0C09">
        <w:rPr>
          <w:rFonts w:ascii="ITC Avant Garde" w:hAnsi="ITC Avant Garde"/>
          <w:lang w:val="es-MX"/>
        </w:rPr>
        <w:t>Documento Metodológico</w:t>
      </w:r>
      <w:r w:rsidRPr="00CD0C09">
        <w:rPr>
          <w:rFonts w:ascii="ITC Avant Garde" w:hAnsi="ITC Avant Garde"/>
          <w:lang w:val="es-419"/>
        </w:rPr>
        <w:t>, Desarrollo del modelo de costos para la determinación de las tarifas de acceso a la red de fibra óptica del Agente Económico Preponderante (AEP), página 15</w:t>
      </w:r>
    </w:p>
  </w:footnote>
  <w:footnote w:id="10">
    <w:p w14:paraId="488927D0" w14:textId="1A00F5C7" w:rsidR="00BC4DC9" w:rsidRPr="00BC4DC9" w:rsidRDefault="00BC4DC9">
      <w:pPr>
        <w:pStyle w:val="Textonotapie"/>
        <w:rPr>
          <w:rFonts w:ascii="ITC Avant Garde" w:hAnsi="ITC Avant Garde"/>
          <w:lang w:val="es-MX"/>
        </w:rPr>
      </w:pPr>
      <w:r w:rsidRPr="00BC4DC9">
        <w:rPr>
          <w:rStyle w:val="Refdenotaalpie"/>
          <w:rFonts w:ascii="ITC Avant Garde" w:hAnsi="ITC Avant Garde"/>
        </w:rPr>
        <w:footnoteRef/>
      </w:r>
      <w:r w:rsidRPr="008F42FC">
        <w:rPr>
          <w:rFonts w:ascii="ITC Avant Garde" w:hAnsi="ITC Avant Garde"/>
          <w:lang w:val="es-MX"/>
        </w:rPr>
        <w:t xml:space="preserve"> </w:t>
      </w:r>
      <w:bookmarkStart w:id="74" w:name="_Hlk141688165"/>
      <w:r w:rsidRPr="008F42FC">
        <w:rPr>
          <w:rFonts w:ascii="ITC Avant Garde" w:hAnsi="ITC Avant Garde"/>
          <w:lang w:val="es-MX"/>
        </w:rPr>
        <w:t>Si bien el Modelo permite el cálculo de resultados para un periodo plurianual, se señala que el dimensionamiento de la red se realiza para un único año de referencia</w:t>
      </w:r>
      <w:bookmarkEnd w:id="74"/>
      <w:r w:rsidRPr="008F42FC">
        <w:rPr>
          <w:rFonts w:ascii="ITC Avant Garde" w:hAnsi="ITC Avant Garde"/>
          <w:lang w:val="es-MX"/>
        </w:rPr>
        <w:t>.</w:t>
      </w:r>
    </w:p>
  </w:footnote>
  <w:footnote w:id="11">
    <w:p w14:paraId="454FAAF7" w14:textId="12754337" w:rsidR="00F030C5" w:rsidRPr="00F030C5" w:rsidRDefault="00F030C5">
      <w:pPr>
        <w:pStyle w:val="Textonotapie"/>
        <w:rPr>
          <w:lang w:val="es-MX"/>
        </w:rPr>
      </w:pPr>
      <w:r>
        <w:rPr>
          <w:rStyle w:val="Refdenotaalpie"/>
        </w:rPr>
        <w:footnoteRef/>
      </w:r>
      <w:r w:rsidRPr="008F42FC">
        <w:rPr>
          <w:lang w:val="es-MX"/>
        </w:rPr>
        <w:t xml:space="preserve"> </w:t>
      </w:r>
      <w:r w:rsidRPr="00CD0C09">
        <w:rPr>
          <w:rFonts w:ascii="ITC Avant Garde" w:hAnsi="ITC Avant Garde"/>
          <w:lang w:val="es-MX"/>
        </w:rPr>
        <w:t>Comisión Europea, recomendación sobre "obligaciones consistentes de no discriminación y metodologías de cálculo de costos para promover la competencia y mejorar el entorno de la inversión en banda ancha", 11 de septiembre de 2013, ref C (2013) 5761, artículo 31</w:t>
      </w:r>
    </w:p>
  </w:footnote>
  <w:footnote w:id="12">
    <w:p w14:paraId="102DE11E" w14:textId="6D4F131C" w:rsidR="00F030C5" w:rsidRPr="00F030C5" w:rsidRDefault="00F030C5">
      <w:pPr>
        <w:pStyle w:val="Textonotapie"/>
        <w:rPr>
          <w:lang w:val="es-MX"/>
        </w:rPr>
      </w:pPr>
      <w:r>
        <w:rPr>
          <w:rStyle w:val="Refdenotaalpie"/>
        </w:rPr>
        <w:footnoteRef/>
      </w:r>
      <w:r w:rsidRPr="008F42FC">
        <w:rPr>
          <w:lang w:val="es-MX"/>
        </w:rPr>
        <w:t xml:space="preserve"> </w:t>
      </w:r>
      <w:r w:rsidRPr="00CD0C09">
        <w:rPr>
          <w:rFonts w:ascii="ITC Avant Garde" w:hAnsi="ITC Avant Garde"/>
          <w:lang w:val="es-419"/>
        </w:rPr>
        <w:t>IFT</w:t>
      </w:r>
      <w:r>
        <w:rPr>
          <w:rFonts w:ascii="ITC Avant Garde" w:hAnsi="ITC Avant Garde"/>
          <w:lang w:val="es-419"/>
        </w:rPr>
        <w:t xml:space="preserve"> (Analysys Mason)</w:t>
      </w:r>
      <w:r w:rsidRPr="00CD0C09">
        <w:rPr>
          <w:rFonts w:ascii="ITC Avant Garde" w:hAnsi="ITC Avant Garde"/>
          <w:lang w:val="es-419"/>
        </w:rPr>
        <w:t>,</w:t>
      </w:r>
      <w:r>
        <w:rPr>
          <w:rFonts w:ascii="ITC Avant Garde" w:hAnsi="ITC Avant Garde"/>
          <w:lang w:val="es-419"/>
        </w:rPr>
        <w:t xml:space="preserve"> </w:t>
      </w:r>
      <w:r w:rsidRPr="00CD0C09">
        <w:rPr>
          <w:rFonts w:ascii="ITC Avant Garde" w:hAnsi="ITC Avant Garde"/>
          <w:lang w:val="es-419"/>
        </w:rPr>
        <w:t>Informe final del modelo de costos incrementales de largo plazo – red de acceso fij</w:t>
      </w:r>
      <w:r>
        <w:rPr>
          <w:rFonts w:ascii="ITC Avant Garde" w:hAnsi="ITC Avant Garde"/>
          <w:lang w:val="es-419"/>
        </w:rPr>
        <w:t>a</w:t>
      </w:r>
      <w:r w:rsidRPr="00CD0C09">
        <w:rPr>
          <w:rFonts w:ascii="ITC Avant Garde" w:hAnsi="ITC Avant Garde"/>
          <w:lang w:val="es-419"/>
        </w:rPr>
        <w:t xml:space="preserve">, 15 </w:t>
      </w:r>
      <w:r>
        <w:rPr>
          <w:rFonts w:ascii="ITC Avant Garde" w:hAnsi="ITC Avant Garde"/>
          <w:lang w:val="es-419"/>
        </w:rPr>
        <w:t>de diciembre de</w:t>
      </w:r>
      <w:r w:rsidRPr="00CD0C09">
        <w:rPr>
          <w:rFonts w:ascii="ITC Avant Garde" w:hAnsi="ITC Avant Garde"/>
          <w:lang w:val="es-419"/>
        </w:rPr>
        <w:t xml:space="preserve"> 2015 páginas 20</w:t>
      </w:r>
      <w:r>
        <w:rPr>
          <w:rFonts w:ascii="ITC Avant Garde" w:hAnsi="ITC Avant Garde"/>
          <w:lang w:val="es-419"/>
        </w:rPr>
        <w:t xml:space="preserve"> a </w:t>
      </w:r>
      <w:r w:rsidRPr="00CD0C09">
        <w:rPr>
          <w:rFonts w:ascii="ITC Avant Garde" w:hAnsi="ITC Avant Garde"/>
          <w:lang w:val="es-419"/>
        </w:rPr>
        <w:t>21</w:t>
      </w:r>
    </w:p>
  </w:footnote>
  <w:footnote w:id="13">
    <w:p w14:paraId="4BD98FC7" w14:textId="1D3D6CFA" w:rsidR="00F030C5" w:rsidRPr="00F030C5" w:rsidRDefault="00F030C5">
      <w:pPr>
        <w:pStyle w:val="Textonotapie"/>
        <w:rPr>
          <w:lang w:val="es-MX"/>
        </w:rPr>
      </w:pPr>
      <w:r>
        <w:rPr>
          <w:rStyle w:val="Refdenotaalpie"/>
        </w:rPr>
        <w:footnoteRef/>
      </w:r>
      <w:r w:rsidRPr="008F42FC">
        <w:rPr>
          <w:lang w:val="es-MX"/>
        </w:rPr>
        <w:t xml:space="preserve"> </w:t>
      </w:r>
      <w:r>
        <w:rPr>
          <w:rFonts w:ascii="ITC Avant Garde" w:hAnsi="ITC Avant Garde"/>
          <w:lang w:val="es-MX"/>
        </w:rPr>
        <w:t xml:space="preserve">IFT, </w:t>
      </w:r>
      <w:r w:rsidRPr="00CD0C09">
        <w:rPr>
          <w:rFonts w:ascii="ITC Avant Garde" w:hAnsi="ITC Avant Garde"/>
          <w:lang w:val="es-MX"/>
        </w:rPr>
        <w:t>Documento Metodológico</w:t>
      </w:r>
      <w:r w:rsidRPr="00CD0C09">
        <w:rPr>
          <w:rFonts w:ascii="ITC Avant Garde" w:hAnsi="ITC Avant Garde"/>
          <w:lang w:val="es-419"/>
        </w:rPr>
        <w:t>, Desarrollo del modelo de costos para la determinación de las tarifas de acceso a la red de fibra óptica del Agente Económico Preponderante (AEP), p</w:t>
      </w:r>
      <w:r>
        <w:rPr>
          <w:rFonts w:ascii="ITC Avant Garde" w:hAnsi="ITC Avant Garde"/>
          <w:lang w:val="es-419"/>
        </w:rPr>
        <w:t>ágina</w:t>
      </w:r>
      <w:r w:rsidRPr="00CD0C09">
        <w:rPr>
          <w:rFonts w:ascii="ITC Avant Garde" w:hAnsi="ITC Avant Garde"/>
          <w:lang w:val="es-419"/>
        </w:rPr>
        <w:t xml:space="preserve"> 13</w:t>
      </w:r>
    </w:p>
  </w:footnote>
  <w:footnote w:id="14">
    <w:p w14:paraId="6AFDBDD7" w14:textId="13D52F0B" w:rsidR="00F030C5" w:rsidRPr="00F030C5" w:rsidRDefault="00F030C5">
      <w:pPr>
        <w:pStyle w:val="Textonotapie"/>
        <w:rPr>
          <w:lang w:val="es-MX"/>
        </w:rPr>
      </w:pPr>
      <w:r>
        <w:rPr>
          <w:rStyle w:val="Refdenotaalpie"/>
        </w:rPr>
        <w:footnoteRef/>
      </w:r>
      <w:r w:rsidRPr="008F42FC">
        <w:rPr>
          <w:lang w:val="es-MX"/>
        </w:rPr>
        <w:t xml:space="preserve"> </w:t>
      </w:r>
      <w:r w:rsidRPr="00CD0C09">
        <w:rPr>
          <w:rFonts w:ascii="ITC Avant Garde" w:hAnsi="ITC Avant Garde"/>
          <w:lang w:val="es-419"/>
        </w:rPr>
        <w:t>IFT (</w:t>
      </w:r>
      <w:r>
        <w:rPr>
          <w:rFonts w:ascii="ITC Avant Garde" w:hAnsi="ITC Avant Garde"/>
          <w:lang w:val="es-419"/>
        </w:rPr>
        <w:t>A</w:t>
      </w:r>
      <w:r w:rsidRPr="00CD0C09">
        <w:rPr>
          <w:rFonts w:ascii="ITC Avant Garde" w:hAnsi="ITC Avant Garde"/>
          <w:lang w:val="es-419"/>
        </w:rPr>
        <w:t xml:space="preserve">nalysys </w:t>
      </w:r>
      <w:r>
        <w:rPr>
          <w:rFonts w:ascii="ITC Avant Garde" w:hAnsi="ITC Avant Garde"/>
          <w:lang w:val="es-419"/>
        </w:rPr>
        <w:t>M</w:t>
      </w:r>
      <w:r w:rsidRPr="00CD0C09">
        <w:rPr>
          <w:rFonts w:ascii="ITC Avant Garde" w:hAnsi="ITC Avant Garde"/>
          <w:lang w:val="es-419"/>
        </w:rPr>
        <w:t xml:space="preserve">ason), Informe final del modelo de costos incrementales de largo plazo – red de acceso </w:t>
      </w:r>
      <w:r w:rsidRPr="006319A2">
        <w:rPr>
          <w:rFonts w:ascii="ITC Avant Garde" w:hAnsi="ITC Avant Garde"/>
          <w:lang w:val="es-419"/>
        </w:rPr>
        <w:t>fija</w:t>
      </w:r>
      <w:r w:rsidRPr="00CD0C09">
        <w:rPr>
          <w:rFonts w:ascii="ITC Avant Garde" w:hAnsi="ITC Avant Garde"/>
          <w:lang w:val="es-419"/>
        </w:rPr>
        <w:t xml:space="preserve">, 15 </w:t>
      </w:r>
      <w:r>
        <w:rPr>
          <w:rFonts w:ascii="ITC Avant Garde" w:hAnsi="ITC Avant Garde"/>
          <w:lang w:val="es-419"/>
        </w:rPr>
        <w:t>de diciembre de</w:t>
      </w:r>
      <w:r w:rsidRPr="00CD0C09">
        <w:rPr>
          <w:rFonts w:ascii="ITC Avant Garde" w:hAnsi="ITC Avant Garde"/>
          <w:lang w:val="es-419"/>
        </w:rPr>
        <w:t xml:space="preserve"> 2015</w:t>
      </w:r>
      <w:r>
        <w:rPr>
          <w:rFonts w:ascii="ITC Avant Garde" w:hAnsi="ITC Avant Garde"/>
          <w:lang w:val="es-419"/>
        </w:rPr>
        <w:t xml:space="preserve">, </w:t>
      </w:r>
      <w:r w:rsidRPr="00CD0C09">
        <w:rPr>
          <w:rFonts w:ascii="ITC Avant Garde" w:hAnsi="ITC Avant Garde"/>
          <w:lang w:val="es-419"/>
        </w:rPr>
        <w:t xml:space="preserve">páginas 26 </w:t>
      </w:r>
      <w:r w:rsidRPr="006319A2">
        <w:rPr>
          <w:rFonts w:ascii="ITC Avant Garde" w:hAnsi="ITC Avant Garde"/>
          <w:lang w:val="es-419"/>
        </w:rPr>
        <w:t xml:space="preserve">a </w:t>
      </w:r>
      <w:r w:rsidRPr="00CD0C09">
        <w:rPr>
          <w:rFonts w:ascii="ITC Avant Garde" w:hAnsi="ITC Avant Garde"/>
          <w:lang w:val="es-419"/>
        </w:rPr>
        <w:t>35</w:t>
      </w:r>
    </w:p>
  </w:footnote>
  <w:footnote w:id="15">
    <w:p w14:paraId="12D8ABEC" w14:textId="56CDFB5F" w:rsidR="00F030C5" w:rsidRPr="00F030C5" w:rsidRDefault="00F030C5">
      <w:pPr>
        <w:pStyle w:val="Textonotapie"/>
        <w:rPr>
          <w:lang w:val="es-MX"/>
        </w:rPr>
      </w:pPr>
      <w:r>
        <w:rPr>
          <w:rStyle w:val="Refdenotaalpie"/>
        </w:rPr>
        <w:footnoteRef/>
      </w:r>
      <w:r w:rsidRPr="008F42FC">
        <w:rPr>
          <w:lang w:val="es-MX"/>
        </w:rPr>
        <w:t xml:space="preserve"> </w:t>
      </w:r>
      <w:r w:rsidRPr="00CD0C09">
        <w:rPr>
          <w:rFonts w:ascii="ITC Avant Garde" w:hAnsi="ITC Avant Garde"/>
          <w:lang w:val="es-419"/>
        </w:rPr>
        <w:t xml:space="preserve">IFT (Axon), </w:t>
      </w:r>
      <w:r w:rsidRPr="00CD0C09">
        <w:rPr>
          <w:rFonts w:ascii="ITC Avant Garde" w:hAnsi="ITC Avant Garde"/>
          <w:lang w:val="es-MX"/>
        </w:rPr>
        <w:t>Documento Metodológico</w:t>
      </w:r>
      <w:r w:rsidRPr="00CD0C09">
        <w:rPr>
          <w:rFonts w:ascii="ITC Avant Garde" w:hAnsi="ITC Avant Garde"/>
          <w:lang w:val="es-419"/>
        </w:rPr>
        <w:t xml:space="preserve">, Desarrollo del modelo de costos para la determinación de las tarifas de acceso a la red de fibra óptica del Agente Económico Preponderante (AEP), páginas 16 </w:t>
      </w:r>
      <w:r w:rsidRPr="006319A2">
        <w:rPr>
          <w:rFonts w:ascii="ITC Avant Garde" w:hAnsi="ITC Avant Garde"/>
          <w:lang w:val="es-419"/>
        </w:rPr>
        <w:t xml:space="preserve">a </w:t>
      </w:r>
      <w:r w:rsidRPr="00CD0C09">
        <w:rPr>
          <w:rFonts w:ascii="ITC Avant Garde" w:hAnsi="ITC Avant Garde"/>
          <w:lang w:val="es-419"/>
        </w:rPr>
        <w:t>21</w:t>
      </w:r>
    </w:p>
  </w:footnote>
  <w:footnote w:id="16">
    <w:p w14:paraId="298733BC" w14:textId="0F803396" w:rsidR="00F030C5" w:rsidRPr="00F030C5" w:rsidRDefault="00F030C5">
      <w:pPr>
        <w:pStyle w:val="Textonotapie"/>
        <w:rPr>
          <w:lang w:val="es-MX"/>
        </w:rPr>
      </w:pPr>
      <w:r>
        <w:rPr>
          <w:rStyle w:val="Refdenotaalpie"/>
        </w:rPr>
        <w:footnoteRef/>
      </w:r>
      <w:r w:rsidRPr="008F42FC">
        <w:rPr>
          <w:lang w:val="es-MX"/>
        </w:rPr>
        <w:t xml:space="preserve"> </w:t>
      </w:r>
      <w:r w:rsidRPr="006319A2">
        <w:rPr>
          <w:rFonts w:ascii="ITC Avant Garde" w:hAnsi="ITC Avant Garde"/>
          <w:lang w:val="es-MX"/>
        </w:rPr>
        <w:t>Anexo</w:t>
      </w:r>
      <w:r>
        <w:rPr>
          <w:rFonts w:ascii="ITC Avant Garde" w:hAnsi="ITC Avant Garde"/>
          <w:lang w:val="es-MX"/>
        </w:rPr>
        <w:t>s de</w:t>
      </w:r>
      <w:r w:rsidRPr="00CD0C09">
        <w:rPr>
          <w:rFonts w:ascii="ITC Avant Garde" w:hAnsi="ITC Avant Garde"/>
          <w:lang w:val="es-MX"/>
        </w:rPr>
        <w:t xml:space="preserve"> Tarifas ORCI </w:t>
      </w:r>
      <w:r>
        <w:rPr>
          <w:rFonts w:ascii="ITC Avant Garde" w:hAnsi="ITC Avant Garde"/>
          <w:lang w:val="es-MX"/>
        </w:rPr>
        <w:t>y</w:t>
      </w:r>
      <w:r w:rsidRPr="006319A2">
        <w:rPr>
          <w:rFonts w:ascii="ITC Avant Garde" w:hAnsi="ITC Avant Garde"/>
          <w:lang w:val="es-MX"/>
        </w:rPr>
        <w:t xml:space="preserve"> </w:t>
      </w:r>
      <w:r w:rsidRPr="00CD0C09">
        <w:rPr>
          <w:rFonts w:ascii="ITC Avant Garde" w:hAnsi="ITC Avant Garde"/>
          <w:lang w:val="es-MX"/>
        </w:rPr>
        <w:t>OREDA</w:t>
      </w:r>
    </w:p>
  </w:footnote>
  <w:footnote w:id="17">
    <w:p w14:paraId="261CF53D" w14:textId="29BAB9C8" w:rsidR="00F030C5" w:rsidRPr="00F030C5" w:rsidRDefault="00F030C5">
      <w:pPr>
        <w:pStyle w:val="Textonotapie"/>
        <w:rPr>
          <w:lang w:val="es-MX"/>
        </w:rPr>
      </w:pPr>
      <w:r>
        <w:rPr>
          <w:rStyle w:val="Refdenotaalpie"/>
        </w:rPr>
        <w:footnoteRef/>
      </w:r>
      <w:r w:rsidRPr="008F42FC">
        <w:rPr>
          <w:lang w:val="es-MX"/>
        </w:rPr>
        <w:t xml:space="preserve"> </w:t>
      </w:r>
      <w:r w:rsidRPr="00CD0C09">
        <w:rPr>
          <w:rFonts w:ascii="ITC Avant Garde" w:hAnsi="ITC Avant Garde"/>
          <w:lang w:val="es-MX"/>
        </w:rPr>
        <w:t>Comisión Europea, recomendación sobre "obligaciones consistentes de no discriminación y metodologías de cálculo de costos para promover la competencia y mejorar el entorno de la inversión en banda ancha", 11 de septiembre de 2013, ref C (2013) 5761, artículo 31</w:t>
      </w:r>
    </w:p>
  </w:footnote>
  <w:footnote w:id="18">
    <w:p w14:paraId="0066BE68" w14:textId="1AE00916" w:rsidR="002213F6" w:rsidRPr="002213F6" w:rsidRDefault="002213F6">
      <w:pPr>
        <w:pStyle w:val="Textonotapie"/>
        <w:rPr>
          <w:rFonts w:ascii="ITC Avant Garde" w:hAnsi="ITC Avant Garde"/>
        </w:rPr>
      </w:pPr>
      <w:r>
        <w:rPr>
          <w:rStyle w:val="Refdenotaalpie"/>
        </w:rPr>
        <w:footnoteRef/>
      </w:r>
      <w:r>
        <w:t xml:space="preserve"> </w:t>
      </w:r>
      <w:r w:rsidRPr="00CD0C09">
        <w:rPr>
          <w:rFonts w:ascii="ITC Avant Garde" w:hAnsi="ITC Avant Garde"/>
        </w:rPr>
        <w:t>International Telecommunication Union Regulatory Accounting Guide’, 2009</w:t>
      </w:r>
    </w:p>
  </w:footnote>
  <w:footnote w:id="19">
    <w:p w14:paraId="1C15E87F" w14:textId="14418FAA" w:rsidR="002213F6" w:rsidRPr="002213F6" w:rsidRDefault="002213F6">
      <w:pPr>
        <w:pStyle w:val="Textonotapie"/>
        <w:rPr>
          <w:lang w:val="es-MX"/>
        </w:rPr>
      </w:pPr>
      <w:r>
        <w:rPr>
          <w:rStyle w:val="Refdenotaalpie"/>
        </w:rPr>
        <w:footnoteRef/>
      </w:r>
      <w:r w:rsidRPr="008F42FC">
        <w:rPr>
          <w:lang w:val="es-MX"/>
        </w:rPr>
        <w:t xml:space="preserve"> </w:t>
      </w:r>
      <w:r w:rsidRPr="00CD0C09">
        <w:rPr>
          <w:rFonts w:ascii="ITC Avant Garde" w:hAnsi="ITC Avant Garde"/>
          <w:lang w:val="es-MX"/>
        </w:rPr>
        <w:t>Comisión Europea, recomendación sobre "obligaciones consistentes de no discriminación y metodologías de cálculo de costos para promover la competencia y mejorar el entorno de la inversión en banda ancha", 11 de septiembre de 2013, ref C (2013) 5761, artículo 37</w:t>
      </w:r>
    </w:p>
  </w:footnote>
  <w:footnote w:id="20">
    <w:p w14:paraId="4397D1B3" w14:textId="63D62B06" w:rsidR="002213F6" w:rsidRPr="002213F6" w:rsidRDefault="002213F6">
      <w:pPr>
        <w:pStyle w:val="Textonotapie"/>
        <w:rPr>
          <w:lang w:val="es-MX"/>
        </w:rPr>
      </w:pPr>
      <w:r>
        <w:rPr>
          <w:rStyle w:val="Refdenotaalpie"/>
        </w:rPr>
        <w:footnoteRef/>
      </w:r>
      <w:r w:rsidRPr="008F42FC">
        <w:rPr>
          <w:lang w:val="es-MX"/>
        </w:rPr>
        <w:t xml:space="preserve"> </w:t>
      </w:r>
      <w:r w:rsidRPr="00CD0C09">
        <w:rPr>
          <w:rFonts w:ascii="ITC Avant Garde" w:hAnsi="ITC Avant Garde"/>
          <w:lang w:val="es-419"/>
        </w:rPr>
        <w:t>IFT (</w:t>
      </w:r>
      <w:r>
        <w:rPr>
          <w:rFonts w:ascii="ITC Avant Garde" w:hAnsi="ITC Avant Garde"/>
          <w:lang w:val="es-419"/>
        </w:rPr>
        <w:t>A</w:t>
      </w:r>
      <w:r w:rsidRPr="00CD0C09">
        <w:rPr>
          <w:rFonts w:ascii="ITC Avant Garde" w:hAnsi="ITC Avant Garde"/>
          <w:lang w:val="es-419"/>
        </w:rPr>
        <w:t xml:space="preserve">nalysys </w:t>
      </w:r>
      <w:r>
        <w:rPr>
          <w:rFonts w:ascii="ITC Avant Garde" w:hAnsi="ITC Avant Garde"/>
          <w:lang w:val="es-419"/>
        </w:rPr>
        <w:t>M</w:t>
      </w:r>
      <w:r w:rsidRPr="00CD0C09">
        <w:rPr>
          <w:rFonts w:ascii="ITC Avant Garde" w:hAnsi="ITC Avant Garde"/>
          <w:lang w:val="es-419"/>
        </w:rPr>
        <w:t xml:space="preserve">ason), Informe final del modelo de costos incrementales de largo plazo – red de acceso </w:t>
      </w:r>
      <w:r w:rsidRPr="006319A2">
        <w:rPr>
          <w:rFonts w:ascii="ITC Avant Garde" w:hAnsi="ITC Avant Garde"/>
          <w:lang w:val="es-419"/>
        </w:rPr>
        <w:t>fija</w:t>
      </w:r>
      <w:r w:rsidRPr="00CD0C09">
        <w:rPr>
          <w:rFonts w:ascii="ITC Avant Garde" w:hAnsi="ITC Avant Garde"/>
          <w:lang w:val="es-419"/>
        </w:rPr>
        <w:t xml:space="preserve">, 15 </w:t>
      </w:r>
      <w:r>
        <w:rPr>
          <w:rFonts w:ascii="ITC Avant Garde" w:hAnsi="ITC Avant Garde"/>
          <w:lang w:val="es-419"/>
        </w:rPr>
        <w:t>de diciembre</w:t>
      </w:r>
      <w:r w:rsidRPr="00CD0C09">
        <w:rPr>
          <w:rFonts w:ascii="ITC Avant Garde" w:hAnsi="ITC Avant Garde"/>
          <w:lang w:val="es-419"/>
        </w:rPr>
        <w:t>, 2015</w:t>
      </w:r>
      <w:r>
        <w:rPr>
          <w:rFonts w:ascii="ITC Avant Garde" w:hAnsi="ITC Avant Garde"/>
          <w:lang w:val="es-419"/>
        </w:rPr>
        <w:t xml:space="preserve">, </w:t>
      </w:r>
      <w:r w:rsidRPr="006319A2">
        <w:rPr>
          <w:rFonts w:ascii="ITC Avant Garde" w:hAnsi="ITC Avant Garde"/>
          <w:lang w:val="es-419"/>
        </w:rPr>
        <w:t>p</w:t>
      </w:r>
      <w:r>
        <w:rPr>
          <w:rFonts w:ascii="ITC Avant Garde" w:hAnsi="ITC Avant Garde"/>
          <w:lang w:val="es-419"/>
        </w:rPr>
        <w:t>á</w:t>
      </w:r>
      <w:r w:rsidRPr="006319A2">
        <w:rPr>
          <w:rFonts w:ascii="ITC Avant Garde" w:hAnsi="ITC Avant Garde"/>
          <w:lang w:val="es-419"/>
        </w:rPr>
        <w:t xml:space="preserve">gina </w:t>
      </w:r>
      <w:r w:rsidRPr="00CD0C09">
        <w:rPr>
          <w:rFonts w:ascii="ITC Avant Garde" w:hAnsi="ITC Avant Garde"/>
          <w:lang w:val="es-419"/>
        </w:rPr>
        <w:t>21</w:t>
      </w:r>
    </w:p>
  </w:footnote>
  <w:footnote w:id="21">
    <w:p w14:paraId="796CF823" w14:textId="394EAE59" w:rsidR="002213F6" w:rsidRPr="002213F6" w:rsidRDefault="002213F6">
      <w:pPr>
        <w:pStyle w:val="Textonotapie"/>
        <w:rPr>
          <w:lang w:val="es-MX"/>
        </w:rPr>
      </w:pPr>
      <w:r>
        <w:rPr>
          <w:rStyle w:val="Refdenotaalpie"/>
        </w:rPr>
        <w:footnoteRef/>
      </w:r>
      <w:r w:rsidRPr="008F42FC">
        <w:rPr>
          <w:lang w:val="es-MX"/>
        </w:rPr>
        <w:t xml:space="preserve"> </w:t>
      </w:r>
      <w:r w:rsidRPr="00CD0C09">
        <w:rPr>
          <w:rFonts w:ascii="ITC Avant Garde" w:hAnsi="ITC Avant Garde"/>
          <w:lang w:val="es-419"/>
        </w:rPr>
        <w:t xml:space="preserve">IFT (Axon), Documento Metodológico, Desarrollo del modelo de costos para la determinación de las tarifas de acceso a la red de fibra óptica del Agente Económico Preponderante (AEP), </w:t>
      </w:r>
      <w:r w:rsidRPr="006319A2">
        <w:rPr>
          <w:rFonts w:ascii="ITC Avant Garde" w:hAnsi="ITC Avant Garde"/>
          <w:lang w:val="es-419"/>
        </w:rPr>
        <w:t>p</w:t>
      </w:r>
      <w:r>
        <w:rPr>
          <w:rFonts w:ascii="ITC Avant Garde" w:hAnsi="ITC Avant Garde"/>
          <w:lang w:val="es-419"/>
        </w:rPr>
        <w:t>á</w:t>
      </w:r>
      <w:r w:rsidRPr="006319A2">
        <w:rPr>
          <w:rFonts w:ascii="ITC Avant Garde" w:hAnsi="ITC Avant Garde"/>
          <w:lang w:val="es-419"/>
        </w:rPr>
        <w:t>gina</w:t>
      </w:r>
      <w:r w:rsidRPr="00CD0C09">
        <w:rPr>
          <w:rFonts w:ascii="ITC Avant Garde" w:hAnsi="ITC Avant Garde"/>
          <w:lang w:val="es-419"/>
        </w:rPr>
        <w:t xml:space="preserve"> 14</w:t>
      </w:r>
    </w:p>
  </w:footnote>
  <w:footnote w:id="22">
    <w:p w14:paraId="1A1A2A3C" w14:textId="161C7010" w:rsidR="002448C1" w:rsidRPr="00B651E9" w:rsidRDefault="002448C1">
      <w:pPr>
        <w:pStyle w:val="Textonotapie"/>
        <w:rPr>
          <w:lang w:val="es-MX"/>
        </w:rPr>
      </w:pPr>
      <w:r>
        <w:rPr>
          <w:rStyle w:val="Refdenotaalpie"/>
        </w:rPr>
        <w:footnoteRef/>
      </w:r>
      <w:r w:rsidRPr="008F42FC">
        <w:rPr>
          <w:lang w:val="es-MX"/>
        </w:rPr>
        <w:t xml:space="preserve"> </w:t>
      </w:r>
      <w:r w:rsidRPr="00CD0C09">
        <w:rPr>
          <w:rFonts w:ascii="ITC Avant Garde" w:hAnsi="ITC Avant Garde"/>
          <w:lang w:val="es-MX"/>
        </w:rPr>
        <w:t>Los puntos de flexibilidad son puntos de la red donde los cables se pueden manipular fácilmente.</w:t>
      </w:r>
    </w:p>
  </w:footnote>
  <w:footnote w:id="23">
    <w:p w14:paraId="0ADF1A2E" w14:textId="77777777" w:rsidR="002448C1" w:rsidRPr="00CD0C09" w:rsidRDefault="002448C1" w:rsidP="002448C1">
      <w:pPr>
        <w:pStyle w:val="Textonotapie"/>
        <w:rPr>
          <w:rFonts w:ascii="ITC Avant Garde" w:hAnsi="ITC Avant Garde"/>
          <w:lang w:val="es-419"/>
        </w:rPr>
      </w:pPr>
      <w:r>
        <w:rPr>
          <w:rStyle w:val="Refdenotaalpie"/>
        </w:rPr>
        <w:footnoteRef/>
      </w:r>
      <w:r w:rsidRPr="008F42FC">
        <w:rPr>
          <w:lang w:val="es-MX"/>
        </w:rPr>
        <w:t xml:space="preserve"> </w:t>
      </w:r>
      <w:r w:rsidRPr="00CD0C09">
        <w:rPr>
          <w:rFonts w:ascii="ITC Avant Garde" w:hAnsi="ITC Avant Garde"/>
          <w:lang w:val="es-419"/>
        </w:rPr>
        <w:t>IFT (</w:t>
      </w:r>
      <w:r>
        <w:rPr>
          <w:rFonts w:ascii="ITC Avant Garde" w:hAnsi="ITC Avant Garde"/>
          <w:lang w:val="es-419"/>
        </w:rPr>
        <w:t>A</w:t>
      </w:r>
      <w:r w:rsidRPr="00CD0C09">
        <w:rPr>
          <w:rFonts w:ascii="ITC Avant Garde" w:hAnsi="ITC Avant Garde"/>
          <w:lang w:val="es-419"/>
        </w:rPr>
        <w:t xml:space="preserve">nalysys </w:t>
      </w:r>
      <w:r>
        <w:rPr>
          <w:rFonts w:ascii="ITC Avant Garde" w:hAnsi="ITC Avant Garde"/>
          <w:lang w:val="es-419"/>
        </w:rPr>
        <w:t>M</w:t>
      </w:r>
      <w:r w:rsidRPr="00CD0C09">
        <w:rPr>
          <w:rFonts w:ascii="ITC Avant Garde" w:hAnsi="ITC Avant Garde"/>
          <w:lang w:val="es-419"/>
        </w:rPr>
        <w:t xml:space="preserve">ason), Informe final del modelo de costos incrementales de largo plazo – red de acceso </w:t>
      </w:r>
      <w:r w:rsidRPr="006319A2">
        <w:rPr>
          <w:rFonts w:ascii="ITC Avant Garde" w:hAnsi="ITC Avant Garde"/>
          <w:lang w:val="es-419"/>
        </w:rPr>
        <w:t>fija</w:t>
      </w:r>
      <w:r w:rsidRPr="00CD0C09">
        <w:rPr>
          <w:rFonts w:ascii="ITC Avant Garde" w:hAnsi="ITC Avant Garde"/>
          <w:lang w:val="es-419"/>
        </w:rPr>
        <w:t xml:space="preserve">, 15 </w:t>
      </w:r>
      <w:r>
        <w:rPr>
          <w:rFonts w:ascii="ITC Avant Garde" w:hAnsi="ITC Avant Garde"/>
          <w:lang w:val="es-419"/>
        </w:rPr>
        <w:t>de diciembre de</w:t>
      </w:r>
      <w:r w:rsidRPr="00CD0C09">
        <w:rPr>
          <w:rFonts w:ascii="ITC Avant Garde" w:hAnsi="ITC Avant Garde"/>
          <w:lang w:val="es-419"/>
        </w:rPr>
        <w:t xml:space="preserve"> 2015</w:t>
      </w:r>
      <w:r>
        <w:rPr>
          <w:rFonts w:ascii="ITC Avant Garde" w:hAnsi="ITC Avant Garde"/>
          <w:lang w:val="es-419"/>
        </w:rPr>
        <w:t xml:space="preserve">, </w:t>
      </w:r>
      <w:r w:rsidRPr="00CD0C09">
        <w:rPr>
          <w:rFonts w:ascii="ITC Avant Garde" w:hAnsi="ITC Avant Garde"/>
          <w:lang w:val="es-419"/>
        </w:rPr>
        <w:t>página 22, y</w:t>
      </w:r>
    </w:p>
    <w:p w14:paraId="5B84C7E5" w14:textId="6AF4006B" w:rsidR="002448C1" w:rsidRPr="002448C1" w:rsidRDefault="002448C1">
      <w:pPr>
        <w:pStyle w:val="Textonotapie"/>
        <w:rPr>
          <w:rFonts w:ascii="ITC Avant Garde" w:hAnsi="ITC Avant Garde"/>
          <w:lang w:val="es-419"/>
        </w:rPr>
      </w:pPr>
      <w:r w:rsidRPr="00CD0C09">
        <w:rPr>
          <w:rFonts w:ascii="ITC Avant Garde" w:hAnsi="ITC Avant Garde"/>
          <w:lang w:val="es-419"/>
        </w:rPr>
        <w:t xml:space="preserve">IFT (Axon), Documento Metodológico, Desarrollo del modelo de costos para la determinación de las tarifas de acceso a la red de fibra óptica del Agente Económico Preponderante (AEP), </w:t>
      </w:r>
      <w:r>
        <w:rPr>
          <w:rFonts w:ascii="ITC Avant Garde" w:hAnsi="ITC Avant Garde"/>
          <w:lang w:val="es-419"/>
        </w:rPr>
        <w:t>página</w:t>
      </w:r>
      <w:r w:rsidRPr="006319A2">
        <w:rPr>
          <w:rFonts w:ascii="ITC Avant Garde" w:hAnsi="ITC Avant Garde"/>
          <w:lang w:val="es-419"/>
        </w:rPr>
        <w:t xml:space="preserve"> 32</w:t>
      </w:r>
    </w:p>
  </w:footnote>
  <w:footnote w:id="24">
    <w:p w14:paraId="26B1B8FD" w14:textId="0D0B11F4" w:rsidR="002213F6" w:rsidRPr="002213F6" w:rsidRDefault="002213F6">
      <w:pPr>
        <w:pStyle w:val="Textonotapie"/>
        <w:rPr>
          <w:lang w:val="es-MX"/>
        </w:rPr>
      </w:pPr>
      <w:r>
        <w:rPr>
          <w:rStyle w:val="Refdenotaalpie"/>
        </w:rPr>
        <w:footnoteRef/>
      </w:r>
      <w:r w:rsidRPr="008F42FC">
        <w:rPr>
          <w:lang w:val="es-MX"/>
        </w:rPr>
        <w:t xml:space="preserve"> </w:t>
      </w:r>
      <w:r w:rsidRPr="00CD0C09">
        <w:rPr>
          <w:rFonts w:ascii="ITC Avant Garde" w:hAnsi="ITC Avant Garde"/>
          <w:lang w:val="es-MX"/>
        </w:rPr>
        <w:t>Las tasas de Splitting presentadas tienen fines informativos solamente</w:t>
      </w:r>
      <w:r>
        <w:rPr>
          <w:rFonts w:ascii="ITC Avant Garde" w:hAnsi="ITC Avant Garde"/>
          <w:lang w:val="es-MX"/>
        </w:rPr>
        <w:t>.</w:t>
      </w:r>
    </w:p>
  </w:footnote>
  <w:footnote w:id="25">
    <w:p w14:paraId="425F9AD6" w14:textId="64718592" w:rsidR="002213F6" w:rsidRPr="002213F6" w:rsidRDefault="002213F6">
      <w:pPr>
        <w:pStyle w:val="Textonotapie"/>
        <w:rPr>
          <w:lang w:val="es-MX"/>
        </w:rPr>
      </w:pPr>
      <w:r>
        <w:rPr>
          <w:rStyle w:val="Refdenotaalpie"/>
        </w:rPr>
        <w:footnoteRef/>
      </w:r>
      <w:r w:rsidRPr="008F42FC">
        <w:rPr>
          <w:lang w:val="es-MX"/>
        </w:rPr>
        <w:t xml:space="preserve"> </w:t>
      </w:r>
      <w:r w:rsidRPr="00CD0C09">
        <w:rPr>
          <w:rFonts w:ascii="ITC Avant Garde" w:hAnsi="ITC Avant Garde"/>
          <w:lang w:val="es-MX"/>
        </w:rPr>
        <w:t>Esto es simplemente porque el despliegue basado en la demanda activa real significaría tener que volver a desplegar en el mediano plazo la red necesaria al aumento de demanda activa, lo que sería ineficiente.</w:t>
      </w:r>
    </w:p>
  </w:footnote>
  <w:footnote w:id="26">
    <w:p w14:paraId="187241D4" w14:textId="2E755C34" w:rsidR="002213F6" w:rsidRPr="002213F6" w:rsidRDefault="002213F6">
      <w:pPr>
        <w:pStyle w:val="Textonotapie"/>
        <w:rPr>
          <w:lang w:val="es-MX"/>
        </w:rPr>
      </w:pPr>
      <w:r>
        <w:rPr>
          <w:rStyle w:val="Refdenotaalpie"/>
        </w:rPr>
        <w:footnoteRef/>
      </w:r>
      <w:r w:rsidRPr="008F42FC">
        <w:rPr>
          <w:lang w:val="es-MX"/>
        </w:rPr>
        <w:t xml:space="preserve"> </w:t>
      </w:r>
      <w:r w:rsidRPr="00CD0C09">
        <w:rPr>
          <w:rFonts w:ascii="ITC Avant Garde" w:hAnsi="ITC Avant Garde"/>
          <w:lang w:val="es-MX"/>
        </w:rPr>
        <w:t xml:space="preserve">La planificación de la red se puede considerar de dos maneras: 1) Planificación de la red durante la implementación, generalmente directamente asignable a un tipo determinado de activos (zanjas, cables), incluida en el </w:t>
      </w:r>
      <w:r w:rsidRPr="006319A2">
        <w:rPr>
          <w:rFonts w:ascii="ITC Avant Garde" w:hAnsi="ITC Avant Garde"/>
          <w:lang w:val="es-MX"/>
        </w:rPr>
        <w:t>CAPEX</w:t>
      </w:r>
      <w:r w:rsidRPr="00CD0C09">
        <w:rPr>
          <w:rFonts w:ascii="ITC Avant Garde" w:hAnsi="ITC Avant Garde"/>
          <w:lang w:val="es-MX"/>
        </w:rPr>
        <w:t xml:space="preserve"> y, por lo tanto, capitalizada. Debe tenerse en cuenta cuando los costos de implementación se externalizan a los subcontratistas. 2) Planificación de red para la explotación de la red: supervisión de reemplazos regulares de activos de red. Se incurre regularmente, y su costo corresponde al personal permanente de planificación de la red. En esta sección, los costos de planificación de red se consideran como los costos variables de activos incurridos durante la implementación. Es importante evitar la doble recuperación entre los dos tipos de costos de planificación de red.</w:t>
      </w:r>
    </w:p>
  </w:footnote>
  <w:footnote w:id="27">
    <w:p w14:paraId="2B38C739" w14:textId="166F0BD2" w:rsidR="002213F6" w:rsidRPr="002213F6" w:rsidRDefault="002213F6">
      <w:pPr>
        <w:pStyle w:val="Textonotapie"/>
        <w:rPr>
          <w:lang w:val="es-MX"/>
        </w:rPr>
      </w:pPr>
      <w:r>
        <w:rPr>
          <w:rStyle w:val="Refdenotaalpie"/>
        </w:rPr>
        <w:footnoteRef/>
      </w:r>
      <w:r w:rsidRPr="008F42FC">
        <w:rPr>
          <w:lang w:val="es-MX"/>
        </w:rPr>
        <w:t xml:space="preserve"> </w:t>
      </w:r>
      <w:r w:rsidRPr="00CD0C09">
        <w:rPr>
          <w:rFonts w:ascii="ITC Avant Garde" w:hAnsi="ITC Avant Garde"/>
          <w:lang w:val="es-MX"/>
        </w:rPr>
        <w:t>Comisión Europea, recomendación sobre "obligaciones consistentes de no discriminación y metodologías de cálculo de costos para promover la competencia y mejorar el entorno de la inversión en banda ancha", 11 de septiembre de 2013, ref C (2013) 5761, artículo 33 y 34</w:t>
      </w:r>
    </w:p>
  </w:footnote>
  <w:footnote w:id="28">
    <w:p w14:paraId="7AB38BA0" w14:textId="56440B5D" w:rsidR="002213F6" w:rsidRPr="009F5AFF" w:rsidRDefault="002213F6">
      <w:pPr>
        <w:pStyle w:val="Textonotapie"/>
        <w:rPr>
          <w:lang w:val="es-MX"/>
        </w:rPr>
      </w:pPr>
      <w:r>
        <w:rPr>
          <w:rStyle w:val="Refdenotaalpie"/>
        </w:rPr>
        <w:footnoteRef/>
      </w:r>
      <w:r w:rsidRPr="009F5AFF">
        <w:rPr>
          <w:lang w:val="es-MX"/>
        </w:rPr>
        <w:t xml:space="preserve"> </w:t>
      </w:r>
      <w:r w:rsidRPr="009F5AFF">
        <w:rPr>
          <w:rFonts w:ascii="ITC Avant Garde" w:hAnsi="ITC Avant Garde"/>
          <w:lang w:val="es-MX"/>
        </w:rPr>
        <w:t>European Commission, Recommendation, on consistent non-discrimination obligations and costing methodologies to promote competition and enhance the broadband investment environment, 11 de septiembre de 2013, ref C(2013) 5761, considerando 35</w:t>
      </w:r>
    </w:p>
  </w:footnote>
  <w:footnote w:id="29">
    <w:p w14:paraId="1B1ED2DF" w14:textId="51C9C854" w:rsidR="002E3370" w:rsidRPr="002E3370" w:rsidRDefault="002E3370">
      <w:pPr>
        <w:pStyle w:val="Textonotapie"/>
        <w:rPr>
          <w:lang w:val="es-MX"/>
        </w:rPr>
      </w:pPr>
      <w:r>
        <w:rPr>
          <w:rStyle w:val="Refdenotaalpie"/>
        </w:rPr>
        <w:footnoteRef/>
      </w:r>
      <w:r w:rsidRPr="008F42FC">
        <w:rPr>
          <w:lang w:val="es-MX"/>
        </w:rPr>
        <w:t xml:space="preserve"> </w:t>
      </w:r>
      <w:r>
        <w:rPr>
          <w:rFonts w:ascii="ITC Avant Garde" w:hAnsi="ITC Avant Garde"/>
          <w:lang w:val="es-MX"/>
        </w:rPr>
        <w:t>Este término</w:t>
      </w:r>
      <w:r w:rsidRPr="00CD0C09">
        <w:rPr>
          <w:rFonts w:ascii="ITC Avant Garde" w:hAnsi="ITC Avant Garde"/>
          <w:lang w:val="es-MX"/>
        </w:rPr>
        <w:t xml:space="preserve"> significa el uso de las tendencias de los precios para la depreciación de los costos históricos en el momento de la inversión, en lugar de una depreciación constante, es decir, el uso de una anualidad inclinada en lugar de una anualidad constante.</w:t>
      </w:r>
    </w:p>
  </w:footnote>
  <w:footnote w:id="30">
    <w:p w14:paraId="50AF0B8D" w14:textId="1D2A1F56" w:rsidR="002E3370" w:rsidRPr="008F42FC" w:rsidRDefault="002E3370">
      <w:pPr>
        <w:pStyle w:val="Textonotapie"/>
        <w:rPr>
          <w:lang w:val="en-US"/>
        </w:rPr>
      </w:pPr>
      <w:r>
        <w:rPr>
          <w:rStyle w:val="Refdenotaalpie"/>
        </w:rPr>
        <w:footnoteRef/>
      </w:r>
      <w:r>
        <w:t xml:space="preserve"> </w:t>
      </w:r>
      <w:r w:rsidRPr="009533FA">
        <w:rPr>
          <w:rFonts w:ascii="ITC Avant Garde" w:hAnsi="ITC Avant Garde"/>
          <w:i/>
          <w:lang w:val="en-US"/>
        </w:rPr>
        <w:t>ComReg</w:t>
      </w:r>
      <w:r w:rsidRPr="00CD0C09">
        <w:rPr>
          <w:rFonts w:ascii="ITC Avant Garde" w:hAnsi="ITC Avant Garde"/>
          <w:lang w:val="en-US"/>
        </w:rPr>
        <w:t xml:space="preserve">, Eircom’s Wholesale Access Services – Further specification and amendment of price control obligations in Market 4 and Market 5 and further specification of price control obligation in Market 2, July 2015, ref ComReg 15/67, §5.218, </w:t>
      </w:r>
      <w:r>
        <w:rPr>
          <w:rFonts w:ascii="ITC Avant Garde" w:hAnsi="ITC Avant Garde"/>
          <w:lang w:val="en-US"/>
        </w:rPr>
        <w:t xml:space="preserve">disponible a través de la siguiente liga: </w:t>
      </w:r>
      <w:hyperlink r:id="rId2" w:history="1">
        <w:r w:rsidRPr="00CD0C09">
          <w:rPr>
            <w:rStyle w:val="Hipervnculo"/>
            <w:rFonts w:ascii="ITC Avant Garde" w:hAnsi="ITC Avant Garde"/>
            <w:lang w:val="en-US"/>
          </w:rPr>
          <w:t>http://www.comreg.ie/_fileupload/publications/ComReg1567.pdf</w:t>
        </w:r>
      </w:hyperlink>
    </w:p>
  </w:footnote>
  <w:footnote w:id="31">
    <w:p w14:paraId="170F887A" w14:textId="40B8CC62" w:rsidR="002E3370" w:rsidRPr="002E3370" w:rsidRDefault="002E3370">
      <w:pPr>
        <w:pStyle w:val="Textonotapie"/>
        <w:rPr>
          <w:lang w:val="es-MX"/>
        </w:rPr>
      </w:pPr>
      <w:r>
        <w:rPr>
          <w:rStyle w:val="Refdenotaalpie"/>
        </w:rPr>
        <w:footnoteRef/>
      </w:r>
      <w:r w:rsidRPr="008F42FC">
        <w:rPr>
          <w:lang w:val="es-MX"/>
        </w:rPr>
        <w:t xml:space="preserve"> </w:t>
      </w:r>
      <w:bookmarkStart w:id="138" w:name="_Hlk141778347"/>
      <w:r w:rsidRPr="00CD0C09">
        <w:rPr>
          <w:rFonts w:ascii="ITC Avant Garde" w:hAnsi="ITC Avant Garde"/>
          <w:lang w:val="es-MX"/>
        </w:rPr>
        <w:t xml:space="preserve">ARCEP, Decisión n°05-0834, 15 de diciembre de 2015, </w:t>
      </w:r>
      <w:hyperlink r:id="rId3" w:history="1">
        <w:r w:rsidRPr="00CD0C09">
          <w:rPr>
            <w:rStyle w:val="Hipervnculo"/>
            <w:rFonts w:ascii="ITC Avant Garde" w:hAnsi="ITC Avant Garde"/>
            <w:lang w:val="es-MX"/>
          </w:rPr>
          <w:t>http://www.arcep.fr/uploads/tx_gsavis/05-0834.pdf</w:t>
        </w:r>
      </w:hyperlink>
      <w:bookmarkEnd w:id="138"/>
    </w:p>
  </w:footnote>
  <w:footnote w:id="32">
    <w:p w14:paraId="45D70362" w14:textId="1BCFC66F" w:rsidR="00722642" w:rsidRPr="00E17365" w:rsidRDefault="00722642">
      <w:pPr>
        <w:pStyle w:val="Textonotapie"/>
        <w:rPr>
          <w:lang w:val="es-MX"/>
        </w:rPr>
      </w:pPr>
      <w:r>
        <w:rPr>
          <w:rStyle w:val="Refdenotaalpie"/>
        </w:rPr>
        <w:footnoteRef/>
      </w:r>
      <w:r w:rsidRPr="008F42FC">
        <w:rPr>
          <w:lang w:val="es-MX"/>
        </w:rPr>
        <w:t xml:space="preserve"> </w:t>
      </w:r>
      <w:r w:rsidRPr="000406F8">
        <w:rPr>
          <w:rFonts w:ascii="ITC Avant Garde" w:hAnsi="ITC Avant Garde"/>
          <w:lang w:val="es-MX"/>
        </w:rPr>
        <w:t>NKOM, LRIC-modell for fastnett aksess</w:t>
      </w:r>
      <w:r w:rsidRPr="00CD0C09">
        <w:rPr>
          <w:rFonts w:ascii="ITC Avant Garde" w:hAnsi="ITC Avant Garde"/>
          <w:lang w:val="sv-SE"/>
        </w:rPr>
        <w:t xml:space="preserve">, </w:t>
      </w:r>
      <w:r>
        <w:rPr>
          <w:rFonts w:ascii="ITC Avant Garde" w:hAnsi="ITC Avant Garde"/>
          <w:lang w:val="sv-SE"/>
        </w:rPr>
        <w:t xml:space="preserve">disponible a través de la siguiente liga: </w:t>
      </w:r>
      <w:hyperlink r:id="rId4" w:history="1">
        <w:r w:rsidRPr="000406F8">
          <w:rPr>
            <w:rStyle w:val="Hipervnculo"/>
            <w:rFonts w:ascii="ITC Avant Garde" w:hAnsi="ITC Avant Garde"/>
            <w:lang w:val="es-MX"/>
          </w:rPr>
          <w:t>http://www.nkom.no/marked/markedsregulering-smp/kostnadsmodeller/lric-fastnett-aksess</w:t>
        </w:r>
      </w:hyperlink>
    </w:p>
  </w:footnote>
  <w:footnote w:id="33">
    <w:p w14:paraId="78C762DA" w14:textId="6C2F2465" w:rsidR="00722642" w:rsidRPr="008720BC" w:rsidRDefault="00722642">
      <w:pPr>
        <w:pStyle w:val="Textonotapie"/>
        <w:rPr>
          <w:rFonts w:ascii="ITC Avant Garde" w:hAnsi="ITC Avant Garde"/>
          <w:lang w:val="es-MX"/>
        </w:rPr>
      </w:pPr>
      <w:r w:rsidRPr="008720BC">
        <w:rPr>
          <w:rStyle w:val="Refdenotaalpie"/>
          <w:rFonts w:ascii="ITC Avant Garde" w:hAnsi="ITC Avant Garde"/>
        </w:rPr>
        <w:footnoteRef/>
      </w:r>
      <w:r w:rsidRPr="008720BC">
        <w:rPr>
          <w:rFonts w:ascii="ITC Avant Garde" w:hAnsi="ITC Avant Garde"/>
          <w:lang w:val="es-MX"/>
        </w:rPr>
        <w:t xml:space="preserve"> </w:t>
      </w:r>
      <w:r w:rsidRPr="008F42FC">
        <w:rPr>
          <w:rFonts w:ascii="ITC Avant Garde" w:hAnsi="ITC Avant Garde"/>
          <w:lang w:val="es-MX"/>
        </w:rPr>
        <w:t xml:space="preserve">Disponible en la siguiente liga </w:t>
      </w:r>
      <w:r w:rsidR="00B215FF" w:rsidRPr="008F42FC">
        <w:rPr>
          <w:rFonts w:ascii="ITC Avant Garde" w:hAnsi="ITC Avant Garde"/>
          <w:lang w:val="es-MX"/>
        </w:rPr>
        <w:t>electrónica</w:t>
      </w:r>
      <w:r w:rsidRPr="008F42FC">
        <w:rPr>
          <w:rFonts w:ascii="ITC Avant Garde" w:hAnsi="ITC Avant Garde"/>
          <w:lang w:val="es-MX"/>
        </w:rPr>
        <w:t xml:space="preserve">: </w:t>
      </w:r>
      <w:hyperlink r:id="rId5" w:history="1">
        <w:r w:rsidRPr="008F42FC">
          <w:rPr>
            <w:rStyle w:val="Hipervnculo"/>
            <w:rFonts w:ascii="ITC Avant Garde" w:hAnsi="ITC Avant Garde"/>
            <w:lang w:val="es-MX"/>
          </w:rPr>
          <w:t>https://www.ift.org.mx/industria/consultas-publicas/consulta-publica-sobre-los-modelos-de-costos-para-la-determinacion-de-tarifas-de-interconexion</w:t>
        </w:r>
      </w:hyperlink>
      <w:r w:rsidRPr="008F42FC">
        <w:rPr>
          <w:rFonts w:ascii="ITC Avant Garde" w:hAnsi="ITC Avant Garde"/>
          <w:lang w:val="es-MX"/>
        </w:rPr>
        <w:t xml:space="preserve"> </w:t>
      </w:r>
    </w:p>
  </w:footnote>
  <w:footnote w:id="34">
    <w:p w14:paraId="77B88BC8" w14:textId="1024A6F3" w:rsidR="00722642" w:rsidRPr="00B651E9" w:rsidRDefault="00722642">
      <w:pPr>
        <w:pStyle w:val="Textonotapie"/>
        <w:rPr>
          <w:rFonts w:ascii="ITC Avant Garde" w:hAnsi="ITC Avant Garde"/>
          <w:lang w:val="es-MX"/>
        </w:rPr>
      </w:pPr>
      <w:r w:rsidRPr="00B651E9">
        <w:rPr>
          <w:rStyle w:val="Refdenotaalpie"/>
          <w:rFonts w:ascii="ITC Avant Garde" w:hAnsi="ITC Avant Garde"/>
        </w:rPr>
        <w:footnoteRef/>
      </w:r>
      <w:r w:rsidRPr="00B651E9">
        <w:rPr>
          <w:rFonts w:ascii="ITC Avant Garde" w:hAnsi="ITC Avant Garde"/>
          <w:lang w:val="es-MX"/>
        </w:rPr>
        <w:t xml:space="preserve"> </w:t>
      </w:r>
      <w:r w:rsidRPr="00722642">
        <w:rPr>
          <w:rStyle w:val="Hipervnculo"/>
          <w:rFonts w:ascii="ITC Avant Garde" w:hAnsi="ITC Avant Garde"/>
          <w:lang w:val="es-MX"/>
        </w:rPr>
        <w:t xml:space="preserve">Disponible a través de la siguiente liga: </w:t>
      </w:r>
      <w:hyperlink r:id="rId6" w:history="1">
        <w:r w:rsidRPr="00722642">
          <w:rPr>
            <w:rStyle w:val="Hipervnculo"/>
            <w:rFonts w:ascii="ITC Avant Garde" w:hAnsi="ITC Avant Garde"/>
            <w:lang w:val="es-MX"/>
          </w:rPr>
          <w:t>https://www.itu.int/en/ITU-D/Regulatory-Market/Documents/CostEvents/2014/Namibia/Session%207-WACC.pdf</w:t>
        </w:r>
      </w:hyperlink>
    </w:p>
  </w:footnote>
  <w:footnote w:id="35">
    <w:p w14:paraId="5F61B67B" w14:textId="4C17CEFB" w:rsidR="00722642" w:rsidRPr="00B651E9" w:rsidRDefault="00722642">
      <w:pPr>
        <w:pStyle w:val="Textonotapie"/>
        <w:rPr>
          <w:rFonts w:ascii="ITC Avant Garde" w:hAnsi="ITC Avant Garde"/>
          <w:lang w:val="es-MX"/>
        </w:rPr>
      </w:pPr>
      <w:r w:rsidRPr="00B651E9">
        <w:rPr>
          <w:rStyle w:val="Refdenotaalpie"/>
          <w:rFonts w:ascii="ITC Avant Garde" w:hAnsi="ITC Avant Garde"/>
        </w:rPr>
        <w:footnoteRef/>
      </w:r>
      <w:r w:rsidRPr="00B651E9">
        <w:rPr>
          <w:rFonts w:ascii="ITC Avant Garde" w:hAnsi="ITC Avant Garde"/>
          <w:lang w:val="es-MX"/>
        </w:rPr>
        <w:t xml:space="preserve"> </w:t>
      </w:r>
      <w:r w:rsidRPr="00722642">
        <w:rPr>
          <w:rFonts w:ascii="ITC Avant Garde" w:hAnsi="ITC Avant Garde"/>
          <w:lang w:val="es-MX"/>
        </w:rPr>
        <w:t>Comisión Europea, recomendación sobre "obligaciones consistentes de no discriminación y metodologías de cálculo de costos para promover la competencia y mejorar el entorno de la inversión en banda ancha", 11 de septiembre de 2013, ref C (2013) 5761</w:t>
      </w:r>
    </w:p>
  </w:footnote>
  <w:footnote w:id="36">
    <w:p w14:paraId="77B0FB6B" w14:textId="121681CF" w:rsidR="00722642" w:rsidRPr="00B651E9" w:rsidRDefault="00722642">
      <w:pPr>
        <w:pStyle w:val="Textonotapie"/>
        <w:rPr>
          <w:rFonts w:ascii="ITC Avant Garde" w:hAnsi="ITC Avant Garde"/>
          <w:lang w:val="es-MX"/>
        </w:rPr>
      </w:pPr>
      <w:r w:rsidRPr="00B651E9">
        <w:rPr>
          <w:rStyle w:val="Refdenotaalpie"/>
          <w:rFonts w:ascii="ITC Avant Garde" w:hAnsi="ITC Avant Garde"/>
        </w:rPr>
        <w:footnoteRef/>
      </w:r>
      <w:r w:rsidRPr="00B651E9">
        <w:rPr>
          <w:rFonts w:ascii="ITC Avant Garde" w:hAnsi="ITC Avant Garde"/>
          <w:lang w:val="es-MX"/>
        </w:rPr>
        <w:t xml:space="preserve"> Fuente:  </w:t>
      </w:r>
      <w:hyperlink r:id="rId7" w:history="1">
        <w:r w:rsidRPr="00B651E9">
          <w:rPr>
            <w:rStyle w:val="Hipervnculo"/>
            <w:rFonts w:ascii="ITC Avant Garde" w:hAnsi="ITC Avant Garde"/>
            <w:lang w:val="es-MX"/>
          </w:rPr>
          <w:t>https://www.banxico.org.mx/publicaciones-y-prensa/encuestas-sobre-las-expectativas-de-los-especialis/%7B384D2689-12A4-02F7-8B3A-D18F36B3281A%7D.pdf</w:t>
        </w:r>
      </w:hyperlink>
      <w:r w:rsidRPr="00B651E9">
        <w:rPr>
          <w:rFonts w:ascii="ITC Avant Garde" w:hAnsi="ITC Avant Garde"/>
          <w:lang w:val="es-MX"/>
        </w:rPr>
        <w:t xml:space="preserve"> </w:t>
      </w:r>
    </w:p>
  </w:footnote>
  <w:footnote w:id="37">
    <w:p w14:paraId="68E1272D" w14:textId="7F807384" w:rsidR="008B786E" w:rsidRPr="00B651E9" w:rsidRDefault="008B786E">
      <w:pPr>
        <w:pStyle w:val="Textonotapie"/>
        <w:rPr>
          <w:rFonts w:ascii="ITC Avant Garde" w:hAnsi="ITC Avant Garde"/>
          <w:lang w:val="es-MX"/>
        </w:rPr>
      </w:pPr>
      <w:r w:rsidRPr="00B651E9">
        <w:rPr>
          <w:rStyle w:val="Refdenotaalpie"/>
          <w:rFonts w:ascii="ITC Avant Garde" w:hAnsi="ITC Avant Garde"/>
        </w:rPr>
        <w:footnoteRef/>
      </w:r>
      <w:r w:rsidRPr="00B651E9">
        <w:rPr>
          <w:rFonts w:ascii="ITC Avant Garde" w:hAnsi="ITC Avant Garde"/>
          <w:lang w:val="es-MX"/>
        </w:rPr>
        <w:t xml:space="preserve"> </w:t>
      </w:r>
      <w:r w:rsidRPr="00722642">
        <w:rPr>
          <w:rFonts w:ascii="ITC Avant Garde" w:hAnsi="ITC Avant Garde"/>
          <w:lang w:val="es-MX"/>
        </w:rPr>
        <w:t>Comisión Europea, recomendación sobre "obligaciones consistentes de no discriminación y metodologías de cálculo de costos para promover la competencia y mejorar el entorno de la inversión en banda ancha", 11 de septiembre de 2013, ref C (2013) 5761, articulo 34.</w:t>
      </w:r>
    </w:p>
  </w:footnote>
  <w:footnote w:id="38">
    <w:p w14:paraId="21671F61" w14:textId="5AB91A96" w:rsidR="008B786E" w:rsidRPr="00B651E9" w:rsidRDefault="008B786E">
      <w:pPr>
        <w:pStyle w:val="Textonotapie"/>
        <w:rPr>
          <w:rFonts w:ascii="ITC Avant Garde" w:hAnsi="ITC Avant Garde"/>
          <w:lang w:val="es-MX"/>
        </w:rPr>
      </w:pPr>
      <w:r w:rsidRPr="00B651E9">
        <w:rPr>
          <w:rStyle w:val="Refdenotaalpie"/>
          <w:rFonts w:ascii="ITC Avant Garde" w:hAnsi="ITC Avant Garde"/>
        </w:rPr>
        <w:footnoteRef/>
      </w:r>
      <w:r w:rsidRPr="00B651E9">
        <w:rPr>
          <w:rFonts w:ascii="ITC Avant Garde" w:hAnsi="ITC Avant Garde"/>
          <w:lang w:val="es-MX"/>
        </w:rPr>
        <w:t xml:space="preserve"> </w:t>
      </w:r>
      <w:r w:rsidRPr="00722642">
        <w:rPr>
          <w:rFonts w:ascii="ITC Avant Garde" w:hAnsi="ITC Avant Garde"/>
          <w:lang w:val="es-419"/>
        </w:rPr>
        <w:t>IFT (Analysys Mason), Informe para el Instituto Fed</w:t>
      </w:r>
      <w:r w:rsidRPr="00BC4DC9">
        <w:rPr>
          <w:rFonts w:ascii="ITC Avant Garde" w:hAnsi="ITC Avant Garde"/>
          <w:lang w:val="es-419"/>
        </w:rPr>
        <w:t>eral de Telecomunicaciones (IFT), Documentación de los modelos de costos de interconexión LRIC, octubre de 2016, página 19</w:t>
      </w:r>
    </w:p>
  </w:footnote>
  <w:footnote w:id="39">
    <w:p w14:paraId="080EF4F9" w14:textId="5F0C4588" w:rsidR="008B786E" w:rsidRPr="00B651E9" w:rsidRDefault="008B786E">
      <w:pPr>
        <w:pStyle w:val="Textonotapie"/>
        <w:rPr>
          <w:rFonts w:ascii="ITC Avant Garde" w:hAnsi="ITC Avant Garde"/>
          <w:lang w:val="es-MX"/>
        </w:rPr>
      </w:pPr>
      <w:r w:rsidRPr="00B651E9">
        <w:rPr>
          <w:rStyle w:val="Refdenotaalpie"/>
          <w:rFonts w:ascii="ITC Avant Garde" w:hAnsi="ITC Avant Garde"/>
        </w:rPr>
        <w:footnoteRef/>
      </w:r>
      <w:r w:rsidRPr="00B651E9">
        <w:rPr>
          <w:rFonts w:ascii="ITC Avant Garde" w:hAnsi="ITC Avant Garde"/>
          <w:lang w:val="es-MX"/>
        </w:rPr>
        <w:t xml:space="preserve"> </w:t>
      </w:r>
      <w:r w:rsidRPr="00722642">
        <w:rPr>
          <w:rFonts w:ascii="ITC Avant Garde" w:hAnsi="ITC Avant Garde"/>
          <w:lang w:val="es-419"/>
        </w:rPr>
        <w:t>IFT (Axon), Documento Metodológico, Desarrollo del modelo de costos para la determinación de las tarifas de acceso a la red de fibra óptica del Agente Económico Preponderante (AEP), página 11</w:t>
      </w:r>
    </w:p>
  </w:footnote>
  <w:footnote w:id="40">
    <w:p w14:paraId="71A5B1FF" w14:textId="2BAC28DB" w:rsidR="008664E8" w:rsidRPr="00B651E9" w:rsidRDefault="008664E8">
      <w:pPr>
        <w:pStyle w:val="Textonotapie"/>
        <w:rPr>
          <w:rFonts w:ascii="ITC Avant Garde" w:hAnsi="ITC Avant Garde"/>
          <w:lang w:val="es-MX"/>
        </w:rPr>
      </w:pPr>
      <w:r w:rsidRPr="00B651E9">
        <w:rPr>
          <w:rStyle w:val="Refdenotaalpie"/>
          <w:rFonts w:ascii="ITC Avant Garde" w:hAnsi="ITC Avant Garde"/>
        </w:rPr>
        <w:footnoteRef/>
      </w:r>
      <w:r w:rsidRPr="00B651E9">
        <w:rPr>
          <w:rFonts w:ascii="ITC Avant Garde" w:hAnsi="ITC Avant Garde"/>
          <w:lang w:val="es-MX"/>
        </w:rPr>
        <w:t xml:space="preserve"> </w:t>
      </w:r>
      <w:r w:rsidRPr="00722642">
        <w:rPr>
          <w:rFonts w:ascii="ITC Avant Garde" w:hAnsi="ITC Avant Garde"/>
          <w:lang w:val="es-419"/>
        </w:rPr>
        <w:t>IFT (Axon), Documento Metodológico, Desarrollo del modelo de costos para la determinación de las tarifas de acceso a la red de fibra óptica del Agente Económico Preponderante (AEP), página 11</w:t>
      </w:r>
    </w:p>
  </w:footnote>
  <w:footnote w:id="41">
    <w:p w14:paraId="07CF5AE8" w14:textId="77777777" w:rsidR="0032750E" w:rsidRDefault="0032750E" w:rsidP="0032750E">
      <w:pPr>
        <w:pStyle w:val="Textonotapie"/>
        <w:rPr>
          <w:rFonts w:ascii="ITC Avant Garde" w:hAnsi="ITC Avant Garde"/>
          <w:lang w:val="es-MX"/>
        </w:rPr>
      </w:pPr>
      <w:r>
        <w:rPr>
          <w:rStyle w:val="Refdenotaalpie"/>
          <w:rFonts w:ascii="ITC Avant Garde" w:hAnsi="ITC Avant Garde"/>
        </w:rPr>
        <w:footnoteRef/>
      </w:r>
      <w:r>
        <w:rPr>
          <w:rFonts w:ascii="ITC Avant Garde" w:hAnsi="ITC Avant Garde"/>
          <w:lang w:val="es-MX"/>
        </w:rPr>
        <w:t xml:space="preserve"> En su decisión de LLU y desagregación del Sub Bucle (SLU) en 2009, </w:t>
      </w:r>
      <w:r>
        <w:rPr>
          <w:rFonts w:ascii="ITC Avant Garde" w:hAnsi="ITC Avant Garde"/>
          <w:i/>
          <w:lang w:val="es-MX"/>
        </w:rPr>
        <w:t>ComReg</w:t>
      </w:r>
      <w:r>
        <w:rPr>
          <w:rFonts w:ascii="ITC Avant Garde" w:hAnsi="ITC Avant Garde"/>
          <w:lang w:val="es-MX"/>
        </w:rPr>
        <w:t xml:space="preserve"> realizó una evaluación comparativa del tratamiento del capital circulante en varios modelos de costos internacionales, incluidos Australia, Francia y Suecia. </w:t>
      </w:r>
      <w:r>
        <w:rPr>
          <w:rFonts w:ascii="ITC Avant Garde" w:hAnsi="ITC Avant Garde"/>
          <w:i/>
          <w:lang w:val="es-MX"/>
        </w:rPr>
        <w:t>ComReg</w:t>
      </w:r>
      <w:r>
        <w:rPr>
          <w:rFonts w:ascii="ITC Avant Garde" w:hAnsi="ITC Avant Garde"/>
          <w:lang w:val="es-MX"/>
        </w:rPr>
        <w:t xml:space="preserve"> concluyó que en estos países el costo del capital circulante se ha establecido en cero (ComReg - Decisión 0939).</w:t>
      </w:r>
    </w:p>
  </w:footnote>
  <w:footnote w:id="42">
    <w:p w14:paraId="7DA5DC82" w14:textId="5276D781" w:rsidR="003971F9" w:rsidRDefault="003971F9">
      <w:pPr>
        <w:pStyle w:val="Textonotapie"/>
        <w:rPr>
          <w:lang w:val="es-ES"/>
        </w:rPr>
      </w:pPr>
      <w:r>
        <w:rPr>
          <w:rStyle w:val="Refdenotaalpie"/>
        </w:rPr>
        <w:footnoteRef/>
      </w:r>
      <w:r w:rsidRPr="00FF2101">
        <w:rPr>
          <w:lang w:val="es-ES"/>
        </w:rPr>
        <w:t xml:space="preserve"> El Modelo de Interconexión, y el cálculo del CCPP, ha sido sometido a consulta el 9 de Junio de 2023 por el Instituto: </w:t>
      </w:r>
      <w:hyperlink r:id="rId8" w:history="1">
        <w:r w:rsidRPr="00FF2101">
          <w:rPr>
            <w:rStyle w:val="Hipervnculo"/>
            <w:lang w:val="es-ES"/>
          </w:rPr>
          <w:t>https://www.ift.org.mx/industria/consultas-publicas/consulta-publica-sobre-los-modelos-de-costos-para-la-determinacion-de-tarifas-de-interconexion</w:t>
        </w:r>
      </w:hyperlink>
    </w:p>
    <w:p w14:paraId="1F3CB59E" w14:textId="77777777" w:rsidR="003971F9" w:rsidRDefault="003971F9">
      <w:pPr>
        <w:pStyle w:val="Textonotapie"/>
        <w:rPr>
          <w:lang w:val="es-ES"/>
        </w:rPr>
      </w:pPr>
    </w:p>
    <w:p w14:paraId="0BCF9AEB" w14:textId="77777777" w:rsidR="003971F9" w:rsidRPr="00FF2101" w:rsidRDefault="003971F9">
      <w:pPr>
        <w:pStyle w:val="Textonotapie"/>
        <w:rPr>
          <w:lang w:val="es-E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E0136"/>
    <w:multiLevelType w:val="hybridMultilevel"/>
    <w:tmpl w:val="AF306E7C"/>
    <w:lvl w:ilvl="0" w:tplc="0AFCA1D0">
      <w:start w:val="1"/>
      <w:numFmt w:val="bullet"/>
      <w:pStyle w:val="Listaconvietas2"/>
      <w:lvlText w:val=""/>
      <w:lvlJc w:val="left"/>
      <w:pPr>
        <w:tabs>
          <w:tab w:val="num" w:pos="643"/>
        </w:tabs>
        <w:ind w:left="643" w:hanging="360"/>
      </w:pPr>
      <w:rPr>
        <w:rFonts w:ascii="Symbol" w:hAnsi="Symbol" w:hint="default"/>
        <w:color w:val="CC330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087542"/>
    <w:multiLevelType w:val="multilevel"/>
    <w:tmpl w:val="5F1C0EFC"/>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rPr>
        <w:rFonts w:ascii="ITC Avant Garde" w:hAnsi="ITC Avant Garde"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5885F81"/>
    <w:multiLevelType w:val="hybridMultilevel"/>
    <w:tmpl w:val="7B0268A2"/>
    <w:lvl w:ilvl="0" w:tplc="6C2C66B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91313D"/>
    <w:multiLevelType w:val="hybridMultilevel"/>
    <w:tmpl w:val="AB24026A"/>
    <w:lvl w:ilvl="0" w:tplc="6C2C66B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9B4A13"/>
    <w:multiLevelType w:val="multilevel"/>
    <w:tmpl w:val="4FACEE66"/>
    <w:lvl w:ilvl="0">
      <w:start w:val="1"/>
      <w:numFmt w:val="decimal"/>
      <w:pStyle w:val="Ttulo1"/>
      <w:lvlText w:val="%1"/>
      <w:lvlJc w:val="left"/>
      <w:pPr>
        <w:tabs>
          <w:tab w:val="num" w:pos="792"/>
        </w:tabs>
        <w:ind w:left="79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tulo2"/>
      <w:lvlText w:val="%1.%2"/>
      <w:lvlJc w:val="left"/>
      <w:pPr>
        <w:tabs>
          <w:tab w:val="num" w:pos="936"/>
        </w:tabs>
        <w:ind w:left="936" w:hanging="576"/>
      </w:pPr>
      <w:rPr>
        <w:rFonts w:hint="default"/>
        <w:lang w:val="en-GB"/>
      </w:rPr>
    </w:lvl>
    <w:lvl w:ilvl="2">
      <w:start w:val="1"/>
      <w:numFmt w:val="decimal"/>
      <w:pStyle w:val="Ttulo3"/>
      <w:lvlText w:val="%1.%2.%3"/>
      <w:lvlJc w:val="left"/>
      <w:pPr>
        <w:tabs>
          <w:tab w:val="num" w:pos="1080"/>
        </w:tabs>
        <w:ind w:left="1080" w:hanging="720"/>
      </w:pPr>
      <w:rPr>
        <w:rFonts w:hint="default"/>
      </w:rPr>
    </w:lvl>
    <w:lvl w:ilvl="3">
      <w:start w:val="1"/>
      <w:numFmt w:val="decimal"/>
      <w:pStyle w:val="Ttulo4"/>
      <w:lvlText w:val="%1.%2.%3.%4"/>
      <w:lvlJc w:val="left"/>
      <w:pPr>
        <w:tabs>
          <w:tab w:val="num" w:pos="1224"/>
        </w:tabs>
        <w:ind w:left="1224" w:hanging="864"/>
      </w:pPr>
      <w:rPr>
        <w:rFonts w:hint="default"/>
      </w:rPr>
    </w:lvl>
    <w:lvl w:ilvl="4">
      <w:start w:val="1"/>
      <w:numFmt w:val="decimal"/>
      <w:pStyle w:val="Ttulo5"/>
      <w:lvlText w:val="%1.%2.%3.%4.%5"/>
      <w:lvlJc w:val="left"/>
      <w:pPr>
        <w:tabs>
          <w:tab w:val="num" w:pos="1368"/>
        </w:tabs>
        <w:ind w:left="1368" w:hanging="1008"/>
      </w:pPr>
      <w:rPr>
        <w:rFonts w:hint="default"/>
      </w:rPr>
    </w:lvl>
    <w:lvl w:ilvl="5">
      <w:start w:val="1"/>
      <w:numFmt w:val="decimal"/>
      <w:pStyle w:val="Ttulo6"/>
      <w:lvlText w:val="%1.%2.%3.%4.%5.%6"/>
      <w:lvlJc w:val="left"/>
      <w:pPr>
        <w:tabs>
          <w:tab w:val="num" w:pos="1512"/>
        </w:tabs>
        <w:ind w:left="1512" w:hanging="1152"/>
      </w:pPr>
      <w:rPr>
        <w:rFonts w:hint="default"/>
      </w:rPr>
    </w:lvl>
    <w:lvl w:ilvl="6">
      <w:start w:val="1"/>
      <w:numFmt w:val="decimal"/>
      <w:pStyle w:val="Ttulo7"/>
      <w:lvlText w:val="%1.%2.%3.%4.%5.%6.%7"/>
      <w:lvlJc w:val="left"/>
      <w:pPr>
        <w:tabs>
          <w:tab w:val="num" w:pos="1656"/>
        </w:tabs>
        <w:ind w:left="1656" w:hanging="1296"/>
      </w:pPr>
      <w:rPr>
        <w:rFonts w:hint="default"/>
      </w:rPr>
    </w:lvl>
    <w:lvl w:ilvl="7">
      <w:start w:val="1"/>
      <w:numFmt w:val="decimal"/>
      <w:pStyle w:val="Ttulo8"/>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5" w15:restartNumberingAfterBreak="0">
    <w:nsid w:val="0763176C"/>
    <w:multiLevelType w:val="hybridMultilevel"/>
    <w:tmpl w:val="05665376"/>
    <w:lvl w:ilvl="0" w:tplc="080A000F">
      <w:start w:val="1"/>
      <w:numFmt w:val="decimal"/>
      <w:lvlText w:val="%1."/>
      <w:lvlJc w:val="left"/>
      <w:pPr>
        <w:ind w:left="720" w:hanging="360"/>
      </w:pPr>
      <w:rPr>
        <w:rFonts w:hint="default"/>
      </w:rPr>
    </w:lvl>
    <w:lvl w:ilvl="1" w:tplc="074675B0">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161A03"/>
    <w:multiLevelType w:val="hybridMultilevel"/>
    <w:tmpl w:val="2654D6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0013BA1"/>
    <w:multiLevelType w:val="hybridMultilevel"/>
    <w:tmpl w:val="7BAAC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22570B"/>
    <w:multiLevelType w:val="hybridMultilevel"/>
    <w:tmpl w:val="2D1A91DA"/>
    <w:lvl w:ilvl="0" w:tplc="6C2C66B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6D55D0"/>
    <w:multiLevelType w:val="hybridMultilevel"/>
    <w:tmpl w:val="0E4826D0"/>
    <w:lvl w:ilvl="0" w:tplc="4B3EE41E">
      <w:start w:val="1"/>
      <w:numFmt w:val="bullet"/>
      <w:pStyle w:val="Puce"/>
      <w:lvlText w:val=""/>
      <w:lvlJc w:val="left"/>
      <w:pPr>
        <w:tabs>
          <w:tab w:val="num" w:pos="720"/>
        </w:tabs>
        <w:ind w:left="720" w:hanging="360"/>
      </w:pPr>
      <w:rPr>
        <w:rFonts w:ascii="Symbol" w:hAnsi="Symbol" w:hint="default"/>
        <w:color w:val="CC330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F012C0"/>
    <w:multiLevelType w:val="hybridMultilevel"/>
    <w:tmpl w:val="4948AAD0"/>
    <w:lvl w:ilvl="0" w:tplc="A380DEEC">
      <w:start w:val="1"/>
      <w:numFmt w:val="decimal"/>
      <w:lvlText w:val="%1."/>
      <w:lvlJc w:val="left"/>
      <w:pPr>
        <w:tabs>
          <w:tab w:val="num" w:pos="643"/>
        </w:tabs>
        <w:ind w:left="643" w:hanging="360"/>
      </w:pPr>
      <w:rPr>
        <w:rFonts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7735E7"/>
    <w:multiLevelType w:val="hybridMultilevel"/>
    <w:tmpl w:val="C10C7820"/>
    <w:lvl w:ilvl="0" w:tplc="FE20D08A">
      <w:start w:val="1"/>
      <w:numFmt w:val="bullet"/>
      <w:pStyle w:val="Lsi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5B66A41"/>
    <w:multiLevelType w:val="hybridMultilevel"/>
    <w:tmpl w:val="3C6C67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7CD1625"/>
    <w:multiLevelType w:val="hybridMultilevel"/>
    <w:tmpl w:val="97C4A99A"/>
    <w:lvl w:ilvl="0" w:tplc="6B286696">
      <w:start w:val="1"/>
      <w:numFmt w:val="bullet"/>
      <w:lvlText w:val=""/>
      <w:lvlJc w:val="left"/>
      <w:pPr>
        <w:tabs>
          <w:tab w:val="num" w:pos="1068"/>
        </w:tabs>
        <w:ind w:left="1068" w:hanging="360"/>
      </w:pPr>
      <w:rPr>
        <w:rFonts w:ascii="Symbol" w:hAnsi="Symbol" w:hint="default"/>
        <w:color w:val="auto"/>
        <w:sz w:val="24"/>
        <w:szCs w:val="24"/>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pStyle w:val="Ttulo9"/>
      <w:lvlText w:val=""/>
      <w:lvlJc w:val="left"/>
      <w:pPr>
        <w:tabs>
          <w:tab w:val="num" w:pos="6480"/>
        </w:tabs>
        <w:ind w:left="6480" w:hanging="360"/>
      </w:pPr>
      <w:rPr>
        <w:rFonts w:ascii="Wingdings" w:hAnsi="Wingdings" w:hint="default"/>
      </w:rPr>
    </w:lvl>
  </w:abstractNum>
  <w:abstractNum w:abstractNumId="14" w15:restartNumberingAfterBreak="0">
    <w:nsid w:val="28C369D8"/>
    <w:multiLevelType w:val="hybridMultilevel"/>
    <w:tmpl w:val="80CA45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7B3ADC"/>
    <w:multiLevelType w:val="hybridMultilevel"/>
    <w:tmpl w:val="41BAED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CB509B"/>
    <w:multiLevelType w:val="hybridMultilevel"/>
    <w:tmpl w:val="2E1092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66D205A"/>
    <w:multiLevelType w:val="hybridMultilevel"/>
    <w:tmpl w:val="A0C65BAA"/>
    <w:lvl w:ilvl="0" w:tplc="040C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0020D6"/>
    <w:multiLevelType w:val="hybridMultilevel"/>
    <w:tmpl w:val="41BAED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81719D1"/>
    <w:multiLevelType w:val="hybridMultilevel"/>
    <w:tmpl w:val="49EC6892"/>
    <w:lvl w:ilvl="0" w:tplc="558AF854">
      <w:start w:val="1"/>
      <w:numFmt w:val="low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0" w15:restartNumberingAfterBreak="0">
    <w:nsid w:val="3C693558"/>
    <w:multiLevelType w:val="hybridMultilevel"/>
    <w:tmpl w:val="695EA660"/>
    <w:lvl w:ilvl="0" w:tplc="6C2C66B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F822F3C"/>
    <w:multiLevelType w:val="hybridMultilevel"/>
    <w:tmpl w:val="7932F1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00D6E73"/>
    <w:multiLevelType w:val="hybridMultilevel"/>
    <w:tmpl w:val="F10ACC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5EE7362"/>
    <w:multiLevelType w:val="hybridMultilevel"/>
    <w:tmpl w:val="21CC11F4"/>
    <w:lvl w:ilvl="0" w:tplc="141CDD56">
      <w:start w:val="1"/>
      <w:numFmt w:val="upperRoman"/>
      <w:lvlText w:val="%1."/>
      <w:lvlJc w:val="left"/>
      <w:pPr>
        <w:ind w:left="720" w:hanging="720"/>
      </w:pPr>
      <w:rPr>
        <w:rFonts w:ascii="ITC Avant Garde Std Bk" w:eastAsia="Calibri" w:hAnsi="ITC Avant Garde Std Bk" w:cs="Times New Roman"/>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C370CD4"/>
    <w:multiLevelType w:val="hybridMultilevel"/>
    <w:tmpl w:val="6402105A"/>
    <w:lvl w:ilvl="0" w:tplc="6C2C66B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D3E7E63"/>
    <w:multiLevelType w:val="hybridMultilevel"/>
    <w:tmpl w:val="892491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14C1C85"/>
    <w:multiLevelType w:val="hybridMultilevel"/>
    <w:tmpl w:val="35DCAA6E"/>
    <w:lvl w:ilvl="0" w:tplc="6C2C66BA">
      <w:start w:val="1"/>
      <w:numFmt w:val="decimal"/>
      <w:lvlText w:val="%1."/>
      <w:lvlJc w:val="left"/>
      <w:pPr>
        <w:ind w:left="720" w:hanging="360"/>
      </w:pPr>
      <w:rPr>
        <w:rFonts w:hint="default"/>
      </w:rPr>
    </w:lvl>
    <w:lvl w:ilvl="1" w:tplc="D2EC41F2">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2DC0E8E"/>
    <w:multiLevelType w:val="hybridMultilevel"/>
    <w:tmpl w:val="453804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4396955"/>
    <w:multiLevelType w:val="hybridMultilevel"/>
    <w:tmpl w:val="77D2582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A8D2F9A"/>
    <w:multiLevelType w:val="multilevel"/>
    <w:tmpl w:val="0854E63E"/>
    <w:styleLink w:val="StylePuce"/>
    <w:lvl w:ilvl="0">
      <w:start w:val="1"/>
      <w:numFmt w:val="bullet"/>
      <w:lvlText w:val=""/>
      <w:lvlJc w:val="left"/>
      <w:pPr>
        <w:tabs>
          <w:tab w:val="num" w:pos="814"/>
        </w:tabs>
        <w:ind w:left="814" w:hanging="360"/>
      </w:pPr>
      <w:rPr>
        <w:rFonts w:ascii="Symbol" w:hAnsi="Symbol" w:hint="default"/>
        <w:color w:val="CC3300"/>
      </w:rPr>
    </w:lvl>
    <w:lvl w:ilvl="1">
      <w:start w:val="1"/>
      <w:numFmt w:val="bullet"/>
      <w:lvlText w:val="o"/>
      <w:lvlJc w:val="left"/>
      <w:pPr>
        <w:tabs>
          <w:tab w:val="num" w:pos="1440"/>
        </w:tabs>
        <w:ind w:left="1440" w:hanging="360"/>
      </w:pPr>
      <w:rPr>
        <w:rFonts w:ascii="Courier New" w:hAnsi="Courier New"/>
        <w:color w:val="CC3300"/>
        <w:sz w:val="24"/>
      </w:rPr>
    </w:lvl>
    <w:lvl w:ilvl="2">
      <w:start w:val="1"/>
      <w:numFmt w:val="bullet"/>
      <w:lvlText w:val="–"/>
      <w:lvlJc w:val="left"/>
      <w:pPr>
        <w:tabs>
          <w:tab w:val="num" w:pos="2160"/>
        </w:tabs>
        <w:ind w:left="2160" w:hanging="360"/>
      </w:pPr>
      <w:rPr>
        <w:rFonts w:ascii="Arial" w:hAnsi="Arial" w:hint="default"/>
        <w:color w:val="CC3300"/>
        <w:sz w:val="24"/>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222273"/>
    <w:multiLevelType w:val="hybridMultilevel"/>
    <w:tmpl w:val="9D1604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9941D78"/>
    <w:multiLevelType w:val="hybridMultilevel"/>
    <w:tmpl w:val="9900F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0045C3"/>
    <w:multiLevelType w:val="hybridMultilevel"/>
    <w:tmpl w:val="37288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BA68AB"/>
    <w:multiLevelType w:val="hybridMultilevel"/>
    <w:tmpl w:val="8EFA988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4" w15:restartNumberingAfterBreak="0">
    <w:nsid w:val="761D12EF"/>
    <w:multiLevelType w:val="hybridMultilevel"/>
    <w:tmpl w:val="1E6A1EEE"/>
    <w:lvl w:ilvl="0" w:tplc="080A000F">
      <w:start w:val="1"/>
      <w:numFmt w:val="decimal"/>
      <w:lvlText w:val="%1."/>
      <w:lvlJc w:val="left"/>
      <w:pPr>
        <w:ind w:left="720" w:hanging="360"/>
      </w:pPr>
      <w:rPr>
        <w:rFonts w:hint="default"/>
      </w:rPr>
    </w:lvl>
    <w:lvl w:ilvl="1" w:tplc="E5DCB2BA">
      <w:start w:val="3"/>
      <w:numFmt w:val="bullet"/>
      <w:lvlText w:val="•"/>
      <w:lvlJc w:val="left"/>
      <w:pPr>
        <w:ind w:left="1440" w:hanging="360"/>
      </w:pPr>
      <w:rPr>
        <w:rFonts w:ascii="Arial" w:eastAsia="Times New Roman" w:hAnsi="Aria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B6C37BF"/>
    <w:multiLevelType w:val="hybridMultilevel"/>
    <w:tmpl w:val="5E4C054E"/>
    <w:lvl w:ilvl="0" w:tplc="8FD8F344">
      <w:start w:val="1"/>
      <w:numFmt w:val="bullet"/>
      <w:lvlText w:val=""/>
      <w:lvlJc w:val="left"/>
      <w:pPr>
        <w:ind w:left="360" w:hanging="360"/>
      </w:pPr>
      <w:rPr>
        <w:rFonts w:ascii="Symbol" w:hAnsi="Symbol" w:hint="default"/>
        <w:color w:val="CC33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F443928"/>
    <w:multiLevelType w:val="hybridMultilevel"/>
    <w:tmpl w:val="B10241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3"/>
  </w:num>
  <w:num w:numId="3">
    <w:abstractNumId w:val="4"/>
  </w:num>
  <w:num w:numId="4">
    <w:abstractNumId w:val="9"/>
  </w:num>
  <w:num w:numId="5">
    <w:abstractNumId w:val="11"/>
  </w:num>
  <w:num w:numId="6">
    <w:abstractNumId w:val="29"/>
  </w:num>
  <w:num w:numId="7">
    <w:abstractNumId w:val="35"/>
  </w:num>
  <w:num w:numId="8">
    <w:abstractNumId w:val="19"/>
  </w:num>
  <w:num w:numId="9">
    <w:abstractNumId w:val="18"/>
  </w:num>
  <w:num w:numId="10">
    <w:abstractNumId w:val="15"/>
  </w:num>
  <w:num w:numId="11">
    <w:abstractNumId w:val="33"/>
  </w:num>
  <w:num w:numId="12">
    <w:abstractNumId w:val="6"/>
  </w:num>
  <w:num w:numId="13">
    <w:abstractNumId w:val="14"/>
  </w:num>
  <w:num w:numId="14">
    <w:abstractNumId w:val="21"/>
  </w:num>
  <w:num w:numId="15">
    <w:abstractNumId w:val="27"/>
  </w:num>
  <w:num w:numId="16">
    <w:abstractNumId w:val="16"/>
  </w:num>
  <w:num w:numId="17">
    <w:abstractNumId w:val="36"/>
  </w:num>
  <w:num w:numId="18">
    <w:abstractNumId w:val="28"/>
  </w:num>
  <w:num w:numId="19">
    <w:abstractNumId w:val="25"/>
  </w:num>
  <w:num w:numId="20">
    <w:abstractNumId w:val="30"/>
  </w:num>
  <w:num w:numId="21">
    <w:abstractNumId w:val="17"/>
  </w:num>
  <w:num w:numId="22">
    <w:abstractNumId w:val="20"/>
  </w:num>
  <w:num w:numId="23">
    <w:abstractNumId w:val="26"/>
  </w:num>
  <w:num w:numId="24">
    <w:abstractNumId w:val="8"/>
  </w:num>
  <w:num w:numId="25">
    <w:abstractNumId w:val="3"/>
  </w:num>
  <w:num w:numId="26">
    <w:abstractNumId w:val="24"/>
  </w:num>
  <w:num w:numId="27">
    <w:abstractNumId w:val="2"/>
  </w:num>
  <w:num w:numId="28">
    <w:abstractNumId w:val="12"/>
  </w:num>
  <w:num w:numId="29">
    <w:abstractNumId w:val="10"/>
  </w:num>
  <w:num w:numId="30">
    <w:abstractNumId w:val="34"/>
  </w:num>
  <w:num w:numId="31">
    <w:abstractNumId w:val="5"/>
  </w:num>
  <w:num w:numId="32">
    <w:abstractNumId w:val="22"/>
  </w:num>
  <w:num w:numId="33">
    <w:abstractNumId w:val="1"/>
  </w:num>
  <w:num w:numId="34">
    <w:abstractNumId w:val="0"/>
  </w:num>
  <w:num w:numId="35">
    <w:abstractNumId w:val="32"/>
  </w:num>
  <w:num w:numId="36">
    <w:abstractNumId w:val="7"/>
  </w:num>
  <w:num w:numId="37">
    <w:abstractNumId w:val="23"/>
  </w:num>
  <w:num w:numId="38">
    <w:abstractNumId w:val="3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21C"/>
    <w:rsid w:val="00000C62"/>
    <w:rsid w:val="0000100C"/>
    <w:rsid w:val="000014E8"/>
    <w:rsid w:val="000015D2"/>
    <w:rsid w:val="00002157"/>
    <w:rsid w:val="00002313"/>
    <w:rsid w:val="00002C4D"/>
    <w:rsid w:val="00002CFB"/>
    <w:rsid w:val="00002EE5"/>
    <w:rsid w:val="00003468"/>
    <w:rsid w:val="00003D16"/>
    <w:rsid w:val="000046C1"/>
    <w:rsid w:val="0000481D"/>
    <w:rsid w:val="00006265"/>
    <w:rsid w:val="00007E27"/>
    <w:rsid w:val="00010865"/>
    <w:rsid w:val="0001094B"/>
    <w:rsid w:val="00011293"/>
    <w:rsid w:val="00012A82"/>
    <w:rsid w:val="000135F9"/>
    <w:rsid w:val="00013938"/>
    <w:rsid w:val="000140E7"/>
    <w:rsid w:val="00014722"/>
    <w:rsid w:val="00014E44"/>
    <w:rsid w:val="0001530A"/>
    <w:rsid w:val="00015CD5"/>
    <w:rsid w:val="00016AA5"/>
    <w:rsid w:val="000179E6"/>
    <w:rsid w:val="00017D52"/>
    <w:rsid w:val="00017EBF"/>
    <w:rsid w:val="0002016E"/>
    <w:rsid w:val="00020362"/>
    <w:rsid w:val="00022012"/>
    <w:rsid w:val="00023580"/>
    <w:rsid w:val="00023C44"/>
    <w:rsid w:val="00024263"/>
    <w:rsid w:val="00030396"/>
    <w:rsid w:val="0003049E"/>
    <w:rsid w:val="00030FB0"/>
    <w:rsid w:val="000312B3"/>
    <w:rsid w:val="000319AE"/>
    <w:rsid w:val="00033049"/>
    <w:rsid w:val="000331BA"/>
    <w:rsid w:val="00034C20"/>
    <w:rsid w:val="000361A8"/>
    <w:rsid w:val="000366A3"/>
    <w:rsid w:val="000406F8"/>
    <w:rsid w:val="00040904"/>
    <w:rsid w:val="000411B8"/>
    <w:rsid w:val="00042245"/>
    <w:rsid w:val="00042259"/>
    <w:rsid w:val="0004391D"/>
    <w:rsid w:val="00043D07"/>
    <w:rsid w:val="00043D1B"/>
    <w:rsid w:val="000440DC"/>
    <w:rsid w:val="0004438C"/>
    <w:rsid w:val="00045465"/>
    <w:rsid w:val="00045E5D"/>
    <w:rsid w:val="0004603F"/>
    <w:rsid w:val="000468C0"/>
    <w:rsid w:val="000468E7"/>
    <w:rsid w:val="00046ED0"/>
    <w:rsid w:val="0004745E"/>
    <w:rsid w:val="00050504"/>
    <w:rsid w:val="000506B2"/>
    <w:rsid w:val="000515D5"/>
    <w:rsid w:val="000524E8"/>
    <w:rsid w:val="0005309D"/>
    <w:rsid w:val="0005315F"/>
    <w:rsid w:val="000544C8"/>
    <w:rsid w:val="00054B12"/>
    <w:rsid w:val="00062F2B"/>
    <w:rsid w:val="00064199"/>
    <w:rsid w:val="00064C14"/>
    <w:rsid w:val="0006521C"/>
    <w:rsid w:val="0006621F"/>
    <w:rsid w:val="00066B95"/>
    <w:rsid w:val="0006783B"/>
    <w:rsid w:val="00067C63"/>
    <w:rsid w:val="000715C5"/>
    <w:rsid w:val="000733B2"/>
    <w:rsid w:val="000734EB"/>
    <w:rsid w:val="00073878"/>
    <w:rsid w:val="00073D8E"/>
    <w:rsid w:val="00073F22"/>
    <w:rsid w:val="00074835"/>
    <w:rsid w:val="00074B1D"/>
    <w:rsid w:val="00074C28"/>
    <w:rsid w:val="000758F7"/>
    <w:rsid w:val="000763B1"/>
    <w:rsid w:val="0007652A"/>
    <w:rsid w:val="000769A8"/>
    <w:rsid w:val="00076D61"/>
    <w:rsid w:val="00080E46"/>
    <w:rsid w:val="00081D25"/>
    <w:rsid w:val="000824D3"/>
    <w:rsid w:val="00082F15"/>
    <w:rsid w:val="00084606"/>
    <w:rsid w:val="00085BB2"/>
    <w:rsid w:val="00085C9E"/>
    <w:rsid w:val="000862BC"/>
    <w:rsid w:val="00086436"/>
    <w:rsid w:val="00086BFA"/>
    <w:rsid w:val="0009089D"/>
    <w:rsid w:val="00090AF7"/>
    <w:rsid w:val="00090E86"/>
    <w:rsid w:val="00091516"/>
    <w:rsid w:val="00091947"/>
    <w:rsid w:val="00093CDF"/>
    <w:rsid w:val="0009672A"/>
    <w:rsid w:val="000A1BA5"/>
    <w:rsid w:val="000A1C06"/>
    <w:rsid w:val="000A2595"/>
    <w:rsid w:val="000A35A2"/>
    <w:rsid w:val="000A4319"/>
    <w:rsid w:val="000A7E4A"/>
    <w:rsid w:val="000B048D"/>
    <w:rsid w:val="000B06FA"/>
    <w:rsid w:val="000B0E8F"/>
    <w:rsid w:val="000B1114"/>
    <w:rsid w:val="000B40E8"/>
    <w:rsid w:val="000B536E"/>
    <w:rsid w:val="000B56AD"/>
    <w:rsid w:val="000B58CB"/>
    <w:rsid w:val="000B5D35"/>
    <w:rsid w:val="000B639A"/>
    <w:rsid w:val="000C0C11"/>
    <w:rsid w:val="000C272E"/>
    <w:rsid w:val="000C2825"/>
    <w:rsid w:val="000C3CA1"/>
    <w:rsid w:val="000C48CE"/>
    <w:rsid w:val="000C4F9F"/>
    <w:rsid w:val="000C5011"/>
    <w:rsid w:val="000C52E2"/>
    <w:rsid w:val="000C5336"/>
    <w:rsid w:val="000C5C30"/>
    <w:rsid w:val="000C684E"/>
    <w:rsid w:val="000C6CFA"/>
    <w:rsid w:val="000C713A"/>
    <w:rsid w:val="000C73AB"/>
    <w:rsid w:val="000D041B"/>
    <w:rsid w:val="000D04FB"/>
    <w:rsid w:val="000D16F7"/>
    <w:rsid w:val="000D21E6"/>
    <w:rsid w:val="000D292D"/>
    <w:rsid w:val="000D30F8"/>
    <w:rsid w:val="000D35AF"/>
    <w:rsid w:val="000D40E4"/>
    <w:rsid w:val="000D473D"/>
    <w:rsid w:val="000D5F5A"/>
    <w:rsid w:val="000D6684"/>
    <w:rsid w:val="000D6A56"/>
    <w:rsid w:val="000D71A4"/>
    <w:rsid w:val="000E2204"/>
    <w:rsid w:val="000E2D2C"/>
    <w:rsid w:val="000E3434"/>
    <w:rsid w:val="000E39AD"/>
    <w:rsid w:val="000E5267"/>
    <w:rsid w:val="000E5BB7"/>
    <w:rsid w:val="000E66FB"/>
    <w:rsid w:val="000E6AD3"/>
    <w:rsid w:val="000E77D5"/>
    <w:rsid w:val="000E7966"/>
    <w:rsid w:val="000E7A99"/>
    <w:rsid w:val="000F2F19"/>
    <w:rsid w:val="000F3A57"/>
    <w:rsid w:val="000F4E74"/>
    <w:rsid w:val="000F55C2"/>
    <w:rsid w:val="000F57AB"/>
    <w:rsid w:val="000F5AB3"/>
    <w:rsid w:val="000F5BCD"/>
    <w:rsid w:val="000F6D0D"/>
    <w:rsid w:val="000F6F02"/>
    <w:rsid w:val="00102A5B"/>
    <w:rsid w:val="00102BF8"/>
    <w:rsid w:val="00103C7A"/>
    <w:rsid w:val="001042A4"/>
    <w:rsid w:val="001042DE"/>
    <w:rsid w:val="00106551"/>
    <w:rsid w:val="00106987"/>
    <w:rsid w:val="00106EAF"/>
    <w:rsid w:val="00107087"/>
    <w:rsid w:val="00107D7C"/>
    <w:rsid w:val="00116077"/>
    <w:rsid w:val="00116285"/>
    <w:rsid w:val="00117181"/>
    <w:rsid w:val="00117204"/>
    <w:rsid w:val="001177CC"/>
    <w:rsid w:val="00120098"/>
    <w:rsid w:val="00120F5C"/>
    <w:rsid w:val="001217C4"/>
    <w:rsid w:val="0012305A"/>
    <w:rsid w:val="00124019"/>
    <w:rsid w:val="0012404E"/>
    <w:rsid w:val="00124628"/>
    <w:rsid w:val="00125B6A"/>
    <w:rsid w:val="00125C4F"/>
    <w:rsid w:val="00126ACD"/>
    <w:rsid w:val="00127079"/>
    <w:rsid w:val="0012728E"/>
    <w:rsid w:val="00127BF6"/>
    <w:rsid w:val="00127D90"/>
    <w:rsid w:val="00130FCB"/>
    <w:rsid w:val="0013149F"/>
    <w:rsid w:val="0013268E"/>
    <w:rsid w:val="001330A4"/>
    <w:rsid w:val="001340BF"/>
    <w:rsid w:val="001349AD"/>
    <w:rsid w:val="00134CEC"/>
    <w:rsid w:val="00135E2D"/>
    <w:rsid w:val="00137709"/>
    <w:rsid w:val="001416A2"/>
    <w:rsid w:val="001429DE"/>
    <w:rsid w:val="0014349A"/>
    <w:rsid w:val="00146FF7"/>
    <w:rsid w:val="00147ADD"/>
    <w:rsid w:val="001503A4"/>
    <w:rsid w:val="00150697"/>
    <w:rsid w:val="00152309"/>
    <w:rsid w:val="00154485"/>
    <w:rsid w:val="0015449E"/>
    <w:rsid w:val="00156343"/>
    <w:rsid w:val="00160222"/>
    <w:rsid w:val="00160C7F"/>
    <w:rsid w:val="00160E5E"/>
    <w:rsid w:val="00161ABC"/>
    <w:rsid w:val="00162581"/>
    <w:rsid w:val="00162D36"/>
    <w:rsid w:val="00163B8E"/>
    <w:rsid w:val="0016446C"/>
    <w:rsid w:val="00164E3B"/>
    <w:rsid w:val="00166BFE"/>
    <w:rsid w:val="001670C6"/>
    <w:rsid w:val="0016724B"/>
    <w:rsid w:val="001716C2"/>
    <w:rsid w:val="00171C43"/>
    <w:rsid w:val="00173D94"/>
    <w:rsid w:val="00175A33"/>
    <w:rsid w:val="00177122"/>
    <w:rsid w:val="00177718"/>
    <w:rsid w:val="00177E32"/>
    <w:rsid w:val="001808AC"/>
    <w:rsid w:val="00180E4C"/>
    <w:rsid w:val="001826B3"/>
    <w:rsid w:val="00182E73"/>
    <w:rsid w:val="001850D4"/>
    <w:rsid w:val="00185AFD"/>
    <w:rsid w:val="001862D2"/>
    <w:rsid w:val="00186435"/>
    <w:rsid w:val="00186E94"/>
    <w:rsid w:val="00186ECB"/>
    <w:rsid w:val="001871C3"/>
    <w:rsid w:val="001872EE"/>
    <w:rsid w:val="00193599"/>
    <w:rsid w:val="00193672"/>
    <w:rsid w:val="00195336"/>
    <w:rsid w:val="00195982"/>
    <w:rsid w:val="001A3FDF"/>
    <w:rsid w:val="001A4ACE"/>
    <w:rsid w:val="001A4CFB"/>
    <w:rsid w:val="001A71EB"/>
    <w:rsid w:val="001A7D38"/>
    <w:rsid w:val="001B136B"/>
    <w:rsid w:val="001B1693"/>
    <w:rsid w:val="001B198A"/>
    <w:rsid w:val="001B3E53"/>
    <w:rsid w:val="001B3F60"/>
    <w:rsid w:val="001B4AA8"/>
    <w:rsid w:val="001B5E4D"/>
    <w:rsid w:val="001B6BF4"/>
    <w:rsid w:val="001B6C45"/>
    <w:rsid w:val="001B6D0A"/>
    <w:rsid w:val="001B6F98"/>
    <w:rsid w:val="001B7B4D"/>
    <w:rsid w:val="001B7C76"/>
    <w:rsid w:val="001C005B"/>
    <w:rsid w:val="001C0967"/>
    <w:rsid w:val="001C0D4E"/>
    <w:rsid w:val="001C1695"/>
    <w:rsid w:val="001C1EF8"/>
    <w:rsid w:val="001C2742"/>
    <w:rsid w:val="001C3429"/>
    <w:rsid w:val="001C3743"/>
    <w:rsid w:val="001C3776"/>
    <w:rsid w:val="001C5F60"/>
    <w:rsid w:val="001C7AAD"/>
    <w:rsid w:val="001D00CE"/>
    <w:rsid w:val="001D084D"/>
    <w:rsid w:val="001D1598"/>
    <w:rsid w:val="001D41B3"/>
    <w:rsid w:val="001D4759"/>
    <w:rsid w:val="001D4966"/>
    <w:rsid w:val="001D521B"/>
    <w:rsid w:val="001D59D2"/>
    <w:rsid w:val="001D62B2"/>
    <w:rsid w:val="001D6A1A"/>
    <w:rsid w:val="001D70AC"/>
    <w:rsid w:val="001E01FB"/>
    <w:rsid w:val="001E08E5"/>
    <w:rsid w:val="001E186C"/>
    <w:rsid w:val="001E26D5"/>
    <w:rsid w:val="001E2EEA"/>
    <w:rsid w:val="001E5932"/>
    <w:rsid w:val="001E7B80"/>
    <w:rsid w:val="001F0E2F"/>
    <w:rsid w:val="001F22CA"/>
    <w:rsid w:val="001F2D73"/>
    <w:rsid w:val="001F2EF1"/>
    <w:rsid w:val="001F2F4A"/>
    <w:rsid w:val="001F3622"/>
    <w:rsid w:val="001F3D3C"/>
    <w:rsid w:val="001F50E4"/>
    <w:rsid w:val="001F5AFC"/>
    <w:rsid w:val="001F5BE2"/>
    <w:rsid w:val="001F6029"/>
    <w:rsid w:val="001F7427"/>
    <w:rsid w:val="001F7CB9"/>
    <w:rsid w:val="001F7E26"/>
    <w:rsid w:val="00202FF8"/>
    <w:rsid w:val="00203302"/>
    <w:rsid w:val="00204013"/>
    <w:rsid w:val="00204259"/>
    <w:rsid w:val="00204C3F"/>
    <w:rsid w:val="0020582A"/>
    <w:rsid w:val="00207013"/>
    <w:rsid w:val="0020757A"/>
    <w:rsid w:val="00210928"/>
    <w:rsid w:val="00211AC4"/>
    <w:rsid w:val="00211D76"/>
    <w:rsid w:val="0021357D"/>
    <w:rsid w:val="002149BD"/>
    <w:rsid w:val="00214AE0"/>
    <w:rsid w:val="0021566C"/>
    <w:rsid w:val="00216B9F"/>
    <w:rsid w:val="00217409"/>
    <w:rsid w:val="00220061"/>
    <w:rsid w:val="00220E23"/>
    <w:rsid w:val="002213F6"/>
    <w:rsid w:val="00221CA5"/>
    <w:rsid w:val="00221F97"/>
    <w:rsid w:val="00222233"/>
    <w:rsid w:val="00222375"/>
    <w:rsid w:val="00224112"/>
    <w:rsid w:val="00224197"/>
    <w:rsid w:val="00224653"/>
    <w:rsid w:val="0022484A"/>
    <w:rsid w:val="00225050"/>
    <w:rsid w:val="0022585B"/>
    <w:rsid w:val="00225F8E"/>
    <w:rsid w:val="002301EE"/>
    <w:rsid w:val="0023030A"/>
    <w:rsid w:val="0023164A"/>
    <w:rsid w:val="00232013"/>
    <w:rsid w:val="00232173"/>
    <w:rsid w:val="002329EB"/>
    <w:rsid w:val="002334FF"/>
    <w:rsid w:val="0023485D"/>
    <w:rsid w:val="00234B8D"/>
    <w:rsid w:val="002352CD"/>
    <w:rsid w:val="00235347"/>
    <w:rsid w:val="002358A2"/>
    <w:rsid w:val="00236264"/>
    <w:rsid w:val="00236B5A"/>
    <w:rsid w:val="00237DDD"/>
    <w:rsid w:val="00237EBF"/>
    <w:rsid w:val="00241AF2"/>
    <w:rsid w:val="00242482"/>
    <w:rsid w:val="002427FF"/>
    <w:rsid w:val="002433E5"/>
    <w:rsid w:val="00244314"/>
    <w:rsid w:val="002443C4"/>
    <w:rsid w:val="002448C1"/>
    <w:rsid w:val="00245923"/>
    <w:rsid w:val="00245D84"/>
    <w:rsid w:val="00246263"/>
    <w:rsid w:val="00246B1C"/>
    <w:rsid w:val="00251384"/>
    <w:rsid w:val="002514D8"/>
    <w:rsid w:val="00252DD5"/>
    <w:rsid w:val="002535E4"/>
    <w:rsid w:val="00253B07"/>
    <w:rsid w:val="00253E64"/>
    <w:rsid w:val="00254170"/>
    <w:rsid w:val="00256021"/>
    <w:rsid w:val="002560C2"/>
    <w:rsid w:val="0025701B"/>
    <w:rsid w:val="00257485"/>
    <w:rsid w:val="002576DC"/>
    <w:rsid w:val="00261A66"/>
    <w:rsid w:val="00262D4C"/>
    <w:rsid w:val="00262E1B"/>
    <w:rsid w:val="0026315D"/>
    <w:rsid w:val="0026327C"/>
    <w:rsid w:val="00263A4F"/>
    <w:rsid w:val="00263CF1"/>
    <w:rsid w:val="00267AFE"/>
    <w:rsid w:val="00267E5E"/>
    <w:rsid w:val="002705E3"/>
    <w:rsid w:val="00270AAA"/>
    <w:rsid w:val="002727E2"/>
    <w:rsid w:val="0027288D"/>
    <w:rsid w:val="00274441"/>
    <w:rsid w:val="00275322"/>
    <w:rsid w:val="00275326"/>
    <w:rsid w:val="00275B4C"/>
    <w:rsid w:val="002778FE"/>
    <w:rsid w:val="00277EDD"/>
    <w:rsid w:val="002806BF"/>
    <w:rsid w:val="00282988"/>
    <w:rsid w:val="00282F30"/>
    <w:rsid w:val="0028360F"/>
    <w:rsid w:val="0028370D"/>
    <w:rsid w:val="00284447"/>
    <w:rsid w:val="00284B9D"/>
    <w:rsid w:val="00284FFD"/>
    <w:rsid w:val="002862C9"/>
    <w:rsid w:val="00286B99"/>
    <w:rsid w:val="002873E0"/>
    <w:rsid w:val="00292032"/>
    <w:rsid w:val="0029338F"/>
    <w:rsid w:val="002945E8"/>
    <w:rsid w:val="0029498E"/>
    <w:rsid w:val="00294C41"/>
    <w:rsid w:val="00294D53"/>
    <w:rsid w:val="00294FCE"/>
    <w:rsid w:val="002951CD"/>
    <w:rsid w:val="002952BA"/>
    <w:rsid w:val="00296770"/>
    <w:rsid w:val="00297106"/>
    <w:rsid w:val="0029753C"/>
    <w:rsid w:val="002A1304"/>
    <w:rsid w:val="002A1977"/>
    <w:rsid w:val="002A1C32"/>
    <w:rsid w:val="002A1DE1"/>
    <w:rsid w:val="002A27E5"/>
    <w:rsid w:val="002A27FC"/>
    <w:rsid w:val="002A34D7"/>
    <w:rsid w:val="002A4006"/>
    <w:rsid w:val="002A5A87"/>
    <w:rsid w:val="002A69EB"/>
    <w:rsid w:val="002A6F9E"/>
    <w:rsid w:val="002A7514"/>
    <w:rsid w:val="002A7C5C"/>
    <w:rsid w:val="002B2F8C"/>
    <w:rsid w:val="002B4A68"/>
    <w:rsid w:val="002B551A"/>
    <w:rsid w:val="002B6EB8"/>
    <w:rsid w:val="002B70DD"/>
    <w:rsid w:val="002C1BD2"/>
    <w:rsid w:val="002C1C95"/>
    <w:rsid w:val="002C1D37"/>
    <w:rsid w:val="002C1D73"/>
    <w:rsid w:val="002C27B6"/>
    <w:rsid w:val="002C585D"/>
    <w:rsid w:val="002C5E69"/>
    <w:rsid w:val="002C7385"/>
    <w:rsid w:val="002D0B44"/>
    <w:rsid w:val="002D0FBA"/>
    <w:rsid w:val="002D1A23"/>
    <w:rsid w:val="002D206B"/>
    <w:rsid w:val="002D21DE"/>
    <w:rsid w:val="002D22DF"/>
    <w:rsid w:val="002D2568"/>
    <w:rsid w:val="002D29B6"/>
    <w:rsid w:val="002D2AD8"/>
    <w:rsid w:val="002D2DDA"/>
    <w:rsid w:val="002D3C40"/>
    <w:rsid w:val="002D59BC"/>
    <w:rsid w:val="002D6345"/>
    <w:rsid w:val="002D654D"/>
    <w:rsid w:val="002D75B8"/>
    <w:rsid w:val="002D7AED"/>
    <w:rsid w:val="002E0F79"/>
    <w:rsid w:val="002E14B6"/>
    <w:rsid w:val="002E3370"/>
    <w:rsid w:val="002E396D"/>
    <w:rsid w:val="002E40A8"/>
    <w:rsid w:val="002E4BDE"/>
    <w:rsid w:val="002E4DF9"/>
    <w:rsid w:val="002E670F"/>
    <w:rsid w:val="002E74D8"/>
    <w:rsid w:val="002E7935"/>
    <w:rsid w:val="002F0033"/>
    <w:rsid w:val="002F086A"/>
    <w:rsid w:val="002F0BCD"/>
    <w:rsid w:val="002F0DE7"/>
    <w:rsid w:val="002F19AF"/>
    <w:rsid w:val="002F2141"/>
    <w:rsid w:val="002F50AA"/>
    <w:rsid w:val="002F56F9"/>
    <w:rsid w:val="002F5A2E"/>
    <w:rsid w:val="002F79BE"/>
    <w:rsid w:val="003008BC"/>
    <w:rsid w:val="00301F80"/>
    <w:rsid w:val="003038EB"/>
    <w:rsid w:val="0030486E"/>
    <w:rsid w:val="00304C95"/>
    <w:rsid w:val="00305C2F"/>
    <w:rsid w:val="00310AD6"/>
    <w:rsid w:val="00312C82"/>
    <w:rsid w:val="00312CE7"/>
    <w:rsid w:val="003133B6"/>
    <w:rsid w:val="003140A5"/>
    <w:rsid w:val="00315CD9"/>
    <w:rsid w:val="00320BED"/>
    <w:rsid w:val="003215F4"/>
    <w:rsid w:val="003216B7"/>
    <w:rsid w:val="0032203B"/>
    <w:rsid w:val="003221E6"/>
    <w:rsid w:val="0032422E"/>
    <w:rsid w:val="00326912"/>
    <w:rsid w:val="0032750E"/>
    <w:rsid w:val="003277AE"/>
    <w:rsid w:val="0032791E"/>
    <w:rsid w:val="003305F4"/>
    <w:rsid w:val="00330AAF"/>
    <w:rsid w:val="003315B5"/>
    <w:rsid w:val="0033164B"/>
    <w:rsid w:val="00332CC0"/>
    <w:rsid w:val="0033359E"/>
    <w:rsid w:val="00336079"/>
    <w:rsid w:val="00336659"/>
    <w:rsid w:val="003372C7"/>
    <w:rsid w:val="00337558"/>
    <w:rsid w:val="00337A10"/>
    <w:rsid w:val="00337B30"/>
    <w:rsid w:val="00337B8D"/>
    <w:rsid w:val="00337FCE"/>
    <w:rsid w:val="003407D5"/>
    <w:rsid w:val="00340AEF"/>
    <w:rsid w:val="00343380"/>
    <w:rsid w:val="0034433C"/>
    <w:rsid w:val="0034492C"/>
    <w:rsid w:val="00346833"/>
    <w:rsid w:val="00347E59"/>
    <w:rsid w:val="00350047"/>
    <w:rsid w:val="00350690"/>
    <w:rsid w:val="00350785"/>
    <w:rsid w:val="00351F50"/>
    <w:rsid w:val="00352FDC"/>
    <w:rsid w:val="00353031"/>
    <w:rsid w:val="00353877"/>
    <w:rsid w:val="00353B5D"/>
    <w:rsid w:val="00353E68"/>
    <w:rsid w:val="003545A7"/>
    <w:rsid w:val="003607D2"/>
    <w:rsid w:val="00360A00"/>
    <w:rsid w:val="0036210B"/>
    <w:rsid w:val="003627CA"/>
    <w:rsid w:val="00362C99"/>
    <w:rsid w:val="0036418F"/>
    <w:rsid w:val="00364806"/>
    <w:rsid w:val="00365BB6"/>
    <w:rsid w:val="0036691F"/>
    <w:rsid w:val="00366B03"/>
    <w:rsid w:val="00370423"/>
    <w:rsid w:val="00372D1F"/>
    <w:rsid w:val="00375474"/>
    <w:rsid w:val="003756FC"/>
    <w:rsid w:val="00377089"/>
    <w:rsid w:val="003802A4"/>
    <w:rsid w:val="00380E8C"/>
    <w:rsid w:val="00382B0A"/>
    <w:rsid w:val="00384CAC"/>
    <w:rsid w:val="00385D8F"/>
    <w:rsid w:val="00385F9F"/>
    <w:rsid w:val="00390132"/>
    <w:rsid w:val="00390A92"/>
    <w:rsid w:val="00390D96"/>
    <w:rsid w:val="003913FE"/>
    <w:rsid w:val="00391858"/>
    <w:rsid w:val="00392754"/>
    <w:rsid w:val="00393312"/>
    <w:rsid w:val="00393741"/>
    <w:rsid w:val="00393BF6"/>
    <w:rsid w:val="0039462D"/>
    <w:rsid w:val="003971F9"/>
    <w:rsid w:val="00397EC9"/>
    <w:rsid w:val="003A02C7"/>
    <w:rsid w:val="003A0FB4"/>
    <w:rsid w:val="003A1176"/>
    <w:rsid w:val="003A1302"/>
    <w:rsid w:val="003A18C4"/>
    <w:rsid w:val="003A1E88"/>
    <w:rsid w:val="003A282E"/>
    <w:rsid w:val="003A403A"/>
    <w:rsid w:val="003A4FF8"/>
    <w:rsid w:val="003A6021"/>
    <w:rsid w:val="003A66EC"/>
    <w:rsid w:val="003A70BF"/>
    <w:rsid w:val="003A7C17"/>
    <w:rsid w:val="003A7FFA"/>
    <w:rsid w:val="003B018D"/>
    <w:rsid w:val="003B1FBF"/>
    <w:rsid w:val="003B25AC"/>
    <w:rsid w:val="003B2E52"/>
    <w:rsid w:val="003B3086"/>
    <w:rsid w:val="003B3606"/>
    <w:rsid w:val="003B403F"/>
    <w:rsid w:val="003B4618"/>
    <w:rsid w:val="003B6FDE"/>
    <w:rsid w:val="003B760D"/>
    <w:rsid w:val="003B7FF3"/>
    <w:rsid w:val="003C224B"/>
    <w:rsid w:val="003C318A"/>
    <w:rsid w:val="003C32DB"/>
    <w:rsid w:val="003C33E1"/>
    <w:rsid w:val="003C772E"/>
    <w:rsid w:val="003C7D93"/>
    <w:rsid w:val="003D363D"/>
    <w:rsid w:val="003D383E"/>
    <w:rsid w:val="003D409E"/>
    <w:rsid w:val="003D427D"/>
    <w:rsid w:val="003D44A0"/>
    <w:rsid w:val="003D4D25"/>
    <w:rsid w:val="003D5282"/>
    <w:rsid w:val="003D5291"/>
    <w:rsid w:val="003D6E8B"/>
    <w:rsid w:val="003D7565"/>
    <w:rsid w:val="003E1671"/>
    <w:rsid w:val="003E2062"/>
    <w:rsid w:val="003E21DD"/>
    <w:rsid w:val="003E2878"/>
    <w:rsid w:val="003E57C3"/>
    <w:rsid w:val="003E59D9"/>
    <w:rsid w:val="003E642B"/>
    <w:rsid w:val="003F3905"/>
    <w:rsid w:val="003F46EF"/>
    <w:rsid w:val="003F4E6F"/>
    <w:rsid w:val="003F6D85"/>
    <w:rsid w:val="003F759B"/>
    <w:rsid w:val="003F7D2B"/>
    <w:rsid w:val="00400AEB"/>
    <w:rsid w:val="00400D04"/>
    <w:rsid w:val="00400FA1"/>
    <w:rsid w:val="00401C2F"/>
    <w:rsid w:val="004035FF"/>
    <w:rsid w:val="00403B98"/>
    <w:rsid w:val="00405C1A"/>
    <w:rsid w:val="0040723E"/>
    <w:rsid w:val="00407294"/>
    <w:rsid w:val="00407AD2"/>
    <w:rsid w:val="00411DAA"/>
    <w:rsid w:val="0041277C"/>
    <w:rsid w:val="004140A1"/>
    <w:rsid w:val="00416828"/>
    <w:rsid w:val="00416CE8"/>
    <w:rsid w:val="00416D1A"/>
    <w:rsid w:val="00420381"/>
    <w:rsid w:val="0042047F"/>
    <w:rsid w:val="0042114B"/>
    <w:rsid w:val="00421424"/>
    <w:rsid w:val="00421FB9"/>
    <w:rsid w:val="004226EF"/>
    <w:rsid w:val="004238EB"/>
    <w:rsid w:val="00423E4E"/>
    <w:rsid w:val="0042443B"/>
    <w:rsid w:val="0042515D"/>
    <w:rsid w:val="0042551A"/>
    <w:rsid w:val="00426B98"/>
    <w:rsid w:val="00427213"/>
    <w:rsid w:val="004303BC"/>
    <w:rsid w:val="00430866"/>
    <w:rsid w:val="0043221E"/>
    <w:rsid w:val="004325EE"/>
    <w:rsid w:val="004333F1"/>
    <w:rsid w:val="00433A6F"/>
    <w:rsid w:val="0043415E"/>
    <w:rsid w:val="004349A1"/>
    <w:rsid w:val="00435A66"/>
    <w:rsid w:val="00436889"/>
    <w:rsid w:val="00436C8B"/>
    <w:rsid w:val="00436CF2"/>
    <w:rsid w:val="00436E88"/>
    <w:rsid w:val="004400C5"/>
    <w:rsid w:val="0044031F"/>
    <w:rsid w:val="0044127A"/>
    <w:rsid w:val="00443D50"/>
    <w:rsid w:val="00443DA3"/>
    <w:rsid w:val="004442BA"/>
    <w:rsid w:val="00445961"/>
    <w:rsid w:val="00446220"/>
    <w:rsid w:val="0044653B"/>
    <w:rsid w:val="004467AC"/>
    <w:rsid w:val="00446E18"/>
    <w:rsid w:val="00447BC8"/>
    <w:rsid w:val="00447E16"/>
    <w:rsid w:val="00450F5D"/>
    <w:rsid w:val="00450FC5"/>
    <w:rsid w:val="004531F6"/>
    <w:rsid w:val="004538DA"/>
    <w:rsid w:val="00453DCB"/>
    <w:rsid w:val="00453F6F"/>
    <w:rsid w:val="004543EE"/>
    <w:rsid w:val="00454C1B"/>
    <w:rsid w:val="0045591B"/>
    <w:rsid w:val="00455E16"/>
    <w:rsid w:val="00456C76"/>
    <w:rsid w:val="00457320"/>
    <w:rsid w:val="00457EF8"/>
    <w:rsid w:val="00460199"/>
    <w:rsid w:val="004601BF"/>
    <w:rsid w:val="00460D05"/>
    <w:rsid w:val="00460DD1"/>
    <w:rsid w:val="00461121"/>
    <w:rsid w:val="004620F1"/>
    <w:rsid w:val="00463860"/>
    <w:rsid w:val="00463CB8"/>
    <w:rsid w:val="00464CC3"/>
    <w:rsid w:val="00467150"/>
    <w:rsid w:val="004677F9"/>
    <w:rsid w:val="0047030C"/>
    <w:rsid w:val="00470B87"/>
    <w:rsid w:val="00472011"/>
    <w:rsid w:val="00473233"/>
    <w:rsid w:val="00475992"/>
    <w:rsid w:val="00475E24"/>
    <w:rsid w:val="0048168E"/>
    <w:rsid w:val="0048192C"/>
    <w:rsid w:val="00481E3F"/>
    <w:rsid w:val="004832E2"/>
    <w:rsid w:val="0048531B"/>
    <w:rsid w:val="00487ED6"/>
    <w:rsid w:val="004900D4"/>
    <w:rsid w:val="00490957"/>
    <w:rsid w:val="004911F7"/>
    <w:rsid w:val="00491559"/>
    <w:rsid w:val="00492AE4"/>
    <w:rsid w:val="00492BDE"/>
    <w:rsid w:val="004943A6"/>
    <w:rsid w:val="00495293"/>
    <w:rsid w:val="00497F14"/>
    <w:rsid w:val="004A0ACE"/>
    <w:rsid w:val="004A0B43"/>
    <w:rsid w:val="004A10AD"/>
    <w:rsid w:val="004A1426"/>
    <w:rsid w:val="004A163A"/>
    <w:rsid w:val="004A3902"/>
    <w:rsid w:val="004A3E14"/>
    <w:rsid w:val="004A4087"/>
    <w:rsid w:val="004A79E9"/>
    <w:rsid w:val="004B0FE3"/>
    <w:rsid w:val="004B1D83"/>
    <w:rsid w:val="004B240C"/>
    <w:rsid w:val="004B276B"/>
    <w:rsid w:val="004B2AB0"/>
    <w:rsid w:val="004B2FAF"/>
    <w:rsid w:val="004B3E92"/>
    <w:rsid w:val="004B4FA6"/>
    <w:rsid w:val="004B669F"/>
    <w:rsid w:val="004B6876"/>
    <w:rsid w:val="004B68CC"/>
    <w:rsid w:val="004B7770"/>
    <w:rsid w:val="004C013F"/>
    <w:rsid w:val="004C1614"/>
    <w:rsid w:val="004C1A96"/>
    <w:rsid w:val="004C409C"/>
    <w:rsid w:val="004C561A"/>
    <w:rsid w:val="004C5CB3"/>
    <w:rsid w:val="004C61CB"/>
    <w:rsid w:val="004C6FC0"/>
    <w:rsid w:val="004D0049"/>
    <w:rsid w:val="004D0450"/>
    <w:rsid w:val="004D0E9D"/>
    <w:rsid w:val="004D2123"/>
    <w:rsid w:val="004D23B0"/>
    <w:rsid w:val="004D360A"/>
    <w:rsid w:val="004D3A69"/>
    <w:rsid w:val="004D3AA2"/>
    <w:rsid w:val="004D476E"/>
    <w:rsid w:val="004D53DE"/>
    <w:rsid w:val="004D6B3D"/>
    <w:rsid w:val="004D6F82"/>
    <w:rsid w:val="004E0C4D"/>
    <w:rsid w:val="004E1025"/>
    <w:rsid w:val="004E38E6"/>
    <w:rsid w:val="004E3D11"/>
    <w:rsid w:val="004E40EB"/>
    <w:rsid w:val="004E441C"/>
    <w:rsid w:val="004E4435"/>
    <w:rsid w:val="004E5331"/>
    <w:rsid w:val="004E66EC"/>
    <w:rsid w:val="004E7647"/>
    <w:rsid w:val="004E79FA"/>
    <w:rsid w:val="004E7FC4"/>
    <w:rsid w:val="004F1555"/>
    <w:rsid w:val="004F3F2A"/>
    <w:rsid w:val="004F432F"/>
    <w:rsid w:val="004F5923"/>
    <w:rsid w:val="004F5AFE"/>
    <w:rsid w:val="004F627A"/>
    <w:rsid w:val="00501E0F"/>
    <w:rsid w:val="00503426"/>
    <w:rsid w:val="005037D4"/>
    <w:rsid w:val="005047E8"/>
    <w:rsid w:val="00504803"/>
    <w:rsid w:val="00504F1D"/>
    <w:rsid w:val="00505DEF"/>
    <w:rsid w:val="005066FC"/>
    <w:rsid w:val="005070EA"/>
    <w:rsid w:val="005112D6"/>
    <w:rsid w:val="0051204C"/>
    <w:rsid w:val="00512CE2"/>
    <w:rsid w:val="005134AD"/>
    <w:rsid w:val="00515F6C"/>
    <w:rsid w:val="00517AA2"/>
    <w:rsid w:val="00520650"/>
    <w:rsid w:val="005209E2"/>
    <w:rsid w:val="005212C0"/>
    <w:rsid w:val="0052235D"/>
    <w:rsid w:val="00523CC4"/>
    <w:rsid w:val="0052458C"/>
    <w:rsid w:val="00526018"/>
    <w:rsid w:val="00526D99"/>
    <w:rsid w:val="00530164"/>
    <w:rsid w:val="005304CE"/>
    <w:rsid w:val="00531956"/>
    <w:rsid w:val="005349C5"/>
    <w:rsid w:val="00534C18"/>
    <w:rsid w:val="00535DAD"/>
    <w:rsid w:val="00535FC1"/>
    <w:rsid w:val="00537225"/>
    <w:rsid w:val="0053734A"/>
    <w:rsid w:val="0053781D"/>
    <w:rsid w:val="00537EF9"/>
    <w:rsid w:val="00537FD1"/>
    <w:rsid w:val="00541C1A"/>
    <w:rsid w:val="00542089"/>
    <w:rsid w:val="00542FA6"/>
    <w:rsid w:val="00545D49"/>
    <w:rsid w:val="00546591"/>
    <w:rsid w:val="00546C40"/>
    <w:rsid w:val="00546D6F"/>
    <w:rsid w:val="005475C8"/>
    <w:rsid w:val="0054779A"/>
    <w:rsid w:val="0055025E"/>
    <w:rsid w:val="00550979"/>
    <w:rsid w:val="00552E0D"/>
    <w:rsid w:val="0055459D"/>
    <w:rsid w:val="0055644E"/>
    <w:rsid w:val="005564A2"/>
    <w:rsid w:val="00556A48"/>
    <w:rsid w:val="005570A2"/>
    <w:rsid w:val="005579D3"/>
    <w:rsid w:val="00560C00"/>
    <w:rsid w:val="0056160F"/>
    <w:rsid w:val="00561995"/>
    <w:rsid w:val="005622AC"/>
    <w:rsid w:val="00562C67"/>
    <w:rsid w:val="0056339B"/>
    <w:rsid w:val="00563630"/>
    <w:rsid w:val="005662D3"/>
    <w:rsid w:val="00567C4D"/>
    <w:rsid w:val="00567F1B"/>
    <w:rsid w:val="00570684"/>
    <w:rsid w:val="00570745"/>
    <w:rsid w:val="005719D6"/>
    <w:rsid w:val="00572606"/>
    <w:rsid w:val="00573A88"/>
    <w:rsid w:val="00573F3C"/>
    <w:rsid w:val="00574975"/>
    <w:rsid w:val="005757E7"/>
    <w:rsid w:val="00576C7C"/>
    <w:rsid w:val="00576CE6"/>
    <w:rsid w:val="00580FCD"/>
    <w:rsid w:val="005818A8"/>
    <w:rsid w:val="005828C0"/>
    <w:rsid w:val="00582C7F"/>
    <w:rsid w:val="00584D24"/>
    <w:rsid w:val="005851A6"/>
    <w:rsid w:val="0058592C"/>
    <w:rsid w:val="00585AC7"/>
    <w:rsid w:val="00587991"/>
    <w:rsid w:val="00591687"/>
    <w:rsid w:val="005947B4"/>
    <w:rsid w:val="0059553F"/>
    <w:rsid w:val="005957E0"/>
    <w:rsid w:val="00595966"/>
    <w:rsid w:val="005959D1"/>
    <w:rsid w:val="00595F97"/>
    <w:rsid w:val="0059604C"/>
    <w:rsid w:val="00596282"/>
    <w:rsid w:val="005963B5"/>
    <w:rsid w:val="00596D56"/>
    <w:rsid w:val="00597AF3"/>
    <w:rsid w:val="005A00B1"/>
    <w:rsid w:val="005A0444"/>
    <w:rsid w:val="005A17FA"/>
    <w:rsid w:val="005A2E48"/>
    <w:rsid w:val="005A36E0"/>
    <w:rsid w:val="005A428C"/>
    <w:rsid w:val="005A5311"/>
    <w:rsid w:val="005A6F47"/>
    <w:rsid w:val="005A762B"/>
    <w:rsid w:val="005B0846"/>
    <w:rsid w:val="005B2322"/>
    <w:rsid w:val="005B2466"/>
    <w:rsid w:val="005B26F0"/>
    <w:rsid w:val="005B29A4"/>
    <w:rsid w:val="005B4427"/>
    <w:rsid w:val="005B527B"/>
    <w:rsid w:val="005B53CD"/>
    <w:rsid w:val="005B5BA7"/>
    <w:rsid w:val="005B727F"/>
    <w:rsid w:val="005C00B0"/>
    <w:rsid w:val="005C04AA"/>
    <w:rsid w:val="005C0B56"/>
    <w:rsid w:val="005C136D"/>
    <w:rsid w:val="005C2174"/>
    <w:rsid w:val="005C2495"/>
    <w:rsid w:val="005C24A7"/>
    <w:rsid w:val="005C28F9"/>
    <w:rsid w:val="005C2FFD"/>
    <w:rsid w:val="005C319B"/>
    <w:rsid w:val="005C347C"/>
    <w:rsid w:val="005C3DD5"/>
    <w:rsid w:val="005C4554"/>
    <w:rsid w:val="005C485B"/>
    <w:rsid w:val="005C54B8"/>
    <w:rsid w:val="005C5678"/>
    <w:rsid w:val="005C66B9"/>
    <w:rsid w:val="005D08A2"/>
    <w:rsid w:val="005D14BB"/>
    <w:rsid w:val="005D2B89"/>
    <w:rsid w:val="005D37E0"/>
    <w:rsid w:val="005D526B"/>
    <w:rsid w:val="005D5545"/>
    <w:rsid w:val="005E0BA6"/>
    <w:rsid w:val="005E0F74"/>
    <w:rsid w:val="005E134D"/>
    <w:rsid w:val="005E2CA1"/>
    <w:rsid w:val="005E4098"/>
    <w:rsid w:val="005E52DA"/>
    <w:rsid w:val="005E56FA"/>
    <w:rsid w:val="005E6A27"/>
    <w:rsid w:val="005E7070"/>
    <w:rsid w:val="005E71CE"/>
    <w:rsid w:val="005F0EDC"/>
    <w:rsid w:val="005F1EA8"/>
    <w:rsid w:val="005F2F6E"/>
    <w:rsid w:val="005F5BB7"/>
    <w:rsid w:val="005F629A"/>
    <w:rsid w:val="005F6D82"/>
    <w:rsid w:val="005F7757"/>
    <w:rsid w:val="00601D24"/>
    <w:rsid w:val="006032EB"/>
    <w:rsid w:val="00603FA2"/>
    <w:rsid w:val="00605274"/>
    <w:rsid w:val="00610F79"/>
    <w:rsid w:val="00611BA0"/>
    <w:rsid w:val="006124D5"/>
    <w:rsid w:val="00612F2A"/>
    <w:rsid w:val="00613A0D"/>
    <w:rsid w:val="00614078"/>
    <w:rsid w:val="006143DF"/>
    <w:rsid w:val="00614D03"/>
    <w:rsid w:val="00614F5B"/>
    <w:rsid w:val="0061735A"/>
    <w:rsid w:val="00617F60"/>
    <w:rsid w:val="0062046E"/>
    <w:rsid w:val="0062074B"/>
    <w:rsid w:val="00621289"/>
    <w:rsid w:val="0062140F"/>
    <w:rsid w:val="0062155F"/>
    <w:rsid w:val="00622325"/>
    <w:rsid w:val="00623027"/>
    <w:rsid w:val="0062325B"/>
    <w:rsid w:val="00623D88"/>
    <w:rsid w:val="00624313"/>
    <w:rsid w:val="00624A33"/>
    <w:rsid w:val="00630886"/>
    <w:rsid w:val="00630F51"/>
    <w:rsid w:val="006319A2"/>
    <w:rsid w:val="00631F14"/>
    <w:rsid w:val="0063285A"/>
    <w:rsid w:val="006349F3"/>
    <w:rsid w:val="00634CC5"/>
    <w:rsid w:val="006357BA"/>
    <w:rsid w:val="006360AC"/>
    <w:rsid w:val="00637185"/>
    <w:rsid w:val="0063756A"/>
    <w:rsid w:val="00637E28"/>
    <w:rsid w:val="006413C6"/>
    <w:rsid w:val="00641525"/>
    <w:rsid w:val="00641E72"/>
    <w:rsid w:val="006420A6"/>
    <w:rsid w:val="00643C80"/>
    <w:rsid w:val="00644254"/>
    <w:rsid w:val="00644808"/>
    <w:rsid w:val="0064628C"/>
    <w:rsid w:val="006501A4"/>
    <w:rsid w:val="0065180C"/>
    <w:rsid w:val="00651C9B"/>
    <w:rsid w:val="006540F2"/>
    <w:rsid w:val="006541A9"/>
    <w:rsid w:val="0065464B"/>
    <w:rsid w:val="006558AC"/>
    <w:rsid w:val="00656B22"/>
    <w:rsid w:val="00656CCD"/>
    <w:rsid w:val="0065741C"/>
    <w:rsid w:val="00660655"/>
    <w:rsid w:val="00661FD7"/>
    <w:rsid w:val="006624C4"/>
    <w:rsid w:val="00663187"/>
    <w:rsid w:val="00663417"/>
    <w:rsid w:val="00665B25"/>
    <w:rsid w:val="00666FCB"/>
    <w:rsid w:val="0066703F"/>
    <w:rsid w:val="00667525"/>
    <w:rsid w:val="0067060F"/>
    <w:rsid w:val="00671A72"/>
    <w:rsid w:val="00673125"/>
    <w:rsid w:val="0067442C"/>
    <w:rsid w:val="006754A5"/>
    <w:rsid w:val="00675910"/>
    <w:rsid w:val="0067612F"/>
    <w:rsid w:val="00676AEB"/>
    <w:rsid w:val="00676CD6"/>
    <w:rsid w:val="00677102"/>
    <w:rsid w:val="006771CB"/>
    <w:rsid w:val="00677240"/>
    <w:rsid w:val="00680EA1"/>
    <w:rsid w:val="00680FD6"/>
    <w:rsid w:val="006817D8"/>
    <w:rsid w:val="00681886"/>
    <w:rsid w:val="006820B7"/>
    <w:rsid w:val="00682EB6"/>
    <w:rsid w:val="00683F1B"/>
    <w:rsid w:val="00684AC4"/>
    <w:rsid w:val="006861F8"/>
    <w:rsid w:val="0068666A"/>
    <w:rsid w:val="00687237"/>
    <w:rsid w:val="0069018F"/>
    <w:rsid w:val="006921FF"/>
    <w:rsid w:val="00693580"/>
    <w:rsid w:val="00693887"/>
    <w:rsid w:val="00693AE9"/>
    <w:rsid w:val="00693F70"/>
    <w:rsid w:val="0069482F"/>
    <w:rsid w:val="0069572B"/>
    <w:rsid w:val="00696261"/>
    <w:rsid w:val="00696E2E"/>
    <w:rsid w:val="00697144"/>
    <w:rsid w:val="00697424"/>
    <w:rsid w:val="006A03E6"/>
    <w:rsid w:val="006A1AB2"/>
    <w:rsid w:val="006A31C6"/>
    <w:rsid w:val="006A3B29"/>
    <w:rsid w:val="006A3FBF"/>
    <w:rsid w:val="006A5F1F"/>
    <w:rsid w:val="006A68E1"/>
    <w:rsid w:val="006A6A9E"/>
    <w:rsid w:val="006A7629"/>
    <w:rsid w:val="006A7805"/>
    <w:rsid w:val="006A7E91"/>
    <w:rsid w:val="006B1013"/>
    <w:rsid w:val="006B1555"/>
    <w:rsid w:val="006B3350"/>
    <w:rsid w:val="006B3C2D"/>
    <w:rsid w:val="006B4F78"/>
    <w:rsid w:val="006B6D48"/>
    <w:rsid w:val="006B7679"/>
    <w:rsid w:val="006B7951"/>
    <w:rsid w:val="006B7C6B"/>
    <w:rsid w:val="006C0F56"/>
    <w:rsid w:val="006C27B2"/>
    <w:rsid w:val="006C3006"/>
    <w:rsid w:val="006C3460"/>
    <w:rsid w:val="006C37CA"/>
    <w:rsid w:val="006C39A2"/>
    <w:rsid w:val="006C3A20"/>
    <w:rsid w:val="006C3D6C"/>
    <w:rsid w:val="006C3EAF"/>
    <w:rsid w:val="006C6132"/>
    <w:rsid w:val="006C6273"/>
    <w:rsid w:val="006C6B22"/>
    <w:rsid w:val="006C7223"/>
    <w:rsid w:val="006C74E0"/>
    <w:rsid w:val="006C796F"/>
    <w:rsid w:val="006D0996"/>
    <w:rsid w:val="006D14F5"/>
    <w:rsid w:val="006D2376"/>
    <w:rsid w:val="006D29C7"/>
    <w:rsid w:val="006D3194"/>
    <w:rsid w:val="006D3439"/>
    <w:rsid w:val="006D3E79"/>
    <w:rsid w:val="006D49EA"/>
    <w:rsid w:val="006D69ED"/>
    <w:rsid w:val="006D7CA6"/>
    <w:rsid w:val="006D7F56"/>
    <w:rsid w:val="006E1316"/>
    <w:rsid w:val="006E1A5B"/>
    <w:rsid w:val="006E2495"/>
    <w:rsid w:val="006E3B0A"/>
    <w:rsid w:val="006E4250"/>
    <w:rsid w:val="006E45A3"/>
    <w:rsid w:val="006E6A15"/>
    <w:rsid w:val="006E6F7E"/>
    <w:rsid w:val="006E7009"/>
    <w:rsid w:val="006E7311"/>
    <w:rsid w:val="006E77C9"/>
    <w:rsid w:val="006F06E0"/>
    <w:rsid w:val="006F20DA"/>
    <w:rsid w:val="006F2D89"/>
    <w:rsid w:val="006F3885"/>
    <w:rsid w:val="006F3EE9"/>
    <w:rsid w:val="006F4305"/>
    <w:rsid w:val="006F4679"/>
    <w:rsid w:val="006F495B"/>
    <w:rsid w:val="006F5FE3"/>
    <w:rsid w:val="006F69F3"/>
    <w:rsid w:val="006F7B0E"/>
    <w:rsid w:val="006F7C8B"/>
    <w:rsid w:val="00700839"/>
    <w:rsid w:val="00701012"/>
    <w:rsid w:val="00701426"/>
    <w:rsid w:val="00701ADF"/>
    <w:rsid w:val="0070233E"/>
    <w:rsid w:val="007027DF"/>
    <w:rsid w:val="007060BB"/>
    <w:rsid w:val="00707678"/>
    <w:rsid w:val="00707DA6"/>
    <w:rsid w:val="00713802"/>
    <w:rsid w:val="00713D59"/>
    <w:rsid w:val="00713EBC"/>
    <w:rsid w:val="00714EA2"/>
    <w:rsid w:val="007153C8"/>
    <w:rsid w:val="0071617D"/>
    <w:rsid w:val="007163DD"/>
    <w:rsid w:val="00716E8A"/>
    <w:rsid w:val="007176DB"/>
    <w:rsid w:val="007178DB"/>
    <w:rsid w:val="007179A7"/>
    <w:rsid w:val="00720839"/>
    <w:rsid w:val="00721CA3"/>
    <w:rsid w:val="00722642"/>
    <w:rsid w:val="00722B75"/>
    <w:rsid w:val="00724174"/>
    <w:rsid w:val="007247A9"/>
    <w:rsid w:val="00725680"/>
    <w:rsid w:val="007257CD"/>
    <w:rsid w:val="00725ECC"/>
    <w:rsid w:val="00726530"/>
    <w:rsid w:val="007272B1"/>
    <w:rsid w:val="00727DA9"/>
    <w:rsid w:val="00732779"/>
    <w:rsid w:val="00732B4E"/>
    <w:rsid w:val="00732D32"/>
    <w:rsid w:val="0073312D"/>
    <w:rsid w:val="00734EC8"/>
    <w:rsid w:val="0073505C"/>
    <w:rsid w:val="00737331"/>
    <w:rsid w:val="00737FC0"/>
    <w:rsid w:val="00740FEF"/>
    <w:rsid w:val="007414A2"/>
    <w:rsid w:val="00741BCF"/>
    <w:rsid w:val="00743043"/>
    <w:rsid w:val="0074343B"/>
    <w:rsid w:val="00744394"/>
    <w:rsid w:val="007453B7"/>
    <w:rsid w:val="007459E6"/>
    <w:rsid w:val="0074603F"/>
    <w:rsid w:val="00746A10"/>
    <w:rsid w:val="0074771E"/>
    <w:rsid w:val="00747B91"/>
    <w:rsid w:val="00747B9F"/>
    <w:rsid w:val="00747F93"/>
    <w:rsid w:val="00750E4B"/>
    <w:rsid w:val="00751425"/>
    <w:rsid w:val="007522BC"/>
    <w:rsid w:val="00752AE3"/>
    <w:rsid w:val="00753A1E"/>
    <w:rsid w:val="00755754"/>
    <w:rsid w:val="0075656D"/>
    <w:rsid w:val="00760C7F"/>
    <w:rsid w:val="00762AB8"/>
    <w:rsid w:val="00763735"/>
    <w:rsid w:val="007637E4"/>
    <w:rsid w:val="00763E7E"/>
    <w:rsid w:val="00765FD4"/>
    <w:rsid w:val="00766673"/>
    <w:rsid w:val="00767755"/>
    <w:rsid w:val="00767AD2"/>
    <w:rsid w:val="00767B2E"/>
    <w:rsid w:val="00770005"/>
    <w:rsid w:val="00771211"/>
    <w:rsid w:val="007718F1"/>
    <w:rsid w:val="00772CA6"/>
    <w:rsid w:val="00773F67"/>
    <w:rsid w:val="00774762"/>
    <w:rsid w:val="00774E1C"/>
    <w:rsid w:val="00775DC7"/>
    <w:rsid w:val="00775F67"/>
    <w:rsid w:val="00777640"/>
    <w:rsid w:val="007804BC"/>
    <w:rsid w:val="007804F2"/>
    <w:rsid w:val="0078320B"/>
    <w:rsid w:val="007838F1"/>
    <w:rsid w:val="0078428B"/>
    <w:rsid w:val="00784998"/>
    <w:rsid w:val="00784AA9"/>
    <w:rsid w:val="007853B1"/>
    <w:rsid w:val="007859CC"/>
    <w:rsid w:val="00786605"/>
    <w:rsid w:val="0078682C"/>
    <w:rsid w:val="0078728F"/>
    <w:rsid w:val="00790C76"/>
    <w:rsid w:val="0079142C"/>
    <w:rsid w:val="00792987"/>
    <w:rsid w:val="00793673"/>
    <w:rsid w:val="00793799"/>
    <w:rsid w:val="00793971"/>
    <w:rsid w:val="00794A44"/>
    <w:rsid w:val="0079718E"/>
    <w:rsid w:val="007975A5"/>
    <w:rsid w:val="00797744"/>
    <w:rsid w:val="007A05CF"/>
    <w:rsid w:val="007A072D"/>
    <w:rsid w:val="007A227B"/>
    <w:rsid w:val="007A3772"/>
    <w:rsid w:val="007A46D7"/>
    <w:rsid w:val="007A5864"/>
    <w:rsid w:val="007A5B26"/>
    <w:rsid w:val="007A6844"/>
    <w:rsid w:val="007B04A0"/>
    <w:rsid w:val="007B1517"/>
    <w:rsid w:val="007B3383"/>
    <w:rsid w:val="007B3409"/>
    <w:rsid w:val="007B421A"/>
    <w:rsid w:val="007B46BA"/>
    <w:rsid w:val="007B4F5E"/>
    <w:rsid w:val="007B5006"/>
    <w:rsid w:val="007B5C51"/>
    <w:rsid w:val="007B75F8"/>
    <w:rsid w:val="007C0BCD"/>
    <w:rsid w:val="007C1C0F"/>
    <w:rsid w:val="007C307D"/>
    <w:rsid w:val="007C575A"/>
    <w:rsid w:val="007C5D77"/>
    <w:rsid w:val="007C6AAC"/>
    <w:rsid w:val="007D0749"/>
    <w:rsid w:val="007D0A14"/>
    <w:rsid w:val="007D0E22"/>
    <w:rsid w:val="007D15BC"/>
    <w:rsid w:val="007D19B9"/>
    <w:rsid w:val="007D26A7"/>
    <w:rsid w:val="007D2FB4"/>
    <w:rsid w:val="007D3378"/>
    <w:rsid w:val="007D6296"/>
    <w:rsid w:val="007D6E12"/>
    <w:rsid w:val="007E225D"/>
    <w:rsid w:val="007E23B3"/>
    <w:rsid w:val="007E4351"/>
    <w:rsid w:val="007E4D97"/>
    <w:rsid w:val="007E4E6B"/>
    <w:rsid w:val="007E5199"/>
    <w:rsid w:val="007E6371"/>
    <w:rsid w:val="007E7DB4"/>
    <w:rsid w:val="007F06C7"/>
    <w:rsid w:val="007F1FF4"/>
    <w:rsid w:val="007F4AA0"/>
    <w:rsid w:val="007F4DCC"/>
    <w:rsid w:val="007F5BE3"/>
    <w:rsid w:val="007F6FB2"/>
    <w:rsid w:val="0080175A"/>
    <w:rsid w:val="00802B6B"/>
    <w:rsid w:val="00803FF4"/>
    <w:rsid w:val="008063BE"/>
    <w:rsid w:val="00807578"/>
    <w:rsid w:val="00810632"/>
    <w:rsid w:val="0081196A"/>
    <w:rsid w:val="00813650"/>
    <w:rsid w:val="00813D6F"/>
    <w:rsid w:val="00813F8E"/>
    <w:rsid w:val="0081564F"/>
    <w:rsid w:val="008158D4"/>
    <w:rsid w:val="00817B44"/>
    <w:rsid w:val="00820262"/>
    <w:rsid w:val="008210FD"/>
    <w:rsid w:val="00821A59"/>
    <w:rsid w:val="0082426C"/>
    <w:rsid w:val="00825B3B"/>
    <w:rsid w:val="00825B3E"/>
    <w:rsid w:val="00830A55"/>
    <w:rsid w:val="008318A5"/>
    <w:rsid w:val="00832184"/>
    <w:rsid w:val="0083329E"/>
    <w:rsid w:val="0083417A"/>
    <w:rsid w:val="0083729A"/>
    <w:rsid w:val="00837644"/>
    <w:rsid w:val="008406FD"/>
    <w:rsid w:val="00841321"/>
    <w:rsid w:val="00841565"/>
    <w:rsid w:val="0084244B"/>
    <w:rsid w:val="0084459F"/>
    <w:rsid w:val="00846948"/>
    <w:rsid w:val="00846E03"/>
    <w:rsid w:val="00850A2C"/>
    <w:rsid w:val="0085181B"/>
    <w:rsid w:val="00851F9D"/>
    <w:rsid w:val="008535A8"/>
    <w:rsid w:val="008537EA"/>
    <w:rsid w:val="00853AEC"/>
    <w:rsid w:val="00854DFF"/>
    <w:rsid w:val="00854FFC"/>
    <w:rsid w:val="00856D9D"/>
    <w:rsid w:val="00856E10"/>
    <w:rsid w:val="00857F69"/>
    <w:rsid w:val="00861F00"/>
    <w:rsid w:val="0086614D"/>
    <w:rsid w:val="008664E8"/>
    <w:rsid w:val="00866EEE"/>
    <w:rsid w:val="00867CFE"/>
    <w:rsid w:val="00872052"/>
    <w:rsid w:val="008720BC"/>
    <w:rsid w:val="00872126"/>
    <w:rsid w:val="00872D19"/>
    <w:rsid w:val="00875367"/>
    <w:rsid w:val="00875403"/>
    <w:rsid w:val="008755CC"/>
    <w:rsid w:val="00875932"/>
    <w:rsid w:val="008778D9"/>
    <w:rsid w:val="00883DAC"/>
    <w:rsid w:val="0088441B"/>
    <w:rsid w:val="00884D04"/>
    <w:rsid w:val="00885291"/>
    <w:rsid w:val="008865A6"/>
    <w:rsid w:val="00887375"/>
    <w:rsid w:val="0088770A"/>
    <w:rsid w:val="00887EE2"/>
    <w:rsid w:val="008900F8"/>
    <w:rsid w:val="00890429"/>
    <w:rsid w:val="00890B85"/>
    <w:rsid w:val="00891405"/>
    <w:rsid w:val="0089168E"/>
    <w:rsid w:val="008933AA"/>
    <w:rsid w:val="008933E6"/>
    <w:rsid w:val="00893521"/>
    <w:rsid w:val="00893931"/>
    <w:rsid w:val="00894050"/>
    <w:rsid w:val="00894BEB"/>
    <w:rsid w:val="00895A67"/>
    <w:rsid w:val="00896162"/>
    <w:rsid w:val="008963F5"/>
    <w:rsid w:val="008969DE"/>
    <w:rsid w:val="00896D20"/>
    <w:rsid w:val="00896DE0"/>
    <w:rsid w:val="00897777"/>
    <w:rsid w:val="00897A32"/>
    <w:rsid w:val="008A043F"/>
    <w:rsid w:val="008A0BF3"/>
    <w:rsid w:val="008A1437"/>
    <w:rsid w:val="008A1644"/>
    <w:rsid w:val="008A274D"/>
    <w:rsid w:val="008A27EE"/>
    <w:rsid w:val="008A3AD3"/>
    <w:rsid w:val="008A3C14"/>
    <w:rsid w:val="008A444E"/>
    <w:rsid w:val="008A44BB"/>
    <w:rsid w:val="008A4A04"/>
    <w:rsid w:val="008A7B36"/>
    <w:rsid w:val="008B003B"/>
    <w:rsid w:val="008B02E8"/>
    <w:rsid w:val="008B04B4"/>
    <w:rsid w:val="008B249B"/>
    <w:rsid w:val="008B2CF2"/>
    <w:rsid w:val="008B4A1F"/>
    <w:rsid w:val="008B663E"/>
    <w:rsid w:val="008B6C77"/>
    <w:rsid w:val="008B6C9A"/>
    <w:rsid w:val="008B7036"/>
    <w:rsid w:val="008B786E"/>
    <w:rsid w:val="008C0258"/>
    <w:rsid w:val="008C13BA"/>
    <w:rsid w:val="008C23E4"/>
    <w:rsid w:val="008C28C2"/>
    <w:rsid w:val="008C29F8"/>
    <w:rsid w:val="008C2FF5"/>
    <w:rsid w:val="008C3590"/>
    <w:rsid w:val="008C3ABD"/>
    <w:rsid w:val="008C5015"/>
    <w:rsid w:val="008C599E"/>
    <w:rsid w:val="008C5B01"/>
    <w:rsid w:val="008C674C"/>
    <w:rsid w:val="008D0402"/>
    <w:rsid w:val="008D36AF"/>
    <w:rsid w:val="008D4C08"/>
    <w:rsid w:val="008D699B"/>
    <w:rsid w:val="008D6A48"/>
    <w:rsid w:val="008D78BD"/>
    <w:rsid w:val="008E0007"/>
    <w:rsid w:val="008E052A"/>
    <w:rsid w:val="008E0C56"/>
    <w:rsid w:val="008E200E"/>
    <w:rsid w:val="008E2B8D"/>
    <w:rsid w:val="008E2CD6"/>
    <w:rsid w:val="008E3433"/>
    <w:rsid w:val="008E420E"/>
    <w:rsid w:val="008E4393"/>
    <w:rsid w:val="008E499F"/>
    <w:rsid w:val="008E5D87"/>
    <w:rsid w:val="008E60D0"/>
    <w:rsid w:val="008E6792"/>
    <w:rsid w:val="008F0C77"/>
    <w:rsid w:val="008F254C"/>
    <w:rsid w:val="008F42FC"/>
    <w:rsid w:val="008F50AA"/>
    <w:rsid w:val="008F6426"/>
    <w:rsid w:val="008F6F09"/>
    <w:rsid w:val="008F707D"/>
    <w:rsid w:val="009000BD"/>
    <w:rsid w:val="00900F49"/>
    <w:rsid w:val="00901A79"/>
    <w:rsid w:val="009027B2"/>
    <w:rsid w:val="009036DC"/>
    <w:rsid w:val="00904F80"/>
    <w:rsid w:val="00905088"/>
    <w:rsid w:val="00906D5E"/>
    <w:rsid w:val="009107A2"/>
    <w:rsid w:val="00910A75"/>
    <w:rsid w:val="00911F38"/>
    <w:rsid w:val="00912439"/>
    <w:rsid w:val="00912C0E"/>
    <w:rsid w:val="009131B8"/>
    <w:rsid w:val="009136FB"/>
    <w:rsid w:val="0091406A"/>
    <w:rsid w:val="00914420"/>
    <w:rsid w:val="0091536E"/>
    <w:rsid w:val="00915D5E"/>
    <w:rsid w:val="009173AC"/>
    <w:rsid w:val="009174E4"/>
    <w:rsid w:val="009178B8"/>
    <w:rsid w:val="00917C23"/>
    <w:rsid w:val="0092104B"/>
    <w:rsid w:val="00923654"/>
    <w:rsid w:val="009239B0"/>
    <w:rsid w:val="00926902"/>
    <w:rsid w:val="00930618"/>
    <w:rsid w:val="0093067F"/>
    <w:rsid w:val="0093083D"/>
    <w:rsid w:val="00932266"/>
    <w:rsid w:val="00932A34"/>
    <w:rsid w:val="00933B8E"/>
    <w:rsid w:val="00935293"/>
    <w:rsid w:val="00935813"/>
    <w:rsid w:val="00935C5C"/>
    <w:rsid w:val="009375DC"/>
    <w:rsid w:val="00937A82"/>
    <w:rsid w:val="009406BC"/>
    <w:rsid w:val="00942BCB"/>
    <w:rsid w:val="00944E2B"/>
    <w:rsid w:val="009451A9"/>
    <w:rsid w:val="009454A0"/>
    <w:rsid w:val="00945C7E"/>
    <w:rsid w:val="0094720B"/>
    <w:rsid w:val="009478DC"/>
    <w:rsid w:val="009503F4"/>
    <w:rsid w:val="0095253A"/>
    <w:rsid w:val="00952A62"/>
    <w:rsid w:val="00952B92"/>
    <w:rsid w:val="009533FA"/>
    <w:rsid w:val="00953B02"/>
    <w:rsid w:val="009542C7"/>
    <w:rsid w:val="0095551B"/>
    <w:rsid w:val="00956CB3"/>
    <w:rsid w:val="00956ECC"/>
    <w:rsid w:val="00960BE4"/>
    <w:rsid w:val="0096106D"/>
    <w:rsid w:val="00961978"/>
    <w:rsid w:val="0096198C"/>
    <w:rsid w:val="00961A13"/>
    <w:rsid w:val="00961F9E"/>
    <w:rsid w:val="009629AD"/>
    <w:rsid w:val="00963A3C"/>
    <w:rsid w:val="009650E2"/>
    <w:rsid w:val="00970BFE"/>
    <w:rsid w:val="00970D15"/>
    <w:rsid w:val="009711C9"/>
    <w:rsid w:val="00971DB1"/>
    <w:rsid w:val="009749EE"/>
    <w:rsid w:val="009755A0"/>
    <w:rsid w:val="00976B68"/>
    <w:rsid w:val="00976CA3"/>
    <w:rsid w:val="009777F8"/>
    <w:rsid w:val="009808DE"/>
    <w:rsid w:val="00981224"/>
    <w:rsid w:val="00981DA1"/>
    <w:rsid w:val="00981E35"/>
    <w:rsid w:val="009825B1"/>
    <w:rsid w:val="00982D57"/>
    <w:rsid w:val="00984BB8"/>
    <w:rsid w:val="0098524E"/>
    <w:rsid w:val="00986117"/>
    <w:rsid w:val="00986A11"/>
    <w:rsid w:val="00990110"/>
    <w:rsid w:val="009903F4"/>
    <w:rsid w:val="00991160"/>
    <w:rsid w:val="009915B4"/>
    <w:rsid w:val="00991848"/>
    <w:rsid w:val="00991AA7"/>
    <w:rsid w:val="0099365E"/>
    <w:rsid w:val="0099392D"/>
    <w:rsid w:val="00993BD4"/>
    <w:rsid w:val="00994853"/>
    <w:rsid w:val="0099592C"/>
    <w:rsid w:val="00995C6C"/>
    <w:rsid w:val="009A12CB"/>
    <w:rsid w:val="009A30A5"/>
    <w:rsid w:val="009A30BE"/>
    <w:rsid w:val="009A3854"/>
    <w:rsid w:val="009A4CA2"/>
    <w:rsid w:val="009A616A"/>
    <w:rsid w:val="009A7543"/>
    <w:rsid w:val="009B056F"/>
    <w:rsid w:val="009B0833"/>
    <w:rsid w:val="009B159B"/>
    <w:rsid w:val="009B45CF"/>
    <w:rsid w:val="009B4975"/>
    <w:rsid w:val="009B4987"/>
    <w:rsid w:val="009B6A95"/>
    <w:rsid w:val="009B6B12"/>
    <w:rsid w:val="009B70A2"/>
    <w:rsid w:val="009B7521"/>
    <w:rsid w:val="009B7990"/>
    <w:rsid w:val="009C0228"/>
    <w:rsid w:val="009C028B"/>
    <w:rsid w:val="009C06C6"/>
    <w:rsid w:val="009C0ABF"/>
    <w:rsid w:val="009C1A1B"/>
    <w:rsid w:val="009C25D8"/>
    <w:rsid w:val="009C2909"/>
    <w:rsid w:val="009C3B75"/>
    <w:rsid w:val="009C5594"/>
    <w:rsid w:val="009C573E"/>
    <w:rsid w:val="009C5CF4"/>
    <w:rsid w:val="009C632A"/>
    <w:rsid w:val="009C63D6"/>
    <w:rsid w:val="009D082E"/>
    <w:rsid w:val="009D1253"/>
    <w:rsid w:val="009D12BF"/>
    <w:rsid w:val="009D2A58"/>
    <w:rsid w:val="009D2DBF"/>
    <w:rsid w:val="009D585E"/>
    <w:rsid w:val="009D6B53"/>
    <w:rsid w:val="009D7E6A"/>
    <w:rsid w:val="009E01E7"/>
    <w:rsid w:val="009E0F71"/>
    <w:rsid w:val="009E1659"/>
    <w:rsid w:val="009E1766"/>
    <w:rsid w:val="009E1A99"/>
    <w:rsid w:val="009E4497"/>
    <w:rsid w:val="009E5670"/>
    <w:rsid w:val="009E57F2"/>
    <w:rsid w:val="009E61C1"/>
    <w:rsid w:val="009F00A1"/>
    <w:rsid w:val="009F1767"/>
    <w:rsid w:val="009F3154"/>
    <w:rsid w:val="009F36EA"/>
    <w:rsid w:val="009F3963"/>
    <w:rsid w:val="009F3C95"/>
    <w:rsid w:val="009F3CEF"/>
    <w:rsid w:val="009F5817"/>
    <w:rsid w:val="009F5AFF"/>
    <w:rsid w:val="00A014EC"/>
    <w:rsid w:val="00A01685"/>
    <w:rsid w:val="00A01BD3"/>
    <w:rsid w:val="00A03183"/>
    <w:rsid w:val="00A04AD9"/>
    <w:rsid w:val="00A05511"/>
    <w:rsid w:val="00A078B7"/>
    <w:rsid w:val="00A10AF4"/>
    <w:rsid w:val="00A11503"/>
    <w:rsid w:val="00A1338A"/>
    <w:rsid w:val="00A13B1C"/>
    <w:rsid w:val="00A14090"/>
    <w:rsid w:val="00A140A7"/>
    <w:rsid w:val="00A15F69"/>
    <w:rsid w:val="00A1652B"/>
    <w:rsid w:val="00A202CC"/>
    <w:rsid w:val="00A2218B"/>
    <w:rsid w:val="00A224C2"/>
    <w:rsid w:val="00A22B3A"/>
    <w:rsid w:val="00A23343"/>
    <w:rsid w:val="00A23434"/>
    <w:rsid w:val="00A236A9"/>
    <w:rsid w:val="00A240A1"/>
    <w:rsid w:val="00A24BE2"/>
    <w:rsid w:val="00A25546"/>
    <w:rsid w:val="00A269F9"/>
    <w:rsid w:val="00A26D80"/>
    <w:rsid w:val="00A26E39"/>
    <w:rsid w:val="00A26ECB"/>
    <w:rsid w:val="00A26F34"/>
    <w:rsid w:val="00A27111"/>
    <w:rsid w:val="00A31A39"/>
    <w:rsid w:val="00A3290B"/>
    <w:rsid w:val="00A330EB"/>
    <w:rsid w:val="00A33D5E"/>
    <w:rsid w:val="00A33E24"/>
    <w:rsid w:val="00A34662"/>
    <w:rsid w:val="00A347F0"/>
    <w:rsid w:val="00A34C9D"/>
    <w:rsid w:val="00A34E22"/>
    <w:rsid w:val="00A35ABC"/>
    <w:rsid w:val="00A374A9"/>
    <w:rsid w:val="00A37EF6"/>
    <w:rsid w:val="00A40449"/>
    <w:rsid w:val="00A4152D"/>
    <w:rsid w:val="00A42431"/>
    <w:rsid w:val="00A43572"/>
    <w:rsid w:val="00A436A2"/>
    <w:rsid w:val="00A436C6"/>
    <w:rsid w:val="00A4450E"/>
    <w:rsid w:val="00A44854"/>
    <w:rsid w:val="00A44F41"/>
    <w:rsid w:val="00A4526B"/>
    <w:rsid w:val="00A45FF3"/>
    <w:rsid w:val="00A46493"/>
    <w:rsid w:val="00A5098A"/>
    <w:rsid w:val="00A50E51"/>
    <w:rsid w:val="00A52093"/>
    <w:rsid w:val="00A53018"/>
    <w:rsid w:val="00A5387F"/>
    <w:rsid w:val="00A550F5"/>
    <w:rsid w:val="00A5570A"/>
    <w:rsid w:val="00A57BD6"/>
    <w:rsid w:val="00A600AE"/>
    <w:rsid w:val="00A62B23"/>
    <w:rsid w:val="00A62EB6"/>
    <w:rsid w:val="00A635B6"/>
    <w:rsid w:val="00A64D6D"/>
    <w:rsid w:val="00A65505"/>
    <w:rsid w:val="00A6595F"/>
    <w:rsid w:val="00A66030"/>
    <w:rsid w:val="00A66A23"/>
    <w:rsid w:val="00A66B08"/>
    <w:rsid w:val="00A679C8"/>
    <w:rsid w:val="00A73276"/>
    <w:rsid w:val="00A74E73"/>
    <w:rsid w:val="00A752C5"/>
    <w:rsid w:val="00A75751"/>
    <w:rsid w:val="00A77302"/>
    <w:rsid w:val="00A774A1"/>
    <w:rsid w:val="00A776E3"/>
    <w:rsid w:val="00A806A6"/>
    <w:rsid w:val="00A80F57"/>
    <w:rsid w:val="00A81016"/>
    <w:rsid w:val="00A813C2"/>
    <w:rsid w:val="00A81840"/>
    <w:rsid w:val="00A82FEF"/>
    <w:rsid w:val="00A835B5"/>
    <w:rsid w:val="00A8465E"/>
    <w:rsid w:val="00A87136"/>
    <w:rsid w:val="00A9019C"/>
    <w:rsid w:val="00A91E20"/>
    <w:rsid w:val="00A9244B"/>
    <w:rsid w:val="00A948CC"/>
    <w:rsid w:val="00A94CB1"/>
    <w:rsid w:val="00A95969"/>
    <w:rsid w:val="00A96275"/>
    <w:rsid w:val="00AA1232"/>
    <w:rsid w:val="00AA289F"/>
    <w:rsid w:val="00AA342F"/>
    <w:rsid w:val="00AA34D6"/>
    <w:rsid w:val="00AA3DD9"/>
    <w:rsid w:val="00AA5557"/>
    <w:rsid w:val="00AA5A31"/>
    <w:rsid w:val="00AA673A"/>
    <w:rsid w:val="00AB1B19"/>
    <w:rsid w:val="00AB2730"/>
    <w:rsid w:val="00AB3DF9"/>
    <w:rsid w:val="00AB46E9"/>
    <w:rsid w:val="00AB4D71"/>
    <w:rsid w:val="00AB4D99"/>
    <w:rsid w:val="00AB4E7B"/>
    <w:rsid w:val="00AB4F55"/>
    <w:rsid w:val="00AB5354"/>
    <w:rsid w:val="00AB55F1"/>
    <w:rsid w:val="00AB6A39"/>
    <w:rsid w:val="00AB7135"/>
    <w:rsid w:val="00AB7138"/>
    <w:rsid w:val="00AB726C"/>
    <w:rsid w:val="00AC0EBA"/>
    <w:rsid w:val="00AC1260"/>
    <w:rsid w:val="00AC1C39"/>
    <w:rsid w:val="00AC2FC4"/>
    <w:rsid w:val="00AC361A"/>
    <w:rsid w:val="00AC3C5E"/>
    <w:rsid w:val="00AC4381"/>
    <w:rsid w:val="00AC466A"/>
    <w:rsid w:val="00AC4C26"/>
    <w:rsid w:val="00AC636F"/>
    <w:rsid w:val="00AC71CC"/>
    <w:rsid w:val="00AC78D8"/>
    <w:rsid w:val="00AC7AC0"/>
    <w:rsid w:val="00AD0047"/>
    <w:rsid w:val="00AD03B6"/>
    <w:rsid w:val="00AD0FCB"/>
    <w:rsid w:val="00AD22EB"/>
    <w:rsid w:val="00AD3890"/>
    <w:rsid w:val="00AD50B5"/>
    <w:rsid w:val="00AD74A7"/>
    <w:rsid w:val="00AD7BF2"/>
    <w:rsid w:val="00AE07B8"/>
    <w:rsid w:val="00AE1453"/>
    <w:rsid w:val="00AE15AD"/>
    <w:rsid w:val="00AE2148"/>
    <w:rsid w:val="00AE2E08"/>
    <w:rsid w:val="00AE3728"/>
    <w:rsid w:val="00AE4E56"/>
    <w:rsid w:val="00AE5313"/>
    <w:rsid w:val="00AE635D"/>
    <w:rsid w:val="00AE69A0"/>
    <w:rsid w:val="00AE6C4C"/>
    <w:rsid w:val="00AF119F"/>
    <w:rsid w:val="00AF148B"/>
    <w:rsid w:val="00AF2EAB"/>
    <w:rsid w:val="00AF3AD1"/>
    <w:rsid w:val="00AF54E8"/>
    <w:rsid w:val="00AF5676"/>
    <w:rsid w:val="00AF629D"/>
    <w:rsid w:val="00AF6757"/>
    <w:rsid w:val="00AF7AA0"/>
    <w:rsid w:val="00AF7C69"/>
    <w:rsid w:val="00B00E5A"/>
    <w:rsid w:val="00B01904"/>
    <w:rsid w:val="00B01E26"/>
    <w:rsid w:val="00B01EE1"/>
    <w:rsid w:val="00B02E1A"/>
    <w:rsid w:val="00B04CF3"/>
    <w:rsid w:val="00B05568"/>
    <w:rsid w:val="00B06FDC"/>
    <w:rsid w:val="00B1084C"/>
    <w:rsid w:val="00B10C0A"/>
    <w:rsid w:val="00B113DF"/>
    <w:rsid w:val="00B11743"/>
    <w:rsid w:val="00B11817"/>
    <w:rsid w:val="00B11D9F"/>
    <w:rsid w:val="00B12E73"/>
    <w:rsid w:val="00B15D3B"/>
    <w:rsid w:val="00B1639E"/>
    <w:rsid w:val="00B1681A"/>
    <w:rsid w:val="00B2036E"/>
    <w:rsid w:val="00B2065F"/>
    <w:rsid w:val="00B215FF"/>
    <w:rsid w:val="00B2165C"/>
    <w:rsid w:val="00B21F5B"/>
    <w:rsid w:val="00B22746"/>
    <w:rsid w:val="00B22871"/>
    <w:rsid w:val="00B22A07"/>
    <w:rsid w:val="00B22B34"/>
    <w:rsid w:val="00B2438E"/>
    <w:rsid w:val="00B243AB"/>
    <w:rsid w:val="00B2529B"/>
    <w:rsid w:val="00B2736E"/>
    <w:rsid w:val="00B27465"/>
    <w:rsid w:val="00B27DDC"/>
    <w:rsid w:val="00B27E2B"/>
    <w:rsid w:val="00B3052D"/>
    <w:rsid w:val="00B3147A"/>
    <w:rsid w:val="00B317FA"/>
    <w:rsid w:val="00B328EB"/>
    <w:rsid w:val="00B34ABA"/>
    <w:rsid w:val="00B35B61"/>
    <w:rsid w:val="00B35C74"/>
    <w:rsid w:val="00B360BC"/>
    <w:rsid w:val="00B360CC"/>
    <w:rsid w:val="00B36DD9"/>
    <w:rsid w:val="00B36E10"/>
    <w:rsid w:val="00B409BF"/>
    <w:rsid w:val="00B411B6"/>
    <w:rsid w:val="00B414BD"/>
    <w:rsid w:val="00B43094"/>
    <w:rsid w:val="00B439F3"/>
    <w:rsid w:val="00B44824"/>
    <w:rsid w:val="00B458C3"/>
    <w:rsid w:val="00B45DE2"/>
    <w:rsid w:val="00B465BD"/>
    <w:rsid w:val="00B471D2"/>
    <w:rsid w:val="00B47946"/>
    <w:rsid w:val="00B47967"/>
    <w:rsid w:val="00B509B0"/>
    <w:rsid w:val="00B50D02"/>
    <w:rsid w:val="00B50F00"/>
    <w:rsid w:val="00B51121"/>
    <w:rsid w:val="00B5148F"/>
    <w:rsid w:val="00B533F3"/>
    <w:rsid w:val="00B53536"/>
    <w:rsid w:val="00B53F7F"/>
    <w:rsid w:val="00B554D1"/>
    <w:rsid w:val="00B564D4"/>
    <w:rsid w:val="00B57685"/>
    <w:rsid w:val="00B62081"/>
    <w:rsid w:val="00B63186"/>
    <w:rsid w:val="00B63AF2"/>
    <w:rsid w:val="00B63B4E"/>
    <w:rsid w:val="00B6410D"/>
    <w:rsid w:val="00B651E9"/>
    <w:rsid w:val="00B65E4A"/>
    <w:rsid w:val="00B66138"/>
    <w:rsid w:val="00B66835"/>
    <w:rsid w:val="00B67018"/>
    <w:rsid w:val="00B67451"/>
    <w:rsid w:val="00B67D57"/>
    <w:rsid w:val="00B7030D"/>
    <w:rsid w:val="00B706A0"/>
    <w:rsid w:val="00B763B0"/>
    <w:rsid w:val="00B80397"/>
    <w:rsid w:val="00B80EC4"/>
    <w:rsid w:val="00B8220D"/>
    <w:rsid w:val="00B83303"/>
    <w:rsid w:val="00B83352"/>
    <w:rsid w:val="00B85300"/>
    <w:rsid w:val="00B85A25"/>
    <w:rsid w:val="00B87D75"/>
    <w:rsid w:val="00B90EB1"/>
    <w:rsid w:val="00B90F0F"/>
    <w:rsid w:val="00B91144"/>
    <w:rsid w:val="00B914E4"/>
    <w:rsid w:val="00B9166B"/>
    <w:rsid w:val="00B9182C"/>
    <w:rsid w:val="00B91A2D"/>
    <w:rsid w:val="00B921FF"/>
    <w:rsid w:val="00B929A7"/>
    <w:rsid w:val="00B92FAD"/>
    <w:rsid w:val="00B935D9"/>
    <w:rsid w:val="00B949BA"/>
    <w:rsid w:val="00B9665B"/>
    <w:rsid w:val="00B967D4"/>
    <w:rsid w:val="00BA1ABE"/>
    <w:rsid w:val="00BA3A76"/>
    <w:rsid w:val="00BB3679"/>
    <w:rsid w:val="00BB4353"/>
    <w:rsid w:val="00BB4C9C"/>
    <w:rsid w:val="00BB6113"/>
    <w:rsid w:val="00BC0096"/>
    <w:rsid w:val="00BC146B"/>
    <w:rsid w:val="00BC2022"/>
    <w:rsid w:val="00BC2494"/>
    <w:rsid w:val="00BC3067"/>
    <w:rsid w:val="00BC4DC9"/>
    <w:rsid w:val="00BC74BB"/>
    <w:rsid w:val="00BC7E03"/>
    <w:rsid w:val="00BD0362"/>
    <w:rsid w:val="00BD12A3"/>
    <w:rsid w:val="00BD16E7"/>
    <w:rsid w:val="00BD2FCC"/>
    <w:rsid w:val="00BD537D"/>
    <w:rsid w:val="00BD7C5D"/>
    <w:rsid w:val="00BE1440"/>
    <w:rsid w:val="00BE1FBD"/>
    <w:rsid w:val="00BE25F3"/>
    <w:rsid w:val="00BE2701"/>
    <w:rsid w:val="00BE3A2C"/>
    <w:rsid w:val="00BE3A79"/>
    <w:rsid w:val="00BE3CC8"/>
    <w:rsid w:val="00BE4949"/>
    <w:rsid w:val="00BE533D"/>
    <w:rsid w:val="00BE63E3"/>
    <w:rsid w:val="00BE6462"/>
    <w:rsid w:val="00BE6466"/>
    <w:rsid w:val="00BE7585"/>
    <w:rsid w:val="00BF242F"/>
    <w:rsid w:val="00BF311C"/>
    <w:rsid w:val="00BF473B"/>
    <w:rsid w:val="00BF5111"/>
    <w:rsid w:val="00BF5541"/>
    <w:rsid w:val="00BF5679"/>
    <w:rsid w:val="00BF6F7C"/>
    <w:rsid w:val="00BF7F13"/>
    <w:rsid w:val="00C03D71"/>
    <w:rsid w:val="00C047CE"/>
    <w:rsid w:val="00C05732"/>
    <w:rsid w:val="00C0601C"/>
    <w:rsid w:val="00C06104"/>
    <w:rsid w:val="00C1094A"/>
    <w:rsid w:val="00C12294"/>
    <w:rsid w:val="00C1352A"/>
    <w:rsid w:val="00C135B7"/>
    <w:rsid w:val="00C14DEF"/>
    <w:rsid w:val="00C15BE4"/>
    <w:rsid w:val="00C160B8"/>
    <w:rsid w:val="00C173E6"/>
    <w:rsid w:val="00C203F6"/>
    <w:rsid w:val="00C210E6"/>
    <w:rsid w:val="00C2131E"/>
    <w:rsid w:val="00C21B35"/>
    <w:rsid w:val="00C233EF"/>
    <w:rsid w:val="00C23C0E"/>
    <w:rsid w:val="00C240EB"/>
    <w:rsid w:val="00C262F0"/>
    <w:rsid w:val="00C263EF"/>
    <w:rsid w:val="00C26873"/>
    <w:rsid w:val="00C27AFE"/>
    <w:rsid w:val="00C31F35"/>
    <w:rsid w:val="00C3229C"/>
    <w:rsid w:val="00C32C12"/>
    <w:rsid w:val="00C3447A"/>
    <w:rsid w:val="00C3522F"/>
    <w:rsid w:val="00C352C7"/>
    <w:rsid w:val="00C359AC"/>
    <w:rsid w:val="00C35A29"/>
    <w:rsid w:val="00C3608E"/>
    <w:rsid w:val="00C37DC1"/>
    <w:rsid w:val="00C40A53"/>
    <w:rsid w:val="00C40EC0"/>
    <w:rsid w:val="00C41D40"/>
    <w:rsid w:val="00C422C6"/>
    <w:rsid w:val="00C445D6"/>
    <w:rsid w:val="00C449BD"/>
    <w:rsid w:val="00C45D1B"/>
    <w:rsid w:val="00C46CB8"/>
    <w:rsid w:val="00C47ED7"/>
    <w:rsid w:val="00C500CC"/>
    <w:rsid w:val="00C51FB4"/>
    <w:rsid w:val="00C52BE3"/>
    <w:rsid w:val="00C53BB4"/>
    <w:rsid w:val="00C53D5E"/>
    <w:rsid w:val="00C54581"/>
    <w:rsid w:val="00C54A5E"/>
    <w:rsid w:val="00C55460"/>
    <w:rsid w:val="00C55AAF"/>
    <w:rsid w:val="00C566D5"/>
    <w:rsid w:val="00C57DFF"/>
    <w:rsid w:val="00C632F5"/>
    <w:rsid w:val="00C63CCA"/>
    <w:rsid w:val="00C64009"/>
    <w:rsid w:val="00C665E9"/>
    <w:rsid w:val="00C66AE5"/>
    <w:rsid w:val="00C67C4D"/>
    <w:rsid w:val="00C718A2"/>
    <w:rsid w:val="00C729F7"/>
    <w:rsid w:val="00C73E49"/>
    <w:rsid w:val="00C7707B"/>
    <w:rsid w:val="00C80575"/>
    <w:rsid w:val="00C80BFE"/>
    <w:rsid w:val="00C81EC8"/>
    <w:rsid w:val="00C83A56"/>
    <w:rsid w:val="00C8485E"/>
    <w:rsid w:val="00C91066"/>
    <w:rsid w:val="00C91954"/>
    <w:rsid w:val="00C92B69"/>
    <w:rsid w:val="00C92CAA"/>
    <w:rsid w:val="00C94BD6"/>
    <w:rsid w:val="00C94E3C"/>
    <w:rsid w:val="00C95198"/>
    <w:rsid w:val="00C9537A"/>
    <w:rsid w:val="00C95961"/>
    <w:rsid w:val="00C95FCA"/>
    <w:rsid w:val="00C960B6"/>
    <w:rsid w:val="00C96820"/>
    <w:rsid w:val="00C97193"/>
    <w:rsid w:val="00C974CB"/>
    <w:rsid w:val="00C9773B"/>
    <w:rsid w:val="00CA1A26"/>
    <w:rsid w:val="00CA29CC"/>
    <w:rsid w:val="00CA2AC5"/>
    <w:rsid w:val="00CA2B49"/>
    <w:rsid w:val="00CA2D55"/>
    <w:rsid w:val="00CA317B"/>
    <w:rsid w:val="00CA318C"/>
    <w:rsid w:val="00CA3A54"/>
    <w:rsid w:val="00CA3AD1"/>
    <w:rsid w:val="00CA4D43"/>
    <w:rsid w:val="00CA549A"/>
    <w:rsid w:val="00CA5B80"/>
    <w:rsid w:val="00CA5DF9"/>
    <w:rsid w:val="00CA69A7"/>
    <w:rsid w:val="00CA7922"/>
    <w:rsid w:val="00CB0873"/>
    <w:rsid w:val="00CB1A70"/>
    <w:rsid w:val="00CB212A"/>
    <w:rsid w:val="00CB2FBE"/>
    <w:rsid w:val="00CB3340"/>
    <w:rsid w:val="00CB345A"/>
    <w:rsid w:val="00CB40E8"/>
    <w:rsid w:val="00CB61CB"/>
    <w:rsid w:val="00CB6682"/>
    <w:rsid w:val="00CC0010"/>
    <w:rsid w:val="00CC00BE"/>
    <w:rsid w:val="00CC25BE"/>
    <w:rsid w:val="00CC2637"/>
    <w:rsid w:val="00CC2A4B"/>
    <w:rsid w:val="00CC2C0E"/>
    <w:rsid w:val="00CC2F0C"/>
    <w:rsid w:val="00CC68F6"/>
    <w:rsid w:val="00CD0C09"/>
    <w:rsid w:val="00CD0F5B"/>
    <w:rsid w:val="00CD125A"/>
    <w:rsid w:val="00CD134A"/>
    <w:rsid w:val="00CD2015"/>
    <w:rsid w:val="00CD3229"/>
    <w:rsid w:val="00CD3ADE"/>
    <w:rsid w:val="00CD44C6"/>
    <w:rsid w:val="00CD4672"/>
    <w:rsid w:val="00CD6234"/>
    <w:rsid w:val="00CD66CC"/>
    <w:rsid w:val="00CE0EA8"/>
    <w:rsid w:val="00CE214E"/>
    <w:rsid w:val="00CE35D6"/>
    <w:rsid w:val="00CE3EDA"/>
    <w:rsid w:val="00CE3F43"/>
    <w:rsid w:val="00CE5413"/>
    <w:rsid w:val="00CE58F9"/>
    <w:rsid w:val="00CE61D3"/>
    <w:rsid w:val="00CE6D9D"/>
    <w:rsid w:val="00CE72B9"/>
    <w:rsid w:val="00CE7916"/>
    <w:rsid w:val="00CE7DFB"/>
    <w:rsid w:val="00CF0146"/>
    <w:rsid w:val="00CF02E0"/>
    <w:rsid w:val="00CF29C8"/>
    <w:rsid w:val="00CF596B"/>
    <w:rsid w:val="00CF618A"/>
    <w:rsid w:val="00CF6372"/>
    <w:rsid w:val="00CF6E31"/>
    <w:rsid w:val="00CF7228"/>
    <w:rsid w:val="00D004D3"/>
    <w:rsid w:val="00D00D6D"/>
    <w:rsid w:val="00D0103C"/>
    <w:rsid w:val="00D015B3"/>
    <w:rsid w:val="00D023EE"/>
    <w:rsid w:val="00D0241D"/>
    <w:rsid w:val="00D03679"/>
    <w:rsid w:val="00D046BB"/>
    <w:rsid w:val="00D055FC"/>
    <w:rsid w:val="00D07580"/>
    <w:rsid w:val="00D10773"/>
    <w:rsid w:val="00D11DEE"/>
    <w:rsid w:val="00D13933"/>
    <w:rsid w:val="00D14972"/>
    <w:rsid w:val="00D15579"/>
    <w:rsid w:val="00D158EA"/>
    <w:rsid w:val="00D17AB3"/>
    <w:rsid w:val="00D17F0A"/>
    <w:rsid w:val="00D2184F"/>
    <w:rsid w:val="00D2221E"/>
    <w:rsid w:val="00D2228D"/>
    <w:rsid w:val="00D26D44"/>
    <w:rsid w:val="00D30A5B"/>
    <w:rsid w:val="00D31393"/>
    <w:rsid w:val="00D323A9"/>
    <w:rsid w:val="00D3308C"/>
    <w:rsid w:val="00D332A7"/>
    <w:rsid w:val="00D347E7"/>
    <w:rsid w:val="00D35404"/>
    <w:rsid w:val="00D35724"/>
    <w:rsid w:val="00D37FEE"/>
    <w:rsid w:val="00D4162F"/>
    <w:rsid w:val="00D4164E"/>
    <w:rsid w:val="00D4175C"/>
    <w:rsid w:val="00D41B1D"/>
    <w:rsid w:val="00D42862"/>
    <w:rsid w:val="00D45597"/>
    <w:rsid w:val="00D45616"/>
    <w:rsid w:val="00D4568D"/>
    <w:rsid w:val="00D46572"/>
    <w:rsid w:val="00D47031"/>
    <w:rsid w:val="00D501A9"/>
    <w:rsid w:val="00D51EA4"/>
    <w:rsid w:val="00D52E38"/>
    <w:rsid w:val="00D52E84"/>
    <w:rsid w:val="00D547DD"/>
    <w:rsid w:val="00D55829"/>
    <w:rsid w:val="00D561E2"/>
    <w:rsid w:val="00D61256"/>
    <w:rsid w:val="00D62214"/>
    <w:rsid w:val="00D6279A"/>
    <w:rsid w:val="00D62987"/>
    <w:rsid w:val="00D62D22"/>
    <w:rsid w:val="00D62D7A"/>
    <w:rsid w:val="00D633C6"/>
    <w:rsid w:val="00D638F7"/>
    <w:rsid w:val="00D64881"/>
    <w:rsid w:val="00D65193"/>
    <w:rsid w:val="00D6529E"/>
    <w:rsid w:val="00D65710"/>
    <w:rsid w:val="00D65CA8"/>
    <w:rsid w:val="00D6679D"/>
    <w:rsid w:val="00D67807"/>
    <w:rsid w:val="00D67A7D"/>
    <w:rsid w:val="00D70CBF"/>
    <w:rsid w:val="00D71E18"/>
    <w:rsid w:val="00D721E7"/>
    <w:rsid w:val="00D73421"/>
    <w:rsid w:val="00D76341"/>
    <w:rsid w:val="00D80623"/>
    <w:rsid w:val="00D82668"/>
    <w:rsid w:val="00D83385"/>
    <w:rsid w:val="00D843A3"/>
    <w:rsid w:val="00D847A2"/>
    <w:rsid w:val="00D86546"/>
    <w:rsid w:val="00D866D3"/>
    <w:rsid w:val="00D868CC"/>
    <w:rsid w:val="00D875B9"/>
    <w:rsid w:val="00D876C1"/>
    <w:rsid w:val="00D87780"/>
    <w:rsid w:val="00D877B0"/>
    <w:rsid w:val="00D90803"/>
    <w:rsid w:val="00D919DF"/>
    <w:rsid w:val="00D91C2C"/>
    <w:rsid w:val="00D92585"/>
    <w:rsid w:val="00D92AB3"/>
    <w:rsid w:val="00D92FA5"/>
    <w:rsid w:val="00D935F0"/>
    <w:rsid w:val="00D93B2E"/>
    <w:rsid w:val="00D940F3"/>
    <w:rsid w:val="00D949BD"/>
    <w:rsid w:val="00D96788"/>
    <w:rsid w:val="00D9720E"/>
    <w:rsid w:val="00D97BE0"/>
    <w:rsid w:val="00D97F1E"/>
    <w:rsid w:val="00DA0468"/>
    <w:rsid w:val="00DA1F16"/>
    <w:rsid w:val="00DA24C7"/>
    <w:rsid w:val="00DA2590"/>
    <w:rsid w:val="00DA2BFA"/>
    <w:rsid w:val="00DA35C1"/>
    <w:rsid w:val="00DA3C28"/>
    <w:rsid w:val="00DA4049"/>
    <w:rsid w:val="00DA5F2C"/>
    <w:rsid w:val="00DA64B1"/>
    <w:rsid w:val="00DA6569"/>
    <w:rsid w:val="00DA7C6A"/>
    <w:rsid w:val="00DB08CC"/>
    <w:rsid w:val="00DB41AF"/>
    <w:rsid w:val="00DB57F9"/>
    <w:rsid w:val="00DB6539"/>
    <w:rsid w:val="00DB7083"/>
    <w:rsid w:val="00DC0A4D"/>
    <w:rsid w:val="00DC1CBB"/>
    <w:rsid w:val="00DC3224"/>
    <w:rsid w:val="00DC37A4"/>
    <w:rsid w:val="00DC5299"/>
    <w:rsid w:val="00DC58BA"/>
    <w:rsid w:val="00DC60BE"/>
    <w:rsid w:val="00DC6B35"/>
    <w:rsid w:val="00DD06BB"/>
    <w:rsid w:val="00DD1462"/>
    <w:rsid w:val="00DD1E24"/>
    <w:rsid w:val="00DD2352"/>
    <w:rsid w:val="00DD2EF6"/>
    <w:rsid w:val="00DD421C"/>
    <w:rsid w:val="00DD4EBC"/>
    <w:rsid w:val="00DD5868"/>
    <w:rsid w:val="00DD60A2"/>
    <w:rsid w:val="00DD68FE"/>
    <w:rsid w:val="00DE05CA"/>
    <w:rsid w:val="00DE0A3B"/>
    <w:rsid w:val="00DE0C88"/>
    <w:rsid w:val="00DE0E9A"/>
    <w:rsid w:val="00DE1562"/>
    <w:rsid w:val="00DE156C"/>
    <w:rsid w:val="00DE1C1B"/>
    <w:rsid w:val="00DE3092"/>
    <w:rsid w:val="00DE4492"/>
    <w:rsid w:val="00DE4A53"/>
    <w:rsid w:val="00DE4E3C"/>
    <w:rsid w:val="00DE50DA"/>
    <w:rsid w:val="00DE53F6"/>
    <w:rsid w:val="00DE5D5C"/>
    <w:rsid w:val="00DE7A5B"/>
    <w:rsid w:val="00DE7B82"/>
    <w:rsid w:val="00DF0205"/>
    <w:rsid w:val="00DF03CC"/>
    <w:rsid w:val="00DF166A"/>
    <w:rsid w:val="00DF2211"/>
    <w:rsid w:val="00DF4CC5"/>
    <w:rsid w:val="00DF4F5A"/>
    <w:rsid w:val="00DF53FC"/>
    <w:rsid w:val="00DF58C6"/>
    <w:rsid w:val="00DF74DE"/>
    <w:rsid w:val="00DF7B07"/>
    <w:rsid w:val="00E00EA9"/>
    <w:rsid w:val="00E0157C"/>
    <w:rsid w:val="00E0197E"/>
    <w:rsid w:val="00E01A2C"/>
    <w:rsid w:val="00E01F4C"/>
    <w:rsid w:val="00E02B02"/>
    <w:rsid w:val="00E0375E"/>
    <w:rsid w:val="00E0598D"/>
    <w:rsid w:val="00E05D7D"/>
    <w:rsid w:val="00E06854"/>
    <w:rsid w:val="00E073BB"/>
    <w:rsid w:val="00E07B20"/>
    <w:rsid w:val="00E10470"/>
    <w:rsid w:val="00E10A82"/>
    <w:rsid w:val="00E10FEB"/>
    <w:rsid w:val="00E13441"/>
    <w:rsid w:val="00E143A0"/>
    <w:rsid w:val="00E14D8A"/>
    <w:rsid w:val="00E1586E"/>
    <w:rsid w:val="00E169D4"/>
    <w:rsid w:val="00E16F34"/>
    <w:rsid w:val="00E172E3"/>
    <w:rsid w:val="00E17365"/>
    <w:rsid w:val="00E21099"/>
    <w:rsid w:val="00E21435"/>
    <w:rsid w:val="00E21E0B"/>
    <w:rsid w:val="00E22228"/>
    <w:rsid w:val="00E23861"/>
    <w:rsid w:val="00E23877"/>
    <w:rsid w:val="00E23C5F"/>
    <w:rsid w:val="00E253B4"/>
    <w:rsid w:val="00E266FA"/>
    <w:rsid w:val="00E26C30"/>
    <w:rsid w:val="00E2792F"/>
    <w:rsid w:val="00E27B86"/>
    <w:rsid w:val="00E3019C"/>
    <w:rsid w:val="00E31C7E"/>
    <w:rsid w:val="00E331BF"/>
    <w:rsid w:val="00E34EF7"/>
    <w:rsid w:val="00E34F0E"/>
    <w:rsid w:val="00E3539C"/>
    <w:rsid w:val="00E35BFC"/>
    <w:rsid w:val="00E361F3"/>
    <w:rsid w:val="00E36549"/>
    <w:rsid w:val="00E4184E"/>
    <w:rsid w:val="00E41E8A"/>
    <w:rsid w:val="00E42489"/>
    <w:rsid w:val="00E4438A"/>
    <w:rsid w:val="00E449AB"/>
    <w:rsid w:val="00E455A0"/>
    <w:rsid w:val="00E466C1"/>
    <w:rsid w:val="00E4772D"/>
    <w:rsid w:val="00E47844"/>
    <w:rsid w:val="00E47893"/>
    <w:rsid w:val="00E47A71"/>
    <w:rsid w:val="00E504C3"/>
    <w:rsid w:val="00E506DE"/>
    <w:rsid w:val="00E51F42"/>
    <w:rsid w:val="00E52297"/>
    <w:rsid w:val="00E525BF"/>
    <w:rsid w:val="00E54877"/>
    <w:rsid w:val="00E55E52"/>
    <w:rsid w:val="00E56659"/>
    <w:rsid w:val="00E56E0D"/>
    <w:rsid w:val="00E57B40"/>
    <w:rsid w:val="00E60262"/>
    <w:rsid w:val="00E61049"/>
    <w:rsid w:val="00E61923"/>
    <w:rsid w:val="00E62A48"/>
    <w:rsid w:val="00E62B37"/>
    <w:rsid w:val="00E62F5D"/>
    <w:rsid w:val="00E6359B"/>
    <w:rsid w:val="00E64104"/>
    <w:rsid w:val="00E642B2"/>
    <w:rsid w:val="00E64A51"/>
    <w:rsid w:val="00E652BD"/>
    <w:rsid w:val="00E65499"/>
    <w:rsid w:val="00E65505"/>
    <w:rsid w:val="00E657F3"/>
    <w:rsid w:val="00E65C89"/>
    <w:rsid w:val="00E6602C"/>
    <w:rsid w:val="00E6765C"/>
    <w:rsid w:val="00E67C9B"/>
    <w:rsid w:val="00E67F5F"/>
    <w:rsid w:val="00E70064"/>
    <w:rsid w:val="00E70463"/>
    <w:rsid w:val="00E718F6"/>
    <w:rsid w:val="00E72E2E"/>
    <w:rsid w:val="00E75E80"/>
    <w:rsid w:val="00E76CCB"/>
    <w:rsid w:val="00E7732B"/>
    <w:rsid w:val="00E777F7"/>
    <w:rsid w:val="00E77F06"/>
    <w:rsid w:val="00E806C9"/>
    <w:rsid w:val="00E80846"/>
    <w:rsid w:val="00E80F69"/>
    <w:rsid w:val="00E82AE3"/>
    <w:rsid w:val="00E84379"/>
    <w:rsid w:val="00E8437A"/>
    <w:rsid w:val="00E85A6B"/>
    <w:rsid w:val="00E900D7"/>
    <w:rsid w:val="00E91350"/>
    <w:rsid w:val="00E92307"/>
    <w:rsid w:val="00E95F86"/>
    <w:rsid w:val="00E95FAF"/>
    <w:rsid w:val="00EA0226"/>
    <w:rsid w:val="00EA0719"/>
    <w:rsid w:val="00EA333A"/>
    <w:rsid w:val="00EA3733"/>
    <w:rsid w:val="00EA4417"/>
    <w:rsid w:val="00EA44B5"/>
    <w:rsid w:val="00EA44B7"/>
    <w:rsid w:val="00EA4D88"/>
    <w:rsid w:val="00EA594E"/>
    <w:rsid w:val="00EA6A9F"/>
    <w:rsid w:val="00EA724D"/>
    <w:rsid w:val="00EA795C"/>
    <w:rsid w:val="00EB0D4A"/>
    <w:rsid w:val="00EB11C4"/>
    <w:rsid w:val="00EB19D9"/>
    <w:rsid w:val="00EB2A89"/>
    <w:rsid w:val="00EB3F6A"/>
    <w:rsid w:val="00EB4320"/>
    <w:rsid w:val="00EB6A89"/>
    <w:rsid w:val="00EB7610"/>
    <w:rsid w:val="00EB7AE5"/>
    <w:rsid w:val="00EC001B"/>
    <w:rsid w:val="00EC047F"/>
    <w:rsid w:val="00EC14F5"/>
    <w:rsid w:val="00EC1E92"/>
    <w:rsid w:val="00EC3358"/>
    <w:rsid w:val="00EC3B92"/>
    <w:rsid w:val="00EC64D6"/>
    <w:rsid w:val="00EC694B"/>
    <w:rsid w:val="00EC7234"/>
    <w:rsid w:val="00ED001A"/>
    <w:rsid w:val="00ED2259"/>
    <w:rsid w:val="00ED487B"/>
    <w:rsid w:val="00ED527F"/>
    <w:rsid w:val="00ED6EE1"/>
    <w:rsid w:val="00ED7561"/>
    <w:rsid w:val="00EE15FB"/>
    <w:rsid w:val="00EE1C49"/>
    <w:rsid w:val="00EE5922"/>
    <w:rsid w:val="00EE6BDE"/>
    <w:rsid w:val="00EE6E06"/>
    <w:rsid w:val="00EE770E"/>
    <w:rsid w:val="00EE7A88"/>
    <w:rsid w:val="00EF2716"/>
    <w:rsid w:val="00EF290A"/>
    <w:rsid w:val="00EF3051"/>
    <w:rsid w:val="00EF41D4"/>
    <w:rsid w:val="00EF5121"/>
    <w:rsid w:val="00EF55DF"/>
    <w:rsid w:val="00EF5917"/>
    <w:rsid w:val="00EF5931"/>
    <w:rsid w:val="00EF6AB8"/>
    <w:rsid w:val="00EF6F03"/>
    <w:rsid w:val="00EF7056"/>
    <w:rsid w:val="00F002DD"/>
    <w:rsid w:val="00F00C5E"/>
    <w:rsid w:val="00F00EB6"/>
    <w:rsid w:val="00F01B18"/>
    <w:rsid w:val="00F01DA2"/>
    <w:rsid w:val="00F030C5"/>
    <w:rsid w:val="00F03255"/>
    <w:rsid w:val="00F03FE9"/>
    <w:rsid w:val="00F0511C"/>
    <w:rsid w:val="00F07F31"/>
    <w:rsid w:val="00F1012B"/>
    <w:rsid w:val="00F10FC8"/>
    <w:rsid w:val="00F12F90"/>
    <w:rsid w:val="00F1334D"/>
    <w:rsid w:val="00F1532B"/>
    <w:rsid w:val="00F16C82"/>
    <w:rsid w:val="00F17006"/>
    <w:rsid w:val="00F17242"/>
    <w:rsid w:val="00F21465"/>
    <w:rsid w:val="00F21949"/>
    <w:rsid w:val="00F225E7"/>
    <w:rsid w:val="00F22772"/>
    <w:rsid w:val="00F227C4"/>
    <w:rsid w:val="00F22CF8"/>
    <w:rsid w:val="00F22D2B"/>
    <w:rsid w:val="00F2544C"/>
    <w:rsid w:val="00F257B0"/>
    <w:rsid w:val="00F258BF"/>
    <w:rsid w:val="00F25A52"/>
    <w:rsid w:val="00F27EDB"/>
    <w:rsid w:val="00F309CB"/>
    <w:rsid w:val="00F313AF"/>
    <w:rsid w:val="00F31427"/>
    <w:rsid w:val="00F33FF5"/>
    <w:rsid w:val="00F34402"/>
    <w:rsid w:val="00F35804"/>
    <w:rsid w:val="00F35A6B"/>
    <w:rsid w:val="00F370AD"/>
    <w:rsid w:val="00F406B1"/>
    <w:rsid w:val="00F41BF5"/>
    <w:rsid w:val="00F42020"/>
    <w:rsid w:val="00F424CF"/>
    <w:rsid w:val="00F43A07"/>
    <w:rsid w:val="00F43EAC"/>
    <w:rsid w:val="00F44493"/>
    <w:rsid w:val="00F444DB"/>
    <w:rsid w:val="00F44D01"/>
    <w:rsid w:val="00F45088"/>
    <w:rsid w:val="00F46634"/>
    <w:rsid w:val="00F46CAE"/>
    <w:rsid w:val="00F475A6"/>
    <w:rsid w:val="00F51129"/>
    <w:rsid w:val="00F51AE5"/>
    <w:rsid w:val="00F54221"/>
    <w:rsid w:val="00F5450D"/>
    <w:rsid w:val="00F54759"/>
    <w:rsid w:val="00F54B6B"/>
    <w:rsid w:val="00F551CC"/>
    <w:rsid w:val="00F55673"/>
    <w:rsid w:val="00F55BA3"/>
    <w:rsid w:val="00F55EC9"/>
    <w:rsid w:val="00F56257"/>
    <w:rsid w:val="00F574D4"/>
    <w:rsid w:val="00F576AD"/>
    <w:rsid w:val="00F60405"/>
    <w:rsid w:val="00F610A1"/>
    <w:rsid w:val="00F61852"/>
    <w:rsid w:val="00F61AF3"/>
    <w:rsid w:val="00F62FC4"/>
    <w:rsid w:val="00F63AE9"/>
    <w:rsid w:val="00F64121"/>
    <w:rsid w:val="00F64ED1"/>
    <w:rsid w:val="00F7026F"/>
    <w:rsid w:val="00F712D0"/>
    <w:rsid w:val="00F713AD"/>
    <w:rsid w:val="00F71486"/>
    <w:rsid w:val="00F719D5"/>
    <w:rsid w:val="00F71C13"/>
    <w:rsid w:val="00F72DA5"/>
    <w:rsid w:val="00F755EF"/>
    <w:rsid w:val="00F7667E"/>
    <w:rsid w:val="00F77DFF"/>
    <w:rsid w:val="00F8036A"/>
    <w:rsid w:val="00F8184A"/>
    <w:rsid w:val="00F82159"/>
    <w:rsid w:val="00F82374"/>
    <w:rsid w:val="00F82B4B"/>
    <w:rsid w:val="00F83310"/>
    <w:rsid w:val="00F8460A"/>
    <w:rsid w:val="00F85B73"/>
    <w:rsid w:val="00F8768B"/>
    <w:rsid w:val="00F900BD"/>
    <w:rsid w:val="00F906F3"/>
    <w:rsid w:val="00F90B7A"/>
    <w:rsid w:val="00F92051"/>
    <w:rsid w:val="00F92392"/>
    <w:rsid w:val="00F9290D"/>
    <w:rsid w:val="00F92A84"/>
    <w:rsid w:val="00F931C8"/>
    <w:rsid w:val="00F948BB"/>
    <w:rsid w:val="00F95EC0"/>
    <w:rsid w:val="00FA2320"/>
    <w:rsid w:val="00FA2DDA"/>
    <w:rsid w:val="00FA3958"/>
    <w:rsid w:val="00FA4199"/>
    <w:rsid w:val="00FA6F2F"/>
    <w:rsid w:val="00FB1FB9"/>
    <w:rsid w:val="00FB398F"/>
    <w:rsid w:val="00FB3A09"/>
    <w:rsid w:val="00FB6218"/>
    <w:rsid w:val="00FB6CBF"/>
    <w:rsid w:val="00FB771A"/>
    <w:rsid w:val="00FC0B64"/>
    <w:rsid w:val="00FC1916"/>
    <w:rsid w:val="00FC28C8"/>
    <w:rsid w:val="00FC3897"/>
    <w:rsid w:val="00FC461B"/>
    <w:rsid w:val="00FC7952"/>
    <w:rsid w:val="00FD0F74"/>
    <w:rsid w:val="00FD16AF"/>
    <w:rsid w:val="00FD413F"/>
    <w:rsid w:val="00FD4291"/>
    <w:rsid w:val="00FD4BD0"/>
    <w:rsid w:val="00FD6302"/>
    <w:rsid w:val="00FE0631"/>
    <w:rsid w:val="00FE090D"/>
    <w:rsid w:val="00FE0A2B"/>
    <w:rsid w:val="00FE0FD5"/>
    <w:rsid w:val="00FE40B7"/>
    <w:rsid w:val="00FE56B4"/>
    <w:rsid w:val="00FE5E6C"/>
    <w:rsid w:val="00FE6700"/>
    <w:rsid w:val="00FE6A8B"/>
    <w:rsid w:val="00FE7152"/>
    <w:rsid w:val="00FF0CB5"/>
    <w:rsid w:val="00FF2101"/>
    <w:rsid w:val="00FF3624"/>
    <w:rsid w:val="00FF580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colormru v:ext="edit" colors="#c30"/>
    </o:shapedefaults>
    <o:shapelayout v:ext="edit">
      <o:idmap v:ext="edit" data="1"/>
    </o:shapelayout>
  </w:shapeDefaults>
  <w:decimalSymbol w:val="."/>
  <w:listSeparator w:val=","/>
  <w14:docId w14:val="3624C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7FF3"/>
    <w:pPr>
      <w:spacing w:before="120" w:line="300" w:lineRule="auto"/>
      <w:jc w:val="both"/>
    </w:pPr>
    <w:rPr>
      <w:rFonts w:ascii="Arial" w:hAnsi="Arial"/>
      <w:szCs w:val="24"/>
      <w:lang w:val="en-GB"/>
    </w:rPr>
  </w:style>
  <w:style w:type="paragraph" w:styleId="Ttulo1">
    <w:name w:val="heading 1"/>
    <w:aliases w:val="TITRE,(cntl 1),h1,Heading A,Heading1,H1-Heading 1,1,Header 1,l1,Legal Line 1,head 1,list 1,II+,H1,Head 1 (Chapter heading),Heading No. L1,Heading One,Attribute Heading 1,Titre§,Box Header,1st level,Chapter title,l1+toc 1,Level 11,Section"/>
    <w:basedOn w:val="Normal"/>
    <w:next w:val="Normal"/>
    <w:link w:val="Ttulo1Car"/>
    <w:autoRedefine/>
    <w:uiPriority w:val="9"/>
    <w:qFormat/>
    <w:rsid w:val="005E134D"/>
    <w:pPr>
      <w:keepNext/>
      <w:pageBreakBefore/>
      <w:numPr>
        <w:numId w:val="3"/>
      </w:numPr>
      <w:tabs>
        <w:tab w:val="clear" w:pos="792"/>
        <w:tab w:val="num" w:pos="573"/>
      </w:tabs>
      <w:spacing w:before="360" w:after="240"/>
      <w:ind w:left="573" w:hanging="573"/>
      <w:outlineLvl w:val="0"/>
    </w:pPr>
    <w:rPr>
      <w:b/>
      <w:bCs/>
      <w:color w:val="808080"/>
      <w:sz w:val="28"/>
      <w:lang w:val="fr-FR"/>
    </w:rPr>
  </w:style>
  <w:style w:type="paragraph" w:styleId="Ttulo2">
    <w:name w:val="heading 2"/>
    <w:aliases w:val="2,(cntl 2),h2,UNDERRUBRIK 1-2,Header 2,l2,h21,h22,H21,h23,H22,Heading2,list2,H2-Heading 2,Header2,h24,22,heading2,H23,A,o,h25,21,Header 21,l21,h211,h221,H211,h231,H221,Heading21,list21,H2-Heading 21,Header21,h241,221,heading21,H231,A1,o1,???"/>
    <w:basedOn w:val="Normal"/>
    <w:next w:val="Normal"/>
    <w:link w:val="Ttulo2Car"/>
    <w:autoRedefine/>
    <w:uiPriority w:val="9"/>
    <w:qFormat/>
    <w:rsid w:val="00F17242"/>
    <w:pPr>
      <w:keepNext/>
      <w:numPr>
        <w:ilvl w:val="1"/>
        <w:numId w:val="3"/>
      </w:numPr>
      <w:tabs>
        <w:tab w:val="num" w:pos="567"/>
      </w:tabs>
      <w:spacing w:before="480" w:after="480"/>
      <w:ind w:left="567"/>
      <w:outlineLvl w:val="1"/>
    </w:pPr>
    <w:rPr>
      <w:b/>
      <w:bCs/>
      <w:color w:val="CC3300"/>
      <w:sz w:val="24"/>
      <w:lang w:val="fr-FR"/>
    </w:rPr>
  </w:style>
  <w:style w:type="paragraph" w:styleId="Ttulo3">
    <w:name w:val="heading 3"/>
    <w:aliases w:val="H3,TITRE 3,h3,1.2.3.,Underrubrik2,1.1.1 Heading 3,3,l3,CT,l31,CT1,H31,Heading3,H3-Heading 3,l3.3,l32,list 3,list3,Heading No. L3,ITT t3,PA Minor Section,Title2,H32,H33,H34,H35,título 3,h:3,1.1.1 Heading 31,h31,31,l33,CT2,H36,l311,CT11,subhead"/>
    <w:basedOn w:val="Normal"/>
    <w:next w:val="Normal"/>
    <w:link w:val="Ttulo3Car"/>
    <w:autoRedefine/>
    <w:uiPriority w:val="9"/>
    <w:qFormat/>
    <w:rsid w:val="0040723E"/>
    <w:pPr>
      <w:keepNext/>
      <w:numPr>
        <w:ilvl w:val="2"/>
        <w:numId w:val="3"/>
      </w:numPr>
      <w:tabs>
        <w:tab w:val="num" w:pos="567"/>
        <w:tab w:val="num" w:pos="1429"/>
        <w:tab w:val="left" w:pos="8222"/>
      </w:tabs>
      <w:spacing w:before="240" w:after="240"/>
      <w:ind w:left="567" w:hanging="567"/>
      <w:outlineLvl w:val="2"/>
    </w:pPr>
    <w:rPr>
      <w:b/>
      <w:bCs/>
      <w:color w:val="CC3300"/>
      <w:lang w:val="fr-FR"/>
    </w:rPr>
  </w:style>
  <w:style w:type="paragraph" w:styleId="Ttulo4">
    <w:name w:val="heading 4"/>
    <w:aliases w:val="h4,4,H4,h4 sub sub heading,h41,h42,Para4,(Alt+4),H41,(Alt+4)1,H42,(Alt+4)2,H43,(Alt+4)3,H44,(Alt+4)4,H45,(Alt+4)5,H411,(Alt+4)11,H421,(Alt+4)21,H431,(Alt+4)31,H46,(Alt+4)6,H412,(Alt+4)12,H422,(Alt+4)22,H432,(Alt+4)32,H47,(Alt+4)7,4heading,E4"/>
    <w:basedOn w:val="Normal"/>
    <w:next w:val="Normal"/>
    <w:link w:val="Ttulo4Car"/>
    <w:autoRedefine/>
    <w:uiPriority w:val="9"/>
    <w:qFormat/>
    <w:rsid w:val="003C224B"/>
    <w:pPr>
      <w:keepNext/>
      <w:numPr>
        <w:ilvl w:val="3"/>
        <w:numId w:val="3"/>
      </w:numPr>
      <w:tabs>
        <w:tab w:val="clear" w:pos="1224"/>
        <w:tab w:val="num" w:pos="851"/>
      </w:tabs>
      <w:spacing w:after="240"/>
      <w:ind w:left="851" w:hanging="851"/>
      <w:jc w:val="left"/>
      <w:outlineLvl w:val="3"/>
    </w:pPr>
    <w:rPr>
      <w:i/>
      <w:iCs/>
      <w:color w:val="CC3300"/>
      <w:szCs w:val="20"/>
    </w:rPr>
  </w:style>
  <w:style w:type="paragraph" w:styleId="Ttulo5">
    <w:name w:val="heading 5"/>
    <w:aliases w:val="Considerando,Apartado_sub"/>
    <w:basedOn w:val="Normal"/>
    <w:next w:val="Normal"/>
    <w:link w:val="Ttulo5Car"/>
    <w:autoRedefine/>
    <w:qFormat/>
    <w:rsid w:val="00073878"/>
    <w:pPr>
      <w:keepNext/>
      <w:numPr>
        <w:ilvl w:val="4"/>
        <w:numId w:val="3"/>
      </w:numPr>
      <w:outlineLvl w:val="4"/>
    </w:pPr>
    <w:rPr>
      <w:b/>
      <w:bCs/>
      <w:color w:val="CC3300"/>
      <w:szCs w:val="20"/>
      <w:lang w:val="en-IE"/>
    </w:rPr>
  </w:style>
  <w:style w:type="paragraph" w:styleId="Ttulo6">
    <w:name w:val="heading 6"/>
    <w:aliases w:val="Legal Level 1.,L1 PIP,Name of Org,H6,Bullet list,6,Requirement,Figure label,h6,l6,hsm,cnp,Caption number (page-wide),list 6,h61,Heading6,L6"/>
    <w:basedOn w:val="Normal"/>
    <w:next w:val="Normal"/>
    <w:link w:val="Ttulo6Car"/>
    <w:qFormat/>
    <w:rsid w:val="00E54877"/>
    <w:pPr>
      <w:keepNext/>
      <w:numPr>
        <w:ilvl w:val="5"/>
        <w:numId w:val="3"/>
      </w:numPr>
      <w:jc w:val="left"/>
      <w:outlineLvl w:val="5"/>
    </w:pPr>
    <w:rPr>
      <w:b/>
      <w:bCs/>
      <w:color w:val="FFFFFF"/>
    </w:rPr>
  </w:style>
  <w:style w:type="paragraph" w:styleId="Ttulo7">
    <w:name w:val="heading 7"/>
    <w:aliases w:val="Legal Level 1.1.,L2 PIP,H7"/>
    <w:basedOn w:val="Normal"/>
    <w:next w:val="Normal"/>
    <w:link w:val="Ttulo7Car"/>
    <w:qFormat/>
    <w:rsid w:val="00E54877"/>
    <w:pPr>
      <w:keepNext/>
      <w:numPr>
        <w:ilvl w:val="6"/>
        <w:numId w:val="3"/>
      </w:numPr>
      <w:spacing w:before="0"/>
      <w:outlineLvl w:val="6"/>
    </w:pPr>
    <w:rPr>
      <w:bCs/>
      <w:sz w:val="16"/>
    </w:rPr>
  </w:style>
  <w:style w:type="paragraph" w:styleId="Ttulo8">
    <w:name w:val="heading 8"/>
    <w:aliases w:val="cover doc subtitle,H8"/>
    <w:basedOn w:val="Normal"/>
    <w:next w:val="Normal"/>
    <w:link w:val="Ttulo8Car"/>
    <w:qFormat/>
    <w:rsid w:val="00E54877"/>
    <w:pPr>
      <w:keepNext/>
      <w:numPr>
        <w:ilvl w:val="7"/>
        <w:numId w:val="3"/>
      </w:numPr>
      <w:outlineLvl w:val="7"/>
    </w:pPr>
    <w:rPr>
      <w:b/>
      <w:bCs/>
      <w:color w:val="CC3300"/>
    </w:rPr>
  </w:style>
  <w:style w:type="paragraph" w:styleId="Ttulo9">
    <w:name w:val="heading 9"/>
    <w:aliases w:val="Citaciones"/>
    <w:basedOn w:val="Normal"/>
    <w:next w:val="Normal"/>
    <w:link w:val="Ttulo9Car"/>
    <w:qFormat/>
    <w:rsid w:val="00E54877"/>
    <w:pPr>
      <w:keepNext/>
      <w:numPr>
        <w:ilvl w:val="8"/>
        <w:numId w:val="2"/>
      </w:numPr>
      <w:tabs>
        <w:tab w:val="clear" w:pos="6480"/>
        <w:tab w:val="num" w:pos="1944"/>
      </w:tabs>
      <w:ind w:left="1944" w:hanging="1584"/>
      <w:jc w:val="center"/>
      <w:outlineLvl w:val="8"/>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aliases w:val="Caption (ALL),Caption (all),Inscription,Beschriftung Char Char Char,Beschriftung Char,Caption2,figura,figura1,figura2,ITT d,Table Title,Caption - Centre Graphic,cp + Justified,Left:  2,5 cm,First ...,cp,ref,Fig &amp; Table Title,CaptionCFMU,Ca,C"/>
    <w:basedOn w:val="Normal"/>
    <w:next w:val="Normal"/>
    <w:link w:val="DescripcinCar"/>
    <w:uiPriority w:val="99"/>
    <w:qFormat/>
    <w:rsid w:val="00E54877"/>
    <w:pPr>
      <w:spacing w:after="120" w:line="360" w:lineRule="auto"/>
      <w:jc w:val="center"/>
    </w:pPr>
    <w:rPr>
      <w:b/>
      <w:bCs/>
      <w:color w:val="CC3300"/>
      <w:szCs w:val="20"/>
    </w:rPr>
  </w:style>
  <w:style w:type="paragraph" w:styleId="Textonotapie">
    <w:name w:val="footnote text"/>
    <w:aliases w:val="Note de bas de page Car,ALTS FOOTNOTE,Footnote text,Footnote Text Char Char Char,Footnote Text Char Char Char Char Char Char Char,Footnote Text Char Char Char Char Char Char Char Char Char,Footnote Text Char Char Char Char Char,Fußnote,FN"/>
    <w:basedOn w:val="Normal"/>
    <w:link w:val="TextonotapieCar"/>
    <w:qFormat/>
    <w:rsid w:val="009B056F"/>
    <w:pPr>
      <w:spacing w:line="240" w:lineRule="auto"/>
    </w:pPr>
    <w:rPr>
      <w:sz w:val="18"/>
      <w:szCs w:val="20"/>
    </w:rPr>
  </w:style>
  <w:style w:type="character" w:styleId="Refdenotaalpie">
    <w:name w:val="footnote reference"/>
    <w:aliases w:val="ftref,Footnote number,ComReg Footnote Reference,Appel note de bas de p,fr,Footnote symbol,Footnote,Nota,ABA Footnote Reference,fr 2,(NECG) Footnote Reference,Style 6,Voetnootverwijzing,Style 12,Style 124,Footnotemark,FR,Ref,Style 3"/>
    <w:qFormat/>
    <w:rPr>
      <w:vertAlign w:val="superscript"/>
    </w:rPr>
  </w:style>
  <w:style w:type="paragraph" w:styleId="Encabezado">
    <w:name w:val="header"/>
    <w:basedOn w:val="Normal"/>
    <w:pPr>
      <w:tabs>
        <w:tab w:val="center" w:pos="4536"/>
        <w:tab w:val="right" w:pos="9072"/>
      </w:tabs>
      <w:spacing w:before="0"/>
      <w:jc w:val="center"/>
    </w:pPr>
    <w:rPr>
      <w:color w:val="808080"/>
    </w:rPr>
  </w:style>
  <w:style w:type="paragraph" w:styleId="Piedepgina">
    <w:name w:val="footer"/>
    <w:basedOn w:val="Normal"/>
    <w:link w:val="PiedepginaCar"/>
    <w:uiPriority w:val="99"/>
    <w:pPr>
      <w:tabs>
        <w:tab w:val="center" w:pos="4536"/>
        <w:tab w:val="right" w:pos="9072"/>
      </w:tabs>
      <w:spacing w:before="0"/>
      <w:ind w:firstLine="357"/>
      <w:jc w:val="center"/>
    </w:pPr>
    <w:rPr>
      <w:rFonts w:cs="Arial"/>
      <w:color w:val="808080"/>
    </w:rPr>
  </w:style>
  <w:style w:type="paragraph" w:styleId="Sangradetextonormal">
    <w:name w:val="Body Text Indent"/>
    <w:basedOn w:val="Normal"/>
    <w:pPr>
      <w:ind w:left="68"/>
    </w:pPr>
  </w:style>
  <w:style w:type="paragraph" w:styleId="Textoindependiente2">
    <w:name w:val="Body Text 2"/>
    <w:aliases w:val="Conclusion"/>
    <w:basedOn w:val="Normal"/>
    <w:next w:val="Normal"/>
    <w:pPr>
      <w:pBdr>
        <w:top w:val="single" w:sz="12" w:space="1" w:color="CC3300"/>
        <w:left w:val="single" w:sz="12" w:space="4" w:color="CC3300"/>
        <w:bottom w:val="single" w:sz="12" w:space="1" w:color="CC3300"/>
        <w:right w:val="single" w:sz="12" w:space="4" w:color="CC3300"/>
      </w:pBdr>
      <w:shd w:val="clear" w:color="auto" w:fill="F3F3F3"/>
    </w:pPr>
    <w:rPr>
      <w:b/>
      <w:i/>
      <w:iCs/>
      <w:shd w:val="clear" w:color="auto" w:fill="F3F3F3"/>
    </w:rPr>
  </w:style>
  <w:style w:type="paragraph" w:customStyle="1" w:styleId="Encadr">
    <w:name w:val="Encadré"/>
    <w:basedOn w:val="Normal"/>
    <w:pPr>
      <w:spacing w:before="0"/>
    </w:pPr>
  </w:style>
  <w:style w:type="paragraph" w:customStyle="1" w:styleId="Tableau">
    <w:name w:val="Tableau"/>
    <w:basedOn w:val="Normal"/>
    <w:link w:val="TableauCar1"/>
    <w:uiPriority w:val="99"/>
    <w:pPr>
      <w:spacing w:before="0" w:line="240" w:lineRule="auto"/>
    </w:pPr>
    <w:rPr>
      <w:rFonts w:cs="Arial"/>
      <w:bCs/>
      <w:szCs w:val="20"/>
    </w:rPr>
  </w:style>
  <w:style w:type="paragraph" w:styleId="Encabezadodenota">
    <w:name w:val="Note Heading"/>
    <w:basedOn w:val="Normal"/>
    <w:next w:val="Normal"/>
  </w:style>
  <w:style w:type="paragraph" w:styleId="TDC1">
    <w:name w:val="toc 1"/>
    <w:basedOn w:val="Normal"/>
    <w:next w:val="Normal"/>
    <w:autoRedefine/>
    <w:uiPriority w:val="39"/>
    <w:rsid w:val="005C54B8"/>
    <w:pPr>
      <w:spacing w:after="120" w:line="240" w:lineRule="auto"/>
      <w:jc w:val="left"/>
    </w:pPr>
    <w:rPr>
      <w:rFonts w:asciiTheme="minorHAnsi" w:hAnsiTheme="minorHAnsi" w:cstheme="minorHAnsi"/>
      <w:b/>
      <w:bCs/>
      <w:iCs/>
      <w:sz w:val="28"/>
    </w:rPr>
  </w:style>
  <w:style w:type="paragraph" w:styleId="TDC2">
    <w:name w:val="toc 2"/>
    <w:basedOn w:val="Normal"/>
    <w:next w:val="Normal"/>
    <w:autoRedefine/>
    <w:uiPriority w:val="39"/>
    <w:rsid w:val="006D0996"/>
    <w:pPr>
      <w:tabs>
        <w:tab w:val="left" w:pos="660"/>
        <w:tab w:val="right" w:pos="8494"/>
      </w:tabs>
      <w:jc w:val="left"/>
    </w:pPr>
    <w:rPr>
      <w:rFonts w:asciiTheme="minorHAnsi" w:hAnsiTheme="minorHAnsi" w:cstheme="minorHAnsi"/>
      <w:b/>
      <w:bCs/>
      <w:szCs w:val="22"/>
    </w:rPr>
  </w:style>
  <w:style w:type="paragraph" w:styleId="TDC3">
    <w:name w:val="toc 3"/>
    <w:basedOn w:val="Normal"/>
    <w:next w:val="Normal"/>
    <w:autoRedefine/>
    <w:uiPriority w:val="39"/>
    <w:rsid w:val="005C54B8"/>
    <w:pPr>
      <w:spacing w:before="0"/>
      <w:jc w:val="left"/>
    </w:pPr>
    <w:rPr>
      <w:rFonts w:asciiTheme="minorHAnsi" w:hAnsiTheme="minorHAnsi" w:cstheme="minorHAnsi"/>
      <w:szCs w:val="20"/>
    </w:rPr>
  </w:style>
  <w:style w:type="character" w:styleId="Hipervnculo">
    <w:name w:val="Hyperlink"/>
    <w:uiPriority w:val="99"/>
    <w:rPr>
      <w:color w:val="0000FF"/>
      <w:u w:val="single"/>
    </w:rPr>
  </w:style>
  <w:style w:type="paragraph" w:styleId="TDC4">
    <w:name w:val="toc 4"/>
    <w:basedOn w:val="Normal"/>
    <w:next w:val="Normal"/>
    <w:autoRedefine/>
    <w:uiPriority w:val="39"/>
    <w:rsid w:val="006D0996"/>
    <w:pPr>
      <w:tabs>
        <w:tab w:val="left" w:pos="1540"/>
        <w:tab w:val="right" w:pos="8494"/>
      </w:tabs>
      <w:spacing w:before="0"/>
      <w:ind w:left="660"/>
      <w:jc w:val="left"/>
    </w:pPr>
    <w:rPr>
      <w:rFonts w:asciiTheme="minorHAnsi" w:hAnsiTheme="minorHAnsi" w:cstheme="minorHAnsi"/>
      <w:szCs w:val="20"/>
    </w:rPr>
  </w:style>
  <w:style w:type="paragraph" w:styleId="Tabladeilustraciones">
    <w:name w:val="table of figures"/>
    <w:basedOn w:val="Normal"/>
    <w:next w:val="Normal"/>
    <w:uiPriority w:val="99"/>
    <w:pPr>
      <w:spacing w:before="0"/>
      <w:ind w:left="480" w:hanging="480"/>
    </w:pPr>
  </w:style>
  <w:style w:type="paragraph" w:customStyle="1" w:styleId="Source">
    <w:name w:val="Source"/>
    <w:basedOn w:val="Normal"/>
    <w:link w:val="SourceCar"/>
    <w:qFormat/>
    <w:rsid w:val="00677102"/>
    <w:pPr>
      <w:spacing w:before="240"/>
      <w:jc w:val="right"/>
    </w:pPr>
    <w:rPr>
      <w:color w:val="808080" w:themeColor="background1" w:themeShade="80"/>
      <w:sz w:val="16"/>
      <w:lang w:val="fr-FR"/>
    </w:rPr>
  </w:style>
  <w:style w:type="character" w:styleId="Nmerodepgina">
    <w:name w:val="page number"/>
    <w:basedOn w:val="Fuentedeprrafopredeter"/>
  </w:style>
  <w:style w:type="paragraph" w:customStyle="1" w:styleId="Style2">
    <w:name w:val="Style2"/>
    <w:basedOn w:val="Listaconvietas2"/>
    <w:autoRedefine/>
    <w:pPr>
      <w:widowControl w:val="0"/>
      <w:numPr>
        <w:numId w:val="0"/>
      </w:numPr>
      <w:adjustRightInd w:val="0"/>
      <w:textAlignment w:val="baseline"/>
    </w:pPr>
  </w:style>
  <w:style w:type="paragraph" w:styleId="Listaconvietas2">
    <w:name w:val="List Bullet 2"/>
    <w:basedOn w:val="Normal"/>
    <w:uiPriority w:val="99"/>
    <w:qFormat/>
    <w:pPr>
      <w:numPr>
        <w:numId w:val="1"/>
      </w:numPr>
    </w:pPr>
  </w:style>
  <w:style w:type="table" w:styleId="Tablaconcuadrcula">
    <w:name w:val="Table Grid"/>
    <w:basedOn w:val="Tablanormal"/>
    <w:uiPriority w:val="59"/>
    <w:rsid w:val="00CC00BE"/>
    <w:pPr>
      <w:spacing w:before="240" w:line="30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basedOn w:val="Textonotapie"/>
    <w:rsid w:val="00393741"/>
    <w:pPr>
      <w:spacing w:line="300" w:lineRule="auto"/>
    </w:pPr>
  </w:style>
  <w:style w:type="table" w:styleId="Tablaclsica1">
    <w:name w:val="Table Classic 1"/>
    <w:basedOn w:val="Tablanormal"/>
    <w:rsid w:val="005C28F9"/>
    <w:pPr>
      <w:spacing w:before="240" w:line="30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vistosa2">
    <w:name w:val="Table Colorful 2"/>
    <w:basedOn w:val="Tablanormal"/>
    <w:rsid w:val="005C28F9"/>
    <w:pPr>
      <w:spacing w:before="240" w:line="30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Mapadeldocumento">
    <w:name w:val="Document Map"/>
    <w:basedOn w:val="Normal"/>
    <w:semiHidden/>
    <w:rsid w:val="00F55EC9"/>
    <w:pPr>
      <w:shd w:val="clear" w:color="auto" w:fill="000080"/>
    </w:pPr>
    <w:rPr>
      <w:rFonts w:ascii="Tahoma" w:hAnsi="Tahoma" w:cs="Tahoma"/>
      <w:szCs w:val="20"/>
    </w:rPr>
  </w:style>
  <w:style w:type="paragraph" w:styleId="TDC5">
    <w:name w:val="toc 5"/>
    <w:basedOn w:val="Normal"/>
    <w:next w:val="Normal"/>
    <w:autoRedefine/>
    <w:uiPriority w:val="39"/>
    <w:unhideWhenUsed/>
    <w:rsid w:val="0065741C"/>
    <w:pPr>
      <w:spacing w:before="0"/>
      <w:ind w:left="880"/>
      <w:jc w:val="left"/>
    </w:pPr>
    <w:rPr>
      <w:rFonts w:asciiTheme="minorHAnsi" w:hAnsiTheme="minorHAnsi" w:cstheme="minorHAnsi"/>
      <w:szCs w:val="20"/>
    </w:rPr>
  </w:style>
  <w:style w:type="paragraph" w:styleId="TDC6">
    <w:name w:val="toc 6"/>
    <w:basedOn w:val="Normal"/>
    <w:next w:val="Normal"/>
    <w:autoRedefine/>
    <w:uiPriority w:val="39"/>
    <w:unhideWhenUsed/>
    <w:rsid w:val="0065741C"/>
    <w:pPr>
      <w:spacing w:before="0"/>
      <w:ind w:left="1100"/>
      <w:jc w:val="left"/>
    </w:pPr>
    <w:rPr>
      <w:rFonts w:asciiTheme="minorHAnsi" w:hAnsiTheme="minorHAnsi" w:cstheme="minorHAnsi"/>
      <w:szCs w:val="20"/>
    </w:rPr>
  </w:style>
  <w:style w:type="paragraph" w:styleId="TDC7">
    <w:name w:val="toc 7"/>
    <w:basedOn w:val="Normal"/>
    <w:next w:val="Normal"/>
    <w:autoRedefine/>
    <w:uiPriority w:val="39"/>
    <w:unhideWhenUsed/>
    <w:rsid w:val="0065741C"/>
    <w:pPr>
      <w:spacing w:before="0"/>
      <w:ind w:left="1320"/>
      <w:jc w:val="left"/>
    </w:pPr>
    <w:rPr>
      <w:rFonts w:asciiTheme="minorHAnsi" w:hAnsiTheme="minorHAnsi" w:cstheme="minorHAnsi"/>
      <w:szCs w:val="20"/>
    </w:rPr>
  </w:style>
  <w:style w:type="paragraph" w:styleId="TDC8">
    <w:name w:val="toc 8"/>
    <w:basedOn w:val="Normal"/>
    <w:next w:val="Normal"/>
    <w:autoRedefine/>
    <w:uiPriority w:val="39"/>
    <w:unhideWhenUsed/>
    <w:rsid w:val="0065741C"/>
    <w:pPr>
      <w:spacing w:before="0"/>
      <w:ind w:left="1540"/>
      <w:jc w:val="left"/>
    </w:pPr>
    <w:rPr>
      <w:rFonts w:asciiTheme="minorHAnsi" w:hAnsiTheme="minorHAnsi" w:cstheme="minorHAnsi"/>
      <w:szCs w:val="20"/>
    </w:rPr>
  </w:style>
  <w:style w:type="paragraph" w:styleId="TDC9">
    <w:name w:val="toc 9"/>
    <w:basedOn w:val="Normal"/>
    <w:next w:val="Normal"/>
    <w:autoRedefine/>
    <w:uiPriority w:val="39"/>
    <w:unhideWhenUsed/>
    <w:rsid w:val="0065741C"/>
    <w:pPr>
      <w:spacing w:before="0"/>
      <w:ind w:left="1760"/>
      <w:jc w:val="left"/>
    </w:pPr>
    <w:rPr>
      <w:rFonts w:asciiTheme="minorHAnsi" w:hAnsiTheme="minorHAnsi" w:cstheme="minorHAnsi"/>
      <w:szCs w:val="20"/>
    </w:rPr>
  </w:style>
  <w:style w:type="paragraph" w:customStyle="1" w:styleId="Encadr1">
    <w:name w:val="Encadré 1"/>
    <w:basedOn w:val="Normal"/>
    <w:link w:val="Encadr1Car"/>
    <w:qFormat/>
    <w:rsid w:val="00E54877"/>
    <w:pPr>
      <w:pBdr>
        <w:top w:val="single" w:sz="4" w:space="1" w:color="auto"/>
        <w:left w:val="single" w:sz="4" w:space="4" w:color="auto"/>
        <w:bottom w:val="single" w:sz="4" w:space="1" w:color="auto"/>
        <w:right w:val="single" w:sz="4" w:space="4" w:color="auto"/>
      </w:pBdr>
      <w:shd w:val="clear" w:color="auto" w:fill="FFFF89"/>
    </w:pPr>
    <w:rPr>
      <w:b/>
    </w:rPr>
  </w:style>
  <w:style w:type="character" w:customStyle="1" w:styleId="Encadr1Car">
    <w:name w:val="Encadré 1 Car"/>
    <w:basedOn w:val="Fuentedeprrafopredeter"/>
    <w:link w:val="Encadr1"/>
    <w:rsid w:val="00E54877"/>
    <w:rPr>
      <w:rFonts w:ascii="Arial" w:hAnsi="Arial"/>
      <w:b/>
      <w:sz w:val="22"/>
      <w:szCs w:val="24"/>
      <w:shd w:val="clear" w:color="auto" w:fill="FFFF89"/>
    </w:rPr>
  </w:style>
  <w:style w:type="paragraph" w:customStyle="1" w:styleId="Encadr2">
    <w:name w:val="Encadré 2"/>
    <w:basedOn w:val="Encadr1"/>
    <w:link w:val="Encadr2Car"/>
    <w:qFormat/>
    <w:rsid w:val="00E54877"/>
    <w:pPr>
      <w:shd w:val="clear" w:color="auto" w:fill="FF8D69"/>
    </w:pPr>
  </w:style>
  <w:style w:type="character" w:customStyle="1" w:styleId="Encadr2Car">
    <w:name w:val="Encadré 2 Car"/>
    <w:basedOn w:val="Encadr1Car"/>
    <w:link w:val="Encadr2"/>
    <w:rsid w:val="00E54877"/>
    <w:rPr>
      <w:rFonts w:ascii="Arial" w:hAnsi="Arial"/>
      <w:b/>
      <w:sz w:val="22"/>
      <w:szCs w:val="24"/>
      <w:shd w:val="clear" w:color="auto" w:fill="FF8D69"/>
    </w:rPr>
  </w:style>
  <w:style w:type="paragraph" w:customStyle="1" w:styleId="Encadr3">
    <w:name w:val="Encadré 3"/>
    <w:basedOn w:val="Encadr2"/>
    <w:link w:val="Encadr3Car"/>
    <w:qFormat/>
    <w:rsid w:val="00A776E3"/>
    <w:pPr>
      <w:shd w:val="clear" w:color="auto" w:fill="F2F2F2" w:themeFill="background1" w:themeFillShade="F2"/>
    </w:pPr>
  </w:style>
  <w:style w:type="character" w:customStyle="1" w:styleId="Encadr3Car">
    <w:name w:val="Encadré 3 Car"/>
    <w:basedOn w:val="Encadr2Car"/>
    <w:link w:val="Encadr3"/>
    <w:rsid w:val="00A776E3"/>
    <w:rPr>
      <w:rFonts w:ascii="Arial" w:hAnsi="Arial"/>
      <w:b/>
      <w:sz w:val="22"/>
      <w:szCs w:val="24"/>
      <w:shd w:val="clear" w:color="auto" w:fill="F2F2F2" w:themeFill="background1" w:themeFillShade="F2"/>
      <w:lang w:val="en-GB"/>
    </w:rPr>
  </w:style>
  <w:style w:type="character" w:customStyle="1" w:styleId="Ttulo1Car">
    <w:name w:val="Título 1 Car"/>
    <w:aliases w:val="TITRE Car,(cntl 1) Car,h1 Car,Heading A Car,Heading1 Car,H1-Heading 1 Car,1 Car,Header 1 Car,l1 Car,Legal Line 1 Car,head 1 Car,list 1 Car,II+ Car,H1 Car,Head 1 (Chapter heading) Car,Heading No. L1 Car,Heading One Car,Titre§ Car,Section Car"/>
    <w:basedOn w:val="Fuentedeprrafopredeter"/>
    <w:link w:val="Ttulo1"/>
    <w:uiPriority w:val="9"/>
    <w:rsid w:val="005E134D"/>
    <w:rPr>
      <w:rFonts w:ascii="Arial" w:hAnsi="Arial"/>
      <w:b/>
      <w:bCs/>
      <w:color w:val="808080"/>
      <w:sz w:val="28"/>
      <w:szCs w:val="24"/>
    </w:rPr>
  </w:style>
  <w:style w:type="character" w:customStyle="1" w:styleId="Ttulo2Car">
    <w:name w:val="Título 2 Car"/>
    <w:aliases w:val="2 Car,(cntl 2) Car,h2 Car,UNDERRUBRIK 1-2 Car,Header 2 Car,l2 Car,h21 Car,h22 Car,H21 Car,h23 Car,H22 Car,Heading2 Car,list2 Car,H2-Heading 2 Car,Header2 Car,h24 Car,22 Car,heading2 Car,H23 Car,A Car,o Car,h25 Car,21 Car,Header 21 Car"/>
    <w:basedOn w:val="Fuentedeprrafopredeter"/>
    <w:link w:val="Ttulo2"/>
    <w:uiPriority w:val="9"/>
    <w:rsid w:val="00F17242"/>
    <w:rPr>
      <w:rFonts w:ascii="Arial" w:hAnsi="Arial"/>
      <w:b/>
      <w:bCs/>
      <w:color w:val="CC3300"/>
      <w:sz w:val="24"/>
      <w:szCs w:val="24"/>
    </w:rPr>
  </w:style>
  <w:style w:type="character" w:customStyle="1" w:styleId="Ttulo3Car">
    <w:name w:val="Título 3 Car"/>
    <w:aliases w:val="H3 Car,TITRE 3 Car,h3 Car,1.2.3. Car,Underrubrik2 Car,1.1.1 Heading 3 Car,3 Car,l3 Car,CT Car,l31 Car,CT1 Car,H31 Car,Heading3 Car,H3-Heading 3 Car,l3.3 Car,l32 Car,list 3 Car,list3 Car,Heading No. L3 Car,ITT t3 Car,PA Minor Section Car"/>
    <w:basedOn w:val="Fuentedeprrafopredeter"/>
    <w:link w:val="Ttulo3"/>
    <w:uiPriority w:val="9"/>
    <w:rsid w:val="0040723E"/>
    <w:rPr>
      <w:rFonts w:ascii="Arial" w:hAnsi="Arial"/>
      <w:b/>
      <w:bCs/>
      <w:color w:val="CC3300"/>
      <w:szCs w:val="24"/>
    </w:rPr>
  </w:style>
  <w:style w:type="character" w:customStyle="1" w:styleId="Ttulo4Car">
    <w:name w:val="Título 4 Car"/>
    <w:aliases w:val="h4 Car,4 Car,H4 Car,h4 sub sub heading Car,h41 Car,h42 Car,Para4 Car,(Alt+4) Car,H41 Car,(Alt+4)1 Car,H42 Car,(Alt+4)2 Car,H43 Car,(Alt+4)3 Car,H44 Car,(Alt+4)4 Car,H45 Car,(Alt+4)5 Car,H411 Car,(Alt+4)11 Car,H421 Car,(Alt+4)21 Car,H431 Car"/>
    <w:basedOn w:val="Fuentedeprrafopredeter"/>
    <w:link w:val="Ttulo4"/>
    <w:uiPriority w:val="9"/>
    <w:rsid w:val="003C224B"/>
    <w:rPr>
      <w:rFonts w:ascii="Arial" w:hAnsi="Arial"/>
      <w:i/>
      <w:iCs/>
      <w:color w:val="CC3300"/>
      <w:lang w:val="en-GB"/>
    </w:rPr>
  </w:style>
  <w:style w:type="character" w:customStyle="1" w:styleId="Ttulo5Car">
    <w:name w:val="Título 5 Car"/>
    <w:aliases w:val="Considerando Car,Apartado_sub Car"/>
    <w:basedOn w:val="Fuentedeprrafopredeter"/>
    <w:link w:val="Ttulo5"/>
    <w:uiPriority w:val="9"/>
    <w:rsid w:val="00073878"/>
    <w:rPr>
      <w:rFonts w:ascii="Arial" w:hAnsi="Arial"/>
      <w:b/>
      <w:bCs/>
      <w:color w:val="CC3300"/>
      <w:lang w:val="en-IE"/>
    </w:rPr>
  </w:style>
  <w:style w:type="character" w:customStyle="1" w:styleId="Ttulo6Car">
    <w:name w:val="Título 6 Car"/>
    <w:aliases w:val="Legal Level 1. Car,L1 PIP Car,Name of Org Car,H6 Car,Bullet list Car,6 Car,Requirement Car,Figure label Car,h6 Car,l6 Car,hsm Car,cnp Car,Caption number (page-wide) Car,list 6 Car,h61 Car,Heading6 Car,L6 Car"/>
    <w:basedOn w:val="Fuentedeprrafopredeter"/>
    <w:link w:val="Ttulo6"/>
    <w:uiPriority w:val="9"/>
    <w:rsid w:val="00E54877"/>
    <w:rPr>
      <w:rFonts w:ascii="Arial" w:hAnsi="Arial"/>
      <w:b/>
      <w:bCs/>
      <w:color w:val="FFFFFF"/>
      <w:szCs w:val="24"/>
      <w:lang w:val="en-GB"/>
    </w:rPr>
  </w:style>
  <w:style w:type="character" w:customStyle="1" w:styleId="Ttulo7Car">
    <w:name w:val="Título 7 Car"/>
    <w:aliases w:val="Legal Level 1.1. Car,L2 PIP Car,H7 Car"/>
    <w:basedOn w:val="Fuentedeprrafopredeter"/>
    <w:link w:val="Ttulo7"/>
    <w:uiPriority w:val="9"/>
    <w:rsid w:val="00E54877"/>
    <w:rPr>
      <w:rFonts w:ascii="Arial" w:hAnsi="Arial"/>
      <w:bCs/>
      <w:sz w:val="16"/>
      <w:szCs w:val="24"/>
      <w:lang w:val="en-GB"/>
    </w:rPr>
  </w:style>
  <w:style w:type="character" w:customStyle="1" w:styleId="Ttulo8Car">
    <w:name w:val="Título 8 Car"/>
    <w:aliases w:val="cover doc subtitle Car,H8 Car"/>
    <w:basedOn w:val="Fuentedeprrafopredeter"/>
    <w:link w:val="Ttulo8"/>
    <w:uiPriority w:val="9"/>
    <w:rsid w:val="00E54877"/>
    <w:rPr>
      <w:rFonts w:ascii="Arial" w:hAnsi="Arial"/>
      <w:b/>
      <w:bCs/>
      <w:color w:val="CC3300"/>
      <w:szCs w:val="24"/>
      <w:lang w:val="en-GB"/>
    </w:rPr>
  </w:style>
  <w:style w:type="character" w:customStyle="1" w:styleId="Ttulo9Car">
    <w:name w:val="Título 9 Car"/>
    <w:aliases w:val="Citaciones Car"/>
    <w:basedOn w:val="Fuentedeprrafopredeter"/>
    <w:link w:val="Ttulo9"/>
    <w:uiPriority w:val="9"/>
    <w:rsid w:val="00E54877"/>
    <w:rPr>
      <w:rFonts w:ascii="Arial" w:hAnsi="Arial"/>
      <w:b/>
      <w:bCs/>
      <w:szCs w:val="24"/>
      <w:lang w:val="en-GB"/>
    </w:rPr>
  </w:style>
  <w:style w:type="paragraph" w:styleId="Prrafodelista">
    <w:name w:val="List Paragraph"/>
    <w:aliases w:val="Puce focus,Contact,texte de base,Normal bullet 2,List Paragraph1,Numbered List,1st level - Bullet List Paragraph,Lettre d'introduction,List Paragraph11,Normal bullet 21,List Paragraph111,Bullet list1,Paragraphe"/>
    <w:basedOn w:val="Normal"/>
    <w:link w:val="PrrafodelistaCar"/>
    <w:uiPriority w:val="34"/>
    <w:qFormat/>
    <w:rsid w:val="00E54877"/>
    <w:pPr>
      <w:ind w:left="720"/>
      <w:contextualSpacing/>
    </w:pPr>
  </w:style>
  <w:style w:type="character" w:customStyle="1" w:styleId="SourceCar">
    <w:name w:val="Source Car"/>
    <w:basedOn w:val="Fuentedeprrafopredeter"/>
    <w:link w:val="Source"/>
    <w:rsid w:val="00677102"/>
    <w:rPr>
      <w:rFonts w:ascii="Arial" w:hAnsi="Arial"/>
      <w:color w:val="808080" w:themeColor="background1" w:themeShade="80"/>
      <w:sz w:val="16"/>
      <w:szCs w:val="24"/>
    </w:rPr>
  </w:style>
  <w:style w:type="paragraph" w:styleId="Textodeglobo">
    <w:name w:val="Balloon Text"/>
    <w:basedOn w:val="Normal"/>
    <w:link w:val="TextodegloboCar"/>
    <w:uiPriority w:val="99"/>
    <w:semiHidden/>
    <w:unhideWhenUsed/>
    <w:rsid w:val="00E54877"/>
    <w:pPr>
      <w:spacing w:before="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54877"/>
    <w:rPr>
      <w:rFonts w:ascii="Tahoma" w:hAnsi="Tahoma" w:cs="Tahoma"/>
      <w:sz w:val="16"/>
      <w:szCs w:val="16"/>
    </w:rPr>
  </w:style>
  <w:style w:type="paragraph" w:customStyle="1" w:styleId="Puce">
    <w:name w:val="Puce"/>
    <w:basedOn w:val="Normal"/>
    <w:rsid w:val="005066FC"/>
    <w:pPr>
      <w:numPr>
        <w:numId w:val="4"/>
      </w:numPr>
      <w:overflowPunct w:val="0"/>
      <w:autoSpaceDE w:val="0"/>
      <w:autoSpaceDN w:val="0"/>
      <w:adjustRightInd w:val="0"/>
      <w:spacing w:line="360" w:lineRule="auto"/>
      <w:textAlignment w:val="baseline"/>
    </w:pPr>
    <w:rPr>
      <w:rFonts w:cs="Arial"/>
      <w:szCs w:val="20"/>
      <w:lang w:val="fr-FR" w:eastAsia="zh-CN"/>
    </w:rPr>
  </w:style>
  <w:style w:type="character" w:customStyle="1" w:styleId="TableauCar1">
    <w:name w:val="Tableau Car1"/>
    <w:link w:val="Tableau"/>
    <w:uiPriority w:val="99"/>
    <w:rsid w:val="005066FC"/>
    <w:rPr>
      <w:rFonts w:ascii="Arial" w:hAnsi="Arial" w:cs="Arial"/>
      <w:bCs/>
      <w:lang w:val="en-GB"/>
    </w:rPr>
  </w:style>
  <w:style w:type="character" w:customStyle="1" w:styleId="DescripcinCar">
    <w:name w:val="Descripción Car"/>
    <w:aliases w:val="Caption (ALL) Car,Caption (all) Car,Inscription Car,Beschriftung Char Char Char Car,Beschriftung Char Car,Caption2 Car,figura Car,figura1 Car,figura2 Car,ITT d Car,Table Title Car,Caption - Centre Graphic Car,cp + Justified Car,5 cm Car"/>
    <w:link w:val="Descripcin"/>
    <w:locked/>
    <w:rsid w:val="005066FC"/>
    <w:rPr>
      <w:rFonts w:ascii="Arial" w:hAnsi="Arial"/>
      <w:b/>
      <w:bCs/>
      <w:color w:val="CC3300"/>
      <w:lang w:val="en-GB"/>
    </w:rPr>
  </w:style>
  <w:style w:type="character" w:customStyle="1" w:styleId="TextonotapieCar">
    <w:name w:val="Texto nota pie Car"/>
    <w:aliases w:val="Note de bas de page Car Car,ALTS FOOTNOTE Car,Footnote text Car,Footnote Text Char Char Char Car,Footnote Text Char Char Char Char Char Char Char Car,Footnote Text Char Char Char Char Char Char Char Char Char Car,Fußnote Car,FN Car"/>
    <w:link w:val="Textonotapie"/>
    <w:locked/>
    <w:rsid w:val="005066FC"/>
    <w:rPr>
      <w:rFonts w:ascii="Arial" w:hAnsi="Arial"/>
      <w:sz w:val="18"/>
      <w:lang w:val="en-GB"/>
    </w:rPr>
  </w:style>
  <w:style w:type="paragraph" w:styleId="NormalWeb">
    <w:name w:val="Normal (Web)"/>
    <w:basedOn w:val="Normal"/>
    <w:uiPriority w:val="99"/>
    <w:semiHidden/>
    <w:unhideWhenUsed/>
    <w:rsid w:val="004467AC"/>
    <w:rPr>
      <w:rFonts w:ascii="Times New Roman" w:hAnsi="Times New Roman"/>
      <w:sz w:val="24"/>
    </w:rPr>
  </w:style>
  <w:style w:type="character" w:styleId="Refdecomentario">
    <w:name w:val="annotation reference"/>
    <w:basedOn w:val="Fuentedeprrafopredeter"/>
    <w:uiPriority w:val="99"/>
    <w:semiHidden/>
    <w:unhideWhenUsed/>
    <w:rsid w:val="00AE4E56"/>
    <w:rPr>
      <w:sz w:val="16"/>
      <w:szCs w:val="16"/>
    </w:rPr>
  </w:style>
  <w:style w:type="paragraph" w:styleId="Textocomentario">
    <w:name w:val="annotation text"/>
    <w:basedOn w:val="Normal"/>
    <w:link w:val="TextocomentarioCar"/>
    <w:uiPriority w:val="99"/>
    <w:unhideWhenUsed/>
    <w:rsid w:val="00AE4E56"/>
    <w:pPr>
      <w:spacing w:line="240" w:lineRule="auto"/>
    </w:pPr>
    <w:rPr>
      <w:szCs w:val="20"/>
    </w:rPr>
  </w:style>
  <w:style w:type="character" w:customStyle="1" w:styleId="TextocomentarioCar">
    <w:name w:val="Texto comentario Car"/>
    <w:basedOn w:val="Fuentedeprrafopredeter"/>
    <w:link w:val="Textocomentario"/>
    <w:uiPriority w:val="99"/>
    <w:rsid w:val="00AE4E56"/>
    <w:rPr>
      <w:rFonts w:ascii="Arial" w:hAnsi="Arial"/>
      <w:lang w:val="en-GB"/>
    </w:rPr>
  </w:style>
  <w:style w:type="paragraph" w:styleId="Asuntodelcomentario">
    <w:name w:val="annotation subject"/>
    <w:basedOn w:val="Textocomentario"/>
    <w:next w:val="Textocomentario"/>
    <w:link w:val="AsuntodelcomentarioCar"/>
    <w:uiPriority w:val="99"/>
    <w:semiHidden/>
    <w:unhideWhenUsed/>
    <w:rsid w:val="00AE4E56"/>
    <w:rPr>
      <w:b/>
      <w:bCs/>
    </w:rPr>
  </w:style>
  <w:style w:type="character" w:customStyle="1" w:styleId="AsuntodelcomentarioCar">
    <w:name w:val="Asunto del comentario Car"/>
    <w:basedOn w:val="TextocomentarioCar"/>
    <w:link w:val="Asuntodelcomentario"/>
    <w:uiPriority w:val="99"/>
    <w:semiHidden/>
    <w:rsid w:val="00AE4E56"/>
    <w:rPr>
      <w:rFonts w:ascii="Arial" w:hAnsi="Arial"/>
      <w:b/>
      <w:bCs/>
      <w:lang w:val="en-GB"/>
    </w:rPr>
  </w:style>
  <w:style w:type="paragraph" w:customStyle="1" w:styleId="Lsiet">
    <w:name w:val="Lsiet"/>
    <w:basedOn w:val="Prrafodelista"/>
    <w:qFormat/>
    <w:rsid w:val="00767AD2"/>
    <w:pPr>
      <w:numPr>
        <w:numId w:val="5"/>
      </w:numPr>
    </w:pPr>
    <w:rPr>
      <w:lang w:val="fr-FR"/>
    </w:rPr>
  </w:style>
  <w:style w:type="table" w:customStyle="1" w:styleId="myTable">
    <w:name w:val="myTable"/>
    <w:uiPriority w:val="99"/>
    <w:rsid w:val="00E3019C"/>
    <w:pPr>
      <w:spacing w:after="200" w:line="276" w:lineRule="auto"/>
    </w:pPr>
    <w:rPr>
      <w:rFonts w:ascii="Arial" w:eastAsia="Arial" w:hAnsi="Arial" w:cs="Arial"/>
      <w:sz w:val="22"/>
      <w:szCs w:val="22"/>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CellMar>
        <w:top w:w="50" w:type="dxa"/>
        <w:left w:w="50" w:type="dxa"/>
        <w:bottom w:w="0" w:type="dxa"/>
        <w:right w:w="50" w:type="dxa"/>
      </w:tblCellMar>
    </w:tblPr>
    <w:tblStylePr w:type="firstRow">
      <w:tblPr/>
      <w:tcPr>
        <w:shd w:val="clear" w:color="auto" w:fill="CC3300"/>
      </w:tcPr>
    </w:tblStylePr>
  </w:style>
  <w:style w:type="paragraph" w:customStyle="1" w:styleId="normaltableau">
    <w:name w:val="normal_tableau"/>
    <w:basedOn w:val="Normal"/>
    <w:rsid w:val="00002EE5"/>
    <w:pPr>
      <w:spacing w:after="120" w:line="240" w:lineRule="auto"/>
    </w:pPr>
    <w:rPr>
      <w:rFonts w:ascii="Optima" w:hAnsi="Optima"/>
      <w:sz w:val="22"/>
      <w:szCs w:val="20"/>
      <w:lang w:eastAsia="en-GB"/>
    </w:rPr>
  </w:style>
  <w:style w:type="paragraph" w:customStyle="1" w:styleId="CVNormal">
    <w:name w:val="CV Normal"/>
    <w:basedOn w:val="Normal"/>
    <w:rsid w:val="00002EE5"/>
    <w:pPr>
      <w:suppressAutoHyphens/>
      <w:spacing w:before="0" w:line="240" w:lineRule="auto"/>
      <w:ind w:left="113" w:right="113"/>
      <w:jc w:val="left"/>
    </w:pPr>
    <w:rPr>
      <w:rFonts w:ascii="Arial Narrow" w:hAnsi="Arial Narrow"/>
      <w:szCs w:val="20"/>
      <w:lang w:val="fr-FR" w:eastAsia="ar-SA"/>
    </w:rPr>
  </w:style>
  <w:style w:type="paragraph" w:styleId="TtuloTDC">
    <w:name w:val="TOC Heading"/>
    <w:basedOn w:val="Ttulo1"/>
    <w:next w:val="Normal"/>
    <w:uiPriority w:val="39"/>
    <w:semiHidden/>
    <w:unhideWhenUsed/>
    <w:qFormat/>
    <w:rsid w:val="00981224"/>
    <w:pPr>
      <w:keepLines/>
      <w:numPr>
        <w:numId w:val="0"/>
      </w:numPr>
      <w:tabs>
        <w:tab w:val="num" w:pos="792"/>
      </w:tabs>
      <w:spacing w:before="480" w:after="0" w:line="276" w:lineRule="auto"/>
      <w:jc w:val="left"/>
      <w:outlineLvl w:val="9"/>
    </w:pPr>
    <w:rPr>
      <w:rFonts w:asciiTheme="majorHAnsi" w:eastAsiaTheme="majorEastAsia" w:hAnsiTheme="majorHAnsi" w:cstheme="majorBidi"/>
      <w:color w:val="42558C" w:themeColor="accent1" w:themeShade="BF"/>
      <w:szCs w:val="28"/>
    </w:rPr>
  </w:style>
  <w:style w:type="paragraph" w:styleId="Revisin">
    <w:name w:val="Revision"/>
    <w:hidden/>
    <w:uiPriority w:val="99"/>
    <w:semiHidden/>
    <w:rsid w:val="004A3E14"/>
    <w:rPr>
      <w:rFonts w:ascii="Arial" w:hAnsi="Arial"/>
      <w:szCs w:val="24"/>
      <w:lang w:val="en-GB"/>
    </w:rPr>
  </w:style>
  <w:style w:type="character" w:customStyle="1" w:styleId="gd">
    <w:name w:val="gd"/>
    <w:basedOn w:val="Fuentedeprrafopredeter"/>
    <w:rsid w:val="00C66AE5"/>
  </w:style>
  <w:style w:type="character" w:customStyle="1" w:styleId="PrrafodelistaCar">
    <w:name w:val="Párrafo de lista Car"/>
    <w:aliases w:val="Puce focus Car,Contact Car,texte de base Car,Normal bullet 2 Car,List Paragraph1 Car,Numbered List Car,1st level - Bullet List Paragraph Car,Lettre d'introduction Car,List Paragraph11 Car,Normal bullet 21 Car,List Paragraph111 Car"/>
    <w:basedOn w:val="Fuentedeprrafopredeter"/>
    <w:link w:val="Prrafodelista"/>
    <w:uiPriority w:val="34"/>
    <w:locked/>
    <w:rsid w:val="001E186C"/>
    <w:rPr>
      <w:rFonts w:ascii="Arial" w:hAnsi="Arial"/>
      <w:szCs w:val="24"/>
      <w:lang w:val="en-GB"/>
    </w:rPr>
  </w:style>
  <w:style w:type="numbering" w:customStyle="1" w:styleId="StylePuce">
    <w:name w:val="Style Puce"/>
    <w:rsid w:val="001E186C"/>
    <w:pPr>
      <w:numPr>
        <w:numId w:val="6"/>
      </w:numPr>
    </w:pPr>
  </w:style>
  <w:style w:type="character" w:styleId="Textodelmarcadordeposicin">
    <w:name w:val="Placeholder Text"/>
    <w:basedOn w:val="Fuentedeprrafopredeter"/>
    <w:uiPriority w:val="99"/>
    <w:semiHidden/>
    <w:rsid w:val="00986A11"/>
    <w:rPr>
      <w:color w:val="808080"/>
    </w:rPr>
  </w:style>
  <w:style w:type="character" w:customStyle="1" w:styleId="st">
    <w:name w:val="st"/>
    <w:basedOn w:val="Fuentedeprrafopredeter"/>
    <w:rsid w:val="000D30F8"/>
    <w:rPr>
      <w:rFonts w:cs="Times New Roman"/>
    </w:rPr>
  </w:style>
  <w:style w:type="table" w:styleId="Tablaconcuadrcula4-nfasis1">
    <w:name w:val="Grid Table 4 Accent 1"/>
    <w:basedOn w:val="Tablanormal"/>
    <w:uiPriority w:val="49"/>
    <w:rsid w:val="00867CFE"/>
    <w:tblPr>
      <w:tblStyleRowBandSize w:val="1"/>
      <w:tblStyleColBandSize w:val="1"/>
      <w:tblBorders>
        <w:top w:val="single" w:sz="4" w:space="0" w:color="9FACD2" w:themeColor="accent1" w:themeTint="99"/>
        <w:left w:val="single" w:sz="4" w:space="0" w:color="9FACD2" w:themeColor="accent1" w:themeTint="99"/>
        <w:bottom w:val="single" w:sz="4" w:space="0" w:color="9FACD2" w:themeColor="accent1" w:themeTint="99"/>
        <w:right w:val="single" w:sz="4" w:space="0" w:color="9FACD2" w:themeColor="accent1" w:themeTint="99"/>
        <w:insideH w:val="single" w:sz="4" w:space="0" w:color="9FACD2" w:themeColor="accent1" w:themeTint="99"/>
        <w:insideV w:val="single" w:sz="4" w:space="0" w:color="9FACD2" w:themeColor="accent1" w:themeTint="99"/>
      </w:tblBorders>
    </w:tblPr>
    <w:tblStylePr w:type="firstRow">
      <w:rPr>
        <w:b/>
        <w:bCs/>
        <w:color w:val="FFFFFF" w:themeColor="background1"/>
      </w:rPr>
      <w:tblPr/>
      <w:tcPr>
        <w:tcBorders>
          <w:top w:val="single" w:sz="4" w:space="0" w:color="6076B4" w:themeColor="accent1"/>
          <w:left w:val="single" w:sz="4" w:space="0" w:color="6076B4" w:themeColor="accent1"/>
          <w:bottom w:val="single" w:sz="4" w:space="0" w:color="6076B4" w:themeColor="accent1"/>
          <w:right w:val="single" w:sz="4" w:space="0" w:color="6076B4" w:themeColor="accent1"/>
          <w:insideH w:val="nil"/>
          <w:insideV w:val="nil"/>
        </w:tcBorders>
        <w:shd w:val="clear" w:color="auto" w:fill="6076B4" w:themeFill="accent1"/>
      </w:tcPr>
    </w:tblStylePr>
    <w:tblStylePr w:type="lastRow">
      <w:rPr>
        <w:b/>
        <w:bCs/>
      </w:rPr>
      <w:tblPr/>
      <w:tcPr>
        <w:tcBorders>
          <w:top w:val="double" w:sz="4" w:space="0" w:color="6076B4" w:themeColor="accent1"/>
        </w:tcBorders>
      </w:tcPr>
    </w:tblStylePr>
    <w:tblStylePr w:type="firstCol">
      <w:rPr>
        <w:b/>
        <w:bCs/>
      </w:rPr>
    </w:tblStylePr>
    <w:tblStylePr w:type="lastCol">
      <w:rPr>
        <w:b/>
        <w:bCs/>
      </w:rPr>
    </w:tblStylePr>
    <w:tblStylePr w:type="band1Vert">
      <w:tblPr/>
      <w:tcPr>
        <w:shd w:val="clear" w:color="auto" w:fill="DFE3F0" w:themeFill="accent1" w:themeFillTint="33"/>
      </w:tcPr>
    </w:tblStylePr>
    <w:tblStylePr w:type="band1Horz">
      <w:tblPr/>
      <w:tcPr>
        <w:shd w:val="clear" w:color="auto" w:fill="DFE3F0" w:themeFill="accent1" w:themeFillTint="33"/>
      </w:tcPr>
    </w:tblStylePr>
  </w:style>
  <w:style w:type="character" w:customStyle="1" w:styleId="UnresolvedMention1">
    <w:name w:val="Unresolved Mention1"/>
    <w:basedOn w:val="Fuentedeprrafopredeter"/>
    <w:uiPriority w:val="99"/>
    <w:semiHidden/>
    <w:unhideWhenUsed/>
    <w:rsid w:val="00726530"/>
    <w:rPr>
      <w:color w:val="605E5C"/>
      <w:shd w:val="clear" w:color="auto" w:fill="E1DFDD"/>
    </w:rPr>
  </w:style>
  <w:style w:type="paragraph" w:customStyle="1" w:styleId="Default">
    <w:name w:val="Default"/>
    <w:rsid w:val="00CA4D43"/>
    <w:pPr>
      <w:autoSpaceDE w:val="0"/>
      <w:autoSpaceDN w:val="0"/>
      <w:adjustRightInd w:val="0"/>
    </w:pPr>
    <w:rPr>
      <w:rFonts w:ascii="Arial" w:hAnsi="Arial" w:cs="Arial"/>
      <w:color w:val="000000"/>
      <w:sz w:val="24"/>
      <w:szCs w:val="24"/>
    </w:rPr>
  </w:style>
  <w:style w:type="character" w:customStyle="1" w:styleId="css-nowrap">
    <w:name w:val="css-nowrap"/>
    <w:basedOn w:val="Fuentedeprrafopredeter"/>
    <w:rsid w:val="00CE72B9"/>
  </w:style>
  <w:style w:type="character" w:customStyle="1" w:styleId="FootnoteTextCharCharCharCar1">
    <w:name w:val="Footnote Text Char Char Char Car1"/>
    <w:aliases w:val="Footnote Text Char Char Char Char Char Char Char Car1,Footnote Text Char Char Char Char Char Char Char Char Char Car1,Footnote Text Char Char Char Char Char Car1,Footnote Text2 Char Char Car"/>
    <w:uiPriority w:val="99"/>
    <w:locked/>
    <w:rsid w:val="00A04AD9"/>
    <w:rPr>
      <w:rFonts w:ascii="Arial" w:hAnsi="Arial"/>
      <w:sz w:val="18"/>
    </w:rPr>
  </w:style>
  <w:style w:type="paragraph" w:customStyle="1" w:styleId="NombreConcesionario">
    <w:name w:val="NombreConcesionario"/>
    <w:basedOn w:val="Ttulo1"/>
    <w:link w:val="NombreConcesionarioCar"/>
    <w:qFormat/>
    <w:rsid w:val="00263A4F"/>
    <w:pPr>
      <w:keepNext w:val="0"/>
      <w:tabs>
        <w:tab w:val="clear" w:pos="573"/>
      </w:tabs>
      <w:spacing w:before="0" w:after="200" w:line="276" w:lineRule="auto"/>
      <w:ind w:left="432" w:hanging="432"/>
    </w:pPr>
    <w:rPr>
      <w:rFonts w:ascii="ITC Avant Garde" w:eastAsia="Calibri" w:hAnsi="ITC Avant Garde" w:cs="Arial"/>
      <w:bCs w:val="0"/>
      <w:color w:val="000000"/>
      <w:sz w:val="22"/>
      <w:szCs w:val="22"/>
      <w:lang w:val="es-ES" w:eastAsia="es-ES"/>
    </w:rPr>
  </w:style>
  <w:style w:type="character" w:customStyle="1" w:styleId="NombreConcesionarioCar">
    <w:name w:val="NombreConcesionario Car"/>
    <w:link w:val="NombreConcesionario"/>
    <w:rsid w:val="00263A4F"/>
    <w:rPr>
      <w:rFonts w:ascii="ITC Avant Garde" w:eastAsia="Calibri" w:hAnsi="ITC Avant Garde" w:cs="Arial"/>
      <w:b/>
      <w:color w:val="000000"/>
      <w:sz w:val="22"/>
      <w:szCs w:val="22"/>
      <w:lang w:val="es-ES" w:eastAsia="es-ES"/>
    </w:rPr>
  </w:style>
  <w:style w:type="paragraph" w:styleId="Sinespaciado">
    <w:name w:val="No Spacing"/>
    <w:link w:val="SinespaciadoCar"/>
    <w:uiPriority w:val="1"/>
    <w:qFormat/>
    <w:rsid w:val="00263A4F"/>
    <w:rPr>
      <w:rFonts w:ascii="Calibri" w:eastAsia="Calibri" w:hAnsi="Calibri"/>
      <w:sz w:val="22"/>
      <w:szCs w:val="22"/>
      <w:lang w:val="es-MX" w:eastAsia="en-US"/>
    </w:rPr>
  </w:style>
  <w:style w:type="character" w:customStyle="1" w:styleId="SinespaciadoCar">
    <w:name w:val="Sin espaciado Car"/>
    <w:basedOn w:val="Fuentedeprrafopredeter"/>
    <w:link w:val="Sinespaciado"/>
    <w:uiPriority w:val="1"/>
    <w:rsid w:val="00263A4F"/>
    <w:rPr>
      <w:rFonts w:ascii="Calibri" w:eastAsia="Calibri" w:hAnsi="Calibri"/>
      <w:sz w:val="22"/>
      <w:szCs w:val="22"/>
      <w:lang w:val="es-MX" w:eastAsia="en-US"/>
    </w:rPr>
  </w:style>
  <w:style w:type="character" w:styleId="Hipervnculovisitado">
    <w:name w:val="FollowedHyperlink"/>
    <w:basedOn w:val="Fuentedeprrafopredeter"/>
    <w:uiPriority w:val="99"/>
    <w:semiHidden/>
    <w:unhideWhenUsed/>
    <w:rsid w:val="00F906F3"/>
    <w:rPr>
      <w:color w:val="B2B2B2" w:themeColor="followedHyperlink"/>
      <w:u w:val="single"/>
    </w:rPr>
  </w:style>
  <w:style w:type="character" w:customStyle="1" w:styleId="PiedepginaCar">
    <w:name w:val="Pie de página Car"/>
    <w:basedOn w:val="Fuentedeprrafopredeter"/>
    <w:link w:val="Piedepgina"/>
    <w:uiPriority w:val="99"/>
    <w:rsid w:val="0061735A"/>
    <w:rPr>
      <w:rFonts w:ascii="Arial" w:hAnsi="Arial" w:cs="Arial"/>
      <w:color w:val="808080"/>
      <w:szCs w:val="24"/>
      <w:lang w:val="en-GB"/>
    </w:rPr>
  </w:style>
  <w:style w:type="paragraph" w:styleId="Textoindependiente">
    <w:name w:val="Body Text"/>
    <w:basedOn w:val="Normal"/>
    <w:link w:val="TextoindependienteCar"/>
    <w:uiPriority w:val="99"/>
    <w:semiHidden/>
    <w:unhideWhenUsed/>
    <w:rsid w:val="0022484A"/>
    <w:pPr>
      <w:spacing w:after="120"/>
    </w:pPr>
  </w:style>
  <w:style w:type="character" w:customStyle="1" w:styleId="TextoindependienteCar">
    <w:name w:val="Texto independiente Car"/>
    <w:basedOn w:val="Fuentedeprrafopredeter"/>
    <w:link w:val="Textoindependiente"/>
    <w:uiPriority w:val="99"/>
    <w:semiHidden/>
    <w:rsid w:val="0022484A"/>
    <w:rPr>
      <w:rFonts w:ascii="Arial" w:hAnsi="Arial"/>
      <w:szCs w:val="24"/>
      <w:lang w:val="en-GB"/>
    </w:rPr>
  </w:style>
  <w:style w:type="character" w:styleId="Mencinsinresolver">
    <w:name w:val="Unresolved Mention"/>
    <w:basedOn w:val="Fuentedeprrafopredeter"/>
    <w:uiPriority w:val="99"/>
    <w:semiHidden/>
    <w:unhideWhenUsed/>
    <w:rsid w:val="006D69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35088">
      <w:bodyDiv w:val="1"/>
      <w:marLeft w:val="0"/>
      <w:marRight w:val="0"/>
      <w:marTop w:val="0"/>
      <w:marBottom w:val="0"/>
      <w:divBdr>
        <w:top w:val="none" w:sz="0" w:space="0" w:color="auto"/>
        <w:left w:val="none" w:sz="0" w:space="0" w:color="auto"/>
        <w:bottom w:val="none" w:sz="0" w:space="0" w:color="auto"/>
        <w:right w:val="none" w:sz="0" w:space="0" w:color="auto"/>
      </w:divBdr>
      <w:divsChild>
        <w:div w:id="1452557166">
          <w:marLeft w:val="274"/>
          <w:marRight w:val="0"/>
          <w:marTop w:val="38"/>
          <w:marBottom w:val="0"/>
          <w:divBdr>
            <w:top w:val="none" w:sz="0" w:space="0" w:color="auto"/>
            <w:left w:val="none" w:sz="0" w:space="0" w:color="auto"/>
            <w:bottom w:val="none" w:sz="0" w:space="0" w:color="auto"/>
            <w:right w:val="none" w:sz="0" w:space="0" w:color="auto"/>
          </w:divBdr>
        </w:div>
      </w:divsChild>
    </w:div>
    <w:div w:id="24335208">
      <w:bodyDiv w:val="1"/>
      <w:marLeft w:val="0"/>
      <w:marRight w:val="0"/>
      <w:marTop w:val="0"/>
      <w:marBottom w:val="0"/>
      <w:divBdr>
        <w:top w:val="none" w:sz="0" w:space="0" w:color="auto"/>
        <w:left w:val="none" w:sz="0" w:space="0" w:color="auto"/>
        <w:bottom w:val="none" w:sz="0" w:space="0" w:color="auto"/>
        <w:right w:val="none" w:sz="0" w:space="0" w:color="auto"/>
      </w:divBdr>
      <w:divsChild>
        <w:div w:id="1292515872">
          <w:marLeft w:val="274"/>
          <w:marRight w:val="0"/>
          <w:marTop w:val="38"/>
          <w:marBottom w:val="0"/>
          <w:divBdr>
            <w:top w:val="none" w:sz="0" w:space="0" w:color="auto"/>
            <w:left w:val="none" w:sz="0" w:space="0" w:color="auto"/>
            <w:bottom w:val="none" w:sz="0" w:space="0" w:color="auto"/>
            <w:right w:val="none" w:sz="0" w:space="0" w:color="auto"/>
          </w:divBdr>
        </w:div>
      </w:divsChild>
    </w:div>
    <w:div w:id="28920940">
      <w:bodyDiv w:val="1"/>
      <w:marLeft w:val="0"/>
      <w:marRight w:val="0"/>
      <w:marTop w:val="0"/>
      <w:marBottom w:val="0"/>
      <w:divBdr>
        <w:top w:val="none" w:sz="0" w:space="0" w:color="auto"/>
        <w:left w:val="none" w:sz="0" w:space="0" w:color="auto"/>
        <w:bottom w:val="none" w:sz="0" w:space="0" w:color="auto"/>
        <w:right w:val="none" w:sz="0" w:space="0" w:color="auto"/>
      </w:divBdr>
      <w:divsChild>
        <w:div w:id="854005031">
          <w:marLeft w:val="274"/>
          <w:marRight w:val="0"/>
          <w:marTop w:val="38"/>
          <w:marBottom w:val="0"/>
          <w:divBdr>
            <w:top w:val="none" w:sz="0" w:space="0" w:color="auto"/>
            <w:left w:val="none" w:sz="0" w:space="0" w:color="auto"/>
            <w:bottom w:val="none" w:sz="0" w:space="0" w:color="auto"/>
            <w:right w:val="none" w:sz="0" w:space="0" w:color="auto"/>
          </w:divBdr>
        </w:div>
      </w:divsChild>
    </w:div>
    <w:div w:id="50151999">
      <w:bodyDiv w:val="1"/>
      <w:marLeft w:val="0"/>
      <w:marRight w:val="0"/>
      <w:marTop w:val="0"/>
      <w:marBottom w:val="0"/>
      <w:divBdr>
        <w:top w:val="none" w:sz="0" w:space="0" w:color="auto"/>
        <w:left w:val="none" w:sz="0" w:space="0" w:color="auto"/>
        <w:bottom w:val="none" w:sz="0" w:space="0" w:color="auto"/>
        <w:right w:val="none" w:sz="0" w:space="0" w:color="auto"/>
      </w:divBdr>
      <w:divsChild>
        <w:div w:id="1453596004">
          <w:marLeft w:val="274"/>
          <w:marRight w:val="0"/>
          <w:marTop w:val="38"/>
          <w:marBottom w:val="0"/>
          <w:divBdr>
            <w:top w:val="none" w:sz="0" w:space="0" w:color="auto"/>
            <w:left w:val="none" w:sz="0" w:space="0" w:color="auto"/>
            <w:bottom w:val="none" w:sz="0" w:space="0" w:color="auto"/>
            <w:right w:val="none" w:sz="0" w:space="0" w:color="auto"/>
          </w:divBdr>
        </w:div>
      </w:divsChild>
    </w:div>
    <w:div w:id="50201520">
      <w:bodyDiv w:val="1"/>
      <w:marLeft w:val="0"/>
      <w:marRight w:val="0"/>
      <w:marTop w:val="0"/>
      <w:marBottom w:val="0"/>
      <w:divBdr>
        <w:top w:val="none" w:sz="0" w:space="0" w:color="auto"/>
        <w:left w:val="none" w:sz="0" w:space="0" w:color="auto"/>
        <w:bottom w:val="none" w:sz="0" w:space="0" w:color="auto"/>
        <w:right w:val="none" w:sz="0" w:space="0" w:color="auto"/>
      </w:divBdr>
    </w:div>
    <w:div w:id="62022381">
      <w:bodyDiv w:val="1"/>
      <w:marLeft w:val="0"/>
      <w:marRight w:val="0"/>
      <w:marTop w:val="0"/>
      <w:marBottom w:val="0"/>
      <w:divBdr>
        <w:top w:val="none" w:sz="0" w:space="0" w:color="auto"/>
        <w:left w:val="none" w:sz="0" w:space="0" w:color="auto"/>
        <w:bottom w:val="none" w:sz="0" w:space="0" w:color="auto"/>
        <w:right w:val="none" w:sz="0" w:space="0" w:color="auto"/>
      </w:divBdr>
      <w:divsChild>
        <w:div w:id="627011795">
          <w:marLeft w:val="274"/>
          <w:marRight w:val="0"/>
          <w:marTop w:val="38"/>
          <w:marBottom w:val="0"/>
          <w:divBdr>
            <w:top w:val="none" w:sz="0" w:space="0" w:color="auto"/>
            <w:left w:val="none" w:sz="0" w:space="0" w:color="auto"/>
            <w:bottom w:val="none" w:sz="0" w:space="0" w:color="auto"/>
            <w:right w:val="none" w:sz="0" w:space="0" w:color="auto"/>
          </w:divBdr>
        </w:div>
      </w:divsChild>
    </w:div>
    <w:div w:id="65957626">
      <w:bodyDiv w:val="1"/>
      <w:marLeft w:val="0"/>
      <w:marRight w:val="0"/>
      <w:marTop w:val="0"/>
      <w:marBottom w:val="0"/>
      <w:divBdr>
        <w:top w:val="none" w:sz="0" w:space="0" w:color="auto"/>
        <w:left w:val="none" w:sz="0" w:space="0" w:color="auto"/>
        <w:bottom w:val="none" w:sz="0" w:space="0" w:color="auto"/>
        <w:right w:val="none" w:sz="0" w:space="0" w:color="auto"/>
      </w:divBdr>
    </w:div>
    <w:div w:id="81534307">
      <w:bodyDiv w:val="1"/>
      <w:marLeft w:val="0"/>
      <w:marRight w:val="0"/>
      <w:marTop w:val="0"/>
      <w:marBottom w:val="0"/>
      <w:divBdr>
        <w:top w:val="none" w:sz="0" w:space="0" w:color="auto"/>
        <w:left w:val="none" w:sz="0" w:space="0" w:color="auto"/>
        <w:bottom w:val="none" w:sz="0" w:space="0" w:color="auto"/>
        <w:right w:val="none" w:sz="0" w:space="0" w:color="auto"/>
      </w:divBdr>
    </w:div>
    <w:div w:id="82190520">
      <w:bodyDiv w:val="1"/>
      <w:marLeft w:val="0"/>
      <w:marRight w:val="0"/>
      <w:marTop w:val="0"/>
      <w:marBottom w:val="0"/>
      <w:divBdr>
        <w:top w:val="none" w:sz="0" w:space="0" w:color="auto"/>
        <w:left w:val="none" w:sz="0" w:space="0" w:color="auto"/>
        <w:bottom w:val="none" w:sz="0" w:space="0" w:color="auto"/>
        <w:right w:val="none" w:sz="0" w:space="0" w:color="auto"/>
      </w:divBdr>
      <w:divsChild>
        <w:div w:id="1217005922">
          <w:marLeft w:val="274"/>
          <w:marRight w:val="0"/>
          <w:marTop w:val="38"/>
          <w:marBottom w:val="0"/>
          <w:divBdr>
            <w:top w:val="none" w:sz="0" w:space="0" w:color="auto"/>
            <w:left w:val="none" w:sz="0" w:space="0" w:color="auto"/>
            <w:bottom w:val="none" w:sz="0" w:space="0" w:color="auto"/>
            <w:right w:val="none" w:sz="0" w:space="0" w:color="auto"/>
          </w:divBdr>
        </w:div>
      </w:divsChild>
    </w:div>
    <w:div w:id="100616490">
      <w:bodyDiv w:val="1"/>
      <w:marLeft w:val="0"/>
      <w:marRight w:val="0"/>
      <w:marTop w:val="0"/>
      <w:marBottom w:val="0"/>
      <w:divBdr>
        <w:top w:val="none" w:sz="0" w:space="0" w:color="auto"/>
        <w:left w:val="none" w:sz="0" w:space="0" w:color="auto"/>
        <w:bottom w:val="none" w:sz="0" w:space="0" w:color="auto"/>
        <w:right w:val="none" w:sz="0" w:space="0" w:color="auto"/>
      </w:divBdr>
    </w:div>
    <w:div w:id="108548823">
      <w:bodyDiv w:val="1"/>
      <w:marLeft w:val="0"/>
      <w:marRight w:val="0"/>
      <w:marTop w:val="0"/>
      <w:marBottom w:val="0"/>
      <w:divBdr>
        <w:top w:val="none" w:sz="0" w:space="0" w:color="auto"/>
        <w:left w:val="none" w:sz="0" w:space="0" w:color="auto"/>
        <w:bottom w:val="none" w:sz="0" w:space="0" w:color="auto"/>
        <w:right w:val="none" w:sz="0" w:space="0" w:color="auto"/>
      </w:divBdr>
    </w:div>
    <w:div w:id="112479911">
      <w:bodyDiv w:val="1"/>
      <w:marLeft w:val="0"/>
      <w:marRight w:val="0"/>
      <w:marTop w:val="0"/>
      <w:marBottom w:val="0"/>
      <w:divBdr>
        <w:top w:val="none" w:sz="0" w:space="0" w:color="auto"/>
        <w:left w:val="none" w:sz="0" w:space="0" w:color="auto"/>
        <w:bottom w:val="none" w:sz="0" w:space="0" w:color="auto"/>
        <w:right w:val="none" w:sz="0" w:space="0" w:color="auto"/>
      </w:divBdr>
      <w:divsChild>
        <w:div w:id="16085137">
          <w:marLeft w:val="720"/>
          <w:marRight w:val="0"/>
          <w:marTop w:val="101"/>
          <w:marBottom w:val="101"/>
          <w:divBdr>
            <w:top w:val="none" w:sz="0" w:space="0" w:color="auto"/>
            <w:left w:val="none" w:sz="0" w:space="0" w:color="auto"/>
            <w:bottom w:val="none" w:sz="0" w:space="0" w:color="auto"/>
            <w:right w:val="none" w:sz="0" w:space="0" w:color="auto"/>
          </w:divBdr>
        </w:div>
        <w:div w:id="206993469">
          <w:marLeft w:val="720"/>
          <w:marRight w:val="0"/>
          <w:marTop w:val="101"/>
          <w:marBottom w:val="101"/>
          <w:divBdr>
            <w:top w:val="none" w:sz="0" w:space="0" w:color="auto"/>
            <w:left w:val="none" w:sz="0" w:space="0" w:color="auto"/>
            <w:bottom w:val="none" w:sz="0" w:space="0" w:color="auto"/>
            <w:right w:val="none" w:sz="0" w:space="0" w:color="auto"/>
          </w:divBdr>
        </w:div>
        <w:div w:id="227545217">
          <w:marLeft w:val="0"/>
          <w:marRight w:val="0"/>
          <w:marTop w:val="86"/>
          <w:marBottom w:val="86"/>
          <w:divBdr>
            <w:top w:val="none" w:sz="0" w:space="0" w:color="auto"/>
            <w:left w:val="none" w:sz="0" w:space="0" w:color="auto"/>
            <w:bottom w:val="none" w:sz="0" w:space="0" w:color="auto"/>
            <w:right w:val="none" w:sz="0" w:space="0" w:color="auto"/>
          </w:divBdr>
        </w:div>
        <w:div w:id="366486714">
          <w:marLeft w:val="720"/>
          <w:marRight w:val="0"/>
          <w:marTop w:val="101"/>
          <w:marBottom w:val="101"/>
          <w:divBdr>
            <w:top w:val="none" w:sz="0" w:space="0" w:color="auto"/>
            <w:left w:val="none" w:sz="0" w:space="0" w:color="auto"/>
            <w:bottom w:val="none" w:sz="0" w:space="0" w:color="auto"/>
            <w:right w:val="none" w:sz="0" w:space="0" w:color="auto"/>
          </w:divBdr>
        </w:div>
        <w:div w:id="828248570">
          <w:marLeft w:val="720"/>
          <w:marRight w:val="0"/>
          <w:marTop w:val="101"/>
          <w:marBottom w:val="101"/>
          <w:divBdr>
            <w:top w:val="none" w:sz="0" w:space="0" w:color="auto"/>
            <w:left w:val="none" w:sz="0" w:space="0" w:color="auto"/>
            <w:bottom w:val="none" w:sz="0" w:space="0" w:color="auto"/>
            <w:right w:val="none" w:sz="0" w:space="0" w:color="auto"/>
          </w:divBdr>
        </w:div>
        <w:div w:id="1008748372">
          <w:marLeft w:val="720"/>
          <w:marRight w:val="0"/>
          <w:marTop w:val="101"/>
          <w:marBottom w:val="101"/>
          <w:divBdr>
            <w:top w:val="none" w:sz="0" w:space="0" w:color="auto"/>
            <w:left w:val="none" w:sz="0" w:space="0" w:color="auto"/>
            <w:bottom w:val="none" w:sz="0" w:space="0" w:color="auto"/>
            <w:right w:val="none" w:sz="0" w:space="0" w:color="auto"/>
          </w:divBdr>
        </w:div>
        <w:div w:id="1795371279">
          <w:marLeft w:val="720"/>
          <w:marRight w:val="0"/>
          <w:marTop w:val="101"/>
          <w:marBottom w:val="101"/>
          <w:divBdr>
            <w:top w:val="none" w:sz="0" w:space="0" w:color="auto"/>
            <w:left w:val="none" w:sz="0" w:space="0" w:color="auto"/>
            <w:bottom w:val="none" w:sz="0" w:space="0" w:color="auto"/>
            <w:right w:val="none" w:sz="0" w:space="0" w:color="auto"/>
          </w:divBdr>
        </w:div>
      </w:divsChild>
    </w:div>
    <w:div w:id="115607689">
      <w:bodyDiv w:val="1"/>
      <w:marLeft w:val="0"/>
      <w:marRight w:val="0"/>
      <w:marTop w:val="0"/>
      <w:marBottom w:val="0"/>
      <w:divBdr>
        <w:top w:val="none" w:sz="0" w:space="0" w:color="auto"/>
        <w:left w:val="none" w:sz="0" w:space="0" w:color="auto"/>
        <w:bottom w:val="none" w:sz="0" w:space="0" w:color="auto"/>
        <w:right w:val="none" w:sz="0" w:space="0" w:color="auto"/>
      </w:divBdr>
    </w:div>
    <w:div w:id="119157077">
      <w:bodyDiv w:val="1"/>
      <w:marLeft w:val="0"/>
      <w:marRight w:val="0"/>
      <w:marTop w:val="0"/>
      <w:marBottom w:val="0"/>
      <w:divBdr>
        <w:top w:val="none" w:sz="0" w:space="0" w:color="auto"/>
        <w:left w:val="none" w:sz="0" w:space="0" w:color="auto"/>
        <w:bottom w:val="none" w:sz="0" w:space="0" w:color="auto"/>
        <w:right w:val="none" w:sz="0" w:space="0" w:color="auto"/>
      </w:divBdr>
    </w:div>
    <w:div w:id="121114795">
      <w:bodyDiv w:val="1"/>
      <w:marLeft w:val="0"/>
      <w:marRight w:val="0"/>
      <w:marTop w:val="0"/>
      <w:marBottom w:val="0"/>
      <w:divBdr>
        <w:top w:val="none" w:sz="0" w:space="0" w:color="auto"/>
        <w:left w:val="none" w:sz="0" w:space="0" w:color="auto"/>
        <w:bottom w:val="none" w:sz="0" w:space="0" w:color="auto"/>
        <w:right w:val="none" w:sz="0" w:space="0" w:color="auto"/>
      </w:divBdr>
      <w:divsChild>
        <w:div w:id="1839229983">
          <w:marLeft w:val="274"/>
          <w:marRight w:val="0"/>
          <w:marTop w:val="38"/>
          <w:marBottom w:val="0"/>
          <w:divBdr>
            <w:top w:val="none" w:sz="0" w:space="0" w:color="auto"/>
            <w:left w:val="none" w:sz="0" w:space="0" w:color="auto"/>
            <w:bottom w:val="none" w:sz="0" w:space="0" w:color="auto"/>
            <w:right w:val="none" w:sz="0" w:space="0" w:color="auto"/>
          </w:divBdr>
        </w:div>
      </w:divsChild>
    </w:div>
    <w:div w:id="136344882">
      <w:bodyDiv w:val="1"/>
      <w:marLeft w:val="0"/>
      <w:marRight w:val="0"/>
      <w:marTop w:val="0"/>
      <w:marBottom w:val="0"/>
      <w:divBdr>
        <w:top w:val="none" w:sz="0" w:space="0" w:color="auto"/>
        <w:left w:val="none" w:sz="0" w:space="0" w:color="auto"/>
        <w:bottom w:val="none" w:sz="0" w:space="0" w:color="auto"/>
        <w:right w:val="none" w:sz="0" w:space="0" w:color="auto"/>
      </w:divBdr>
    </w:div>
    <w:div w:id="139467894">
      <w:bodyDiv w:val="1"/>
      <w:marLeft w:val="0"/>
      <w:marRight w:val="0"/>
      <w:marTop w:val="0"/>
      <w:marBottom w:val="0"/>
      <w:divBdr>
        <w:top w:val="none" w:sz="0" w:space="0" w:color="auto"/>
        <w:left w:val="none" w:sz="0" w:space="0" w:color="auto"/>
        <w:bottom w:val="none" w:sz="0" w:space="0" w:color="auto"/>
        <w:right w:val="none" w:sz="0" w:space="0" w:color="auto"/>
      </w:divBdr>
      <w:divsChild>
        <w:div w:id="559051802">
          <w:marLeft w:val="274"/>
          <w:marRight w:val="0"/>
          <w:marTop w:val="38"/>
          <w:marBottom w:val="0"/>
          <w:divBdr>
            <w:top w:val="none" w:sz="0" w:space="0" w:color="auto"/>
            <w:left w:val="none" w:sz="0" w:space="0" w:color="auto"/>
            <w:bottom w:val="none" w:sz="0" w:space="0" w:color="auto"/>
            <w:right w:val="none" w:sz="0" w:space="0" w:color="auto"/>
          </w:divBdr>
        </w:div>
        <w:div w:id="1867909182">
          <w:marLeft w:val="274"/>
          <w:marRight w:val="0"/>
          <w:marTop w:val="38"/>
          <w:marBottom w:val="0"/>
          <w:divBdr>
            <w:top w:val="none" w:sz="0" w:space="0" w:color="auto"/>
            <w:left w:val="none" w:sz="0" w:space="0" w:color="auto"/>
            <w:bottom w:val="none" w:sz="0" w:space="0" w:color="auto"/>
            <w:right w:val="none" w:sz="0" w:space="0" w:color="auto"/>
          </w:divBdr>
        </w:div>
        <w:div w:id="2039618705">
          <w:marLeft w:val="274"/>
          <w:marRight w:val="0"/>
          <w:marTop w:val="38"/>
          <w:marBottom w:val="0"/>
          <w:divBdr>
            <w:top w:val="none" w:sz="0" w:space="0" w:color="auto"/>
            <w:left w:val="none" w:sz="0" w:space="0" w:color="auto"/>
            <w:bottom w:val="none" w:sz="0" w:space="0" w:color="auto"/>
            <w:right w:val="none" w:sz="0" w:space="0" w:color="auto"/>
          </w:divBdr>
        </w:div>
      </w:divsChild>
    </w:div>
    <w:div w:id="146478560">
      <w:bodyDiv w:val="1"/>
      <w:marLeft w:val="0"/>
      <w:marRight w:val="0"/>
      <w:marTop w:val="0"/>
      <w:marBottom w:val="0"/>
      <w:divBdr>
        <w:top w:val="none" w:sz="0" w:space="0" w:color="auto"/>
        <w:left w:val="none" w:sz="0" w:space="0" w:color="auto"/>
        <w:bottom w:val="none" w:sz="0" w:space="0" w:color="auto"/>
        <w:right w:val="none" w:sz="0" w:space="0" w:color="auto"/>
      </w:divBdr>
    </w:div>
    <w:div w:id="148327699">
      <w:bodyDiv w:val="1"/>
      <w:marLeft w:val="0"/>
      <w:marRight w:val="0"/>
      <w:marTop w:val="0"/>
      <w:marBottom w:val="0"/>
      <w:divBdr>
        <w:top w:val="none" w:sz="0" w:space="0" w:color="auto"/>
        <w:left w:val="none" w:sz="0" w:space="0" w:color="auto"/>
        <w:bottom w:val="none" w:sz="0" w:space="0" w:color="auto"/>
        <w:right w:val="none" w:sz="0" w:space="0" w:color="auto"/>
      </w:divBdr>
      <w:divsChild>
        <w:div w:id="847331512">
          <w:marLeft w:val="274"/>
          <w:marRight w:val="0"/>
          <w:marTop w:val="0"/>
          <w:marBottom w:val="0"/>
          <w:divBdr>
            <w:top w:val="none" w:sz="0" w:space="0" w:color="auto"/>
            <w:left w:val="none" w:sz="0" w:space="0" w:color="auto"/>
            <w:bottom w:val="none" w:sz="0" w:space="0" w:color="auto"/>
            <w:right w:val="none" w:sz="0" w:space="0" w:color="auto"/>
          </w:divBdr>
        </w:div>
        <w:div w:id="1154948413">
          <w:marLeft w:val="994"/>
          <w:marRight w:val="0"/>
          <w:marTop w:val="0"/>
          <w:marBottom w:val="0"/>
          <w:divBdr>
            <w:top w:val="none" w:sz="0" w:space="0" w:color="auto"/>
            <w:left w:val="none" w:sz="0" w:space="0" w:color="auto"/>
            <w:bottom w:val="none" w:sz="0" w:space="0" w:color="auto"/>
            <w:right w:val="none" w:sz="0" w:space="0" w:color="auto"/>
          </w:divBdr>
        </w:div>
        <w:div w:id="1429352506">
          <w:marLeft w:val="274"/>
          <w:marRight w:val="0"/>
          <w:marTop w:val="0"/>
          <w:marBottom w:val="0"/>
          <w:divBdr>
            <w:top w:val="none" w:sz="0" w:space="0" w:color="auto"/>
            <w:left w:val="none" w:sz="0" w:space="0" w:color="auto"/>
            <w:bottom w:val="none" w:sz="0" w:space="0" w:color="auto"/>
            <w:right w:val="none" w:sz="0" w:space="0" w:color="auto"/>
          </w:divBdr>
        </w:div>
        <w:div w:id="1688753955">
          <w:marLeft w:val="994"/>
          <w:marRight w:val="0"/>
          <w:marTop w:val="0"/>
          <w:marBottom w:val="0"/>
          <w:divBdr>
            <w:top w:val="none" w:sz="0" w:space="0" w:color="auto"/>
            <w:left w:val="none" w:sz="0" w:space="0" w:color="auto"/>
            <w:bottom w:val="none" w:sz="0" w:space="0" w:color="auto"/>
            <w:right w:val="none" w:sz="0" w:space="0" w:color="auto"/>
          </w:divBdr>
        </w:div>
        <w:div w:id="1734768015">
          <w:marLeft w:val="994"/>
          <w:marRight w:val="0"/>
          <w:marTop w:val="0"/>
          <w:marBottom w:val="0"/>
          <w:divBdr>
            <w:top w:val="none" w:sz="0" w:space="0" w:color="auto"/>
            <w:left w:val="none" w:sz="0" w:space="0" w:color="auto"/>
            <w:bottom w:val="none" w:sz="0" w:space="0" w:color="auto"/>
            <w:right w:val="none" w:sz="0" w:space="0" w:color="auto"/>
          </w:divBdr>
        </w:div>
      </w:divsChild>
    </w:div>
    <w:div w:id="165754098">
      <w:bodyDiv w:val="1"/>
      <w:marLeft w:val="0"/>
      <w:marRight w:val="0"/>
      <w:marTop w:val="0"/>
      <w:marBottom w:val="0"/>
      <w:divBdr>
        <w:top w:val="none" w:sz="0" w:space="0" w:color="auto"/>
        <w:left w:val="none" w:sz="0" w:space="0" w:color="auto"/>
        <w:bottom w:val="none" w:sz="0" w:space="0" w:color="auto"/>
        <w:right w:val="none" w:sz="0" w:space="0" w:color="auto"/>
      </w:divBdr>
      <w:divsChild>
        <w:div w:id="1804232902">
          <w:marLeft w:val="274"/>
          <w:marRight w:val="0"/>
          <w:marTop w:val="38"/>
          <w:marBottom w:val="0"/>
          <w:divBdr>
            <w:top w:val="none" w:sz="0" w:space="0" w:color="auto"/>
            <w:left w:val="none" w:sz="0" w:space="0" w:color="auto"/>
            <w:bottom w:val="none" w:sz="0" w:space="0" w:color="auto"/>
            <w:right w:val="none" w:sz="0" w:space="0" w:color="auto"/>
          </w:divBdr>
        </w:div>
      </w:divsChild>
    </w:div>
    <w:div w:id="166675166">
      <w:bodyDiv w:val="1"/>
      <w:marLeft w:val="0"/>
      <w:marRight w:val="0"/>
      <w:marTop w:val="0"/>
      <w:marBottom w:val="0"/>
      <w:divBdr>
        <w:top w:val="none" w:sz="0" w:space="0" w:color="auto"/>
        <w:left w:val="none" w:sz="0" w:space="0" w:color="auto"/>
        <w:bottom w:val="none" w:sz="0" w:space="0" w:color="auto"/>
        <w:right w:val="none" w:sz="0" w:space="0" w:color="auto"/>
      </w:divBdr>
    </w:div>
    <w:div w:id="169375782">
      <w:bodyDiv w:val="1"/>
      <w:marLeft w:val="0"/>
      <w:marRight w:val="0"/>
      <w:marTop w:val="0"/>
      <w:marBottom w:val="0"/>
      <w:divBdr>
        <w:top w:val="none" w:sz="0" w:space="0" w:color="auto"/>
        <w:left w:val="none" w:sz="0" w:space="0" w:color="auto"/>
        <w:bottom w:val="none" w:sz="0" w:space="0" w:color="auto"/>
        <w:right w:val="none" w:sz="0" w:space="0" w:color="auto"/>
      </w:divBdr>
    </w:div>
    <w:div w:id="169836031">
      <w:bodyDiv w:val="1"/>
      <w:marLeft w:val="0"/>
      <w:marRight w:val="0"/>
      <w:marTop w:val="0"/>
      <w:marBottom w:val="0"/>
      <w:divBdr>
        <w:top w:val="none" w:sz="0" w:space="0" w:color="auto"/>
        <w:left w:val="none" w:sz="0" w:space="0" w:color="auto"/>
        <w:bottom w:val="none" w:sz="0" w:space="0" w:color="auto"/>
        <w:right w:val="none" w:sz="0" w:space="0" w:color="auto"/>
      </w:divBdr>
    </w:div>
    <w:div w:id="171990215">
      <w:bodyDiv w:val="1"/>
      <w:marLeft w:val="0"/>
      <w:marRight w:val="0"/>
      <w:marTop w:val="0"/>
      <w:marBottom w:val="0"/>
      <w:divBdr>
        <w:top w:val="none" w:sz="0" w:space="0" w:color="auto"/>
        <w:left w:val="none" w:sz="0" w:space="0" w:color="auto"/>
        <w:bottom w:val="none" w:sz="0" w:space="0" w:color="auto"/>
        <w:right w:val="none" w:sz="0" w:space="0" w:color="auto"/>
      </w:divBdr>
    </w:div>
    <w:div w:id="179853822">
      <w:bodyDiv w:val="1"/>
      <w:marLeft w:val="0"/>
      <w:marRight w:val="0"/>
      <w:marTop w:val="0"/>
      <w:marBottom w:val="0"/>
      <w:divBdr>
        <w:top w:val="none" w:sz="0" w:space="0" w:color="auto"/>
        <w:left w:val="none" w:sz="0" w:space="0" w:color="auto"/>
        <w:bottom w:val="none" w:sz="0" w:space="0" w:color="auto"/>
        <w:right w:val="none" w:sz="0" w:space="0" w:color="auto"/>
      </w:divBdr>
      <w:divsChild>
        <w:div w:id="717709179">
          <w:marLeft w:val="274"/>
          <w:marRight w:val="0"/>
          <w:marTop w:val="38"/>
          <w:marBottom w:val="0"/>
          <w:divBdr>
            <w:top w:val="none" w:sz="0" w:space="0" w:color="auto"/>
            <w:left w:val="none" w:sz="0" w:space="0" w:color="auto"/>
            <w:bottom w:val="none" w:sz="0" w:space="0" w:color="auto"/>
            <w:right w:val="none" w:sz="0" w:space="0" w:color="auto"/>
          </w:divBdr>
        </w:div>
      </w:divsChild>
    </w:div>
    <w:div w:id="189804692">
      <w:bodyDiv w:val="1"/>
      <w:marLeft w:val="0"/>
      <w:marRight w:val="0"/>
      <w:marTop w:val="0"/>
      <w:marBottom w:val="0"/>
      <w:divBdr>
        <w:top w:val="none" w:sz="0" w:space="0" w:color="auto"/>
        <w:left w:val="none" w:sz="0" w:space="0" w:color="auto"/>
        <w:bottom w:val="none" w:sz="0" w:space="0" w:color="auto"/>
        <w:right w:val="none" w:sz="0" w:space="0" w:color="auto"/>
      </w:divBdr>
      <w:divsChild>
        <w:div w:id="1454900792">
          <w:marLeft w:val="547"/>
          <w:marRight w:val="0"/>
          <w:marTop w:val="86"/>
          <w:marBottom w:val="0"/>
          <w:divBdr>
            <w:top w:val="none" w:sz="0" w:space="0" w:color="auto"/>
            <w:left w:val="none" w:sz="0" w:space="0" w:color="auto"/>
            <w:bottom w:val="none" w:sz="0" w:space="0" w:color="auto"/>
            <w:right w:val="none" w:sz="0" w:space="0" w:color="auto"/>
          </w:divBdr>
        </w:div>
      </w:divsChild>
    </w:div>
    <w:div w:id="190536665">
      <w:bodyDiv w:val="1"/>
      <w:marLeft w:val="0"/>
      <w:marRight w:val="0"/>
      <w:marTop w:val="0"/>
      <w:marBottom w:val="0"/>
      <w:divBdr>
        <w:top w:val="none" w:sz="0" w:space="0" w:color="auto"/>
        <w:left w:val="none" w:sz="0" w:space="0" w:color="auto"/>
        <w:bottom w:val="none" w:sz="0" w:space="0" w:color="auto"/>
        <w:right w:val="none" w:sz="0" w:space="0" w:color="auto"/>
      </w:divBdr>
    </w:div>
    <w:div w:id="192962034">
      <w:bodyDiv w:val="1"/>
      <w:marLeft w:val="0"/>
      <w:marRight w:val="0"/>
      <w:marTop w:val="0"/>
      <w:marBottom w:val="0"/>
      <w:divBdr>
        <w:top w:val="none" w:sz="0" w:space="0" w:color="auto"/>
        <w:left w:val="none" w:sz="0" w:space="0" w:color="auto"/>
        <w:bottom w:val="none" w:sz="0" w:space="0" w:color="auto"/>
        <w:right w:val="none" w:sz="0" w:space="0" w:color="auto"/>
      </w:divBdr>
      <w:divsChild>
        <w:div w:id="475803057">
          <w:marLeft w:val="274"/>
          <w:marRight w:val="0"/>
          <w:marTop w:val="38"/>
          <w:marBottom w:val="0"/>
          <w:divBdr>
            <w:top w:val="none" w:sz="0" w:space="0" w:color="auto"/>
            <w:left w:val="none" w:sz="0" w:space="0" w:color="auto"/>
            <w:bottom w:val="none" w:sz="0" w:space="0" w:color="auto"/>
            <w:right w:val="none" w:sz="0" w:space="0" w:color="auto"/>
          </w:divBdr>
        </w:div>
        <w:div w:id="1688166704">
          <w:marLeft w:val="274"/>
          <w:marRight w:val="0"/>
          <w:marTop w:val="38"/>
          <w:marBottom w:val="0"/>
          <w:divBdr>
            <w:top w:val="none" w:sz="0" w:space="0" w:color="auto"/>
            <w:left w:val="none" w:sz="0" w:space="0" w:color="auto"/>
            <w:bottom w:val="none" w:sz="0" w:space="0" w:color="auto"/>
            <w:right w:val="none" w:sz="0" w:space="0" w:color="auto"/>
          </w:divBdr>
        </w:div>
      </w:divsChild>
    </w:div>
    <w:div w:id="195434971">
      <w:bodyDiv w:val="1"/>
      <w:marLeft w:val="0"/>
      <w:marRight w:val="0"/>
      <w:marTop w:val="0"/>
      <w:marBottom w:val="0"/>
      <w:divBdr>
        <w:top w:val="none" w:sz="0" w:space="0" w:color="auto"/>
        <w:left w:val="none" w:sz="0" w:space="0" w:color="auto"/>
        <w:bottom w:val="none" w:sz="0" w:space="0" w:color="auto"/>
        <w:right w:val="none" w:sz="0" w:space="0" w:color="auto"/>
      </w:divBdr>
      <w:divsChild>
        <w:div w:id="1789814024">
          <w:marLeft w:val="274"/>
          <w:marRight w:val="0"/>
          <w:marTop w:val="38"/>
          <w:marBottom w:val="0"/>
          <w:divBdr>
            <w:top w:val="none" w:sz="0" w:space="0" w:color="auto"/>
            <w:left w:val="none" w:sz="0" w:space="0" w:color="auto"/>
            <w:bottom w:val="none" w:sz="0" w:space="0" w:color="auto"/>
            <w:right w:val="none" w:sz="0" w:space="0" w:color="auto"/>
          </w:divBdr>
        </w:div>
      </w:divsChild>
    </w:div>
    <w:div w:id="200559818">
      <w:bodyDiv w:val="1"/>
      <w:marLeft w:val="0"/>
      <w:marRight w:val="0"/>
      <w:marTop w:val="0"/>
      <w:marBottom w:val="0"/>
      <w:divBdr>
        <w:top w:val="none" w:sz="0" w:space="0" w:color="auto"/>
        <w:left w:val="none" w:sz="0" w:space="0" w:color="auto"/>
        <w:bottom w:val="none" w:sz="0" w:space="0" w:color="auto"/>
        <w:right w:val="none" w:sz="0" w:space="0" w:color="auto"/>
      </w:divBdr>
      <w:divsChild>
        <w:div w:id="1755082620">
          <w:marLeft w:val="274"/>
          <w:marRight w:val="0"/>
          <w:marTop w:val="38"/>
          <w:marBottom w:val="0"/>
          <w:divBdr>
            <w:top w:val="none" w:sz="0" w:space="0" w:color="auto"/>
            <w:left w:val="none" w:sz="0" w:space="0" w:color="auto"/>
            <w:bottom w:val="none" w:sz="0" w:space="0" w:color="auto"/>
            <w:right w:val="none" w:sz="0" w:space="0" w:color="auto"/>
          </w:divBdr>
        </w:div>
      </w:divsChild>
    </w:div>
    <w:div w:id="220949829">
      <w:bodyDiv w:val="1"/>
      <w:marLeft w:val="0"/>
      <w:marRight w:val="0"/>
      <w:marTop w:val="0"/>
      <w:marBottom w:val="0"/>
      <w:divBdr>
        <w:top w:val="none" w:sz="0" w:space="0" w:color="auto"/>
        <w:left w:val="none" w:sz="0" w:space="0" w:color="auto"/>
        <w:bottom w:val="none" w:sz="0" w:space="0" w:color="auto"/>
        <w:right w:val="none" w:sz="0" w:space="0" w:color="auto"/>
      </w:divBdr>
      <w:divsChild>
        <w:div w:id="591936556">
          <w:marLeft w:val="274"/>
          <w:marRight w:val="0"/>
          <w:marTop w:val="38"/>
          <w:marBottom w:val="0"/>
          <w:divBdr>
            <w:top w:val="none" w:sz="0" w:space="0" w:color="auto"/>
            <w:left w:val="none" w:sz="0" w:space="0" w:color="auto"/>
            <w:bottom w:val="none" w:sz="0" w:space="0" w:color="auto"/>
            <w:right w:val="none" w:sz="0" w:space="0" w:color="auto"/>
          </w:divBdr>
        </w:div>
      </w:divsChild>
    </w:div>
    <w:div w:id="221449496">
      <w:bodyDiv w:val="1"/>
      <w:marLeft w:val="0"/>
      <w:marRight w:val="0"/>
      <w:marTop w:val="0"/>
      <w:marBottom w:val="0"/>
      <w:divBdr>
        <w:top w:val="none" w:sz="0" w:space="0" w:color="auto"/>
        <w:left w:val="none" w:sz="0" w:space="0" w:color="auto"/>
        <w:bottom w:val="none" w:sz="0" w:space="0" w:color="auto"/>
        <w:right w:val="none" w:sz="0" w:space="0" w:color="auto"/>
      </w:divBdr>
      <w:divsChild>
        <w:div w:id="941256342">
          <w:marLeft w:val="274"/>
          <w:marRight w:val="0"/>
          <w:marTop w:val="38"/>
          <w:marBottom w:val="0"/>
          <w:divBdr>
            <w:top w:val="none" w:sz="0" w:space="0" w:color="auto"/>
            <w:left w:val="none" w:sz="0" w:space="0" w:color="auto"/>
            <w:bottom w:val="none" w:sz="0" w:space="0" w:color="auto"/>
            <w:right w:val="none" w:sz="0" w:space="0" w:color="auto"/>
          </w:divBdr>
        </w:div>
        <w:div w:id="1741054991">
          <w:marLeft w:val="274"/>
          <w:marRight w:val="0"/>
          <w:marTop w:val="38"/>
          <w:marBottom w:val="0"/>
          <w:divBdr>
            <w:top w:val="none" w:sz="0" w:space="0" w:color="auto"/>
            <w:left w:val="none" w:sz="0" w:space="0" w:color="auto"/>
            <w:bottom w:val="none" w:sz="0" w:space="0" w:color="auto"/>
            <w:right w:val="none" w:sz="0" w:space="0" w:color="auto"/>
          </w:divBdr>
        </w:div>
        <w:div w:id="1771705993">
          <w:marLeft w:val="274"/>
          <w:marRight w:val="0"/>
          <w:marTop w:val="38"/>
          <w:marBottom w:val="0"/>
          <w:divBdr>
            <w:top w:val="none" w:sz="0" w:space="0" w:color="auto"/>
            <w:left w:val="none" w:sz="0" w:space="0" w:color="auto"/>
            <w:bottom w:val="none" w:sz="0" w:space="0" w:color="auto"/>
            <w:right w:val="none" w:sz="0" w:space="0" w:color="auto"/>
          </w:divBdr>
        </w:div>
      </w:divsChild>
    </w:div>
    <w:div w:id="223227019">
      <w:bodyDiv w:val="1"/>
      <w:marLeft w:val="0"/>
      <w:marRight w:val="0"/>
      <w:marTop w:val="0"/>
      <w:marBottom w:val="0"/>
      <w:divBdr>
        <w:top w:val="none" w:sz="0" w:space="0" w:color="auto"/>
        <w:left w:val="none" w:sz="0" w:space="0" w:color="auto"/>
        <w:bottom w:val="none" w:sz="0" w:space="0" w:color="auto"/>
        <w:right w:val="none" w:sz="0" w:space="0" w:color="auto"/>
      </w:divBdr>
      <w:divsChild>
        <w:div w:id="2110544883">
          <w:marLeft w:val="274"/>
          <w:marRight w:val="0"/>
          <w:marTop w:val="38"/>
          <w:marBottom w:val="0"/>
          <w:divBdr>
            <w:top w:val="none" w:sz="0" w:space="0" w:color="auto"/>
            <w:left w:val="none" w:sz="0" w:space="0" w:color="auto"/>
            <w:bottom w:val="none" w:sz="0" w:space="0" w:color="auto"/>
            <w:right w:val="none" w:sz="0" w:space="0" w:color="auto"/>
          </w:divBdr>
        </w:div>
      </w:divsChild>
    </w:div>
    <w:div w:id="225654692">
      <w:bodyDiv w:val="1"/>
      <w:marLeft w:val="0"/>
      <w:marRight w:val="0"/>
      <w:marTop w:val="0"/>
      <w:marBottom w:val="0"/>
      <w:divBdr>
        <w:top w:val="none" w:sz="0" w:space="0" w:color="auto"/>
        <w:left w:val="none" w:sz="0" w:space="0" w:color="auto"/>
        <w:bottom w:val="none" w:sz="0" w:space="0" w:color="auto"/>
        <w:right w:val="none" w:sz="0" w:space="0" w:color="auto"/>
      </w:divBdr>
      <w:divsChild>
        <w:div w:id="1540320968">
          <w:marLeft w:val="274"/>
          <w:marRight w:val="0"/>
          <w:marTop w:val="38"/>
          <w:marBottom w:val="0"/>
          <w:divBdr>
            <w:top w:val="none" w:sz="0" w:space="0" w:color="auto"/>
            <w:left w:val="none" w:sz="0" w:space="0" w:color="auto"/>
            <w:bottom w:val="none" w:sz="0" w:space="0" w:color="auto"/>
            <w:right w:val="none" w:sz="0" w:space="0" w:color="auto"/>
          </w:divBdr>
        </w:div>
      </w:divsChild>
    </w:div>
    <w:div w:id="234634337">
      <w:bodyDiv w:val="1"/>
      <w:marLeft w:val="0"/>
      <w:marRight w:val="0"/>
      <w:marTop w:val="0"/>
      <w:marBottom w:val="0"/>
      <w:divBdr>
        <w:top w:val="none" w:sz="0" w:space="0" w:color="auto"/>
        <w:left w:val="none" w:sz="0" w:space="0" w:color="auto"/>
        <w:bottom w:val="none" w:sz="0" w:space="0" w:color="auto"/>
        <w:right w:val="none" w:sz="0" w:space="0" w:color="auto"/>
      </w:divBdr>
    </w:div>
    <w:div w:id="249508243">
      <w:bodyDiv w:val="1"/>
      <w:marLeft w:val="0"/>
      <w:marRight w:val="0"/>
      <w:marTop w:val="0"/>
      <w:marBottom w:val="0"/>
      <w:divBdr>
        <w:top w:val="none" w:sz="0" w:space="0" w:color="auto"/>
        <w:left w:val="none" w:sz="0" w:space="0" w:color="auto"/>
        <w:bottom w:val="none" w:sz="0" w:space="0" w:color="auto"/>
        <w:right w:val="none" w:sz="0" w:space="0" w:color="auto"/>
      </w:divBdr>
      <w:divsChild>
        <w:div w:id="1926717547">
          <w:marLeft w:val="274"/>
          <w:marRight w:val="0"/>
          <w:marTop w:val="38"/>
          <w:marBottom w:val="0"/>
          <w:divBdr>
            <w:top w:val="none" w:sz="0" w:space="0" w:color="auto"/>
            <w:left w:val="none" w:sz="0" w:space="0" w:color="auto"/>
            <w:bottom w:val="none" w:sz="0" w:space="0" w:color="auto"/>
            <w:right w:val="none" w:sz="0" w:space="0" w:color="auto"/>
          </w:divBdr>
        </w:div>
      </w:divsChild>
    </w:div>
    <w:div w:id="257713841">
      <w:bodyDiv w:val="1"/>
      <w:marLeft w:val="0"/>
      <w:marRight w:val="0"/>
      <w:marTop w:val="0"/>
      <w:marBottom w:val="0"/>
      <w:divBdr>
        <w:top w:val="none" w:sz="0" w:space="0" w:color="auto"/>
        <w:left w:val="none" w:sz="0" w:space="0" w:color="auto"/>
        <w:bottom w:val="none" w:sz="0" w:space="0" w:color="auto"/>
        <w:right w:val="none" w:sz="0" w:space="0" w:color="auto"/>
      </w:divBdr>
      <w:divsChild>
        <w:div w:id="39745890">
          <w:marLeft w:val="274"/>
          <w:marRight w:val="0"/>
          <w:marTop w:val="38"/>
          <w:marBottom w:val="0"/>
          <w:divBdr>
            <w:top w:val="none" w:sz="0" w:space="0" w:color="auto"/>
            <w:left w:val="none" w:sz="0" w:space="0" w:color="auto"/>
            <w:bottom w:val="none" w:sz="0" w:space="0" w:color="auto"/>
            <w:right w:val="none" w:sz="0" w:space="0" w:color="auto"/>
          </w:divBdr>
        </w:div>
        <w:div w:id="236592711">
          <w:marLeft w:val="274"/>
          <w:marRight w:val="0"/>
          <w:marTop w:val="38"/>
          <w:marBottom w:val="0"/>
          <w:divBdr>
            <w:top w:val="none" w:sz="0" w:space="0" w:color="auto"/>
            <w:left w:val="none" w:sz="0" w:space="0" w:color="auto"/>
            <w:bottom w:val="none" w:sz="0" w:space="0" w:color="auto"/>
            <w:right w:val="none" w:sz="0" w:space="0" w:color="auto"/>
          </w:divBdr>
        </w:div>
        <w:div w:id="266038356">
          <w:marLeft w:val="274"/>
          <w:marRight w:val="0"/>
          <w:marTop w:val="38"/>
          <w:marBottom w:val="0"/>
          <w:divBdr>
            <w:top w:val="none" w:sz="0" w:space="0" w:color="auto"/>
            <w:left w:val="none" w:sz="0" w:space="0" w:color="auto"/>
            <w:bottom w:val="none" w:sz="0" w:space="0" w:color="auto"/>
            <w:right w:val="none" w:sz="0" w:space="0" w:color="auto"/>
          </w:divBdr>
        </w:div>
      </w:divsChild>
    </w:div>
    <w:div w:id="265695661">
      <w:bodyDiv w:val="1"/>
      <w:marLeft w:val="0"/>
      <w:marRight w:val="0"/>
      <w:marTop w:val="0"/>
      <w:marBottom w:val="0"/>
      <w:divBdr>
        <w:top w:val="none" w:sz="0" w:space="0" w:color="auto"/>
        <w:left w:val="none" w:sz="0" w:space="0" w:color="auto"/>
        <w:bottom w:val="none" w:sz="0" w:space="0" w:color="auto"/>
        <w:right w:val="none" w:sz="0" w:space="0" w:color="auto"/>
      </w:divBdr>
      <w:divsChild>
        <w:div w:id="2069379303">
          <w:marLeft w:val="274"/>
          <w:marRight w:val="0"/>
          <w:marTop w:val="38"/>
          <w:marBottom w:val="0"/>
          <w:divBdr>
            <w:top w:val="none" w:sz="0" w:space="0" w:color="auto"/>
            <w:left w:val="none" w:sz="0" w:space="0" w:color="auto"/>
            <w:bottom w:val="none" w:sz="0" w:space="0" w:color="auto"/>
            <w:right w:val="none" w:sz="0" w:space="0" w:color="auto"/>
          </w:divBdr>
        </w:div>
      </w:divsChild>
    </w:div>
    <w:div w:id="266347839">
      <w:bodyDiv w:val="1"/>
      <w:marLeft w:val="0"/>
      <w:marRight w:val="0"/>
      <w:marTop w:val="0"/>
      <w:marBottom w:val="0"/>
      <w:divBdr>
        <w:top w:val="none" w:sz="0" w:space="0" w:color="auto"/>
        <w:left w:val="none" w:sz="0" w:space="0" w:color="auto"/>
        <w:bottom w:val="none" w:sz="0" w:space="0" w:color="auto"/>
        <w:right w:val="none" w:sz="0" w:space="0" w:color="auto"/>
      </w:divBdr>
      <w:divsChild>
        <w:div w:id="1062754524">
          <w:marLeft w:val="547"/>
          <w:marRight w:val="0"/>
          <w:marTop w:val="67"/>
          <w:marBottom w:val="0"/>
          <w:divBdr>
            <w:top w:val="none" w:sz="0" w:space="0" w:color="auto"/>
            <w:left w:val="none" w:sz="0" w:space="0" w:color="auto"/>
            <w:bottom w:val="none" w:sz="0" w:space="0" w:color="auto"/>
            <w:right w:val="none" w:sz="0" w:space="0" w:color="auto"/>
          </w:divBdr>
        </w:div>
      </w:divsChild>
    </w:div>
    <w:div w:id="268396888">
      <w:bodyDiv w:val="1"/>
      <w:marLeft w:val="0"/>
      <w:marRight w:val="0"/>
      <w:marTop w:val="0"/>
      <w:marBottom w:val="0"/>
      <w:divBdr>
        <w:top w:val="none" w:sz="0" w:space="0" w:color="auto"/>
        <w:left w:val="none" w:sz="0" w:space="0" w:color="auto"/>
        <w:bottom w:val="none" w:sz="0" w:space="0" w:color="auto"/>
        <w:right w:val="none" w:sz="0" w:space="0" w:color="auto"/>
      </w:divBdr>
      <w:divsChild>
        <w:div w:id="632909245">
          <w:marLeft w:val="274"/>
          <w:marRight w:val="0"/>
          <w:marTop w:val="38"/>
          <w:marBottom w:val="0"/>
          <w:divBdr>
            <w:top w:val="none" w:sz="0" w:space="0" w:color="auto"/>
            <w:left w:val="none" w:sz="0" w:space="0" w:color="auto"/>
            <w:bottom w:val="none" w:sz="0" w:space="0" w:color="auto"/>
            <w:right w:val="none" w:sz="0" w:space="0" w:color="auto"/>
          </w:divBdr>
        </w:div>
        <w:div w:id="798453197">
          <w:marLeft w:val="274"/>
          <w:marRight w:val="0"/>
          <w:marTop w:val="38"/>
          <w:marBottom w:val="0"/>
          <w:divBdr>
            <w:top w:val="none" w:sz="0" w:space="0" w:color="auto"/>
            <w:left w:val="none" w:sz="0" w:space="0" w:color="auto"/>
            <w:bottom w:val="none" w:sz="0" w:space="0" w:color="auto"/>
            <w:right w:val="none" w:sz="0" w:space="0" w:color="auto"/>
          </w:divBdr>
        </w:div>
        <w:div w:id="945308713">
          <w:marLeft w:val="274"/>
          <w:marRight w:val="0"/>
          <w:marTop w:val="38"/>
          <w:marBottom w:val="0"/>
          <w:divBdr>
            <w:top w:val="none" w:sz="0" w:space="0" w:color="auto"/>
            <w:left w:val="none" w:sz="0" w:space="0" w:color="auto"/>
            <w:bottom w:val="none" w:sz="0" w:space="0" w:color="auto"/>
            <w:right w:val="none" w:sz="0" w:space="0" w:color="auto"/>
          </w:divBdr>
        </w:div>
        <w:div w:id="1035813897">
          <w:marLeft w:val="274"/>
          <w:marRight w:val="0"/>
          <w:marTop w:val="38"/>
          <w:marBottom w:val="0"/>
          <w:divBdr>
            <w:top w:val="none" w:sz="0" w:space="0" w:color="auto"/>
            <w:left w:val="none" w:sz="0" w:space="0" w:color="auto"/>
            <w:bottom w:val="none" w:sz="0" w:space="0" w:color="auto"/>
            <w:right w:val="none" w:sz="0" w:space="0" w:color="auto"/>
          </w:divBdr>
        </w:div>
        <w:div w:id="1145128453">
          <w:marLeft w:val="274"/>
          <w:marRight w:val="0"/>
          <w:marTop w:val="38"/>
          <w:marBottom w:val="0"/>
          <w:divBdr>
            <w:top w:val="none" w:sz="0" w:space="0" w:color="auto"/>
            <w:left w:val="none" w:sz="0" w:space="0" w:color="auto"/>
            <w:bottom w:val="none" w:sz="0" w:space="0" w:color="auto"/>
            <w:right w:val="none" w:sz="0" w:space="0" w:color="auto"/>
          </w:divBdr>
        </w:div>
      </w:divsChild>
    </w:div>
    <w:div w:id="274291112">
      <w:bodyDiv w:val="1"/>
      <w:marLeft w:val="0"/>
      <w:marRight w:val="0"/>
      <w:marTop w:val="0"/>
      <w:marBottom w:val="0"/>
      <w:divBdr>
        <w:top w:val="none" w:sz="0" w:space="0" w:color="auto"/>
        <w:left w:val="none" w:sz="0" w:space="0" w:color="auto"/>
        <w:bottom w:val="none" w:sz="0" w:space="0" w:color="auto"/>
        <w:right w:val="none" w:sz="0" w:space="0" w:color="auto"/>
      </w:divBdr>
      <w:divsChild>
        <w:div w:id="991564682">
          <w:marLeft w:val="274"/>
          <w:marRight w:val="0"/>
          <w:marTop w:val="38"/>
          <w:marBottom w:val="0"/>
          <w:divBdr>
            <w:top w:val="none" w:sz="0" w:space="0" w:color="auto"/>
            <w:left w:val="none" w:sz="0" w:space="0" w:color="auto"/>
            <w:bottom w:val="none" w:sz="0" w:space="0" w:color="auto"/>
            <w:right w:val="none" w:sz="0" w:space="0" w:color="auto"/>
          </w:divBdr>
        </w:div>
        <w:div w:id="1412236614">
          <w:marLeft w:val="274"/>
          <w:marRight w:val="0"/>
          <w:marTop w:val="38"/>
          <w:marBottom w:val="0"/>
          <w:divBdr>
            <w:top w:val="none" w:sz="0" w:space="0" w:color="auto"/>
            <w:left w:val="none" w:sz="0" w:space="0" w:color="auto"/>
            <w:bottom w:val="none" w:sz="0" w:space="0" w:color="auto"/>
            <w:right w:val="none" w:sz="0" w:space="0" w:color="auto"/>
          </w:divBdr>
        </w:div>
        <w:div w:id="1828666973">
          <w:marLeft w:val="274"/>
          <w:marRight w:val="0"/>
          <w:marTop w:val="38"/>
          <w:marBottom w:val="0"/>
          <w:divBdr>
            <w:top w:val="none" w:sz="0" w:space="0" w:color="auto"/>
            <w:left w:val="none" w:sz="0" w:space="0" w:color="auto"/>
            <w:bottom w:val="none" w:sz="0" w:space="0" w:color="auto"/>
            <w:right w:val="none" w:sz="0" w:space="0" w:color="auto"/>
          </w:divBdr>
        </w:div>
        <w:div w:id="2108305866">
          <w:marLeft w:val="274"/>
          <w:marRight w:val="0"/>
          <w:marTop w:val="38"/>
          <w:marBottom w:val="0"/>
          <w:divBdr>
            <w:top w:val="none" w:sz="0" w:space="0" w:color="auto"/>
            <w:left w:val="none" w:sz="0" w:space="0" w:color="auto"/>
            <w:bottom w:val="none" w:sz="0" w:space="0" w:color="auto"/>
            <w:right w:val="none" w:sz="0" w:space="0" w:color="auto"/>
          </w:divBdr>
        </w:div>
      </w:divsChild>
    </w:div>
    <w:div w:id="280304741">
      <w:bodyDiv w:val="1"/>
      <w:marLeft w:val="0"/>
      <w:marRight w:val="0"/>
      <w:marTop w:val="0"/>
      <w:marBottom w:val="0"/>
      <w:divBdr>
        <w:top w:val="none" w:sz="0" w:space="0" w:color="auto"/>
        <w:left w:val="none" w:sz="0" w:space="0" w:color="auto"/>
        <w:bottom w:val="none" w:sz="0" w:space="0" w:color="auto"/>
        <w:right w:val="none" w:sz="0" w:space="0" w:color="auto"/>
      </w:divBdr>
      <w:divsChild>
        <w:div w:id="1996906493">
          <w:marLeft w:val="274"/>
          <w:marRight w:val="0"/>
          <w:marTop w:val="38"/>
          <w:marBottom w:val="0"/>
          <w:divBdr>
            <w:top w:val="none" w:sz="0" w:space="0" w:color="auto"/>
            <w:left w:val="none" w:sz="0" w:space="0" w:color="auto"/>
            <w:bottom w:val="none" w:sz="0" w:space="0" w:color="auto"/>
            <w:right w:val="none" w:sz="0" w:space="0" w:color="auto"/>
          </w:divBdr>
        </w:div>
      </w:divsChild>
    </w:div>
    <w:div w:id="281769660">
      <w:bodyDiv w:val="1"/>
      <w:marLeft w:val="0"/>
      <w:marRight w:val="0"/>
      <w:marTop w:val="0"/>
      <w:marBottom w:val="0"/>
      <w:divBdr>
        <w:top w:val="none" w:sz="0" w:space="0" w:color="auto"/>
        <w:left w:val="none" w:sz="0" w:space="0" w:color="auto"/>
        <w:bottom w:val="none" w:sz="0" w:space="0" w:color="auto"/>
        <w:right w:val="none" w:sz="0" w:space="0" w:color="auto"/>
      </w:divBdr>
      <w:divsChild>
        <w:div w:id="1316102086">
          <w:marLeft w:val="274"/>
          <w:marRight w:val="0"/>
          <w:marTop w:val="38"/>
          <w:marBottom w:val="0"/>
          <w:divBdr>
            <w:top w:val="none" w:sz="0" w:space="0" w:color="auto"/>
            <w:left w:val="none" w:sz="0" w:space="0" w:color="auto"/>
            <w:bottom w:val="none" w:sz="0" w:space="0" w:color="auto"/>
            <w:right w:val="none" w:sz="0" w:space="0" w:color="auto"/>
          </w:divBdr>
        </w:div>
      </w:divsChild>
    </w:div>
    <w:div w:id="286200113">
      <w:bodyDiv w:val="1"/>
      <w:marLeft w:val="0"/>
      <w:marRight w:val="0"/>
      <w:marTop w:val="0"/>
      <w:marBottom w:val="0"/>
      <w:divBdr>
        <w:top w:val="none" w:sz="0" w:space="0" w:color="auto"/>
        <w:left w:val="none" w:sz="0" w:space="0" w:color="auto"/>
        <w:bottom w:val="none" w:sz="0" w:space="0" w:color="auto"/>
        <w:right w:val="none" w:sz="0" w:space="0" w:color="auto"/>
      </w:divBdr>
    </w:div>
    <w:div w:id="295910509">
      <w:bodyDiv w:val="1"/>
      <w:marLeft w:val="0"/>
      <w:marRight w:val="0"/>
      <w:marTop w:val="0"/>
      <w:marBottom w:val="0"/>
      <w:divBdr>
        <w:top w:val="none" w:sz="0" w:space="0" w:color="auto"/>
        <w:left w:val="none" w:sz="0" w:space="0" w:color="auto"/>
        <w:bottom w:val="none" w:sz="0" w:space="0" w:color="auto"/>
        <w:right w:val="none" w:sz="0" w:space="0" w:color="auto"/>
      </w:divBdr>
    </w:div>
    <w:div w:id="306591354">
      <w:bodyDiv w:val="1"/>
      <w:marLeft w:val="0"/>
      <w:marRight w:val="0"/>
      <w:marTop w:val="0"/>
      <w:marBottom w:val="0"/>
      <w:divBdr>
        <w:top w:val="none" w:sz="0" w:space="0" w:color="auto"/>
        <w:left w:val="none" w:sz="0" w:space="0" w:color="auto"/>
        <w:bottom w:val="none" w:sz="0" w:space="0" w:color="auto"/>
        <w:right w:val="none" w:sz="0" w:space="0" w:color="auto"/>
      </w:divBdr>
    </w:div>
    <w:div w:id="310063145">
      <w:bodyDiv w:val="1"/>
      <w:marLeft w:val="0"/>
      <w:marRight w:val="0"/>
      <w:marTop w:val="0"/>
      <w:marBottom w:val="0"/>
      <w:divBdr>
        <w:top w:val="none" w:sz="0" w:space="0" w:color="auto"/>
        <w:left w:val="none" w:sz="0" w:space="0" w:color="auto"/>
        <w:bottom w:val="none" w:sz="0" w:space="0" w:color="auto"/>
        <w:right w:val="none" w:sz="0" w:space="0" w:color="auto"/>
      </w:divBdr>
      <w:divsChild>
        <w:div w:id="3172089">
          <w:marLeft w:val="994"/>
          <w:marRight w:val="0"/>
          <w:marTop w:val="38"/>
          <w:marBottom w:val="0"/>
          <w:divBdr>
            <w:top w:val="none" w:sz="0" w:space="0" w:color="auto"/>
            <w:left w:val="none" w:sz="0" w:space="0" w:color="auto"/>
            <w:bottom w:val="none" w:sz="0" w:space="0" w:color="auto"/>
            <w:right w:val="none" w:sz="0" w:space="0" w:color="auto"/>
          </w:divBdr>
        </w:div>
        <w:div w:id="39205529">
          <w:marLeft w:val="994"/>
          <w:marRight w:val="0"/>
          <w:marTop w:val="38"/>
          <w:marBottom w:val="0"/>
          <w:divBdr>
            <w:top w:val="none" w:sz="0" w:space="0" w:color="auto"/>
            <w:left w:val="none" w:sz="0" w:space="0" w:color="auto"/>
            <w:bottom w:val="none" w:sz="0" w:space="0" w:color="auto"/>
            <w:right w:val="none" w:sz="0" w:space="0" w:color="auto"/>
          </w:divBdr>
        </w:div>
        <w:div w:id="67659641">
          <w:marLeft w:val="994"/>
          <w:marRight w:val="0"/>
          <w:marTop w:val="38"/>
          <w:marBottom w:val="0"/>
          <w:divBdr>
            <w:top w:val="none" w:sz="0" w:space="0" w:color="auto"/>
            <w:left w:val="none" w:sz="0" w:space="0" w:color="auto"/>
            <w:bottom w:val="none" w:sz="0" w:space="0" w:color="auto"/>
            <w:right w:val="none" w:sz="0" w:space="0" w:color="auto"/>
          </w:divBdr>
        </w:div>
        <w:div w:id="160895843">
          <w:marLeft w:val="994"/>
          <w:marRight w:val="0"/>
          <w:marTop w:val="38"/>
          <w:marBottom w:val="0"/>
          <w:divBdr>
            <w:top w:val="none" w:sz="0" w:space="0" w:color="auto"/>
            <w:left w:val="none" w:sz="0" w:space="0" w:color="auto"/>
            <w:bottom w:val="none" w:sz="0" w:space="0" w:color="auto"/>
            <w:right w:val="none" w:sz="0" w:space="0" w:color="auto"/>
          </w:divBdr>
        </w:div>
        <w:div w:id="214703018">
          <w:marLeft w:val="994"/>
          <w:marRight w:val="0"/>
          <w:marTop w:val="38"/>
          <w:marBottom w:val="0"/>
          <w:divBdr>
            <w:top w:val="none" w:sz="0" w:space="0" w:color="auto"/>
            <w:left w:val="none" w:sz="0" w:space="0" w:color="auto"/>
            <w:bottom w:val="none" w:sz="0" w:space="0" w:color="auto"/>
            <w:right w:val="none" w:sz="0" w:space="0" w:color="auto"/>
          </w:divBdr>
        </w:div>
        <w:div w:id="338965113">
          <w:marLeft w:val="994"/>
          <w:marRight w:val="0"/>
          <w:marTop w:val="38"/>
          <w:marBottom w:val="0"/>
          <w:divBdr>
            <w:top w:val="none" w:sz="0" w:space="0" w:color="auto"/>
            <w:left w:val="none" w:sz="0" w:space="0" w:color="auto"/>
            <w:bottom w:val="none" w:sz="0" w:space="0" w:color="auto"/>
            <w:right w:val="none" w:sz="0" w:space="0" w:color="auto"/>
          </w:divBdr>
        </w:div>
        <w:div w:id="345205924">
          <w:marLeft w:val="994"/>
          <w:marRight w:val="0"/>
          <w:marTop w:val="38"/>
          <w:marBottom w:val="0"/>
          <w:divBdr>
            <w:top w:val="none" w:sz="0" w:space="0" w:color="auto"/>
            <w:left w:val="none" w:sz="0" w:space="0" w:color="auto"/>
            <w:bottom w:val="none" w:sz="0" w:space="0" w:color="auto"/>
            <w:right w:val="none" w:sz="0" w:space="0" w:color="auto"/>
          </w:divBdr>
        </w:div>
        <w:div w:id="391195112">
          <w:marLeft w:val="994"/>
          <w:marRight w:val="0"/>
          <w:marTop w:val="38"/>
          <w:marBottom w:val="0"/>
          <w:divBdr>
            <w:top w:val="none" w:sz="0" w:space="0" w:color="auto"/>
            <w:left w:val="none" w:sz="0" w:space="0" w:color="auto"/>
            <w:bottom w:val="none" w:sz="0" w:space="0" w:color="auto"/>
            <w:right w:val="none" w:sz="0" w:space="0" w:color="auto"/>
          </w:divBdr>
        </w:div>
        <w:div w:id="517619333">
          <w:marLeft w:val="994"/>
          <w:marRight w:val="0"/>
          <w:marTop w:val="38"/>
          <w:marBottom w:val="0"/>
          <w:divBdr>
            <w:top w:val="none" w:sz="0" w:space="0" w:color="auto"/>
            <w:left w:val="none" w:sz="0" w:space="0" w:color="auto"/>
            <w:bottom w:val="none" w:sz="0" w:space="0" w:color="auto"/>
            <w:right w:val="none" w:sz="0" w:space="0" w:color="auto"/>
          </w:divBdr>
        </w:div>
        <w:div w:id="544219861">
          <w:marLeft w:val="994"/>
          <w:marRight w:val="0"/>
          <w:marTop w:val="38"/>
          <w:marBottom w:val="0"/>
          <w:divBdr>
            <w:top w:val="none" w:sz="0" w:space="0" w:color="auto"/>
            <w:left w:val="none" w:sz="0" w:space="0" w:color="auto"/>
            <w:bottom w:val="none" w:sz="0" w:space="0" w:color="auto"/>
            <w:right w:val="none" w:sz="0" w:space="0" w:color="auto"/>
          </w:divBdr>
        </w:div>
        <w:div w:id="559754207">
          <w:marLeft w:val="994"/>
          <w:marRight w:val="0"/>
          <w:marTop w:val="38"/>
          <w:marBottom w:val="0"/>
          <w:divBdr>
            <w:top w:val="none" w:sz="0" w:space="0" w:color="auto"/>
            <w:left w:val="none" w:sz="0" w:space="0" w:color="auto"/>
            <w:bottom w:val="none" w:sz="0" w:space="0" w:color="auto"/>
            <w:right w:val="none" w:sz="0" w:space="0" w:color="auto"/>
          </w:divBdr>
        </w:div>
        <w:div w:id="583688154">
          <w:marLeft w:val="994"/>
          <w:marRight w:val="0"/>
          <w:marTop w:val="38"/>
          <w:marBottom w:val="0"/>
          <w:divBdr>
            <w:top w:val="none" w:sz="0" w:space="0" w:color="auto"/>
            <w:left w:val="none" w:sz="0" w:space="0" w:color="auto"/>
            <w:bottom w:val="none" w:sz="0" w:space="0" w:color="auto"/>
            <w:right w:val="none" w:sz="0" w:space="0" w:color="auto"/>
          </w:divBdr>
        </w:div>
        <w:div w:id="591353931">
          <w:marLeft w:val="994"/>
          <w:marRight w:val="0"/>
          <w:marTop w:val="38"/>
          <w:marBottom w:val="0"/>
          <w:divBdr>
            <w:top w:val="none" w:sz="0" w:space="0" w:color="auto"/>
            <w:left w:val="none" w:sz="0" w:space="0" w:color="auto"/>
            <w:bottom w:val="none" w:sz="0" w:space="0" w:color="auto"/>
            <w:right w:val="none" w:sz="0" w:space="0" w:color="auto"/>
          </w:divBdr>
        </w:div>
        <w:div w:id="778992428">
          <w:marLeft w:val="274"/>
          <w:marRight w:val="0"/>
          <w:marTop w:val="38"/>
          <w:marBottom w:val="0"/>
          <w:divBdr>
            <w:top w:val="none" w:sz="0" w:space="0" w:color="auto"/>
            <w:left w:val="none" w:sz="0" w:space="0" w:color="auto"/>
            <w:bottom w:val="none" w:sz="0" w:space="0" w:color="auto"/>
            <w:right w:val="none" w:sz="0" w:space="0" w:color="auto"/>
          </w:divBdr>
        </w:div>
        <w:div w:id="838422259">
          <w:marLeft w:val="994"/>
          <w:marRight w:val="0"/>
          <w:marTop w:val="38"/>
          <w:marBottom w:val="0"/>
          <w:divBdr>
            <w:top w:val="none" w:sz="0" w:space="0" w:color="auto"/>
            <w:left w:val="none" w:sz="0" w:space="0" w:color="auto"/>
            <w:bottom w:val="none" w:sz="0" w:space="0" w:color="auto"/>
            <w:right w:val="none" w:sz="0" w:space="0" w:color="auto"/>
          </w:divBdr>
        </w:div>
        <w:div w:id="950673251">
          <w:marLeft w:val="994"/>
          <w:marRight w:val="0"/>
          <w:marTop w:val="38"/>
          <w:marBottom w:val="0"/>
          <w:divBdr>
            <w:top w:val="none" w:sz="0" w:space="0" w:color="auto"/>
            <w:left w:val="none" w:sz="0" w:space="0" w:color="auto"/>
            <w:bottom w:val="none" w:sz="0" w:space="0" w:color="auto"/>
            <w:right w:val="none" w:sz="0" w:space="0" w:color="auto"/>
          </w:divBdr>
        </w:div>
        <w:div w:id="1141074493">
          <w:marLeft w:val="994"/>
          <w:marRight w:val="0"/>
          <w:marTop w:val="38"/>
          <w:marBottom w:val="0"/>
          <w:divBdr>
            <w:top w:val="none" w:sz="0" w:space="0" w:color="auto"/>
            <w:left w:val="none" w:sz="0" w:space="0" w:color="auto"/>
            <w:bottom w:val="none" w:sz="0" w:space="0" w:color="auto"/>
            <w:right w:val="none" w:sz="0" w:space="0" w:color="auto"/>
          </w:divBdr>
        </w:div>
        <w:div w:id="1311642024">
          <w:marLeft w:val="994"/>
          <w:marRight w:val="0"/>
          <w:marTop w:val="38"/>
          <w:marBottom w:val="0"/>
          <w:divBdr>
            <w:top w:val="none" w:sz="0" w:space="0" w:color="auto"/>
            <w:left w:val="none" w:sz="0" w:space="0" w:color="auto"/>
            <w:bottom w:val="none" w:sz="0" w:space="0" w:color="auto"/>
            <w:right w:val="none" w:sz="0" w:space="0" w:color="auto"/>
          </w:divBdr>
        </w:div>
        <w:div w:id="1338271996">
          <w:marLeft w:val="994"/>
          <w:marRight w:val="0"/>
          <w:marTop w:val="38"/>
          <w:marBottom w:val="0"/>
          <w:divBdr>
            <w:top w:val="none" w:sz="0" w:space="0" w:color="auto"/>
            <w:left w:val="none" w:sz="0" w:space="0" w:color="auto"/>
            <w:bottom w:val="none" w:sz="0" w:space="0" w:color="auto"/>
            <w:right w:val="none" w:sz="0" w:space="0" w:color="auto"/>
          </w:divBdr>
        </w:div>
        <w:div w:id="1510169806">
          <w:marLeft w:val="994"/>
          <w:marRight w:val="0"/>
          <w:marTop w:val="38"/>
          <w:marBottom w:val="0"/>
          <w:divBdr>
            <w:top w:val="none" w:sz="0" w:space="0" w:color="auto"/>
            <w:left w:val="none" w:sz="0" w:space="0" w:color="auto"/>
            <w:bottom w:val="none" w:sz="0" w:space="0" w:color="auto"/>
            <w:right w:val="none" w:sz="0" w:space="0" w:color="auto"/>
          </w:divBdr>
        </w:div>
        <w:div w:id="1520924800">
          <w:marLeft w:val="994"/>
          <w:marRight w:val="0"/>
          <w:marTop w:val="38"/>
          <w:marBottom w:val="0"/>
          <w:divBdr>
            <w:top w:val="none" w:sz="0" w:space="0" w:color="auto"/>
            <w:left w:val="none" w:sz="0" w:space="0" w:color="auto"/>
            <w:bottom w:val="none" w:sz="0" w:space="0" w:color="auto"/>
            <w:right w:val="none" w:sz="0" w:space="0" w:color="auto"/>
          </w:divBdr>
        </w:div>
        <w:div w:id="1578859989">
          <w:marLeft w:val="994"/>
          <w:marRight w:val="0"/>
          <w:marTop w:val="38"/>
          <w:marBottom w:val="0"/>
          <w:divBdr>
            <w:top w:val="none" w:sz="0" w:space="0" w:color="auto"/>
            <w:left w:val="none" w:sz="0" w:space="0" w:color="auto"/>
            <w:bottom w:val="none" w:sz="0" w:space="0" w:color="auto"/>
            <w:right w:val="none" w:sz="0" w:space="0" w:color="auto"/>
          </w:divBdr>
        </w:div>
        <w:div w:id="1582252464">
          <w:marLeft w:val="994"/>
          <w:marRight w:val="0"/>
          <w:marTop w:val="38"/>
          <w:marBottom w:val="0"/>
          <w:divBdr>
            <w:top w:val="none" w:sz="0" w:space="0" w:color="auto"/>
            <w:left w:val="none" w:sz="0" w:space="0" w:color="auto"/>
            <w:bottom w:val="none" w:sz="0" w:space="0" w:color="auto"/>
            <w:right w:val="none" w:sz="0" w:space="0" w:color="auto"/>
          </w:divBdr>
        </w:div>
        <w:div w:id="1848982230">
          <w:marLeft w:val="994"/>
          <w:marRight w:val="0"/>
          <w:marTop w:val="38"/>
          <w:marBottom w:val="0"/>
          <w:divBdr>
            <w:top w:val="none" w:sz="0" w:space="0" w:color="auto"/>
            <w:left w:val="none" w:sz="0" w:space="0" w:color="auto"/>
            <w:bottom w:val="none" w:sz="0" w:space="0" w:color="auto"/>
            <w:right w:val="none" w:sz="0" w:space="0" w:color="auto"/>
          </w:divBdr>
        </w:div>
        <w:div w:id="2103336366">
          <w:marLeft w:val="994"/>
          <w:marRight w:val="0"/>
          <w:marTop w:val="38"/>
          <w:marBottom w:val="0"/>
          <w:divBdr>
            <w:top w:val="none" w:sz="0" w:space="0" w:color="auto"/>
            <w:left w:val="none" w:sz="0" w:space="0" w:color="auto"/>
            <w:bottom w:val="none" w:sz="0" w:space="0" w:color="auto"/>
            <w:right w:val="none" w:sz="0" w:space="0" w:color="auto"/>
          </w:divBdr>
        </w:div>
        <w:div w:id="2138793719">
          <w:marLeft w:val="994"/>
          <w:marRight w:val="0"/>
          <w:marTop w:val="38"/>
          <w:marBottom w:val="0"/>
          <w:divBdr>
            <w:top w:val="none" w:sz="0" w:space="0" w:color="auto"/>
            <w:left w:val="none" w:sz="0" w:space="0" w:color="auto"/>
            <w:bottom w:val="none" w:sz="0" w:space="0" w:color="auto"/>
            <w:right w:val="none" w:sz="0" w:space="0" w:color="auto"/>
          </w:divBdr>
        </w:div>
      </w:divsChild>
    </w:div>
    <w:div w:id="315189691">
      <w:bodyDiv w:val="1"/>
      <w:marLeft w:val="0"/>
      <w:marRight w:val="0"/>
      <w:marTop w:val="0"/>
      <w:marBottom w:val="0"/>
      <w:divBdr>
        <w:top w:val="none" w:sz="0" w:space="0" w:color="auto"/>
        <w:left w:val="none" w:sz="0" w:space="0" w:color="auto"/>
        <w:bottom w:val="none" w:sz="0" w:space="0" w:color="auto"/>
        <w:right w:val="none" w:sz="0" w:space="0" w:color="auto"/>
      </w:divBdr>
      <w:divsChild>
        <w:div w:id="520514404">
          <w:marLeft w:val="274"/>
          <w:marRight w:val="0"/>
          <w:marTop w:val="38"/>
          <w:marBottom w:val="0"/>
          <w:divBdr>
            <w:top w:val="none" w:sz="0" w:space="0" w:color="auto"/>
            <w:left w:val="none" w:sz="0" w:space="0" w:color="auto"/>
            <w:bottom w:val="none" w:sz="0" w:space="0" w:color="auto"/>
            <w:right w:val="none" w:sz="0" w:space="0" w:color="auto"/>
          </w:divBdr>
        </w:div>
      </w:divsChild>
    </w:div>
    <w:div w:id="327364791">
      <w:bodyDiv w:val="1"/>
      <w:marLeft w:val="0"/>
      <w:marRight w:val="0"/>
      <w:marTop w:val="0"/>
      <w:marBottom w:val="0"/>
      <w:divBdr>
        <w:top w:val="none" w:sz="0" w:space="0" w:color="auto"/>
        <w:left w:val="none" w:sz="0" w:space="0" w:color="auto"/>
        <w:bottom w:val="none" w:sz="0" w:space="0" w:color="auto"/>
        <w:right w:val="none" w:sz="0" w:space="0" w:color="auto"/>
      </w:divBdr>
    </w:div>
    <w:div w:id="333605311">
      <w:bodyDiv w:val="1"/>
      <w:marLeft w:val="0"/>
      <w:marRight w:val="0"/>
      <w:marTop w:val="0"/>
      <w:marBottom w:val="0"/>
      <w:divBdr>
        <w:top w:val="none" w:sz="0" w:space="0" w:color="auto"/>
        <w:left w:val="none" w:sz="0" w:space="0" w:color="auto"/>
        <w:bottom w:val="none" w:sz="0" w:space="0" w:color="auto"/>
        <w:right w:val="none" w:sz="0" w:space="0" w:color="auto"/>
      </w:divBdr>
    </w:div>
    <w:div w:id="345642684">
      <w:bodyDiv w:val="1"/>
      <w:marLeft w:val="0"/>
      <w:marRight w:val="0"/>
      <w:marTop w:val="0"/>
      <w:marBottom w:val="0"/>
      <w:divBdr>
        <w:top w:val="none" w:sz="0" w:space="0" w:color="auto"/>
        <w:left w:val="none" w:sz="0" w:space="0" w:color="auto"/>
        <w:bottom w:val="none" w:sz="0" w:space="0" w:color="auto"/>
        <w:right w:val="none" w:sz="0" w:space="0" w:color="auto"/>
      </w:divBdr>
    </w:div>
    <w:div w:id="347950817">
      <w:bodyDiv w:val="1"/>
      <w:marLeft w:val="0"/>
      <w:marRight w:val="0"/>
      <w:marTop w:val="0"/>
      <w:marBottom w:val="0"/>
      <w:divBdr>
        <w:top w:val="none" w:sz="0" w:space="0" w:color="auto"/>
        <w:left w:val="none" w:sz="0" w:space="0" w:color="auto"/>
        <w:bottom w:val="none" w:sz="0" w:space="0" w:color="auto"/>
        <w:right w:val="none" w:sz="0" w:space="0" w:color="auto"/>
      </w:divBdr>
      <w:divsChild>
        <w:div w:id="1609118671">
          <w:marLeft w:val="274"/>
          <w:marRight w:val="0"/>
          <w:marTop w:val="38"/>
          <w:marBottom w:val="0"/>
          <w:divBdr>
            <w:top w:val="none" w:sz="0" w:space="0" w:color="auto"/>
            <w:left w:val="none" w:sz="0" w:space="0" w:color="auto"/>
            <w:bottom w:val="none" w:sz="0" w:space="0" w:color="auto"/>
            <w:right w:val="none" w:sz="0" w:space="0" w:color="auto"/>
          </w:divBdr>
        </w:div>
      </w:divsChild>
    </w:div>
    <w:div w:id="363555236">
      <w:bodyDiv w:val="1"/>
      <w:marLeft w:val="0"/>
      <w:marRight w:val="0"/>
      <w:marTop w:val="0"/>
      <w:marBottom w:val="0"/>
      <w:divBdr>
        <w:top w:val="none" w:sz="0" w:space="0" w:color="auto"/>
        <w:left w:val="none" w:sz="0" w:space="0" w:color="auto"/>
        <w:bottom w:val="none" w:sz="0" w:space="0" w:color="auto"/>
        <w:right w:val="none" w:sz="0" w:space="0" w:color="auto"/>
      </w:divBdr>
    </w:div>
    <w:div w:id="373848480">
      <w:bodyDiv w:val="1"/>
      <w:marLeft w:val="0"/>
      <w:marRight w:val="0"/>
      <w:marTop w:val="0"/>
      <w:marBottom w:val="0"/>
      <w:divBdr>
        <w:top w:val="none" w:sz="0" w:space="0" w:color="auto"/>
        <w:left w:val="none" w:sz="0" w:space="0" w:color="auto"/>
        <w:bottom w:val="none" w:sz="0" w:space="0" w:color="auto"/>
        <w:right w:val="none" w:sz="0" w:space="0" w:color="auto"/>
      </w:divBdr>
      <w:divsChild>
        <w:div w:id="805662091">
          <w:marLeft w:val="274"/>
          <w:marRight w:val="0"/>
          <w:marTop w:val="38"/>
          <w:marBottom w:val="0"/>
          <w:divBdr>
            <w:top w:val="none" w:sz="0" w:space="0" w:color="auto"/>
            <w:left w:val="none" w:sz="0" w:space="0" w:color="auto"/>
            <w:bottom w:val="none" w:sz="0" w:space="0" w:color="auto"/>
            <w:right w:val="none" w:sz="0" w:space="0" w:color="auto"/>
          </w:divBdr>
        </w:div>
      </w:divsChild>
    </w:div>
    <w:div w:id="374087079">
      <w:bodyDiv w:val="1"/>
      <w:marLeft w:val="0"/>
      <w:marRight w:val="0"/>
      <w:marTop w:val="0"/>
      <w:marBottom w:val="0"/>
      <w:divBdr>
        <w:top w:val="none" w:sz="0" w:space="0" w:color="auto"/>
        <w:left w:val="none" w:sz="0" w:space="0" w:color="auto"/>
        <w:bottom w:val="none" w:sz="0" w:space="0" w:color="auto"/>
        <w:right w:val="none" w:sz="0" w:space="0" w:color="auto"/>
      </w:divBdr>
    </w:div>
    <w:div w:id="379786449">
      <w:bodyDiv w:val="1"/>
      <w:marLeft w:val="0"/>
      <w:marRight w:val="0"/>
      <w:marTop w:val="0"/>
      <w:marBottom w:val="0"/>
      <w:divBdr>
        <w:top w:val="none" w:sz="0" w:space="0" w:color="auto"/>
        <w:left w:val="none" w:sz="0" w:space="0" w:color="auto"/>
        <w:bottom w:val="none" w:sz="0" w:space="0" w:color="auto"/>
        <w:right w:val="none" w:sz="0" w:space="0" w:color="auto"/>
      </w:divBdr>
      <w:divsChild>
        <w:div w:id="158616468">
          <w:marLeft w:val="274"/>
          <w:marRight w:val="0"/>
          <w:marTop w:val="38"/>
          <w:marBottom w:val="0"/>
          <w:divBdr>
            <w:top w:val="none" w:sz="0" w:space="0" w:color="auto"/>
            <w:left w:val="none" w:sz="0" w:space="0" w:color="auto"/>
            <w:bottom w:val="none" w:sz="0" w:space="0" w:color="auto"/>
            <w:right w:val="none" w:sz="0" w:space="0" w:color="auto"/>
          </w:divBdr>
        </w:div>
      </w:divsChild>
    </w:div>
    <w:div w:id="380598514">
      <w:bodyDiv w:val="1"/>
      <w:marLeft w:val="0"/>
      <w:marRight w:val="0"/>
      <w:marTop w:val="0"/>
      <w:marBottom w:val="0"/>
      <w:divBdr>
        <w:top w:val="none" w:sz="0" w:space="0" w:color="auto"/>
        <w:left w:val="none" w:sz="0" w:space="0" w:color="auto"/>
        <w:bottom w:val="none" w:sz="0" w:space="0" w:color="auto"/>
        <w:right w:val="none" w:sz="0" w:space="0" w:color="auto"/>
      </w:divBdr>
    </w:div>
    <w:div w:id="388378753">
      <w:bodyDiv w:val="1"/>
      <w:marLeft w:val="0"/>
      <w:marRight w:val="0"/>
      <w:marTop w:val="0"/>
      <w:marBottom w:val="0"/>
      <w:divBdr>
        <w:top w:val="none" w:sz="0" w:space="0" w:color="auto"/>
        <w:left w:val="none" w:sz="0" w:space="0" w:color="auto"/>
        <w:bottom w:val="none" w:sz="0" w:space="0" w:color="auto"/>
        <w:right w:val="none" w:sz="0" w:space="0" w:color="auto"/>
      </w:divBdr>
    </w:div>
    <w:div w:id="398864494">
      <w:bodyDiv w:val="1"/>
      <w:marLeft w:val="0"/>
      <w:marRight w:val="0"/>
      <w:marTop w:val="0"/>
      <w:marBottom w:val="0"/>
      <w:divBdr>
        <w:top w:val="none" w:sz="0" w:space="0" w:color="auto"/>
        <w:left w:val="none" w:sz="0" w:space="0" w:color="auto"/>
        <w:bottom w:val="none" w:sz="0" w:space="0" w:color="auto"/>
        <w:right w:val="none" w:sz="0" w:space="0" w:color="auto"/>
      </w:divBdr>
    </w:div>
    <w:div w:id="400714772">
      <w:bodyDiv w:val="1"/>
      <w:marLeft w:val="0"/>
      <w:marRight w:val="0"/>
      <w:marTop w:val="0"/>
      <w:marBottom w:val="0"/>
      <w:divBdr>
        <w:top w:val="none" w:sz="0" w:space="0" w:color="auto"/>
        <w:left w:val="none" w:sz="0" w:space="0" w:color="auto"/>
        <w:bottom w:val="none" w:sz="0" w:space="0" w:color="auto"/>
        <w:right w:val="none" w:sz="0" w:space="0" w:color="auto"/>
      </w:divBdr>
    </w:div>
    <w:div w:id="408161953">
      <w:bodyDiv w:val="1"/>
      <w:marLeft w:val="0"/>
      <w:marRight w:val="0"/>
      <w:marTop w:val="0"/>
      <w:marBottom w:val="0"/>
      <w:divBdr>
        <w:top w:val="none" w:sz="0" w:space="0" w:color="auto"/>
        <w:left w:val="none" w:sz="0" w:space="0" w:color="auto"/>
        <w:bottom w:val="none" w:sz="0" w:space="0" w:color="auto"/>
        <w:right w:val="none" w:sz="0" w:space="0" w:color="auto"/>
      </w:divBdr>
      <w:divsChild>
        <w:div w:id="706881559">
          <w:marLeft w:val="274"/>
          <w:marRight w:val="0"/>
          <w:marTop w:val="38"/>
          <w:marBottom w:val="0"/>
          <w:divBdr>
            <w:top w:val="none" w:sz="0" w:space="0" w:color="auto"/>
            <w:left w:val="none" w:sz="0" w:space="0" w:color="auto"/>
            <w:bottom w:val="none" w:sz="0" w:space="0" w:color="auto"/>
            <w:right w:val="none" w:sz="0" w:space="0" w:color="auto"/>
          </w:divBdr>
        </w:div>
      </w:divsChild>
    </w:div>
    <w:div w:id="424348543">
      <w:bodyDiv w:val="1"/>
      <w:marLeft w:val="0"/>
      <w:marRight w:val="0"/>
      <w:marTop w:val="0"/>
      <w:marBottom w:val="0"/>
      <w:divBdr>
        <w:top w:val="none" w:sz="0" w:space="0" w:color="auto"/>
        <w:left w:val="none" w:sz="0" w:space="0" w:color="auto"/>
        <w:bottom w:val="none" w:sz="0" w:space="0" w:color="auto"/>
        <w:right w:val="none" w:sz="0" w:space="0" w:color="auto"/>
      </w:divBdr>
    </w:div>
    <w:div w:id="437216155">
      <w:bodyDiv w:val="1"/>
      <w:marLeft w:val="0"/>
      <w:marRight w:val="0"/>
      <w:marTop w:val="0"/>
      <w:marBottom w:val="0"/>
      <w:divBdr>
        <w:top w:val="none" w:sz="0" w:space="0" w:color="auto"/>
        <w:left w:val="none" w:sz="0" w:space="0" w:color="auto"/>
        <w:bottom w:val="none" w:sz="0" w:space="0" w:color="auto"/>
        <w:right w:val="none" w:sz="0" w:space="0" w:color="auto"/>
      </w:divBdr>
      <w:divsChild>
        <w:div w:id="2129347749">
          <w:marLeft w:val="446"/>
          <w:marRight w:val="0"/>
          <w:marTop w:val="67"/>
          <w:marBottom w:val="0"/>
          <w:divBdr>
            <w:top w:val="none" w:sz="0" w:space="0" w:color="auto"/>
            <w:left w:val="none" w:sz="0" w:space="0" w:color="auto"/>
            <w:bottom w:val="none" w:sz="0" w:space="0" w:color="auto"/>
            <w:right w:val="none" w:sz="0" w:space="0" w:color="auto"/>
          </w:divBdr>
        </w:div>
      </w:divsChild>
    </w:div>
    <w:div w:id="465584532">
      <w:bodyDiv w:val="1"/>
      <w:marLeft w:val="0"/>
      <w:marRight w:val="0"/>
      <w:marTop w:val="0"/>
      <w:marBottom w:val="0"/>
      <w:divBdr>
        <w:top w:val="none" w:sz="0" w:space="0" w:color="auto"/>
        <w:left w:val="none" w:sz="0" w:space="0" w:color="auto"/>
        <w:bottom w:val="none" w:sz="0" w:space="0" w:color="auto"/>
        <w:right w:val="none" w:sz="0" w:space="0" w:color="auto"/>
      </w:divBdr>
      <w:divsChild>
        <w:div w:id="927885090">
          <w:marLeft w:val="274"/>
          <w:marRight w:val="0"/>
          <w:marTop w:val="38"/>
          <w:marBottom w:val="0"/>
          <w:divBdr>
            <w:top w:val="none" w:sz="0" w:space="0" w:color="auto"/>
            <w:left w:val="none" w:sz="0" w:space="0" w:color="auto"/>
            <w:bottom w:val="none" w:sz="0" w:space="0" w:color="auto"/>
            <w:right w:val="none" w:sz="0" w:space="0" w:color="auto"/>
          </w:divBdr>
        </w:div>
      </w:divsChild>
    </w:div>
    <w:div w:id="472212871">
      <w:bodyDiv w:val="1"/>
      <w:marLeft w:val="0"/>
      <w:marRight w:val="0"/>
      <w:marTop w:val="0"/>
      <w:marBottom w:val="0"/>
      <w:divBdr>
        <w:top w:val="none" w:sz="0" w:space="0" w:color="auto"/>
        <w:left w:val="none" w:sz="0" w:space="0" w:color="auto"/>
        <w:bottom w:val="none" w:sz="0" w:space="0" w:color="auto"/>
        <w:right w:val="none" w:sz="0" w:space="0" w:color="auto"/>
      </w:divBdr>
      <w:divsChild>
        <w:div w:id="2054112415">
          <w:marLeft w:val="274"/>
          <w:marRight w:val="0"/>
          <w:marTop w:val="38"/>
          <w:marBottom w:val="0"/>
          <w:divBdr>
            <w:top w:val="none" w:sz="0" w:space="0" w:color="auto"/>
            <w:left w:val="none" w:sz="0" w:space="0" w:color="auto"/>
            <w:bottom w:val="none" w:sz="0" w:space="0" w:color="auto"/>
            <w:right w:val="none" w:sz="0" w:space="0" w:color="auto"/>
          </w:divBdr>
        </w:div>
      </w:divsChild>
    </w:div>
    <w:div w:id="487477920">
      <w:bodyDiv w:val="1"/>
      <w:marLeft w:val="0"/>
      <w:marRight w:val="0"/>
      <w:marTop w:val="0"/>
      <w:marBottom w:val="0"/>
      <w:divBdr>
        <w:top w:val="none" w:sz="0" w:space="0" w:color="auto"/>
        <w:left w:val="none" w:sz="0" w:space="0" w:color="auto"/>
        <w:bottom w:val="none" w:sz="0" w:space="0" w:color="auto"/>
        <w:right w:val="none" w:sz="0" w:space="0" w:color="auto"/>
      </w:divBdr>
      <w:divsChild>
        <w:div w:id="1006132785">
          <w:marLeft w:val="274"/>
          <w:marRight w:val="0"/>
          <w:marTop w:val="38"/>
          <w:marBottom w:val="0"/>
          <w:divBdr>
            <w:top w:val="none" w:sz="0" w:space="0" w:color="auto"/>
            <w:left w:val="none" w:sz="0" w:space="0" w:color="auto"/>
            <w:bottom w:val="none" w:sz="0" w:space="0" w:color="auto"/>
            <w:right w:val="none" w:sz="0" w:space="0" w:color="auto"/>
          </w:divBdr>
        </w:div>
      </w:divsChild>
    </w:div>
    <w:div w:id="488324126">
      <w:bodyDiv w:val="1"/>
      <w:marLeft w:val="0"/>
      <w:marRight w:val="0"/>
      <w:marTop w:val="0"/>
      <w:marBottom w:val="0"/>
      <w:divBdr>
        <w:top w:val="none" w:sz="0" w:space="0" w:color="auto"/>
        <w:left w:val="none" w:sz="0" w:space="0" w:color="auto"/>
        <w:bottom w:val="none" w:sz="0" w:space="0" w:color="auto"/>
        <w:right w:val="none" w:sz="0" w:space="0" w:color="auto"/>
      </w:divBdr>
    </w:div>
    <w:div w:id="498813186">
      <w:bodyDiv w:val="1"/>
      <w:marLeft w:val="0"/>
      <w:marRight w:val="0"/>
      <w:marTop w:val="0"/>
      <w:marBottom w:val="0"/>
      <w:divBdr>
        <w:top w:val="none" w:sz="0" w:space="0" w:color="auto"/>
        <w:left w:val="none" w:sz="0" w:space="0" w:color="auto"/>
        <w:bottom w:val="none" w:sz="0" w:space="0" w:color="auto"/>
        <w:right w:val="none" w:sz="0" w:space="0" w:color="auto"/>
      </w:divBdr>
      <w:divsChild>
        <w:div w:id="685834244">
          <w:marLeft w:val="274"/>
          <w:marRight w:val="0"/>
          <w:marTop w:val="38"/>
          <w:marBottom w:val="0"/>
          <w:divBdr>
            <w:top w:val="none" w:sz="0" w:space="0" w:color="auto"/>
            <w:left w:val="none" w:sz="0" w:space="0" w:color="auto"/>
            <w:bottom w:val="none" w:sz="0" w:space="0" w:color="auto"/>
            <w:right w:val="none" w:sz="0" w:space="0" w:color="auto"/>
          </w:divBdr>
        </w:div>
        <w:div w:id="1279140206">
          <w:marLeft w:val="274"/>
          <w:marRight w:val="0"/>
          <w:marTop w:val="38"/>
          <w:marBottom w:val="0"/>
          <w:divBdr>
            <w:top w:val="none" w:sz="0" w:space="0" w:color="auto"/>
            <w:left w:val="none" w:sz="0" w:space="0" w:color="auto"/>
            <w:bottom w:val="none" w:sz="0" w:space="0" w:color="auto"/>
            <w:right w:val="none" w:sz="0" w:space="0" w:color="auto"/>
          </w:divBdr>
        </w:div>
      </w:divsChild>
    </w:div>
    <w:div w:id="510219185">
      <w:bodyDiv w:val="1"/>
      <w:marLeft w:val="0"/>
      <w:marRight w:val="0"/>
      <w:marTop w:val="0"/>
      <w:marBottom w:val="0"/>
      <w:divBdr>
        <w:top w:val="none" w:sz="0" w:space="0" w:color="auto"/>
        <w:left w:val="none" w:sz="0" w:space="0" w:color="auto"/>
        <w:bottom w:val="none" w:sz="0" w:space="0" w:color="auto"/>
        <w:right w:val="none" w:sz="0" w:space="0" w:color="auto"/>
      </w:divBdr>
    </w:div>
    <w:div w:id="514346793">
      <w:bodyDiv w:val="1"/>
      <w:marLeft w:val="0"/>
      <w:marRight w:val="0"/>
      <w:marTop w:val="0"/>
      <w:marBottom w:val="0"/>
      <w:divBdr>
        <w:top w:val="none" w:sz="0" w:space="0" w:color="auto"/>
        <w:left w:val="none" w:sz="0" w:space="0" w:color="auto"/>
        <w:bottom w:val="none" w:sz="0" w:space="0" w:color="auto"/>
        <w:right w:val="none" w:sz="0" w:space="0" w:color="auto"/>
      </w:divBdr>
    </w:div>
    <w:div w:id="515847685">
      <w:bodyDiv w:val="1"/>
      <w:marLeft w:val="0"/>
      <w:marRight w:val="0"/>
      <w:marTop w:val="0"/>
      <w:marBottom w:val="0"/>
      <w:divBdr>
        <w:top w:val="none" w:sz="0" w:space="0" w:color="auto"/>
        <w:left w:val="none" w:sz="0" w:space="0" w:color="auto"/>
        <w:bottom w:val="none" w:sz="0" w:space="0" w:color="auto"/>
        <w:right w:val="none" w:sz="0" w:space="0" w:color="auto"/>
      </w:divBdr>
      <w:divsChild>
        <w:div w:id="572082632">
          <w:marLeft w:val="274"/>
          <w:marRight w:val="0"/>
          <w:marTop w:val="38"/>
          <w:marBottom w:val="0"/>
          <w:divBdr>
            <w:top w:val="none" w:sz="0" w:space="0" w:color="auto"/>
            <w:left w:val="none" w:sz="0" w:space="0" w:color="auto"/>
            <w:bottom w:val="none" w:sz="0" w:space="0" w:color="auto"/>
            <w:right w:val="none" w:sz="0" w:space="0" w:color="auto"/>
          </w:divBdr>
        </w:div>
      </w:divsChild>
    </w:div>
    <w:div w:id="528831979">
      <w:bodyDiv w:val="1"/>
      <w:marLeft w:val="0"/>
      <w:marRight w:val="0"/>
      <w:marTop w:val="0"/>
      <w:marBottom w:val="0"/>
      <w:divBdr>
        <w:top w:val="none" w:sz="0" w:space="0" w:color="auto"/>
        <w:left w:val="none" w:sz="0" w:space="0" w:color="auto"/>
        <w:bottom w:val="none" w:sz="0" w:space="0" w:color="auto"/>
        <w:right w:val="none" w:sz="0" w:space="0" w:color="auto"/>
      </w:divBdr>
    </w:div>
    <w:div w:id="529802931">
      <w:bodyDiv w:val="1"/>
      <w:marLeft w:val="0"/>
      <w:marRight w:val="0"/>
      <w:marTop w:val="0"/>
      <w:marBottom w:val="0"/>
      <w:divBdr>
        <w:top w:val="none" w:sz="0" w:space="0" w:color="auto"/>
        <w:left w:val="none" w:sz="0" w:space="0" w:color="auto"/>
        <w:bottom w:val="none" w:sz="0" w:space="0" w:color="auto"/>
        <w:right w:val="none" w:sz="0" w:space="0" w:color="auto"/>
      </w:divBdr>
      <w:divsChild>
        <w:div w:id="1791514050">
          <w:marLeft w:val="274"/>
          <w:marRight w:val="0"/>
          <w:marTop w:val="38"/>
          <w:marBottom w:val="0"/>
          <w:divBdr>
            <w:top w:val="none" w:sz="0" w:space="0" w:color="auto"/>
            <w:left w:val="none" w:sz="0" w:space="0" w:color="auto"/>
            <w:bottom w:val="none" w:sz="0" w:space="0" w:color="auto"/>
            <w:right w:val="none" w:sz="0" w:space="0" w:color="auto"/>
          </w:divBdr>
        </w:div>
      </w:divsChild>
    </w:div>
    <w:div w:id="537199978">
      <w:bodyDiv w:val="1"/>
      <w:marLeft w:val="0"/>
      <w:marRight w:val="0"/>
      <w:marTop w:val="0"/>
      <w:marBottom w:val="0"/>
      <w:divBdr>
        <w:top w:val="none" w:sz="0" w:space="0" w:color="auto"/>
        <w:left w:val="none" w:sz="0" w:space="0" w:color="auto"/>
        <w:bottom w:val="none" w:sz="0" w:space="0" w:color="auto"/>
        <w:right w:val="none" w:sz="0" w:space="0" w:color="auto"/>
      </w:divBdr>
      <w:divsChild>
        <w:div w:id="36778019">
          <w:marLeft w:val="0"/>
          <w:marRight w:val="0"/>
          <w:marTop w:val="0"/>
          <w:marBottom w:val="0"/>
          <w:divBdr>
            <w:top w:val="none" w:sz="0" w:space="0" w:color="auto"/>
            <w:left w:val="none" w:sz="0" w:space="0" w:color="auto"/>
            <w:bottom w:val="none" w:sz="0" w:space="0" w:color="auto"/>
            <w:right w:val="none" w:sz="0" w:space="0" w:color="auto"/>
          </w:divBdr>
        </w:div>
        <w:div w:id="54477822">
          <w:marLeft w:val="0"/>
          <w:marRight w:val="0"/>
          <w:marTop w:val="0"/>
          <w:marBottom w:val="0"/>
          <w:divBdr>
            <w:top w:val="none" w:sz="0" w:space="0" w:color="auto"/>
            <w:left w:val="none" w:sz="0" w:space="0" w:color="auto"/>
            <w:bottom w:val="none" w:sz="0" w:space="0" w:color="auto"/>
            <w:right w:val="none" w:sz="0" w:space="0" w:color="auto"/>
          </w:divBdr>
        </w:div>
        <w:div w:id="108550363">
          <w:marLeft w:val="0"/>
          <w:marRight w:val="0"/>
          <w:marTop w:val="0"/>
          <w:marBottom w:val="0"/>
          <w:divBdr>
            <w:top w:val="none" w:sz="0" w:space="0" w:color="auto"/>
            <w:left w:val="none" w:sz="0" w:space="0" w:color="auto"/>
            <w:bottom w:val="none" w:sz="0" w:space="0" w:color="auto"/>
            <w:right w:val="none" w:sz="0" w:space="0" w:color="auto"/>
          </w:divBdr>
        </w:div>
        <w:div w:id="214514395">
          <w:marLeft w:val="0"/>
          <w:marRight w:val="0"/>
          <w:marTop w:val="0"/>
          <w:marBottom w:val="0"/>
          <w:divBdr>
            <w:top w:val="none" w:sz="0" w:space="0" w:color="auto"/>
            <w:left w:val="none" w:sz="0" w:space="0" w:color="auto"/>
            <w:bottom w:val="none" w:sz="0" w:space="0" w:color="auto"/>
            <w:right w:val="none" w:sz="0" w:space="0" w:color="auto"/>
          </w:divBdr>
        </w:div>
        <w:div w:id="291443869">
          <w:marLeft w:val="0"/>
          <w:marRight w:val="0"/>
          <w:marTop w:val="0"/>
          <w:marBottom w:val="0"/>
          <w:divBdr>
            <w:top w:val="none" w:sz="0" w:space="0" w:color="auto"/>
            <w:left w:val="none" w:sz="0" w:space="0" w:color="auto"/>
            <w:bottom w:val="none" w:sz="0" w:space="0" w:color="auto"/>
            <w:right w:val="none" w:sz="0" w:space="0" w:color="auto"/>
          </w:divBdr>
        </w:div>
        <w:div w:id="342512476">
          <w:marLeft w:val="0"/>
          <w:marRight w:val="0"/>
          <w:marTop w:val="0"/>
          <w:marBottom w:val="0"/>
          <w:divBdr>
            <w:top w:val="none" w:sz="0" w:space="0" w:color="auto"/>
            <w:left w:val="none" w:sz="0" w:space="0" w:color="auto"/>
            <w:bottom w:val="none" w:sz="0" w:space="0" w:color="auto"/>
            <w:right w:val="none" w:sz="0" w:space="0" w:color="auto"/>
          </w:divBdr>
        </w:div>
        <w:div w:id="614361153">
          <w:marLeft w:val="0"/>
          <w:marRight w:val="0"/>
          <w:marTop w:val="0"/>
          <w:marBottom w:val="0"/>
          <w:divBdr>
            <w:top w:val="none" w:sz="0" w:space="0" w:color="auto"/>
            <w:left w:val="none" w:sz="0" w:space="0" w:color="auto"/>
            <w:bottom w:val="none" w:sz="0" w:space="0" w:color="auto"/>
            <w:right w:val="none" w:sz="0" w:space="0" w:color="auto"/>
          </w:divBdr>
        </w:div>
        <w:div w:id="790512923">
          <w:marLeft w:val="0"/>
          <w:marRight w:val="0"/>
          <w:marTop w:val="0"/>
          <w:marBottom w:val="0"/>
          <w:divBdr>
            <w:top w:val="none" w:sz="0" w:space="0" w:color="auto"/>
            <w:left w:val="none" w:sz="0" w:space="0" w:color="auto"/>
            <w:bottom w:val="none" w:sz="0" w:space="0" w:color="auto"/>
            <w:right w:val="none" w:sz="0" w:space="0" w:color="auto"/>
          </w:divBdr>
        </w:div>
        <w:div w:id="856892382">
          <w:marLeft w:val="0"/>
          <w:marRight w:val="0"/>
          <w:marTop w:val="0"/>
          <w:marBottom w:val="0"/>
          <w:divBdr>
            <w:top w:val="none" w:sz="0" w:space="0" w:color="auto"/>
            <w:left w:val="none" w:sz="0" w:space="0" w:color="auto"/>
            <w:bottom w:val="none" w:sz="0" w:space="0" w:color="auto"/>
            <w:right w:val="none" w:sz="0" w:space="0" w:color="auto"/>
          </w:divBdr>
        </w:div>
        <w:div w:id="997196678">
          <w:marLeft w:val="0"/>
          <w:marRight w:val="0"/>
          <w:marTop w:val="0"/>
          <w:marBottom w:val="0"/>
          <w:divBdr>
            <w:top w:val="none" w:sz="0" w:space="0" w:color="auto"/>
            <w:left w:val="none" w:sz="0" w:space="0" w:color="auto"/>
            <w:bottom w:val="none" w:sz="0" w:space="0" w:color="auto"/>
            <w:right w:val="none" w:sz="0" w:space="0" w:color="auto"/>
          </w:divBdr>
        </w:div>
        <w:div w:id="1038357429">
          <w:marLeft w:val="0"/>
          <w:marRight w:val="0"/>
          <w:marTop w:val="0"/>
          <w:marBottom w:val="0"/>
          <w:divBdr>
            <w:top w:val="none" w:sz="0" w:space="0" w:color="auto"/>
            <w:left w:val="none" w:sz="0" w:space="0" w:color="auto"/>
            <w:bottom w:val="none" w:sz="0" w:space="0" w:color="auto"/>
            <w:right w:val="none" w:sz="0" w:space="0" w:color="auto"/>
          </w:divBdr>
        </w:div>
        <w:div w:id="1126313631">
          <w:marLeft w:val="0"/>
          <w:marRight w:val="0"/>
          <w:marTop w:val="0"/>
          <w:marBottom w:val="0"/>
          <w:divBdr>
            <w:top w:val="none" w:sz="0" w:space="0" w:color="auto"/>
            <w:left w:val="none" w:sz="0" w:space="0" w:color="auto"/>
            <w:bottom w:val="none" w:sz="0" w:space="0" w:color="auto"/>
            <w:right w:val="none" w:sz="0" w:space="0" w:color="auto"/>
          </w:divBdr>
        </w:div>
        <w:div w:id="1207261346">
          <w:marLeft w:val="0"/>
          <w:marRight w:val="0"/>
          <w:marTop w:val="0"/>
          <w:marBottom w:val="0"/>
          <w:divBdr>
            <w:top w:val="none" w:sz="0" w:space="0" w:color="auto"/>
            <w:left w:val="none" w:sz="0" w:space="0" w:color="auto"/>
            <w:bottom w:val="none" w:sz="0" w:space="0" w:color="auto"/>
            <w:right w:val="none" w:sz="0" w:space="0" w:color="auto"/>
          </w:divBdr>
        </w:div>
        <w:div w:id="1342396270">
          <w:marLeft w:val="0"/>
          <w:marRight w:val="0"/>
          <w:marTop w:val="0"/>
          <w:marBottom w:val="0"/>
          <w:divBdr>
            <w:top w:val="none" w:sz="0" w:space="0" w:color="auto"/>
            <w:left w:val="none" w:sz="0" w:space="0" w:color="auto"/>
            <w:bottom w:val="none" w:sz="0" w:space="0" w:color="auto"/>
            <w:right w:val="none" w:sz="0" w:space="0" w:color="auto"/>
          </w:divBdr>
        </w:div>
        <w:div w:id="1367830162">
          <w:marLeft w:val="0"/>
          <w:marRight w:val="0"/>
          <w:marTop w:val="0"/>
          <w:marBottom w:val="0"/>
          <w:divBdr>
            <w:top w:val="none" w:sz="0" w:space="0" w:color="auto"/>
            <w:left w:val="none" w:sz="0" w:space="0" w:color="auto"/>
            <w:bottom w:val="none" w:sz="0" w:space="0" w:color="auto"/>
            <w:right w:val="none" w:sz="0" w:space="0" w:color="auto"/>
          </w:divBdr>
        </w:div>
        <w:div w:id="1373577679">
          <w:marLeft w:val="0"/>
          <w:marRight w:val="0"/>
          <w:marTop w:val="0"/>
          <w:marBottom w:val="0"/>
          <w:divBdr>
            <w:top w:val="none" w:sz="0" w:space="0" w:color="auto"/>
            <w:left w:val="none" w:sz="0" w:space="0" w:color="auto"/>
            <w:bottom w:val="none" w:sz="0" w:space="0" w:color="auto"/>
            <w:right w:val="none" w:sz="0" w:space="0" w:color="auto"/>
          </w:divBdr>
        </w:div>
        <w:div w:id="1408990824">
          <w:marLeft w:val="0"/>
          <w:marRight w:val="0"/>
          <w:marTop w:val="0"/>
          <w:marBottom w:val="0"/>
          <w:divBdr>
            <w:top w:val="none" w:sz="0" w:space="0" w:color="auto"/>
            <w:left w:val="none" w:sz="0" w:space="0" w:color="auto"/>
            <w:bottom w:val="none" w:sz="0" w:space="0" w:color="auto"/>
            <w:right w:val="none" w:sz="0" w:space="0" w:color="auto"/>
          </w:divBdr>
        </w:div>
        <w:div w:id="1500121565">
          <w:marLeft w:val="0"/>
          <w:marRight w:val="0"/>
          <w:marTop w:val="0"/>
          <w:marBottom w:val="0"/>
          <w:divBdr>
            <w:top w:val="none" w:sz="0" w:space="0" w:color="auto"/>
            <w:left w:val="none" w:sz="0" w:space="0" w:color="auto"/>
            <w:bottom w:val="none" w:sz="0" w:space="0" w:color="auto"/>
            <w:right w:val="none" w:sz="0" w:space="0" w:color="auto"/>
          </w:divBdr>
        </w:div>
        <w:div w:id="1773623077">
          <w:marLeft w:val="0"/>
          <w:marRight w:val="0"/>
          <w:marTop w:val="0"/>
          <w:marBottom w:val="0"/>
          <w:divBdr>
            <w:top w:val="none" w:sz="0" w:space="0" w:color="auto"/>
            <w:left w:val="none" w:sz="0" w:space="0" w:color="auto"/>
            <w:bottom w:val="none" w:sz="0" w:space="0" w:color="auto"/>
            <w:right w:val="none" w:sz="0" w:space="0" w:color="auto"/>
          </w:divBdr>
        </w:div>
        <w:div w:id="1806312556">
          <w:marLeft w:val="0"/>
          <w:marRight w:val="0"/>
          <w:marTop w:val="0"/>
          <w:marBottom w:val="0"/>
          <w:divBdr>
            <w:top w:val="none" w:sz="0" w:space="0" w:color="auto"/>
            <w:left w:val="none" w:sz="0" w:space="0" w:color="auto"/>
            <w:bottom w:val="none" w:sz="0" w:space="0" w:color="auto"/>
            <w:right w:val="none" w:sz="0" w:space="0" w:color="auto"/>
          </w:divBdr>
        </w:div>
        <w:div w:id="1847474488">
          <w:marLeft w:val="0"/>
          <w:marRight w:val="0"/>
          <w:marTop w:val="0"/>
          <w:marBottom w:val="0"/>
          <w:divBdr>
            <w:top w:val="none" w:sz="0" w:space="0" w:color="auto"/>
            <w:left w:val="none" w:sz="0" w:space="0" w:color="auto"/>
            <w:bottom w:val="none" w:sz="0" w:space="0" w:color="auto"/>
            <w:right w:val="none" w:sz="0" w:space="0" w:color="auto"/>
          </w:divBdr>
        </w:div>
        <w:div w:id="2049721008">
          <w:marLeft w:val="0"/>
          <w:marRight w:val="0"/>
          <w:marTop w:val="0"/>
          <w:marBottom w:val="0"/>
          <w:divBdr>
            <w:top w:val="none" w:sz="0" w:space="0" w:color="auto"/>
            <w:left w:val="none" w:sz="0" w:space="0" w:color="auto"/>
            <w:bottom w:val="none" w:sz="0" w:space="0" w:color="auto"/>
            <w:right w:val="none" w:sz="0" w:space="0" w:color="auto"/>
          </w:divBdr>
        </w:div>
        <w:div w:id="2118521768">
          <w:marLeft w:val="0"/>
          <w:marRight w:val="0"/>
          <w:marTop w:val="0"/>
          <w:marBottom w:val="0"/>
          <w:divBdr>
            <w:top w:val="none" w:sz="0" w:space="0" w:color="auto"/>
            <w:left w:val="none" w:sz="0" w:space="0" w:color="auto"/>
            <w:bottom w:val="none" w:sz="0" w:space="0" w:color="auto"/>
            <w:right w:val="none" w:sz="0" w:space="0" w:color="auto"/>
          </w:divBdr>
        </w:div>
        <w:div w:id="2135252736">
          <w:marLeft w:val="0"/>
          <w:marRight w:val="0"/>
          <w:marTop w:val="0"/>
          <w:marBottom w:val="0"/>
          <w:divBdr>
            <w:top w:val="none" w:sz="0" w:space="0" w:color="auto"/>
            <w:left w:val="none" w:sz="0" w:space="0" w:color="auto"/>
            <w:bottom w:val="none" w:sz="0" w:space="0" w:color="auto"/>
            <w:right w:val="none" w:sz="0" w:space="0" w:color="auto"/>
          </w:divBdr>
        </w:div>
      </w:divsChild>
    </w:div>
    <w:div w:id="538862506">
      <w:bodyDiv w:val="1"/>
      <w:marLeft w:val="0"/>
      <w:marRight w:val="0"/>
      <w:marTop w:val="0"/>
      <w:marBottom w:val="0"/>
      <w:divBdr>
        <w:top w:val="none" w:sz="0" w:space="0" w:color="auto"/>
        <w:left w:val="none" w:sz="0" w:space="0" w:color="auto"/>
        <w:bottom w:val="none" w:sz="0" w:space="0" w:color="auto"/>
        <w:right w:val="none" w:sz="0" w:space="0" w:color="auto"/>
      </w:divBdr>
    </w:div>
    <w:div w:id="551616751">
      <w:bodyDiv w:val="1"/>
      <w:marLeft w:val="0"/>
      <w:marRight w:val="0"/>
      <w:marTop w:val="0"/>
      <w:marBottom w:val="0"/>
      <w:divBdr>
        <w:top w:val="none" w:sz="0" w:space="0" w:color="auto"/>
        <w:left w:val="none" w:sz="0" w:space="0" w:color="auto"/>
        <w:bottom w:val="none" w:sz="0" w:space="0" w:color="auto"/>
        <w:right w:val="none" w:sz="0" w:space="0" w:color="auto"/>
      </w:divBdr>
    </w:div>
    <w:div w:id="551884324">
      <w:bodyDiv w:val="1"/>
      <w:marLeft w:val="0"/>
      <w:marRight w:val="0"/>
      <w:marTop w:val="0"/>
      <w:marBottom w:val="0"/>
      <w:divBdr>
        <w:top w:val="none" w:sz="0" w:space="0" w:color="auto"/>
        <w:left w:val="none" w:sz="0" w:space="0" w:color="auto"/>
        <w:bottom w:val="none" w:sz="0" w:space="0" w:color="auto"/>
        <w:right w:val="none" w:sz="0" w:space="0" w:color="auto"/>
      </w:divBdr>
      <w:divsChild>
        <w:div w:id="1345479628">
          <w:marLeft w:val="274"/>
          <w:marRight w:val="0"/>
          <w:marTop w:val="38"/>
          <w:marBottom w:val="0"/>
          <w:divBdr>
            <w:top w:val="none" w:sz="0" w:space="0" w:color="auto"/>
            <w:left w:val="none" w:sz="0" w:space="0" w:color="auto"/>
            <w:bottom w:val="none" w:sz="0" w:space="0" w:color="auto"/>
            <w:right w:val="none" w:sz="0" w:space="0" w:color="auto"/>
          </w:divBdr>
        </w:div>
      </w:divsChild>
    </w:div>
    <w:div w:id="554243555">
      <w:bodyDiv w:val="1"/>
      <w:marLeft w:val="0"/>
      <w:marRight w:val="0"/>
      <w:marTop w:val="0"/>
      <w:marBottom w:val="0"/>
      <w:divBdr>
        <w:top w:val="none" w:sz="0" w:space="0" w:color="auto"/>
        <w:left w:val="none" w:sz="0" w:space="0" w:color="auto"/>
        <w:bottom w:val="none" w:sz="0" w:space="0" w:color="auto"/>
        <w:right w:val="none" w:sz="0" w:space="0" w:color="auto"/>
      </w:divBdr>
    </w:div>
    <w:div w:id="559558129">
      <w:bodyDiv w:val="1"/>
      <w:marLeft w:val="0"/>
      <w:marRight w:val="0"/>
      <w:marTop w:val="0"/>
      <w:marBottom w:val="0"/>
      <w:divBdr>
        <w:top w:val="none" w:sz="0" w:space="0" w:color="auto"/>
        <w:left w:val="none" w:sz="0" w:space="0" w:color="auto"/>
        <w:bottom w:val="none" w:sz="0" w:space="0" w:color="auto"/>
        <w:right w:val="none" w:sz="0" w:space="0" w:color="auto"/>
      </w:divBdr>
      <w:divsChild>
        <w:div w:id="794904443">
          <w:marLeft w:val="274"/>
          <w:marRight w:val="0"/>
          <w:marTop w:val="38"/>
          <w:marBottom w:val="0"/>
          <w:divBdr>
            <w:top w:val="none" w:sz="0" w:space="0" w:color="auto"/>
            <w:left w:val="none" w:sz="0" w:space="0" w:color="auto"/>
            <w:bottom w:val="none" w:sz="0" w:space="0" w:color="auto"/>
            <w:right w:val="none" w:sz="0" w:space="0" w:color="auto"/>
          </w:divBdr>
        </w:div>
        <w:div w:id="914978141">
          <w:marLeft w:val="274"/>
          <w:marRight w:val="0"/>
          <w:marTop w:val="38"/>
          <w:marBottom w:val="0"/>
          <w:divBdr>
            <w:top w:val="none" w:sz="0" w:space="0" w:color="auto"/>
            <w:left w:val="none" w:sz="0" w:space="0" w:color="auto"/>
            <w:bottom w:val="none" w:sz="0" w:space="0" w:color="auto"/>
            <w:right w:val="none" w:sz="0" w:space="0" w:color="auto"/>
          </w:divBdr>
        </w:div>
        <w:div w:id="1805811484">
          <w:marLeft w:val="274"/>
          <w:marRight w:val="0"/>
          <w:marTop w:val="38"/>
          <w:marBottom w:val="0"/>
          <w:divBdr>
            <w:top w:val="none" w:sz="0" w:space="0" w:color="auto"/>
            <w:left w:val="none" w:sz="0" w:space="0" w:color="auto"/>
            <w:bottom w:val="none" w:sz="0" w:space="0" w:color="auto"/>
            <w:right w:val="none" w:sz="0" w:space="0" w:color="auto"/>
          </w:divBdr>
        </w:div>
      </w:divsChild>
    </w:div>
    <w:div w:id="599025738">
      <w:bodyDiv w:val="1"/>
      <w:marLeft w:val="0"/>
      <w:marRight w:val="0"/>
      <w:marTop w:val="0"/>
      <w:marBottom w:val="0"/>
      <w:divBdr>
        <w:top w:val="none" w:sz="0" w:space="0" w:color="auto"/>
        <w:left w:val="none" w:sz="0" w:space="0" w:color="auto"/>
        <w:bottom w:val="none" w:sz="0" w:space="0" w:color="auto"/>
        <w:right w:val="none" w:sz="0" w:space="0" w:color="auto"/>
      </w:divBdr>
      <w:divsChild>
        <w:div w:id="991981954">
          <w:marLeft w:val="274"/>
          <w:marRight w:val="0"/>
          <w:marTop w:val="38"/>
          <w:marBottom w:val="0"/>
          <w:divBdr>
            <w:top w:val="none" w:sz="0" w:space="0" w:color="auto"/>
            <w:left w:val="none" w:sz="0" w:space="0" w:color="auto"/>
            <w:bottom w:val="none" w:sz="0" w:space="0" w:color="auto"/>
            <w:right w:val="none" w:sz="0" w:space="0" w:color="auto"/>
          </w:divBdr>
        </w:div>
      </w:divsChild>
    </w:div>
    <w:div w:id="604657118">
      <w:bodyDiv w:val="1"/>
      <w:marLeft w:val="0"/>
      <w:marRight w:val="0"/>
      <w:marTop w:val="0"/>
      <w:marBottom w:val="0"/>
      <w:divBdr>
        <w:top w:val="none" w:sz="0" w:space="0" w:color="auto"/>
        <w:left w:val="none" w:sz="0" w:space="0" w:color="auto"/>
        <w:bottom w:val="none" w:sz="0" w:space="0" w:color="auto"/>
        <w:right w:val="none" w:sz="0" w:space="0" w:color="auto"/>
      </w:divBdr>
    </w:div>
    <w:div w:id="608975696">
      <w:bodyDiv w:val="1"/>
      <w:marLeft w:val="0"/>
      <w:marRight w:val="0"/>
      <w:marTop w:val="0"/>
      <w:marBottom w:val="0"/>
      <w:divBdr>
        <w:top w:val="none" w:sz="0" w:space="0" w:color="auto"/>
        <w:left w:val="none" w:sz="0" w:space="0" w:color="auto"/>
        <w:bottom w:val="none" w:sz="0" w:space="0" w:color="auto"/>
        <w:right w:val="none" w:sz="0" w:space="0" w:color="auto"/>
      </w:divBdr>
      <w:divsChild>
        <w:div w:id="500704693">
          <w:marLeft w:val="0"/>
          <w:marRight w:val="0"/>
          <w:marTop w:val="0"/>
          <w:marBottom w:val="0"/>
          <w:divBdr>
            <w:top w:val="none" w:sz="0" w:space="0" w:color="auto"/>
            <w:left w:val="none" w:sz="0" w:space="0" w:color="auto"/>
            <w:bottom w:val="none" w:sz="0" w:space="0" w:color="auto"/>
            <w:right w:val="none" w:sz="0" w:space="0" w:color="auto"/>
          </w:divBdr>
        </w:div>
        <w:div w:id="1560943615">
          <w:marLeft w:val="0"/>
          <w:marRight w:val="0"/>
          <w:marTop w:val="0"/>
          <w:marBottom w:val="0"/>
          <w:divBdr>
            <w:top w:val="none" w:sz="0" w:space="0" w:color="auto"/>
            <w:left w:val="none" w:sz="0" w:space="0" w:color="auto"/>
            <w:bottom w:val="none" w:sz="0" w:space="0" w:color="auto"/>
            <w:right w:val="none" w:sz="0" w:space="0" w:color="auto"/>
          </w:divBdr>
        </w:div>
      </w:divsChild>
    </w:div>
    <w:div w:id="612327085">
      <w:bodyDiv w:val="1"/>
      <w:marLeft w:val="0"/>
      <w:marRight w:val="0"/>
      <w:marTop w:val="0"/>
      <w:marBottom w:val="0"/>
      <w:divBdr>
        <w:top w:val="none" w:sz="0" w:space="0" w:color="auto"/>
        <w:left w:val="none" w:sz="0" w:space="0" w:color="auto"/>
        <w:bottom w:val="none" w:sz="0" w:space="0" w:color="auto"/>
        <w:right w:val="none" w:sz="0" w:space="0" w:color="auto"/>
      </w:divBdr>
    </w:div>
    <w:div w:id="613513377">
      <w:bodyDiv w:val="1"/>
      <w:marLeft w:val="0"/>
      <w:marRight w:val="0"/>
      <w:marTop w:val="0"/>
      <w:marBottom w:val="0"/>
      <w:divBdr>
        <w:top w:val="none" w:sz="0" w:space="0" w:color="auto"/>
        <w:left w:val="none" w:sz="0" w:space="0" w:color="auto"/>
        <w:bottom w:val="none" w:sz="0" w:space="0" w:color="auto"/>
        <w:right w:val="none" w:sz="0" w:space="0" w:color="auto"/>
      </w:divBdr>
    </w:div>
    <w:div w:id="614606525">
      <w:bodyDiv w:val="1"/>
      <w:marLeft w:val="0"/>
      <w:marRight w:val="0"/>
      <w:marTop w:val="0"/>
      <w:marBottom w:val="0"/>
      <w:divBdr>
        <w:top w:val="none" w:sz="0" w:space="0" w:color="auto"/>
        <w:left w:val="none" w:sz="0" w:space="0" w:color="auto"/>
        <w:bottom w:val="none" w:sz="0" w:space="0" w:color="auto"/>
        <w:right w:val="none" w:sz="0" w:space="0" w:color="auto"/>
      </w:divBdr>
      <w:divsChild>
        <w:div w:id="934090364">
          <w:marLeft w:val="274"/>
          <w:marRight w:val="0"/>
          <w:marTop w:val="38"/>
          <w:marBottom w:val="0"/>
          <w:divBdr>
            <w:top w:val="none" w:sz="0" w:space="0" w:color="auto"/>
            <w:left w:val="none" w:sz="0" w:space="0" w:color="auto"/>
            <w:bottom w:val="none" w:sz="0" w:space="0" w:color="auto"/>
            <w:right w:val="none" w:sz="0" w:space="0" w:color="auto"/>
          </w:divBdr>
        </w:div>
      </w:divsChild>
    </w:div>
    <w:div w:id="617876096">
      <w:bodyDiv w:val="1"/>
      <w:marLeft w:val="0"/>
      <w:marRight w:val="0"/>
      <w:marTop w:val="0"/>
      <w:marBottom w:val="0"/>
      <w:divBdr>
        <w:top w:val="none" w:sz="0" w:space="0" w:color="auto"/>
        <w:left w:val="none" w:sz="0" w:space="0" w:color="auto"/>
        <w:bottom w:val="none" w:sz="0" w:space="0" w:color="auto"/>
        <w:right w:val="none" w:sz="0" w:space="0" w:color="auto"/>
      </w:divBdr>
      <w:divsChild>
        <w:div w:id="1594431414">
          <w:marLeft w:val="274"/>
          <w:marRight w:val="0"/>
          <w:marTop w:val="38"/>
          <w:marBottom w:val="0"/>
          <w:divBdr>
            <w:top w:val="none" w:sz="0" w:space="0" w:color="auto"/>
            <w:left w:val="none" w:sz="0" w:space="0" w:color="auto"/>
            <w:bottom w:val="none" w:sz="0" w:space="0" w:color="auto"/>
            <w:right w:val="none" w:sz="0" w:space="0" w:color="auto"/>
          </w:divBdr>
        </w:div>
      </w:divsChild>
    </w:div>
    <w:div w:id="626547311">
      <w:bodyDiv w:val="1"/>
      <w:marLeft w:val="0"/>
      <w:marRight w:val="0"/>
      <w:marTop w:val="0"/>
      <w:marBottom w:val="0"/>
      <w:divBdr>
        <w:top w:val="none" w:sz="0" w:space="0" w:color="auto"/>
        <w:left w:val="none" w:sz="0" w:space="0" w:color="auto"/>
        <w:bottom w:val="none" w:sz="0" w:space="0" w:color="auto"/>
        <w:right w:val="none" w:sz="0" w:space="0" w:color="auto"/>
      </w:divBdr>
      <w:divsChild>
        <w:div w:id="775833566">
          <w:marLeft w:val="274"/>
          <w:marRight w:val="0"/>
          <w:marTop w:val="38"/>
          <w:marBottom w:val="0"/>
          <w:divBdr>
            <w:top w:val="none" w:sz="0" w:space="0" w:color="auto"/>
            <w:left w:val="none" w:sz="0" w:space="0" w:color="auto"/>
            <w:bottom w:val="none" w:sz="0" w:space="0" w:color="auto"/>
            <w:right w:val="none" w:sz="0" w:space="0" w:color="auto"/>
          </w:divBdr>
        </w:div>
      </w:divsChild>
    </w:div>
    <w:div w:id="632364638">
      <w:bodyDiv w:val="1"/>
      <w:marLeft w:val="0"/>
      <w:marRight w:val="0"/>
      <w:marTop w:val="0"/>
      <w:marBottom w:val="0"/>
      <w:divBdr>
        <w:top w:val="none" w:sz="0" w:space="0" w:color="auto"/>
        <w:left w:val="none" w:sz="0" w:space="0" w:color="auto"/>
        <w:bottom w:val="none" w:sz="0" w:space="0" w:color="auto"/>
        <w:right w:val="none" w:sz="0" w:space="0" w:color="auto"/>
      </w:divBdr>
    </w:div>
    <w:div w:id="633025915">
      <w:bodyDiv w:val="1"/>
      <w:marLeft w:val="0"/>
      <w:marRight w:val="0"/>
      <w:marTop w:val="0"/>
      <w:marBottom w:val="0"/>
      <w:divBdr>
        <w:top w:val="none" w:sz="0" w:space="0" w:color="auto"/>
        <w:left w:val="none" w:sz="0" w:space="0" w:color="auto"/>
        <w:bottom w:val="none" w:sz="0" w:space="0" w:color="auto"/>
        <w:right w:val="none" w:sz="0" w:space="0" w:color="auto"/>
      </w:divBdr>
      <w:divsChild>
        <w:div w:id="1229876022">
          <w:marLeft w:val="274"/>
          <w:marRight w:val="0"/>
          <w:marTop w:val="38"/>
          <w:marBottom w:val="0"/>
          <w:divBdr>
            <w:top w:val="none" w:sz="0" w:space="0" w:color="auto"/>
            <w:left w:val="none" w:sz="0" w:space="0" w:color="auto"/>
            <w:bottom w:val="none" w:sz="0" w:space="0" w:color="auto"/>
            <w:right w:val="none" w:sz="0" w:space="0" w:color="auto"/>
          </w:divBdr>
        </w:div>
        <w:div w:id="1850757500">
          <w:marLeft w:val="274"/>
          <w:marRight w:val="0"/>
          <w:marTop w:val="38"/>
          <w:marBottom w:val="0"/>
          <w:divBdr>
            <w:top w:val="none" w:sz="0" w:space="0" w:color="auto"/>
            <w:left w:val="none" w:sz="0" w:space="0" w:color="auto"/>
            <w:bottom w:val="none" w:sz="0" w:space="0" w:color="auto"/>
            <w:right w:val="none" w:sz="0" w:space="0" w:color="auto"/>
          </w:divBdr>
        </w:div>
      </w:divsChild>
    </w:div>
    <w:div w:id="642467897">
      <w:bodyDiv w:val="1"/>
      <w:marLeft w:val="0"/>
      <w:marRight w:val="0"/>
      <w:marTop w:val="0"/>
      <w:marBottom w:val="0"/>
      <w:divBdr>
        <w:top w:val="none" w:sz="0" w:space="0" w:color="auto"/>
        <w:left w:val="none" w:sz="0" w:space="0" w:color="auto"/>
        <w:bottom w:val="none" w:sz="0" w:space="0" w:color="auto"/>
        <w:right w:val="none" w:sz="0" w:space="0" w:color="auto"/>
      </w:divBdr>
      <w:divsChild>
        <w:div w:id="77678011">
          <w:marLeft w:val="1800"/>
          <w:marRight w:val="0"/>
          <w:marTop w:val="67"/>
          <w:marBottom w:val="0"/>
          <w:divBdr>
            <w:top w:val="none" w:sz="0" w:space="0" w:color="auto"/>
            <w:left w:val="none" w:sz="0" w:space="0" w:color="auto"/>
            <w:bottom w:val="none" w:sz="0" w:space="0" w:color="auto"/>
            <w:right w:val="none" w:sz="0" w:space="0" w:color="auto"/>
          </w:divBdr>
        </w:div>
        <w:div w:id="724328715">
          <w:marLeft w:val="1800"/>
          <w:marRight w:val="0"/>
          <w:marTop w:val="67"/>
          <w:marBottom w:val="0"/>
          <w:divBdr>
            <w:top w:val="none" w:sz="0" w:space="0" w:color="auto"/>
            <w:left w:val="none" w:sz="0" w:space="0" w:color="auto"/>
            <w:bottom w:val="none" w:sz="0" w:space="0" w:color="auto"/>
            <w:right w:val="none" w:sz="0" w:space="0" w:color="auto"/>
          </w:divBdr>
        </w:div>
        <w:div w:id="949505777">
          <w:marLeft w:val="547"/>
          <w:marRight w:val="0"/>
          <w:marTop w:val="77"/>
          <w:marBottom w:val="0"/>
          <w:divBdr>
            <w:top w:val="none" w:sz="0" w:space="0" w:color="auto"/>
            <w:left w:val="none" w:sz="0" w:space="0" w:color="auto"/>
            <w:bottom w:val="none" w:sz="0" w:space="0" w:color="auto"/>
            <w:right w:val="none" w:sz="0" w:space="0" w:color="auto"/>
          </w:divBdr>
        </w:div>
        <w:div w:id="1015766879">
          <w:marLeft w:val="1166"/>
          <w:marRight w:val="0"/>
          <w:marTop w:val="67"/>
          <w:marBottom w:val="0"/>
          <w:divBdr>
            <w:top w:val="none" w:sz="0" w:space="0" w:color="auto"/>
            <w:left w:val="none" w:sz="0" w:space="0" w:color="auto"/>
            <w:bottom w:val="none" w:sz="0" w:space="0" w:color="auto"/>
            <w:right w:val="none" w:sz="0" w:space="0" w:color="auto"/>
          </w:divBdr>
        </w:div>
        <w:div w:id="1173643476">
          <w:marLeft w:val="1166"/>
          <w:marRight w:val="0"/>
          <w:marTop w:val="67"/>
          <w:marBottom w:val="0"/>
          <w:divBdr>
            <w:top w:val="none" w:sz="0" w:space="0" w:color="auto"/>
            <w:left w:val="none" w:sz="0" w:space="0" w:color="auto"/>
            <w:bottom w:val="none" w:sz="0" w:space="0" w:color="auto"/>
            <w:right w:val="none" w:sz="0" w:space="0" w:color="auto"/>
          </w:divBdr>
        </w:div>
        <w:div w:id="1364282801">
          <w:marLeft w:val="547"/>
          <w:marRight w:val="0"/>
          <w:marTop w:val="77"/>
          <w:marBottom w:val="0"/>
          <w:divBdr>
            <w:top w:val="none" w:sz="0" w:space="0" w:color="auto"/>
            <w:left w:val="none" w:sz="0" w:space="0" w:color="auto"/>
            <w:bottom w:val="none" w:sz="0" w:space="0" w:color="auto"/>
            <w:right w:val="none" w:sz="0" w:space="0" w:color="auto"/>
          </w:divBdr>
        </w:div>
        <w:div w:id="1885405500">
          <w:marLeft w:val="1800"/>
          <w:marRight w:val="0"/>
          <w:marTop w:val="67"/>
          <w:marBottom w:val="0"/>
          <w:divBdr>
            <w:top w:val="none" w:sz="0" w:space="0" w:color="auto"/>
            <w:left w:val="none" w:sz="0" w:space="0" w:color="auto"/>
            <w:bottom w:val="none" w:sz="0" w:space="0" w:color="auto"/>
            <w:right w:val="none" w:sz="0" w:space="0" w:color="auto"/>
          </w:divBdr>
        </w:div>
        <w:div w:id="1896503629">
          <w:marLeft w:val="1800"/>
          <w:marRight w:val="0"/>
          <w:marTop w:val="67"/>
          <w:marBottom w:val="0"/>
          <w:divBdr>
            <w:top w:val="none" w:sz="0" w:space="0" w:color="auto"/>
            <w:left w:val="none" w:sz="0" w:space="0" w:color="auto"/>
            <w:bottom w:val="none" w:sz="0" w:space="0" w:color="auto"/>
            <w:right w:val="none" w:sz="0" w:space="0" w:color="auto"/>
          </w:divBdr>
        </w:div>
        <w:div w:id="2076004631">
          <w:marLeft w:val="1800"/>
          <w:marRight w:val="0"/>
          <w:marTop w:val="67"/>
          <w:marBottom w:val="0"/>
          <w:divBdr>
            <w:top w:val="none" w:sz="0" w:space="0" w:color="auto"/>
            <w:left w:val="none" w:sz="0" w:space="0" w:color="auto"/>
            <w:bottom w:val="none" w:sz="0" w:space="0" w:color="auto"/>
            <w:right w:val="none" w:sz="0" w:space="0" w:color="auto"/>
          </w:divBdr>
        </w:div>
      </w:divsChild>
    </w:div>
    <w:div w:id="642734120">
      <w:bodyDiv w:val="1"/>
      <w:marLeft w:val="0"/>
      <w:marRight w:val="0"/>
      <w:marTop w:val="0"/>
      <w:marBottom w:val="0"/>
      <w:divBdr>
        <w:top w:val="none" w:sz="0" w:space="0" w:color="auto"/>
        <w:left w:val="none" w:sz="0" w:space="0" w:color="auto"/>
        <w:bottom w:val="none" w:sz="0" w:space="0" w:color="auto"/>
        <w:right w:val="none" w:sz="0" w:space="0" w:color="auto"/>
      </w:divBdr>
    </w:div>
    <w:div w:id="644508519">
      <w:bodyDiv w:val="1"/>
      <w:marLeft w:val="0"/>
      <w:marRight w:val="0"/>
      <w:marTop w:val="0"/>
      <w:marBottom w:val="0"/>
      <w:divBdr>
        <w:top w:val="none" w:sz="0" w:space="0" w:color="auto"/>
        <w:left w:val="none" w:sz="0" w:space="0" w:color="auto"/>
        <w:bottom w:val="none" w:sz="0" w:space="0" w:color="auto"/>
        <w:right w:val="none" w:sz="0" w:space="0" w:color="auto"/>
      </w:divBdr>
      <w:divsChild>
        <w:div w:id="506020655">
          <w:marLeft w:val="994"/>
          <w:marRight w:val="0"/>
          <w:marTop w:val="38"/>
          <w:marBottom w:val="0"/>
          <w:divBdr>
            <w:top w:val="none" w:sz="0" w:space="0" w:color="auto"/>
            <w:left w:val="none" w:sz="0" w:space="0" w:color="auto"/>
            <w:bottom w:val="none" w:sz="0" w:space="0" w:color="auto"/>
            <w:right w:val="none" w:sz="0" w:space="0" w:color="auto"/>
          </w:divBdr>
        </w:div>
        <w:div w:id="848258173">
          <w:marLeft w:val="994"/>
          <w:marRight w:val="0"/>
          <w:marTop w:val="38"/>
          <w:marBottom w:val="0"/>
          <w:divBdr>
            <w:top w:val="none" w:sz="0" w:space="0" w:color="auto"/>
            <w:left w:val="none" w:sz="0" w:space="0" w:color="auto"/>
            <w:bottom w:val="none" w:sz="0" w:space="0" w:color="auto"/>
            <w:right w:val="none" w:sz="0" w:space="0" w:color="auto"/>
          </w:divBdr>
        </w:div>
        <w:div w:id="2124224652">
          <w:marLeft w:val="274"/>
          <w:marRight w:val="0"/>
          <w:marTop w:val="38"/>
          <w:marBottom w:val="0"/>
          <w:divBdr>
            <w:top w:val="none" w:sz="0" w:space="0" w:color="auto"/>
            <w:left w:val="none" w:sz="0" w:space="0" w:color="auto"/>
            <w:bottom w:val="none" w:sz="0" w:space="0" w:color="auto"/>
            <w:right w:val="none" w:sz="0" w:space="0" w:color="auto"/>
          </w:divBdr>
        </w:div>
      </w:divsChild>
    </w:div>
    <w:div w:id="675613826">
      <w:bodyDiv w:val="1"/>
      <w:marLeft w:val="0"/>
      <w:marRight w:val="0"/>
      <w:marTop w:val="0"/>
      <w:marBottom w:val="0"/>
      <w:divBdr>
        <w:top w:val="none" w:sz="0" w:space="0" w:color="auto"/>
        <w:left w:val="none" w:sz="0" w:space="0" w:color="auto"/>
        <w:bottom w:val="none" w:sz="0" w:space="0" w:color="auto"/>
        <w:right w:val="none" w:sz="0" w:space="0" w:color="auto"/>
      </w:divBdr>
    </w:div>
    <w:div w:id="706221492">
      <w:bodyDiv w:val="1"/>
      <w:marLeft w:val="0"/>
      <w:marRight w:val="0"/>
      <w:marTop w:val="0"/>
      <w:marBottom w:val="0"/>
      <w:divBdr>
        <w:top w:val="none" w:sz="0" w:space="0" w:color="auto"/>
        <w:left w:val="none" w:sz="0" w:space="0" w:color="auto"/>
        <w:bottom w:val="none" w:sz="0" w:space="0" w:color="auto"/>
        <w:right w:val="none" w:sz="0" w:space="0" w:color="auto"/>
      </w:divBdr>
    </w:div>
    <w:div w:id="710036131">
      <w:bodyDiv w:val="1"/>
      <w:marLeft w:val="0"/>
      <w:marRight w:val="0"/>
      <w:marTop w:val="0"/>
      <w:marBottom w:val="0"/>
      <w:divBdr>
        <w:top w:val="none" w:sz="0" w:space="0" w:color="auto"/>
        <w:left w:val="none" w:sz="0" w:space="0" w:color="auto"/>
        <w:bottom w:val="none" w:sz="0" w:space="0" w:color="auto"/>
        <w:right w:val="none" w:sz="0" w:space="0" w:color="auto"/>
      </w:divBdr>
    </w:div>
    <w:div w:id="729234153">
      <w:bodyDiv w:val="1"/>
      <w:marLeft w:val="0"/>
      <w:marRight w:val="0"/>
      <w:marTop w:val="0"/>
      <w:marBottom w:val="0"/>
      <w:divBdr>
        <w:top w:val="none" w:sz="0" w:space="0" w:color="auto"/>
        <w:left w:val="none" w:sz="0" w:space="0" w:color="auto"/>
        <w:bottom w:val="none" w:sz="0" w:space="0" w:color="auto"/>
        <w:right w:val="none" w:sz="0" w:space="0" w:color="auto"/>
      </w:divBdr>
    </w:div>
    <w:div w:id="731579715">
      <w:bodyDiv w:val="1"/>
      <w:marLeft w:val="0"/>
      <w:marRight w:val="0"/>
      <w:marTop w:val="0"/>
      <w:marBottom w:val="0"/>
      <w:divBdr>
        <w:top w:val="none" w:sz="0" w:space="0" w:color="auto"/>
        <w:left w:val="none" w:sz="0" w:space="0" w:color="auto"/>
        <w:bottom w:val="none" w:sz="0" w:space="0" w:color="auto"/>
        <w:right w:val="none" w:sz="0" w:space="0" w:color="auto"/>
      </w:divBdr>
      <w:divsChild>
        <w:div w:id="191186153">
          <w:marLeft w:val="274"/>
          <w:marRight w:val="0"/>
          <w:marTop w:val="38"/>
          <w:marBottom w:val="0"/>
          <w:divBdr>
            <w:top w:val="none" w:sz="0" w:space="0" w:color="auto"/>
            <w:left w:val="none" w:sz="0" w:space="0" w:color="auto"/>
            <w:bottom w:val="none" w:sz="0" w:space="0" w:color="auto"/>
            <w:right w:val="none" w:sz="0" w:space="0" w:color="auto"/>
          </w:divBdr>
        </w:div>
      </w:divsChild>
    </w:div>
    <w:div w:id="748160209">
      <w:bodyDiv w:val="1"/>
      <w:marLeft w:val="0"/>
      <w:marRight w:val="0"/>
      <w:marTop w:val="0"/>
      <w:marBottom w:val="0"/>
      <w:divBdr>
        <w:top w:val="none" w:sz="0" w:space="0" w:color="auto"/>
        <w:left w:val="none" w:sz="0" w:space="0" w:color="auto"/>
        <w:bottom w:val="none" w:sz="0" w:space="0" w:color="auto"/>
        <w:right w:val="none" w:sz="0" w:space="0" w:color="auto"/>
      </w:divBdr>
      <w:divsChild>
        <w:div w:id="1889762531">
          <w:marLeft w:val="274"/>
          <w:marRight w:val="0"/>
          <w:marTop w:val="38"/>
          <w:marBottom w:val="0"/>
          <w:divBdr>
            <w:top w:val="none" w:sz="0" w:space="0" w:color="auto"/>
            <w:left w:val="none" w:sz="0" w:space="0" w:color="auto"/>
            <w:bottom w:val="none" w:sz="0" w:space="0" w:color="auto"/>
            <w:right w:val="none" w:sz="0" w:space="0" w:color="auto"/>
          </w:divBdr>
        </w:div>
      </w:divsChild>
    </w:div>
    <w:div w:id="753167914">
      <w:bodyDiv w:val="1"/>
      <w:marLeft w:val="0"/>
      <w:marRight w:val="0"/>
      <w:marTop w:val="0"/>
      <w:marBottom w:val="0"/>
      <w:divBdr>
        <w:top w:val="none" w:sz="0" w:space="0" w:color="auto"/>
        <w:left w:val="none" w:sz="0" w:space="0" w:color="auto"/>
        <w:bottom w:val="none" w:sz="0" w:space="0" w:color="auto"/>
        <w:right w:val="none" w:sz="0" w:space="0" w:color="auto"/>
      </w:divBdr>
    </w:div>
    <w:div w:id="753287229">
      <w:bodyDiv w:val="1"/>
      <w:marLeft w:val="0"/>
      <w:marRight w:val="0"/>
      <w:marTop w:val="0"/>
      <w:marBottom w:val="0"/>
      <w:divBdr>
        <w:top w:val="none" w:sz="0" w:space="0" w:color="auto"/>
        <w:left w:val="none" w:sz="0" w:space="0" w:color="auto"/>
        <w:bottom w:val="none" w:sz="0" w:space="0" w:color="auto"/>
        <w:right w:val="none" w:sz="0" w:space="0" w:color="auto"/>
      </w:divBdr>
      <w:divsChild>
        <w:div w:id="1135222416">
          <w:marLeft w:val="274"/>
          <w:marRight w:val="0"/>
          <w:marTop w:val="38"/>
          <w:marBottom w:val="0"/>
          <w:divBdr>
            <w:top w:val="none" w:sz="0" w:space="0" w:color="auto"/>
            <w:left w:val="none" w:sz="0" w:space="0" w:color="auto"/>
            <w:bottom w:val="none" w:sz="0" w:space="0" w:color="auto"/>
            <w:right w:val="none" w:sz="0" w:space="0" w:color="auto"/>
          </w:divBdr>
        </w:div>
        <w:div w:id="1207989472">
          <w:marLeft w:val="274"/>
          <w:marRight w:val="0"/>
          <w:marTop w:val="38"/>
          <w:marBottom w:val="0"/>
          <w:divBdr>
            <w:top w:val="none" w:sz="0" w:space="0" w:color="auto"/>
            <w:left w:val="none" w:sz="0" w:space="0" w:color="auto"/>
            <w:bottom w:val="none" w:sz="0" w:space="0" w:color="auto"/>
            <w:right w:val="none" w:sz="0" w:space="0" w:color="auto"/>
          </w:divBdr>
        </w:div>
        <w:div w:id="1396510151">
          <w:marLeft w:val="274"/>
          <w:marRight w:val="0"/>
          <w:marTop w:val="38"/>
          <w:marBottom w:val="0"/>
          <w:divBdr>
            <w:top w:val="none" w:sz="0" w:space="0" w:color="auto"/>
            <w:left w:val="none" w:sz="0" w:space="0" w:color="auto"/>
            <w:bottom w:val="none" w:sz="0" w:space="0" w:color="auto"/>
            <w:right w:val="none" w:sz="0" w:space="0" w:color="auto"/>
          </w:divBdr>
        </w:div>
        <w:div w:id="1466510217">
          <w:marLeft w:val="274"/>
          <w:marRight w:val="0"/>
          <w:marTop w:val="38"/>
          <w:marBottom w:val="0"/>
          <w:divBdr>
            <w:top w:val="none" w:sz="0" w:space="0" w:color="auto"/>
            <w:left w:val="none" w:sz="0" w:space="0" w:color="auto"/>
            <w:bottom w:val="none" w:sz="0" w:space="0" w:color="auto"/>
            <w:right w:val="none" w:sz="0" w:space="0" w:color="auto"/>
          </w:divBdr>
        </w:div>
        <w:div w:id="1625118828">
          <w:marLeft w:val="274"/>
          <w:marRight w:val="0"/>
          <w:marTop w:val="38"/>
          <w:marBottom w:val="0"/>
          <w:divBdr>
            <w:top w:val="none" w:sz="0" w:space="0" w:color="auto"/>
            <w:left w:val="none" w:sz="0" w:space="0" w:color="auto"/>
            <w:bottom w:val="none" w:sz="0" w:space="0" w:color="auto"/>
            <w:right w:val="none" w:sz="0" w:space="0" w:color="auto"/>
          </w:divBdr>
        </w:div>
      </w:divsChild>
    </w:div>
    <w:div w:id="756561306">
      <w:bodyDiv w:val="1"/>
      <w:marLeft w:val="0"/>
      <w:marRight w:val="0"/>
      <w:marTop w:val="0"/>
      <w:marBottom w:val="0"/>
      <w:divBdr>
        <w:top w:val="none" w:sz="0" w:space="0" w:color="auto"/>
        <w:left w:val="none" w:sz="0" w:space="0" w:color="auto"/>
        <w:bottom w:val="none" w:sz="0" w:space="0" w:color="auto"/>
        <w:right w:val="none" w:sz="0" w:space="0" w:color="auto"/>
      </w:divBdr>
      <w:divsChild>
        <w:div w:id="448354458">
          <w:marLeft w:val="274"/>
          <w:marRight w:val="0"/>
          <w:marTop w:val="38"/>
          <w:marBottom w:val="0"/>
          <w:divBdr>
            <w:top w:val="none" w:sz="0" w:space="0" w:color="auto"/>
            <w:left w:val="none" w:sz="0" w:space="0" w:color="auto"/>
            <w:bottom w:val="none" w:sz="0" w:space="0" w:color="auto"/>
            <w:right w:val="none" w:sz="0" w:space="0" w:color="auto"/>
          </w:divBdr>
        </w:div>
      </w:divsChild>
    </w:div>
    <w:div w:id="759107924">
      <w:bodyDiv w:val="1"/>
      <w:marLeft w:val="0"/>
      <w:marRight w:val="0"/>
      <w:marTop w:val="0"/>
      <w:marBottom w:val="0"/>
      <w:divBdr>
        <w:top w:val="none" w:sz="0" w:space="0" w:color="auto"/>
        <w:left w:val="none" w:sz="0" w:space="0" w:color="auto"/>
        <w:bottom w:val="none" w:sz="0" w:space="0" w:color="auto"/>
        <w:right w:val="none" w:sz="0" w:space="0" w:color="auto"/>
      </w:divBdr>
      <w:divsChild>
        <w:div w:id="1331255240">
          <w:marLeft w:val="274"/>
          <w:marRight w:val="0"/>
          <w:marTop w:val="38"/>
          <w:marBottom w:val="0"/>
          <w:divBdr>
            <w:top w:val="none" w:sz="0" w:space="0" w:color="auto"/>
            <w:left w:val="none" w:sz="0" w:space="0" w:color="auto"/>
            <w:bottom w:val="none" w:sz="0" w:space="0" w:color="auto"/>
            <w:right w:val="none" w:sz="0" w:space="0" w:color="auto"/>
          </w:divBdr>
        </w:div>
      </w:divsChild>
    </w:div>
    <w:div w:id="766265929">
      <w:bodyDiv w:val="1"/>
      <w:marLeft w:val="0"/>
      <w:marRight w:val="0"/>
      <w:marTop w:val="0"/>
      <w:marBottom w:val="0"/>
      <w:divBdr>
        <w:top w:val="none" w:sz="0" w:space="0" w:color="auto"/>
        <w:left w:val="none" w:sz="0" w:space="0" w:color="auto"/>
        <w:bottom w:val="none" w:sz="0" w:space="0" w:color="auto"/>
        <w:right w:val="none" w:sz="0" w:space="0" w:color="auto"/>
      </w:divBdr>
      <w:divsChild>
        <w:div w:id="1021392611">
          <w:marLeft w:val="274"/>
          <w:marRight w:val="0"/>
          <w:marTop w:val="38"/>
          <w:marBottom w:val="0"/>
          <w:divBdr>
            <w:top w:val="none" w:sz="0" w:space="0" w:color="auto"/>
            <w:left w:val="none" w:sz="0" w:space="0" w:color="auto"/>
            <w:bottom w:val="none" w:sz="0" w:space="0" w:color="auto"/>
            <w:right w:val="none" w:sz="0" w:space="0" w:color="auto"/>
          </w:divBdr>
        </w:div>
      </w:divsChild>
    </w:div>
    <w:div w:id="768962782">
      <w:bodyDiv w:val="1"/>
      <w:marLeft w:val="0"/>
      <w:marRight w:val="0"/>
      <w:marTop w:val="0"/>
      <w:marBottom w:val="0"/>
      <w:divBdr>
        <w:top w:val="none" w:sz="0" w:space="0" w:color="auto"/>
        <w:left w:val="none" w:sz="0" w:space="0" w:color="auto"/>
        <w:bottom w:val="none" w:sz="0" w:space="0" w:color="auto"/>
        <w:right w:val="none" w:sz="0" w:space="0" w:color="auto"/>
      </w:divBdr>
      <w:divsChild>
        <w:div w:id="248078154">
          <w:marLeft w:val="994"/>
          <w:marRight w:val="0"/>
          <w:marTop w:val="38"/>
          <w:marBottom w:val="0"/>
          <w:divBdr>
            <w:top w:val="none" w:sz="0" w:space="0" w:color="auto"/>
            <w:left w:val="none" w:sz="0" w:space="0" w:color="auto"/>
            <w:bottom w:val="none" w:sz="0" w:space="0" w:color="auto"/>
            <w:right w:val="none" w:sz="0" w:space="0" w:color="auto"/>
          </w:divBdr>
        </w:div>
        <w:div w:id="1241910536">
          <w:marLeft w:val="994"/>
          <w:marRight w:val="0"/>
          <w:marTop w:val="38"/>
          <w:marBottom w:val="0"/>
          <w:divBdr>
            <w:top w:val="none" w:sz="0" w:space="0" w:color="auto"/>
            <w:left w:val="none" w:sz="0" w:space="0" w:color="auto"/>
            <w:bottom w:val="none" w:sz="0" w:space="0" w:color="auto"/>
            <w:right w:val="none" w:sz="0" w:space="0" w:color="auto"/>
          </w:divBdr>
        </w:div>
        <w:div w:id="1638141772">
          <w:marLeft w:val="274"/>
          <w:marRight w:val="0"/>
          <w:marTop w:val="38"/>
          <w:marBottom w:val="0"/>
          <w:divBdr>
            <w:top w:val="none" w:sz="0" w:space="0" w:color="auto"/>
            <w:left w:val="none" w:sz="0" w:space="0" w:color="auto"/>
            <w:bottom w:val="none" w:sz="0" w:space="0" w:color="auto"/>
            <w:right w:val="none" w:sz="0" w:space="0" w:color="auto"/>
          </w:divBdr>
        </w:div>
        <w:div w:id="2016884388">
          <w:marLeft w:val="274"/>
          <w:marRight w:val="0"/>
          <w:marTop w:val="38"/>
          <w:marBottom w:val="0"/>
          <w:divBdr>
            <w:top w:val="none" w:sz="0" w:space="0" w:color="auto"/>
            <w:left w:val="none" w:sz="0" w:space="0" w:color="auto"/>
            <w:bottom w:val="none" w:sz="0" w:space="0" w:color="auto"/>
            <w:right w:val="none" w:sz="0" w:space="0" w:color="auto"/>
          </w:divBdr>
        </w:div>
      </w:divsChild>
    </w:div>
    <w:div w:id="773524933">
      <w:bodyDiv w:val="1"/>
      <w:marLeft w:val="0"/>
      <w:marRight w:val="0"/>
      <w:marTop w:val="0"/>
      <w:marBottom w:val="0"/>
      <w:divBdr>
        <w:top w:val="none" w:sz="0" w:space="0" w:color="auto"/>
        <w:left w:val="none" w:sz="0" w:space="0" w:color="auto"/>
        <w:bottom w:val="none" w:sz="0" w:space="0" w:color="auto"/>
        <w:right w:val="none" w:sz="0" w:space="0" w:color="auto"/>
      </w:divBdr>
      <w:divsChild>
        <w:div w:id="518198555">
          <w:marLeft w:val="274"/>
          <w:marRight w:val="0"/>
          <w:marTop w:val="38"/>
          <w:marBottom w:val="0"/>
          <w:divBdr>
            <w:top w:val="none" w:sz="0" w:space="0" w:color="auto"/>
            <w:left w:val="none" w:sz="0" w:space="0" w:color="auto"/>
            <w:bottom w:val="none" w:sz="0" w:space="0" w:color="auto"/>
            <w:right w:val="none" w:sz="0" w:space="0" w:color="auto"/>
          </w:divBdr>
        </w:div>
        <w:div w:id="1565141383">
          <w:marLeft w:val="274"/>
          <w:marRight w:val="0"/>
          <w:marTop w:val="38"/>
          <w:marBottom w:val="0"/>
          <w:divBdr>
            <w:top w:val="none" w:sz="0" w:space="0" w:color="auto"/>
            <w:left w:val="none" w:sz="0" w:space="0" w:color="auto"/>
            <w:bottom w:val="none" w:sz="0" w:space="0" w:color="auto"/>
            <w:right w:val="none" w:sz="0" w:space="0" w:color="auto"/>
          </w:divBdr>
        </w:div>
      </w:divsChild>
    </w:div>
    <w:div w:id="779766300">
      <w:bodyDiv w:val="1"/>
      <w:marLeft w:val="0"/>
      <w:marRight w:val="0"/>
      <w:marTop w:val="0"/>
      <w:marBottom w:val="0"/>
      <w:divBdr>
        <w:top w:val="none" w:sz="0" w:space="0" w:color="auto"/>
        <w:left w:val="none" w:sz="0" w:space="0" w:color="auto"/>
        <w:bottom w:val="none" w:sz="0" w:space="0" w:color="auto"/>
        <w:right w:val="none" w:sz="0" w:space="0" w:color="auto"/>
      </w:divBdr>
      <w:divsChild>
        <w:div w:id="7801799">
          <w:marLeft w:val="274"/>
          <w:marRight w:val="0"/>
          <w:marTop w:val="38"/>
          <w:marBottom w:val="0"/>
          <w:divBdr>
            <w:top w:val="none" w:sz="0" w:space="0" w:color="auto"/>
            <w:left w:val="none" w:sz="0" w:space="0" w:color="auto"/>
            <w:bottom w:val="none" w:sz="0" w:space="0" w:color="auto"/>
            <w:right w:val="none" w:sz="0" w:space="0" w:color="auto"/>
          </w:divBdr>
        </w:div>
        <w:div w:id="611713936">
          <w:marLeft w:val="274"/>
          <w:marRight w:val="0"/>
          <w:marTop w:val="38"/>
          <w:marBottom w:val="0"/>
          <w:divBdr>
            <w:top w:val="none" w:sz="0" w:space="0" w:color="auto"/>
            <w:left w:val="none" w:sz="0" w:space="0" w:color="auto"/>
            <w:bottom w:val="none" w:sz="0" w:space="0" w:color="auto"/>
            <w:right w:val="none" w:sz="0" w:space="0" w:color="auto"/>
          </w:divBdr>
        </w:div>
        <w:div w:id="1067220667">
          <w:marLeft w:val="994"/>
          <w:marRight w:val="0"/>
          <w:marTop w:val="38"/>
          <w:marBottom w:val="0"/>
          <w:divBdr>
            <w:top w:val="none" w:sz="0" w:space="0" w:color="auto"/>
            <w:left w:val="none" w:sz="0" w:space="0" w:color="auto"/>
            <w:bottom w:val="none" w:sz="0" w:space="0" w:color="auto"/>
            <w:right w:val="none" w:sz="0" w:space="0" w:color="auto"/>
          </w:divBdr>
        </w:div>
        <w:div w:id="1305887502">
          <w:marLeft w:val="274"/>
          <w:marRight w:val="0"/>
          <w:marTop w:val="38"/>
          <w:marBottom w:val="0"/>
          <w:divBdr>
            <w:top w:val="none" w:sz="0" w:space="0" w:color="auto"/>
            <w:left w:val="none" w:sz="0" w:space="0" w:color="auto"/>
            <w:bottom w:val="none" w:sz="0" w:space="0" w:color="auto"/>
            <w:right w:val="none" w:sz="0" w:space="0" w:color="auto"/>
          </w:divBdr>
        </w:div>
        <w:div w:id="2065368805">
          <w:marLeft w:val="274"/>
          <w:marRight w:val="0"/>
          <w:marTop w:val="38"/>
          <w:marBottom w:val="0"/>
          <w:divBdr>
            <w:top w:val="none" w:sz="0" w:space="0" w:color="auto"/>
            <w:left w:val="none" w:sz="0" w:space="0" w:color="auto"/>
            <w:bottom w:val="none" w:sz="0" w:space="0" w:color="auto"/>
            <w:right w:val="none" w:sz="0" w:space="0" w:color="auto"/>
          </w:divBdr>
        </w:div>
      </w:divsChild>
    </w:div>
    <w:div w:id="781147428">
      <w:bodyDiv w:val="1"/>
      <w:marLeft w:val="0"/>
      <w:marRight w:val="0"/>
      <w:marTop w:val="0"/>
      <w:marBottom w:val="0"/>
      <w:divBdr>
        <w:top w:val="none" w:sz="0" w:space="0" w:color="auto"/>
        <w:left w:val="none" w:sz="0" w:space="0" w:color="auto"/>
        <w:bottom w:val="none" w:sz="0" w:space="0" w:color="auto"/>
        <w:right w:val="none" w:sz="0" w:space="0" w:color="auto"/>
      </w:divBdr>
      <w:divsChild>
        <w:div w:id="1684278904">
          <w:marLeft w:val="274"/>
          <w:marRight w:val="0"/>
          <w:marTop w:val="38"/>
          <w:marBottom w:val="0"/>
          <w:divBdr>
            <w:top w:val="none" w:sz="0" w:space="0" w:color="auto"/>
            <w:left w:val="none" w:sz="0" w:space="0" w:color="auto"/>
            <w:bottom w:val="none" w:sz="0" w:space="0" w:color="auto"/>
            <w:right w:val="none" w:sz="0" w:space="0" w:color="auto"/>
          </w:divBdr>
        </w:div>
      </w:divsChild>
    </w:div>
    <w:div w:id="796607596">
      <w:bodyDiv w:val="1"/>
      <w:marLeft w:val="0"/>
      <w:marRight w:val="0"/>
      <w:marTop w:val="0"/>
      <w:marBottom w:val="0"/>
      <w:divBdr>
        <w:top w:val="none" w:sz="0" w:space="0" w:color="auto"/>
        <w:left w:val="none" w:sz="0" w:space="0" w:color="auto"/>
        <w:bottom w:val="none" w:sz="0" w:space="0" w:color="auto"/>
        <w:right w:val="none" w:sz="0" w:space="0" w:color="auto"/>
      </w:divBdr>
      <w:divsChild>
        <w:div w:id="1925918564">
          <w:marLeft w:val="274"/>
          <w:marRight w:val="0"/>
          <w:marTop w:val="38"/>
          <w:marBottom w:val="0"/>
          <w:divBdr>
            <w:top w:val="none" w:sz="0" w:space="0" w:color="auto"/>
            <w:left w:val="none" w:sz="0" w:space="0" w:color="auto"/>
            <w:bottom w:val="none" w:sz="0" w:space="0" w:color="auto"/>
            <w:right w:val="none" w:sz="0" w:space="0" w:color="auto"/>
          </w:divBdr>
        </w:div>
      </w:divsChild>
    </w:div>
    <w:div w:id="799691645">
      <w:bodyDiv w:val="1"/>
      <w:marLeft w:val="0"/>
      <w:marRight w:val="0"/>
      <w:marTop w:val="0"/>
      <w:marBottom w:val="0"/>
      <w:divBdr>
        <w:top w:val="none" w:sz="0" w:space="0" w:color="auto"/>
        <w:left w:val="none" w:sz="0" w:space="0" w:color="auto"/>
        <w:bottom w:val="none" w:sz="0" w:space="0" w:color="auto"/>
        <w:right w:val="none" w:sz="0" w:space="0" w:color="auto"/>
      </w:divBdr>
      <w:divsChild>
        <w:div w:id="919631498">
          <w:marLeft w:val="274"/>
          <w:marRight w:val="0"/>
          <w:marTop w:val="38"/>
          <w:marBottom w:val="0"/>
          <w:divBdr>
            <w:top w:val="none" w:sz="0" w:space="0" w:color="auto"/>
            <w:left w:val="none" w:sz="0" w:space="0" w:color="auto"/>
            <w:bottom w:val="none" w:sz="0" w:space="0" w:color="auto"/>
            <w:right w:val="none" w:sz="0" w:space="0" w:color="auto"/>
          </w:divBdr>
        </w:div>
      </w:divsChild>
    </w:div>
    <w:div w:id="805664132">
      <w:bodyDiv w:val="1"/>
      <w:marLeft w:val="0"/>
      <w:marRight w:val="0"/>
      <w:marTop w:val="0"/>
      <w:marBottom w:val="0"/>
      <w:divBdr>
        <w:top w:val="none" w:sz="0" w:space="0" w:color="auto"/>
        <w:left w:val="none" w:sz="0" w:space="0" w:color="auto"/>
        <w:bottom w:val="none" w:sz="0" w:space="0" w:color="auto"/>
        <w:right w:val="none" w:sz="0" w:space="0" w:color="auto"/>
      </w:divBdr>
      <w:divsChild>
        <w:div w:id="29191649">
          <w:marLeft w:val="1166"/>
          <w:marRight w:val="0"/>
          <w:marTop w:val="120"/>
          <w:marBottom w:val="0"/>
          <w:divBdr>
            <w:top w:val="none" w:sz="0" w:space="0" w:color="auto"/>
            <w:left w:val="none" w:sz="0" w:space="0" w:color="auto"/>
            <w:bottom w:val="none" w:sz="0" w:space="0" w:color="auto"/>
            <w:right w:val="none" w:sz="0" w:space="0" w:color="auto"/>
          </w:divBdr>
        </w:div>
        <w:div w:id="1766344263">
          <w:marLeft w:val="1166"/>
          <w:marRight w:val="0"/>
          <w:marTop w:val="120"/>
          <w:marBottom w:val="0"/>
          <w:divBdr>
            <w:top w:val="none" w:sz="0" w:space="0" w:color="auto"/>
            <w:left w:val="none" w:sz="0" w:space="0" w:color="auto"/>
            <w:bottom w:val="none" w:sz="0" w:space="0" w:color="auto"/>
            <w:right w:val="none" w:sz="0" w:space="0" w:color="auto"/>
          </w:divBdr>
        </w:div>
        <w:div w:id="1771003245">
          <w:marLeft w:val="446"/>
          <w:marRight w:val="0"/>
          <w:marTop w:val="120"/>
          <w:marBottom w:val="0"/>
          <w:divBdr>
            <w:top w:val="none" w:sz="0" w:space="0" w:color="auto"/>
            <w:left w:val="none" w:sz="0" w:space="0" w:color="auto"/>
            <w:bottom w:val="none" w:sz="0" w:space="0" w:color="auto"/>
            <w:right w:val="none" w:sz="0" w:space="0" w:color="auto"/>
          </w:divBdr>
        </w:div>
        <w:div w:id="2146964340">
          <w:marLeft w:val="446"/>
          <w:marRight w:val="0"/>
          <w:marTop w:val="120"/>
          <w:marBottom w:val="0"/>
          <w:divBdr>
            <w:top w:val="none" w:sz="0" w:space="0" w:color="auto"/>
            <w:left w:val="none" w:sz="0" w:space="0" w:color="auto"/>
            <w:bottom w:val="none" w:sz="0" w:space="0" w:color="auto"/>
            <w:right w:val="none" w:sz="0" w:space="0" w:color="auto"/>
          </w:divBdr>
        </w:div>
      </w:divsChild>
    </w:div>
    <w:div w:id="810562411">
      <w:bodyDiv w:val="1"/>
      <w:marLeft w:val="0"/>
      <w:marRight w:val="0"/>
      <w:marTop w:val="0"/>
      <w:marBottom w:val="0"/>
      <w:divBdr>
        <w:top w:val="none" w:sz="0" w:space="0" w:color="auto"/>
        <w:left w:val="none" w:sz="0" w:space="0" w:color="auto"/>
        <w:bottom w:val="none" w:sz="0" w:space="0" w:color="auto"/>
        <w:right w:val="none" w:sz="0" w:space="0" w:color="auto"/>
      </w:divBdr>
      <w:divsChild>
        <w:div w:id="1461265478">
          <w:marLeft w:val="274"/>
          <w:marRight w:val="0"/>
          <w:marTop w:val="38"/>
          <w:marBottom w:val="0"/>
          <w:divBdr>
            <w:top w:val="none" w:sz="0" w:space="0" w:color="auto"/>
            <w:left w:val="none" w:sz="0" w:space="0" w:color="auto"/>
            <w:bottom w:val="none" w:sz="0" w:space="0" w:color="auto"/>
            <w:right w:val="none" w:sz="0" w:space="0" w:color="auto"/>
          </w:divBdr>
        </w:div>
        <w:div w:id="2051418373">
          <w:marLeft w:val="274"/>
          <w:marRight w:val="0"/>
          <w:marTop w:val="38"/>
          <w:marBottom w:val="0"/>
          <w:divBdr>
            <w:top w:val="none" w:sz="0" w:space="0" w:color="auto"/>
            <w:left w:val="none" w:sz="0" w:space="0" w:color="auto"/>
            <w:bottom w:val="none" w:sz="0" w:space="0" w:color="auto"/>
            <w:right w:val="none" w:sz="0" w:space="0" w:color="auto"/>
          </w:divBdr>
        </w:div>
      </w:divsChild>
    </w:div>
    <w:div w:id="815994775">
      <w:bodyDiv w:val="1"/>
      <w:marLeft w:val="0"/>
      <w:marRight w:val="0"/>
      <w:marTop w:val="0"/>
      <w:marBottom w:val="0"/>
      <w:divBdr>
        <w:top w:val="none" w:sz="0" w:space="0" w:color="auto"/>
        <w:left w:val="none" w:sz="0" w:space="0" w:color="auto"/>
        <w:bottom w:val="none" w:sz="0" w:space="0" w:color="auto"/>
        <w:right w:val="none" w:sz="0" w:space="0" w:color="auto"/>
      </w:divBdr>
      <w:divsChild>
        <w:div w:id="911156464">
          <w:marLeft w:val="274"/>
          <w:marRight w:val="0"/>
          <w:marTop w:val="38"/>
          <w:marBottom w:val="0"/>
          <w:divBdr>
            <w:top w:val="none" w:sz="0" w:space="0" w:color="auto"/>
            <w:left w:val="none" w:sz="0" w:space="0" w:color="auto"/>
            <w:bottom w:val="none" w:sz="0" w:space="0" w:color="auto"/>
            <w:right w:val="none" w:sz="0" w:space="0" w:color="auto"/>
          </w:divBdr>
        </w:div>
        <w:div w:id="1080639707">
          <w:marLeft w:val="994"/>
          <w:marRight w:val="0"/>
          <w:marTop w:val="38"/>
          <w:marBottom w:val="0"/>
          <w:divBdr>
            <w:top w:val="none" w:sz="0" w:space="0" w:color="auto"/>
            <w:left w:val="none" w:sz="0" w:space="0" w:color="auto"/>
            <w:bottom w:val="none" w:sz="0" w:space="0" w:color="auto"/>
            <w:right w:val="none" w:sz="0" w:space="0" w:color="auto"/>
          </w:divBdr>
        </w:div>
        <w:div w:id="1151101252">
          <w:marLeft w:val="994"/>
          <w:marRight w:val="0"/>
          <w:marTop w:val="38"/>
          <w:marBottom w:val="0"/>
          <w:divBdr>
            <w:top w:val="none" w:sz="0" w:space="0" w:color="auto"/>
            <w:left w:val="none" w:sz="0" w:space="0" w:color="auto"/>
            <w:bottom w:val="none" w:sz="0" w:space="0" w:color="auto"/>
            <w:right w:val="none" w:sz="0" w:space="0" w:color="auto"/>
          </w:divBdr>
        </w:div>
      </w:divsChild>
    </w:div>
    <w:div w:id="820119290">
      <w:bodyDiv w:val="1"/>
      <w:marLeft w:val="0"/>
      <w:marRight w:val="0"/>
      <w:marTop w:val="0"/>
      <w:marBottom w:val="0"/>
      <w:divBdr>
        <w:top w:val="none" w:sz="0" w:space="0" w:color="auto"/>
        <w:left w:val="none" w:sz="0" w:space="0" w:color="auto"/>
        <w:bottom w:val="none" w:sz="0" w:space="0" w:color="auto"/>
        <w:right w:val="none" w:sz="0" w:space="0" w:color="auto"/>
      </w:divBdr>
      <w:divsChild>
        <w:div w:id="1633292317">
          <w:marLeft w:val="274"/>
          <w:marRight w:val="0"/>
          <w:marTop w:val="38"/>
          <w:marBottom w:val="0"/>
          <w:divBdr>
            <w:top w:val="none" w:sz="0" w:space="0" w:color="auto"/>
            <w:left w:val="none" w:sz="0" w:space="0" w:color="auto"/>
            <w:bottom w:val="none" w:sz="0" w:space="0" w:color="auto"/>
            <w:right w:val="none" w:sz="0" w:space="0" w:color="auto"/>
          </w:divBdr>
        </w:div>
      </w:divsChild>
    </w:div>
    <w:div w:id="820853716">
      <w:bodyDiv w:val="1"/>
      <w:marLeft w:val="0"/>
      <w:marRight w:val="0"/>
      <w:marTop w:val="0"/>
      <w:marBottom w:val="0"/>
      <w:divBdr>
        <w:top w:val="none" w:sz="0" w:space="0" w:color="auto"/>
        <w:left w:val="none" w:sz="0" w:space="0" w:color="auto"/>
        <w:bottom w:val="none" w:sz="0" w:space="0" w:color="auto"/>
        <w:right w:val="none" w:sz="0" w:space="0" w:color="auto"/>
      </w:divBdr>
    </w:div>
    <w:div w:id="821383852">
      <w:bodyDiv w:val="1"/>
      <w:marLeft w:val="0"/>
      <w:marRight w:val="0"/>
      <w:marTop w:val="0"/>
      <w:marBottom w:val="0"/>
      <w:divBdr>
        <w:top w:val="none" w:sz="0" w:space="0" w:color="auto"/>
        <w:left w:val="none" w:sz="0" w:space="0" w:color="auto"/>
        <w:bottom w:val="none" w:sz="0" w:space="0" w:color="auto"/>
        <w:right w:val="none" w:sz="0" w:space="0" w:color="auto"/>
      </w:divBdr>
      <w:divsChild>
        <w:div w:id="579825660">
          <w:marLeft w:val="274"/>
          <w:marRight w:val="0"/>
          <w:marTop w:val="38"/>
          <w:marBottom w:val="0"/>
          <w:divBdr>
            <w:top w:val="none" w:sz="0" w:space="0" w:color="auto"/>
            <w:left w:val="none" w:sz="0" w:space="0" w:color="auto"/>
            <w:bottom w:val="none" w:sz="0" w:space="0" w:color="auto"/>
            <w:right w:val="none" w:sz="0" w:space="0" w:color="auto"/>
          </w:divBdr>
        </w:div>
      </w:divsChild>
    </w:div>
    <w:div w:id="822701514">
      <w:bodyDiv w:val="1"/>
      <w:marLeft w:val="0"/>
      <w:marRight w:val="0"/>
      <w:marTop w:val="0"/>
      <w:marBottom w:val="0"/>
      <w:divBdr>
        <w:top w:val="none" w:sz="0" w:space="0" w:color="auto"/>
        <w:left w:val="none" w:sz="0" w:space="0" w:color="auto"/>
        <w:bottom w:val="none" w:sz="0" w:space="0" w:color="auto"/>
        <w:right w:val="none" w:sz="0" w:space="0" w:color="auto"/>
      </w:divBdr>
    </w:div>
    <w:div w:id="859899656">
      <w:bodyDiv w:val="1"/>
      <w:marLeft w:val="0"/>
      <w:marRight w:val="0"/>
      <w:marTop w:val="0"/>
      <w:marBottom w:val="0"/>
      <w:divBdr>
        <w:top w:val="none" w:sz="0" w:space="0" w:color="auto"/>
        <w:left w:val="none" w:sz="0" w:space="0" w:color="auto"/>
        <w:bottom w:val="none" w:sz="0" w:space="0" w:color="auto"/>
        <w:right w:val="none" w:sz="0" w:space="0" w:color="auto"/>
      </w:divBdr>
    </w:div>
    <w:div w:id="865479959">
      <w:bodyDiv w:val="1"/>
      <w:marLeft w:val="0"/>
      <w:marRight w:val="0"/>
      <w:marTop w:val="0"/>
      <w:marBottom w:val="0"/>
      <w:divBdr>
        <w:top w:val="none" w:sz="0" w:space="0" w:color="auto"/>
        <w:left w:val="none" w:sz="0" w:space="0" w:color="auto"/>
        <w:bottom w:val="none" w:sz="0" w:space="0" w:color="auto"/>
        <w:right w:val="none" w:sz="0" w:space="0" w:color="auto"/>
      </w:divBdr>
      <w:divsChild>
        <w:div w:id="1615600263">
          <w:marLeft w:val="274"/>
          <w:marRight w:val="0"/>
          <w:marTop w:val="38"/>
          <w:marBottom w:val="0"/>
          <w:divBdr>
            <w:top w:val="none" w:sz="0" w:space="0" w:color="auto"/>
            <w:left w:val="none" w:sz="0" w:space="0" w:color="auto"/>
            <w:bottom w:val="none" w:sz="0" w:space="0" w:color="auto"/>
            <w:right w:val="none" w:sz="0" w:space="0" w:color="auto"/>
          </w:divBdr>
        </w:div>
      </w:divsChild>
    </w:div>
    <w:div w:id="879783774">
      <w:bodyDiv w:val="1"/>
      <w:marLeft w:val="0"/>
      <w:marRight w:val="0"/>
      <w:marTop w:val="0"/>
      <w:marBottom w:val="0"/>
      <w:divBdr>
        <w:top w:val="none" w:sz="0" w:space="0" w:color="auto"/>
        <w:left w:val="none" w:sz="0" w:space="0" w:color="auto"/>
        <w:bottom w:val="none" w:sz="0" w:space="0" w:color="auto"/>
        <w:right w:val="none" w:sz="0" w:space="0" w:color="auto"/>
      </w:divBdr>
      <w:divsChild>
        <w:div w:id="2009558402">
          <w:marLeft w:val="274"/>
          <w:marRight w:val="0"/>
          <w:marTop w:val="38"/>
          <w:marBottom w:val="0"/>
          <w:divBdr>
            <w:top w:val="none" w:sz="0" w:space="0" w:color="auto"/>
            <w:left w:val="none" w:sz="0" w:space="0" w:color="auto"/>
            <w:bottom w:val="none" w:sz="0" w:space="0" w:color="auto"/>
            <w:right w:val="none" w:sz="0" w:space="0" w:color="auto"/>
          </w:divBdr>
        </w:div>
      </w:divsChild>
    </w:div>
    <w:div w:id="879971287">
      <w:bodyDiv w:val="1"/>
      <w:marLeft w:val="0"/>
      <w:marRight w:val="0"/>
      <w:marTop w:val="0"/>
      <w:marBottom w:val="0"/>
      <w:divBdr>
        <w:top w:val="none" w:sz="0" w:space="0" w:color="auto"/>
        <w:left w:val="none" w:sz="0" w:space="0" w:color="auto"/>
        <w:bottom w:val="none" w:sz="0" w:space="0" w:color="auto"/>
        <w:right w:val="none" w:sz="0" w:space="0" w:color="auto"/>
      </w:divBdr>
      <w:divsChild>
        <w:div w:id="571548669">
          <w:marLeft w:val="994"/>
          <w:marRight w:val="0"/>
          <w:marTop w:val="0"/>
          <w:marBottom w:val="0"/>
          <w:divBdr>
            <w:top w:val="none" w:sz="0" w:space="0" w:color="auto"/>
            <w:left w:val="none" w:sz="0" w:space="0" w:color="auto"/>
            <w:bottom w:val="none" w:sz="0" w:space="0" w:color="auto"/>
            <w:right w:val="none" w:sz="0" w:space="0" w:color="auto"/>
          </w:divBdr>
        </w:div>
        <w:div w:id="1146632004">
          <w:marLeft w:val="274"/>
          <w:marRight w:val="0"/>
          <w:marTop w:val="58"/>
          <w:marBottom w:val="0"/>
          <w:divBdr>
            <w:top w:val="none" w:sz="0" w:space="0" w:color="auto"/>
            <w:left w:val="none" w:sz="0" w:space="0" w:color="auto"/>
            <w:bottom w:val="none" w:sz="0" w:space="0" w:color="auto"/>
            <w:right w:val="none" w:sz="0" w:space="0" w:color="auto"/>
          </w:divBdr>
        </w:div>
        <w:div w:id="1292134202">
          <w:marLeft w:val="994"/>
          <w:marRight w:val="0"/>
          <w:marTop w:val="0"/>
          <w:marBottom w:val="0"/>
          <w:divBdr>
            <w:top w:val="none" w:sz="0" w:space="0" w:color="auto"/>
            <w:left w:val="none" w:sz="0" w:space="0" w:color="auto"/>
            <w:bottom w:val="none" w:sz="0" w:space="0" w:color="auto"/>
            <w:right w:val="none" w:sz="0" w:space="0" w:color="auto"/>
          </w:divBdr>
        </w:div>
        <w:div w:id="1759331429">
          <w:marLeft w:val="274"/>
          <w:marRight w:val="0"/>
          <w:marTop w:val="58"/>
          <w:marBottom w:val="0"/>
          <w:divBdr>
            <w:top w:val="none" w:sz="0" w:space="0" w:color="auto"/>
            <w:left w:val="none" w:sz="0" w:space="0" w:color="auto"/>
            <w:bottom w:val="none" w:sz="0" w:space="0" w:color="auto"/>
            <w:right w:val="none" w:sz="0" w:space="0" w:color="auto"/>
          </w:divBdr>
        </w:div>
        <w:div w:id="1771857096">
          <w:marLeft w:val="274"/>
          <w:marRight w:val="0"/>
          <w:marTop w:val="58"/>
          <w:marBottom w:val="0"/>
          <w:divBdr>
            <w:top w:val="none" w:sz="0" w:space="0" w:color="auto"/>
            <w:left w:val="none" w:sz="0" w:space="0" w:color="auto"/>
            <w:bottom w:val="none" w:sz="0" w:space="0" w:color="auto"/>
            <w:right w:val="none" w:sz="0" w:space="0" w:color="auto"/>
          </w:divBdr>
        </w:div>
      </w:divsChild>
    </w:div>
    <w:div w:id="884217525">
      <w:bodyDiv w:val="1"/>
      <w:marLeft w:val="0"/>
      <w:marRight w:val="0"/>
      <w:marTop w:val="0"/>
      <w:marBottom w:val="0"/>
      <w:divBdr>
        <w:top w:val="none" w:sz="0" w:space="0" w:color="auto"/>
        <w:left w:val="none" w:sz="0" w:space="0" w:color="auto"/>
        <w:bottom w:val="none" w:sz="0" w:space="0" w:color="auto"/>
        <w:right w:val="none" w:sz="0" w:space="0" w:color="auto"/>
      </w:divBdr>
    </w:div>
    <w:div w:id="885874069">
      <w:bodyDiv w:val="1"/>
      <w:marLeft w:val="0"/>
      <w:marRight w:val="0"/>
      <w:marTop w:val="0"/>
      <w:marBottom w:val="0"/>
      <w:divBdr>
        <w:top w:val="none" w:sz="0" w:space="0" w:color="auto"/>
        <w:left w:val="none" w:sz="0" w:space="0" w:color="auto"/>
        <w:bottom w:val="none" w:sz="0" w:space="0" w:color="auto"/>
        <w:right w:val="none" w:sz="0" w:space="0" w:color="auto"/>
      </w:divBdr>
      <w:divsChild>
        <w:div w:id="1529878277">
          <w:marLeft w:val="274"/>
          <w:marRight w:val="0"/>
          <w:marTop w:val="38"/>
          <w:marBottom w:val="0"/>
          <w:divBdr>
            <w:top w:val="none" w:sz="0" w:space="0" w:color="auto"/>
            <w:left w:val="none" w:sz="0" w:space="0" w:color="auto"/>
            <w:bottom w:val="none" w:sz="0" w:space="0" w:color="auto"/>
            <w:right w:val="none" w:sz="0" w:space="0" w:color="auto"/>
          </w:divBdr>
        </w:div>
      </w:divsChild>
    </w:div>
    <w:div w:id="887180807">
      <w:bodyDiv w:val="1"/>
      <w:marLeft w:val="0"/>
      <w:marRight w:val="0"/>
      <w:marTop w:val="0"/>
      <w:marBottom w:val="0"/>
      <w:divBdr>
        <w:top w:val="none" w:sz="0" w:space="0" w:color="auto"/>
        <w:left w:val="none" w:sz="0" w:space="0" w:color="auto"/>
        <w:bottom w:val="none" w:sz="0" w:space="0" w:color="auto"/>
        <w:right w:val="none" w:sz="0" w:space="0" w:color="auto"/>
      </w:divBdr>
      <w:divsChild>
        <w:div w:id="1835878563">
          <w:marLeft w:val="274"/>
          <w:marRight w:val="0"/>
          <w:marTop w:val="38"/>
          <w:marBottom w:val="0"/>
          <w:divBdr>
            <w:top w:val="none" w:sz="0" w:space="0" w:color="auto"/>
            <w:left w:val="none" w:sz="0" w:space="0" w:color="auto"/>
            <w:bottom w:val="none" w:sz="0" w:space="0" w:color="auto"/>
            <w:right w:val="none" w:sz="0" w:space="0" w:color="auto"/>
          </w:divBdr>
        </w:div>
      </w:divsChild>
    </w:div>
    <w:div w:id="904298145">
      <w:bodyDiv w:val="1"/>
      <w:marLeft w:val="0"/>
      <w:marRight w:val="0"/>
      <w:marTop w:val="0"/>
      <w:marBottom w:val="0"/>
      <w:divBdr>
        <w:top w:val="none" w:sz="0" w:space="0" w:color="auto"/>
        <w:left w:val="none" w:sz="0" w:space="0" w:color="auto"/>
        <w:bottom w:val="none" w:sz="0" w:space="0" w:color="auto"/>
        <w:right w:val="none" w:sz="0" w:space="0" w:color="auto"/>
      </w:divBdr>
    </w:div>
    <w:div w:id="905529559">
      <w:bodyDiv w:val="1"/>
      <w:marLeft w:val="0"/>
      <w:marRight w:val="0"/>
      <w:marTop w:val="0"/>
      <w:marBottom w:val="0"/>
      <w:divBdr>
        <w:top w:val="none" w:sz="0" w:space="0" w:color="auto"/>
        <w:left w:val="none" w:sz="0" w:space="0" w:color="auto"/>
        <w:bottom w:val="none" w:sz="0" w:space="0" w:color="auto"/>
        <w:right w:val="none" w:sz="0" w:space="0" w:color="auto"/>
      </w:divBdr>
      <w:divsChild>
        <w:div w:id="297687893">
          <w:marLeft w:val="274"/>
          <w:marRight w:val="0"/>
          <w:marTop w:val="38"/>
          <w:marBottom w:val="0"/>
          <w:divBdr>
            <w:top w:val="none" w:sz="0" w:space="0" w:color="auto"/>
            <w:left w:val="none" w:sz="0" w:space="0" w:color="auto"/>
            <w:bottom w:val="none" w:sz="0" w:space="0" w:color="auto"/>
            <w:right w:val="none" w:sz="0" w:space="0" w:color="auto"/>
          </w:divBdr>
        </w:div>
        <w:div w:id="318507217">
          <w:marLeft w:val="274"/>
          <w:marRight w:val="0"/>
          <w:marTop w:val="38"/>
          <w:marBottom w:val="0"/>
          <w:divBdr>
            <w:top w:val="none" w:sz="0" w:space="0" w:color="auto"/>
            <w:left w:val="none" w:sz="0" w:space="0" w:color="auto"/>
            <w:bottom w:val="none" w:sz="0" w:space="0" w:color="auto"/>
            <w:right w:val="none" w:sz="0" w:space="0" w:color="auto"/>
          </w:divBdr>
        </w:div>
        <w:div w:id="465508478">
          <w:marLeft w:val="274"/>
          <w:marRight w:val="0"/>
          <w:marTop w:val="38"/>
          <w:marBottom w:val="0"/>
          <w:divBdr>
            <w:top w:val="none" w:sz="0" w:space="0" w:color="auto"/>
            <w:left w:val="none" w:sz="0" w:space="0" w:color="auto"/>
            <w:bottom w:val="none" w:sz="0" w:space="0" w:color="auto"/>
            <w:right w:val="none" w:sz="0" w:space="0" w:color="auto"/>
          </w:divBdr>
        </w:div>
        <w:div w:id="880476505">
          <w:marLeft w:val="274"/>
          <w:marRight w:val="0"/>
          <w:marTop w:val="38"/>
          <w:marBottom w:val="0"/>
          <w:divBdr>
            <w:top w:val="none" w:sz="0" w:space="0" w:color="auto"/>
            <w:left w:val="none" w:sz="0" w:space="0" w:color="auto"/>
            <w:bottom w:val="none" w:sz="0" w:space="0" w:color="auto"/>
            <w:right w:val="none" w:sz="0" w:space="0" w:color="auto"/>
          </w:divBdr>
        </w:div>
        <w:div w:id="884757129">
          <w:marLeft w:val="274"/>
          <w:marRight w:val="0"/>
          <w:marTop w:val="38"/>
          <w:marBottom w:val="0"/>
          <w:divBdr>
            <w:top w:val="none" w:sz="0" w:space="0" w:color="auto"/>
            <w:left w:val="none" w:sz="0" w:space="0" w:color="auto"/>
            <w:bottom w:val="none" w:sz="0" w:space="0" w:color="auto"/>
            <w:right w:val="none" w:sz="0" w:space="0" w:color="auto"/>
          </w:divBdr>
        </w:div>
        <w:div w:id="1012218497">
          <w:marLeft w:val="274"/>
          <w:marRight w:val="0"/>
          <w:marTop w:val="38"/>
          <w:marBottom w:val="0"/>
          <w:divBdr>
            <w:top w:val="none" w:sz="0" w:space="0" w:color="auto"/>
            <w:left w:val="none" w:sz="0" w:space="0" w:color="auto"/>
            <w:bottom w:val="none" w:sz="0" w:space="0" w:color="auto"/>
            <w:right w:val="none" w:sz="0" w:space="0" w:color="auto"/>
          </w:divBdr>
        </w:div>
        <w:div w:id="1041899953">
          <w:marLeft w:val="274"/>
          <w:marRight w:val="0"/>
          <w:marTop w:val="38"/>
          <w:marBottom w:val="0"/>
          <w:divBdr>
            <w:top w:val="none" w:sz="0" w:space="0" w:color="auto"/>
            <w:left w:val="none" w:sz="0" w:space="0" w:color="auto"/>
            <w:bottom w:val="none" w:sz="0" w:space="0" w:color="auto"/>
            <w:right w:val="none" w:sz="0" w:space="0" w:color="auto"/>
          </w:divBdr>
        </w:div>
        <w:div w:id="2066296079">
          <w:marLeft w:val="274"/>
          <w:marRight w:val="0"/>
          <w:marTop w:val="38"/>
          <w:marBottom w:val="0"/>
          <w:divBdr>
            <w:top w:val="none" w:sz="0" w:space="0" w:color="auto"/>
            <w:left w:val="none" w:sz="0" w:space="0" w:color="auto"/>
            <w:bottom w:val="none" w:sz="0" w:space="0" w:color="auto"/>
            <w:right w:val="none" w:sz="0" w:space="0" w:color="auto"/>
          </w:divBdr>
        </w:div>
      </w:divsChild>
    </w:div>
    <w:div w:id="929580871">
      <w:bodyDiv w:val="1"/>
      <w:marLeft w:val="0"/>
      <w:marRight w:val="0"/>
      <w:marTop w:val="0"/>
      <w:marBottom w:val="0"/>
      <w:divBdr>
        <w:top w:val="none" w:sz="0" w:space="0" w:color="auto"/>
        <w:left w:val="none" w:sz="0" w:space="0" w:color="auto"/>
        <w:bottom w:val="none" w:sz="0" w:space="0" w:color="auto"/>
        <w:right w:val="none" w:sz="0" w:space="0" w:color="auto"/>
      </w:divBdr>
    </w:div>
    <w:div w:id="929897871">
      <w:bodyDiv w:val="1"/>
      <w:marLeft w:val="0"/>
      <w:marRight w:val="0"/>
      <w:marTop w:val="0"/>
      <w:marBottom w:val="0"/>
      <w:divBdr>
        <w:top w:val="none" w:sz="0" w:space="0" w:color="auto"/>
        <w:left w:val="none" w:sz="0" w:space="0" w:color="auto"/>
        <w:bottom w:val="none" w:sz="0" w:space="0" w:color="auto"/>
        <w:right w:val="none" w:sz="0" w:space="0" w:color="auto"/>
      </w:divBdr>
      <w:divsChild>
        <w:div w:id="1082681951">
          <w:marLeft w:val="446"/>
          <w:marRight w:val="0"/>
          <w:marTop w:val="120"/>
          <w:marBottom w:val="0"/>
          <w:divBdr>
            <w:top w:val="none" w:sz="0" w:space="0" w:color="auto"/>
            <w:left w:val="none" w:sz="0" w:space="0" w:color="auto"/>
            <w:bottom w:val="none" w:sz="0" w:space="0" w:color="auto"/>
            <w:right w:val="none" w:sz="0" w:space="0" w:color="auto"/>
          </w:divBdr>
        </w:div>
        <w:div w:id="1321928969">
          <w:marLeft w:val="446"/>
          <w:marRight w:val="0"/>
          <w:marTop w:val="120"/>
          <w:marBottom w:val="0"/>
          <w:divBdr>
            <w:top w:val="none" w:sz="0" w:space="0" w:color="auto"/>
            <w:left w:val="none" w:sz="0" w:space="0" w:color="auto"/>
            <w:bottom w:val="none" w:sz="0" w:space="0" w:color="auto"/>
            <w:right w:val="none" w:sz="0" w:space="0" w:color="auto"/>
          </w:divBdr>
        </w:div>
      </w:divsChild>
    </w:div>
    <w:div w:id="930969548">
      <w:bodyDiv w:val="1"/>
      <w:marLeft w:val="0"/>
      <w:marRight w:val="0"/>
      <w:marTop w:val="0"/>
      <w:marBottom w:val="0"/>
      <w:divBdr>
        <w:top w:val="none" w:sz="0" w:space="0" w:color="auto"/>
        <w:left w:val="none" w:sz="0" w:space="0" w:color="auto"/>
        <w:bottom w:val="none" w:sz="0" w:space="0" w:color="auto"/>
        <w:right w:val="none" w:sz="0" w:space="0" w:color="auto"/>
      </w:divBdr>
      <w:divsChild>
        <w:div w:id="24789950">
          <w:marLeft w:val="1166"/>
          <w:marRight w:val="0"/>
          <w:marTop w:val="67"/>
          <w:marBottom w:val="0"/>
          <w:divBdr>
            <w:top w:val="none" w:sz="0" w:space="0" w:color="auto"/>
            <w:left w:val="none" w:sz="0" w:space="0" w:color="auto"/>
            <w:bottom w:val="none" w:sz="0" w:space="0" w:color="auto"/>
            <w:right w:val="none" w:sz="0" w:space="0" w:color="auto"/>
          </w:divBdr>
        </w:div>
        <w:div w:id="538857253">
          <w:marLeft w:val="1166"/>
          <w:marRight w:val="0"/>
          <w:marTop w:val="67"/>
          <w:marBottom w:val="0"/>
          <w:divBdr>
            <w:top w:val="none" w:sz="0" w:space="0" w:color="auto"/>
            <w:left w:val="none" w:sz="0" w:space="0" w:color="auto"/>
            <w:bottom w:val="none" w:sz="0" w:space="0" w:color="auto"/>
            <w:right w:val="none" w:sz="0" w:space="0" w:color="auto"/>
          </w:divBdr>
        </w:div>
        <w:div w:id="742143125">
          <w:marLeft w:val="1166"/>
          <w:marRight w:val="0"/>
          <w:marTop w:val="67"/>
          <w:marBottom w:val="0"/>
          <w:divBdr>
            <w:top w:val="none" w:sz="0" w:space="0" w:color="auto"/>
            <w:left w:val="none" w:sz="0" w:space="0" w:color="auto"/>
            <w:bottom w:val="none" w:sz="0" w:space="0" w:color="auto"/>
            <w:right w:val="none" w:sz="0" w:space="0" w:color="auto"/>
          </w:divBdr>
        </w:div>
        <w:div w:id="1177885347">
          <w:marLeft w:val="1166"/>
          <w:marRight w:val="0"/>
          <w:marTop w:val="67"/>
          <w:marBottom w:val="0"/>
          <w:divBdr>
            <w:top w:val="none" w:sz="0" w:space="0" w:color="auto"/>
            <w:left w:val="none" w:sz="0" w:space="0" w:color="auto"/>
            <w:bottom w:val="none" w:sz="0" w:space="0" w:color="auto"/>
            <w:right w:val="none" w:sz="0" w:space="0" w:color="auto"/>
          </w:divBdr>
        </w:div>
        <w:div w:id="1573396070">
          <w:marLeft w:val="547"/>
          <w:marRight w:val="0"/>
          <w:marTop w:val="77"/>
          <w:marBottom w:val="0"/>
          <w:divBdr>
            <w:top w:val="none" w:sz="0" w:space="0" w:color="auto"/>
            <w:left w:val="none" w:sz="0" w:space="0" w:color="auto"/>
            <w:bottom w:val="none" w:sz="0" w:space="0" w:color="auto"/>
            <w:right w:val="none" w:sz="0" w:space="0" w:color="auto"/>
          </w:divBdr>
        </w:div>
        <w:div w:id="1639988531">
          <w:marLeft w:val="1166"/>
          <w:marRight w:val="0"/>
          <w:marTop w:val="67"/>
          <w:marBottom w:val="0"/>
          <w:divBdr>
            <w:top w:val="none" w:sz="0" w:space="0" w:color="auto"/>
            <w:left w:val="none" w:sz="0" w:space="0" w:color="auto"/>
            <w:bottom w:val="none" w:sz="0" w:space="0" w:color="auto"/>
            <w:right w:val="none" w:sz="0" w:space="0" w:color="auto"/>
          </w:divBdr>
        </w:div>
        <w:div w:id="1814909135">
          <w:marLeft w:val="547"/>
          <w:marRight w:val="0"/>
          <w:marTop w:val="77"/>
          <w:marBottom w:val="0"/>
          <w:divBdr>
            <w:top w:val="none" w:sz="0" w:space="0" w:color="auto"/>
            <w:left w:val="none" w:sz="0" w:space="0" w:color="auto"/>
            <w:bottom w:val="none" w:sz="0" w:space="0" w:color="auto"/>
            <w:right w:val="none" w:sz="0" w:space="0" w:color="auto"/>
          </w:divBdr>
        </w:div>
      </w:divsChild>
    </w:div>
    <w:div w:id="936065247">
      <w:bodyDiv w:val="1"/>
      <w:marLeft w:val="0"/>
      <w:marRight w:val="0"/>
      <w:marTop w:val="0"/>
      <w:marBottom w:val="0"/>
      <w:divBdr>
        <w:top w:val="none" w:sz="0" w:space="0" w:color="auto"/>
        <w:left w:val="none" w:sz="0" w:space="0" w:color="auto"/>
        <w:bottom w:val="none" w:sz="0" w:space="0" w:color="auto"/>
        <w:right w:val="none" w:sz="0" w:space="0" w:color="auto"/>
      </w:divBdr>
      <w:divsChild>
        <w:div w:id="845166485">
          <w:marLeft w:val="274"/>
          <w:marRight w:val="0"/>
          <w:marTop w:val="38"/>
          <w:marBottom w:val="0"/>
          <w:divBdr>
            <w:top w:val="none" w:sz="0" w:space="0" w:color="auto"/>
            <w:left w:val="none" w:sz="0" w:space="0" w:color="auto"/>
            <w:bottom w:val="none" w:sz="0" w:space="0" w:color="auto"/>
            <w:right w:val="none" w:sz="0" w:space="0" w:color="auto"/>
          </w:divBdr>
        </w:div>
        <w:div w:id="1090271257">
          <w:marLeft w:val="274"/>
          <w:marRight w:val="0"/>
          <w:marTop w:val="38"/>
          <w:marBottom w:val="0"/>
          <w:divBdr>
            <w:top w:val="none" w:sz="0" w:space="0" w:color="auto"/>
            <w:left w:val="none" w:sz="0" w:space="0" w:color="auto"/>
            <w:bottom w:val="none" w:sz="0" w:space="0" w:color="auto"/>
            <w:right w:val="none" w:sz="0" w:space="0" w:color="auto"/>
          </w:divBdr>
        </w:div>
        <w:div w:id="1474980918">
          <w:marLeft w:val="274"/>
          <w:marRight w:val="0"/>
          <w:marTop w:val="38"/>
          <w:marBottom w:val="0"/>
          <w:divBdr>
            <w:top w:val="none" w:sz="0" w:space="0" w:color="auto"/>
            <w:left w:val="none" w:sz="0" w:space="0" w:color="auto"/>
            <w:bottom w:val="none" w:sz="0" w:space="0" w:color="auto"/>
            <w:right w:val="none" w:sz="0" w:space="0" w:color="auto"/>
          </w:divBdr>
        </w:div>
      </w:divsChild>
    </w:div>
    <w:div w:id="970094484">
      <w:bodyDiv w:val="1"/>
      <w:marLeft w:val="0"/>
      <w:marRight w:val="0"/>
      <w:marTop w:val="0"/>
      <w:marBottom w:val="0"/>
      <w:divBdr>
        <w:top w:val="none" w:sz="0" w:space="0" w:color="auto"/>
        <w:left w:val="none" w:sz="0" w:space="0" w:color="auto"/>
        <w:bottom w:val="none" w:sz="0" w:space="0" w:color="auto"/>
        <w:right w:val="none" w:sz="0" w:space="0" w:color="auto"/>
      </w:divBdr>
    </w:div>
    <w:div w:id="980496065">
      <w:bodyDiv w:val="1"/>
      <w:marLeft w:val="0"/>
      <w:marRight w:val="0"/>
      <w:marTop w:val="0"/>
      <w:marBottom w:val="0"/>
      <w:divBdr>
        <w:top w:val="none" w:sz="0" w:space="0" w:color="auto"/>
        <w:left w:val="none" w:sz="0" w:space="0" w:color="auto"/>
        <w:bottom w:val="none" w:sz="0" w:space="0" w:color="auto"/>
        <w:right w:val="none" w:sz="0" w:space="0" w:color="auto"/>
      </w:divBdr>
    </w:div>
    <w:div w:id="981159185">
      <w:bodyDiv w:val="1"/>
      <w:marLeft w:val="0"/>
      <w:marRight w:val="0"/>
      <w:marTop w:val="0"/>
      <w:marBottom w:val="0"/>
      <w:divBdr>
        <w:top w:val="none" w:sz="0" w:space="0" w:color="auto"/>
        <w:left w:val="none" w:sz="0" w:space="0" w:color="auto"/>
        <w:bottom w:val="none" w:sz="0" w:space="0" w:color="auto"/>
        <w:right w:val="none" w:sz="0" w:space="0" w:color="auto"/>
      </w:divBdr>
      <w:divsChild>
        <w:div w:id="256251373">
          <w:marLeft w:val="274"/>
          <w:marRight w:val="0"/>
          <w:marTop w:val="38"/>
          <w:marBottom w:val="0"/>
          <w:divBdr>
            <w:top w:val="none" w:sz="0" w:space="0" w:color="auto"/>
            <w:left w:val="none" w:sz="0" w:space="0" w:color="auto"/>
            <w:bottom w:val="none" w:sz="0" w:space="0" w:color="auto"/>
            <w:right w:val="none" w:sz="0" w:space="0" w:color="auto"/>
          </w:divBdr>
        </w:div>
        <w:div w:id="364255541">
          <w:marLeft w:val="994"/>
          <w:marRight w:val="0"/>
          <w:marTop w:val="38"/>
          <w:marBottom w:val="0"/>
          <w:divBdr>
            <w:top w:val="none" w:sz="0" w:space="0" w:color="auto"/>
            <w:left w:val="none" w:sz="0" w:space="0" w:color="auto"/>
            <w:bottom w:val="none" w:sz="0" w:space="0" w:color="auto"/>
            <w:right w:val="none" w:sz="0" w:space="0" w:color="auto"/>
          </w:divBdr>
        </w:div>
        <w:div w:id="488210312">
          <w:marLeft w:val="994"/>
          <w:marRight w:val="0"/>
          <w:marTop w:val="38"/>
          <w:marBottom w:val="0"/>
          <w:divBdr>
            <w:top w:val="none" w:sz="0" w:space="0" w:color="auto"/>
            <w:left w:val="none" w:sz="0" w:space="0" w:color="auto"/>
            <w:bottom w:val="none" w:sz="0" w:space="0" w:color="auto"/>
            <w:right w:val="none" w:sz="0" w:space="0" w:color="auto"/>
          </w:divBdr>
        </w:div>
      </w:divsChild>
    </w:div>
    <w:div w:id="983049865">
      <w:bodyDiv w:val="1"/>
      <w:marLeft w:val="0"/>
      <w:marRight w:val="0"/>
      <w:marTop w:val="0"/>
      <w:marBottom w:val="0"/>
      <w:divBdr>
        <w:top w:val="none" w:sz="0" w:space="0" w:color="auto"/>
        <w:left w:val="none" w:sz="0" w:space="0" w:color="auto"/>
        <w:bottom w:val="none" w:sz="0" w:space="0" w:color="auto"/>
        <w:right w:val="none" w:sz="0" w:space="0" w:color="auto"/>
      </w:divBdr>
    </w:div>
    <w:div w:id="999579435">
      <w:bodyDiv w:val="1"/>
      <w:marLeft w:val="0"/>
      <w:marRight w:val="0"/>
      <w:marTop w:val="0"/>
      <w:marBottom w:val="0"/>
      <w:divBdr>
        <w:top w:val="none" w:sz="0" w:space="0" w:color="auto"/>
        <w:left w:val="none" w:sz="0" w:space="0" w:color="auto"/>
        <w:bottom w:val="none" w:sz="0" w:space="0" w:color="auto"/>
        <w:right w:val="none" w:sz="0" w:space="0" w:color="auto"/>
      </w:divBdr>
      <w:divsChild>
        <w:div w:id="1927184361">
          <w:marLeft w:val="274"/>
          <w:marRight w:val="0"/>
          <w:marTop w:val="38"/>
          <w:marBottom w:val="0"/>
          <w:divBdr>
            <w:top w:val="none" w:sz="0" w:space="0" w:color="auto"/>
            <w:left w:val="none" w:sz="0" w:space="0" w:color="auto"/>
            <w:bottom w:val="none" w:sz="0" w:space="0" w:color="auto"/>
            <w:right w:val="none" w:sz="0" w:space="0" w:color="auto"/>
          </w:divBdr>
        </w:div>
      </w:divsChild>
    </w:div>
    <w:div w:id="1002202818">
      <w:bodyDiv w:val="1"/>
      <w:marLeft w:val="0"/>
      <w:marRight w:val="0"/>
      <w:marTop w:val="0"/>
      <w:marBottom w:val="0"/>
      <w:divBdr>
        <w:top w:val="none" w:sz="0" w:space="0" w:color="auto"/>
        <w:left w:val="none" w:sz="0" w:space="0" w:color="auto"/>
        <w:bottom w:val="none" w:sz="0" w:space="0" w:color="auto"/>
        <w:right w:val="none" w:sz="0" w:space="0" w:color="auto"/>
      </w:divBdr>
    </w:div>
    <w:div w:id="1002969153">
      <w:bodyDiv w:val="1"/>
      <w:marLeft w:val="0"/>
      <w:marRight w:val="0"/>
      <w:marTop w:val="0"/>
      <w:marBottom w:val="0"/>
      <w:divBdr>
        <w:top w:val="none" w:sz="0" w:space="0" w:color="auto"/>
        <w:left w:val="none" w:sz="0" w:space="0" w:color="auto"/>
        <w:bottom w:val="none" w:sz="0" w:space="0" w:color="auto"/>
        <w:right w:val="none" w:sz="0" w:space="0" w:color="auto"/>
      </w:divBdr>
    </w:div>
    <w:div w:id="1004354991">
      <w:bodyDiv w:val="1"/>
      <w:marLeft w:val="0"/>
      <w:marRight w:val="0"/>
      <w:marTop w:val="0"/>
      <w:marBottom w:val="0"/>
      <w:divBdr>
        <w:top w:val="none" w:sz="0" w:space="0" w:color="auto"/>
        <w:left w:val="none" w:sz="0" w:space="0" w:color="auto"/>
        <w:bottom w:val="none" w:sz="0" w:space="0" w:color="auto"/>
        <w:right w:val="none" w:sz="0" w:space="0" w:color="auto"/>
      </w:divBdr>
    </w:div>
    <w:div w:id="1015884231">
      <w:bodyDiv w:val="1"/>
      <w:marLeft w:val="0"/>
      <w:marRight w:val="0"/>
      <w:marTop w:val="0"/>
      <w:marBottom w:val="0"/>
      <w:divBdr>
        <w:top w:val="none" w:sz="0" w:space="0" w:color="auto"/>
        <w:left w:val="none" w:sz="0" w:space="0" w:color="auto"/>
        <w:bottom w:val="none" w:sz="0" w:space="0" w:color="auto"/>
        <w:right w:val="none" w:sz="0" w:space="0" w:color="auto"/>
      </w:divBdr>
      <w:divsChild>
        <w:div w:id="880635676">
          <w:marLeft w:val="446"/>
          <w:marRight w:val="0"/>
          <w:marTop w:val="120"/>
          <w:marBottom w:val="0"/>
          <w:divBdr>
            <w:top w:val="none" w:sz="0" w:space="0" w:color="auto"/>
            <w:left w:val="none" w:sz="0" w:space="0" w:color="auto"/>
            <w:bottom w:val="none" w:sz="0" w:space="0" w:color="auto"/>
            <w:right w:val="none" w:sz="0" w:space="0" w:color="auto"/>
          </w:divBdr>
        </w:div>
      </w:divsChild>
    </w:div>
    <w:div w:id="1022634542">
      <w:bodyDiv w:val="1"/>
      <w:marLeft w:val="0"/>
      <w:marRight w:val="0"/>
      <w:marTop w:val="0"/>
      <w:marBottom w:val="0"/>
      <w:divBdr>
        <w:top w:val="none" w:sz="0" w:space="0" w:color="auto"/>
        <w:left w:val="none" w:sz="0" w:space="0" w:color="auto"/>
        <w:bottom w:val="none" w:sz="0" w:space="0" w:color="auto"/>
        <w:right w:val="none" w:sz="0" w:space="0" w:color="auto"/>
      </w:divBdr>
      <w:divsChild>
        <w:div w:id="833648930">
          <w:marLeft w:val="274"/>
          <w:marRight w:val="0"/>
          <w:marTop w:val="38"/>
          <w:marBottom w:val="0"/>
          <w:divBdr>
            <w:top w:val="none" w:sz="0" w:space="0" w:color="auto"/>
            <w:left w:val="none" w:sz="0" w:space="0" w:color="auto"/>
            <w:bottom w:val="none" w:sz="0" w:space="0" w:color="auto"/>
            <w:right w:val="none" w:sz="0" w:space="0" w:color="auto"/>
          </w:divBdr>
        </w:div>
      </w:divsChild>
    </w:div>
    <w:div w:id="1027215376">
      <w:bodyDiv w:val="1"/>
      <w:marLeft w:val="0"/>
      <w:marRight w:val="0"/>
      <w:marTop w:val="0"/>
      <w:marBottom w:val="0"/>
      <w:divBdr>
        <w:top w:val="none" w:sz="0" w:space="0" w:color="auto"/>
        <w:left w:val="none" w:sz="0" w:space="0" w:color="auto"/>
        <w:bottom w:val="none" w:sz="0" w:space="0" w:color="auto"/>
        <w:right w:val="none" w:sz="0" w:space="0" w:color="auto"/>
      </w:divBdr>
      <w:divsChild>
        <w:div w:id="585072313">
          <w:marLeft w:val="274"/>
          <w:marRight w:val="0"/>
          <w:marTop w:val="38"/>
          <w:marBottom w:val="0"/>
          <w:divBdr>
            <w:top w:val="none" w:sz="0" w:space="0" w:color="auto"/>
            <w:left w:val="none" w:sz="0" w:space="0" w:color="auto"/>
            <w:bottom w:val="none" w:sz="0" w:space="0" w:color="auto"/>
            <w:right w:val="none" w:sz="0" w:space="0" w:color="auto"/>
          </w:divBdr>
        </w:div>
        <w:div w:id="1082139395">
          <w:marLeft w:val="274"/>
          <w:marRight w:val="0"/>
          <w:marTop w:val="38"/>
          <w:marBottom w:val="0"/>
          <w:divBdr>
            <w:top w:val="none" w:sz="0" w:space="0" w:color="auto"/>
            <w:left w:val="none" w:sz="0" w:space="0" w:color="auto"/>
            <w:bottom w:val="none" w:sz="0" w:space="0" w:color="auto"/>
            <w:right w:val="none" w:sz="0" w:space="0" w:color="auto"/>
          </w:divBdr>
        </w:div>
      </w:divsChild>
    </w:div>
    <w:div w:id="1036277072">
      <w:bodyDiv w:val="1"/>
      <w:marLeft w:val="0"/>
      <w:marRight w:val="0"/>
      <w:marTop w:val="0"/>
      <w:marBottom w:val="0"/>
      <w:divBdr>
        <w:top w:val="none" w:sz="0" w:space="0" w:color="auto"/>
        <w:left w:val="none" w:sz="0" w:space="0" w:color="auto"/>
        <w:bottom w:val="none" w:sz="0" w:space="0" w:color="auto"/>
        <w:right w:val="none" w:sz="0" w:space="0" w:color="auto"/>
      </w:divBdr>
      <w:divsChild>
        <w:div w:id="1791702435">
          <w:marLeft w:val="274"/>
          <w:marRight w:val="0"/>
          <w:marTop w:val="38"/>
          <w:marBottom w:val="0"/>
          <w:divBdr>
            <w:top w:val="none" w:sz="0" w:space="0" w:color="auto"/>
            <w:left w:val="none" w:sz="0" w:space="0" w:color="auto"/>
            <w:bottom w:val="none" w:sz="0" w:space="0" w:color="auto"/>
            <w:right w:val="none" w:sz="0" w:space="0" w:color="auto"/>
          </w:divBdr>
        </w:div>
      </w:divsChild>
    </w:div>
    <w:div w:id="1039360144">
      <w:bodyDiv w:val="1"/>
      <w:marLeft w:val="0"/>
      <w:marRight w:val="0"/>
      <w:marTop w:val="0"/>
      <w:marBottom w:val="0"/>
      <w:divBdr>
        <w:top w:val="none" w:sz="0" w:space="0" w:color="auto"/>
        <w:left w:val="none" w:sz="0" w:space="0" w:color="auto"/>
        <w:bottom w:val="none" w:sz="0" w:space="0" w:color="auto"/>
        <w:right w:val="none" w:sz="0" w:space="0" w:color="auto"/>
      </w:divBdr>
      <w:divsChild>
        <w:div w:id="21320721">
          <w:marLeft w:val="274"/>
          <w:marRight w:val="0"/>
          <w:marTop w:val="38"/>
          <w:marBottom w:val="0"/>
          <w:divBdr>
            <w:top w:val="none" w:sz="0" w:space="0" w:color="auto"/>
            <w:left w:val="none" w:sz="0" w:space="0" w:color="auto"/>
            <w:bottom w:val="none" w:sz="0" w:space="0" w:color="auto"/>
            <w:right w:val="none" w:sz="0" w:space="0" w:color="auto"/>
          </w:divBdr>
        </w:div>
        <w:div w:id="1417244958">
          <w:marLeft w:val="274"/>
          <w:marRight w:val="0"/>
          <w:marTop w:val="38"/>
          <w:marBottom w:val="0"/>
          <w:divBdr>
            <w:top w:val="none" w:sz="0" w:space="0" w:color="auto"/>
            <w:left w:val="none" w:sz="0" w:space="0" w:color="auto"/>
            <w:bottom w:val="none" w:sz="0" w:space="0" w:color="auto"/>
            <w:right w:val="none" w:sz="0" w:space="0" w:color="auto"/>
          </w:divBdr>
        </w:div>
      </w:divsChild>
    </w:div>
    <w:div w:id="1040015764">
      <w:bodyDiv w:val="1"/>
      <w:marLeft w:val="0"/>
      <w:marRight w:val="0"/>
      <w:marTop w:val="0"/>
      <w:marBottom w:val="0"/>
      <w:divBdr>
        <w:top w:val="none" w:sz="0" w:space="0" w:color="auto"/>
        <w:left w:val="none" w:sz="0" w:space="0" w:color="auto"/>
        <w:bottom w:val="none" w:sz="0" w:space="0" w:color="auto"/>
        <w:right w:val="none" w:sz="0" w:space="0" w:color="auto"/>
      </w:divBdr>
      <w:divsChild>
        <w:div w:id="54397291">
          <w:marLeft w:val="274"/>
          <w:marRight w:val="0"/>
          <w:marTop w:val="38"/>
          <w:marBottom w:val="0"/>
          <w:divBdr>
            <w:top w:val="none" w:sz="0" w:space="0" w:color="auto"/>
            <w:left w:val="none" w:sz="0" w:space="0" w:color="auto"/>
            <w:bottom w:val="none" w:sz="0" w:space="0" w:color="auto"/>
            <w:right w:val="none" w:sz="0" w:space="0" w:color="auto"/>
          </w:divBdr>
        </w:div>
        <w:div w:id="598682565">
          <w:marLeft w:val="274"/>
          <w:marRight w:val="0"/>
          <w:marTop w:val="38"/>
          <w:marBottom w:val="0"/>
          <w:divBdr>
            <w:top w:val="none" w:sz="0" w:space="0" w:color="auto"/>
            <w:left w:val="none" w:sz="0" w:space="0" w:color="auto"/>
            <w:bottom w:val="none" w:sz="0" w:space="0" w:color="auto"/>
            <w:right w:val="none" w:sz="0" w:space="0" w:color="auto"/>
          </w:divBdr>
        </w:div>
        <w:div w:id="1527479426">
          <w:marLeft w:val="274"/>
          <w:marRight w:val="0"/>
          <w:marTop w:val="38"/>
          <w:marBottom w:val="0"/>
          <w:divBdr>
            <w:top w:val="none" w:sz="0" w:space="0" w:color="auto"/>
            <w:left w:val="none" w:sz="0" w:space="0" w:color="auto"/>
            <w:bottom w:val="none" w:sz="0" w:space="0" w:color="auto"/>
            <w:right w:val="none" w:sz="0" w:space="0" w:color="auto"/>
          </w:divBdr>
        </w:div>
      </w:divsChild>
    </w:div>
    <w:div w:id="1078283801">
      <w:bodyDiv w:val="1"/>
      <w:marLeft w:val="0"/>
      <w:marRight w:val="0"/>
      <w:marTop w:val="0"/>
      <w:marBottom w:val="0"/>
      <w:divBdr>
        <w:top w:val="none" w:sz="0" w:space="0" w:color="auto"/>
        <w:left w:val="none" w:sz="0" w:space="0" w:color="auto"/>
        <w:bottom w:val="none" w:sz="0" w:space="0" w:color="auto"/>
        <w:right w:val="none" w:sz="0" w:space="0" w:color="auto"/>
      </w:divBdr>
      <w:divsChild>
        <w:div w:id="565335398">
          <w:marLeft w:val="274"/>
          <w:marRight w:val="0"/>
          <w:marTop w:val="38"/>
          <w:marBottom w:val="0"/>
          <w:divBdr>
            <w:top w:val="none" w:sz="0" w:space="0" w:color="auto"/>
            <w:left w:val="none" w:sz="0" w:space="0" w:color="auto"/>
            <w:bottom w:val="none" w:sz="0" w:space="0" w:color="auto"/>
            <w:right w:val="none" w:sz="0" w:space="0" w:color="auto"/>
          </w:divBdr>
        </w:div>
      </w:divsChild>
    </w:div>
    <w:div w:id="1081609571">
      <w:bodyDiv w:val="1"/>
      <w:marLeft w:val="0"/>
      <w:marRight w:val="0"/>
      <w:marTop w:val="0"/>
      <w:marBottom w:val="0"/>
      <w:divBdr>
        <w:top w:val="none" w:sz="0" w:space="0" w:color="auto"/>
        <w:left w:val="none" w:sz="0" w:space="0" w:color="auto"/>
        <w:bottom w:val="none" w:sz="0" w:space="0" w:color="auto"/>
        <w:right w:val="none" w:sz="0" w:space="0" w:color="auto"/>
      </w:divBdr>
      <w:divsChild>
        <w:div w:id="357511653">
          <w:marLeft w:val="274"/>
          <w:marRight w:val="0"/>
          <w:marTop w:val="38"/>
          <w:marBottom w:val="0"/>
          <w:divBdr>
            <w:top w:val="none" w:sz="0" w:space="0" w:color="auto"/>
            <w:left w:val="none" w:sz="0" w:space="0" w:color="auto"/>
            <w:bottom w:val="none" w:sz="0" w:space="0" w:color="auto"/>
            <w:right w:val="none" w:sz="0" w:space="0" w:color="auto"/>
          </w:divBdr>
        </w:div>
      </w:divsChild>
    </w:div>
    <w:div w:id="1112095075">
      <w:bodyDiv w:val="1"/>
      <w:marLeft w:val="0"/>
      <w:marRight w:val="0"/>
      <w:marTop w:val="0"/>
      <w:marBottom w:val="0"/>
      <w:divBdr>
        <w:top w:val="none" w:sz="0" w:space="0" w:color="auto"/>
        <w:left w:val="none" w:sz="0" w:space="0" w:color="auto"/>
        <w:bottom w:val="none" w:sz="0" w:space="0" w:color="auto"/>
        <w:right w:val="none" w:sz="0" w:space="0" w:color="auto"/>
      </w:divBdr>
    </w:div>
    <w:div w:id="1160804763">
      <w:bodyDiv w:val="1"/>
      <w:marLeft w:val="0"/>
      <w:marRight w:val="0"/>
      <w:marTop w:val="0"/>
      <w:marBottom w:val="0"/>
      <w:divBdr>
        <w:top w:val="none" w:sz="0" w:space="0" w:color="auto"/>
        <w:left w:val="none" w:sz="0" w:space="0" w:color="auto"/>
        <w:bottom w:val="none" w:sz="0" w:space="0" w:color="auto"/>
        <w:right w:val="none" w:sz="0" w:space="0" w:color="auto"/>
      </w:divBdr>
    </w:div>
    <w:div w:id="1161770768">
      <w:bodyDiv w:val="1"/>
      <w:marLeft w:val="0"/>
      <w:marRight w:val="0"/>
      <w:marTop w:val="0"/>
      <w:marBottom w:val="0"/>
      <w:divBdr>
        <w:top w:val="none" w:sz="0" w:space="0" w:color="auto"/>
        <w:left w:val="none" w:sz="0" w:space="0" w:color="auto"/>
        <w:bottom w:val="none" w:sz="0" w:space="0" w:color="auto"/>
        <w:right w:val="none" w:sz="0" w:space="0" w:color="auto"/>
      </w:divBdr>
      <w:divsChild>
        <w:div w:id="497624058">
          <w:marLeft w:val="274"/>
          <w:marRight w:val="0"/>
          <w:marTop w:val="38"/>
          <w:marBottom w:val="0"/>
          <w:divBdr>
            <w:top w:val="none" w:sz="0" w:space="0" w:color="auto"/>
            <w:left w:val="none" w:sz="0" w:space="0" w:color="auto"/>
            <w:bottom w:val="none" w:sz="0" w:space="0" w:color="auto"/>
            <w:right w:val="none" w:sz="0" w:space="0" w:color="auto"/>
          </w:divBdr>
        </w:div>
        <w:div w:id="1667126179">
          <w:marLeft w:val="274"/>
          <w:marRight w:val="0"/>
          <w:marTop w:val="38"/>
          <w:marBottom w:val="0"/>
          <w:divBdr>
            <w:top w:val="none" w:sz="0" w:space="0" w:color="auto"/>
            <w:left w:val="none" w:sz="0" w:space="0" w:color="auto"/>
            <w:bottom w:val="none" w:sz="0" w:space="0" w:color="auto"/>
            <w:right w:val="none" w:sz="0" w:space="0" w:color="auto"/>
          </w:divBdr>
        </w:div>
      </w:divsChild>
    </w:div>
    <w:div w:id="1162547493">
      <w:bodyDiv w:val="1"/>
      <w:marLeft w:val="0"/>
      <w:marRight w:val="0"/>
      <w:marTop w:val="0"/>
      <w:marBottom w:val="0"/>
      <w:divBdr>
        <w:top w:val="none" w:sz="0" w:space="0" w:color="auto"/>
        <w:left w:val="none" w:sz="0" w:space="0" w:color="auto"/>
        <w:bottom w:val="none" w:sz="0" w:space="0" w:color="auto"/>
        <w:right w:val="none" w:sz="0" w:space="0" w:color="auto"/>
      </w:divBdr>
      <w:divsChild>
        <w:div w:id="383062658">
          <w:marLeft w:val="994"/>
          <w:marRight w:val="0"/>
          <w:marTop w:val="38"/>
          <w:marBottom w:val="0"/>
          <w:divBdr>
            <w:top w:val="none" w:sz="0" w:space="0" w:color="auto"/>
            <w:left w:val="none" w:sz="0" w:space="0" w:color="auto"/>
            <w:bottom w:val="none" w:sz="0" w:space="0" w:color="auto"/>
            <w:right w:val="none" w:sz="0" w:space="0" w:color="auto"/>
          </w:divBdr>
        </w:div>
        <w:div w:id="418596568">
          <w:marLeft w:val="994"/>
          <w:marRight w:val="0"/>
          <w:marTop w:val="38"/>
          <w:marBottom w:val="0"/>
          <w:divBdr>
            <w:top w:val="none" w:sz="0" w:space="0" w:color="auto"/>
            <w:left w:val="none" w:sz="0" w:space="0" w:color="auto"/>
            <w:bottom w:val="none" w:sz="0" w:space="0" w:color="auto"/>
            <w:right w:val="none" w:sz="0" w:space="0" w:color="auto"/>
          </w:divBdr>
        </w:div>
        <w:div w:id="516620499">
          <w:marLeft w:val="994"/>
          <w:marRight w:val="0"/>
          <w:marTop w:val="38"/>
          <w:marBottom w:val="0"/>
          <w:divBdr>
            <w:top w:val="none" w:sz="0" w:space="0" w:color="auto"/>
            <w:left w:val="none" w:sz="0" w:space="0" w:color="auto"/>
            <w:bottom w:val="none" w:sz="0" w:space="0" w:color="auto"/>
            <w:right w:val="none" w:sz="0" w:space="0" w:color="auto"/>
          </w:divBdr>
        </w:div>
        <w:div w:id="623652795">
          <w:marLeft w:val="994"/>
          <w:marRight w:val="0"/>
          <w:marTop w:val="38"/>
          <w:marBottom w:val="0"/>
          <w:divBdr>
            <w:top w:val="none" w:sz="0" w:space="0" w:color="auto"/>
            <w:left w:val="none" w:sz="0" w:space="0" w:color="auto"/>
            <w:bottom w:val="none" w:sz="0" w:space="0" w:color="auto"/>
            <w:right w:val="none" w:sz="0" w:space="0" w:color="auto"/>
          </w:divBdr>
        </w:div>
        <w:div w:id="730470695">
          <w:marLeft w:val="994"/>
          <w:marRight w:val="0"/>
          <w:marTop w:val="38"/>
          <w:marBottom w:val="0"/>
          <w:divBdr>
            <w:top w:val="none" w:sz="0" w:space="0" w:color="auto"/>
            <w:left w:val="none" w:sz="0" w:space="0" w:color="auto"/>
            <w:bottom w:val="none" w:sz="0" w:space="0" w:color="auto"/>
            <w:right w:val="none" w:sz="0" w:space="0" w:color="auto"/>
          </w:divBdr>
        </w:div>
        <w:div w:id="767193457">
          <w:marLeft w:val="994"/>
          <w:marRight w:val="0"/>
          <w:marTop w:val="38"/>
          <w:marBottom w:val="0"/>
          <w:divBdr>
            <w:top w:val="none" w:sz="0" w:space="0" w:color="auto"/>
            <w:left w:val="none" w:sz="0" w:space="0" w:color="auto"/>
            <w:bottom w:val="none" w:sz="0" w:space="0" w:color="auto"/>
            <w:right w:val="none" w:sz="0" w:space="0" w:color="auto"/>
          </w:divBdr>
        </w:div>
        <w:div w:id="780031449">
          <w:marLeft w:val="994"/>
          <w:marRight w:val="0"/>
          <w:marTop w:val="38"/>
          <w:marBottom w:val="0"/>
          <w:divBdr>
            <w:top w:val="none" w:sz="0" w:space="0" w:color="auto"/>
            <w:left w:val="none" w:sz="0" w:space="0" w:color="auto"/>
            <w:bottom w:val="none" w:sz="0" w:space="0" w:color="auto"/>
            <w:right w:val="none" w:sz="0" w:space="0" w:color="auto"/>
          </w:divBdr>
        </w:div>
        <w:div w:id="858931361">
          <w:marLeft w:val="994"/>
          <w:marRight w:val="0"/>
          <w:marTop w:val="38"/>
          <w:marBottom w:val="0"/>
          <w:divBdr>
            <w:top w:val="none" w:sz="0" w:space="0" w:color="auto"/>
            <w:left w:val="none" w:sz="0" w:space="0" w:color="auto"/>
            <w:bottom w:val="none" w:sz="0" w:space="0" w:color="auto"/>
            <w:right w:val="none" w:sz="0" w:space="0" w:color="auto"/>
          </w:divBdr>
        </w:div>
        <w:div w:id="937367626">
          <w:marLeft w:val="994"/>
          <w:marRight w:val="0"/>
          <w:marTop w:val="38"/>
          <w:marBottom w:val="0"/>
          <w:divBdr>
            <w:top w:val="none" w:sz="0" w:space="0" w:color="auto"/>
            <w:left w:val="none" w:sz="0" w:space="0" w:color="auto"/>
            <w:bottom w:val="none" w:sz="0" w:space="0" w:color="auto"/>
            <w:right w:val="none" w:sz="0" w:space="0" w:color="auto"/>
          </w:divBdr>
        </w:div>
        <w:div w:id="1018433741">
          <w:marLeft w:val="994"/>
          <w:marRight w:val="0"/>
          <w:marTop w:val="38"/>
          <w:marBottom w:val="0"/>
          <w:divBdr>
            <w:top w:val="none" w:sz="0" w:space="0" w:color="auto"/>
            <w:left w:val="none" w:sz="0" w:space="0" w:color="auto"/>
            <w:bottom w:val="none" w:sz="0" w:space="0" w:color="auto"/>
            <w:right w:val="none" w:sz="0" w:space="0" w:color="auto"/>
          </w:divBdr>
        </w:div>
        <w:div w:id="1028603716">
          <w:marLeft w:val="994"/>
          <w:marRight w:val="0"/>
          <w:marTop w:val="38"/>
          <w:marBottom w:val="0"/>
          <w:divBdr>
            <w:top w:val="none" w:sz="0" w:space="0" w:color="auto"/>
            <w:left w:val="none" w:sz="0" w:space="0" w:color="auto"/>
            <w:bottom w:val="none" w:sz="0" w:space="0" w:color="auto"/>
            <w:right w:val="none" w:sz="0" w:space="0" w:color="auto"/>
          </w:divBdr>
        </w:div>
        <w:div w:id="1295066814">
          <w:marLeft w:val="994"/>
          <w:marRight w:val="0"/>
          <w:marTop w:val="38"/>
          <w:marBottom w:val="0"/>
          <w:divBdr>
            <w:top w:val="none" w:sz="0" w:space="0" w:color="auto"/>
            <w:left w:val="none" w:sz="0" w:space="0" w:color="auto"/>
            <w:bottom w:val="none" w:sz="0" w:space="0" w:color="auto"/>
            <w:right w:val="none" w:sz="0" w:space="0" w:color="auto"/>
          </w:divBdr>
        </w:div>
        <w:div w:id="1299915831">
          <w:marLeft w:val="994"/>
          <w:marRight w:val="0"/>
          <w:marTop w:val="38"/>
          <w:marBottom w:val="0"/>
          <w:divBdr>
            <w:top w:val="none" w:sz="0" w:space="0" w:color="auto"/>
            <w:left w:val="none" w:sz="0" w:space="0" w:color="auto"/>
            <w:bottom w:val="none" w:sz="0" w:space="0" w:color="auto"/>
            <w:right w:val="none" w:sz="0" w:space="0" w:color="auto"/>
          </w:divBdr>
        </w:div>
        <w:div w:id="1370106271">
          <w:marLeft w:val="994"/>
          <w:marRight w:val="0"/>
          <w:marTop w:val="38"/>
          <w:marBottom w:val="0"/>
          <w:divBdr>
            <w:top w:val="none" w:sz="0" w:space="0" w:color="auto"/>
            <w:left w:val="none" w:sz="0" w:space="0" w:color="auto"/>
            <w:bottom w:val="none" w:sz="0" w:space="0" w:color="auto"/>
            <w:right w:val="none" w:sz="0" w:space="0" w:color="auto"/>
          </w:divBdr>
        </w:div>
        <w:div w:id="1384452449">
          <w:marLeft w:val="994"/>
          <w:marRight w:val="0"/>
          <w:marTop w:val="38"/>
          <w:marBottom w:val="0"/>
          <w:divBdr>
            <w:top w:val="none" w:sz="0" w:space="0" w:color="auto"/>
            <w:left w:val="none" w:sz="0" w:space="0" w:color="auto"/>
            <w:bottom w:val="none" w:sz="0" w:space="0" w:color="auto"/>
            <w:right w:val="none" w:sz="0" w:space="0" w:color="auto"/>
          </w:divBdr>
        </w:div>
        <w:div w:id="1422799912">
          <w:marLeft w:val="994"/>
          <w:marRight w:val="0"/>
          <w:marTop w:val="38"/>
          <w:marBottom w:val="0"/>
          <w:divBdr>
            <w:top w:val="none" w:sz="0" w:space="0" w:color="auto"/>
            <w:left w:val="none" w:sz="0" w:space="0" w:color="auto"/>
            <w:bottom w:val="none" w:sz="0" w:space="0" w:color="auto"/>
            <w:right w:val="none" w:sz="0" w:space="0" w:color="auto"/>
          </w:divBdr>
        </w:div>
        <w:div w:id="1453785779">
          <w:marLeft w:val="994"/>
          <w:marRight w:val="0"/>
          <w:marTop w:val="38"/>
          <w:marBottom w:val="0"/>
          <w:divBdr>
            <w:top w:val="none" w:sz="0" w:space="0" w:color="auto"/>
            <w:left w:val="none" w:sz="0" w:space="0" w:color="auto"/>
            <w:bottom w:val="none" w:sz="0" w:space="0" w:color="auto"/>
            <w:right w:val="none" w:sz="0" w:space="0" w:color="auto"/>
          </w:divBdr>
        </w:div>
        <w:div w:id="1537037123">
          <w:marLeft w:val="994"/>
          <w:marRight w:val="0"/>
          <w:marTop w:val="38"/>
          <w:marBottom w:val="0"/>
          <w:divBdr>
            <w:top w:val="none" w:sz="0" w:space="0" w:color="auto"/>
            <w:left w:val="none" w:sz="0" w:space="0" w:color="auto"/>
            <w:bottom w:val="none" w:sz="0" w:space="0" w:color="auto"/>
            <w:right w:val="none" w:sz="0" w:space="0" w:color="auto"/>
          </w:divBdr>
        </w:div>
        <w:div w:id="1566993963">
          <w:marLeft w:val="994"/>
          <w:marRight w:val="0"/>
          <w:marTop w:val="38"/>
          <w:marBottom w:val="0"/>
          <w:divBdr>
            <w:top w:val="none" w:sz="0" w:space="0" w:color="auto"/>
            <w:left w:val="none" w:sz="0" w:space="0" w:color="auto"/>
            <w:bottom w:val="none" w:sz="0" w:space="0" w:color="auto"/>
            <w:right w:val="none" w:sz="0" w:space="0" w:color="auto"/>
          </w:divBdr>
        </w:div>
        <w:div w:id="1629119989">
          <w:marLeft w:val="994"/>
          <w:marRight w:val="0"/>
          <w:marTop w:val="38"/>
          <w:marBottom w:val="0"/>
          <w:divBdr>
            <w:top w:val="none" w:sz="0" w:space="0" w:color="auto"/>
            <w:left w:val="none" w:sz="0" w:space="0" w:color="auto"/>
            <w:bottom w:val="none" w:sz="0" w:space="0" w:color="auto"/>
            <w:right w:val="none" w:sz="0" w:space="0" w:color="auto"/>
          </w:divBdr>
        </w:div>
        <w:div w:id="1782143003">
          <w:marLeft w:val="994"/>
          <w:marRight w:val="0"/>
          <w:marTop w:val="38"/>
          <w:marBottom w:val="0"/>
          <w:divBdr>
            <w:top w:val="none" w:sz="0" w:space="0" w:color="auto"/>
            <w:left w:val="none" w:sz="0" w:space="0" w:color="auto"/>
            <w:bottom w:val="none" w:sz="0" w:space="0" w:color="auto"/>
            <w:right w:val="none" w:sz="0" w:space="0" w:color="auto"/>
          </w:divBdr>
        </w:div>
        <w:div w:id="1889143965">
          <w:marLeft w:val="994"/>
          <w:marRight w:val="0"/>
          <w:marTop w:val="38"/>
          <w:marBottom w:val="0"/>
          <w:divBdr>
            <w:top w:val="none" w:sz="0" w:space="0" w:color="auto"/>
            <w:left w:val="none" w:sz="0" w:space="0" w:color="auto"/>
            <w:bottom w:val="none" w:sz="0" w:space="0" w:color="auto"/>
            <w:right w:val="none" w:sz="0" w:space="0" w:color="auto"/>
          </w:divBdr>
        </w:div>
        <w:div w:id="2048096438">
          <w:marLeft w:val="994"/>
          <w:marRight w:val="0"/>
          <w:marTop w:val="38"/>
          <w:marBottom w:val="0"/>
          <w:divBdr>
            <w:top w:val="none" w:sz="0" w:space="0" w:color="auto"/>
            <w:left w:val="none" w:sz="0" w:space="0" w:color="auto"/>
            <w:bottom w:val="none" w:sz="0" w:space="0" w:color="auto"/>
            <w:right w:val="none" w:sz="0" w:space="0" w:color="auto"/>
          </w:divBdr>
        </w:div>
        <w:div w:id="2080207085">
          <w:marLeft w:val="274"/>
          <w:marRight w:val="0"/>
          <w:marTop w:val="38"/>
          <w:marBottom w:val="0"/>
          <w:divBdr>
            <w:top w:val="none" w:sz="0" w:space="0" w:color="auto"/>
            <w:left w:val="none" w:sz="0" w:space="0" w:color="auto"/>
            <w:bottom w:val="none" w:sz="0" w:space="0" w:color="auto"/>
            <w:right w:val="none" w:sz="0" w:space="0" w:color="auto"/>
          </w:divBdr>
        </w:div>
        <w:div w:id="2083330105">
          <w:marLeft w:val="994"/>
          <w:marRight w:val="0"/>
          <w:marTop w:val="38"/>
          <w:marBottom w:val="0"/>
          <w:divBdr>
            <w:top w:val="none" w:sz="0" w:space="0" w:color="auto"/>
            <w:left w:val="none" w:sz="0" w:space="0" w:color="auto"/>
            <w:bottom w:val="none" w:sz="0" w:space="0" w:color="auto"/>
            <w:right w:val="none" w:sz="0" w:space="0" w:color="auto"/>
          </w:divBdr>
        </w:div>
        <w:div w:id="2132506315">
          <w:marLeft w:val="994"/>
          <w:marRight w:val="0"/>
          <w:marTop w:val="38"/>
          <w:marBottom w:val="0"/>
          <w:divBdr>
            <w:top w:val="none" w:sz="0" w:space="0" w:color="auto"/>
            <w:left w:val="none" w:sz="0" w:space="0" w:color="auto"/>
            <w:bottom w:val="none" w:sz="0" w:space="0" w:color="auto"/>
            <w:right w:val="none" w:sz="0" w:space="0" w:color="auto"/>
          </w:divBdr>
        </w:div>
      </w:divsChild>
    </w:div>
    <w:div w:id="1164780303">
      <w:bodyDiv w:val="1"/>
      <w:marLeft w:val="0"/>
      <w:marRight w:val="0"/>
      <w:marTop w:val="0"/>
      <w:marBottom w:val="0"/>
      <w:divBdr>
        <w:top w:val="none" w:sz="0" w:space="0" w:color="auto"/>
        <w:left w:val="none" w:sz="0" w:space="0" w:color="auto"/>
        <w:bottom w:val="none" w:sz="0" w:space="0" w:color="auto"/>
        <w:right w:val="none" w:sz="0" w:space="0" w:color="auto"/>
      </w:divBdr>
      <w:divsChild>
        <w:div w:id="217130004">
          <w:marLeft w:val="274"/>
          <w:marRight w:val="0"/>
          <w:marTop w:val="38"/>
          <w:marBottom w:val="0"/>
          <w:divBdr>
            <w:top w:val="none" w:sz="0" w:space="0" w:color="auto"/>
            <w:left w:val="none" w:sz="0" w:space="0" w:color="auto"/>
            <w:bottom w:val="none" w:sz="0" w:space="0" w:color="auto"/>
            <w:right w:val="none" w:sz="0" w:space="0" w:color="auto"/>
          </w:divBdr>
        </w:div>
        <w:div w:id="348027563">
          <w:marLeft w:val="274"/>
          <w:marRight w:val="0"/>
          <w:marTop w:val="38"/>
          <w:marBottom w:val="0"/>
          <w:divBdr>
            <w:top w:val="none" w:sz="0" w:space="0" w:color="auto"/>
            <w:left w:val="none" w:sz="0" w:space="0" w:color="auto"/>
            <w:bottom w:val="none" w:sz="0" w:space="0" w:color="auto"/>
            <w:right w:val="none" w:sz="0" w:space="0" w:color="auto"/>
          </w:divBdr>
        </w:div>
        <w:div w:id="1480076356">
          <w:marLeft w:val="274"/>
          <w:marRight w:val="0"/>
          <w:marTop w:val="38"/>
          <w:marBottom w:val="0"/>
          <w:divBdr>
            <w:top w:val="none" w:sz="0" w:space="0" w:color="auto"/>
            <w:left w:val="none" w:sz="0" w:space="0" w:color="auto"/>
            <w:bottom w:val="none" w:sz="0" w:space="0" w:color="auto"/>
            <w:right w:val="none" w:sz="0" w:space="0" w:color="auto"/>
          </w:divBdr>
        </w:div>
      </w:divsChild>
    </w:div>
    <w:div w:id="1166240496">
      <w:bodyDiv w:val="1"/>
      <w:marLeft w:val="0"/>
      <w:marRight w:val="0"/>
      <w:marTop w:val="0"/>
      <w:marBottom w:val="0"/>
      <w:divBdr>
        <w:top w:val="none" w:sz="0" w:space="0" w:color="auto"/>
        <w:left w:val="none" w:sz="0" w:space="0" w:color="auto"/>
        <w:bottom w:val="none" w:sz="0" w:space="0" w:color="auto"/>
        <w:right w:val="none" w:sz="0" w:space="0" w:color="auto"/>
      </w:divBdr>
    </w:div>
    <w:div w:id="1181433622">
      <w:bodyDiv w:val="1"/>
      <w:marLeft w:val="0"/>
      <w:marRight w:val="0"/>
      <w:marTop w:val="0"/>
      <w:marBottom w:val="0"/>
      <w:divBdr>
        <w:top w:val="none" w:sz="0" w:space="0" w:color="auto"/>
        <w:left w:val="none" w:sz="0" w:space="0" w:color="auto"/>
        <w:bottom w:val="none" w:sz="0" w:space="0" w:color="auto"/>
        <w:right w:val="none" w:sz="0" w:space="0" w:color="auto"/>
      </w:divBdr>
      <w:divsChild>
        <w:div w:id="1039430893">
          <w:marLeft w:val="274"/>
          <w:marRight w:val="0"/>
          <w:marTop w:val="38"/>
          <w:marBottom w:val="0"/>
          <w:divBdr>
            <w:top w:val="none" w:sz="0" w:space="0" w:color="auto"/>
            <w:left w:val="none" w:sz="0" w:space="0" w:color="auto"/>
            <w:bottom w:val="none" w:sz="0" w:space="0" w:color="auto"/>
            <w:right w:val="none" w:sz="0" w:space="0" w:color="auto"/>
          </w:divBdr>
        </w:div>
      </w:divsChild>
    </w:div>
    <w:div w:id="1190335935">
      <w:bodyDiv w:val="1"/>
      <w:marLeft w:val="0"/>
      <w:marRight w:val="0"/>
      <w:marTop w:val="0"/>
      <w:marBottom w:val="0"/>
      <w:divBdr>
        <w:top w:val="none" w:sz="0" w:space="0" w:color="auto"/>
        <w:left w:val="none" w:sz="0" w:space="0" w:color="auto"/>
        <w:bottom w:val="none" w:sz="0" w:space="0" w:color="auto"/>
        <w:right w:val="none" w:sz="0" w:space="0" w:color="auto"/>
      </w:divBdr>
    </w:div>
    <w:div w:id="1195267043">
      <w:bodyDiv w:val="1"/>
      <w:marLeft w:val="0"/>
      <w:marRight w:val="0"/>
      <w:marTop w:val="0"/>
      <w:marBottom w:val="0"/>
      <w:divBdr>
        <w:top w:val="none" w:sz="0" w:space="0" w:color="auto"/>
        <w:left w:val="none" w:sz="0" w:space="0" w:color="auto"/>
        <w:bottom w:val="none" w:sz="0" w:space="0" w:color="auto"/>
        <w:right w:val="none" w:sz="0" w:space="0" w:color="auto"/>
      </w:divBdr>
      <w:divsChild>
        <w:div w:id="1562708908">
          <w:marLeft w:val="274"/>
          <w:marRight w:val="0"/>
          <w:marTop w:val="38"/>
          <w:marBottom w:val="0"/>
          <w:divBdr>
            <w:top w:val="none" w:sz="0" w:space="0" w:color="auto"/>
            <w:left w:val="none" w:sz="0" w:space="0" w:color="auto"/>
            <w:bottom w:val="none" w:sz="0" w:space="0" w:color="auto"/>
            <w:right w:val="none" w:sz="0" w:space="0" w:color="auto"/>
          </w:divBdr>
        </w:div>
      </w:divsChild>
    </w:div>
    <w:div w:id="1195268318">
      <w:bodyDiv w:val="1"/>
      <w:marLeft w:val="0"/>
      <w:marRight w:val="0"/>
      <w:marTop w:val="0"/>
      <w:marBottom w:val="0"/>
      <w:divBdr>
        <w:top w:val="none" w:sz="0" w:space="0" w:color="auto"/>
        <w:left w:val="none" w:sz="0" w:space="0" w:color="auto"/>
        <w:bottom w:val="none" w:sz="0" w:space="0" w:color="auto"/>
        <w:right w:val="none" w:sz="0" w:space="0" w:color="auto"/>
      </w:divBdr>
      <w:divsChild>
        <w:div w:id="1179657220">
          <w:marLeft w:val="274"/>
          <w:marRight w:val="0"/>
          <w:marTop w:val="38"/>
          <w:marBottom w:val="0"/>
          <w:divBdr>
            <w:top w:val="none" w:sz="0" w:space="0" w:color="auto"/>
            <w:left w:val="none" w:sz="0" w:space="0" w:color="auto"/>
            <w:bottom w:val="none" w:sz="0" w:space="0" w:color="auto"/>
            <w:right w:val="none" w:sz="0" w:space="0" w:color="auto"/>
          </w:divBdr>
        </w:div>
      </w:divsChild>
    </w:div>
    <w:div w:id="1201480154">
      <w:bodyDiv w:val="1"/>
      <w:marLeft w:val="0"/>
      <w:marRight w:val="0"/>
      <w:marTop w:val="0"/>
      <w:marBottom w:val="0"/>
      <w:divBdr>
        <w:top w:val="none" w:sz="0" w:space="0" w:color="auto"/>
        <w:left w:val="none" w:sz="0" w:space="0" w:color="auto"/>
        <w:bottom w:val="none" w:sz="0" w:space="0" w:color="auto"/>
        <w:right w:val="none" w:sz="0" w:space="0" w:color="auto"/>
      </w:divBdr>
    </w:div>
    <w:div w:id="1202206623">
      <w:bodyDiv w:val="1"/>
      <w:marLeft w:val="0"/>
      <w:marRight w:val="0"/>
      <w:marTop w:val="0"/>
      <w:marBottom w:val="0"/>
      <w:divBdr>
        <w:top w:val="none" w:sz="0" w:space="0" w:color="auto"/>
        <w:left w:val="none" w:sz="0" w:space="0" w:color="auto"/>
        <w:bottom w:val="none" w:sz="0" w:space="0" w:color="auto"/>
        <w:right w:val="none" w:sz="0" w:space="0" w:color="auto"/>
      </w:divBdr>
      <w:divsChild>
        <w:div w:id="727269149">
          <w:marLeft w:val="274"/>
          <w:marRight w:val="0"/>
          <w:marTop w:val="38"/>
          <w:marBottom w:val="0"/>
          <w:divBdr>
            <w:top w:val="none" w:sz="0" w:space="0" w:color="auto"/>
            <w:left w:val="none" w:sz="0" w:space="0" w:color="auto"/>
            <w:bottom w:val="none" w:sz="0" w:space="0" w:color="auto"/>
            <w:right w:val="none" w:sz="0" w:space="0" w:color="auto"/>
          </w:divBdr>
        </w:div>
      </w:divsChild>
    </w:div>
    <w:div w:id="1216041895">
      <w:bodyDiv w:val="1"/>
      <w:marLeft w:val="0"/>
      <w:marRight w:val="0"/>
      <w:marTop w:val="0"/>
      <w:marBottom w:val="0"/>
      <w:divBdr>
        <w:top w:val="none" w:sz="0" w:space="0" w:color="auto"/>
        <w:left w:val="none" w:sz="0" w:space="0" w:color="auto"/>
        <w:bottom w:val="none" w:sz="0" w:space="0" w:color="auto"/>
        <w:right w:val="none" w:sz="0" w:space="0" w:color="auto"/>
      </w:divBdr>
      <w:divsChild>
        <w:div w:id="86971132">
          <w:marLeft w:val="274"/>
          <w:marRight w:val="0"/>
          <w:marTop w:val="38"/>
          <w:marBottom w:val="0"/>
          <w:divBdr>
            <w:top w:val="none" w:sz="0" w:space="0" w:color="auto"/>
            <w:left w:val="none" w:sz="0" w:space="0" w:color="auto"/>
            <w:bottom w:val="none" w:sz="0" w:space="0" w:color="auto"/>
            <w:right w:val="none" w:sz="0" w:space="0" w:color="auto"/>
          </w:divBdr>
        </w:div>
        <w:div w:id="817962625">
          <w:marLeft w:val="274"/>
          <w:marRight w:val="0"/>
          <w:marTop w:val="38"/>
          <w:marBottom w:val="0"/>
          <w:divBdr>
            <w:top w:val="none" w:sz="0" w:space="0" w:color="auto"/>
            <w:left w:val="none" w:sz="0" w:space="0" w:color="auto"/>
            <w:bottom w:val="none" w:sz="0" w:space="0" w:color="auto"/>
            <w:right w:val="none" w:sz="0" w:space="0" w:color="auto"/>
          </w:divBdr>
        </w:div>
        <w:div w:id="1186212219">
          <w:marLeft w:val="274"/>
          <w:marRight w:val="0"/>
          <w:marTop w:val="38"/>
          <w:marBottom w:val="0"/>
          <w:divBdr>
            <w:top w:val="none" w:sz="0" w:space="0" w:color="auto"/>
            <w:left w:val="none" w:sz="0" w:space="0" w:color="auto"/>
            <w:bottom w:val="none" w:sz="0" w:space="0" w:color="auto"/>
            <w:right w:val="none" w:sz="0" w:space="0" w:color="auto"/>
          </w:divBdr>
        </w:div>
        <w:div w:id="1401903479">
          <w:marLeft w:val="274"/>
          <w:marRight w:val="0"/>
          <w:marTop w:val="38"/>
          <w:marBottom w:val="0"/>
          <w:divBdr>
            <w:top w:val="none" w:sz="0" w:space="0" w:color="auto"/>
            <w:left w:val="none" w:sz="0" w:space="0" w:color="auto"/>
            <w:bottom w:val="none" w:sz="0" w:space="0" w:color="auto"/>
            <w:right w:val="none" w:sz="0" w:space="0" w:color="auto"/>
          </w:divBdr>
        </w:div>
        <w:div w:id="1637568897">
          <w:marLeft w:val="274"/>
          <w:marRight w:val="0"/>
          <w:marTop w:val="38"/>
          <w:marBottom w:val="0"/>
          <w:divBdr>
            <w:top w:val="none" w:sz="0" w:space="0" w:color="auto"/>
            <w:left w:val="none" w:sz="0" w:space="0" w:color="auto"/>
            <w:bottom w:val="none" w:sz="0" w:space="0" w:color="auto"/>
            <w:right w:val="none" w:sz="0" w:space="0" w:color="auto"/>
          </w:divBdr>
        </w:div>
      </w:divsChild>
    </w:div>
    <w:div w:id="1218201566">
      <w:bodyDiv w:val="1"/>
      <w:marLeft w:val="0"/>
      <w:marRight w:val="0"/>
      <w:marTop w:val="0"/>
      <w:marBottom w:val="0"/>
      <w:divBdr>
        <w:top w:val="none" w:sz="0" w:space="0" w:color="auto"/>
        <w:left w:val="none" w:sz="0" w:space="0" w:color="auto"/>
        <w:bottom w:val="none" w:sz="0" w:space="0" w:color="auto"/>
        <w:right w:val="none" w:sz="0" w:space="0" w:color="auto"/>
      </w:divBdr>
    </w:div>
    <w:div w:id="1218400197">
      <w:bodyDiv w:val="1"/>
      <w:marLeft w:val="0"/>
      <w:marRight w:val="0"/>
      <w:marTop w:val="0"/>
      <w:marBottom w:val="0"/>
      <w:divBdr>
        <w:top w:val="none" w:sz="0" w:space="0" w:color="auto"/>
        <w:left w:val="none" w:sz="0" w:space="0" w:color="auto"/>
        <w:bottom w:val="none" w:sz="0" w:space="0" w:color="auto"/>
        <w:right w:val="none" w:sz="0" w:space="0" w:color="auto"/>
      </w:divBdr>
      <w:divsChild>
        <w:div w:id="2024822902">
          <w:marLeft w:val="274"/>
          <w:marRight w:val="0"/>
          <w:marTop w:val="38"/>
          <w:marBottom w:val="0"/>
          <w:divBdr>
            <w:top w:val="none" w:sz="0" w:space="0" w:color="auto"/>
            <w:left w:val="none" w:sz="0" w:space="0" w:color="auto"/>
            <w:bottom w:val="none" w:sz="0" w:space="0" w:color="auto"/>
            <w:right w:val="none" w:sz="0" w:space="0" w:color="auto"/>
          </w:divBdr>
        </w:div>
      </w:divsChild>
    </w:div>
    <w:div w:id="1220170505">
      <w:bodyDiv w:val="1"/>
      <w:marLeft w:val="0"/>
      <w:marRight w:val="0"/>
      <w:marTop w:val="0"/>
      <w:marBottom w:val="0"/>
      <w:divBdr>
        <w:top w:val="none" w:sz="0" w:space="0" w:color="auto"/>
        <w:left w:val="none" w:sz="0" w:space="0" w:color="auto"/>
        <w:bottom w:val="none" w:sz="0" w:space="0" w:color="auto"/>
        <w:right w:val="none" w:sz="0" w:space="0" w:color="auto"/>
      </w:divBdr>
      <w:divsChild>
        <w:div w:id="1647196613">
          <w:marLeft w:val="274"/>
          <w:marRight w:val="0"/>
          <w:marTop w:val="38"/>
          <w:marBottom w:val="0"/>
          <w:divBdr>
            <w:top w:val="none" w:sz="0" w:space="0" w:color="auto"/>
            <w:left w:val="none" w:sz="0" w:space="0" w:color="auto"/>
            <w:bottom w:val="none" w:sz="0" w:space="0" w:color="auto"/>
            <w:right w:val="none" w:sz="0" w:space="0" w:color="auto"/>
          </w:divBdr>
        </w:div>
      </w:divsChild>
    </w:div>
    <w:div w:id="1225726137">
      <w:bodyDiv w:val="1"/>
      <w:marLeft w:val="0"/>
      <w:marRight w:val="0"/>
      <w:marTop w:val="0"/>
      <w:marBottom w:val="0"/>
      <w:divBdr>
        <w:top w:val="none" w:sz="0" w:space="0" w:color="auto"/>
        <w:left w:val="none" w:sz="0" w:space="0" w:color="auto"/>
        <w:bottom w:val="none" w:sz="0" w:space="0" w:color="auto"/>
        <w:right w:val="none" w:sz="0" w:space="0" w:color="auto"/>
      </w:divBdr>
      <w:divsChild>
        <w:div w:id="1176383046">
          <w:marLeft w:val="274"/>
          <w:marRight w:val="0"/>
          <w:marTop w:val="0"/>
          <w:marBottom w:val="0"/>
          <w:divBdr>
            <w:top w:val="none" w:sz="0" w:space="0" w:color="auto"/>
            <w:left w:val="none" w:sz="0" w:space="0" w:color="auto"/>
            <w:bottom w:val="none" w:sz="0" w:space="0" w:color="auto"/>
            <w:right w:val="none" w:sz="0" w:space="0" w:color="auto"/>
          </w:divBdr>
        </w:div>
      </w:divsChild>
    </w:div>
    <w:div w:id="1227061602">
      <w:bodyDiv w:val="1"/>
      <w:marLeft w:val="0"/>
      <w:marRight w:val="0"/>
      <w:marTop w:val="0"/>
      <w:marBottom w:val="0"/>
      <w:divBdr>
        <w:top w:val="none" w:sz="0" w:space="0" w:color="auto"/>
        <w:left w:val="none" w:sz="0" w:space="0" w:color="auto"/>
        <w:bottom w:val="none" w:sz="0" w:space="0" w:color="auto"/>
        <w:right w:val="none" w:sz="0" w:space="0" w:color="auto"/>
      </w:divBdr>
    </w:div>
    <w:div w:id="1244754293">
      <w:bodyDiv w:val="1"/>
      <w:marLeft w:val="0"/>
      <w:marRight w:val="0"/>
      <w:marTop w:val="0"/>
      <w:marBottom w:val="0"/>
      <w:divBdr>
        <w:top w:val="none" w:sz="0" w:space="0" w:color="auto"/>
        <w:left w:val="none" w:sz="0" w:space="0" w:color="auto"/>
        <w:bottom w:val="none" w:sz="0" w:space="0" w:color="auto"/>
        <w:right w:val="none" w:sz="0" w:space="0" w:color="auto"/>
      </w:divBdr>
      <w:divsChild>
        <w:div w:id="1130130018">
          <w:marLeft w:val="274"/>
          <w:marRight w:val="0"/>
          <w:marTop w:val="38"/>
          <w:marBottom w:val="0"/>
          <w:divBdr>
            <w:top w:val="none" w:sz="0" w:space="0" w:color="auto"/>
            <w:left w:val="none" w:sz="0" w:space="0" w:color="auto"/>
            <w:bottom w:val="none" w:sz="0" w:space="0" w:color="auto"/>
            <w:right w:val="none" w:sz="0" w:space="0" w:color="auto"/>
          </w:divBdr>
        </w:div>
      </w:divsChild>
    </w:div>
    <w:div w:id="1255287261">
      <w:bodyDiv w:val="1"/>
      <w:marLeft w:val="0"/>
      <w:marRight w:val="0"/>
      <w:marTop w:val="0"/>
      <w:marBottom w:val="0"/>
      <w:divBdr>
        <w:top w:val="none" w:sz="0" w:space="0" w:color="auto"/>
        <w:left w:val="none" w:sz="0" w:space="0" w:color="auto"/>
        <w:bottom w:val="none" w:sz="0" w:space="0" w:color="auto"/>
        <w:right w:val="none" w:sz="0" w:space="0" w:color="auto"/>
      </w:divBdr>
      <w:divsChild>
        <w:div w:id="252977143">
          <w:marLeft w:val="274"/>
          <w:marRight w:val="0"/>
          <w:marTop w:val="38"/>
          <w:marBottom w:val="0"/>
          <w:divBdr>
            <w:top w:val="none" w:sz="0" w:space="0" w:color="auto"/>
            <w:left w:val="none" w:sz="0" w:space="0" w:color="auto"/>
            <w:bottom w:val="none" w:sz="0" w:space="0" w:color="auto"/>
            <w:right w:val="none" w:sz="0" w:space="0" w:color="auto"/>
          </w:divBdr>
        </w:div>
      </w:divsChild>
    </w:div>
    <w:div w:id="1258638836">
      <w:bodyDiv w:val="1"/>
      <w:marLeft w:val="0"/>
      <w:marRight w:val="0"/>
      <w:marTop w:val="0"/>
      <w:marBottom w:val="0"/>
      <w:divBdr>
        <w:top w:val="none" w:sz="0" w:space="0" w:color="auto"/>
        <w:left w:val="none" w:sz="0" w:space="0" w:color="auto"/>
        <w:bottom w:val="none" w:sz="0" w:space="0" w:color="auto"/>
        <w:right w:val="none" w:sz="0" w:space="0" w:color="auto"/>
      </w:divBdr>
      <w:divsChild>
        <w:div w:id="852960720">
          <w:marLeft w:val="994"/>
          <w:marRight w:val="0"/>
          <w:marTop w:val="0"/>
          <w:marBottom w:val="0"/>
          <w:divBdr>
            <w:top w:val="none" w:sz="0" w:space="0" w:color="auto"/>
            <w:left w:val="none" w:sz="0" w:space="0" w:color="auto"/>
            <w:bottom w:val="none" w:sz="0" w:space="0" w:color="auto"/>
            <w:right w:val="none" w:sz="0" w:space="0" w:color="auto"/>
          </w:divBdr>
        </w:div>
        <w:div w:id="1103916929">
          <w:marLeft w:val="994"/>
          <w:marRight w:val="0"/>
          <w:marTop w:val="0"/>
          <w:marBottom w:val="0"/>
          <w:divBdr>
            <w:top w:val="none" w:sz="0" w:space="0" w:color="auto"/>
            <w:left w:val="none" w:sz="0" w:space="0" w:color="auto"/>
            <w:bottom w:val="none" w:sz="0" w:space="0" w:color="auto"/>
            <w:right w:val="none" w:sz="0" w:space="0" w:color="auto"/>
          </w:divBdr>
        </w:div>
        <w:div w:id="1246919781">
          <w:marLeft w:val="274"/>
          <w:marRight w:val="0"/>
          <w:marTop w:val="0"/>
          <w:marBottom w:val="0"/>
          <w:divBdr>
            <w:top w:val="none" w:sz="0" w:space="0" w:color="auto"/>
            <w:left w:val="none" w:sz="0" w:space="0" w:color="auto"/>
            <w:bottom w:val="none" w:sz="0" w:space="0" w:color="auto"/>
            <w:right w:val="none" w:sz="0" w:space="0" w:color="auto"/>
          </w:divBdr>
        </w:div>
        <w:div w:id="1423574759">
          <w:marLeft w:val="274"/>
          <w:marRight w:val="0"/>
          <w:marTop w:val="0"/>
          <w:marBottom w:val="0"/>
          <w:divBdr>
            <w:top w:val="none" w:sz="0" w:space="0" w:color="auto"/>
            <w:left w:val="none" w:sz="0" w:space="0" w:color="auto"/>
            <w:bottom w:val="none" w:sz="0" w:space="0" w:color="auto"/>
            <w:right w:val="none" w:sz="0" w:space="0" w:color="auto"/>
          </w:divBdr>
        </w:div>
      </w:divsChild>
    </w:div>
    <w:div w:id="1268124208">
      <w:bodyDiv w:val="1"/>
      <w:marLeft w:val="0"/>
      <w:marRight w:val="0"/>
      <w:marTop w:val="0"/>
      <w:marBottom w:val="0"/>
      <w:divBdr>
        <w:top w:val="none" w:sz="0" w:space="0" w:color="auto"/>
        <w:left w:val="none" w:sz="0" w:space="0" w:color="auto"/>
        <w:bottom w:val="none" w:sz="0" w:space="0" w:color="auto"/>
        <w:right w:val="none" w:sz="0" w:space="0" w:color="auto"/>
      </w:divBdr>
    </w:div>
    <w:div w:id="1268538948">
      <w:bodyDiv w:val="1"/>
      <w:marLeft w:val="0"/>
      <w:marRight w:val="0"/>
      <w:marTop w:val="0"/>
      <w:marBottom w:val="0"/>
      <w:divBdr>
        <w:top w:val="none" w:sz="0" w:space="0" w:color="auto"/>
        <w:left w:val="none" w:sz="0" w:space="0" w:color="auto"/>
        <w:bottom w:val="none" w:sz="0" w:space="0" w:color="auto"/>
        <w:right w:val="none" w:sz="0" w:space="0" w:color="auto"/>
      </w:divBdr>
    </w:div>
    <w:div w:id="1269194499">
      <w:bodyDiv w:val="1"/>
      <w:marLeft w:val="0"/>
      <w:marRight w:val="0"/>
      <w:marTop w:val="0"/>
      <w:marBottom w:val="0"/>
      <w:divBdr>
        <w:top w:val="none" w:sz="0" w:space="0" w:color="auto"/>
        <w:left w:val="none" w:sz="0" w:space="0" w:color="auto"/>
        <w:bottom w:val="none" w:sz="0" w:space="0" w:color="auto"/>
        <w:right w:val="none" w:sz="0" w:space="0" w:color="auto"/>
      </w:divBdr>
      <w:divsChild>
        <w:div w:id="247811597">
          <w:marLeft w:val="274"/>
          <w:marRight w:val="0"/>
          <w:marTop w:val="38"/>
          <w:marBottom w:val="0"/>
          <w:divBdr>
            <w:top w:val="none" w:sz="0" w:space="0" w:color="auto"/>
            <w:left w:val="none" w:sz="0" w:space="0" w:color="auto"/>
            <w:bottom w:val="none" w:sz="0" w:space="0" w:color="auto"/>
            <w:right w:val="none" w:sz="0" w:space="0" w:color="auto"/>
          </w:divBdr>
        </w:div>
        <w:div w:id="2133094076">
          <w:marLeft w:val="274"/>
          <w:marRight w:val="0"/>
          <w:marTop w:val="38"/>
          <w:marBottom w:val="0"/>
          <w:divBdr>
            <w:top w:val="none" w:sz="0" w:space="0" w:color="auto"/>
            <w:left w:val="none" w:sz="0" w:space="0" w:color="auto"/>
            <w:bottom w:val="none" w:sz="0" w:space="0" w:color="auto"/>
            <w:right w:val="none" w:sz="0" w:space="0" w:color="auto"/>
          </w:divBdr>
        </w:div>
      </w:divsChild>
    </w:div>
    <w:div w:id="1269586806">
      <w:bodyDiv w:val="1"/>
      <w:marLeft w:val="0"/>
      <w:marRight w:val="0"/>
      <w:marTop w:val="0"/>
      <w:marBottom w:val="0"/>
      <w:divBdr>
        <w:top w:val="none" w:sz="0" w:space="0" w:color="auto"/>
        <w:left w:val="none" w:sz="0" w:space="0" w:color="auto"/>
        <w:bottom w:val="none" w:sz="0" w:space="0" w:color="auto"/>
        <w:right w:val="none" w:sz="0" w:space="0" w:color="auto"/>
      </w:divBdr>
      <w:divsChild>
        <w:div w:id="1827941181">
          <w:marLeft w:val="274"/>
          <w:marRight w:val="0"/>
          <w:marTop w:val="38"/>
          <w:marBottom w:val="0"/>
          <w:divBdr>
            <w:top w:val="none" w:sz="0" w:space="0" w:color="auto"/>
            <w:left w:val="none" w:sz="0" w:space="0" w:color="auto"/>
            <w:bottom w:val="none" w:sz="0" w:space="0" w:color="auto"/>
            <w:right w:val="none" w:sz="0" w:space="0" w:color="auto"/>
          </w:divBdr>
        </w:div>
        <w:div w:id="1960069811">
          <w:marLeft w:val="274"/>
          <w:marRight w:val="0"/>
          <w:marTop w:val="38"/>
          <w:marBottom w:val="0"/>
          <w:divBdr>
            <w:top w:val="none" w:sz="0" w:space="0" w:color="auto"/>
            <w:left w:val="none" w:sz="0" w:space="0" w:color="auto"/>
            <w:bottom w:val="none" w:sz="0" w:space="0" w:color="auto"/>
            <w:right w:val="none" w:sz="0" w:space="0" w:color="auto"/>
          </w:divBdr>
        </w:div>
      </w:divsChild>
    </w:div>
    <w:div w:id="1275945757">
      <w:bodyDiv w:val="1"/>
      <w:marLeft w:val="0"/>
      <w:marRight w:val="0"/>
      <w:marTop w:val="0"/>
      <w:marBottom w:val="0"/>
      <w:divBdr>
        <w:top w:val="none" w:sz="0" w:space="0" w:color="auto"/>
        <w:left w:val="none" w:sz="0" w:space="0" w:color="auto"/>
        <w:bottom w:val="none" w:sz="0" w:space="0" w:color="auto"/>
        <w:right w:val="none" w:sz="0" w:space="0" w:color="auto"/>
      </w:divBdr>
      <w:divsChild>
        <w:div w:id="620768661">
          <w:marLeft w:val="274"/>
          <w:marRight w:val="0"/>
          <w:marTop w:val="38"/>
          <w:marBottom w:val="0"/>
          <w:divBdr>
            <w:top w:val="none" w:sz="0" w:space="0" w:color="auto"/>
            <w:left w:val="none" w:sz="0" w:space="0" w:color="auto"/>
            <w:bottom w:val="none" w:sz="0" w:space="0" w:color="auto"/>
            <w:right w:val="none" w:sz="0" w:space="0" w:color="auto"/>
          </w:divBdr>
        </w:div>
      </w:divsChild>
    </w:div>
    <w:div w:id="1276519884">
      <w:bodyDiv w:val="1"/>
      <w:marLeft w:val="0"/>
      <w:marRight w:val="0"/>
      <w:marTop w:val="0"/>
      <w:marBottom w:val="0"/>
      <w:divBdr>
        <w:top w:val="none" w:sz="0" w:space="0" w:color="auto"/>
        <w:left w:val="none" w:sz="0" w:space="0" w:color="auto"/>
        <w:bottom w:val="none" w:sz="0" w:space="0" w:color="auto"/>
        <w:right w:val="none" w:sz="0" w:space="0" w:color="auto"/>
      </w:divBdr>
    </w:div>
    <w:div w:id="1280600943">
      <w:bodyDiv w:val="1"/>
      <w:marLeft w:val="0"/>
      <w:marRight w:val="0"/>
      <w:marTop w:val="0"/>
      <w:marBottom w:val="0"/>
      <w:divBdr>
        <w:top w:val="none" w:sz="0" w:space="0" w:color="auto"/>
        <w:left w:val="none" w:sz="0" w:space="0" w:color="auto"/>
        <w:bottom w:val="none" w:sz="0" w:space="0" w:color="auto"/>
        <w:right w:val="none" w:sz="0" w:space="0" w:color="auto"/>
      </w:divBdr>
      <w:divsChild>
        <w:div w:id="1659379119">
          <w:marLeft w:val="274"/>
          <w:marRight w:val="0"/>
          <w:marTop w:val="38"/>
          <w:marBottom w:val="0"/>
          <w:divBdr>
            <w:top w:val="none" w:sz="0" w:space="0" w:color="auto"/>
            <w:left w:val="none" w:sz="0" w:space="0" w:color="auto"/>
            <w:bottom w:val="none" w:sz="0" w:space="0" w:color="auto"/>
            <w:right w:val="none" w:sz="0" w:space="0" w:color="auto"/>
          </w:divBdr>
        </w:div>
      </w:divsChild>
    </w:div>
    <w:div w:id="1281037227">
      <w:bodyDiv w:val="1"/>
      <w:marLeft w:val="0"/>
      <w:marRight w:val="0"/>
      <w:marTop w:val="0"/>
      <w:marBottom w:val="0"/>
      <w:divBdr>
        <w:top w:val="none" w:sz="0" w:space="0" w:color="auto"/>
        <w:left w:val="none" w:sz="0" w:space="0" w:color="auto"/>
        <w:bottom w:val="none" w:sz="0" w:space="0" w:color="auto"/>
        <w:right w:val="none" w:sz="0" w:space="0" w:color="auto"/>
      </w:divBdr>
    </w:div>
    <w:div w:id="1287466543">
      <w:bodyDiv w:val="1"/>
      <w:marLeft w:val="0"/>
      <w:marRight w:val="0"/>
      <w:marTop w:val="0"/>
      <w:marBottom w:val="0"/>
      <w:divBdr>
        <w:top w:val="none" w:sz="0" w:space="0" w:color="auto"/>
        <w:left w:val="none" w:sz="0" w:space="0" w:color="auto"/>
        <w:bottom w:val="none" w:sz="0" w:space="0" w:color="auto"/>
        <w:right w:val="none" w:sz="0" w:space="0" w:color="auto"/>
      </w:divBdr>
      <w:divsChild>
        <w:div w:id="1507670511">
          <w:marLeft w:val="0"/>
          <w:marRight w:val="0"/>
          <w:marTop w:val="0"/>
          <w:marBottom w:val="0"/>
          <w:divBdr>
            <w:top w:val="none" w:sz="0" w:space="0" w:color="auto"/>
            <w:left w:val="none" w:sz="0" w:space="0" w:color="auto"/>
            <w:bottom w:val="none" w:sz="0" w:space="0" w:color="auto"/>
            <w:right w:val="none" w:sz="0" w:space="0" w:color="auto"/>
          </w:divBdr>
          <w:divsChild>
            <w:div w:id="415057273">
              <w:marLeft w:val="0"/>
              <w:marRight w:val="60"/>
              <w:marTop w:val="0"/>
              <w:marBottom w:val="0"/>
              <w:divBdr>
                <w:top w:val="none" w:sz="0" w:space="0" w:color="auto"/>
                <w:left w:val="none" w:sz="0" w:space="0" w:color="auto"/>
                <w:bottom w:val="none" w:sz="0" w:space="0" w:color="auto"/>
                <w:right w:val="none" w:sz="0" w:space="0" w:color="auto"/>
              </w:divBdr>
              <w:divsChild>
                <w:div w:id="2063094136">
                  <w:marLeft w:val="0"/>
                  <w:marRight w:val="0"/>
                  <w:marTop w:val="0"/>
                  <w:marBottom w:val="120"/>
                  <w:divBdr>
                    <w:top w:val="single" w:sz="6" w:space="0" w:color="A0A0A0"/>
                    <w:left w:val="single" w:sz="6" w:space="0" w:color="B9B9B9"/>
                    <w:bottom w:val="single" w:sz="6" w:space="0" w:color="B9B9B9"/>
                    <w:right w:val="single" w:sz="6" w:space="0" w:color="B9B9B9"/>
                  </w:divBdr>
                  <w:divsChild>
                    <w:div w:id="802649895">
                      <w:marLeft w:val="0"/>
                      <w:marRight w:val="0"/>
                      <w:marTop w:val="0"/>
                      <w:marBottom w:val="0"/>
                      <w:divBdr>
                        <w:top w:val="none" w:sz="0" w:space="0" w:color="auto"/>
                        <w:left w:val="none" w:sz="0" w:space="0" w:color="auto"/>
                        <w:bottom w:val="none" w:sz="0" w:space="0" w:color="auto"/>
                        <w:right w:val="none" w:sz="0" w:space="0" w:color="auto"/>
                      </w:divBdr>
                    </w:div>
                    <w:div w:id="126507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980911">
          <w:marLeft w:val="0"/>
          <w:marRight w:val="0"/>
          <w:marTop w:val="0"/>
          <w:marBottom w:val="0"/>
          <w:divBdr>
            <w:top w:val="none" w:sz="0" w:space="0" w:color="auto"/>
            <w:left w:val="none" w:sz="0" w:space="0" w:color="auto"/>
            <w:bottom w:val="none" w:sz="0" w:space="0" w:color="auto"/>
            <w:right w:val="none" w:sz="0" w:space="0" w:color="auto"/>
          </w:divBdr>
          <w:divsChild>
            <w:div w:id="721562580">
              <w:marLeft w:val="60"/>
              <w:marRight w:val="0"/>
              <w:marTop w:val="0"/>
              <w:marBottom w:val="0"/>
              <w:divBdr>
                <w:top w:val="none" w:sz="0" w:space="0" w:color="auto"/>
                <w:left w:val="none" w:sz="0" w:space="0" w:color="auto"/>
                <w:bottom w:val="none" w:sz="0" w:space="0" w:color="auto"/>
                <w:right w:val="none" w:sz="0" w:space="0" w:color="auto"/>
              </w:divBdr>
              <w:divsChild>
                <w:div w:id="63183615">
                  <w:marLeft w:val="0"/>
                  <w:marRight w:val="0"/>
                  <w:marTop w:val="0"/>
                  <w:marBottom w:val="0"/>
                  <w:divBdr>
                    <w:top w:val="none" w:sz="0" w:space="0" w:color="auto"/>
                    <w:left w:val="none" w:sz="0" w:space="0" w:color="auto"/>
                    <w:bottom w:val="none" w:sz="0" w:space="0" w:color="auto"/>
                    <w:right w:val="none" w:sz="0" w:space="0" w:color="auto"/>
                  </w:divBdr>
                  <w:divsChild>
                    <w:div w:id="690491737">
                      <w:marLeft w:val="0"/>
                      <w:marRight w:val="0"/>
                      <w:marTop w:val="0"/>
                      <w:marBottom w:val="120"/>
                      <w:divBdr>
                        <w:top w:val="single" w:sz="6" w:space="0" w:color="F5F5F5"/>
                        <w:left w:val="single" w:sz="6" w:space="0" w:color="F5F5F5"/>
                        <w:bottom w:val="single" w:sz="6" w:space="0" w:color="F5F5F5"/>
                        <w:right w:val="single" w:sz="6" w:space="0" w:color="F5F5F5"/>
                      </w:divBdr>
                      <w:divsChild>
                        <w:div w:id="1956715383">
                          <w:marLeft w:val="0"/>
                          <w:marRight w:val="0"/>
                          <w:marTop w:val="0"/>
                          <w:marBottom w:val="0"/>
                          <w:divBdr>
                            <w:top w:val="none" w:sz="0" w:space="0" w:color="auto"/>
                            <w:left w:val="none" w:sz="0" w:space="0" w:color="auto"/>
                            <w:bottom w:val="none" w:sz="0" w:space="0" w:color="auto"/>
                            <w:right w:val="none" w:sz="0" w:space="0" w:color="auto"/>
                          </w:divBdr>
                          <w:divsChild>
                            <w:div w:id="23339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154002">
      <w:bodyDiv w:val="1"/>
      <w:marLeft w:val="0"/>
      <w:marRight w:val="0"/>
      <w:marTop w:val="0"/>
      <w:marBottom w:val="0"/>
      <w:divBdr>
        <w:top w:val="none" w:sz="0" w:space="0" w:color="auto"/>
        <w:left w:val="none" w:sz="0" w:space="0" w:color="auto"/>
        <w:bottom w:val="none" w:sz="0" w:space="0" w:color="auto"/>
        <w:right w:val="none" w:sz="0" w:space="0" w:color="auto"/>
      </w:divBdr>
    </w:div>
    <w:div w:id="1309894117">
      <w:bodyDiv w:val="1"/>
      <w:marLeft w:val="0"/>
      <w:marRight w:val="0"/>
      <w:marTop w:val="0"/>
      <w:marBottom w:val="0"/>
      <w:divBdr>
        <w:top w:val="none" w:sz="0" w:space="0" w:color="auto"/>
        <w:left w:val="none" w:sz="0" w:space="0" w:color="auto"/>
        <w:bottom w:val="none" w:sz="0" w:space="0" w:color="auto"/>
        <w:right w:val="none" w:sz="0" w:space="0" w:color="auto"/>
      </w:divBdr>
      <w:divsChild>
        <w:div w:id="1657881857">
          <w:marLeft w:val="274"/>
          <w:marRight w:val="0"/>
          <w:marTop w:val="38"/>
          <w:marBottom w:val="0"/>
          <w:divBdr>
            <w:top w:val="none" w:sz="0" w:space="0" w:color="auto"/>
            <w:left w:val="none" w:sz="0" w:space="0" w:color="auto"/>
            <w:bottom w:val="none" w:sz="0" w:space="0" w:color="auto"/>
            <w:right w:val="none" w:sz="0" w:space="0" w:color="auto"/>
          </w:divBdr>
        </w:div>
      </w:divsChild>
    </w:div>
    <w:div w:id="1310161806">
      <w:bodyDiv w:val="1"/>
      <w:marLeft w:val="0"/>
      <w:marRight w:val="0"/>
      <w:marTop w:val="0"/>
      <w:marBottom w:val="0"/>
      <w:divBdr>
        <w:top w:val="none" w:sz="0" w:space="0" w:color="auto"/>
        <w:left w:val="none" w:sz="0" w:space="0" w:color="auto"/>
        <w:bottom w:val="none" w:sz="0" w:space="0" w:color="auto"/>
        <w:right w:val="none" w:sz="0" w:space="0" w:color="auto"/>
      </w:divBdr>
      <w:divsChild>
        <w:div w:id="635524928">
          <w:marLeft w:val="274"/>
          <w:marRight w:val="0"/>
          <w:marTop w:val="38"/>
          <w:marBottom w:val="0"/>
          <w:divBdr>
            <w:top w:val="none" w:sz="0" w:space="0" w:color="auto"/>
            <w:left w:val="none" w:sz="0" w:space="0" w:color="auto"/>
            <w:bottom w:val="none" w:sz="0" w:space="0" w:color="auto"/>
            <w:right w:val="none" w:sz="0" w:space="0" w:color="auto"/>
          </w:divBdr>
        </w:div>
        <w:div w:id="1235581465">
          <w:marLeft w:val="274"/>
          <w:marRight w:val="0"/>
          <w:marTop w:val="38"/>
          <w:marBottom w:val="0"/>
          <w:divBdr>
            <w:top w:val="none" w:sz="0" w:space="0" w:color="auto"/>
            <w:left w:val="none" w:sz="0" w:space="0" w:color="auto"/>
            <w:bottom w:val="none" w:sz="0" w:space="0" w:color="auto"/>
            <w:right w:val="none" w:sz="0" w:space="0" w:color="auto"/>
          </w:divBdr>
        </w:div>
      </w:divsChild>
    </w:div>
    <w:div w:id="1313294612">
      <w:bodyDiv w:val="1"/>
      <w:marLeft w:val="0"/>
      <w:marRight w:val="0"/>
      <w:marTop w:val="0"/>
      <w:marBottom w:val="0"/>
      <w:divBdr>
        <w:top w:val="none" w:sz="0" w:space="0" w:color="auto"/>
        <w:left w:val="none" w:sz="0" w:space="0" w:color="auto"/>
        <w:bottom w:val="none" w:sz="0" w:space="0" w:color="auto"/>
        <w:right w:val="none" w:sz="0" w:space="0" w:color="auto"/>
      </w:divBdr>
      <w:divsChild>
        <w:div w:id="1115716515">
          <w:marLeft w:val="274"/>
          <w:marRight w:val="0"/>
          <w:marTop w:val="38"/>
          <w:marBottom w:val="0"/>
          <w:divBdr>
            <w:top w:val="none" w:sz="0" w:space="0" w:color="auto"/>
            <w:left w:val="none" w:sz="0" w:space="0" w:color="auto"/>
            <w:bottom w:val="none" w:sz="0" w:space="0" w:color="auto"/>
            <w:right w:val="none" w:sz="0" w:space="0" w:color="auto"/>
          </w:divBdr>
        </w:div>
      </w:divsChild>
    </w:div>
    <w:div w:id="1314481238">
      <w:bodyDiv w:val="1"/>
      <w:marLeft w:val="0"/>
      <w:marRight w:val="0"/>
      <w:marTop w:val="0"/>
      <w:marBottom w:val="0"/>
      <w:divBdr>
        <w:top w:val="none" w:sz="0" w:space="0" w:color="auto"/>
        <w:left w:val="none" w:sz="0" w:space="0" w:color="auto"/>
        <w:bottom w:val="none" w:sz="0" w:space="0" w:color="auto"/>
        <w:right w:val="none" w:sz="0" w:space="0" w:color="auto"/>
      </w:divBdr>
    </w:div>
    <w:div w:id="1330912092">
      <w:bodyDiv w:val="1"/>
      <w:marLeft w:val="0"/>
      <w:marRight w:val="0"/>
      <w:marTop w:val="0"/>
      <w:marBottom w:val="0"/>
      <w:divBdr>
        <w:top w:val="none" w:sz="0" w:space="0" w:color="auto"/>
        <w:left w:val="none" w:sz="0" w:space="0" w:color="auto"/>
        <w:bottom w:val="none" w:sz="0" w:space="0" w:color="auto"/>
        <w:right w:val="none" w:sz="0" w:space="0" w:color="auto"/>
      </w:divBdr>
      <w:divsChild>
        <w:div w:id="1275794419">
          <w:marLeft w:val="274"/>
          <w:marRight w:val="0"/>
          <w:marTop w:val="38"/>
          <w:marBottom w:val="0"/>
          <w:divBdr>
            <w:top w:val="none" w:sz="0" w:space="0" w:color="auto"/>
            <w:left w:val="none" w:sz="0" w:space="0" w:color="auto"/>
            <w:bottom w:val="none" w:sz="0" w:space="0" w:color="auto"/>
            <w:right w:val="none" w:sz="0" w:space="0" w:color="auto"/>
          </w:divBdr>
        </w:div>
      </w:divsChild>
    </w:div>
    <w:div w:id="1353216466">
      <w:bodyDiv w:val="1"/>
      <w:marLeft w:val="0"/>
      <w:marRight w:val="0"/>
      <w:marTop w:val="0"/>
      <w:marBottom w:val="0"/>
      <w:divBdr>
        <w:top w:val="none" w:sz="0" w:space="0" w:color="auto"/>
        <w:left w:val="none" w:sz="0" w:space="0" w:color="auto"/>
        <w:bottom w:val="none" w:sz="0" w:space="0" w:color="auto"/>
        <w:right w:val="none" w:sz="0" w:space="0" w:color="auto"/>
      </w:divBdr>
      <w:divsChild>
        <w:div w:id="502623652">
          <w:marLeft w:val="274"/>
          <w:marRight w:val="0"/>
          <w:marTop w:val="38"/>
          <w:marBottom w:val="0"/>
          <w:divBdr>
            <w:top w:val="none" w:sz="0" w:space="0" w:color="auto"/>
            <w:left w:val="none" w:sz="0" w:space="0" w:color="auto"/>
            <w:bottom w:val="none" w:sz="0" w:space="0" w:color="auto"/>
            <w:right w:val="none" w:sz="0" w:space="0" w:color="auto"/>
          </w:divBdr>
        </w:div>
      </w:divsChild>
    </w:div>
    <w:div w:id="1353610607">
      <w:bodyDiv w:val="1"/>
      <w:marLeft w:val="0"/>
      <w:marRight w:val="0"/>
      <w:marTop w:val="0"/>
      <w:marBottom w:val="0"/>
      <w:divBdr>
        <w:top w:val="none" w:sz="0" w:space="0" w:color="auto"/>
        <w:left w:val="none" w:sz="0" w:space="0" w:color="auto"/>
        <w:bottom w:val="none" w:sz="0" w:space="0" w:color="auto"/>
        <w:right w:val="none" w:sz="0" w:space="0" w:color="auto"/>
      </w:divBdr>
    </w:div>
    <w:div w:id="1359697839">
      <w:bodyDiv w:val="1"/>
      <w:marLeft w:val="0"/>
      <w:marRight w:val="0"/>
      <w:marTop w:val="0"/>
      <w:marBottom w:val="0"/>
      <w:divBdr>
        <w:top w:val="none" w:sz="0" w:space="0" w:color="auto"/>
        <w:left w:val="none" w:sz="0" w:space="0" w:color="auto"/>
        <w:bottom w:val="none" w:sz="0" w:space="0" w:color="auto"/>
        <w:right w:val="none" w:sz="0" w:space="0" w:color="auto"/>
      </w:divBdr>
      <w:divsChild>
        <w:div w:id="1126001100">
          <w:marLeft w:val="274"/>
          <w:marRight w:val="0"/>
          <w:marTop w:val="38"/>
          <w:marBottom w:val="0"/>
          <w:divBdr>
            <w:top w:val="none" w:sz="0" w:space="0" w:color="auto"/>
            <w:left w:val="none" w:sz="0" w:space="0" w:color="auto"/>
            <w:bottom w:val="none" w:sz="0" w:space="0" w:color="auto"/>
            <w:right w:val="none" w:sz="0" w:space="0" w:color="auto"/>
          </w:divBdr>
        </w:div>
      </w:divsChild>
    </w:div>
    <w:div w:id="1370570027">
      <w:bodyDiv w:val="1"/>
      <w:marLeft w:val="0"/>
      <w:marRight w:val="0"/>
      <w:marTop w:val="0"/>
      <w:marBottom w:val="0"/>
      <w:divBdr>
        <w:top w:val="none" w:sz="0" w:space="0" w:color="auto"/>
        <w:left w:val="none" w:sz="0" w:space="0" w:color="auto"/>
        <w:bottom w:val="none" w:sz="0" w:space="0" w:color="auto"/>
        <w:right w:val="none" w:sz="0" w:space="0" w:color="auto"/>
      </w:divBdr>
      <w:divsChild>
        <w:div w:id="589513064">
          <w:marLeft w:val="274"/>
          <w:marRight w:val="0"/>
          <w:marTop w:val="38"/>
          <w:marBottom w:val="0"/>
          <w:divBdr>
            <w:top w:val="none" w:sz="0" w:space="0" w:color="auto"/>
            <w:left w:val="none" w:sz="0" w:space="0" w:color="auto"/>
            <w:bottom w:val="none" w:sz="0" w:space="0" w:color="auto"/>
            <w:right w:val="none" w:sz="0" w:space="0" w:color="auto"/>
          </w:divBdr>
        </w:div>
      </w:divsChild>
    </w:div>
    <w:div w:id="1374308592">
      <w:bodyDiv w:val="1"/>
      <w:marLeft w:val="0"/>
      <w:marRight w:val="0"/>
      <w:marTop w:val="0"/>
      <w:marBottom w:val="0"/>
      <w:divBdr>
        <w:top w:val="none" w:sz="0" w:space="0" w:color="auto"/>
        <w:left w:val="none" w:sz="0" w:space="0" w:color="auto"/>
        <w:bottom w:val="none" w:sz="0" w:space="0" w:color="auto"/>
        <w:right w:val="none" w:sz="0" w:space="0" w:color="auto"/>
      </w:divBdr>
      <w:divsChild>
        <w:div w:id="1869414929">
          <w:marLeft w:val="274"/>
          <w:marRight w:val="0"/>
          <w:marTop w:val="38"/>
          <w:marBottom w:val="0"/>
          <w:divBdr>
            <w:top w:val="none" w:sz="0" w:space="0" w:color="auto"/>
            <w:left w:val="none" w:sz="0" w:space="0" w:color="auto"/>
            <w:bottom w:val="none" w:sz="0" w:space="0" w:color="auto"/>
            <w:right w:val="none" w:sz="0" w:space="0" w:color="auto"/>
          </w:divBdr>
        </w:div>
      </w:divsChild>
    </w:div>
    <w:div w:id="1385760066">
      <w:bodyDiv w:val="1"/>
      <w:marLeft w:val="0"/>
      <w:marRight w:val="0"/>
      <w:marTop w:val="0"/>
      <w:marBottom w:val="0"/>
      <w:divBdr>
        <w:top w:val="none" w:sz="0" w:space="0" w:color="auto"/>
        <w:left w:val="none" w:sz="0" w:space="0" w:color="auto"/>
        <w:bottom w:val="none" w:sz="0" w:space="0" w:color="auto"/>
        <w:right w:val="none" w:sz="0" w:space="0" w:color="auto"/>
      </w:divBdr>
      <w:divsChild>
        <w:div w:id="91558568">
          <w:marLeft w:val="274"/>
          <w:marRight w:val="0"/>
          <w:marTop w:val="38"/>
          <w:marBottom w:val="0"/>
          <w:divBdr>
            <w:top w:val="none" w:sz="0" w:space="0" w:color="auto"/>
            <w:left w:val="none" w:sz="0" w:space="0" w:color="auto"/>
            <w:bottom w:val="none" w:sz="0" w:space="0" w:color="auto"/>
            <w:right w:val="none" w:sz="0" w:space="0" w:color="auto"/>
          </w:divBdr>
        </w:div>
      </w:divsChild>
    </w:div>
    <w:div w:id="1391150803">
      <w:bodyDiv w:val="1"/>
      <w:marLeft w:val="0"/>
      <w:marRight w:val="0"/>
      <w:marTop w:val="0"/>
      <w:marBottom w:val="0"/>
      <w:divBdr>
        <w:top w:val="none" w:sz="0" w:space="0" w:color="auto"/>
        <w:left w:val="none" w:sz="0" w:space="0" w:color="auto"/>
        <w:bottom w:val="none" w:sz="0" w:space="0" w:color="auto"/>
        <w:right w:val="none" w:sz="0" w:space="0" w:color="auto"/>
      </w:divBdr>
    </w:div>
    <w:div w:id="1404528633">
      <w:bodyDiv w:val="1"/>
      <w:marLeft w:val="0"/>
      <w:marRight w:val="0"/>
      <w:marTop w:val="0"/>
      <w:marBottom w:val="0"/>
      <w:divBdr>
        <w:top w:val="none" w:sz="0" w:space="0" w:color="auto"/>
        <w:left w:val="none" w:sz="0" w:space="0" w:color="auto"/>
        <w:bottom w:val="none" w:sz="0" w:space="0" w:color="auto"/>
        <w:right w:val="none" w:sz="0" w:space="0" w:color="auto"/>
      </w:divBdr>
    </w:div>
    <w:div w:id="1405297681">
      <w:bodyDiv w:val="1"/>
      <w:marLeft w:val="0"/>
      <w:marRight w:val="0"/>
      <w:marTop w:val="0"/>
      <w:marBottom w:val="0"/>
      <w:divBdr>
        <w:top w:val="none" w:sz="0" w:space="0" w:color="auto"/>
        <w:left w:val="none" w:sz="0" w:space="0" w:color="auto"/>
        <w:bottom w:val="none" w:sz="0" w:space="0" w:color="auto"/>
        <w:right w:val="none" w:sz="0" w:space="0" w:color="auto"/>
      </w:divBdr>
      <w:divsChild>
        <w:div w:id="17393653">
          <w:marLeft w:val="274"/>
          <w:marRight w:val="0"/>
          <w:marTop w:val="38"/>
          <w:marBottom w:val="0"/>
          <w:divBdr>
            <w:top w:val="none" w:sz="0" w:space="0" w:color="auto"/>
            <w:left w:val="none" w:sz="0" w:space="0" w:color="auto"/>
            <w:bottom w:val="none" w:sz="0" w:space="0" w:color="auto"/>
            <w:right w:val="none" w:sz="0" w:space="0" w:color="auto"/>
          </w:divBdr>
        </w:div>
      </w:divsChild>
    </w:div>
    <w:div w:id="1408041787">
      <w:bodyDiv w:val="1"/>
      <w:marLeft w:val="0"/>
      <w:marRight w:val="0"/>
      <w:marTop w:val="0"/>
      <w:marBottom w:val="0"/>
      <w:divBdr>
        <w:top w:val="none" w:sz="0" w:space="0" w:color="auto"/>
        <w:left w:val="none" w:sz="0" w:space="0" w:color="auto"/>
        <w:bottom w:val="none" w:sz="0" w:space="0" w:color="auto"/>
        <w:right w:val="none" w:sz="0" w:space="0" w:color="auto"/>
      </w:divBdr>
      <w:divsChild>
        <w:div w:id="1196506672">
          <w:marLeft w:val="274"/>
          <w:marRight w:val="0"/>
          <w:marTop w:val="38"/>
          <w:marBottom w:val="0"/>
          <w:divBdr>
            <w:top w:val="none" w:sz="0" w:space="0" w:color="auto"/>
            <w:left w:val="none" w:sz="0" w:space="0" w:color="auto"/>
            <w:bottom w:val="none" w:sz="0" w:space="0" w:color="auto"/>
            <w:right w:val="none" w:sz="0" w:space="0" w:color="auto"/>
          </w:divBdr>
        </w:div>
      </w:divsChild>
    </w:div>
    <w:div w:id="1409033279">
      <w:bodyDiv w:val="1"/>
      <w:marLeft w:val="0"/>
      <w:marRight w:val="0"/>
      <w:marTop w:val="0"/>
      <w:marBottom w:val="0"/>
      <w:divBdr>
        <w:top w:val="none" w:sz="0" w:space="0" w:color="auto"/>
        <w:left w:val="none" w:sz="0" w:space="0" w:color="auto"/>
        <w:bottom w:val="none" w:sz="0" w:space="0" w:color="auto"/>
        <w:right w:val="none" w:sz="0" w:space="0" w:color="auto"/>
      </w:divBdr>
      <w:divsChild>
        <w:div w:id="109974940">
          <w:marLeft w:val="274"/>
          <w:marRight w:val="0"/>
          <w:marTop w:val="38"/>
          <w:marBottom w:val="0"/>
          <w:divBdr>
            <w:top w:val="none" w:sz="0" w:space="0" w:color="auto"/>
            <w:left w:val="none" w:sz="0" w:space="0" w:color="auto"/>
            <w:bottom w:val="none" w:sz="0" w:space="0" w:color="auto"/>
            <w:right w:val="none" w:sz="0" w:space="0" w:color="auto"/>
          </w:divBdr>
        </w:div>
        <w:div w:id="2044940059">
          <w:marLeft w:val="274"/>
          <w:marRight w:val="0"/>
          <w:marTop w:val="38"/>
          <w:marBottom w:val="0"/>
          <w:divBdr>
            <w:top w:val="none" w:sz="0" w:space="0" w:color="auto"/>
            <w:left w:val="none" w:sz="0" w:space="0" w:color="auto"/>
            <w:bottom w:val="none" w:sz="0" w:space="0" w:color="auto"/>
            <w:right w:val="none" w:sz="0" w:space="0" w:color="auto"/>
          </w:divBdr>
        </w:div>
      </w:divsChild>
    </w:div>
    <w:div w:id="1438409225">
      <w:bodyDiv w:val="1"/>
      <w:marLeft w:val="0"/>
      <w:marRight w:val="0"/>
      <w:marTop w:val="0"/>
      <w:marBottom w:val="0"/>
      <w:divBdr>
        <w:top w:val="none" w:sz="0" w:space="0" w:color="auto"/>
        <w:left w:val="none" w:sz="0" w:space="0" w:color="auto"/>
        <w:bottom w:val="none" w:sz="0" w:space="0" w:color="auto"/>
        <w:right w:val="none" w:sz="0" w:space="0" w:color="auto"/>
      </w:divBdr>
    </w:div>
    <w:div w:id="1444812025">
      <w:bodyDiv w:val="1"/>
      <w:marLeft w:val="0"/>
      <w:marRight w:val="0"/>
      <w:marTop w:val="0"/>
      <w:marBottom w:val="0"/>
      <w:divBdr>
        <w:top w:val="none" w:sz="0" w:space="0" w:color="auto"/>
        <w:left w:val="none" w:sz="0" w:space="0" w:color="auto"/>
        <w:bottom w:val="none" w:sz="0" w:space="0" w:color="auto"/>
        <w:right w:val="none" w:sz="0" w:space="0" w:color="auto"/>
      </w:divBdr>
      <w:divsChild>
        <w:div w:id="732509548">
          <w:marLeft w:val="274"/>
          <w:marRight w:val="0"/>
          <w:marTop w:val="38"/>
          <w:marBottom w:val="0"/>
          <w:divBdr>
            <w:top w:val="none" w:sz="0" w:space="0" w:color="auto"/>
            <w:left w:val="none" w:sz="0" w:space="0" w:color="auto"/>
            <w:bottom w:val="none" w:sz="0" w:space="0" w:color="auto"/>
            <w:right w:val="none" w:sz="0" w:space="0" w:color="auto"/>
          </w:divBdr>
        </w:div>
        <w:div w:id="1704748772">
          <w:marLeft w:val="274"/>
          <w:marRight w:val="0"/>
          <w:marTop w:val="38"/>
          <w:marBottom w:val="0"/>
          <w:divBdr>
            <w:top w:val="none" w:sz="0" w:space="0" w:color="auto"/>
            <w:left w:val="none" w:sz="0" w:space="0" w:color="auto"/>
            <w:bottom w:val="none" w:sz="0" w:space="0" w:color="auto"/>
            <w:right w:val="none" w:sz="0" w:space="0" w:color="auto"/>
          </w:divBdr>
        </w:div>
      </w:divsChild>
    </w:div>
    <w:div w:id="1447584412">
      <w:bodyDiv w:val="1"/>
      <w:marLeft w:val="0"/>
      <w:marRight w:val="0"/>
      <w:marTop w:val="0"/>
      <w:marBottom w:val="0"/>
      <w:divBdr>
        <w:top w:val="none" w:sz="0" w:space="0" w:color="auto"/>
        <w:left w:val="none" w:sz="0" w:space="0" w:color="auto"/>
        <w:bottom w:val="none" w:sz="0" w:space="0" w:color="auto"/>
        <w:right w:val="none" w:sz="0" w:space="0" w:color="auto"/>
      </w:divBdr>
      <w:divsChild>
        <w:div w:id="280378284">
          <w:marLeft w:val="274"/>
          <w:marRight w:val="0"/>
          <w:marTop w:val="38"/>
          <w:marBottom w:val="0"/>
          <w:divBdr>
            <w:top w:val="none" w:sz="0" w:space="0" w:color="auto"/>
            <w:left w:val="none" w:sz="0" w:space="0" w:color="auto"/>
            <w:bottom w:val="none" w:sz="0" w:space="0" w:color="auto"/>
            <w:right w:val="none" w:sz="0" w:space="0" w:color="auto"/>
          </w:divBdr>
        </w:div>
      </w:divsChild>
    </w:div>
    <w:div w:id="1457673937">
      <w:bodyDiv w:val="1"/>
      <w:marLeft w:val="0"/>
      <w:marRight w:val="0"/>
      <w:marTop w:val="0"/>
      <w:marBottom w:val="0"/>
      <w:divBdr>
        <w:top w:val="none" w:sz="0" w:space="0" w:color="auto"/>
        <w:left w:val="none" w:sz="0" w:space="0" w:color="auto"/>
        <w:bottom w:val="none" w:sz="0" w:space="0" w:color="auto"/>
        <w:right w:val="none" w:sz="0" w:space="0" w:color="auto"/>
      </w:divBdr>
    </w:div>
    <w:div w:id="1487742168">
      <w:bodyDiv w:val="1"/>
      <w:marLeft w:val="0"/>
      <w:marRight w:val="0"/>
      <w:marTop w:val="0"/>
      <w:marBottom w:val="0"/>
      <w:divBdr>
        <w:top w:val="none" w:sz="0" w:space="0" w:color="auto"/>
        <w:left w:val="none" w:sz="0" w:space="0" w:color="auto"/>
        <w:bottom w:val="none" w:sz="0" w:space="0" w:color="auto"/>
        <w:right w:val="none" w:sz="0" w:space="0" w:color="auto"/>
      </w:divBdr>
    </w:div>
    <w:div w:id="1513762582">
      <w:bodyDiv w:val="1"/>
      <w:marLeft w:val="0"/>
      <w:marRight w:val="0"/>
      <w:marTop w:val="0"/>
      <w:marBottom w:val="0"/>
      <w:divBdr>
        <w:top w:val="none" w:sz="0" w:space="0" w:color="auto"/>
        <w:left w:val="none" w:sz="0" w:space="0" w:color="auto"/>
        <w:bottom w:val="none" w:sz="0" w:space="0" w:color="auto"/>
        <w:right w:val="none" w:sz="0" w:space="0" w:color="auto"/>
      </w:divBdr>
      <w:divsChild>
        <w:div w:id="368185961">
          <w:marLeft w:val="274"/>
          <w:marRight w:val="0"/>
          <w:marTop w:val="38"/>
          <w:marBottom w:val="0"/>
          <w:divBdr>
            <w:top w:val="none" w:sz="0" w:space="0" w:color="auto"/>
            <w:left w:val="none" w:sz="0" w:space="0" w:color="auto"/>
            <w:bottom w:val="none" w:sz="0" w:space="0" w:color="auto"/>
            <w:right w:val="none" w:sz="0" w:space="0" w:color="auto"/>
          </w:divBdr>
        </w:div>
      </w:divsChild>
    </w:div>
    <w:div w:id="1519273645">
      <w:bodyDiv w:val="1"/>
      <w:marLeft w:val="0"/>
      <w:marRight w:val="0"/>
      <w:marTop w:val="0"/>
      <w:marBottom w:val="0"/>
      <w:divBdr>
        <w:top w:val="none" w:sz="0" w:space="0" w:color="auto"/>
        <w:left w:val="none" w:sz="0" w:space="0" w:color="auto"/>
        <w:bottom w:val="none" w:sz="0" w:space="0" w:color="auto"/>
        <w:right w:val="none" w:sz="0" w:space="0" w:color="auto"/>
      </w:divBdr>
    </w:div>
    <w:div w:id="1521359409">
      <w:bodyDiv w:val="1"/>
      <w:marLeft w:val="0"/>
      <w:marRight w:val="0"/>
      <w:marTop w:val="0"/>
      <w:marBottom w:val="0"/>
      <w:divBdr>
        <w:top w:val="none" w:sz="0" w:space="0" w:color="auto"/>
        <w:left w:val="none" w:sz="0" w:space="0" w:color="auto"/>
        <w:bottom w:val="none" w:sz="0" w:space="0" w:color="auto"/>
        <w:right w:val="none" w:sz="0" w:space="0" w:color="auto"/>
      </w:divBdr>
      <w:divsChild>
        <w:div w:id="1181941815">
          <w:marLeft w:val="547"/>
          <w:marRight w:val="0"/>
          <w:marTop w:val="58"/>
          <w:marBottom w:val="0"/>
          <w:divBdr>
            <w:top w:val="none" w:sz="0" w:space="0" w:color="auto"/>
            <w:left w:val="none" w:sz="0" w:space="0" w:color="auto"/>
            <w:bottom w:val="none" w:sz="0" w:space="0" w:color="auto"/>
            <w:right w:val="none" w:sz="0" w:space="0" w:color="auto"/>
          </w:divBdr>
        </w:div>
        <w:div w:id="1223981710">
          <w:marLeft w:val="547"/>
          <w:marRight w:val="0"/>
          <w:marTop w:val="58"/>
          <w:marBottom w:val="0"/>
          <w:divBdr>
            <w:top w:val="none" w:sz="0" w:space="0" w:color="auto"/>
            <w:left w:val="none" w:sz="0" w:space="0" w:color="auto"/>
            <w:bottom w:val="none" w:sz="0" w:space="0" w:color="auto"/>
            <w:right w:val="none" w:sz="0" w:space="0" w:color="auto"/>
          </w:divBdr>
        </w:div>
        <w:div w:id="2001500741">
          <w:marLeft w:val="547"/>
          <w:marRight w:val="0"/>
          <w:marTop w:val="58"/>
          <w:marBottom w:val="0"/>
          <w:divBdr>
            <w:top w:val="none" w:sz="0" w:space="0" w:color="auto"/>
            <w:left w:val="none" w:sz="0" w:space="0" w:color="auto"/>
            <w:bottom w:val="none" w:sz="0" w:space="0" w:color="auto"/>
            <w:right w:val="none" w:sz="0" w:space="0" w:color="auto"/>
          </w:divBdr>
        </w:div>
        <w:div w:id="2116318967">
          <w:marLeft w:val="547"/>
          <w:marRight w:val="0"/>
          <w:marTop w:val="58"/>
          <w:marBottom w:val="0"/>
          <w:divBdr>
            <w:top w:val="none" w:sz="0" w:space="0" w:color="auto"/>
            <w:left w:val="none" w:sz="0" w:space="0" w:color="auto"/>
            <w:bottom w:val="none" w:sz="0" w:space="0" w:color="auto"/>
            <w:right w:val="none" w:sz="0" w:space="0" w:color="auto"/>
          </w:divBdr>
        </w:div>
        <w:div w:id="2119135070">
          <w:marLeft w:val="547"/>
          <w:marRight w:val="0"/>
          <w:marTop w:val="58"/>
          <w:marBottom w:val="0"/>
          <w:divBdr>
            <w:top w:val="none" w:sz="0" w:space="0" w:color="auto"/>
            <w:left w:val="none" w:sz="0" w:space="0" w:color="auto"/>
            <w:bottom w:val="none" w:sz="0" w:space="0" w:color="auto"/>
            <w:right w:val="none" w:sz="0" w:space="0" w:color="auto"/>
          </w:divBdr>
        </w:div>
      </w:divsChild>
    </w:div>
    <w:div w:id="1521815898">
      <w:bodyDiv w:val="1"/>
      <w:marLeft w:val="0"/>
      <w:marRight w:val="0"/>
      <w:marTop w:val="0"/>
      <w:marBottom w:val="0"/>
      <w:divBdr>
        <w:top w:val="none" w:sz="0" w:space="0" w:color="auto"/>
        <w:left w:val="none" w:sz="0" w:space="0" w:color="auto"/>
        <w:bottom w:val="none" w:sz="0" w:space="0" w:color="auto"/>
        <w:right w:val="none" w:sz="0" w:space="0" w:color="auto"/>
      </w:divBdr>
      <w:divsChild>
        <w:div w:id="364254799">
          <w:marLeft w:val="274"/>
          <w:marRight w:val="0"/>
          <w:marTop w:val="38"/>
          <w:marBottom w:val="0"/>
          <w:divBdr>
            <w:top w:val="none" w:sz="0" w:space="0" w:color="auto"/>
            <w:left w:val="none" w:sz="0" w:space="0" w:color="auto"/>
            <w:bottom w:val="none" w:sz="0" w:space="0" w:color="auto"/>
            <w:right w:val="none" w:sz="0" w:space="0" w:color="auto"/>
          </w:divBdr>
        </w:div>
      </w:divsChild>
    </w:div>
    <w:div w:id="1525947544">
      <w:bodyDiv w:val="1"/>
      <w:marLeft w:val="0"/>
      <w:marRight w:val="0"/>
      <w:marTop w:val="0"/>
      <w:marBottom w:val="0"/>
      <w:divBdr>
        <w:top w:val="none" w:sz="0" w:space="0" w:color="auto"/>
        <w:left w:val="none" w:sz="0" w:space="0" w:color="auto"/>
        <w:bottom w:val="none" w:sz="0" w:space="0" w:color="auto"/>
        <w:right w:val="none" w:sz="0" w:space="0" w:color="auto"/>
      </w:divBdr>
    </w:div>
    <w:div w:id="1528324596">
      <w:bodyDiv w:val="1"/>
      <w:marLeft w:val="0"/>
      <w:marRight w:val="0"/>
      <w:marTop w:val="0"/>
      <w:marBottom w:val="0"/>
      <w:divBdr>
        <w:top w:val="none" w:sz="0" w:space="0" w:color="auto"/>
        <w:left w:val="none" w:sz="0" w:space="0" w:color="auto"/>
        <w:bottom w:val="none" w:sz="0" w:space="0" w:color="auto"/>
        <w:right w:val="none" w:sz="0" w:space="0" w:color="auto"/>
      </w:divBdr>
    </w:div>
    <w:div w:id="1529218592">
      <w:bodyDiv w:val="1"/>
      <w:marLeft w:val="0"/>
      <w:marRight w:val="0"/>
      <w:marTop w:val="0"/>
      <w:marBottom w:val="0"/>
      <w:divBdr>
        <w:top w:val="none" w:sz="0" w:space="0" w:color="auto"/>
        <w:left w:val="none" w:sz="0" w:space="0" w:color="auto"/>
        <w:bottom w:val="none" w:sz="0" w:space="0" w:color="auto"/>
        <w:right w:val="none" w:sz="0" w:space="0" w:color="auto"/>
      </w:divBdr>
      <w:divsChild>
        <w:div w:id="887179999">
          <w:marLeft w:val="274"/>
          <w:marRight w:val="0"/>
          <w:marTop w:val="38"/>
          <w:marBottom w:val="0"/>
          <w:divBdr>
            <w:top w:val="none" w:sz="0" w:space="0" w:color="auto"/>
            <w:left w:val="none" w:sz="0" w:space="0" w:color="auto"/>
            <w:bottom w:val="none" w:sz="0" w:space="0" w:color="auto"/>
            <w:right w:val="none" w:sz="0" w:space="0" w:color="auto"/>
          </w:divBdr>
        </w:div>
        <w:div w:id="1567647025">
          <w:marLeft w:val="274"/>
          <w:marRight w:val="0"/>
          <w:marTop w:val="38"/>
          <w:marBottom w:val="0"/>
          <w:divBdr>
            <w:top w:val="none" w:sz="0" w:space="0" w:color="auto"/>
            <w:left w:val="none" w:sz="0" w:space="0" w:color="auto"/>
            <w:bottom w:val="none" w:sz="0" w:space="0" w:color="auto"/>
            <w:right w:val="none" w:sz="0" w:space="0" w:color="auto"/>
          </w:divBdr>
        </w:div>
      </w:divsChild>
    </w:div>
    <w:div w:id="1557397922">
      <w:bodyDiv w:val="1"/>
      <w:marLeft w:val="0"/>
      <w:marRight w:val="0"/>
      <w:marTop w:val="0"/>
      <w:marBottom w:val="0"/>
      <w:divBdr>
        <w:top w:val="none" w:sz="0" w:space="0" w:color="auto"/>
        <w:left w:val="none" w:sz="0" w:space="0" w:color="auto"/>
        <w:bottom w:val="none" w:sz="0" w:space="0" w:color="auto"/>
        <w:right w:val="none" w:sz="0" w:space="0" w:color="auto"/>
      </w:divBdr>
      <w:divsChild>
        <w:div w:id="552809818">
          <w:marLeft w:val="0"/>
          <w:marRight w:val="0"/>
          <w:marTop w:val="0"/>
          <w:marBottom w:val="0"/>
          <w:divBdr>
            <w:top w:val="none" w:sz="0" w:space="0" w:color="auto"/>
            <w:left w:val="none" w:sz="0" w:space="0" w:color="auto"/>
            <w:bottom w:val="none" w:sz="0" w:space="0" w:color="auto"/>
            <w:right w:val="none" w:sz="0" w:space="0" w:color="auto"/>
          </w:divBdr>
          <w:divsChild>
            <w:div w:id="2015917745">
              <w:marLeft w:val="60"/>
              <w:marRight w:val="0"/>
              <w:marTop w:val="0"/>
              <w:marBottom w:val="0"/>
              <w:divBdr>
                <w:top w:val="none" w:sz="0" w:space="0" w:color="auto"/>
                <w:left w:val="none" w:sz="0" w:space="0" w:color="auto"/>
                <w:bottom w:val="none" w:sz="0" w:space="0" w:color="auto"/>
                <w:right w:val="none" w:sz="0" w:space="0" w:color="auto"/>
              </w:divBdr>
              <w:divsChild>
                <w:div w:id="1825462755">
                  <w:marLeft w:val="0"/>
                  <w:marRight w:val="0"/>
                  <w:marTop w:val="0"/>
                  <w:marBottom w:val="0"/>
                  <w:divBdr>
                    <w:top w:val="none" w:sz="0" w:space="0" w:color="auto"/>
                    <w:left w:val="none" w:sz="0" w:space="0" w:color="auto"/>
                    <w:bottom w:val="none" w:sz="0" w:space="0" w:color="auto"/>
                    <w:right w:val="none" w:sz="0" w:space="0" w:color="auto"/>
                  </w:divBdr>
                  <w:divsChild>
                    <w:div w:id="1313363006">
                      <w:marLeft w:val="0"/>
                      <w:marRight w:val="0"/>
                      <w:marTop w:val="0"/>
                      <w:marBottom w:val="120"/>
                      <w:divBdr>
                        <w:top w:val="single" w:sz="6" w:space="0" w:color="F5F5F5"/>
                        <w:left w:val="single" w:sz="6" w:space="0" w:color="F5F5F5"/>
                        <w:bottom w:val="single" w:sz="6" w:space="0" w:color="F5F5F5"/>
                        <w:right w:val="single" w:sz="6" w:space="0" w:color="F5F5F5"/>
                      </w:divBdr>
                      <w:divsChild>
                        <w:div w:id="1258172475">
                          <w:marLeft w:val="0"/>
                          <w:marRight w:val="0"/>
                          <w:marTop w:val="0"/>
                          <w:marBottom w:val="0"/>
                          <w:divBdr>
                            <w:top w:val="none" w:sz="0" w:space="0" w:color="auto"/>
                            <w:left w:val="none" w:sz="0" w:space="0" w:color="auto"/>
                            <w:bottom w:val="none" w:sz="0" w:space="0" w:color="auto"/>
                            <w:right w:val="none" w:sz="0" w:space="0" w:color="auto"/>
                          </w:divBdr>
                          <w:divsChild>
                            <w:div w:id="214723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900021">
          <w:marLeft w:val="0"/>
          <w:marRight w:val="0"/>
          <w:marTop w:val="0"/>
          <w:marBottom w:val="0"/>
          <w:divBdr>
            <w:top w:val="none" w:sz="0" w:space="0" w:color="auto"/>
            <w:left w:val="none" w:sz="0" w:space="0" w:color="auto"/>
            <w:bottom w:val="none" w:sz="0" w:space="0" w:color="auto"/>
            <w:right w:val="none" w:sz="0" w:space="0" w:color="auto"/>
          </w:divBdr>
          <w:divsChild>
            <w:div w:id="1230655947">
              <w:marLeft w:val="0"/>
              <w:marRight w:val="60"/>
              <w:marTop w:val="0"/>
              <w:marBottom w:val="0"/>
              <w:divBdr>
                <w:top w:val="none" w:sz="0" w:space="0" w:color="auto"/>
                <w:left w:val="none" w:sz="0" w:space="0" w:color="auto"/>
                <w:bottom w:val="none" w:sz="0" w:space="0" w:color="auto"/>
                <w:right w:val="none" w:sz="0" w:space="0" w:color="auto"/>
              </w:divBdr>
              <w:divsChild>
                <w:div w:id="774985265">
                  <w:marLeft w:val="0"/>
                  <w:marRight w:val="0"/>
                  <w:marTop w:val="0"/>
                  <w:marBottom w:val="120"/>
                  <w:divBdr>
                    <w:top w:val="single" w:sz="6" w:space="0" w:color="A0A0A0"/>
                    <w:left w:val="single" w:sz="6" w:space="0" w:color="B9B9B9"/>
                    <w:bottom w:val="single" w:sz="6" w:space="0" w:color="B9B9B9"/>
                    <w:right w:val="single" w:sz="6" w:space="0" w:color="B9B9B9"/>
                  </w:divBdr>
                  <w:divsChild>
                    <w:div w:id="177043926">
                      <w:marLeft w:val="0"/>
                      <w:marRight w:val="0"/>
                      <w:marTop w:val="0"/>
                      <w:marBottom w:val="0"/>
                      <w:divBdr>
                        <w:top w:val="none" w:sz="0" w:space="0" w:color="auto"/>
                        <w:left w:val="none" w:sz="0" w:space="0" w:color="auto"/>
                        <w:bottom w:val="none" w:sz="0" w:space="0" w:color="auto"/>
                        <w:right w:val="none" w:sz="0" w:space="0" w:color="auto"/>
                      </w:divBdr>
                    </w:div>
                    <w:div w:id="76719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285317">
      <w:bodyDiv w:val="1"/>
      <w:marLeft w:val="0"/>
      <w:marRight w:val="0"/>
      <w:marTop w:val="0"/>
      <w:marBottom w:val="0"/>
      <w:divBdr>
        <w:top w:val="none" w:sz="0" w:space="0" w:color="auto"/>
        <w:left w:val="none" w:sz="0" w:space="0" w:color="auto"/>
        <w:bottom w:val="none" w:sz="0" w:space="0" w:color="auto"/>
        <w:right w:val="none" w:sz="0" w:space="0" w:color="auto"/>
      </w:divBdr>
      <w:divsChild>
        <w:div w:id="600335207">
          <w:marLeft w:val="274"/>
          <w:marRight w:val="0"/>
          <w:marTop w:val="38"/>
          <w:marBottom w:val="0"/>
          <w:divBdr>
            <w:top w:val="none" w:sz="0" w:space="0" w:color="auto"/>
            <w:left w:val="none" w:sz="0" w:space="0" w:color="auto"/>
            <w:bottom w:val="none" w:sz="0" w:space="0" w:color="auto"/>
            <w:right w:val="none" w:sz="0" w:space="0" w:color="auto"/>
          </w:divBdr>
        </w:div>
        <w:div w:id="675032903">
          <w:marLeft w:val="274"/>
          <w:marRight w:val="0"/>
          <w:marTop w:val="38"/>
          <w:marBottom w:val="0"/>
          <w:divBdr>
            <w:top w:val="none" w:sz="0" w:space="0" w:color="auto"/>
            <w:left w:val="none" w:sz="0" w:space="0" w:color="auto"/>
            <w:bottom w:val="none" w:sz="0" w:space="0" w:color="auto"/>
            <w:right w:val="none" w:sz="0" w:space="0" w:color="auto"/>
          </w:divBdr>
        </w:div>
        <w:div w:id="928807900">
          <w:marLeft w:val="274"/>
          <w:marRight w:val="0"/>
          <w:marTop w:val="38"/>
          <w:marBottom w:val="0"/>
          <w:divBdr>
            <w:top w:val="none" w:sz="0" w:space="0" w:color="auto"/>
            <w:left w:val="none" w:sz="0" w:space="0" w:color="auto"/>
            <w:bottom w:val="none" w:sz="0" w:space="0" w:color="auto"/>
            <w:right w:val="none" w:sz="0" w:space="0" w:color="auto"/>
          </w:divBdr>
        </w:div>
      </w:divsChild>
    </w:div>
    <w:div w:id="1572352304">
      <w:bodyDiv w:val="1"/>
      <w:marLeft w:val="0"/>
      <w:marRight w:val="0"/>
      <w:marTop w:val="0"/>
      <w:marBottom w:val="0"/>
      <w:divBdr>
        <w:top w:val="none" w:sz="0" w:space="0" w:color="auto"/>
        <w:left w:val="none" w:sz="0" w:space="0" w:color="auto"/>
        <w:bottom w:val="none" w:sz="0" w:space="0" w:color="auto"/>
        <w:right w:val="none" w:sz="0" w:space="0" w:color="auto"/>
      </w:divBdr>
    </w:div>
    <w:div w:id="1578513269">
      <w:bodyDiv w:val="1"/>
      <w:marLeft w:val="0"/>
      <w:marRight w:val="0"/>
      <w:marTop w:val="0"/>
      <w:marBottom w:val="0"/>
      <w:divBdr>
        <w:top w:val="none" w:sz="0" w:space="0" w:color="auto"/>
        <w:left w:val="none" w:sz="0" w:space="0" w:color="auto"/>
        <w:bottom w:val="none" w:sz="0" w:space="0" w:color="auto"/>
        <w:right w:val="none" w:sz="0" w:space="0" w:color="auto"/>
      </w:divBdr>
      <w:divsChild>
        <w:div w:id="788084839">
          <w:marLeft w:val="274"/>
          <w:marRight w:val="0"/>
          <w:marTop w:val="38"/>
          <w:marBottom w:val="0"/>
          <w:divBdr>
            <w:top w:val="none" w:sz="0" w:space="0" w:color="auto"/>
            <w:left w:val="none" w:sz="0" w:space="0" w:color="auto"/>
            <w:bottom w:val="none" w:sz="0" w:space="0" w:color="auto"/>
            <w:right w:val="none" w:sz="0" w:space="0" w:color="auto"/>
          </w:divBdr>
        </w:div>
      </w:divsChild>
    </w:div>
    <w:div w:id="1580870105">
      <w:bodyDiv w:val="1"/>
      <w:marLeft w:val="0"/>
      <w:marRight w:val="0"/>
      <w:marTop w:val="0"/>
      <w:marBottom w:val="0"/>
      <w:divBdr>
        <w:top w:val="none" w:sz="0" w:space="0" w:color="auto"/>
        <w:left w:val="none" w:sz="0" w:space="0" w:color="auto"/>
        <w:bottom w:val="none" w:sz="0" w:space="0" w:color="auto"/>
        <w:right w:val="none" w:sz="0" w:space="0" w:color="auto"/>
      </w:divBdr>
      <w:divsChild>
        <w:div w:id="782961434">
          <w:marLeft w:val="274"/>
          <w:marRight w:val="0"/>
          <w:marTop w:val="38"/>
          <w:marBottom w:val="0"/>
          <w:divBdr>
            <w:top w:val="none" w:sz="0" w:space="0" w:color="auto"/>
            <w:left w:val="none" w:sz="0" w:space="0" w:color="auto"/>
            <w:bottom w:val="none" w:sz="0" w:space="0" w:color="auto"/>
            <w:right w:val="none" w:sz="0" w:space="0" w:color="auto"/>
          </w:divBdr>
        </w:div>
      </w:divsChild>
    </w:div>
    <w:div w:id="1608348115">
      <w:bodyDiv w:val="1"/>
      <w:marLeft w:val="0"/>
      <w:marRight w:val="0"/>
      <w:marTop w:val="0"/>
      <w:marBottom w:val="0"/>
      <w:divBdr>
        <w:top w:val="none" w:sz="0" w:space="0" w:color="auto"/>
        <w:left w:val="none" w:sz="0" w:space="0" w:color="auto"/>
        <w:bottom w:val="none" w:sz="0" w:space="0" w:color="auto"/>
        <w:right w:val="none" w:sz="0" w:space="0" w:color="auto"/>
      </w:divBdr>
      <w:divsChild>
        <w:div w:id="972180284">
          <w:marLeft w:val="446"/>
          <w:marRight w:val="0"/>
          <w:marTop w:val="120"/>
          <w:marBottom w:val="0"/>
          <w:divBdr>
            <w:top w:val="none" w:sz="0" w:space="0" w:color="auto"/>
            <w:left w:val="none" w:sz="0" w:space="0" w:color="auto"/>
            <w:bottom w:val="none" w:sz="0" w:space="0" w:color="auto"/>
            <w:right w:val="none" w:sz="0" w:space="0" w:color="auto"/>
          </w:divBdr>
        </w:div>
      </w:divsChild>
    </w:div>
    <w:div w:id="1621761483">
      <w:bodyDiv w:val="1"/>
      <w:marLeft w:val="0"/>
      <w:marRight w:val="0"/>
      <w:marTop w:val="0"/>
      <w:marBottom w:val="0"/>
      <w:divBdr>
        <w:top w:val="none" w:sz="0" w:space="0" w:color="auto"/>
        <w:left w:val="none" w:sz="0" w:space="0" w:color="auto"/>
        <w:bottom w:val="none" w:sz="0" w:space="0" w:color="auto"/>
        <w:right w:val="none" w:sz="0" w:space="0" w:color="auto"/>
      </w:divBdr>
      <w:divsChild>
        <w:div w:id="247428690">
          <w:marLeft w:val="274"/>
          <w:marRight w:val="0"/>
          <w:marTop w:val="38"/>
          <w:marBottom w:val="0"/>
          <w:divBdr>
            <w:top w:val="none" w:sz="0" w:space="0" w:color="auto"/>
            <w:left w:val="none" w:sz="0" w:space="0" w:color="auto"/>
            <w:bottom w:val="none" w:sz="0" w:space="0" w:color="auto"/>
            <w:right w:val="none" w:sz="0" w:space="0" w:color="auto"/>
          </w:divBdr>
        </w:div>
      </w:divsChild>
    </w:div>
    <w:div w:id="1631283956">
      <w:bodyDiv w:val="1"/>
      <w:marLeft w:val="0"/>
      <w:marRight w:val="0"/>
      <w:marTop w:val="0"/>
      <w:marBottom w:val="0"/>
      <w:divBdr>
        <w:top w:val="none" w:sz="0" w:space="0" w:color="auto"/>
        <w:left w:val="none" w:sz="0" w:space="0" w:color="auto"/>
        <w:bottom w:val="none" w:sz="0" w:space="0" w:color="auto"/>
        <w:right w:val="none" w:sz="0" w:space="0" w:color="auto"/>
      </w:divBdr>
      <w:divsChild>
        <w:div w:id="1567449431">
          <w:marLeft w:val="274"/>
          <w:marRight w:val="0"/>
          <w:marTop w:val="38"/>
          <w:marBottom w:val="0"/>
          <w:divBdr>
            <w:top w:val="none" w:sz="0" w:space="0" w:color="auto"/>
            <w:left w:val="none" w:sz="0" w:space="0" w:color="auto"/>
            <w:bottom w:val="none" w:sz="0" w:space="0" w:color="auto"/>
            <w:right w:val="none" w:sz="0" w:space="0" w:color="auto"/>
          </w:divBdr>
        </w:div>
        <w:div w:id="1636175538">
          <w:marLeft w:val="994"/>
          <w:marRight w:val="0"/>
          <w:marTop w:val="38"/>
          <w:marBottom w:val="0"/>
          <w:divBdr>
            <w:top w:val="none" w:sz="0" w:space="0" w:color="auto"/>
            <w:left w:val="none" w:sz="0" w:space="0" w:color="auto"/>
            <w:bottom w:val="none" w:sz="0" w:space="0" w:color="auto"/>
            <w:right w:val="none" w:sz="0" w:space="0" w:color="auto"/>
          </w:divBdr>
        </w:div>
        <w:div w:id="1964537682">
          <w:marLeft w:val="994"/>
          <w:marRight w:val="0"/>
          <w:marTop w:val="38"/>
          <w:marBottom w:val="0"/>
          <w:divBdr>
            <w:top w:val="none" w:sz="0" w:space="0" w:color="auto"/>
            <w:left w:val="none" w:sz="0" w:space="0" w:color="auto"/>
            <w:bottom w:val="none" w:sz="0" w:space="0" w:color="auto"/>
            <w:right w:val="none" w:sz="0" w:space="0" w:color="auto"/>
          </w:divBdr>
        </w:div>
      </w:divsChild>
    </w:div>
    <w:div w:id="1638604518">
      <w:bodyDiv w:val="1"/>
      <w:marLeft w:val="0"/>
      <w:marRight w:val="0"/>
      <w:marTop w:val="0"/>
      <w:marBottom w:val="0"/>
      <w:divBdr>
        <w:top w:val="none" w:sz="0" w:space="0" w:color="auto"/>
        <w:left w:val="none" w:sz="0" w:space="0" w:color="auto"/>
        <w:bottom w:val="none" w:sz="0" w:space="0" w:color="auto"/>
        <w:right w:val="none" w:sz="0" w:space="0" w:color="auto"/>
      </w:divBdr>
    </w:div>
    <w:div w:id="1638872635">
      <w:bodyDiv w:val="1"/>
      <w:marLeft w:val="0"/>
      <w:marRight w:val="0"/>
      <w:marTop w:val="0"/>
      <w:marBottom w:val="0"/>
      <w:divBdr>
        <w:top w:val="none" w:sz="0" w:space="0" w:color="auto"/>
        <w:left w:val="none" w:sz="0" w:space="0" w:color="auto"/>
        <w:bottom w:val="none" w:sz="0" w:space="0" w:color="auto"/>
        <w:right w:val="none" w:sz="0" w:space="0" w:color="auto"/>
      </w:divBdr>
      <w:divsChild>
        <w:div w:id="743839671">
          <w:marLeft w:val="274"/>
          <w:marRight w:val="0"/>
          <w:marTop w:val="38"/>
          <w:marBottom w:val="0"/>
          <w:divBdr>
            <w:top w:val="none" w:sz="0" w:space="0" w:color="auto"/>
            <w:left w:val="none" w:sz="0" w:space="0" w:color="auto"/>
            <w:bottom w:val="none" w:sz="0" w:space="0" w:color="auto"/>
            <w:right w:val="none" w:sz="0" w:space="0" w:color="auto"/>
          </w:divBdr>
        </w:div>
      </w:divsChild>
    </w:div>
    <w:div w:id="1650986241">
      <w:bodyDiv w:val="1"/>
      <w:marLeft w:val="0"/>
      <w:marRight w:val="0"/>
      <w:marTop w:val="0"/>
      <w:marBottom w:val="0"/>
      <w:divBdr>
        <w:top w:val="none" w:sz="0" w:space="0" w:color="auto"/>
        <w:left w:val="none" w:sz="0" w:space="0" w:color="auto"/>
        <w:bottom w:val="none" w:sz="0" w:space="0" w:color="auto"/>
        <w:right w:val="none" w:sz="0" w:space="0" w:color="auto"/>
      </w:divBdr>
      <w:divsChild>
        <w:div w:id="893081635">
          <w:marLeft w:val="274"/>
          <w:marRight w:val="0"/>
          <w:marTop w:val="38"/>
          <w:marBottom w:val="0"/>
          <w:divBdr>
            <w:top w:val="none" w:sz="0" w:space="0" w:color="auto"/>
            <w:left w:val="none" w:sz="0" w:space="0" w:color="auto"/>
            <w:bottom w:val="none" w:sz="0" w:space="0" w:color="auto"/>
            <w:right w:val="none" w:sz="0" w:space="0" w:color="auto"/>
          </w:divBdr>
        </w:div>
      </w:divsChild>
    </w:div>
    <w:div w:id="1663772181">
      <w:bodyDiv w:val="1"/>
      <w:marLeft w:val="0"/>
      <w:marRight w:val="0"/>
      <w:marTop w:val="0"/>
      <w:marBottom w:val="0"/>
      <w:divBdr>
        <w:top w:val="none" w:sz="0" w:space="0" w:color="auto"/>
        <w:left w:val="none" w:sz="0" w:space="0" w:color="auto"/>
        <w:bottom w:val="none" w:sz="0" w:space="0" w:color="auto"/>
        <w:right w:val="none" w:sz="0" w:space="0" w:color="auto"/>
      </w:divBdr>
      <w:divsChild>
        <w:div w:id="214512594">
          <w:marLeft w:val="547"/>
          <w:marRight w:val="0"/>
          <w:marTop w:val="0"/>
          <w:marBottom w:val="0"/>
          <w:divBdr>
            <w:top w:val="none" w:sz="0" w:space="0" w:color="auto"/>
            <w:left w:val="none" w:sz="0" w:space="0" w:color="auto"/>
            <w:bottom w:val="none" w:sz="0" w:space="0" w:color="auto"/>
            <w:right w:val="none" w:sz="0" w:space="0" w:color="auto"/>
          </w:divBdr>
        </w:div>
        <w:div w:id="291593064">
          <w:marLeft w:val="547"/>
          <w:marRight w:val="0"/>
          <w:marTop w:val="0"/>
          <w:marBottom w:val="0"/>
          <w:divBdr>
            <w:top w:val="none" w:sz="0" w:space="0" w:color="auto"/>
            <w:left w:val="none" w:sz="0" w:space="0" w:color="auto"/>
            <w:bottom w:val="none" w:sz="0" w:space="0" w:color="auto"/>
            <w:right w:val="none" w:sz="0" w:space="0" w:color="auto"/>
          </w:divBdr>
        </w:div>
        <w:div w:id="777218588">
          <w:marLeft w:val="547"/>
          <w:marRight w:val="0"/>
          <w:marTop w:val="0"/>
          <w:marBottom w:val="0"/>
          <w:divBdr>
            <w:top w:val="none" w:sz="0" w:space="0" w:color="auto"/>
            <w:left w:val="none" w:sz="0" w:space="0" w:color="auto"/>
            <w:bottom w:val="none" w:sz="0" w:space="0" w:color="auto"/>
            <w:right w:val="none" w:sz="0" w:space="0" w:color="auto"/>
          </w:divBdr>
        </w:div>
        <w:div w:id="1321541370">
          <w:marLeft w:val="547"/>
          <w:marRight w:val="0"/>
          <w:marTop w:val="0"/>
          <w:marBottom w:val="0"/>
          <w:divBdr>
            <w:top w:val="none" w:sz="0" w:space="0" w:color="auto"/>
            <w:left w:val="none" w:sz="0" w:space="0" w:color="auto"/>
            <w:bottom w:val="none" w:sz="0" w:space="0" w:color="auto"/>
            <w:right w:val="none" w:sz="0" w:space="0" w:color="auto"/>
          </w:divBdr>
        </w:div>
        <w:div w:id="1443064625">
          <w:marLeft w:val="547"/>
          <w:marRight w:val="0"/>
          <w:marTop w:val="0"/>
          <w:marBottom w:val="0"/>
          <w:divBdr>
            <w:top w:val="none" w:sz="0" w:space="0" w:color="auto"/>
            <w:left w:val="none" w:sz="0" w:space="0" w:color="auto"/>
            <w:bottom w:val="none" w:sz="0" w:space="0" w:color="auto"/>
            <w:right w:val="none" w:sz="0" w:space="0" w:color="auto"/>
          </w:divBdr>
        </w:div>
        <w:div w:id="1990086078">
          <w:marLeft w:val="547"/>
          <w:marRight w:val="0"/>
          <w:marTop w:val="0"/>
          <w:marBottom w:val="0"/>
          <w:divBdr>
            <w:top w:val="none" w:sz="0" w:space="0" w:color="auto"/>
            <w:left w:val="none" w:sz="0" w:space="0" w:color="auto"/>
            <w:bottom w:val="none" w:sz="0" w:space="0" w:color="auto"/>
            <w:right w:val="none" w:sz="0" w:space="0" w:color="auto"/>
          </w:divBdr>
        </w:div>
        <w:div w:id="2005544582">
          <w:marLeft w:val="547"/>
          <w:marRight w:val="0"/>
          <w:marTop w:val="0"/>
          <w:marBottom w:val="0"/>
          <w:divBdr>
            <w:top w:val="none" w:sz="0" w:space="0" w:color="auto"/>
            <w:left w:val="none" w:sz="0" w:space="0" w:color="auto"/>
            <w:bottom w:val="none" w:sz="0" w:space="0" w:color="auto"/>
            <w:right w:val="none" w:sz="0" w:space="0" w:color="auto"/>
          </w:divBdr>
        </w:div>
      </w:divsChild>
    </w:div>
    <w:div w:id="1682320407">
      <w:bodyDiv w:val="1"/>
      <w:marLeft w:val="0"/>
      <w:marRight w:val="0"/>
      <w:marTop w:val="0"/>
      <w:marBottom w:val="0"/>
      <w:divBdr>
        <w:top w:val="none" w:sz="0" w:space="0" w:color="auto"/>
        <w:left w:val="none" w:sz="0" w:space="0" w:color="auto"/>
        <w:bottom w:val="none" w:sz="0" w:space="0" w:color="auto"/>
        <w:right w:val="none" w:sz="0" w:space="0" w:color="auto"/>
      </w:divBdr>
      <w:divsChild>
        <w:div w:id="46682743">
          <w:marLeft w:val="1166"/>
          <w:marRight w:val="0"/>
          <w:marTop w:val="58"/>
          <w:marBottom w:val="0"/>
          <w:divBdr>
            <w:top w:val="none" w:sz="0" w:space="0" w:color="auto"/>
            <w:left w:val="none" w:sz="0" w:space="0" w:color="auto"/>
            <w:bottom w:val="none" w:sz="0" w:space="0" w:color="auto"/>
            <w:right w:val="none" w:sz="0" w:space="0" w:color="auto"/>
          </w:divBdr>
        </w:div>
        <w:div w:id="750277147">
          <w:marLeft w:val="547"/>
          <w:marRight w:val="0"/>
          <w:marTop w:val="67"/>
          <w:marBottom w:val="0"/>
          <w:divBdr>
            <w:top w:val="none" w:sz="0" w:space="0" w:color="auto"/>
            <w:left w:val="none" w:sz="0" w:space="0" w:color="auto"/>
            <w:bottom w:val="none" w:sz="0" w:space="0" w:color="auto"/>
            <w:right w:val="none" w:sz="0" w:space="0" w:color="auto"/>
          </w:divBdr>
        </w:div>
        <w:div w:id="1129592555">
          <w:marLeft w:val="547"/>
          <w:marRight w:val="0"/>
          <w:marTop w:val="67"/>
          <w:marBottom w:val="0"/>
          <w:divBdr>
            <w:top w:val="none" w:sz="0" w:space="0" w:color="auto"/>
            <w:left w:val="none" w:sz="0" w:space="0" w:color="auto"/>
            <w:bottom w:val="none" w:sz="0" w:space="0" w:color="auto"/>
            <w:right w:val="none" w:sz="0" w:space="0" w:color="auto"/>
          </w:divBdr>
        </w:div>
        <w:div w:id="1608198198">
          <w:marLeft w:val="1166"/>
          <w:marRight w:val="0"/>
          <w:marTop w:val="58"/>
          <w:marBottom w:val="0"/>
          <w:divBdr>
            <w:top w:val="none" w:sz="0" w:space="0" w:color="auto"/>
            <w:left w:val="none" w:sz="0" w:space="0" w:color="auto"/>
            <w:bottom w:val="none" w:sz="0" w:space="0" w:color="auto"/>
            <w:right w:val="none" w:sz="0" w:space="0" w:color="auto"/>
          </w:divBdr>
        </w:div>
        <w:div w:id="1690450540">
          <w:marLeft w:val="547"/>
          <w:marRight w:val="0"/>
          <w:marTop w:val="67"/>
          <w:marBottom w:val="0"/>
          <w:divBdr>
            <w:top w:val="none" w:sz="0" w:space="0" w:color="auto"/>
            <w:left w:val="none" w:sz="0" w:space="0" w:color="auto"/>
            <w:bottom w:val="none" w:sz="0" w:space="0" w:color="auto"/>
            <w:right w:val="none" w:sz="0" w:space="0" w:color="auto"/>
          </w:divBdr>
        </w:div>
        <w:div w:id="1702516142">
          <w:marLeft w:val="547"/>
          <w:marRight w:val="0"/>
          <w:marTop w:val="67"/>
          <w:marBottom w:val="0"/>
          <w:divBdr>
            <w:top w:val="none" w:sz="0" w:space="0" w:color="auto"/>
            <w:left w:val="none" w:sz="0" w:space="0" w:color="auto"/>
            <w:bottom w:val="none" w:sz="0" w:space="0" w:color="auto"/>
            <w:right w:val="none" w:sz="0" w:space="0" w:color="auto"/>
          </w:divBdr>
        </w:div>
      </w:divsChild>
    </w:div>
    <w:div w:id="1684479831">
      <w:bodyDiv w:val="1"/>
      <w:marLeft w:val="0"/>
      <w:marRight w:val="0"/>
      <w:marTop w:val="0"/>
      <w:marBottom w:val="0"/>
      <w:divBdr>
        <w:top w:val="none" w:sz="0" w:space="0" w:color="auto"/>
        <w:left w:val="none" w:sz="0" w:space="0" w:color="auto"/>
        <w:bottom w:val="none" w:sz="0" w:space="0" w:color="auto"/>
        <w:right w:val="none" w:sz="0" w:space="0" w:color="auto"/>
      </w:divBdr>
      <w:divsChild>
        <w:div w:id="1317303640">
          <w:marLeft w:val="446"/>
          <w:marRight w:val="0"/>
          <w:marTop w:val="120"/>
          <w:marBottom w:val="0"/>
          <w:divBdr>
            <w:top w:val="none" w:sz="0" w:space="0" w:color="auto"/>
            <w:left w:val="none" w:sz="0" w:space="0" w:color="auto"/>
            <w:bottom w:val="none" w:sz="0" w:space="0" w:color="auto"/>
            <w:right w:val="none" w:sz="0" w:space="0" w:color="auto"/>
          </w:divBdr>
        </w:div>
      </w:divsChild>
    </w:div>
    <w:div w:id="1695304539">
      <w:bodyDiv w:val="1"/>
      <w:marLeft w:val="0"/>
      <w:marRight w:val="0"/>
      <w:marTop w:val="0"/>
      <w:marBottom w:val="0"/>
      <w:divBdr>
        <w:top w:val="none" w:sz="0" w:space="0" w:color="auto"/>
        <w:left w:val="none" w:sz="0" w:space="0" w:color="auto"/>
        <w:bottom w:val="none" w:sz="0" w:space="0" w:color="auto"/>
        <w:right w:val="none" w:sz="0" w:space="0" w:color="auto"/>
      </w:divBdr>
      <w:divsChild>
        <w:div w:id="1374386307">
          <w:marLeft w:val="274"/>
          <w:marRight w:val="0"/>
          <w:marTop w:val="38"/>
          <w:marBottom w:val="0"/>
          <w:divBdr>
            <w:top w:val="none" w:sz="0" w:space="0" w:color="auto"/>
            <w:left w:val="none" w:sz="0" w:space="0" w:color="auto"/>
            <w:bottom w:val="none" w:sz="0" w:space="0" w:color="auto"/>
            <w:right w:val="none" w:sz="0" w:space="0" w:color="auto"/>
          </w:divBdr>
        </w:div>
      </w:divsChild>
    </w:div>
    <w:div w:id="1702590964">
      <w:bodyDiv w:val="1"/>
      <w:marLeft w:val="0"/>
      <w:marRight w:val="0"/>
      <w:marTop w:val="0"/>
      <w:marBottom w:val="0"/>
      <w:divBdr>
        <w:top w:val="none" w:sz="0" w:space="0" w:color="auto"/>
        <w:left w:val="none" w:sz="0" w:space="0" w:color="auto"/>
        <w:bottom w:val="none" w:sz="0" w:space="0" w:color="auto"/>
        <w:right w:val="none" w:sz="0" w:space="0" w:color="auto"/>
      </w:divBdr>
      <w:divsChild>
        <w:div w:id="1868642441">
          <w:marLeft w:val="274"/>
          <w:marRight w:val="0"/>
          <w:marTop w:val="38"/>
          <w:marBottom w:val="0"/>
          <w:divBdr>
            <w:top w:val="none" w:sz="0" w:space="0" w:color="auto"/>
            <w:left w:val="none" w:sz="0" w:space="0" w:color="auto"/>
            <w:bottom w:val="none" w:sz="0" w:space="0" w:color="auto"/>
            <w:right w:val="none" w:sz="0" w:space="0" w:color="auto"/>
          </w:divBdr>
        </w:div>
      </w:divsChild>
    </w:div>
    <w:div w:id="1723212419">
      <w:bodyDiv w:val="1"/>
      <w:marLeft w:val="0"/>
      <w:marRight w:val="0"/>
      <w:marTop w:val="0"/>
      <w:marBottom w:val="0"/>
      <w:divBdr>
        <w:top w:val="none" w:sz="0" w:space="0" w:color="auto"/>
        <w:left w:val="none" w:sz="0" w:space="0" w:color="auto"/>
        <w:bottom w:val="none" w:sz="0" w:space="0" w:color="auto"/>
        <w:right w:val="none" w:sz="0" w:space="0" w:color="auto"/>
      </w:divBdr>
    </w:div>
    <w:div w:id="1752653847">
      <w:bodyDiv w:val="1"/>
      <w:marLeft w:val="0"/>
      <w:marRight w:val="0"/>
      <w:marTop w:val="0"/>
      <w:marBottom w:val="0"/>
      <w:divBdr>
        <w:top w:val="none" w:sz="0" w:space="0" w:color="auto"/>
        <w:left w:val="none" w:sz="0" w:space="0" w:color="auto"/>
        <w:bottom w:val="none" w:sz="0" w:space="0" w:color="auto"/>
        <w:right w:val="none" w:sz="0" w:space="0" w:color="auto"/>
      </w:divBdr>
      <w:divsChild>
        <w:div w:id="1932423185">
          <w:marLeft w:val="274"/>
          <w:marRight w:val="0"/>
          <w:marTop w:val="38"/>
          <w:marBottom w:val="0"/>
          <w:divBdr>
            <w:top w:val="none" w:sz="0" w:space="0" w:color="auto"/>
            <w:left w:val="none" w:sz="0" w:space="0" w:color="auto"/>
            <w:bottom w:val="none" w:sz="0" w:space="0" w:color="auto"/>
            <w:right w:val="none" w:sz="0" w:space="0" w:color="auto"/>
          </w:divBdr>
        </w:div>
      </w:divsChild>
    </w:div>
    <w:div w:id="1756239295">
      <w:bodyDiv w:val="1"/>
      <w:marLeft w:val="0"/>
      <w:marRight w:val="0"/>
      <w:marTop w:val="0"/>
      <w:marBottom w:val="0"/>
      <w:divBdr>
        <w:top w:val="none" w:sz="0" w:space="0" w:color="auto"/>
        <w:left w:val="none" w:sz="0" w:space="0" w:color="auto"/>
        <w:bottom w:val="none" w:sz="0" w:space="0" w:color="auto"/>
        <w:right w:val="none" w:sz="0" w:space="0" w:color="auto"/>
      </w:divBdr>
      <w:divsChild>
        <w:div w:id="2017803551">
          <w:marLeft w:val="274"/>
          <w:marRight w:val="0"/>
          <w:marTop w:val="38"/>
          <w:marBottom w:val="0"/>
          <w:divBdr>
            <w:top w:val="none" w:sz="0" w:space="0" w:color="auto"/>
            <w:left w:val="none" w:sz="0" w:space="0" w:color="auto"/>
            <w:bottom w:val="none" w:sz="0" w:space="0" w:color="auto"/>
            <w:right w:val="none" w:sz="0" w:space="0" w:color="auto"/>
          </w:divBdr>
        </w:div>
      </w:divsChild>
    </w:div>
    <w:div w:id="1762949924">
      <w:bodyDiv w:val="1"/>
      <w:marLeft w:val="0"/>
      <w:marRight w:val="0"/>
      <w:marTop w:val="0"/>
      <w:marBottom w:val="0"/>
      <w:divBdr>
        <w:top w:val="none" w:sz="0" w:space="0" w:color="auto"/>
        <w:left w:val="none" w:sz="0" w:space="0" w:color="auto"/>
        <w:bottom w:val="none" w:sz="0" w:space="0" w:color="auto"/>
        <w:right w:val="none" w:sz="0" w:space="0" w:color="auto"/>
      </w:divBdr>
      <w:divsChild>
        <w:div w:id="374163484">
          <w:marLeft w:val="274"/>
          <w:marRight w:val="0"/>
          <w:marTop w:val="38"/>
          <w:marBottom w:val="0"/>
          <w:divBdr>
            <w:top w:val="none" w:sz="0" w:space="0" w:color="auto"/>
            <w:left w:val="none" w:sz="0" w:space="0" w:color="auto"/>
            <w:bottom w:val="none" w:sz="0" w:space="0" w:color="auto"/>
            <w:right w:val="none" w:sz="0" w:space="0" w:color="auto"/>
          </w:divBdr>
        </w:div>
      </w:divsChild>
    </w:div>
    <w:div w:id="1767189629">
      <w:bodyDiv w:val="1"/>
      <w:marLeft w:val="0"/>
      <w:marRight w:val="0"/>
      <w:marTop w:val="0"/>
      <w:marBottom w:val="0"/>
      <w:divBdr>
        <w:top w:val="none" w:sz="0" w:space="0" w:color="auto"/>
        <w:left w:val="none" w:sz="0" w:space="0" w:color="auto"/>
        <w:bottom w:val="none" w:sz="0" w:space="0" w:color="auto"/>
        <w:right w:val="none" w:sz="0" w:space="0" w:color="auto"/>
      </w:divBdr>
    </w:div>
    <w:div w:id="1773478471">
      <w:bodyDiv w:val="1"/>
      <w:marLeft w:val="0"/>
      <w:marRight w:val="0"/>
      <w:marTop w:val="0"/>
      <w:marBottom w:val="0"/>
      <w:divBdr>
        <w:top w:val="none" w:sz="0" w:space="0" w:color="auto"/>
        <w:left w:val="none" w:sz="0" w:space="0" w:color="auto"/>
        <w:bottom w:val="none" w:sz="0" w:space="0" w:color="auto"/>
        <w:right w:val="none" w:sz="0" w:space="0" w:color="auto"/>
      </w:divBdr>
    </w:div>
    <w:div w:id="1782412399">
      <w:bodyDiv w:val="1"/>
      <w:marLeft w:val="0"/>
      <w:marRight w:val="0"/>
      <w:marTop w:val="0"/>
      <w:marBottom w:val="0"/>
      <w:divBdr>
        <w:top w:val="none" w:sz="0" w:space="0" w:color="auto"/>
        <w:left w:val="none" w:sz="0" w:space="0" w:color="auto"/>
        <w:bottom w:val="none" w:sz="0" w:space="0" w:color="auto"/>
        <w:right w:val="none" w:sz="0" w:space="0" w:color="auto"/>
      </w:divBdr>
      <w:divsChild>
        <w:div w:id="646665548">
          <w:marLeft w:val="274"/>
          <w:marRight w:val="0"/>
          <w:marTop w:val="38"/>
          <w:marBottom w:val="0"/>
          <w:divBdr>
            <w:top w:val="none" w:sz="0" w:space="0" w:color="auto"/>
            <w:left w:val="none" w:sz="0" w:space="0" w:color="auto"/>
            <w:bottom w:val="none" w:sz="0" w:space="0" w:color="auto"/>
            <w:right w:val="none" w:sz="0" w:space="0" w:color="auto"/>
          </w:divBdr>
        </w:div>
      </w:divsChild>
    </w:div>
    <w:div w:id="1798984050">
      <w:bodyDiv w:val="1"/>
      <w:marLeft w:val="0"/>
      <w:marRight w:val="0"/>
      <w:marTop w:val="0"/>
      <w:marBottom w:val="0"/>
      <w:divBdr>
        <w:top w:val="none" w:sz="0" w:space="0" w:color="auto"/>
        <w:left w:val="none" w:sz="0" w:space="0" w:color="auto"/>
        <w:bottom w:val="none" w:sz="0" w:space="0" w:color="auto"/>
        <w:right w:val="none" w:sz="0" w:space="0" w:color="auto"/>
      </w:divBdr>
    </w:div>
    <w:div w:id="1802650901">
      <w:bodyDiv w:val="1"/>
      <w:marLeft w:val="0"/>
      <w:marRight w:val="0"/>
      <w:marTop w:val="0"/>
      <w:marBottom w:val="0"/>
      <w:divBdr>
        <w:top w:val="none" w:sz="0" w:space="0" w:color="auto"/>
        <w:left w:val="none" w:sz="0" w:space="0" w:color="auto"/>
        <w:bottom w:val="none" w:sz="0" w:space="0" w:color="auto"/>
        <w:right w:val="none" w:sz="0" w:space="0" w:color="auto"/>
      </w:divBdr>
    </w:div>
    <w:div w:id="1804422003">
      <w:bodyDiv w:val="1"/>
      <w:marLeft w:val="0"/>
      <w:marRight w:val="0"/>
      <w:marTop w:val="0"/>
      <w:marBottom w:val="0"/>
      <w:divBdr>
        <w:top w:val="none" w:sz="0" w:space="0" w:color="auto"/>
        <w:left w:val="none" w:sz="0" w:space="0" w:color="auto"/>
        <w:bottom w:val="none" w:sz="0" w:space="0" w:color="auto"/>
        <w:right w:val="none" w:sz="0" w:space="0" w:color="auto"/>
      </w:divBdr>
      <w:divsChild>
        <w:div w:id="1779981274">
          <w:marLeft w:val="274"/>
          <w:marRight w:val="0"/>
          <w:marTop w:val="38"/>
          <w:marBottom w:val="0"/>
          <w:divBdr>
            <w:top w:val="none" w:sz="0" w:space="0" w:color="auto"/>
            <w:left w:val="none" w:sz="0" w:space="0" w:color="auto"/>
            <w:bottom w:val="none" w:sz="0" w:space="0" w:color="auto"/>
            <w:right w:val="none" w:sz="0" w:space="0" w:color="auto"/>
          </w:divBdr>
        </w:div>
      </w:divsChild>
    </w:div>
    <w:div w:id="1814367826">
      <w:bodyDiv w:val="1"/>
      <w:marLeft w:val="0"/>
      <w:marRight w:val="0"/>
      <w:marTop w:val="0"/>
      <w:marBottom w:val="0"/>
      <w:divBdr>
        <w:top w:val="none" w:sz="0" w:space="0" w:color="auto"/>
        <w:left w:val="none" w:sz="0" w:space="0" w:color="auto"/>
        <w:bottom w:val="none" w:sz="0" w:space="0" w:color="auto"/>
        <w:right w:val="none" w:sz="0" w:space="0" w:color="auto"/>
      </w:divBdr>
    </w:div>
    <w:div w:id="1815445136">
      <w:bodyDiv w:val="1"/>
      <w:marLeft w:val="0"/>
      <w:marRight w:val="0"/>
      <w:marTop w:val="0"/>
      <w:marBottom w:val="0"/>
      <w:divBdr>
        <w:top w:val="none" w:sz="0" w:space="0" w:color="auto"/>
        <w:left w:val="none" w:sz="0" w:space="0" w:color="auto"/>
        <w:bottom w:val="none" w:sz="0" w:space="0" w:color="auto"/>
        <w:right w:val="none" w:sz="0" w:space="0" w:color="auto"/>
      </w:divBdr>
      <w:divsChild>
        <w:div w:id="1600529280">
          <w:marLeft w:val="274"/>
          <w:marRight w:val="0"/>
          <w:marTop w:val="38"/>
          <w:marBottom w:val="0"/>
          <w:divBdr>
            <w:top w:val="none" w:sz="0" w:space="0" w:color="auto"/>
            <w:left w:val="none" w:sz="0" w:space="0" w:color="auto"/>
            <w:bottom w:val="none" w:sz="0" w:space="0" w:color="auto"/>
            <w:right w:val="none" w:sz="0" w:space="0" w:color="auto"/>
          </w:divBdr>
        </w:div>
      </w:divsChild>
    </w:div>
    <w:div w:id="1823692131">
      <w:bodyDiv w:val="1"/>
      <w:marLeft w:val="0"/>
      <w:marRight w:val="0"/>
      <w:marTop w:val="0"/>
      <w:marBottom w:val="0"/>
      <w:divBdr>
        <w:top w:val="none" w:sz="0" w:space="0" w:color="auto"/>
        <w:left w:val="none" w:sz="0" w:space="0" w:color="auto"/>
        <w:bottom w:val="none" w:sz="0" w:space="0" w:color="auto"/>
        <w:right w:val="none" w:sz="0" w:space="0" w:color="auto"/>
      </w:divBdr>
      <w:divsChild>
        <w:div w:id="770395381">
          <w:marLeft w:val="274"/>
          <w:marRight w:val="0"/>
          <w:marTop w:val="38"/>
          <w:marBottom w:val="0"/>
          <w:divBdr>
            <w:top w:val="none" w:sz="0" w:space="0" w:color="auto"/>
            <w:left w:val="none" w:sz="0" w:space="0" w:color="auto"/>
            <w:bottom w:val="none" w:sz="0" w:space="0" w:color="auto"/>
            <w:right w:val="none" w:sz="0" w:space="0" w:color="auto"/>
          </w:divBdr>
        </w:div>
      </w:divsChild>
    </w:div>
    <w:div w:id="1843426551">
      <w:bodyDiv w:val="1"/>
      <w:marLeft w:val="0"/>
      <w:marRight w:val="0"/>
      <w:marTop w:val="0"/>
      <w:marBottom w:val="0"/>
      <w:divBdr>
        <w:top w:val="none" w:sz="0" w:space="0" w:color="auto"/>
        <w:left w:val="none" w:sz="0" w:space="0" w:color="auto"/>
        <w:bottom w:val="none" w:sz="0" w:space="0" w:color="auto"/>
        <w:right w:val="none" w:sz="0" w:space="0" w:color="auto"/>
      </w:divBdr>
    </w:div>
    <w:div w:id="1844279605">
      <w:bodyDiv w:val="1"/>
      <w:marLeft w:val="0"/>
      <w:marRight w:val="0"/>
      <w:marTop w:val="0"/>
      <w:marBottom w:val="0"/>
      <w:divBdr>
        <w:top w:val="none" w:sz="0" w:space="0" w:color="auto"/>
        <w:left w:val="none" w:sz="0" w:space="0" w:color="auto"/>
        <w:bottom w:val="none" w:sz="0" w:space="0" w:color="auto"/>
        <w:right w:val="none" w:sz="0" w:space="0" w:color="auto"/>
      </w:divBdr>
    </w:div>
    <w:div w:id="1856191400">
      <w:bodyDiv w:val="1"/>
      <w:marLeft w:val="0"/>
      <w:marRight w:val="0"/>
      <w:marTop w:val="0"/>
      <w:marBottom w:val="0"/>
      <w:divBdr>
        <w:top w:val="none" w:sz="0" w:space="0" w:color="auto"/>
        <w:left w:val="none" w:sz="0" w:space="0" w:color="auto"/>
        <w:bottom w:val="none" w:sz="0" w:space="0" w:color="auto"/>
        <w:right w:val="none" w:sz="0" w:space="0" w:color="auto"/>
      </w:divBdr>
    </w:div>
    <w:div w:id="1857037916">
      <w:bodyDiv w:val="1"/>
      <w:marLeft w:val="0"/>
      <w:marRight w:val="0"/>
      <w:marTop w:val="0"/>
      <w:marBottom w:val="0"/>
      <w:divBdr>
        <w:top w:val="none" w:sz="0" w:space="0" w:color="auto"/>
        <w:left w:val="none" w:sz="0" w:space="0" w:color="auto"/>
        <w:bottom w:val="none" w:sz="0" w:space="0" w:color="auto"/>
        <w:right w:val="none" w:sz="0" w:space="0" w:color="auto"/>
      </w:divBdr>
      <w:divsChild>
        <w:div w:id="130631591">
          <w:marLeft w:val="274"/>
          <w:marRight w:val="0"/>
          <w:marTop w:val="38"/>
          <w:marBottom w:val="0"/>
          <w:divBdr>
            <w:top w:val="none" w:sz="0" w:space="0" w:color="auto"/>
            <w:left w:val="none" w:sz="0" w:space="0" w:color="auto"/>
            <w:bottom w:val="none" w:sz="0" w:space="0" w:color="auto"/>
            <w:right w:val="none" w:sz="0" w:space="0" w:color="auto"/>
          </w:divBdr>
        </w:div>
        <w:div w:id="1097948440">
          <w:marLeft w:val="274"/>
          <w:marRight w:val="0"/>
          <w:marTop w:val="38"/>
          <w:marBottom w:val="0"/>
          <w:divBdr>
            <w:top w:val="none" w:sz="0" w:space="0" w:color="auto"/>
            <w:left w:val="none" w:sz="0" w:space="0" w:color="auto"/>
            <w:bottom w:val="none" w:sz="0" w:space="0" w:color="auto"/>
            <w:right w:val="none" w:sz="0" w:space="0" w:color="auto"/>
          </w:divBdr>
        </w:div>
      </w:divsChild>
    </w:div>
    <w:div w:id="1862277261">
      <w:bodyDiv w:val="1"/>
      <w:marLeft w:val="0"/>
      <w:marRight w:val="0"/>
      <w:marTop w:val="0"/>
      <w:marBottom w:val="0"/>
      <w:divBdr>
        <w:top w:val="none" w:sz="0" w:space="0" w:color="auto"/>
        <w:left w:val="none" w:sz="0" w:space="0" w:color="auto"/>
        <w:bottom w:val="none" w:sz="0" w:space="0" w:color="auto"/>
        <w:right w:val="none" w:sz="0" w:space="0" w:color="auto"/>
      </w:divBdr>
      <w:divsChild>
        <w:div w:id="1336760115">
          <w:marLeft w:val="274"/>
          <w:marRight w:val="0"/>
          <w:marTop w:val="38"/>
          <w:marBottom w:val="0"/>
          <w:divBdr>
            <w:top w:val="none" w:sz="0" w:space="0" w:color="auto"/>
            <w:left w:val="none" w:sz="0" w:space="0" w:color="auto"/>
            <w:bottom w:val="none" w:sz="0" w:space="0" w:color="auto"/>
            <w:right w:val="none" w:sz="0" w:space="0" w:color="auto"/>
          </w:divBdr>
        </w:div>
      </w:divsChild>
    </w:div>
    <w:div w:id="1862667587">
      <w:bodyDiv w:val="1"/>
      <w:marLeft w:val="0"/>
      <w:marRight w:val="0"/>
      <w:marTop w:val="0"/>
      <w:marBottom w:val="0"/>
      <w:divBdr>
        <w:top w:val="none" w:sz="0" w:space="0" w:color="auto"/>
        <w:left w:val="none" w:sz="0" w:space="0" w:color="auto"/>
        <w:bottom w:val="none" w:sz="0" w:space="0" w:color="auto"/>
        <w:right w:val="none" w:sz="0" w:space="0" w:color="auto"/>
      </w:divBdr>
    </w:div>
    <w:div w:id="1866670880">
      <w:bodyDiv w:val="1"/>
      <w:marLeft w:val="0"/>
      <w:marRight w:val="0"/>
      <w:marTop w:val="0"/>
      <w:marBottom w:val="0"/>
      <w:divBdr>
        <w:top w:val="none" w:sz="0" w:space="0" w:color="auto"/>
        <w:left w:val="none" w:sz="0" w:space="0" w:color="auto"/>
        <w:bottom w:val="none" w:sz="0" w:space="0" w:color="auto"/>
        <w:right w:val="none" w:sz="0" w:space="0" w:color="auto"/>
      </w:divBdr>
    </w:div>
    <w:div w:id="1877622726">
      <w:bodyDiv w:val="1"/>
      <w:marLeft w:val="0"/>
      <w:marRight w:val="0"/>
      <w:marTop w:val="0"/>
      <w:marBottom w:val="0"/>
      <w:divBdr>
        <w:top w:val="none" w:sz="0" w:space="0" w:color="auto"/>
        <w:left w:val="none" w:sz="0" w:space="0" w:color="auto"/>
        <w:bottom w:val="none" w:sz="0" w:space="0" w:color="auto"/>
        <w:right w:val="none" w:sz="0" w:space="0" w:color="auto"/>
      </w:divBdr>
      <w:divsChild>
        <w:div w:id="1400395715">
          <w:marLeft w:val="274"/>
          <w:marRight w:val="0"/>
          <w:marTop w:val="38"/>
          <w:marBottom w:val="0"/>
          <w:divBdr>
            <w:top w:val="none" w:sz="0" w:space="0" w:color="auto"/>
            <w:left w:val="none" w:sz="0" w:space="0" w:color="auto"/>
            <w:bottom w:val="none" w:sz="0" w:space="0" w:color="auto"/>
            <w:right w:val="none" w:sz="0" w:space="0" w:color="auto"/>
          </w:divBdr>
        </w:div>
      </w:divsChild>
    </w:div>
    <w:div w:id="1884056274">
      <w:bodyDiv w:val="1"/>
      <w:marLeft w:val="0"/>
      <w:marRight w:val="0"/>
      <w:marTop w:val="0"/>
      <w:marBottom w:val="0"/>
      <w:divBdr>
        <w:top w:val="none" w:sz="0" w:space="0" w:color="auto"/>
        <w:left w:val="none" w:sz="0" w:space="0" w:color="auto"/>
        <w:bottom w:val="none" w:sz="0" w:space="0" w:color="auto"/>
        <w:right w:val="none" w:sz="0" w:space="0" w:color="auto"/>
      </w:divBdr>
      <w:divsChild>
        <w:div w:id="1165515512">
          <w:marLeft w:val="274"/>
          <w:marRight w:val="0"/>
          <w:marTop w:val="38"/>
          <w:marBottom w:val="0"/>
          <w:divBdr>
            <w:top w:val="none" w:sz="0" w:space="0" w:color="auto"/>
            <w:left w:val="none" w:sz="0" w:space="0" w:color="auto"/>
            <w:bottom w:val="none" w:sz="0" w:space="0" w:color="auto"/>
            <w:right w:val="none" w:sz="0" w:space="0" w:color="auto"/>
          </w:divBdr>
        </w:div>
      </w:divsChild>
    </w:div>
    <w:div w:id="1886603294">
      <w:bodyDiv w:val="1"/>
      <w:marLeft w:val="0"/>
      <w:marRight w:val="0"/>
      <w:marTop w:val="0"/>
      <w:marBottom w:val="0"/>
      <w:divBdr>
        <w:top w:val="none" w:sz="0" w:space="0" w:color="auto"/>
        <w:left w:val="none" w:sz="0" w:space="0" w:color="auto"/>
        <w:bottom w:val="none" w:sz="0" w:space="0" w:color="auto"/>
        <w:right w:val="none" w:sz="0" w:space="0" w:color="auto"/>
      </w:divBdr>
    </w:div>
    <w:div w:id="1901557720">
      <w:bodyDiv w:val="1"/>
      <w:marLeft w:val="0"/>
      <w:marRight w:val="0"/>
      <w:marTop w:val="0"/>
      <w:marBottom w:val="0"/>
      <w:divBdr>
        <w:top w:val="none" w:sz="0" w:space="0" w:color="auto"/>
        <w:left w:val="none" w:sz="0" w:space="0" w:color="auto"/>
        <w:bottom w:val="none" w:sz="0" w:space="0" w:color="auto"/>
        <w:right w:val="none" w:sz="0" w:space="0" w:color="auto"/>
      </w:divBdr>
      <w:divsChild>
        <w:div w:id="726536952">
          <w:marLeft w:val="446"/>
          <w:marRight w:val="0"/>
          <w:marTop w:val="120"/>
          <w:marBottom w:val="0"/>
          <w:divBdr>
            <w:top w:val="none" w:sz="0" w:space="0" w:color="auto"/>
            <w:left w:val="none" w:sz="0" w:space="0" w:color="auto"/>
            <w:bottom w:val="none" w:sz="0" w:space="0" w:color="auto"/>
            <w:right w:val="none" w:sz="0" w:space="0" w:color="auto"/>
          </w:divBdr>
        </w:div>
        <w:div w:id="1350254444">
          <w:marLeft w:val="1166"/>
          <w:marRight w:val="0"/>
          <w:marTop w:val="120"/>
          <w:marBottom w:val="0"/>
          <w:divBdr>
            <w:top w:val="none" w:sz="0" w:space="0" w:color="auto"/>
            <w:left w:val="none" w:sz="0" w:space="0" w:color="auto"/>
            <w:bottom w:val="none" w:sz="0" w:space="0" w:color="auto"/>
            <w:right w:val="none" w:sz="0" w:space="0" w:color="auto"/>
          </w:divBdr>
        </w:div>
        <w:div w:id="1402286572">
          <w:marLeft w:val="1166"/>
          <w:marRight w:val="0"/>
          <w:marTop w:val="120"/>
          <w:marBottom w:val="0"/>
          <w:divBdr>
            <w:top w:val="none" w:sz="0" w:space="0" w:color="auto"/>
            <w:left w:val="none" w:sz="0" w:space="0" w:color="auto"/>
            <w:bottom w:val="none" w:sz="0" w:space="0" w:color="auto"/>
            <w:right w:val="none" w:sz="0" w:space="0" w:color="auto"/>
          </w:divBdr>
        </w:div>
        <w:div w:id="1684353617">
          <w:marLeft w:val="1166"/>
          <w:marRight w:val="0"/>
          <w:marTop w:val="120"/>
          <w:marBottom w:val="0"/>
          <w:divBdr>
            <w:top w:val="none" w:sz="0" w:space="0" w:color="auto"/>
            <w:left w:val="none" w:sz="0" w:space="0" w:color="auto"/>
            <w:bottom w:val="none" w:sz="0" w:space="0" w:color="auto"/>
            <w:right w:val="none" w:sz="0" w:space="0" w:color="auto"/>
          </w:divBdr>
        </w:div>
        <w:div w:id="1975017787">
          <w:marLeft w:val="1166"/>
          <w:marRight w:val="0"/>
          <w:marTop w:val="120"/>
          <w:marBottom w:val="0"/>
          <w:divBdr>
            <w:top w:val="none" w:sz="0" w:space="0" w:color="auto"/>
            <w:left w:val="none" w:sz="0" w:space="0" w:color="auto"/>
            <w:bottom w:val="none" w:sz="0" w:space="0" w:color="auto"/>
            <w:right w:val="none" w:sz="0" w:space="0" w:color="auto"/>
          </w:divBdr>
        </w:div>
        <w:div w:id="2059351567">
          <w:marLeft w:val="1166"/>
          <w:marRight w:val="0"/>
          <w:marTop w:val="120"/>
          <w:marBottom w:val="0"/>
          <w:divBdr>
            <w:top w:val="none" w:sz="0" w:space="0" w:color="auto"/>
            <w:left w:val="none" w:sz="0" w:space="0" w:color="auto"/>
            <w:bottom w:val="none" w:sz="0" w:space="0" w:color="auto"/>
            <w:right w:val="none" w:sz="0" w:space="0" w:color="auto"/>
          </w:divBdr>
        </w:div>
      </w:divsChild>
    </w:div>
    <w:div w:id="1916351715">
      <w:bodyDiv w:val="1"/>
      <w:marLeft w:val="0"/>
      <w:marRight w:val="0"/>
      <w:marTop w:val="0"/>
      <w:marBottom w:val="0"/>
      <w:divBdr>
        <w:top w:val="none" w:sz="0" w:space="0" w:color="auto"/>
        <w:left w:val="none" w:sz="0" w:space="0" w:color="auto"/>
        <w:bottom w:val="none" w:sz="0" w:space="0" w:color="auto"/>
        <w:right w:val="none" w:sz="0" w:space="0" w:color="auto"/>
      </w:divBdr>
      <w:divsChild>
        <w:div w:id="634139244">
          <w:marLeft w:val="274"/>
          <w:marRight w:val="0"/>
          <w:marTop w:val="38"/>
          <w:marBottom w:val="0"/>
          <w:divBdr>
            <w:top w:val="none" w:sz="0" w:space="0" w:color="auto"/>
            <w:left w:val="none" w:sz="0" w:space="0" w:color="auto"/>
            <w:bottom w:val="none" w:sz="0" w:space="0" w:color="auto"/>
            <w:right w:val="none" w:sz="0" w:space="0" w:color="auto"/>
          </w:divBdr>
        </w:div>
        <w:div w:id="1058287109">
          <w:marLeft w:val="274"/>
          <w:marRight w:val="0"/>
          <w:marTop w:val="38"/>
          <w:marBottom w:val="0"/>
          <w:divBdr>
            <w:top w:val="none" w:sz="0" w:space="0" w:color="auto"/>
            <w:left w:val="none" w:sz="0" w:space="0" w:color="auto"/>
            <w:bottom w:val="none" w:sz="0" w:space="0" w:color="auto"/>
            <w:right w:val="none" w:sz="0" w:space="0" w:color="auto"/>
          </w:divBdr>
        </w:div>
        <w:div w:id="1984771645">
          <w:marLeft w:val="274"/>
          <w:marRight w:val="0"/>
          <w:marTop w:val="38"/>
          <w:marBottom w:val="0"/>
          <w:divBdr>
            <w:top w:val="none" w:sz="0" w:space="0" w:color="auto"/>
            <w:left w:val="none" w:sz="0" w:space="0" w:color="auto"/>
            <w:bottom w:val="none" w:sz="0" w:space="0" w:color="auto"/>
            <w:right w:val="none" w:sz="0" w:space="0" w:color="auto"/>
          </w:divBdr>
        </w:div>
      </w:divsChild>
    </w:div>
    <w:div w:id="1923678335">
      <w:bodyDiv w:val="1"/>
      <w:marLeft w:val="0"/>
      <w:marRight w:val="0"/>
      <w:marTop w:val="0"/>
      <w:marBottom w:val="0"/>
      <w:divBdr>
        <w:top w:val="none" w:sz="0" w:space="0" w:color="auto"/>
        <w:left w:val="none" w:sz="0" w:space="0" w:color="auto"/>
        <w:bottom w:val="none" w:sz="0" w:space="0" w:color="auto"/>
        <w:right w:val="none" w:sz="0" w:space="0" w:color="auto"/>
      </w:divBdr>
    </w:div>
    <w:div w:id="1927762879">
      <w:bodyDiv w:val="1"/>
      <w:marLeft w:val="0"/>
      <w:marRight w:val="0"/>
      <w:marTop w:val="0"/>
      <w:marBottom w:val="0"/>
      <w:divBdr>
        <w:top w:val="none" w:sz="0" w:space="0" w:color="auto"/>
        <w:left w:val="none" w:sz="0" w:space="0" w:color="auto"/>
        <w:bottom w:val="none" w:sz="0" w:space="0" w:color="auto"/>
        <w:right w:val="none" w:sz="0" w:space="0" w:color="auto"/>
      </w:divBdr>
    </w:div>
    <w:div w:id="1941714944">
      <w:bodyDiv w:val="1"/>
      <w:marLeft w:val="0"/>
      <w:marRight w:val="0"/>
      <w:marTop w:val="0"/>
      <w:marBottom w:val="0"/>
      <w:divBdr>
        <w:top w:val="none" w:sz="0" w:space="0" w:color="auto"/>
        <w:left w:val="none" w:sz="0" w:space="0" w:color="auto"/>
        <w:bottom w:val="none" w:sz="0" w:space="0" w:color="auto"/>
        <w:right w:val="none" w:sz="0" w:space="0" w:color="auto"/>
      </w:divBdr>
      <w:divsChild>
        <w:div w:id="975181939">
          <w:marLeft w:val="274"/>
          <w:marRight w:val="0"/>
          <w:marTop w:val="38"/>
          <w:marBottom w:val="0"/>
          <w:divBdr>
            <w:top w:val="none" w:sz="0" w:space="0" w:color="auto"/>
            <w:left w:val="none" w:sz="0" w:space="0" w:color="auto"/>
            <w:bottom w:val="none" w:sz="0" w:space="0" w:color="auto"/>
            <w:right w:val="none" w:sz="0" w:space="0" w:color="auto"/>
          </w:divBdr>
        </w:div>
      </w:divsChild>
    </w:div>
    <w:div w:id="1944535796">
      <w:bodyDiv w:val="1"/>
      <w:marLeft w:val="0"/>
      <w:marRight w:val="0"/>
      <w:marTop w:val="0"/>
      <w:marBottom w:val="0"/>
      <w:divBdr>
        <w:top w:val="none" w:sz="0" w:space="0" w:color="auto"/>
        <w:left w:val="none" w:sz="0" w:space="0" w:color="auto"/>
        <w:bottom w:val="none" w:sz="0" w:space="0" w:color="auto"/>
        <w:right w:val="none" w:sz="0" w:space="0" w:color="auto"/>
      </w:divBdr>
      <w:divsChild>
        <w:div w:id="1464346443">
          <w:marLeft w:val="274"/>
          <w:marRight w:val="0"/>
          <w:marTop w:val="38"/>
          <w:marBottom w:val="0"/>
          <w:divBdr>
            <w:top w:val="none" w:sz="0" w:space="0" w:color="auto"/>
            <w:left w:val="none" w:sz="0" w:space="0" w:color="auto"/>
            <w:bottom w:val="none" w:sz="0" w:space="0" w:color="auto"/>
            <w:right w:val="none" w:sz="0" w:space="0" w:color="auto"/>
          </w:divBdr>
        </w:div>
      </w:divsChild>
    </w:div>
    <w:div w:id="1955092985">
      <w:bodyDiv w:val="1"/>
      <w:marLeft w:val="0"/>
      <w:marRight w:val="0"/>
      <w:marTop w:val="0"/>
      <w:marBottom w:val="0"/>
      <w:divBdr>
        <w:top w:val="none" w:sz="0" w:space="0" w:color="auto"/>
        <w:left w:val="none" w:sz="0" w:space="0" w:color="auto"/>
        <w:bottom w:val="none" w:sz="0" w:space="0" w:color="auto"/>
        <w:right w:val="none" w:sz="0" w:space="0" w:color="auto"/>
      </w:divBdr>
    </w:div>
    <w:div w:id="1962875358">
      <w:bodyDiv w:val="1"/>
      <w:marLeft w:val="0"/>
      <w:marRight w:val="0"/>
      <w:marTop w:val="0"/>
      <w:marBottom w:val="0"/>
      <w:divBdr>
        <w:top w:val="none" w:sz="0" w:space="0" w:color="auto"/>
        <w:left w:val="none" w:sz="0" w:space="0" w:color="auto"/>
        <w:bottom w:val="none" w:sz="0" w:space="0" w:color="auto"/>
        <w:right w:val="none" w:sz="0" w:space="0" w:color="auto"/>
      </w:divBdr>
      <w:divsChild>
        <w:div w:id="393747698">
          <w:marLeft w:val="274"/>
          <w:marRight w:val="0"/>
          <w:marTop w:val="38"/>
          <w:marBottom w:val="0"/>
          <w:divBdr>
            <w:top w:val="none" w:sz="0" w:space="0" w:color="auto"/>
            <w:left w:val="none" w:sz="0" w:space="0" w:color="auto"/>
            <w:bottom w:val="none" w:sz="0" w:space="0" w:color="auto"/>
            <w:right w:val="none" w:sz="0" w:space="0" w:color="auto"/>
          </w:divBdr>
        </w:div>
        <w:div w:id="567228686">
          <w:marLeft w:val="274"/>
          <w:marRight w:val="0"/>
          <w:marTop w:val="38"/>
          <w:marBottom w:val="0"/>
          <w:divBdr>
            <w:top w:val="none" w:sz="0" w:space="0" w:color="auto"/>
            <w:left w:val="none" w:sz="0" w:space="0" w:color="auto"/>
            <w:bottom w:val="none" w:sz="0" w:space="0" w:color="auto"/>
            <w:right w:val="none" w:sz="0" w:space="0" w:color="auto"/>
          </w:divBdr>
        </w:div>
        <w:div w:id="1186863515">
          <w:marLeft w:val="274"/>
          <w:marRight w:val="0"/>
          <w:marTop w:val="38"/>
          <w:marBottom w:val="0"/>
          <w:divBdr>
            <w:top w:val="none" w:sz="0" w:space="0" w:color="auto"/>
            <w:left w:val="none" w:sz="0" w:space="0" w:color="auto"/>
            <w:bottom w:val="none" w:sz="0" w:space="0" w:color="auto"/>
            <w:right w:val="none" w:sz="0" w:space="0" w:color="auto"/>
          </w:divBdr>
        </w:div>
      </w:divsChild>
    </w:div>
    <w:div w:id="1962876693">
      <w:bodyDiv w:val="1"/>
      <w:marLeft w:val="0"/>
      <w:marRight w:val="0"/>
      <w:marTop w:val="0"/>
      <w:marBottom w:val="0"/>
      <w:divBdr>
        <w:top w:val="none" w:sz="0" w:space="0" w:color="auto"/>
        <w:left w:val="none" w:sz="0" w:space="0" w:color="auto"/>
        <w:bottom w:val="none" w:sz="0" w:space="0" w:color="auto"/>
        <w:right w:val="none" w:sz="0" w:space="0" w:color="auto"/>
      </w:divBdr>
    </w:div>
    <w:div w:id="1964337881">
      <w:bodyDiv w:val="1"/>
      <w:marLeft w:val="0"/>
      <w:marRight w:val="0"/>
      <w:marTop w:val="0"/>
      <w:marBottom w:val="0"/>
      <w:divBdr>
        <w:top w:val="none" w:sz="0" w:space="0" w:color="auto"/>
        <w:left w:val="none" w:sz="0" w:space="0" w:color="auto"/>
        <w:bottom w:val="none" w:sz="0" w:space="0" w:color="auto"/>
        <w:right w:val="none" w:sz="0" w:space="0" w:color="auto"/>
      </w:divBdr>
    </w:div>
    <w:div w:id="1965572865">
      <w:bodyDiv w:val="1"/>
      <w:marLeft w:val="0"/>
      <w:marRight w:val="0"/>
      <w:marTop w:val="0"/>
      <w:marBottom w:val="0"/>
      <w:divBdr>
        <w:top w:val="none" w:sz="0" w:space="0" w:color="auto"/>
        <w:left w:val="none" w:sz="0" w:space="0" w:color="auto"/>
        <w:bottom w:val="none" w:sz="0" w:space="0" w:color="auto"/>
        <w:right w:val="none" w:sz="0" w:space="0" w:color="auto"/>
      </w:divBdr>
      <w:divsChild>
        <w:div w:id="603852627">
          <w:marLeft w:val="274"/>
          <w:marRight w:val="0"/>
          <w:marTop w:val="38"/>
          <w:marBottom w:val="0"/>
          <w:divBdr>
            <w:top w:val="none" w:sz="0" w:space="0" w:color="auto"/>
            <w:left w:val="none" w:sz="0" w:space="0" w:color="auto"/>
            <w:bottom w:val="none" w:sz="0" w:space="0" w:color="auto"/>
            <w:right w:val="none" w:sz="0" w:space="0" w:color="auto"/>
          </w:divBdr>
        </w:div>
      </w:divsChild>
    </w:div>
    <w:div w:id="1988893878">
      <w:bodyDiv w:val="1"/>
      <w:marLeft w:val="0"/>
      <w:marRight w:val="0"/>
      <w:marTop w:val="0"/>
      <w:marBottom w:val="0"/>
      <w:divBdr>
        <w:top w:val="none" w:sz="0" w:space="0" w:color="auto"/>
        <w:left w:val="none" w:sz="0" w:space="0" w:color="auto"/>
        <w:bottom w:val="none" w:sz="0" w:space="0" w:color="auto"/>
        <w:right w:val="none" w:sz="0" w:space="0" w:color="auto"/>
      </w:divBdr>
    </w:div>
    <w:div w:id="1989018341">
      <w:bodyDiv w:val="1"/>
      <w:marLeft w:val="0"/>
      <w:marRight w:val="0"/>
      <w:marTop w:val="0"/>
      <w:marBottom w:val="0"/>
      <w:divBdr>
        <w:top w:val="none" w:sz="0" w:space="0" w:color="auto"/>
        <w:left w:val="none" w:sz="0" w:space="0" w:color="auto"/>
        <w:bottom w:val="none" w:sz="0" w:space="0" w:color="auto"/>
        <w:right w:val="none" w:sz="0" w:space="0" w:color="auto"/>
      </w:divBdr>
    </w:div>
    <w:div w:id="1997368531">
      <w:bodyDiv w:val="1"/>
      <w:marLeft w:val="0"/>
      <w:marRight w:val="0"/>
      <w:marTop w:val="0"/>
      <w:marBottom w:val="0"/>
      <w:divBdr>
        <w:top w:val="none" w:sz="0" w:space="0" w:color="auto"/>
        <w:left w:val="none" w:sz="0" w:space="0" w:color="auto"/>
        <w:bottom w:val="none" w:sz="0" w:space="0" w:color="auto"/>
        <w:right w:val="none" w:sz="0" w:space="0" w:color="auto"/>
      </w:divBdr>
      <w:divsChild>
        <w:div w:id="1156458432">
          <w:marLeft w:val="274"/>
          <w:marRight w:val="0"/>
          <w:marTop w:val="38"/>
          <w:marBottom w:val="0"/>
          <w:divBdr>
            <w:top w:val="none" w:sz="0" w:space="0" w:color="auto"/>
            <w:left w:val="none" w:sz="0" w:space="0" w:color="auto"/>
            <w:bottom w:val="none" w:sz="0" w:space="0" w:color="auto"/>
            <w:right w:val="none" w:sz="0" w:space="0" w:color="auto"/>
          </w:divBdr>
        </w:div>
        <w:div w:id="1866020355">
          <w:marLeft w:val="274"/>
          <w:marRight w:val="0"/>
          <w:marTop w:val="38"/>
          <w:marBottom w:val="0"/>
          <w:divBdr>
            <w:top w:val="none" w:sz="0" w:space="0" w:color="auto"/>
            <w:left w:val="none" w:sz="0" w:space="0" w:color="auto"/>
            <w:bottom w:val="none" w:sz="0" w:space="0" w:color="auto"/>
            <w:right w:val="none" w:sz="0" w:space="0" w:color="auto"/>
          </w:divBdr>
        </w:div>
      </w:divsChild>
    </w:div>
    <w:div w:id="2001537106">
      <w:bodyDiv w:val="1"/>
      <w:marLeft w:val="0"/>
      <w:marRight w:val="0"/>
      <w:marTop w:val="0"/>
      <w:marBottom w:val="0"/>
      <w:divBdr>
        <w:top w:val="none" w:sz="0" w:space="0" w:color="auto"/>
        <w:left w:val="none" w:sz="0" w:space="0" w:color="auto"/>
        <w:bottom w:val="none" w:sz="0" w:space="0" w:color="auto"/>
        <w:right w:val="none" w:sz="0" w:space="0" w:color="auto"/>
      </w:divBdr>
      <w:divsChild>
        <w:div w:id="48848328">
          <w:marLeft w:val="274"/>
          <w:marRight w:val="0"/>
          <w:marTop w:val="38"/>
          <w:marBottom w:val="0"/>
          <w:divBdr>
            <w:top w:val="none" w:sz="0" w:space="0" w:color="auto"/>
            <w:left w:val="none" w:sz="0" w:space="0" w:color="auto"/>
            <w:bottom w:val="none" w:sz="0" w:space="0" w:color="auto"/>
            <w:right w:val="none" w:sz="0" w:space="0" w:color="auto"/>
          </w:divBdr>
        </w:div>
        <w:div w:id="902906445">
          <w:marLeft w:val="274"/>
          <w:marRight w:val="0"/>
          <w:marTop w:val="38"/>
          <w:marBottom w:val="0"/>
          <w:divBdr>
            <w:top w:val="none" w:sz="0" w:space="0" w:color="auto"/>
            <w:left w:val="none" w:sz="0" w:space="0" w:color="auto"/>
            <w:bottom w:val="none" w:sz="0" w:space="0" w:color="auto"/>
            <w:right w:val="none" w:sz="0" w:space="0" w:color="auto"/>
          </w:divBdr>
        </w:div>
      </w:divsChild>
    </w:div>
    <w:div w:id="2006081705">
      <w:bodyDiv w:val="1"/>
      <w:marLeft w:val="0"/>
      <w:marRight w:val="0"/>
      <w:marTop w:val="0"/>
      <w:marBottom w:val="0"/>
      <w:divBdr>
        <w:top w:val="none" w:sz="0" w:space="0" w:color="auto"/>
        <w:left w:val="none" w:sz="0" w:space="0" w:color="auto"/>
        <w:bottom w:val="none" w:sz="0" w:space="0" w:color="auto"/>
        <w:right w:val="none" w:sz="0" w:space="0" w:color="auto"/>
      </w:divBdr>
    </w:div>
    <w:div w:id="2006351714">
      <w:bodyDiv w:val="1"/>
      <w:marLeft w:val="0"/>
      <w:marRight w:val="0"/>
      <w:marTop w:val="0"/>
      <w:marBottom w:val="0"/>
      <w:divBdr>
        <w:top w:val="none" w:sz="0" w:space="0" w:color="auto"/>
        <w:left w:val="none" w:sz="0" w:space="0" w:color="auto"/>
        <w:bottom w:val="none" w:sz="0" w:space="0" w:color="auto"/>
        <w:right w:val="none" w:sz="0" w:space="0" w:color="auto"/>
      </w:divBdr>
      <w:divsChild>
        <w:div w:id="1341616162">
          <w:marLeft w:val="274"/>
          <w:marRight w:val="0"/>
          <w:marTop w:val="38"/>
          <w:marBottom w:val="0"/>
          <w:divBdr>
            <w:top w:val="none" w:sz="0" w:space="0" w:color="auto"/>
            <w:left w:val="none" w:sz="0" w:space="0" w:color="auto"/>
            <w:bottom w:val="none" w:sz="0" w:space="0" w:color="auto"/>
            <w:right w:val="none" w:sz="0" w:space="0" w:color="auto"/>
          </w:divBdr>
        </w:div>
      </w:divsChild>
    </w:div>
    <w:div w:id="2011443958">
      <w:bodyDiv w:val="1"/>
      <w:marLeft w:val="0"/>
      <w:marRight w:val="0"/>
      <w:marTop w:val="0"/>
      <w:marBottom w:val="0"/>
      <w:divBdr>
        <w:top w:val="none" w:sz="0" w:space="0" w:color="auto"/>
        <w:left w:val="none" w:sz="0" w:space="0" w:color="auto"/>
        <w:bottom w:val="none" w:sz="0" w:space="0" w:color="auto"/>
        <w:right w:val="none" w:sz="0" w:space="0" w:color="auto"/>
      </w:divBdr>
    </w:div>
    <w:div w:id="2021202603">
      <w:bodyDiv w:val="1"/>
      <w:marLeft w:val="0"/>
      <w:marRight w:val="0"/>
      <w:marTop w:val="0"/>
      <w:marBottom w:val="0"/>
      <w:divBdr>
        <w:top w:val="none" w:sz="0" w:space="0" w:color="auto"/>
        <w:left w:val="none" w:sz="0" w:space="0" w:color="auto"/>
        <w:bottom w:val="none" w:sz="0" w:space="0" w:color="auto"/>
        <w:right w:val="none" w:sz="0" w:space="0" w:color="auto"/>
      </w:divBdr>
      <w:divsChild>
        <w:div w:id="1629436778">
          <w:marLeft w:val="274"/>
          <w:marRight w:val="0"/>
          <w:marTop w:val="38"/>
          <w:marBottom w:val="0"/>
          <w:divBdr>
            <w:top w:val="none" w:sz="0" w:space="0" w:color="auto"/>
            <w:left w:val="none" w:sz="0" w:space="0" w:color="auto"/>
            <w:bottom w:val="none" w:sz="0" w:space="0" w:color="auto"/>
            <w:right w:val="none" w:sz="0" w:space="0" w:color="auto"/>
          </w:divBdr>
        </w:div>
        <w:div w:id="1826816425">
          <w:marLeft w:val="274"/>
          <w:marRight w:val="0"/>
          <w:marTop w:val="38"/>
          <w:marBottom w:val="0"/>
          <w:divBdr>
            <w:top w:val="none" w:sz="0" w:space="0" w:color="auto"/>
            <w:left w:val="none" w:sz="0" w:space="0" w:color="auto"/>
            <w:bottom w:val="none" w:sz="0" w:space="0" w:color="auto"/>
            <w:right w:val="none" w:sz="0" w:space="0" w:color="auto"/>
          </w:divBdr>
        </w:div>
        <w:div w:id="1905136731">
          <w:marLeft w:val="274"/>
          <w:marRight w:val="0"/>
          <w:marTop w:val="38"/>
          <w:marBottom w:val="0"/>
          <w:divBdr>
            <w:top w:val="none" w:sz="0" w:space="0" w:color="auto"/>
            <w:left w:val="none" w:sz="0" w:space="0" w:color="auto"/>
            <w:bottom w:val="none" w:sz="0" w:space="0" w:color="auto"/>
            <w:right w:val="none" w:sz="0" w:space="0" w:color="auto"/>
          </w:divBdr>
        </w:div>
      </w:divsChild>
    </w:div>
    <w:div w:id="2023429516">
      <w:bodyDiv w:val="1"/>
      <w:marLeft w:val="0"/>
      <w:marRight w:val="0"/>
      <w:marTop w:val="0"/>
      <w:marBottom w:val="0"/>
      <w:divBdr>
        <w:top w:val="none" w:sz="0" w:space="0" w:color="auto"/>
        <w:left w:val="none" w:sz="0" w:space="0" w:color="auto"/>
        <w:bottom w:val="none" w:sz="0" w:space="0" w:color="auto"/>
        <w:right w:val="none" w:sz="0" w:space="0" w:color="auto"/>
      </w:divBdr>
      <w:divsChild>
        <w:div w:id="1727601589">
          <w:marLeft w:val="446"/>
          <w:marRight w:val="0"/>
          <w:marTop w:val="120"/>
          <w:marBottom w:val="0"/>
          <w:divBdr>
            <w:top w:val="none" w:sz="0" w:space="0" w:color="auto"/>
            <w:left w:val="none" w:sz="0" w:space="0" w:color="auto"/>
            <w:bottom w:val="none" w:sz="0" w:space="0" w:color="auto"/>
            <w:right w:val="none" w:sz="0" w:space="0" w:color="auto"/>
          </w:divBdr>
        </w:div>
      </w:divsChild>
    </w:div>
    <w:div w:id="2025204420">
      <w:bodyDiv w:val="1"/>
      <w:marLeft w:val="0"/>
      <w:marRight w:val="0"/>
      <w:marTop w:val="0"/>
      <w:marBottom w:val="0"/>
      <w:divBdr>
        <w:top w:val="none" w:sz="0" w:space="0" w:color="auto"/>
        <w:left w:val="none" w:sz="0" w:space="0" w:color="auto"/>
        <w:bottom w:val="none" w:sz="0" w:space="0" w:color="auto"/>
        <w:right w:val="none" w:sz="0" w:space="0" w:color="auto"/>
      </w:divBdr>
      <w:divsChild>
        <w:div w:id="264770917">
          <w:marLeft w:val="274"/>
          <w:marRight w:val="0"/>
          <w:marTop w:val="38"/>
          <w:marBottom w:val="0"/>
          <w:divBdr>
            <w:top w:val="none" w:sz="0" w:space="0" w:color="auto"/>
            <w:left w:val="none" w:sz="0" w:space="0" w:color="auto"/>
            <w:bottom w:val="none" w:sz="0" w:space="0" w:color="auto"/>
            <w:right w:val="none" w:sz="0" w:space="0" w:color="auto"/>
          </w:divBdr>
        </w:div>
        <w:div w:id="281503641">
          <w:marLeft w:val="274"/>
          <w:marRight w:val="0"/>
          <w:marTop w:val="38"/>
          <w:marBottom w:val="0"/>
          <w:divBdr>
            <w:top w:val="none" w:sz="0" w:space="0" w:color="auto"/>
            <w:left w:val="none" w:sz="0" w:space="0" w:color="auto"/>
            <w:bottom w:val="none" w:sz="0" w:space="0" w:color="auto"/>
            <w:right w:val="none" w:sz="0" w:space="0" w:color="auto"/>
          </w:divBdr>
        </w:div>
      </w:divsChild>
    </w:div>
    <w:div w:id="2034921466">
      <w:bodyDiv w:val="1"/>
      <w:marLeft w:val="0"/>
      <w:marRight w:val="0"/>
      <w:marTop w:val="0"/>
      <w:marBottom w:val="0"/>
      <w:divBdr>
        <w:top w:val="none" w:sz="0" w:space="0" w:color="auto"/>
        <w:left w:val="none" w:sz="0" w:space="0" w:color="auto"/>
        <w:bottom w:val="none" w:sz="0" w:space="0" w:color="auto"/>
        <w:right w:val="none" w:sz="0" w:space="0" w:color="auto"/>
      </w:divBdr>
      <w:divsChild>
        <w:div w:id="1320498176">
          <w:marLeft w:val="274"/>
          <w:marRight w:val="0"/>
          <w:marTop w:val="38"/>
          <w:marBottom w:val="0"/>
          <w:divBdr>
            <w:top w:val="none" w:sz="0" w:space="0" w:color="auto"/>
            <w:left w:val="none" w:sz="0" w:space="0" w:color="auto"/>
            <w:bottom w:val="none" w:sz="0" w:space="0" w:color="auto"/>
            <w:right w:val="none" w:sz="0" w:space="0" w:color="auto"/>
          </w:divBdr>
        </w:div>
      </w:divsChild>
    </w:div>
    <w:div w:id="2040664021">
      <w:bodyDiv w:val="1"/>
      <w:marLeft w:val="0"/>
      <w:marRight w:val="0"/>
      <w:marTop w:val="0"/>
      <w:marBottom w:val="0"/>
      <w:divBdr>
        <w:top w:val="none" w:sz="0" w:space="0" w:color="auto"/>
        <w:left w:val="none" w:sz="0" w:space="0" w:color="auto"/>
        <w:bottom w:val="none" w:sz="0" w:space="0" w:color="auto"/>
        <w:right w:val="none" w:sz="0" w:space="0" w:color="auto"/>
      </w:divBdr>
      <w:divsChild>
        <w:div w:id="435370708">
          <w:marLeft w:val="274"/>
          <w:marRight w:val="0"/>
          <w:marTop w:val="38"/>
          <w:marBottom w:val="0"/>
          <w:divBdr>
            <w:top w:val="none" w:sz="0" w:space="0" w:color="auto"/>
            <w:left w:val="none" w:sz="0" w:space="0" w:color="auto"/>
            <w:bottom w:val="none" w:sz="0" w:space="0" w:color="auto"/>
            <w:right w:val="none" w:sz="0" w:space="0" w:color="auto"/>
          </w:divBdr>
        </w:div>
        <w:div w:id="1472871308">
          <w:marLeft w:val="274"/>
          <w:marRight w:val="0"/>
          <w:marTop w:val="38"/>
          <w:marBottom w:val="0"/>
          <w:divBdr>
            <w:top w:val="none" w:sz="0" w:space="0" w:color="auto"/>
            <w:left w:val="none" w:sz="0" w:space="0" w:color="auto"/>
            <w:bottom w:val="none" w:sz="0" w:space="0" w:color="auto"/>
            <w:right w:val="none" w:sz="0" w:space="0" w:color="auto"/>
          </w:divBdr>
        </w:div>
      </w:divsChild>
    </w:div>
    <w:div w:id="2042509311">
      <w:bodyDiv w:val="1"/>
      <w:marLeft w:val="0"/>
      <w:marRight w:val="0"/>
      <w:marTop w:val="0"/>
      <w:marBottom w:val="0"/>
      <w:divBdr>
        <w:top w:val="none" w:sz="0" w:space="0" w:color="auto"/>
        <w:left w:val="none" w:sz="0" w:space="0" w:color="auto"/>
        <w:bottom w:val="none" w:sz="0" w:space="0" w:color="auto"/>
        <w:right w:val="none" w:sz="0" w:space="0" w:color="auto"/>
      </w:divBdr>
      <w:divsChild>
        <w:div w:id="1001851156">
          <w:marLeft w:val="547"/>
          <w:marRight w:val="0"/>
          <w:marTop w:val="77"/>
          <w:marBottom w:val="0"/>
          <w:divBdr>
            <w:top w:val="none" w:sz="0" w:space="0" w:color="auto"/>
            <w:left w:val="none" w:sz="0" w:space="0" w:color="auto"/>
            <w:bottom w:val="none" w:sz="0" w:space="0" w:color="auto"/>
            <w:right w:val="none" w:sz="0" w:space="0" w:color="auto"/>
          </w:divBdr>
        </w:div>
        <w:div w:id="1755081385">
          <w:marLeft w:val="1166"/>
          <w:marRight w:val="0"/>
          <w:marTop w:val="67"/>
          <w:marBottom w:val="0"/>
          <w:divBdr>
            <w:top w:val="none" w:sz="0" w:space="0" w:color="auto"/>
            <w:left w:val="none" w:sz="0" w:space="0" w:color="auto"/>
            <w:bottom w:val="none" w:sz="0" w:space="0" w:color="auto"/>
            <w:right w:val="none" w:sz="0" w:space="0" w:color="auto"/>
          </w:divBdr>
        </w:div>
      </w:divsChild>
    </w:div>
    <w:div w:id="2055808940">
      <w:bodyDiv w:val="1"/>
      <w:marLeft w:val="0"/>
      <w:marRight w:val="0"/>
      <w:marTop w:val="0"/>
      <w:marBottom w:val="0"/>
      <w:divBdr>
        <w:top w:val="none" w:sz="0" w:space="0" w:color="auto"/>
        <w:left w:val="none" w:sz="0" w:space="0" w:color="auto"/>
        <w:bottom w:val="none" w:sz="0" w:space="0" w:color="auto"/>
        <w:right w:val="none" w:sz="0" w:space="0" w:color="auto"/>
      </w:divBdr>
    </w:div>
    <w:div w:id="2067140083">
      <w:bodyDiv w:val="1"/>
      <w:marLeft w:val="0"/>
      <w:marRight w:val="0"/>
      <w:marTop w:val="0"/>
      <w:marBottom w:val="0"/>
      <w:divBdr>
        <w:top w:val="none" w:sz="0" w:space="0" w:color="auto"/>
        <w:left w:val="none" w:sz="0" w:space="0" w:color="auto"/>
        <w:bottom w:val="none" w:sz="0" w:space="0" w:color="auto"/>
        <w:right w:val="none" w:sz="0" w:space="0" w:color="auto"/>
      </w:divBdr>
      <w:divsChild>
        <w:div w:id="1901357383">
          <w:marLeft w:val="274"/>
          <w:marRight w:val="0"/>
          <w:marTop w:val="58"/>
          <w:marBottom w:val="0"/>
          <w:divBdr>
            <w:top w:val="none" w:sz="0" w:space="0" w:color="auto"/>
            <w:left w:val="none" w:sz="0" w:space="0" w:color="auto"/>
            <w:bottom w:val="none" w:sz="0" w:space="0" w:color="auto"/>
            <w:right w:val="none" w:sz="0" w:space="0" w:color="auto"/>
          </w:divBdr>
        </w:div>
      </w:divsChild>
    </w:div>
    <w:div w:id="2073963654">
      <w:bodyDiv w:val="1"/>
      <w:marLeft w:val="0"/>
      <w:marRight w:val="0"/>
      <w:marTop w:val="0"/>
      <w:marBottom w:val="0"/>
      <w:divBdr>
        <w:top w:val="none" w:sz="0" w:space="0" w:color="auto"/>
        <w:left w:val="none" w:sz="0" w:space="0" w:color="auto"/>
        <w:bottom w:val="none" w:sz="0" w:space="0" w:color="auto"/>
        <w:right w:val="none" w:sz="0" w:space="0" w:color="auto"/>
      </w:divBdr>
      <w:divsChild>
        <w:div w:id="261766562">
          <w:marLeft w:val="274"/>
          <w:marRight w:val="0"/>
          <w:marTop w:val="38"/>
          <w:marBottom w:val="0"/>
          <w:divBdr>
            <w:top w:val="none" w:sz="0" w:space="0" w:color="auto"/>
            <w:left w:val="none" w:sz="0" w:space="0" w:color="auto"/>
            <w:bottom w:val="none" w:sz="0" w:space="0" w:color="auto"/>
            <w:right w:val="none" w:sz="0" w:space="0" w:color="auto"/>
          </w:divBdr>
        </w:div>
      </w:divsChild>
    </w:div>
    <w:div w:id="2085105356">
      <w:bodyDiv w:val="1"/>
      <w:marLeft w:val="0"/>
      <w:marRight w:val="0"/>
      <w:marTop w:val="0"/>
      <w:marBottom w:val="0"/>
      <w:divBdr>
        <w:top w:val="none" w:sz="0" w:space="0" w:color="auto"/>
        <w:left w:val="none" w:sz="0" w:space="0" w:color="auto"/>
        <w:bottom w:val="none" w:sz="0" w:space="0" w:color="auto"/>
        <w:right w:val="none" w:sz="0" w:space="0" w:color="auto"/>
      </w:divBdr>
      <w:divsChild>
        <w:div w:id="414936939">
          <w:marLeft w:val="274"/>
          <w:marRight w:val="0"/>
          <w:marTop w:val="38"/>
          <w:marBottom w:val="0"/>
          <w:divBdr>
            <w:top w:val="none" w:sz="0" w:space="0" w:color="auto"/>
            <w:left w:val="none" w:sz="0" w:space="0" w:color="auto"/>
            <w:bottom w:val="none" w:sz="0" w:space="0" w:color="auto"/>
            <w:right w:val="none" w:sz="0" w:space="0" w:color="auto"/>
          </w:divBdr>
        </w:div>
      </w:divsChild>
    </w:div>
    <w:div w:id="2086149243">
      <w:bodyDiv w:val="1"/>
      <w:marLeft w:val="0"/>
      <w:marRight w:val="0"/>
      <w:marTop w:val="0"/>
      <w:marBottom w:val="0"/>
      <w:divBdr>
        <w:top w:val="none" w:sz="0" w:space="0" w:color="auto"/>
        <w:left w:val="none" w:sz="0" w:space="0" w:color="auto"/>
        <w:bottom w:val="none" w:sz="0" w:space="0" w:color="auto"/>
        <w:right w:val="none" w:sz="0" w:space="0" w:color="auto"/>
      </w:divBdr>
    </w:div>
    <w:div w:id="2105372076">
      <w:bodyDiv w:val="1"/>
      <w:marLeft w:val="0"/>
      <w:marRight w:val="0"/>
      <w:marTop w:val="0"/>
      <w:marBottom w:val="0"/>
      <w:divBdr>
        <w:top w:val="none" w:sz="0" w:space="0" w:color="auto"/>
        <w:left w:val="none" w:sz="0" w:space="0" w:color="auto"/>
        <w:bottom w:val="none" w:sz="0" w:space="0" w:color="auto"/>
        <w:right w:val="none" w:sz="0" w:space="0" w:color="auto"/>
      </w:divBdr>
      <w:divsChild>
        <w:div w:id="916208410">
          <w:marLeft w:val="0"/>
          <w:marRight w:val="0"/>
          <w:marTop w:val="0"/>
          <w:marBottom w:val="0"/>
          <w:divBdr>
            <w:top w:val="none" w:sz="0" w:space="0" w:color="auto"/>
            <w:left w:val="none" w:sz="0" w:space="0" w:color="auto"/>
            <w:bottom w:val="none" w:sz="0" w:space="0" w:color="auto"/>
            <w:right w:val="none" w:sz="0" w:space="0" w:color="auto"/>
          </w:divBdr>
        </w:div>
        <w:div w:id="1073624094">
          <w:marLeft w:val="0"/>
          <w:marRight w:val="0"/>
          <w:marTop w:val="0"/>
          <w:marBottom w:val="0"/>
          <w:divBdr>
            <w:top w:val="none" w:sz="0" w:space="0" w:color="auto"/>
            <w:left w:val="none" w:sz="0" w:space="0" w:color="auto"/>
            <w:bottom w:val="none" w:sz="0" w:space="0" w:color="auto"/>
            <w:right w:val="none" w:sz="0" w:space="0" w:color="auto"/>
          </w:divBdr>
        </w:div>
        <w:div w:id="1543441887">
          <w:marLeft w:val="0"/>
          <w:marRight w:val="0"/>
          <w:marTop w:val="0"/>
          <w:marBottom w:val="0"/>
          <w:divBdr>
            <w:top w:val="none" w:sz="0" w:space="0" w:color="auto"/>
            <w:left w:val="none" w:sz="0" w:space="0" w:color="auto"/>
            <w:bottom w:val="none" w:sz="0" w:space="0" w:color="auto"/>
            <w:right w:val="none" w:sz="0" w:space="0" w:color="auto"/>
          </w:divBdr>
        </w:div>
        <w:div w:id="2054428597">
          <w:marLeft w:val="0"/>
          <w:marRight w:val="0"/>
          <w:marTop w:val="0"/>
          <w:marBottom w:val="0"/>
          <w:divBdr>
            <w:top w:val="none" w:sz="0" w:space="0" w:color="auto"/>
            <w:left w:val="none" w:sz="0" w:space="0" w:color="auto"/>
            <w:bottom w:val="none" w:sz="0" w:space="0" w:color="auto"/>
            <w:right w:val="none" w:sz="0" w:space="0" w:color="auto"/>
          </w:divBdr>
        </w:div>
        <w:div w:id="2057123468">
          <w:marLeft w:val="0"/>
          <w:marRight w:val="0"/>
          <w:marTop w:val="0"/>
          <w:marBottom w:val="0"/>
          <w:divBdr>
            <w:top w:val="none" w:sz="0" w:space="0" w:color="auto"/>
            <w:left w:val="none" w:sz="0" w:space="0" w:color="auto"/>
            <w:bottom w:val="none" w:sz="0" w:space="0" w:color="auto"/>
            <w:right w:val="none" w:sz="0" w:space="0" w:color="auto"/>
          </w:divBdr>
        </w:div>
      </w:divsChild>
    </w:div>
    <w:div w:id="2128809114">
      <w:bodyDiv w:val="1"/>
      <w:marLeft w:val="0"/>
      <w:marRight w:val="0"/>
      <w:marTop w:val="0"/>
      <w:marBottom w:val="0"/>
      <w:divBdr>
        <w:top w:val="none" w:sz="0" w:space="0" w:color="auto"/>
        <w:left w:val="none" w:sz="0" w:space="0" w:color="auto"/>
        <w:bottom w:val="none" w:sz="0" w:space="0" w:color="auto"/>
        <w:right w:val="none" w:sz="0" w:space="0" w:color="auto"/>
      </w:divBdr>
      <w:divsChild>
        <w:div w:id="1680964043">
          <w:marLeft w:val="274"/>
          <w:marRight w:val="0"/>
          <w:marTop w:val="38"/>
          <w:marBottom w:val="0"/>
          <w:divBdr>
            <w:top w:val="none" w:sz="0" w:space="0" w:color="auto"/>
            <w:left w:val="none" w:sz="0" w:space="0" w:color="auto"/>
            <w:bottom w:val="none" w:sz="0" w:space="0" w:color="auto"/>
            <w:right w:val="none" w:sz="0" w:space="0" w:color="auto"/>
          </w:divBdr>
        </w:div>
      </w:divsChild>
    </w:div>
    <w:div w:id="2132817082">
      <w:bodyDiv w:val="1"/>
      <w:marLeft w:val="0"/>
      <w:marRight w:val="0"/>
      <w:marTop w:val="0"/>
      <w:marBottom w:val="0"/>
      <w:divBdr>
        <w:top w:val="none" w:sz="0" w:space="0" w:color="auto"/>
        <w:left w:val="none" w:sz="0" w:space="0" w:color="auto"/>
        <w:bottom w:val="none" w:sz="0" w:space="0" w:color="auto"/>
        <w:right w:val="none" w:sz="0" w:space="0" w:color="auto"/>
      </w:divBdr>
      <w:divsChild>
        <w:div w:id="109007714">
          <w:marLeft w:val="274"/>
          <w:marRight w:val="0"/>
          <w:marTop w:val="38"/>
          <w:marBottom w:val="0"/>
          <w:divBdr>
            <w:top w:val="none" w:sz="0" w:space="0" w:color="auto"/>
            <w:left w:val="none" w:sz="0" w:space="0" w:color="auto"/>
            <w:bottom w:val="none" w:sz="0" w:space="0" w:color="auto"/>
            <w:right w:val="none" w:sz="0" w:space="0" w:color="auto"/>
          </w:divBdr>
        </w:div>
      </w:divsChild>
    </w:div>
    <w:div w:id="2135638984">
      <w:bodyDiv w:val="1"/>
      <w:marLeft w:val="0"/>
      <w:marRight w:val="0"/>
      <w:marTop w:val="0"/>
      <w:marBottom w:val="0"/>
      <w:divBdr>
        <w:top w:val="none" w:sz="0" w:space="0" w:color="auto"/>
        <w:left w:val="none" w:sz="0" w:space="0" w:color="auto"/>
        <w:bottom w:val="none" w:sz="0" w:space="0" w:color="auto"/>
        <w:right w:val="none" w:sz="0" w:space="0" w:color="auto"/>
      </w:divBdr>
      <w:divsChild>
        <w:div w:id="1608659224">
          <w:marLeft w:val="274"/>
          <w:marRight w:val="0"/>
          <w:marTop w:val="58"/>
          <w:marBottom w:val="0"/>
          <w:divBdr>
            <w:top w:val="none" w:sz="0" w:space="0" w:color="auto"/>
            <w:left w:val="none" w:sz="0" w:space="0" w:color="auto"/>
            <w:bottom w:val="none" w:sz="0" w:space="0" w:color="auto"/>
            <w:right w:val="none" w:sz="0" w:space="0" w:color="auto"/>
          </w:divBdr>
        </w:div>
        <w:div w:id="1622611696">
          <w:marLeft w:val="274"/>
          <w:marRight w:val="0"/>
          <w:marTop w:val="58"/>
          <w:marBottom w:val="0"/>
          <w:divBdr>
            <w:top w:val="none" w:sz="0" w:space="0" w:color="auto"/>
            <w:left w:val="none" w:sz="0" w:space="0" w:color="auto"/>
            <w:bottom w:val="none" w:sz="0" w:space="0" w:color="auto"/>
            <w:right w:val="none" w:sz="0" w:space="0" w:color="auto"/>
          </w:divBdr>
        </w:div>
      </w:divsChild>
    </w:div>
    <w:div w:id="2139444516">
      <w:bodyDiv w:val="1"/>
      <w:marLeft w:val="0"/>
      <w:marRight w:val="0"/>
      <w:marTop w:val="0"/>
      <w:marBottom w:val="0"/>
      <w:divBdr>
        <w:top w:val="none" w:sz="0" w:space="0" w:color="auto"/>
        <w:left w:val="none" w:sz="0" w:space="0" w:color="auto"/>
        <w:bottom w:val="none" w:sz="0" w:space="0" w:color="auto"/>
        <w:right w:val="none" w:sz="0" w:space="0" w:color="auto"/>
      </w:divBdr>
      <w:divsChild>
        <w:div w:id="464852249">
          <w:marLeft w:val="720"/>
          <w:marRight w:val="0"/>
          <w:marTop w:val="101"/>
          <w:marBottom w:val="101"/>
          <w:divBdr>
            <w:top w:val="none" w:sz="0" w:space="0" w:color="auto"/>
            <w:left w:val="none" w:sz="0" w:space="0" w:color="auto"/>
            <w:bottom w:val="none" w:sz="0" w:space="0" w:color="auto"/>
            <w:right w:val="none" w:sz="0" w:space="0" w:color="auto"/>
          </w:divBdr>
        </w:div>
        <w:div w:id="1109819291">
          <w:marLeft w:val="720"/>
          <w:marRight w:val="0"/>
          <w:marTop w:val="101"/>
          <w:marBottom w:val="101"/>
          <w:divBdr>
            <w:top w:val="none" w:sz="0" w:space="0" w:color="auto"/>
            <w:left w:val="none" w:sz="0" w:space="0" w:color="auto"/>
            <w:bottom w:val="none" w:sz="0" w:space="0" w:color="auto"/>
            <w:right w:val="none" w:sz="0" w:space="0" w:color="auto"/>
          </w:divBdr>
        </w:div>
        <w:div w:id="1198734854">
          <w:marLeft w:val="720"/>
          <w:marRight w:val="0"/>
          <w:marTop w:val="101"/>
          <w:marBottom w:val="101"/>
          <w:divBdr>
            <w:top w:val="none" w:sz="0" w:space="0" w:color="auto"/>
            <w:left w:val="none" w:sz="0" w:space="0" w:color="auto"/>
            <w:bottom w:val="none" w:sz="0" w:space="0" w:color="auto"/>
            <w:right w:val="none" w:sz="0" w:space="0" w:color="auto"/>
          </w:divBdr>
        </w:div>
        <w:div w:id="1479541662">
          <w:marLeft w:val="0"/>
          <w:marRight w:val="0"/>
          <w:marTop w:val="86"/>
          <w:marBottom w:val="86"/>
          <w:divBdr>
            <w:top w:val="none" w:sz="0" w:space="0" w:color="auto"/>
            <w:left w:val="none" w:sz="0" w:space="0" w:color="auto"/>
            <w:bottom w:val="none" w:sz="0" w:space="0" w:color="auto"/>
            <w:right w:val="none" w:sz="0" w:space="0" w:color="auto"/>
          </w:divBdr>
        </w:div>
        <w:div w:id="1904562410">
          <w:marLeft w:val="720"/>
          <w:marRight w:val="0"/>
          <w:marTop w:val="101"/>
          <w:marBottom w:val="101"/>
          <w:divBdr>
            <w:top w:val="none" w:sz="0" w:space="0" w:color="auto"/>
            <w:left w:val="none" w:sz="0" w:space="0" w:color="auto"/>
            <w:bottom w:val="none" w:sz="0" w:space="0" w:color="auto"/>
            <w:right w:val="none" w:sz="0" w:space="0" w:color="auto"/>
          </w:divBdr>
        </w:div>
        <w:div w:id="1962689366">
          <w:marLeft w:val="720"/>
          <w:marRight w:val="0"/>
          <w:marTop w:val="101"/>
          <w:marBottom w:val="101"/>
          <w:divBdr>
            <w:top w:val="none" w:sz="0" w:space="0" w:color="auto"/>
            <w:left w:val="none" w:sz="0" w:space="0" w:color="auto"/>
            <w:bottom w:val="none" w:sz="0" w:space="0" w:color="auto"/>
            <w:right w:val="none" w:sz="0" w:space="0" w:color="auto"/>
          </w:divBdr>
        </w:div>
        <w:div w:id="2109620313">
          <w:marLeft w:val="720"/>
          <w:marRight w:val="0"/>
          <w:marTop w:val="101"/>
          <w:marBottom w:val="101"/>
          <w:divBdr>
            <w:top w:val="none" w:sz="0" w:space="0" w:color="auto"/>
            <w:left w:val="none" w:sz="0" w:space="0" w:color="auto"/>
            <w:bottom w:val="none" w:sz="0" w:space="0" w:color="auto"/>
            <w:right w:val="none" w:sz="0" w:space="0" w:color="auto"/>
          </w:divBdr>
        </w:div>
      </w:divsChild>
    </w:div>
    <w:div w:id="2147121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3.png"/><Relationship Id="rId45" Type="http://schemas.openxmlformats.org/officeDocument/2006/relationships/image" Target="media/image38.emf"/><Relationship Id="rId53" Type="http://schemas.openxmlformats.org/officeDocument/2006/relationships/image" Target="media/image46.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emf"/><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_rels/footnotes.xml.rels><?xml version="1.0" encoding="UTF-8" standalone="yes"?>
<Relationships xmlns="http://schemas.openxmlformats.org/package/2006/relationships"><Relationship Id="rId8" Type="http://schemas.openxmlformats.org/officeDocument/2006/relationships/hyperlink" Target="https://www.ift.org.mx/industria/consultas-publicas/consulta-publica-sobre-los-modelos-de-costos-para-la-determinacion-de-tarifas-de-interconexion" TargetMode="External"/><Relationship Id="rId3" Type="http://schemas.openxmlformats.org/officeDocument/2006/relationships/hyperlink" Target="http://www.arcep.fr/uploads/tx_gsavis/05-0834.pdf" TargetMode="External"/><Relationship Id="rId7" Type="http://schemas.openxmlformats.org/officeDocument/2006/relationships/hyperlink" Target="https://www.banxico.org.mx/publicaciones-y-prensa/encuestas-sobre-las-expectativas-de-los-especialis/%7B384D2689-12A4-02F7-8B3A-D18F36B3281A%7D.pdf" TargetMode="External"/><Relationship Id="rId2" Type="http://schemas.openxmlformats.org/officeDocument/2006/relationships/hyperlink" Target="http://www.comreg.ie/_fileupload/publications/ComReg1567.pdf" TargetMode="External"/><Relationship Id="rId1" Type="http://schemas.openxmlformats.org/officeDocument/2006/relationships/hyperlink" Target="http://www.ift.org.mx/industria/consultas-publicas/consulta-publica-sobre-el-modelo-de-costos-para-determinar-las-tarifas-de-acceso-para-la" TargetMode="External"/><Relationship Id="rId6" Type="http://schemas.openxmlformats.org/officeDocument/2006/relationships/hyperlink" Target="https://www.itu.int/en/ITU-D/Regulatory-Market/Documents/CostEvents/2014/Namibia/Session%207-WACC.pdf" TargetMode="External"/><Relationship Id="rId5" Type="http://schemas.openxmlformats.org/officeDocument/2006/relationships/hyperlink" Target="https://www.ift.org.mx/industria/consultas-publicas/consulta-publica-sobre-los-modelos-de-costos-para-la-determinacion-de-tarifas-de-interconexion" TargetMode="External"/><Relationship Id="rId4" Type="http://schemas.openxmlformats.org/officeDocument/2006/relationships/hyperlink" Target="http://www.nkom.no/marked/markedsregulering-smp/kostnadsmodeller/lric-fastnett-aksess" TargetMode="External"/></Relationships>
</file>

<file path=word/theme/theme1.xml><?xml version="1.0" encoding="utf-8"?>
<a:theme xmlns:a="http://schemas.openxmlformats.org/drawingml/2006/main" name="Thème Office">
  <a:themeElements>
    <a:clrScheme name="Exécutif">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FD3A95-C85A-42C2-9552-D79BD0EC6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29110</Words>
  <Characters>160105</Characters>
  <Application>Microsoft Office Word</Application>
  <DocSecurity>0</DocSecurity>
  <Lines>1334</Lines>
  <Paragraphs>377</Paragraphs>
  <ScaleCrop>false</ScaleCrop>
  <Company/>
  <LinksUpToDate>false</LinksUpToDate>
  <CharactersWithSpaces>188838</CharactersWithSpaces>
  <SharedDoc>false</SharedDoc>
  <HLinks>
    <vt:vector size="72" baseType="variant">
      <vt:variant>
        <vt:i4>1638460</vt:i4>
      </vt:variant>
      <vt:variant>
        <vt:i4>86</vt:i4>
      </vt:variant>
      <vt:variant>
        <vt:i4>0</vt:i4>
      </vt:variant>
      <vt:variant>
        <vt:i4>5</vt:i4>
      </vt:variant>
      <vt:variant>
        <vt:lpwstr/>
      </vt:variant>
      <vt:variant>
        <vt:lpwstr>_Toc246407892</vt:lpwstr>
      </vt:variant>
      <vt:variant>
        <vt:i4>1638460</vt:i4>
      </vt:variant>
      <vt:variant>
        <vt:i4>77</vt:i4>
      </vt:variant>
      <vt:variant>
        <vt:i4>0</vt:i4>
      </vt:variant>
      <vt:variant>
        <vt:i4>5</vt:i4>
      </vt:variant>
      <vt:variant>
        <vt:lpwstr/>
      </vt:variant>
      <vt:variant>
        <vt:lpwstr>_Toc246407891</vt:lpwstr>
      </vt:variant>
      <vt:variant>
        <vt:i4>1638460</vt:i4>
      </vt:variant>
      <vt:variant>
        <vt:i4>68</vt:i4>
      </vt:variant>
      <vt:variant>
        <vt:i4>0</vt:i4>
      </vt:variant>
      <vt:variant>
        <vt:i4>5</vt:i4>
      </vt:variant>
      <vt:variant>
        <vt:lpwstr/>
      </vt:variant>
      <vt:variant>
        <vt:lpwstr>_Toc246407890</vt:lpwstr>
      </vt:variant>
      <vt:variant>
        <vt:i4>1572924</vt:i4>
      </vt:variant>
      <vt:variant>
        <vt:i4>50</vt:i4>
      </vt:variant>
      <vt:variant>
        <vt:i4>0</vt:i4>
      </vt:variant>
      <vt:variant>
        <vt:i4>5</vt:i4>
      </vt:variant>
      <vt:variant>
        <vt:lpwstr/>
      </vt:variant>
      <vt:variant>
        <vt:lpwstr>_Toc246407889</vt:lpwstr>
      </vt:variant>
      <vt:variant>
        <vt:i4>1572924</vt:i4>
      </vt:variant>
      <vt:variant>
        <vt:i4>44</vt:i4>
      </vt:variant>
      <vt:variant>
        <vt:i4>0</vt:i4>
      </vt:variant>
      <vt:variant>
        <vt:i4>5</vt:i4>
      </vt:variant>
      <vt:variant>
        <vt:lpwstr/>
      </vt:variant>
      <vt:variant>
        <vt:lpwstr>_Toc246407888</vt:lpwstr>
      </vt:variant>
      <vt:variant>
        <vt:i4>1572924</vt:i4>
      </vt:variant>
      <vt:variant>
        <vt:i4>38</vt:i4>
      </vt:variant>
      <vt:variant>
        <vt:i4>0</vt:i4>
      </vt:variant>
      <vt:variant>
        <vt:i4>5</vt:i4>
      </vt:variant>
      <vt:variant>
        <vt:lpwstr/>
      </vt:variant>
      <vt:variant>
        <vt:lpwstr>_Toc246407887</vt:lpwstr>
      </vt:variant>
      <vt:variant>
        <vt:i4>1572924</vt:i4>
      </vt:variant>
      <vt:variant>
        <vt:i4>32</vt:i4>
      </vt:variant>
      <vt:variant>
        <vt:i4>0</vt:i4>
      </vt:variant>
      <vt:variant>
        <vt:i4>5</vt:i4>
      </vt:variant>
      <vt:variant>
        <vt:lpwstr/>
      </vt:variant>
      <vt:variant>
        <vt:lpwstr>_Toc246407886</vt:lpwstr>
      </vt:variant>
      <vt:variant>
        <vt:i4>1572924</vt:i4>
      </vt:variant>
      <vt:variant>
        <vt:i4>26</vt:i4>
      </vt:variant>
      <vt:variant>
        <vt:i4>0</vt:i4>
      </vt:variant>
      <vt:variant>
        <vt:i4>5</vt:i4>
      </vt:variant>
      <vt:variant>
        <vt:lpwstr/>
      </vt:variant>
      <vt:variant>
        <vt:lpwstr>_Toc246407885</vt:lpwstr>
      </vt:variant>
      <vt:variant>
        <vt:i4>1572924</vt:i4>
      </vt:variant>
      <vt:variant>
        <vt:i4>20</vt:i4>
      </vt:variant>
      <vt:variant>
        <vt:i4>0</vt:i4>
      </vt:variant>
      <vt:variant>
        <vt:i4>5</vt:i4>
      </vt:variant>
      <vt:variant>
        <vt:lpwstr/>
      </vt:variant>
      <vt:variant>
        <vt:lpwstr>_Toc246407884</vt:lpwstr>
      </vt:variant>
      <vt:variant>
        <vt:i4>1572924</vt:i4>
      </vt:variant>
      <vt:variant>
        <vt:i4>14</vt:i4>
      </vt:variant>
      <vt:variant>
        <vt:i4>0</vt:i4>
      </vt:variant>
      <vt:variant>
        <vt:i4>5</vt:i4>
      </vt:variant>
      <vt:variant>
        <vt:lpwstr/>
      </vt:variant>
      <vt:variant>
        <vt:lpwstr>_Toc246407883</vt:lpwstr>
      </vt:variant>
      <vt:variant>
        <vt:i4>1572924</vt:i4>
      </vt:variant>
      <vt:variant>
        <vt:i4>8</vt:i4>
      </vt:variant>
      <vt:variant>
        <vt:i4>0</vt:i4>
      </vt:variant>
      <vt:variant>
        <vt:i4>5</vt:i4>
      </vt:variant>
      <vt:variant>
        <vt:lpwstr/>
      </vt:variant>
      <vt:variant>
        <vt:lpwstr>_Toc246407882</vt:lpwstr>
      </vt:variant>
      <vt:variant>
        <vt:i4>1572924</vt:i4>
      </vt:variant>
      <vt:variant>
        <vt:i4>2</vt:i4>
      </vt:variant>
      <vt:variant>
        <vt:i4>0</vt:i4>
      </vt:variant>
      <vt:variant>
        <vt:i4>5</vt:i4>
      </vt:variant>
      <vt:variant>
        <vt:lpwstr/>
      </vt:variant>
      <vt:variant>
        <vt:lpwstr>_Toc246407881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2023-08-08T16:42:00Z</dcterms:created>
  <dcterms:modified xsi:type="dcterms:W3CDTF">2023-08-08T16:42:00Z</dcterms:modified>
</cp:coreProperties>
</file>