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47037" w14:textId="002DEDAF" w:rsidR="00F76790" w:rsidRDefault="003A2B0B">
      <w:r w:rsidRPr="003C6247">
        <w:rPr>
          <w:noProof/>
        </w:rPr>
        <mc:AlternateContent>
          <mc:Choice Requires="wps">
            <w:drawing>
              <wp:anchor distT="0" distB="0" distL="114300" distR="114300" simplePos="0" relativeHeight="251658240" behindDoc="1" locked="0" layoutInCell="1" allowOverlap="1" wp14:anchorId="01B1EAD9" wp14:editId="38C606A7">
                <wp:simplePos x="0" y="0"/>
                <wp:positionH relativeFrom="margin">
                  <wp:posOffset>-467995</wp:posOffset>
                </wp:positionH>
                <wp:positionV relativeFrom="margin">
                  <wp:posOffset>-741045</wp:posOffset>
                </wp:positionV>
                <wp:extent cx="7753350" cy="11411585"/>
                <wp:effectExtent l="0" t="0" r="19050" b="374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11411585"/>
                        </a:xfrm>
                        <a:prstGeom prst="rect">
                          <a:avLst/>
                        </a:prstGeom>
                        <a:gradFill rotWithShape="0">
                          <a:gsLst>
                            <a:gs pos="0">
                              <a:srgbClr val="0C2749"/>
                            </a:gs>
                            <a:gs pos="100000">
                              <a:srgbClr val="CED4DB"/>
                            </a:gs>
                          </a:gsLst>
                          <a:lin ang="2700000" scaled="1"/>
                        </a:gradFill>
                        <a:ln>
                          <a:noFill/>
                        </a:ln>
                        <a:effectLst>
                          <a:outerShdw dist="28398" dir="3806097" algn="ctr" rotWithShape="0">
                            <a:srgbClr val="203864">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1C89522" id="Rectangle 40" o:spid="_x0000_s1026" style="position:absolute;margin-left:-36.85pt;margin-top:-58.35pt;width:610.5pt;height:89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" fillcolor="#0c2749" stroked="f" strokecolor="#f2f2f2" strokeweight="3pt">
                <v:fill color2="#ced4db" angle="45" focus="100%" type="gradient"/>
                <v:shadow on="t" color="#203864" opacity=".5" offset="1pt"/>
                <w10:wrap anchorx="margin" anchory="margin"/>
              </v:rect>
            </w:pict>
          </mc:Fallback>
        </mc:AlternateContent>
      </w:r>
      <w:r w:rsidR="0011291A" w:rsidRPr="003C6247">
        <w:rPr>
          <w:noProof/>
        </w:rPr>
        <mc:AlternateContent>
          <mc:Choice Requires="wps">
            <w:drawing>
              <wp:anchor distT="45720" distB="45720" distL="114300" distR="114300" simplePos="0" relativeHeight="251658241" behindDoc="1" locked="1" layoutInCell="1" allowOverlap="1" wp14:anchorId="4707F9F8" wp14:editId="1FFA0E82">
                <wp:simplePos x="0" y="0"/>
                <wp:positionH relativeFrom="page">
                  <wp:posOffset>329565</wp:posOffset>
                </wp:positionH>
                <wp:positionV relativeFrom="page">
                  <wp:posOffset>6932295</wp:posOffset>
                </wp:positionV>
                <wp:extent cx="7327900" cy="2924175"/>
                <wp:effectExtent l="0" t="0" r="635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2924175"/>
                        </a:xfrm>
                        <a:prstGeom prst="rect">
                          <a:avLst/>
                        </a:prstGeom>
                        <a:solidFill>
                          <a:srgbClr val="0C2749">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1BF4A" w14:textId="4F397CCD" w:rsidR="00C94357" w:rsidRDefault="00C94357" w:rsidP="00B953AE">
                            <w:pPr>
                              <w:spacing w:before="0" w:after="360" w:line="240" w:lineRule="auto"/>
                              <w:jc w:val="right"/>
                              <w:rPr>
                                <w:b/>
                                <w:bCs/>
                                <w:color w:val="FFFFFF" w:themeColor="background1"/>
                                <w:sz w:val="44"/>
                                <w:szCs w:val="44"/>
                              </w:rPr>
                            </w:pPr>
                            <w:r>
                              <w:rPr>
                                <w:b/>
                                <w:bCs/>
                                <w:color w:val="FFFFFF" w:themeColor="background1"/>
                                <w:sz w:val="44"/>
                                <w:szCs w:val="44"/>
                              </w:rPr>
                              <w:t>Documento metodológico de a</w:t>
                            </w:r>
                            <w:r w:rsidRPr="00B953AE">
                              <w:rPr>
                                <w:b/>
                                <w:bCs/>
                                <w:color w:val="FFFFFF" w:themeColor="background1"/>
                                <w:sz w:val="44"/>
                                <w:szCs w:val="44"/>
                              </w:rPr>
                              <w:t>ctualización del Modelo Integral d</w:t>
                            </w:r>
                            <w:r>
                              <w:rPr>
                                <w:b/>
                                <w:bCs/>
                                <w:color w:val="FFFFFF" w:themeColor="background1"/>
                                <w:sz w:val="44"/>
                                <w:szCs w:val="44"/>
                              </w:rPr>
                              <w:t xml:space="preserve">e </w:t>
                            </w:r>
                            <w:r w:rsidRPr="00B953AE">
                              <w:rPr>
                                <w:b/>
                                <w:bCs/>
                                <w:color w:val="FFFFFF" w:themeColor="background1"/>
                                <w:sz w:val="44"/>
                                <w:szCs w:val="44"/>
                              </w:rPr>
                              <w:t>Red de Acceso Fija 2023</w:t>
                            </w:r>
                          </w:p>
                          <w:p w14:paraId="496B1870" w14:textId="35116FD7" w:rsidR="00C94357" w:rsidRPr="001F77A9" w:rsidRDefault="00C94357" w:rsidP="00AA0E92">
                            <w:pPr>
                              <w:spacing w:before="0" w:after="360" w:line="240" w:lineRule="auto"/>
                              <w:jc w:val="right"/>
                              <w:rPr>
                                <w:i/>
                                <w:iCs/>
                                <w:color w:val="FFFFFF" w:themeColor="background1"/>
                                <w:sz w:val="22"/>
                                <w:szCs w:val="28"/>
                              </w:rPr>
                            </w:pPr>
                            <w:r w:rsidRPr="00B953AE">
                              <w:rPr>
                                <w:b/>
                                <w:bCs/>
                                <w:color w:val="FFFFFF" w:themeColor="background1"/>
                                <w:sz w:val="44"/>
                                <w:szCs w:val="44"/>
                              </w:rPr>
                              <w:t xml:space="preserve"> </w:t>
                            </w:r>
                          </w:p>
                        </w:txbxContent>
                      </wps:txbx>
                      <wps:bodyPr rot="0" vert="horz" wrap="square" lIns="91440" tIns="45720" rIns="86400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707F9F8" id="_x0000_t202" coordsize="21600,21600" o:spt="202" path="m,l,21600r21600,l21600,xe">
                <v:stroke joinstyle="miter"/>
                <v:path gradientshapeok="t" o:connecttype="rect"/>
              </v:shapetype>
              <v:shape id="Text Box 39" o:spid="_x0000_s1026" type="#_x0000_t202" style="position:absolute;left:0;text-align:left;margin-left:25.95pt;margin-top:545.85pt;width:577pt;height:230.2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" fillcolor="#0c2749" stroked="f">
                <v:fill opacity="41377f"/>
                <v:textbox inset=",,24mm">
                  <w:txbxContent>
                    <w:p w14:paraId="6A41BF4A" w14:textId="4F397CCD" w:rsidR="00C94357" w:rsidRDefault="00C94357" w:rsidP="00B953AE">
                      <w:pPr>
                        <w:spacing w:before="0" w:after="360" w:line="240" w:lineRule="auto"/>
                        <w:jc w:val="right"/>
                        <w:rPr>
                          <w:b/>
                          <w:bCs/>
                          <w:color w:val="FFFFFF" w:themeColor="background1"/>
                          <w:sz w:val="44"/>
                          <w:szCs w:val="44"/>
                        </w:rPr>
                      </w:pPr>
                      <w:r>
                        <w:rPr>
                          <w:b/>
                          <w:bCs/>
                          <w:color w:val="FFFFFF" w:themeColor="background1"/>
                          <w:sz w:val="44"/>
                          <w:szCs w:val="44"/>
                        </w:rPr>
                        <w:t>Documento metodológico de a</w:t>
                      </w:r>
                      <w:r w:rsidRPr="00B953AE">
                        <w:rPr>
                          <w:b/>
                          <w:bCs/>
                          <w:color w:val="FFFFFF" w:themeColor="background1"/>
                          <w:sz w:val="44"/>
                          <w:szCs w:val="44"/>
                        </w:rPr>
                        <w:t>ctualización del Modelo Integral d</w:t>
                      </w:r>
                      <w:r>
                        <w:rPr>
                          <w:b/>
                          <w:bCs/>
                          <w:color w:val="FFFFFF" w:themeColor="background1"/>
                          <w:sz w:val="44"/>
                          <w:szCs w:val="44"/>
                        </w:rPr>
                        <w:t xml:space="preserve">e </w:t>
                      </w:r>
                      <w:r w:rsidRPr="00B953AE">
                        <w:rPr>
                          <w:b/>
                          <w:bCs/>
                          <w:color w:val="FFFFFF" w:themeColor="background1"/>
                          <w:sz w:val="44"/>
                          <w:szCs w:val="44"/>
                        </w:rPr>
                        <w:t>Red de Acceso Fija 2023</w:t>
                      </w:r>
                    </w:p>
                    <w:p w14:paraId="496B1870" w14:textId="35116FD7" w:rsidR="00C94357" w:rsidRPr="001F77A9" w:rsidRDefault="00C94357" w:rsidP="00AA0E92">
                      <w:pPr>
                        <w:spacing w:before="0" w:after="360" w:line="240" w:lineRule="auto"/>
                        <w:jc w:val="right"/>
                        <w:rPr>
                          <w:i/>
                          <w:iCs/>
                          <w:color w:val="FFFFFF" w:themeColor="background1"/>
                          <w:sz w:val="22"/>
                          <w:szCs w:val="28"/>
                        </w:rPr>
                      </w:pPr>
                      <w:r w:rsidRPr="00B953AE">
                        <w:rPr>
                          <w:b/>
                          <w:bCs/>
                          <w:color w:val="FFFFFF" w:themeColor="background1"/>
                          <w:sz w:val="44"/>
                          <w:szCs w:val="44"/>
                        </w:rPr>
                        <w:t xml:space="preserve"> </w:t>
                      </w:r>
                    </w:p>
                  </w:txbxContent>
                </v:textbox>
                <w10:wrap anchorx="page" anchory="page"/>
                <w10:anchorlock/>
              </v:shape>
            </w:pict>
          </mc:Fallback>
        </mc:AlternateContent>
      </w:r>
    </w:p>
    <w:p w14:paraId="2FA1CA12" w14:textId="77777777" w:rsidR="00F76790" w:rsidRDefault="00F76790"/>
    <w:p w14:paraId="6CD1D114" w14:textId="13D10E12" w:rsidR="00F76790" w:rsidRDefault="00F76790"/>
    <w:p w14:paraId="484EE37A" w14:textId="056AF25E" w:rsidR="00F76790" w:rsidRDefault="00F76790"/>
    <w:p w14:paraId="157998DD" w14:textId="77777777" w:rsidR="00F76790" w:rsidRDefault="00F76790"/>
    <w:p w14:paraId="74EA0C15" w14:textId="77777777" w:rsidR="00F76790" w:rsidRDefault="00F76790"/>
    <w:p w14:paraId="51DE6B80" w14:textId="77777777" w:rsidR="00FA5DFC" w:rsidRDefault="00FA5DFC">
      <w:pPr>
        <w:sectPr w:rsidR="00FA5DFC" w:rsidSect="00B9550F">
          <w:pgSz w:w="11906" w:h="16838"/>
          <w:pgMar w:top="567" w:right="567" w:bottom="567" w:left="567" w:header="709" w:footer="709" w:gutter="0"/>
          <w:cols w:space="708"/>
          <w:docGrid w:linePitch="360"/>
        </w:sectPr>
      </w:pPr>
    </w:p>
    <w:p w14:paraId="5CCF00AA" w14:textId="5EB27938" w:rsidR="006C3D5D" w:rsidRDefault="006C3D5D"/>
    <w:p w14:paraId="0C595A92" w14:textId="77777777" w:rsidR="006C3D5D" w:rsidRDefault="006C3D5D">
      <w:pPr>
        <w:sectPr w:rsidR="006C3D5D" w:rsidSect="00C33D9C">
          <w:pgSz w:w="11906" w:h="16838"/>
          <w:pgMar w:top="1418" w:right="1418" w:bottom="1418" w:left="1418" w:header="709" w:footer="709" w:gutter="0"/>
          <w:cols w:space="708"/>
          <w:docGrid w:linePitch="360"/>
        </w:sectPr>
      </w:pPr>
    </w:p>
    <w:p w14:paraId="5AF43A3A" w14:textId="0316EF7E" w:rsidR="006C3D5D" w:rsidRDefault="00BA657D" w:rsidP="00503BBB">
      <w:pPr>
        <w:pStyle w:val="Ttulo1"/>
        <w:numPr>
          <w:ilvl w:val="0"/>
          <w:numId w:val="0"/>
        </w:numPr>
        <w:ind w:left="432" w:hanging="432"/>
      </w:pPr>
      <w:bookmarkStart w:id="0" w:name="_Toc142388395"/>
      <w:r>
        <w:lastRenderedPageBreak/>
        <w:t>Conten</w:t>
      </w:r>
      <w:r w:rsidR="00E92D59">
        <w:t>idos</w:t>
      </w:r>
      <w:bookmarkEnd w:id="0"/>
    </w:p>
    <w:p w14:paraId="06E8E836" w14:textId="68D3A63D" w:rsidR="00F650FD" w:rsidRDefault="004709C6">
      <w:pPr>
        <w:pStyle w:val="TDC1"/>
        <w:tabs>
          <w:tab w:val="right" w:leader="dot" w:pos="9060"/>
        </w:tabs>
        <w:rPr>
          <w:rFonts w:eastAsiaTheme="minorEastAsia"/>
          <w:b w:val="0"/>
          <w:smallCaps w:val="0"/>
          <w:noProof/>
          <w:kern w:val="2"/>
          <w:sz w:val="22"/>
          <w:lang w:val="en-US"/>
          <w14:ligatures w14:val="standardContextual"/>
        </w:rPr>
      </w:pPr>
      <w:r>
        <w:fldChar w:fldCharType="begin"/>
      </w:r>
      <w:r>
        <w:instrText xml:space="preserve"> TOC \o "1-3" \h \z \u </w:instrText>
      </w:r>
      <w:r>
        <w:fldChar w:fldCharType="separate"/>
      </w:r>
      <w:hyperlink w:anchor="_Toc142388395" w:history="1">
        <w:r w:rsidR="00F650FD" w:rsidRPr="00B711E1">
          <w:rPr>
            <w:rStyle w:val="Hipervnculo"/>
            <w:noProof/>
          </w:rPr>
          <w:t>Contenidos</w:t>
        </w:r>
        <w:r w:rsidR="00F650FD">
          <w:rPr>
            <w:noProof/>
            <w:webHidden/>
          </w:rPr>
          <w:tab/>
        </w:r>
        <w:r w:rsidR="00F650FD">
          <w:rPr>
            <w:noProof/>
            <w:webHidden/>
          </w:rPr>
          <w:fldChar w:fldCharType="begin"/>
        </w:r>
        <w:r w:rsidR="00F650FD">
          <w:rPr>
            <w:noProof/>
            <w:webHidden/>
          </w:rPr>
          <w:instrText xml:space="preserve"> PAGEREF _Toc142388395 \h </w:instrText>
        </w:r>
        <w:r w:rsidR="00F650FD">
          <w:rPr>
            <w:noProof/>
            <w:webHidden/>
          </w:rPr>
        </w:r>
        <w:r w:rsidR="00F650FD">
          <w:rPr>
            <w:noProof/>
            <w:webHidden/>
          </w:rPr>
          <w:fldChar w:fldCharType="separate"/>
        </w:r>
        <w:r w:rsidR="007F1816">
          <w:rPr>
            <w:noProof/>
            <w:webHidden/>
          </w:rPr>
          <w:t>i</w:t>
        </w:r>
        <w:r w:rsidR="00F650FD">
          <w:rPr>
            <w:noProof/>
            <w:webHidden/>
          </w:rPr>
          <w:fldChar w:fldCharType="end"/>
        </w:r>
      </w:hyperlink>
    </w:p>
    <w:p w14:paraId="302126CD" w14:textId="2F3CD138" w:rsidR="00F650FD" w:rsidRDefault="00477ACD">
      <w:pPr>
        <w:pStyle w:val="TDC1"/>
        <w:tabs>
          <w:tab w:val="left" w:pos="660"/>
          <w:tab w:val="right" w:leader="dot" w:pos="9060"/>
        </w:tabs>
        <w:rPr>
          <w:rFonts w:eastAsiaTheme="minorEastAsia"/>
          <w:b w:val="0"/>
          <w:smallCaps w:val="0"/>
          <w:noProof/>
          <w:kern w:val="2"/>
          <w:sz w:val="22"/>
          <w:lang w:val="en-US"/>
          <w14:ligatures w14:val="standardContextual"/>
        </w:rPr>
      </w:pPr>
      <w:hyperlink w:anchor="_Toc142388396" w:history="1">
        <w:r w:rsidR="00F650FD" w:rsidRPr="00B711E1">
          <w:rPr>
            <w:rStyle w:val="Hipervnculo"/>
            <w:noProof/>
          </w:rPr>
          <w:t>1.</w:t>
        </w:r>
        <w:r w:rsidR="00F650FD">
          <w:rPr>
            <w:rFonts w:eastAsiaTheme="minorEastAsia"/>
            <w:b w:val="0"/>
            <w:smallCaps w:val="0"/>
            <w:noProof/>
            <w:kern w:val="2"/>
            <w:sz w:val="22"/>
            <w:lang w:val="en-US"/>
            <w14:ligatures w14:val="standardContextual"/>
          </w:rPr>
          <w:tab/>
        </w:r>
        <w:r w:rsidR="00F650FD" w:rsidRPr="00B711E1">
          <w:rPr>
            <w:rStyle w:val="Hipervnculo"/>
            <w:noProof/>
          </w:rPr>
          <w:t>Introducción</w:t>
        </w:r>
        <w:r w:rsidR="00F650FD">
          <w:rPr>
            <w:noProof/>
            <w:webHidden/>
          </w:rPr>
          <w:tab/>
        </w:r>
        <w:r w:rsidR="00F650FD">
          <w:rPr>
            <w:noProof/>
            <w:webHidden/>
          </w:rPr>
          <w:fldChar w:fldCharType="begin"/>
        </w:r>
        <w:r w:rsidR="00F650FD">
          <w:rPr>
            <w:noProof/>
            <w:webHidden/>
          </w:rPr>
          <w:instrText xml:space="preserve"> PAGEREF _Toc142388396 \h </w:instrText>
        </w:r>
        <w:r w:rsidR="00F650FD">
          <w:rPr>
            <w:noProof/>
            <w:webHidden/>
          </w:rPr>
        </w:r>
        <w:r w:rsidR="00F650FD">
          <w:rPr>
            <w:noProof/>
            <w:webHidden/>
          </w:rPr>
          <w:fldChar w:fldCharType="separate"/>
        </w:r>
        <w:r w:rsidR="007F1816">
          <w:rPr>
            <w:noProof/>
            <w:webHidden/>
          </w:rPr>
          <w:t>3</w:t>
        </w:r>
        <w:r w:rsidR="00F650FD">
          <w:rPr>
            <w:noProof/>
            <w:webHidden/>
          </w:rPr>
          <w:fldChar w:fldCharType="end"/>
        </w:r>
      </w:hyperlink>
    </w:p>
    <w:p w14:paraId="02DA4F62" w14:textId="6CFCE45B"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397" w:history="1">
        <w:r w:rsidR="00F650FD" w:rsidRPr="00B711E1">
          <w:rPr>
            <w:rStyle w:val="Hipervnculo"/>
            <w:noProof/>
          </w:rPr>
          <w:t>1.1.</w:t>
        </w:r>
        <w:r w:rsidR="00F650FD">
          <w:rPr>
            <w:rFonts w:eastAsiaTheme="minorEastAsia"/>
            <w:noProof/>
            <w:kern w:val="2"/>
            <w:sz w:val="22"/>
            <w:lang w:val="en-US"/>
            <w14:ligatures w14:val="standardContextual"/>
          </w:rPr>
          <w:tab/>
        </w:r>
        <w:r w:rsidR="00F650FD" w:rsidRPr="00B711E1">
          <w:rPr>
            <w:rStyle w:val="Hipervnculo"/>
            <w:noProof/>
          </w:rPr>
          <w:t>Objetivos de la consulta</w:t>
        </w:r>
        <w:r w:rsidR="00F650FD">
          <w:rPr>
            <w:noProof/>
            <w:webHidden/>
          </w:rPr>
          <w:tab/>
        </w:r>
        <w:r w:rsidR="00F650FD">
          <w:rPr>
            <w:noProof/>
            <w:webHidden/>
          </w:rPr>
          <w:fldChar w:fldCharType="begin"/>
        </w:r>
        <w:r w:rsidR="00F650FD">
          <w:rPr>
            <w:noProof/>
            <w:webHidden/>
          </w:rPr>
          <w:instrText xml:space="preserve"> PAGEREF _Toc142388397 \h </w:instrText>
        </w:r>
        <w:r w:rsidR="00F650FD">
          <w:rPr>
            <w:noProof/>
            <w:webHidden/>
          </w:rPr>
        </w:r>
        <w:r w:rsidR="00F650FD">
          <w:rPr>
            <w:noProof/>
            <w:webHidden/>
          </w:rPr>
          <w:fldChar w:fldCharType="separate"/>
        </w:r>
        <w:r w:rsidR="007F1816">
          <w:rPr>
            <w:noProof/>
            <w:webHidden/>
          </w:rPr>
          <w:t>4</w:t>
        </w:r>
        <w:r w:rsidR="00F650FD">
          <w:rPr>
            <w:noProof/>
            <w:webHidden/>
          </w:rPr>
          <w:fldChar w:fldCharType="end"/>
        </w:r>
      </w:hyperlink>
    </w:p>
    <w:p w14:paraId="0C240BF7" w14:textId="14CEE991"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398" w:history="1">
        <w:r w:rsidR="00F650FD" w:rsidRPr="00B711E1">
          <w:rPr>
            <w:rStyle w:val="Hipervnculo"/>
            <w:noProof/>
          </w:rPr>
          <w:t>1.2.</w:t>
        </w:r>
        <w:r w:rsidR="00F650FD">
          <w:rPr>
            <w:rFonts w:eastAsiaTheme="minorEastAsia"/>
            <w:noProof/>
            <w:kern w:val="2"/>
            <w:sz w:val="22"/>
            <w:lang w:val="en-US"/>
            <w14:ligatures w14:val="standardContextual"/>
          </w:rPr>
          <w:tab/>
        </w:r>
        <w:r w:rsidR="00F650FD" w:rsidRPr="00B711E1">
          <w:rPr>
            <w:rStyle w:val="Hipervnculo"/>
            <w:noProof/>
          </w:rPr>
          <w:t>E</w:t>
        </w:r>
        <w:bookmarkStart w:id="1" w:name="_GoBack"/>
        <w:bookmarkEnd w:id="1"/>
        <w:r w:rsidR="00F650FD" w:rsidRPr="00B711E1">
          <w:rPr>
            <w:rStyle w:val="Hipervnculo"/>
            <w:noProof/>
          </w:rPr>
          <w:t>structura del documento</w:t>
        </w:r>
        <w:r w:rsidR="00F650FD">
          <w:rPr>
            <w:noProof/>
            <w:webHidden/>
          </w:rPr>
          <w:tab/>
        </w:r>
        <w:r w:rsidR="00F650FD">
          <w:rPr>
            <w:noProof/>
            <w:webHidden/>
          </w:rPr>
          <w:fldChar w:fldCharType="begin"/>
        </w:r>
        <w:r w:rsidR="00F650FD">
          <w:rPr>
            <w:noProof/>
            <w:webHidden/>
          </w:rPr>
          <w:instrText xml:space="preserve"> PAGEREF _Toc142388398 \h </w:instrText>
        </w:r>
        <w:r w:rsidR="00F650FD">
          <w:rPr>
            <w:noProof/>
            <w:webHidden/>
          </w:rPr>
        </w:r>
        <w:r w:rsidR="00F650FD">
          <w:rPr>
            <w:noProof/>
            <w:webHidden/>
          </w:rPr>
          <w:fldChar w:fldCharType="separate"/>
        </w:r>
        <w:r w:rsidR="007F1816">
          <w:rPr>
            <w:noProof/>
            <w:webHidden/>
          </w:rPr>
          <w:t>5</w:t>
        </w:r>
        <w:r w:rsidR="00F650FD">
          <w:rPr>
            <w:noProof/>
            <w:webHidden/>
          </w:rPr>
          <w:fldChar w:fldCharType="end"/>
        </w:r>
      </w:hyperlink>
    </w:p>
    <w:p w14:paraId="5DEBC066" w14:textId="375F32E2" w:rsidR="00F650FD" w:rsidRDefault="00477ACD">
      <w:pPr>
        <w:pStyle w:val="TDC1"/>
        <w:tabs>
          <w:tab w:val="left" w:pos="660"/>
          <w:tab w:val="right" w:leader="dot" w:pos="9060"/>
        </w:tabs>
        <w:rPr>
          <w:rFonts w:eastAsiaTheme="minorEastAsia"/>
          <w:b w:val="0"/>
          <w:smallCaps w:val="0"/>
          <w:noProof/>
          <w:kern w:val="2"/>
          <w:sz w:val="22"/>
          <w:lang w:val="en-US"/>
          <w14:ligatures w14:val="standardContextual"/>
        </w:rPr>
      </w:pPr>
      <w:hyperlink w:anchor="_Toc142388399" w:history="1">
        <w:r w:rsidR="00F650FD" w:rsidRPr="00B711E1">
          <w:rPr>
            <w:rStyle w:val="Hipervnculo"/>
            <w:noProof/>
          </w:rPr>
          <w:t>2.</w:t>
        </w:r>
        <w:r w:rsidR="00F650FD">
          <w:rPr>
            <w:rFonts w:eastAsiaTheme="minorEastAsia"/>
            <w:b w:val="0"/>
            <w:smallCaps w:val="0"/>
            <w:noProof/>
            <w:kern w:val="2"/>
            <w:sz w:val="22"/>
            <w:lang w:val="en-US"/>
            <w14:ligatures w14:val="standardContextual"/>
          </w:rPr>
          <w:tab/>
        </w:r>
        <w:r w:rsidR="00F650FD" w:rsidRPr="00B711E1">
          <w:rPr>
            <w:rStyle w:val="Hipervnculo"/>
            <w:noProof/>
          </w:rPr>
          <w:t>Revisión de la metodología y diseño del Modelo</w:t>
        </w:r>
        <w:r w:rsidR="00F650FD">
          <w:rPr>
            <w:noProof/>
            <w:webHidden/>
          </w:rPr>
          <w:tab/>
        </w:r>
        <w:r w:rsidR="00F650FD">
          <w:rPr>
            <w:noProof/>
            <w:webHidden/>
          </w:rPr>
          <w:fldChar w:fldCharType="begin"/>
        </w:r>
        <w:r w:rsidR="00F650FD">
          <w:rPr>
            <w:noProof/>
            <w:webHidden/>
          </w:rPr>
          <w:instrText xml:space="preserve"> PAGEREF _Toc142388399 \h </w:instrText>
        </w:r>
        <w:r w:rsidR="00F650FD">
          <w:rPr>
            <w:noProof/>
            <w:webHidden/>
          </w:rPr>
        </w:r>
        <w:r w:rsidR="00F650FD">
          <w:rPr>
            <w:noProof/>
            <w:webHidden/>
          </w:rPr>
          <w:fldChar w:fldCharType="separate"/>
        </w:r>
        <w:r w:rsidR="007F1816">
          <w:rPr>
            <w:noProof/>
            <w:webHidden/>
          </w:rPr>
          <w:t>6</w:t>
        </w:r>
        <w:r w:rsidR="00F650FD">
          <w:rPr>
            <w:noProof/>
            <w:webHidden/>
          </w:rPr>
          <w:fldChar w:fldCharType="end"/>
        </w:r>
      </w:hyperlink>
    </w:p>
    <w:p w14:paraId="3840E655" w14:textId="6D0081E9"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0" w:history="1">
        <w:r w:rsidR="00F650FD" w:rsidRPr="00B711E1">
          <w:rPr>
            <w:rStyle w:val="Hipervnculo"/>
            <w:noProof/>
          </w:rPr>
          <w:t>2.1.</w:t>
        </w:r>
        <w:r w:rsidR="00F650FD">
          <w:rPr>
            <w:rFonts w:eastAsiaTheme="minorEastAsia"/>
            <w:noProof/>
            <w:kern w:val="2"/>
            <w:sz w:val="22"/>
            <w:lang w:val="en-US"/>
            <w14:ligatures w14:val="standardContextual"/>
          </w:rPr>
          <w:tab/>
        </w:r>
        <w:r w:rsidR="00F650FD" w:rsidRPr="00B711E1">
          <w:rPr>
            <w:rStyle w:val="Hipervnculo"/>
            <w:noProof/>
          </w:rPr>
          <w:t>Diseño de la compartición de infraestructura civil entre tecnologías</w:t>
        </w:r>
        <w:r w:rsidR="00F650FD">
          <w:rPr>
            <w:noProof/>
            <w:webHidden/>
          </w:rPr>
          <w:tab/>
        </w:r>
        <w:r w:rsidR="00F650FD">
          <w:rPr>
            <w:noProof/>
            <w:webHidden/>
          </w:rPr>
          <w:fldChar w:fldCharType="begin"/>
        </w:r>
        <w:r w:rsidR="00F650FD">
          <w:rPr>
            <w:noProof/>
            <w:webHidden/>
          </w:rPr>
          <w:instrText xml:space="preserve"> PAGEREF _Toc142388400 \h </w:instrText>
        </w:r>
        <w:r w:rsidR="00F650FD">
          <w:rPr>
            <w:noProof/>
            <w:webHidden/>
          </w:rPr>
        </w:r>
        <w:r w:rsidR="00F650FD">
          <w:rPr>
            <w:noProof/>
            <w:webHidden/>
          </w:rPr>
          <w:fldChar w:fldCharType="separate"/>
        </w:r>
        <w:r w:rsidR="007F1816">
          <w:rPr>
            <w:noProof/>
            <w:webHidden/>
          </w:rPr>
          <w:t>8</w:t>
        </w:r>
        <w:r w:rsidR="00F650FD">
          <w:rPr>
            <w:noProof/>
            <w:webHidden/>
          </w:rPr>
          <w:fldChar w:fldCharType="end"/>
        </w:r>
      </w:hyperlink>
    </w:p>
    <w:p w14:paraId="2CD11AE7" w14:textId="58BCC2FF"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1" w:history="1">
        <w:r w:rsidR="00F650FD" w:rsidRPr="00B711E1">
          <w:rPr>
            <w:rStyle w:val="Hipervnculo"/>
            <w:noProof/>
          </w:rPr>
          <w:t>2.2.</w:t>
        </w:r>
        <w:r w:rsidR="00F650FD">
          <w:rPr>
            <w:rFonts w:eastAsiaTheme="minorEastAsia"/>
            <w:noProof/>
            <w:kern w:val="2"/>
            <w:sz w:val="22"/>
            <w:lang w:val="en-US"/>
            <w14:ligatures w14:val="standardContextual"/>
          </w:rPr>
          <w:tab/>
        </w:r>
        <w:r w:rsidR="00F650FD" w:rsidRPr="00B711E1">
          <w:rPr>
            <w:rStyle w:val="Hipervnculo"/>
            <w:noProof/>
          </w:rPr>
          <w:t>Tratamiento de los activos de infraestructura civil de las redes tradicionales reutilizables para redes de nueva generación</w:t>
        </w:r>
        <w:r w:rsidR="00F650FD">
          <w:rPr>
            <w:noProof/>
            <w:webHidden/>
          </w:rPr>
          <w:tab/>
        </w:r>
        <w:r w:rsidR="00F650FD">
          <w:rPr>
            <w:noProof/>
            <w:webHidden/>
          </w:rPr>
          <w:fldChar w:fldCharType="begin"/>
        </w:r>
        <w:r w:rsidR="00F650FD">
          <w:rPr>
            <w:noProof/>
            <w:webHidden/>
          </w:rPr>
          <w:instrText xml:space="preserve"> PAGEREF _Toc142388401 \h </w:instrText>
        </w:r>
        <w:r w:rsidR="00F650FD">
          <w:rPr>
            <w:noProof/>
            <w:webHidden/>
          </w:rPr>
        </w:r>
        <w:r w:rsidR="00F650FD">
          <w:rPr>
            <w:noProof/>
            <w:webHidden/>
          </w:rPr>
          <w:fldChar w:fldCharType="separate"/>
        </w:r>
        <w:r w:rsidR="007F1816">
          <w:rPr>
            <w:noProof/>
            <w:webHidden/>
          </w:rPr>
          <w:t>10</w:t>
        </w:r>
        <w:r w:rsidR="00F650FD">
          <w:rPr>
            <w:noProof/>
            <w:webHidden/>
          </w:rPr>
          <w:fldChar w:fldCharType="end"/>
        </w:r>
      </w:hyperlink>
    </w:p>
    <w:p w14:paraId="6D01E974" w14:textId="2E685B01"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2" w:history="1">
        <w:r w:rsidR="00F650FD" w:rsidRPr="00B711E1">
          <w:rPr>
            <w:rStyle w:val="Hipervnculo"/>
            <w:noProof/>
          </w:rPr>
          <w:t>2.3.</w:t>
        </w:r>
        <w:r w:rsidR="00F650FD">
          <w:rPr>
            <w:rFonts w:eastAsiaTheme="minorEastAsia"/>
            <w:noProof/>
            <w:kern w:val="2"/>
            <w:sz w:val="22"/>
            <w:lang w:val="en-US"/>
            <w14:ligatures w14:val="standardContextual"/>
          </w:rPr>
          <w:tab/>
        </w:r>
        <w:r w:rsidR="00F650FD" w:rsidRPr="00B711E1">
          <w:rPr>
            <w:rStyle w:val="Hipervnculo"/>
            <w:noProof/>
          </w:rPr>
          <w:t>Cálculo de los costos operacionales (OpEx)</w:t>
        </w:r>
        <w:r w:rsidR="00F650FD">
          <w:rPr>
            <w:noProof/>
            <w:webHidden/>
          </w:rPr>
          <w:tab/>
        </w:r>
        <w:r w:rsidR="00F650FD">
          <w:rPr>
            <w:noProof/>
            <w:webHidden/>
          </w:rPr>
          <w:fldChar w:fldCharType="begin"/>
        </w:r>
        <w:r w:rsidR="00F650FD">
          <w:rPr>
            <w:noProof/>
            <w:webHidden/>
          </w:rPr>
          <w:instrText xml:space="preserve"> PAGEREF _Toc142388402 \h </w:instrText>
        </w:r>
        <w:r w:rsidR="00F650FD">
          <w:rPr>
            <w:noProof/>
            <w:webHidden/>
          </w:rPr>
        </w:r>
        <w:r w:rsidR="00F650FD">
          <w:rPr>
            <w:noProof/>
            <w:webHidden/>
          </w:rPr>
          <w:fldChar w:fldCharType="separate"/>
        </w:r>
        <w:r w:rsidR="007F1816">
          <w:rPr>
            <w:noProof/>
            <w:webHidden/>
          </w:rPr>
          <w:t>12</w:t>
        </w:r>
        <w:r w:rsidR="00F650FD">
          <w:rPr>
            <w:noProof/>
            <w:webHidden/>
          </w:rPr>
          <w:fldChar w:fldCharType="end"/>
        </w:r>
      </w:hyperlink>
    </w:p>
    <w:p w14:paraId="7D6609AA" w14:textId="238B9774"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3" w:history="1">
        <w:r w:rsidR="00F650FD" w:rsidRPr="00B711E1">
          <w:rPr>
            <w:rStyle w:val="Hipervnculo"/>
            <w:noProof/>
          </w:rPr>
          <w:t>2.4.</w:t>
        </w:r>
        <w:r w:rsidR="00F650FD">
          <w:rPr>
            <w:rFonts w:eastAsiaTheme="minorEastAsia"/>
            <w:noProof/>
            <w:kern w:val="2"/>
            <w:sz w:val="22"/>
            <w:lang w:val="en-US"/>
            <w14:ligatures w14:val="standardContextual"/>
          </w:rPr>
          <w:tab/>
        </w:r>
        <w:r w:rsidR="00F650FD" w:rsidRPr="00B711E1">
          <w:rPr>
            <w:rStyle w:val="Hipervnculo"/>
            <w:noProof/>
          </w:rPr>
          <w:t>Localización de los datos de entrada del Modelo</w:t>
        </w:r>
        <w:r w:rsidR="00F650FD">
          <w:rPr>
            <w:noProof/>
            <w:webHidden/>
          </w:rPr>
          <w:tab/>
        </w:r>
        <w:r w:rsidR="00F650FD">
          <w:rPr>
            <w:noProof/>
            <w:webHidden/>
          </w:rPr>
          <w:fldChar w:fldCharType="begin"/>
        </w:r>
        <w:r w:rsidR="00F650FD">
          <w:rPr>
            <w:noProof/>
            <w:webHidden/>
          </w:rPr>
          <w:instrText xml:space="preserve"> PAGEREF _Toc142388403 \h </w:instrText>
        </w:r>
        <w:r w:rsidR="00F650FD">
          <w:rPr>
            <w:noProof/>
            <w:webHidden/>
          </w:rPr>
        </w:r>
        <w:r w:rsidR="00F650FD">
          <w:rPr>
            <w:noProof/>
            <w:webHidden/>
          </w:rPr>
          <w:fldChar w:fldCharType="separate"/>
        </w:r>
        <w:r w:rsidR="007F1816">
          <w:rPr>
            <w:noProof/>
            <w:webHidden/>
          </w:rPr>
          <w:t>13</w:t>
        </w:r>
        <w:r w:rsidR="00F650FD">
          <w:rPr>
            <w:noProof/>
            <w:webHidden/>
          </w:rPr>
          <w:fldChar w:fldCharType="end"/>
        </w:r>
      </w:hyperlink>
    </w:p>
    <w:p w14:paraId="4E8DA8C8" w14:textId="5B140B14" w:rsidR="00F650FD" w:rsidRDefault="00477ACD">
      <w:pPr>
        <w:pStyle w:val="TDC1"/>
        <w:tabs>
          <w:tab w:val="left" w:pos="660"/>
          <w:tab w:val="right" w:leader="dot" w:pos="9060"/>
        </w:tabs>
        <w:rPr>
          <w:rFonts w:eastAsiaTheme="minorEastAsia"/>
          <w:b w:val="0"/>
          <w:smallCaps w:val="0"/>
          <w:noProof/>
          <w:kern w:val="2"/>
          <w:sz w:val="22"/>
          <w:lang w:val="en-US"/>
          <w14:ligatures w14:val="standardContextual"/>
        </w:rPr>
      </w:pPr>
      <w:hyperlink w:anchor="_Toc142388404" w:history="1">
        <w:r w:rsidR="00F650FD" w:rsidRPr="00B711E1">
          <w:rPr>
            <w:rStyle w:val="Hipervnculo"/>
            <w:noProof/>
          </w:rPr>
          <w:t>3.</w:t>
        </w:r>
        <w:r w:rsidR="00F650FD">
          <w:rPr>
            <w:rFonts w:eastAsiaTheme="minorEastAsia"/>
            <w:b w:val="0"/>
            <w:smallCaps w:val="0"/>
            <w:noProof/>
            <w:kern w:val="2"/>
            <w:sz w:val="22"/>
            <w:lang w:val="en-US"/>
            <w14:ligatures w14:val="standardContextual"/>
          </w:rPr>
          <w:tab/>
        </w:r>
        <w:r w:rsidR="00F650FD" w:rsidRPr="00B711E1">
          <w:rPr>
            <w:rStyle w:val="Hipervnculo"/>
            <w:noProof/>
          </w:rPr>
          <w:t>Actualización de datos de entrada</w:t>
        </w:r>
        <w:r w:rsidR="00F650FD">
          <w:rPr>
            <w:noProof/>
            <w:webHidden/>
          </w:rPr>
          <w:tab/>
        </w:r>
        <w:r w:rsidR="00F650FD">
          <w:rPr>
            <w:noProof/>
            <w:webHidden/>
          </w:rPr>
          <w:fldChar w:fldCharType="begin"/>
        </w:r>
        <w:r w:rsidR="00F650FD">
          <w:rPr>
            <w:noProof/>
            <w:webHidden/>
          </w:rPr>
          <w:instrText xml:space="preserve"> PAGEREF _Toc142388404 \h </w:instrText>
        </w:r>
        <w:r w:rsidR="00F650FD">
          <w:rPr>
            <w:noProof/>
            <w:webHidden/>
          </w:rPr>
        </w:r>
        <w:r w:rsidR="00F650FD">
          <w:rPr>
            <w:noProof/>
            <w:webHidden/>
          </w:rPr>
          <w:fldChar w:fldCharType="separate"/>
        </w:r>
        <w:r w:rsidR="007F1816">
          <w:rPr>
            <w:noProof/>
            <w:webHidden/>
          </w:rPr>
          <w:t>15</w:t>
        </w:r>
        <w:r w:rsidR="00F650FD">
          <w:rPr>
            <w:noProof/>
            <w:webHidden/>
          </w:rPr>
          <w:fldChar w:fldCharType="end"/>
        </w:r>
      </w:hyperlink>
    </w:p>
    <w:p w14:paraId="2B90DB65" w14:textId="6AD918BC"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5" w:history="1">
        <w:r w:rsidR="00F650FD" w:rsidRPr="00B711E1">
          <w:rPr>
            <w:rStyle w:val="Hipervnculo"/>
            <w:noProof/>
          </w:rPr>
          <w:t>3.1.</w:t>
        </w:r>
        <w:r w:rsidR="00F650FD">
          <w:rPr>
            <w:rFonts w:eastAsiaTheme="minorEastAsia"/>
            <w:noProof/>
            <w:kern w:val="2"/>
            <w:sz w:val="22"/>
            <w:lang w:val="en-US"/>
            <w14:ligatures w14:val="standardContextual"/>
          </w:rPr>
          <w:tab/>
        </w:r>
        <w:r w:rsidR="00F650FD" w:rsidRPr="00B711E1">
          <w:rPr>
            <w:rStyle w:val="Hipervnculo"/>
            <w:noProof/>
          </w:rPr>
          <w:t>Inventario de activos necesarios a ser desplegados en la red</w:t>
        </w:r>
        <w:r w:rsidR="00F650FD">
          <w:rPr>
            <w:noProof/>
            <w:webHidden/>
          </w:rPr>
          <w:tab/>
        </w:r>
        <w:r w:rsidR="00F650FD">
          <w:rPr>
            <w:noProof/>
            <w:webHidden/>
          </w:rPr>
          <w:fldChar w:fldCharType="begin"/>
        </w:r>
        <w:r w:rsidR="00F650FD">
          <w:rPr>
            <w:noProof/>
            <w:webHidden/>
          </w:rPr>
          <w:instrText xml:space="preserve"> PAGEREF _Toc142388405 \h </w:instrText>
        </w:r>
        <w:r w:rsidR="00F650FD">
          <w:rPr>
            <w:noProof/>
            <w:webHidden/>
          </w:rPr>
        </w:r>
        <w:r w:rsidR="00F650FD">
          <w:rPr>
            <w:noProof/>
            <w:webHidden/>
          </w:rPr>
          <w:fldChar w:fldCharType="separate"/>
        </w:r>
        <w:r w:rsidR="007F1816">
          <w:rPr>
            <w:noProof/>
            <w:webHidden/>
          </w:rPr>
          <w:t>15</w:t>
        </w:r>
        <w:r w:rsidR="00F650FD">
          <w:rPr>
            <w:noProof/>
            <w:webHidden/>
          </w:rPr>
          <w:fldChar w:fldCharType="end"/>
        </w:r>
      </w:hyperlink>
    </w:p>
    <w:p w14:paraId="6F3D8A41" w14:textId="79093656"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6" w:history="1">
        <w:r w:rsidR="00F650FD" w:rsidRPr="00B711E1">
          <w:rPr>
            <w:rStyle w:val="Hipervnculo"/>
            <w:noProof/>
          </w:rPr>
          <w:t>3.2.</w:t>
        </w:r>
        <w:r w:rsidR="00F650FD">
          <w:rPr>
            <w:rFonts w:eastAsiaTheme="minorEastAsia"/>
            <w:noProof/>
            <w:kern w:val="2"/>
            <w:sz w:val="22"/>
            <w:lang w:val="en-US"/>
            <w14:ligatures w14:val="standardContextual"/>
          </w:rPr>
          <w:tab/>
        </w:r>
        <w:r w:rsidR="00F650FD" w:rsidRPr="00B711E1">
          <w:rPr>
            <w:rStyle w:val="Hipervnculo"/>
            <w:noProof/>
          </w:rPr>
          <w:t>Demanda activa</w:t>
        </w:r>
        <w:r w:rsidR="00F650FD">
          <w:rPr>
            <w:noProof/>
            <w:webHidden/>
          </w:rPr>
          <w:tab/>
        </w:r>
        <w:r w:rsidR="00F650FD">
          <w:rPr>
            <w:noProof/>
            <w:webHidden/>
          </w:rPr>
          <w:fldChar w:fldCharType="begin"/>
        </w:r>
        <w:r w:rsidR="00F650FD">
          <w:rPr>
            <w:noProof/>
            <w:webHidden/>
          </w:rPr>
          <w:instrText xml:space="preserve"> PAGEREF _Toc142388406 \h </w:instrText>
        </w:r>
        <w:r w:rsidR="00F650FD">
          <w:rPr>
            <w:noProof/>
            <w:webHidden/>
          </w:rPr>
        </w:r>
        <w:r w:rsidR="00F650FD">
          <w:rPr>
            <w:noProof/>
            <w:webHidden/>
          </w:rPr>
          <w:fldChar w:fldCharType="separate"/>
        </w:r>
        <w:r w:rsidR="007F1816">
          <w:rPr>
            <w:noProof/>
            <w:webHidden/>
          </w:rPr>
          <w:t>17</w:t>
        </w:r>
        <w:r w:rsidR="00F650FD">
          <w:rPr>
            <w:noProof/>
            <w:webHidden/>
          </w:rPr>
          <w:fldChar w:fldCharType="end"/>
        </w:r>
      </w:hyperlink>
    </w:p>
    <w:p w14:paraId="26EDD447" w14:textId="6AA8FA7B"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7" w:history="1">
        <w:r w:rsidR="00F650FD" w:rsidRPr="00B711E1">
          <w:rPr>
            <w:rStyle w:val="Hipervnculo"/>
            <w:noProof/>
          </w:rPr>
          <w:t>3.3.</w:t>
        </w:r>
        <w:r w:rsidR="00F650FD">
          <w:rPr>
            <w:rFonts w:eastAsiaTheme="minorEastAsia"/>
            <w:noProof/>
            <w:kern w:val="2"/>
            <w:sz w:val="22"/>
            <w:lang w:val="en-US"/>
            <w14:ligatures w14:val="standardContextual"/>
          </w:rPr>
          <w:tab/>
        </w:r>
        <w:r w:rsidR="00F650FD" w:rsidRPr="00B711E1">
          <w:rPr>
            <w:rStyle w:val="Hipervnculo"/>
            <w:noProof/>
          </w:rPr>
          <w:t>Costos unitarios</w:t>
        </w:r>
        <w:r w:rsidR="00F650FD">
          <w:rPr>
            <w:noProof/>
            <w:webHidden/>
          </w:rPr>
          <w:tab/>
        </w:r>
        <w:r w:rsidR="00F650FD">
          <w:rPr>
            <w:noProof/>
            <w:webHidden/>
          </w:rPr>
          <w:fldChar w:fldCharType="begin"/>
        </w:r>
        <w:r w:rsidR="00F650FD">
          <w:rPr>
            <w:noProof/>
            <w:webHidden/>
          </w:rPr>
          <w:instrText xml:space="preserve"> PAGEREF _Toc142388407 \h </w:instrText>
        </w:r>
        <w:r w:rsidR="00F650FD">
          <w:rPr>
            <w:noProof/>
            <w:webHidden/>
          </w:rPr>
        </w:r>
        <w:r w:rsidR="00F650FD">
          <w:rPr>
            <w:noProof/>
            <w:webHidden/>
          </w:rPr>
          <w:fldChar w:fldCharType="separate"/>
        </w:r>
        <w:r w:rsidR="007F1816">
          <w:rPr>
            <w:noProof/>
            <w:webHidden/>
          </w:rPr>
          <w:t>20</w:t>
        </w:r>
        <w:r w:rsidR="00F650FD">
          <w:rPr>
            <w:noProof/>
            <w:webHidden/>
          </w:rPr>
          <w:fldChar w:fldCharType="end"/>
        </w:r>
      </w:hyperlink>
    </w:p>
    <w:p w14:paraId="0CF57A98" w14:textId="40ED76C2"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8" w:history="1">
        <w:r w:rsidR="00F650FD" w:rsidRPr="00B711E1">
          <w:rPr>
            <w:rStyle w:val="Hipervnculo"/>
            <w:noProof/>
          </w:rPr>
          <w:t>3.4.</w:t>
        </w:r>
        <w:r w:rsidR="00F650FD">
          <w:rPr>
            <w:rFonts w:eastAsiaTheme="minorEastAsia"/>
            <w:noProof/>
            <w:kern w:val="2"/>
            <w:sz w:val="22"/>
            <w:lang w:val="en-US"/>
            <w14:ligatures w14:val="standardContextual"/>
          </w:rPr>
          <w:tab/>
        </w:r>
        <w:r w:rsidR="00F650FD" w:rsidRPr="00B711E1">
          <w:rPr>
            <w:rStyle w:val="Hipervnculo"/>
            <w:noProof/>
          </w:rPr>
          <w:t>Vidas útiles</w:t>
        </w:r>
        <w:r w:rsidR="00F650FD">
          <w:rPr>
            <w:noProof/>
            <w:webHidden/>
          </w:rPr>
          <w:tab/>
        </w:r>
        <w:r w:rsidR="00F650FD">
          <w:rPr>
            <w:noProof/>
            <w:webHidden/>
          </w:rPr>
          <w:fldChar w:fldCharType="begin"/>
        </w:r>
        <w:r w:rsidR="00F650FD">
          <w:rPr>
            <w:noProof/>
            <w:webHidden/>
          </w:rPr>
          <w:instrText xml:space="preserve"> PAGEREF _Toc142388408 \h </w:instrText>
        </w:r>
        <w:r w:rsidR="00F650FD">
          <w:rPr>
            <w:noProof/>
            <w:webHidden/>
          </w:rPr>
        </w:r>
        <w:r w:rsidR="00F650FD">
          <w:rPr>
            <w:noProof/>
            <w:webHidden/>
          </w:rPr>
          <w:fldChar w:fldCharType="separate"/>
        </w:r>
        <w:r w:rsidR="007F1816">
          <w:rPr>
            <w:noProof/>
            <w:webHidden/>
          </w:rPr>
          <w:t>21</w:t>
        </w:r>
        <w:r w:rsidR="00F650FD">
          <w:rPr>
            <w:noProof/>
            <w:webHidden/>
          </w:rPr>
          <w:fldChar w:fldCharType="end"/>
        </w:r>
      </w:hyperlink>
    </w:p>
    <w:p w14:paraId="406CC1AE" w14:textId="584C7138"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09" w:history="1">
        <w:r w:rsidR="00F650FD" w:rsidRPr="00B711E1">
          <w:rPr>
            <w:rStyle w:val="Hipervnculo"/>
            <w:noProof/>
          </w:rPr>
          <w:t>3.5.</w:t>
        </w:r>
        <w:r w:rsidR="00F650FD">
          <w:rPr>
            <w:rFonts w:eastAsiaTheme="minorEastAsia"/>
            <w:noProof/>
            <w:kern w:val="2"/>
            <w:sz w:val="22"/>
            <w:lang w:val="en-US"/>
            <w14:ligatures w14:val="standardContextual"/>
          </w:rPr>
          <w:tab/>
        </w:r>
        <w:r w:rsidR="00F650FD" w:rsidRPr="00B711E1">
          <w:rPr>
            <w:rStyle w:val="Hipervnculo"/>
            <w:noProof/>
          </w:rPr>
          <w:t>Tasas de compartición entre tecnologías</w:t>
        </w:r>
        <w:r w:rsidR="00F650FD">
          <w:rPr>
            <w:noProof/>
            <w:webHidden/>
          </w:rPr>
          <w:tab/>
        </w:r>
        <w:r w:rsidR="00F650FD">
          <w:rPr>
            <w:noProof/>
            <w:webHidden/>
          </w:rPr>
          <w:fldChar w:fldCharType="begin"/>
        </w:r>
        <w:r w:rsidR="00F650FD">
          <w:rPr>
            <w:noProof/>
            <w:webHidden/>
          </w:rPr>
          <w:instrText xml:space="preserve"> PAGEREF _Toc142388409 \h </w:instrText>
        </w:r>
        <w:r w:rsidR="00F650FD">
          <w:rPr>
            <w:noProof/>
            <w:webHidden/>
          </w:rPr>
        </w:r>
        <w:r w:rsidR="00F650FD">
          <w:rPr>
            <w:noProof/>
            <w:webHidden/>
          </w:rPr>
          <w:fldChar w:fldCharType="separate"/>
        </w:r>
        <w:r w:rsidR="007F1816">
          <w:rPr>
            <w:noProof/>
            <w:webHidden/>
          </w:rPr>
          <w:t>22</w:t>
        </w:r>
        <w:r w:rsidR="00F650FD">
          <w:rPr>
            <w:noProof/>
            <w:webHidden/>
          </w:rPr>
          <w:fldChar w:fldCharType="end"/>
        </w:r>
      </w:hyperlink>
    </w:p>
    <w:p w14:paraId="274F0D59" w14:textId="6E54D6EA"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10" w:history="1">
        <w:r w:rsidR="00F650FD" w:rsidRPr="00B711E1">
          <w:rPr>
            <w:rStyle w:val="Hipervnculo"/>
            <w:noProof/>
          </w:rPr>
          <w:t>3.6.</w:t>
        </w:r>
        <w:r w:rsidR="00F650FD">
          <w:rPr>
            <w:rFonts w:eastAsiaTheme="minorEastAsia"/>
            <w:noProof/>
            <w:kern w:val="2"/>
            <w:sz w:val="22"/>
            <w:lang w:val="en-US"/>
            <w14:ligatures w14:val="standardContextual"/>
          </w:rPr>
          <w:tab/>
        </w:r>
        <w:r w:rsidR="00F650FD" w:rsidRPr="00B711E1">
          <w:rPr>
            <w:rStyle w:val="Hipervnculo"/>
            <w:noProof/>
          </w:rPr>
          <w:t>Costo de Capital Promedio Ponderado (CCPP)</w:t>
        </w:r>
        <w:r w:rsidR="00F650FD">
          <w:rPr>
            <w:noProof/>
            <w:webHidden/>
          </w:rPr>
          <w:tab/>
        </w:r>
        <w:r w:rsidR="00F650FD">
          <w:rPr>
            <w:noProof/>
            <w:webHidden/>
          </w:rPr>
          <w:fldChar w:fldCharType="begin"/>
        </w:r>
        <w:r w:rsidR="00F650FD">
          <w:rPr>
            <w:noProof/>
            <w:webHidden/>
          </w:rPr>
          <w:instrText xml:space="preserve"> PAGEREF _Toc142388410 \h </w:instrText>
        </w:r>
        <w:r w:rsidR="00F650FD">
          <w:rPr>
            <w:noProof/>
            <w:webHidden/>
          </w:rPr>
        </w:r>
        <w:r w:rsidR="00F650FD">
          <w:rPr>
            <w:noProof/>
            <w:webHidden/>
          </w:rPr>
          <w:fldChar w:fldCharType="separate"/>
        </w:r>
        <w:r w:rsidR="007F1816">
          <w:rPr>
            <w:noProof/>
            <w:webHidden/>
          </w:rPr>
          <w:t>23</w:t>
        </w:r>
        <w:r w:rsidR="00F650FD">
          <w:rPr>
            <w:noProof/>
            <w:webHidden/>
          </w:rPr>
          <w:fldChar w:fldCharType="end"/>
        </w:r>
      </w:hyperlink>
    </w:p>
    <w:p w14:paraId="1EBFE0B5" w14:textId="6226AAC8"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11" w:history="1">
        <w:r w:rsidR="00F650FD" w:rsidRPr="00B711E1">
          <w:rPr>
            <w:rStyle w:val="Hipervnculo"/>
            <w:noProof/>
          </w:rPr>
          <w:t>3.7.</w:t>
        </w:r>
        <w:r w:rsidR="00F650FD">
          <w:rPr>
            <w:rFonts w:eastAsiaTheme="minorEastAsia"/>
            <w:noProof/>
            <w:kern w:val="2"/>
            <w:sz w:val="22"/>
            <w:lang w:val="en-US"/>
            <w14:ligatures w14:val="standardContextual"/>
          </w:rPr>
          <w:tab/>
        </w:r>
        <w:r w:rsidR="00F650FD" w:rsidRPr="00B711E1">
          <w:rPr>
            <w:rStyle w:val="Hipervnculo"/>
            <w:noProof/>
          </w:rPr>
          <w:t>Otros parámetros</w:t>
        </w:r>
        <w:r w:rsidR="00F650FD">
          <w:rPr>
            <w:noProof/>
            <w:webHidden/>
          </w:rPr>
          <w:tab/>
        </w:r>
        <w:r w:rsidR="00F650FD">
          <w:rPr>
            <w:noProof/>
            <w:webHidden/>
          </w:rPr>
          <w:fldChar w:fldCharType="begin"/>
        </w:r>
        <w:r w:rsidR="00F650FD">
          <w:rPr>
            <w:noProof/>
            <w:webHidden/>
          </w:rPr>
          <w:instrText xml:space="preserve"> PAGEREF _Toc142388411 \h </w:instrText>
        </w:r>
        <w:r w:rsidR="00F650FD">
          <w:rPr>
            <w:noProof/>
            <w:webHidden/>
          </w:rPr>
        </w:r>
        <w:r w:rsidR="00F650FD">
          <w:rPr>
            <w:noProof/>
            <w:webHidden/>
          </w:rPr>
          <w:fldChar w:fldCharType="separate"/>
        </w:r>
        <w:r w:rsidR="007F1816">
          <w:rPr>
            <w:noProof/>
            <w:webHidden/>
          </w:rPr>
          <w:t>23</w:t>
        </w:r>
        <w:r w:rsidR="00F650FD">
          <w:rPr>
            <w:noProof/>
            <w:webHidden/>
          </w:rPr>
          <w:fldChar w:fldCharType="end"/>
        </w:r>
      </w:hyperlink>
    </w:p>
    <w:p w14:paraId="421C3D45" w14:textId="5B335BDB" w:rsidR="00F650FD" w:rsidRDefault="00477ACD">
      <w:pPr>
        <w:pStyle w:val="TDC1"/>
        <w:tabs>
          <w:tab w:val="left" w:pos="660"/>
          <w:tab w:val="right" w:leader="dot" w:pos="9060"/>
        </w:tabs>
        <w:rPr>
          <w:rFonts w:eastAsiaTheme="minorEastAsia"/>
          <w:b w:val="0"/>
          <w:smallCaps w:val="0"/>
          <w:noProof/>
          <w:kern w:val="2"/>
          <w:sz w:val="22"/>
          <w:lang w:val="en-US"/>
          <w14:ligatures w14:val="standardContextual"/>
        </w:rPr>
      </w:pPr>
      <w:hyperlink w:anchor="_Toc142388412" w:history="1">
        <w:r w:rsidR="00F650FD" w:rsidRPr="00B711E1">
          <w:rPr>
            <w:rStyle w:val="Hipervnculo"/>
            <w:noProof/>
          </w:rPr>
          <w:t>4.</w:t>
        </w:r>
        <w:r w:rsidR="00F650FD">
          <w:rPr>
            <w:rFonts w:eastAsiaTheme="minorEastAsia"/>
            <w:b w:val="0"/>
            <w:smallCaps w:val="0"/>
            <w:noProof/>
            <w:kern w:val="2"/>
            <w:sz w:val="22"/>
            <w:lang w:val="en-US"/>
            <w14:ligatures w14:val="standardContextual"/>
          </w:rPr>
          <w:tab/>
        </w:r>
        <w:r w:rsidR="00F650FD" w:rsidRPr="00B711E1">
          <w:rPr>
            <w:rStyle w:val="Hipervnculo"/>
            <w:noProof/>
          </w:rPr>
          <w:t>Resultados</w:t>
        </w:r>
        <w:r w:rsidR="00F650FD">
          <w:rPr>
            <w:noProof/>
            <w:webHidden/>
          </w:rPr>
          <w:tab/>
        </w:r>
        <w:r w:rsidR="00F650FD">
          <w:rPr>
            <w:noProof/>
            <w:webHidden/>
          </w:rPr>
          <w:fldChar w:fldCharType="begin"/>
        </w:r>
        <w:r w:rsidR="00F650FD">
          <w:rPr>
            <w:noProof/>
            <w:webHidden/>
          </w:rPr>
          <w:instrText xml:space="preserve"> PAGEREF _Toc142388412 \h </w:instrText>
        </w:r>
        <w:r w:rsidR="00F650FD">
          <w:rPr>
            <w:noProof/>
            <w:webHidden/>
          </w:rPr>
        </w:r>
        <w:r w:rsidR="00F650FD">
          <w:rPr>
            <w:noProof/>
            <w:webHidden/>
          </w:rPr>
          <w:fldChar w:fldCharType="separate"/>
        </w:r>
        <w:r w:rsidR="007F1816">
          <w:rPr>
            <w:noProof/>
            <w:webHidden/>
          </w:rPr>
          <w:t>26</w:t>
        </w:r>
        <w:r w:rsidR="00F650FD">
          <w:rPr>
            <w:noProof/>
            <w:webHidden/>
          </w:rPr>
          <w:fldChar w:fldCharType="end"/>
        </w:r>
      </w:hyperlink>
    </w:p>
    <w:p w14:paraId="50675EC6" w14:textId="21AC866E"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13" w:history="1">
        <w:r w:rsidR="00F650FD" w:rsidRPr="00B711E1">
          <w:rPr>
            <w:rStyle w:val="Hipervnculo"/>
            <w:noProof/>
          </w:rPr>
          <w:t>4.1.</w:t>
        </w:r>
        <w:r w:rsidR="00F650FD">
          <w:rPr>
            <w:rFonts w:eastAsiaTheme="minorEastAsia"/>
            <w:noProof/>
            <w:kern w:val="2"/>
            <w:sz w:val="22"/>
            <w:lang w:val="en-US"/>
            <w14:ligatures w14:val="standardContextual"/>
          </w:rPr>
          <w:tab/>
        </w:r>
        <w:r w:rsidR="00F650FD" w:rsidRPr="00B711E1">
          <w:rPr>
            <w:rStyle w:val="Hipervnculo"/>
            <w:noProof/>
          </w:rPr>
          <w:t>Base total de costos</w:t>
        </w:r>
        <w:r w:rsidR="00F650FD">
          <w:rPr>
            <w:noProof/>
            <w:webHidden/>
          </w:rPr>
          <w:tab/>
        </w:r>
        <w:r w:rsidR="00F650FD">
          <w:rPr>
            <w:noProof/>
            <w:webHidden/>
          </w:rPr>
          <w:fldChar w:fldCharType="begin"/>
        </w:r>
        <w:r w:rsidR="00F650FD">
          <w:rPr>
            <w:noProof/>
            <w:webHidden/>
          </w:rPr>
          <w:instrText xml:space="preserve"> PAGEREF _Toc142388413 \h </w:instrText>
        </w:r>
        <w:r w:rsidR="00F650FD">
          <w:rPr>
            <w:noProof/>
            <w:webHidden/>
          </w:rPr>
        </w:r>
        <w:r w:rsidR="00F650FD">
          <w:rPr>
            <w:noProof/>
            <w:webHidden/>
          </w:rPr>
          <w:fldChar w:fldCharType="separate"/>
        </w:r>
        <w:r w:rsidR="007F1816">
          <w:rPr>
            <w:noProof/>
            <w:webHidden/>
          </w:rPr>
          <w:t>26</w:t>
        </w:r>
        <w:r w:rsidR="00F650FD">
          <w:rPr>
            <w:noProof/>
            <w:webHidden/>
          </w:rPr>
          <w:fldChar w:fldCharType="end"/>
        </w:r>
      </w:hyperlink>
    </w:p>
    <w:p w14:paraId="28ABC28C" w14:textId="3AD15C30"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14" w:history="1">
        <w:r w:rsidR="00F650FD" w:rsidRPr="00B711E1">
          <w:rPr>
            <w:rStyle w:val="Hipervnculo"/>
            <w:noProof/>
          </w:rPr>
          <w:t>4.2.</w:t>
        </w:r>
        <w:r w:rsidR="00F650FD">
          <w:rPr>
            <w:rFonts w:eastAsiaTheme="minorEastAsia"/>
            <w:noProof/>
            <w:kern w:val="2"/>
            <w:sz w:val="22"/>
            <w:lang w:val="en-US"/>
            <w14:ligatures w14:val="standardContextual"/>
          </w:rPr>
          <w:tab/>
        </w:r>
        <w:r w:rsidR="00F650FD" w:rsidRPr="00B711E1">
          <w:rPr>
            <w:rStyle w:val="Hipervnculo"/>
            <w:noProof/>
          </w:rPr>
          <w:t>Resultados por servicio</w:t>
        </w:r>
        <w:r w:rsidR="00F650FD">
          <w:rPr>
            <w:noProof/>
            <w:webHidden/>
          </w:rPr>
          <w:tab/>
        </w:r>
        <w:r w:rsidR="00F650FD">
          <w:rPr>
            <w:noProof/>
            <w:webHidden/>
          </w:rPr>
          <w:fldChar w:fldCharType="begin"/>
        </w:r>
        <w:r w:rsidR="00F650FD">
          <w:rPr>
            <w:noProof/>
            <w:webHidden/>
          </w:rPr>
          <w:instrText xml:space="preserve"> PAGEREF _Toc142388414 \h </w:instrText>
        </w:r>
        <w:r w:rsidR="00F650FD">
          <w:rPr>
            <w:noProof/>
            <w:webHidden/>
          </w:rPr>
        </w:r>
        <w:r w:rsidR="00F650FD">
          <w:rPr>
            <w:noProof/>
            <w:webHidden/>
          </w:rPr>
          <w:fldChar w:fldCharType="separate"/>
        </w:r>
        <w:r w:rsidR="007F1816">
          <w:rPr>
            <w:noProof/>
            <w:webHidden/>
          </w:rPr>
          <w:t>26</w:t>
        </w:r>
        <w:r w:rsidR="00F650FD">
          <w:rPr>
            <w:noProof/>
            <w:webHidden/>
          </w:rPr>
          <w:fldChar w:fldCharType="end"/>
        </w:r>
      </w:hyperlink>
    </w:p>
    <w:p w14:paraId="60534EEC" w14:textId="6F1A7CE2" w:rsidR="00F650FD" w:rsidRDefault="00477ACD">
      <w:pPr>
        <w:pStyle w:val="TDC3"/>
        <w:rPr>
          <w:rFonts w:eastAsiaTheme="minorEastAsia"/>
          <w:noProof/>
          <w:kern w:val="2"/>
          <w:sz w:val="22"/>
          <w:lang w:val="en-US"/>
          <w14:ligatures w14:val="standardContextual"/>
        </w:rPr>
      </w:pPr>
      <w:hyperlink w:anchor="_Toc142388415" w:history="1">
        <w:r w:rsidR="00F650FD" w:rsidRPr="00B711E1">
          <w:rPr>
            <w:rStyle w:val="Hipervnculo"/>
            <w:noProof/>
          </w:rPr>
          <w:t>4.2.1.</w:t>
        </w:r>
        <w:r w:rsidR="00F650FD">
          <w:rPr>
            <w:rFonts w:eastAsiaTheme="minorEastAsia"/>
            <w:noProof/>
            <w:kern w:val="2"/>
            <w:sz w:val="22"/>
            <w:lang w:val="en-US"/>
            <w14:ligatures w14:val="standardContextual"/>
          </w:rPr>
          <w:tab/>
        </w:r>
        <w:r w:rsidR="00F650FD" w:rsidRPr="00B711E1">
          <w:rPr>
            <w:rStyle w:val="Hipervnculo"/>
            <w:noProof/>
          </w:rPr>
          <w:t>Cobre</w:t>
        </w:r>
        <w:r w:rsidR="00F650FD">
          <w:rPr>
            <w:noProof/>
            <w:webHidden/>
          </w:rPr>
          <w:tab/>
        </w:r>
        <w:r w:rsidR="00F650FD">
          <w:rPr>
            <w:noProof/>
            <w:webHidden/>
          </w:rPr>
          <w:fldChar w:fldCharType="begin"/>
        </w:r>
        <w:r w:rsidR="00F650FD">
          <w:rPr>
            <w:noProof/>
            <w:webHidden/>
          </w:rPr>
          <w:instrText xml:space="preserve"> PAGEREF _Toc142388415 \h </w:instrText>
        </w:r>
        <w:r w:rsidR="00F650FD">
          <w:rPr>
            <w:noProof/>
            <w:webHidden/>
          </w:rPr>
        </w:r>
        <w:r w:rsidR="00F650FD">
          <w:rPr>
            <w:noProof/>
            <w:webHidden/>
          </w:rPr>
          <w:fldChar w:fldCharType="separate"/>
        </w:r>
        <w:r w:rsidR="007F1816">
          <w:rPr>
            <w:noProof/>
            <w:webHidden/>
          </w:rPr>
          <w:t>27</w:t>
        </w:r>
        <w:r w:rsidR="00F650FD">
          <w:rPr>
            <w:noProof/>
            <w:webHidden/>
          </w:rPr>
          <w:fldChar w:fldCharType="end"/>
        </w:r>
      </w:hyperlink>
    </w:p>
    <w:p w14:paraId="77079A4F" w14:textId="76153440" w:rsidR="00F650FD" w:rsidRDefault="00477ACD">
      <w:pPr>
        <w:pStyle w:val="TDC3"/>
        <w:rPr>
          <w:rFonts w:eastAsiaTheme="minorEastAsia"/>
          <w:noProof/>
          <w:kern w:val="2"/>
          <w:sz w:val="22"/>
          <w:lang w:val="en-US"/>
          <w14:ligatures w14:val="standardContextual"/>
        </w:rPr>
      </w:pPr>
      <w:hyperlink w:anchor="_Toc142388416" w:history="1">
        <w:r w:rsidR="00F650FD" w:rsidRPr="00B711E1">
          <w:rPr>
            <w:rStyle w:val="Hipervnculo"/>
            <w:noProof/>
          </w:rPr>
          <w:t>4.2.2.</w:t>
        </w:r>
        <w:r w:rsidR="00F650FD">
          <w:rPr>
            <w:rFonts w:eastAsiaTheme="minorEastAsia"/>
            <w:noProof/>
            <w:kern w:val="2"/>
            <w:sz w:val="22"/>
            <w:lang w:val="en-US"/>
            <w14:ligatures w14:val="standardContextual"/>
          </w:rPr>
          <w:tab/>
        </w:r>
        <w:r w:rsidR="00F650FD" w:rsidRPr="00B711E1">
          <w:rPr>
            <w:rStyle w:val="Hipervnculo"/>
            <w:noProof/>
          </w:rPr>
          <w:t>FTTH</w:t>
        </w:r>
        <w:r w:rsidR="00F650FD">
          <w:rPr>
            <w:noProof/>
            <w:webHidden/>
          </w:rPr>
          <w:tab/>
        </w:r>
        <w:r w:rsidR="00F650FD">
          <w:rPr>
            <w:noProof/>
            <w:webHidden/>
          </w:rPr>
          <w:fldChar w:fldCharType="begin"/>
        </w:r>
        <w:r w:rsidR="00F650FD">
          <w:rPr>
            <w:noProof/>
            <w:webHidden/>
          </w:rPr>
          <w:instrText xml:space="preserve"> PAGEREF _Toc142388416 \h </w:instrText>
        </w:r>
        <w:r w:rsidR="00F650FD">
          <w:rPr>
            <w:noProof/>
            <w:webHidden/>
          </w:rPr>
        </w:r>
        <w:r w:rsidR="00F650FD">
          <w:rPr>
            <w:noProof/>
            <w:webHidden/>
          </w:rPr>
          <w:fldChar w:fldCharType="separate"/>
        </w:r>
        <w:r w:rsidR="007F1816">
          <w:rPr>
            <w:noProof/>
            <w:webHidden/>
          </w:rPr>
          <w:t>27</w:t>
        </w:r>
        <w:r w:rsidR="00F650FD">
          <w:rPr>
            <w:noProof/>
            <w:webHidden/>
          </w:rPr>
          <w:fldChar w:fldCharType="end"/>
        </w:r>
      </w:hyperlink>
    </w:p>
    <w:p w14:paraId="79B7BC16" w14:textId="2F2F6534" w:rsidR="00F650FD" w:rsidRDefault="00477ACD">
      <w:pPr>
        <w:pStyle w:val="TDC3"/>
        <w:rPr>
          <w:rFonts w:eastAsiaTheme="minorEastAsia"/>
          <w:noProof/>
          <w:kern w:val="2"/>
          <w:sz w:val="22"/>
          <w:lang w:val="en-US"/>
          <w14:ligatures w14:val="standardContextual"/>
        </w:rPr>
      </w:pPr>
      <w:hyperlink w:anchor="_Toc142388417" w:history="1">
        <w:r w:rsidR="00F650FD" w:rsidRPr="00B711E1">
          <w:rPr>
            <w:rStyle w:val="Hipervnculo"/>
            <w:noProof/>
          </w:rPr>
          <w:t>4.2.3.</w:t>
        </w:r>
        <w:r w:rsidR="00F650FD">
          <w:rPr>
            <w:rFonts w:eastAsiaTheme="minorEastAsia"/>
            <w:noProof/>
            <w:kern w:val="2"/>
            <w:sz w:val="22"/>
            <w:lang w:val="en-US"/>
            <w14:ligatures w14:val="standardContextual"/>
          </w:rPr>
          <w:tab/>
        </w:r>
        <w:r w:rsidR="00F650FD" w:rsidRPr="00B711E1">
          <w:rPr>
            <w:rStyle w:val="Hipervnculo"/>
            <w:noProof/>
          </w:rPr>
          <w:t>FTTC</w:t>
        </w:r>
        <w:r w:rsidR="00F650FD">
          <w:rPr>
            <w:noProof/>
            <w:webHidden/>
          </w:rPr>
          <w:tab/>
        </w:r>
        <w:r w:rsidR="00F650FD">
          <w:rPr>
            <w:noProof/>
            <w:webHidden/>
          </w:rPr>
          <w:fldChar w:fldCharType="begin"/>
        </w:r>
        <w:r w:rsidR="00F650FD">
          <w:rPr>
            <w:noProof/>
            <w:webHidden/>
          </w:rPr>
          <w:instrText xml:space="preserve"> PAGEREF _Toc142388417 \h </w:instrText>
        </w:r>
        <w:r w:rsidR="00F650FD">
          <w:rPr>
            <w:noProof/>
            <w:webHidden/>
          </w:rPr>
        </w:r>
        <w:r w:rsidR="00F650FD">
          <w:rPr>
            <w:noProof/>
            <w:webHidden/>
          </w:rPr>
          <w:fldChar w:fldCharType="separate"/>
        </w:r>
        <w:r w:rsidR="007F1816">
          <w:rPr>
            <w:noProof/>
            <w:webHidden/>
          </w:rPr>
          <w:t>27</w:t>
        </w:r>
        <w:r w:rsidR="00F650FD">
          <w:rPr>
            <w:noProof/>
            <w:webHidden/>
          </w:rPr>
          <w:fldChar w:fldCharType="end"/>
        </w:r>
      </w:hyperlink>
    </w:p>
    <w:p w14:paraId="18B78DB5" w14:textId="79FE1A4F" w:rsidR="00F650FD" w:rsidRDefault="00477ACD">
      <w:pPr>
        <w:pStyle w:val="TDC2"/>
        <w:tabs>
          <w:tab w:val="left" w:pos="660"/>
          <w:tab w:val="right" w:leader="dot" w:pos="9060"/>
        </w:tabs>
        <w:rPr>
          <w:rFonts w:eastAsiaTheme="minorEastAsia"/>
          <w:noProof/>
          <w:kern w:val="2"/>
          <w:sz w:val="22"/>
          <w:lang w:val="en-US"/>
          <w14:ligatures w14:val="standardContextual"/>
        </w:rPr>
      </w:pPr>
      <w:hyperlink w:anchor="_Toc142388418" w:history="1">
        <w:r w:rsidR="00F650FD" w:rsidRPr="00B711E1">
          <w:rPr>
            <w:rStyle w:val="Hipervnculo"/>
            <w:noProof/>
          </w:rPr>
          <w:t>4.3.</w:t>
        </w:r>
        <w:r w:rsidR="00F650FD">
          <w:rPr>
            <w:rFonts w:eastAsiaTheme="minorEastAsia"/>
            <w:noProof/>
            <w:kern w:val="2"/>
            <w:sz w:val="22"/>
            <w:lang w:val="en-US"/>
            <w14:ligatures w14:val="standardContextual"/>
          </w:rPr>
          <w:tab/>
        </w:r>
        <w:r w:rsidR="00F650FD" w:rsidRPr="00B711E1">
          <w:rPr>
            <w:rStyle w:val="Hipervnculo"/>
            <w:noProof/>
          </w:rPr>
          <w:t>Servicios complementarios</w:t>
        </w:r>
        <w:r w:rsidR="00F650FD">
          <w:rPr>
            <w:noProof/>
            <w:webHidden/>
          </w:rPr>
          <w:tab/>
        </w:r>
        <w:r w:rsidR="00F650FD">
          <w:rPr>
            <w:noProof/>
            <w:webHidden/>
          </w:rPr>
          <w:fldChar w:fldCharType="begin"/>
        </w:r>
        <w:r w:rsidR="00F650FD">
          <w:rPr>
            <w:noProof/>
            <w:webHidden/>
          </w:rPr>
          <w:instrText xml:space="preserve"> PAGEREF _Toc142388418 \h </w:instrText>
        </w:r>
        <w:r w:rsidR="00F650FD">
          <w:rPr>
            <w:noProof/>
            <w:webHidden/>
          </w:rPr>
        </w:r>
        <w:r w:rsidR="00F650FD">
          <w:rPr>
            <w:noProof/>
            <w:webHidden/>
          </w:rPr>
          <w:fldChar w:fldCharType="separate"/>
        </w:r>
        <w:r w:rsidR="007F1816">
          <w:rPr>
            <w:noProof/>
            <w:webHidden/>
          </w:rPr>
          <w:t>28</w:t>
        </w:r>
        <w:r w:rsidR="00F650FD">
          <w:rPr>
            <w:noProof/>
            <w:webHidden/>
          </w:rPr>
          <w:fldChar w:fldCharType="end"/>
        </w:r>
      </w:hyperlink>
    </w:p>
    <w:p w14:paraId="54C41A04" w14:textId="71637952" w:rsidR="00F650FD" w:rsidRDefault="00477ACD">
      <w:pPr>
        <w:pStyle w:val="TDC3"/>
        <w:rPr>
          <w:rFonts w:eastAsiaTheme="minorEastAsia"/>
          <w:noProof/>
          <w:kern w:val="2"/>
          <w:sz w:val="22"/>
          <w:lang w:val="en-US"/>
          <w14:ligatures w14:val="standardContextual"/>
        </w:rPr>
      </w:pPr>
      <w:hyperlink w:anchor="_Toc142388419" w:history="1">
        <w:r w:rsidR="00F650FD" w:rsidRPr="00B711E1">
          <w:rPr>
            <w:rStyle w:val="Hipervnculo"/>
            <w:noProof/>
          </w:rPr>
          <w:t>4.3.1.</w:t>
        </w:r>
        <w:r w:rsidR="00F650FD">
          <w:rPr>
            <w:rFonts w:eastAsiaTheme="minorEastAsia"/>
            <w:noProof/>
            <w:kern w:val="2"/>
            <w:sz w:val="22"/>
            <w:lang w:val="en-US"/>
            <w14:ligatures w14:val="standardContextual"/>
          </w:rPr>
          <w:tab/>
        </w:r>
        <w:r w:rsidR="00F650FD" w:rsidRPr="00B711E1">
          <w:rPr>
            <w:rStyle w:val="Hipervnculo"/>
            <w:noProof/>
          </w:rPr>
          <w:t>Servicio de acceso y uso compartido de obra civil</w:t>
        </w:r>
        <w:r w:rsidR="00F650FD">
          <w:rPr>
            <w:noProof/>
            <w:webHidden/>
          </w:rPr>
          <w:tab/>
        </w:r>
        <w:r w:rsidR="00F650FD">
          <w:rPr>
            <w:noProof/>
            <w:webHidden/>
          </w:rPr>
          <w:fldChar w:fldCharType="begin"/>
        </w:r>
        <w:r w:rsidR="00F650FD">
          <w:rPr>
            <w:noProof/>
            <w:webHidden/>
          </w:rPr>
          <w:instrText xml:space="preserve"> PAGEREF _Toc142388419 \h </w:instrText>
        </w:r>
        <w:r w:rsidR="00F650FD">
          <w:rPr>
            <w:noProof/>
            <w:webHidden/>
          </w:rPr>
        </w:r>
        <w:r w:rsidR="00F650FD">
          <w:rPr>
            <w:noProof/>
            <w:webHidden/>
          </w:rPr>
          <w:fldChar w:fldCharType="separate"/>
        </w:r>
        <w:r w:rsidR="007F1816">
          <w:rPr>
            <w:noProof/>
            <w:webHidden/>
          </w:rPr>
          <w:t>28</w:t>
        </w:r>
        <w:r w:rsidR="00F650FD">
          <w:rPr>
            <w:noProof/>
            <w:webHidden/>
          </w:rPr>
          <w:fldChar w:fldCharType="end"/>
        </w:r>
      </w:hyperlink>
    </w:p>
    <w:p w14:paraId="0226ED50" w14:textId="6A8AFF82" w:rsidR="00F650FD" w:rsidRDefault="00477ACD">
      <w:pPr>
        <w:pStyle w:val="TDC3"/>
        <w:rPr>
          <w:rFonts w:eastAsiaTheme="minorEastAsia"/>
          <w:noProof/>
          <w:kern w:val="2"/>
          <w:sz w:val="22"/>
          <w:lang w:val="en-US"/>
          <w14:ligatures w14:val="standardContextual"/>
        </w:rPr>
      </w:pPr>
      <w:hyperlink w:anchor="_Toc142388420" w:history="1">
        <w:r w:rsidR="00F650FD" w:rsidRPr="00B711E1">
          <w:rPr>
            <w:rStyle w:val="Hipervnculo"/>
            <w:noProof/>
          </w:rPr>
          <w:t>4.3.2.</w:t>
        </w:r>
        <w:r w:rsidR="00F650FD">
          <w:rPr>
            <w:rFonts w:eastAsiaTheme="minorEastAsia"/>
            <w:noProof/>
            <w:kern w:val="2"/>
            <w:sz w:val="22"/>
            <w:lang w:val="en-US"/>
            <w14:ligatures w14:val="standardContextual"/>
          </w:rPr>
          <w:tab/>
        </w:r>
        <w:r w:rsidR="00F650FD" w:rsidRPr="00B711E1">
          <w:rPr>
            <w:rStyle w:val="Hipervnculo"/>
            <w:noProof/>
          </w:rPr>
          <w:t>Servicio de tendido de cable sobre infraestructura desagregada</w:t>
        </w:r>
        <w:r w:rsidR="00F650FD">
          <w:rPr>
            <w:noProof/>
            <w:webHidden/>
          </w:rPr>
          <w:tab/>
        </w:r>
        <w:r w:rsidR="00F650FD">
          <w:rPr>
            <w:noProof/>
            <w:webHidden/>
          </w:rPr>
          <w:fldChar w:fldCharType="begin"/>
        </w:r>
        <w:r w:rsidR="00F650FD">
          <w:rPr>
            <w:noProof/>
            <w:webHidden/>
          </w:rPr>
          <w:instrText xml:space="preserve"> PAGEREF _Toc142388420 \h </w:instrText>
        </w:r>
        <w:r w:rsidR="00F650FD">
          <w:rPr>
            <w:noProof/>
            <w:webHidden/>
          </w:rPr>
        </w:r>
        <w:r w:rsidR="00F650FD">
          <w:rPr>
            <w:noProof/>
            <w:webHidden/>
          </w:rPr>
          <w:fldChar w:fldCharType="separate"/>
        </w:r>
        <w:r w:rsidR="007F1816">
          <w:rPr>
            <w:noProof/>
            <w:webHidden/>
          </w:rPr>
          <w:t>29</w:t>
        </w:r>
        <w:r w:rsidR="00F650FD">
          <w:rPr>
            <w:noProof/>
            <w:webHidden/>
          </w:rPr>
          <w:fldChar w:fldCharType="end"/>
        </w:r>
      </w:hyperlink>
    </w:p>
    <w:p w14:paraId="057F508E" w14:textId="2A6AD215" w:rsidR="008E20B4" w:rsidRDefault="004709C6" w:rsidP="00BA657D">
      <w:pPr>
        <w:sectPr w:rsidR="008E20B4" w:rsidSect="009B7A49">
          <w:headerReference w:type="default" r:id="rId8"/>
          <w:footerReference w:type="default" r:id="rId9"/>
          <w:pgSz w:w="11906" w:h="16838"/>
          <w:pgMar w:top="1418" w:right="1418" w:bottom="1418" w:left="1418" w:header="340" w:footer="397" w:gutter="0"/>
          <w:pgNumType w:fmt="lowerRoman" w:start="1"/>
          <w:cols w:space="708"/>
          <w:docGrid w:linePitch="360"/>
        </w:sectPr>
      </w:pPr>
      <w:r>
        <w:rPr>
          <w:b/>
          <w:smallCaps/>
        </w:rPr>
        <w:fldChar w:fldCharType="end"/>
      </w:r>
    </w:p>
    <w:p w14:paraId="506BA5B4" w14:textId="18ED997F" w:rsidR="00E92D59" w:rsidRPr="00593A5F" w:rsidRDefault="00E92D59" w:rsidP="00D2111D">
      <w:pPr>
        <w:pStyle w:val="Ttulo1"/>
      </w:pPr>
      <w:bookmarkStart w:id="2" w:name="_Ref32424621"/>
      <w:bookmarkStart w:id="3" w:name="_Toc33028703"/>
      <w:bookmarkStart w:id="4" w:name="_Toc33088427"/>
      <w:bookmarkStart w:id="5" w:name="_Toc135664712"/>
      <w:bookmarkStart w:id="6" w:name="_Toc142388396"/>
      <w:r w:rsidRPr="006C1D33">
        <w:lastRenderedPageBreak/>
        <w:t>Introducción</w:t>
      </w:r>
      <w:bookmarkEnd w:id="2"/>
      <w:bookmarkEnd w:id="3"/>
      <w:bookmarkEnd w:id="4"/>
      <w:bookmarkEnd w:id="5"/>
      <w:bookmarkEnd w:id="6"/>
    </w:p>
    <w:p w14:paraId="3B97ABAB" w14:textId="77777777" w:rsidR="00A12586" w:rsidRDefault="00A12586" w:rsidP="00A12586">
      <w:pPr>
        <w:rPr>
          <w:bCs/>
          <w:lang w:val="es-MX"/>
        </w:rPr>
      </w:pPr>
      <w:bookmarkStart w:id="7" w:name="_Ref525571481"/>
      <w:bookmarkStart w:id="8" w:name="_Ref510019545"/>
      <w:bookmarkStart w:id="9" w:name="_Ref510021754"/>
      <w:bookmarkStart w:id="10" w:name="_Ref510021845"/>
      <w:bookmarkStart w:id="11" w:name="OLE_LINK1"/>
      <w:bookmarkStart w:id="12" w:name="_Toc468114360"/>
      <w:bookmarkStart w:id="13" w:name="_Ref467589643"/>
      <w:bookmarkStart w:id="14" w:name="_Ref467487574"/>
      <w:bookmarkStart w:id="15" w:name="_Toc468709030"/>
      <w:r w:rsidRPr="00EF3C5C">
        <w:rPr>
          <w:bCs/>
          <w:lang w:val="es-MX"/>
        </w:rPr>
        <w:t xml:space="preserve">El 6 de marzo de 2014, el Pleno del Instituto Federal de Telecomunicaciones aprobó mediante Acuerdo P/IFT/EXT/060314/76, la </w:t>
      </w:r>
      <w:r w:rsidRPr="0033403A">
        <w:rPr>
          <w:bCs/>
          <w:i/>
          <w:iCs/>
          <w:lang w:val="es-MX"/>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w:t>
      </w:r>
      <w:r w:rsidRPr="00EF3C5C">
        <w:rPr>
          <w:bCs/>
          <w:lang w:val="es-MX"/>
        </w:rPr>
        <w:t>, (en lo sucesivo, “Resolución AEP” y denominando al conjunto de los integrantes como “AEP”).</w:t>
      </w:r>
    </w:p>
    <w:p w14:paraId="44A192D1" w14:textId="77777777" w:rsidR="00A12586" w:rsidRPr="000C11C0" w:rsidRDefault="00A12586" w:rsidP="00A12586">
      <w:pPr>
        <w:rPr>
          <w:bCs/>
        </w:rPr>
      </w:pPr>
      <w:r w:rsidRPr="000C11C0">
        <w:rPr>
          <w:bCs/>
        </w:rPr>
        <w:t>Como parte integrante de la Resolución AEP se aprobaron los siguientes documentos:</w:t>
      </w:r>
    </w:p>
    <w:p w14:paraId="058A31A6" w14:textId="77777777" w:rsidR="00A12586" w:rsidRPr="000C11C0" w:rsidRDefault="00A12586" w:rsidP="00A01A39">
      <w:pPr>
        <w:pStyle w:val="Bullet1"/>
        <w:numPr>
          <w:ilvl w:val="0"/>
          <w:numId w:val="23"/>
        </w:numPr>
      </w:pPr>
      <w:r w:rsidRPr="000C11C0">
        <w:t>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(“Medidas Fijas”).</w:t>
      </w:r>
    </w:p>
    <w:p w14:paraId="219F58FD" w14:textId="77777777" w:rsidR="00A12586" w:rsidRPr="000C11C0" w:rsidRDefault="00A12586" w:rsidP="00A01A39">
      <w:pPr>
        <w:pStyle w:val="Bullet1"/>
        <w:numPr>
          <w:ilvl w:val="0"/>
          <w:numId w:val="23"/>
        </w:numPr>
      </w:pPr>
      <w:r w:rsidRPr="000C11C0">
        <w:t>Anexo 3,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 (“Medidas de Desagregación”).</w:t>
      </w:r>
    </w:p>
    <w:p w14:paraId="7925B7C6" w14:textId="77777777" w:rsidR="00A12586" w:rsidRPr="009773A2" w:rsidRDefault="00A12586" w:rsidP="00A12586">
      <w:pPr>
        <w:rPr>
          <w:lang w:eastAsia="es-MX"/>
        </w:rPr>
      </w:pPr>
      <w:r w:rsidRPr="009773A2">
        <w:rPr>
          <w:lang w:eastAsia="es-MX"/>
        </w:rPr>
        <w:t xml:space="preserve">En concordancia con este proceso, </w:t>
      </w:r>
      <w:r>
        <w:rPr>
          <w:lang w:eastAsia="es-MX"/>
        </w:rPr>
        <w:t xml:space="preserve">en </w:t>
      </w:r>
      <w:r w:rsidRPr="009773A2">
        <w:rPr>
          <w:lang w:eastAsia="es-MX"/>
        </w:rPr>
        <w:t>diciembre de 2020</w:t>
      </w:r>
      <w:r>
        <w:rPr>
          <w:lang w:eastAsia="es-MX"/>
        </w:rPr>
        <w:t>,</w:t>
      </w:r>
      <w:r w:rsidRPr="009773A2">
        <w:rPr>
          <w:lang w:eastAsia="es-MX"/>
        </w:rPr>
        <w:t xml:space="preserve"> el Pleno del Instituto aprobó </w:t>
      </w:r>
      <w:r>
        <w:rPr>
          <w:lang w:eastAsia="es-MX"/>
        </w:rPr>
        <w:t xml:space="preserve">el </w:t>
      </w:r>
      <w:r w:rsidRPr="009773A2">
        <w:rPr>
          <w:lang w:eastAsia="es-MX"/>
        </w:rPr>
        <w:t>Acuerdo P/IFT/021220/488</w:t>
      </w:r>
      <w:r>
        <w:rPr>
          <w:lang w:eastAsia="es-MX"/>
        </w:rPr>
        <w:t xml:space="preserve">, </w:t>
      </w:r>
      <w:r w:rsidRPr="009773A2">
        <w:rPr>
          <w:lang w:eastAsia="es-MX"/>
        </w:rPr>
        <w:t xml:space="preserve">cuya revisión resultó </w:t>
      </w:r>
      <w:r>
        <w:rPr>
          <w:lang w:eastAsia="es-MX"/>
        </w:rPr>
        <w:t xml:space="preserve">en modificaciones tanto a </w:t>
      </w:r>
      <w:r w:rsidRPr="009773A2">
        <w:rPr>
          <w:lang w:eastAsia="es-MX"/>
        </w:rPr>
        <w:t xml:space="preserve">las Medidas Fijas como </w:t>
      </w:r>
      <w:r>
        <w:rPr>
          <w:lang w:eastAsia="es-MX"/>
        </w:rPr>
        <w:t xml:space="preserve">a </w:t>
      </w:r>
      <w:r w:rsidRPr="009773A2">
        <w:rPr>
          <w:lang w:eastAsia="es-MX"/>
        </w:rPr>
        <w:t xml:space="preserve">las Medidas de Desagregación </w:t>
      </w:r>
      <w:r>
        <w:rPr>
          <w:lang w:eastAsia="es-MX"/>
        </w:rPr>
        <w:t xml:space="preserve">que se encuentran </w:t>
      </w:r>
      <w:r w:rsidRPr="009773A2">
        <w:rPr>
          <w:lang w:eastAsia="es-MX"/>
        </w:rPr>
        <w:t>actualmente vigen</w:t>
      </w:r>
      <w:r>
        <w:rPr>
          <w:lang w:eastAsia="es-MX"/>
        </w:rPr>
        <w:t>tes</w:t>
      </w:r>
      <w:r w:rsidRPr="009773A2">
        <w:rPr>
          <w:lang w:eastAsia="es-MX"/>
        </w:rPr>
        <w:t>.</w:t>
      </w:r>
    </w:p>
    <w:p w14:paraId="37082D47" w14:textId="77777777" w:rsidR="00A12586" w:rsidRPr="009773A2" w:rsidRDefault="00A12586" w:rsidP="00A12586">
      <w:pPr>
        <w:rPr>
          <w:lang w:eastAsia="es-MX"/>
        </w:rPr>
      </w:pPr>
      <w:r w:rsidRPr="009773A2">
        <w:rPr>
          <w:lang w:eastAsia="es-MX"/>
        </w:rPr>
        <w:t>En este sentido, la Medida Trigésima Novena de las Medidas Fijas dispuso lo siguiente:</w:t>
      </w:r>
    </w:p>
    <w:p w14:paraId="4FBDCA7E" w14:textId="77777777" w:rsidR="00A12586" w:rsidRPr="00B62642" w:rsidRDefault="00A12586" w:rsidP="00A12586">
      <w:pPr>
        <w:ind w:left="720"/>
        <w:rPr>
          <w:i/>
          <w:lang w:eastAsia="es-MX"/>
        </w:rPr>
      </w:pPr>
      <w:r w:rsidRPr="00B62642">
        <w:rPr>
          <w:i/>
          <w:lang w:eastAsia="es-MX"/>
        </w:rPr>
        <w:t>“</w:t>
      </w:r>
      <w:r w:rsidRPr="00B62642">
        <w:rPr>
          <w:b/>
          <w:i/>
          <w:lang w:eastAsia="es-MX"/>
        </w:rPr>
        <w:t>TRIGÉSIMA NOVENA.-</w:t>
      </w:r>
      <w:r w:rsidRPr="00B62642">
        <w:rPr>
          <w:i/>
          <w:lang w:eastAsia="es-MX"/>
        </w:rPr>
        <w:t xml:space="preserve"> Las tarifas aplicables al Servicio de Acceso y Uso Compartido de Infraestructura Pasiva se determinarán a partir de un modelo de </w:t>
      </w:r>
      <w:r w:rsidRPr="00B62642">
        <w:rPr>
          <w:i/>
          <w:lang w:eastAsia="es-MX"/>
        </w:rPr>
        <w:lastRenderedPageBreak/>
        <w:t>costos basado en una metodología de costos incrementales promedio de largo plazo, que al efecto emita el Instituto. […]”.</w:t>
      </w:r>
    </w:p>
    <w:p w14:paraId="3F0E2B79" w14:textId="77777777" w:rsidR="00A12586" w:rsidRPr="009773A2" w:rsidRDefault="00A12586" w:rsidP="00A12586">
      <w:pPr>
        <w:rPr>
          <w:lang w:eastAsia="es-MX"/>
        </w:rPr>
      </w:pPr>
      <w:r w:rsidRPr="009773A2">
        <w:rPr>
          <w:lang w:eastAsia="es-MX"/>
        </w:rPr>
        <w:t xml:space="preserve">De igual forma, la Medida Trigésima Novena de las Medidas de Desagregación </w:t>
      </w:r>
      <w:r>
        <w:rPr>
          <w:lang w:eastAsia="es-MX"/>
        </w:rPr>
        <w:t>señala</w:t>
      </w:r>
      <w:r w:rsidRPr="009773A2">
        <w:rPr>
          <w:lang w:eastAsia="es-MX"/>
        </w:rPr>
        <w:t xml:space="preserve"> lo siguiente:</w:t>
      </w:r>
    </w:p>
    <w:p w14:paraId="1DA6A9C9" w14:textId="77777777" w:rsidR="00A12586" w:rsidRPr="00B62642" w:rsidRDefault="00A12586" w:rsidP="00A12586">
      <w:pPr>
        <w:ind w:left="720"/>
        <w:rPr>
          <w:i/>
          <w:lang w:eastAsia="es-MX"/>
        </w:rPr>
      </w:pPr>
      <w:r w:rsidRPr="00B62642">
        <w:rPr>
          <w:bCs/>
          <w:i/>
          <w:lang w:eastAsia="es-MX"/>
        </w:rPr>
        <w:t>“</w:t>
      </w:r>
      <w:r w:rsidRPr="00B62642">
        <w:rPr>
          <w:b/>
          <w:i/>
          <w:lang w:eastAsia="es-MX"/>
        </w:rPr>
        <w:t xml:space="preserve">TRIGÉSIMA NOVENA.- </w:t>
      </w:r>
      <w:r w:rsidRPr="00B62642">
        <w:rPr>
          <w:i/>
          <w:lang w:eastAsia="es-MX"/>
        </w:rPr>
        <w:t xml:space="preserve">Las tarifas aplicables al Servicio de Acceso Indirecto al Bucle Local y a los Servicios de Desagregación Total y Compartida del Bucle, </w:t>
      </w:r>
      <w:proofErr w:type="spellStart"/>
      <w:r w:rsidRPr="00B62642">
        <w:rPr>
          <w:i/>
          <w:lang w:eastAsia="es-MX"/>
        </w:rPr>
        <w:t>Sub-bucle</w:t>
      </w:r>
      <w:proofErr w:type="spellEnd"/>
      <w:r w:rsidRPr="00B62642">
        <w:rPr>
          <w:i/>
          <w:lang w:eastAsia="es-MX"/>
        </w:rPr>
        <w:t xml:space="preserve"> Local, </w:t>
      </w:r>
      <w:proofErr w:type="spellStart"/>
      <w:r w:rsidRPr="00B62642">
        <w:rPr>
          <w:i/>
          <w:lang w:eastAsia="es-MX"/>
        </w:rPr>
        <w:t>Coubicación</w:t>
      </w:r>
      <w:proofErr w:type="spellEnd"/>
      <w:r w:rsidRPr="00B62642">
        <w:rPr>
          <w:i/>
          <w:lang w:eastAsia="es-MX"/>
        </w:rPr>
        <w:t xml:space="preserve"> para Desagregación y Servicios Auxiliares, se determinarán a partir de un modelo de costos basado en una metodología de costos incrementales promedio de largo plazo, que al efecto emita el Instituto. […]”.</w:t>
      </w:r>
    </w:p>
    <w:p w14:paraId="1DCC3BEB" w14:textId="50FCE63A" w:rsidR="00A12586" w:rsidRPr="009773A2" w:rsidRDefault="00A12586" w:rsidP="00A12586">
      <w:pPr>
        <w:rPr>
          <w:lang w:eastAsia="es-MX"/>
        </w:rPr>
      </w:pPr>
      <w:r w:rsidRPr="008A106D">
        <w:rPr>
          <w:lang w:eastAsia="es-MX"/>
        </w:rPr>
        <w:t xml:space="preserve">En este contexto, se destaca </w:t>
      </w:r>
      <w:r w:rsidR="004570D7">
        <w:rPr>
          <w:lang w:eastAsia="es-MX"/>
        </w:rPr>
        <w:t xml:space="preserve">que </w:t>
      </w:r>
      <w:r w:rsidRPr="008A106D">
        <w:rPr>
          <w:lang w:eastAsia="es-MX"/>
        </w:rPr>
        <w:t xml:space="preserve">el Modelo Integral de Acceso Fijo </w:t>
      </w:r>
      <w:r>
        <w:rPr>
          <w:lang w:eastAsia="es-MX"/>
        </w:rPr>
        <w:t xml:space="preserve">desarrollado en 2018 por el Instituto </w:t>
      </w:r>
      <w:r w:rsidRPr="008A106D">
        <w:rPr>
          <w:lang w:eastAsia="es-MX"/>
        </w:rPr>
        <w:t xml:space="preserve">(en lo sucesivo, “Modelo Integral”) </w:t>
      </w:r>
      <w:r w:rsidR="004570D7">
        <w:rPr>
          <w:lang w:eastAsia="es-MX"/>
        </w:rPr>
        <w:t xml:space="preserve">es empleado por el </w:t>
      </w:r>
      <w:r w:rsidR="00310646">
        <w:rPr>
          <w:lang w:eastAsia="es-MX"/>
        </w:rPr>
        <w:t xml:space="preserve">organismo </w:t>
      </w:r>
      <w:r w:rsidR="004570D7">
        <w:rPr>
          <w:lang w:eastAsia="es-MX"/>
        </w:rPr>
        <w:t xml:space="preserve">para determinar </w:t>
      </w:r>
      <w:r w:rsidRPr="008A106D">
        <w:rPr>
          <w:lang w:eastAsia="es-MX"/>
        </w:rPr>
        <w:t xml:space="preserve">las tarifas de: </w:t>
      </w:r>
      <w:r w:rsidRPr="008A106D">
        <w:rPr>
          <w:rFonts w:cs="Calibri"/>
          <w:lang w:eastAsia="es-MX"/>
        </w:rPr>
        <w:t>1) los servicios de desagregación relativos a la red de acceso del AEP</w:t>
      </w:r>
      <w:r w:rsidRPr="008A106D">
        <w:rPr>
          <w:rFonts w:cs="Calibri"/>
          <w:lang w:val="es-419" w:eastAsia="es-MX"/>
        </w:rPr>
        <w:t xml:space="preserve"> tanto para cobre como fibra </w:t>
      </w:r>
      <w:r>
        <w:rPr>
          <w:rFonts w:cs="Calibri"/>
          <w:lang w:val="es-419" w:eastAsia="es-MX"/>
        </w:rPr>
        <w:t xml:space="preserve">óptica </w:t>
      </w:r>
      <w:r w:rsidRPr="008A106D">
        <w:rPr>
          <w:rFonts w:cs="Calibri"/>
          <w:lang w:eastAsia="es-MX"/>
        </w:rPr>
        <w:t>y 2) los servicios de compartición de infraestructura pasiva</w:t>
      </w:r>
      <w:r w:rsidR="004570D7">
        <w:rPr>
          <w:rFonts w:cs="Calibri"/>
          <w:lang w:eastAsia="es-MX"/>
        </w:rPr>
        <w:t xml:space="preserve">. Dicho Modelo </w:t>
      </w:r>
      <w:r w:rsidRPr="008A106D">
        <w:rPr>
          <w:lang w:eastAsia="es-MX"/>
        </w:rPr>
        <w:t>se desarrolló siguiendo una metodología de costos incrementales promedio de largo plazo,</w:t>
      </w:r>
      <w:r w:rsidRPr="009773A2">
        <w:rPr>
          <w:lang w:eastAsia="es-MX"/>
        </w:rPr>
        <w:t xml:space="preserve"> de conformidad con lo establecido en la</w:t>
      </w:r>
      <w:r>
        <w:rPr>
          <w:lang w:eastAsia="es-MX"/>
        </w:rPr>
        <w:t xml:space="preserve">s </w:t>
      </w:r>
      <w:r w:rsidRPr="009773A2">
        <w:rPr>
          <w:lang w:eastAsia="es-MX"/>
        </w:rPr>
        <w:t>Medida</w:t>
      </w:r>
      <w:r>
        <w:rPr>
          <w:lang w:eastAsia="es-MX"/>
        </w:rPr>
        <w:t>s</w:t>
      </w:r>
      <w:r w:rsidRPr="009773A2">
        <w:rPr>
          <w:lang w:eastAsia="es-MX"/>
        </w:rPr>
        <w:t xml:space="preserve"> </w:t>
      </w:r>
      <w:r>
        <w:rPr>
          <w:lang w:eastAsia="es-MX"/>
        </w:rPr>
        <w:t xml:space="preserve">anteriores. </w:t>
      </w:r>
    </w:p>
    <w:p w14:paraId="3F236D2E" w14:textId="72C6BE8B" w:rsidR="00A12586" w:rsidRDefault="00A12586" w:rsidP="00A12586">
      <w:pPr>
        <w:rPr>
          <w:lang w:eastAsia="es-MX"/>
        </w:rPr>
      </w:pPr>
      <w:r w:rsidRPr="00D157DF">
        <w:rPr>
          <w:lang w:eastAsia="es-MX"/>
        </w:rPr>
        <w:t xml:space="preserve">El Modelo Integral emitido fue utilizado por el Instituto para la determinación de las tarifas mayoristas aplicables a dichos servicios para los años 2019 y 2020. Posteriormente, en 2020, </w:t>
      </w:r>
      <w:r>
        <w:rPr>
          <w:lang w:eastAsia="es-MX"/>
        </w:rPr>
        <w:t>se llevó a cabo una actualización del mismo</w:t>
      </w:r>
      <w:r w:rsidRPr="00D157DF">
        <w:rPr>
          <w:lang w:eastAsia="es-MX"/>
        </w:rPr>
        <w:t xml:space="preserve">, a partir de la cual se determinaron las tarifas aplicables para los años 2021, 2022 y 2023. </w:t>
      </w:r>
    </w:p>
    <w:p w14:paraId="2F558D2D" w14:textId="4D63223F" w:rsidR="00E92D59" w:rsidRDefault="00A12586" w:rsidP="00631E8A">
      <w:r w:rsidRPr="00E92D59">
        <w:t>Con fecha 3 de mayo de 2023</w:t>
      </w:r>
      <w:r>
        <w:t>,</w:t>
      </w:r>
      <w:r w:rsidRPr="00E92D59">
        <w:t xml:space="preserve"> </w:t>
      </w:r>
      <w:r>
        <w:t xml:space="preserve">a </w:t>
      </w:r>
      <w:proofErr w:type="spellStart"/>
      <w:r w:rsidRPr="00E92D59">
        <w:t>Axon</w:t>
      </w:r>
      <w:proofErr w:type="spellEnd"/>
      <w:r w:rsidRPr="00E92D59">
        <w:t xml:space="preserve"> </w:t>
      </w:r>
      <w:proofErr w:type="spellStart"/>
      <w:r w:rsidRPr="00E92D59">
        <w:t>Partners</w:t>
      </w:r>
      <w:proofErr w:type="spellEnd"/>
      <w:r w:rsidRPr="00E92D59">
        <w:t xml:space="preserve"> </w:t>
      </w:r>
      <w:proofErr w:type="spellStart"/>
      <w:r w:rsidRPr="00E92D59">
        <w:t>Group</w:t>
      </w:r>
      <w:proofErr w:type="spellEnd"/>
      <w:r w:rsidRPr="00E92D59">
        <w:t xml:space="preserve"> Consulting (en adelante ‘</w:t>
      </w:r>
      <w:proofErr w:type="spellStart"/>
      <w:r w:rsidRPr="00E92D59">
        <w:t>Axon</w:t>
      </w:r>
      <w:proofErr w:type="spellEnd"/>
      <w:r w:rsidRPr="00E92D59">
        <w:t xml:space="preserve"> Consulting’ o ‘</w:t>
      </w:r>
      <w:proofErr w:type="spellStart"/>
      <w:r w:rsidRPr="00E92D59">
        <w:t>Axon</w:t>
      </w:r>
      <w:proofErr w:type="spellEnd"/>
      <w:r w:rsidRPr="00E92D59">
        <w:t xml:space="preserve">’) </w:t>
      </w:r>
      <w:r>
        <w:t xml:space="preserve">le </w:t>
      </w:r>
      <w:r w:rsidRPr="00E92D59">
        <w:t>fue adjudicad</w:t>
      </w:r>
      <w:r>
        <w:t>o</w:t>
      </w:r>
      <w:r w:rsidRPr="00E92D59">
        <w:t xml:space="preserve"> el contrato de “</w:t>
      </w:r>
      <w:r w:rsidRPr="00E92D59">
        <w:rPr>
          <w:i/>
          <w:iCs/>
        </w:rPr>
        <w:t>Actualización del Modelo de Costos Integral de la Red de Acceso Fija 2023</w:t>
      </w:r>
      <w:r w:rsidRPr="00E92D59">
        <w:t>” (en adelante, el ‘</w:t>
      </w:r>
      <w:r>
        <w:t>P</w:t>
      </w:r>
      <w:r w:rsidRPr="00E92D59">
        <w:t>royecto’).</w:t>
      </w:r>
    </w:p>
    <w:p w14:paraId="661DD9B6" w14:textId="77777777" w:rsidR="00687D88" w:rsidRDefault="00687D88" w:rsidP="00687D88">
      <w:pPr>
        <w:pStyle w:val="Ttulo2"/>
      </w:pPr>
      <w:bookmarkStart w:id="16" w:name="_Toc142388397"/>
      <w:r w:rsidRPr="00687D88">
        <w:t>Objetivos de la consulta</w:t>
      </w:r>
      <w:bookmarkStart w:id="17" w:name="_Toc468457994"/>
      <w:bookmarkStart w:id="18" w:name="_Toc468458031"/>
      <w:bookmarkStart w:id="19" w:name="_Toc33028706"/>
      <w:bookmarkStart w:id="20" w:name="_Toc33088430"/>
      <w:bookmarkStart w:id="21" w:name="_Toc134642928"/>
      <w:bookmarkStart w:id="22" w:name="_Toc135664714"/>
      <w:bookmarkEnd w:id="16"/>
      <w:bookmarkEnd w:id="17"/>
      <w:bookmarkEnd w:id="18"/>
    </w:p>
    <w:p w14:paraId="367CB250" w14:textId="4E842692" w:rsidR="009132D4" w:rsidRDefault="00C4094E" w:rsidP="00C4094E">
      <w:pPr>
        <w:rPr>
          <w:lang w:eastAsia="es-MX"/>
        </w:rPr>
      </w:pPr>
      <w:r w:rsidRPr="00C4094E">
        <w:rPr>
          <w:lang w:val="es-ES_tradnl"/>
        </w:rPr>
        <w:t xml:space="preserve">En virtud de lo anterior, la presente consulta pública tiene por objeto dar a conocer las </w:t>
      </w:r>
      <w:r w:rsidR="001118AF">
        <w:rPr>
          <w:lang w:val="es-ES_tradnl"/>
        </w:rPr>
        <w:t>m</w:t>
      </w:r>
      <w:r w:rsidRPr="00C4094E">
        <w:rPr>
          <w:lang w:val="es-ES_tradnl"/>
        </w:rPr>
        <w:t xml:space="preserve">odificaciones </w:t>
      </w:r>
      <w:r w:rsidR="009132D4">
        <w:rPr>
          <w:lang w:val="es-ES_tradnl"/>
        </w:rPr>
        <w:t xml:space="preserve">y actualizaciones </w:t>
      </w:r>
      <w:r w:rsidR="00F73F6D">
        <w:rPr>
          <w:lang w:eastAsia="es-MX"/>
        </w:rPr>
        <w:t xml:space="preserve">llevada a cabo dentro del marco </w:t>
      </w:r>
      <w:r w:rsidR="009132D4">
        <w:rPr>
          <w:lang w:eastAsia="es-MX"/>
        </w:rPr>
        <w:t xml:space="preserve">del Proyecto de </w:t>
      </w:r>
      <w:r w:rsidR="009132D4" w:rsidRPr="009132D4">
        <w:rPr>
          <w:lang w:eastAsia="es-MX"/>
        </w:rPr>
        <w:t>Actualización del Modelo de Costos Integral de la Red de Acceso Fija 2023</w:t>
      </w:r>
      <w:r w:rsidR="009132D4">
        <w:rPr>
          <w:lang w:eastAsia="es-MX"/>
        </w:rPr>
        <w:t>.</w:t>
      </w:r>
    </w:p>
    <w:p w14:paraId="74D7BDE2" w14:textId="3453ABF1" w:rsidR="00687D88" w:rsidRPr="00687D88" w:rsidRDefault="009132D4" w:rsidP="00687D88">
      <w:r>
        <w:t>En este contexto, e</w:t>
      </w:r>
      <w:r w:rsidR="003C04F9">
        <w:t xml:space="preserve">l presente documento detalla </w:t>
      </w:r>
      <w:r w:rsidR="00AC6860">
        <w:t xml:space="preserve">los principales </w:t>
      </w:r>
      <w:r w:rsidR="00F73F6D">
        <w:t>cambios</w:t>
      </w:r>
      <w:r w:rsidR="003C04F9">
        <w:t xml:space="preserve"> realizados </w:t>
      </w:r>
      <w:r w:rsidR="00AC6860">
        <w:t xml:space="preserve">sobre el Modelo, </w:t>
      </w:r>
      <w:r w:rsidR="0020171B" w:rsidRPr="0020171B">
        <w:rPr>
          <w:lang w:eastAsia="es-MX"/>
        </w:rPr>
        <w:t xml:space="preserve">dándose a conocer a todos los interesados, a efecto de que exista un mayor entendimiento sobre las </w:t>
      </w:r>
      <w:r w:rsidR="0020171B">
        <w:rPr>
          <w:lang w:eastAsia="es-MX"/>
        </w:rPr>
        <w:t>m</w:t>
      </w:r>
      <w:r w:rsidR="0020171B" w:rsidRPr="0020171B">
        <w:rPr>
          <w:lang w:eastAsia="es-MX"/>
        </w:rPr>
        <w:t>odificaciones a</w:t>
      </w:r>
      <w:r w:rsidR="001F53E3">
        <w:rPr>
          <w:lang w:eastAsia="es-MX"/>
        </w:rPr>
        <w:t xml:space="preserve">l </w:t>
      </w:r>
      <w:r w:rsidR="00A868DC">
        <w:rPr>
          <w:lang w:eastAsia="es-MX"/>
        </w:rPr>
        <w:t>mismo</w:t>
      </w:r>
      <w:r w:rsidR="00A868DC" w:rsidRPr="0020171B">
        <w:rPr>
          <w:lang w:eastAsia="es-MX"/>
        </w:rPr>
        <w:t xml:space="preserve"> </w:t>
      </w:r>
      <w:r w:rsidR="0020171B" w:rsidRPr="0020171B">
        <w:rPr>
          <w:lang w:eastAsia="es-MX"/>
        </w:rPr>
        <w:t xml:space="preserve">y, a partir de esto, formular </w:t>
      </w:r>
      <w:r w:rsidR="00AC6860">
        <w:rPr>
          <w:lang w:eastAsia="es-MX"/>
        </w:rPr>
        <w:t xml:space="preserve">al </w:t>
      </w:r>
      <w:r w:rsidR="0020171B" w:rsidRPr="0020171B">
        <w:rPr>
          <w:lang w:eastAsia="es-MX"/>
        </w:rPr>
        <w:t>órgano regulador sus comentarios, opiniones o aportaciones que permitan fortalecerlos</w:t>
      </w:r>
      <w:r w:rsidR="00AC6860">
        <w:rPr>
          <w:lang w:eastAsia="es-MX"/>
        </w:rPr>
        <w:t xml:space="preserve">. </w:t>
      </w:r>
    </w:p>
    <w:p w14:paraId="5DB70D00" w14:textId="3F08B57C" w:rsidR="00E92D59" w:rsidRPr="006C1D33" w:rsidRDefault="00E92D59" w:rsidP="00687D88">
      <w:pPr>
        <w:pStyle w:val="Ttulo2"/>
      </w:pPr>
      <w:bookmarkStart w:id="23" w:name="_Toc142388398"/>
      <w:r w:rsidRPr="006C1D33">
        <w:lastRenderedPageBreak/>
        <w:t xml:space="preserve">Estructura del </w:t>
      </w:r>
      <w:bookmarkEnd w:id="19"/>
      <w:bookmarkEnd w:id="20"/>
      <w:bookmarkEnd w:id="21"/>
      <w:bookmarkEnd w:id="22"/>
      <w:r w:rsidR="0093520C">
        <w:t>documento</w:t>
      </w:r>
      <w:bookmarkEnd w:id="23"/>
    </w:p>
    <w:p w14:paraId="768E7288" w14:textId="77777777" w:rsidR="00AC6860" w:rsidRDefault="0010665A" w:rsidP="0010665A">
      <w:r w:rsidRPr="00E92D59">
        <w:t xml:space="preserve">Este </w:t>
      </w:r>
      <w:r w:rsidR="00F44A15">
        <w:t>documento</w:t>
      </w:r>
      <w:r w:rsidRPr="00E92D59">
        <w:t xml:space="preserve"> </w:t>
      </w:r>
      <w:r>
        <w:t xml:space="preserve">detalla </w:t>
      </w:r>
      <w:r w:rsidRPr="00E92D59">
        <w:t xml:space="preserve">la </w:t>
      </w:r>
      <w:r w:rsidR="00F55054">
        <w:t xml:space="preserve">actualización </w:t>
      </w:r>
      <w:r w:rsidRPr="00E92D59">
        <w:t>efectuada</w:t>
      </w:r>
      <w:r>
        <w:t xml:space="preserve"> sobre el Modelo Integral y su metodología</w:t>
      </w:r>
      <w:r w:rsidRPr="00E92D59">
        <w:t>,</w:t>
      </w:r>
      <w:r w:rsidR="00AC6860">
        <w:t xml:space="preserve"> </w:t>
      </w:r>
      <w:r w:rsidRPr="00E92D59">
        <w:t xml:space="preserve">así como las </w:t>
      </w:r>
      <w:r w:rsidR="00092DEF">
        <w:t xml:space="preserve">principales </w:t>
      </w:r>
      <w:r w:rsidRPr="00E92D59">
        <w:t xml:space="preserve">conclusiones que de ella se </w:t>
      </w:r>
      <w:r w:rsidR="00092DEF">
        <w:t xml:space="preserve">han desprendido. </w:t>
      </w:r>
    </w:p>
    <w:p w14:paraId="2E41EFD7" w14:textId="3F8F4673" w:rsidR="0010665A" w:rsidRPr="00E92D59" w:rsidRDefault="0010665A" w:rsidP="0010665A">
      <w:r w:rsidRPr="00E92D59">
        <w:t xml:space="preserve">En concreto, este </w:t>
      </w:r>
      <w:r w:rsidR="00F44A15">
        <w:t>documento</w:t>
      </w:r>
      <w:r w:rsidRPr="00E92D59">
        <w:t xml:space="preserve"> se divide en las siguientes secciones:</w:t>
      </w:r>
    </w:p>
    <w:p w14:paraId="329AD74F" w14:textId="2A943C12" w:rsidR="0010665A" w:rsidRDefault="0010665A" w:rsidP="00A01A39">
      <w:pPr>
        <w:pStyle w:val="Bullet1"/>
      </w:pPr>
      <w:r w:rsidRPr="00AC6860">
        <w:rPr>
          <w:b/>
          <w:bCs/>
        </w:rPr>
        <w:fldChar w:fldCharType="begin"/>
      </w:r>
      <w:r w:rsidRPr="00AC6860">
        <w:rPr>
          <w:b/>
          <w:bCs/>
        </w:rPr>
        <w:instrText xml:space="preserve"> REF _Ref135953714 \h  \* MERGEFORMAT </w:instrText>
      </w:r>
      <w:r w:rsidRPr="00AC6860">
        <w:rPr>
          <w:b/>
          <w:bCs/>
        </w:rPr>
      </w:r>
      <w:r w:rsidRPr="00AC6860">
        <w:rPr>
          <w:b/>
          <w:bCs/>
        </w:rPr>
        <w:fldChar w:fldCharType="separate"/>
      </w:r>
      <w:r w:rsidR="00320714" w:rsidRPr="00320714">
        <w:rPr>
          <w:b/>
          <w:bCs/>
        </w:rPr>
        <w:t>Revisión de la metodología y diseño del Modelo</w:t>
      </w:r>
      <w:r w:rsidRPr="00AC6860">
        <w:rPr>
          <w:b/>
          <w:bCs/>
        </w:rPr>
        <w:fldChar w:fldCharType="end"/>
      </w:r>
      <w:r>
        <w:t xml:space="preserve"> </w:t>
      </w:r>
      <w:r w:rsidRPr="00E606D0">
        <w:t>(sección</w:t>
      </w:r>
      <w:r>
        <w:t xml:space="preserve"> </w:t>
      </w:r>
      <w:r>
        <w:fldChar w:fldCharType="begin"/>
      </w:r>
      <w:r>
        <w:instrText xml:space="preserve"> REF _Ref135756072 \r \h  \* MERGEFORMAT </w:instrText>
      </w:r>
      <w:r>
        <w:fldChar w:fldCharType="separate"/>
      </w:r>
      <w:r w:rsidR="00320714">
        <w:rPr>
          <w:rFonts w:hint="cs"/>
          <w:cs/>
        </w:rPr>
        <w:t>‎</w:t>
      </w:r>
      <w:r w:rsidR="00320714">
        <w:t>2</w:t>
      </w:r>
      <w:r>
        <w:fldChar w:fldCharType="end"/>
      </w:r>
      <w:r w:rsidRPr="00E606D0">
        <w:t xml:space="preserve">). </w:t>
      </w:r>
      <w:r w:rsidR="0019034C">
        <w:t xml:space="preserve">En </w:t>
      </w:r>
      <w:r w:rsidR="00121105">
        <w:t>esta sección</w:t>
      </w:r>
      <w:r w:rsidR="0019034C">
        <w:t xml:space="preserve"> se han revisado </w:t>
      </w:r>
      <w:r>
        <w:t xml:space="preserve">los principios metodológicos y conceptuales implementados en el </w:t>
      </w:r>
      <w:r w:rsidR="0019034C">
        <w:t>M</w:t>
      </w:r>
      <w:r>
        <w:t>odelo</w:t>
      </w:r>
      <w:r w:rsidR="00092DEF">
        <w:t>,</w:t>
      </w:r>
      <w:r>
        <w:t xml:space="preserve"> </w:t>
      </w:r>
      <w:r w:rsidR="0019034C">
        <w:t xml:space="preserve">así </w:t>
      </w:r>
      <w:r w:rsidR="00366110">
        <w:t xml:space="preserve">como la necesidad de actualización de los mismos. </w:t>
      </w:r>
    </w:p>
    <w:p w14:paraId="292FBECB" w14:textId="4EF0F234" w:rsidR="0099184F" w:rsidRDefault="00DC398C" w:rsidP="00A01A39">
      <w:pPr>
        <w:pStyle w:val="Bullet1"/>
      </w:pPr>
      <w:r w:rsidRPr="008E4034">
        <w:rPr>
          <w:b/>
          <w:bCs/>
        </w:rPr>
        <w:fldChar w:fldCharType="begin"/>
      </w:r>
      <w:r w:rsidRPr="008E4034">
        <w:rPr>
          <w:b/>
          <w:bCs/>
        </w:rPr>
        <w:instrText xml:space="preserve"> REF _Ref139896698 \h </w:instrText>
      </w:r>
      <w:r w:rsidR="008E4034">
        <w:rPr>
          <w:b/>
          <w:bCs/>
        </w:rPr>
        <w:instrText xml:space="preserve"> \* MERGEFORMAT </w:instrText>
      </w:r>
      <w:r w:rsidRPr="008E4034">
        <w:rPr>
          <w:b/>
          <w:bCs/>
        </w:rPr>
      </w:r>
      <w:r w:rsidRPr="008E4034">
        <w:rPr>
          <w:b/>
          <w:bCs/>
        </w:rPr>
        <w:fldChar w:fldCharType="separate"/>
      </w:r>
      <w:r w:rsidR="00320714" w:rsidRPr="00320714">
        <w:rPr>
          <w:b/>
          <w:bCs/>
        </w:rPr>
        <w:t>Actualización de datos de entrada</w:t>
      </w:r>
      <w:r w:rsidRPr="008E4034">
        <w:rPr>
          <w:b/>
          <w:bCs/>
        </w:rPr>
        <w:fldChar w:fldCharType="end"/>
      </w:r>
      <w:r w:rsidR="008207D2">
        <w:t xml:space="preserve"> (sección </w:t>
      </w:r>
      <w:r w:rsidR="008E4034">
        <w:fldChar w:fldCharType="begin"/>
      </w:r>
      <w:r w:rsidR="008E4034">
        <w:instrText xml:space="preserve"> REF _Ref139897115 \r \h </w:instrText>
      </w:r>
      <w:r w:rsidR="008E4034">
        <w:fldChar w:fldCharType="separate"/>
      </w:r>
      <w:r w:rsidR="00320714">
        <w:rPr>
          <w:rFonts w:hint="cs"/>
          <w:cs/>
        </w:rPr>
        <w:t>‎</w:t>
      </w:r>
      <w:r w:rsidR="00320714">
        <w:t>3</w:t>
      </w:r>
      <w:r w:rsidR="008E4034">
        <w:fldChar w:fldCharType="end"/>
      </w:r>
      <w:r w:rsidR="008207D2">
        <w:t>)</w:t>
      </w:r>
      <w:r w:rsidR="008E4034">
        <w:t>. En es</w:t>
      </w:r>
      <w:r w:rsidR="00C11077">
        <w:t>t</w:t>
      </w:r>
      <w:r w:rsidR="008E4034">
        <w:t xml:space="preserve">a sección se </w:t>
      </w:r>
      <w:r w:rsidR="00366110">
        <w:t xml:space="preserve">describe el tratamiento dado a los nuevos insumos del Modelo, basados en información actualizada disponible, </w:t>
      </w:r>
      <w:r w:rsidR="00C11077">
        <w:t>con el objetivo de ajustarse</w:t>
      </w:r>
      <w:r w:rsidR="00F55054">
        <w:t xml:space="preserve"> de manera precisa</w:t>
      </w:r>
      <w:r w:rsidR="00C11077">
        <w:t xml:space="preserve"> a la realidad</w:t>
      </w:r>
      <w:r w:rsidR="00366110">
        <w:t xml:space="preserve"> </w:t>
      </w:r>
      <w:r w:rsidR="00C11077">
        <w:t xml:space="preserve">del </w:t>
      </w:r>
      <w:r w:rsidR="00D16051">
        <w:t>AEP</w:t>
      </w:r>
      <w:r w:rsidR="00C11077">
        <w:t>.</w:t>
      </w:r>
    </w:p>
    <w:p w14:paraId="4E65ACC5" w14:textId="4F414019" w:rsidR="00DC398C" w:rsidRDefault="008207D2" w:rsidP="00A01A39">
      <w:pPr>
        <w:pStyle w:val="Bullet1"/>
      </w:pPr>
      <w:r w:rsidRPr="008E4034">
        <w:rPr>
          <w:b/>
          <w:bCs/>
        </w:rPr>
        <w:fldChar w:fldCharType="begin"/>
      </w:r>
      <w:r w:rsidRPr="008E4034">
        <w:rPr>
          <w:b/>
          <w:bCs/>
        </w:rPr>
        <w:instrText xml:space="preserve"> REF _Ref139551589 \h </w:instrText>
      </w:r>
      <w:r w:rsidR="008E4034">
        <w:rPr>
          <w:b/>
          <w:bCs/>
        </w:rPr>
        <w:instrText xml:space="preserve"> \* MERGEFORMAT </w:instrText>
      </w:r>
      <w:r w:rsidRPr="008E4034">
        <w:rPr>
          <w:b/>
          <w:bCs/>
        </w:rPr>
      </w:r>
      <w:r w:rsidRPr="008E4034">
        <w:rPr>
          <w:b/>
          <w:bCs/>
        </w:rPr>
        <w:fldChar w:fldCharType="separate"/>
      </w:r>
      <w:r w:rsidR="00320714" w:rsidRPr="00320714">
        <w:rPr>
          <w:b/>
          <w:bCs/>
        </w:rPr>
        <w:t>Resultados</w:t>
      </w:r>
      <w:r w:rsidRPr="008E4034">
        <w:rPr>
          <w:b/>
          <w:bCs/>
        </w:rPr>
        <w:fldChar w:fldCharType="end"/>
      </w:r>
      <w:r>
        <w:t xml:space="preserve"> (sección </w:t>
      </w:r>
      <w:r w:rsidR="008E4034">
        <w:fldChar w:fldCharType="begin"/>
      </w:r>
      <w:r w:rsidR="008E4034">
        <w:instrText xml:space="preserve"> REF _Ref139551589 \r \h </w:instrText>
      </w:r>
      <w:r w:rsidR="008E4034">
        <w:fldChar w:fldCharType="separate"/>
      </w:r>
      <w:r w:rsidR="00320714">
        <w:rPr>
          <w:rFonts w:hint="cs"/>
          <w:cs/>
        </w:rPr>
        <w:t>‎</w:t>
      </w:r>
      <w:r w:rsidR="00320714">
        <w:t>4</w:t>
      </w:r>
      <w:r w:rsidR="008E4034">
        <w:fldChar w:fldCharType="end"/>
      </w:r>
      <w:r>
        <w:t>)</w:t>
      </w:r>
      <w:r w:rsidR="00C11077">
        <w:t>. En esta sección se presenta</w:t>
      </w:r>
      <w:r w:rsidR="00A54B45">
        <w:t>n</w:t>
      </w:r>
      <w:r w:rsidR="00C11077">
        <w:t xml:space="preserve"> los resultados obtenidos por el Modelo.</w:t>
      </w:r>
    </w:p>
    <w:p w14:paraId="06F9841C" w14:textId="0F08E3BA" w:rsidR="00E92D59" w:rsidRDefault="00FD62A1" w:rsidP="00D2111D">
      <w:pPr>
        <w:pStyle w:val="Ttulo1"/>
      </w:pPr>
      <w:bookmarkStart w:id="24" w:name="_Toc134688637"/>
      <w:bookmarkStart w:id="25" w:name="_Toc134688941"/>
      <w:bookmarkStart w:id="26" w:name="_Toc134688638"/>
      <w:bookmarkStart w:id="27" w:name="_Toc134688942"/>
      <w:bookmarkStart w:id="28" w:name="_Toc134689270"/>
      <w:bookmarkStart w:id="29" w:name="_Toc134689650"/>
      <w:bookmarkStart w:id="30" w:name="_Toc134688639"/>
      <w:bookmarkStart w:id="31" w:name="_Toc134688943"/>
      <w:bookmarkStart w:id="32" w:name="_Toc134689271"/>
      <w:bookmarkStart w:id="33" w:name="_Toc134689651"/>
      <w:bookmarkStart w:id="34" w:name="_Toc134688640"/>
      <w:bookmarkStart w:id="35" w:name="_Toc134688944"/>
      <w:bookmarkStart w:id="36" w:name="_Ref135756072"/>
      <w:bookmarkStart w:id="37" w:name="_Ref135953714"/>
      <w:bookmarkStart w:id="38" w:name="_Ref139531078"/>
      <w:bookmarkStart w:id="39" w:name="_Toc142388399"/>
      <w:bookmarkEnd w:id="24"/>
      <w:bookmarkEnd w:id="25"/>
      <w:bookmarkEnd w:id="26"/>
      <w:bookmarkEnd w:id="27"/>
      <w:bookmarkEnd w:id="28"/>
      <w:bookmarkEnd w:id="29"/>
      <w:bookmarkEnd w:id="30"/>
      <w:bookmarkEnd w:id="31"/>
      <w:bookmarkEnd w:id="32"/>
      <w:bookmarkEnd w:id="33"/>
      <w:bookmarkEnd w:id="34"/>
      <w:bookmarkEnd w:id="35"/>
      <w:r w:rsidRPr="0062797A">
        <w:lastRenderedPageBreak/>
        <w:t xml:space="preserve">Revisión de la metodología </w:t>
      </w:r>
      <w:bookmarkEnd w:id="36"/>
      <w:r w:rsidR="005511D1" w:rsidRPr="0062797A">
        <w:t xml:space="preserve">y </w:t>
      </w:r>
      <w:r w:rsidR="00FF2030">
        <w:t xml:space="preserve">diseño </w:t>
      </w:r>
      <w:r w:rsidRPr="0062797A">
        <w:t xml:space="preserve">del </w:t>
      </w:r>
      <w:r w:rsidR="00DA757D" w:rsidRPr="0062797A">
        <w:t>M</w:t>
      </w:r>
      <w:r w:rsidRPr="0062797A">
        <w:t>odelo</w:t>
      </w:r>
      <w:bookmarkEnd w:id="37"/>
      <w:bookmarkEnd w:id="38"/>
      <w:bookmarkEnd w:id="39"/>
    </w:p>
    <w:p w14:paraId="37FF994E" w14:textId="634AB089" w:rsidR="0062797A" w:rsidRDefault="0062797A" w:rsidP="0062797A">
      <w:r>
        <w:t xml:space="preserve">El </w:t>
      </w:r>
      <w:r w:rsidRPr="00372AF3">
        <w:t xml:space="preserve">Modelo de Costos Integral de la Red de Acceso Fija </w:t>
      </w:r>
      <w:r>
        <w:t xml:space="preserve">fue desarrollado en el año 2018 siguiendo una serie de principios metodológicos que en ese momento se consideraron los más adecuados para representar la realidad del </w:t>
      </w:r>
      <w:r w:rsidR="00D16051">
        <w:t>AEP</w:t>
      </w:r>
      <w:r>
        <w:t xml:space="preserve">. </w:t>
      </w:r>
    </w:p>
    <w:p w14:paraId="63A91163" w14:textId="77777777" w:rsidR="0062797A" w:rsidRDefault="0062797A" w:rsidP="0062797A">
      <w:r>
        <w:t>Este Modelo fue actualizado posteriormente en el año 2020, para lo que se realizó una revisión de los principios inicialmente implementados. Si bien con posterioridad al año 2020, el Modelo ha venido siendo actualizado por el Instituto con nuevos datos de entrada, disponiéndose en la actualidad de una versión con ciertos insumos que abarcan hasta el año 2023, dichas actualizaciones más recientes han mantenido los principios metodológicos de la versión del año 2020.</w:t>
      </w:r>
    </w:p>
    <w:p w14:paraId="581C0F09" w14:textId="1E5090CE" w:rsidR="00C721D2" w:rsidRDefault="0062797A" w:rsidP="0062797A">
      <w:r>
        <w:t>En este contexto, la siguiente tabla resume los principios metodológicos adoptados por el Modelo en el año 2020:</w:t>
      </w:r>
    </w:p>
    <w:tbl>
      <w:tblPr>
        <w:tblStyle w:val="Tablaconcuadrcula"/>
        <w:tblW w:w="41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592"/>
        <w:gridCol w:w="3926"/>
      </w:tblGrid>
      <w:tr w:rsidR="00C721D2" w:rsidRPr="00BA249E" w14:paraId="4A428ECF" w14:textId="77777777" w:rsidTr="00462FED">
        <w:trPr>
          <w:trHeight w:val="567"/>
          <w:tblHeader/>
          <w:jc w:val="center"/>
        </w:trPr>
        <w:tc>
          <w:tcPr>
            <w:tcW w:w="2389" w:type="pct"/>
            <w:tcBorders>
              <w:left w:val="single" w:sz="4" w:space="0" w:color="FFFFFF" w:themeColor="background1"/>
              <w:right w:val="single" w:sz="4" w:space="0" w:color="FFFFFF" w:themeColor="background1"/>
            </w:tcBorders>
            <w:shd w:val="clear" w:color="auto" w:fill="0C2749" w:themeFill="text1"/>
            <w:vAlign w:val="center"/>
          </w:tcPr>
          <w:p w14:paraId="4779A7D5" w14:textId="77777777" w:rsidR="00C721D2" w:rsidRPr="00BA249E" w:rsidRDefault="00C721D2" w:rsidP="00462FED">
            <w:pPr>
              <w:keepNext/>
              <w:keepLines/>
              <w:spacing w:before="0" w:after="0" w:line="240" w:lineRule="auto"/>
              <w:jc w:val="center"/>
              <w:rPr>
                <w:rFonts w:asciiTheme="majorHAnsi" w:hAnsiTheme="majorHAnsi"/>
                <w:b/>
                <w:color w:val="FFFFFF" w:themeColor="background1"/>
                <w:szCs w:val="20"/>
              </w:rPr>
            </w:pPr>
            <w:r w:rsidRPr="00BA249E">
              <w:rPr>
                <w:rFonts w:asciiTheme="majorHAnsi" w:hAnsiTheme="majorHAnsi"/>
                <w:b/>
                <w:color w:val="FFFFFF" w:themeColor="background1"/>
                <w:szCs w:val="20"/>
              </w:rPr>
              <w:lastRenderedPageBreak/>
              <w:t>Aspecto metodológico</w:t>
            </w:r>
          </w:p>
        </w:tc>
        <w:tc>
          <w:tcPr>
            <w:tcW w:w="2611" w:type="pct"/>
            <w:tcBorders>
              <w:left w:val="single" w:sz="4" w:space="0" w:color="FFFFFF" w:themeColor="background1"/>
              <w:right w:val="single" w:sz="4" w:space="0" w:color="FFFFFF" w:themeColor="background1"/>
            </w:tcBorders>
            <w:shd w:val="clear" w:color="auto" w:fill="0C2749" w:themeFill="text1"/>
            <w:vAlign w:val="center"/>
          </w:tcPr>
          <w:p w14:paraId="21286EDF" w14:textId="239D6310" w:rsidR="00C721D2" w:rsidRPr="00BA249E" w:rsidRDefault="00C721D2" w:rsidP="00462FED">
            <w:pPr>
              <w:keepNext/>
              <w:keepLines/>
              <w:spacing w:before="0" w:after="0" w:line="240" w:lineRule="auto"/>
              <w:jc w:val="center"/>
              <w:rPr>
                <w:rFonts w:asciiTheme="majorHAnsi" w:hAnsiTheme="majorHAnsi"/>
                <w:b/>
                <w:bCs/>
                <w:color w:val="FFFFFF" w:themeColor="background1"/>
                <w:szCs w:val="20"/>
              </w:rPr>
            </w:pPr>
            <w:r>
              <w:rPr>
                <w:rFonts w:asciiTheme="majorHAnsi" w:hAnsiTheme="majorHAnsi"/>
                <w:b/>
                <w:bCs/>
                <w:color w:val="FFFFFF" w:themeColor="background1"/>
                <w:szCs w:val="20"/>
              </w:rPr>
              <w:t>Descripción</w:t>
            </w:r>
          </w:p>
        </w:tc>
      </w:tr>
      <w:tr w:rsidR="00C721D2" w:rsidRPr="00BA249E" w14:paraId="0998DACF" w14:textId="77777777" w:rsidTr="00462FED">
        <w:trPr>
          <w:trHeight w:val="438"/>
          <w:jc w:val="center"/>
        </w:trPr>
        <w:tc>
          <w:tcPr>
            <w:tcW w:w="2389" w:type="pct"/>
            <w:tcBorders>
              <w:bottom w:val="single" w:sz="4" w:space="0" w:color="002060"/>
            </w:tcBorders>
            <w:shd w:val="clear" w:color="auto" w:fill="F2F2F2" w:themeFill="background1" w:themeFillShade="F2"/>
            <w:vAlign w:val="center"/>
          </w:tcPr>
          <w:p w14:paraId="766D890B" w14:textId="77777777" w:rsidR="00C721D2" w:rsidRPr="00BA249E" w:rsidRDefault="00C721D2" w:rsidP="00462FED">
            <w:pPr>
              <w:keepNext/>
              <w:keepLines/>
              <w:spacing w:before="0" w:after="0" w:line="240" w:lineRule="auto"/>
              <w:jc w:val="left"/>
              <w:rPr>
                <w:rFonts w:asciiTheme="majorHAnsi" w:hAnsiTheme="majorHAnsi"/>
                <w:b/>
                <w:szCs w:val="20"/>
              </w:rPr>
            </w:pPr>
            <w:r w:rsidRPr="00BA249E">
              <w:rPr>
                <w:rFonts w:asciiTheme="majorHAnsi" w:hAnsiTheme="majorHAnsi"/>
                <w:b/>
                <w:szCs w:val="20"/>
              </w:rPr>
              <w:t>Enfoque tecno-económico</w:t>
            </w:r>
          </w:p>
        </w:tc>
        <w:tc>
          <w:tcPr>
            <w:tcW w:w="2611" w:type="pct"/>
            <w:tcBorders>
              <w:bottom w:val="single" w:sz="4" w:space="0" w:color="002060"/>
            </w:tcBorders>
            <w:vAlign w:val="center"/>
          </w:tcPr>
          <w:p w14:paraId="632F4FC6" w14:textId="77777777" w:rsidR="00C721D2" w:rsidRPr="00BA249E" w:rsidRDefault="00C721D2" w:rsidP="00462FED">
            <w:pPr>
              <w:keepNext/>
              <w:keepLines/>
              <w:spacing w:before="0" w:after="0" w:line="240" w:lineRule="auto"/>
              <w:jc w:val="center"/>
              <w:rPr>
                <w:rFonts w:asciiTheme="majorHAnsi" w:hAnsiTheme="majorHAnsi"/>
                <w:szCs w:val="20"/>
              </w:rPr>
            </w:pPr>
            <w:proofErr w:type="spellStart"/>
            <w:r w:rsidRPr="00BA249E">
              <w:rPr>
                <w:rFonts w:asciiTheme="majorHAnsi" w:hAnsiTheme="majorHAnsi"/>
                <w:szCs w:val="20"/>
              </w:rPr>
              <w:t>Bottom</w:t>
            </w:r>
            <w:proofErr w:type="spellEnd"/>
            <w:r w:rsidRPr="00BA249E">
              <w:rPr>
                <w:rFonts w:asciiTheme="majorHAnsi" w:hAnsiTheme="majorHAnsi"/>
                <w:szCs w:val="20"/>
              </w:rPr>
              <w:t>-Up</w:t>
            </w:r>
          </w:p>
        </w:tc>
      </w:tr>
      <w:tr w:rsidR="00C721D2" w:rsidRPr="00BA249E" w14:paraId="08C87AAE" w14:textId="77777777" w:rsidTr="00462FED">
        <w:trPr>
          <w:trHeight w:val="438"/>
          <w:jc w:val="center"/>
        </w:trPr>
        <w:tc>
          <w:tcPr>
            <w:tcW w:w="2389" w:type="pct"/>
            <w:tcBorders>
              <w:bottom w:val="single" w:sz="4" w:space="0" w:color="002060"/>
            </w:tcBorders>
            <w:shd w:val="clear" w:color="auto" w:fill="F2F2F2" w:themeFill="background1" w:themeFillShade="F2"/>
            <w:vAlign w:val="center"/>
          </w:tcPr>
          <w:p w14:paraId="480EEB46"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Estándar de costos</w:t>
            </w:r>
          </w:p>
        </w:tc>
        <w:tc>
          <w:tcPr>
            <w:tcW w:w="2611" w:type="pct"/>
            <w:tcBorders>
              <w:bottom w:val="single" w:sz="4" w:space="0" w:color="002060"/>
            </w:tcBorders>
            <w:vAlign w:val="center"/>
          </w:tcPr>
          <w:p w14:paraId="7F64BF7B" w14:textId="77777777" w:rsidR="00C721D2" w:rsidRPr="00BA249E" w:rsidRDefault="00C721D2" w:rsidP="00462FED">
            <w:pPr>
              <w:keepNext/>
              <w:keepLines/>
              <w:spacing w:before="0" w:after="0" w:line="240" w:lineRule="auto"/>
              <w:jc w:val="center"/>
              <w:rPr>
                <w:rFonts w:asciiTheme="majorHAnsi" w:hAnsiTheme="majorHAnsi"/>
                <w:szCs w:val="20"/>
              </w:rPr>
            </w:pPr>
            <w:r w:rsidRPr="00BA249E">
              <w:rPr>
                <w:rFonts w:asciiTheme="majorHAnsi" w:hAnsiTheme="majorHAnsi"/>
                <w:szCs w:val="20"/>
              </w:rPr>
              <w:t>CIPLP+</w:t>
            </w:r>
          </w:p>
        </w:tc>
      </w:tr>
      <w:tr w:rsidR="00C721D2" w:rsidRPr="00BA249E" w14:paraId="48330F5A" w14:textId="77777777" w:rsidTr="00462FED">
        <w:trPr>
          <w:trHeight w:val="438"/>
          <w:jc w:val="center"/>
        </w:trPr>
        <w:tc>
          <w:tcPr>
            <w:tcW w:w="2389" w:type="pct"/>
            <w:tcBorders>
              <w:bottom w:val="single" w:sz="4" w:space="0" w:color="002060"/>
            </w:tcBorders>
            <w:shd w:val="clear" w:color="auto" w:fill="F2F2F2" w:themeFill="background1" w:themeFillShade="F2"/>
            <w:vAlign w:val="center"/>
          </w:tcPr>
          <w:p w14:paraId="0E171BC3"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 xml:space="preserve">Periodo de tiempo </w:t>
            </w:r>
          </w:p>
        </w:tc>
        <w:tc>
          <w:tcPr>
            <w:tcW w:w="2611" w:type="pct"/>
            <w:tcBorders>
              <w:bottom w:val="single" w:sz="4" w:space="0" w:color="002060"/>
            </w:tcBorders>
            <w:vAlign w:val="center"/>
          </w:tcPr>
          <w:p w14:paraId="2790C44F" w14:textId="03879ED3" w:rsidR="00C721D2" w:rsidRPr="00BA249E" w:rsidRDefault="00C721D2" w:rsidP="00462FED">
            <w:pPr>
              <w:keepNext/>
              <w:keepLines/>
              <w:spacing w:before="0" w:after="0" w:line="240" w:lineRule="auto"/>
              <w:jc w:val="center"/>
              <w:rPr>
                <w:rFonts w:asciiTheme="majorHAnsi" w:hAnsiTheme="majorHAnsi"/>
                <w:szCs w:val="20"/>
              </w:rPr>
            </w:pPr>
            <w:proofErr w:type="spellStart"/>
            <w:r>
              <w:rPr>
                <w:rFonts w:asciiTheme="majorHAnsi" w:hAnsiTheme="majorHAnsi"/>
                <w:szCs w:val="20"/>
              </w:rPr>
              <w:t>Pluri-anual</w:t>
            </w:r>
            <w:proofErr w:type="spellEnd"/>
            <w:r w:rsidR="00D16051">
              <w:rPr>
                <w:rStyle w:val="Refdenotaalpie"/>
                <w:rFonts w:asciiTheme="majorHAnsi" w:hAnsiTheme="majorHAnsi"/>
                <w:szCs w:val="20"/>
              </w:rPr>
              <w:footnoteReference w:id="2"/>
            </w:r>
          </w:p>
        </w:tc>
      </w:tr>
      <w:tr w:rsidR="00C721D2" w:rsidRPr="00BA249E" w14:paraId="334285F8" w14:textId="77777777" w:rsidTr="00462FED">
        <w:trPr>
          <w:trHeight w:val="438"/>
          <w:jc w:val="center"/>
        </w:trPr>
        <w:tc>
          <w:tcPr>
            <w:tcW w:w="2389" w:type="pct"/>
            <w:tcBorders>
              <w:bottom w:val="single" w:sz="4" w:space="0" w:color="002060"/>
            </w:tcBorders>
            <w:shd w:val="clear" w:color="auto" w:fill="F2F2F2" w:themeFill="background1" w:themeFillShade="F2"/>
            <w:vAlign w:val="center"/>
          </w:tcPr>
          <w:p w14:paraId="69E0C496" w14:textId="77777777" w:rsidR="00C721D2" w:rsidRPr="00BA249E" w:rsidRDefault="00C721D2" w:rsidP="00462FED">
            <w:pPr>
              <w:keepNext/>
              <w:keepLines/>
              <w:spacing w:before="0" w:after="0" w:line="240" w:lineRule="auto"/>
              <w:jc w:val="left"/>
              <w:rPr>
                <w:rFonts w:asciiTheme="majorHAnsi" w:hAnsiTheme="majorHAnsi"/>
                <w:b/>
                <w:szCs w:val="20"/>
              </w:rPr>
            </w:pPr>
            <w:r w:rsidRPr="00BA249E">
              <w:rPr>
                <w:rFonts w:asciiTheme="majorHAnsi" w:hAnsiTheme="majorHAnsi"/>
                <w:b/>
                <w:szCs w:val="20"/>
              </w:rPr>
              <w:t>Operador modelado</w:t>
            </w:r>
          </w:p>
        </w:tc>
        <w:tc>
          <w:tcPr>
            <w:tcW w:w="2611" w:type="pct"/>
            <w:tcBorders>
              <w:bottom w:val="single" w:sz="4" w:space="0" w:color="002060"/>
            </w:tcBorders>
            <w:vAlign w:val="center"/>
          </w:tcPr>
          <w:p w14:paraId="6EE2A6F9" w14:textId="77777777" w:rsidR="00C721D2" w:rsidRPr="00BA249E" w:rsidRDefault="00C721D2" w:rsidP="00462FED">
            <w:pPr>
              <w:keepNext/>
              <w:keepLines/>
              <w:spacing w:before="0" w:after="0" w:line="240" w:lineRule="auto"/>
              <w:jc w:val="center"/>
              <w:rPr>
                <w:rFonts w:asciiTheme="majorHAnsi" w:hAnsiTheme="majorHAnsi"/>
                <w:szCs w:val="20"/>
              </w:rPr>
            </w:pPr>
            <w:r w:rsidRPr="00BA249E">
              <w:rPr>
                <w:rFonts w:asciiTheme="majorHAnsi" w:hAnsiTheme="majorHAnsi"/>
                <w:szCs w:val="20"/>
              </w:rPr>
              <w:t>Operador hipotético eficiente basado en el AEP</w:t>
            </w:r>
          </w:p>
        </w:tc>
      </w:tr>
      <w:tr w:rsidR="00C721D2" w:rsidRPr="00BA249E" w14:paraId="49A83F17"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1A1A5011" w14:textId="77777777" w:rsidR="00C721D2" w:rsidRPr="00BA249E" w:rsidRDefault="00C721D2" w:rsidP="00462FED">
            <w:pPr>
              <w:keepNext/>
              <w:keepLines/>
              <w:spacing w:before="0" w:after="0" w:line="240" w:lineRule="auto"/>
              <w:jc w:val="left"/>
              <w:rPr>
                <w:rFonts w:asciiTheme="majorHAnsi" w:hAnsiTheme="majorHAnsi"/>
                <w:b/>
                <w:szCs w:val="20"/>
              </w:rPr>
            </w:pPr>
            <w:r w:rsidRPr="00BA249E">
              <w:rPr>
                <w:rFonts w:asciiTheme="majorHAnsi" w:hAnsiTheme="majorHAnsi"/>
                <w:b/>
                <w:szCs w:val="20"/>
              </w:rPr>
              <w:t>Tecnologías a emplear</w:t>
            </w:r>
          </w:p>
        </w:tc>
        <w:tc>
          <w:tcPr>
            <w:tcW w:w="2611" w:type="pct"/>
            <w:tcBorders>
              <w:top w:val="single" w:sz="4" w:space="0" w:color="002060"/>
              <w:bottom w:val="single" w:sz="4" w:space="0" w:color="002060"/>
            </w:tcBorders>
            <w:vAlign w:val="center"/>
          </w:tcPr>
          <w:p w14:paraId="7E7E4EE6" w14:textId="6773EBAA" w:rsidR="00C721D2" w:rsidRPr="00BA249E" w:rsidRDefault="00C721D2" w:rsidP="00462FED">
            <w:pPr>
              <w:keepNext/>
              <w:keepLines/>
              <w:spacing w:before="0" w:after="0" w:line="240" w:lineRule="auto"/>
              <w:jc w:val="center"/>
              <w:rPr>
                <w:rFonts w:asciiTheme="majorHAnsi" w:hAnsiTheme="majorHAnsi"/>
                <w:szCs w:val="20"/>
              </w:rPr>
            </w:pPr>
            <w:r w:rsidRPr="00BA249E">
              <w:rPr>
                <w:rFonts w:asciiTheme="majorHAnsi" w:hAnsiTheme="majorHAnsi"/>
                <w:szCs w:val="20"/>
              </w:rPr>
              <w:t>Cobre</w:t>
            </w:r>
            <w:r>
              <w:rPr>
                <w:rFonts w:asciiTheme="majorHAnsi" w:hAnsiTheme="majorHAnsi"/>
                <w:szCs w:val="20"/>
              </w:rPr>
              <w:t>, FTTH y FTTC</w:t>
            </w:r>
          </w:p>
        </w:tc>
      </w:tr>
      <w:tr w:rsidR="00C721D2" w:rsidRPr="00BA249E" w14:paraId="4DD3FE02"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56891FD5" w14:textId="77777777" w:rsidR="00C721D2" w:rsidRPr="00BA249E" w:rsidRDefault="00C721D2" w:rsidP="00462FED">
            <w:pPr>
              <w:keepNext/>
              <w:keepLines/>
              <w:spacing w:before="0" w:after="0" w:line="240" w:lineRule="auto"/>
              <w:jc w:val="left"/>
              <w:rPr>
                <w:rFonts w:asciiTheme="majorHAnsi" w:hAnsiTheme="majorHAnsi"/>
                <w:b/>
                <w:szCs w:val="20"/>
              </w:rPr>
            </w:pPr>
            <w:r w:rsidRPr="00BA249E">
              <w:rPr>
                <w:rFonts w:asciiTheme="majorHAnsi" w:hAnsiTheme="majorHAnsi"/>
                <w:b/>
                <w:szCs w:val="20"/>
              </w:rPr>
              <w:t>Diseño de red</w:t>
            </w:r>
          </w:p>
        </w:tc>
        <w:tc>
          <w:tcPr>
            <w:tcW w:w="2611" w:type="pct"/>
            <w:tcBorders>
              <w:top w:val="single" w:sz="4" w:space="0" w:color="002060"/>
              <w:bottom w:val="single" w:sz="4" w:space="0" w:color="002060"/>
            </w:tcBorders>
            <w:vAlign w:val="center"/>
          </w:tcPr>
          <w:p w14:paraId="65971D59" w14:textId="77777777" w:rsidR="00C721D2" w:rsidRPr="00BA249E" w:rsidRDefault="00C721D2" w:rsidP="00462FED">
            <w:pPr>
              <w:keepNext/>
              <w:keepLines/>
              <w:spacing w:before="0" w:after="0" w:line="240" w:lineRule="auto"/>
              <w:jc w:val="center"/>
              <w:rPr>
                <w:rFonts w:asciiTheme="majorHAnsi" w:hAnsiTheme="majorHAnsi"/>
                <w:szCs w:val="20"/>
              </w:rPr>
            </w:pPr>
            <w:proofErr w:type="spellStart"/>
            <w:r w:rsidRPr="00BA249E">
              <w:rPr>
                <w:rFonts w:asciiTheme="majorHAnsi" w:hAnsiTheme="majorHAnsi"/>
                <w:szCs w:val="20"/>
              </w:rPr>
              <w:t>Scorched</w:t>
            </w:r>
            <w:proofErr w:type="spellEnd"/>
            <w:r w:rsidRPr="00BA249E">
              <w:rPr>
                <w:rFonts w:asciiTheme="majorHAnsi" w:hAnsiTheme="majorHAnsi"/>
                <w:szCs w:val="20"/>
              </w:rPr>
              <w:t xml:space="preserve"> </w:t>
            </w:r>
            <w:proofErr w:type="spellStart"/>
            <w:r w:rsidRPr="00BA249E">
              <w:rPr>
                <w:rFonts w:asciiTheme="majorHAnsi" w:hAnsiTheme="majorHAnsi"/>
                <w:szCs w:val="20"/>
              </w:rPr>
              <w:t>node</w:t>
            </w:r>
            <w:proofErr w:type="spellEnd"/>
            <w:r w:rsidRPr="00BA249E">
              <w:rPr>
                <w:rFonts w:asciiTheme="majorHAnsi" w:hAnsiTheme="majorHAnsi"/>
                <w:szCs w:val="20"/>
              </w:rPr>
              <w:t xml:space="preserve"> modificado</w:t>
            </w:r>
          </w:p>
        </w:tc>
      </w:tr>
      <w:tr w:rsidR="00C721D2" w:rsidRPr="00BA249E" w14:paraId="4B805179"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58C47DF3"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 xml:space="preserve">Alcance de la red de acceso </w:t>
            </w:r>
          </w:p>
        </w:tc>
        <w:tc>
          <w:tcPr>
            <w:tcW w:w="2611" w:type="pct"/>
            <w:tcBorders>
              <w:top w:val="single" w:sz="4" w:space="0" w:color="002060"/>
              <w:bottom w:val="single" w:sz="4" w:space="0" w:color="002060"/>
            </w:tcBorders>
            <w:vAlign w:val="center"/>
          </w:tcPr>
          <w:p w14:paraId="0520AA59" w14:textId="77777777" w:rsidR="00C721D2" w:rsidRPr="00BA249E" w:rsidRDefault="00C721D2" w:rsidP="00462FED">
            <w:pPr>
              <w:keepNext/>
              <w:keepLines/>
              <w:spacing w:before="0" w:after="0" w:line="240" w:lineRule="auto"/>
              <w:jc w:val="center"/>
              <w:rPr>
                <w:rFonts w:asciiTheme="majorHAnsi" w:hAnsiTheme="majorHAnsi"/>
                <w:szCs w:val="20"/>
              </w:rPr>
            </w:pPr>
            <w:r>
              <w:rPr>
                <w:rFonts w:asciiTheme="majorHAnsi" w:hAnsiTheme="majorHAnsi"/>
                <w:szCs w:val="20"/>
              </w:rPr>
              <w:t>Desde el cliente final hasta la tarjeta de línea situada en el nodo de acceso</w:t>
            </w:r>
          </w:p>
        </w:tc>
      </w:tr>
      <w:tr w:rsidR="00C721D2" w:rsidRPr="00BA249E" w14:paraId="47428A76"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14C275B0"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 xml:space="preserve">Método de valoración de activos </w:t>
            </w:r>
          </w:p>
        </w:tc>
        <w:tc>
          <w:tcPr>
            <w:tcW w:w="2611" w:type="pct"/>
            <w:tcBorders>
              <w:top w:val="single" w:sz="4" w:space="0" w:color="002060"/>
              <w:bottom w:val="single" w:sz="4" w:space="0" w:color="002060"/>
            </w:tcBorders>
            <w:vAlign w:val="center"/>
          </w:tcPr>
          <w:p w14:paraId="0329958B" w14:textId="77777777" w:rsidR="00C721D2" w:rsidRPr="00BA249E" w:rsidRDefault="00C721D2" w:rsidP="00462FED">
            <w:pPr>
              <w:keepNext/>
              <w:keepLines/>
              <w:spacing w:before="0" w:after="0" w:line="240" w:lineRule="auto"/>
              <w:jc w:val="center"/>
              <w:rPr>
                <w:rFonts w:asciiTheme="majorHAnsi" w:hAnsiTheme="majorHAnsi"/>
                <w:szCs w:val="20"/>
              </w:rPr>
            </w:pPr>
            <w:r w:rsidRPr="00BA249E">
              <w:rPr>
                <w:rFonts w:asciiTheme="majorHAnsi" w:hAnsiTheme="majorHAnsi"/>
                <w:szCs w:val="20"/>
              </w:rPr>
              <w:t>C</w:t>
            </w:r>
            <w:r>
              <w:rPr>
                <w:rFonts w:asciiTheme="majorHAnsi" w:hAnsiTheme="majorHAnsi"/>
                <w:szCs w:val="20"/>
              </w:rPr>
              <w:t>ostos actuales - C</w:t>
            </w:r>
            <w:r w:rsidRPr="00BA249E">
              <w:rPr>
                <w:rFonts w:asciiTheme="majorHAnsi" w:hAnsiTheme="majorHAnsi"/>
                <w:szCs w:val="20"/>
              </w:rPr>
              <w:t>CA</w:t>
            </w:r>
            <w:r>
              <w:rPr>
                <w:rStyle w:val="Refdenotaalpie"/>
                <w:rFonts w:asciiTheme="majorHAnsi" w:hAnsiTheme="majorHAnsi"/>
                <w:szCs w:val="20"/>
              </w:rPr>
              <w:footnoteReference w:id="3"/>
            </w:r>
          </w:p>
        </w:tc>
      </w:tr>
      <w:tr w:rsidR="00C721D2" w:rsidRPr="00BA249E" w14:paraId="0492675F"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5EC6BBCA"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Método de cálculo del costo de capital</w:t>
            </w:r>
          </w:p>
        </w:tc>
        <w:tc>
          <w:tcPr>
            <w:tcW w:w="2611" w:type="pct"/>
            <w:tcBorders>
              <w:top w:val="single" w:sz="4" w:space="0" w:color="002060"/>
              <w:bottom w:val="single" w:sz="4" w:space="0" w:color="002060"/>
            </w:tcBorders>
            <w:vAlign w:val="center"/>
          </w:tcPr>
          <w:p w14:paraId="091F15F1" w14:textId="6B476211" w:rsidR="00C721D2" w:rsidRPr="00BA249E" w:rsidRDefault="00462FED" w:rsidP="00462FED">
            <w:pPr>
              <w:keepNext/>
              <w:keepLines/>
              <w:spacing w:before="0" w:after="0" w:line="240" w:lineRule="auto"/>
              <w:jc w:val="center"/>
              <w:rPr>
                <w:rFonts w:asciiTheme="majorHAnsi" w:hAnsiTheme="majorHAnsi"/>
                <w:szCs w:val="20"/>
              </w:rPr>
            </w:pPr>
            <w:r>
              <w:rPr>
                <w:rFonts w:asciiTheme="majorHAnsi" w:hAnsiTheme="majorHAnsi"/>
                <w:szCs w:val="20"/>
              </w:rPr>
              <w:t>CCPP</w:t>
            </w:r>
          </w:p>
        </w:tc>
      </w:tr>
      <w:tr w:rsidR="00C721D2" w:rsidRPr="00BA249E" w14:paraId="2065CB8A"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7F944F98"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Método de d</w:t>
            </w:r>
            <w:r w:rsidRPr="00BA249E">
              <w:rPr>
                <w:rFonts w:asciiTheme="majorHAnsi" w:hAnsiTheme="majorHAnsi"/>
                <w:b/>
                <w:szCs w:val="20"/>
              </w:rPr>
              <w:t>epreciación</w:t>
            </w:r>
          </w:p>
        </w:tc>
        <w:tc>
          <w:tcPr>
            <w:tcW w:w="2611" w:type="pct"/>
            <w:tcBorders>
              <w:top w:val="single" w:sz="4" w:space="0" w:color="002060"/>
              <w:bottom w:val="single" w:sz="4" w:space="0" w:color="002060"/>
            </w:tcBorders>
            <w:vAlign w:val="center"/>
          </w:tcPr>
          <w:p w14:paraId="77BE813D" w14:textId="77777777" w:rsidR="00C721D2" w:rsidRPr="00BA249E" w:rsidRDefault="00C721D2" w:rsidP="00462FED">
            <w:pPr>
              <w:keepNext/>
              <w:keepLines/>
              <w:spacing w:before="0" w:after="0" w:line="240" w:lineRule="auto"/>
              <w:jc w:val="center"/>
              <w:rPr>
                <w:rFonts w:asciiTheme="majorHAnsi" w:hAnsiTheme="majorHAnsi"/>
                <w:szCs w:val="20"/>
              </w:rPr>
            </w:pPr>
            <w:r w:rsidRPr="00BA249E">
              <w:rPr>
                <w:rFonts w:asciiTheme="majorHAnsi" w:hAnsiTheme="majorHAnsi"/>
                <w:szCs w:val="20"/>
              </w:rPr>
              <w:t>Anualidad</w:t>
            </w:r>
            <w:r>
              <w:rPr>
                <w:rFonts w:asciiTheme="majorHAnsi" w:hAnsiTheme="majorHAnsi"/>
                <w:szCs w:val="20"/>
              </w:rPr>
              <w:t>es</w:t>
            </w:r>
            <w:r w:rsidRPr="00BA249E">
              <w:rPr>
                <w:rFonts w:asciiTheme="majorHAnsi" w:hAnsiTheme="majorHAnsi"/>
                <w:szCs w:val="20"/>
              </w:rPr>
              <w:t xml:space="preserve"> inclinada</w:t>
            </w:r>
            <w:r>
              <w:rPr>
                <w:rFonts w:asciiTheme="majorHAnsi" w:hAnsiTheme="majorHAnsi"/>
                <w:szCs w:val="20"/>
              </w:rPr>
              <w:t>s</w:t>
            </w:r>
          </w:p>
        </w:tc>
      </w:tr>
      <w:tr w:rsidR="00C721D2" w:rsidRPr="00FE3033" w14:paraId="22D147FA"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7C3E35CF" w14:textId="77777777" w:rsidR="00C721D2" w:rsidRPr="00BA249E" w:rsidRDefault="00C721D2" w:rsidP="00462FED">
            <w:pPr>
              <w:keepNext/>
              <w:keepLines/>
              <w:spacing w:before="0" w:after="0" w:line="240" w:lineRule="auto"/>
              <w:jc w:val="left"/>
              <w:rPr>
                <w:rFonts w:asciiTheme="majorHAnsi" w:hAnsiTheme="majorHAnsi"/>
                <w:b/>
                <w:szCs w:val="20"/>
              </w:rPr>
            </w:pPr>
            <w:r>
              <w:rPr>
                <w:rFonts w:asciiTheme="majorHAnsi" w:hAnsiTheme="majorHAnsi"/>
                <w:b/>
                <w:szCs w:val="20"/>
              </w:rPr>
              <w:t>Método de asignación de c</w:t>
            </w:r>
            <w:r w:rsidRPr="00BA249E">
              <w:rPr>
                <w:rFonts w:asciiTheme="majorHAnsi" w:hAnsiTheme="majorHAnsi"/>
                <w:b/>
                <w:szCs w:val="20"/>
              </w:rPr>
              <w:t xml:space="preserve">ostos </w:t>
            </w:r>
            <w:r>
              <w:rPr>
                <w:rFonts w:asciiTheme="majorHAnsi" w:hAnsiTheme="majorHAnsi"/>
                <w:b/>
                <w:szCs w:val="20"/>
              </w:rPr>
              <w:t xml:space="preserve">comunes </w:t>
            </w:r>
          </w:p>
        </w:tc>
        <w:tc>
          <w:tcPr>
            <w:tcW w:w="2611" w:type="pct"/>
            <w:tcBorders>
              <w:top w:val="single" w:sz="4" w:space="0" w:color="002060"/>
              <w:bottom w:val="single" w:sz="4" w:space="0" w:color="002060"/>
            </w:tcBorders>
            <w:vAlign w:val="center"/>
          </w:tcPr>
          <w:p w14:paraId="79A34DBE" w14:textId="77777777" w:rsidR="00C721D2" w:rsidRPr="00943387" w:rsidRDefault="00C721D2" w:rsidP="00462FED">
            <w:pPr>
              <w:keepNext/>
              <w:keepLines/>
              <w:spacing w:before="0" w:after="0" w:line="240" w:lineRule="auto"/>
              <w:jc w:val="center"/>
              <w:rPr>
                <w:rFonts w:asciiTheme="majorHAnsi" w:hAnsiTheme="majorHAnsi"/>
                <w:szCs w:val="20"/>
                <w:lang w:val="en-US"/>
              </w:rPr>
            </w:pPr>
            <w:proofErr w:type="spellStart"/>
            <w:r w:rsidRPr="00943387">
              <w:rPr>
                <w:rFonts w:asciiTheme="majorHAnsi" w:hAnsiTheme="majorHAnsi"/>
                <w:szCs w:val="20"/>
                <w:lang w:val="en-US"/>
              </w:rPr>
              <w:t>Equi</w:t>
            </w:r>
            <w:proofErr w:type="spellEnd"/>
            <w:r w:rsidRPr="00943387">
              <w:rPr>
                <w:rFonts w:asciiTheme="majorHAnsi" w:hAnsiTheme="majorHAnsi"/>
                <w:szCs w:val="20"/>
                <w:lang w:val="en-US"/>
              </w:rPr>
              <w:t xml:space="preserve"> Proportional Mark-Up (EPMU)</w:t>
            </w:r>
          </w:p>
        </w:tc>
      </w:tr>
      <w:tr w:rsidR="00C721D2" w:rsidRPr="00BA249E" w14:paraId="4A7441B7" w14:textId="77777777" w:rsidTr="00462FED">
        <w:trPr>
          <w:trHeight w:val="438"/>
          <w:jc w:val="center"/>
        </w:trPr>
        <w:tc>
          <w:tcPr>
            <w:tcW w:w="2389" w:type="pct"/>
            <w:tcBorders>
              <w:top w:val="single" w:sz="4" w:space="0" w:color="002060"/>
              <w:bottom w:val="single" w:sz="4" w:space="0" w:color="002060"/>
            </w:tcBorders>
            <w:shd w:val="clear" w:color="auto" w:fill="F2F2F2" w:themeFill="background1" w:themeFillShade="F2"/>
            <w:vAlign w:val="center"/>
          </w:tcPr>
          <w:p w14:paraId="51C3113E" w14:textId="4C35BAF8" w:rsidR="00C721D2" w:rsidRPr="00BA249E" w:rsidRDefault="00C721D2" w:rsidP="00462FED">
            <w:pPr>
              <w:keepNext/>
              <w:keepLines/>
              <w:spacing w:before="0" w:after="0" w:line="240" w:lineRule="auto"/>
              <w:jc w:val="left"/>
              <w:rPr>
                <w:rFonts w:asciiTheme="majorHAnsi" w:hAnsiTheme="majorHAnsi"/>
                <w:b/>
                <w:szCs w:val="20"/>
              </w:rPr>
            </w:pPr>
            <w:r w:rsidRPr="00BA249E">
              <w:rPr>
                <w:rFonts w:asciiTheme="majorHAnsi" w:hAnsiTheme="majorHAnsi"/>
                <w:b/>
                <w:szCs w:val="20"/>
              </w:rPr>
              <w:t xml:space="preserve">Costo de capital </w:t>
            </w:r>
            <w:r>
              <w:rPr>
                <w:rFonts w:asciiTheme="majorHAnsi" w:hAnsiTheme="majorHAnsi"/>
                <w:b/>
                <w:szCs w:val="20"/>
              </w:rPr>
              <w:t xml:space="preserve">circulante </w:t>
            </w:r>
          </w:p>
        </w:tc>
        <w:tc>
          <w:tcPr>
            <w:tcW w:w="2611" w:type="pct"/>
            <w:tcBorders>
              <w:top w:val="single" w:sz="4" w:space="0" w:color="002060"/>
              <w:bottom w:val="single" w:sz="4" w:space="0" w:color="002060"/>
            </w:tcBorders>
            <w:vAlign w:val="center"/>
          </w:tcPr>
          <w:p w14:paraId="4379660B" w14:textId="77777777" w:rsidR="00C721D2" w:rsidRPr="00BA249E" w:rsidRDefault="00C721D2" w:rsidP="00462FED">
            <w:pPr>
              <w:keepNext/>
              <w:keepLines/>
              <w:spacing w:before="0" w:after="0" w:line="240" w:lineRule="auto"/>
              <w:jc w:val="center"/>
              <w:rPr>
                <w:rFonts w:asciiTheme="majorHAnsi" w:hAnsiTheme="majorHAnsi"/>
                <w:szCs w:val="20"/>
              </w:rPr>
            </w:pPr>
            <w:r w:rsidRPr="00BA249E">
              <w:rPr>
                <w:rFonts w:asciiTheme="majorHAnsi" w:hAnsiTheme="majorHAnsi"/>
                <w:szCs w:val="20"/>
              </w:rPr>
              <w:t>No</w:t>
            </w:r>
            <w:r>
              <w:rPr>
                <w:rFonts w:asciiTheme="majorHAnsi" w:hAnsiTheme="majorHAnsi"/>
                <w:szCs w:val="20"/>
              </w:rPr>
              <w:t xml:space="preserve"> se considera</w:t>
            </w:r>
          </w:p>
        </w:tc>
      </w:tr>
    </w:tbl>
    <w:p w14:paraId="6909F261" w14:textId="14C0F1F1" w:rsidR="00C721D2" w:rsidRDefault="00C721D2" w:rsidP="00462FED">
      <w:pPr>
        <w:pStyle w:val="Descripcin"/>
        <w:keepNext/>
        <w:keepLines/>
      </w:pPr>
      <w:r>
        <w:t xml:space="preserve">Tabla </w:t>
      </w:r>
      <w:r>
        <w:fldChar w:fldCharType="begin"/>
      </w:r>
      <w:r>
        <w:instrText xml:space="preserve"> STYLEREF 1 \s </w:instrText>
      </w:r>
      <w:r>
        <w:fldChar w:fldCharType="separate"/>
      </w:r>
      <w:r w:rsidR="00320714">
        <w:rPr>
          <w:rFonts w:hint="cs"/>
          <w:noProof/>
          <w:cs/>
        </w:rPr>
        <w:t>‎</w:t>
      </w:r>
      <w:r w:rsidR="00320714">
        <w:rPr>
          <w:noProof/>
        </w:rPr>
        <w:t>2</w:t>
      </w:r>
      <w:r>
        <w:fldChar w:fldCharType="end"/>
      </w:r>
      <w:r>
        <w:t>.</w:t>
      </w:r>
      <w:r>
        <w:fldChar w:fldCharType="begin"/>
      </w:r>
      <w:r>
        <w:instrText xml:space="preserve"> SEQ Tabla \* ARABIC \s 1 </w:instrText>
      </w:r>
      <w:r>
        <w:fldChar w:fldCharType="separate"/>
      </w:r>
      <w:r w:rsidR="00320714">
        <w:rPr>
          <w:noProof/>
        </w:rPr>
        <w:t>1</w:t>
      </w:r>
      <w:r>
        <w:fldChar w:fldCharType="end"/>
      </w:r>
      <w:r>
        <w:t xml:space="preserve">: </w:t>
      </w:r>
      <w:r w:rsidRPr="004B6821">
        <w:t xml:space="preserve">Principios metodológicos implementados en </w:t>
      </w:r>
      <w:r>
        <w:t>la versión previa del M</w:t>
      </w:r>
      <w:r w:rsidRPr="004B6821">
        <w:t xml:space="preserve">odelo </w:t>
      </w:r>
      <w:r>
        <w:t xml:space="preserve">Integral </w:t>
      </w:r>
      <w:r w:rsidRPr="004B6821">
        <w:t xml:space="preserve">[Fuente: </w:t>
      </w:r>
      <w:proofErr w:type="spellStart"/>
      <w:r w:rsidRPr="004B6821">
        <w:t>Axon</w:t>
      </w:r>
      <w:proofErr w:type="spellEnd"/>
      <w:r w:rsidRPr="004B6821">
        <w:t>]</w:t>
      </w:r>
    </w:p>
    <w:p w14:paraId="27CF4A8E" w14:textId="6D20A7DC" w:rsidR="00C721D2" w:rsidRDefault="0062797A" w:rsidP="00236096">
      <w:r>
        <w:t xml:space="preserve">Como parte de la actualización llevada a cabo en </w:t>
      </w:r>
      <w:r w:rsidR="00462FED">
        <w:t xml:space="preserve">el marco de </w:t>
      </w:r>
      <w:r>
        <w:t xml:space="preserve">este proyecto, se ha revisado </w:t>
      </w:r>
      <w:r w:rsidR="00236096">
        <w:t>la necesidad de modificar alguno</w:t>
      </w:r>
      <w:r w:rsidR="00F14BA2">
        <w:t>s</w:t>
      </w:r>
      <w:r w:rsidR="00236096">
        <w:t xml:space="preserve"> de los principios metodológicos de la versión previa del </w:t>
      </w:r>
      <w:r w:rsidR="00462FED">
        <w:t>M</w:t>
      </w:r>
      <w:r w:rsidR="00236096">
        <w:t xml:space="preserve">odelo. </w:t>
      </w:r>
      <w:r w:rsidR="00C721D2">
        <w:t xml:space="preserve">Dicho análisis se </w:t>
      </w:r>
      <w:r w:rsidR="00236096">
        <w:t xml:space="preserve">ha </w:t>
      </w:r>
      <w:r w:rsidR="00C721D2">
        <w:t>realiza</w:t>
      </w:r>
      <w:r w:rsidR="00236096">
        <w:t>do</w:t>
      </w:r>
      <w:r w:rsidR="00C721D2">
        <w:t xml:space="preserve"> desde </w:t>
      </w:r>
      <w:r w:rsidR="00BD0CFC">
        <w:t xml:space="preserve">tres </w:t>
      </w:r>
      <w:r w:rsidR="00C721D2">
        <w:t>puntos de vista diferenciados:</w:t>
      </w:r>
    </w:p>
    <w:p w14:paraId="566BE59A" w14:textId="5E9AA7EE" w:rsidR="00C721D2" w:rsidRDefault="00C721D2" w:rsidP="00A01A39">
      <w:pPr>
        <w:pStyle w:val="Bullet1"/>
      </w:pPr>
      <w:r w:rsidRPr="00C32CE0">
        <w:rPr>
          <w:b/>
          <w:bCs/>
        </w:rPr>
        <w:t>Evolución del mercado mexicano de telecomunicaciones</w:t>
      </w:r>
      <w:r>
        <w:t xml:space="preserve">. Desde octubre del año 2020, fecha en la que se sometió a consulta pública el Modelo Integral por última vez, no ha tenido lugar en </w:t>
      </w:r>
      <w:r w:rsidR="00DA6496">
        <w:t xml:space="preserve">la red fija del AEP implementada en el Modelo Integral </w:t>
      </w:r>
      <w:r>
        <w:t>ninguna evolución relevante, ni desde un punto de vista regulatorio</w:t>
      </w:r>
      <w:r w:rsidR="00920B91">
        <w:rPr>
          <w:rStyle w:val="Refdenotaalpie"/>
        </w:rPr>
        <w:footnoteReference w:id="4"/>
      </w:r>
      <w:r>
        <w:t xml:space="preserve"> ni tecnológico</w:t>
      </w:r>
      <w:r w:rsidR="00920B91">
        <w:rPr>
          <w:rStyle w:val="Refdenotaalpie"/>
        </w:rPr>
        <w:footnoteReference w:id="5"/>
      </w:r>
      <w:r>
        <w:t xml:space="preserve">, que pudiera justificar una variación en los principios metodológicos expuestos anteriormente. </w:t>
      </w:r>
    </w:p>
    <w:p w14:paraId="045431BF" w14:textId="38DFCDA7" w:rsidR="00C721D2" w:rsidRDefault="00C721D2" w:rsidP="00A01A39">
      <w:pPr>
        <w:pStyle w:val="Bullet1"/>
      </w:pPr>
      <w:r w:rsidRPr="00C32CE0">
        <w:rPr>
          <w:b/>
          <w:bCs/>
        </w:rPr>
        <w:lastRenderedPageBreak/>
        <w:t>Práctica internacional</w:t>
      </w:r>
      <w:r>
        <w:t xml:space="preserve">. En términos generales, los principios metodológicos del Modelo </w:t>
      </w:r>
      <w:r w:rsidR="00462FED">
        <w:t xml:space="preserve">del Instituto </w:t>
      </w:r>
      <w:r>
        <w:t xml:space="preserve">siguen estando alineados con las prácticas adoptadas por los reguladores de otros países para desarrollos de modelos </w:t>
      </w:r>
      <w:proofErr w:type="spellStart"/>
      <w:r>
        <w:t>bottom</w:t>
      </w:r>
      <w:proofErr w:type="spellEnd"/>
      <w:r>
        <w:t xml:space="preserve">-up de acceso de redes fijas. </w:t>
      </w:r>
    </w:p>
    <w:p w14:paraId="60BE8779" w14:textId="0176074D" w:rsidR="00323D6B" w:rsidRDefault="00410767" w:rsidP="00410767">
      <w:r>
        <w:t>De manera adicional</w:t>
      </w:r>
      <w:r w:rsidR="00752511">
        <w:t xml:space="preserve"> a la revisión de los principios metodológicos expuestos anteriormente, como parte de</w:t>
      </w:r>
      <w:r w:rsidR="00FF2030">
        <w:t xml:space="preserve">l proceso de </w:t>
      </w:r>
      <w:r w:rsidR="005B355C">
        <w:t>actualización del Modelo</w:t>
      </w:r>
      <w:r w:rsidR="00930D54">
        <w:t xml:space="preserve"> Integral</w:t>
      </w:r>
      <w:r w:rsidR="005B355C">
        <w:t xml:space="preserve">, se ha estimado </w:t>
      </w:r>
      <w:r w:rsidR="00930D54">
        <w:t xml:space="preserve">oportuno </w:t>
      </w:r>
      <w:r w:rsidR="00FF2030">
        <w:t xml:space="preserve">realizar </w:t>
      </w:r>
      <w:r w:rsidR="006F6B14">
        <w:t xml:space="preserve">adecuaciones </w:t>
      </w:r>
      <w:r w:rsidR="00FF2030">
        <w:t xml:space="preserve">en </w:t>
      </w:r>
      <w:r w:rsidR="006F6B14">
        <w:t xml:space="preserve">una serie de aspectos de diseño que se detallan en las siguientes secciones: </w:t>
      </w:r>
    </w:p>
    <w:p w14:paraId="65F729CD" w14:textId="7316543E" w:rsidR="006F6B14" w:rsidRDefault="00D4028F" w:rsidP="00A01A39">
      <w:pPr>
        <w:pStyle w:val="Bullet1"/>
        <w:numPr>
          <w:ilvl w:val="0"/>
          <w:numId w:val="26"/>
        </w:numPr>
      </w:pPr>
      <w:r>
        <w:fldChar w:fldCharType="begin"/>
      </w:r>
      <w:r>
        <w:instrText xml:space="preserve"> REF _Ref140161923 \h </w:instrText>
      </w:r>
      <w:r>
        <w:fldChar w:fldCharType="separate"/>
      </w:r>
      <w:r w:rsidR="00320714" w:rsidRPr="00A12086">
        <w:t>Diseño de la compartición de infraestructura civil entre tecnologías</w:t>
      </w:r>
      <w:r>
        <w:fldChar w:fldCharType="end"/>
      </w:r>
    </w:p>
    <w:p w14:paraId="73C19B86" w14:textId="4A037D6D" w:rsidR="00D4028F" w:rsidRDefault="00D4028F" w:rsidP="00A01A39">
      <w:pPr>
        <w:pStyle w:val="Bullet1"/>
        <w:numPr>
          <w:ilvl w:val="0"/>
          <w:numId w:val="26"/>
        </w:numPr>
      </w:pPr>
      <w:r>
        <w:fldChar w:fldCharType="begin"/>
      </w:r>
      <w:r>
        <w:instrText xml:space="preserve"> REF _Ref140161927 \h </w:instrText>
      </w:r>
      <w:r>
        <w:fldChar w:fldCharType="separate"/>
      </w:r>
      <w:r w:rsidR="00320714">
        <w:t>Tratamiento de los activos de infraestructura civil de las redes tradicionales reutilizables para redes de nueva generación</w:t>
      </w:r>
      <w:r>
        <w:fldChar w:fldCharType="end"/>
      </w:r>
    </w:p>
    <w:p w14:paraId="3B2E7051" w14:textId="01FC84BD" w:rsidR="00D4028F" w:rsidRDefault="00D4028F" w:rsidP="00A01A39">
      <w:pPr>
        <w:pStyle w:val="Bullet1"/>
        <w:numPr>
          <w:ilvl w:val="0"/>
          <w:numId w:val="26"/>
        </w:numPr>
      </w:pPr>
      <w:r>
        <w:fldChar w:fldCharType="begin"/>
      </w:r>
      <w:r>
        <w:instrText xml:space="preserve"> REF _Ref135938679 \h </w:instrText>
      </w:r>
      <w:r>
        <w:fldChar w:fldCharType="separate"/>
      </w:r>
      <w:r w:rsidR="00320714" w:rsidRPr="00CF76CE">
        <w:t>Cálculo de</w:t>
      </w:r>
      <w:r w:rsidR="00320714">
        <w:t xml:space="preserve"> los costos operacionales (</w:t>
      </w:r>
      <w:proofErr w:type="spellStart"/>
      <w:r w:rsidR="00320714" w:rsidRPr="00CF76CE">
        <w:t>O</w:t>
      </w:r>
      <w:r w:rsidR="00320714">
        <w:t>p</w:t>
      </w:r>
      <w:r w:rsidR="00320714" w:rsidRPr="00CF76CE">
        <w:t>E</w:t>
      </w:r>
      <w:r w:rsidR="00320714">
        <w:t>x</w:t>
      </w:r>
      <w:proofErr w:type="spellEnd"/>
      <w:r w:rsidR="00320714">
        <w:t>)</w:t>
      </w:r>
      <w:r>
        <w:fldChar w:fldCharType="end"/>
      </w:r>
    </w:p>
    <w:p w14:paraId="618E43D7" w14:textId="69070F05" w:rsidR="00D4028F" w:rsidRDefault="00D4028F" w:rsidP="00A01A39">
      <w:pPr>
        <w:pStyle w:val="Bullet1"/>
        <w:numPr>
          <w:ilvl w:val="0"/>
          <w:numId w:val="26"/>
        </w:numPr>
      </w:pPr>
      <w:r>
        <w:fldChar w:fldCharType="begin"/>
      </w:r>
      <w:r>
        <w:instrText xml:space="preserve"> REF _Ref135938682 \h </w:instrText>
      </w:r>
      <w:r>
        <w:fldChar w:fldCharType="separate"/>
      </w:r>
      <w:r w:rsidR="00320714">
        <w:t>Localización de los datos de entrada del Modelo</w:t>
      </w:r>
      <w:r>
        <w:fldChar w:fldCharType="end"/>
      </w:r>
    </w:p>
    <w:p w14:paraId="0D574EDB" w14:textId="1742D23B" w:rsidR="00A12086" w:rsidRDefault="00A12086" w:rsidP="00A12086">
      <w:pPr>
        <w:pStyle w:val="Ttulo2"/>
      </w:pPr>
      <w:bookmarkStart w:id="40" w:name="_Ref140161923"/>
      <w:bookmarkStart w:id="41" w:name="_Toc142388400"/>
      <w:bookmarkStart w:id="42" w:name="_Ref135828894"/>
      <w:bookmarkStart w:id="43" w:name="_Ref135938674"/>
      <w:bookmarkStart w:id="44" w:name="_Ref135828890"/>
      <w:bookmarkStart w:id="45" w:name="_Ref135828893"/>
      <w:bookmarkStart w:id="46" w:name="_Ref135938672"/>
      <w:bookmarkStart w:id="47" w:name="_Ref135756097"/>
      <w:bookmarkStart w:id="48" w:name="_Ref135953696"/>
      <w:bookmarkStart w:id="49" w:name="_Ref31710536"/>
      <w:bookmarkStart w:id="50" w:name="_Ref31789463"/>
      <w:bookmarkStart w:id="51" w:name="_Toc33028734"/>
      <w:bookmarkStart w:id="52" w:name="_Toc33088450"/>
      <w:r w:rsidRPr="00A12086">
        <w:t>Diseño de la compartición de infraestructura civil entre tecnologías</w:t>
      </w:r>
      <w:bookmarkEnd w:id="40"/>
      <w:bookmarkEnd w:id="41"/>
    </w:p>
    <w:p w14:paraId="5E326606" w14:textId="524E651C" w:rsidR="00A12086" w:rsidRDefault="00A12086" w:rsidP="00A12086">
      <w:r>
        <w:t xml:space="preserve">En primer lugar, es relevante indicar que </w:t>
      </w:r>
      <w:r w:rsidR="0058556D">
        <w:t xml:space="preserve">la versión anterior del </w:t>
      </w:r>
      <w:r>
        <w:t>Modelo</w:t>
      </w:r>
      <w:r w:rsidRPr="00E92D59">
        <w:t xml:space="preserve"> </w:t>
      </w:r>
      <w:r w:rsidR="00930D54">
        <w:t xml:space="preserve">Integral </w:t>
      </w:r>
      <w:r w:rsidRPr="00E92D59">
        <w:t>realiza</w:t>
      </w:r>
      <w:r w:rsidR="0058556D">
        <w:t>ba</w:t>
      </w:r>
      <w:r w:rsidRPr="00E92D59">
        <w:t xml:space="preserve"> la </w:t>
      </w:r>
      <w:r>
        <w:t xml:space="preserve">atribución de los costos de la infraestructura civil compartida entre las diferentes tecnologías con base en el número de líneas pasadas en cada caso. </w:t>
      </w:r>
    </w:p>
    <w:p w14:paraId="4E80DF1A" w14:textId="7DF10F50" w:rsidR="00A12086" w:rsidRDefault="00A12086" w:rsidP="00A12086">
      <w:r>
        <w:t xml:space="preserve">No obstante, </w:t>
      </w:r>
      <w:r w:rsidR="00EB24A9">
        <w:t xml:space="preserve">dada </w:t>
      </w:r>
      <w:r>
        <w:t xml:space="preserve">la </w:t>
      </w:r>
      <w:r w:rsidR="002C29A2">
        <w:t xml:space="preserve">rápida </w:t>
      </w:r>
      <w:r>
        <w:t xml:space="preserve">velocidad de migración del número de líneas activas desde la tecnología de cobre hacia la tecnología de </w:t>
      </w:r>
      <w:r w:rsidR="00930D54">
        <w:t xml:space="preserve">FTTH </w:t>
      </w:r>
      <w:r w:rsidR="002C29A2">
        <w:t>observada en los últimos años</w:t>
      </w:r>
      <w:r>
        <w:t xml:space="preserve">, </w:t>
      </w:r>
      <w:r w:rsidR="00EB24A9">
        <w:t xml:space="preserve">se ha considerado </w:t>
      </w:r>
      <w:r>
        <w:t xml:space="preserve">conveniente revisar dicho criterio de reparto y </w:t>
      </w:r>
      <w:r w:rsidR="004573B1">
        <w:t xml:space="preserve">reemplazarlo </w:t>
      </w:r>
      <w:r>
        <w:t xml:space="preserve">por uno basado en el número de líneas activas de cada tecnología.  </w:t>
      </w:r>
    </w:p>
    <w:p w14:paraId="62C0BF8A" w14:textId="219D4E4A" w:rsidR="00693FA7" w:rsidRDefault="00A12086" w:rsidP="00693FA7">
      <w:r>
        <w:t xml:space="preserve">Lo anterior </w:t>
      </w:r>
      <w:r w:rsidR="00653358">
        <w:t xml:space="preserve">resulta </w:t>
      </w:r>
      <w:r>
        <w:t xml:space="preserve">especialmente relevante y conveniente en un contexto </w:t>
      </w:r>
      <w:r w:rsidR="005341E0">
        <w:t xml:space="preserve">en el que la </w:t>
      </w:r>
      <w:r>
        <w:t xml:space="preserve">reducción en la penetración </w:t>
      </w:r>
      <w:r w:rsidR="00C0375B">
        <w:t xml:space="preserve">actual y futura </w:t>
      </w:r>
      <w:r>
        <w:t>de las redes de cobre</w:t>
      </w:r>
      <w:r w:rsidR="00C0375B">
        <w:t xml:space="preserve"> (como consecuencia de una reducción de las líneas activas pero un valor relativamente estable de líneas pasadas</w:t>
      </w:r>
      <w:r w:rsidR="00C4124B">
        <w:t xml:space="preserve">, lo que </w:t>
      </w:r>
      <w:r w:rsidR="001B2B4D">
        <w:t xml:space="preserve">causaría </w:t>
      </w:r>
      <w:r w:rsidR="00C4124B">
        <w:t xml:space="preserve">una tasa de adopción </w:t>
      </w:r>
      <w:r w:rsidR="00C4124B" w:rsidRPr="00C4124B">
        <w:t>substancialmente</w:t>
      </w:r>
      <w:r w:rsidR="00C4124B">
        <w:t xml:space="preserve"> reducida</w:t>
      </w:r>
      <w:r w:rsidR="00C0375B">
        <w:t xml:space="preserve">), terminaría dando lugar a un </w:t>
      </w:r>
      <w:r>
        <w:t xml:space="preserve">aumento desproporcionado en los costos unitarios de los servicios de cobre, especialmente si se tiene en cuenta el peso considerable que los elementos de infraestructura civil presentan en los servicios de acceso. </w:t>
      </w:r>
    </w:p>
    <w:p w14:paraId="1ECFA928" w14:textId="77777777" w:rsidR="00980681" w:rsidRDefault="003124DE" w:rsidP="00943524">
      <w:r>
        <w:lastRenderedPageBreak/>
        <w:t xml:space="preserve">Para llevar a cabo </w:t>
      </w:r>
      <w:r w:rsidR="00693FA7">
        <w:t xml:space="preserve">esta implementación, se ha habilitado el Escenario </w:t>
      </w:r>
      <w:r w:rsidR="0053143C">
        <w:t>4</w:t>
      </w:r>
      <w:r w:rsidR="0053143C">
        <w:rPr>
          <w:rStyle w:val="Refdenotaalpie"/>
        </w:rPr>
        <w:footnoteReference w:id="6"/>
      </w:r>
      <w:r w:rsidR="0053143C">
        <w:t xml:space="preserve"> </w:t>
      </w:r>
      <w:r w:rsidR="0053143C" w:rsidRPr="007610E8">
        <w:rPr>
          <w:i/>
          <w:iCs/>
        </w:rPr>
        <w:t>“Red compartida entre las 3 tecnologías”</w:t>
      </w:r>
      <w:r w:rsidR="0053143C">
        <w:t xml:space="preserve"> del Modelo</w:t>
      </w:r>
      <w:r w:rsidR="003C7E27">
        <w:t xml:space="preserve">, el cual </w:t>
      </w:r>
      <w:r w:rsidR="00943524">
        <w:t xml:space="preserve">se encontraba deshabilitado en la versión anterior del Modelo. </w:t>
      </w:r>
      <w:r w:rsidR="005D176A">
        <w:t xml:space="preserve">Esta habilitación ha requerido </w:t>
      </w:r>
      <w:r w:rsidR="00980681">
        <w:t>de los siguientes pasos:</w:t>
      </w:r>
    </w:p>
    <w:p w14:paraId="703AA924" w14:textId="4B96883F" w:rsidR="00943524" w:rsidRDefault="00980681" w:rsidP="00A01A39">
      <w:pPr>
        <w:pStyle w:val="Bullet1"/>
      </w:pPr>
      <w:r>
        <w:t>L</w:t>
      </w:r>
      <w:r w:rsidR="005D176A">
        <w:t>a inclusión y adaptación de fórmulas</w:t>
      </w:r>
      <w:r w:rsidR="004225EA">
        <w:t xml:space="preserve"> </w:t>
      </w:r>
      <w:r w:rsidR="005D176A">
        <w:t xml:space="preserve">de cálculo a lo largo del </w:t>
      </w:r>
      <w:r w:rsidR="00BA646A">
        <w:t>Excel</w:t>
      </w:r>
      <w:r w:rsidR="005D176A">
        <w:t xml:space="preserve"> para </w:t>
      </w:r>
      <w:r w:rsidR="006D1CF2">
        <w:t>habilitar el funcionamiento efectivo d</w:t>
      </w:r>
      <w:r w:rsidR="005D176A">
        <w:t>el Escenario 4.</w:t>
      </w:r>
      <w:r w:rsidR="00BA646A">
        <w:t xml:space="preserve"> </w:t>
      </w:r>
      <w:r w:rsidR="00304CE9">
        <w:t xml:space="preserve">En este sentido, el Modelo </w:t>
      </w:r>
      <w:r w:rsidR="000403D2">
        <w:t xml:space="preserve">para su ejecución </w:t>
      </w:r>
      <w:r w:rsidR="00304CE9">
        <w:t xml:space="preserve">hace uso de la </w:t>
      </w:r>
      <w:r w:rsidR="00B66A18">
        <w:t>fórmula</w:t>
      </w:r>
      <w:r w:rsidR="000403D2">
        <w:t xml:space="preserve"> de Excel</w:t>
      </w:r>
      <w:r w:rsidR="00304CE9">
        <w:t xml:space="preserve"> “</w:t>
      </w:r>
      <w:r w:rsidR="00304CE9" w:rsidRPr="00304CE9">
        <w:t>ELEGIR</w:t>
      </w:r>
      <w:r w:rsidR="00304CE9">
        <w:t xml:space="preserve">”, en función del escenario seleccionado (1, 2, 3 o 4). No obstante, las fórmulas del escenario 4 en </w:t>
      </w:r>
      <w:r w:rsidR="00B66A18">
        <w:t xml:space="preserve">varias </w:t>
      </w:r>
      <w:r w:rsidR="00304CE9">
        <w:t>ocasiones se encontraban deshabilitadas o con un valor igual a cero</w:t>
      </w:r>
      <w:r w:rsidR="007C6430">
        <w:t xml:space="preserve"> o “N/A”</w:t>
      </w:r>
      <w:r w:rsidR="00304CE9">
        <w:t xml:space="preserve">. </w:t>
      </w:r>
      <w:r w:rsidR="000403D2">
        <w:t xml:space="preserve">Por tanto, como parte del proceso de rehabilitación </w:t>
      </w:r>
      <w:r w:rsidR="00093D97">
        <w:t xml:space="preserve">del Modelo </w:t>
      </w:r>
      <w:r w:rsidR="00093D97" w:rsidRPr="000605BB">
        <w:t xml:space="preserve">se </w:t>
      </w:r>
      <w:r w:rsidR="000403D2" w:rsidRPr="000605BB">
        <w:t>han incluido las fórmulas correspondientes al escenario 4</w:t>
      </w:r>
      <w:r w:rsidR="000605BB">
        <w:t xml:space="preserve"> en los casos necesarios</w:t>
      </w:r>
      <w:r w:rsidR="000403D2">
        <w:t>. A este respecto, se hace notar que la lógica seguida en la</w:t>
      </w:r>
      <w:r w:rsidR="004056B1">
        <w:t>s</w:t>
      </w:r>
      <w:r w:rsidR="000403D2">
        <w:t xml:space="preserve"> fórmula</w:t>
      </w:r>
      <w:r w:rsidR="004056B1">
        <w:t>s</w:t>
      </w:r>
      <w:r w:rsidR="000403D2">
        <w:t xml:space="preserve"> del escenario 4</w:t>
      </w:r>
      <w:r w:rsidR="00161208">
        <w:t xml:space="preserve">, </w:t>
      </w:r>
      <w:r w:rsidR="00B66A18">
        <w:t xml:space="preserve">para </w:t>
      </w:r>
      <w:r w:rsidR="00161208">
        <w:t xml:space="preserve">los casos </w:t>
      </w:r>
      <w:r w:rsidR="00B66A18">
        <w:t xml:space="preserve">en los que </w:t>
      </w:r>
      <w:r w:rsidR="00161208">
        <w:t>ha sido necesaria su inclusión,</w:t>
      </w:r>
      <w:r w:rsidR="000403D2">
        <w:t xml:space="preserve"> ha sido </w:t>
      </w:r>
      <w:r w:rsidR="00E21C24">
        <w:t xml:space="preserve">equivalente a la empleada previamente </w:t>
      </w:r>
      <w:r w:rsidR="00C74BEA">
        <w:t xml:space="preserve">por el Modelo </w:t>
      </w:r>
      <w:r w:rsidR="00E21C24">
        <w:t>para los escenarios 1, 2 y 3.</w:t>
      </w:r>
      <w:r w:rsidR="00C24730">
        <w:t xml:space="preserve"> </w:t>
      </w:r>
    </w:p>
    <w:p w14:paraId="6BC62AD3" w14:textId="77777777" w:rsidR="00B66A18" w:rsidRDefault="00215565" w:rsidP="00A01A39">
      <w:pPr>
        <w:pStyle w:val="Bullet1"/>
      </w:pPr>
      <w:r>
        <w:t>Una</w:t>
      </w:r>
      <w:r w:rsidR="00FD3695">
        <w:t xml:space="preserve"> ligera </w:t>
      </w:r>
      <w:r>
        <w:t xml:space="preserve">adaptación de la matriz de enrutamiento (hoja </w:t>
      </w:r>
      <w:r w:rsidRPr="00215565">
        <w:rPr>
          <w:i/>
          <w:iCs/>
        </w:rPr>
        <w:t>“</w:t>
      </w:r>
      <w:proofErr w:type="spellStart"/>
      <w:r w:rsidRPr="00215565">
        <w:rPr>
          <w:i/>
          <w:iCs/>
        </w:rPr>
        <w:t>Routing</w:t>
      </w:r>
      <w:proofErr w:type="spellEnd"/>
      <w:r w:rsidRPr="00215565">
        <w:rPr>
          <w:i/>
          <w:iCs/>
        </w:rPr>
        <w:t xml:space="preserve"> </w:t>
      </w:r>
      <w:proofErr w:type="spellStart"/>
      <w:r w:rsidRPr="00215565">
        <w:rPr>
          <w:i/>
          <w:iCs/>
        </w:rPr>
        <w:t>matrix</w:t>
      </w:r>
      <w:proofErr w:type="spellEnd"/>
      <w:r w:rsidRPr="00215565">
        <w:rPr>
          <w:i/>
          <w:iCs/>
        </w:rPr>
        <w:t xml:space="preserve"> per </w:t>
      </w:r>
      <w:proofErr w:type="spellStart"/>
      <w:r w:rsidRPr="00215565">
        <w:rPr>
          <w:i/>
          <w:iCs/>
        </w:rPr>
        <w:t>services</w:t>
      </w:r>
      <w:proofErr w:type="spellEnd"/>
      <w:r w:rsidRPr="00215565">
        <w:rPr>
          <w:i/>
          <w:iCs/>
        </w:rPr>
        <w:t>”</w:t>
      </w:r>
      <w:r>
        <w:t xml:space="preserve"> del Modelo) </w:t>
      </w:r>
      <w:r w:rsidR="000B2A6E">
        <w:t xml:space="preserve">para garantizar que el proceso de reparto entre las tres tecnologías </w:t>
      </w:r>
      <w:r w:rsidR="00B66A18">
        <w:t xml:space="preserve">mediante el criterio de líneas activas </w:t>
      </w:r>
      <w:r w:rsidR="000B2A6E">
        <w:t xml:space="preserve">se realice </w:t>
      </w:r>
      <w:r w:rsidR="00B66A18">
        <w:t xml:space="preserve">de </w:t>
      </w:r>
      <w:r w:rsidR="000B2A6E">
        <w:t xml:space="preserve">la manera más causal posible. </w:t>
      </w:r>
      <w:r w:rsidR="000E441A">
        <w:t>Más concretamente, ha resultado necesaria la apertura de</w:t>
      </w:r>
      <w:r w:rsidR="00B66A18">
        <w:t xml:space="preserve"> la categoría de activos “</w:t>
      </w:r>
      <w:r w:rsidR="000E441A">
        <w:t>Central</w:t>
      </w:r>
      <w:r w:rsidR="00B66A18">
        <w:t>”</w:t>
      </w:r>
      <w:r w:rsidR="007A2DEA">
        <w:t xml:space="preserve">, </w:t>
      </w:r>
      <w:r w:rsidR="00B66A18">
        <w:t xml:space="preserve">la </w:t>
      </w:r>
      <w:r w:rsidR="007A2DEA">
        <w:t>cual capturaba de manera simultánea los costos de los MDF y ODF</w:t>
      </w:r>
      <w:r w:rsidR="000E441A">
        <w:t xml:space="preserve">, en dos nuevos componentes: </w:t>
      </w:r>
      <w:r w:rsidR="00B66A18">
        <w:t>“</w:t>
      </w:r>
      <w:r w:rsidR="000E441A">
        <w:t>Central – MDF</w:t>
      </w:r>
      <w:r w:rsidR="00B66A18">
        <w:t>”</w:t>
      </w:r>
      <w:r w:rsidR="000E441A">
        <w:t xml:space="preserve"> y </w:t>
      </w:r>
      <w:r w:rsidR="00B66A18">
        <w:t>“</w:t>
      </w:r>
      <w:r w:rsidR="000E441A">
        <w:t>Central ODF</w:t>
      </w:r>
      <w:r w:rsidR="00B66A18">
        <w:t>”</w:t>
      </w:r>
      <w:r w:rsidR="000E441A">
        <w:t>. De esta forma, se asegura que el costo de los</w:t>
      </w:r>
      <w:r w:rsidR="007A2DEA">
        <w:t xml:space="preserve"> MDF y ODF se reparte a los servicios de cobre y fibra respectivamente, lo que no resultaba factible con </w:t>
      </w:r>
      <w:r w:rsidR="00181088">
        <w:t xml:space="preserve">la </w:t>
      </w:r>
      <w:r w:rsidR="007A2DEA">
        <w:t xml:space="preserve">aproximación previa. </w:t>
      </w:r>
      <w:r w:rsidR="000E441A">
        <w:t xml:space="preserve"> </w:t>
      </w:r>
    </w:p>
    <w:p w14:paraId="647403A2" w14:textId="679EEB46" w:rsidR="007A2DEA" w:rsidRPr="00193CB7" w:rsidRDefault="007A2DEA" w:rsidP="00A01A39">
      <w:pPr>
        <w:pStyle w:val="Bullet1"/>
      </w:pPr>
      <w:r>
        <w:t xml:space="preserve">De </w:t>
      </w:r>
      <w:r w:rsidRPr="00193CB7">
        <w:t xml:space="preserve">manera adicional, también se señala que </w:t>
      </w:r>
      <w:r w:rsidR="00B66A18">
        <w:t xml:space="preserve">se </w:t>
      </w:r>
      <w:r w:rsidR="0001046D">
        <w:t xml:space="preserve">han ajustado los factores de enrutamiento de </w:t>
      </w:r>
      <w:r w:rsidR="00ED5D5B">
        <w:t xml:space="preserve">los </w:t>
      </w:r>
      <w:r w:rsidR="0001046D">
        <w:t xml:space="preserve">servicios de </w:t>
      </w:r>
      <w:r w:rsidR="0001046D" w:rsidRPr="00B66A18">
        <w:rPr>
          <w:i/>
          <w:iCs/>
        </w:rPr>
        <w:t>“Desagregación bucle punto a punto” y “Enlace dedicado”</w:t>
      </w:r>
      <w:r w:rsidR="0001046D">
        <w:t>, para reflejar su utilización de l</w:t>
      </w:r>
      <w:r w:rsidR="00ED5D5B">
        <w:t>os puntos de agregación (</w:t>
      </w:r>
      <w:proofErr w:type="spellStart"/>
      <w:r w:rsidR="00ED5D5B">
        <w:t>DPs</w:t>
      </w:r>
      <w:proofErr w:type="spellEnd"/>
      <w:r w:rsidR="00ED5D5B">
        <w:t xml:space="preserve"> y </w:t>
      </w:r>
      <w:proofErr w:type="spellStart"/>
      <w:r w:rsidR="00ED5D5B">
        <w:t>ODFs</w:t>
      </w:r>
      <w:proofErr w:type="spellEnd"/>
      <w:r w:rsidR="00ED5D5B">
        <w:t>)</w:t>
      </w:r>
      <w:r w:rsidR="008B3602">
        <w:rPr>
          <w:rStyle w:val="Refdenotaalpie"/>
        </w:rPr>
        <w:footnoteReference w:id="7"/>
      </w:r>
      <w:r w:rsidR="00ED5D5B">
        <w:t xml:space="preserve">. </w:t>
      </w:r>
      <w:r w:rsidR="006B6EEA">
        <w:t xml:space="preserve">Lo anterior permite alinear </w:t>
      </w:r>
      <w:r w:rsidR="00B66A18">
        <w:t xml:space="preserve">los repartos de los costos de estos activos </w:t>
      </w:r>
      <w:r w:rsidR="006B6EEA">
        <w:t xml:space="preserve">con las hipótesis </w:t>
      </w:r>
      <w:r w:rsidR="000E15B7">
        <w:t xml:space="preserve">empleadas en </w:t>
      </w:r>
      <w:r w:rsidR="006B6EEA">
        <w:t>la Separación Contable</w:t>
      </w:r>
      <w:r w:rsidR="00B66A18">
        <w:t xml:space="preserve"> del AEP</w:t>
      </w:r>
      <w:r w:rsidR="006B6EEA">
        <w:t xml:space="preserve">, a la vez que se asume que </w:t>
      </w:r>
      <w:r w:rsidR="00892415">
        <w:t xml:space="preserve">los cables de </w:t>
      </w:r>
      <w:r w:rsidR="00F50C23">
        <w:t>fibra necesarios para la provisión de los dos servicios anteriores necesitan como punto de paso dichos puntos de agregación</w:t>
      </w:r>
      <w:r w:rsidR="00962240">
        <w:t xml:space="preserve"> (si bien dichos cables no necesitarán </w:t>
      </w:r>
      <w:proofErr w:type="spellStart"/>
      <w:r w:rsidR="00962240" w:rsidRPr="00B66A18">
        <w:rPr>
          <w:i/>
          <w:iCs/>
        </w:rPr>
        <w:t>splitting</w:t>
      </w:r>
      <w:proofErr w:type="spellEnd"/>
      <w:r w:rsidR="00962240">
        <w:t xml:space="preserve"> dado que sus fibras son punto-a-punto)</w:t>
      </w:r>
      <w:r w:rsidR="00F50C23">
        <w:t xml:space="preserve">. </w:t>
      </w:r>
    </w:p>
    <w:p w14:paraId="2AC3A974" w14:textId="19DC0D68" w:rsidR="009F01DC" w:rsidRPr="00193CB7" w:rsidRDefault="00B66A18" w:rsidP="00AC13C8">
      <w:pPr>
        <w:pStyle w:val="Update"/>
        <w:rPr>
          <w:b w:val="0"/>
          <w:lang w:val="es-ES"/>
        </w:rPr>
      </w:pPr>
      <w:bookmarkStart w:id="53" w:name="_Ref135941362"/>
      <w:r>
        <w:rPr>
          <w:b w:val="0"/>
          <w:lang w:val="es-ES"/>
        </w:rPr>
        <w:t xml:space="preserve"> </w:t>
      </w:r>
      <w:r w:rsidR="00A12086" w:rsidRPr="00193CB7">
        <w:rPr>
          <w:b w:val="0"/>
          <w:lang w:val="es-ES"/>
        </w:rPr>
        <w:t>Se</w:t>
      </w:r>
      <w:r w:rsidR="009C6026" w:rsidRPr="00193CB7">
        <w:rPr>
          <w:b w:val="0"/>
          <w:lang w:val="es-ES"/>
        </w:rPr>
        <w:t xml:space="preserve"> </w:t>
      </w:r>
      <w:r w:rsidR="00F77988" w:rsidRPr="00193CB7">
        <w:rPr>
          <w:b w:val="0"/>
          <w:lang w:val="es-ES"/>
        </w:rPr>
        <w:t xml:space="preserve">ha </w:t>
      </w:r>
      <w:r w:rsidR="00193CB7" w:rsidRPr="00193CB7">
        <w:rPr>
          <w:b w:val="0"/>
          <w:lang w:val="es-ES"/>
        </w:rPr>
        <w:t xml:space="preserve">rehabilitado el </w:t>
      </w:r>
      <w:r w:rsidR="00F77988" w:rsidRPr="00193CB7">
        <w:rPr>
          <w:b w:val="0"/>
          <w:lang w:val="es-ES"/>
        </w:rPr>
        <w:t xml:space="preserve">Escenario 4 </w:t>
      </w:r>
      <w:r w:rsidR="00F77988" w:rsidRPr="00193CB7">
        <w:rPr>
          <w:b w:val="0"/>
          <w:i/>
          <w:iCs/>
          <w:lang w:val="es-ES"/>
        </w:rPr>
        <w:t>“Red compartida entre las 3 tecnologías”</w:t>
      </w:r>
      <w:r w:rsidR="00F77988" w:rsidRPr="00193CB7">
        <w:rPr>
          <w:b w:val="0"/>
          <w:lang w:val="es-ES"/>
        </w:rPr>
        <w:t xml:space="preserve"> del Modelo</w:t>
      </w:r>
      <w:r w:rsidR="00C96A6A" w:rsidRPr="00193CB7">
        <w:rPr>
          <w:b w:val="0"/>
          <w:lang w:val="es-ES"/>
        </w:rPr>
        <w:t>,</w:t>
      </w:r>
      <w:r w:rsidR="00F77988" w:rsidRPr="00193CB7">
        <w:rPr>
          <w:b w:val="0"/>
          <w:lang w:val="es-ES"/>
        </w:rPr>
        <w:t xml:space="preserve"> con el objetivo de </w:t>
      </w:r>
      <w:r w:rsidR="00A12086" w:rsidRPr="00193CB7">
        <w:rPr>
          <w:b w:val="0"/>
          <w:lang w:val="es-ES"/>
        </w:rPr>
        <w:t xml:space="preserve">modificar el criterio de atribución de los costos de infraestructura civil entre las diferentes tecnologías, desde uno basado en </w:t>
      </w:r>
      <w:r w:rsidR="00193CB7" w:rsidRPr="00193CB7">
        <w:rPr>
          <w:b w:val="0"/>
          <w:lang w:val="es-ES"/>
        </w:rPr>
        <w:t xml:space="preserve">premisas </w:t>
      </w:r>
      <w:r w:rsidR="00193CB7" w:rsidRPr="00193CB7">
        <w:rPr>
          <w:b w:val="0"/>
          <w:lang w:val="es-ES"/>
        </w:rPr>
        <w:lastRenderedPageBreak/>
        <w:t xml:space="preserve">pasadas </w:t>
      </w:r>
      <w:r w:rsidR="00A12086" w:rsidRPr="00193CB7">
        <w:rPr>
          <w:b w:val="0"/>
          <w:lang w:val="es-ES"/>
        </w:rPr>
        <w:t xml:space="preserve">a uno basado en </w:t>
      </w:r>
      <w:r w:rsidR="00193CB7" w:rsidRPr="00193CB7">
        <w:rPr>
          <w:b w:val="0"/>
          <w:lang w:val="es-ES"/>
        </w:rPr>
        <w:t xml:space="preserve">líneas </w:t>
      </w:r>
      <w:r w:rsidR="00A12086" w:rsidRPr="00193CB7">
        <w:rPr>
          <w:b w:val="0"/>
          <w:lang w:val="es-ES"/>
        </w:rPr>
        <w:t xml:space="preserve">activas. </w:t>
      </w:r>
      <w:bookmarkEnd w:id="42"/>
      <w:bookmarkEnd w:id="43"/>
      <w:bookmarkEnd w:id="53"/>
      <w:r w:rsidRPr="00B66A18">
        <w:rPr>
          <w:b w:val="0"/>
          <w:bCs/>
          <w:lang w:val="es-ES"/>
        </w:rPr>
        <w:t>Se</w:t>
      </w:r>
      <w:r>
        <w:rPr>
          <w:b w:val="0"/>
          <w:bCs/>
          <w:lang w:val="es-ES"/>
        </w:rPr>
        <w:t xml:space="preserve"> hace notar igualmente que este es el escenario que se espera emplear para la fijación de los precios mayoristas.</w:t>
      </w:r>
    </w:p>
    <w:p w14:paraId="17B34A69" w14:textId="77777777" w:rsidR="009656CF" w:rsidRDefault="009656CF" w:rsidP="009656CF">
      <w:pPr>
        <w:pStyle w:val="Ttulo2"/>
      </w:pPr>
      <w:bookmarkStart w:id="54" w:name="_Ref140161927"/>
      <w:bookmarkStart w:id="55" w:name="_Ref140162061"/>
      <w:bookmarkStart w:id="56" w:name="_Toc142388401"/>
      <w:bookmarkEnd w:id="44"/>
      <w:r>
        <w:t xml:space="preserve">Tratamiento de los activos de infraestructura civil de las redes tradicionales reutilizables para redes </w:t>
      </w:r>
      <w:bookmarkEnd w:id="45"/>
      <w:r>
        <w:t>de nueva generación</w:t>
      </w:r>
      <w:bookmarkEnd w:id="46"/>
      <w:bookmarkEnd w:id="54"/>
      <w:bookmarkEnd w:id="55"/>
      <w:bookmarkEnd w:id="56"/>
    </w:p>
    <w:p w14:paraId="6BBE6ED6" w14:textId="50E81975" w:rsidR="009C6026" w:rsidRDefault="009656CF" w:rsidP="00905031">
      <w:r>
        <w:t xml:space="preserve">Con respecto a la valoración de los activos </w:t>
      </w:r>
      <w:r w:rsidRPr="00B022F0">
        <w:t xml:space="preserve">de </w:t>
      </w:r>
      <w:r>
        <w:t xml:space="preserve">infraestructura </w:t>
      </w:r>
      <w:r w:rsidRPr="00B022F0">
        <w:t>civil (</w:t>
      </w:r>
      <w:r w:rsidR="00905031">
        <w:t>canalizaciones</w:t>
      </w:r>
      <w:r w:rsidRPr="00B022F0">
        <w:t>, postes</w:t>
      </w:r>
      <w:r>
        <w:t xml:space="preserve"> y</w:t>
      </w:r>
      <w:r w:rsidRPr="00B022F0">
        <w:t xml:space="preserve"> pozos)</w:t>
      </w:r>
      <w:r>
        <w:t xml:space="preserve"> de las redes tradicionales (cobre) que puedan resultar reutilizables para redes de nueva generación (FTTH), </w:t>
      </w:r>
      <w:r w:rsidR="009C6026">
        <w:t>la versión anterior del Moldeo hacía uso de los siguientes parámetros:</w:t>
      </w:r>
    </w:p>
    <w:p w14:paraId="63954A6F" w14:textId="77777777" w:rsidR="009C6026" w:rsidRDefault="009C6026" w:rsidP="009C6026">
      <w:pPr>
        <w:jc w:val="center"/>
      </w:pPr>
      <w:r w:rsidRPr="00417A71">
        <w:rPr>
          <w:noProof/>
        </w:rPr>
        <w:drawing>
          <wp:inline distT="0" distB="0" distL="0" distR="0" wp14:anchorId="77293377" wp14:editId="02A84BCE">
            <wp:extent cx="5481473" cy="1296335"/>
            <wp:effectExtent l="0" t="0" r="5080" b="0"/>
            <wp:docPr id="1940916363" name="Picture 194091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2876" cy="1299032"/>
                    </a:xfrm>
                    <a:prstGeom prst="rect">
                      <a:avLst/>
                    </a:prstGeom>
                    <a:noFill/>
                    <a:ln>
                      <a:noFill/>
                    </a:ln>
                  </pic:spPr>
                </pic:pic>
              </a:graphicData>
            </a:graphic>
          </wp:inline>
        </w:drawing>
      </w:r>
    </w:p>
    <w:p w14:paraId="715579A9" w14:textId="599C511B" w:rsidR="009C6026" w:rsidRPr="00B04E2D" w:rsidRDefault="009C6026" w:rsidP="009C6026">
      <w:pPr>
        <w:pStyle w:val="Descripcin"/>
      </w:pPr>
      <w:r w:rsidRPr="00B04E2D">
        <w:t xml:space="preserve">Ilustración </w:t>
      </w:r>
      <w:r w:rsidRPr="00B04E2D">
        <w:fldChar w:fldCharType="begin"/>
      </w:r>
      <w:r w:rsidRPr="00B04E2D">
        <w:instrText xml:space="preserve"> STYLEREF 1 \s </w:instrText>
      </w:r>
      <w:r w:rsidRPr="00B04E2D">
        <w:fldChar w:fldCharType="separate"/>
      </w:r>
      <w:r w:rsidR="00320714">
        <w:rPr>
          <w:rFonts w:hint="cs"/>
          <w:noProof/>
          <w:cs/>
        </w:rPr>
        <w:t>‎</w:t>
      </w:r>
      <w:r w:rsidR="00320714">
        <w:rPr>
          <w:noProof/>
        </w:rPr>
        <w:t>2</w:t>
      </w:r>
      <w:r w:rsidRPr="00B04E2D">
        <w:fldChar w:fldCharType="end"/>
      </w:r>
      <w:r w:rsidRPr="00B04E2D">
        <w:t>.</w:t>
      </w:r>
      <w:r w:rsidRPr="00B04E2D">
        <w:fldChar w:fldCharType="begin"/>
      </w:r>
      <w:r w:rsidRPr="00B04E2D">
        <w:instrText xml:space="preserve"> SEQ Ilustración \* ARABIC \s 1 </w:instrText>
      </w:r>
      <w:r w:rsidRPr="00B04E2D">
        <w:fldChar w:fldCharType="separate"/>
      </w:r>
      <w:r w:rsidR="00320714">
        <w:rPr>
          <w:noProof/>
        </w:rPr>
        <w:t>1</w:t>
      </w:r>
      <w:r w:rsidRPr="00B04E2D">
        <w:fldChar w:fldCharType="end"/>
      </w:r>
      <w:r w:rsidRPr="00B04E2D">
        <w:t>: Parámetros de reutilización de infraestructura civil [Fuente: Modelo Integral</w:t>
      </w:r>
      <w:r>
        <w:t>, versión 2020</w:t>
      </w:r>
      <w:r w:rsidRPr="00B04E2D">
        <w:t xml:space="preserve">] </w:t>
      </w:r>
    </w:p>
    <w:p w14:paraId="0567D759" w14:textId="7FFC51C7" w:rsidR="00FF1612" w:rsidRDefault="00987019" w:rsidP="00987019">
      <w:r>
        <w:t xml:space="preserve">En particular, el uso de los parámetros anteriores permite valorar los activos de infraestructura civil aplicando un descuento al costo de reposición (por sus siglas en inglés, </w:t>
      </w:r>
      <w:r w:rsidRPr="00A31EEE">
        <w:rPr>
          <w:i/>
          <w:iCs/>
        </w:rPr>
        <w:t xml:space="preserve">Gross </w:t>
      </w:r>
      <w:proofErr w:type="spellStart"/>
      <w:r w:rsidRPr="00A31EEE">
        <w:rPr>
          <w:i/>
          <w:iCs/>
        </w:rPr>
        <w:t>Replacement</w:t>
      </w:r>
      <w:proofErr w:type="spellEnd"/>
      <w:r w:rsidRPr="00A31EEE">
        <w:rPr>
          <w:i/>
          <w:iCs/>
        </w:rPr>
        <w:t xml:space="preserve"> </w:t>
      </w:r>
      <w:proofErr w:type="spellStart"/>
      <w:r w:rsidRPr="00A31EEE">
        <w:rPr>
          <w:i/>
          <w:iCs/>
        </w:rPr>
        <w:t>Cost</w:t>
      </w:r>
      <w:proofErr w:type="spellEnd"/>
      <w:r w:rsidRPr="00A31EEE">
        <w:rPr>
          <w:i/>
          <w:iCs/>
        </w:rPr>
        <w:t xml:space="preserve"> - GRC</w:t>
      </w:r>
      <w:r>
        <w:t>), que corresponde a la tasa promedio de depreciación de dichos activos</w:t>
      </w:r>
      <w:r w:rsidR="00905031">
        <w:t>,</w:t>
      </w:r>
      <w:r>
        <w:t xml:space="preserve"> de acuerdo </w:t>
      </w:r>
      <w:r w:rsidR="0068018D">
        <w:t>con e</w:t>
      </w:r>
      <w:r>
        <w:t>l valor neto contable del AEP, según la información disponible en</w:t>
      </w:r>
      <w:r w:rsidR="00BB5A8E">
        <w:t xml:space="preserve"> su </w:t>
      </w:r>
      <w:r>
        <w:t xml:space="preserve">contabilidad financiera. </w:t>
      </w:r>
    </w:p>
    <w:p w14:paraId="3EC5577A" w14:textId="154ED261" w:rsidR="00271108" w:rsidRDefault="00B027D5" w:rsidP="009C76CF">
      <w:r>
        <w:t xml:space="preserve">El objetivo de </w:t>
      </w:r>
      <w:r w:rsidR="0019703D">
        <w:t xml:space="preserve">tal </w:t>
      </w:r>
      <w:r>
        <w:t>enfoque es el de enviar las señal</w:t>
      </w:r>
      <w:r w:rsidR="00013734">
        <w:t>e</w:t>
      </w:r>
      <w:r>
        <w:t xml:space="preserve">s </w:t>
      </w:r>
      <w:r w:rsidR="00FF1612">
        <w:t xml:space="preserve">eficientes </w:t>
      </w:r>
      <w:r>
        <w:t xml:space="preserve">de entrada al mercado en lo relativo a la decisión </w:t>
      </w:r>
      <w:r w:rsidR="009560CE">
        <w:t xml:space="preserve">de </w:t>
      </w:r>
      <w:r>
        <w:t xml:space="preserve">“comprar o construir”. </w:t>
      </w:r>
      <w:r w:rsidR="00FF1612">
        <w:t>En este sentido, e</w:t>
      </w:r>
      <w:r w:rsidR="006F22AE">
        <w:t xml:space="preserve">l alto grado de depreciación acumulada que comúnmente presentan estos activos en las redes de los operadores de redes de acceso (generalmente </w:t>
      </w:r>
      <w:r w:rsidR="00FF1612">
        <w:t xml:space="preserve">dichos </w:t>
      </w:r>
      <w:r w:rsidR="006F22AE">
        <w:t xml:space="preserve">activos fueron desplegados hace un número sustancial de años), junto con las reducidas posibilidades </w:t>
      </w:r>
      <w:r w:rsidR="003A7125">
        <w:t xml:space="preserve">para </w:t>
      </w:r>
      <w:r w:rsidR="006F22AE">
        <w:t>desplegar infraestructura civil en paralelo a la ya existente</w:t>
      </w:r>
      <w:r w:rsidR="003A7125">
        <w:t xml:space="preserve"> que pueden tener los operadores alternativos o nuevos</w:t>
      </w:r>
      <w:r w:rsidR="006F22AE">
        <w:t xml:space="preserve">, son aspectos que deben ser considerados a la hora de definir precios mayoristas que garanticen un adecuado nivel de competencia en el mercado. </w:t>
      </w:r>
      <w:r w:rsidR="00271108" w:rsidRPr="00271108">
        <w:t>A raíz de lo ante</w:t>
      </w:r>
      <w:r w:rsidR="00271108">
        <w:t xml:space="preserve">rior, </w:t>
      </w:r>
      <w:r w:rsidR="00FE5E6A">
        <w:t xml:space="preserve">y para evitar la </w:t>
      </w:r>
      <w:proofErr w:type="spellStart"/>
      <w:r w:rsidR="00FE5E6A">
        <w:t>sobre-recuperación</w:t>
      </w:r>
      <w:proofErr w:type="spellEnd"/>
      <w:r w:rsidR="00FE5E6A">
        <w:t xml:space="preserve"> de los costos relacionados con la infraestructura civil, </w:t>
      </w:r>
      <w:r w:rsidR="000E1C70">
        <w:t xml:space="preserve">el Modelo considera </w:t>
      </w:r>
      <w:r w:rsidR="0033136C">
        <w:t xml:space="preserve">el </w:t>
      </w:r>
      <w:r w:rsidR="00F13DB2">
        <w:t>descuento explicado previamente</w:t>
      </w:r>
      <w:r w:rsidR="0033136C">
        <w:t xml:space="preserve"> para el valor de reposición de las canalizaciones, pozos y postes. </w:t>
      </w:r>
    </w:p>
    <w:p w14:paraId="157DCF5C" w14:textId="1CF943EA" w:rsidR="009656CF" w:rsidRDefault="00CA3A7A" w:rsidP="00CA3A7A">
      <w:r>
        <w:lastRenderedPageBreak/>
        <w:t xml:space="preserve">No obstante, </w:t>
      </w:r>
      <w:r w:rsidR="00905031">
        <w:t xml:space="preserve">tras </w:t>
      </w:r>
      <w:r>
        <w:t xml:space="preserve">la revisión de la implementación </w:t>
      </w:r>
      <w:r w:rsidR="009656CF">
        <w:t>práctica de</w:t>
      </w:r>
      <w:r>
        <w:t xml:space="preserve"> la metodología anterior en la versión </w:t>
      </w:r>
      <w:r w:rsidR="00905031">
        <w:t xml:space="preserve">previa </w:t>
      </w:r>
      <w:r>
        <w:t xml:space="preserve">del </w:t>
      </w:r>
      <w:r w:rsidR="009656CF">
        <w:t xml:space="preserve">Modelo Integral, se han </w:t>
      </w:r>
      <w:r w:rsidR="00E41EFA">
        <w:t xml:space="preserve">introducido una serie de actualizaciones y adecuaciones: </w:t>
      </w:r>
    </w:p>
    <w:p w14:paraId="1E0AD34C" w14:textId="3033B97A" w:rsidR="001C77D1" w:rsidRDefault="009656CF" w:rsidP="00A01A39">
      <w:pPr>
        <w:pStyle w:val="Bullet1"/>
      </w:pPr>
      <w:r w:rsidRPr="003822F7">
        <w:rPr>
          <w:b/>
          <w:bCs/>
        </w:rPr>
        <w:t xml:space="preserve">Sobre </w:t>
      </w:r>
      <w:r>
        <w:rPr>
          <w:b/>
          <w:bCs/>
        </w:rPr>
        <w:t>los c</w:t>
      </w:r>
      <w:r w:rsidRPr="003822F7">
        <w:rPr>
          <w:b/>
          <w:bCs/>
        </w:rPr>
        <w:t>oeficiente</w:t>
      </w:r>
      <w:r>
        <w:rPr>
          <w:b/>
          <w:bCs/>
        </w:rPr>
        <w:t>s</w:t>
      </w:r>
      <w:r w:rsidRPr="003822F7">
        <w:rPr>
          <w:b/>
          <w:bCs/>
        </w:rPr>
        <w:t xml:space="preserve"> de reutilización</w:t>
      </w:r>
      <w:r>
        <w:t>.</w:t>
      </w:r>
      <w:r w:rsidR="00702478">
        <w:t xml:space="preserve"> </w:t>
      </w:r>
      <w:r w:rsidR="00122D52">
        <w:t xml:space="preserve">Los </w:t>
      </w:r>
      <w:r>
        <w:t>valor</w:t>
      </w:r>
      <w:r w:rsidR="00122D52">
        <w:t>es</w:t>
      </w:r>
      <w:r>
        <w:t xml:space="preserve"> de los coeficientes de reutilización </w:t>
      </w:r>
      <w:r w:rsidR="00122D52">
        <w:t xml:space="preserve">(primer insumo de la imagen anterior para cada activo) </w:t>
      </w:r>
      <w:r>
        <w:t xml:space="preserve">no </w:t>
      </w:r>
      <w:r w:rsidR="00122D52">
        <w:t>presentaba</w:t>
      </w:r>
      <w:r w:rsidR="00905031">
        <w:t>n</w:t>
      </w:r>
      <w:r w:rsidR="00122D52">
        <w:t xml:space="preserve"> </w:t>
      </w:r>
      <w:r>
        <w:t>impacto sobre los resultados del Modelo</w:t>
      </w:r>
      <w:r w:rsidR="00122D52">
        <w:t xml:space="preserve">, dado que los datos de entrada relevantes para el cálculo son el </w:t>
      </w:r>
      <w:r w:rsidR="00122D52" w:rsidRPr="00122D52">
        <w:rPr>
          <w:i/>
          <w:iCs/>
        </w:rPr>
        <w:t>“% de activos reutilizables”</w:t>
      </w:r>
      <w:r w:rsidR="00122D52">
        <w:t xml:space="preserve"> y el </w:t>
      </w:r>
      <w:r w:rsidR="00122D52" w:rsidRPr="00122D52">
        <w:rPr>
          <w:i/>
          <w:iCs/>
        </w:rPr>
        <w:t>“descuento aplicado sobre los costos GRC”</w:t>
      </w:r>
      <w:r w:rsidR="00122D52">
        <w:t xml:space="preserve"> (segundo y tercer insumos, respectivamente, de la imagen anterior para cada activo). </w:t>
      </w:r>
      <w:r w:rsidR="00DC191E">
        <w:t xml:space="preserve">Por tanto, se ha procedido a eliminar dichos parámetros del </w:t>
      </w:r>
      <w:r w:rsidR="00905031">
        <w:t>M</w:t>
      </w:r>
      <w:r w:rsidR="00DC191E">
        <w:t>odelo.</w:t>
      </w:r>
    </w:p>
    <w:p w14:paraId="01E0A3D2" w14:textId="651E2FCC" w:rsidR="00EA5F5D" w:rsidRDefault="009656CF" w:rsidP="00A01A39">
      <w:pPr>
        <w:pStyle w:val="Bullet1"/>
      </w:pPr>
      <w:r w:rsidRPr="0080137F">
        <w:rPr>
          <w:b/>
          <w:bCs/>
        </w:rPr>
        <w:t>Sobre los porcentajes de elementos reutilizables</w:t>
      </w:r>
      <w:r>
        <w:t xml:space="preserve">. El Modelo </w:t>
      </w:r>
      <w:r w:rsidR="00601080">
        <w:t xml:space="preserve">desarrollado en 2018 </w:t>
      </w:r>
      <w:r w:rsidR="00DC191E">
        <w:t>incluía</w:t>
      </w:r>
      <w:r w:rsidR="00601080">
        <w:t xml:space="preserve"> u</w:t>
      </w:r>
      <w:r>
        <w:t>n valor de 30%</w:t>
      </w:r>
      <w:r w:rsidR="00DC191E">
        <w:t>, basad</w:t>
      </w:r>
      <w:r w:rsidR="00905031">
        <w:t>o</w:t>
      </w:r>
      <w:r w:rsidR="00DC191E">
        <w:t xml:space="preserve"> en </w:t>
      </w:r>
      <w:r>
        <w:t xml:space="preserve">una </w:t>
      </w:r>
      <w:r w:rsidR="0063454D">
        <w:t>estimación</w:t>
      </w:r>
      <w:r w:rsidR="00DF3835">
        <w:t xml:space="preserve">, </w:t>
      </w:r>
      <w:r w:rsidR="0019436D">
        <w:t xml:space="preserve">y de manera </w:t>
      </w:r>
      <w:r>
        <w:t>equivalente para todos los elementos de red.</w:t>
      </w:r>
      <w:r w:rsidR="00FE5E54">
        <w:t xml:space="preserve"> </w:t>
      </w:r>
      <w:r w:rsidR="00076B57">
        <w:t xml:space="preserve">Como parte del proceso de actualización, se ha solicitado información al AEP que permita reflejar fielmente este dato de entrada. </w:t>
      </w:r>
      <w:r w:rsidR="00EB335E">
        <w:t xml:space="preserve">De la información facilitada, se extrae que el porcentaje de infraestructura reutilizable es </w:t>
      </w:r>
      <w:r w:rsidR="00EB335E" w:rsidRPr="00034202">
        <w:t>de</w:t>
      </w:r>
      <w:r w:rsidR="0019436D">
        <w:t>l</w:t>
      </w:r>
      <w:r w:rsidR="00EB335E" w:rsidRPr="00034202">
        <w:t xml:space="preserve"> </w:t>
      </w:r>
      <w:r w:rsidR="0002147E">
        <w:t>99</w:t>
      </w:r>
      <w:r w:rsidR="00EB335E" w:rsidRPr="00034202">
        <w:t xml:space="preserve">% para canalizaciones y pozos y de </w:t>
      </w:r>
      <w:r w:rsidR="0002147E">
        <w:t>94</w:t>
      </w:r>
      <w:r w:rsidR="00EB335E" w:rsidRPr="00034202">
        <w:t xml:space="preserve">% para postes. </w:t>
      </w:r>
    </w:p>
    <w:p w14:paraId="028F8858" w14:textId="3D198E34" w:rsidR="008050D0" w:rsidRPr="00034202" w:rsidRDefault="008050D0" w:rsidP="00A01A39">
      <w:pPr>
        <w:pStyle w:val="Bullet1"/>
      </w:pPr>
      <w:r w:rsidRPr="008050D0">
        <w:rPr>
          <w:b/>
          <w:bCs/>
        </w:rPr>
        <w:t>Sobre los descuentos aplicado en costos GRC</w:t>
      </w:r>
      <w:r>
        <w:t xml:space="preserve">. Se ha procedido a la actualización de dichos datos de entrada con base </w:t>
      </w:r>
      <w:r w:rsidR="007D7D62">
        <w:t>en</w:t>
      </w:r>
      <w:r>
        <w:t xml:space="preserve"> la información extraída de la Separación Contable del AEP.</w:t>
      </w:r>
    </w:p>
    <w:p w14:paraId="4DC53B3A" w14:textId="11BB2AD4" w:rsidR="009C6026" w:rsidRDefault="00034202" w:rsidP="00A01A39">
      <w:pPr>
        <w:pStyle w:val="Bullet1"/>
      </w:pPr>
      <w:r w:rsidRPr="000E6C8A">
        <w:rPr>
          <w:b/>
          <w:bCs/>
        </w:rPr>
        <w:t xml:space="preserve">Sobre </w:t>
      </w:r>
      <w:r w:rsidR="005F3112" w:rsidRPr="000E6C8A">
        <w:rPr>
          <w:b/>
          <w:bCs/>
        </w:rPr>
        <w:t xml:space="preserve">el tratamiento a los </w:t>
      </w:r>
      <w:r w:rsidRPr="000E6C8A">
        <w:rPr>
          <w:b/>
          <w:bCs/>
        </w:rPr>
        <w:t>cables de cobre.</w:t>
      </w:r>
      <w:r w:rsidRPr="00034202">
        <w:t xml:space="preserve"> </w:t>
      </w:r>
      <w:r w:rsidR="0055699B" w:rsidRPr="0055699B">
        <w:t>En el entorno actual de telecomunicaciones, es evidente que las redes de acceso de cobre se encuentran cada día más obsoletas, al ser incapaces de ofrecer las velocidades crecientes de banda ancha demandadas por los usuarios. Adicionalmente, los cables de cobre también presentan un alto grado de depreciación acumulada</w:t>
      </w:r>
      <w:r w:rsidR="0055699B">
        <w:t xml:space="preserve"> en las finanzas del AEP</w:t>
      </w:r>
      <w:r w:rsidR="0055699B" w:rsidRPr="0055699B">
        <w:t xml:space="preserve">, al haber sido desplegados hace un número sustancial de años. Por tanto, se estima que, para evitar una </w:t>
      </w:r>
      <w:proofErr w:type="spellStart"/>
      <w:r w:rsidR="0055699B" w:rsidRPr="0055699B">
        <w:t>sobre-recuperación</w:t>
      </w:r>
      <w:proofErr w:type="spellEnd"/>
      <w:r w:rsidR="0055699B" w:rsidRPr="0055699B">
        <w:t xml:space="preserve"> de los costos relacionados con los cables de cobre, el Modelo debe extender la aplicación del descuento explicado previamente para el valor de reposición de las canalizaciones, pozos y postes, también a los activos relacionados con los cables de cobre en el Modelo. Se hace notar que esta aproximación ya ha sido empleada previamente por otros reguladores de telecomunicaciones en el entorno internacional.</w:t>
      </w:r>
      <w:r w:rsidR="0055699B">
        <w:t xml:space="preserve"> Para llevar a cabo esta implementación, se ha introducido un nuevo parámetro en el Modelo, que refleja el descuento a ser aplicado sobre el valor de reposición de los cables de cobre.</w:t>
      </w:r>
    </w:p>
    <w:p w14:paraId="46C7BB17" w14:textId="4B3F05B3" w:rsidR="00335246" w:rsidRDefault="00335246" w:rsidP="001F49FA">
      <w:r>
        <w:t>Tras las actualizaciones anteriores, los parámetros empleados en el Modelo son los siguientes:</w:t>
      </w:r>
    </w:p>
    <w:p w14:paraId="2B145291" w14:textId="7F613F48" w:rsidR="001F49FA" w:rsidRDefault="00C37ED8" w:rsidP="001F49FA">
      <w:r w:rsidRPr="00C37ED8">
        <w:rPr>
          <w:noProof/>
        </w:rPr>
        <w:lastRenderedPageBreak/>
        <w:drawing>
          <wp:inline distT="0" distB="0" distL="0" distR="0" wp14:anchorId="78E1E6ED" wp14:editId="1121FB76">
            <wp:extent cx="5759450" cy="1432560"/>
            <wp:effectExtent l="0" t="0" r="0" b="0"/>
            <wp:docPr id="343794770" name="Picture 34379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432560"/>
                    </a:xfrm>
                    <a:prstGeom prst="rect">
                      <a:avLst/>
                    </a:prstGeom>
                    <a:noFill/>
                    <a:ln>
                      <a:noFill/>
                    </a:ln>
                  </pic:spPr>
                </pic:pic>
              </a:graphicData>
            </a:graphic>
          </wp:inline>
        </w:drawing>
      </w:r>
    </w:p>
    <w:p w14:paraId="05DC159E" w14:textId="30AF2EF9" w:rsidR="00335246" w:rsidRPr="00B04E2D" w:rsidRDefault="00335246" w:rsidP="00335246">
      <w:pPr>
        <w:pStyle w:val="Descripcin"/>
      </w:pPr>
      <w:r w:rsidRPr="00B04E2D">
        <w:t xml:space="preserve">Ilustración </w:t>
      </w:r>
      <w:r w:rsidRPr="00B04E2D">
        <w:fldChar w:fldCharType="begin"/>
      </w:r>
      <w:r w:rsidRPr="00B04E2D">
        <w:instrText xml:space="preserve"> STYLEREF 1 \s </w:instrText>
      </w:r>
      <w:r w:rsidRPr="00B04E2D">
        <w:fldChar w:fldCharType="separate"/>
      </w:r>
      <w:r w:rsidR="00320714">
        <w:rPr>
          <w:rFonts w:hint="cs"/>
          <w:noProof/>
          <w:cs/>
        </w:rPr>
        <w:t>‎</w:t>
      </w:r>
      <w:r w:rsidR="00320714">
        <w:rPr>
          <w:noProof/>
        </w:rPr>
        <w:t>2</w:t>
      </w:r>
      <w:r w:rsidRPr="00B04E2D">
        <w:fldChar w:fldCharType="end"/>
      </w:r>
      <w:r w:rsidRPr="00B04E2D">
        <w:t>.</w:t>
      </w:r>
      <w:r w:rsidRPr="00B04E2D">
        <w:fldChar w:fldCharType="begin"/>
      </w:r>
      <w:r w:rsidRPr="00B04E2D">
        <w:instrText xml:space="preserve"> SEQ Ilustración \* ARABIC \s 1 </w:instrText>
      </w:r>
      <w:r w:rsidRPr="00B04E2D">
        <w:fldChar w:fldCharType="separate"/>
      </w:r>
      <w:r w:rsidR="00320714">
        <w:rPr>
          <w:noProof/>
        </w:rPr>
        <w:t>2</w:t>
      </w:r>
      <w:r w:rsidRPr="00B04E2D">
        <w:fldChar w:fldCharType="end"/>
      </w:r>
      <w:r w:rsidRPr="00B04E2D">
        <w:t xml:space="preserve">: Parámetros de reutilización de infraestructura [Fuente: Modelo Integral] </w:t>
      </w:r>
    </w:p>
    <w:p w14:paraId="096DD5BE" w14:textId="4D6E1E02" w:rsidR="009656CF" w:rsidRPr="00AF16DF" w:rsidRDefault="009656CF" w:rsidP="009656CF">
      <w:pPr>
        <w:pStyle w:val="Update"/>
        <w:rPr>
          <w:b w:val="0"/>
          <w:bCs/>
          <w:lang w:val="es-ES"/>
        </w:rPr>
      </w:pPr>
      <w:bookmarkStart w:id="57" w:name="_Ref135941381"/>
      <w:r>
        <w:rPr>
          <w:b w:val="0"/>
          <w:bCs/>
          <w:lang w:val="es-ES"/>
        </w:rPr>
        <w:t xml:space="preserve">Se </w:t>
      </w:r>
      <w:r w:rsidR="00706342">
        <w:rPr>
          <w:b w:val="0"/>
          <w:bCs/>
          <w:lang w:val="es-ES"/>
        </w:rPr>
        <w:t xml:space="preserve">han realizado una serie de adecuaciones a </w:t>
      </w:r>
      <w:r w:rsidRPr="005C5FA3">
        <w:rPr>
          <w:b w:val="0"/>
          <w:bCs/>
          <w:lang w:val="es-ES"/>
        </w:rPr>
        <w:t xml:space="preserve">la metodología seguida en el </w:t>
      </w:r>
      <w:r>
        <w:rPr>
          <w:b w:val="0"/>
          <w:bCs/>
          <w:lang w:val="es-ES"/>
        </w:rPr>
        <w:t>Modelo</w:t>
      </w:r>
      <w:r w:rsidRPr="005C5FA3">
        <w:rPr>
          <w:b w:val="0"/>
          <w:bCs/>
          <w:lang w:val="es-ES"/>
        </w:rPr>
        <w:t xml:space="preserve"> para el tratamiento de los activos de infraestructura civil de las redes tradicionales</w:t>
      </w:r>
      <w:r w:rsidR="00D83EC2">
        <w:rPr>
          <w:b w:val="0"/>
          <w:bCs/>
          <w:lang w:val="es-ES"/>
        </w:rPr>
        <w:t>, según lo señalado en este apartado</w:t>
      </w:r>
      <w:r w:rsidR="00706342">
        <w:rPr>
          <w:b w:val="0"/>
          <w:bCs/>
          <w:lang w:val="es-ES"/>
        </w:rPr>
        <w:t>.</w:t>
      </w:r>
      <w:r w:rsidRPr="005C5FA3">
        <w:rPr>
          <w:b w:val="0"/>
          <w:bCs/>
          <w:lang w:val="es-ES"/>
        </w:rPr>
        <w:t xml:space="preserve"> </w:t>
      </w:r>
      <w:bookmarkEnd w:id="57"/>
    </w:p>
    <w:p w14:paraId="6849B6C6" w14:textId="77777777" w:rsidR="009656CF" w:rsidRPr="00CF76CE" w:rsidRDefault="009656CF" w:rsidP="009656CF">
      <w:pPr>
        <w:pStyle w:val="Ttulo2"/>
      </w:pPr>
      <w:bookmarkStart w:id="58" w:name="_Ref135938679"/>
      <w:bookmarkStart w:id="59" w:name="_Toc142388402"/>
      <w:bookmarkStart w:id="60" w:name="_Ref135828878"/>
      <w:r w:rsidRPr="00CF76CE">
        <w:t>Cálculo de</w:t>
      </w:r>
      <w:r>
        <w:t xml:space="preserve"> los costos operacionales (</w:t>
      </w:r>
      <w:proofErr w:type="spellStart"/>
      <w:r w:rsidRPr="00CF76CE">
        <w:t>O</w:t>
      </w:r>
      <w:r>
        <w:t>p</w:t>
      </w:r>
      <w:r w:rsidRPr="00CF76CE">
        <w:t>E</w:t>
      </w:r>
      <w:r>
        <w:t>x</w:t>
      </w:r>
      <w:proofErr w:type="spellEnd"/>
      <w:r>
        <w:t>)</w:t>
      </w:r>
      <w:bookmarkEnd w:id="58"/>
      <w:bookmarkEnd w:id="59"/>
    </w:p>
    <w:p w14:paraId="0BEA91C6" w14:textId="0FBFDA8F" w:rsidR="009656CF" w:rsidRDefault="00881A99" w:rsidP="005D1FCF">
      <w:r>
        <w:t xml:space="preserve">En la versión previa del </w:t>
      </w:r>
      <w:r w:rsidR="00FE2466">
        <w:t>M</w:t>
      </w:r>
      <w:r>
        <w:t>odelo</w:t>
      </w:r>
      <w:r w:rsidR="006F5915">
        <w:t xml:space="preserve"> de 2020</w:t>
      </w:r>
      <w:r>
        <w:t xml:space="preserve">, el cálculo </w:t>
      </w:r>
      <w:r w:rsidR="009656CF">
        <w:t xml:space="preserve">de los costos operacionales de mantenimiento se </w:t>
      </w:r>
      <w:r>
        <w:t xml:space="preserve">realizaba a partir del dato de entrada </w:t>
      </w:r>
      <w:r w:rsidR="009656CF" w:rsidRPr="008472E7">
        <w:rPr>
          <w:i/>
          <w:iCs/>
        </w:rPr>
        <w:t xml:space="preserve">“Tasa de mantenimiento (como % de </w:t>
      </w:r>
      <w:proofErr w:type="spellStart"/>
      <w:r w:rsidR="009656CF" w:rsidRPr="008472E7">
        <w:rPr>
          <w:i/>
          <w:iCs/>
        </w:rPr>
        <w:t>Capex</w:t>
      </w:r>
      <w:proofErr w:type="spellEnd"/>
      <w:r w:rsidR="009656CF" w:rsidRPr="008472E7">
        <w:rPr>
          <w:i/>
          <w:iCs/>
        </w:rPr>
        <w:t xml:space="preserve"> total)”</w:t>
      </w:r>
      <w:r w:rsidR="005D1FCF">
        <w:rPr>
          <w:i/>
          <w:iCs/>
        </w:rPr>
        <w:t xml:space="preserve">, </w:t>
      </w:r>
      <w:r w:rsidR="005D1FCF">
        <w:t>expresado en términos porcentuales, por valor de 4</w:t>
      </w:r>
      <w:r w:rsidR="00C64F4B">
        <w:t>.</w:t>
      </w:r>
      <w:r w:rsidR="005E3C5D">
        <w:t>12</w:t>
      </w:r>
      <w:r w:rsidR="005D1FCF">
        <w:t>%</w:t>
      </w:r>
      <w:r w:rsidR="00C62ADA">
        <w:t xml:space="preserve">. </w:t>
      </w:r>
    </w:p>
    <w:p w14:paraId="42D5CEF9" w14:textId="26FF2A79" w:rsidR="00C5399E" w:rsidRDefault="00C5399E" w:rsidP="00453672">
      <w:r>
        <w:t>D</w:t>
      </w:r>
      <w:r w:rsidR="005D1FCF">
        <w:t xml:space="preserve">urante el proceso de actualización, se ha </w:t>
      </w:r>
      <w:r w:rsidR="003A4639">
        <w:t xml:space="preserve">modificado el cálculo de </w:t>
      </w:r>
      <w:r w:rsidR="00453672">
        <w:t xml:space="preserve">dichos </w:t>
      </w:r>
      <w:r w:rsidR="003A4639">
        <w:t xml:space="preserve">costos operacionales, pasando a ser estimado a partir del </w:t>
      </w:r>
      <w:proofErr w:type="spellStart"/>
      <w:r w:rsidR="003A4639" w:rsidRPr="00524FC9">
        <w:rPr>
          <w:u w:val="single"/>
        </w:rPr>
        <w:t>CapEx</w:t>
      </w:r>
      <w:proofErr w:type="spellEnd"/>
      <w:r w:rsidR="003A4639" w:rsidRPr="00524FC9">
        <w:rPr>
          <w:u w:val="single"/>
        </w:rPr>
        <w:t xml:space="preserve"> total</w:t>
      </w:r>
      <w:r w:rsidR="003A4639">
        <w:t>, y haciendo uso de la fórmula “</w:t>
      </w:r>
      <w:proofErr w:type="spellStart"/>
      <w:r w:rsidR="003A4639" w:rsidRPr="002B42E7">
        <w:rPr>
          <w:i/>
          <w:iCs/>
        </w:rPr>
        <w:t>Cap</w:t>
      </w:r>
      <w:r w:rsidR="003A4639">
        <w:rPr>
          <w:i/>
          <w:iCs/>
        </w:rPr>
        <w:t>E</w:t>
      </w:r>
      <w:r w:rsidR="003A4639" w:rsidRPr="002B42E7">
        <w:rPr>
          <w:i/>
          <w:iCs/>
        </w:rPr>
        <w:t>x</w:t>
      </w:r>
      <w:proofErr w:type="spellEnd"/>
      <w:r w:rsidR="003A4639" w:rsidRPr="002B42E7">
        <w:rPr>
          <w:i/>
          <w:iCs/>
        </w:rPr>
        <w:t xml:space="preserve"> </w:t>
      </w:r>
      <w:r w:rsidR="003A4639">
        <w:rPr>
          <w:i/>
          <w:iCs/>
        </w:rPr>
        <w:t xml:space="preserve">total </w:t>
      </w:r>
      <w:r w:rsidR="003A4639" w:rsidRPr="002B42E7">
        <w:rPr>
          <w:i/>
          <w:iCs/>
        </w:rPr>
        <w:t>x (1 + % tasa mantenimiento)</w:t>
      </w:r>
      <w:r w:rsidR="003A4639">
        <w:rPr>
          <w:i/>
          <w:iCs/>
        </w:rPr>
        <w:t>”</w:t>
      </w:r>
      <w:r w:rsidR="00453672">
        <w:t>, de acuerdo con la propia descripción del insumo</w:t>
      </w:r>
      <w:r w:rsidR="003A4639">
        <w:rPr>
          <w:i/>
          <w:iCs/>
        </w:rPr>
        <w:t xml:space="preserve">. </w:t>
      </w:r>
      <w:r w:rsidR="00453672">
        <w:t>Se hace notar que, p</w:t>
      </w:r>
      <w:r w:rsidR="003A4639">
        <w:t xml:space="preserve">reviamente, el cálculo de los costos operacionales </w:t>
      </w:r>
      <w:r w:rsidR="00453672">
        <w:t>se venía estimando</w:t>
      </w:r>
      <w:r w:rsidR="003A4639">
        <w:t xml:space="preserve"> a partir del </w:t>
      </w:r>
      <w:proofErr w:type="spellStart"/>
      <w:r w:rsidR="00F3370D" w:rsidRPr="001B2C29">
        <w:rPr>
          <w:u w:val="single"/>
        </w:rPr>
        <w:t>CapEx</w:t>
      </w:r>
      <w:proofErr w:type="spellEnd"/>
      <w:r w:rsidR="00F3370D" w:rsidRPr="001B2C29">
        <w:rPr>
          <w:u w:val="single"/>
        </w:rPr>
        <w:t xml:space="preserve"> anual</w:t>
      </w:r>
      <w:r w:rsidR="00453672">
        <w:t xml:space="preserve"> (es decir, tras llevar a cabo la </w:t>
      </w:r>
      <w:proofErr w:type="spellStart"/>
      <w:r w:rsidR="00453672">
        <w:t>anualización</w:t>
      </w:r>
      <w:proofErr w:type="spellEnd"/>
      <w:r w:rsidR="00453672">
        <w:t xml:space="preserve"> del </w:t>
      </w:r>
      <w:proofErr w:type="spellStart"/>
      <w:r w:rsidR="00453672">
        <w:t>CapEx</w:t>
      </w:r>
      <w:proofErr w:type="spellEnd"/>
      <w:r w:rsidR="00453672">
        <w:t xml:space="preserve"> total)</w:t>
      </w:r>
      <w:r w:rsidR="00F3370D">
        <w:rPr>
          <w:i/>
          <w:iCs/>
        </w:rPr>
        <w:t>.</w:t>
      </w:r>
      <w:r w:rsidR="00F3370D">
        <w:t xml:space="preserve"> </w:t>
      </w:r>
    </w:p>
    <w:p w14:paraId="2FBEAADF" w14:textId="7F5D12E5" w:rsidR="00D25AAD" w:rsidRDefault="00D25AAD" w:rsidP="00DA5C5D">
      <w:r>
        <w:t>De manera adicional a lo anterior, también se ha considerado oportuno introducir una tasa de mantenimiento diferenciada según los siguientes tres tipos de activos:</w:t>
      </w:r>
    </w:p>
    <w:p w14:paraId="00BC154E" w14:textId="14ADEC7B" w:rsidR="00D25AAD" w:rsidRDefault="00D25AAD" w:rsidP="00A01A39">
      <w:pPr>
        <w:pStyle w:val="Bullet1"/>
      </w:pPr>
      <w:r>
        <w:t>Activos de cobre</w:t>
      </w:r>
    </w:p>
    <w:p w14:paraId="447AB597" w14:textId="3B847121" w:rsidR="00D25AAD" w:rsidRDefault="00D25AAD" w:rsidP="00A01A39">
      <w:pPr>
        <w:pStyle w:val="Bullet1"/>
      </w:pPr>
      <w:r>
        <w:t>Activos de fibra</w:t>
      </w:r>
    </w:p>
    <w:p w14:paraId="255C834A" w14:textId="76549110" w:rsidR="00D25AAD" w:rsidRDefault="00D25AAD" w:rsidP="00A01A39">
      <w:pPr>
        <w:pStyle w:val="Bullet1"/>
      </w:pPr>
      <w:r>
        <w:t>Activos de infraestructura civil (canalizaciones, pozos y postes)</w:t>
      </w:r>
    </w:p>
    <w:p w14:paraId="2D92E8D7" w14:textId="08AFD4E3" w:rsidR="00DF5D2B" w:rsidRDefault="00D25AAD" w:rsidP="00C934EA">
      <w:r>
        <w:t xml:space="preserve">La práctica habitual de operación de redes de acceso </w:t>
      </w:r>
      <w:r w:rsidR="002E1B17">
        <w:t xml:space="preserve">revela que </w:t>
      </w:r>
      <w:r w:rsidR="004247D6">
        <w:t xml:space="preserve">los niveles de mantenimiento </w:t>
      </w:r>
      <w:r w:rsidR="002E1B17">
        <w:t>de las redes de cobre y fibra no necesariamente debe</w:t>
      </w:r>
      <w:r w:rsidR="004247D6">
        <w:t xml:space="preserve">n ser los mismos, </w:t>
      </w:r>
      <w:r w:rsidR="00C934EA">
        <w:t xml:space="preserve">debido entre otros motivos, a las diferencias tecnológicas entre ambos tipos de red, así como a la práctica cada vez más habitual por parte de los operadores de centrar los recursos en las redes de nueva generación (fibra), mientras que el número de recursos dedicados al mantenimiento de las redes de cobre es cada vez menor, como consecuencia de </w:t>
      </w:r>
      <w:r w:rsidR="001B3EEC">
        <w:t>su</w:t>
      </w:r>
      <w:r w:rsidR="00C934EA">
        <w:t xml:space="preserve"> obsolescencia, cada día más cercana para estas redes. De igual forma, la práctica </w:t>
      </w:r>
      <w:r w:rsidR="00C934EA">
        <w:lastRenderedPageBreak/>
        <w:t>internacional también exhibe que, por la naturaleza de los activos de infraestructura civil, las tasas de mantenimiento de estos elementos son a menudo más reducidas que las del resto de activo</w:t>
      </w:r>
      <w:r w:rsidR="00BA548E">
        <w:t>s</w:t>
      </w:r>
      <w:r w:rsidR="00C934EA">
        <w:t xml:space="preserve">. </w:t>
      </w:r>
      <w:r w:rsidR="00FD369D">
        <w:t xml:space="preserve">En vista de ello, </w:t>
      </w:r>
      <w:r w:rsidR="00C934EA">
        <w:t xml:space="preserve">y según lo comentado anteriormente, </w:t>
      </w:r>
      <w:r w:rsidR="00FD369D">
        <w:t xml:space="preserve">se ha </w:t>
      </w:r>
      <w:r w:rsidR="008D1E53">
        <w:t xml:space="preserve">considerado </w:t>
      </w:r>
      <w:r w:rsidR="00FD369D">
        <w:t xml:space="preserve">conveniente </w:t>
      </w:r>
      <w:r w:rsidR="005E3C5D">
        <w:t xml:space="preserve">diferenciar los porcentajes de </w:t>
      </w:r>
      <w:r w:rsidR="006C63ED" w:rsidRPr="008472E7">
        <w:rPr>
          <w:i/>
          <w:iCs/>
        </w:rPr>
        <w:t xml:space="preserve">“Tasa de mantenimiento (como % de </w:t>
      </w:r>
      <w:proofErr w:type="spellStart"/>
      <w:r w:rsidR="006C63ED" w:rsidRPr="008472E7">
        <w:rPr>
          <w:i/>
          <w:iCs/>
        </w:rPr>
        <w:t>Capex</w:t>
      </w:r>
      <w:proofErr w:type="spellEnd"/>
      <w:r w:rsidR="006C63ED" w:rsidRPr="008472E7">
        <w:rPr>
          <w:i/>
          <w:iCs/>
        </w:rPr>
        <w:t xml:space="preserve"> total)”</w:t>
      </w:r>
      <w:r w:rsidR="006C63ED">
        <w:rPr>
          <w:i/>
          <w:iCs/>
        </w:rPr>
        <w:t xml:space="preserve"> </w:t>
      </w:r>
      <w:r w:rsidR="006C63ED">
        <w:t>entre los activos de fibra</w:t>
      </w:r>
      <w:r w:rsidR="00C934EA">
        <w:t xml:space="preserve">, </w:t>
      </w:r>
      <w:r w:rsidR="006C63ED">
        <w:t>de cobre</w:t>
      </w:r>
      <w:r w:rsidR="00C934EA">
        <w:t xml:space="preserve"> y de infraestructura civil</w:t>
      </w:r>
      <w:r w:rsidR="006C63ED">
        <w:t xml:space="preserve">, de manera que permitan reflejar más fielmente las realidades operativas del AEP. </w:t>
      </w:r>
    </w:p>
    <w:p w14:paraId="012CAC62" w14:textId="3E68256E" w:rsidR="00DA5C5D" w:rsidRDefault="006C63ED" w:rsidP="00DA5C5D">
      <w:r>
        <w:t xml:space="preserve">El cálculo de dichas tasas de mantenimiento </w:t>
      </w:r>
      <w:r w:rsidR="00A03FBB">
        <w:t xml:space="preserve">se ha realizado </w:t>
      </w:r>
      <w:r w:rsidR="004110BF">
        <w:t xml:space="preserve">a partir de </w:t>
      </w:r>
      <w:r w:rsidR="00C934EA">
        <w:t xml:space="preserve">valores de referencia internacionales, resultando en los siguientes porcentajes: </w:t>
      </w:r>
      <w:r w:rsidR="00C934EA" w:rsidRPr="00C934EA">
        <w:t>2</w:t>
      </w:r>
      <w:r w:rsidR="00C64F4B">
        <w:t>.</w:t>
      </w:r>
      <w:r w:rsidR="00C934EA" w:rsidRPr="00C934EA">
        <w:t>52%</w:t>
      </w:r>
      <w:r w:rsidR="00C934EA">
        <w:t xml:space="preserve"> para los activos de cobre, </w:t>
      </w:r>
      <w:r w:rsidR="00C934EA" w:rsidRPr="00C934EA">
        <w:t>3</w:t>
      </w:r>
      <w:r w:rsidR="00C64F4B">
        <w:t>.</w:t>
      </w:r>
      <w:r w:rsidR="00C934EA" w:rsidRPr="00C934EA">
        <w:t>86%</w:t>
      </w:r>
      <w:r w:rsidR="00C934EA">
        <w:t xml:space="preserve"> para los activos de fibra y </w:t>
      </w:r>
      <w:r w:rsidR="00C934EA" w:rsidRPr="00C934EA">
        <w:t>0</w:t>
      </w:r>
      <w:r w:rsidR="00C64F4B">
        <w:t>.</w:t>
      </w:r>
      <w:r w:rsidR="00C934EA" w:rsidRPr="00C934EA">
        <w:t>85%</w:t>
      </w:r>
      <w:r w:rsidR="00C934EA">
        <w:t xml:space="preserve"> para los activos de </w:t>
      </w:r>
      <w:r w:rsidR="00C934EA" w:rsidRPr="00C934EA">
        <w:t>infraestructura civil</w:t>
      </w:r>
      <w:r w:rsidR="00DF5D2B">
        <w:t>.</w:t>
      </w:r>
    </w:p>
    <w:p w14:paraId="7A1BDE12" w14:textId="603CA2BF" w:rsidR="009656CF" w:rsidRDefault="009656CF" w:rsidP="009656CF">
      <w:pPr>
        <w:pStyle w:val="Update"/>
        <w:rPr>
          <w:b w:val="0"/>
          <w:bCs/>
          <w:lang w:val="es-ES"/>
        </w:rPr>
      </w:pPr>
      <w:bookmarkStart w:id="61" w:name="_Ref135941412"/>
      <w:r w:rsidRPr="00476CC6">
        <w:rPr>
          <w:b w:val="0"/>
          <w:bCs/>
          <w:lang w:val="es-ES"/>
        </w:rPr>
        <w:t xml:space="preserve">Se </w:t>
      </w:r>
      <w:r w:rsidR="00A03FBB">
        <w:rPr>
          <w:b w:val="0"/>
          <w:bCs/>
          <w:lang w:val="es-ES"/>
        </w:rPr>
        <w:t>ha reformulado el cálculo de los costos de mantenimiento (</w:t>
      </w:r>
      <w:proofErr w:type="spellStart"/>
      <w:r w:rsidR="00A03FBB">
        <w:rPr>
          <w:b w:val="0"/>
          <w:bCs/>
          <w:lang w:val="es-ES"/>
        </w:rPr>
        <w:t>OpEx</w:t>
      </w:r>
      <w:proofErr w:type="spellEnd"/>
      <w:r w:rsidR="00A03FBB">
        <w:rPr>
          <w:b w:val="0"/>
          <w:bCs/>
          <w:lang w:val="es-ES"/>
        </w:rPr>
        <w:t xml:space="preserve">), para que el mismo se </w:t>
      </w:r>
      <w:r w:rsidR="00EE69C9">
        <w:rPr>
          <w:b w:val="0"/>
          <w:bCs/>
          <w:lang w:val="es-ES"/>
        </w:rPr>
        <w:t xml:space="preserve">lleve a cabo partiendo del </w:t>
      </w:r>
      <w:proofErr w:type="spellStart"/>
      <w:r w:rsidR="00EE69C9" w:rsidRPr="00EE69C9">
        <w:rPr>
          <w:b w:val="0"/>
          <w:bCs/>
          <w:lang w:val="es-ES"/>
        </w:rPr>
        <w:t>CapEx</w:t>
      </w:r>
      <w:proofErr w:type="spellEnd"/>
      <w:r w:rsidR="00EE69C9" w:rsidRPr="00EE69C9">
        <w:rPr>
          <w:b w:val="0"/>
          <w:bCs/>
          <w:lang w:val="es-ES"/>
        </w:rPr>
        <w:t xml:space="preserve"> total</w:t>
      </w:r>
      <w:r>
        <w:rPr>
          <w:b w:val="0"/>
          <w:bCs/>
          <w:lang w:val="es-ES"/>
        </w:rPr>
        <w:t>.</w:t>
      </w:r>
      <w:bookmarkEnd w:id="61"/>
      <w:r w:rsidR="00EE69C9">
        <w:rPr>
          <w:b w:val="0"/>
          <w:bCs/>
          <w:lang w:val="es-ES"/>
        </w:rPr>
        <w:t xml:space="preserve"> De manera adicional, se</w:t>
      </w:r>
      <w:r w:rsidR="00D11839">
        <w:rPr>
          <w:b w:val="0"/>
          <w:bCs/>
          <w:lang w:val="es-ES"/>
        </w:rPr>
        <w:t xml:space="preserve"> han establecido </w:t>
      </w:r>
      <w:r w:rsidR="006723BE">
        <w:rPr>
          <w:b w:val="0"/>
          <w:bCs/>
          <w:lang w:val="es-ES"/>
        </w:rPr>
        <w:t xml:space="preserve">tres </w:t>
      </w:r>
      <w:r w:rsidR="00D11839" w:rsidRPr="00D11839">
        <w:rPr>
          <w:b w:val="0"/>
          <w:bCs/>
          <w:i/>
          <w:iCs/>
          <w:lang w:val="es-ES"/>
        </w:rPr>
        <w:t>“Tasas de mantenimiento”</w:t>
      </w:r>
      <w:r w:rsidR="00D11839">
        <w:rPr>
          <w:b w:val="0"/>
          <w:bCs/>
          <w:lang w:val="es-ES"/>
        </w:rPr>
        <w:t xml:space="preserve">, para </w:t>
      </w:r>
      <w:r w:rsidR="00935408">
        <w:rPr>
          <w:b w:val="0"/>
          <w:bCs/>
          <w:lang w:val="es-ES"/>
        </w:rPr>
        <w:t xml:space="preserve">activos de </w:t>
      </w:r>
      <w:r w:rsidR="00D11839">
        <w:rPr>
          <w:b w:val="0"/>
          <w:bCs/>
          <w:lang w:val="es-ES"/>
        </w:rPr>
        <w:t>cobre</w:t>
      </w:r>
      <w:r w:rsidR="006723BE">
        <w:rPr>
          <w:b w:val="0"/>
          <w:bCs/>
          <w:lang w:val="es-ES"/>
        </w:rPr>
        <w:t xml:space="preserve">, </w:t>
      </w:r>
      <w:r w:rsidR="00935408">
        <w:rPr>
          <w:b w:val="0"/>
          <w:bCs/>
          <w:lang w:val="es-ES"/>
        </w:rPr>
        <w:t xml:space="preserve">de </w:t>
      </w:r>
      <w:r w:rsidR="00D11839">
        <w:rPr>
          <w:b w:val="0"/>
          <w:bCs/>
          <w:lang w:val="es-ES"/>
        </w:rPr>
        <w:t>fibra</w:t>
      </w:r>
      <w:r w:rsidR="006723BE">
        <w:rPr>
          <w:b w:val="0"/>
          <w:bCs/>
          <w:lang w:val="es-ES"/>
        </w:rPr>
        <w:t xml:space="preserve"> y de infraestructura civil</w:t>
      </w:r>
      <w:r w:rsidR="00D11839">
        <w:rPr>
          <w:b w:val="0"/>
          <w:bCs/>
          <w:lang w:val="es-ES"/>
        </w:rPr>
        <w:t>, permitiendo de esta forma alinear el cálculo de los costos de mantenimiento con las realidades operativas del AEP.</w:t>
      </w:r>
    </w:p>
    <w:p w14:paraId="690B8051" w14:textId="2E5EAEEF" w:rsidR="00A76105" w:rsidRPr="00476CC6" w:rsidRDefault="00AF1CF4" w:rsidP="00AF1CF4">
      <w:r>
        <w:t xml:space="preserve">Por último, también se señala que el porcentaje </w:t>
      </w:r>
      <w:r w:rsidRPr="00DF5D2B">
        <w:rPr>
          <w:i/>
          <w:iCs/>
        </w:rPr>
        <w:t>“Costos de G&amp;A promedio - Red y Business (como % de costo total anual)”</w:t>
      </w:r>
      <w:r>
        <w:t xml:space="preserve"> ha sido igualmente actualizado a un valor de 5</w:t>
      </w:r>
      <w:r w:rsidR="00C64F4B">
        <w:t>.</w:t>
      </w:r>
      <w:r>
        <w:t>53%</w:t>
      </w:r>
      <w:r w:rsidR="006723BE">
        <w:t xml:space="preserve">. </w:t>
      </w:r>
    </w:p>
    <w:p w14:paraId="610F0E06" w14:textId="77777777" w:rsidR="009656CF" w:rsidRDefault="009656CF" w:rsidP="009656CF">
      <w:pPr>
        <w:pStyle w:val="Ttulo2"/>
      </w:pPr>
      <w:bookmarkStart w:id="62" w:name="_Ref135938682"/>
      <w:bookmarkStart w:id="63" w:name="_Toc142388403"/>
      <w:bookmarkEnd w:id="60"/>
      <w:r>
        <w:t>Localización de los datos de entrada del Modelo</w:t>
      </w:r>
      <w:bookmarkEnd w:id="62"/>
      <w:bookmarkEnd w:id="63"/>
    </w:p>
    <w:p w14:paraId="1999D8A5" w14:textId="77777777" w:rsidR="009656CF" w:rsidRDefault="009656CF" w:rsidP="009656CF">
      <w:r>
        <w:t xml:space="preserve">El Modelo Integral se </w:t>
      </w:r>
      <w:proofErr w:type="spellStart"/>
      <w:r>
        <w:t>dividide</w:t>
      </w:r>
      <w:proofErr w:type="spellEnd"/>
      <w:r>
        <w:t xml:space="preserve"> en 4 bloques principales, identificando las hojas del archivo Excel con un color para cada bloque:</w:t>
      </w:r>
    </w:p>
    <w:p w14:paraId="3E18EAF6" w14:textId="77777777" w:rsidR="009656CF" w:rsidRPr="0063555E" w:rsidRDefault="009656CF" w:rsidP="00A01A39">
      <w:pPr>
        <w:pStyle w:val="Bullet1"/>
        <w:numPr>
          <w:ilvl w:val="0"/>
          <w:numId w:val="27"/>
        </w:numPr>
      </w:pPr>
      <w:r w:rsidRPr="0063555E">
        <w:t>Panel de Control o “</w:t>
      </w:r>
      <w:proofErr w:type="spellStart"/>
      <w:r w:rsidRPr="0063555E">
        <w:t>Dashboard</w:t>
      </w:r>
      <w:proofErr w:type="spellEnd"/>
      <w:r w:rsidRPr="0063555E">
        <w:t>”, de color rojo claro.</w:t>
      </w:r>
    </w:p>
    <w:p w14:paraId="5CFAC1F9" w14:textId="77777777" w:rsidR="009656CF" w:rsidRDefault="009656CF" w:rsidP="00A01A39">
      <w:pPr>
        <w:pStyle w:val="Bullet1"/>
        <w:numPr>
          <w:ilvl w:val="0"/>
          <w:numId w:val="27"/>
        </w:numPr>
      </w:pPr>
      <w:r w:rsidRPr="00D4544D">
        <w:t>Datos de entrada o insumos, de color</w:t>
      </w:r>
      <w:r>
        <w:t xml:space="preserve"> verde.</w:t>
      </w:r>
    </w:p>
    <w:p w14:paraId="1AF048CC" w14:textId="77777777" w:rsidR="009656CF" w:rsidRDefault="009656CF" w:rsidP="00A01A39">
      <w:pPr>
        <w:pStyle w:val="Bullet1"/>
        <w:numPr>
          <w:ilvl w:val="0"/>
          <w:numId w:val="27"/>
        </w:numPr>
      </w:pPr>
      <w:r>
        <w:t>Cálculos, de color morado.</w:t>
      </w:r>
    </w:p>
    <w:p w14:paraId="0F257DB3" w14:textId="77777777" w:rsidR="009656CF" w:rsidRDefault="009656CF" w:rsidP="00A01A39">
      <w:pPr>
        <w:pStyle w:val="Bullet1"/>
        <w:numPr>
          <w:ilvl w:val="0"/>
          <w:numId w:val="27"/>
        </w:numPr>
      </w:pPr>
      <w:r>
        <w:t>Resultados, de color rojo oscuro.</w:t>
      </w:r>
    </w:p>
    <w:p w14:paraId="15DD499B" w14:textId="3971D6FA" w:rsidR="000C6ECB" w:rsidRDefault="000C6ECB" w:rsidP="000C6ECB">
      <w:r>
        <w:t>A continuación, se muestra un ejemplo de las hojas para cada uno de los colores indicados:</w:t>
      </w:r>
    </w:p>
    <w:p w14:paraId="05BD041E" w14:textId="06F54ED9" w:rsidR="00D630A7" w:rsidRDefault="00D630A7" w:rsidP="0017203C">
      <w:pPr>
        <w:jc w:val="center"/>
      </w:pPr>
      <w:r>
        <w:rPr>
          <w:noProof/>
        </w:rPr>
        <w:drawing>
          <wp:inline distT="0" distB="0" distL="0" distR="0" wp14:anchorId="3F539956" wp14:editId="052E590E">
            <wp:extent cx="838200" cy="161925"/>
            <wp:effectExtent l="0" t="0" r="0" b="9525"/>
            <wp:docPr id="862217336" name="Picture 86221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17336" name=""/>
                    <pic:cNvPicPr/>
                  </pic:nvPicPr>
                  <pic:blipFill>
                    <a:blip r:embed="rId12"/>
                    <a:stretch>
                      <a:fillRect/>
                    </a:stretch>
                  </pic:blipFill>
                  <pic:spPr>
                    <a:xfrm>
                      <a:off x="0" y="0"/>
                      <a:ext cx="838200" cy="161925"/>
                    </a:xfrm>
                    <a:prstGeom prst="rect">
                      <a:avLst/>
                    </a:prstGeom>
                  </pic:spPr>
                </pic:pic>
              </a:graphicData>
            </a:graphic>
          </wp:inline>
        </w:drawing>
      </w:r>
      <w:r>
        <w:t xml:space="preserve">  </w:t>
      </w:r>
      <w:r>
        <w:rPr>
          <w:noProof/>
        </w:rPr>
        <w:drawing>
          <wp:inline distT="0" distB="0" distL="0" distR="0" wp14:anchorId="5E1B1546" wp14:editId="500BF831">
            <wp:extent cx="1276350" cy="152400"/>
            <wp:effectExtent l="0" t="0" r="0" b="0"/>
            <wp:docPr id="1010204584" name="Picture 101020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04584" name=""/>
                    <pic:cNvPicPr/>
                  </pic:nvPicPr>
                  <pic:blipFill>
                    <a:blip r:embed="rId13"/>
                    <a:stretch>
                      <a:fillRect/>
                    </a:stretch>
                  </pic:blipFill>
                  <pic:spPr>
                    <a:xfrm>
                      <a:off x="0" y="0"/>
                      <a:ext cx="1276350" cy="152400"/>
                    </a:xfrm>
                    <a:prstGeom prst="rect">
                      <a:avLst/>
                    </a:prstGeom>
                  </pic:spPr>
                </pic:pic>
              </a:graphicData>
            </a:graphic>
          </wp:inline>
        </w:drawing>
      </w:r>
      <w:r>
        <w:t xml:space="preserve">  </w:t>
      </w:r>
      <w:r>
        <w:rPr>
          <w:noProof/>
        </w:rPr>
        <w:drawing>
          <wp:inline distT="0" distB="0" distL="0" distR="0" wp14:anchorId="763D60DD" wp14:editId="2BBA0229">
            <wp:extent cx="971550" cy="142875"/>
            <wp:effectExtent l="0" t="0" r="0" b="9525"/>
            <wp:docPr id="637981739" name="Picture 63798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1739" name=""/>
                    <pic:cNvPicPr/>
                  </pic:nvPicPr>
                  <pic:blipFill>
                    <a:blip r:embed="rId14"/>
                    <a:stretch>
                      <a:fillRect/>
                    </a:stretch>
                  </pic:blipFill>
                  <pic:spPr>
                    <a:xfrm>
                      <a:off x="0" y="0"/>
                      <a:ext cx="971550" cy="142875"/>
                    </a:xfrm>
                    <a:prstGeom prst="rect">
                      <a:avLst/>
                    </a:prstGeom>
                  </pic:spPr>
                </pic:pic>
              </a:graphicData>
            </a:graphic>
          </wp:inline>
        </w:drawing>
      </w:r>
      <w:r>
        <w:t xml:space="preserve">  </w:t>
      </w:r>
      <w:r>
        <w:rPr>
          <w:noProof/>
        </w:rPr>
        <w:drawing>
          <wp:inline distT="0" distB="0" distL="0" distR="0" wp14:anchorId="19F1ACBF" wp14:editId="677CEAA9">
            <wp:extent cx="923925" cy="152400"/>
            <wp:effectExtent l="0" t="0" r="9525" b="0"/>
            <wp:docPr id="153754840" name="Picture 1537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4840" name=""/>
                    <pic:cNvPicPr/>
                  </pic:nvPicPr>
                  <pic:blipFill>
                    <a:blip r:embed="rId15"/>
                    <a:stretch>
                      <a:fillRect/>
                    </a:stretch>
                  </pic:blipFill>
                  <pic:spPr>
                    <a:xfrm>
                      <a:off x="0" y="0"/>
                      <a:ext cx="923925" cy="152400"/>
                    </a:xfrm>
                    <a:prstGeom prst="rect">
                      <a:avLst/>
                    </a:prstGeom>
                  </pic:spPr>
                </pic:pic>
              </a:graphicData>
            </a:graphic>
          </wp:inline>
        </w:drawing>
      </w:r>
    </w:p>
    <w:p w14:paraId="46A9939E" w14:textId="141D6074" w:rsidR="000C6ECB" w:rsidRDefault="000C6ECB" w:rsidP="000C6ECB">
      <w:pPr>
        <w:pStyle w:val="Descripcin"/>
      </w:pPr>
      <w:r>
        <w:t xml:space="preserve">Ilustración </w:t>
      </w:r>
      <w:r>
        <w:fldChar w:fldCharType="begin"/>
      </w:r>
      <w:r>
        <w:instrText xml:space="preserve"> STYLEREF 1 \s </w:instrText>
      </w:r>
      <w:r>
        <w:fldChar w:fldCharType="separate"/>
      </w:r>
      <w:r w:rsidR="00320714">
        <w:rPr>
          <w:rFonts w:hint="cs"/>
          <w:noProof/>
          <w:cs/>
        </w:rPr>
        <w:t>‎</w:t>
      </w:r>
      <w:r w:rsidR="00320714">
        <w:rPr>
          <w:noProof/>
        </w:rPr>
        <w:t>2</w:t>
      </w:r>
      <w:r>
        <w:fldChar w:fldCharType="end"/>
      </w:r>
      <w:r>
        <w:t>.</w:t>
      </w:r>
      <w:r>
        <w:fldChar w:fldCharType="begin"/>
      </w:r>
      <w:r>
        <w:instrText xml:space="preserve"> SEQ Ilustración \* ARABIC \s 1 </w:instrText>
      </w:r>
      <w:r>
        <w:fldChar w:fldCharType="separate"/>
      </w:r>
      <w:r w:rsidR="00320714">
        <w:rPr>
          <w:noProof/>
        </w:rPr>
        <w:t>3</w:t>
      </w:r>
      <w:r>
        <w:fldChar w:fldCharType="end"/>
      </w:r>
      <w:r>
        <w:t xml:space="preserve">: Muestra de los colores empleados en las hojas para los diferentes bloques del Modelo </w:t>
      </w:r>
      <w:r w:rsidRPr="00E92D59">
        <w:t xml:space="preserve">[Fuente: </w:t>
      </w:r>
      <w:r>
        <w:t>Modelo Integral</w:t>
      </w:r>
      <w:r w:rsidRPr="00E92D59">
        <w:t>]</w:t>
      </w:r>
    </w:p>
    <w:p w14:paraId="7F3EEB1F" w14:textId="68A4D070" w:rsidR="009656CF" w:rsidRDefault="009656CF" w:rsidP="00F97E89">
      <w:r>
        <w:t>A pesar de la regla general de diseño listada más arriba, se ha</w:t>
      </w:r>
      <w:r w:rsidR="00F97E89">
        <w:t>bía</w:t>
      </w:r>
      <w:r>
        <w:t xml:space="preserve"> identificado que</w:t>
      </w:r>
      <w:r w:rsidR="00F97E89">
        <w:t>, en la versión previa</w:t>
      </w:r>
      <w:r w:rsidR="00CD220F">
        <w:t xml:space="preserve"> del Modelo</w:t>
      </w:r>
      <w:r w:rsidR="00F97E89">
        <w:t>,</w:t>
      </w:r>
      <w:r>
        <w:t xml:space="preserve"> ciertos datos de entrada se </w:t>
      </w:r>
      <w:r w:rsidR="00F97E89">
        <w:t xml:space="preserve">encontraban </w:t>
      </w:r>
      <w:r>
        <w:t xml:space="preserve">situados en los bloques de cálculo o resultados. </w:t>
      </w:r>
    </w:p>
    <w:p w14:paraId="0DF1E711" w14:textId="7B58A343" w:rsidR="00820E1D" w:rsidRDefault="00287FB4" w:rsidP="00287FB4">
      <w:r>
        <w:lastRenderedPageBreak/>
        <w:t>Sin embargo, e</w:t>
      </w:r>
      <w:r w:rsidR="00F97E89">
        <w:t xml:space="preserve">n el desarrollo de </w:t>
      </w:r>
      <w:r w:rsidR="009656CF">
        <w:t xml:space="preserve">modelos </w:t>
      </w:r>
      <w:proofErr w:type="spellStart"/>
      <w:r w:rsidR="009656CF">
        <w:t>bottom</w:t>
      </w:r>
      <w:proofErr w:type="spellEnd"/>
      <w:r w:rsidR="009656CF">
        <w:t>-up</w:t>
      </w:r>
      <w:r w:rsidR="00F97E89">
        <w:t xml:space="preserve">, </w:t>
      </w:r>
      <w:r w:rsidR="00BA08C8">
        <w:t xml:space="preserve">la práctica habitual sugiere que </w:t>
      </w:r>
      <w:r w:rsidR="009656CF">
        <w:t xml:space="preserve">es conveniente localizar todos los datos de entrada en un único bloque del Modelo, dado que mejora su compresión y transparencia, al mismo tiempo que facilita posteriores actualizaciones necesarias de datos de entrada en un futuro. Por tanto, </w:t>
      </w:r>
      <w:r>
        <w:t xml:space="preserve">como parte del proceso de actualización, se ha procedido a </w:t>
      </w:r>
      <w:r w:rsidR="00820E1D">
        <w:t>situar todos los datos de entrada del Modelo en el bloque reservado a tal efecto.</w:t>
      </w:r>
    </w:p>
    <w:p w14:paraId="3F52C1E8" w14:textId="36C6F04A" w:rsidR="009656CF" w:rsidRDefault="00820E1D" w:rsidP="006A197E">
      <w:r>
        <w:t xml:space="preserve">Se hace notar que esta modificación no presenta ningún impacto en </w:t>
      </w:r>
      <w:r w:rsidR="0052208A">
        <w:t xml:space="preserve">los </w:t>
      </w:r>
      <w:r>
        <w:t>resultados</w:t>
      </w:r>
      <w:r w:rsidR="0052208A">
        <w:t xml:space="preserve"> del Modelo</w:t>
      </w:r>
      <w:r>
        <w:t xml:space="preserve">. </w:t>
      </w:r>
    </w:p>
    <w:p w14:paraId="64E5BCD7" w14:textId="6127CB7F" w:rsidR="009656CF" w:rsidRPr="00AF16DF" w:rsidRDefault="009656CF" w:rsidP="009656CF">
      <w:pPr>
        <w:pStyle w:val="Update"/>
        <w:rPr>
          <w:b w:val="0"/>
          <w:bCs/>
          <w:lang w:val="es-ES"/>
        </w:rPr>
      </w:pPr>
      <w:bookmarkStart w:id="64" w:name="_Ref135941427"/>
      <w:r w:rsidRPr="00AF16DF">
        <w:rPr>
          <w:b w:val="0"/>
          <w:bCs/>
          <w:lang w:val="es-ES"/>
        </w:rPr>
        <w:t xml:space="preserve">Se </w:t>
      </w:r>
      <w:r w:rsidR="00820E1D">
        <w:rPr>
          <w:b w:val="0"/>
          <w:bCs/>
          <w:lang w:val="es-ES"/>
        </w:rPr>
        <w:t xml:space="preserve">han </w:t>
      </w:r>
      <w:r>
        <w:rPr>
          <w:b w:val="0"/>
          <w:bCs/>
          <w:lang w:val="es-ES"/>
        </w:rPr>
        <w:t>localiza</w:t>
      </w:r>
      <w:r w:rsidR="00820E1D">
        <w:rPr>
          <w:b w:val="0"/>
          <w:bCs/>
          <w:lang w:val="es-ES"/>
        </w:rPr>
        <w:t>do</w:t>
      </w:r>
      <w:r>
        <w:rPr>
          <w:b w:val="0"/>
          <w:bCs/>
          <w:lang w:val="es-ES"/>
        </w:rPr>
        <w:t xml:space="preserve"> la totalidad de los datos de entrada </w:t>
      </w:r>
      <w:r w:rsidR="002068E3">
        <w:rPr>
          <w:b w:val="0"/>
          <w:bCs/>
          <w:lang w:val="es-ES"/>
        </w:rPr>
        <w:t xml:space="preserve">del Modelo </w:t>
      </w:r>
      <w:r>
        <w:rPr>
          <w:b w:val="0"/>
          <w:bCs/>
          <w:lang w:val="es-ES"/>
        </w:rPr>
        <w:t>en el bloque reservado a tal efecto</w:t>
      </w:r>
      <w:r w:rsidRPr="00AF16DF">
        <w:rPr>
          <w:b w:val="0"/>
          <w:bCs/>
          <w:lang w:val="es-ES"/>
        </w:rPr>
        <w:t>.</w:t>
      </w:r>
      <w:bookmarkEnd w:id="64"/>
    </w:p>
    <w:p w14:paraId="43398863" w14:textId="2B8E6F63" w:rsidR="009656CF" w:rsidRDefault="009656CF" w:rsidP="00D2111D">
      <w:pPr>
        <w:pStyle w:val="Ttulo1"/>
      </w:pPr>
      <w:bookmarkStart w:id="65" w:name="_Ref139896698"/>
      <w:bookmarkStart w:id="66" w:name="_Ref139897115"/>
      <w:bookmarkStart w:id="67" w:name="_Toc142388404"/>
      <w:bookmarkStart w:id="68" w:name="_Toc135664719"/>
      <w:bookmarkStart w:id="69" w:name="_Ref135851097"/>
      <w:bookmarkStart w:id="70" w:name="_Ref135851119"/>
      <w:bookmarkStart w:id="71" w:name="_Ref135953729"/>
      <w:bookmarkEnd w:id="47"/>
      <w:bookmarkEnd w:id="48"/>
      <w:r>
        <w:lastRenderedPageBreak/>
        <w:t>Actualización de datos de entrada</w:t>
      </w:r>
      <w:bookmarkEnd w:id="65"/>
      <w:bookmarkEnd w:id="66"/>
      <w:bookmarkEnd w:id="67"/>
    </w:p>
    <w:p w14:paraId="5C7BA9A2" w14:textId="53F08F47" w:rsidR="003864EA" w:rsidRDefault="00BF2674" w:rsidP="00B73448">
      <w:r w:rsidRPr="00AF4167">
        <w:t xml:space="preserve">Con el objetivo de </w:t>
      </w:r>
      <w:r w:rsidR="00AF4167" w:rsidRPr="00AF4167">
        <w:t xml:space="preserve">asegurar que </w:t>
      </w:r>
      <w:r w:rsidRPr="00AF4167">
        <w:t xml:space="preserve">el </w:t>
      </w:r>
      <w:r w:rsidR="00136A30" w:rsidRPr="00AF4167">
        <w:t>M</w:t>
      </w:r>
      <w:r w:rsidRPr="00AF4167">
        <w:t xml:space="preserve">odelo refleja la situación </w:t>
      </w:r>
      <w:r w:rsidR="004D484F" w:rsidRPr="00AF4167">
        <w:t xml:space="preserve">actual del mercado </w:t>
      </w:r>
      <w:r w:rsidR="00AC085A" w:rsidRPr="00AF4167">
        <w:t>mexicano</w:t>
      </w:r>
      <w:r w:rsidR="00702204" w:rsidRPr="00AF4167">
        <w:t xml:space="preserve">, </w:t>
      </w:r>
      <w:r w:rsidR="00B73448">
        <w:t xml:space="preserve">también ha resultado crucial </w:t>
      </w:r>
      <w:r w:rsidR="0064043B">
        <w:t xml:space="preserve">llevar a cabo </w:t>
      </w:r>
      <w:r w:rsidR="00B73448">
        <w:t xml:space="preserve">una </w:t>
      </w:r>
      <w:r w:rsidR="00AF4167">
        <w:t xml:space="preserve">actualización de los datos de entrada </w:t>
      </w:r>
      <w:r w:rsidR="00B73448">
        <w:t xml:space="preserve">empleados en el mismo. </w:t>
      </w:r>
    </w:p>
    <w:p w14:paraId="115C896E" w14:textId="2A33B3B0" w:rsidR="002C1AFC" w:rsidRPr="00AF4167" w:rsidRDefault="003864EA" w:rsidP="003864EA">
      <w:r>
        <w:t xml:space="preserve">Las siguientes secciones describen el tratamiento dado a los principales insumos del Modelo: </w:t>
      </w:r>
    </w:p>
    <w:p w14:paraId="1C91CE09" w14:textId="041DD9C6" w:rsidR="009E1F64" w:rsidRDefault="00D4028F" w:rsidP="00A01A39">
      <w:pPr>
        <w:pStyle w:val="Bullet1"/>
      </w:pPr>
      <w:r>
        <w:fldChar w:fldCharType="begin"/>
      </w:r>
      <w:r>
        <w:instrText xml:space="preserve"> REF _Ref140161967 \h </w:instrText>
      </w:r>
      <w:r>
        <w:fldChar w:fldCharType="separate"/>
      </w:r>
      <w:r w:rsidR="00320714" w:rsidRPr="007A710A">
        <w:t>Inventario de activos necesarios a ser desplegados en la red</w:t>
      </w:r>
      <w:r>
        <w:fldChar w:fldCharType="end"/>
      </w:r>
    </w:p>
    <w:p w14:paraId="65CED781" w14:textId="37F93DA7" w:rsidR="00D4028F" w:rsidRDefault="00D4028F" w:rsidP="00A01A39">
      <w:pPr>
        <w:pStyle w:val="Bullet1"/>
      </w:pPr>
      <w:r>
        <w:fldChar w:fldCharType="begin"/>
      </w:r>
      <w:r>
        <w:instrText xml:space="preserve"> REF _Ref139887261 \h </w:instrText>
      </w:r>
      <w:r>
        <w:fldChar w:fldCharType="separate"/>
      </w:r>
      <w:r w:rsidR="00320714">
        <w:t>Demanda activa</w:t>
      </w:r>
      <w:r>
        <w:fldChar w:fldCharType="end"/>
      </w:r>
    </w:p>
    <w:p w14:paraId="75E11939" w14:textId="6422C6B6" w:rsidR="00D4028F" w:rsidRDefault="00D4028F" w:rsidP="00A01A39">
      <w:pPr>
        <w:pStyle w:val="Bullet1"/>
      </w:pPr>
      <w:r>
        <w:fldChar w:fldCharType="begin"/>
      </w:r>
      <w:r>
        <w:instrText xml:space="preserve"> REF _Ref140161971 \h </w:instrText>
      </w:r>
      <w:r>
        <w:fldChar w:fldCharType="separate"/>
      </w:r>
      <w:r w:rsidR="00320714">
        <w:t>Costos unitarios</w:t>
      </w:r>
      <w:r>
        <w:fldChar w:fldCharType="end"/>
      </w:r>
    </w:p>
    <w:p w14:paraId="45A9E6FE" w14:textId="57FB6CD1" w:rsidR="00D4028F" w:rsidRDefault="00D4028F" w:rsidP="00A01A39">
      <w:pPr>
        <w:pStyle w:val="Bullet1"/>
      </w:pPr>
      <w:r>
        <w:fldChar w:fldCharType="begin"/>
      </w:r>
      <w:r>
        <w:instrText xml:space="preserve"> REF _Ref139887267 \h </w:instrText>
      </w:r>
      <w:r>
        <w:fldChar w:fldCharType="separate"/>
      </w:r>
      <w:r w:rsidR="00320714">
        <w:t>Vidas útiles</w:t>
      </w:r>
      <w:r>
        <w:fldChar w:fldCharType="end"/>
      </w:r>
    </w:p>
    <w:p w14:paraId="4DD3435F" w14:textId="0727C132" w:rsidR="00D4028F" w:rsidRDefault="00D4028F" w:rsidP="00A01A39">
      <w:pPr>
        <w:pStyle w:val="Bullet1"/>
      </w:pPr>
      <w:r>
        <w:fldChar w:fldCharType="begin"/>
      </w:r>
      <w:r>
        <w:instrText xml:space="preserve"> REF _Ref140161975 \h </w:instrText>
      </w:r>
      <w:r>
        <w:fldChar w:fldCharType="separate"/>
      </w:r>
      <w:r w:rsidR="00320714">
        <w:t>Tasas de compartición entre tecnologías</w:t>
      </w:r>
      <w:r>
        <w:fldChar w:fldCharType="end"/>
      </w:r>
    </w:p>
    <w:p w14:paraId="580424BA" w14:textId="141BC206" w:rsidR="00D4028F" w:rsidRDefault="00D4028F" w:rsidP="00A01A39">
      <w:pPr>
        <w:pStyle w:val="Bullet1"/>
      </w:pPr>
      <w:r>
        <w:fldChar w:fldCharType="begin"/>
      </w:r>
      <w:r>
        <w:instrText xml:space="preserve"> REF _Ref140161979 \h </w:instrText>
      </w:r>
      <w:r>
        <w:fldChar w:fldCharType="separate"/>
      </w:r>
      <w:r w:rsidR="00320714" w:rsidRPr="00DF3DD1">
        <w:t xml:space="preserve">Costo </w:t>
      </w:r>
      <w:r w:rsidR="00320714">
        <w:t>de Capital Promedio Ponderado (CCPP)</w:t>
      </w:r>
      <w:r>
        <w:fldChar w:fldCharType="end"/>
      </w:r>
    </w:p>
    <w:p w14:paraId="6533E9D4" w14:textId="6A69DEB5" w:rsidR="00D4028F" w:rsidRPr="00AF4167" w:rsidRDefault="00D4028F" w:rsidP="00A01A39">
      <w:pPr>
        <w:pStyle w:val="Bullet1"/>
      </w:pPr>
      <w:r>
        <w:fldChar w:fldCharType="begin"/>
      </w:r>
      <w:r>
        <w:instrText xml:space="preserve"> REF _Ref139887273 \h </w:instrText>
      </w:r>
      <w:r>
        <w:fldChar w:fldCharType="separate"/>
      </w:r>
      <w:r w:rsidR="00320714">
        <w:t>Otros parámetros</w:t>
      </w:r>
      <w:r>
        <w:fldChar w:fldCharType="end"/>
      </w:r>
    </w:p>
    <w:p w14:paraId="6ADDF918" w14:textId="0DF2E4BD" w:rsidR="009656CF" w:rsidRDefault="007A710A" w:rsidP="009656CF">
      <w:pPr>
        <w:pStyle w:val="Ttulo2"/>
      </w:pPr>
      <w:bookmarkStart w:id="72" w:name="_Ref140161967"/>
      <w:bookmarkStart w:id="73" w:name="_Toc142388405"/>
      <w:bookmarkStart w:id="74" w:name="_Ref137547437"/>
      <w:r w:rsidRPr="007A710A">
        <w:t>Inventario de activos necesarios a ser desplegados en la red</w:t>
      </w:r>
      <w:bookmarkEnd w:id="72"/>
      <w:bookmarkEnd w:id="73"/>
    </w:p>
    <w:p w14:paraId="71D5E3DE" w14:textId="6E01978C" w:rsidR="00731A33" w:rsidRDefault="00E1615F" w:rsidP="00731A33">
      <w:r>
        <w:t xml:space="preserve">El </w:t>
      </w:r>
      <w:r w:rsidR="00FD6DEB">
        <w:t xml:space="preserve">Modelo Integral desarrollado en Microsoft Excel se nutre de la información </w:t>
      </w:r>
      <w:r w:rsidR="00A43AA5">
        <w:t xml:space="preserve">de inventario </w:t>
      </w:r>
      <w:r w:rsidR="00FD6DEB">
        <w:t xml:space="preserve">extraída de un </w:t>
      </w:r>
      <w:r w:rsidR="00731A33">
        <w:t>M</w:t>
      </w:r>
      <w:r w:rsidR="00FD6DEB">
        <w:t xml:space="preserve">ódulo de dimensionamiento de la red de acceso, </w:t>
      </w:r>
      <w:r w:rsidR="00731A33">
        <w:t>desarrollado de manera independiente en SQL</w:t>
      </w:r>
      <w:r w:rsidR="00565038">
        <w:rPr>
          <w:rStyle w:val="Refdenotaalpie"/>
        </w:rPr>
        <w:footnoteReference w:id="8"/>
      </w:r>
      <w:r w:rsidR="00731A33">
        <w:t xml:space="preserve">. Este Módulo tiene como objetivo dimensionar </w:t>
      </w:r>
      <w:r w:rsidR="00731A33" w:rsidRPr="008E7909">
        <w:t>la red de acceso (cables, ingeniería civil, etc.)</w:t>
      </w:r>
      <w:r w:rsidR="00731A33">
        <w:t xml:space="preserve"> del operador modelado</w:t>
      </w:r>
      <w:r w:rsidR="00731A33" w:rsidRPr="008E7909">
        <w:t xml:space="preserve">, </w:t>
      </w:r>
      <w:r w:rsidR="00731A33">
        <w:t xml:space="preserve">determinando así el </w:t>
      </w:r>
      <w:r w:rsidR="00731A33" w:rsidRPr="008E7909">
        <w:t xml:space="preserve">inventario de activos </w:t>
      </w:r>
      <w:r w:rsidR="00731A33">
        <w:t xml:space="preserve">necesarios a ser desplegados en la red. </w:t>
      </w:r>
    </w:p>
    <w:p w14:paraId="6C4C4154" w14:textId="6424DE64" w:rsidR="00731A33" w:rsidRPr="00B02AC8" w:rsidRDefault="00731A33" w:rsidP="009611B6">
      <w:r>
        <w:t xml:space="preserve">Para ello, </w:t>
      </w:r>
      <w:r w:rsidR="0060611E">
        <w:t xml:space="preserve">el Módulo en SQL hace uso de información </w:t>
      </w:r>
      <w:r w:rsidR="009611B6">
        <w:t>que i</w:t>
      </w:r>
      <w:r w:rsidRPr="00B02AC8">
        <w:t xml:space="preserve">ncluye la interpretación de los nodos </w:t>
      </w:r>
      <w:r>
        <w:t xml:space="preserve">del AEP, </w:t>
      </w:r>
      <w:r w:rsidR="00FF0FCB">
        <w:t xml:space="preserve">del número de líneas pasadas por el AEP en cada tecnología, </w:t>
      </w:r>
      <w:r>
        <w:t>de las viviendas</w:t>
      </w:r>
      <w:r w:rsidR="009611B6">
        <w:t xml:space="preserve"> del país</w:t>
      </w:r>
      <w:r>
        <w:t xml:space="preserve">, de </w:t>
      </w:r>
      <w:r w:rsidRPr="00B02AC8">
        <w:t>las bases de datos de carreteras</w:t>
      </w:r>
      <w:r w:rsidR="00441C89">
        <w:t xml:space="preserve">, así como </w:t>
      </w:r>
      <w:r w:rsidR="00951A8C">
        <w:t xml:space="preserve">las reglas de dimensionamiento y </w:t>
      </w:r>
      <w:r w:rsidRPr="00B02AC8">
        <w:t>el análisis de direcciones</w:t>
      </w:r>
      <w:r w:rsidR="00951A8C">
        <w:t>/</w:t>
      </w:r>
      <w:r w:rsidR="00EB49C8">
        <w:t>rutas que conectan las viviendas hasta los nodos del AEP</w:t>
      </w:r>
      <w:r w:rsidRPr="00B02AC8">
        <w:t xml:space="preserve">. </w:t>
      </w:r>
    </w:p>
    <w:p w14:paraId="364F2A33" w14:textId="74E3AAA7" w:rsidR="00FD6DEB" w:rsidRDefault="003D2438" w:rsidP="003D2438">
      <w:r>
        <w:t>U</w:t>
      </w:r>
      <w:r w:rsidR="00FD6DEB" w:rsidRPr="008E7909">
        <w:t xml:space="preserve">na vez </w:t>
      </w:r>
      <w:r w:rsidR="00FD6DEB">
        <w:t>realizado el dimensionamiento de la red</w:t>
      </w:r>
      <w:r w:rsidR="00547D79">
        <w:t xml:space="preserve"> en </w:t>
      </w:r>
      <w:r w:rsidR="00841E51">
        <w:t xml:space="preserve">dicho </w:t>
      </w:r>
      <w:r w:rsidR="00547D79">
        <w:t xml:space="preserve">Módulo </w:t>
      </w:r>
      <w:r w:rsidR="00273311">
        <w:t xml:space="preserve">de </w:t>
      </w:r>
      <w:r w:rsidR="00547D79">
        <w:t>SQL</w:t>
      </w:r>
      <w:r w:rsidR="00FD6DEB">
        <w:t xml:space="preserve">, </w:t>
      </w:r>
      <w:r w:rsidR="00B6017A">
        <w:t xml:space="preserve">el Modelo Integral implementado en Excel </w:t>
      </w:r>
      <w:r w:rsidR="00FD6DEB">
        <w:t xml:space="preserve">obtiene los </w:t>
      </w:r>
      <w:r w:rsidR="00FD6DEB" w:rsidRPr="008E7909">
        <w:t xml:space="preserve">costos </w:t>
      </w:r>
      <w:r w:rsidR="00FD6DEB">
        <w:t xml:space="preserve">asociados a la misma, como la </w:t>
      </w:r>
      <w:r w:rsidR="00FD6DEB">
        <w:lastRenderedPageBreak/>
        <w:t xml:space="preserve">multiplicación del inventario de activos (número de unidades) </w:t>
      </w:r>
      <w:r w:rsidR="00FD6DEB" w:rsidRPr="008E7909">
        <w:t xml:space="preserve">por </w:t>
      </w:r>
      <w:r w:rsidR="00FD6DEB">
        <w:t xml:space="preserve">sus </w:t>
      </w:r>
      <w:r w:rsidR="00FD6DEB" w:rsidRPr="008E7909">
        <w:t>costos unitarios</w:t>
      </w:r>
      <w:r w:rsidR="00FD6DEB">
        <w:t xml:space="preserve"> correspondientes</w:t>
      </w:r>
      <w:r w:rsidR="00FD6DEB" w:rsidRPr="008E7909">
        <w:t xml:space="preserve">. </w:t>
      </w:r>
      <w:r w:rsidR="00FD6DEB">
        <w:t xml:space="preserve">Seguidamente se lleva a cabo el cálculo de la depreciación. Por último, los costos son atribuidos a los diferentes servicios de la red mediante la matriz de factores de enrutamiento, obteniendo así los costos unitarios por servicio. </w:t>
      </w:r>
    </w:p>
    <w:p w14:paraId="4288E621" w14:textId="772E7548" w:rsidR="00B6017A" w:rsidRDefault="00B6017A" w:rsidP="003D2438">
      <w:r>
        <w:t xml:space="preserve">Como parte del proceso de actualización del Modelo Integral, </w:t>
      </w:r>
      <w:r w:rsidR="00A62F57">
        <w:t xml:space="preserve">se ha llevado a cabo también una actualización </w:t>
      </w:r>
      <w:r w:rsidR="00A43AA5">
        <w:t xml:space="preserve">del inventario de activos </w:t>
      </w:r>
      <w:r w:rsidR="00F914F9">
        <w:t xml:space="preserve">necesarios en la red, apoyándose en el Módulo de dimensionamiento de la red de acceso (en SQL) y </w:t>
      </w:r>
      <w:r w:rsidR="007F0415">
        <w:t>modificando los siguientes parámetros para adecuar el nuevo inventario a las realidades del operador modelado</w:t>
      </w:r>
      <w:r w:rsidR="00D30B73">
        <w:t xml:space="preserve"> en el momento actual</w:t>
      </w:r>
      <w:r w:rsidR="009B67A4">
        <w:t xml:space="preserve">: </w:t>
      </w:r>
    </w:p>
    <w:p w14:paraId="7EE2EB14" w14:textId="6693086D" w:rsidR="00395182" w:rsidRDefault="00F914F9" w:rsidP="00A01A39">
      <w:pPr>
        <w:pStyle w:val="Bullet1"/>
      </w:pPr>
      <w:r w:rsidRPr="00946353">
        <w:rPr>
          <w:b/>
          <w:bCs/>
        </w:rPr>
        <w:t>Actualización de los niveles de cobertura</w:t>
      </w:r>
      <w:r>
        <w:t xml:space="preserve">. </w:t>
      </w:r>
      <w:r w:rsidR="00AB5B54">
        <w:t xml:space="preserve">El número de líneas pasadas </w:t>
      </w:r>
      <w:r w:rsidR="0077176B">
        <w:t xml:space="preserve">es </w:t>
      </w:r>
      <w:r w:rsidR="00C13E14">
        <w:t xml:space="preserve">el parámetro </w:t>
      </w:r>
      <w:r w:rsidR="00521466">
        <w:t xml:space="preserve">más relevante </w:t>
      </w:r>
      <w:r w:rsidR="007C590F">
        <w:t>par</w:t>
      </w:r>
      <w:r w:rsidR="00521466">
        <w:t>a</w:t>
      </w:r>
      <w:r w:rsidR="007C590F">
        <w:t xml:space="preserve"> </w:t>
      </w:r>
      <w:r w:rsidR="00521466">
        <w:t>determinar el número de elementos de red que necesitan ser desplegados por el AEP</w:t>
      </w:r>
      <w:r w:rsidR="0077176B">
        <w:t xml:space="preserve">. Este insumo </w:t>
      </w:r>
      <w:r w:rsidR="00AB5B54">
        <w:t xml:space="preserve">ha presentado variaciones considerables en los últimos años, siendo las más significativas las </w:t>
      </w:r>
      <w:r w:rsidR="00955E72">
        <w:t xml:space="preserve">observadas en FTTH a raíz de los </w:t>
      </w:r>
      <w:r w:rsidR="00041F9C">
        <w:t xml:space="preserve">nuevos </w:t>
      </w:r>
      <w:r w:rsidR="00955E72">
        <w:t xml:space="preserve">despliegues en esta tecnología. La siguiente tabla muestra las variaciones </w:t>
      </w:r>
      <w:r w:rsidR="00041F9C">
        <w:t xml:space="preserve">en </w:t>
      </w:r>
      <w:r w:rsidR="00955E72">
        <w:t xml:space="preserve">el número de líneas pasadas </w:t>
      </w:r>
      <w:r w:rsidR="00041F9C">
        <w:t xml:space="preserve">entre </w:t>
      </w:r>
      <w:r w:rsidR="00955E72">
        <w:t xml:space="preserve">la versión </w:t>
      </w:r>
      <w:r w:rsidR="00433078">
        <w:t xml:space="preserve">anterior </w:t>
      </w:r>
      <w:r w:rsidR="00955E72">
        <w:t xml:space="preserve">(con año de referencia </w:t>
      </w:r>
      <w:r w:rsidR="00395182">
        <w:t>202</w:t>
      </w:r>
      <w:r w:rsidR="00CB6F3A">
        <w:t>0</w:t>
      </w:r>
      <w:r w:rsidR="00955E72">
        <w:t xml:space="preserve">) y </w:t>
      </w:r>
      <w:r w:rsidR="00070F2F">
        <w:t xml:space="preserve">la versión </w:t>
      </w:r>
      <w:r w:rsidR="00955E72">
        <w:t xml:space="preserve">nueva del </w:t>
      </w:r>
      <w:r w:rsidR="00070F2F">
        <w:t>M</w:t>
      </w:r>
      <w:r w:rsidR="00955E72">
        <w:t xml:space="preserve">odelo (con año de referencia 2023): </w:t>
      </w:r>
    </w:p>
    <w:tbl>
      <w:tblPr>
        <w:tblStyle w:val="Axon"/>
        <w:tblW w:w="0" w:type="auto"/>
        <w:jc w:val="center"/>
        <w:tblLook w:val="04A0" w:firstRow="1" w:lastRow="0" w:firstColumn="1" w:lastColumn="0" w:noHBand="0" w:noVBand="1"/>
      </w:tblPr>
      <w:tblGrid>
        <w:gridCol w:w="1559"/>
        <w:gridCol w:w="1569"/>
        <w:gridCol w:w="1570"/>
      </w:tblGrid>
      <w:tr w:rsidR="001F49FA" w14:paraId="40C7800B" w14:textId="77777777" w:rsidTr="001F49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Pr>
          <w:p w14:paraId="5126D4D5" w14:textId="77777777" w:rsidR="001F49FA" w:rsidRDefault="001F49FA" w:rsidP="00DB3E3B">
            <w:pPr>
              <w:pStyle w:val="TableHeading"/>
            </w:pPr>
            <w:r>
              <w:t>Tecnología</w:t>
            </w:r>
          </w:p>
        </w:tc>
        <w:tc>
          <w:tcPr>
            <w:tcW w:w="1569" w:type="dxa"/>
          </w:tcPr>
          <w:p w14:paraId="59BFC6F9" w14:textId="77777777" w:rsidR="001F49FA" w:rsidRDefault="001F49FA" w:rsidP="00DB3E3B">
            <w:pPr>
              <w:pStyle w:val="TableHeading"/>
              <w:cnfStyle w:val="100000000000" w:firstRow="1" w:lastRow="0" w:firstColumn="0" w:lastColumn="0" w:oddVBand="0" w:evenVBand="0" w:oddHBand="0" w:evenHBand="0" w:firstRowFirstColumn="0" w:firstRowLastColumn="0" w:lastRowFirstColumn="0" w:lastRowLastColumn="0"/>
            </w:pPr>
            <w:r>
              <w:t>2020</w:t>
            </w:r>
          </w:p>
        </w:tc>
        <w:tc>
          <w:tcPr>
            <w:tcW w:w="1570" w:type="dxa"/>
          </w:tcPr>
          <w:p w14:paraId="2D4115E6" w14:textId="77777777" w:rsidR="001F49FA" w:rsidRDefault="001F49FA" w:rsidP="00DB3E3B">
            <w:pPr>
              <w:pStyle w:val="TableHeading"/>
              <w:cnfStyle w:val="100000000000" w:firstRow="1" w:lastRow="0" w:firstColumn="0" w:lastColumn="0" w:oddVBand="0" w:evenVBand="0" w:oddHBand="0" w:evenHBand="0" w:firstRowFirstColumn="0" w:firstRowLastColumn="0" w:lastRowFirstColumn="0" w:lastRowLastColumn="0"/>
            </w:pPr>
            <w:r>
              <w:t>2023</w:t>
            </w:r>
          </w:p>
        </w:tc>
      </w:tr>
      <w:tr w:rsidR="001F49FA" w14:paraId="16D1021B" w14:textId="77777777" w:rsidTr="001F49FA">
        <w:trPr>
          <w:jc w:val="center"/>
        </w:trPr>
        <w:tc>
          <w:tcPr>
            <w:cnfStyle w:val="001000000000" w:firstRow="0" w:lastRow="0" w:firstColumn="1" w:lastColumn="0" w:oddVBand="0" w:evenVBand="0" w:oddHBand="0" w:evenHBand="0" w:firstRowFirstColumn="0" w:firstRowLastColumn="0" w:lastRowFirstColumn="0" w:lastRowLastColumn="0"/>
            <w:tcW w:w="1559" w:type="dxa"/>
            <w:vAlign w:val="top"/>
          </w:tcPr>
          <w:p w14:paraId="40880E99" w14:textId="77777777" w:rsidR="001F49FA" w:rsidRDefault="001F49FA" w:rsidP="00DB3E3B">
            <w:pPr>
              <w:pStyle w:val="TableParagraph"/>
            </w:pPr>
            <w:r w:rsidRPr="00EF1E70">
              <w:t>Cobre</w:t>
            </w:r>
          </w:p>
        </w:tc>
        <w:tc>
          <w:tcPr>
            <w:tcW w:w="1569" w:type="dxa"/>
            <w:vAlign w:val="top"/>
          </w:tcPr>
          <w:p w14:paraId="3EA4CCF0" w14:textId="540E995D" w:rsidR="001F49FA" w:rsidRPr="0008523F" w:rsidRDefault="001F49FA" w:rsidP="001F49FA">
            <w:pPr>
              <w:pStyle w:val="TableParagraph"/>
              <w:jc w:val="center"/>
              <w:cnfStyle w:val="000000000000" w:firstRow="0" w:lastRow="0" w:firstColumn="0" w:lastColumn="0" w:oddVBand="0" w:evenVBand="0" w:oddHBand="0" w:evenHBand="0" w:firstRowFirstColumn="0" w:firstRowLastColumn="0" w:lastRowFirstColumn="0" w:lastRowLastColumn="0"/>
            </w:pPr>
            <w:r w:rsidRPr="00EF1E70">
              <w:t>22</w:t>
            </w:r>
            <w:r w:rsidR="00C64F4B">
              <w:t>,</w:t>
            </w:r>
            <w:r w:rsidRPr="00EF1E70">
              <w:t>441</w:t>
            </w:r>
            <w:r w:rsidR="00C64F4B">
              <w:t>,</w:t>
            </w:r>
            <w:r w:rsidRPr="00EF1E70">
              <w:t>768</w:t>
            </w:r>
          </w:p>
        </w:tc>
        <w:tc>
          <w:tcPr>
            <w:tcW w:w="1570" w:type="dxa"/>
            <w:vAlign w:val="top"/>
          </w:tcPr>
          <w:p w14:paraId="5356E65B" w14:textId="38CB6439" w:rsidR="001F49FA" w:rsidRPr="0008523F" w:rsidRDefault="00C64F4B" w:rsidP="001F49FA">
            <w:pPr>
              <w:pStyle w:val="TableParagraph"/>
              <w:jc w:val="center"/>
              <w:cnfStyle w:val="000000000000" w:firstRow="0" w:lastRow="0" w:firstColumn="0" w:lastColumn="0" w:oddVBand="0" w:evenVBand="0" w:oddHBand="0" w:evenHBand="0" w:firstRowFirstColumn="0" w:firstRowLastColumn="0" w:lastRowFirstColumn="0" w:lastRowLastColumn="0"/>
            </w:pPr>
            <w:r w:rsidRPr="00C64F4B">
              <w:t>22,414,858</w:t>
            </w:r>
          </w:p>
        </w:tc>
      </w:tr>
      <w:tr w:rsidR="001F49FA" w14:paraId="69D07D9A" w14:textId="77777777" w:rsidTr="001F49FA">
        <w:trPr>
          <w:jc w:val="center"/>
        </w:trPr>
        <w:tc>
          <w:tcPr>
            <w:cnfStyle w:val="001000000000" w:firstRow="0" w:lastRow="0" w:firstColumn="1" w:lastColumn="0" w:oddVBand="0" w:evenVBand="0" w:oddHBand="0" w:evenHBand="0" w:firstRowFirstColumn="0" w:firstRowLastColumn="0" w:lastRowFirstColumn="0" w:lastRowLastColumn="0"/>
            <w:tcW w:w="1559" w:type="dxa"/>
            <w:vAlign w:val="top"/>
          </w:tcPr>
          <w:p w14:paraId="6B4A72B0" w14:textId="77777777" w:rsidR="001F49FA" w:rsidRDefault="001F49FA" w:rsidP="00DB3E3B">
            <w:pPr>
              <w:pStyle w:val="TableParagraph"/>
            </w:pPr>
            <w:r w:rsidRPr="00B2300F">
              <w:t>FTTH</w:t>
            </w:r>
          </w:p>
        </w:tc>
        <w:tc>
          <w:tcPr>
            <w:tcW w:w="1569" w:type="dxa"/>
            <w:vAlign w:val="top"/>
          </w:tcPr>
          <w:p w14:paraId="221EC293" w14:textId="54DADD26" w:rsidR="001F49FA" w:rsidRPr="0008523F" w:rsidRDefault="001F49FA" w:rsidP="001F49FA">
            <w:pPr>
              <w:pStyle w:val="TableParagraph"/>
              <w:jc w:val="center"/>
              <w:cnfStyle w:val="000000000000" w:firstRow="0" w:lastRow="0" w:firstColumn="0" w:lastColumn="0" w:oddVBand="0" w:evenVBand="0" w:oddHBand="0" w:evenHBand="0" w:firstRowFirstColumn="0" w:firstRowLastColumn="0" w:lastRowFirstColumn="0" w:lastRowLastColumn="0"/>
            </w:pPr>
            <w:r w:rsidRPr="00B2300F">
              <w:t>5</w:t>
            </w:r>
            <w:r w:rsidR="00C64F4B">
              <w:t>,</w:t>
            </w:r>
            <w:r w:rsidRPr="00B2300F">
              <w:t>954</w:t>
            </w:r>
            <w:r w:rsidR="00C64F4B">
              <w:t>,</w:t>
            </w:r>
            <w:r w:rsidRPr="00B2300F">
              <w:t>914</w:t>
            </w:r>
          </w:p>
        </w:tc>
        <w:tc>
          <w:tcPr>
            <w:tcW w:w="1570" w:type="dxa"/>
            <w:vAlign w:val="top"/>
          </w:tcPr>
          <w:p w14:paraId="111B45F7" w14:textId="1FE8D9FA" w:rsidR="001F49FA" w:rsidRPr="0008523F" w:rsidRDefault="001F49FA" w:rsidP="001F49FA">
            <w:pPr>
              <w:pStyle w:val="TableParagraph"/>
              <w:jc w:val="center"/>
              <w:cnfStyle w:val="000000000000" w:firstRow="0" w:lastRow="0" w:firstColumn="0" w:lastColumn="0" w:oddVBand="0" w:evenVBand="0" w:oddHBand="0" w:evenHBand="0" w:firstRowFirstColumn="0" w:firstRowLastColumn="0" w:lastRowFirstColumn="0" w:lastRowLastColumn="0"/>
            </w:pPr>
            <w:r w:rsidRPr="00B2300F">
              <w:t>12</w:t>
            </w:r>
            <w:r w:rsidR="00C64F4B">
              <w:t>,</w:t>
            </w:r>
            <w:r w:rsidRPr="00B2300F">
              <w:t>409</w:t>
            </w:r>
            <w:r w:rsidR="00C64F4B">
              <w:t>,</w:t>
            </w:r>
            <w:r w:rsidRPr="00B2300F">
              <w:t>124</w:t>
            </w:r>
          </w:p>
        </w:tc>
      </w:tr>
      <w:tr w:rsidR="001F49FA" w14:paraId="68395F38" w14:textId="77777777" w:rsidTr="001F49FA">
        <w:trPr>
          <w:jc w:val="center"/>
        </w:trPr>
        <w:tc>
          <w:tcPr>
            <w:cnfStyle w:val="001000000000" w:firstRow="0" w:lastRow="0" w:firstColumn="1" w:lastColumn="0" w:oddVBand="0" w:evenVBand="0" w:oddHBand="0" w:evenHBand="0" w:firstRowFirstColumn="0" w:firstRowLastColumn="0" w:lastRowFirstColumn="0" w:lastRowLastColumn="0"/>
            <w:tcW w:w="1559" w:type="dxa"/>
          </w:tcPr>
          <w:p w14:paraId="7E6F7A39" w14:textId="77777777" w:rsidR="001F49FA" w:rsidRDefault="001F49FA" w:rsidP="00DB3E3B">
            <w:pPr>
              <w:pStyle w:val="TableParagraph"/>
            </w:pPr>
            <w:r>
              <w:t>FTTC</w:t>
            </w:r>
          </w:p>
        </w:tc>
        <w:tc>
          <w:tcPr>
            <w:tcW w:w="1569" w:type="dxa"/>
            <w:vAlign w:val="top"/>
          </w:tcPr>
          <w:p w14:paraId="15B0D186" w14:textId="419E65E9" w:rsidR="001F49FA" w:rsidRPr="0008523F" w:rsidRDefault="001F49FA" w:rsidP="001F49FA">
            <w:pPr>
              <w:pStyle w:val="TableParagraph"/>
              <w:jc w:val="center"/>
              <w:cnfStyle w:val="000000000000" w:firstRow="0" w:lastRow="0" w:firstColumn="0" w:lastColumn="0" w:oddVBand="0" w:evenVBand="0" w:oddHBand="0" w:evenHBand="0" w:firstRowFirstColumn="0" w:firstRowLastColumn="0" w:lastRowFirstColumn="0" w:lastRowLastColumn="0"/>
            </w:pPr>
            <w:r w:rsidRPr="0008523F">
              <w:t>5</w:t>
            </w:r>
            <w:r w:rsidR="00C64F4B">
              <w:t>,</w:t>
            </w:r>
            <w:r w:rsidRPr="0008523F">
              <w:t>773</w:t>
            </w:r>
            <w:r w:rsidR="00C64F4B">
              <w:t>,</w:t>
            </w:r>
            <w:r w:rsidRPr="0008523F">
              <w:t>979</w:t>
            </w:r>
          </w:p>
        </w:tc>
        <w:tc>
          <w:tcPr>
            <w:tcW w:w="1570" w:type="dxa"/>
            <w:vAlign w:val="top"/>
          </w:tcPr>
          <w:p w14:paraId="3B62BC0D" w14:textId="5DEE1790" w:rsidR="001F49FA" w:rsidRPr="0008523F" w:rsidRDefault="001F49FA" w:rsidP="001F49FA">
            <w:pPr>
              <w:pStyle w:val="TableParagraph"/>
              <w:jc w:val="center"/>
              <w:cnfStyle w:val="000000000000" w:firstRow="0" w:lastRow="0" w:firstColumn="0" w:lastColumn="0" w:oddVBand="0" w:evenVBand="0" w:oddHBand="0" w:evenHBand="0" w:firstRowFirstColumn="0" w:firstRowLastColumn="0" w:lastRowFirstColumn="0" w:lastRowLastColumn="0"/>
            </w:pPr>
            <w:r w:rsidRPr="0008523F">
              <w:t>3</w:t>
            </w:r>
            <w:r w:rsidR="00C64F4B">
              <w:t>,</w:t>
            </w:r>
            <w:r w:rsidRPr="0008523F">
              <w:t>743</w:t>
            </w:r>
            <w:r w:rsidR="00C64F4B">
              <w:t>,</w:t>
            </w:r>
            <w:r w:rsidRPr="0008523F">
              <w:t>529</w:t>
            </w:r>
          </w:p>
        </w:tc>
      </w:tr>
    </w:tbl>
    <w:p w14:paraId="7C06D808" w14:textId="0D6185A0" w:rsidR="00946353" w:rsidRDefault="00A97298" w:rsidP="00946353">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1</w:t>
      </w:r>
      <w:r>
        <w:fldChar w:fldCharType="end"/>
      </w:r>
      <w:r w:rsidR="00946353">
        <w:t xml:space="preserve"> Variación de cobertura 2020-2023 por tecnología </w:t>
      </w:r>
      <w:r w:rsidR="00946353" w:rsidRPr="00E92D59">
        <w:t xml:space="preserve">[Fuente: </w:t>
      </w:r>
      <w:proofErr w:type="spellStart"/>
      <w:r w:rsidR="001F49FA">
        <w:t>Axon</w:t>
      </w:r>
      <w:proofErr w:type="spellEnd"/>
      <w:r w:rsidR="001F49FA">
        <w:t xml:space="preserve"> con base </w:t>
      </w:r>
      <w:r w:rsidR="007D7D62">
        <w:t>en</w:t>
      </w:r>
      <w:r w:rsidR="001F49FA">
        <w:t xml:space="preserve"> información del </w:t>
      </w:r>
      <w:r w:rsidR="00946353">
        <w:t>AEP</w:t>
      </w:r>
      <w:r w:rsidR="00946353" w:rsidRPr="00E92D59">
        <w:t>]</w:t>
      </w:r>
    </w:p>
    <w:p w14:paraId="1CDAAC7B" w14:textId="0BECFD1E" w:rsidR="001523C9" w:rsidRPr="00F05BFC" w:rsidRDefault="001523C9" w:rsidP="001523C9">
      <w:pPr>
        <w:pStyle w:val="Update"/>
        <w:rPr>
          <w:lang w:val="es-ES"/>
        </w:rPr>
      </w:pPr>
      <w:r w:rsidRPr="009D05FB">
        <w:rPr>
          <w:b w:val="0"/>
          <w:bCs/>
          <w:lang w:val="es-ES"/>
        </w:rPr>
        <w:t xml:space="preserve">Se ha </w:t>
      </w:r>
      <w:r w:rsidR="00BF5C0D">
        <w:rPr>
          <w:b w:val="0"/>
          <w:bCs/>
          <w:lang w:val="es-ES"/>
        </w:rPr>
        <w:t xml:space="preserve">actualizado el inventario de red mediante el redimensionado de </w:t>
      </w:r>
      <w:r>
        <w:rPr>
          <w:b w:val="0"/>
          <w:bCs/>
          <w:lang w:val="es-ES"/>
        </w:rPr>
        <w:t>la red de acceso</w:t>
      </w:r>
      <w:r w:rsidR="00BF5C0D">
        <w:rPr>
          <w:b w:val="0"/>
          <w:bCs/>
          <w:lang w:val="es-ES"/>
        </w:rPr>
        <w:t xml:space="preserve">, </w:t>
      </w:r>
      <w:r>
        <w:rPr>
          <w:b w:val="0"/>
          <w:bCs/>
          <w:lang w:val="es-ES"/>
        </w:rPr>
        <w:t xml:space="preserve">teniendo </w:t>
      </w:r>
      <w:r w:rsidR="00BF5C0D">
        <w:rPr>
          <w:b w:val="0"/>
          <w:bCs/>
          <w:lang w:val="es-ES"/>
        </w:rPr>
        <w:t xml:space="preserve">para ello </w:t>
      </w:r>
      <w:r>
        <w:rPr>
          <w:b w:val="0"/>
          <w:bCs/>
          <w:lang w:val="es-ES"/>
        </w:rPr>
        <w:t xml:space="preserve">en cuenta el número de premisas pasadas en el año 2023. </w:t>
      </w:r>
    </w:p>
    <w:p w14:paraId="44DDE7E4" w14:textId="5D9C2A47" w:rsidR="00B96475" w:rsidRDefault="00F914F9" w:rsidP="00A01A39">
      <w:pPr>
        <w:pStyle w:val="Bullet1"/>
      </w:pPr>
      <w:r w:rsidRPr="007F0415">
        <w:rPr>
          <w:b/>
          <w:bCs/>
        </w:rPr>
        <w:t>Actualización de los nodos del AEP</w:t>
      </w:r>
      <w:r>
        <w:t xml:space="preserve">. </w:t>
      </w:r>
      <w:r w:rsidR="009656CF">
        <w:t xml:space="preserve">La estructura nodal de la red de acceso se modela a partir de la información proporcionada por el AEP sobre </w:t>
      </w:r>
      <w:r w:rsidR="008535F5">
        <w:t xml:space="preserve">sus </w:t>
      </w:r>
      <w:r w:rsidR="009656CF">
        <w:t xml:space="preserve">nodos. </w:t>
      </w:r>
      <w:r w:rsidR="001523C9">
        <w:t xml:space="preserve">A este respecto, el número de centrales consideradas en el </w:t>
      </w:r>
      <w:r w:rsidR="00273311">
        <w:t>M</w:t>
      </w:r>
      <w:r w:rsidR="001523C9">
        <w:t xml:space="preserve">odelo </w:t>
      </w:r>
      <w:r w:rsidR="00FA40E5">
        <w:t>no había sido actualizad</w:t>
      </w:r>
      <w:r w:rsidR="001523C9">
        <w:t>o</w:t>
      </w:r>
      <w:r w:rsidR="00FA40E5">
        <w:t xml:space="preserve"> desde el año 20</w:t>
      </w:r>
      <w:r w:rsidR="00DC58D3">
        <w:t>1</w:t>
      </w:r>
      <w:r w:rsidR="00FA40E5">
        <w:t xml:space="preserve">8, puesto que en </w:t>
      </w:r>
      <w:r w:rsidR="00DC58D3">
        <w:t xml:space="preserve">la actualización llevada a cabo en </w:t>
      </w:r>
      <w:r w:rsidR="009E3357">
        <w:t>el año 2020 se consideró que su impacto en resultados sería reducido.</w:t>
      </w:r>
      <w:r w:rsidR="003176C4">
        <w:t xml:space="preserve"> </w:t>
      </w:r>
      <w:r w:rsidR="001523C9">
        <w:t>No obstante, c</w:t>
      </w:r>
      <w:r w:rsidR="000679AA">
        <w:t xml:space="preserve">on base </w:t>
      </w:r>
      <w:r w:rsidR="007D7D62">
        <w:t>en</w:t>
      </w:r>
      <w:r w:rsidR="000679AA">
        <w:t xml:space="preserve"> información correspondiente a 2023, se sabe que en </w:t>
      </w:r>
      <w:r w:rsidR="009405EC">
        <w:t xml:space="preserve">la actualidad </w:t>
      </w:r>
      <w:r w:rsidR="000679AA">
        <w:t xml:space="preserve">el número de centrales </w:t>
      </w:r>
      <w:r w:rsidR="001523C9">
        <w:t xml:space="preserve">es </w:t>
      </w:r>
      <w:r w:rsidR="000679AA">
        <w:t xml:space="preserve">ya de </w:t>
      </w:r>
      <w:r w:rsidR="000679AA" w:rsidRPr="00AE2229">
        <w:t>8</w:t>
      </w:r>
      <w:r w:rsidR="00C90ECD">
        <w:t>,</w:t>
      </w:r>
      <w:r w:rsidR="000679AA" w:rsidRPr="00AE2229">
        <w:t>6</w:t>
      </w:r>
      <w:r w:rsidR="000679AA">
        <w:t>20, suponiendo un aumento del 2</w:t>
      </w:r>
      <w:r w:rsidR="00C90ECD">
        <w:t>.</w:t>
      </w:r>
      <w:r w:rsidR="000679AA">
        <w:t xml:space="preserve">8% </w:t>
      </w:r>
      <w:r w:rsidR="001523C9">
        <w:t xml:space="preserve">con respecto al número de centrales asumidas en la versión previa del </w:t>
      </w:r>
      <w:r w:rsidR="00273311">
        <w:t>M</w:t>
      </w:r>
      <w:r w:rsidR="001523C9">
        <w:t>odelo</w:t>
      </w:r>
      <w:r w:rsidR="009405EC">
        <w:t xml:space="preserve"> (8</w:t>
      </w:r>
      <w:r w:rsidR="00C90ECD">
        <w:t>,</w:t>
      </w:r>
      <w:r w:rsidR="009405EC">
        <w:t>386 centrales, correspondientes al año 2018</w:t>
      </w:r>
      <w:r w:rsidR="001523C9">
        <w:t>)</w:t>
      </w:r>
      <w:r w:rsidR="008522F4">
        <w:t>.</w:t>
      </w:r>
      <w:r w:rsidR="004803FD">
        <w:t xml:space="preserve"> </w:t>
      </w:r>
    </w:p>
    <w:p w14:paraId="419BDB1E" w14:textId="2C6CA42F" w:rsidR="004A36E3" w:rsidRDefault="00277465" w:rsidP="002F477D">
      <w:pPr>
        <w:pStyle w:val="Bullet1"/>
        <w:numPr>
          <w:ilvl w:val="0"/>
          <w:numId w:val="0"/>
        </w:numPr>
        <w:ind w:left="720"/>
      </w:pPr>
      <w:r>
        <w:lastRenderedPageBreak/>
        <w:t xml:space="preserve">Por tanto, como parte de la actualización llevada </w:t>
      </w:r>
      <w:r w:rsidR="00273311">
        <w:t xml:space="preserve">a cabo </w:t>
      </w:r>
      <w:r>
        <w:t xml:space="preserve">en el Modelo Integral se han incorporado las nuevas centrales desplegadas por el AEP entre los años 2018 y 2023, las cuales se tienen </w:t>
      </w:r>
      <w:r w:rsidR="00273311">
        <w:t xml:space="preserve">igualmente </w:t>
      </w:r>
      <w:r>
        <w:t xml:space="preserve">en cuenta en el nuevo dimensionamiento de la red de acceso. </w:t>
      </w:r>
    </w:p>
    <w:p w14:paraId="06101438" w14:textId="134FD3B2" w:rsidR="000B0832" w:rsidRPr="00AF16DF" w:rsidRDefault="00277465" w:rsidP="002F477D">
      <w:pPr>
        <w:pStyle w:val="Bullet1"/>
        <w:numPr>
          <w:ilvl w:val="0"/>
          <w:numId w:val="0"/>
        </w:numPr>
        <w:ind w:left="720"/>
        <w:rPr>
          <w:b/>
          <w:bCs/>
        </w:rPr>
      </w:pPr>
      <w:r>
        <w:t xml:space="preserve">De manera adicional, </w:t>
      </w:r>
      <w:r w:rsidR="004A36E3">
        <w:t xml:space="preserve">ante un posible crecimiento futuro del número de centrales del AEP, y de cara a </w:t>
      </w:r>
      <w:r w:rsidR="00ED44F0">
        <w:t xml:space="preserve">próximas </w:t>
      </w:r>
      <w:r w:rsidR="004A36E3">
        <w:t>actualizaciones del Modelo</w:t>
      </w:r>
      <w:r w:rsidR="00ED44F0">
        <w:t xml:space="preserve"> en los siguientes años</w:t>
      </w:r>
      <w:r w:rsidR="004A36E3">
        <w:t>, se ha considerado conveniente reservar una serie de espacios vacantes en el mismo, de manera que permitan en un futuro cercano añadir centrales sin necesidad de recurrir a una nueva ampliación del mismo.</w:t>
      </w:r>
      <w:r w:rsidR="00ED44F0">
        <w:t xml:space="preserve"> Gracias a esta ampliación, la nueva versión del Modelo cuenta con espacio para albergar hasta 10</w:t>
      </w:r>
      <w:r w:rsidR="00C90ECD">
        <w:t>,</w:t>
      </w:r>
      <w:r w:rsidR="00ED44F0">
        <w:t xml:space="preserve">000 centrales. </w:t>
      </w:r>
    </w:p>
    <w:p w14:paraId="5D8192D5" w14:textId="0095A480" w:rsidR="00BF5C0D" w:rsidRDefault="00EE3148" w:rsidP="009120D8">
      <w:pPr>
        <w:pStyle w:val="Update"/>
        <w:rPr>
          <w:b w:val="0"/>
          <w:bCs/>
          <w:lang w:val="es-ES"/>
        </w:rPr>
      </w:pPr>
      <w:r w:rsidRPr="009120D8">
        <w:rPr>
          <w:b w:val="0"/>
          <w:bCs/>
          <w:lang w:val="es-ES"/>
        </w:rPr>
        <w:t>S</w:t>
      </w:r>
      <w:r w:rsidR="0048604E" w:rsidRPr="009120D8">
        <w:rPr>
          <w:b w:val="0"/>
          <w:bCs/>
          <w:lang w:val="es-ES"/>
        </w:rPr>
        <w:t xml:space="preserve">e ha </w:t>
      </w:r>
      <w:r w:rsidR="00BF5C0D">
        <w:rPr>
          <w:b w:val="0"/>
          <w:bCs/>
          <w:lang w:val="es-ES"/>
        </w:rPr>
        <w:t xml:space="preserve">actualizado la estructura nodal del AEP para tener en cuenta las </w:t>
      </w:r>
      <w:r w:rsidR="0048604E" w:rsidRPr="009120D8">
        <w:rPr>
          <w:b w:val="0"/>
          <w:bCs/>
          <w:lang w:val="es-ES"/>
        </w:rPr>
        <w:t>nuevas centrales</w:t>
      </w:r>
      <w:r w:rsidR="00C10B45" w:rsidRPr="009120D8">
        <w:rPr>
          <w:b w:val="0"/>
          <w:bCs/>
          <w:lang w:val="es-ES"/>
        </w:rPr>
        <w:t xml:space="preserve"> </w:t>
      </w:r>
      <w:r w:rsidR="00BF5C0D">
        <w:rPr>
          <w:b w:val="0"/>
          <w:bCs/>
          <w:lang w:val="es-ES"/>
        </w:rPr>
        <w:t xml:space="preserve">desplegadas </w:t>
      </w:r>
      <w:r w:rsidR="00BF3E45" w:rsidRPr="009120D8">
        <w:rPr>
          <w:b w:val="0"/>
          <w:bCs/>
          <w:lang w:val="es-ES"/>
        </w:rPr>
        <w:t xml:space="preserve">por el </w:t>
      </w:r>
      <w:r w:rsidR="00273311">
        <w:rPr>
          <w:b w:val="0"/>
          <w:bCs/>
          <w:lang w:val="es-ES"/>
        </w:rPr>
        <w:t xml:space="preserve">operador </w:t>
      </w:r>
      <w:r w:rsidR="00BF5C0D">
        <w:rPr>
          <w:b w:val="0"/>
          <w:bCs/>
          <w:lang w:val="es-ES"/>
        </w:rPr>
        <w:t xml:space="preserve">entre los años 2018 y 2023. </w:t>
      </w:r>
    </w:p>
    <w:p w14:paraId="1800B1AB" w14:textId="42A74596" w:rsidR="00A07FD4" w:rsidRPr="007718F8" w:rsidRDefault="00BF5C0D" w:rsidP="007718F8">
      <w:pPr>
        <w:pStyle w:val="Update"/>
        <w:rPr>
          <w:b w:val="0"/>
          <w:bCs/>
          <w:lang w:val="es-ES"/>
        </w:rPr>
      </w:pPr>
      <w:r>
        <w:rPr>
          <w:b w:val="0"/>
          <w:bCs/>
          <w:lang w:val="es-ES"/>
        </w:rPr>
        <w:t>De manera adicional, s</w:t>
      </w:r>
      <w:r w:rsidR="006D0D9C" w:rsidRPr="009120D8">
        <w:rPr>
          <w:b w:val="0"/>
          <w:bCs/>
          <w:lang w:val="es-ES"/>
        </w:rPr>
        <w:t xml:space="preserve">e </w:t>
      </w:r>
      <w:r w:rsidR="006272CF" w:rsidRPr="009120D8">
        <w:rPr>
          <w:b w:val="0"/>
          <w:bCs/>
          <w:lang w:val="es-ES"/>
        </w:rPr>
        <w:t xml:space="preserve">ha </w:t>
      </w:r>
      <w:r w:rsidR="00FC00F4">
        <w:rPr>
          <w:b w:val="0"/>
          <w:bCs/>
          <w:lang w:val="es-ES"/>
        </w:rPr>
        <w:t xml:space="preserve">realizado una ampliación del </w:t>
      </w:r>
      <w:r>
        <w:rPr>
          <w:b w:val="0"/>
          <w:bCs/>
          <w:lang w:val="es-ES"/>
        </w:rPr>
        <w:t xml:space="preserve">Modelo, </w:t>
      </w:r>
      <w:r w:rsidR="006272CF" w:rsidRPr="009120D8">
        <w:rPr>
          <w:b w:val="0"/>
          <w:bCs/>
          <w:lang w:val="es-ES"/>
        </w:rPr>
        <w:t>dejando</w:t>
      </w:r>
      <w:r w:rsidR="006D0D9C" w:rsidRPr="009120D8">
        <w:rPr>
          <w:b w:val="0"/>
          <w:bCs/>
          <w:lang w:val="es-ES"/>
        </w:rPr>
        <w:t xml:space="preserve"> una serie de espacios vacantes para facilitar la incorporación, en un futuro cercano, de nuevas centrales, sin necesidad de recurrir a una nueva ampliación </w:t>
      </w:r>
      <w:r w:rsidR="008F1BD8" w:rsidRPr="009120D8">
        <w:rPr>
          <w:b w:val="0"/>
          <w:bCs/>
          <w:lang w:val="es-ES"/>
        </w:rPr>
        <w:t>de</w:t>
      </w:r>
      <w:r w:rsidR="007718F8">
        <w:rPr>
          <w:b w:val="0"/>
          <w:bCs/>
          <w:lang w:val="es-ES"/>
        </w:rPr>
        <w:t xml:space="preserve">l mismo. </w:t>
      </w:r>
    </w:p>
    <w:p w14:paraId="3BF93063" w14:textId="69FB0C52" w:rsidR="009656CF" w:rsidRDefault="009656CF" w:rsidP="009656CF">
      <w:pPr>
        <w:pStyle w:val="Ttulo2"/>
      </w:pPr>
      <w:bookmarkStart w:id="75" w:name="_Ref139887261"/>
      <w:bookmarkStart w:id="76" w:name="_Toc142388406"/>
      <w:r>
        <w:t>Demanda</w:t>
      </w:r>
      <w:bookmarkEnd w:id="74"/>
      <w:r w:rsidR="00552A4A">
        <w:t xml:space="preserve"> activa</w:t>
      </w:r>
      <w:bookmarkEnd w:id="75"/>
      <w:bookmarkEnd w:id="76"/>
    </w:p>
    <w:p w14:paraId="39AB7A34" w14:textId="5BD4715B" w:rsidR="00FC589C" w:rsidRDefault="00996BCA" w:rsidP="00E255E2">
      <w:r>
        <w:t xml:space="preserve">La demanda </w:t>
      </w:r>
      <w:r w:rsidR="00E255E2">
        <w:t xml:space="preserve">del Modelo </w:t>
      </w:r>
      <w:r w:rsidR="00E255E2" w:rsidRPr="00B46153">
        <w:t>representa</w:t>
      </w:r>
      <w:r w:rsidR="00E255E2">
        <w:t xml:space="preserve"> el número de líneas activas sobre el total de premisas pasadas que cuentan con un servicio activo</w:t>
      </w:r>
      <w:r w:rsidR="005A7564">
        <w:t xml:space="preserve">, siendo uno de los datos de entrada de mayor relevancia en el Modelo. </w:t>
      </w:r>
    </w:p>
    <w:p w14:paraId="0C743FB3" w14:textId="1CEB7C63" w:rsidR="00E53981" w:rsidRDefault="00930CD3" w:rsidP="00E53981">
      <w:r>
        <w:t xml:space="preserve">Para la actualización de la demanda, se ha solicitado información al AEP sobre el número de clientes activos para cada una de las </w:t>
      </w:r>
      <w:r w:rsidR="00EF77BF">
        <w:t xml:space="preserve">tres </w:t>
      </w:r>
      <w:r>
        <w:t>tecnologías</w:t>
      </w:r>
      <w:r w:rsidR="00EF77BF">
        <w:t>: cobre, FTTH y FTTC</w:t>
      </w:r>
      <w:r>
        <w:t xml:space="preserve">. </w:t>
      </w:r>
      <w:r w:rsidR="00E53981">
        <w:t xml:space="preserve">Gracias a la información recibida, se </w:t>
      </w:r>
      <w:r w:rsidR="00D038E8">
        <w:t>dispone d</w:t>
      </w:r>
      <w:r w:rsidR="00E53981">
        <w:t xml:space="preserve">el número de líneas activas para los ejercicios </w:t>
      </w:r>
      <w:r w:rsidR="00D038E8">
        <w:t xml:space="preserve">de </w:t>
      </w:r>
      <w:r w:rsidR="00E53981">
        <w:t xml:space="preserve">2022 y 2023. </w:t>
      </w:r>
    </w:p>
    <w:p w14:paraId="3224D9D1" w14:textId="3A2EABE8" w:rsidR="00185272" w:rsidRDefault="00E53981" w:rsidP="00E53981">
      <w:r>
        <w:t xml:space="preserve">Para las proyecciones en años posteriores al 2023, abarcando el periodo de 2024 hasta 2028, </w:t>
      </w:r>
      <w:r w:rsidR="00AC5ABB">
        <w:t>se ha calculado la demanda activa haciendo uso de los siguientes pasos:</w:t>
      </w:r>
    </w:p>
    <w:p w14:paraId="4CC747E2" w14:textId="55840837" w:rsidR="00AC5ABB" w:rsidRDefault="00AC5ABB" w:rsidP="00A01A39">
      <w:pPr>
        <w:pStyle w:val="Bullet1"/>
      </w:pPr>
      <w:r w:rsidRPr="005906E4">
        <w:rPr>
          <w:b/>
          <w:bCs/>
        </w:rPr>
        <w:t xml:space="preserve">Paso 1 - Proyección </w:t>
      </w:r>
      <w:r w:rsidR="00D038E8">
        <w:rPr>
          <w:b/>
          <w:bCs/>
        </w:rPr>
        <w:t>d</w:t>
      </w:r>
      <w:r w:rsidRPr="005906E4">
        <w:rPr>
          <w:b/>
          <w:bCs/>
        </w:rPr>
        <w:t xml:space="preserve">el número total de líneas </w:t>
      </w:r>
      <w:r w:rsidR="00D038E8">
        <w:rPr>
          <w:b/>
          <w:bCs/>
        </w:rPr>
        <w:t xml:space="preserve">del AEP </w:t>
      </w:r>
      <w:r w:rsidRPr="005906E4">
        <w:rPr>
          <w:b/>
          <w:bCs/>
        </w:rPr>
        <w:t>en el mercado</w:t>
      </w:r>
      <w:r>
        <w:t>.</w:t>
      </w:r>
      <w:r w:rsidR="005906E4">
        <w:t xml:space="preserve"> En primer lugar, </w:t>
      </w:r>
      <w:r w:rsidR="00E76D54">
        <w:t>haciendo uso de la información sobre número de líneas activas totales del AEP disponible entre los años 2020 y 2023, se ha estimado la tasa de crecimiento anual compuesto entre estos dos años. Esta tasa arroja un valor de 1</w:t>
      </w:r>
      <w:r w:rsidR="00C90ECD">
        <w:t>.</w:t>
      </w:r>
      <w:r w:rsidR="00E76D54">
        <w:t>07%, que se asume como valor de c</w:t>
      </w:r>
      <w:r w:rsidR="00E76D54" w:rsidRPr="00E76D54">
        <w:t>recimiento anual de la demanda total activa</w:t>
      </w:r>
      <w:r w:rsidR="00E76D54">
        <w:t xml:space="preserve"> para los años posteriores a 2023. </w:t>
      </w:r>
    </w:p>
    <w:p w14:paraId="2640C80E" w14:textId="1983C16A" w:rsidR="0065107F" w:rsidRDefault="00AC5ABB" w:rsidP="00A01A39">
      <w:pPr>
        <w:pStyle w:val="Bullet1"/>
      </w:pPr>
      <w:r w:rsidRPr="005906E4">
        <w:rPr>
          <w:b/>
          <w:bCs/>
        </w:rPr>
        <w:t>Paso 2 – Proyección del número de líneas activas sobre la tecnología de FTTH</w:t>
      </w:r>
      <w:r>
        <w:t>.</w:t>
      </w:r>
      <w:r w:rsidR="008E6FD6">
        <w:t xml:space="preserve"> En segundo lugar, </w:t>
      </w:r>
      <w:r w:rsidR="003622A8">
        <w:t xml:space="preserve">con base </w:t>
      </w:r>
      <w:r w:rsidR="00A46927">
        <w:t>en</w:t>
      </w:r>
      <w:r w:rsidR="003622A8">
        <w:t xml:space="preserve"> la información </w:t>
      </w:r>
      <w:r w:rsidR="006809D6">
        <w:t xml:space="preserve">facilitada por el AEP </w:t>
      </w:r>
      <w:r w:rsidR="000000B0">
        <w:t xml:space="preserve">de manera </w:t>
      </w:r>
      <w:r w:rsidR="000000B0">
        <w:lastRenderedPageBreak/>
        <w:t xml:space="preserve">individual </w:t>
      </w:r>
      <w:r w:rsidR="006809D6">
        <w:t>para cada central</w:t>
      </w:r>
      <w:r w:rsidR="0099432D">
        <w:t xml:space="preserve"> (</w:t>
      </w:r>
      <w:r w:rsidR="006809D6">
        <w:t xml:space="preserve">la cual incluye el número de </w:t>
      </w:r>
      <w:r w:rsidR="00AB0318">
        <w:t>líneas activa</w:t>
      </w:r>
      <w:r w:rsidR="003935AB">
        <w:t>s</w:t>
      </w:r>
      <w:r w:rsidR="00AB0318">
        <w:t xml:space="preserve">, </w:t>
      </w:r>
      <w:r w:rsidR="006809D6">
        <w:t xml:space="preserve">el número de </w:t>
      </w:r>
      <w:r w:rsidR="0097789C">
        <w:t xml:space="preserve">premisas </w:t>
      </w:r>
      <w:r w:rsidR="00AB0318">
        <w:t xml:space="preserve">pasadas y </w:t>
      </w:r>
      <w:r w:rsidR="003935AB">
        <w:t xml:space="preserve">su </w:t>
      </w:r>
      <w:r w:rsidR="00AB0318">
        <w:t>año de despliegue</w:t>
      </w:r>
      <w:r w:rsidR="00CF7B03">
        <w:t xml:space="preserve"> para la tecnología FTTH</w:t>
      </w:r>
      <w:r w:rsidR="0099432D">
        <w:t>)</w:t>
      </w:r>
      <w:r w:rsidR="003622A8">
        <w:t xml:space="preserve">, se </w:t>
      </w:r>
      <w:r w:rsidR="006809D6">
        <w:t>ha</w:t>
      </w:r>
      <w:r w:rsidR="00175F3F">
        <w:t xml:space="preserve"> </w:t>
      </w:r>
      <w:r w:rsidR="001B3B6F">
        <w:t xml:space="preserve">estimado </w:t>
      </w:r>
      <w:r w:rsidR="00175F3F">
        <w:t xml:space="preserve">una curva </w:t>
      </w:r>
      <w:r w:rsidR="00701E0B">
        <w:t xml:space="preserve">que representa </w:t>
      </w:r>
      <w:r w:rsidR="00C05543">
        <w:t xml:space="preserve">los niveles de </w:t>
      </w:r>
      <w:r w:rsidR="00175F3F">
        <w:t xml:space="preserve">adopción </w:t>
      </w:r>
      <w:r w:rsidR="00D44969">
        <w:t xml:space="preserve">promedio </w:t>
      </w:r>
      <w:r w:rsidR="00B43F18">
        <w:t>de la tecnología FTTH</w:t>
      </w:r>
      <w:r w:rsidR="00005168">
        <w:t>.</w:t>
      </w:r>
      <w:r w:rsidR="00B10172">
        <w:t xml:space="preserve"> </w:t>
      </w:r>
    </w:p>
    <w:p w14:paraId="7B2CA203" w14:textId="7143B64E" w:rsidR="00AC5ABB" w:rsidRDefault="00B70EF5" w:rsidP="002F477D">
      <w:pPr>
        <w:pStyle w:val="Bullet1"/>
        <w:numPr>
          <w:ilvl w:val="0"/>
          <w:numId w:val="0"/>
        </w:numPr>
        <w:ind w:left="720"/>
      </w:pPr>
      <w:r>
        <w:t xml:space="preserve">El nivel de adopción se define como la división entre el número de líneas activas y </w:t>
      </w:r>
      <w:r w:rsidR="00952901">
        <w:t xml:space="preserve">premisas </w:t>
      </w:r>
      <w:r>
        <w:t xml:space="preserve">pasadas </w:t>
      </w:r>
      <w:r w:rsidR="000C21B2">
        <w:t>desde el momento en que se realiza el despliegue de esta tecnología en una central</w:t>
      </w:r>
      <w:r w:rsidR="00CF7B03">
        <w:t>. L</w:t>
      </w:r>
      <w:r w:rsidR="00AF4896">
        <w:t>a curva obtenida a este respecto se muestra en la siguiente imagen:</w:t>
      </w:r>
    </w:p>
    <w:p w14:paraId="09B722D0" w14:textId="457BFD87" w:rsidR="004C24B2" w:rsidRDefault="006777AA" w:rsidP="004C24B2">
      <w:pPr>
        <w:keepNext/>
        <w:jc w:val="center"/>
      </w:pPr>
      <w:r w:rsidRPr="006777AA">
        <w:rPr>
          <w:noProof/>
        </w:rPr>
        <w:drawing>
          <wp:inline distT="0" distB="0" distL="0" distR="0" wp14:anchorId="5F65799C" wp14:editId="49124069">
            <wp:extent cx="4819650" cy="2628224"/>
            <wp:effectExtent l="0" t="0" r="0" b="1270"/>
            <wp:docPr id="71225377" name="Picture 7122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36030" cy="2637156"/>
                    </a:xfrm>
                    <a:prstGeom prst="rect">
                      <a:avLst/>
                    </a:prstGeom>
                    <a:noFill/>
                    <a:ln>
                      <a:noFill/>
                    </a:ln>
                  </pic:spPr>
                </pic:pic>
              </a:graphicData>
            </a:graphic>
          </wp:inline>
        </w:drawing>
      </w:r>
    </w:p>
    <w:p w14:paraId="51BF28DA" w14:textId="27C1A576" w:rsidR="004C24B2" w:rsidRDefault="004C24B2" w:rsidP="004C24B2">
      <w:pPr>
        <w:pStyle w:val="Descripcin"/>
      </w:pPr>
      <w:r>
        <w:t xml:space="preserve">Ilustración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Ilustración \* ARABIC \s 1 </w:instrText>
      </w:r>
      <w:r>
        <w:fldChar w:fldCharType="separate"/>
      </w:r>
      <w:r w:rsidR="00320714">
        <w:rPr>
          <w:noProof/>
        </w:rPr>
        <w:t>1</w:t>
      </w:r>
      <w:r>
        <w:fldChar w:fldCharType="end"/>
      </w:r>
      <w:r>
        <w:t xml:space="preserve">: </w:t>
      </w:r>
      <w:r w:rsidR="002D4604">
        <w:t>Nivel de adopción de la tecnología FTTH</w:t>
      </w:r>
      <w:r w:rsidR="00593157">
        <w:t xml:space="preserve"> en función del año en el que se inició el despliegue</w:t>
      </w:r>
      <w:r>
        <w:t xml:space="preserve"> </w:t>
      </w:r>
      <w:r w:rsidRPr="00E92D59">
        <w:t xml:space="preserve">[Fuente: </w:t>
      </w:r>
      <w:proofErr w:type="spellStart"/>
      <w:r w:rsidR="002D4604">
        <w:t>Axon</w:t>
      </w:r>
      <w:proofErr w:type="spellEnd"/>
      <w:r w:rsidR="002D4604">
        <w:t xml:space="preserve"> con base en información facilitada por el AEP</w:t>
      </w:r>
      <w:r w:rsidRPr="00E92D59">
        <w:t>]</w:t>
      </w:r>
    </w:p>
    <w:p w14:paraId="28DCEA8C" w14:textId="53477A1D" w:rsidR="000A7B57" w:rsidRDefault="003721D1" w:rsidP="002F477D">
      <w:pPr>
        <w:pStyle w:val="Bullet1"/>
        <w:numPr>
          <w:ilvl w:val="0"/>
          <w:numId w:val="0"/>
        </w:numPr>
        <w:ind w:left="720"/>
      </w:pPr>
      <w:r>
        <w:t>Los niveles de adopción previos</w:t>
      </w:r>
      <w:r w:rsidR="00AB6D4B">
        <w:t>, de acuerdo con el despliegue de la central</w:t>
      </w:r>
      <w:r>
        <w:t xml:space="preserve"> se multiplican finalmente </w:t>
      </w:r>
      <w:r w:rsidR="00AB28DA">
        <w:t>por el número de premisas pasadas en cada central</w:t>
      </w:r>
      <w:r w:rsidR="00A92D82">
        <w:t>, teniendo en cuenta su año de despliegue</w:t>
      </w:r>
      <w:r w:rsidR="00D01731">
        <w:t xml:space="preserve">. De esta forma, la </w:t>
      </w:r>
      <w:r w:rsidR="00A92D82">
        <w:t xml:space="preserve">suma agregada de </w:t>
      </w:r>
      <w:r w:rsidR="00DD1B74">
        <w:t>las líneas activas de todas las centrales es la demanda</w:t>
      </w:r>
      <w:r w:rsidR="00CF7B03">
        <w:t xml:space="preserve"> de FTTH</w:t>
      </w:r>
      <w:r w:rsidR="00DD1B74">
        <w:t xml:space="preserve"> finalmente considerada en el modelo</w:t>
      </w:r>
      <w:r w:rsidR="00D01731">
        <w:t xml:space="preserve"> para los años futuros (2024-2028)</w:t>
      </w:r>
      <w:r w:rsidR="00AB28DA">
        <w:t xml:space="preserve">. </w:t>
      </w:r>
    </w:p>
    <w:p w14:paraId="0AA36B08" w14:textId="2901A564" w:rsidR="00DD1B74" w:rsidRDefault="000A7B57" w:rsidP="002F477D">
      <w:pPr>
        <w:pStyle w:val="Bullet1"/>
        <w:numPr>
          <w:ilvl w:val="0"/>
          <w:numId w:val="0"/>
        </w:numPr>
        <w:ind w:left="720"/>
      </w:pPr>
      <w:r>
        <w:t>Se hace notar que</w:t>
      </w:r>
      <w:r w:rsidR="00D032D6">
        <w:t xml:space="preserve">, </w:t>
      </w:r>
      <w:r>
        <w:t xml:space="preserve">si bien la versión anterior del </w:t>
      </w:r>
      <w:r w:rsidR="00CF7B03">
        <w:t>M</w:t>
      </w:r>
      <w:r>
        <w:t xml:space="preserve">odelo </w:t>
      </w:r>
      <w:r w:rsidR="00921F48">
        <w:t xml:space="preserve">realizaba las proyecciones de demanda haciendo uso de una curva sigmoidea, </w:t>
      </w:r>
      <w:r w:rsidR="00AF3F47">
        <w:t xml:space="preserve">dicha curva ha sido reemplazada por la aproximación </w:t>
      </w:r>
      <w:r w:rsidR="00DD1B74">
        <w:t>descrita anteriormente dado que</w:t>
      </w:r>
      <w:r w:rsidR="00AE4F32">
        <w:t xml:space="preserve"> </w:t>
      </w:r>
      <w:r w:rsidR="00E97EA3">
        <w:t xml:space="preserve">se ha observado que </w:t>
      </w:r>
      <w:r w:rsidR="0065137D">
        <w:t xml:space="preserve">presentaba un mejor alineamiento con </w:t>
      </w:r>
      <w:r w:rsidR="00F71890">
        <w:t xml:space="preserve">la evolución </w:t>
      </w:r>
      <w:r w:rsidR="00E81E54">
        <w:t xml:space="preserve">real AEP en el </w:t>
      </w:r>
      <w:r w:rsidR="00F71890">
        <w:t>mercado</w:t>
      </w:r>
      <w:r w:rsidR="0065137D">
        <w:t xml:space="preserve">. </w:t>
      </w:r>
    </w:p>
    <w:p w14:paraId="6E339CCD" w14:textId="157AA342" w:rsidR="00F71E4C" w:rsidRDefault="00AC5ABB" w:rsidP="00A01A39">
      <w:pPr>
        <w:pStyle w:val="Bullet1"/>
      </w:pPr>
      <w:r w:rsidRPr="00035B93">
        <w:rPr>
          <w:b/>
          <w:bCs/>
        </w:rPr>
        <w:t>Paso 3 – Proyección del número de líneas activas sobre las tecnología</w:t>
      </w:r>
      <w:r w:rsidR="004E7B45" w:rsidRPr="00035B93">
        <w:rPr>
          <w:b/>
          <w:bCs/>
        </w:rPr>
        <w:t>s</w:t>
      </w:r>
      <w:r w:rsidRPr="00035B93">
        <w:rPr>
          <w:b/>
          <w:bCs/>
        </w:rPr>
        <w:t xml:space="preserve"> de Cobre y FTTC</w:t>
      </w:r>
      <w:r>
        <w:t xml:space="preserve">. </w:t>
      </w:r>
      <w:r w:rsidR="00035B93">
        <w:t>En el caso de las líneas de cobre y FTTC, se ha observado que</w:t>
      </w:r>
      <w:r w:rsidR="009C2156">
        <w:t>,</w:t>
      </w:r>
      <w:r w:rsidR="00035B93">
        <w:t xml:space="preserve"> en los últimos años, se ha producido </w:t>
      </w:r>
      <w:r w:rsidR="00F31DF4">
        <w:t>un descenso de su demanda en favor de FTTH</w:t>
      </w:r>
      <w:r w:rsidR="003205F6">
        <w:t xml:space="preserve"> como consecuencia de la migración entre tecnologías</w:t>
      </w:r>
      <w:r w:rsidR="00F31DF4">
        <w:t xml:space="preserve">. </w:t>
      </w:r>
      <w:r w:rsidR="00CB6B73">
        <w:t>Q</w:t>
      </w:r>
      <w:r w:rsidR="00180FCD">
        <w:t xml:space="preserve">ueda </w:t>
      </w:r>
      <w:r w:rsidR="00CB6B73">
        <w:t xml:space="preserve">por tanto </w:t>
      </w:r>
      <w:r w:rsidR="00180FCD">
        <w:t xml:space="preserve">de manifiesto que la </w:t>
      </w:r>
      <w:r w:rsidR="00A538E8">
        <w:t xml:space="preserve">demanda activa de </w:t>
      </w:r>
      <w:r w:rsidR="00343C1B">
        <w:t xml:space="preserve">las tecnologías de </w:t>
      </w:r>
      <w:r w:rsidR="00F31DF4">
        <w:t>cobre y FTTC depende</w:t>
      </w:r>
      <w:r w:rsidR="00180FCD">
        <w:t>rá</w:t>
      </w:r>
      <w:r w:rsidR="00F31DF4">
        <w:t xml:space="preserve"> de </w:t>
      </w:r>
      <w:r w:rsidR="00F31DF4">
        <w:lastRenderedPageBreak/>
        <w:t xml:space="preserve">la demanda </w:t>
      </w:r>
      <w:r w:rsidR="00A538E8">
        <w:t xml:space="preserve">total del mercado (calculada en el Paso 1) y </w:t>
      </w:r>
      <w:r w:rsidR="00E81F7C">
        <w:t xml:space="preserve">a su vez </w:t>
      </w:r>
      <w:r w:rsidR="00A538E8">
        <w:t xml:space="preserve">de la demanda de </w:t>
      </w:r>
      <w:r w:rsidR="00F31DF4">
        <w:t>FTTH</w:t>
      </w:r>
      <w:r w:rsidR="00A538E8">
        <w:t xml:space="preserve"> (calculada en el Paso 2)</w:t>
      </w:r>
      <w:r w:rsidR="00180FCD">
        <w:t>.</w:t>
      </w:r>
    </w:p>
    <w:p w14:paraId="1E6C1499" w14:textId="75AD286B" w:rsidR="00180FCD" w:rsidRDefault="00F71E4C" w:rsidP="002F477D">
      <w:pPr>
        <w:pStyle w:val="Bullet1"/>
        <w:numPr>
          <w:ilvl w:val="0"/>
          <w:numId w:val="0"/>
        </w:numPr>
        <w:ind w:left="720"/>
      </w:pPr>
      <w:r w:rsidRPr="00F71E4C">
        <w:t>De</w:t>
      </w:r>
      <w:r w:rsidR="00610A9E">
        <w:t xml:space="preserve"> esta forma la demanda activa agregada de las tecnologías de cobre y FTTC se obtiene mediante la siguiente fórmula para cada año: </w:t>
      </w:r>
    </w:p>
    <w:p w14:paraId="28EA4F42" w14:textId="10ADA0E6" w:rsidR="00610A9E" w:rsidRPr="00F71E4C" w:rsidRDefault="00610A9E" w:rsidP="002F477D">
      <w:pPr>
        <w:pStyle w:val="Bullet1"/>
        <w:numPr>
          <w:ilvl w:val="0"/>
          <w:numId w:val="0"/>
        </w:numPr>
        <w:ind w:left="720"/>
      </w:pPr>
      <m:oMathPara>
        <m:oMath>
          <m:r>
            <w:rPr>
              <w:rFonts w:ascii="Cambria Math" w:hAnsi="Cambria Math"/>
            </w:rPr>
            <m:t>Demanda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cobre</m:t>
          </m:r>
          <m:r>
            <m:rPr>
              <m:sty m:val="p"/>
            </m:rPr>
            <w:rPr>
              <w:rFonts w:ascii="Cambria Math" w:hAnsi="Cambria Math"/>
            </w:rPr>
            <m:t>+</m:t>
          </m:r>
          <m:r>
            <w:rPr>
              <w:rFonts w:ascii="Cambria Math" w:hAnsi="Cambria Math"/>
            </w:rPr>
            <m:t>FTTC</m:t>
          </m:r>
          <m:r>
            <m:rPr>
              <m:sty m:val="p"/>
            </m:rPr>
            <w:rPr>
              <w:rFonts w:ascii="Cambria Math" w:hAnsi="Cambria Math"/>
            </w:rPr>
            <m:t>=</m:t>
          </m:r>
          <m:r>
            <w:rPr>
              <w:rFonts w:ascii="Cambria Math" w:hAnsi="Cambria Math"/>
            </w:rPr>
            <m:t>Demanda</m:t>
          </m:r>
          <m:r>
            <m:rPr>
              <m:sty m:val="p"/>
            </m:rPr>
            <w:rPr>
              <w:rFonts w:ascii="Cambria Math" w:hAnsi="Cambria Math"/>
            </w:rPr>
            <m:t xml:space="preserve"> </m:t>
          </m:r>
          <m:r>
            <w:rPr>
              <w:rFonts w:ascii="Cambria Math" w:hAnsi="Cambria Math"/>
            </w:rPr>
            <m:t>total</m:t>
          </m:r>
          <m:r>
            <m:rPr>
              <m:sty m:val="p"/>
            </m:rPr>
            <w:rPr>
              <w:rFonts w:ascii="Cambria Math" w:hAnsi="Cambria Math"/>
            </w:rPr>
            <m:t>-</m:t>
          </m:r>
          <m:r>
            <w:rPr>
              <w:rFonts w:ascii="Cambria Math" w:hAnsi="Cambria Math"/>
            </w:rPr>
            <m:t>Demanda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FTTH</m:t>
          </m:r>
        </m:oMath>
      </m:oMathPara>
    </w:p>
    <w:p w14:paraId="0326865A" w14:textId="06B6D848" w:rsidR="00F31DF4" w:rsidRDefault="00610A9E" w:rsidP="002F477D">
      <w:pPr>
        <w:pStyle w:val="Bullet1"/>
        <w:numPr>
          <w:ilvl w:val="0"/>
          <w:numId w:val="0"/>
        </w:numPr>
        <w:ind w:left="720"/>
      </w:pPr>
      <w:r>
        <w:t xml:space="preserve">Por último, el reparto de la demanda entre las tecnologías de cobre y FTTC se realiza </w:t>
      </w:r>
      <w:r w:rsidR="00F31DF4">
        <w:t>mantenido una proporción constante para los años siguientes</w:t>
      </w:r>
      <w:r w:rsidR="00CF7B03">
        <w:t>,</w:t>
      </w:r>
      <w:r w:rsidR="00F31DF4">
        <w:t xml:space="preserve"> de acuerdo con la </w:t>
      </w:r>
      <w:r>
        <w:t xml:space="preserve">proporción de líneas activas </w:t>
      </w:r>
      <w:r w:rsidR="00F31DF4">
        <w:t>reportada actualmente por el AEP</w:t>
      </w:r>
      <w:r w:rsidR="00A85720">
        <w:t xml:space="preserve"> para estas dos tecnologías</w:t>
      </w:r>
      <w:r w:rsidR="00F31DF4">
        <w:t>.</w:t>
      </w:r>
    </w:p>
    <w:p w14:paraId="40E879D9" w14:textId="174CF3B2" w:rsidR="00720FE2" w:rsidRDefault="00F560E4" w:rsidP="00720FE2">
      <w:r>
        <w:t>La demanda activa resultante de la aproximación descrita anteriormente se muestra en la siguiente imagen:</w:t>
      </w:r>
    </w:p>
    <w:p w14:paraId="0A57B5DA" w14:textId="7A650268" w:rsidR="00720FE2" w:rsidRPr="00F54834" w:rsidRDefault="00720FE2" w:rsidP="00F54834">
      <w:r w:rsidRPr="00720FE2">
        <w:rPr>
          <w:noProof/>
        </w:rPr>
        <w:drawing>
          <wp:inline distT="0" distB="0" distL="0" distR="0" wp14:anchorId="129885D4" wp14:editId="70BBB3AF">
            <wp:extent cx="5759450" cy="3027680"/>
            <wp:effectExtent l="0" t="0" r="0" b="1270"/>
            <wp:docPr id="1830865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027680"/>
                    </a:xfrm>
                    <a:prstGeom prst="rect">
                      <a:avLst/>
                    </a:prstGeom>
                    <a:noFill/>
                    <a:ln>
                      <a:noFill/>
                    </a:ln>
                  </pic:spPr>
                </pic:pic>
              </a:graphicData>
            </a:graphic>
          </wp:inline>
        </w:drawing>
      </w:r>
    </w:p>
    <w:p w14:paraId="0D37E21E" w14:textId="1438628E" w:rsidR="009656CF" w:rsidRDefault="009656CF" w:rsidP="009656CF">
      <w:pPr>
        <w:pStyle w:val="Descripcin"/>
      </w:pPr>
      <w:r>
        <w:t xml:space="preserve">Ilustración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Ilustración \* ARABIC \s 1 </w:instrText>
      </w:r>
      <w:r>
        <w:fldChar w:fldCharType="separate"/>
      </w:r>
      <w:r w:rsidR="00320714">
        <w:rPr>
          <w:noProof/>
        </w:rPr>
        <w:t>2</w:t>
      </w:r>
      <w:r>
        <w:fldChar w:fldCharType="end"/>
      </w:r>
      <w:r>
        <w:t xml:space="preserve">: Definición del parámetro de demanda </w:t>
      </w:r>
      <w:r w:rsidR="00F560E4">
        <w:t xml:space="preserve">activa </w:t>
      </w:r>
      <w:r w:rsidRPr="00E92D59">
        <w:t xml:space="preserve">[Fuente: </w:t>
      </w:r>
      <w:r>
        <w:t>Modelo Integral</w:t>
      </w:r>
      <w:r w:rsidRPr="00E92D59">
        <w:t xml:space="preserve">] </w:t>
      </w:r>
    </w:p>
    <w:p w14:paraId="4FE99429" w14:textId="517CE30F" w:rsidR="00B154BE" w:rsidRDefault="00A24C45" w:rsidP="002A3AE2">
      <w:bookmarkStart w:id="77" w:name="_Ref139887265"/>
      <w:r>
        <w:t xml:space="preserve">Por otro lado, </w:t>
      </w:r>
      <w:r w:rsidR="00253400">
        <w:t xml:space="preserve">el Modelo Integral </w:t>
      </w:r>
      <w:r w:rsidR="007E4B12">
        <w:t>también</w:t>
      </w:r>
      <w:r w:rsidR="003F10FA">
        <w:t xml:space="preserve"> utiliza como</w:t>
      </w:r>
      <w:r w:rsidR="007E4B12">
        <w:t xml:space="preserve"> </w:t>
      </w:r>
      <w:r w:rsidR="00F66408">
        <w:t xml:space="preserve">dato de entrada la distribución de la demanda activa de cada </w:t>
      </w:r>
      <w:r w:rsidR="003F10FA">
        <w:t xml:space="preserve">servicio </w:t>
      </w:r>
      <w:r w:rsidR="00E16A08">
        <w:t xml:space="preserve">modelado para cada una de </w:t>
      </w:r>
      <w:r w:rsidR="00F66408">
        <w:t xml:space="preserve">las tres </w:t>
      </w:r>
      <w:r w:rsidR="00F752B9">
        <w:t>tecnologías</w:t>
      </w:r>
      <w:r w:rsidR="00F66408">
        <w:t xml:space="preserve">. </w:t>
      </w:r>
      <w:r w:rsidR="002A3AE2">
        <w:t xml:space="preserve">Dicha distribución ha sido obtenida a partir de la información reportada </w:t>
      </w:r>
      <w:r w:rsidR="00F752B9">
        <w:t xml:space="preserve">por el AEP, </w:t>
      </w:r>
      <w:r w:rsidR="002A3AE2">
        <w:t xml:space="preserve">en combinación con información extraída de la Separación Contable. </w:t>
      </w:r>
    </w:p>
    <w:p w14:paraId="16EA42FC" w14:textId="5503B5E1" w:rsidR="00F752B9" w:rsidRPr="00014D76" w:rsidRDefault="00F03EA3" w:rsidP="002A3AE2">
      <w:r>
        <w:t xml:space="preserve">La siguiente tabla muestra los porcentajes de distribución asumidos para cada una de las tecnologías: </w:t>
      </w:r>
    </w:p>
    <w:tbl>
      <w:tblPr>
        <w:tblStyle w:val="Axon"/>
        <w:tblW w:w="0" w:type="auto"/>
        <w:jc w:val="center"/>
        <w:tblLook w:val="04A0" w:firstRow="1" w:lastRow="0" w:firstColumn="1" w:lastColumn="0" w:noHBand="0" w:noVBand="1"/>
      </w:tblPr>
      <w:tblGrid>
        <w:gridCol w:w="4395"/>
        <w:gridCol w:w="1559"/>
      </w:tblGrid>
      <w:tr w:rsidR="009511D7" w14:paraId="37AF9CC1" w14:textId="77777777" w:rsidTr="00DB3E3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395" w:type="dxa"/>
          </w:tcPr>
          <w:p w14:paraId="34188D1F" w14:textId="77777777" w:rsidR="009511D7" w:rsidRDefault="009511D7" w:rsidP="00DB3E3B">
            <w:pPr>
              <w:pStyle w:val="TableHeading"/>
              <w:keepNext/>
            </w:pPr>
            <w:r>
              <w:lastRenderedPageBreak/>
              <w:t>Servicios de cobre</w:t>
            </w:r>
          </w:p>
        </w:tc>
        <w:tc>
          <w:tcPr>
            <w:tcW w:w="1559" w:type="dxa"/>
          </w:tcPr>
          <w:p w14:paraId="4315D595" w14:textId="5CF1AAEF" w:rsidR="009511D7" w:rsidRDefault="009511D7" w:rsidP="00DB3E3B">
            <w:pPr>
              <w:pStyle w:val="TableHeading"/>
              <w:keepNext/>
              <w:cnfStyle w:val="100000000000" w:firstRow="1" w:lastRow="0" w:firstColumn="0" w:lastColumn="0" w:oddVBand="0" w:evenVBand="0" w:oddHBand="0" w:evenHBand="0" w:firstRowFirstColumn="0" w:firstRowLastColumn="0" w:lastRowFirstColumn="0" w:lastRowLastColumn="0"/>
            </w:pPr>
            <w:r>
              <w:t>Porcentaje de líneas</w:t>
            </w:r>
          </w:p>
        </w:tc>
      </w:tr>
      <w:tr w:rsidR="009511D7" w14:paraId="17C89B11"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671D79F8" w14:textId="77777777" w:rsidR="009511D7" w:rsidRDefault="009511D7" w:rsidP="00DB3E3B">
            <w:pPr>
              <w:pStyle w:val="TableParagraph"/>
            </w:pPr>
            <w:r w:rsidRPr="003C14B8">
              <w:t>SLU - Full</w:t>
            </w:r>
          </w:p>
        </w:tc>
        <w:tc>
          <w:tcPr>
            <w:tcW w:w="1559" w:type="dxa"/>
            <w:vAlign w:val="top"/>
          </w:tcPr>
          <w:p w14:paraId="698E6BC0" w14:textId="2BE2D52B" w:rsidR="009511D7" w:rsidRPr="00784228" w:rsidRDefault="009511D7" w:rsidP="00DB3E3B">
            <w:pPr>
              <w:pStyle w:val="TableParagraph"/>
              <w:jc w:val="center"/>
              <w:cnfStyle w:val="000000000000" w:firstRow="0" w:lastRow="0" w:firstColumn="0" w:lastColumn="0" w:oddVBand="0" w:evenVBand="0" w:oddHBand="0" w:evenHBand="0" w:firstRowFirstColumn="0" w:firstRowLastColumn="0" w:lastRowFirstColumn="0" w:lastRowLastColumn="0"/>
            </w:pPr>
            <w:r w:rsidRPr="00784228">
              <w:t>0</w:t>
            </w:r>
            <w:r w:rsidR="00C90ECD">
              <w:t>.</w:t>
            </w:r>
            <w:r w:rsidRPr="00784228">
              <w:t>00%</w:t>
            </w:r>
          </w:p>
        </w:tc>
      </w:tr>
      <w:tr w:rsidR="009511D7" w14:paraId="53121931"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05F18763" w14:textId="77777777" w:rsidR="009511D7" w:rsidRDefault="009511D7" w:rsidP="00DB3E3B">
            <w:pPr>
              <w:pStyle w:val="TableParagraph"/>
            </w:pPr>
            <w:r w:rsidRPr="003C14B8">
              <w:t xml:space="preserve">SLU - </w:t>
            </w:r>
            <w:proofErr w:type="spellStart"/>
            <w:r w:rsidRPr="003C14B8">
              <w:t>Shared</w:t>
            </w:r>
            <w:proofErr w:type="spellEnd"/>
          </w:p>
        </w:tc>
        <w:tc>
          <w:tcPr>
            <w:tcW w:w="1559" w:type="dxa"/>
            <w:vAlign w:val="top"/>
          </w:tcPr>
          <w:p w14:paraId="3FB9B99A" w14:textId="2124F003" w:rsidR="009511D7" w:rsidRPr="00784228" w:rsidRDefault="009511D7" w:rsidP="00DB3E3B">
            <w:pPr>
              <w:pStyle w:val="TableParagraph"/>
              <w:jc w:val="center"/>
              <w:cnfStyle w:val="000000000000" w:firstRow="0" w:lastRow="0" w:firstColumn="0" w:lastColumn="0" w:oddVBand="0" w:evenVBand="0" w:oddHBand="0" w:evenHBand="0" w:firstRowFirstColumn="0" w:firstRowLastColumn="0" w:lastRowFirstColumn="0" w:lastRowLastColumn="0"/>
            </w:pPr>
            <w:r w:rsidRPr="00784228">
              <w:t>0</w:t>
            </w:r>
            <w:r w:rsidR="00C90ECD">
              <w:t>.</w:t>
            </w:r>
            <w:r w:rsidRPr="00784228">
              <w:t>00%</w:t>
            </w:r>
          </w:p>
        </w:tc>
      </w:tr>
      <w:tr w:rsidR="009511D7" w14:paraId="0358C470"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785D5B3E" w14:textId="77777777" w:rsidR="009511D7" w:rsidRDefault="009511D7" w:rsidP="00DB3E3B">
            <w:pPr>
              <w:pStyle w:val="TableParagraph"/>
            </w:pPr>
            <w:r w:rsidRPr="003C14B8">
              <w:t>LLU - Full</w:t>
            </w:r>
          </w:p>
        </w:tc>
        <w:tc>
          <w:tcPr>
            <w:tcW w:w="1559" w:type="dxa"/>
            <w:vAlign w:val="top"/>
          </w:tcPr>
          <w:p w14:paraId="1237D7A6" w14:textId="42021934" w:rsidR="009511D7" w:rsidRPr="00784228" w:rsidRDefault="009511D7" w:rsidP="00DB3E3B">
            <w:pPr>
              <w:pStyle w:val="TableParagraph"/>
              <w:jc w:val="center"/>
              <w:cnfStyle w:val="000000000000" w:firstRow="0" w:lastRow="0" w:firstColumn="0" w:lastColumn="0" w:oddVBand="0" w:evenVBand="0" w:oddHBand="0" w:evenHBand="0" w:firstRowFirstColumn="0" w:firstRowLastColumn="0" w:lastRowFirstColumn="0" w:lastRowLastColumn="0"/>
            </w:pPr>
            <w:r w:rsidRPr="00784228">
              <w:t>40</w:t>
            </w:r>
            <w:r w:rsidR="00C90ECD">
              <w:t>.</w:t>
            </w:r>
            <w:r w:rsidRPr="00784228">
              <w:t>03%</w:t>
            </w:r>
          </w:p>
        </w:tc>
      </w:tr>
      <w:tr w:rsidR="009511D7" w14:paraId="02A6595D"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7F74BAF3" w14:textId="77777777" w:rsidR="009511D7" w:rsidRDefault="009511D7" w:rsidP="00DB3E3B">
            <w:pPr>
              <w:pStyle w:val="TableParagraph"/>
            </w:pPr>
            <w:r w:rsidRPr="003C14B8">
              <w:t xml:space="preserve">LLU - </w:t>
            </w:r>
            <w:proofErr w:type="spellStart"/>
            <w:r w:rsidRPr="003C14B8">
              <w:t>Shared</w:t>
            </w:r>
            <w:proofErr w:type="spellEnd"/>
          </w:p>
        </w:tc>
        <w:tc>
          <w:tcPr>
            <w:tcW w:w="1559" w:type="dxa"/>
            <w:vAlign w:val="top"/>
          </w:tcPr>
          <w:p w14:paraId="57737041" w14:textId="0A12417D" w:rsidR="009511D7" w:rsidRPr="00784228" w:rsidRDefault="009511D7" w:rsidP="00DB3E3B">
            <w:pPr>
              <w:pStyle w:val="TableParagraph"/>
              <w:jc w:val="center"/>
              <w:cnfStyle w:val="000000000000" w:firstRow="0" w:lastRow="0" w:firstColumn="0" w:lastColumn="0" w:oddVBand="0" w:evenVBand="0" w:oddHBand="0" w:evenHBand="0" w:firstRowFirstColumn="0" w:firstRowLastColumn="0" w:lastRowFirstColumn="0" w:lastRowLastColumn="0"/>
            </w:pPr>
            <w:r w:rsidRPr="00784228">
              <w:t>0</w:t>
            </w:r>
            <w:r w:rsidR="00C90ECD">
              <w:t>.</w:t>
            </w:r>
            <w:r w:rsidRPr="00784228">
              <w:t>00%</w:t>
            </w:r>
          </w:p>
        </w:tc>
      </w:tr>
      <w:tr w:rsidR="009511D7" w14:paraId="6CEFD9E3"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42BEFFE7" w14:textId="77777777" w:rsidR="009511D7" w:rsidRDefault="009511D7" w:rsidP="00DB3E3B">
            <w:pPr>
              <w:pStyle w:val="TableParagraph"/>
            </w:pPr>
            <w:r w:rsidRPr="003C14B8">
              <w:t>Servicio de reventa de línea telefónica (WLR)</w:t>
            </w:r>
          </w:p>
        </w:tc>
        <w:tc>
          <w:tcPr>
            <w:tcW w:w="1559" w:type="dxa"/>
            <w:vAlign w:val="top"/>
          </w:tcPr>
          <w:p w14:paraId="341A3855" w14:textId="7FCFE5B0" w:rsidR="009511D7" w:rsidRPr="00784228" w:rsidRDefault="009511D7" w:rsidP="00DB3E3B">
            <w:pPr>
              <w:pStyle w:val="TableParagraph"/>
              <w:jc w:val="center"/>
              <w:cnfStyle w:val="000000000000" w:firstRow="0" w:lastRow="0" w:firstColumn="0" w:lastColumn="0" w:oddVBand="0" w:evenVBand="0" w:oddHBand="0" w:evenHBand="0" w:firstRowFirstColumn="0" w:firstRowLastColumn="0" w:lastRowFirstColumn="0" w:lastRowLastColumn="0"/>
            </w:pPr>
            <w:r w:rsidRPr="00784228">
              <w:t>0</w:t>
            </w:r>
            <w:r w:rsidR="00C90ECD">
              <w:t>.</w:t>
            </w:r>
            <w:r w:rsidRPr="00784228">
              <w:t>00%</w:t>
            </w:r>
          </w:p>
        </w:tc>
      </w:tr>
      <w:tr w:rsidR="009511D7" w14:paraId="59985A7C"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4886BE78" w14:textId="77777777" w:rsidR="009511D7" w:rsidRDefault="009511D7" w:rsidP="00CF7B03">
            <w:pPr>
              <w:pStyle w:val="TableParagraph"/>
              <w:keepNext/>
              <w:keepLines/>
            </w:pPr>
            <w:proofErr w:type="spellStart"/>
            <w:r w:rsidRPr="003C14B8">
              <w:t>Bitstream</w:t>
            </w:r>
            <w:proofErr w:type="spellEnd"/>
            <w:r w:rsidRPr="003C14B8">
              <w:t xml:space="preserve"> Cobre - </w:t>
            </w:r>
            <w:proofErr w:type="spellStart"/>
            <w:r w:rsidRPr="003C14B8">
              <w:t>Naked</w:t>
            </w:r>
            <w:proofErr w:type="spellEnd"/>
          </w:p>
        </w:tc>
        <w:tc>
          <w:tcPr>
            <w:tcW w:w="1559" w:type="dxa"/>
            <w:vAlign w:val="top"/>
          </w:tcPr>
          <w:p w14:paraId="36258CD3" w14:textId="007074E6" w:rsidR="009511D7" w:rsidRPr="00784228" w:rsidRDefault="009511D7" w:rsidP="00CF7B03">
            <w:pPr>
              <w:pStyle w:val="TableParagraph"/>
              <w:keepNext/>
              <w:keepLines/>
              <w:jc w:val="center"/>
              <w:cnfStyle w:val="000000000000" w:firstRow="0" w:lastRow="0" w:firstColumn="0" w:lastColumn="0" w:oddVBand="0" w:evenVBand="0" w:oddHBand="0" w:evenHBand="0" w:firstRowFirstColumn="0" w:firstRowLastColumn="0" w:lastRowFirstColumn="0" w:lastRowLastColumn="0"/>
            </w:pPr>
            <w:r w:rsidRPr="00784228">
              <w:t>59</w:t>
            </w:r>
            <w:r w:rsidR="00C90ECD">
              <w:t>.</w:t>
            </w:r>
            <w:r w:rsidRPr="00784228">
              <w:t>95%</w:t>
            </w:r>
          </w:p>
        </w:tc>
      </w:tr>
      <w:tr w:rsidR="009511D7" w14:paraId="40B34916"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44D42D19" w14:textId="77777777" w:rsidR="009511D7" w:rsidRDefault="009511D7" w:rsidP="00CF7B03">
            <w:pPr>
              <w:pStyle w:val="TableParagraph"/>
              <w:keepNext/>
              <w:keepLines/>
            </w:pPr>
            <w:proofErr w:type="spellStart"/>
            <w:r w:rsidRPr="003C14B8">
              <w:t>Bitstream</w:t>
            </w:r>
            <w:proofErr w:type="spellEnd"/>
            <w:r w:rsidRPr="003C14B8">
              <w:t xml:space="preserve"> Cobre - </w:t>
            </w:r>
            <w:proofErr w:type="spellStart"/>
            <w:r w:rsidRPr="003C14B8">
              <w:t>Shared</w:t>
            </w:r>
            <w:proofErr w:type="spellEnd"/>
          </w:p>
        </w:tc>
        <w:tc>
          <w:tcPr>
            <w:tcW w:w="1559" w:type="dxa"/>
            <w:vAlign w:val="top"/>
          </w:tcPr>
          <w:p w14:paraId="2BDC6249" w14:textId="6784406E" w:rsidR="009511D7" w:rsidRPr="00784228" w:rsidRDefault="009511D7" w:rsidP="00CF7B03">
            <w:pPr>
              <w:pStyle w:val="TableParagraph"/>
              <w:keepNext/>
              <w:keepLines/>
              <w:jc w:val="center"/>
              <w:cnfStyle w:val="000000000000" w:firstRow="0" w:lastRow="0" w:firstColumn="0" w:lastColumn="0" w:oddVBand="0" w:evenVBand="0" w:oddHBand="0" w:evenHBand="0" w:firstRowFirstColumn="0" w:firstRowLastColumn="0" w:lastRowFirstColumn="0" w:lastRowLastColumn="0"/>
            </w:pPr>
            <w:r w:rsidRPr="00784228">
              <w:t>0</w:t>
            </w:r>
            <w:r w:rsidR="00C90ECD">
              <w:t>.</w:t>
            </w:r>
            <w:r w:rsidRPr="00784228">
              <w:t>00%</w:t>
            </w:r>
          </w:p>
        </w:tc>
      </w:tr>
    </w:tbl>
    <w:p w14:paraId="39079E2B" w14:textId="61FD450B" w:rsidR="00F752B9" w:rsidRDefault="00F752B9" w:rsidP="00CF7B03">
      <w:pPr>
        <w:pStyle w:val="Descripcin"/>
        <w:keepNext/>
        <w:keepLines/>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2</w:t>
      </w:r>
      <w:r>
        <w:fldChar w:fldCharType="end"/>
      </w:r>
      <w:r>
        <w:t xml:space="preserve"> </w:t>
      </w:r>
      <w:r w:rsidR="0077415D">
        <w:t xml:space="preserve">Distribución de la demanda </w:t>
      </w:r>
      <w:r>
        <w:t xml:space="preserve">de </w:t>
      </w:r>
      <w:r w:rsidR="0077415D">
        <w:t xml:space="preserve">los </w:t>
      </w:r>
      <w:r>
        <w:t>servicios</w:t>
      </w:r>
      <w:r w:rsidR="00CB4412">
        <w:t xml:space="preserve"> de cobre</w:t>
      </w:r>
      <w:r>
        <w:t xml:space="preserve"> [Fuente: </w:t>
      </w:r>
      <w:proofErr w:type="spellStart"/>
      <w:r w:rsidR="001F49FA">
        <w:t>Axon</w:t>
      </w:r>
      <w:proofErr w:type="spellEnd"/>
      <w:r w:rsidR="001F49FA">
        <w:t xml:space="preserve"> con base en información del AEP</w:t>
      </w:r>
      <w:r>
        <w:t>]</w:t>
      </w:r>
    </w:p>
    <w:tbl>
      <w:tblPr>
        <w:tblStyle w:val="Axon"/>
        <w:tblW w:w="0" w:type="auto"/>
        <w:jc w:val="center"/>
        <w:tblLook w:val="04A0" w:firstRow="1" w:lastRow="0" w:firstColumn="1" w:lastColumn="0" w:noHBand="0" w:noVBand="1"/>
      </w:tblPr>
      <w:tblGrid>
        <w:gridCol w:w="4395"/>
        <w:gridCol w:w="1559"/>
      </w:tblGrid>
      <w:tr w:rsidR="00CB4412" w14:paraId="13EE3B10" w14:textId="77777777" w:rsidTr="00DB3E3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395" w:type="dxa"/>
          </w:tcPr>
          <w:p w14:paraId="6217EDA6" w14:textId="0219F02E" w:rsidR="00CB4412" w:rsidRDefault="00CB4412" w:rsidP="00DB3E3B">
            <w:pPr>
              <w:pStyle w:val="TableHeading"/>
              <w:keepNext/>
            </w:pPr>
            <w:r>
              <w:t>Servicios FTTH</w:t>
            </w:r>
          </w:p>
        </w:tc>
        <w:tc>
          <w:tcPr>
            <w:tcW w:w="1559" w:type="dxa"/>
          </w:tcPr>
          <w:p w14:paraId="4B04D863" w14:textId="77777777" w:rsidR="00CB4412" w:rsidRDefault="00CB4412" w:rsidP="00DB3E3B">
            <w:pPr>
              <w:pStyle w:val="TableHeading"/>
              <w:keepNext/>
              <w:cnfStyle w:val="100000000000" w:firstRow="1" w:lastRow="0" w:firstColumn="0" w:lastColumn="0" w:oddVBand="0" w:evenVBand="0" w:oddHBand="0" w:evenHBand="0" w:firstRowFirstColumn="0" w:firstRowLastColumn="0" w:lastRowFirstColumn="0" w:lastRowLastColumn="0"/>
            </w:pPr>
            <w:r>
              <w:t>Porcentaje de líneas</w:t>
            </w:r>
          </w:p>
        </w:tc>
      </w:tr>
      <w:tr w:rsidR="00503842" w14:paraId="0F5376BD"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355C9A46" w14:textId="56DB2A0F" w:rsidR="00503842" w:rsidRDefault="00503842" w:rsidP="00503842">
            <w:pPr>
              <w:pStyle w:val="TableParagraph"/>
            </w:pPr>
            <w:r w:rsidRPr="00EA701F">
              <w:t>Acceso indirecto</w:t>
            </w:r>
          </w:p>
        </w:tc>
        <w:tc>
          <w:tcPr>
            <w:tcW w:w="1559" w:type="dxa"/>
            <w:vAlign w:val="top"/>
          </w:tcPr>
          <w:p w14:paraId="3C973184" w14:textId="79E3A701" w:rsidR="00503842" w:rsidRPr="00784228" w:rsidRDefault="00503842" w:rsidP="00503842">
            <w:pPr>
              <w:pStyle w:val="TableParagraph"/>
              <w:jc w:val="center"/>
              <w:cnfStyle w:val="000000000000" w:firstRow="0" w:lastRow="0" w:firstColumn="0" w:lastColumn="0" w:oddVBand="0" w:evenVBand="0" w:oddHBand="0" w:evenHBand="0" w:firstRowFirstColumn="0" w:firstRowLastColumn="0" w:lastRowFirstColumn="0" w:lastRowLastColumn="0"/>
            </w:pPr>
            <w:r w:rsidRPr="0094008A">
              <w:t>93</w:t>
            </w:r>
            <w:r w:rsidR="00C90ECD">
              <w:t>.</w:t>
            </w:r>
            <w:r w:rsidRPr="0094008A">
              <w:t>86%</w:t>
            </w:r>
          </w:p>
        </w:tc>
      </w:tr>
      <w:tr w:rsidR="00503842" w14:paraId="04473310"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0FFEE5B6" w14:textId="30E9772A" w:rsidR="00503842" w:rsidRDefault="00503842" w:rsidP="00503842">
            <w:pPr>
              <w:pStyle w:val="TableParagraph"/>
            </w:pPr>
            <w:r w:rsidRPr="00EA701F">
              <w:t>Desagregación virtual - VULA sin ONT</w:t>
            </w:r>
          </w:p>
        </w:tc>
        <w:tc>
          <w:tcPr>
            <w:tcW w:w="1559" w:type="dxa"/>
            <w:vAlign w:val="top"/>
          </w:tcPr>
          <w:p w14:paraId="40BF41AC" w14:textId="3F01572B" w:rsidR="00503842" w:rsidRPr="00784228" w:rsidRDefault="00503842" w:rsidP="00503842">
            <w:pPr>
              <w:pStyle w:val="TableParagraph"/>
              <w:jc w:val="center"/>
              <w:cnfStyle w:val="000000000000" w:firstRow="0" w:lastRow="0" w:firstColumn="0" w:lastColumn="0" w:oddVBand="0" w:evenVBand="0" w:oddHBand="0" w:evenHBand="0" w:firstRowFirstColumn="0" w:firstRowLastColumn="0" w:lastRowFirstColumn="0" w:lastRowLastColumn="0"/>
            </w:pPr>
            <w:r w:rsidRPr="0094008A">
              <w:t>0</w:t>
            </w:r>
            <w:r w:rsidR="00C90ECD">
              <w:t>.</w:t>
            </w:r>
            <w:r w:rsidRPr="0094008A">
              <w:t>00%</w:t>
            </w:r>
          </w:p>
        </w:tc>
      </w:tr>
      <w:tr w:rsidR="00503842" w14:paraId="3F0C5A71"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3A7E9C8B" w14:textId="078D4773" w:rsidR="00503842" w:rsidRDefault="00503842" w:rsidP="00503842">
            <w:pPr>
              <w:pStyle w:val="TableParagraph"/>
            </w:pPr>
            <w:r w:rsidRPr="00EA701F">
              <w:t>Desagregación virtual - VULA con ONT</w:t>
            </w:r>
          </w:p>
        </w:tc>
        <w:tc>
          <w:tcPr>
            <w:tcW w:w="1559" w:type="dxa"/>
            <w:vAlign w:val="top"/>
          </w:tcPr>
          <w:p w14:paraId="26484F06" w14:textId="2BD5F6B0" w:rsidR="00503842" w:rsidRPr="00784228" w:rsidRDefault="00503842" w:rsidP="00503842">
            <w:pPr>
              <w:pStyle w:val="TableParagraph"/>
              <w:jc w:val="center"/>
              <w:cnfStyle w:val="000000000000" w:firstRow="0" w:lastRow="0" w:firstColumn="0" w:lastColumn="0" w:oddVBand="0" w:evenVBand="0" w:oddHBand="0" w:evenHBand="0" w:firstRowFirstColumn="0" w:firstRowLastColumn="0" w:lastRowFirstColumn="0" w:lastRowLastColumn="0"/>
            </w:pPr>
            <w:r w:rsidRPr="0094008A">
              <w:t>0</w:t>
            </w:r>
            <w:r w:rsidR="00C90ECD">
              <w:t>.</w:t>
            </w:r>
            <w:r w:rsidRPr="0094008A">
              <w:t>00%</w:t>
            </w:r>
          </w:p>
        </w:tc>
      </w:tr>
      <w:tr w:rsidR="00503842" w14:paraId="1A9FA031"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57F682E8" w14:textId="51FABB4D" w:rsidR="00503842" w:rsidRDefault="00503842" w:rsidP="00503842">
            <w:pPr>
              <w:pStyle w:val="TableParagraph"/>
            </w:pPr>
            <w:r w:rsidRPr="00EA701F">
              <w:t>Desagregación bucle punto a punto</w:t>
            </w:r>
          </w:p>
        </w:tc>
        <w:tc>
          <w:tcPr>
            <w:tcW w:w="1559" w:type="dxa"/>
            <w:vAlign w:val="top"/>
          </w:tcPr>
          <w:p w14:paraId="2708E0AA" w14:textId="35152F22" w:rsidR="00503842" w:rsidRPr="00784228" w:rsidRDefault="00503842" w:rsidP="00503842">
            <w:pPr>
              <w:pStyle w:val="TableParagraph"/>
              <w:jc w:val="center"/>
              <w:cnfStyle w:val="000000000000" w:firstRow="0" w:lastRow="0" w:firstColumn="0" w:lastColumn="0" w:oddVBand="0" w:evenVBand="0" w:oddHBand="0" w:evenHBand="0" w:firstRowFirstColumn="0" w:firstRowLastColumn="0" w:lastRowFirstColumn="0" w:lastRowLastColumn="0"/>
            </w:pPr>
            <w:r w:rsidRPr="0094008A">
              <w:t>0</w:t>
            </w:r>
            <w:r w:rsidR="00C90ECD">
              <w:t>.</w:t>
            </w:r>
            <w:r w:rsidRPr="0094008A">
              <w:t>00%</w:t>
            </w:r>
          </w:p>
        </w:tc>
      </w:tr>
      <w:tr w:rsidR="00503842" w14:paraId="7C812138"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78D147BF" w14:textId="1AF05F7A" w:rsidR="00503842" w:rsidRDefault="00503842" w:rsidP="00503842">
            <w:pPr>
              <w:pStyle w:val="TableParagraph"/>
            </w:pPr>
            <w:r w:rsidRPr="00EA701F">
              <w:t>Enlace dedicado</w:t>
            </w:r>
          </w:p>
        </w:tc>
        <w:tc>
          <w:tcPr>
            <w:tcW w:w="1559" w:type="dxa"/>
            <w:vAlign w:val="top"/>
          </w:tcPr>
          <w:p w14:paraId="0FBA6353" w14:textId="797E8123" w:rsidR="00503842" w:rsidRPr="00784228" w:rsidRDefault="00503842" w:rsidP="00503842">
            <w:pPr>
              <w:pStyle w:val="TableParagraph"/>
              <w:jc w:val="center"/>
              <w:cnfStyle w:val="000000000000" w:firstRow="0" w:lastRow="0" w:firstColumn="0" w:lastColumn="0" w:oddVBand="0" w:evenVBand="0" w:oddHBand="0" w:evenHBand="0" w:firstRowFirstColumn="0" w:firstRowLastColumn="0" w:lastRowFirstColumn="0" w:lastRowLastColumn="0"/>
            </w:pPr>
            <w:r w:rsidRPr="0094008A">
              <w:t>6</w:t>
            </w:r>
            <w:r w:rsidR="00C90ECD">
              <w:t>.</w:t>
            </w:r>
            <w:r w:rsidRPr="0094008A">
              <w:t>13%</w:t>
            </w:r>
          </w:p>
        </w:tc>
      </w:tr>
    </w:tbl>
    <w:p w14:paraId="580AF1AE" w14:textId="0454AE45" w:rsidR="00CB4412" w:rsidRDefault="00CB4412" w:rsidP="00CB4412">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3</w:t>
      </w:r>
      <w:r>
        <w:fldChar w:fldCharType="end"/>
      </w:r>
      <w:r>
        <w:t xml:space="preserve"> Distribución de la demanda de los servicios d</w:t>
      </w:r>
      <w:r w:rsidR="00503842">
        <w:t xml:space="preserve">e FTTH </w:t>
      </w:r>
      <w:r>
        <w:t xml:space="preserve">[Fuente: </w:t>
      </w:r>
      <w:proofErr w:type="spellStart"/>
      <w:r w:rsidR="001F49FA">
        <w:t>Axon</w:t>
      </w:r>
      <w:proofErr w:type="spellEnd"/>
      <w:r w:rsidR="001F49FA">
        <w:t xml:space="preserve"> con base en información del </w:t>
      </w:r>
      <w:r>
        <w:t>AEP]</w:t>
      </w:r>
    </w:p>
    <w:tbl>
      <w:tblPr>
        <w:tblStyle w:val="Axon"/>
        <w:tblW w:w="0" w:type="auto"/>
        <w:jc w:val="center"/>
        <w:tblLook w:val="04A0" w:firstRow="1" w:lastRow="0" w:firstColumn="1" w:lastColumn="0" w:noHBand="0" w:noVBand="1"/>
      </w:tblPr>
      <w:tblGrid>
        <w:gridCol w:w="4395"/>
        <w:gridCol w:w="1559"/>
      </w:tblGrid>
      <w:tr w:rsidR="00503842" w14:paraId="652F97C6" w14:textId="77777777" w:rsidTr="00DB3E3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395" w:type="dxa"/>
          </w:tcPr>
          <w:p w14:paraId="708CF794" w14:textId="6A0830D7" w:rsidR="00503842" w:rsidRDefault="00503842" w:rsidP="00DB3E3B">
            <w:pPr>
              <w:pStyle w:val="TableHeading"/>
              <w:keepNext/>
            </w:pPr>
            <w:r>
              <w:t>Servicios FTTC</w:t>
            </w:r>
          </w:p>
        </w:tc>
        <w:tc>
          <w:tcPr>
            <w:tcW w:w="1559" w:type="dxa"/>
          </w:tcPr>
          <w:p w14:paraId="6B02CAEB" w14:textId="77777777" w:rsidR="00503842" w:rsidRDefault="00503842" w:rsidP="00DB3E3B">
            <w:pPr>
              <w:pStyle w:val="TableHeading"/>
              <w:keepNext/>
              <w:cnfStyle w:val="100000000000" w:firstRow="1" w:lastRow="0" w:firstColumn="0" w:lastColumn="0" w:oddVBand="0" w:evenVBand="0" w:oddHBand="0" w:evenHBand="0" w:firstRowFirstColumn="0" w:firstRowLastColumn="0" w:lastRowFirstColumn="0" w:lastRowLastColumn="0"/>
            </w:pPr>
            <w:r>
              <w:t>Porcentaje de líneas</w:t>
            </w:r>
          </w:p>
        </w:tc>
      </w:tr>
      <w:tr w:rsidR="00AC1C62" w14:paraId="175DF8A6"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6DDE7140" w14:textId="7FF9B53B" w:rsidR="00AC1C62" w:rsidRDefault="00AC1C62" w:rsidP="00AC1C62">
            <w:pPr>
              <w:pStyle w:val="TableParagraph"/>
            </w:pPr>
            <w:r w:rsidRPr="000C1887">
              <w:t>Acceso indirecto</w:t>
            </w:r>
          </w:p>
        </w:tc>
        <w:tc>
          <w:tcPr>
            <w:tcW w:w="1559" w:type="dxa"/>
            <w:vAlign w:val="top"/>
          </w:tcPr>
          <w:p w14:paraId="09AB9ACA" w14:textId="2F32F115" w:rsidR="00AC1C62" w:rsidRPr="00784228" w:rsidRDefault="00AC1C62" w:rsidP="00AC1C62">
            <w:pPr>
              <w:pStyle w:val="TableParagraph"/>
              <w:jc w:val="center"/>
              <w:cnfStyle w:val="000000000000" w:firstRow="0" w:lastRow="0" w:firstColumn="0" w:lastColumn="0" w:oddVBand="0" w:evenVBand="0" w:oddHBand="0" w:evenHBand="0" w:firstRowFirstColumn="0" w:firstRowLastColumn="0" w:lastRowFirstColumn="0" w:lastRowLastColumn="0"/>
            </w:pPr>
            <w:r w:rsidRPr="007E4C33">
              <w:t>99</w:t>
            </w:r>
            <w:r w:rsidR="00C90ECD">
              <w:t>.</w:t>
            </w:r>
            <w:r w:rsidRPr="007E4C33">
              <w:t>99%</w:t>
            </w:r>
          </w:p>
        </w:tc>
      </w:tr>
      <w:tr w:rsidR="00AC1C62" w14:paraId="6CAC5734"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0B18B3CD" w14:textId="29AA95B7" w:rsidR="00AC1C62" w:rsidRDefault="00AC1C62" w:rsidP="00AC1C62">
            <w:pPr>
              <w:pStyle w:val="TableParagraph"/>
            </w:pPr>
            <w:r w:rsidRPr="000C1887">
              <w:t>Desagregación virtual - VULA sin ONT</w:t>
            </w:r>
          </w:p>
        </w:tc>
        <w:tc>
          <w:tcPr>
            <w:tcW w:w="1559" w:type="dxa"/>
            <w:vAlign w:val="top"/>
          </w:tcPr>
          <w:p w14:paraId="4DB67B7D" w14:textId="46816E20" w:rsidR="00AC1C62" w:rsidRPr="00784228" w:rsidRDefault="00AC1C62" w:rsidP="00AC1C62">
            <w:pPr>
              <w:pStyle w:val="TableParagraph"/>
              <w:jc w:val="center"/>
              <w:cnfStyle w:val="000000000000" w:firstRow="0" w:lastRow="0" w:firstColumn="0" w:lastColumn="0" w:oddVBand="0" w:evenVBand="0" w:oddHBand="0" w:evenHBand="0" w:firstRowFirstColumn="0" w:firstRowLastColumn="0" w:lastRowFirstColumn="0" w:lastRowLastColumn="0"/>
            </w:pPr>
            <w:r w:rsidRPr="007E4C33">
              <w:t>0</w:t>
            </w:r>
            <w:r w:rsidR="00C90ECD">
              <w:t>.</w:t>
            </w:r>
            <w:r w:rsidRPr="007E4C33">
              <w:t>00%</w:t>
            </w:r>
          </w:p>
        </w:tc>
      </w:tr>
      <w:tr w:rsidR="00AC1C62" w14:paraId="0E0AB406"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4395" w:type="dxa"/>
            <w:vAlign w:val="top"/>
          </w:tcPr>
          <w:p w14:paraId="2A9A5C34" w14:textId="103E5BEF" w:rsidR="00AC1C62" w:rsidRDefault="00AC1C62" w:rsidP="00AC1C62">
            <w:pPr>
              <w:pStyle w:val="TableParagraph"/>
            </w:pPr>
            <w:r w:rsidRPr="000C1887">
              <w:t>Desagregación virtual - VULA con ONT</w:t>
            </w:r>
          </w:p>
        </w:tc>
        <w:tc>
          <w:tcPr>
            <w:tcW w:w="1559" w:type="dxa"/>
            <w:vAlign w:val="top"/>
          </w:tcPr>
          <w:p w14:paraId="7ED00988" w14:textId="08937029" w:rsidR="00AC1C62" w:rsidRPr="00784228" w:rsidRDefault="00AC1C62" w:rsidP="00AC1C62">
            <w:pPr>
              <w:pStyle w:val="TableParagraph"/>
              <w:jc w:val="center"/>
              <w:cnfStyle w:val="000000000000" w:firstRow="0" w:lastRow="0" w:firstColumn="0" w:lastColumn="0" w:oddVBand="0" w:evenVBand="0" w:oddHBand="0" w:evenHBand="0" w:firstRowFirstColumn="0" w:firstRowLastColumn="0" w:lastRowFirstColumn="0" w:lastRowLastColumn="0"/>
            </w:pPr>
            <w:r w:rsidRPr="007E4C33">
              <w:t>0</w:t>
            </w:r>
            <w:r w:rsidR="00C90ECD">
              <w:t>.</w:t>
            </w:r>
            <w:r w:rsidRPr="007E4C33">
              <w:t>00%</w:t>
            </w:r>
          </w:p>
        </w:tc>
      </w:tr>
    </w:tbl>
    <w:p w14:paraId="7B03CE6E" w14:textId="67AEA0D9" w:rsidR="00665A1F" w:rsidRPr="00665A1F" w:rsidRDefault="00665A1F" w:rsidP="00665A1F">
      <w:pPr>
        <w:pStyle w:val="Descripcin"/>
      </w:pPr>
      <w:r w:rsidRPr="00665A1F">
        <w:t xml:space="preserve">Tabla </w:t>
      </w:r>
      <w:r>
        <w:fldChar w:fldCharType="begin"/>
      </w:r>
      <w:r w:rsidRPr="00665A1F">
        <w:instrText xml:space="preserve"> STYLEREF 1 \s </w:instrText>
      </w:r>
      <w:r>
        <w:fldChar w:fldCharType="separate"/>
      </w:r>
      <w:r w:rsidR="00320714">
        <w:rPr>
          <w:rFonts w:hint="cs"/>
          <w:noProof/>
          <w:cs/>
        </w:rPr>
        <w:t>‎</w:t>
      </w:r>
      <w:r w:rsidR="00320714">
        <w:rPr>
          <w:noProof/>
        </w:rPr>
        <w:t>3</w:t>
      </w:r>
      <w:r>
        <w:fldChar w:fldCharType="end"/>
      </w:r>
      <w:r w:rsidRPr="00665A1F">
        <w:t>.</w:t>
      </w:r>
      <w:r>
        <w:fldChar w:fldCharType="begin"/>
      </w:r>
      <w:r w:rsidRPr="00665A1F">
        <w:instrText xml:space="preserve"> SEQ Tabla \* ARABIC \s 1 </w:instrText>
      </w:r>
      <w:r>
        <w:fldChar w:fldCharType="separate"/>
      </w:r>
      <w:r w:rsidR="00320714">
        <w:rPr>
          <w:noProof/>
        </w:rPr>
        <w:t>4</w:t>
      </w:r>
      <w:r>
        <w:fldChar w:fldCharType="end"/>
      </w:r>
      <w:r w:rsidRPr="00665A1F">
        <w:t xml:space="preserve"> Distribución de la demanda de los servicios de </w:t>
      </w:r>
      <w:r w:rsidR="00CF7B03">
        <w:t>FTTC</w:t>
      </w:r>
      <w:r w:rsidRPr="00665A1F">
        <w:t xml:space="preserve"> [Fuente: </w:t>
      </w:r>
      <w:proofErr w:type="spellStart"/>
      <w:r w:rsidRPr="00665A1F">
        <w:t>Axon</w:t>
      </w:r>
      <w:proofErr w:type="spellEnd"/>
      <w:r w:rsidRPr="00665A1F">
        <w:t xml:space="preserve"> con base en información del AEP]</w:t>
      </w:r>
    </w:p>
    <w:p w14:paraId="37AEFB80" w14:textId="366FDA08" w:rsidR="00D85CDB" w:rsidRPr="00FD2F07" w:rsidRDefault="00B40D52" w:rsidP="00FD2F07">
      <w:pPr>
        <w:pStyle w:val="Update"/>
        <w:rPr>
          <w:b w:val="0"/>
          <w:bCs/>
          <w:lang w:val="es-ES"/>
        </w:rPr>
      </w:pPr>
      <w:r w:rsidRPr="00FD2F07">
        <w:rPr>
          <w:b w:val="0"/>
          <w:bCs/>
          <w:lang w:val="es-ES"/>
        </w:rPr>
        <w:t xml:space="preserve">Se ha actualizado la información sobre demanda activa de los servicios para las 3 tecnologías modeladas: </w:t>
      </w:r>
      <w:r w:rsidR="00D85CDB" w:rsidRPr="00FD2F07">
        <w:rPr>
          <w:b w:val="0"/>
          <w:bCs/>
          <w:lang w:val="es-ES"/>
        </w:rPr>
        <w:t>cobre</w:t>
      </w:r>
      <w:r w:rsidRPr="00FD2F07">
        <w:rPr>
          <w:b w:val="0"/>
          <w:bCs/>
          <w:lang w:val="es-ES"/>
        </w:rPr>
        <w:t xml:space="preserve">, FTTH y </w:t>
      </w:r>
      <w:r w:rsidR="00D85CDB" w:rsidRPr="00FD2F07">
        <w:rPr>
          <w:b w:val="0"/>
          <w:bCs/>
          <w:lang w:val="es-ES"/>
        </w:rPr>
        <w:t>FTTC</w:t>
      </w:r>
      <w:r w:rsidRPr="00FD2F07">
        <w:rPr>
          <w:b w:val="0"/>
          <w:bCs/>
          <w:lang w:val="es-ES"/>
        </w:rPr>
        <w:t>.</w:t>
      </w:r>
      <w:r w:rsidR="00D85CDB" w:rsidRPr="00FD2F07">
        <w:rPr>
          <w:b w:val="0"/>
          <w:bCs/>
          <w:lang w:val="es-ES"/>
        </w:rPr>
        <w:t xml:space="preserve">  </w:t>
      </w:r>
    </w:p>
    <w:p w14:paraId="12EEF27B" w14:textId="27B9A87C" w:rsidR="00DF3DD1" w:rsidRDefault="00DF3DD1" w:rsidP="00DF3DD1">
      <w:pPr>
        <w:pStyle w:val="Ttulo2"/>
      </w:pPr>
      <w:bookmarkStart w:id="78" w:name="_Ref140161971"/>
      <w:bookmarkStart w:id="79" w:name="_Toc142388407"/>
      <w:r>
        <w:t>Costos unitarios</w:t>
      </w:r>
      <w:bookmarkEnd w:id="77"/>
      <w:bookmarkEnd w:id="78"/>
      <w:bookmarkEnd w:id="79"/>
    </w:p>
    <w:p w14:paraId="67784306" w14:textId="0188D573" w:rsidR="00CC395C" w:rsidRDefault="003F4078" w:rsidP="00FC4839">
      <w:pPr>
        <w:rPr>
          <w:lang w:val="es-ES_tradnl"/>
        </w:rPr>
      </w:pPr>
      <w:r w:rsidRPr="003B7D53">
        <w:rPr>
          <w:lang w:val="es-ES_tradnl"/>
        </w:rPr>
        <w:t xml:space="preserve">Uno de los aspectos cruciales para lograr una estimación precisa de los costos es la correcta definición </w:t>
      </w:r>
      <w:r>
        <w:rPr>
          <w:lang w:val="es-ES_tradnl"/>
        </w:rPr>
        <w:t>de los costos unitarios</w:t>
      </w:r>
      <w:r w:rsidRPr="003B7D53">
        <w:rPr>
          <w:lang w:val="es-ES_tradnl"/>
        </w:rPr>
        <w:t xml:space="preserve"> de los activos</w:t>
      </w:r>
      <w:r>
        <w:rPr>
          <w:lang w:val="es-ES_tradnl"/>
        </w:rPr>
        <w:t>.</w:t>
      </w:r>
      <w:r w:rsidR="00F95E70">
        <w:rPr>
          <w:lang w:val="es-ES_tradnl"/>
        </w:rPr>
        <w:t xml:space="preserve"> </w:t>
      </w:r>
      <w:r w:rsidR="00F95E70" w:rsidRPr="00F95E70">
        <w:rPr>
          <w:lang w:val="es-ES_tradnl"/>
        </w:rPr>
        <w:t>Estos costos están directamente relacionados con la adquisición</w:t>
      </w:r>
      <w:r w:rsidR="002E448C">
        <w:rPr>
          <w:lang w:val="es-ES_tradnl"/>
        </w:rPr>
        <w:t xml:space="preserve"> </w:t>
      </w:r>
      <w:r w:rsidR="00A46927">
        <w:rPr>
          <w:lang w:val="es-ES_tradnl"/>
        </w:rPr>
        <w:t>e</w:t>
      </w:r>
      <w:r w:rsidR="00F95E70" w:rsidRPr="00F95E70">
        <w:rPr>
          <w:lang w:val="es-ES_tradnl"/>
        </w:rPr>
        <w:t xml:space="preserve"> instalación de los </w:t>
      </w:r>
      <w:r w:rsidR="00152B5C">
        <w:rPr>
          <w:lang w:val="es-ES_tradnl"/>
        </w:rPr>
        <w:t xml:space="preserve">equipos </w:t>
      </w:r>
      <w:r w:rsidR="00F95E70" w:rsidRPr="00F95E70">
        <w:rPr>
          <w:lang w:val="es-ES_tradnl"/>
        </w:rPr>
        <w:t xml:space="preserve">necesarios para el funcionamiento de la red. </w:t>
      </w:r>
    </w:p>
    <w:p w14:paraId="387EA6D5" w14:textId="56FA0FEF" w:rsidR="00FC4839" w:rsidRDefault="00F95E70" w:rsidP="00FC4839">
      <w:pPr>
        <w:rPr>
          <w:lang w:val="es-ES_tradnl"/>
        </w:rPr>
      </w:pPr>
      <w:r w:rsidRPr="00F95E70">
        <w:rPr>
          <w:lang w:val="es-ES_tradnl"/>
        </w:rPr>
        <w:t xml:space="preserve">Por lo tanto, </w:t>
      </w:r>
      <w:r w:rsidR="00CC395C">
        <w:rPr>
          <w:lang w:val="es-ES_tradnl"/>
        </w:rPr>
        <w:t xml:space="preserve">trabajar con valores de costos unitarios actualizados </w:t>
      </w:r>
      <w:r w:rsidRPr="00F95E70">
        <w:rPr>
          <w:lang w:val="es-ES_tradnl"/>
        </w:rPr>
        <w:t>es fundamental para asegurar una evaluación realista de los recursos financieros</w:t>
      </w:r>
      <w:r>
        <w:rPr>
          <w:lang w:val="es-ES_tradnl"/>
        </w:rPr>
        <w:t>.</w:t>
      </w:r>
    </w:p>
    <w:p w14:paraId="35E59909" w14:textId="561B68C1" w:rsidR="00D14AD6" w:rsidRDefault="001D419F" w:rsidP="001D419F">
      <w:r>
        <w:lastRenderedPageBreak/>
        <w:t>Para la revisión de los costos unitarios</w:t>
      </w:r>
      <w:r w:rsidR="00D14AD6">
        <w:t xml:space="preserve">, se ha solicitado información actualizada al AEP sobre los costos unitarios de la totalidad de </w:t>
      </w:r>
      <w:r w:rsidR="00152B5C">
        <w:t xml:space="preserve">los </w:t>
      </w:r>
      <w:r w:rsidR="00D14AD6">
        <w:t>activos considerados en el Modelo</w:t>
      </w:r>
      <w:r w:rsidR="00386ABB">
        <w:t xml:space="preserve"> (canalizaciones, pozos, postes, cables de fibra y cobre, etc.)</w:t>
      </w:r>
      <w:r w:rsidR="00D14AD6">
        <w:t xml:space="preserve">, tomando como referencia el año de 2023. </w:t>
      </w:r>
    </w:p>
    <w:p w14:paraId="027828D5" w14:textId="3788C9FD" w:rsidR="00386ABB" w:rsidRDefault="00386ABB" w:rsidP="00386ABB">
      <w:r>
        <w:t xml:space="preserve">Los valores resultantes de la actualización se han incorporado en el Modelo, en la hoja de </w:t>
      </w:r>
      <w:r w:rsidRPr="00386ABB">
        <w:rPr>
          <w:i/>
          <w:iCs/>
        </w:rPr>
        <w:t>“</w:t>
      </w:r>
      <w:proofErr w:type="spellStart"/>
      <w:r w:rsidRPr="00386ABB">
        <w:rPr>
          <w:i/>
          <w:iCs/>
        </w:rPr>
        <w:t>Unit</w:t>
      </w:r>
      <w:proofErr w:type="spellEnd"/>
      <w:r w:rsidRPr="00386ABB">
        <w:rPr>
          <w:i/>
          <w:iCs/>
        </w:rPr>
        <w:t xml:space="preserve"> </w:t>
      </w:r>
      <w:proofErr w:type="spellStart"/>
      <w:r w:rsidRPr="00386ABB">
        <w:rPr>
          <w:i/>
          <w:iCs/>
        </w:rPr>
        <w:t>costs</w:t>
      </w:r>
      <w:proofErr w:type="spellEnd"/>
      <w:r w:rsidRPr="00386ABB">
        <w:rPr>
          <w:i/>
          <w:iCs/>
        </w:rPr>
        <w:t xml:space="preserve"> </w:t>
      </w:r>
      <w:proofErr w:type="spellStart"/>
      <w:r w:rsidRPr="00386ABB">
        <w:rPr>
          <w:i/>
          <w:iCs/>
        </w:rPr>
        <w:t>of</w:t>
      </w:r>
      <w:proofErr w:type="spellEnd"/>
      <w:r w:rsidRPr="00386ABB">
        <w:rPr>
          <w:i/>
          <w:iCs/>
        </w:rPr>
        <w:t xml:space="preserve"> </w:t>
      </w:r>
      <w:proofErr w:type="spellStart"/>
      <w:r w:rsidRPr="00386ABB">
        <w:rPr>
          <w:i/>
          <w:iCs/>
        </w:rPr>
        <w:t>assets</w:t>
      </w:r>
      <w:proofErr w:type="spellEnd"/>
      <w:r w:rsidRPr="00386ABB">
        <w:rPr>
          <w:i/>
          <w:iCs/>
        </w:rPr>
        <w:t>”</w:t>
      </w:r>
      <w:r>
        <w:t xml:space="preserve">. </w:t>
      </w:r>
    </w:p>
    <w:p w14:paraId="07A966EA" w14:textId="5C50885E" w:rsidR="009D60FF" w:rsidRPr="005F3A7B" w:rsidRDefault="005F3A7B" w:rsidP="00CD7930">
      <w:r w:rsidRPr="005F3A7B">
        <w:t xml:space="preserve">De igual forma, se ha </w:t>
      </w:r>
      <w:r>
        <w:t>actualizado el dato de entrada sobre tendencia de precios</w:t>
      </w:r>
      <w:r w:rsidR="00BE2EC6">
        <w:t xml:space="preserve">, </w:t>
      </w:r>
      <w:r>
        <w:t xml:space="preserve">por valor de </w:t>
      </w:r>
      <w:r w:rsidR="00BE2EC6" w:rsidRPr="00BE2EC6">
        <w:t>3</w:t>
      </w:r>
      <w:r w:rsidR="00C90ECD">
        <w:t>.</w:t>
      </w:r>
      <w:r w:rsidR="00BE2EC6" w:rsidRPr="00BE2EC6">
        <w:t>72%</w:t>
      </w:r>
      <w:r w:rsidR="00BE2EC6" w:rsidRPr="00BE2EC6" w:rsidDel="00BE2EC6">
        <w:t xml:space="preserve"> </w:t>
      </w:r>
      <w:r w:rsidR="00BE795B">
        <w:t>(el valor de la versión anterior del Modelo actualizada por el Instituto en el año 2022 era de 4</w:t>
      </w:r>
      <w:r w:rsidR="00C90ECD">
        <w:t>.</w:t>
      </w:r>
      <w:r w:rsidR="00BE795B">
        <w:t>76%)</w:t>
      </w:r>
      <w:r>
        <w:t xml:space="preserve">. </w:t>
      </w:r>
      <w:r w:rsidR="000A60CA">
        <w:t xml:space="preserve">La fuente empleada </w:t>
      </w:r>
      <w:r w:rsidR="00BE795B">
        <w:t>a este respecto ha sido</w:t>
      </w:r>
      <w:r w:rsidR="00BE371F">
        <w:t xml:space="preserve"> </w:t>
      </w:r>
      <w:r w:rsidR="00E55E1E">
        <w:t>la Encuesta de expectativas de los especialistas en economía del sector privado publicad</w:t>
      </w:r>
      <w:r w:rsidR="00476B1B">
        <w:t>a</w:t>
      </w:r>
      <w:r w:rsidR="00E55E1E">
        <w:t xml:space="preserve"> por</w:t>
      </w:r>
      <w:r w:rsidR="00BE371F">
        <w:t xml:space="preserve"> </w:t>
      </w:r>
      <w:r w:rsidR="00BE2EC6">
        <w:t>Banco de México</w:t>
      </w:r>
      <w:r w:rsidR="00BE371F">
        <w:rPr>
          <w:rStyle w:val="Refdenotaalpie"/>
        </w:rPr>
        <w:footnoteReference w:id="9"/>
      </w:r>
      <w:r w:rsidR="00BE371F">
        <w:t xml:space="preserve">. </w:t>
      </w:r>
      <w:r w:rsidR="009D60FF">
        <w:t>Se considera que el valor empleado es adecuado</w:t>
      </w:r>
      <w:r w:rsidR="00CD7930">
        <w:t xml:space="preserve"> y conservador</w:t>
      </w:r>
      <w:r w:rsidR="009D60FF">
        <w:t xml:space="preserve">, </w:t>
      </w:r>
      <w:r w:rsidR="00CD7930">
        <w:t xml:space="preserve">permitiendo reflejar las </w:t>
      </w:r>
      <w:r w:rsidR="009D60FF">
        <w:t>circunstancias macroeconómicas</w:t>
      </w:r>
      <w:r w:rsidR="00CD7930">
        <w:t xml:space="preserve"> actuales</w:t>
      </w:r>
      <w:r w:rsidR="009D60FF">
        <w:t xml:space="preserve"> </w:t>
      </w:r>
      <w:r w:rsidR="00CD7930">
        <w:t xml:space="preserve">de </w:t>
      </w:r>
      <w:r w:rsidR="009D60FF">
        <w:t>inflación</w:t>
      </w:r>
      <w:r w:rsidR="00CD7930">
        <w:t xml:space="preserve"> elevada</w:t>
      </w:r>
      <w:r w:rsidR="009D60FF">
        <w:t xml:space="preserve">. </w:t>
      </w:r>
    </w:p>
    <w:p w14:paraId="272FD97E" w14:textId="7A6F26BE" w:rsidR="006611A9" w:rsidRPr="007000ED" w:rsidRDefault="005F3A7B" w:rsidP="006611A9">
      <w:pPr>
        <w:pStyle w:val="Update"/>
        <w:rPr>
          <w:b w:val="0"/>
          <w:bCs/>
          <w:lang w:val="es-ES"/>
        </w:rPr>
      </w:pPr>
      <w:r>
        <w:rPr>
          <w:b w:val="0"/>
          <w:bCs/>
          <w:lang w:val="es-ES"/>
        </w:rPr>
        <w:t xml:space="preserve">Se ha actualizado la información sobre costos </w:t>
      </w:r>
      <w:r w:rsidR="003D4D1F">
        <w:rPr>
          <w:b w:val="0"/>
          <w:bCs/>
          <w:lang w:val="es-ES"/>
        </w:rPr>
        <w:t>unitarios,</w:t>
      </w:r>
      <w:r w:rsidR="00DE253D">
        <w:rPr>
          <w:b w:val="0"/>
          <w:bCs/>
          <w:lang w:val="es-ES"/>
        </w:rPr>
        <w:t xml:space="preserve"> </w:t>
      </w:r>
      <w:r>
        <w:rPr>
          <w:b w:val="0"/>
          <w:bCs/>
          <w:lang w:val="es-ES"/>
        </w:rPr>
        <w:t>así como de tendencias de los mismos</w:t>
      </w:r>
      <w:r w:rsidR="003D4D1F">
        <w:rPr>
          <w:b w:val="0"/>
          <w:bCs/>
          <w:lang w:val="es-ES"/>
        </w:rPr>
        <w:t>,</w:t>
      </w:r>
      <w:r>
        <w:rPr>
          <w:b w:val="0"/>
          <w:bCs/>
          <w:lang w:val="es-ES"/>
        </w:rPr>
        <w:t xml:space="preserve"> </w:t>
      </w:r>
      <w:r w:rsidR="001234BA">
        <w:rPr>
          <w:b w:val="0"/>
          <w:bCs/>
          <w:lang w:val="es-ES"/>
        </w:rPr>
        <w:t xml:space="preserve">de acuerdo </w:t>
      </w:r>
      <w:r w:rsidR="00C30FF6">
        <w:rPr>
          <w:b w:val="0"/>
          <w:bCs/>
          <w:lang w:val="es-ES"/>
        </w:rPr>
        <w:t>con</w:t>
      </w:r>
      <w:r w:rsidR="001D419F">
        <w:rPr>
          <w:b w:val="0"/>
          <w:bCs/>
          <w:lang w:val="es-ES"/>
        </w:rPr>
        <w:t xml:space="preserve"> la información reportada por el AEP</w:t>
      </w:r>
      <w:r w:rsidR="006611A9" w:rsidRPr="007000ED">
        <w:rPr>
          <w:b w:val="0"/>
          <w:bCs/>
          <w:lang w:val="es-ES"/>
        </w:rPr>
        <w:t xml:space="preserve">. </w:t>
      </w:r>
    </w:p>
    <w:p w14:paraId="52CE28BA" w14:textId="0299D270" w:rsidR="00DF3DD1" w:rsidRDefault="00DF3DD1" w:rsidP="00DF3DD1">
      <w:pPr>
        <w:pStyle w:val="Ttulo2"/>
      </w:pPr>
      <w:bookmarkStart w:id="80" w:name="_Ref139887267"/>
      <w:bookmarkStart w:id="81" w:name="_Toc142388408"/>
      <w:r>
        <w:t>Vidas útiles</w:t>
      </w:r>
      <w:bookmarkEnd w:id="80"/>
      <w:bookmarkEnd w:id="81"/>
    </w:p>
    <w:p w14:paraId="14234597" w14:textId="7C56FC23" w:rsidR="008914ED" w:rsidRDefault="00601854" w:rsidP="003B7D53">
      <w:pPr>
        <w:rPr>
          <w:lang w:val="es-ES_tradnl"/>
        </w:rPr>
      </w:pPr>
      <w:r w:rsidRPr="00601854">
        <w:rPr>
          <w:lang w:val="es-ES_tradnl"/>
        </w:rPr>
        <w:t xml:space="preserve">La actualización de las vidas útiles de los activos tiene un impacto en el </w:t>
      </w:r>
      <w:r w:rsidR="000027AC">
        <w:rPr>
          <w:lang w:val="es-ES_tradnl"/>
        </w:rPr>
        <w:t>factor de</w:t>
      </w:r>
      <w:r w:rsidRPr="00601854">
        <w:rPr>
          <w:lang w:val="es-ES_tradnl"/>
        </w:rPr>
        <w:t xml:space="preserve"> depreciación </w:t>
      </w:r>
      <w:r w:rsidR="009116AD">
        <w:rPr>
          <w:lang w:val="es-ES_tradnl"/>
        </w:rPr>
        <w:t xml:space="preserve">de los activos </w:t>
      </w:r>
      <w:r w:rsidRPr="00601854">
        <w:rPr>
          <w:lang w:val="es-ES_tradnl"/>
        </w:rPr>
        <w:t xml:space="preserve">y, en consecuencia, en el </w:t>
      </w:r>
      <w:proofErr w:type="spellStart"/>
      <w:r w:rsidR="00C60C56">
        <w:rPr>
          <w:lang w:val="es-ES_tradnl"/>
        </w:rPr>
        <w:t>CapEx</w:t>
      </w:r>
      <w:proofErr w:type="spellEnd"/>
      <w:r w:rsidR="00C60C56">
        <w:rPr>
          <w:lang w:val="es-ES_tradnl"/>
        </w:rPr>
        <w:t xml:space="preserve"> </w:t>
      </w:r>
      <w:r w:rsidRPr="00601854">
        <w:rPr>
          <w:lang w:val="es-ES_tradnl"/>
        </w:rPr>
        <w:t>anual</w:t>
      </w:r>
      <w:r w:rsidR="00F565E3">
        <w:rPr>
          <w:lang w:val="es-ES_tradnl"/>
        </w:rPr>
        <w:t xml:space="preserve"> </w:t>
      </w:r>
      <w:r w:rsidR="00A34976">
        <w:rPr>
          <w:lang w:val="es-ES_tradnl"/>
        </w:rPr>
        <w:t>calculado por el</w:t>
      </w:r>
      <w:r w:rsidR="00F565E3">
        <w:rPr>
          <w:lang w:val="es-ES_tradnl"/>
        </w:rPr>
        <w:t xml:space="preserve"> Modelo</w:t>
      </w:r>
      <w:r w:rsidRPr="00601854">
        <w:rPr>
          <w:lang w:val="es-ES_tradnl"/>
        </w:rPr>
        <w:t>.</w:t>
      </w:r>
    </w:p>
    <w:p w14:paraId="1A05122B" w14:textId="3FB31348" w:rsidR="008914ED" w:rsidRDefault="008914ED" w:rsidP="002229B2">
      <w:r>
        <w:t>La actualización de la vida útil de los activos</w:t>
      </w:r>
      <w:r w:rsidR="000E0B4B">
        <w:t xml:space="preserve"> en el Modelo</w:t>
      </w:r>
      <w:r>
        <w:t xml:space="preserve"> </w:t>
      </w:r>
      <w:r w:rsidR="000E0B4B">
        <w:t xml:space="preserve">ha consistido en alinear los valores empleados con los disponibles de la Separación Contable, en línea con lo sugerido por el AEP durante el proceso de requerimiento de información. </w:t>
      </w:r>
    </w:p>
    <w:p w14:paraId="7D717B03" w14:textId="1B282760" w:rsidR="002229B2" w:rsidRDefault="0037156A" w:rsidP="002229B2">
      <w:r>
        <w:t xml:space="preserve">A raíz de este proceso, se </w:t>
      </w:r>
      <w:r w:rsidR="00DB1D78">
        <w:t xml:space="preserve">han </w:t>
      </w:r>
      <w:r w:rsidR="00A8484C">
        <w:t xml:space="preserve">incluido las siguientes modificaciones en las </w:t>
      </w:r>
      <w:r>
        <w:t>vida</w:t>
      </w:r>
      <w:r w:rsidR="00A8484C">
        <w:t>s</w:t>
      </w:r>
      <w:r>
        <w:t xml:space="preserve"> útil</w:t>
      </w:r>
      <w:r w:rsidR="00A8484C">
        <w:t>es</w:t>
      </w:r>
      <w:r>
        <w:t xml:space="preserve"> de </w:t>
      </w:r>
      <w:r w:rsidR="00A8484C">
        <w:t xml:space="preserve">los activos, </w:t>
      </w:r>
      <w:r>
        <w:t>con respecto a la versión anterior del Modelo</w:t>
      </w:r>
      <w:r w:rsidR="00A8484C">
        <w:t xml:space="preserve">: </w:t>
      </w:r>
    </w:p>
    <w:tbl>
      <w:tblPr>
        <w:tblStyle w:val="Axon"/>
        <w:tblW w:w="0" w:type="auto"/>
        <w:jc w:val="center"/>
        <w:tblLook w:val="04A0" w:firstRow="1" w:lastRow="0" w:firstColumn="1" w:lastColumn="0" w:noHBand="0" w:noVBand="1"/>
      </w:tblPr>
      <w:tblGrid>
        <w:gridCol w:w="3131"/>
        <w:gridCol w:w="2047"/>
        <w:gridCol w:w="2004"/>
        <w:gridCol w:w="1888"/>
      </w:tblGrid>
      <w:tr w:rsidR="00A27840" w14:paraId="0EB06DAF" w14:textId="2F7A3EB1" w:rsidTr="00AD066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131" w:type="dxa"/>
          </w:tcPr>
          <w:p w14:paraId="71DC962C" w14:textId="7C673C10" w:rsidR="00A27840" w:rsidRDefault="00A27840" w:rsidP="00A27840">
            <w:pPr>
              <w:pStyle w:val="TableHeading"/>
            </w:pPr>
            <w:r>
              <w:t>Categoría del activo</w:t>
            </w:r>
          </w:p>
        </w:tc>
        <w:tc>
          <w:tcPr>
            <w:tcW w:w="2047" w:type="dxa"/>
          </w:tcPr>
          <w:p w14:paraId="367A1297" w14:textId="66A0548F" w:rsidR="00A27840" w:rsidRDefault="00A27840" w:rsidP="00A27840">
            <w:pPr>
              <w:pStyle w:val="TableHeading"/>
              <w:cnfStyle w:val="100000000000" w:firstRow="1" w:lastRow="0" w:firstColumn="0" w:lastColumn="0" w:oddVBand="0" w:evenVBand="0" w:oddHBand="0" w:evenHBand="0" w:firstRowFirstColumn="0" w:firstRowLastColumn="0" w:lastRowFirstColumn="0" w:lastRowLastColumn="0"/>
            </w:pPr>
            <w:r>
              <w:t>Valores previos del modelo</w:t>
            </w:r>
          </w:p>
        </w:tc>
        <w:tc>
          <w:tcPr>
            <w:tcW w:w="2004" w:type="dxa"/>
          </w:tcPr>
          <w:p w14:paraId="04280765" w14:textId="009B8488" w:rsidR="00A27840" w:rsidRDefault="00A27840" w:rsidP="00A27840">
            <w:pPr>
              <w:pStyle w:val="TableHeading"/>
              <w:cnfStyle w:val="100000000000" w:firstRow="1" w:lastRow="0" w:firstColumn="0" w:lastColumn="0" w:oddVBand="0" w:evenVBand="0" w:oddHBand="0" w:evenHBand="0" w:firstRowFirstColumn="0" w:firstRowLastColumn="0" w:lastRowFirstColumn="0" w:lastRowLastColumn="0"/>
            </w:pPr>
            <w:r>
              <w:t>Valores actualizados del modelo</w:t>
            </w:r>
          </w:p>
        </w:tc>
        <w:tc>
          <w:tcPr>
            <w:tcW w:w="1888" w:type="dxa"/>
          </w:tcPr>
          <w:p w14:paraId="7FC3D521" w14:textId="4F82256B" w:rsidR="00A27840" w:rsidRDefault="00A27840" w:rsidP="00A27840">
            <w:pPr>
              <w:pStyle w:val="TableHeading"/>
              <w:cnfStyle w:val="100000000000" w:firstRow="1" w:lastRow="0" w:firstColumn="0" w:lastColumn="0" w:oddVBand="0" w:evenVBand="0" w:oddHBand="0" w:evenHBand="0" w:firstRowFirstColumn="0" w:firstRowLastColumn="0" w:lastRowFirstColumn="0" w:lastRowLastColumn="0"/>
            </w:pPr>
            <w:r>
              <w:t>Diferencia</w:t>
            </w:r>
          </w:p>
        </w:tc>
      </w:tr>
      <w:tr w:rsidR="00A27840" w14:paraId="2B386E6D" w14:textId="53D09C25"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16C8AB3" w14:textId="45A5B934" w:rsidR="00A27840" w:rsidRPr="00F348E2" w:rsidRDefault="00D82336" w:rsidP="00A27840">
            <w:pPr>
              <w:pStyle w:val="TableParagraph"/>
            </w:pPr>
            <w:proofErr w:type="spellStart"/>
            <w:r>
              <w:t>Subd</w:t>
            </w:r>
            <w:r w:rsidR="00A27840">
              <w:t>uctos</w:t>
            </w:r>
            <w:proofErr w:type="spellEnd"/>
          </w:p>
        </w:tc>
        <w:tc>
          <w:tcPr>
            <w:tcW w:w="2047" w:type="dxa"/>
          </w:tcPr>
          <w:p w14:paraId="5C11AA60" w14:textId="019C456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35</w:t>
            </w:r>
          </w:p>
        </w:tc>
        <w:tc>
          <w:tcPr>
            <w:tcW w:w="2004" w:type="dxa"/>
          </w:tcPr>
          <w:p w14:paraId="2CC20B4E" w14:textId="770F453E"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45</w:t>
            </w:r>
          </w:p>
        </w:tc>
        <w:tc>
          <w:tcPr>
            <w:tcW w:w="1888" w:type="dxa"/>
          </w:tcPr>
          <w:p w14:paraId="05031F39" w14:textId="6031D520"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+10</w:t>
            </w:r>
          </w:p>
        </w:tc>
      </w:tr>
      <w:tr w:rsidR="00A27840" w14:paraId="602E30F2" w14:textId="588717B8"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01873396" w14:textId="6A80ED5E" w:rsidR="00A27840" w:rsidRPr="00F348E2" w:rsidRDefault="00A27840" w:rsidP="00A27840">
            <w:pPr>
              <w:pStyle w:val="TableParagraph"/>
            </w:pPr>
            <w:r>
              <w:t>Canalizaciones</w:t>
            </w:r>
          </w:p>
        </w:tc>
        <w:tc>
          <w:tcPr>
            <w:tcW w:w="2047" w:type="dxa"/>
          </w:tcPr>
          <w:p w14:paraId="3AD2B50B" w14:textId="358A7FD2"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35</w:t>
            </w:r>
          </w:p>
        </w:tc>
        <w:tc>
          <w:tcPr>
            <w:tcW w:w="2004" w:type="dxa"/>
          </w:tcPr>
          <w:p w14:paraId="40783FA3" w14:textId="2BC3940B"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45</w:t>
            </w:r>
          </w:p>
        </w:tc>
        <w:tc>
          <w:tcPr>
            <w:tcW w:w="1888" w:type="dxa"/>
          </w:tcPr>
          <w:p w14:paraId="51A5DD43" w14:textId="72CA1D6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+10</w:t>
            </w:r>
          </w:p>
        </w:tc>
      </w:tr>
      <w:tr w:rsidR="00A27840" w14:paraId="5E8110C7" w14:textId="7182146A"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EF12331" w14:textId="266CA520" w:rsidR="00A27840" w:rsidRPr="00F348E2" w:rsidRDefault="00A27840" w:rsidP="00A27840">
            <w:pPr>
              <w:pStyle w:val="TableParagraph"/>
            </w:pPr>
            <w:r>
              <w:t>Pozos</w:t>
            </w:r>
          </w:p>
        </w:tc>
        <w:tc>
          <w:tcPr>
            <w:tcW w:w="2047" w:type="dxa"/>
          </w:tcPr>
          <w:p w14:paraId="73DFCF3C" w14:textId="654F67F6"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30</w:t>
            </w:r>
          </w:p>
        </w:tc>
        <w:tc>
          <w:tcPr>
            <w:tcW w:w="2004" w:type="dxa"/>
          </w:tcPr>
          <w:p w14:paraId="6C1E3917" w14:textId="23855F3A"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45</w:t>
            </w:r>
          </w:p>
        </w:tc>
        <w:tc>
          <w:tcPr>
            <w:tcW w:w="1888" w:type="dxa"/>
          </w:tcPr>
          <w:p w14:paraId="265607D7" w14:textId="4ED66D5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+15</w:t>
            </w:r>
          </w:p>
        </w:tc>
      </w:tr>
      <w:tr w:rsidR="00A27840" w14:paraId="045CB37A" w14:textId="73918381"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186D9204" w14:textId="647FA9C9" w:rsidR="00A27840" w:rsidRPr="00F348E2" w:rsidRDefault="00A27840" w:rsidP="00A27840">
            <w:pPr>
              <w:pStyle w:val="TableParagraph"/>
            </w:pPr>
            <w:r w:rsidRPr="00F348E2">
              <w:t>Postes</w:t>
            </w:r>
          </w:p>
        </w:tc>
        <w:tc>
          <w:tcPr>
            <w:tcW w:w="2047" w:type="dxa"/>
          </w:tcPr>
          <w:p w14:paraId="3E875043" w14:textId="0DB1D1F8"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22</w:t>
            </w:r>
          </w:p>
        </w:tc>
        <w:tc>
          <w:tcPr>
            <w:tcW w:w="2004" w:type="dxa"/>
          </w:tcPr>
          <w:p w14:paraId="681EE5A4" w14:textId="7A9584FC"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30</w:t>
            </w:r>
          </w:p>
        </w:tc>
        <w:tc>
          <w:tcPr>
            <w:tcW w:w="1888" w:type="dxa"/>
          </w:tcPr>
          <w:p w14:paraId="306ED776" w14:textId="132D0DDA"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+8</w:t>
            </w:r>
          </w:p>
        </w:tc>
      </w:tr>
      <w:tr w:rsidR="00A27840" w:rsidRPr="007B551E" w14:paraId="7C6007B1" w14:textId="1A29AB56"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F43B2EB" w14:textId="0F88790C" w:rsidR="00A27840" w:rsidRPr="00F348E2" w:rsidRDefault="00A27840" w:rsidP="00A27840">
            <w:pPr>
              <w:pStyle w:val="TableParagraph"/>
            </w:pPr>
            <w:r w:rsidRPr="00F348E2">
              <w:lastRenderedPageBreak/>
              <w:t>Elementos de la red de transporte</w:t>
            </w:r>
            <w:r>
              <w:t xml:space="preserve"> (DSLAM/MSAN)</w:t>
            </w:r>
          </w:p>
        </w:tc>
        <w:tc>
          <w:tcPr>
            <w:tcW w:w="2047" w:type="dxa"/>
          </w:tcPr>
          <w:p w14:paraId="5333BA3C" w14:textId="3CC84250" w:rsidR="00A27840" w:rsidRPr="007B551E"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8</w:t>
            </w:r>
          </w:p>
        </w:tc>
        <w:tc>
          <w:tcPr>
            <w:tcW w:w="2004" w:type="dxa"/>
          </w:tcPr>
          <w:p w14:paraId="027C79F9" w14:textId="77777777" w:rsidR="00A27840" w:rsidRPr="007B551E"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13</w:t>
            </w:r>
          </w:p>
        </w:tc>
        <w:tc>
          <w:tcPr>
            <w:tcW w:w="1888" w:type="dxa"/>
          </w:tcPr>
          <w:p w14:paraId="4B9EC454" w14:textId="427931F9"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+5</w:t>
            </w:r>
          </w:p>
        </w:tc>
      </w:tr>
      <w:tr w:rsidR="00A27840" w14:paraId="3F17E338" w14:textId="38079FBC"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31520F57" w14:textId="77777777" w:rsidR="00A27840" w:rsidRPr="00F348E2" w:rsidRDefault="00A27840" w:rsidP="00A27840">
            <w:pPr>
              <w:pStyle w:val="TableParagraph"/>
            </w:pPr>
            <w:r>
              <w:t xml:space="preserve">Fibra – </w:t>
            </w:r>
            <w:r w:rsidRPr="00F348E2">
              <w:t>Cables</w:t>
            </w:r>
            <w:r>
              <w:t xml:space="preserve"> subterráneos</w:t>
            </w:r>
          </w:p>
        </w:tc>
        <w:tc>
          <w:tcPr>
            <w:tcW w:w="2047" w:type="dxa"/>
          </w:tcPr>
          <w:p w14:paraId="34234AE8" w14:textId="43FAB17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25</w:t>
            </w:r>
          </w:p>
        </w:tc>
        <w:tc>
          <w:tcPr>
            <w:tcW w:w="2004" w:type="dxa"/>
          </w:tcPr>
          <w:p w14:paraId="48FD7900" w14:textId="0136E998"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23</w:t>
            </w:r>
          </w:p>
        </w:tc>
        <w:tc>
          <w:tcPr>
            <w:tcW w:w="1888" w:type="dxa"/>
          </w:tcPr>
          <w:p w14:paraId="1787BEE0" w14:textId="3E7EE5C3"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w:t>
            </w:r>
          </w:p>
        </w:tc>
      </w:tr>
      <w:tr w:rsidR="00A27840" w14:paraId="5BCB4073" w14:textId="08F99582"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7038EB0" w14:textId="08505E34" w:rsidR="00A27840" w:rsidRPr="00F348E2" w:rsidRDefault="00A27840" w:rsidP="00A27840">
            <w:pPr>
              <w:pStyle w:val="TableParagraph"/>
            </w:pPr>
            <w:r>
              <w:t xml:space="preserve">Fibra – </w:t>
            </w:r>
            <w:r w:rsidRPr="00F348E2">
              <w:t>Cables</w:t>
            </w:r>
            <w:r>
              <w:t xml:space="preserve"> aéreos </w:t>
            </w:r>
          </w:p>
        </w:tc>
        <w:tc>
          <w:tcPr>
            <w:tcW w:w="2047" w:type="dxa"/>
          </w:tcPr>
          <w:p w14:paraId="4E85B374" w14:textId="460AA422"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20</w:t>
            </w:r>
          </w:p>
        </w:tc>
        <w:tc>
          <w:tcPr>
            <w:tcW w:w="2004" w:type="dxa"/>
          </w:tcPr>
          <w:p w14:paraId="7A4247D9" w14:textId="3EFCCEBB"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23</w:t>
            </w:r>
          </w:p>
        </w:tc>
        <w:tc>
          <w:tcPr>
            <w:tcW w:w="1888" w:type="dxa"/>
          </w:tcPr>
          <w:p w14:paraId="69E957B8" w14:textId="25414E8C"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+3</w:t>
            </w:r>
          </w:p>
        </w:tc>
      </w:tr>
      <w:tr w:rsidR="00A27840" w14:paraId="54349B0C" w14:textId="3041EFD0"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6350B6AF" w14:textId="73EF3B1B" w:rsidR="00A27840" w:rsidRPr="00F348E2" w:rsidRDefault="00A27840" w:rsidP="00A27840">
            <w:pPr>
              <w:pStyle w:val="TableParagraph"/>
            </w:pPr>
            <w:r>
              <w:t>Fibra – Empalmes</w:t>
            </w:r>
          </w:p>
        </w:tc>
        <w:tc>
          <w:tcPr>
            <w:tcW w:w="2047" w:type="dxa"/>
          </w:tcPr>
          <w:p w14:paraId="2A7D41E6" w14:textId="48370448"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20</w:t>
            </w:r>
          </w:p>
        </w:tc>
        <w:tc>
          <w:tcPr>
            <w:tcW w:w="2004" w:type="dxa"/>
          </w:tcPr>
          <w:p w14:paraId="2255E4BB" w14:textId="4C5D5457"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23</w:t>
            </w:r>
          </w:p>
        </w:tc>
        <w:tc>
          <w:tcPr>
            <w:tcW w:w="1888" w:type="dxa"/>
          </w:tcPr>
          <w:p w14:paraId="6C99D122" w14:textId="556F0921"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+3</w:t>
            </w:r>
          </w:p>
        </w:tc>
      </w:tr>
      <w:tr w:rsidR="00A27840" w:rsidRPr="00E71162" w14:paraId="33026172" w14:textId="173C69D1"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503FF1D4" w14:textId="7C895B04" w:rsidR="00A27840" w:rsidRPr="00F348E2" w:rsidRDefault="00A27840" w:rsidP="00A27840">
            <w:pPr>
              <w:pStyle w:val="TableParagraph"/>
            </w:pPr>
            <w:r>
              <w:t xml:space="preserve">Fibra – </w:t>
            </w:r>
            <w:r w:rsidRPr="00F348E2">
              <w:t>Puntos de distribución</w:t>
            </w:r>
          </w:p>
        </w:tc>
        <w:tc>
          <w:tcPr>
            <w:tcW w:w="2047" w:type="dxa"/>
          </w:tcPr>
          <w:p w14:paraId="402D415C" w14:textId="13AF00D6"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14</w:t>
            </w:r>
          </w:p>
        </w:tc>
        <w:tc>
          <w:tcPr>
            <w:tcW w:w="2004" w:type="dxa"/>
          </w:tcPr>
          <w:p w14:paraId="23313D1E" w14:textId="56FE32C9"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14</w:t>
            </w:r>
          </w:p>
        </w:tc>
        <w:tc>
          <w:tcPr>
            <w:tcW w:w="1888" w:type="dxa"/>
          </w:tcPr>
          <w:p w14:paraId="03B43AE4" w14:textId="1FBE20A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r>
      <w:tr w:rsidR="00A27840" w:rsidRPr="00E71162" w14:paraId="290B6C4E" w14:textId="464C7438"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6F2FE62" w14:textId="572AF0D4" w:rsidR="00A27840" w:rsidRPr="00F348E2" w:rsidRDefault="00A27840" w:rsidP="00A27840">
            <w:pPr>
              <w:pStyle w:val="TableParagraph"/>
            </w:pPr>
            <w:r>
              <w:t>ONT</w:t>
            </w:r>
          </w:p>
        </w:tc>
        <w:tc>
          <w:tcPr>
            <w:tcW w:w="2047" w:type="dxa"/>
          </w:tcPr>
          <w:p w14:paraId="5315B4EA" w14:textId="53E79F21"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w:t>
            </w:r>
          </w:p>
        </w:tc>
        <w:tc>
          <w:tcPr>
            <w:tcW w:w="2004" w:type="dxa"/>
          </w:tcPr>
          <w:p w14:paraId="02CA6182" w14:textId="050DE239"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w:t>
            </w:r>
          </w:p>
        </w:tc>
        <w:tc>
          <w:tcPr>
            <w:tcW w:w="1888" w:type="dxa"/>
          </w:tcPr>
          <w:p w14:paraId="7E1372F7" w14:textId="5BF6EB66"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r>
      <w:tr w:rsidR="00A27840" w:rsidRPr="00E71162" w14:paraId="673C3C41" w14:textId="74CBCBAD"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65A8C65E" w14:textId="2FE58637" w:rsidR="00A27840" w:rsidRPr="00F348E2" w:rsidRDefault="00A27840" w:rsidP="00A27840">
            <w:pPr>
              <w:pStyle w:val="TableParagraph"/>
            </w:pPr>
            <w:r>
              <w:t>O</w:t>
            </w:r>
            <w:r w:rsidRPr="00F348E2">
              <w:t>DF</w:t>
            </w:r>
          </w:p>
        </w:tc>
        <w:tc>
          <w:tcPr>
            <w:tcW w:w="2047" w:type="dxa"/>
          </w:tcPr>
          <w:p w14:paraId="16CEE5B5" w14:textId="5D8D1213"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14</w:t>
            </w:r>
          </w:p>
        </w:tc>
        <w:tc>
          <w:tcPr>
            <w:tcW w:w="2004" w:type="dxa"/>
          </w:tcPr>
          <w:p w14:paraId="1A4F1744" w14:textId="1C16105E"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17</w:t>
            </w:r>
          </w:p>
        </w:tc>
        <w:tc>
          <w:tcPr>
            <w:tcW w:w="1888" w:type="dxa"/>
          </w:tcPr>
          <w:p w14:paraId="4951A681" w14:textId="2AB18E42"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w:t>
            </w:r>
          </w:p>
        </w:tc>
      </w:tr>
      <w:tr w:rsidR="00A27840" w14:paraId="4359530C" w14:textId="781DFABD"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0ABAD8FA" w14:textId="77777777" w:rsidR="00A27840" w:rsidRPr="00F348E2" w:rsidRDefault="00A27840" w:rsidP="00A27840">
            <w:pPr>
              <w:pStyle w:val="TableParagraph"/>
            </w:pPr>
            <w:r>
              <w:t xml:space="preserve">Cobre – </w:t>
            </w:r>
            <w:r w:rsidRPr="00F348E2">
              <w:t>Cables</w:t>
            </w:r>
            <w:r>
              <w:t xml:space="preserve"> subterráneos</w:t>
            </w:r>
          </w:p>
        </w:tc>
        <w:tc>
          <w:tcPr>
            <w:tcW w:w="2047" w:type="dxa"/>
          </w:tcPr>
          <w:p w14:paraId="3D22A4B2" w14:textId="12CFEDD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25</w:t>
            </w:r>
          </w:p>
        </w:tc>
        <w:tc>
          <w:tcPr>
            <w:tcW w:w="2004" w:type="dxa"/>
          </w:tcPr>
          <w:p w14:paraId="75150B24" w14:textId="313AE0EF"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25</w:t>
            </w:r>
          </w:p>
        </w:tc>
        <w:tc>
          <w:tcPr>
            <w:tcW w:w="1888" w:type="dxa"/>
          </w:tcPr>
          <w:p w14:paraId="31290F49" w14:textId="78AB4A85"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w:t>
            </w:r>
          </w:p>
        </w:tc>
      </w:tr>
      <w:tr w:rsidR="00A27840" w14:paraId="51662E55" w14:textId="675ACB69"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771E6CF7" w14:textId="58AD72EB" w:rsidR="00A27840" w:rsidRPr="00F348E2" w:rsidRDefault="00A27840" w:rsidP="00A27840">
            <w:pPr>
              <w:pStyle w:val="TableParagraph"/>
            </w:pPr>
            <w:r>
              <w:t xml:space="preserve">Cobre – </w:t>
            </w:r>
            <w:r w:rsidRPr="00F348E2">
              <w:t xml:space="preserve">Cables </w:t>
            </w:r>
            <w:r>
              <w:t xml:space="preserve">aéreos </w:t>
            </w:r>
          </w:p>
        </w:tc>
        <w:tc>
          <w:tcPr>
            <w:tcW w:w="2047" w:type="dxa"/>
          </w:tcPr>
          <w:p w14:paraId="65473D3C" w14:textId="555CC1A4"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20</w:t>
            </w:r>
          </w:p>
        </w:tc>
        <w:tc>
          <w:tcPr>
            <w:tcW w:w="2004" w:type="dxa"/>
          </w:tcPr>
          <w:p w14:paraId="79050A39" w14:textId="2E12C168"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25</w:t>
            </w:r>
          </w:p>
        </w:tc>
        <w:tc>
          <w:tcPr>
            <w:tcW w:w="1888" w:type="dxa"/>
          </w:tcPr>
          <w:p w14:paraId="213A580F" w14:textId="5E56DAA2"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+5</w:t>
            </w:r>
          </w:p>
        </w:tc>
      </w:tr>
      <w:tr w:rsidR="00A27840" w14:paraId="4520D78F" w14:textId="71A29CD5"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735DFC33" w14:textId="3B8D230A" w:rsidR="00A27840" w:rsidRPr="00F348E2" w:rsidRDefault="00A27840" w:rsidP="00A27840">
            <w:pPr>
              <w:pStyle w:val="TableParagraph"/>
            </w:pPr>
            <w:r>
              <w:t>Cobre – Empalmes</w:t>
            </w:r>
          </w:p>
        </w:tc>
        <w:tc>
          <w:tcPr>
            <w:tcW w:w="2047" w:type="dxa"/>
          </w:tcPr>
          <w:p w14:paraId="77A12929" w14:textId="26096D78"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15</w:t>
            </w:r>
          </w:p>
        </w:tc>
        <w:tc>
          <w:tcPr>
            <w:tcW w:w="2004" w:type="dxa"/>
          </w:tcPr>
          <w:p w14:paraId="7CB4F4D0" w14:textId="260719FB"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25</w:t>
            </w:r>
          </w:p>
        </w:tc>
        <w:tc>
          <w:tcPr>
            <w:tcW w:w="1888" w:type="dxa"/>
          </w:tcPr>
          <w:p w14:paraId="066792A4" w14:textId="450E5EAE"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pPr>
            <w:r>
              <w:t>+10</w:t>
            </w:r>
          </w:p>
        </w:tc>
      </w:tr>
      <w:tr w:rsidR="00A27840" w:rsidRPr="00E71162" w14:paraId="48A43E3B" w14:textId="65085604"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64DFA98A" w14:textId="0B385BB1" w:rsidR="00A27840" w:rsidRPr="00F348E2" w:rsidRDefault="00A27840" w:rsidP="00A27840">
            <w:pPr>
              <w:pStyle w:val="TableParagraph"/>
            </w:pPr>
            <w:r>
              <w:t xml:space="preserve">Cobre – </w:t>
            </w:r>
            <w:r w:rsidRPr="00F348E2">
              <w:t>Puntos de distribución</w:t>
            </w:r>
          </w:p>
        </w:tc>
        <w:tc>
          <w:tcPr>
            <w:tcW w:w="2047" w:type="dxa"/>
          </w:tcPr>
          <w:p w14:paraId="73780AA4" w14:textId="251E59E4"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14</w:t>
            </w:r>
          </w:p>
        </w:tc>
        <w:tc>
          <w:tcPr>
            <w:tcW w:w="2004" w:type="dxa"/>
          </w:tcPr>
          <w:p w14:paraId="5F3D2AEA" w14:textId="2E3A9070"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14</w:t>
            </w:r>
          </w:p>
        </w:tc>
        <w:tc>
          <w:tcPr>
            <w:tcW w:w="1888" w:type="dxa"/>
          </w:tcPr>
          <w:p w14:paraId="0BD8CC45" w14:textId="53530D48"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w:t>
            </w:r>
          </w:p>
        </w:tc>
      </w:tr>
      <w:tr w:rsidR="00A27840" w:rsidRPr="00E71162" w14:paraId="1C5E1ECD" w14:textId="240D1310" w:rsidTr="00AD0662">
        <w:trPr>
          <w:jc w:val="center"/>
        </w:trPr>
        <w:tc>
          <w:tcPr>
            <w:cnfStyle w:val="001000000000" w:firstRow="0" w:lastRow="0" w:firstColumn="1" w:lastColumn="0" w:oddVBand="0" w:evenVBand="0" w:oddHBand="0" w:evenHBand="0" w:firstRowFirstColumn="0" w:firstRowLastColumn="0" w:lastRowFirstColumn="0" w:lastRowLastColumn="0"/>
            <w:tcW w:w="3131" w:type="dxa"/>
          </w:tcPr>
          <w:p w14:paraId="2D95A25B" w14:textId="03205745" w:rsidR="00A27840" w:rsidRPr="00F348E2" w:rsidRDefault="00A27840" w:rsidP="00A27840">
            <w:pPr>
              <w:pStyle w:val="TableParagraph"/>
            </w:pPr>
            <w:r>
              <w:t>M</w:t>
            </w:r>
            <w:r w:rsidRPr="00F348E2">
              <w:t>DF</w:t>
            </w:r>
          </w:p>
        </w:tc>
        <w:tc>
          <w:tcPr>
            <w:tcW w:w="2047" w:type="dxa"/>
          </w:tcPr>
          <w:p w14:paraId="60824DC1" w14:textId="68595093"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14</w:t>
            </w:r>
          </w:p>
        </w:tc>
        <w:tc>
          <w:tcPr>
            <w:tcW w:w="2004" w:type="dxa"/>
          </w:tcPr>
          <w:p w14:paraId="01EDD702" w14:textId="0E67B93D" w:rsidR="00A27840" w:rsidRPr="00E71162"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13</w:t>
            </w:r>
          </w:p>
        </w:tc>
        <w:tc>
          <w:tcPr>
            <w:tcW w:w="1888" w:type="dxa"/>
          </w:tcPr>
          <w:p w14:paraId="24A116C5" w14:textId="3431555B" w:rsidR="00A27840" w:rsidRDefault="00A27840" w:rsidP="00A27840">
            <w:pPr>
              <w:pStyle w:val="TableParagraph"/>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w:t>
            </w:r>
          </w:p>
        </w:tc>
      </w:tr>
    </w:tbl>
    <w:p w14:paraId="1F761DEA" w14:textId="09E7A1F4" w:rsidR="009A5F95" w:rsidRDefault="00BB1E58" w:rsidP="00BB1E58">
      <w:pPr>
        <w:pStyle w:val="Descripcin"/>
      </w:pPr>
      <w:r>
        <w:t xml:space="preserve">Tabla </w:t>
      </w:r>
      <w:r w:rsidR="00450F28">
        <w:fldChar w:fldCharType="begin"/>
      </w:r>
      <w:r w:rsidR="00450F28">
        <w:instrText xml:space="preserve"> STYLEREF 1 \s </w:instrText>
      </w:r>
      <w:r w:rsidR="00450F28">
        <w:fldChar w:fldCharType="separate"/>
      </w:r>
      <w:r w:rsidR="00320714">
        <w:rPr>
          <w:rFonts w:hint="cs"/>
          <w:noProof/>
          <w:cs/>
        </w:rPr>
        <w:t>‎</w:t>
      </w:r>
      <w:r w:rsidR="00320714">
        <w:rPr>
          <w:noProof/>
        </w:rPr>
        <w:t>3</w:t>
      </w:r>
      <w:r w:rsidR="00450F28">
        <w:fldChar w:fldCharType="end"/>
      </w:r>
      <w:r w:rsidR="00450F28">
        <w:t>.</w:t>
      </w:r>
      <w:r w:rsidR="00450F28">
        <w:fldChar w:fldCharType="begin"/>
      </w:r>
      <w:r w:rsidR="00450F28">
        <w:instrText xml:space="preserve"> SEQ Tabla \* ARABIC \s 1 </w:instrText>
      </w:r>
      <w:r w:rsidR="00450F28">
        <w:fldChar w:fldCharType="separate"/>
      </w:r>
      <w:r w:rsidR="00320714">
        <w:rPr>
          <w:noProof/>
        </w:rPr>
        <w:t>5</w:t>
      </w:r>
      <w:r w:rsidR="00450F28">
        <w:fldChar w:fldCharType="end"/>
      </w:r>
      <w:r w:rsidR="006917F2">
        <w:t xml:space="preserve"> </w:t>
      </w:r>
      <w:r w:rsidR="00D23D47">
        <w:t>Variación</w:t>
      </w:r>
      <w:r w:rsidR="006917F2">
        <w:t xml:space="preserve"> de vidas útiles </w:t>
      </w:r>
      <w:r w:rsidR="00ED5D28">
        <w:t xml:space="preserve">de activos </w:t>
      </w:r>
      <w:r w:rsidR="006917F2">
        <w:t xml:space="preserve">[Fuente: </w:t>
      </w:r>
      <w:r w:rsidR="00D23D47">
        <w:t>AEP</w:t>
      </w:r>
      <w:r w:rsidR="006917F2">
        <w:t>]</w:t>
      </w:r>
    </w:p>
    <w:p w14:paraId="2CF4DBB7" w14:textId="36E5C09D" w:rsidR="00DD7C69" w:rsidRPr="007000ED" w:rsidRDefault="00B0484A" w:rsidP="00DD7C69">
      <w:pPr>
        <w:pStyle w:val="Update"/>
        <w:rPr>
          <w:b w:val="0"/>
          <w:bCs/>
          <w:lang w:val="es-ES"/>
        </w:rPr>
      </w:pPr>
      <w:r>
        <w:rPr>
          <w:b w:val="0"/>
          <w:bCs/>
          <w:lang w:val="es-ES"/>
        </w:rPr>
        <w:t>S</w:t>
      </w:r>
      <w:r w:rsidR="00DD7C69" w:rsidRPr="007000ED">
        <w:rPr>
          <w:b w:val="0"/>
          <w:bCs/>
          <w:lang w:val="es-ES"/>
        </w:rPr>
        <w:t xml:space="preserve">e ha llevado a </w:t>
      </w:r>
      <w:r w:rsidR="00DD7C69">
        <w:rPr>
          <w:b w:val="0"/>
          <w:bCs/>
          <w:lang w:val="es-ES"/>
        </w:rPr>
        <w:t xml:space="preserve">cabo </w:t>
      </w:r>
      <w:r w:rsidR="00DD7C69" w:rsidRPr="007000ED">
        <w:rPr>
          <w:b w:val="0"/>
          <w:bCs/>
          <w:lang w:val="es-ES"/>
        </w:rPr>
        <w:t xml:space="preserve">la </w:t>
      </w:r>
      <w:r w:rsidR="00DD7C69">
        <w:rPr>
          <w:b w:val="0"/>
          <w:bCs/>
          <w:lang w:val="es-ES"/>
        </w:rPr>
        <w:t xml:space="preserve">actualización </w:t>
      </w:r>
      <w:r w:rsidR="00DD7C69" w:rsidRPr="007000ED">
        <w:rPr>
          <w:b w:val="0"/>
          <w:bCs/>
          <w:lang w:val="es-ES"/>
        </w:rPr>
        <w:t xml:space="preserve">de las vidas útiles de los activos </w:t>
      </w:r>
      <w:r w:rsidR="004B64E8">
        <w:rPr>
          <w:b w:val="0"/>
          <w:bCs/>
          <w:lang w:val="es-ES"/>
        </w:rPr>
        <w:t xml:space="preserve">de acuerdo </w:t>
      </w:r>
      <w:r w:rsidR="00754126">
        <w:rPr>
          <w:b w:val="0"/>
          <w:bCs/>
          <w:lang w:val="es-ES"/>
        </w:rPr>
        <w:t xml:space="preserve">con </w:t>
      </w:r>
      <w:r w:rsidR="004B64E8">
        <w:rPr>
          <w:b w:val="0"/>
          <w:bCs/>
          <w:lang w:val="es-ES"/>
        </w:rPr>
        <w:t>la información</w:t>
      </w:r>
      <w:r>
        <w:rPr>
          <w:b w:val="0"/>
          <w:bCs/>
          <w:lang w:val="es-ES"/>
        </w:rPr>
        <w:t xml:space="preserve"> disponible en la Separación Contable del </w:t>
      </w:r>
      <w:r w:rsidR="004B64E8">
        <w:rPr>
          <w:b w:val="0"/>
          <w:bCs/>
          <w:lang w:val="es-ES"/>
        </w:rPr>
        <w:t>AEP</w:t>
      </w:r>
      <w:r>
        <w:rPr>
          <w:b w:val="0"/>
          <w:bCs/>
          <w:lang w:val="es-ES"/>
        </w:rPr>
        <w:t xml:space="preserve">. </w:t>
      </w:r>
    </w:p>
    <w:p w14:paraId="68E7C9C8" w14:textId="77777777" w:rsidR="00653D4D" w:rsidRDefault="00653D4D" w:rsidP="00653D4D">
      <w:pPr>
        <w:pStyle w:val="Ttulo2"/>
      </w:pPr>
      <w:bookmarkStart w:id="82" w:name="_Ref140161975"/>
      <w:bookmarkStart w:id="83" w:name="_Toc142388409"/>
      <w:bookmarkStart w:id="84" w:name="_Ref139887271"/>
      <w:r>
        <w:t>Tasas de compartición entre tecnologías</w:t>
      </w:r>
      <w:bookmarkEnd w:id="82"/>
      <w:bookmarkEnd w:id="83"/>
    </w:p>
    <w:p w14:paraId="2AA68B54" w14:textId="44AE6A40" w:rsidR="00653D4D" w:rsidRDefault="00653D4D" w:rsidP="00653D4D">
      <w:r>
        <w:t xml:space="preserve">Con relación a los niveles de compartición entre tecnologías, la información proporcionada por el AEP </w:t>
      </w:r>
      <w:r w:rsidR="009E6928">
        <w:t xml:space="preserve">a nivel de central </w:t>
      </w:r>
      <w:r w:rsidR="001942A2">
        <w:t xml:space="preserve">permitió </w:t>
      </w:r>
      <w:r>
        <w:t xml:space="preserve">extraer que las líneas de la red se distribuyen entre tecnologías de acuerdo a los siguientes porcentajes: </w:t>
      </w:r>
    </w:p>
    <w:tbl>
      <w:tblPr>
        <w:tblStyle w:val="Axon"/>
        <w:tblW w:w="5529" w:type="dxa"/>
        <w:jc w:val="center"/>
        <w:tblLook w:val="04A0" w:firstRow="1" w:lastRow="0" w:firstColumn="1" w:lastColumn="0" w:noHBand="0" w:noVBand="1"/>
      </w:tblPr>
      <w:tblGrid>
        <w:gridCol w:w="3118"/>
        <w:gridCol w:w="2411"/>
      </w:tblGrid>
      <w:tr w:rsidR="00653D4D" w:rsidRPr="005B583F" w14:paraId="6D54A367" w14:textId="77777777" w:rsidTr="00DB3E3B">
        <w:trPr>
          <w:cnfStyle w:val="100000000000" w:firstRow="1" w:lastRow="0" w:firstColumn="0" w:lastColumn="0" w:oddVBand="0" w:evenVBand="0" w:oddHBand="0" w:evenHBand="0" w:firstRowFirstColumn="0" w:firstRowLastColumn="0" w:lastRowFirstColumn="0" w:lastRowLastColumn="0"/>
          <w:trHeight w:val="540"/>
          <w:tblHeader/>
          <w:jc w:val="center"/>
        </w:trPr>
        <w:tc>
          <w:tcPr>
            <w:cnfStyle w:val="001000000000" w:firstRow="0" w:lastRow="0" w:firstColumn="1" w:lastColumn="0" w:oddVBand="0" w:evenVBand="0" w:oddHBand="0" w:evenHBand="0" w:firstRowFirstColumn="0" w:firstRowLastColumn="0" w:lastRowFirstColumn="0" w:lastRowLastColumn="0"/>
            <w:tcW w:w="3118" w:type="dxa"/>
            <w:hideMark/>
          </w:tcPr>
          <w:p w14:paraId="523BDB6C" w14:textId="77777777" w:rsidR="00653D4D" w:rsidRPr="005B583F" w:rsidRDefault="00653D4D" w:rsidP="00DB3E3B">
            <w:pPr>
              <w:pStyle w:val="TableHeading"/>
              <w:keepNext/>
              <w:keepLines/>
              <w:rPr>
                <w:rFonts w:ascii="Verdana" w:hAnsi="Verdana" w:cs="Calibri"/>
                <w:szCs w:val="20"/>
                <w:lang w:eastAsia="es-ES"/>
              </w:rPr>
            </w:pPr>
            <w:r>
              <w:rPr>
                <w:rFonts w:ascii="Verdana" w:hAnsi="Verdana" w:cs="Calibri"/>
                <w:szCs w:val="20"/>
                <w:lang w:eastAsia="es-ES"/>
              </w:rPr>
              <w:t>Tipo de líneas</w:t>
            </w:r>
          </w:p>
        </w:tc>
        <w:tc>
          <w:tcPr>
            <w:tcW w:w="2411" w:type="dxa"/>
          </w:tcPr>
          <w:p w14:paraId="5D5DAA21" w14:textId="77777777" w:rsidR="00653D4D" w:rsidRDefault="00653D4D" w:rsidP="00DB3E3B">
            <w:pPr>
              <w:pStyle w:val="TableHeading"/>
              <w:keepNext/>
              <w:keepLines/>
              <w:cnfStyle w:val="100000000000" w:firstRow="1" w:lastRow="0" w:firstColumn="0" w:lastColumn="0" w:oddVBand="0" w:evenVBand="0" w:oddHBand="0" w:evenHBand="0" w:firstRowFirstColumn="0" w:firstRowLastColumn="0" w:lastRowFirstColumn="0" w:lastRowLastColumn="0"/>
              <w:rPr>
                <w:rFonts w:ascii="Verdana" w:hAnsi="Verdana" w:cs="Calibri"/>
                <w:szCs w:val="20"/>
                <w:lang w:eastAsia="es-ES"/>
              </w:rPr>
            </w:pPr>
            <w:r>
              <w:rPr>
                <w:rFonts w:ascii="Verdana" w:hAnsi="Verdana" w:cs="Calibri"/>
                <w:szCs w:val="20"/>
                <w:lang w:eastAsia="es-ES"/>
              </w:rPr>
              <w:t>Porcentaje de líneas</w:t>
            </w:r>
          </w:p>
        </w:tc>
      </w:tr>
      <w:tr w:rsidR="00653D4D" w:rsidRPr="005B583F" w14:paraId="133D9AE2" w14:textId="77777777" w:rsidTr="00DB3E3B">
        <w:trPr>
          <w:trHeight w:val="290"/>
          <w:jc w:val="center"/>
        </w:trPr>
        <w:tc>
          <w:tcPr>
            <w:cnfStyle w:val="001000000000" w:firstRow="0" w:lastRow="0" w:firstColumn="1" w:lastColumn="0" w:oddVBand="0" w:evenVBand="0" w:oddHBand="0" w:evenHBand="0" w:firstRowFirstColumn="0" w:firstRowLastColumn="0" w:lastRowFirstColumn="0" w:lastRowLastColumn="0"/>
            <w:tcW w:w="3118" w:type="dxa"/>
            <w:noWrap/>
            <w:vAlign w:val="top"/>
          </w:tcPr>
          <w:p w14:paraId="630DAA71" w14:textId="77777777" w:rsidR="00653D4D" w:rsidRPr="005B583F" w:rsidRDefault="00653D4D" w:rsidP="00DB3E3B">
            <w:pPr>
              <w:pStyle w:val="TableParagraph"/>
              <w:keepNext/>
              <w:keepLines/>
              <w:rPr>
                <w:lang w:eastAsia="es-ES"/>
              </w:rPr>
            </w:pPr>
            <w:r>
              <w:rPr>
                <w:lang w:eastAsia="es-ES"/>
              </w:rPr>
              <w:t>Solo Cobre</w:t>
            </w:r>
          </w:p>
        </w:tc>
        <w:tc>
          <w:tcPr>
            <w:tcW w:w="2411" w:type="dxa"/>
            <w:vAlign w:val="bottom"/>
          </w:tcPr>
          <w:p w14:paraId="1E508CFD" w14:textId="379105C1" w:rsidR="00653D4D" w:rsidRPr="005B583F" w:rsidRDefault="00653D4D" w:rsidP="00DB3E3B">
            <w:pPr>
              <w:pStyle w:val="TableParagraph"/>
              <w:keepNext/>
              <w:keepLines/>
              <w:jc w:val="right"/>
              <w:cnfStyle w:val="000000000000" w:firstRow="0" w:lastRow="0" w:firstColumn="0" w:lastColumn="0" w:oddVBand="0" w:evenVBand="0" w:oddHBand="0" w:evenHBand="0" w:firstRowFirstColumn="0" w:firstRowLastColumn="0" w:lastRowFirstColumn="0" w:lastRowLastColumn="0"/>
              <w:rPr>
                <w:lang w:eastAsia="es-ES"/>
              </w:rPr>
            </w:pPr>
            <w:r w:rsidRPr="006D5A05">
              <w:rPr>
                <w:lang w:eastAsia="es-ES"/>
              </w:rPr>
              <w:t>48</w:t>
            </w:r>
            <w:r w:rsidR="00591FB3">
              <w:rPr>
                <w:lang w:eastAsia="es-ES"/>
              </w:rPr>
              <w:t>.</w:t>
            </w:r>
            <w:r w:rsidRPr="006D5A05">
              <w:rPr>
                <w:lang w:eastAsia="es-ES"/>
              </w:rPr>
              <w:t>0%</w:t>
            </w:r>
          </w:p>
        </w:tc>
      </w:tr>
      <w:tr w:rsidR="00653D4D" w:rsidRPr="005B583F" w14:paraId="300EFD2C" w14:textId="77777777" w:rsidTr="00DB3E3B">
        <w:trPr>
          <w:trHeight w:val="290"/>
          <w:jc w:val="center"/>
        </w:trPr>
        <w:tc>
          <w:tcPr>
            <w:cnfStyle w:val="001000000000" w:firstRow="0" w:lastRow="0" w:firstColumn="1" w:lastColumn="0" w:oddVBand="0" w:evenVBand="0" w:oddHBand="0" w:evenHBand="0" w:firstRowFirstColumn="0" w:firstRowLastColumn="0" w:lastRowFirstColumn="0" w:lastRowLastColumn="0"/>
            <w:tcW w:w="3118" w:type="dxa"/>
            <w:noWrap/>
            <w:vAlign w:val="top"/>
          </w:tcPr>
          <w:p w14:paraId="3D6B82D4" w14:textId="77777777" w:rsidR="00653D4D" w:rsidRPr="005B583F" w:rsidRDefault="00653D4D" w:rsidP="00DB3E3B">
            <w:pPr>
              <w:pStyle w:val="TableParagraph"/>
              <w:keepNext/>
              <w:keepLines/>
              <w:rPr>
                <w:lang w:eastAsia="es-ES"/>
              </w:rPr>
            </w:pPr>
            <w:r>
              <w:rPr>
                <w:lang w:eastAsia="es-ES"/>
              </w:rPr>
              <w:t>Solo FTTH</w:t>
            </w:r>
          </w:p>
        </w:tc>
        <w:tc>
          <w:tcPr>
            <w:tcW w:w="2411" w:type="dxa"/>
            <w:vAlign w:val="bottom"/>
          </w:tcPr>
          <w:p w14:paraId="6086D7BB" w14:textId="17E50EEE" w:rsidR="00653D4D" w:rsidRPr="005B583F" w:rsidRDefault="00653D4D" w:rsidP="00DB3E3B">
            <w:pPr>
              <w:pStyle w:val="TableParagraph"/>
              <w:keepNext/>
              <w:keepLines/>
              <w:jc w:val="right"/>
              <w:cnfStyle w:val="000000000000" w:firstRow="0" w:lastRow="0" w:firstColumn="0" w:lastColumn="0" w:oddVBand="0" w:evenVBand="0" w:oddHBand="0" w:evenHBand="0" w:firstRowFirstColumn="0" w:firstRowLastColumn="0" w:lastRowFirstColumn="0" w:lastRowLastColumn="0"/>
              <w:rPr>
                <w:lang w:eastAsia="es-ES"/>
              </w:rPr>
            </w:pPr>
            <w:r w:rsidRPr="006D5A05">
              <w:rPr>
                <w:lang w:eastAsia="es-ES"/>
              </w:rPr>
              <w:t>0</w:t>
            </w:r>
            <w:r w:rsidR="00591FB3">
              <w:rPr>
                <w:lang w:eastAsia="es-ES"/>
              </w:rPr>
              <w:t>.</w:t>
            </w:r>
            <w:r w:rsidRPr="006D5A05">
              <w:rPr>
                <w:lang w:eastAsia="es-ES"/>
              </w:rPr>
              <w:t>1%</w:t>
            </w:r>
          </w:p>
        </w:tc>
      </w:tr>
      <w:tr w:rsidR="00653D4D" w:rsidRPr="005B583F" w14:paraId="5D1ED7F4" w14:textId="77777777" w:rsidTr="00DB3E3B">
        <w:trPr>
          <w:trHeight w:val="290"/>
          <w:jc w:val="center"/>
        </w:trPr>
        <w:tc>
          <w:tcPr>
            <w:cnfStyle w:val="001000000000" w:firstRow="0" w:lastRow="0" w:firstColumn="1" w:lastColumn="0" w:oddVBand="0" w:evenVBand="0" w:oddHBand="0" w:evenHBand="0" w:firstRowFirstColumn="0" w:firstRowLastColumn="0" w:lastRowFirstColumn="0" w:lastRowLastColumn="0"/>
            <w:tcW w:w="3118" w:type="dxa"/>
            <w:noWrap/>
            <w:vAlign w:val="top"/>
          </w:tcPr>
          <w:p w14:paraId="4A134B76" w14:textId="77777777" w:rsidR="00653D4D" w:rsidRDefault="00653D4D" w:rsidP="00DB3E3B">
            <w:pPr>
              <w:pStyle w:val="TableParagraph"/>
              <w:keepNext/>
              <w:keepLines/>
              <w:rPr>
                <w:lang w:eastAsia="es-ES"/>
              </w:rPr>
            </w:pPr>
            <w:r>
              <w:rPr>
                <w:lang w:eastAsia="es-ES"/>
              </w:rPr>
              <w:t>Solo FTTC</w:t>
            </w:r>
          </w:p>
        </w:tc>
        <w:tc>
          <w:tcPr>
            <w:tcW w:w="2411" w:type="dxa"/>
            <w:vAlign w:val="bottom"/>
          </w:tcPr>
          <w:p w14:paraId="6142DCD6" w14:textId="7A796773" w:rsidR="00653D4D" w:rsidRPr="005B583F" w:rsidRDefault="00653D4D" w:rsidP="00DB3E3B">
            <w:pPr>
              <w:pStyle w:val="TableParagraph"/>
              <w:keepNext/>
              <w:keepLines/>
              <w:jc w:val="right"/>
              <w:cnfStyle w:val="000000000000" w:firstRow="0" w:lastRow="0" w:firstColumn="0" w:lastColumn="0" w:oddVBand="0" w:evenVBand="0" w:oddHBand="0" w:evenHBand="0" w:firstRowFirstColumn="0" w:firstRowLastColumn="0" w:lastRowFirstColumn="0" w:lastRowLastColumn="0"/>
              <w:rPr>
                <w:lang w:eastAsia="es-ES"/>
              </w:rPr>
            </w:pPr>
            <w:r w:rsidRPr="006D5A05">
              <w:rPr>
                <w:lang w:eastAsia="es-ES"/>
              </w:rPr>
              <w:t>7</w:t>
            </w:r>
            <w:r w:rsidR="00591FB3">
              <w:rPr>
                <w:lang w:eastAsia="es-ES"/>
              </w:rPr>
              <w:t>.</w:t>
            </w:r>
            <w:r w:rsidRPr="006D5A05">
              <w:rPr>
                <w:lang w:eastAsia="es-ES"/>
              </w:rPr>
              <w:t>4%</w:t>
            </w:r>
          </w:p>
        </w:tc>
      </w:tr>
      <w:tr w:rsidR="00653D4D" w:rsidRPr="005B583F" w14:paraId="7C806A86" w14:textId="77777777" w:rsidTr="00DB3E3B">
        <w:trPr>
          <w:trHeight w:val="290"/>
          <w:jc w:val="center"/>
        </w:trPr>
        <w:tc>
          <w:tcPr>
            <w:cnfStyle w:val="001000000000" w:firstRow="0" w:lastRow="0" w:firstColumn="1" w:lastColumn="0" w:oddVBand="0" w:evenVBand="0" w:oddHBand="0" w:evenHBand="0" w:firstRowFirstColumn="0" w:firstRowLastColumn="0" w:lastRowFirstColumn="0" w:lastRowLastColumn="0"/>
            <w:tcW w:w="3118" w:type="dxa"/>
            <w:noWrap/>
            <w:vAlign w:val="top"/>
          </w:tcPr>
          <w:p w14:paraId="034FA028" w14:textId="77777777" w:rsidR="00653D4D" w:rsidRDefault="00653D4D" w:rsidP="00DB3E3B">
            <w:pPr>
              <w:pStyle w:val="TableParagraph"/>
              <w:keepNext/>
              <w:keepLines/>
              <w:rPr>
                <w:lang w:eastAsia="es-ES"/>
              </w:rPr>
            </w:pPr>
            <w:r>
              <w:rPr>
                <w:lang w:eastAsia="es-ES"/>
              </w:rPr>
              <w:t>Cobre + FTTH</w:t>
            </w:r>
          </w:p>
        </w:tc>
        <w:tc>
          <w:tcPr>
            <w:tcW w:w="2411" w:type="dxa"/>
            <w:vAlign w:val="bottom"/>
          </w:tcPr>
          <w:p w14:paraId="20BFE351" w14:textId="15555C9F" w:rsidR="00653D4D" w:rsidRPr="005B583F" w:rsidRDefault="00653D4D" w:rsidP="00DB3E3B">
            <w:pPr>
              <w:pStyle w:val="TableParagraph"/>
              <w:keepNext/>
              <w:keepLines/>
              <w:jc w:val="right"/>
              <w:cnfStyle w:val="000000000000" w:firstRow="0" w:lastRow="0" w:firstColumn="0" w:lastColumn="0" w:oddVBand="0" w:evenVBand="0" w:oddHBand="0" w:evenHBand="0" w:firstRowFirstColumn="0" w:firstRowLastColumn="0" w:lastRowFirstColumn="0" w:lastRowLastColumn="0"/>
              <w:rPr>
                <w:lang w:eastAsia="es-ES"/>
              </w:rPr>
            </w:pPr>
            <w:r w:rsidRPr="006D5A05">
              <w:rPr>
                <w:lang w:eastAsia="es-ES"/>
              </w:rPr>
              <w:t>38</w:t>
            </w:r>
            <w:r w:rsidR="00591FB3">
              <w:rPr>
                <w:lang w:eastAsia="es-ES"/>
              </w:rPr>
              <w:t>.</w:t>
            </w:r>
            <w:r w:rsidRPr="006D5A05">
              <w:rPr>
                <w:lang w:eastAsia="es-ES"/>
              </w:rPr>
              <w:t>4%</w:t>
            </w:r>
          </w:p>
        </w:tc>
      </w:tr>
      <w:tr w:rsidR="00653D4D" w:rsidRPr="005B583F" w14:paraId="3543C2E0" w14:textId="77777777" w:rsidTr="00DB3E3B">
        <w:trPr>
          <w:trHeight w:val="290"/>
          <w:jc w:val="center"/>
        </w:trPr>
        <w:tc>
          <w:tcPr>
            <w:cnfStyle w:val="001000000000" w:firstRow="0" w:lastRow="0" w:firstColumn="1" w:lastColumn="0" w:oddVBand="0" w:evenVBand="0" w:oddHBand="0" w:evenHBand="0" w:firstRowFirstColumn="0" w:firstRowLastColumn="0" w:lastRowFirstColumn="0" w:lastRowLastColumn="0"/>
            <w:tcW w:w="3118" w:type="dxa"/>
            <w:noWrap/>
            <w:vAlign w:val="top"/>
          </w:tcPr>
          <w:p w14:paraId="65838E30" w14:textId="77777777" w:rsidR="00653D4D" w:rsidRPr="005B583F" w:rsidRDefault="00653D4D" w:rsidP="00DB3E3B">
            <w:pPr>
              <w:pStyle w:val="TableParagraph"/>
              <w:keepNext/>
              <w:keepLines/>
              <w:rPr>
                <w:lang w:eastAsia="es-ES"/>
              </w:rPr>
            </w:pPr>
            <w:r>
              <w:rPr>
                <w:lang w:eastAsia="es-ES"/>
              </w:rPr>
              <w:t>Cobre + FTTC</w:t>
            </w:r>
          </w:p>
        </w:tc>
        <w:tc>
          <w:tcPr>
            <w:tcW w:w="2411" w:type="dxa"/>
            <w:vAlign w:val="bottom"/>
          </w:tcPr>
          <w:p w14:paraId="02F2BCDB" w14:textId="4C815AE4" w:rsidR="00653D4D" w:rsidRPr="005B583F" w:rsidRDefault="00653D4D" w:rsidP="00DB3E3B">
            <w:pPr>
              <w:pStyle w:val="TableParagraph"/>
              <w:keepNext/>
              <w:keepLines/>
              <w:jc w:val="right"/>
              <w:cnfStyle w:val="000000000000" w:firstRow="0" w:lastRow="0" w:firstColumn="0" w:lastColumn="0" w:oddVBand="0" w:evenVBand="0" w:oddHBand="0" w:evenHBand="0" w:firstRowFirstColumn="0" w:firstRowLastColumn="0" w:lastRowFirstColumn="0" w:lastRowLastColumn="0"/>
              <w:rPr>
                <w:lang w:eastAsia="es-ES"/>
              </w:rPr>
            </w:pPr>
            <w:r w:rsidRPr="006D5A05">
              <w:rPr>
                <w:lang w:eastAsia="es-ES"/>
              </w:rPr>
              <w:t>6</w:t>
            </w:r>
            <w:r w:rsidR="00591FB3">
              <w:rPr>
                <w:lang w:eastAsia="es-ES"/>
              </w:rPr>
              <w:t>.</w:t>
            </w:r>
            <w:r w:rsidRPr="006D5A05">
              <w:rPr>
                <w:lang w:eastAsia="es-ES"/>
              </w:rPr>
              <w:t>1%</w:t>
            </w:r>
          </w:p>
        </w:tc>
      </w:tr>
      <w:tr w:rsidR="00653D4D" w:rsidRPr="005B583F" w14:paraId="26559AC0" w14:textId="77777777" w:rsidTr="00DB3E3B">
        <w:trPr>
          <w:trHeight w:val="290"/>
          <w:jc w:val="center"/>
        </w:trPr>
        <w:tc>
          <w:tcPr>
            <w:cnfStyle w:val="001000000000" w:firstRow="0" w:lastRow="0" w:firstColumn="1" w:lastColumn="0" w:oddVBand="0" w:evenVBand="0" w:oddHBand="0" w:evenHBand="0" w:firstRowFirstColumn="0" w:firstRowLastColumn="0" w:lastRowFirstColumn="0" w:lastRowLastColumn="0"/>
            <w:tcW w:w="3118" w:type="dxa"/>
            <w:noWrap/>
            <w:vAlign w:val="top"/>
          </w:tcPr>
          <w:p w14:paraId="0397D064" w14:textId="77777777" w:rsidR="00653D4D" w:rsidRPr="00777175" w:rsidRDefault="00653D4D" w:rsidP="00DB3E3B">
            <w:pPr>
              <w:pStyle w:val="TableParagraph"/>
              <w:keepNext/>
              <w:keepLines/>
              <w:rPr>
                <w:b/>
                <w:bCs/>
                <w:lang w:eastAsia="es-ES"/>
              </w:rPr>
            </w:pPr>
            <w:r w:rsidRPr="00777175">
              <w:rPr>
                <w:b/>
                <w:bCs/>
                <w:lang w:eastAsia="es-ES"/>
              </w:rPr>
              <w:t>TOTAL</w:t>
            </w:r>
          </w:p>
        </w:tc>
        <w:tc>
          <w:tcPr>
            <w:tcW w:w="2411" w:type="dxa"/>
            <w:vAlign w:val="bottom"/>
          </w:tcPr>
          <w:p w14:paraId="72223B9B" w14:textId="2EFF56D6" w:rsidR="00653D4D" w:rsidRPr="00777175" w:rsidRDefault="00653D4D" w:rsidP="00DB3E3B">
            <w:pPr>
              <w:pStyle w:val="TableParagraph"/>
              <w:keepNext/>
              <w:keepLines/>
              <w:jc w:val="right"/>
              <w:cnfStyle w:val="000000000000" w:firstRow="0" w:lastRow="0" w:firstColumn="0" w:lastColumn="0" w:oddVBand="0" w:evenVBand="0" w:oddHBand="0" w:evenHBand="0" w:firstRowFirstColumn="0" w:firstRowLastColumn="0" w:lastRowFirstColumn="0" w:lastRowLastColumn="0"/>
              <w:rPr>
                <w:b/>
                <w:bCs/>
                <w:lang w:eastAsia="es-ES"/>
              </w:rPr>
            </w:pPr>
            <w:r w:rsidRPr="00777175">
              <w:rPr>
                <w:b/>
                <w:bCs/>
                <w:lang w:eastAsia="es-ES"/>
              </w:rPr>
              <w:t>100</w:t>
            </w:r>
            <w:r w:rsidR="00591FB3">
              <w:rPr>
                <w:b/>
                <w:bCs/>
                <w:lang w:eastAsia="es-ES"/>
              </w:rPr>
              <w:t>.</w:t>
            </w:r>
            <w:r w:rsidRPr="00777175">
              <w:rPr>
                <w:b/>
                <w:bCs/>
                <w:lang w:eastAsia="es-ES"/>
              </w:rPr>
              <w:t>0%</w:t>
            </w:r>
          </w:p>
        </w:tc>
      </w:tr>
    </w:tbl>
    <w:p w14:paraId="62CCCD6F" w14:textId="409959CD" w:rsidR="00007AF6" w:rsidRDefault="00007AF6" w:rsidP="00007AF6">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6</w:t>
      </w:r>
      <w:r>
        <w:fldChar w:fldCharType="end"/>
      </w:r>
      <w:r>
        <w:t xml:space="preserve"> Distribución de líneas por tecnología [</w:t>
      </w:r>
      <w:r w:rsidRPr="00665A1F">
        <w:t xml:space="preserve">Fuente: </w:t>
      </w:r>
      <w:proofErr w:type="spellStart"/>
      <w:r w:rsidRPr="00665A1F">
        <w:t>Axon</w:t>
      </w:r>
      <w:proofErr w:type="spellEnd"/>
      <w:r w:rsidRPr="00665A1F">
        <w:t xml:space="preserve"> con base en información del AEP</w:t>
      </w:r>
      <w:r>
        <w:t>]</w:t>
      </w:r>
    </w:p>
    <w:p w14:paraId="3D1E91E4" w14:textId="6002834E" w:rsidR="00653D4D" w:rsidRDefault="00653D4D" w:rsidP="00653D4D">
      <w:r>
        <w:t xml:space="preserve">A partir de los porcentajes de la tabla anterior se </w:t>
      </w:r>
      <w:r w:rsidR="001942A2">
        <w:t xml:space="preserve">calcularon </w:t>
      </w:r>
      <w:r>
        <w:t xml:space="preserve">las tasas de compartición para cada una de las tecnologías, según las siguientes fórmulas: </w:t>
      </w:r>
    </w:p>
    <w:p w14:paraId="58CF9F02" w14:textId="5A266EAF" w:rsidR="00653D4D" w:rsidRPr="00F13ECF" w:rsidRDefault="00477ACD" w:rsidP="00653D4D">
      <w:pPr>
        <w:jc w:val="center"/>
        <w:rPr>
          <w:rFonts w:ascii="Cambria Math" w:hAnsi="Cambria Math" w:cs="Cambria Math"/>
          <w:lang w:val="es-MX"/>
        </w:rPr>
      </w:pPr>
      <m:oMathPara>
        <m:oMath>
          <m:sSub>
            <m:sSubPr>
              <m:ctrlPr>
                <w:rPr>
                  <w:rFonts w:ascii="Cambria Math" w:hAnsi="Cambria Math" w:cs="Cambria Math"/>
                  <w:i/>
                  <w:lang w:val="es-MX"/>
                </w:rPr>
              </m:ctrlPr>
            </m:sSubPr>
            <m:e>
              <m:r>
                <w:rPr>
                  <w:rFonts w:ascii="Cambria Math" w:hAnsi="Cambria Math" w:cs="Cambria Math"/>
                  <w:lang w:val="es-MX"/>
                </w:rPr>
                <m:t>% Compartición</m:t>
              </m:r>
            </m:e>
            <m:sub>
              <m:r>
                <w:rPr>
                  <w:rFonts w:ascii="Cambria Math" w:hAnsi="Cambria Math" w:cs="Cambria Math"/>
                  <w:lang w:val="es-MX"/>
                </w:rPr>
                <m:t>cobre</m:t>
              </m:r>
            </m:sub>
          </m:sSub>
          <m:r>
            <m:rPr>
              <m:sty m:val="p"/>
            </m:rPr>
            <w:rPr>
              <w:rFonts w:ascii="Cambria Math" w:hAnsi="Cambria Math" w:cs="Cambria Math"/>
              <w:lang w:val="es-MX"/>
            </w:rPr>
            <m:t>=</m:t>
          </m:r>
          <m:f>
            <m:fPr>
              <m:ctrlPr>
                <w:rPr>
                  <w:rFonts w:ascii="Cambria Math" w:hAnsi="Cambria Math" w:cs="Cambria Math"/>
                  <w:lang w:val="es-MX"/>
                </w:rPr>
              </m:ctrlPr>
            </m:fPr>
            <m:num>
              <m:r>
                <m:rPr>
                  <m:sty m:val="p"/>
                </m:rPr>
                <w:rPr>
                  <w:rFonts w:ascii="Cambria Math" w:hAnsi="Cambria Math" w:cs="Cambria Math"/>
                  <w:lang w:val="es-MX"/>
                </w:rPr>
                <m:t>50%× 38.4%</m:t>
              </m:r>
            </m:num>
            <m:den>
              <m:r>
                <m:rPr>
                  <m:sty m:val="p"/>
                </m:rPr>
                <w:rPr>
                  <w:rFonts w:ascii="Cambria Math" w:hAnsi="Cambria Math" w:cs="Cambria Math"/>
                  <w:lang w:val="es-MX"/>
                </w:rPr>
                <m:t>48.0%+ 38.4%</m:t>
              </m:r>
            </m:den>
          </m:f>
          <m:r>
            <m:rPr>
              <m:sty m:val="p"/>
            </m:rPr>
            <w:rPr>
              <w:rFonts w:ascii="Cambria Math" w:hAnsi="Cambria Math" w:cs="Cambria Math"/>
              <w:lang w:val="es-MX"/>
            </w:rPr>
            <m:t>=22.2%</m:t>
          </m:r>
        </m:oMath>
      </m:oMathPara>
    </w:p>
    <w:p w14:paraId="3013FEFF" w14:textId="33BBA141" w:rsidR="00653D4D" w:rsidRPr="00F13ECF" w:rsidRDefault="00477ACD" w:rsidP="00653D4D">
      <w:pPr>
        <w:jc w:val="center"/>
        <w:rPr>
          <w:rFonts w:ascii="Cambria Math" w:hAnsi="Cambria Math" w:cs="Cambria Math"/>
          <w:lang w:val="es-MX"/>
        </w:rPr>
      </w:pPr>
      <m:oMathPara>
        <m:oMath>
          <m:sSub>
            <m:sSubPr>
              <m:ctrlPr>
                <w:rPr>
                  <w:rFonts w:ascii="Cambria Math" w:hAnsi="Cambria Math" w:cs="Cambria Math"/>
                  <w:i/>
                  <w:lang w:val="es-MX"/>
                </w:rPr>
              </m:ctrlPr>
            </m:sSubPr>
            <m:e>
              <m:r>
                <w:rPr>
                  <w:rFonts w:ascii="Cambria Math" w:hAnsi="Cambria Math" w:cs="Cambria Math"/>
                  <w:lang w:val="es-MX"/>
                </w:rPr>
                <m:t>% Compartición</m:t>
              </m:r>
            </m:e>
            <m:sub>
              <m:r>
                <w:rPr>
                  <w:rFonts w:ascii="Cambria Math" w:hAnsi="Cambria Math" w:cs="Cambria Math"/>
                  <w:lang w:val="es-MX"/>
                </w:rPr>
                <m:t>FTTH</m:t>
              </m:r>
            </m:sub>
          </m:sSub>
          <m:r>
            <m:rPr>
              <m:sty m:val="p"/>
            </m:rPr>
            <w:rPr>
              <w:rFonts w:ascii="Cambria Math" w:hAnsi="Cambria Math" w:cs="Cambria Math"/>
              <w:lang w:val="es-MX"/>
            </w:rPr>
            <m:t>=</m:t>
          </m:r>
          <m:f>
            <m:fPr>
              <m:ctrlPr>
                <w:rPr>
                  <w:rFonts w:ascii="Cambria Math" w:hAnsi="Cambria Math" w:cs="Cambria Math"/>
                  <w:lang w:val="es-MX"/>
                </w:rPr>
              </m:ctrlPr>
            </m:fPr>
            <m:num>
              <m:r>
                <m:rPr>
                  <m:sty m:val="p"/>
                </m:rPr>
                <w:rPr>
                  <w:rFonts w:ascii="Cambria Math" w:hAnsi="Cambria Math" w:cs="Cambria Math"/>
                  <w:lang w:val="es-MX"/>
                </w:rPr>
                <m:t xml:space="preserve">50%× 38.4%+ 50%× 6.1% </m:t>
              </m:r>
            </m:num>
            <m:den>
              <m:r>
                <m:rPr>
                  <m:sty m:val="p"/>
                </m:rPr>
                <w:rPr>
                  <w:rFonts w:ascii="Cambria Math" w:hAnsi="Cambria Math" w:cs="Cambria Math"/>
                  <w:lang w:val="es-MX"/>
                </w:rPr>
                <m:t>0.1%+ 38.4%+ 6.1%</m:t>
              </m:r>
            </m:den>
          </m:f>
          <m:r>
            <m:rPr>
              <m:sty m:val="p"/>
            </m:rPr>
            <w:rPr>
              <w:rFonts w:ascii="Cambria Math" w:hAnsi="Cambria Math" w:cs="Cambria Math"/>
              <w:lang w:val="es-MX"/>
            </w:rPr>
            <m:t>= 49.9%</m:t>
          </m:r>
        </m:oMath>
      </m:oMathPara>
    </w:p>
    <w:p w14:paraId="0A2A4C5D" w14:textId="16F69F88" w:rsidR="00653D4D" w:rsidRPr="0080132A" w:rsidRDefault="00477ACD" w:rsidP="00653D4D">
      <w:pPr>
        <w:jc w:val="center"/>
        <w:rPr>
          <w:lang w:val="es-MX"/>
        </w:rPr>
      </w:pPr>
      <m:oMathPara>
        <m:oMath>
          <m:sSub>
            <m:sSubPr>
              <m:ctrlPr>
                <w:rPr>
                  <w:rFonts w:ascii="Cambria Math" w:hAnsi="Cambria Math" w:cs="Cambria Math"/>
                  <w:i/>
                  <w:lang w:val="es-MX"/>
                </w:rPr>
              </m:ctrlPr>
            </m:sSubPr>
            <m:e>
              <m:r>
                <w:rPr>
                  <w:rFonts w:ascii="Cambria Math" w:hAnsi="Cambria Math" w:cs="Cambria Math"/>
                  <w:lang w:val="es-MX"/>
                </w:rPr>
                <m:t>% Compartición</m:t>
              </m:r>
            </m:e>
            <m:sub>
              <m:r>
                <w:rPr>
                  <w:rFonts w:ascii="Cambria Math" w:hAnsi="Cambria Math" w:cs="Cambria Math"/>
                  <w:lang w:val="es-MX"/>
                </w:rPr>
                <m:t>FTTC</m:t>
              </m:r>
            </m:sub>
          </m:sSub>
          <m:r>
            <m:rPr>
              <m:sty m:val="p"/>
            </m:rPr>
            <w:rPr>
              <w:rFonts w:ascii="Cambria Math" w:hAnsi="Cambria Math" w:cs="Cambria Math"/>
              <w:lang w:val="es-MX"/>
            </w:rPr>
            <m:t>=</m:t>
          </m:r>
          <m:f>
            <m:fPr>
              <m:ctrlPr>
                <w:rPr>
                  <w:rFonts w:ascii="Cambria Math" w:hAnsi="Cambria Math" w:cs="Cambria Math"/>
                  <w:lang w:val="es-MX"/>
                </w:rPr>
              </m:ctrlPr>
            </m:fPr>
            <m:num>
              <m:r>
                <m:rPr>
                  <m:sty m:val="p"/>
                </m:rPr>
                <w:rPr>
                  <w:rFonts w:ascii="Cambria Math" w:hAnsi="Cambria Math" w:cs="Cambria Math"/>
                  <w:lang w:val="es-MX"/>
                </w:rPr>
                <m:t>50%× 6.1%</m:t>
              </m:r>
            </m:num>
            <m:den>
              <m:r>
                <m:rPr>
                  <m:sty m:val="p"/>
                </m:rPr>
                <w:rPr>
                  <w:rFonts w:ascii="Cambria Math" w:hAnsi="Cambria Math" w:cs="Cambria Math"/>
                  <w:lang w:val="es-MX"/>
                </w:rPr>
                <m:t>7.4%+ 6.1%</m:t>
              </m:r>
            </m:den>
          </m:f>
          <m:r>
            <m:rPr>
              <m:sty m:val="p"/>
            </m:rPr>
            <w:rPr>
              <w:rFonts w:ascii="Cambria Math" w:hAnsi="Cambria Math" w:cs="Cambria Math"/>
              <w:lang w:val="es-MX"/>
            </w:rPr>
            <m:t>=22.6%</m:t>
          </m:r>
        </m:oMath>
      </m:oMathPara>
    </w:p>
    <w:p w14:paraId="79E2BE9E" w14:textId="5A22495C" w:rsidR="00ED457E" w:rsidRDefault="00653D4D" w:rsidP="002F477D">
      <w:r>
        <w:t xml:space="preserve">De esta forma, los porcentajes anteriores son empleados por el Modelo </w:t>
      </w:r>
      <w:r w:rsidR="001942A2">
        <w:t xml:space="preserve">Integral </w:t>
      </w:r>
      <w:r>
        <w:t xml:space="preserve">en el cálculo del </w:t>
      </w:r>
      <w:r w:rsidR="006D0C0A">
        <w:t>i</w:t>
      </w:r>
      <w:r>
        <w:t xml:space="preserve">nventario de activos de infraestructura civil (canalizaciones, </w:t>
      </w:r>
      <w:r w:rsidR="00F112FA">
        <w:t xml:space="preserve">pozos y </w:t>
      </w:r>
      <w:r>
        <w:t>postes) necesarios en la red</w:t>
      </w:r>
      <w:r w:rsidR="004C354C">
        <w:t xml:space="preserve">, evitando una </w:t>
      </w:r>
      <w:r w:rsidR="00F256EF">
        <w:t>doble-contabilización de activos de infraestructura civil en aquellos casos en los que coexisten dos tecnologías en una misma zona</w:t>
      </w:r>
      <w:r>
        <w:t xml:space="preserve">. </w:t>
      </w:r>
    </w:p>
    <w:p w14:paraId="204CE222" w14:textId="2830ABD7" w:rsidR="002C4D65" w:rsidRDefault="002C4D65" w:rsidP="002C4D65">
      <w:pPr>
        <w:pStyle w:val="Ttulo2"/>
      </w:pPr>
      <w:bookmarkStart w:id="85" w:name="_Ref139887272"/>
      <w:bookmarkStart w:id="86" w:name="_Ref140161979"/>
      <w:bookmarkStart w:id="87" w:name="_Toc142388410"/>
      <w:r w:rsidRPr="00DF3DD1">
        <w:t xml:space="preserve">Costo </w:t>
      </w:r>
      <w:r w:rsidR="004E0EDC">
        <w:t xml:space="preserve">de Capital Promedio Ponderado </w:t>
      </w:r>
      <w:bookmarkEnd w:id="85"/>
      <w:r w:rsidR="004E0EDC">
        <w:t>(CCPP)</w:t>
      </w:r>
      <w:bookmarkEnd w:id="86"/>
      <w:bookmarkEnd w:id="87"/>
    </w:p>
    <w:p w14:paraId="177038CB" w14:textId="23892228" w:rsidR="0001208B" w:rsidRDefault="00BD17A4" w:rsidP="002C4D65">
      <w:r>
        <w:t xml:space="preserve">Para </w:t>
      </w:r>
      <w:r w:rsidR="0000115B">
        <w:t xml:space="preserve">la definición </w:t>
      </w:r>
      <w:r>
        <w:t xml:space="preserve">del </w:t>
      </w:r>
      <w:r w:rsidRPr="00BD17A4">
        <w:t>Costo de Capital Promedio Ponderado (CCPP)</w:t>
      </w:r>
      <w:r>
        <w:t>, en consistencia con la aproximación seguida en versiones anteriores del Modelo</w:t>
      </w:r>
      <w:r w:rsidR="0000115B">
        <w:t xml:space="preserve"> Integral</w:t>
      </w:r>
      <w:r>
        <w:t xml:space="preserve">, se emplea el valor del CCPP nominal estimado por el Instituto </w:t>
      </w:r>
      <w:r w:rsidR="007E04B6">
        <w:t>para un operador eficiente de redes fijas</w:t>
      </w:r>
      <w:r w:rsidR="00E85265">
        <w:t xml:space="preserve">. </w:t>
      </w:r>
    </w:p>
    <w:p w14:paraId="408BE335" w14:textId="43AE6BB0" w:rsidR="002C4D65" w:rsidRDefault="00E85265" w:rsidP="002C4D65">
      <w:r>
        <w:t xml:space="preserve">Este valor es </w:t>
      </w:r>
      <w:r w:rsidR="0001208B">
        <w:t xml:space="preserve">consistente con el CCPP </w:t>
      </w:r>
      <w:r>
        <w:t xml:space="preserve">empleado </w:t>
      </w:r>
      <w:r w:rsidR="00BD17A4">
        <w:t>para el Modelo de Interconexión</w:t>
      </w:r>
      <w:r w:rsidR="00BD17A4">
        <w:rPr>
          <w:rStyle w:val="Refdenotaalpie"/>
        </w:rPr>
        <w:footnoteReference w:id="10"/>
      </w:r>
      <w:r w:rsidR="00BD17A4">
        <w:t xml:space="preserve">, </w:t>
      </w:r>
      <w:r>
        <w:t>y cuyo valor resultante es 11</w:t>
      </w:r>
      <w:r w:rsidR="006E1CBA">
        <w:t>.</w:t>
      </w:r>
      <w:r>
        <w:t xml:space="preserve">05%, expresado en </w:t>
      </w:r>
      <w:r w:rsidR="0001208B">
        <w:t xml:space="preserve">términos nominales para </w:t>
      </w:r>
      <w:r>
        <w:t>pesos mexicanos.</w:t>
      </w:r>
    </w:p>
    <w:p w14:paraId="7A1197E7" w14:textId="1E8B8DFA" w:rsidR="00E85265" w:rsidRPr="00E85265" w:rsidRDefault="00E85265" w:rsidP="00E85265">
      <w:pPr>
        <w:pStyle w:val="Update"/>
        <w:rPr>
          <w:b w:val="0"/>
          <w:bCs/>
          <w:lang w:val="es-ES"/>
        </w:rPr>
      </w:pPr>
      <w:r>
        <w:rPr>
          <w:b w:val="0"/>
          <w:bCs/>
          <w:lang w:val="es-ES"/>
        </w:rPr>
        <w:t xml:space="preserve">Se ha actualizado el valor del </w:t>
      </w:r>
      <w:r w:rsidRPr="00E85265">
        <w:rPr>
          <w:b w:val="0"/>
          <w:bCs/>
          <w:lang w:val="es-ES"/>
        </w:rPr>
        <w:t>Costo de Capital Promedio Ponderado (CCPP)</w:t>
      </w:r>
      <w:r>
        <w:rPr>
          <w:b w:val="0"/>
          <w:bCs/>
          <w:lang w:val="es-ES"/>
        </w:rPr>
        <w:t xml:space="preserve">, haciendo uso del valor estimado por el Instituto, y </w:t>
      </w:r>
      <w:r w:rsidR="0000115B">
        <w:rPr>
          <w:b w:val="0"/>
          <w:bCs/>
          <w:lang w:val="es-ES"/>
        </w:rPr>
        <w:t xml:space="preserve">de manera consistente </w:t>
      </w:r>
      <w:r>
        <w:rPr>
          <w:b w:val="0"/>
          <w:bCs/>
          <w:lang w:val="es-ES"/>
        </w:rPr>
        <w:t xml:space="preserve">con el cálculo empleado para el Modelo de Interconexión de redes fijas. </w:t>
      </w:r>
    </w:p>
    <w:p w14:paraId="580FD529" w14:textId="5841C308" w:rsidR="00DF3DD1" w:rsidRDefault="00DF3DD1" w:rsidP="00DF3DD1">
      <w:pPr>
        <w:pStyle w:val="Ttulo2"/>
      </w:pPr>
      <w:bookmarkStart w:id="88" w:name="_Ref139887273"/>
      <w:bookmarkStart w:id="89" w:name="_Toc142388411"/>
      <w:bookmarkEnd w:id="84"/>
      <w:r>
        <w:t>Otros parámetros</w:t>
      </w:r>
      <w:bookmarkEnd w:id="88"/>
      <w:bookmarkEnd w:id="89"/>
    </w:p>
    <w:p w14:paraId="6C9A7343" w14:textId="13A6AC25" w:rsidR="00BA4328" w:rsidRDefault="00374C74" w:rsidP="00374C74">
      <w:r>
        <w:t xml:space="preserve">Adicionalmente a los datos de entrada previamente comentados, se </w:t>
      </w:r>
      <w:r w:rsidR="00F060F4">
        <w:t xml:space="preserve">ha </w:t>
      </w:r>
      <w:r w:rsidR="003715A2">
        <w:t xml:space="preserve">realizado la actualización de </w:t>
      </w:r>
      <w:r w:rsidR="00BA7338">
        <w:t xml:space="preserve">otros parámetros de relevancia para el Modelo tales como: </w:t>
      </w:r>
    </w:p>
    <w:p w14:paraId="2BFD5605" w14:textId="32C2A701" w:rsidR="00BA4328" w:rsidRDefault="00D4028F" w:rsidP="00A01A39">
      <w:pPr>
        <w:pStyle w:val="Bullet1"/>
        <w:numPr>
          <w:ilvl w:val="0"/>
          <w:numId w:val="31"/>
        </w:numPr>
      </w:pPr>
      <w:r>
        <w:fldChar w:fldCharType="begin"/>
      </w:r>
      <w:r>
        <w:instrText xml:space="preserve"> REF _Ref140161992 \h </w:instrText>
      </w:r>
      <w:r>
        <w:fldChar w:fldCharType="separate"/>
      </w:r>
      <w:r w:rsidR="00320714">
        <w:t>Parámetros de reparación de fallas</w:t>
      </w:r>
      <w:r>
        <w:fldChar w:fldCharType="end"/>
      </w:r>
    </w:p>
    <w:p w14:paraId="1FCDC3CC" w14:textId="6DC79773" w:rsidR="00D4028F" w:rsidRDefault="00D4028F" w:rsidP="00A01A39">
      <w:pPr>
        <w:pStyle w:val="Bullet1"/>
        <w:numPr>
          <w:ilvl w:val="0"/>
          <w:numId w:val="31"/>
        </w:numPr>
      </w:pPr>
      <w:r>
        <w:fldChar w:fldCharType="begin"/>
      </w:r>
      <w:r>
        <w:instrText xml:space="preserve"> REF _Ref140161994 \h </w:instrText>
      </w:r>
      <w:r>
        <w:fldChar w:fldCharType="separate"/>
      </w:r>
      <w:r w:rsidR="00320714" w:rsidRPr="007A037B">
        <w:t>Costo de mano de obra</w:t>
      </w:r>
      <w:r>
        <w:fldChar w:fldCharType="end"/>
      </w:r>
    </w:p>
    <w:p w14:paraId="539EF1B9" w14:textId="64034293" w:rsidR="00D4028F" w:rsidRDefault="00D4028F" w:rsidP="00A01A39">
      <w:pPr>
        <w:pStyle w:val="Bullet1"/>
        <w:numPr>
          <w:ilvl w:val="0"/>
          <w:numId w:val="31"/>
        </w:numPr>
      </w:pPr>
      <w:r>
        <w:fldChar w:fldCharType="begin"/>
      </w:r>
      <w:r>
        <w:instrText xml:space="preserve"> REF _Ref139970140 \h </w:instrText>
      </w:r>
      <w:r>
        <w:fldChar w:fldCharType="separate"/>
      </w:r>
      <w:r w:rsidR="00320714">
        <w:t>Parámetros de acometida</w:t>
      </w:r>
      <w:r>
        <w:fldChar w:fldCharType="end"/>
      </w:r>
    </w:p>
    <w:p w14:paraId="41CD7EAE" w14:textId="109DFD1B" w:rsidR="00D4028F" w:rsidRDefault="00D4028F" w:rsidP="00A01A39">
      <w:pPr>
        <w:pStyle w:val="Bullet1"/>
        <w:numPr>
          <w:ilvl w:val="0"/>
          <w:numId w:val="31"/>
        </w:numPr>
      </w:pPr>
      <w:r>
        <w:fldChar w:fldCharType="begin"/>
      </w:r>
      <w:r>
        <w:instrText xml:space="preserve"> REF _Ref139970141 \h </w:instrText>
      </w:r>
      <w:r>
        <w:fldChar w:fldCharType="separate"/>
      </w:r>
      <w:r w:rsidR="00320714">
        <w:t>Renta de espacio de central</w:t>
      </w:r>
      <w:r>
        <w:fldChar w:fldCharType="end"/>
      </w:r>
    </w:p>
    <w:p w14:paraId="58B36E3E" w14:textId="29ACFE09" w:rsidR="00374C74" w:rsidRPr="00374C74" w:rsidRDefault="007F65D4" w:rsidP="00374C74">
      <w:r>
        <w:t xml:space="preserve">El procedimiento de actualización de cada parámetro es explicado </w:t>
      </w:r>
      <w:r w:rsidR="00BA4328">
        <w:t>en las siguientes subsecciones.</w:t>
      </w:r>
      <w:r>
        <w:t xml:space="preserve"> </w:t>
      </w:r>
      <w:r w:rsidR="00374C74">
        <w:t xml:space="preserve"> </w:t>
      </w:r>
    </w:p>
    <w:p w14:paraId="7A817E1D" w14:textId="77777777" w:rsidR="00067E70" w:rsidRDefault="00067E70" w:rsidP="00067E70">
      <w:pPr>
        <w:pStyle w:val="Ttulo4"/>
      </w:pPr>
      <w:bookmarkStart w:id="90" w:name="_Ref140161992"/>
      <w:bookmarkStart w:id="91" w:name="_Ref139970135"/>
      <w:r>
        <w:lastRenderedPageBreak/>
        <w:t>Parámetros de reparación de fallas</w:t>
      </w:r>
      <w:bookmarkEnd w:id="90"/>
    </w:p>
    <w:p w14:paraId="54D0215C" w14:textId="5197B859" w:rsidR="00067E70" w:rsidRDefault="00067E70" w:rsidP="00563275">
      <w:r w:rsidRPr="003276BD">
        <w:t xml:space="preserve">Los índices de fallas </w:t>
      </w:r>
      <w:r w:rsidR="0067421F">
        <w:t xml:space="preserve">son </w:t>
      </w:r>
      <w:r w:rsidR="00563275">
        <w:t xml:space="preserve">un indicador </w:t>
      </w:r>
      <w:r w:rsidRPr="003276BD">
        <w:t xml:space="preserve">que </w:t>
      </w:r>
      <w:r w:rsidR="00563275">
        <w:t xml:space="preserve">impacta sobre los costos incurridos por el operador modelado </w:t>
      </w:r>
      <w:r w:rsidRPr="003276BD">
        <w:t>para abordar y solucionar las fallas en la red</w:t>
      </w:r>
      <w:r>
        <w:t xml:space="preserve">. </w:t>
      </w:r>
    </w:p>
    <w:p w14:paraId="4F9CA5F4" w14:textId="7C66EC7E" w:rsidR="00067E70" w:rsidRDefault="00067E70" w:rsidP="00067E70">
      <w:r>
        <w:t xml:space="preserve">Para actualizar esta información se ha requerido al AEP </w:t>
      </w:r>
      <w:r w:rsidR="00563275">
        <w:t xml:space="preserve">el </w:t>
      </w:r>
      <w:r>
        <w:t xml:space="preserve">índice de fallas actual </w:t>
      </w:r>
      <w:r w:rsidR="0067421F">
        <w:t xml:space="preserve">para cada </w:t>
      </w:r>
      <w:r>
        <w:t xml:space="preserve">tecnología, cuya variación respecto al índice usado en </w:t>
      </w:r>
      <w:r w:rsidR="00563275">
        <w:t xml:space="preserve">la versión anterior del </w:t>
      </w:r>
      <w:r w:rsidR="0067421F">
        <w:t>M</w:t>
      </w:r>
      <w:r w:rsidR="00563275">
        <w:t xml:space="preserve">odelo </w:t>
      </w:r>
      <w:r>
        <w:t xml:space="preserve">se muestra en la siguiente tabla:  </w:t>
      </w:r>
    </w:p>
    <w:tbl>
      <w:tblPr>
        <w:tblStyle w:val="Axon"/>
        <w:tblW w:w="0" w:type="auto"/>
        <w:jc w:val="center"/>
        <w:tblLook w:val="04A0" w:firstRow="1" w:lastRow="0" w:firstColumn="1" w:lastColumn="0" w:noHBand="0" w:noVBand="1"/>
      </w:tblPr>
      <w:tblGrid>
        <w:gridCol w:w="1985"/>
        <w:gridCol w:w="1913"/>
        <w:gridCol w:w="1914"/>
      </w:tblGrid>
      <w:tr w:rsidR="00067E70" w14:paraId="0D4E0A72" w14:textId="77777777" w:rsidTr="00DB3E3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Pr>
          <w:p w14:paraId="4797722F" w14:textId="77777777" w:rsidR="00067E70" w:rsidRDefault="00067E70" w:rsidP="00DB3E3B">
            <w:pPr>
              <w:pStyle w:val="TableHeading"/>
            </w:pPr>
            <w:r>
              <w:t>Tecnología</w:t>
            </w:r>
          </w:p>
        </w:tc>
        <w:tc>
          <w:tcPr>
            <w:tcW w:w="1913" w:type="dxa"/>
          </w:tcPr>
          <w:p w14:paraId="1804482C" w14:textId="77777777" w:rsidR="00067E70" w:rsidRDefault="00067E70" w:rsidP="00DB3E3B">
            <w:pPr>
              <w:pStyle w:val="TableHeading"/>
              <w:cnfStyle w:val="100000000000" w:firstRow="1" w:lastRow="0" w:firstColumn="0" w:lastColumn="0" w:oddVBand="0" w:evenVBand="0" w:oddHBand="0" w:evenHBand="0" w:firstRowFirstColumn="0" w:firstRowLastColumn="0" w:lastRowFirstColumn="0" w:lastRowLastColumn="0"/>
            </w:pPr>
            <w:r>
              <w:t>Valores previos del modelo</w:t>
            </w:r>
          </w:p>
        </w:tc>
        <w:tc>
          <w:tcPr>
            <w:tcW w:w="1914" w:type="dxa"/>
          </w:tcPr>
          <w:p w14:paraId="77518451" w14:textId="5B5D00E0" w:rsidR="00067E70" w:rsidRDefault="00067E70" w:rsidP="00DB3E3B">
            <w:pPr>
              <w:pStyle w:val="TableHeading"/>
              <w:cnfStyle w:val="100000000000" w:firstRow="1" w:lastRow="0" w:firstColumn="0" w:lastColumn="0" w:oddVBand="0" w:evenVBand="0" w:oddHBand="0" w:evenHBand="0" w:firstRowFirstColumn="0" w:firstRowLastColumn="0" w:lastRowFirstColumn="0" w:lastRowLastColumn="0"/>
            </w:pPr>
            <w:r>
              <w:t xml:space="preserve">Valores </w:t>
            </w:r>
            <w:r w:rsidR="005C5CB0">
              <w:t xml:space="preserve">actualizados </w:t>
            </w:r>
            <w:r w:rsidR="00C276DE">
              <w:t xml:space="preserve">del modelo </w:t>
            </w:r>
          </w:p>
        </w:tc>
      </w:tr>
      <w:tr w:rsidR="00067E70" w14:paraId="39EF9F66"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05F36400" w14:textId="77777777" w:rsidR="00067E70" w:rsidRPr="00F348E2" w:rsidRDefault="00067E70" w:rsidP="00DB3E3B">
            <w:pPr>
              <w:pStyle w:val="TableParagraph"/>
            </w:pPr>
            <w:r>
              <w:t>Cobre</w:t>
            </w:r>
          </w:p>
        </w:tc>
        <w:tc>
          <w:tcPr>
            <w:tcW w:w="1913" w:type="dxa"/>
          </w:tcPr>
          <w:p w14:paraId="65500A65" w14:textId="0741CDF2" w:rsidR="00067E70" w:rsidRDefault="00067E70" w:rsidP="00DB3E3B">
            <w:pPr>
              <w:pStyle w:val="TableParagraph"/>
              <w:jc w:val="center"/>
              <w:cnfStyle w:val="000000000000" w:firstRow="0" w:lastRow="0" w:firstColumn="0" w:lastColumn="0" w:oddVBand="0" w:evenVBand="0" w:oddHBand="0" w:evenHBand="0" w:firstRowFirstColumn="0" w:firstRowLastColumn="0" w:lastRowFirstColumn="0" w:lastRowLastColumn="0"/>
            </w:pPr>
            <w:r>
              <w:t>5</w:t>
            </w:r>
            <w:r w:rsidR="006E1CBA">
              <w:t>.</w:t>
            </w:r>
            <w:r>
              <w:t>67%</w:t>
            </w:r>
          </w:p>
        </w:tc>
        <w:tc>
          <w:tcPr>
            <w:tcW w:w="1914" w:type="dxa"/>
          </w:tcPr>
          <w:p w14:paraId="4AABBFF3" w14:textId="35CECC52" w:rsidR="00067E70" w:rsidRDefault="00067E70" w:rsidP="00DB3E3B">
            <w:pPr>
              <w:pStyle w:val="TableParagraph"/>
              <w:jc w:val="center"/>
              <w:cnfStyle w:val="000000000000" w:firstRow="0" w:lastRow="0" w:firstColumn="0" w:lastColumn="0" w:oddVBand="0" w:evenVBand="0" w:oddHBand="0" w:evenHBand="0" w:firstRowFirstColumn="0" w:firstRowLastColumn="0" w:lastRowFirstColumn="0" w:lastRowLastColumn="0"/>
            </w:pPr>
            <w:r>
              <w:t>5</w:t>
            </w:r>
            <w:r w:rsidR="006E1CBA">
              <w:t>.</w:t>
            </w:r>
            <w:r>
              <w:t>52%</w:t>
            </w:r>
          </w:p>
        </w:tc>
      </w:tr>
      <w:tr w:rsidR="00067E70" w14:paraId="7142292E" w14:textId="77777777" w:rsidTr="00DB3E3B">
        <w:trPr>
          <w:jc w:val="center"/>
        </w:trPr>
        <w:tc>
          <w:tcPr>
            <w:cnfStyle w:val="001000000000" w:firstRow="0" w:lastRow="0" w:firstColumn="1" w:lastColumn="0" w:oddVBand="0" w:evenVBand="0" w:oddHBand="0" w:evenHBand="0" w:firstRowFirstColumn="0" w:firstRowLastColumn="0" w:lastRowFirstColumn="0" w:lastRowLastColumn="0"/>
            <w:tcW w:w="1985" w:type="dxa"/>
          </w:tcPr>
          <w:p w14:paraId="38C2E8E4" w14:textId="77777777" w:rsidR="00067E70" w:rsidRPr="00F348E2" w:rsidRDefault="00067E70" w:rsidP="00DB3E3B">
            <w:pPr>
              <w:pStyle w:val="TableParagraph"/>
            </w:pPr>
            <w:r>
              <w:t>Fibra</w:t>
            </w:r>
          </w:p>
        </w:tc>
        <w:tc>
          <w:tcPr>
            <w:tcW w:w="1913" w:type="dxa"/>
          </w:tcPr>
          <w:p w14:paraId="286D4EB1" w14:textId="7A1CA34D" w:rsidR="00067E70" w:rsidRDefault="00067E70" w:rsidP="00DB3E3B">
            <w:pPr>
              <w:pStyle w:val="TableParagraph"/>
              <w:jc w:val="center"/>
              <w:cnfStyle w:val="000000000000" w:firstRow="0" w:lastRow="0" w:firstColumn="0" w:lastColumn="0" w:oddVBand="0" w:evenVBand="0" w:oddHBand="0" w:evenHBand="0" w:firstRowFirstColumn="0" w:firstRowLastColumn="0" w:lastRowFirstColumn="0" w:lastRowLastColumn="0"/>
            </w:pPr>
            <w:r>
              <w:t>4</w:t>
            </w:r>
            <w:r w:rsidR="006E1CBA">
              <w:t>.</w:t>
            </w:r>
            <w:r>
              <w:t>23%</w:t>
            </w:r>
          </w:p>
        </w:tc>
        <w:tc>
          <w:tcPr>
            <w:tcW w:w="1914" w:type="dxa"/>
          </w:tcPr>
          <w:p w14:paraId="0470AA4E" w14:textId="4AAA20BE" w:rsidR="00067E70" w:rsidRDefault="00067E70" w:rsidP="00DB3E3B">
            <w:pPr>
              <w:pStyle w:val="TableParagraph"/>
              <w:jc w:val="center"/>
              <w:cnfStyle w:val="000000000000" w:firstRow="0" w:lastRow="0" w:firstColumn="0" w:lastColumn="0" w:oddVBand="0" w:evenVBand="0" w:oddHBand="0" w:evenHBand="0" w:firstRowFirstColumn="0" w:firstRowLastColumn="0" w:lastRowFirstColumn="0" w:lastRowLastColumn="0"/>
            </w:pPr>
            <w:r>
              <w:t>4</w:t>
            </w:r>
            <w:r w:rsidR="006E1CBA">
              <w:t>.</w:t>
            </w:r>
            <w:r>
              <w:t>39%</w:t>
            </w:r>
          </w:p>
        </w:tc>
      </w:tr>
    </w:tbl>
    <w:p w14:paraId="1232C86B" w14:textId="2A9F4AC6" w:rsidR="00067E70" w:rsidRDefault="00067E70" w:rsidP="00067E70">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7</w:t>
      </w:r>
      <w:r>
        <w:fldChar w:fldCharType="end"/>
      </w:r>
      <w:r>
        <w:t xml:space="preserve"> Variación de índice de fallas de línea [Fuente: AEP]</w:t>
      </w:r>
    </w:p>
    <w:p w14:paraId="413F6A57" w14:textId="7D87FF7C" w:rsidR="00067E70" w:rsidRPr="007000ED" w:rsidRDefault="00563275" w:rsidP="00067E70">
      <w:pPr>
        <w:pStyle w:val="Update"/>
        <w:rPr>
          <w:b w:val="0"/>
          <w:bCs/>
          <w:lang w:val="es-ES"/>
        </w:rPr>
      </w:pPr>
      <w:r>
        <w:rPr>
          <w:b w:val="0"/>
          <w:bCs/>
          <w:lang w:val="es-ES"/>
        </w:rPr>
        <w:t xml:space="preserve">Se han actualizado los índices de </w:t>
      </w:r>
      <w:r w:rsidR="00067E70">
        <w:rPr>
          <w:b w:val="0"/>
          <w:bCs/>
          <w:lang w:val="es-ES"/>
        </w:rPr>
        <w:t>fallas de líneas de cobre y fibra</w:t>
      </w:r>
      <w:r>
        <w:rPr>
          <w:b w:val="0"/>
          <w:bCs/>
          <w:lang w:val="es-ES"/>
        </w:rPr>
        <w:t xml:space="preserve">, </w:t>
      </w:r>
      <w:r w:rsidR="00067E70">
        <w:rPr>
          <w:b w:val="0"/>
          <w:bCs/>
          <w:lang w:val="es-ES"/>
        </w:rPr>
        <w:t>de acuerdo con la información reportada por el AEP</w:t>
      </w:r>
      <w:r>
        <w:rPr>
          <w:b w:val="0"/>
          <w:bCs/>
          <w:lang w:val="es-ES"/>
        </w:rPr>
        <w:t xml:space="preserve">. </w:t>
      </w:r>
    </w:p>
    <w:p w14:paraId="0DA704E2" w14:textId="6AF1CF5B" w:rsidR="007A037B" w:rsidRDefault="007A037B" w:rsidP="007A037B">
      <w:pPr>
        <w:pStyle w:val="Ttulo4"/>
      </w:pPr>
      <w:bookmarkStart w:id="92" w:name="_Ref140161994"/>
      <w:r w:rsidRPr="007A037B">
        <w:t>Costo de mano de obra</w:t>
      </w:r>
      <w:bookmarkEnd w:id="91"/>
      <w:bookmarkEnd w:id="92"/>
    </w:p>
    <w:p w14:paraId="23B9BFFE" w14:textId="77777777" w:rsidR="005C5CB0" w:rsidRDefault="00203CB8" w:rsidP="005C5CB0">
      <w:r>
        <w:t>Se ha realizado la actualización de</w:t>
      </w:r>
      <w:r w:rsidR="005C5CB0">
        <w:t>l costo unitario por hora relacionado con la mano de obra necesario para el s</w:t>
      </w:r>
      <w:r w:rsidR="005C5CB0" w:rsidRPr="005C5CB0">
        <w:t>ervicio de tendido de cable sobre infraestructura des</w:t>
      </w:r>
      <w:r w:rsidR="005C5CB0">
        <w:t xml:space="preserve">agregada. </w:t>
      </w:r>
    </w:p>
    <w:p w14:paraId="5D21687A" w14:textId="15C4EA32" w:rsidR="005C5CB0" w:rsidRDefault="005C5CB0" w:rsidP="005C5CB0">
      <w:r>
        <w:t xml:space="preserve">Para actualizar esta información se ha requerido al AEP el costo de la mano de obra actual, cuya variación respecto al valor usado en la versión anterior del </w:t>
      </w:r>
      <w:r w:rsidR="00EB334F">
        <w:t>M</w:t>
      </w:r>
      <w:r>
        <w:t xml:space="preserve">odelo se muestra en la siguiente tabla:  </w:t>
      </w:r>
    </w:p>
    <w:tbl>
      <w:tblPr>
        <w:tblStyle w:val="Axon"/>
        <w:tblW w:w="0" w:type="auto"/>
        <w:jc w:val="center"/>
        <w:tblLook w:val="04A0" w:firstRow="1" w:lastRow="0" w:firstColumn="1" w:lastColumn="0" w:noHBand="0" w:noVBand="1"/>
      </w:tblPr>
      <w:tblGrid>
        <w:gridCol w:w="2694"/>
        <w:gridCol w:w="2268"/>
        <w:gridCol w:w="2268"/>
      </w:tblGrid>
      <w:tr w:rsidR="00DD7C69" w14:paraId="4CB84582" w14:textId="77777777" w:rsidTr="0011570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94" w:type="dxa"/>
          </w:tcPr>
          <w:p w14:paraId="64F6651F" w14:textId="5DF0E958" w:rsidR="00DD7C69" w:rsidRDefault="00DD7C69" w:rsidP="00DD7C69">
            <w:pPr>
              <w:pStyle w:val="TableHeading"/>
            </w:pPr>
            <w:r>
              <w:t>Tendido de cable</w:t>
            </w:r>
          </w:p>
        </w:tc>
        <w:tc>
          <w:tcPr>
            <w:tcW w:w="2268" w:type="dxa"/>
          </w:tcPr>
          <w:p w14:paraId="5B9250D8" w14:textId="033BE966" w:rsidR="00DD7C69" w:rsidRDefault="00DD7C69" w:rsidP="00DD7C69">
            <w:pPr>
              <w:pStyle w:val="TableHeading"/>
              <w:cnfStyle w:val="100000000000" w:firstRow="1" w:lastRow="0" w:firstColumn="0" w:lastColumn="0" w:oddVBand="0" w:evenVBand="0" w:oddHBand="0" w:evenHBand="0" w:firstRowFirstColumn="0" w:firstRowLastColumn="0" w:lastRowFirstColumn="0" w:lastRowLastColumn="0"/>
            </w:pPr>
            <w:r>
              <w:t>Valor previo del modelo</w:t>
            </w:r>
          </w:p>
        </w:tc>
        <w:tc>
          <w:tcPr>
            <w:tcW w:w="2268" w:type="dxa"/>
          </w:tcPr>
          <w:p w14:paraId="17344E9B" w14:textId="10089283" w:rsidR="00DD7C69" w:rsidRDefault="005C5CB0" w:rsidP="00DD7C69">
            <w:pPr>
              <w:pStyle w:val="TableHeading"/>
              <w:cnfStyle w:val="100000000000" w:firstRow="1" w:lastRow="0" w:firstColumn="0" w:lastColumn="0" w:oddVBand="0" w:evenVBand="0" w:oddHBand="0" w:evenHBand="0" w:firstRowFirstColumn="0" w:firstRowLastColumn="0" w:lastRowFirstColumn="0" w:lastRowLastColumn="0"/>
            </w:pPr>
            <w:r>
              <w:t xml:space="preserve">Valor </w:t>
            </w:r>
            <w:r w:rsidR="00D86512">
              <w:t xml:space="preserve">actualizado </w:t>
            </w:r>
            <w:r>
              <w:t>del modelo</w:t>
            </w:r>
          </w:p>
        </w:tc>
      </w:tr>
      <w:tr w:rsidR="007A037B" w14:paraId="341CDE49" w14:textId="77777777" w:rsidTr="00115705">
        <w:trPr>
          <w:jc w:val="center"/>
        </w:trPr>
        <w:tc>
          <w:tcPr>
            <w:cnfStyle w:val="001000000000" w:firstRow="0" w:lastRow="0" w:firstColumn="1" w:lastColumn="0" w:oddVBand="0" w:evenVBand="0" w:oddHBand="0" w:evenHBand="0" w:firstRowFirstColumn="0" w:firstRowLastColumn="0" w:lastRowFirstColumn="0" w:lastRowLastColumn="0"/>
            <w:tcW w:w="2694" w:type="dxa"/>
          </w:tcPr>
          <w:p w14:paraId="544F64B7" w14:textId="79B5069F" w:rsidR="007A037B" w:rsidRPr="00F348E2" w:rsidRDefault="007A037B" w:rsidP="00DB3E3B">
            <w:pPr>
              <w:pStyle w:val="TableParagraph"/>
            </w:pPr>
            <w:r>
              <w:t>Mano de obra (MXN/hora)</w:t>
            </w:r>
          </w:p>
        </w:tc>
        <w:tc>
          <w:tcPr>
            <w:tcW w:w="2268" w:type="dxa"/>
          </w:tcPr>
          <w:p w14:paraId="04D7AE2E" w14:textId="35A6AD6A" w:rsidR="007A037B" w:rsidRDefault="003A1504" w:rsidP="00DB3E3B">
            <w:pPr>
              <w:pStyle w:val="TableParagraph"/>
              <w:jc w:val="center"/>
              <w:cnfStyle w:val="000000000000" w:firstRow="0" w:lastRow="0" w:firstColumn="0" w:lastColumn="0" w:oddVBand="0" w:evenVBand="0" w:oddHBand="0" w:evenHBand="0" w:firstRowFirstColumn="0" w:firstRowLastColumn="0" w:lastRowFirstColumn="0" w:lastRowLastColumn="0"/>
            </w:pPr>
            <w:r w:rsidRPr="003A1504">
              <w:t>368</w:t>
            </w:r>
            <w:r w:rsidR="006E1CBA">
              <w:t>.</w:t>
            </w:r>
            <w:r w:rsidRPr="003A1504">
              <w:t>59</w:t>
            </w:r>
          </w:p>
        </w:tc>
        <w:tc>
          <w:tcPr>
            <w:tcW w:w="2268" w:type="dxa"/>
          </w:tcPr>
          <w:p w14:paraId="6141CB30" w14:textId="7690E574" w:rsidR="007A037B" w:rsidRDefault="00FC1367" w:rsidP="00DB3E3B">
            <w:pPr>
              <w:pStyle w:val="TableParagraph"/>
              <w:jc w:val="center"/>
              <w:cnfStyle w:val="000000000000" w:firstRow="0" w:lastRow="0" w:firstColumn="0" w:lastColumn="0" w:oddVBand="0" w:evenVBand="0" w:oddHBand="0" w:evenHBand="0" w:firstRowFirstColumn="0" w:firstRowLastColumn="0" w:lastRowFirstColumn="0" w:lastRowLastColumn="0"/>
            </w:pPr>
            <w:r>
              <w:t>404</w:t>
            </w:r>
            <w:r w:rsidR="006E1CBA">
              <w:t>.</w:t>
            </w:r>
            <w:r>
              <w:t>00</w:t>
            </w:r>
          </w:p>
        </w:tc>
      </w:tr>
    </w:tbl>
    <w:p w14:paraId="75CF83AB" w14:textId="503027F3" w:rsidR="008A51B7" w:rsidRDefault="008A51B7" w:rsidP="008A51B7">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8</w:t>
      </w:r>
      <w:r>
        <w:fldChar w:fldCharType="end"/>
      </w:r>
      <w:r>
        <w:t xml:space="preserve"> Variación de </w:t>
      </w:r>
      <w:r w:rsidR="00E0582B">
        <w:t>mano de obra de tendido de cable</w:t>
      </w:r>
      <w:r>
        <w:t xml:space="preserve"> [Fuente: </w:t>
      </w:r>
      <w:r w:rsidR="008F1A3F">
        <w:t>Telmex</w:t>
      </w:r>
      <w:r>
        <w:t>]</w:t>
      </w:r>
    </w:p>
    <w:p w14:paraId="4BC859E4" w14:textId="6CE5A2FA" w:rsidR="0005427F" w:rsidRPr="0005427F" w:rsidRDefault="0005427F" w:rsidP="00476B1B">
      <w:r>
        <w:t xml:space="preserve">El valor actualizado del Modelo se incluye en la hoja </w:t>
      </w:r>
      <w:r w:rsidRPr="0005427F">
        <w:rPr>
          <w:i/>
          <w:iCs/>
        </w:rPr>
        <w:t>“</w:t>
      </w:r>
      <w:proofErr w:type="spellStart"/>
      <w:r w:rsidRPr="0005427F">
        <w:rPr>
          <w:i/>
          <w:iCs/>
        </w:rPr>
        <w:t>Dashboard</w:t>
      </w:r>
      <w:proofErr w:type="spellEnd"/>
      <w:r w:rsidRPr="0005427F">
        <w:rPr>
          <w:i/>
          <w:iCs/>
        </w:rPr>
        <w:t>”</w:t>
      </w:r>
      <w:r>
        <w:t xml:space="preserve">, en el campo </w:t>
      </w:r>
      <w:r w:rsidRPr="0005427F">
        <w:rPr>
          <w:i/>
          <w:iCs/>
        </w:rPr>
        <w:t>“Costo por hora de mano de obra 2023”</w:t>
      </w:r>
      <w:r>
        <w:t xml:space="preserve">. </w:t>
      </w:r>
    </w:p>
    <w:p w14:paraId="7222DD6E" w14:textId="3B47F553" w:rsidR="00960354" w:rsidRPr="008049BF" w:rsidRDefault="00960354" w:rsidP="00960354">
      <w:pPr>
        <w:pStyle w:val="Update"/>
        <w:rPr>
          <w:b w:val="0"/>
          <w:bCs/>
          <w:lang w:val="es-ES"/>
        </w:rPr>
      </w:pPr>
      <w:r w:rsidRPr="008049BF">
        <w:rPr>
          <w:b w:val="0"/>
          <w:bCs/>
          <w:lang w:val="es-ES"/>
        </w:rPr>
        <w:t>Se ha actualizado el cost</w:t>
      </w:r>
      <w:r w:rsidR="00D17FB9">
        <w:rPr>
          <w:b w:val="0"/>
          <w:bCs/>
          <w:lang w:val="es-ES"/>
        </w:rPr>
        <w:t>o</w:t>
      </w:r>
      <w:r w:rsidRPr="008049BF">
        <w:rPr>
          <w:b w:val="0"/>
          <w:bCs/>
          <w:lang w:val="es-ES"/>
        </w:rPr>
        <w:t xml:space="preserve"> de mano de obra</w:t>
      </w:r>
      <w:r w:rsidR="005C5CB0">
        <w:rPr>
          <w:b w:val="0"/>
          <w:bCs/>
          <w:lang w:val="es-ES"/>
        </w:rPr>
        <w:t>, de acuerdo con la información reportada por el AEP.</w:t>
      </w:r>
    </w:p>
    <w:p w14:paraId="3A306F68" w14:textId="77235AA0" w:rsidR="00AC2A80" w:rsidRDefault="00AC2A80" w:rsidP="00AC2A80">
      <w:pPr>
        <w:pStyle w:val="Ttulo4"/>
      </w:pPr>
      <w:bookmarkStart w:id="93" w:name="_Ref139970140"/>
      <w:r>
        <w:t>Parámetros de acometida</w:t>
      </w:r>
      <w:bookmarkEnd w:id="93"/>
    </w:p>
    <w:p w14:paraId="21584026" w14:textId="092DBA00" w:rsidR="00D86512" w:rsidRDefault="0037297A" w:rsidP="00D86512">
      <w:r>
        <w:t xml:space="preserve">Para la actualización de los parámetros de la vertical del Modelo se ha </w:t>
      </w:r>
      <w:r w:rsidR="007F5E4D">
        <w:t xml:space="preserve">llevado a cabo un muestro geográfico, </w:t>
      </w:r>
      <w:r w:rsidR="00D86512">
        <w:t xml:space="preserve">con el objetivo de medir la distancia promedio entre los edificios y la carretera más cercana. </w:t>
      </w:r>
    </w:p>
    <w:p w14:paraId="1DF0F3C6" w14:textId="2F7C9B5E" w:rsidR="00AC2A80" w:rsidRPr="00AC2A80" w:rsidRDefault="00D86512" w:rsidP="00D86512">
      <w:r>
        <w:lastRenderedPageBreak/>
        <w:t xml:space="preserve">Los valores obtenidos se presentan en la siguiente tabla para cada uno de los </w:t>
      </w:r>
      <w:proofErr w:type="spellStart"/>
      <w:r>
        <w:t>geotipos</w:t>
      </w:r>
      <w:proofErr w:type="spellEnd"/>
      <w:r>
        <w:t xml:space="preserve">, </w:t>
      </w:r>
      <w:r w:rsidR="003866A4">
        <w:t xml:space="preserve">frente a los </w:t>
      </w:r>
      <w:r>
        <w:t xml:space="preserve">valores </w:t>
      </w:r>
      <w:r w:rsidR="003866A4">
        <w:t xml:space="preserve">usados previamente en </w:t>
      </w:r>
      <w:r>
        <w:t xml:space="preserve">la versión anterior del Modelo: </w:t>
      </w:r>
    </w:p>
    <w:tbl>
      <w:tblPr>
        <w:tblStyle w:val="Axon"/>
        <w:tblW w:w="0" w:type="auto"/>
        <w:jc w:val="center"/>
        <w:tblLook w:val="04A0" w:firstRow="1" w:lastRow="0" w:firstColumn="1" w:lastColumn="0" w:noHBand="0" w:noVBand="1"/>
      </w:tblPr>
      <w:tblGrid>
        <w:gridCol w:w="2835"/>
        <w:gridCol w:w="2126"/>
        <w:gridCol w:w="2127"/>
      </w:tblGrid>
      <w:tr w:rsidR="00ED5D28" w14:paraId="1D318108" w14:textId="77777777" w:rsidTr="003D105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35" w:type="dxa"/>
          </w:tcPr>
          <w:p w14:paraId="3DB0AE1C" w14:textId="17C0EDBA" w:rsidR="00ED5D28" w:rsidRDefault="00ED5D28" w:rsidP="00ED5D28">
            <w:pPr>
              <w:pStyle w:val="TableHeading"/>
              <w:keepNext/>
            </w:pPr>
            <w:r>
              <w:t>Parámetro de acometida</w:t>
            </w:r>
          </w:p>
        </w:tc>
        <w:tc>
          <w:tcPr>
            <w:tcW w:w="2126" w:type="dxa"/>
          </w:tcPr>
          <w:p w14:paraId="3E142B88" w14:textId="3CEB133B" w:rsidR="00ED5D28" w:rsidRDefault="00ED5D28" w:rsidP="00ED5D28">
            <w:pPr>
              <w:pStyle w:val="TableHeading"/>
              <w:keepNext/>
              <w:cnfStyle w:val="100000000000" w:firstRow="1" w:lastRow="0" w:firstColumn="0" w:lastColumn="0" w:oddVBand="0" w:evenVBand="0" w:oddHBand="0" w:evenHBand="0" w:firstRowFirstColumn="0" w:firstRowLastColumn="0" w:lastRowFirstColumn="0" w:lastRowLastColumn="0"/>
            </w:pPr>
            <w:r>
              <w:t>Valor</w:t>
            </w:r>
            <w:r w:rsidR="003D105B">
              <w:t>es</w:t>
            </w:r>
            <w:r>
              <w:t xml:space="preserve"> previo</w:t>
            </w:r>
            <w:r w:rsidR="003D105B">
              <w:t>s</w:t>
            </w:r>
            <w:r>
              <w:t xml:space="preserve"> del modelo</w:t>
            </w:r>
          </w:p>
        </w:tc>
        <w:tc>
          <w:tcPr>
            <w:tcW w:w="2127" w:type="dxa"/>
          </w:tcPr>
          <w:p w14:paraId="26D6E590" w14:textId="60E8BD13" w:rsidR="00ED5D28" w:rsidRDefault="00D86512" w:rsidP="00ED5D28">
            <w:pPr>
              <w:pStyle w:val="TableHeading"/>
              <w:keepNext/>
              <w:cnfStyle w:val="100000000000" w:firstRow="1" w:lastRow="0" w:firstColumn="0" w:lastColumn="0" w:oddVBand="0" w:evenVBand="0" w:oddHBand="0" w:evenHBand="0" w:firstRowFirstColumn="0" w:firstRowLastColumn="0" w:lastRowFirstColumn="0" w:lastRowLastColumn="0"/>
            </w:pPr>
            <w:r>
              <w:t>Valores actualizados del modelo</w:t>
            </w:r>
          </w:p>
        </w:tc>
      </w:tr>
      <w:tr w:rsidR="00191E47" w:rsidRPr="00784228" w14:paraId="24ADBC34" w14:textId="77777777" w:rsidTr="003D105B">
        <w:trPr>
          <w:jc w:val="center"/>
        </w:trPr>
        <w:tc>
          <w:tcPr>
            <w:cnfStyle w:val="001000000000" w:firstRow="0" w:lastRow="0" w:firstColumn="1" w:lastColumn="0" w:oddVBand="0" w:evenVBand="0" w:oddHBand="0" w:evenHBand="0" w:firstRowFirstColumn="0" w:firstRowLastColumn="0" w:lastRowFirstColumn="0" w:lastRowLastColumn="0"/>
            <w:tcW w:w="2835" w:type="dxa"/>
            <w:vAlign w:val="top"/>
          </w:tcPr>
          <w:p w14:paraId="0F2FE0D5" w14:textId="12346C78" w:rsidR="00191E47" w:rsidRDefault="00191E47" w:rsidP="00191E47">
            <w:pPr>
              <w:pStyle w:val="TableParagraph"/>
            </w:pPr>
            <w:r>
              <w:t>Vertical - Urbano</w:t>
            </w:r>
          </w:p>
        </w:tc>
        <w:tc>
          <w:tcPr>
            <w:tcW w:w="2126" w:type="dxa"/>
            <w:vAlign w:val="top"/>
          </w:tcPr>
          <w:p w14:paraId="3AD10573" w14:textId="6156C1CE" w:rsidR="00191E47" w:rsidRDefault="00191E47" w:rsidP="00191E47">
            <w:pPr>
              <w:pStyle w:val="TableParagraph"/>
              <w:jc w:val="center"/>
              <w:cnfStyle w:val="000000000000" w:firstRow="0" w:lastRow="0" w:firstColumn="0" w:lastColumn="0" w:oddVBand="0" w:evenVBand="0" w:oddHBand="0" w:evenHBand="0" w:firstRowFirstColumn="0" w:firstRowLastColumn="0" w:lastRowFirstColumn="0" w:lastRowLastColumn="0"/>
            </w:pPr>
            <w:r w:rsidRPr="00191E47">
              <w:t>5</w:t>
            </w:r>
            <w:r w:rsidR="006E1CBA">
              <w:t>.</w:t>
            </w:r>
            <w:r w:rsidR="00EB334F">
              <w:t>00</w:t>
            </w:r>
          </w:p>
        </w:tc>
        <w:tc>
          <w:tcPr>
            <w:tcW w:w="2127" w:type="dxa"/>
            <w:vAlign w:val="top"/>
          </w:tcPr>
          <w:p w14:paraId="7FCADDD9" w14:textId="68DE2124" w:rsidR="00191E47" w:rsidRPr="00784228" w:rsidRDefault="00191E47" w:rsidP="00191E47">
            <w:pPr>
              <w:pStyle w:val="TableParagraph"/>
              <w:jc w:val="center"/>
              <w:cnfStyle w:val="000000000000" w:firstRow="0" w:lastRow="0" w:firstColumn="0" w:lastColumn="0" w:oddVBand="0" w:evenVBand="0" w:oddHBand="0" w:evenHBand="0" w:firstRowFirstColumn="0" w:firstRowLastColumn="0" w:lastRowFirstColumn="0" w:lastRowLastColumn="0"/>
            </w:pPr>
            <w:r w:rsidRPr="0079571A">
              <w:t>5</w:t>
            </w:r>
            <w:r w:rsidR="006E1CBA">
              <w:t>.</w:t>
            </w:r>
            <w:r w:rsidRPr="0079571A">
              <w:t>4</w:t>
            </w:r>
            <w:r w:rsidR="00D86512">
              <w:t>9</w:t>
            </w:r>
          </w:p>
        </w:tc>
      </w:tr>
      <w:tr w:rsidR="00191E47" w:rsidRPr="00784228" w14:paraId="7783396D" w14:textId="77777777" w:rsidTr="003D105B">
        <w:trPr>
          <w:jc w:val="center"/>
        </w:trPr>
        <w:tc>
          <w:tcPr>
            <w:cnfStyle w:val="001000000000" w:firstRow="0" w:lastRow="0" w:firstColumn="1" w:lastColumn="0" w:oddVBand="0" w:evenVBand="0" w:oddHBand="0" w:evenHBand="0" w:firstRowFirstColumn="0" w:firstRowLastColumn="0" w:lastRowFirstColumn="0" w:lastRowLastColumn="0"/>
            <w:tcW w:w="2835" w:type="dxa"/>
            <w:vAlign w:val="top"/>
          </w:tcPr>
          <w:p w14:paraId="3819DFCC" w14:textId="747E039C" w:rsidR="00191E47" w:rsidRDefault="00191E47" w:rsidP="00191E47">
            <w:pPr>
              <w:pStyle w:val="TableParagraph"/>
            </w:pPr>
            <w:r>
              <w:t>Vertical - Rural</w:t>
            </w:r>
          </w:p>
        </w:tc>
        <w:tc>
          <w:tcPr>
            <w:tcW w:w="2126" w:type="dxa"/>
            <w:vAlign w:val="top"/>
          </w:tcPr>
          <w:p w14:paraId="53AB64D5" w14:textId="70017EDF" w:rsidR="00191E47" w:rsidRDefault="00191E47" w:rsidP="00191E47">
            <w:pPr>
              <w:pStyle w:val="TableParagraph"/>
              <w:jc w:val="center"/>
              <w:cnfStyle w:val="000000000000" w:firstRow="0" w:lastRow="0" w:firstColumn="0" w:lastColumn="0" w:oddVBand="0" w:evenVBand="0" w:oddHBand="0" w:evenHBand="0" w:firstRowFirstColumn="0" w:firstRowLastColumn="0" w:lastRowFirstColumn="0" w:lastRowLastColumn="0"/>
            </w:pPr>
            <w:r>
              <w:t>30</w:t>
            </w:r>
            <w:r w:rsidR="006E1CBA">
              <w:t>.</w:t>
            </w:r>
            <w:r w:rsidR="00EB334F">
              <w:t>00</w:t>
            </w:r>
          </w:p>
        </w:tc>
        <w:tc>
          <w:tcPr>
            <w:tcW w:w="2127" w:type="dxa"/>
            <w:vAlign w:val="top"/>
          </w:tcPr>
          <w:p w14:paraId="71482368" w14:textId="1CDFF47B" w:rsidR="00191E47" w:rsidRPr="00784228" w:rsidRDefault="00191E47" w:rsidP="00191E47">
            <w:pPr>
              <w:pStyle w:val="TableParagraph"/>
              <w:jc w:val="center"/>
              <w:cnfStyle w:val="000000000000" w:firstRow="0" w:lastRow="0" w:firstColumn="0" w:lastColumn="0" w:oddVBand="0" w:evenVBand="0" w:oddHBand="0" w:evenHBand="0" w:firstRowFirstColumn="0" w:firstRowLastColumn="0" w:lastRowFirstColumn="0" w:lastRowLastColumn="0"/>
            </w:pPr>
            <w:r w:rsidRPr="0079571A">
              <w:t>22</w:t>
            </w:r>
            <w:r w:rsidR="006E1CBA">
              <w:t>.</w:t>
            </w:r>
            <w:r w:rsidRPr="0079571A">
              <w:t>4</w:t>
            </w:r>
            <w:r w:rsidR="00D86512">
              <w:t>9</w:t>
            </w:r>
          </w:p>
        </w:tc>
      </w:tr>
    </w:tbl>
    <w:p w14:paraId="43E75090" w14:textId="1D506748" w:rsidR="00191E47" w:rsidRDefault="00191E47" w:rsidP="00191E47">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9</w:t>
      </w:r>
      <w:r>
        <w:fldChar w:fldCharType="end"/>
      </w:r>
      <w:r>
        <w:t xml:space="preserve"> Variación de </w:t>
      </w:r>
      <w:r w:rsidR="00936091">
        <w:t>parámetros de acometida 2020-2023</w:t>
      </w:r>
      <w:r>
        <w:t xml:space="preserve"> [Fuente: </w:t>
      </w:r>
      <w:proofErr w:type="spellStart"/>
      <w:r w:rsidR="00FB0E18">
        <w:t>Axon</w:t>
      </w:r>
      <w:proofErr w:type="spellEnd"/>
      <w:r>
        <w:t>]</w:t>
      </w:r>
    </w:p>
    <w:p w14:paraId="0FCD85D1" w14:textId="43C42CBE" w:rsidR="00FB0E18" w:rsidRPr="00FB0E18" w:rsidRDefault="00FB0E18" w:rsidP="00FB0E18">
      <w:r>
        <w:t xml:space="preserve">Los valores actualizados se incluyen en la hoja </w:t>
      </w:r>
      <w:r w:rsidRPr="0005427F">
        <w:rPr>
          <w:i/>
          <w:iCs/>
        </w:rPr>
        <w:t>“</w:t>
      </w:r>
      <w:proofErr w:type="spellStart"/>
      <w:r w:rsidRPr="00FB0E18">
        <w:rPr>
          <w:i/>
          <w:iCs/>
        </w:rPr>
        <w:t>Dashboard</w:t>
      </w:r>
      <w:proofErr w:type="spellEnd"/>
      <w:r w:rsidRPr="0005427F">
        <w:rPr>
          <w:i/>
          <w:iCs/>
        </w:rPr>
        <w:t>”</w:t>
      </w:r>
      <w:r>
        <w:rPr>
          <w:i/>
          <w:iCs/>
        </w:rPr>
        <w:t xml:space="preserve"> </w:t>
      </w:r>
      <w:r>
        <w:t xml:space="preserve">del Modelo Integral, en los campos de la tabla </w:t>
      </w:r>
      <w:r w:rsidRPr="009B1409">
        <w:rPr>
          <w:i/>
          <w:iCs/>
        </w:rPr>
        <w:t>“</w:t>
      </w:r>
      <w:r w:rsidRPr="00FB0E18">
        <w:rPr>
          <w:i/>
          <w:iCs/>
        </w:rPr>
        <w:t>Parámetros de acometida</w:t>
      </w:r>
      <w:r w:rsidRPr="009B1409">
        <w:rPr>
          <w:i/>
          <w:iCs/>
        </w:rPr>
        <w:t>”</w:t>
      </w:r>
      <w:r>
        <w:t>.</w:t>
      </w:r>
    </w:p>
    <w:p w14:paraId="1F3D1435" w14:textId="364010D4" w:rsidR="004C74A4" w:rsidRPr="007D6C55" w:rsidRDefault="004C74A4" w:rsidP="004C74A4">
      <w:pPr>
        <w:pStyle w:val="Update"/>
        <w:rPr>
          <w:lang w:val="es-ES"/>
        </w:rPr>
      </w:pPr>
      <w:r w:rsidRPr="004C74A4">
        <w:rPr>
          <w:b w:val="0"/>
          <w:bCs/>
          <w:lang w:val="es-ES"/>
        </w:rPr>
        <w:t xml:space="preserve">Se ha realizado la </w:t>
      </w:r>
      <w:r>
        <w:rPr>
          <w:b w:val="0"/>
          <w:bCs/>
          <w:lang w:val="es-ES"/>
        </w:rPr>
        <w:t xml:space="preserve">actualización del tramo vertical de la red con base </w:t>
      </w:r>
      <w:r w:rsidR="007D7D62">
        <w:rPr>
          <w:b w:val="0"/>
          <w:bCs/>
          <w:lang w:val="es-ES"/>
        </w:rPr>
        <w:t>en</w:t>
      </w:r>
      <w:r w:rsidR="008C05E0">
        <w:rPr>
          <w:b w:val="0"/>
          <w:bCs/>
          <w:lang w:val="es-ES"/>
        </w:rPr>
        <w:t xml:space="preserve"> un muestreo geográfico. </w:t>
      </w:r>
    </w:p>
    <w:p w14:paraId="50C53DAC" w14:textId="60D6E704" w:rsidR="005D5F55" w:rsidRDefault="005D5F55" w:rsidP="00582AE6">
      <w:pPr>
        <w:pStyle w:val="Ttulo4"/>
      </w:pPr>
      <w:bookmarkStart w:id="94" w:name="_Ref139970141"/>
      <w:r>
        <w:t>Renta de espacio de central</w:t>
      </w:r>
      <w:bookmarkEnd w:id="94"/>
    </w:p>
    <w:p w14:paraId="542B2415" w14:textId="2BFB9A17" w:rsidR="003A3C1F" w:rsidRDefault="000B4F3E" w:rsidP="008F7DB1">
      <w:r>
        <w:t xml:space="preserve">El costo de alquiler de espacio </w:t>
      </w:r>
      <w:r w:rsidR="00CB1EC4">
        <w:t xml:space="preserve">en </w:t>
      </w:r>
      <w:r>
        <w:t xml:space="preserve">centrales ha sido </w:t>
      </w:r>
      <w:r w:rsidR="004D14DD">
        <w:t xml:space="preserve">actualizado </w:t>
      </w:r>
      <w:r w:rsidR="00C37ED8">
        <w:t xml:space="preserve">según </w:t>
      </w:r>
      <w:r w:rsidR="006D7040">
        <w:t xml:space="preserve">el </w:t>
      </w:r>
      <w:r w:rsidR="00C37ED8">
        <w:t xml:space="preserve">valor </w:t>
      </w:r>
      <w:r w:rsidR="006D7040">
        <w:t xml:space="preserve">regulado </w:t>
      </w:r>
      <w:r w:rsidR="00C37ED8">
        <w:t>en el acuerdo P/IFT/261022/533</w:t>
      </w:r>
      <w:r w:rsidR="003B64A5">
        <w:rPr>
          <w:rStyle w:val="Refdenotaalpie"/>
        </w:rPr>
        <w:footnoteReference w:id="11"/>
      </w:r>
      <w:r w:rsidR="00C37ED8">
        <w:t xml:space="preserve"> </w:t>
      </w:r>
      <w:r w:rsidR="002F3835">
        <w:t xml:space="preserve">en </w:t>
      </w:r>
      <w:r w:rsidR="003A3C1F">
        <w:t xml:space="preserve">el </w:t>
      </w:r>
      <w:r w:rsidR="002F3835">
        <w:t xml:space="preserve">que el Instituto </w:t>
      </w:r>
      <w:r w:rsidR="003B64A5" w:rsidRPr="003B64A5">
        <w:t>establece las Condiciones Técnicas Mínimas para la interconexión entre concesionarios que operen redes públicas de telecomunicaciones y determina las tarifas de interconexión resultado de la metodología para el cálculo de costos de interconexión</w:t>
      </w:r>
      <w:r>
        <w:t xml:space="preserve">. </w:t>
      </w:r>
    </w:p>
    <w:p w14:paraId="4454F89A" w14:textId="716F275C" w:rsidR="008F7DB1" w:rsidRPr="008F7DB1" w:rsidRDefault="000B4F3E" w:rsidP="008F7DB1">
      <w:r>
        <w:t>A continuación</w:t>
      </w:r>
      <w:r w:rsidR="000C7137">
        <w:t>,</w:t>
      </w:r>
      <w:r>
        <w:t xml:space="preserve"> se muestran los valores </w:t>
      </w:r>
      <w:r w:rsidR="00C37ED8">
        <w:t xml:space="preserve">asignados </w:t>
      </w:r>
      <w:r w:rsidR="008E1085">
        <w:t xml:space="preserve">frente a </w:t>
      </w:r>
      <w:r w:rsidR="00CB1EC4">
        <w:t xml:space="preserve">los de la versión </w:t>
      </w:r>
      <w:r w:rsidR="008E1085">
        <w:t xml:space="preserve">previa del </w:t>
      </w:r>
      <w:r w:rsidR="00CB1EC4">
        <w:t>M</w:t>
      </w:r>
      <w:r w:rsidR="008E1085">
        <w:t xml:space="preserve">odelo, tanto para espacio </w:t>
      </w:r>
      <w:r w:rsidR="00C30FF6">
        <w:t>u</w:t>
      </w:r>
      <w:r w:rsidR="008E1085">
        <w:t xml:space="preserve">rbano como </w:t>
      </w:r>
      <w:r w:rsidR="00C30FF6">
        <w:t>r</w:t>
      </w:r>
      <w:r w:rsidR="008E1085">
        <w:t>ural:</w:t>
      </w:r>
    </w:p>
    <w:tbl>
      <w:tblPr>
        <w:tblStyle w:val="Axon"/>
        <w:tblW w:w="0" w:type="auto"/>
        <w:jc w:val="center"/>
        <w:tblLook w:val="04A0" w:firstRow="1" w:lastRow="0" w:firstColumn="1" w:lastColumn="0" w:noHBand="0" w:noVBand="1"/>
      </w:tblPr>
      <w:tblGrid>
        <w:gridCol w:w="2977"/>
        <w:gridCol w:w="2197"/>
        <w:gridCol w:w="2197"/>
      </w:tblGrid>
      <w:tr w:rsidR="00ED5D28" w14:paraId="504177D9" w14:textId="77777777" w:rsidTr="003D105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977" w:type="dxa"/>
          </w:tcPr>
          <w:p w14:paraId="358CFC4A" w14:textId="112298E1" w:rsidR="00ED5D28" w:rsidRDefault="00ED5D28" w:rsidP="00C30FF6">
            <w:pPr>
              <w:pStyle w:val="TableHeading"/>
              <w:keepNext/>
            </w:pPr>
            <w:r>
              <w:t>Tipo de espacio</w:t>
            </w:r>
          </w:p>
        </w:tc>
        <w:tc>
          <w:tcPr>
            <w:tcW w:w="2197" w:type="dxa"/>
          </w:tcPr>
          <w:p w14:paraId="7CB77EF7" w14:textId="49A5F7EE" w:rsidR="00ED5D28" w:rsidRDefault="00ED5D28" w:rsidP="00C30FF6">
            <w:pPr>
              <w:pStyle w:val="TableHeading"/>
              <w:keepNext/>
              <w:cnfStyle w:val="100000000000" w:firstRow="1" w:lastRow="0" w:firstColumn="0" w:lastColumn="0" w:oddVBand="0" w:evenVBand="0" w:oddHBand="0" w:evenHBand="0" w:firstRowFirstColumn="0" w:firstRowLastColumn="0" w:lastRowFirstColumn="0" w:lastRowLastColumn="0"/>
            </w:pPr>
            <w:r>
              <w:t>Valores previos del modelo</w:t>
            </w:r>
          </w:p>
        </w:tc>
        <w:tc>
          <w:tcPr>
            <w:tcW w:w="2197" w:type="dxa"/>
          </w:tcPr>
          <w:p w14:paraId="268ED300" w14:textId="477AB6F9" w:rsidR="00ED5D28" w:rsidRDefault="00665A1F" w:rsidP="00C30FF6">
            <w:pPr>
              <w:pStyle w:val="TableHeading"/>
              <w:keepNext/>
              <w:cnfStyle w:val="100000000000" w:firstRow="1" w:lastRow="0" w:firstColumn="0" w:lastColumn="0" w:oddVBand="0" w:evenVBand="0" w:oddHBand="0" w:evenHBand="0" w:firstRowFirstColumn="0" w:firstRowLastColumn="0" w:lastRowFirstColumn="0" w:lastRowLastColumn="0"/>
            </w:pPr>
            <w:r>
              <w:t>Valores nuevos del modelo</w:t>
            </w:r>
          </w:p>
        </w:tc>
      </w:tr>
      <w:tr w:rsidR="00316236" w:rsidRPr="00784228" w14:paraId="13A2EAD2" w14:textId="77777777" w:rsidTr="003D105B">
        <w:trPr>
          <w:jc w:val="center"/>
        </w:trPr>
        <w:tc>
          <w:tcPr>
            <w:cnfStyle w:val="001000000000" w:firstRow="0" w:lastRow="0" w:firstColumn="1" w:lastColumn="0" w:oddVBand="0" w:evenVBand="0" w:oddHBand="0" w:evenHBand="0" w:firstRowFirstColumn="0" w:firstRowLastColumn="0" w:lastRowFirstColumn="0" w:lastRowLastColumn="0"/>
            <w:tcW w:w="2977" w:type="dxa"/>
            <w:vAlign w:val="top"/>
          </w:tcPr>
          <w:p w14:paraId="7A9F994B" w14:textId="41C57D1F" w:rsidR="00316236" w:rsidRDefault="00316236" w:rsidP="00C30FF6">
            <w:pPr>
              <w:pStyle w:val="TableParagraph"/>
              <w:keepNext/>
            </w:pPr>
            <w:r>
              <w:t>Urbano</w:t>
            </w:r>
            <w:r w:rsidR="00665A1F">
              <w:rPr>
                <w:rStyle w:val="Refdenotaalpie"/>
              </w:rPr>
              <w:footnoteReference w:id="12"/>
            </w:r>
          </w:p>
        </w:tc>
        <w:tc>
          <w:tcPr>
            <w:tcW w:w="2197" w:type="dxa"/>
            <w:vAlign w:val="top"/>
          </w:tcPr>
          <w:p w14:paraId="57C8CDCD" w14:textId="037EA7D9" w:rsidR="00316236" w:rsidRDefault="00316236" w:rsidP="00C30FF6">
            <w:pPr>
              <w:pStyle w:val="TableParagraph"/>
              <w:keepNext/>
              <w:jc w:val="center"/>
              <w:cnfStyle w:val="000000000000" w:firstRow="0" w:lastRow="0" w:firstColumn="0" w:lastColumn="0" w:oddVBand="0" w:evenVBand="0" w:oddHBand="0" w:evenHBand="0" w:firstRowFirstColumn="0" w:firstRowLastColumn="0" w:lastRowFirstColumn="0" w:lastRowLastColumn="0"/>
            </w:pPr>
            <w:r w:rsidRPr="0022139A">
              <w:t>750</w:t>
            </w:r>
            <w:r w:rsidR="00266C48">
              <w:t>.</w:t>
            </w:r>
            <w:r w:rsidR="00CB1EC4">
              <w:t>00</w:t>
            </w:r>
          </w:p>
        </w:tc>
        <w:tc>
          <w:tcPr>
            <w:tcW w:w="2197" w:type="dxa"/>
            <w:vAlign w:val="top"/>
          </w:tcPr>
          <w:p w14:paraId="4D8C1F8B" w14:textId="1216461E" w:rsidR="00316236" w:rsidRPr="00784228" w:rsidRDefault="00316236" w:rsidP="00C30FF6">
            <w:pPr>
              <w:pStyle w:val="TableParagraph"/>
              <w:keepNext/>
              <w:jc w:val="center"/>
              <w:cnfStyle w:val="000000000000" w:firstRow="0" w:lastRow="0" w:firstColumn="0" w:lastColumn="0" w:oddVBand="0" w:evenVBand="0" w:oddHBand="0" w:evenHBand="0" w:firstRowFirstColumn="0" w:firstRowLastColumn="0" w:lastRowFirstColumn="0" w:lastRowLastColumn="0"/>
            </w:pPr>
            <w:r w:rsidRPr="00DB4393">
              <w:t>1063</w:t>
            </w:r>
            <w:r w:rsidR="00266C48">
              <w:t>.</w:t>
            </w:r>
            <w:r w:rsidRPr="00DB4393">
              <w:t>72</w:t>
            </w:r>
          </w:p>
        </w:tc>
      </w:tr>
      <w:tr w:rsidR="00316236" w:rsidRPr="00784228" w14:paraId="5C917E8C" w14:textId="77777777" w:rsidTr="003D105B">
        <w:trPr>
          <w:jc w:val="center"/>
        </w:trPr>
        <w:tc>
          <w:tcPr>
            <w:cnfStyle w:val="001000000000" w:firstRow="0" w:lastRow="0" w:firstColumn="1" w:lastColumn="0" w:oddVBand="0" w:evenVBand="0" w:oddHBand="0" w:evenHBand="0" w:firstRowFirstColumn="0" w:firstRowLastColumn="0" w:lastRowFirstColumn="0" w:lastRowLastColumn="0"/>
            <w:tcW w:w="2977" w:type="dxa"/>
            <w:vAlign w:val="top"/>
          </w:tcPr>
          <w:p w14:paraId="6C172D2A" w14:textId="3CBC2902" w:rsidR="00316236" w:rsidRDefault="00316236" w:rsidP="00C30FF6">
            <w:pPr>
              <w:pStyle w:val="TableParagraph"/>
              <w:keepNext/>
            </w:pPr>
            <w:r>
              <w:t>Rural</w:t>
            </w:r>
            <w:r w:rsidR="00665A1F">
              <w:rPr>
                <w:rStyle w:val="Refdenotaalpie"/>
              </w:rPr>
              <w:footnoteReference w:id="13"/>
            </w:r>
          </w:p>
        </w:tc>
        <w:tc>
          <w:tcPr>
            <w:tcW w:w="2197" w:type="dxa"/>
            <w:vAlign w:val="top"/>
          </w:tcPr>
          <w:p w14:paraId="502C8AE9" w14:textId="07059CBB" w:rsidR="00316236" w:rsidRDefault="00316236" w:rsidP="00C30FF6">
            <w:pPr>
              <w:pStyle w:val="TableParagraph"/>
              <w:keepNext/>
              <w:jc w:val="center"/>
              <w:cnfStyle w:val="000000000000" w:firstRow="0" w:lastRow="0" w:firstColumn="0" w:lastColumn="0" w:oddVBand="0" w:evenVBand="0" w:oddHBand="0" w:evenHBand="0" w:firstRowFirstColumn="0" w:firstRowLastColumn="0" w:lastRowFirstColumn="0" w:lastRowLastColumn="0"/>
            </w:pPr>
            <w:r w:rsidRPr="0022139A">
              <w:t>361</w:t>
            </w:r>
            <w:r w:rsidR="00266C48">
              <w:t>.</w:t>
            </w:r>
            <w:r w:rsidR="00CB1EC4">
              <w:t>00</w:t>
            </w:r>
          </w:p>
        </w:tc>
        <w:tc>
          <w:tcPr>
            <w:tcW w:w="2197" w:type="dxa"/>
            <w:vAlign w:val="top"/>
          </w:tcPr>
          <w:p w14:paraId="57D9E0CA" w14:textId="5FA8F540" w:rsidR="00316236" w:rsidRPr="00784228" w:rsidRDefault="00316236" w:rsidP="00C30FF6">
            <w:pPr>
              <w:pStyle w:val="TableParagraph"/>
              <w:keepNext/>
              <w:jc w:val="center"/>
              <w:cnfStyle w:val="000000000000" w:firstRow="0" w:lastRow="0" w:firstColumn="0" w:lastColumn="0" w:oddVBand="0" w:evenVBand="0" w:oddHBand="0" w:evenHBand="0" w:firstRowFirstColumn="0" w:firstRowLastColumn="0" w:lastRowFirstColumn="0" w:lastRowLastColumn="0"/>
            </w:pPr>
            <w:r w:rsidRPr="00DB4393">
              <w:t>987</w:t>
            </w:r>
            <w:r w:rsidR="00266C48">
              <w:t>.</w:t>
            </w:r>
            <w:r w:rsidRPr="00DB4393">
              <w:t>73</w:t>
            </w:r>
          </w:p>
        </w:tc>
      </w:tr>
    </w:tbl>
    <w:p w14:paraId="54B0A08B" w14:textId="00DFA7F3" w:rsidR="00A7664E" w:rsidRDefault="00A7664E" w:rsidP="00A7664E">
      <w:pPr>
        <w:pStyle w:val="Descripcin"/>
      </w:pPr>
      <w:r>
        <w:t xml:space="preserve">Tabla </w:t>
      </w:r>
      <w:r>
        <w:fldChar w:fldCharType="begin"/>
      </w:r>
      <w:r>
        <w:instrText xml:space="preserve"> STYLEREF 1 \s </w:instrText>
      </w:r>
      <w:r>
        <w:fldChar w:fldCharType="separate"/>
      </w:r>
      <w:r w:rsidR="00320714">
        <w:rPr>
          <w:rFonts w:hint="cs"/>
          <w:noProof/>
          <w:cs/>
        </w:rPr>
        <w:t>‎</w:t>
      </w:r>
      <w:r w:rsidR="00320714">
        <w:rPr>
          <w:noProof/>
        </w:rPr>
        <w:t>3</w:t>
      </w:r>
      <w:r>
        <w:fldChar w:fldCharType="end"/>
      </w:r>
      <w:r>
        <w:t>.</w:t>
      </w:r>
      <w:r>
        <w:fldChar w:fldCharType="begin"/>
      </w:r>
      <w:r>
        <w:instrText xml:space="preserve"> SEQ Tabla \* ARABIC \s 1 </w:instrText>
      </w:r>
      <w:r>
        <w:fldChar w:fldCharType="separate"/>
      </w:r>
      <w:r w:rsidR="00320714">
        <w:rPr>
          <w:noProof/>
        </w:rPr>
        <w:t>10</w:t>
      </w:r>
      <w:r>
        <w:fldChar w:fldCharType="end"/>
      </w:r>
      <w:r>
        <w:t xml:space="preserve"> </w:t>
      </w:r>
      <w:r w:rsidR="00316236">
        <w:t>Cost</w:t>
      </w:r>
      <w:r w:rsidR="00D17FB9">
        <w:t>o</w:t>
      </w:r>
      <w:r w:rsidR="00316236">
        <w:t xml:space="preserve"> de renta de espacio</w:t>
      </w:r>
      <w:r w:rsidR="008F7DB1">
        <w:t xml:space="preserve"> (</w:t>
      </w:r>
      <w:r w:rsidR="008F7DB1" w:rsidRPr="008F7DB1">
        <w:t>MXN/m2/mes</w:t>
      </w:r>
      <w:r w:rsidR="008F7DB1">
        <w:t>)</w:t>
      </w:r>
      <w:r>
        <w:t xml:space="preserve"> [Fuente: </w:t>
      </w:r>
      <w:r w:rsidR="008F7DB1">
        <w:t>AEP</w:t>
      </w:r>
      <w:r>
        <w:t>]</w:t>
      </w:r>
    </w:p>
    <w:p w14:paraId="31C55710" w14:textId="5F398010" w:rsidR="009B1409" w:rsidRPr="009B1409" w:rsidRDefault="000C2B23" w:rsidP="00476B1B">
      <w:r>
        <w:t xml:space="preserve">Los valores actualizados se incluyen en la hoja </w:t>
      </w:r>
      <w:r w:rsidRPr="0005427F">
        <w:rPr>
          <w:i/>
          <w:iCs/>
        </w:rPr>
        <w:t>“</w:t>
      </w:r>
      <w:proofErr w:type="spellStart"/>
      <w:r w:rsidRPr="009B1409">
        <w:rPr>
          <w:i/>
          <w:iCs/>
        </w:rPr>
        <w:t>Other</w:t>
      </w:r>
      <w:proofErr w:type="spellEnd"/>
      <w:r w:rsidRPr="009B1409">
        <w:rPr>
          <w:i/>
          <w:iCs/>
        </w:rPr>
        <w:t xml:space="preserve"> inputs</w:t>
      </w:r>
      <w:r w:rsidRPr="0005427F">
        <w:rPr>
          <w:i/>
          <w:iCs/>
        </w:rPr>
        <w:t>”</w:t>
      </w:r>
      <w:r>
        <w:rPr>
          <w:i/>
          <w:iCs/>
        </w:rPr>
        <w:t xml:space="preserve"> </w:t>
      </w:r>
      <w:r>
        <w:t xml:space="preserve">del Modelo Integral, en los campos de la tabla </w:t>
      </w:r>
      <w:r w:rsidRPr="009B1409">
        <w:rPr>
          <w:i/>
          <w:iCs/>
        </w:rPr>
        <w:t>“Renta de espacio de central”</w:t>
      </w:r>
      <w:r>
        <w:t>.</w:t>
      </w:r>
    </w:p>
    <w:p w14:paraId="3A8EAF76" w14:textId="58BD0CAC" w:rsidR="009656CF" w:rsidRPr="00CC1A78" w:rsidRDefault="008F7DB1" w:rsidP="00CC1A78">
      <w:pPr>
        <w:pStyle w:val="Update"/>
        <w:rPr>
          <w:lang w:val="es-ES"/>
        </w:rPr>
      </w:pPr>
      <w:r w:rsidRPr="004C74A4">
        <w:rPr>
          <w:b w:val="0"/>
          <w:bCs/>
          <w:lang w:val="es-ES"/>
        </w:rPr>
        <w:t xml:space="preserve">Se ha realizado la </w:t>
      </w:r>
      <w:r>
        <w:rPr>
          <w:b w:val="0"/>
          <w:bCs/>
          <w:lang w:val="es-ES"/>
        </w:rPr>
        <w:t>actualización de</w:t>
      </w:r>
      <w:r w:rsidR="00FA6EF9">
        <w:rPr>
          <w:b w:val="0"/>
          <w:bCs/>
          <w:lang w:val="es-ES"/>
        </w:rPr>
        <w:t>l</w:t>
      </w:r>
      <w:r>
        <w:rPr>
          <w:b w:val="0"/>
          <w:bCs/>
          <w:lang w:val="es-ES"/>
        </w:rPr>
        <w:t xml:space="preserve"> costo de alquiler del espacio </w:t>
      </w:r>
      <w:r w:rsidR="00CB1EC4">
        <w:rPr>
          <w:b w:val="0"/>
          <w:bCs/>
          <w:lang w:val="es-ES"/>
        </w:rPr>
        <w:t xml:space="preserve">en </w:t>
      </w:r>
      <w:r>
        <w:rPr>
          <w:b w:val="0"/>
          <w:bCs/>
          <w:lang w:val="es-ES"/>
        </w:rPr>
        <w:t>central</w:t>
      </w:r>
      <w:r w:rsidR="00FA6EF9">
        <w:rPr>
          <w:b w:val="0"/>
          <w:bCs/>
          <w:lang w:val="es-ES"/>
        </w:rPr>
        <w:t>,</w:t>
      </w:r>
      <w:r>
        <w:rPr>
          <w:b w:val="0"/>
          <w:bCs/>
          <w:lang w:val="es-ES"/>
        </w:rPr>
        <w:t xml:space="preserve"> tanto </w:t>
      </w:r>
      <w:r w:rsidR="00CB1EC4">
        <w:rPr>
          <w:b w:val="0"/>
          <w:bCs/>
          <w:lang w:val="es-ES"/>
        </w:rPr>
        <w:t xml:space="preserve">para </w:t>
      </w:r>
      <w:r>
        <w:rPr>
          <w:b w:val="0"/>
          <w:bCs/>
          <w:lang w:val="es-ES"/>
        </w:rPr>
        <w:t>urbano como rural</w:t>
      </w:r>
      <w:r w:rsidR="00FA6EF9">
        <w:rPr>
          <w:b w:val="0"/>
          <w:bCs/>
          <w:lang w:val="es-ES"/>
        </w:rPr>
        <w:t>,</w:t>
      </w:r>
      <w:r>
        <w:rPr>
          <w:b w:val="0"/>
          <w:bCs/>
          <w:lang w:val="es-ES"/>
        </w:rPr>
        <w:t xml:space="preserve"> de acuerdo </w:t>
      </w:r>
      <w:r w:rsidR="000C7137">
        <w:rPr>
          <w:b w:val="0"/>
          <w:bCs/>
          <w:lang w:val="es-ES"/>
        </w:rPr>
        <w:t>con</w:t>
      </w:r>
      <w:r>
        <w:rPr>
          <w:b w:val="0"/>
          <w:bCs/>
          <w:lang w:val="es-ES"/>
        </w:rPr>
        <w:t xml:space="preserve"> </w:t>
      </w:r>
      <w:r w:rsidR="00665A1F">
        <w:rPr>
          <w:b w:val="0"/>
          <w:bCs/>
          <w:lang w:val="es-ES"/>
        </w:rPr>
        <w:t>los valores regulados por el Instituto</w:t>
      </w:r>
      <w:r w:rsidR="004B7131">
        <w:rPr>
          <w:b w:val="0"/>
          <w:bCs/>
          <w:lang w:val="es-ES"/>
        </w:rPr>
        <w:t xml:space="preserve"> a este respecto. </w:t>
      </w:r>
    </w:p>
    <w:p w14:paraId="792F6697" w14:textId="25626AC0" w:rsidR="00CC789B" w:rsidRDefault="00D134EF" w:rsidP="00D2111D">
      <w:pPr>
        <w:pStyle w:val="Ttulo1"/>
      </w:pPr>
      <w:bookmarkStart w:id="95" w:name="_Ref139551589"/>
      <w:bookmarkStart w:id="96" w:name="_Toc142388412"/>
      <w:bookmarkEnd w:id="68"/>
      <w:bookmarkEnd w:id="69"/>
      <w:bookmarkEnd w:id="70"/>
      <w:bookmarkEnd w:id="71"/>
      <w:r>
        <w:lastRenderedPageBreak/>
        <w:t>Resultados</w:t>
      </w:r>
      <w:bookmarkEnd w:id="95"/>
      <w:bookmarkEnd w:id="96"/>
    </w:p>
    <w:p w14:paraId="75F9462D" w14:textId="696B4FF8" w:rsidR="0035272F" w:rsidRPr="0035272F" w:rsidRDefault="00D277EB" w:rsidP="0035272F">
      <w:r>
        <w:t xml:space="preserve">En esta sección se presentan </w:t>
      </w:r>
      <w:r w:rsidR="00F50824">
        <w:t xml:space="preserve">los resultados </w:t>
      </w:r>
      <w:r>
        <w:t>obtenidos</w:t>
      </w:r>
      <w:r w:rsidR="00F50824">
        <w:t xml:space="preserve"> por el Modelo tras las actualizaciones descritas en las secciones previas. El año de referencia empleado es </w:t>
      </w:r>
      <w:r w:rsidR="00784590">
        <w:t>2024</w:t>
      </w:r>
      <w:r w:rsidR="00F50824">
        <w:t xml:space="preserve">. </w:t>
      </w:r>
    </w:p>
    <w:p w14:paraId="17C7ECA9" w14:textId="3418F462" w:rsidR="00D134EF" w:rsidRDefault="00D134EF" w:rsidP="00D134EF">
      <w:pPr>
        <w:pStyle w:val="Ttulo2"/>
      </w:pPr>
      <w:bookmarkStart w:id="97" w:name="_Toc142388413"/>
      <w:r>
        <w:t>Base total de costos</w:t>
      </w:r>
      <w:bookmarkEnd w:id="97"/>
    </w:p>
    <w:p w14:paraId="1C28C2C3" w14:textId="194E1BAD" w:rsidR="00DF6652" w:rsidRDefault="00DA13EC" w:rsidP="00DA13EC">
      <w:r>
        <w:t xml:space="preserve">Los costos totales anuales suman un total de </w:t>
      </w:r>
      <w:r w:rsidR="00954981" w:rsidRPr="00954981">
        <w:t>29,721</w:t>
      </w:r>
      <w:r w:rsidR="00C37ED8">
        <w:t xml:space="preserve"> </w:t>
      </w:r>
      <w:r w:rsidR="0021213E">
        <w:t>m</w:t>
      </w:r>
      <w:r w:rsidR="00637C64">
        <w:t>illones</w:t>
      </w:r>
      <w:r>
        <w:t xml:space="preserve"> de MXN </w:t>
      </w:r>
      <w:r w:rsidR="00AB1788">
        <w:t>los cuales se dividen en</w:t>
      </w:r>
      <w:r w:rsidR="00EF60E5">
        <w:t>:</w:t>
      </w:r>
    </w:p>
    <w:tbl>
      <w:tblPr>
        <w:tblStyle w:val="Axon"/>
        <w:tblW w:w="0" w:type="auto"/>
        <w:jc w:val="center"/>
        <w:tblLook w:val="04A0" w:firstRow="1" w:lastRow="0" w:firstColumn="1" w:lastColumn="0" w:noHBand="0" w:noVBand="1"/>
      </w:tblPr>
      <w:tblGrid>
        <w:gridCol w:w="1276"/>
        <w:gridCol w:w="2268"/>
      </w:tblGrid>
      <w:tr w:rsidR="00DF6652" w14:paraId="2D2F05BB" w14:textId="77777777" w:rsidTr="008D38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4C8601A2" w14:textId="77777777" w:rsidR="00DF6652" w:rsidRDefault="00DF6652" w:rsidP="00DF6652">
            <w:pPr>
              <w:pStyle w:val="TableHeading"/>
            </w:pPr>
          </w:p>
        </w:tc>
        <w:tc>
          <w:tcPr>
            <w:tcW w:w="2268" w:type="dxa"/>
          </w:tcPr>
          <w:p w14:paraId="4BF98B7A" w14:textId="5BEBF407" w:rsidR="00DF6652" w:rsidRDefault="00DF6652" w:rsidP="00DF6652">
            <w:pPr>
              <w:pStyle w:val="TableHeading"/>
              <w:cnfStyle w:val="100000000000" w:firstRow="1" w:lastRow="0" w:firstColumn="0" w:lastColumn="0" w:oddVBand="0" w:evenVBand="0" w:oddHBand="0" w:evenHBand="0" w:firstRowFirstColumn="0" w:firstRowLastColumn="0" w:lastRowFirstColumn="0" w:lastRowLastColumn="0"/>
            </w:pPr>
            <w:r>
              <w:t>Costos (MXN)</w:t>
            </w:r>
          </w:p>
        </w:tc>
      </w:tr>
      <w:tr w:rsidR="00DF6652" w14:paraId="1D321AE6" w14:textId="77777777" w:rsidTr="008D3853">
        <w:trPr>
          <w:jc w:val="center"/>
        </w:trPr>
        <w:tc>
          <w:tcPr>
            <w:cnfStyle w:val="001000000000" w:firstRow="0" w:lastRow="0" w:firstColumn="1" w:lastColumn="0" w:oddVBand="0" w:evenVBand="0" w:oddHBand="0" w:evenHBand="0" w:firstRowFirstColumn="0" w:firstRowLastColumn="0" w:lastRowFirstColumn="0" w:lastRowLastColumn="0"/>
            <w:tcW w:w="1276" w:type="dxa"/>
          </w:tcPr>
          <w:p w14:paraId="7FFB9D5D" w14:textId="3D9D4C0C" w:rsidR="00DF6652" w:rsidRDefault="00DF6652" w:rsidP="00DF6652">
            <w:pPr>
              <w:pStyle w:val="TableParagraph"/>
            </w:pPr>
            <w:r>
              <w:t>CAPEX</w:t>
            </w:r>
          </w:p>
        </w:tc>
        <w:tc>
          <w:tcPr>
            <w:tcW w:w="2268" w:type="dxa"/>
          </w:tcPr>
          <w:p w14:paraId="72D0EF18" w14:textId="06353053" w:rsidR="00DF6652" w:rsidRDefault="00954981" w:rsidP="00EA4D1A">
            <w:pPr>
              <w:pStyle w:val="TableParagraph"/>
              <w:jc w:val="right"/>
              <w:cnfStyle w:val="000000000000" w:firstRow="0" w:lastRow="0" w:firstColumn="0" w:lastColumn="0" w:oddVBand="0" w:evenVBand="0" w:oddHBand="0" w:evenHBand="0" w:firstRowFirstColumn="0" w:firstRowLastColumn="0" w:lastRowFirstColumn="0" w:lastRowLastColumn="0"/>
            </w:pPr>
            <w:r w:rsidRPr="00954981">
              <w:t xml:space="preserve">21,154,357,079   </w:t>
            </w:r>
          </w:p>
        </w:tc>
      </w:tr>
      <w:tr w:rsidR="00DF6652" w14:paraId="7C4DEED6" w14:textId="77777777" w:rsidTr="008D3853">
        <w:trPr>
          <w:jc w:val="center"/>
        </w:trPr>
        <w:tc>
          <w:tcPr>
            <w:cnfStyle w:val="001000000000" w:firstRow="0" w:lastRow="0" w:firstColumn="1" w:lastColumn="0" w:oddVBand="0" w:evenVBand="0" w:oddHBand="0" w:evenHBand="0" w:firstRowFirstColumn="0" w:firstRowLastColumn="0" w:lastRowFirstColumn="0" w:lastRowLastColumn="0"/>
            <w:tcW w:w="1276" w:type="dxa"/>
          </w:tcPr>
          <w:p w14:paraId="263EAF8A" w14:textId="6ABF90AB" w:rsidR="00DF6652" w:rsidRDefault="00DF6652" w:rsidP="00DF6652">
            <w:pPr>
              <w:pStyle w:val="TableParagraph"/>
            </w:pPr>
            <w:r>
              <w:t>OPEX</w:t>
            </w:r>
          </w:p>
        </w:tc>
        <w:tc>
          <w:tcPr>
            <w:tcW w:w="2268" w:type="dxa"/>
          </w:tcPr>
          <w:p w14:paraId="4DE10DA2" w14:textId="7A9EADE9" w:rsidR="00DF6652" w:rsidRDefault="00954981" w:rsidP="00EA4D1A">
            <w:pPr>
              <w:pStyle w:val="TableParagraph"/>
              <w:jc w:val="right"/>
              <w:cnfStyle w:val="000000000000" w:firstRow="0" w:lastRow="0" w:firstColumn="0" w:lastColumn="0" w:oddVBand="0" w:evenVBand="0" w:oddHBand="0" w:evenHBand="0" w:firstRowFirstColumn="0" w:firstRowLastColumn="0" w:lastRowFirstColumn="0" w:lastRowLastColumn="0"/>
            </w:pPr>
            <w:r w:rsidRPr="00954981">
              <w:t xml:space="preserve">8,567,082,394   </w:t>
            </w:r>
          </w:p>
        </w:tc>
      </w:tr>
      <w:tr w:rsidR="00DF6652" w14:paraId="643532D9" w14:textId="77777777" w:rsidTr="006F05E0">
        <w:trPr>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54D0865F" w14:textId="57589CCF" w:rsidR="00DF6652" w:rsidRPr="00DF6652" w:rsidRDefault="00DF6652" w:rsidP="00DF6652">
            <w:pPr>
              <w:pStyle w:val="TableParagraph"/>
              <w:rPr>
                <w:b/>
                <w:bCs/>
              </w:rPr>
            </w:pPr>
            <w:r w:rsidRPr="00DF6652">
              <w:rPr>
                <w:b/>
                <w:bCs/>
              </w:rPr>
              <w:t>TOTAL</w:t>
            </w:r>
          </w:p>
        </w:tc>
        <w:tc>
          <w:tcPr>
            <w:tcW w:w="2268" w:type="dxa"/>
            <w:shd w:val="clear" w:color="auto" w:fill="F2F2F2" w:themeFill="background1" w:themeFillShade="F2"/>
          </w:tcPr>
          <w:p w14:paraId="5EBFC373" w14:textId="34AFE465" w:rsidR="00DF6652" w:rsidRPr="00DF6652" w:rsidRDefault="00954981" w:rsidP="00EA4D1A">
            <w:pPr>
              <w:pStyle w:val="TableParagraph"/>
              <w:jc w:val="right"/>
              <w:cnfStyle w:val="000000000000" w:firstRow="0" w:lastRow="0" w:firstColumn="0" w:lastColumn="0" w:oddVBand="0" w:evenVBand="0" w:oddHBand="0" w:evenHBand="0" w:firstRowFirstColumn="0" w:firstRowLastColumn="0" w:lastRowFirstColumn="0" w:lastRowLastColumn="0"/>
              <w:rPr>
                <w:b/>
                <w:bCs/>
              </w:rPr>
            </w:pPr>
            <w:r w:rsidRPr="00954981">
              <w:rPr>
                <w:b/>
                <w:bCs/>
              </w:rPr>
              <w:t xml:space="preserve">29,721,439,473   </w:t>
            </w:r>
          </w:p>
        </w:tc>
      </w:tr>
    </w:tbl>
    <w:p w14:paraId="05C5953D" w14:textId="6EB2DAEB" w:rsidR="003A0B32" w:rsidRPr="00272506" w:rsidRDefault="00EA4D1A" w:rsidP="00272506">
      <w:pPr>
        <w:pStyle w:val="Descripcin"/>
        <w:rPr>
          <w:rStyle w:val="DescripcinCar"/>
          <w:b/>
          <w:iCs/>
        </w:rPr>
      </w:pPr>
      <w:r w:rsidRPr="00272506">
        <w:t xml:space="preserve">Tabla </w:t>
      </w:r>
      <w:r w:rsidR="00450F28">
        <w:fldChar w:fldCharType="begin"/>
      </w:r>
      <w:r w:rsidR="00450F28">
        <w:instrText xml:space="preserve"> STYLEREF 1 \s </w:instrText>
      </w:r>
      <w:r w:rsidR="00450F28">
        <w:fldChar w:fldCharType="separate"/>
      </w:r>
      <w:r w:rsidR="00320714">
        <w:rPr>
          <w:rFonts w:hint="cs"/>
          <w:noProof/>
          <w:cs/>
        </w:rPr>
        <w:t>‎</w:t>
      </w:r>
      <w:r w:rsidR="00320714">
        <w:rPr>
          <w:noProof/>
        </w:rPr>
        <w:t>4</w:t>
      </w:r>
      <w:r w:rsidR="00450F28">
        <w:fldChar w:fldCharType="end"/>
      </w:r>
      <w:r w:rsidR="00450F28">
        <w:t>.</w:t>
      </w:r>
      <w:r w:rsidR="00450F28">
        <w:fldChar w:fldCharType="begin"/>
      </w:r>
      <w:r w:rsidR="00450F28">
        <w:instrText xml:space="preserve"> SEQ Tabla \* ARABIC \s 1 </w:instrText>
      </w:r>
      <w:r w:rsidR="00450F28">
        <w:fldChar w:fldCharType="separate"/>
      </w:r>
      <w:r w:rsidR="00320714">
        <w:rPr>
          <w:noProof/>
        </w:rPr>
        <w:t>1</w:t>
      </w:r>
      <w:r w:rsidR="00450F28">
        <w:fldChar w:fldCharType="end"/>
      </w:r>
      <w:r w:rsidRPr="00272506">
        <w:rPr>
          <w:rStyle w:val="DescripcinCar"/>
          <w:b/>
          <w:iCs/>
        </w:rPr>
        <w:t xml:space="preserve">: Costos totales </w:t>
      </w:r>
      <w:r w:rsidR="00A161A0">
        <w:rPr>
          <w:rStyle w:val="DescripcinCar"/>
          <w:b/>
          <w:iCs/>
        </w:rPr>
        <w:t xml:space="preserve">del operador modelado </w:t>
      </w:r>
      <w:r w:rsidRPr="00272506">
        <w:rPr>
          <w:rStyle w:val="DescripcinCar"/>
          <w:b/>
          <w:iCs/>
        </w:rPr>
        <w:t xml:space="preserve">[Fuente: </w:t>
      </w:r>
      <w:r w:rsidR="00AD7C04">
        <w:rPr>
          <w:rStyle w:val="DescripcinCar"/>
          <w:b/>
          <w:iCs/>
        </w:rPr>
        <w:t>Modelo Integral</w:t>
      </w:r>
      <w:r w:rsidRPr="00272506">
        <w:rPr>
          <w:rStyle w:val="DescripcinCar"/>
          <w:b/>
          <w:iCs/>
        </w:rPr>
        <w:t>]</w:t>
      </w:r>
    </w:p>
    <w:p w14:paraId="6BCECA10" w14:textId="5112F7AC" w:rsidR="00D134EF" w:rsidRDefault="00D134EF" w:rsidP="00D134EF">
      <w:pPr>
        <w:pStyle w:val="Ttulo2"/>
      </w:pPr>
      <w:bookmarkStart w:id="98" w:name="_Toc142388414"/>
      <w:r>
        <w:t>Resultados por servicio</w:t>
      </w:r>
      <w:bookmarkEnd w:id="98"/>
      <w:r>
        <w:t xml:space="preserve"> </w:t>
      </w:r>
    </w:p>
    <w:p w14:paraId="5182AE88" w14:textId="31EFE993" w:rsidR="00405581" w:rsidRDefault="00725E22" w:rsidP="00405581">
      <w:r>
        <w:t>De acuerdo con</w:t>
      </w:r>
      <w:r w:rsidR="005940A8">
        <w:t xml:space="preserve"> los factores de enrutamiento establecidos </w:t>
      </w:r>
      <w:r w:rsidR="00C50BBD">
        <w:t>en el Modelo</w:t>
      </w:r>
      <w:r w:rsidR="00723C37">
        <w:t>,</w:t>
      </w:r>
      <w:r w:rsidR="005940A8">
        <w:t xml:space="preserve"> los cost</w:t>
      </w:r>
      <w:r w:rsidR="00D17FB9">
        <w:t>o</w:t>
      </w:r>
      <w:r w:rsidR="005940A8">
        <w:t xml:space="preserve">s anuales de la red </w:t>
      </w:r>
      <w:r w:rsidR="00405581">
        <w:t xml:space="preserve">se atribuyen a los servicios, de manera que </w:t>
      </w:r>
      <w:r w:rsidR="00D17FB9">
        <w:t xml:space="preserve">finalmente </w:t>
      </w:r>
      <w:r w:rsidR="00405581">
        <w:t xml:space="preserve">se extrae un </w:t>
      </w:r>
      <w:r w:rsidR="00B77D89">
        <w:t>cargo mensual</w:t>
      </w:r>
      <w:r w:rsidR="004D668C">
        <w:t xml:space="preserve"> por línea</w:t>
      </w:r>
      <w:r w:rsidR="00405581">
        <w:t xml:space="preserve">. </w:t>
      </w:r>
      <w:r w:rsidR="00FE3033">
        <w:t>Se hace notar que los resultados incluidos a continuación corresponden únicamente al costo del segmento de acceso</w:t>
      </w:r>
      <w:r w:rsidR="000342AE">
        <w:t>, sin incluir por tanto el costo del segmento de transporte</w:t>
      </w:r>
      <w:r w:rsidR="00687EFC">
        <w:t>, que será extraído del Modelo de Interconexión</w:t>
      </w:r>
      <w:r w:rsidR="00FE3033">
        <w:t xml:space="preserve">. </w:t>
      </w:r>
    </w:p>
    <w:p w14:paraId="25889FED" w14:textId="5E675F3E" w:rsidR="00670712" w:rsidRDefault="005940A8" w:rsidP="00670712">
      <w:r>
        <w:t xml:space="preserve">En esta sección se presentan los resultados </w:t>
      </w:r>
      <w:r w:rsidR="00795BEF">
        <w:t>de l</w:t>
      </w:r>
      <w:r w:rsidR="00405581">
        <w:t xml:space="preserve">os servicios del modelo según su tipología </w:t>
      </w:r>
      <w:r w:rsidR="009932E3">
        <w:t xml:space="preserve">y </w:t>
      </w:r>
      <w:r w:rsidR="00405581">
        <w:t xml:space="preserve">de acuerdo a las siguientes categorías: </w:t>
      </w:r>
    </w:p>
    <w:p w14:paraId="0DC93316" w14:textId="733720CA" w:rsidR="003F31CA" w:rsidRDefault="003F31CA" w:rsidP="00A01A39">
      <w:pPr>
        <w:pStyle w:val="Bullet1"/>
      </w:pPr>
      <w:r>
        <w:fldChar w:fldCharType="begin"/>
      </w:r>
      <w:r>
        <w:instrText xml:space="preserve"> REF _Ref139883702 \h </w:instrText>
      </w:r>
      <w:r>
        <w:fldChar w:fldCharType="separate"/>
      </w:r>
      <w:r w:rsidR="00320714">
        <w:t>Cobre</w:t>
      </w:r>
      <w:r>
        <w:fldChar w:fldCharType="end"/>
      </w:r>
    </w:p>
    <w:p w14:paraId="55BC9567" w14:textId="59D1CCA1" w:rsidR="00C5437B" w:rsidRDefault="00C5437B" w:rsidP="00A01A39">
      <w:pPr>
        <w:pStyle w:val="Bullet1"/>
      </w:pPr>
      <w:r>
        <w:fldChar w:fldCharType="begin"/>
      </w:r>
      <w:r>
        <w:instrText xml:space="preserve"> REF _Ref139883705 \h </w:instrText>
      </w:r>
      <w:r>
        <w:fldChar w:fldCharType="separate"/>
      </w:r>
      <w:r w:rsidR="00320714">
        <w:t>FTTH</w:t>
      </w:r>
      <w:r>
        <w:fldChar w:fldCharType="end"/>
      </w:r>
    </w:p>
    <w:p w14:paraId="592DD29C" w14:textId="302611C0" w:rsidR="00C5437B" w:rsidRDefault="00C5437B" w:rsidP="00A01A39">
      <w:pPr>
        <w:pStyle w:val="Bullet1"/>
      </w:pPr>
      <w:r>
        <w:fldChar w:fldCharType="begin"/>
      </w:r>
      <w:r>
        <w:instrText xml:space="preserve"> REF _Ref140162022 \h </w:instrText>
      </w:r>
      <w:r>
        <w:fldChar w:fldCharType="separate"/>
      </w:r>
      <w:r w:rsidR="00320714">
        <w:t>FTTC</w:t>
      </w:r>
      <w:r>
        <w:fldChar w:fldCharType="end"/>
      </w:r>
    </w:p>
    <w:p w14:paraId="24A146E2" w14:textId="176238F7" w:rsidR="003E059D" w:rsidRPr="00670712" w:rsidRDefault="00DA18F9" w:rsidP="00A01A39">
      <w:pPr>
        <w:pStyle w:val="Bullet1"/>
      </w:pPr>
      <w:r>
        <w:fldChar w:fldCharType="begin"/>
      </w:r>
      <w:r>
        <w:instrText xml:space="preserve"> REF _Ref140156394 \h </w:instrText>
      </w:r>
      <w:r>
        <w:fldChar w:fldCharType="separate"/>
      </w:r>
      <w:r w:rsidR="00320714">
        <w:t>Servicios complementarios</w:t>
      </w:r>
      <w:r>
        <w:fldChar w:fldCharType="end"/>
      </w:r>
    </w:p>
    <w:p w14:paraId="25501095" w14:textId="1C7AF54D" w:rsidR="00196A1D" w:rsidRDefault="00D134EF" w:rsidP="007E428D">
      <w:pPr>
        <w:pStyle w:val="Ttulo3"/>
      </w:pPr>
      <w:bookmarkStart w:id="99" w:name="_Ref139883702"/>
      <w:bookmarkStart w:id="100" w:name="_Toc142388415"/>
      <w:r>
        <w:lastRenderedPageBreak/>
        <w:t>Cobre</w:t>
      </w:r>
      <w:bookmarkEnd w:id="99"/>
      <w:bookmarkEnd w:id="100"/>
    </w:p>
    <w:tbl>
      <w:tblPr>
        <w:tblStyle w:val="Axon"/>
        <w:tblW w:w="6377" w:type="dxa"/>
        <w:jc w:val="center"/>
        <w:tblLook w:val="04A0" w:firstRow="1" w:lastRow="0" w:firstColumn="1" w:lastColumn="0" w:noHBand="0" w:noVBand="1"/>
      </w:tblPr>
      <w:tblGrid>
        <w:gridCol w:w="4395"/>
        <w:gridCol w:w="1982"/>
      </w:tblGrid>
      <w:tr w:rsidR="007969B2" w:rsidRPr="005B583F" w14:paraId="2937DA01" w14:textId="158FE8F1" w:rsidTr="007969B2">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noWrap/>
            <w:hideMark/>
          </w:tcPr>
          <w:p w14:paraId="6BD7F4A3" w14:textId="77777777" w:rsidR="007969B2" w:rsidRPr="005B583F" w:rsidRDefault="007969B2" w:rsidP="007E428D">
            <w:pPr>
              <w:pStyle w:val="TableHeading"/>
              <w:keepNext/>
              <w:keepLines/>
              <w:rPr>
                <w:lang w:eastAsia="es-ES"/>
              </w:rPr>
            </w:pPr>
          </w:p>
        </w:tc>
        <w:tc>
          <w:tcPr>
            <w:tcW w:w="1982" w:type="dxa"/>
          </w:tcPr>
          <w:p w14:paraId="4CE830C7" w14:textId="757D74DA" w:rsidR="007969B2" w:rsidRPr="005B583F" w:rsidRDefault="007969B2" w:rsidP="007E428D">
            <w:pPr>
              <w:pStyle w:val="TableHeading"/>
              <w:keepNext/>
              <w:keepLines/>
              <w:cnfStyle w:val="100000000000" w:firstRow="1" w:lastRow="0" w:firstColumn="0" w:lastColumn="0" w:oddVBand="0" w:evenVBand="0" w:oddHBand="0" w:evenHBand="0" w:firstRowFirstColumn="0" w:firstRowLastColumn="0" w:lastRowFirstColumn="0" w:lastRowLastColumn="0"/>
              <w:rPr>
                <w:rFonts w:ascii="Verdana" w:hAnsi="Verdana" w:cs="Calibri"/>
                <w:szCs w:val="20"/>
                <w:lang w:eastAsia="es-ES"/>
              </w:rPr>
            </w:pPr>
            <w:r>
              <w:rPr>
                <w:rFonts w:ascii="Verdana" w:hAnsi="Verdana" w:cs="Calibri"/>
                <w:szCs w:val="20"/>
                <w:lang w:eastAsia="es-ES"/>
              </w:rPr>
              <w:t>Cargo mensual (</w:t>
            </w:r>
            <w:r w:rsidRPr="00CC6938">
              <w:rPr>
                <w:rFonts w:ascii="Verdana" w:hAnsi="Verdana" w:cs="Calibri"/>
                <w:szCs w:val="20"/>
                <w:lang w:eastAsia="es-ES"/>
              </w:rPr>
              <w:t>MXN/Lin/mes</w:t>
            </w:r>
            <w:r>
              <w:rPr>
                <w:rFonts w:ascii="Verdana" w:hAnsi="Verdana" w:cs="Calibri"/>
                <w:szCs w:val="20"/>
                <w:lang w:eastAsia="es-ES"/>
              </w:rPr>
              <w:t>)</w:t>
            </w:r>
          </w:p>
        </w:tc>
      </w:tr>
      <w:tr w:rsidR="00AB1051" w:rsidRPr="005B583F" w14:paraId="3D513D47" w14:textId="5220B2ED"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514BAD32" w14:textId="6E54D6AC" w:rsidR="00AB1051" w:rsidRPr="005B583F" w:rsidRDefault="00AB1051" w:rsidP="007E428D">
            <w:pPr>
              <w:pStyle w:val="TableParagraph"/>
              <w:keepNext/>
              <w:keepLines/>
            </w:pPr>
            <w:r w:rsidRPr="003926DA">
              <w:t>Desagregación Total del Sub Bucle</w:t>
            </w:r>
          </w:p>
        </w:tc>
        <w:tc>
          <w:tcPr>
            <w:tcW w:w="1982" w:type="dxa"/>
          </w:tcPr>
          <w:p w14:paraId="4B7D1DF7" w14:textId="1C5CE201" w:rsidR="00AB1051" w:rsidRPr="009732EE" w:rsidRDefault="00AB1051"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AB1051">
              <w:t>61.04</w:t>
            </w:r>
          </w:p>
        </w:tc>
      </w:tr>
      <w:tr w:rsidR="00AB1051" w:rsidRPr="005B583F" w14:paraId="7DC631A7" w14:textId="1245FEE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70A89519" w14:textId="47BC6F55" w:rsidR="00AB1051" w:rsidRPr="005B583F" w:rsidRDefault="00AB1051" w:rsidP="007E428D">
            <w:pPr>
              <w:pStyle w:val="TableParagraph"/>
              <w:keepNext/>
              <w:keepLines/>
            </w:pPr>
            <w:r w:rsidRPr="003926DA">
              <w:t>Desagregación Compartida del Sub Bucle</w:t>
            </w:r>
          </w:p>
        </w:tc>
        <w:tc>
          <w:tcPr>
            <w:tcW w:w="1982" w:type="dxa"/>
          </w:tcPr>
          <w:p w14:paraId="2250B01F" w14:textId="4CB2D254" w:rsidR="00AB1051" w:rsidRPr="009732EE" w:rsidRDefault="00AB1051"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AB1051">
              <w:t>9.16</w:t>
            </w:r>
          </w:p>
        </w:tc>
      </w:tr>
      <w:tr w:rsidR="00AB1051" w:rsidRPr="005B583F" w14:paraId="3A85C89E" w14:textId="3CA57B7C"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376BBD51" w14:textId="2307EA9F" w:rsidR="00AB1051" w:rsidRPr="005B583F" w:rsidRDefault="00AB1051" w:rsidP="007E428D">
            <w:pPr>
              <w:pStyle w:val="TableParagraph"/>
              <w:keepNext/>
              <w:keepLines/>
            </w:pPr>
            <w:r w:rsidRPr="003926DA">
              <w:t>Desagregación Total del Bucle</w:t>
            </w:r>
          </w:p>
        </w:tc>
        <w:tc>
          <w:tcPr>
            <w:tcW w:w="1982" w:type="dxa"/>
          </w:tcPr>
          <w:p w14:paraId="337F2AED" w14:textId="2701345E" w:rsidR="00AB1051" w:rsidRPr="009732EE" w:rsidRDefault="00AB1051"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AB1051">
              <w:t>101.15</w:t>
            </w:r>
          </w:p>
        </w:tc>
      </w:tr>
      <w:tr w:rsidR="00AB1051" w:rsidRPr="005B583F" w14:paraId="695DE25A" w14:textId="2AF9AC51"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396E1DB4" w14:textId="01C087F8" w:rsidR="00AB1051" w:rsidRPr="005B583F" w:rsidRDefault="00AB1051" w:rsidP="007E428D">
            <w:pPr>
              <w:pStyle w:val="TableParagraph"/>
              <w:keepNext/>
              <w:keepLines/>
            </w:pPr>
            <w:r w:rsidRPr="003926DA">
              <w:t>Desagregación Compartida del Bucle</w:t>
            </w:r>
          </w:p>
        </w:tc>
        <w:tc>
          <w:tcPr>
            <w:tcW w:w="1982" w:type="dxa"/>
          </w:tcPr>
          <w:p w14:paraId="47546C3A" w14:textId="41448B2C" w:rsidR="00AB1051" w:rsidRPr="009732EE" w:rsidRDefault="00AB1051"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AB1051">
              <w:t>15.17</w:t>
            </w:r>
          </w:p>
        </w:tc>
      </w:tr>
      <w:tr w:rsidR="00AB1051" w:rsidRPr="005B583F" w14:paraId="5E0B545E" w14:textId="1EBE36A6"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51C18058" w14:textId="522CDD08" w:rsidR="00AB1051" w:rsidRPr="005B583F" w:rsidRDefault="00AB1051" w:rsidP="007E428D">
            <w:pPr>
              <w:pStyle w:val="TableParagraph"/>
              <w:keepNext/>
              <w:keepLines/>
            </w:pPr>
            <w:r w:rsidRPr="003926DA">
              <w:t>Servicio de reventa de línea telefónica (WLR)</w:t>
            </w:r>
          </w:p>
        </w:tc>
        <w:tc>
          <w:tcPr>
            <w:tcW w:w="1982" w:type="dxa"/>
          </w:tcPr>
          <w:p w14:paraId="02434903" w14:textId="64894845" w:rsidR="00AB1051" w:rsidRPr="009732EE" w:rsidRDefault="00AB1051"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AB1051">
              <w:t>101.15</w:t>
            </w:r>
          </w:p>
        </w:tc>
      </w:tr>
    </w:tbl>
    <w:p w14:paraId="15F9847C" w14:textId="7299ABF8" w:rsidR="00BC1B53" w:rsidRPr="00450F28" w:rsidRDefault="00450F28" w:rsidP="007E428D">
      <w:pPr>
        <w:pStyle w:val="Descripcin"/>
        <w:keepNext/>
        <w:keepLines/>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2</w:t>
      </w:r>
      <w:r w:rsidRPr="00450F28">
        <w:fldChar w:fldCharType="end"/>
      </w:r>
      <w:r w:rsidR="00BC1B53" w:rsidRPr="00450F28">
        <w:rPr>
          <w:rStyle w:val="DescripcinCar"/>
          <w:b/>
          <w:iCs/>
        </w:rPr>
        <w:t xml:space="preserve">: </w:t>
      </w:r>
      <w:r w:rsidR="00FD1434">
        <w:rPr>
          <w:rStyle w:val="DescripcinCar"/>
          <w:b/>
          <w:iCs/>
        </w:rPr>
        <w:t>Costos de servicios de red</w:t>
      </w:r>
      <w:r w:rsidR="00BC1B53" w:rsidRPr="00450F28">
        <w:rPr>
          <w:rStyle w:val="DescripcinCar"/>
          <w:b/>
          <w:iCs/>
        </w:rPr>
        <w:t xml:space="preserve"> </w:t>
      </w:r>
      <w:r w:rsidR="00FD1434">
        <w:rPr>
          <w:rStyle w:val="DescripcinCar"/>
          <w:b/>
          <w:iCs/>
        </w:rPr>
        <w:t xml:space="preserve">de cobre </w:t>
      </w:r>
      <w:r w:rsidR="00BC1B53" w:rsidRPr="00450F28">
        <w:rPr>
          <w:rStyle w:val="DescripcinCar"/>
          <w:b/>
          <w:iCs/>
        </w:rPr>
        <w:t xml:space="preserve">[Fuente: </w:t>
      </w:r>
      <w:r w:rsidR="00FD1434">
        <w:rPr>
          <w:rStyle w:val="DescripcinCar"/>
          <w:b/>
          <w:iCs/>
        </w:rPr>
        <w:t>Modelo Integral</w:t>
      </w:r>
      <w:r w:rsidR="00BC1B53" w:rsidRPr="00450F28">
        <w:rPr>
          <w:rStyle w:val="DescripcinCar"/>
          <w:b/>
          <w:iCs/>
        </w:rPr>
        <w:t>]</w:t>
      </w:r>
    </w:p>
    <w:p w14:paraId="435095D5" w14:textId="30323F0E" w:rsidR="00D134EF" w:rsidRDefault="00D134EF" w:rsidP="00D134EF">
      <w:pPr>
        <w:pStyle w:val="Ttulo3"/>
      </w:pPr>
      <w:bookmarkStart w:id="101" w:name="_Ref139883705"/>
      <w:bookmarkStart w:id="102" w:name="_Toc142388416"/>
      <w:r>
        <w:t>FTTH</w:t>
      </w:r>
      <w:bookmarkEnd w:id="101"/>
      <w:bookmarkEnd w:id="102"/>
    </w:p>
    <w:tbl>
      <w:tblPr>
        <w:tblStyle w:val="Axon"/>
        <w:tblW w:w="6377" w:type="dxa"/>
        <w:jc w:val="center"/>
        <w:tblLook w:val="04A0" w:firstRow="1" w:lastRow="0" w:firstColumn="1" w:lastColumn="0" w:noHBand="0" w:noVBand="1"/>
      </w:tblPr>
      <w:tblGrid>
        <w:gridCol w:w="4395"/>
        <w:gridCol w:w="1982"/>
      </w:tblGrid>
      <w:tr w:rsidR="007969B2" w:rsidRPr="005B583F" w14:paraId="569DD19F" w14:textId="77777777" w:rsidTr="007969B2">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noWrap/>
            <w:hideMark/>
          </w:tcPr>
          <w:p w14:paraId="7FFB5B8E" w14:textId="77777777" w:rsidR="007969B2" w:rsidRPr="005B583F" w:rsidRDefault="007969B2" w:rsidP="00DB3E3B">
            <w:pPr>
              <w:pStyle w:val="TableHeading"/>
              <w:rPr>
                <w:lang w:eastAsia="es-ES"/>
              </w:rPr>
            </w:pPr>
          </w:p>
        </w:tc>
        <w:tc>
          <w:tcPr>
            <w:tcW w:w="1982" w:type="dxa"/>
          </w:tcPr>
          <w:p w14:paraId="7FA42148" w14:textId="77777777" w:rsidR="007969B2" w:rsidRPr="005B583F" w:rsidRDefault="007969B2" w:rsidP="00DB3E3B">
            <w:pPr>
              <w:pStyle w:val="TableHeading"/>
              <w:cnfStyle w:val="100000000000" w:firstRow="1" w:lastRow="0" w:firstColumn="0" w:lastColumn="0" w:oddVBand="0" w:evenVBand="0" w:oddHBand="0" w:evenHBand="0" w:firstRowFirstColumn="0" w:firstRowLastColumn="0" w:lastRowFirstColumn="0" w:lastRowLastColumn="0"/>
              <w:rPr>
                <w:rFonts w:ascii="Verdana" w:hAnsi="Verdana" w:cs="Calibri"/>
                <w:szCs w:val="20"/>
                <w:lang w:eastAsia="es-ES"/>
              </w:rPr>
            </w:pPr>
            <w:r>
              <w:rPr>
                <w:rFonts w:ascii="Verdana" w:hAnsi="Verdana" w:cs="Calibri"/>
                <w:szCs w:val="20"/>
                <w:lang w:eastAsia="es-ES"/>
              </w:rPr>
              <w:t>Cargo mensual (</w:t>
            </w:r>
            <w:r w:rsidRPr="00CC6938">
              <w:rPr>
                <w:rFonts w:ascii="Verdana" w:hAnsi="Verdana" w:cs="Calibri"/>
                <w:szCs w:val="20"/>
                <w:lang w:eastAsia="es-ES"/>
              </w:rPr>
              <w:t>MXN/Lin/mes</w:t>
            </w:r>
            <w:r>
              <w:rPr>
                <w:rFonts w:ascii="Verdana" w:hAnsi="Verdana" w:cs="Calibri"/>
                <w:szCs w:val="20"/>
                <w:lang w:eastAsia="es-ES"/>
              </w:rPr>
              <w:t>)</w:t>
            </w:r>
          </w:p>
        </w:tc>
      </w:tr>
      <w:tr w:rsidR="00AB1051" w:rsidRPr="005B583F" w14:paraId="17F3161B" w14:textId="7777777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7F7FB45F" w14:textId="173C18B8" w:rsidR="00AB1051" w:rsidRPr="005B583F" w:rsidRDefault="00AB1051" w:rsidP="00AB1051">
            <w:pPr>
              <w:pStyle w:val="TableParagraph"/>
              <w:rPr>
                <w:lang w:eastAsia="es-ES"/>
              </w:rPr>
            </w:pPr>
            <w:r w:rsidRPr="0092032C">
              <w:t xml:space="preserve">Desagregación virtual del Bucle Local - sin ONT </w:t>
            </w:r>
          </w:p>
        </w:tc>
        <w:tc>
          <w:tcPr>
            <w:tcW w:w="1982" w:type="dxa"/>
          </w:tcPr>
          <w:p w14:paraId="2FACEC54" w14:textId="6A61310F" w:rsidR="00AB1051" w:rsidRPr="009732EE" w:rsidRDefault="00AB1051"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AB1051">
              <w:t>98.02</w:t>
            </w:r>
          </w:p>
        </w:tc>
      </w:tr>
      <w:tr w:rsidR="00AB1051" w:rsidRPr="005B583F" w14:paraId="14FA4567" w14:textId="7777777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63A3B723" w14:textId="778CFD58" w:rsidR="00AB1051" w:rsidRPr="005B583F" w:rsidRDefault="00AB1051" w:rsidP="00AB1051">
            <w:pPr>
              <w:pStyle w:val="TableParagraph"/>
              <w:rPr>
                <w:lang w:eastAsia="es-ES"/>
              </w:rPr>
            </w:pPr>
            <w:r w:rsidRPr="0092032C">
              <w:t xml:space="preserve">Desagregación virtual del Bucle Local - con ONT </w:t>
            </w:r>
          </w:p>
        </w:tc>
        <w:tc>
          <w:tcPr>
            <w:tcW w:w="1982" w:type="dxa"/>
          </w:tcPr>
          <w:p w14:paraId="480C2528" w14:textId="0586E262" w:rsidR="00AB1051" w:rsidRPr="009732EE" w:rsidRDefault="00AB1051"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AB1051">
              <w:t>109.43</w:t>
            </w:r>
          </w:p>
        </w:tc>
      </w:tr>
      <w:tr w:rsidR="00AB1051" w:rsidRPr="005B583F" w14:paraId="5842D7B3" w14:textId="7777777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60453A09" w14:textId="76E00324" w:rsidR="00AB1051" w:rsidRPr="005B583F" w:rsidRDefault="00AB1051" w:rsidP="00AB1051">
            <w:pPr>
              <w:pStyle w:val="TableParagraph"/>
              <w:rPr>
                <w:lang w:eastAsia="es-ES"/>
              </w:rPr>
            </w:pPr>
            <w:r w:rsidRPr="00DC7AFC">
              <w:t>Desagregación bucle punto a punto</w:t>
            </w:r>
          </w:p>
        </w:tc>
        <w:tc>
          <w:tcPr>
            <w:tcW w:w="1982" w:type="dxa"/>
          </w:tcPr>
          <w:p w14:paraId="06E347B6" w14:textId="0FC96AAE" w:rsidR="00AB1051" w:rsidRPr="009732EE" w:rsidRDefault="00AB1051"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AB1051">
              <w:t>393.01</w:t>
            </w:r>
          </w:p>
        </w:tc>
      </w:tr>
      <w:tr w:rsidR="00AB1051" w:rsidRPr="005B583F" w14:paraId="45267DF6" w14:textId="7777777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top"/>
          </w:tcPr>
          <w:p w14:paraId="1759CBEA" w14:textId="0AE564C2" w:rsidR="00AB1051" w:rsidRPr="005B583F" w:rsidRDefault="00AB1051" w:rsidP="00AB1051">
            <w:pPr>
              <w:pStyle w:val="TableParagraph"/>
              <w:rPr>
                <w:lang w:eastAsia="es-ES"/>
              </w:rPr>
            </w:pPr>
            <w:r w:rsidRPr="00DC7AFC">
              <w:t>Enlace dedicado</w:t>
            </w:r>
          </w:p>
        </w:tc>
        <w:tc>
          <w:tcPr>
            <w:tcW w:w="1982" w:type="dxa"/>
          </w:tcPr>
          <w:p w14:paraId="2B5DB647" w14:textId="69D344EA" w:rsidR="00AB1051" w:rsidRPr="009732EE" w:rsidRDefault="00AB1051"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AB1051">
              <w:t>786.02</w:t>
            </w:r>
          </w:p>
        </w:tc>
      </w:tr>
    </w:tbl>
    <w:p w14:paraId="3B0232C7" w14:textId="79F13F40" w:rsidR="00FD1434" w:rsidRPr="00450F28" w:rsidRDefault="00FD1434" w:rsidP="00FD1434">
      <w:pPr>
        <w:pStyle w:val="Descripcin"/>
      </w:pPr>
      <w:bookmarkStart w:id="103" w:name="_Ref139883706"/>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3</w:t>
      </w:r>
      <w:r w:rsidRPr="00450F28">
        <w:fldChar w:fldCharType="end"/>
      </w:r>
      <w:r w:rsidRPr="00450F28">
        <w:rPr>
          <w:rStyle w:val="DescripcinCar"/>
          <w:b/>
          <w:iCs/>
        </w:rPr>
        <w:t xml:space="preserve">: </w:t>
      </w:r>
      <w:r>
        <w:rPr>
          <w:rStyle w:val="DescripcinCar"/>
          <w:b/>
          <w:iCs/>
        </w:rPr>
        <w:t>Costos de servicios de red de FTTH</w:t>
      </w:r>
      <w:r w:rsidRPr="00450F28">
        <w:rPr>
          <w:rStyle w:val="DescripcinCar"/>
          <w:b/>
          <w:iCs/>
        </w:rPr>
        <w:t xml:space="preserve"> [Fuente: </w:t>
      </w:r>
      <w:r>
        <w:rPr>
          <w:rStyle w:val="DescripcinCar"/>
          <w:b/>
          <w:iCs/>
        </w:rPr>
        <w:t>Modelo Integral</w:t>
      </w:r>
      <w:r w:rsidRPr="00450F28">
        <w:rPr>
          <w:rStyle w:val="DescripcinCar"/>
          <w:b/>
          <w:iCs/>
        </w:rPr>
        <w:t>]</w:t>
      </w:r>
    </w:p>
    <w:p w14:paraId="5D28F42C" w14:textId="6CE1EEC1" w:rsidR="00D134EF" w:rsidRDefault="00D134EF" w:rsidP="00D134EF">
      <w:pPr>
        <w:pStyle w:val="Ttulo3"/>
      </w:pPr>
      <w:bookmarkStart w:id="104" w:name="_Ref140162022"/>
      <w:bookmarkStart w:id="105" w:name="_Toc142388417"/>
      <w:r>
        <w:t>FTTC</w:t>
      </w:r>
      <w:bookmarkEnd w:id="103"/>
      <w:bookmarkEnd w:id="104"/>
      <w:bookmarkEnd w:id="105"/>
    </w:p>
    <w:tbl>
      <w:tblPr>
        <w:tblStyle w:val="Axon"/>
        <w:tblW w:w="6377" w:type="dxa"/>
        <w:jc w:val="center"/>
        <w:tblLook w:val="04A0" w:firstRow="1" w:lastRow="0" w:firstColumn="1" w:lastColumn="0" w:noHBand="0" w:noVBand="1"/>
      </w:tblPr>
      <w:tblGrid>
        <w:gridCol w:w="4395"/>
        <w:gridCol w:w="1982"/>
      </w:tblGrid>
      <w:tr w:rsidR="007969B2" w:rsidRPr="005B583F" w14:paraId="3FF67B91" w14:textId="77777777" w:rsidTr="007969B2">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4395" w:type="dxa"/>
            <w:shd w:val="clear" w:color="auto" w:fill="FFFFFF" w:themeFill="background1"/>
            <w:noWrap/>
            <w:hideMark/>
          </w:tcPr>
          <w:p w14:paraId="2161075E" w14:textId="77777777" w:rsidR="007969B2" w:rsidRPr="005B583F" w:rsidRDefault="007969B2" w:rsidP="00DB3E3B">
            <w:pPr>
              <w:pStyle w:val="TableHeading"/>
              <w:rPr>
                <w:lang w:eastAsia="es-ES"/>
              </w:rPr>
            </w:pPr>
          </w:p>
        </w:tc>
        <w:tc>
          <w:tcPr>
            <w:tcW w:w="1982" w:type="dxa"/>
          </w:tcPr>
          <w:p w14:paraId="7F2EC2DC" w14:textId="77777777" w:rsidR="007969B2" w:rsidRPr="005B583F" w:rsidRDefault="007969B2" w:rsidP="00DB3E3B">
            <w:pPr>
              <w:pStyle w:val="TableHeading"/>
              <w:cnfStyle w:val="100000000000" w:firstRow="1" w:lastRow="0" w:firstColumn="0" w:lastColumn="0" w:oddVBand="0" w:evenVBand="0" w:oddHBand="0" w:evenHBand="0" w:firstRowFirstColumn="0" w:firstRowLastColumn="0" w:lastRowFirstColumn="0" w:lastRowLastColumn="0"/>
              <w:rPr>
                <w:rFonts w:ascii="Verdana" w:hAnsi="Verdana" w:cs="Calibri"/>
                <w:szCs w:val="20"/>
                <w:lang w:eastAsia="es-ES"/>
              </w:rPr>
            </w:pPr>
            <w:r>
              <w:rPr>
                <w:rFonts w:ascii="Verdana" w:hAnsi="Verdana" w:cs="Calibri"/>
                <w:szCs w:val="20"/>
                <w:lang w:eastAsia="es-ES"/>
              </w:rPr>
              <w:t>Cargo mensual (</w:t>
            </w:r>
            <w:r w:rsidRPr="00CC6938">
              <w:rPr>
                <w:rFonts w:ascii="Verdana" w:hAnsi="Verdana" w:cs="Calibri"/>
                <w:szCs w:val="20"/>
                <w:lang w:eastAsia="es-ES"/>
              </w:rPr>
              <w:t>MXN/Lin/mes</w:t>
            </w:r>
            <w:r>
              <w:rPr>
                <w:rFonts w:ascii="Verdana" w:hAnsi="Verdana" w:cs="Calibri"/>
                <w:szCs w:val="20"/>
                <w:lang w:eastAsia="es-ES"/>
              </w:rPr>
              <w:t>)</w:t>
            </w:r>
          </w:p>
        </w:tc>
      </w:tr>
      <w:tr w:rsidR="00AB1051" w:rsidRPr="005B583F" w14:paraId="6E3C51FF" w14:textId="7777777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bottom"/>
          </w:tcPr>
          <w:p w14:paraId="6B08E235" w14:textId="0217441C" w:rsidR="00AB1051" w:rsidRPr="00EF2AE3" w:rsidRDefault="00AB1051" w:rsidP="00AB1051">
            <w:pPr>
              <w:pStyle w:val="TableParagraph"/>
            </w:pPr>
            <w:r w:rsidRPr="00EF2AE3">
              <w:rPr>
                <w:rFonts w:cstheme="minorBidi"/>
              </w:rPr>
              <w:t xml:space="preserve">Desagregación virtual del Bucle Local - sin NTP </w:t>
            </w:r>
          </w:p>
        </w:tc>
        <w:tc>
          <w:tcPr>
            <w:tcW w:w="1982" w:type="dxa"/>
          </w:tcPr>
          <w:p w14:paraId="432B467F" w14:textId="4A57252F" w:rsidR="00AB1051" w:rsidRPr="00FA48EA" w:rsidRDefault="00AB1051"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AB1051">
              <w:t>103.46</w:t>
            </w:r>
          </w:p>
        </w:tc>
      </w:tr>
      <w:tr w:rsidR="00AB1051" w:rsidRPr="005B583F" w14:paraId="713C50A6" w14:textId="77777777" w:rsidTr="00925DF0">
        <w:trPr>
          <w:trHeight w:val="290"/>
          <w:jc w:val="center"/>
        </w:trPr>
        <w:tc>
          <w:tcPr>
            <w:cnfStyle w:val="001000000000" w:firstRow="0" w:lastRow="0" w:firstColumn="1" w:lastColumn="0" w:oddVBand="0" w:evenVBand="0" w:oddHBand="0" w:evenHBand="0" w:firstRowFirstColumn="0" w:firstRowLastColumn="0" w:lastRowFirstColumn="0" w:lastRowLastColumn="0"/>
            <w:tcW w:w="4395" w:type="dxa"/>
            <w:noWrap/>
            <w:vAlign w:val="bottom"/>
          </w:tcPr>
          <w:p w14:paraId="1B229801" w14:textId="519C8604" w:rsidR="00AB1051" w:rsidRPr="00EF2AE3" w:rsidRDefault="00AB1051" w:rsidP="00AB1051">
            <w:pPr>
              <w:pStyle w:val="TableParagraph"/>
            </w:pPr>
            <w:r w:rsidRPr="00EF2AE3">
              <w:rPr>
                <w:rFonts w:cstheme="minorBidi"/>
              </w:rPr>
              <w:t xml:space="preserve">Desagregación virtual del Bucle Local - con NTP </w:t>
            </w:r>
          </w:p>
        </w:tc>
        <w:tc>
          <w:tcPr>
            <w:tcW w:w="1982" w:type="dxa"/>
          </w:tcPr>
          <w:p w14:paraId="17F370D5" w14:textId="348BC8DB" w:rsidR="00AB1051" w:rsidRPr="00FA48EA" w:rsidRDefault="00AB1051"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AB1051">
              <w:t>113.89</w:t>
            </w:r>
          </w:p>
        </w:tc>
      </w:tr>
    </w:tbl>
    <w:p w14:paraId="1C1A3ADC" w14:textId="06FB807C" w:rsidR="00FD1434" w:rsidRPr="00450F28" w:rsidRDefault="00FD1434" w:rsidP="00FD1434">
      <w:pPr>
        <w:pStyle w:val="Descripcin"/>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4</w:t>
      </w:r>
      <w:r w:rsidRPr="00450F28">
        <w:fldChar w:fldCharType="end"/>
      </w:r>
      <w:r w:rsidRPr="00450F28">
        <w:rPr>
          <w:rStyle w:val="DescripcinCar"/>
          <w:b/>
          <w:iCs/>
        </w:rPr>
        <w:t xml:space="preserve">: </w:t>
      </w:r>
      <w:r>
        <w:rPr>
          <w:rStyle w:val="DescripcinCar"/>
          <w:b/>
          <w:iCs/>
        </w:rPr>
        <w:t xml:space="preserve">Costos de servicios de red de FTTC </w:t>
      </w:r>
      <w:r w:rsidRPr="00450F28">
        <w:rPr>
          <w:rStyle w:val="DescripcinCar"/>
          <w:b/>
          <w:iCs/>
        </w:rPr>
        <w:t xml:space="preserve">[Fuente: </w:t>
      </w:r>
      <w:r>
        <w:rPr>
          <w:rStyle w:val="DescripcinCar"/>
          <w:b/>
          <w:iCs/>
        </w:rPr>
        <w:t>Modelo Integral</w:t>
      </w:r>
      <w:r w:rsidRPr="00450F28">
        <w:rPr>
          <w:rStyle w:val="DescripcinCar"/>
          <w:b/>
          <w:iCs/>
        </w:rPr>
        <w:t>]</w:t>
      </w:r>
    </w:p>
    <w:p w14:paraId="2B732B93" w14:textId="5E95AB7D" w:rsidR="00A75702" w:rsidRDefault="00BA36DC" w:rsidP="007E428D">
      <w:pPr>
        <w:pStyle w:val="Ttulo2"/>
      </w:pPr>
      <w:bookmarkStart w:id="106" w:name="_Ref140156394"/>
      <w:bookmarkStart w:id="107" w:name="_Toc142388418"/>
      <w:bookmarkEnd w:id="7"/>
      <w:bookmarkEnd w:id="8"/>
      <w:bookmarkEnd w:id="9"/>
      <w:bookmarkEnd w:id="10"/>
      <w:bookmarkEnd w:id="11"/>
      <w:bookmarkEnd w:id="12"/>
      <w:bookmarkEnd w:id="13"/>
      <w:bookmarkEnd w:id="14"/>
      <w:bookmarkEnd w:id="15"/>
      <w:bookmarkEnd w:id="49"/>
      <w:bookmarkEnd w:id="50"/>
      <w:bookmarkEnd w:id="51"/>
      <w:bookmarkEnd w:id="52"/>
      <w:r>
        <w:lastRenderedPageBreak/>
        <w:t>Servicios complementarios</w:t>
      </w:r>
      <w:bookmarkEnd w:id="106"/>
      <w:bookmarkEnd w:id="107"/>
    </w:p>
    <w:p w14:paraId="0994579C" w14:textId="730DB1F2" w:rsidR="00BA36DC" w:rsidRDefault="00415B06" w:rsidP="007E428D">
      <w:pPr>
        <w:pStyle w:val="Ttulo3"/>
      </w:pPr>
      <w:bookmarkStart w:id="108" w:name="_Toc142388419"/>
      <w:r w:rsidRPr="00415B06">
        <w:t>Servicio de acceso y uso compartido de obra civil</w:t>
      </w:r>
      <w:bookmarkEnd w:id="108"/>
    </w:p>
    <w:p w14:paraId="6C1A1268" w14:textId="0CF45E6A" w:rsidR="00415B06" w:rsidRDefault="00D739BC" w:rsidP="007E428D">
      <w:pPr>
        <w:pStyle w:val="Ttulo4"/>
      </w:pPr>
      <w:r>
        <w:t>Ductos</w:t>
      </w:r>
    </w:p>
    <w:tbl>
      <w:tblPr>
        <w:tblStyle w:val="Axon"/>
        <w:tblW w:w="0" w:type="auto"/>
        <w:jc w:val="center"/>
        <w:tblLook w:val="04A0" w:firstRow="1" w:lastRow="0" w:firstColumn="1" w:lastColumn="0" w:noHBand="0" w:noVBand="1"/>
      </w:tblPr>
      <w:tblGrid>
        <w:gridCol w:w="2169"/>
        <w:gridCol w:w="2651"/>
      </w:tblGrid>
      <w:tr w:rsidR="00D12016" w14:paraId="0598C66C" w14:textId="77777777" w:rsidTr="005E78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9" w:type="dxa"/>
          </w:tcPr>
          <w:p w14:paraId="47DA3F06" w14:textId="21346CAA" w:rsidR="00D12016" w:rsidRDefault="0070365A" w:rsidP="007E428D">
            <w:pPr>
              <w:pStyle w:val="TableHeading"/>
              <w:keepNext/>
              <w:keepLines/>
            </w:pPr>
            <w:r>
              <w:t>Tipo de ducto</w:t>
            </w:r>
          </w:p>
        </w:tc>
        <w:tc>
          <w:tcPr>
            <w:tcW w:w="2651" w:type="dxa"/>
          </w:tcPr>
          <w:p w14:paraId="1AB0A438" w14:textId="2D3288A6" w:rsidR="00D12016" w:rsidRDefault="00D12016" w:rsidP="007E428D">
            <w:pPr>
              <w:pStyle w:val="TableHeading"/>
              <w:keepNext/>
              <w:keepLines/>
              <w:cnfStyle w:val="100000000000" w:firstRow="1" w:lastRow="0" w:firstColumn="0" w:lastColumn="0" w:oddVBand="0" w:evenVBand="0" w:oddHBand="0" w:evenHBand="0" w:firstRowFirstColumn="0" w:firstRowLastColumn="0" w:lastRowFirstColumn="0" w:lastRowLastColumn="0"/>
            </w:pPr>
            <w:r>
              <w:t>Contraprestación (</w:t>
            </w:r>
            <w:r w:rsidR="005E78E7" w:rsidRPr="005E78E7">
              <w:t xml:space="preserve">MXN / </w:t>
            </w:r>
            <w:proofErr w:type="spellStart"/>
            <w:r w:rsidR="005E78E7" w:rsidRPr="005E78E7">
              <w:t>mt</w:t>
            </w:r>
            <w:proofErr w:type="spellEnd"/>
            <w:r w:rsidR="005E78E7" w:rsidRPr="005E78E7">
              <w:t xml:space="preserve"> / año / mm2</w:t>
            </w:r>
            <w:r>
              <w:t>)</w:t>
            </w:r>
          </w:p>
        </w:tc>
      </w:tr>
      <w:tr w:rsidR="0014323F" w14:paraId="414DDEAF"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tcPr>
          <w:p w14:paraId="5100DB0D" w14:textId="39BCDF4E" w:rsidR="0014323F" w:rsidRDefault="0014323F" w:rsidP="007E428D">
            <w:pPr>
              <w:pStyle w:val="TableParagraph"/>
              <w:keepNext/>
              <w:keepLines/>
            </w:pPr>
            <w:r w:rsidRPr="00F56E44">
              <w:t>En banqueta</w:t>
            </w:r>
          </w:p>
        </w:tc>
        <w:tc>
          <w:tcPr>
            <w:tcW w:w="2651" w:type="dxa"/>
          </w:tcPr>
          <w:p w14:paraId="28E055F2" w14:textId="15886606" w:rsidR="0014323F" w:rsidRDefault="0014323F"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14323F">
              <w:t>0.041</w:t>
            </w:r>
          </w:p>
        </w:tc>
      </w:tr>
      <w:tr w:rsidR="0014323F" w14:paraId="0D36E69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tcPr>
          <w:p w14:paraId="6364BB22" w14:textId="3C8D7E5C" w:rsidR="0014323F" w:rsidRDefault="0014323F" w:rsidP="007E428D">
            <w:pPr>
              <w:pStyle w:val="TableParagraph"/>
              <w:keepNext/>
              <w:keepLines/>
            </w:pPr>
            <w:r w:rsidRPr="00F56E44">
              <w:t>En arroyo</w:t>
            </w:r>
          </w:p>
        </w:tc>
        <w:tc>
          <w:tcPr>
            <w:tcW w:w="2651" w:type="dxa"/>
          </w:tcPr>
          <w:p w14:paraId="2A6C0635" w14:textId="281056C4" w:rsidR="0014323F" w:rsidRDefault="0014323F"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14323F">
              <w:t>0.077</w:t>
            </w:r>
          </w:p>
        </w:tc>
      </w:tr>
      <w:tr w:rsidR="0014323F" w14:paraId="4B0176FC"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tcPr>
          <w:p w14:paraId="0E38DF56" w14:textId="696D7405" w:rsidR="0014323F" w:rsidRDefault="0014323F" w:rsidP="007E428D">
            <w:pPr>
              <w:pStyle w:val="TableParagraph"/>
              <w:keepNext/>
              <w:keepLines/>
            </w:pPr>
            <w:r w:rsidRPr="00F56E44">
              <w:t>Costo promedio por ducto por mm2</w:t>
            </w:r>
          </w:p>
        </w:tc>
        <w:tc>
          <w:tcPr>
            <w:tcW w:w="2651" w:type="dxa"/>
          </w:tcPr>
          <w:p w14:paraId="36DCADBA" w14:textId="6B3E1D66" w:rsidR="0014323F" w:rsidRDefault="0014323F"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14323F">
              <w:t>0.041</w:t>
            </w:r>
          </w:p>
        </w:tc>
      </w:tr>
    </w:tbl>
    <w:p w14:paraId="0C88A693" w14:textId="4078015E" w:rsidR="000E4A86" w:rsidRPr="00450F28" w:rsidRDefault="000E4A86" w:rsidP="007E428D">
      <w:pPr>
        <w:pStyle w:val="Descripcin"/>
        <w:keepNext/>
        <w:keepLines/>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5</w:t>
      </w:r>
      <w:r w:rsidRPr="00450F28">
        <w:fldChar w:fldCharType="end"/>
      </w:r>
      <w:r w:rsidRPr="00450F28">
        <w:rPr>
          <w:rStyle w:val="DescripcinCar"/>
          <w:b/>
          <w:iCs/>
        </w:rPr>
        <w:t xml:space="preserve">: </w:t>
      </w:r>
      <w:r w:rsidR="007B332E" w:rsidRPr="007B332E">
        <w:rPr>
          <w:rStyle w:val="DescripcinCar"/>
          <w:b/>
          <w:iCs/>
        </w:rPr>
        <w:t xml:space="preserve">Contraprestación anual por uso de </w:t>
      </w:r>
      <w:r w:rsidR="00FD1434">
        <w:rPr>
          <w:rStyle w:val="DescripcinCar"/>
          <w:b/>
          <w:iCs/>
        </w:rPr>
        <w:t xml:space="preserve">ductos </w:t>
      </w:r>
      <w:r w:rsidRPr="00450F28">
        <w:rPr>
          <w:rStyle w:val="DescripcinCar"/>
          <w:b/>
          <w:iCs/>
        </w:rPr>
        <w:t xml:space="preserve">[Fuente: </w:t>
      </w:r>
      <w:r w:rsidR="00FD1434">
        <w:rPr>
          <w:rStyle w:val="DescripcinCar"/>
          <w:b/>
          <w:iCs/>
        </w:rPr>
        <w:t>Modelo Integral</w:t>
      </w:r>
      <w:r w:rsidRPr="00450F28">
        <w:rPr>
          <w:rStyle w:val="DescripcinCar"/>
          <w:b/>
          <w:iCs/>
        </w:rPr>
        <w:t>]</w:t>
      </w:r>
    </w:p>
    <w:p w14:paraId="4AA8150C" w14:textId="6B0CBF82" w:rsidR="00D739BC" w:rsidRDefault="00D739BC">
      <w:pPr>
        <w:pStyle w:val="Ttulo4"/>
      </w:pPr>
      <w:r>
        <w:t>Pozos</w:t>
      </w:r>
    </w:p>
    <w:tbl>
      <w:tblPr>
        <w:tblStyle w:val="Axon"/>
        <w:tblW w:w="0" w:type="auto"/>
        <w:jc w:val="center"/>
        <w:tblLook w:val="04A0" w:firstRow="1" w:lastRow="0" w:firstColumn="1" w:lastColumn="0" w:noHBand="0" w:noVBand="1"/>
      </w:tblPr>
      <w:tblGrid>
        <w:gridCol w:w="2169"/>
        <w:gridCol w:w="2651"/>
      </w:tblGrid>
      <w:tr w:rsidR="0025295A" w14:paraId="1FE100D8" w14:textId="77777777" w:rsidTr="000B794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69" w:type="dxa"/>
          </w:tcPr>
          <w:p w14:paraId="2B9C4893" w14:textId="76D95059" w:rsidR="0025295A" w:rsidRDefault="0070365A" w:rsidP="00671258">
            <w:pPr>
              <w:pStyle w:val="TableHeading"/>
            </w:pPr>
            <w:r>
              <w:t>Tipo de p</w:t>
            </w:r>
            <w:r w:rsidR="0025295A">
              <w:t>ozo</w:t>
            </w:r>
          </w:p>
        </w:tc>
        <w:tc>
          <w:tcPr>
            <w:tcW w:w="2651" w:type="dxa"/>
          </w:tcPr>
          <w:p w14:paraId="075E8EEE" w14:textId="77777777" w:rsidR="000071CB" w:rsidRDefault="00D12016" w:rsidP="00671258">
            <w:pPr>
              <w:pStyle w:val="TableHeading"/>
              <w:cnfStyle w:val="100000000000" w:firstRow="1" w:lastRow="0" w:firstColumn="0" w:lastColumn="0" w:oddVBand="0" w:evenVBand="0" w:oddHBand="0" w:evenHBand="0" w:firstRowFirstColumn="0" w:firstRowLastColumn="0" w:lastRowFirstColumn="0" w:lastRowLastColumn="0"/>
              <w:rPr>
                <w:b w:val="0"/>
              </w:rPr>
            </w:pPr>
            <w:r>
              <w:t xml:space="preserve">Contraprestación </w:t>
            </w:r>
          </w:p>
          <w:p w14:paraId="77E82504" w14:textId="52043B2A" w:rsidR="0025295A" w:rsidRDefault="00D12016" w:rsidP="00671258">
            <w:pPr>
              <w:pStyle w:val="TableHeading"/>
              <w:cnfStyle w:val="100000000000" w:firstRow="1" w:lastRow="0" w:firstColumn="0" w:lastColumn="0" w:oddVBand="0" w:evenVBand="0" w:oddHBand="0" w:evenHBand="0" w:firstRowFirstColumn="0" w:firstRowLastColumn="0" w:lastRowFirstColumn="0" w:lastRowLastColumn="0"/>
            </w:pPr>
            <w:r>
              <w:t>(</w:t>
            </w:r>
            <w:r w:rsidR="0070365A">
              <w:t>M</w:t>
            </w:r>
            <w:r>
              <w:t>XN / año)</w:t>
            </w:r>
          </w:p>
        </w:tc>
      </w:tr>
      <w:tr w:rsidR="0014323F" w14:paraId="37096484"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15EA11A6" w14:textId="58D223E4" w:rsidR="0014323F" w:rsidRDefault="0014323F" w:rsidP="0014323F">
            <w:pPr>
              <w:pStyle w:val="TableParagraph"/>
            </w:pPr>
            <w:r>
              <w:rPr>
                <w:rFonts w:ascii="Arial" w:hAnsi="Arial" w:cs="Arial"/>
                <w:szCs w:val="18"/>
              </w:rPr>
              <w:t>L1T</w:t>
            </w:r>
          </w:p>
        </w:tc>
        <w:tc>
          <w:tcPr>
            <w:tcW w:w="2651" w:type="dxa"/>
          </w:tcPr>
          <w:p w14:paraId="3E50A652" w14:textId="6E5232BC"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55.49   </w:t>
            </w:r>
          </w:p>
        </w:tc>
      </w:tr>
      <w:tr w:rsidR="0014323F" w14:paraId="7074604E"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7E61F5CA" w14:textId="10B7B4C7" w:rsidR="0014323F" w:rsidRDefault="0014323F" w:rsidP="0014323F">
            <w:pPr>
              <w:pStyle w:val="TableParagraph"/>
            </w:pPr>
            <w:r>
              <w:rPr>
                <w:rFonts w:ascii="Arial" w:hAnsi="Arial" w:cs="Arial"/>
                <w:szCs w:val="18"/>
              </w:rPr>
              <w:t>L2T</w:t>
            </w:r>
          </w:p>
        </w:tc>
        <w:tc>
          <w:tcPr>
            <w:tcW w:w="2651" w:type="dxa"/>
          </w:tcPr>
          <w:p w14:paraId="3CAA6869" w14:textId="2D308AF1"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80.05   </w:t>
            </w:r>
          </w:p>
        </w:tc>
      </w:tr>
      <w:tr w:rsidR="0014323F" w14:paraId="5662CCBE"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4E6F5258" w14:textId="729EECB0" w:rsidR="0014323F" w:rsidRDefault="0014323F" w:rsidP="0014323F">
            <w:pPr>
              <w:pStyle w:val="TableParagraph"/>
            </w:pPr>
            <w:r>
              <w:rPr>
                <w:rFonts w:ascii="Arial" w:hAnsi="Arial" w:cs="Arial"/>
                <w:szCs w:val="18"/>
              </w:rPr>
              <w:t>L3T</w:t>
            </w:r>
          </w:p>
        </w:tc>
        <w:tc>
          <w:tcPr>
            <w:tcW w:w="2651" w:type="dxa"/>
          </w:tcPr>
          <w:p w14:paraId="4777B4E0" w14:textId="042CA9EE"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54.35   </w:t>
            </w:r>
          </w:p>
        </w:tc>
      </w:tr>
      <w:tr w:rsidR="0014323F" w14:paraId="3802D86D"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275566EC" w14:textId="55EB1732" w:rsidR="0014323F" w:rsidRDefault="0014323F" w:rsidP="0014323F">
            <w:pPr>
              <w:pStyle w:val="TableParagraph"/>
            </w:pPr>
            <w:r>
              <w:rPr>
                <w:rFonts w:ascii="Arial" w:hAnsi="Arial" w:cs="Arial"/>
                <w:szCs w:val="18"/>
              </w:rPr>
              <w:t>L4T</w:t>
            </w:r>
          </w:p>
        </w:tc>
        <w:tc>
          <w:tcPr>
            <w:tcW w:w="2651" w:type="dxa"/>
          </w:tcPr>
          <w:p w14:paraId="297CE8FC" w14:textId="02408D86"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60.28   </w:t>
            </w:r>
          </w:p>
        </w:tc>
      </w:tr>
      <w:tr w:rsidR="0014323F" w14:paraId="25B75C0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7866C393" w14:textId="36E5AB5C" w:rsidR="0014323F" w:rsidRDefault="0014323F" w:rsidP="0014323F">
            <w:pPr>
              <w:pStyle w:val="TableParagraph"/>
            </w:pPr>
            <w:r>
              <w:rPr>
                <w:rFonts w:ascii="Arial" w:hAnsi="Arial" w:cs="Arial"/>
                <w:szCs w:val="18"/>
              </w:rPr>
              <w:t>L5T</w:t>
            </w:r>
          </w:p>
        </w:tc>
        <w:tc>
          <w:tcPr>
            <w:tcW w:w="2651" w:type="dxa"/>
          </w:tcPr>
          <w:p w14:paraId="0CE4199D" w14:textId="74F73BBE"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66.98   </w:t>
            </w:r>
          </w:p>
        </w:tc>
      </w:tr>
      <w:tr w:rsidR="0014323F" w14:paraId="78C66C44"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065230AB" w14:textId="23EBCC3A" w:rsidR="0014323F" w:rsidRDefault="0014323F" w:rsidP="0014323F">
            <w:pPr>
              <w:pStyle w:val="TableParagraph"/>
            </w:pPr>
            <w:r>
              <w:rPr>
                <w:rFonts w:ascii="Arial" w:hAnsi="Arial" w:cs="Arial"/>
                <w:szCs w:val="18"/>
              </w:rPr>
              <w:t>L6T</w:t>
            </w:r>
          </w:p>
        </w:tc>
        <w:tc>
          <w:tcPr>
            <w:tcW w:w="2651" w:type="dxa"/>
          </w:tcPr>
          <w:p w14:paraId="1CA17306" w14:textId="03470B96"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128.77   </w:t>
            </w:r>
          </w:p>
        </w:tc>
      </w:tr>
      <w:tr w:rsidR="0014323F" w14:paraId="28239136"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7CA6D590" w14:textId="2806A4D0" w:rsidR="0014323F" w:rsidRDefault="0014323F" w:rsidP="0014323F">
            <w:pPr>
              <w:pStyle w:val="TableParagraph"/>
            </w:pPr>
            <w:r>
              <w:rPr>
                <w:rFonts w:ascii="Arial" w:hAnsi="Arial" w:cs="Arial"/>
                <w:szCs w:val="18"/>
              </w:rPr>
              <w:t>M2T</w:t>
            </w:r>
          </w:p>
        </w:tc>
        <w:tc>
          <w:tcPr>
            <w:tcW w:w="2651" w:type="dxa"/>
          </w:tcPr>
          <w:p w14:paraId="0B431905" w14:textId="6A3A9B84"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159.38   </w:t>
            </w:r>
          </w:p>
        </w:tc>
      </w:tr>
      <w:tr w:rsidR="0014323F" w14:paraId="7CD0DDE9"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77868786" w14:textId="21ED8DF1" w:rsidR="0014323F" w:rsidRDefault="0014323F" w:rsidP="0014323F">
            <w:pPr>
              <w:pStyle w:val="TableParagraph"/>
            </w:pPr>
            <w:r>
              <w:rPr>
                <w:rFonts w:ascii="Arial" w:hAnsi="Arial" w:cs="Arial"/>
                <w:szCs w:val="18"/>
              </w:rPr>
              <w:t>P2T</w:t>
            </w:r>
          </w:p>
        </w:tc>
        <w:tc>
          <w:tcPr>
            <w:tcW w:w="2651" w:type="dxa"/>
          </w:tcPr>
          <w:p w14:paraId="43A3C532" w14:textId="23693EDD"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177.45   </w:t>
            </w:r>
          </w:p>
        </w:tc>
      </w:tr>
      <w:tr w:rsidR="0014323F" w14:paraId="0696D52A"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3A269531" w14:textId="316B09E1" w:rsidR="0014323F" w:rsidRDefault="0014323F" w:rsidP="0014323F">
            <w:pPr>
              <w:pStyle w:val="TableParagraph"/>
            </w:pPr>
            <w:r>
              <w:rPr>
                <w:rFonts w:ascii="Arial" w:hAnsi="Arial" w:cs="Arial"/>
                <w:szCs w:val="18"/>
              </w:rPr>
              <w:t>C1T</w:t>
            </w:r>
          </w:p>
        </w:tc>
        <w:tc>
          <w:tcPr>
            <w:tcW w:w="2651" w:type="dxa"/>
          </w:tcPr>
          <w:p w14:paraId="3D05122B" w14:textId="0C0E5090"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149.70   </w:t>
            </w:r>
          </w:p>
        </w:tc>
      </w:tr>
      <w:tr w:rsidR="0014323F" w14:paraId="1097B090"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637C620E" w14:textId="7266C079" w:rsidR="0014323F" w:rsidRDefault="0014323F" w:rsidP="0014323F">
            <w:pPr>
              <w:pStyle w:val="TableParagraph"/>
            </w:pPr>
            <w:r>
              <w:rPr>
                <w:rFonts w:ascii="Arial" w:hAnsi="Arial" w:cs="Arial"/>
                <w:szCs w:val="18"/>
              </w:rPr>
              <w:t>C2T</w:t>
            </w:r>
          </w:p>
        </w:tc>
        <w:tc>
          <w:tcPr>
            <w:tcW w:w="2651" w:type="dxa"/>
          </w:tcPr>
          <w:p w14:paraId="38F45618" w14:textId="48D40B42"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80.11   </w:t>
            </w:r>
          </w:p>
        </w:tc>
      </w:tr>
      <w:tr w:rsidR="0014323F" w14:paraId="1CEDAD75"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46976B5B" w14:textId="6AF2C396" w:rsidR="0014323F" w:rsidRDefault="0014323F" w:rsidP="0014323F">
            <w:pPr>
              <w:pStyle w:val="TableParagraph"/>
            </w:pPr>
            <w:r>
              <w:rPr>
                <w:rFonts w:ascii="Arial" w:hAnsi="Arial" w:cs="Arial"/>
                <w:szCs w:val="18"/>
              </w:rPr>
              <w:t>C3T</w:t>
            </w:r>
          </w:p>
        </w:tc>
        <w:tc>
          <w:tcPr>
            <w:tcW w:w="2651" w:type="dxa"/>
          </w:tcPr>
          <w:p w14:paraId="70DE5848" w14:textId="40B9BF60"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63.45   </w:t>
            </w:r>
          </w:p>
        </w:tc>
      </w:tr>
      <w:tr w:rsidR="0014323F" w14:paraId="47D847DB"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6524192C" w14:textId="7E464567" w:rsidR="0014323F" w:rsidRDefault="0014323F" w:rsidP="0014323F">
            <w:pPr>
              <w:pStyle w:val="TableParagraph"/>
            </w:pPr>
            <w:r>
              <w:rPr>
                <w:rFonts w:ascii="Arial" w:hAnsi="Arial" w:cs="Arial"/>
                <w:szCs w:val="18"/>
              </w:rPr>
              <w:t>K2C</w:t>
            </w:r>
          </w:p>
        </w:tc>
        <w:tc>
          <w:tcPr>
            <w:tcW w:w="2651" w:type="dxa"/>
          </w:tcPr>
          <w:p w14:paraId="10527ED4" w14:textId="7458FAF1"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255.38   </w:t>
            </w:r>
          </w:p>
        </w:tc>
      </w:tr>
      <w:tr w:rsidR="0014323F" w14:paraId="17A0B4CD"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1A8B6E22" w14:textId="68E1809E" w:rsidR="0014323F" w:rsidRDefault="0014323F" w:rsidP="0014323F">
            <w:pPr>
              <w:pStyle w:val="TableParagraph"/>
            </w:pPr>
            <w:r>
              <w:rPr>
                <w:rFonts w:ascii="Arial" w:hAnsi="Arial" w:cs="Arial"/>
                <w:szCs w:val="18"/>
              </w:rPr>
              <w:t>K3C</w:t>
            </w:r>
          </w:p>
        </w:tc>
        <w:tc>
          <w:tcPr>
            <w:tcW w:w="2651" w:type="dxa"/>
          </w:tcPr>
          <w:p w14:paraId="707A1C68" w14:textId="55C65BFB"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179.01   </w:t>
            </w:r>
          </w:p>
        </w:tc>
      </w:tr>
      <w:tr w:rsidR="0014323F" w14:paraId="6AD750B0"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0B44C90F" w14:textId="2E102583" w:rsidR="0014323F" w:rsidRDefault="0014323F" w:rsidP="0014323F">
            <w:pPr>
              <w:pStyle w:val="TableParagraph"/>
            </w:pPr>
            <w:r>
              <w:rPr>
                <w:rFonts w:ascii="Arial" w:hAnsi="Arial" w:cs="Arial"/>
                <w:szCs w:val="18"/>
              </w:rPr>
              <w:t>M1C</w:t>
            </w:r>
          </w:p>
        </w:tc>
        <w:tc>
          <w:tcPr>
            <w:tcW w:w="2651" w:type="dxa"/>
          </w:tcPr>
          <w:p w14:paraId="40612BBA" w14:textId="2B522AD3"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148.22   </w:t>
            </w:r>
          </w:p>
        </w:tc>
      </w:tr>
      <w:tr w:rsidR="0014323F" w14:paraId="4EDA574C"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0FB6B0B6" w14:textId="3C7BCC96" w:rsidR="0014323F" w:rsidRDefault="0014323F" w:rsidP="0014323F">
            <w:pPr>
              <w:pStyle w:val="TableParagraph"/>
            </w:pPr>
            <w:r>
              <w:rPr>
                <w:rFonts w:ascii="Arial" w:hAnsi="Arial" w:cs="Arial"/>
                <w:szCs w:val="18"/>
              </w:rPr>
              <w:t>M3C</w:t>
            </w:r>
          </w:p>
        </w:tc>
        <w:tc>
          <w:tcPr>
            <w:tcW w:w="2651" w:type="dxa"/>
          </w:tcPr>
          <w:p w14:paraId="6C27D319" w14:textId="13F30419"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182.69   </w:t>
            </w:r>
          </w:p>
        </w:tc>
      </w:tr>
      <w:tr w:rsidR="0014323F" w14:paraId="7B0D3DB2"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2953EA22" w14:textId="74646098" w:rsidR="0014323F" w:rsidRDefault="0014323F" w:rsidP="0014323F">
            <w:pPr>
              <w:pStyle w:val="TableParagraph"/>
            </w:pPr>
            <w:r>
              <w:rPr>
                <w:rFonts w:ascii="Arial" w:hAnsi="Arial" w:cs="Arial"/>
                <w:szCs w:val="18"/>
              </w:rPr>
              <w:t>P1C</w:t>
            </w:r>
          </w:p>
        </w:tc>
        <w:tc>
          <w:tcPr>
            <w:tcW w:w="2651" w:type="dxa"/>
          </w:tcPr>
          <w:p w14:paraId="152D045E" w14:textId="735C1001"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248.57   </w:t>
            </w:r>
          </w:p>
        </w:tc>
      </w:tr>
      <w:tr w:rsidR="0014323F" w14:paraId="408477CD"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57C9A9CF" w14:textId="49DA99B5" w:rsidR="0014323F" w:rsidRDefault="0014323F" w:rsidP="0014323F">
            <w:pPr>
              <w:pStyle w:val="TableParagraph"/>
            </w:pPr>
            <w:r>
              <w:rPr>
                <w:rFonts w:ascii="Arial" w:hAnsi="Arial" w:cs="Arial"/>
                <w:szCs w:val="18"/>
              </w:rPr>
              <w:t>P2C</w:t>
            </w:r>
          </w:p>
        </w:tc>
        <w:tc>
          <w:tcPr>
            <w:tcW w:w="2651" w:type="dxa"/>
          </w:tcPr>
          <w:p w14:paraId="6768F4CE" w14:textId="5A2512C5"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182.81   </w:t>
            </w:r>
          </w:p>
        </w:tc>
      </w:tr>
      <w:tr w:rsidR="0014323F" w14:paraId="113E1E84"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34F4BBB4" w14:textId="6247A392" w:rsidR="0014323F" w:rsidRDefault="0014323F" w:rsidP="0014323F">
            <w:pPr>
              <w:pStyle w:val="TableParagraph"/>
            </w:pPr>
            <w:r>
              <w:rPr>
                <w:rFonts w:ascii="Arial" w:hAnsi="Arial" w:cs="Arial"/>
                <w:szCs w:val="18"/>
              </w:rPr>
              <w:t>C1C</w:t>
            </w:r>
          </w:p>
        </w:tc>
        <w:tc>
          <w:tcPr>
            <w:tcW w:w="2651" w:type="dxa"/>
          </w:tcPr>
          <w:p w14:paraId="29AA9C62" w14:textId="5AF0FF0F"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132.04   </w:t>
            </w:r>
          </w:p>
        </w:tc>
      </w:tr>
      <w:tr w:rsidR="0014323F" w14:paraId="2339DF5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27EA5365" w14:textId="715B0AAD" w:rsidR="0014323F" w:rsidRDefault="0014323F" w:rsidP="0014323F">
            <w:pPr>
              <w:pStyle w:val="TableParagraph"/>
            </w:pPr>
            <w:r>
              <w:rPr>
                <w:rFonts w:ascii="Arial" w:hAnsi="Arial" w:cs="Arial"/>
                <w:szCs w:val="18"/>
              </w:rPr>
              <w:t>C2C</w:t>
            </w:r>
          </w:p>
        </w:tc>
        <w:tc>
          <w:tcPr>
            <w:tcW w:w="2651" w:type="dxa"/>
          </w:tcPr>
          <w:p w14:paraId="5DA87914" w14:textId="436601CD"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83.87   </w:t>
            </w:r>
          </w:p>
        </w:tc>
      </w:tr>
      <w:tr w:rsidR="0014323F" w14:paraId="71D6CE7A"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2169" w:type="dxa"/>
            <w:vAlign w:val="top"/>
          </w:tcPr>
          <w:p w14:paraId="7E39D5BB" w14:textId="4CB58B9A" w:rsidR="0014323F" w:rsidRDefault="0014323F" w:rsidP="0014323F">
            <w:pPr>
              <w:pStyle w:val="TableParagraph"/>
            </w:pPr>
            <w:r>
              <w:rPr>
                <w:rFonts w:ascii="Arial" w:hAnsi="Arial" w:cs="Arial"/>
                <w:szCs w:val="18"/>
              </w:rPr>
              <w:t>C3C</w:t>
            </w:r>
          </w:p>
        </w:tc>
        <w:tc>
          <w:tcPr>
            <w:tcW w:w="2651" w:type="dxa"/>
          </w:tcPr>
          <w:p w14:paraId="4A2468D7" w14:textId="6CCB2672" w:rsidR="0014323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82.99   </w:t>
            </w:r>
          </w:p>
        </w:tc>
      </w:tr>
    </w:tbl>
    <w:p w14:paraId="7028CB3A" w14:textId="7C558403" w:rsidR="000E4A86" w:rsidRDefault="000E4A86" w:rsidP="000E4A86">
      <w:pPr>
        <w:pStyle w:val="Descripcin"/>
        <w:rPr>
          <w:rStyle w:val="DescripcinCar"/>
          <w:b/>
          <w:iCs/>
        </w:rPr>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6</w:t>
      </w:r>
      <w:r w:rsidRPr="00450F28">
        <w:fldChar w:fldCharType="end"/>
      </w:r>
      <w:r w:rsidRPr="00450F28">
        <w:rPr>
          <w:rStyle w:val="DescripcinCar"/>
          <w:b/>
          <w:iCs/>
        </w:rPr>
        <w:t xml:space="preserve">: </w:t>
      </w:r>
      <w:r w:rsidR="00E84E23">
        <w:rPr>
          <w:rStyle w:val="DescripcinCar"/>
          <w:b/>
          <w:iCs/>
        </w:rPr>
        <w:t>C</w:t>
      </w:r>
      <w:r w:rsidR="00E84E23" w:rsidRPr="00E84E23">
        <w:rPr>
          <w:rStyle w:val="DescripcinCar"/>
          <w:b/>
          <w:iCs/>
        </w:rPr>
        <w:t>ontraprestación anual</w:t>
      </w:r>
      <w:r w:rsidR="00E84E23">
        <w:rPr>
          <w:rStyle w:val="DescripcinCar"/>
          <w:b/>
          <w:iCs/>
        </w:rPr>
        <w:t xml:space="preserve"> por tipo de pozo</w:t>
      </w:r>
      <w:r w:rsidR="00E84E23" w:rsidRPr="00E84E23">
        <w:rPr>
          <w:rStyle w:val="DescripcinCar"/>
          <w:b/>
          <w:iCs/>
        </w:rPr>
        <w:t xml:space="preserve"> </w:t>
      </w:r>
      <w:r w:rsidRPr="00450F28">
        <w:rPr>
          <w:rStyle w:val="DescripcinCar"/>
          <w:b/>
          <w:iCs/>
        </w:rPr>
        <w:t xml:space="preserve">[Fuente: </w:t>
      </w:r>
      <w:r w:rsidR="00FD1434">
        <w:rPr>
          <w:rStyle w:val="DescripcinCar"/>
          <w:b/>
          <w:iCs/>
        </w:rPr>
        <w:t>Modelo Integral</w:t>
      </w:r>
      <w:r w:rsidRPr="00450F28">
        <w:rPr>
          <w:rStyle w:val="DescripcinCar"/>
          <w:b/>
          <w:iCs/>
        </w:rPr>
        <w:t>]</w:t>
      </w:r>
    </w:p>
    <w:tbl>
      <w:tblPr>
        <w:tblStyle w:val="Axon"/>
        <w:tblW w:w="0" w:type="auto"/>
        <w:jc w:val="center"/>
        <w:tblLook w:val="04A0" w:firstRow="1" w:lastRow="0" w:firstColumn="1" w:lastColumn="0" w:noHBand="0" w:noVBand="1"/>
      </w:tblPr>
      <w:tblGrid>
        <w:gridCol w:w="3870"/>
        <w:gridCol w:w="1953"/>
      </w:tblGrid>
      <w:tr w:rsidR="002951C6" w14:paraId="6566D987" w14:textId="77777777" w:rsidTr="00823B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shd w:val="clear" w:color="auto" w:fill="auto"/>
          </w:tcPr>
          <w:p w14:paraId="268FCFEA" w14:textId="77777777" w:rsidR="002951C6" w:rsidRDefault="002951C6" w:rsidP="007E428D">
            <w:pPr>
              <w:pStyle w:val="TableHeading"/>
              <w:keepNext/>
              <w:keepLines/>
              <w:rPr>
                <w:b w:val="0"/>
              </w:rPr>
            </w:pPr>
          </w:p>
          <w:p w14:paraId="5336431E" w14:textId="656F13E4" w:rsidR="00823B7D" w:rsidRDefault="00823B7D" w:rsidP="007E428D">
            <w:pPr>
              <w:pStyle w:val="TableHeading"/>
              <w:keepNext/>
              <w:keepLines/>
            </w:pPr>
          </w:p>
        </w:tc>
        <w:tc>
          <w:tcPr>
            <w:tcW w:w="1953" w:type="dxa"/>
          </w:tcPr>
          <w:p w14:paraId="04FEDB8E" w14:textId="77777777" w:rsidR="0029764D" w:rsidRDefault="002951C6" w:rsidP="007E428D">
            <w:pPr>
              <w:pStyle w:val="TableHeading"/>
              <w:keepNext/>
              <w:keepLines/>
              <w:cnfStyle w:val="100000000000" w:firstRow="1" w:lastRow="0" w:firstColumn="0" w:lastColumn="0" w:oddVBand="0" w:evenVBand="0" w:oddHBand="0" w:evenHBand="0" w:firstRowFirstColumn="0" w:firstRowLastColumn="0" w:lastRowFirstColumn="0" w:lastRowLastColumn="0"/>
              <w:rPr>
                <w:b w:val="0"/>
              </w:rPr>
            </w:pPr>
            <w:r>
              <w:t>Contraprestación</w:t>
            </w:r>
          </w:p>
          <w:p w14:paraId="63B9AE76" w14:textId="746F3DB1" w:rsidR="002951C6" w:rsidRDefault="0029764D" w:rsidP="007E428D">
            <w:pPr>
              <w:pStyle w:val="TableHeading"/>
              <w:keepNext/>
              <w:keepLines/>
              <w:cnfStyle w:val="100000000000" w:firstRow="1" w:lastRow="0" w:firstColumn="0" w:lastColumn="0" w:oddVBand="0" w:evenVBand="0" w:oddHBand="0" w:evenHBand="0" w:firstRowFirstColumn="0" w:firstRowLastColumn="0" w:lastRowFirstColumn="0" w:lastRowLastColumn="0"/>
            </w:pPr>
            <w:r>
              <w:t>(MXN / año)</w:t>
            </w:r>
            <w:r w:rsidR="002951C6">
              <w:t xml:space="preserve"> </w:t>
            </w:r>
          </w:p>
        </w:tc>
      </w:tr>
      <w:tr w:rsidR="0014323F" w14:paraId="5E1385B9"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35B40921" w14:textId="1BC03025" w:rsidR="0014323F" w:rsidRDefault="0014323F" w:rsidP="007E428D">
            <w:pPr>
              <w:pStyle w:val="TableParagraph"/>
              <w:keepNext/>
              <w:keepLines/>
            </w:pPr>
            <w:r>
              <w:t xml:space="preserve">Alojamiento de gaza de fibra óptica en el pozo </w:t>
            </w:r>
          </w:p>
        </w:tc>
        <w:tc>
          <w:tcPr>
            <w:tcW w:w="1953" w:type="dxa"/>
          </w:tcPr>
          <w:p w14:paraId="56CEFED8" w14:textId="6D44EF02" w:rsidR="0014323F" w:rsidRDefault="0014323F" w:rsidP="007E428D">
            <w:pPr>
              <w:pStyle w:val="TableParagraph"/>
              <w:keepNext/>
              <w:keepLines/>
              <w:jc w:val="center"/>
              <w:cnfStyle w:val="000000000000" w:firstRow="0" w:lastRow="0" w:firstColumn="0" w:lastColumn="0" w:oddVBand="0" w:evenVBand="0" w:oddHBand="0" w:evenHBand="0" w:firstRowFirstColumn="0" w:firstRowLastColumn="0" w:lastRowFirstColumn="0" w:lastRowLastColumn="0"/>
            </w:pPr>
            <w:r w:rsidRPr="0014323F">
              <w:t xml:space="preserve">                   18.93   </w:t>
            </w:r>
          </w:p>
        </w:tc>
      </w:tr>
      <w:tr w:rsidR="0014323F" w14:paraId="7CDC6F3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tcPr>
          <w:p w14:paraId="2DFE0192" w14:textId="6CA01CE5" w:rsidR="0014323F" w:rsidRDefault="0014323F" w:rsidP="007E428D">
            <w:pPr>
              <w:pStyle w:val="TableParagraph"/>
              <w:keepNext/>
              <w:keepLines/>
            </w:pPr>
            <w:r>
              <w:t>Alojamiento de cierre de empalme</w:t>
            </w:r>
          </w:p>
        </w:tc>
        <w:tc>
          <w:tcPr>
            <w:tcW w:w="1953" w:type="dxa"/>
          </w:tcPr>
          <w:p w14:paraId="048EFF15" w14:textId="66C35785" w:rsidR="0014323F" w:rsidRDefault="0014323F"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14323F">
              <w:t xml:space="preserve">                   25.72   </w:t>
            </w:r>
          </w:p>
        </w:tc>
      </w:tr>
    </w:tbl>
    <w:p w14:paraId="248DB3E6" w14:textId="60E89C2E" w:rsidR="00F27F1A" w:rsidRDefault="00F27F1A" w:rsidP="007E428D">
      <w:pPr>
        <w:pStyle w:val="Descripcin"/>
        <w:keepNext/>
        <w:keepLines/>
        <w:rPr>
          <w:rStyle w:val="DescripcinCar"/>
          <w:b/>
          <w:iCs/>
        </w:rPr>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7</w:t>
      </w:r>
      <w:r w:rsidRPr="00450F28">
        <w:fldChar w:fldCharType="end"/>
      </w:r>
      <w:r w:rsidRPr="00450F28">
        <w:rPr>
          <w:rStyle w:val="DescripcinCar"/>
          <w:b/>
          <w:iCs/>
        </w:rPr>
        <w:t xml:space="preserve">: </w:t>
      </w:r>
      <w:r>
        <w:rPr>
          <w:rStyle w:val="DescripcinCar"/>
          <w:b/>
          <w:iCs/>
        </w:rPr>
        <w:t>C</w:t>
      </w:r>
      <w:r w:rsidRPr="00E84E23">
        <w:rPr>
          <w:rStyle w:val="DescripcinCar"/>
          <w:b/>
          <w:iCs/>
        </w:rPr>
        <w:t xml:space="preserve">ontraprestación </w:t>
      </w:r>
      <w:r w:rsidR="00D0672F">
        <w:rPr>
          <w:rStyle w:val="DescripcinCar"/>
          <w:b/>
          <w:iCs/>
        </w:rPr>
        <w:t>por a</w:t>
      </w:r>
      <w:r w:rsidR="00D0672F" w:rsidRPr="00D0672F">
        <w:rPr>
          <w:rStyle w:val="DescripcinCar"/>
          <w:b/>
          <w:iCs/>
        </w:rPr>
        <w:t xml:space="preserve">lojamiento de gaza de fibra óptica en el pozo y </w:t>
      </w:r>
      <w:r w:rsidR="00D0672F">
        <w:rPr>
          <w:rStyle w:val="DescripcinCar"/>
          <w:b/>
          <w:iCs/>
        </w:rPr>
        <w:t>a</w:t>
      </w:r>
      <w:r w:rsidR="00D0672F" w:rsidRPr="00D0672F">
        <w:rPr>
          <w:rStyle w:val="DescripcinCar"/>
          <w:b/>
          <w:iCs/>
        </w:rPr>
        <w:t xml:space="preserve">lojamiento de cierre de empalme </w:t>
      </w:r>
      <w:r w:rsidRPr="00450F28">
        <w:rPr>
          <w:rStyle w:val="DescripcinCar"/>
          <w:b/>
          <w:iCs/>
        </w:rPr>
        <w:t xml:space="preserve">[Fuente: </w:t>
      </w:r>
      <w:r w:rsidR="00FD1434">
        <w:rPr>
          <w:rStyle w:val="DescripcinCar"/>
          <w:b/>
          <w:iCs/>
        </w:rPr>
        <w:t>Modelo Integral</w:t>
      </w:r>
      <w:r w:rsidRPr="00450F28">
        <w:rPr>
          <w:rStyle w:val="DescripcinCar"/>
          <w:b/>
          <w:iCs/>
        </w:rPr>
        <w:t>]</w:t>
      </w:r>
    </w:p>
    <w:p w14:paraId="05245740" w14:textId="1CAB8C0A" w:rsidR="00D739BC" w:rsidRDefault="00D739BC" w:rsidP="007E428D">
      <w:pPr>
        <w:pStyle w:val="Ttulo4"/>
      </w:pPr>
      <w:r>
        <w:t>Postes</w:t>
      </w:r>
    </w:p>
    <w:tbl>
      <w:tblPr>
        <w:tblStyle w:val="Axon"/>
        <w:tblW w:w="0" w:type="auto"/>
        <w:jc w:val="center"/>
        <w:tblLook w:val="04A0" w:firstRow="1" w:lastRow="0" w:firstColumn="1" w:lastColumn="0" w:noHBand="0" w:noVBand="1"/>
      </w:tblPr>
      <w:tblGrid>
        <w:gridCol w:w="3870"/>
        <w:gridCol w:w="1953"/>
      </w:tblGrid>
      <w:tr w:rsidR="00BA1F20" w14:paraId="775BB1D2" w14:textId="77777777" w:rsidTr="00DB3E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tcPr>
          <w:p w14:paraId="59BA26F0" w14:textId="77777777" w:rsidR="00BA1F20" w:rsidRDefault="00BA1F20" w:rsidP="007E428D">
            <w:pPr>
              <w:pStyle w:val="TableHeading"/>
              <w:keepNext/>
              <w:keepLines/>
            </w:pPr>
            <w:r>
              <w:t>Servicio</w:t>
            </w:r>
          </w:p>
        </w:tc>
        <w:tc>
          <w:tcPr>
            <w:tcW w:w="1953" w:type="dxa"/>
          </w:tcPr>
          <w:p w14:paraId="5574A7F1" w14:textId="5B2E9282" w:rsidR="00BA1F20" w:rsidRDefault="00BA1F20" w:rsidP="007E428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Contraprestación </w:t>
            </w:r>
          </w:p>
        </w:tc>
      </w:tr>
      <w:tr w:rsidR="0014323F" w14:paraId="71AA1152"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13C1CD5D" w14:textId="035EA394" w:rsidR="0014323F" w:rsidRPr="00BA1F20" w:rsidRDefault="0014323F" w:rsidP="007E428D">
            <w:pPr>
              <w:pStyle w:val="TableParagraph"/>
              <w:keepNext/>
              <w:keepLines/>
            </w:pPr>
            <w:r w:rsidRPr="00BA1F20">
              <w:t>Uso Por kilogramo de fuerza ejercida en poste</w:t>
            </w:r>
            <w:r>
              <w:t xml:space="preserve"> (MXN / Kg / año)</w:t>
            </w:r>
          </w:p>
        </w:tc>
        <w:tc>
          <w:tcPr>
            <w:tcW w:w="1953" w:type="dxa"/>
          </w:tcPr>
          <w:p w14:paraId="0CF016DF" w14:textId="5DC7D7CB" w:rsidR="0014323F" w:rsidRPr="00BA1F20" w:rsidRDefault="0014323F" w:rsidP="007E428D">
            <w:pPr>
              <w:pStyle w:val="TableParagraph"/>
              <w:keepNext/>
              <w:keepLines/>
              <w:jc w:val="right"/>
              <w:cnfStyle w:val="000000000000" w:firstRow="0" w:lastRow="0" w:firstColumn="0" w:lastColumn="0" w:oddVBand="0" w:evenVBand="0" w:oddHBand="0" w:evenHBand="0" w:firstRowFirstColumn="0" w:firstRowLastColumn="0" w:lastRowFirstColumn="0" w:lastRowLastColumn="0"/>
            </w:pPr>
            <w:r w:rsidRPr="0014323F">
              <w:t xml:space="preserve">                    1.95   </w:t>
            </w:r>
          </w:p>
        </w:tc>
      </w:tr>
      <w:tr w:rsidR="0014323F" w14:paraId="6060A3B3"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24676C5B" w14:textId="531A4455" w:rsidR="0014323F" w:rsidRPr="00BA1F20" w:rsidRDefault="0014323F" w:rsidP="007E428D">
            <w:pPr>
              <w:pStyle w:val="TableParagraph"/>
              <w:keepNext/>
              <w:keepLines/>
            </w:pPr>
            <w:r w:rsidRPr="00BA1F20">
              <w:t>Uso de poste por apoyos de protecciones de subidas y bajadas</w:t>
            </w:r>
            <w:r>
              <w:t xml:space="preserve"> </w:t>
            </w:r>
            <w:r w:rsidRPr="00627CB8">
              <w:t>(MXN / año)</w:t>
            </w:r>
          </w:p>
        </w:tc>
        <w:tc>
          <w:tcPr>
            <w:tcW w:w="1953" w:type="dxa"/>
          </w:tcPr>
          <w:p w14:paraId="2EB49263" w14:textId="7AC1EBE7" w:rsidR="0014323F" w:rsidRPr="00BA1F20" w:rsidRDefault="0014323F" w:rsidP="007E428D">
            <w:pPr>
              <w:pStyle w:val="TableParagraph"/>
              <w:keepNext/>
              <w:keepLines/>
              <w:jc w:val="center"/>
              <w:cnfStyle w:val="000000000000" w:firstRow="0" w:lastRow="0" w:firstColumn="0" w:lastColumn="0" w:oddVBand="0" w:evenVBand="0" w:oddHBand="0" w:evenHBand="0" w:firstRowFirstColumn="0" w:firstRowLastColumn="0" w:lastRowFirstColumn="0" w:lastRowLastColumn="0"/>
            </w:pPr>
            <w:r w:rsidRPr="0014323F">
              <w:t xml:space="preserve">                 331.33   </w:t>
            </w:r>
          </w:p>
        </w:tc>
      </w:tr>
    </w:tbl>
    <w:p w14:paraId="7674EBA8" w14:textId="47BB2AAE" w:rsidR="00BA1F20" w:rsidRDefault="00BA1F20" w:rsidP="007E428D">
      <w:pPr>
        <w:pStyle w:val="Descripcin"/>
        <w:keepNext/>
        <w:keepLines/>
        <w:rPr>
          <w:rStyle w:val="DescripcinCar"/>
          <w:b/>
          <w:iCs/>
        </w:rPr>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8</w:t>
      </w:r>
      <w:r w:rsidRPr="00450F28">
        <w:fldChar w:fldCharType="end"/>
      </w:r>
      <w:r w:rsidRPr="00450F28">
        <w:rPr>
          <w:rStyle w:val="DescripcinCar"/>
          <w:b/>
          <w:iCs/>
        </w:rPr>
        <w:t xml:space="preserve">: </w:t>
      </w:r>
      <w:r>
        <w:rPr>
          <w:rStyle w:val="DescripcinCar"/>
          <w:b/>
          <w:iCs/>
        </w:rPr>
        <w:t>C</w:t>
      </w:r>
      <w:r w:rsidRPr="00E84E23">
        <w:rPr>
          <w:rStyle w:val="DescripcinCar"/>
          <w:b/>
          <w:iCs/>
        </w:rPr>
        <w:t xml:space="preserve">ontraprestación </w:t>
      </w:r>
      <w:r>
        <w:rPr>
          <w:rStyle w:val="DescripcinCar"/>
          <w:b/>
          <w:iCs/>
        </w:rPr>
        <w:t xml:space="preserve">anual por uso de poste </w:t>
      </w:r>
      <w:r w:rsidRPr="00450F28">
        <w:rPr>
          <w:rStyle w:val="DescripcinCar"/>
          <w:b/>
          <w:iCs/>
        </w:rPr>
        <w:t xml:space="preserve">[Fuente: </w:t>
      </w:r>
      <w:r w:rsidR="00FD1434">
        <w:rPr>
          <w:rStyle w:val="DescripcinCar"/>
          <w:b/>
          <w:iCs/>
        </w:rPr>
        <w:t>Modelo Integral</w:t>
      </w:r>
      <w:r w:rsidRPr="00450F28">
        <w:rPr>
          <w:rStyle w:val="DescripcinCar"/>
          <w:b/>
          <w:iCs/>
        </w:rPr>
        <w:t>]</w:t>
      </w:r>
    </w:p>
    <w:p w14:paraId="5D3A090F" w14:textId="15CF302A" w:rsidR="00D739BC" w:rsidRDefault="00D739BC" w:rsidP="00FE3033">
      <w:pPr>
        <w:pStyle w:val="Ttulo4"/>
      </w:pPr>
      <w:r>
        <w:t>Renta de fibra oscura</w:t>
      </w:r>
    </w:p>
    <w:tbl>
      <w:tblPr>
        <w:tblStyle w:val="Axon"/>
        <w:tblW w:w="0" w:type="auto"/>
        <w:jc w:val="center"/>
        <w:tblLook w:val="04A0" w:firstRow="1" w:lastRow="0" w:firstColumn="1" w:lastColumn="0" w:noHBand="0" w:noVBand="1"/>
      </w:tblPr>
      <w:tblGrid>
        <w:gridCol w:w="3870"/>
        <w:gridCol w:w="1953"/>
      </w:tblGrid>
      <w:tr w:rsidR="00655E8B" w14:paraId="0FC5C3C9" w14:textId="77777777" w:rsidTr="00823B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shd w:val="clear" w:color="auto" w:fill="auto"/>
          </w:tcPr>
          <w:p w14:paraId="52DB1564" w14:textId="77777777" w:rsidR="00655E8B" w:rsidRDefault="00655E8B" w:rsidP="00FE3033">
            <w:pPr>
              <w:pStyle w:val="TableHeading"/>
              <w:keepNext/>
              <w:keepLines/>
            </w:pPr>
            <w:r>
              <w:t>Servicio</w:t>
            </w:r>
          </w:p>
        </w:tc>
        <w:tc>
          <w:tcPr>
            <w:tcW w:w="1953" w:type="dxa"/>
          </w:tcPr>
          <w:p w14:paraId="39D08687" w14:textId="6DF1B74E" w:rsidR="00655E8B" w:rsidRDefault="00655E8B" w:rsidP="00FE3033">
            <w:pPr>
              <w:pStyle w:val="TableHeading"/>
              <w:keepNext/>
              <w:keepLines/>
              <w:cnfStyle w:val="100000000000" w:firstRow="1" w:lastRow="0" w:firstColumn="0" w:lastColumn="0" w:oddVBand="0" w:evenVBand="0" w:oddHBand="0" w:evenHBand="0" w:firstRowFirstColumn="0" w:firstRowLastColumn="0" w:lastRowFirstColumn="0" w:lastRowLastColumn="0"/>
            </w:pPr>
            <w:r>
              <w:t>Contraprestación (</w:t>
            </w:r>
            <w:r w:rsidR="0029764D">
              <w:t>MXN / km /año)</w:t>
            </w:r>
            <w:r>
              <w:t>)</w:t>
            </w:r>
          </w:p>
        </w:tc>
      </w:tr>
      <w:tr w:rsidR="00655E8B" w14:paraId="05245C74" w14:textId="77777777" w:rsidTr="00665A1F">
        <w:trPr>
          <w:jc w:val="center"/>
        </w:trPr>
        <w:tc>
          <w:tcPr>
            <w:cnfStyle w:val="001000000000" w:firstRow="0" w:lastRow="0" w:firstColumn="1" w:lastColumn="0" w:oddVBand="0" w:evenVBand="0" w:oddHBand="0" w:evenHBand="0" w:firstRowFirstColumn="0" w:firstRowLastColumn="0" w:lastRowFirstColumn="0" w:lastRowLastColumn="0"/>
            <w:tcW w:w="0" w:type="dxa"/>
            <w:vAlign w:val="top"/>
          </w:tcPr>
          <w:p w14:paraId="30F4A839" w14:textId="761B3F5E" w:rsidR="00655E8B" w:rsidRPr="00BA1F20" w:rsidRDefault="00C92D43" w:rsidP="00FE3033">
            <w:pPr>
              <w:pStyle w:val="TableParagraph"/>
              <w:keepNext/>
              <w:keepLines/>
            </w:pPr>
            <w:r w:rsidRPr="00C92D43">
              <w:t>Renta de fibra oscura</w:t>
            </w:r>
          </w:p>
        </w:tc>
        <w:tc>
          <w:tcPr>
            <w:tcW w:w="0" w:type="dxa"/>
          </w:tcPr>
          <w:p w14:paraId="34E66102" w14:textId="6F842434" w:rsidR="00655E8B" w:rsidRPr="0014323F" w:rsidRDefault="0014323F" w:rsidP="00FE3033">
            <w:pPr>
              <w:pStyle w:val="TableParagraph"/>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Arial"/>
                <w:color w:val="CC3300"/>
                <w:szCs w:val="18"/>
                <w:lang w:val="en-US"/>
              </w:rPr>
            </w:pPr>
            <w:r>
              <w:rPr>
                <w:rFonts w:ascii="Arial" w:hAnsi="Arial" w:cs="Arial"/>
                <w:color w:val="CC3300"/>
                <w:szCs w:val="18"/>
              </w:rPr>
              <w:t xml:space="preserve">               </w:t>
            </w:r>
            <w:bookmarkStart w:id="109" w:name="RANGE!G103"/>
            <w:r w:rsidRPr="0014323F">
              <w:t>1,603.90</w:t>
            </w:r>
            <w:r>
              <w:rPr>
                <w:rFonts w:ascii="Arial" w:hAnsi="Arial" w:cs="Arial"/>
                <w:color w:val="CC3300"/>
                <w:szCs w:val="18"/>
              </w:rPr>
              <w:t xml:space="preserve">   </w:t>
            </w:r>
            <w:bookmarkEnd w:id="109"/>
          </w:p>
        </w:tc>
      </w:tr>
    </w:tbl>
    <w:p w14:paraId="147D8555" w14:textId="4D56265E" w:rsidR="00655E8B" w:rsidRDefault="00655E8B" w:rsidP="00FE3033">
      <w:pPr>
        <w:pStyle w:val="Descripcin"/>
        <w:keepNext/>
        <w:keepLines/>
        <w:rPr>
          <w:rStyle w:val="DescripcinCar"/>
        </w:rPr>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9</w:t>
      </w:r>
      <w:r w:rsidRPr="00450F28">
        <w:fldChar w:fldCharType="end"/>
      </w:r>
      <w:r w:rsidRPr="00450F28">
        <w:rPr>
          <w:rStyle w:val="DescripcinCar"/>
          <w:b/>
          <w:iCs/>
        </w:rPr>
        <w:t xml:space="preserve">: </w:t>
      </w:r>
      <w:r>
        <w:rPr>
          <w:rStyle w:val="DescripcinCar"/>
          <w:b/>
          <w:iCs/>
        </w:rPr>
        <w:t>C</w:t>
      </w:r>
      <w:r w:rsidRPr="00E84E23">
        <w:rPr>
          <w:rStyle w:val="DescripcinCar"/>
          <w:b/>
          <w:iCs/>
        </w:rPr>
        <w:t xml:space="preserve">ontraprestación </w:t>
      </w:r>
      <w:r>
        <w:rPr>
          <w:rStyle w:val="DescripcinCar"/>
          <w:b/>
          <w:iCs/>
        </w:rPr>
        <w:t xml:space="preserve">renta de fibra oscura </w:t>
      </w:r>
      <w:r w:rsidRPr="00450F28">
        <w:rPr>
          <w:rStyle w:val="DescripcinCar"/>
          <w:b/>
          <w:iCs/>
        </w:rPr>
        <w:t xml:space="preserve">[Fuente: </w:t>
      </w:r>
      <w:r w:rsidR="00FD1434">
        <w:rPr>
          <w:rStyle w:val="DescripcinCar"/>
          <w:b/>
          <w:iCs/>
        </w:rPr>
        <w:t>Modelo Integral</w:t>
      </w:r>
      <w:r>
        <w:rPr>
          <w:rStyle w:val="DescripcinCar"/>
          <w:b/>
          <w:iCs/>
        </w:rPr>
        <w:t>]</w:t>
      </w:r>
    </w:p>
    <w:p w14:paraId="2A4777C7" w14:textId="178405A2" w:rsidR="00415B06" w:rsidRDefault="00415B06" w:rsidP="00415B06">
      <w:pPr>
        <w:pStyle w:val="Ttulo3"/>
      </w:pPr>
      <w:bookmarkStart w:id="110" w:name="_Toc142388420"/>
      <w:r w:rsidRPr="00415B06">
        <w:t>Servicio de tendido de cable sobre infraestructura desagregada</w:t>
      </w:r>
      <w:bookmarkEnd w:id="110"/>
    </w:p>
    <w:p w14:paraId="649C69E9" w14:textId="6249B440" w:rsidR="00D739BC" w:rsidRDefault="00390866">
      <w:pPr>
        <w:pStyle w:val="Ttulo4"/>
      </w:pPr>
      <w:r>
        <w:t>Contraprestación única</w:t>
      </w:r>
    </w:p>
    <w:tbl>
      <w:tblPr>
        <w:tblStyle w:val="Axon"/>
        <w:tblW w:w="0" w:type="auto"/>
        <w:jc w:val="center"/>
        <w:tblLook w:val="04A0" w:firstRow="1" w:lastRow="0" w:firstColumn="1" w:lastColumn="0" w:noHBand="0" w:noVBand="1"/>
      </w:tblPr>
      <w:tblGrid>
        <w:gridCol w:w="3870"/>
        <w:gridCol w:w="1953"/>
      </w:tblGrid>
      <w:tr w:rsidR="00C92D43" w14:paraId="56AA8217" w14:textId="77777777" w:rsidTr="00823B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shd w:val="clear" w:color="auto" w:fill="auto"/>
          </w:tcPr>
          <w:p w14:paraId="46E19933" w14:textId="77777777" w:rsidR="00C92D43" w:rsidRDefault="00C92D43" w:rsidP="00DB3E3B">
            <w:pPr>
              <w:pStyle w:val="TableHeading"/>
            </w:pPr>
            <w:r>
              <w:t>Servicio</w:t>
            </w:r>
          </w:p>
        </w:tc>
        <w:tc>
          <w:tcPr>
            <w:tcW w:w="1953" w:type="dxa"/>
          </w:tcPr>
          <w:p w14:paraId="57BF0833" w14:textId="3A9EBF05" w:rsidR="00C92D43" w:rsidRDefault="00C92D43" w:rsidP="0065397F">
            <w:pPr>
              <w:pStyle w:val="TableHeading"/>
              <w:keepNext/>
              <w:cnfStyle w:val="100000000000" w:firstRow="1" w:lastRow="0" w:firstColumn="0" w:lastColumn="0" w:oddVBand="0" w:evenVBand="0" w:oddHBand="0" w:evenHBand="0" w:firstRowFirstColumn="0" w:firstRowLastColumn="0" w:lastRowFirstColumn="0" w:lastRowLastColumn="0"/>
            </w:pPr>
            <w:r>
              <w:t xml:space="preserve">Contraprestación </w:t>
            </w:r>
          </w:p>
        </w:tc>
      </w:tr>
      <w:tr w:rsidR="0014323F" w14:paraId="33409676"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664D85F8" w14:textId="7F0C6206" w:rsidR="0014323F" w:rsidRPr="00BA1F20" w:rsidRDefault="0014323F" w:rsidP="0014323F">
            <w:pPr>
              <w:pStyle w:val="TableParagraph"/>
            </w:pPr>
            <w:r>
              <w:t>I</w:t>
            </w:r>
            <w:r w:rsidRPr="00C74CDA">
              <w:t>nstalación por Tendido de Cable de 48 fibra (variable)</w:t>
            </w:r>
            <w:r>
              <w:t xml:space="preserve"> (</w:t>
            </w:r>
            <w:r w:rsidRPr="00484AEC">
              <w:t>MXN/m</w:t>
            </w:r>
            <w:r>
              <w:t>)</w:t>
            </w:r>
          </w:p>
        </w:tc>
        <w:tc>
          <w:tcPr>
            <w:tcW w:w="1953" w:type="dxa"/>
          </w:tcPr>
          <w:p w14:paraId="47195E39" w14:textId="255F4F05" w:rsidR="0014323F" w:rsidRPr="00BA1F20"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25.62   </w:t>
            </w:r>
          </w:p>
        </w:tc>
      </w:tr>
      <w:tr w:rsidR="0014323F" w14:paraId="10772094"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4FD8F9F8" w14:textId="41EB31AB" w:rsidR="0014323F" w:rsidRPr="00BA1F20" w:rsidRDefault="0014323F" w:rsidP="0014323F">
            <w:pPr>
              <w:pStyle w:val="TableParagraph"/>
            </w:pPr>
            <w:r>
              <w:t>I</w:t>
            </w:r>
            <w:r w:rsidRPr="00C74CDA">
              <w:t>nstalación por Tendido de Cable de 96 fibra (variable)</w:t>
            </w:r>
            <w:r>
              <w:t xml:space="preserve"> (</w:t>
            </w:r>
            <w:r w:rsidRPr="00484AEC">
              <w:t>MXN/m</w:t>
            </w:r>
            <w:r>
              <w:t>)</w:t>
            </w:r>
          </w:p>
        </w:tc>
        <w:tc>
          <w:tcPr>
            <w:tcW w:w="1953" w:type="dxa"/>
          </w:tcPr>
          <w:p w14:paraId="51FA7569" w14:textId="1964E12C" w:rsidR="0014323F" w:rsidRPr="00BA1F20"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34.52   </w:t>
            </w:r>
          </w:p>
        </w:tc>
      </w:tr>
      <w:tr w:rsidR="0014323F" w14:paraId="19457D9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7F9B2F98" w14:textId="75C37A95" w:rsidR="0014323F" w:rsidRPr="00BA1F20" w:rsidRDefault="0014323F" w:rsidP="0014323F">
            <w:pPr>
              <w:pStyle w:val="TableParagraph"/>
            </w:pPr>
            <w:r>
              <w:t>I</w:t>
            </w:r>
            <w:r w:rsidRPr="00C74CDA">
              <w:t>nstalación por Tendido de Cable de 48 fibra (fija)</w:t>
            </w:r>
            <w:r>
              <w:t xml:space="preserve"> (MXN)</w:t>
            </w:r>
          </w:p>
        </w:tc>
        <w:tc>
          <w:tcPr>
            <w:tcW w:w="1953" w:type="dxa"/>
          </w:tcPr>
          <w:p w14:paraId="7F7DD446" w14:textId="19A550BF" w:rsidR="0014323F" w:rsidRPr="00BA1F20"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2,687.05   </w:t>
            </w:r>
          </w:p>
        </w:tc>
      </w:tr>
      <w:tr w:rsidR="0014323F" w14:paraId="4618D3D4"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14BD048C" w14:textId="23D637E5" w:rsidR="0014323F" w:rsidRPr="00BA1F20" w:rsidRDefault="0014323F" w:rsidP="0014323F">
            <w:pPr>
              <w:pStyle w:val="TableParagraph"/>
            </w:pPr>
            <w:r>
              <w:t>I</w:t>
            </w:r>
            <w:r w:rsidRPr="00C74CDA">
              <w:t>nstalación por Tendido de Cable de 96 fibra (fija)</w:t>
            </w:r>
            <w:r>
              <w:t xml:space="preserve"> (MXN)</w:t>
            </w:r>
          </w:p>
        </w:tc>
        <w:tc>
          <w:tcPr>
            <w:tcW w:w="1953" w:type="dxa"/>
          </w:tcPr>
          <w:p w14:paraId="32641F7D" w14:textId="76176B67" w:rsidR="0014323F" w:rsidRPr="00BA1F20"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2,856.28   </w:t>
            </w:r>
          </w:p>
        </w:tc>
      </w:tr>
      <w:tr w:rsidR="0014323F" w14:paraId="5B0F54F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30206220" w14:textId="68267447" w:rsidR="0014323F" w:rsidRDefault="0014323F" w:rsidP="0014323F">
            <w:pPr>
              <w:pStyle w:val="TableParagraph"/>
            </w:pPr>
            <w:r w:rsidRPr="009A5CDA">
              <w:t>Empalme por hilo de fibra óptica</w:t>
            </w:r>
            <w:r>
              <w:t xml:space="preserve"> (MXN / cable)</w:t>
            </w:r>
          </w:p>
        </w:tc>
        <w:tc>
          <w:tcPr>
            <w:tcW w:w="1953" w:type="dxa"/>
          </w:tcPr>
          <w:p w14:paraId="65612683" w14:textId="3A01891C" w:rsidR="0014323F" w:rsidRPr="00C800AF"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3.53   </w:t>
            </w:r>
          </w:p>
        </w:tc>
      </w:tr>
    </w:tbl>
    <w:p w14:paraId="452982AA" w14:textId="3325B74D" w:rsidR="00C92D43" w:rsidRDefault="00C92D43" w:rsidP="00C92D43">
      <w:pPr>
        <w:pStyle w:val="Descripcin"/>
        <w:rPr>
          <w:rStyle w:val="DescripcinCar"/>
          <w:b/>
          <w:iCs/>
        </w:rPr>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10</w:t>
      </w:r>
      <w:r w:rsidRPr="00450F28">
        <w:fldChar w:fldCharType="end"/>
      </w:r>
      <w:r w:rsidRPr="00450F28">
        <w:rPr>
          <w:rStyle w:val="DescripcinCar"/>
          <w:b/>
          <w:iCs/>
        </w:rPr>
        <w:t xml:space="preserve">: </w:t>
      </w:r>
      <w:r>
        <w:rPr>
          <w:rStyle w:val="DescripcinCar"/>
          <w:b/>
          <w:iCs/>
        </w:rPr>
        <w:t>C</w:t>
      </w:r>
      <w:r w:rsidRPr="00E84E23">
        <w:rPr>
          <w:rStyle w:val="DescripcinCar"/>
          <w:b/>
          <w:iCs/>
        </w:rPr>
        <w:t xml:space="preserve">ontraprestación </w:t>
      </w:r>
      <w:r w:rsidR="00E77EB7">
        <w:rPr>
          <w:rStyle w:val="DescripcinCar"/>
          <w:b/>
          <w:iCs/>
        </w:rPr>
        <w:t>única</w:t>
      </w:r>
      <w:r w:rsidR="00B76FC2">
        <w:rPr>
          <w:rStyle w:val="DescripcinCar"/>
          <w:b/>
          <w:iCs/>
        </w:rPr>
        <w:t xml:space="preserve"> de s</w:t>
      </w:r>
      <w:r w:rsidR="00B76FC2" w:rsidRPr="00B76FC2">
        <w:rPr>
          <w:rStyle w:val="DescripcinCar"/>
          <w:b/>
          <w:iCs/>
        </w:rPr>
        <w:t>ervicio de tendido de cable sobre infraestructura desagregada</w:t>
      </w:r>
      <w:r>
        <w:rPr>
          <w:rStyle w:val="DescripcinCar"/>
          <w:b/>
          <w:iCs/>
        </w:rPr>
        <w:t xml:space="preserve"> </w:t>
      </w:r>
      <w:r w:rsidRPr="00450F28">
        <w:rPr>
          <w:rStyle w:val="DescripcinCar"/>
          <w:b/>
          <w:iCs/>
        </w:rPr>
        <w:t xml:space="preserve">[Fuente: </w:t>
      </w:r>
      <w:r w:rsidR="00FD1434">
        <w:rPr>
          <w:rStyle w:val="DescripcinCar"/>
          <w:b/>
          <w:iCs/>
        </w:rPr>
        <w:t>Modelo Integral</w:t>
      </w:r>
      <w:r w:rsidRPr="00450F28">
        <w:rPr>
          <w:rStyle w:val="DescripcinCar"/>
          <w:b/>
          <w:iCs/>
        </w:rPr>
        <w:t>]</w:t>
      </w:r>
    </w:p>
    <w:p w14:paraId="7CACD3C0" w14:textId="45058706" w:rsidR="00390866" w:rsidRDefault="00390866">
      <w:pPr>
        <w:pStyle w:val="Ttulo4"/>
      </w:pPr>
      <w:r>
        <w:lastRenderedPageBreak/>
        <w:t>Contraprestación anual</w:t>
      </w:r>
    </w:p>
    <w:tbl>
      <w:tblPr>
        <w:tblStyle w:val="Axon"/>
        <w:tblW w:w="0" w:type="auto"/>
        <w:jc w:val="center"/>
        <w:tblLook w:val="04A0" w:firstRow="1" w:lastRow="0" w:firstColumn="1" w:lastColumn="0" w:noHBand="0" w:noVBand="1"/>
      </w:tblPr>
      <w:tblGrid>
        <w:gridCol w:w="3870"/>
        <w:gridCol w:w="1953"/>
      </w:tblGrid>
      <w:tr w:rsidR="00B76FC2" w14:paraId="71B9401E" w14:textId="77777777" w:rsidTr="00823B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70" w:type="dxa"/>
            <w:shd w:val="clear" w:color="auto" w:fill="auto"/>
          </w:tcPr>
          <w:p w14:paraId="4E59F13D" w14:textId="77777777" w:rsidR="00B76FC2" w:rsidRDefault="00B76FC2" w:rsidP="00DB3E3B">
            <w:pPr>
              <w:pStyle w:val="TableHeading"/>
            </w:pPr>
            <w:r>
              <w:t>Servicio</w:t>
            </w:r>
          </w:p>
        </w:tc>
        <w:tc>
          <w:tcPr>
            <w:tcW w:w="1953" w:type="dxa"/>
          </w:tcPr>
          <w:p w14:paraId="6B889496" w14:textId="2FB4DAEE" w:rsidR="00B76FC2" w:rsidRDefault="00B76FC2" w:rsidP="00DB3E3B">
            <w:pPr>
              <w:pStyle w:val="TableHeading"/>
              <w:cnfStyle w:val="100000000000" w:firstRow="1" w:lastRow="0" w:firstColumn="0" w:lastColumn="0" w:oddVBand="0" w:evenVBand="0" w:oddHBand="0" w:evenHBand="0" w:firstRowFirstColumn="0" w:firstRowLastColumn="0" w:lastRowFirstColumn="0" w:lastRowLastColumn="0"/>
            </w:pPr>
            <w:r>
              <w:t xml:space="preserve">Contraprestación </w:t>
            </w:r>
          </w:p>
        </w:tc>
      </w:tr>
      <w:tr w:rsidR="0014323F" w14:paraId="67B62CA7"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6ADDA207" w14:textId="6F50AF44" w:rsidR="0014323F" w:rsidRPr="00BA1F20" w:rsidRDefault="0014323F" w:rsidP="0014323F">
            <w:pPr>
              <w:pStyle w:val="TableParagraph"/>
            </w:pPr>
            <w:r w:rsidRPr="009C090D">
              <w:t>Uso y mantenimiento de la trayectoria para cable (variable)</w:t>
            </w:r>
            <w:r>
              <w:t xml:space="preserve"> (</w:t>
            </w:r>
            <w:r w:rsidRPr="00823B7D">
              <w:t>MXN / m</w:t>
            </w:r>
            <w:r>
              <w:t>)</w:t>
            </w:r>
          </w:p>
        </w:tc>
        <w:tc>
          <w:tcPr>
            <w:tcW w:w="1953" w:type="dxa"/>
          </w:tcPr>
          <w:p w14:paraId="539DCC5F" w14:textId="0181EDDB" w:rsidR="0014323F" w:rsidRPr="00BA1F20"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2.75   </w:t>
            </w:r>
          </w:p>
        </w:tc>
      </w:tr>
      <w:tr w:rsidR="0014323F" w14:paraId="7198B7F2" w14:textId="77777777" w:rsidTr="00925DF0">
        <w:trPr>
          <w:jc w:val="center"/>
        </w:trPr>
        <w:tc>
          <w:tcPr>
            <w:cnfStyle w:val="001000000000" w:firstRow="0" w:lastRow="0" w:firstColumn="1" w:lastColumn="0" w:oddVBand="0" w:evenVBand="0" w:oddHBand="0" w:evenHBand="0" w:firstRowFirstColumn="0" w:firstRowLastColumn="0" w:lastRowFirstColumn="0" w:lastRowLastColumn="0"/>
            <w:tcW w:w="3870" w:type="dxa"/>
            <w:vAlign w:val="top"/>
          </w:tcPr>
          <w:p w14:paraId="52DC0232" w14:textId="5CE56D31" w:rsidR="0014323F" w:rsidRPr="00BA1F20" w:rsidRDefault="0014323F" w:rsidP="0014323F">
            <w:pPr>
              <w:pStyle w:val="TableParagraph"/>
            </w:pPr>
            <w:r w:rsidRPr="009C090D">
              <w:t>Uso y mantenimiento de la trayectoria para cable fija</w:t>
            </w:r>
            <w:r>
              <w:t xml:space="preserve"> (MXN / cable)</w:t>
            </w:r>
          </w:p>
        </w:tc>
        <w:tc>
          <w:tcPr>
            <w:tcW w:w="1953" w:type="dxa"/>
          </w:tcPr>
          <w:p w14:paraId="5D4D17D9" w14:textId="2A5FF04C" w:rsidR="0014323F" w:rsidRPr="00BA1F20" w:rsidRDefault="0014323F" w:rsidP="00925DF0">
            <w:pPr>
              <w:pStyle w:val="TableParagraph"/>
              <w:jc w:val="right"/>
              <w:cnfStyle w:val="000000000000" w:firstRow="0" w:lastRow="0" w:firstColumn="0" w:lastColumn="0" w:oddVBand="0" w:evenVBand="0" w:oddHBand="0" w:evenHBand="0" w:firstRowFirstColumn="0" w:firstRowLastColumn="0" w:lastRowFirstColumn="0" w:lastRowLastColumn="0"/>
            </w:pPr>
            <w:r w:rsidRPr="0014323F">
              <w:t xml:space="preserve">                 380.81   </w:t>
            </w:r>
          </w:p>
        </w:tc>
      </w:tr>
    </w:tbl>
    <w:p w14:paraId="17B8259C" w14:textId="22073722" w:rsidR="00B76FC2" w:rsidRPr="00B76FC2" w:rsidRDefault="00B76FC2" w:rsidP="007969B2">
      <w:pPr>
        <w:pStyle w:val="Descripcin"/>
      </w:pPr>
      <w:r w:rsidRPr="00450F28">
        <w:t xml:space="preserve">Tabla </w:t>
      </w:r>
      <w:r w:rsidRPr="00450F28">
        <w:fldChar w:fldCharType="begin"/>
      </w:r>
      <w:r w:rsidRPr="00450F28">
        <w:instrText xml:space="preserve"> STYLEREF 1 \s </w:instrText>
      </w:r>
      <w:r w:rsidRPr="00450F28">
        <w:fldChar w:fldCharType="separate"/>
      </w:r>
      <w:r w:rsidR="00320714">
        <w:rPr>
          <w:rFonts w:hint="cs"/>
          <w:noProof/>
          <w:cs/>
        </w:rPr>
        <w:t>‎</w:t>
      </w:r>
      <w:r w:rsidR="00320714">
        <w:rPr>
          <w:noProof/>
        </w:rPr>
        <w:t>4</w:t>
      </w:r>
      <w:r w:rsidRPr="00450F28">
        <w:fldChar w:fldCharType="end"/>
      </w:r>
      <w:r w:rsidRPr="00450F28">
        <w:t>.</w:t>
      </w:r>
      <w:r w:rsidRPr="00450F28">
        <w:fldChar w:fldCharType="begin"/>
      </w:r>
      <w:r w:rsidRPr="00450F28">
        <w:instrText xml:space="preserve"> SEQ Tabla \* ARABIC \s 1 </w:instrText>
      </w:r>
      <w:r w:rsidRPr="00450F28">
        <w:fldChar w:fldCharType="separate"/>
      </w:r>
      <w:r w:rsidR="00320714">
        <w:rPr>
          <w:noProof/>
        </w:rPr>
        <w:t>11</w:t>
      </w:r>
      <w:r w:rsidRPr="00450F28">
        <w:fldChar w:fldCharType="end"/>
      </w:r>
      <w:r w:rsidRPr="00450F28">
        <w:rPr>
          <w:rStyle w:val="DescripcinCar"/>
          <w:b/>
          <w:iCs/>
        </w:rPr>
        <w:t xml:space="preserve">: </w:t>
      </w:r>
      <w:r>
        <w:rPr>
          <w:rStyle w:val="DescripcinCar"/>
          <w:b/>
          <w:iCs/>
        </w:rPr>
        <w:t>C</w:t>
      </w:r>
      <w:r w:rsidRPr="00E84E23">
        <w:rPr>
          <w:rStyle w:val="DescripcinCar"/>
          <w:b/>
          <w:iCs/>
        </w:rPr>
        <w:t xml:space="preserve">ontraprestación </w:t>
      </w:r>
      <w:r w:rsidR="002879DB">
        <w:rPr>
          <w:rStyle w:val="DescripcinCar"/>
          <w:b/>
          <w:iCs/>
        </w:rPr>
        <w:t>anual</w:t>
      </w:r>
      <w:r>
        <w:rPr>
          <w:rStyle w:val="DescripcinCar"/>
          <w:b/>
          <w:iCs/>
        </w:rPr>
        <w:t xml:space="preserve"> de s</w:t>
      </w:r>
      <w:r w:rsidRPr="00B76FC2">
        <w:rPr>
          <w:rStyle w:val="DescripcinCar"/>
          <w:b/>
          <w:iCs/>
        </w:rPr>
        <w:t>ervicio de tendido de cable sobre infraestructura desagregada</w:t>
      </w:r>
      <w:r>
        <w:rPr>
          <w:rStyle w:val="DescripcinCar"/>
          <w:b/>
          <w:iCs/>
        </w:rPr>
        <w:t xml:space="preserve"> </w:t>
      </w:r>
      <w:r w:rsidRPr="00450F28">
        <w:rPr>
          <w:rStyle w:val="DescripcinCar"/>
          <w:b/>
          <w:iCs/>
        </w:rPr>
        <w:t xml:space="preserve">[Fuente: </w:t>
      </w:r>
      <w:r w:rsidR="00FD1434">
        <w:rPr>
          <w:rStyle w:val="DescripcinCar"/>
          <w:b/>
          <w:iCs/>
        </w:rPr>
        <w:t>Modelo Integral</w:t>
      </w:r>
      <w:r w:rsidRPr="00450F28">
        <w:rPr>
          <w:rStyle w:val="DescripcinCar"/>
          <w:b/>
          <w:iCs/>
        </w:rPr>
        <w:t>]</w:t>
      </w:r>
    </w:p>
    <w:sectPr w:rsidR="00B76FC2" w:rsidRPr="00B76FC2" w:rsidSect="0088158A">
      <w:pgSz w:w="11906" w:h="16838" w:code="9"/>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AD6EF" w14:textId="77777777" w:rsidR="00477ACD" w:rsidRDefault="00477ACD" w:rsidP="00E7637B">
      <w:pPr>
        <w:spacing w:before="0" w:after="0" w:line="240" w:lineRule="auto"/>
      </w:pPr>
      <w:r>
        <w:separator/>
      </w:r>
    </w:p>
  </w:endnote>
  <w:endnote w:type="continuationSeparator" w:id="0">
    <w:p w14:paraId="1EC2260E" w14:textId="77777777" w:rsidR="00477ACD" w:rsidRDefault="00477ACD" w:rsidP="00E7637B">
      <w:pPr>
        <w:spacing w:before="0" w:after="0" w:line="240" w:lineRule="auto"/>
      </w:pPr>
      <w:r>
        <w:continuationSeparator/>
      </w:r>
    </w:p>
  </w:endnote>
  <w:endnote w:type="continuationNotice" w:id="1">
    <w:p w14:paraId="7AE8F9B8" w14:textId="77777777" w:rsidR="00477ACD" w:rsidRDefault="00477A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0C2749" w:themeColor="text1"/>
      </w:tblBorders>
      <w:tblCellMar>
        <w:top w:w="170" w:type="dxa"/>
        <w:left w:w="0" w:type="dxa"/>
        <w:right w:w="0" w:type="dxa"/>
      </w:tblCellMar>
      <w:tblLook w:val="04A0" w:firstRow="1" w:lastRow="0" w:firstColumn="1" w:lastColumn="0" w:noHBand="0" w:noVBand="1"/>
    </w:tblPr>
    <w:tblGrid>
      <w:gridCol w:w="3024"/>
      <w:gridCol w:w="3024"/>
      <w:gridCol w:w="3022"/>
    </w:tblGrid>
    <w:tr w:rsidR="00C94357" w14:paraId="747A5EF6" w14:textId="77777777" w:rsidTr="00DB2216">
      <w:tc>
        <w:tcPr>
          <w:tcW w:w="1667" w:type="pct"/>
          <w:vAlign w:val="center"/>
        </w:tcPr>
        <w:p w14:paraId="4B6E4B2D" w14:textId="7D506A6A" w:rsidR="00C94357" w:rsidRPr="00690F0A" w:rsidRDefault="00C94357" w:rsidP="00204AF3">
          <w:pPr>
            <w:pStyle w:val="Piedepgina"/>
            <w:jc w:val="center"/>
            <w:rPr>
              <w:szCs w:val="20"/>
            </w:rPr>
          </w:pPr>
        </w:p>
      </w:tc>
      <w:tc>
        <w:tcPr>
          <w:tcW w:w="1667" w:type="pct"/>
          <w:vAlign w:val="center"/>
        </w:tcPr>
        <w:p w14:paraId="6146D0BE" w14:textId="21E0F549" w:rsidR="00C94357" w:rsidRPr="00690F0A" w:rsidRDefault="00C94357" w:rsidP="00204AF3">
          <w:pPr>
            <w:pStyle w:val="Piedepgina"/>
            <w:jc w:val="center"/>
            <w:rPr>
              <w:szCs w:val="20"/>
            </w:rPr>
          </w:pPr>
          <w:r w:rsidRPr="00690F0A">
            <w:rPr>
              <w:rFonts w:eastAsia="Verdana" w:cs="Verdana"/>
              <w:szCs w:val="20"/>
              <w:lang w:val="pt-BR"/>
            </w:rPr>
            <w:fldChar w:fldCharType="begin"/>
          </w:r>
          <w:r w:rsidRPr="00690F0A">
            <w:rPr>
              <w:rFonts w:eastAsia="Verdana" w:cs="Verdana"/>
              <w:szCs w:val="20"/>
              <w:lang w:val="pt-BR"/>
            </w:rPr>
            <w:instrText xml:space="preserve"> DATE  \@ "yyyy"  \* MERGEFORMAT </w:instrText>
          </w:r>
          <w:r w:rsidRPr="00690F0A">
            <w:rPr>
              <w:rFonts w:eastAsia="Verdana" w:cs="Verdana"/>
              <w:szCs w:val="20"/>
              <w:lang w:val="pt-BR"/>
            </w:rPr>
            <w:fldChar w:fldCharType="separate"/>
          </w:r>
          <w:r w:rsidR="007F1816">
            <w:rPr>
              <w:rFonts w:eastAsia="Verdana" w:cs="Verdana"/>
              <w:noProof/>
              <w:szCs w:val="20"/>
              <w:lang w:val="pt-BR"/>
            </w:rPr>
            <w:t>2023</w:t>
          </w:r>
          <w:r w:rsidRPr="00690F0A">
            <w:rPr>
              <w:rFonts w:eastAsia="Verdana" w:cs="Verdana"/>
              <w:szCs w:val="20"/>
              <w:lang w:val="pt-BR"/>
            </w:rPr>
            <w:fldChar w:fldCharType="end"/>
          </w:r>
        </w:p>
      </w:tc>
      <w:tc>
        <w:tcPr>
          <w:tcW w:w="1666" w:type="pct"/>
          <w:vAlign w:val="center"/>
        </w:tcPr>
        <w:sdt>
          <w:sdtPr>
            <w:rPr>
              <w:szCs w:val="20"/>
            </w:rPr>
            <w:id w:val="-719597597"/>
            <w:docPartObj>
              <w:docPartGallery w:val="Page Numbers (Bottom of Page)"/>
              <w:docPartUnique/>
            </w:docPartObj>
          </w:sdtPr>
          <w:sdtEndPr>
            <w:rPr>
              <w:noProof/>
            </w:rPr>
          </w:sdtEndPr>
          <w:sdtContent>
            <w:p w14:paraId="74C2E93A" w14:textId="77777777" w:rsidR="00C94357" w:rsidRPr="00690F0A" w:rsidRDefault="00C94357" w:rsidP="00204AF3">
              <w:pPr>
                <w:pStyle w:val="Piedepgina"/>
                <w:jc w:val="right"/>
                <w:rPr>
                  <w:szCs w:val="20"/>
                </w:rPr>
              </w:pPr>
              <w:r w:rsidRPr="00690F0A">
                <w:rPr>
                  <w:szCs w:val="20"/>
                </w:rPr>
                <w:fldChar w:fldCharType="begin"/>
              </w:r>
              <w:r w:rsidRPr="00690F0A">
                <w:rPr>
                  <w:szCs w:val="20"/>
                </w:rPr>
                <w:instrText xml:space="preserve"> PAGE   \* MERGEFORMAT </w:instrText>
              </w:r>
              <w:r w:rsidRPr="00690F0A">
                <w:rPr>
                  <w:szCs w:val="20"/>
                </w:rPr>
                <w:fldChar w:fldCharType="separate"/>
              </w:r>
              <w:r w:rsidRPr="00690F0A">
                <w:rPr>
                  <w:szCs w:val="20"/>
                </w:rPr>
                <w:t>3</w:t>
              </w:r>
              <w:r w:rsidRPr="00690F0A">
                <w:rPr>
                  <w:noProof/>
                  <w:szCs w:val="20"/>
                </w:rPr>
                <w:fldChar w:fldCharType="end"/>
              </w:r>
            </w:p>
          </w:sdtContent>
        </w:sdt>
      </w:tc>
    </w:tr>
  </w:tbl>
  <w:p w14:paraId="1599FE2D" w14:textId="77777777" w:rsidR="00C94357" w:rsidRDefault="00C943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8433" w14:textId="77777777" w:rsidR="00477ACD" w:rsidRDefault="00477ACD" w:rsidP="00E7637B">
      <w:pPr>
        <w:spacing w:before="0" w:after="0" w:line="240" w:lineRule="auto"/>
      </w:pPr>
      <w:r>
        <w:separator/>
      </w:r>
    </w:p>
  </w:footnote>
  <w:footnote w:type="continuationSeparator" w:id="0">
    <w:p w14:paraId="21A3D37D" w14:textId="77777777" w:rsidR="00477ACD" w:rsidRDefault="00477ACD" w:rsidP="00E7637B">
      <w:pPr>
        <w:spacing w:before="0" w:after="0" w:line="240" w:lineRule="auto"/>
      </w:pPr>
      <w:r>
        <w:continuationSeparator/>
      </w:r>
    </w:p>
  </w:footnote>
  <w:footnote w:type="continuationNotice" w:id="1">
    <w:p w14:paraId="6A8BE92B" w14:textId="77777777" w:rsidR="00477ACD" w:rsidRDefault="00477ACD">
      <w:pPr>
        <w:spacing w:before="0" w:after="0" w:line="240" w:lineRule="auto"/>
      </w:pPr>
    </w:p>
  </w:footnote>
  <w:footnote w:id="2">
    <w:p w14:paraId="04E4BAAE" w14:textId="5ED04B57" w:rsidR="00C94357" w:rsidRDefault="00C94357">
      <w:pPr>
        <w:pStyle w:val="Textonotapie"/>
      </w:pPr>
      <w:r>
        <w:rPr>
          <w:rStyle w:val="Refdenotaalpie"/>
        </w:rPr>
        <w:footnoteRef/>
      </w:r>
      <w:r>
        <w:t xml:space="preserve"> </w:t>
      </w:r>
      <w:r w:rsidRPr="00D16051">
        <w:t>Si bien el Modelo permite el cálculo de resultados para un período plurianual, se señala que el dimensionamiento de la red se realiza para un único año de referencia</w:t>
      </w:r>
      <w:r>
        <w:t>.</w:t>
      </w:r>
    </w:p>
  </w:footnote>
  <w:footnote w:id="3">
    <w:p w14:paraId="3DA45878" w14:textId="6438344C" w:rsidR="00C94357" w:rsidRDefault="00C94357" w:rsidP="00C721D2">
      <w:pPr>
        <w:pStyle w:val="Textonotapie"/>
      </w:pPr>
      <w:r>
        <w:rPr>
          <w:rStyle w:val="Refdenotaalpie"/>
        </w:rPr>
        <w:footnoteRef/>
      </w:r>
      <w:r>
        <w:t xml:space="preserve"> Con la salvedad de los </w:t>
      </w:r>
      <w:r w:rsidRPr="00FB2BD9">
        <w:t xml:space="preserve">activos de ingeniería civil reutilizables </w:t>
      </w:r>
      <w:r w:rsidRPr="00B95679">
        <w:t>(</w:t>
      </w:r>
      <w:r>
        <w:t>canalizaciones</w:t>
      </w:r>
      <w:r w:rsidRPr="00B95679">
        <w:t xml:space="preserve">, </w:t>
      </w:r>
      <w:r>
        <w:t xml:space="preserve">pozos y </w:t>
      </w:r>
      <w:r w:rsidRPr="00B95679">
        <w:t>postes)</w:t>
      </w:r>
      <w:r>
        <w:t xml:space="preserve">, refiriéndose a </w:t>
      </w:r>
      <w:r w:rsidRPr="00B95679">
        <w:t xml:space="preserve">aquellos activos heredados de </w:t>
      </w:r>
      <w:r>
        <w:t xml:space="preserve">redes tradicionales (cobre) </w:t>
      </w:r>
      <w:r w:rsidRPr="00B95679">
        <w:t xml:space="preserve">que pueden reutilizarse para acomodar </w:t>
      </w:r>
      <w:r>
        <w:t xml:space="preserve">los nuevos cables de </w:t>
      </w:r>
      <w:r w:rsidRPr="00B95679">
        <w:t>red</w:t>
      </w:r>
      <w:r>
        <w:t>es</w:t>
      </w:r>
      <w:r w:rsidRPr="00B95679">
        <w:t xml:space="preserve"> NGA</w:t>
      </w:r>
      <w:r>
        <w:t xml:space="preserve"> (FTTH)</w:t>
      </w:r>
      <w:r w:rsidRPr="00B95679">
        <w:t>.</w:t>
      </w:r>
      <w:r>
        <w:t xml:space="preserve"> Estos activos requieren un tratamiento particular. A este respecto, se incluyen más detalles en la sección </w:t>
      </w:r>
      <w:r>
        <w:fldChar w:fldCharType="begin"/>
      </w:r>
      <w:r>
        <w:instrText xml:space="preserve"> REF _Ref140162061 \r \h </w:instrText>
      </w:r>
      <w:r>
        <w:fldChar w:fldCharType="separate"/>
      </w:r>
      <w:r w:rsidR="00320714">
        <w:rPr>
          <w:rFonts w:hint="cs"/>
          <w:cs/>
        </w:rPr>
        <w:t>‎</w:t>
      </w:r>
      <w:r w:rsidR="00320714">
        <w:t>2.2</w:t>
      </w:r>
      <w:r>
        <w:fldChar w:fldCharType="end"/>
      </w:r>
      <w:r>
        <w:t xml:space="preserve"> de este documento. </w:t>
      </w:r>
    </w:p>
  </w:footnote>
  <w:footnote w:id="4">
    <w:p w14:paraId="6EDFD7A4" w14:textId="77777777" w:rsidR="00C94357" w:rsidRDefault="00C94357" w:rsidP="00920B91">
      <w:pPr>
        <w:pStyle w:val="Textonotapie"/>
      </w:pPr>
      <w:r>
        <w:rPr>
          <w:rStyle w:val="Refdenotaalpie"/>
        </w:rPr>
        <w:footnoteRef/>
      </w:r>
      <w:r>
        <w:t xml:space="preserve"> La separación funcional de Telmex y Telnor se concretó en marzo del año 2020, es </w:t>
      </w:r>
      <w:r w:rsidRPr="00EC679B">
        <w:t xml:space="preserve">decir, </w:t>
      </w:r>
      <w:r w:rsidRPr="00A16625">
        <w:t xml:space="preserve">con anterioridad a octubre de 2020, siendo esta última la fecha </w:t>
      </w:r>
      <w:r w:rsidRPr="00EC679B">
        <w:t>en la que el Modelo Integral se sometió a consulta pública por última vez</w:t>
      </w:r>
      <w:r w:rsidRPr="00A16625">
        <w:t>.</w:t>
      </w:r>
      <w:r>
        <w:t xml:space="preserve"> </w:t>
      </w:r>
    </w:p>
  </w:footnote>
  <w:footnote w:id="5">
    <w:p w14:paraId="7410606A" w14:textId="3F624A94" w:rsidR="00C94357" w:rsidRDefault="00C94357">
      <w:pPr>
        <w:pStyle w:val="Textonotapie"/>
      </w:pPr>
      <w:r>
        <w:rPr>
          <w:rStyle w:val="Refdenotaalpie"/>
        </w:rPr>
        <w:footnoteRef/>
      </w:r>
      <w:r>
        <w:t xml:space="preserve"> Si bien en los últimos años se ha producido un aumento de la adopción de la tecnología FTTH en detrimento de las tecnologías de cobre y FTTC, no han surgido en el mercado nuevas tecnologías de redes fijas de acceso sujetas a regulación.</w:t>
      </w:r>
    </w:p>
  </w:footnote>
  <w:footnote w:id="6">
    <w:p w14:paraId="15FD8DD4" w14:textId="77777777" w:rsidR="00C94357" w:rsidRDefault="00C94357" w:rsidP="0053143C">
      <w:pPr>
        <w:pStyle w:val="Textonotapie"/>
      </w:pPr>
      <w:r>
        <w:rPr>
          <w:rStyle w:val="Refdenotaalpie"/>
        </w:rPr>
        <w:footnoteRef/>
      </w:r>
      <w:r>
        <w:t xml:space="preserve"> Se señala que el Modelo cuenta para su ejecución con 4 Escenarios diferenciados, en función de la red de acceso que se quiera evaluar:</w:t>
      </w:r>
    </w:p>
    <w:p w14:paraId="3B36CD97" w14:textId="77777777" w:rsidR="00C94357" w:rsidRDefault="00C94357" w:rsidP="0053143C">
      <w:pPr>
        <w:pStyle w:val="Textonotapie"/>
        <w:numPr>
          <w:ilvl w:val="0"/>
          <w:numId w:val="22"/>
        </w:numPr>
      </w:pPr>
      <w:r w:rsidRPr="00A23816">
        <w:t>Red de Cobre</w:t>
      </w:r>
    </w:p>
    <w:p w14:paraId="4079EFF3" w14:textId="77777777" w:rsidR="00C94357" w:rsidRDefault="00C94357" w:rsidP="0053143C">
      <w:pPr>
        <w:pStyle w:val="Textonotapie"/>
        <w:numPr>
          <w:ilvl w:val="0"/>
          <w:numId w:val="22"/>
        </w:numPr>
      </w:pPr>
      <w:r w:rsidRPr="00A23816">
        <w:t>Red de Fibra FTTH-PON</w:t>
      </w:r>
    </w:p>
    <w:p w14:paraId="20F70BCE" w14:textId="77777777" w:rsidR="00C94357" w:rsidRDefault="00C94357" w:rsidP="0053143C">
      <w:pPr>
        <w:pStyle w:val="Textonotapie"/>
        <w:numPr>
          <w:ilvl w:val="0"/>
          <w:numId w:val="22"/>
        </w:numPr>
      </w:pPr>
      <w:r w:rsidRPr="00A23816">
        <w:t>Red de Fibra FTTC</w:t>
      </w:r>
    </w:p>
    <w:p w14:paraId="408C9F19" w14:textId="77777777" w:rsidR="00C94357" w:rsidRDefault="00C94357" w:rsidP="0053143C">
      <w:pPr>
        <w:pStyle w:val="Textonotapie"/>
        <w:numPr>
          <w:ilvl w:val="0"/>
          <w:numId w:val="22"/>
        </w:numPr>
      </w:pPr>
      <w:r w:rsidRPr="00A23816">
        <w:t>Red compartida entre las 3 tecnologías</w:t>
      </w:r>
    </w:p>
  </w:footnote>
  <w:footnote w:id="7">
    <w:p w14:paraId="20A8A2CC" w14:textId="3F08C580" w:rsidR="00C94357" w:rsidRDefault="00C94357">
      <w:pPr>
        <w:pStyle w:val="Textonotapie"/>
      </w:pPr>
      <w:r>
        <w:rPr>
          <w:rStyle w:val="Refdenotaalpie"/>
        </w:rPr>
        <w:footnoteRef/>
      </w:r>
      <w:r>
        <w:t xml:space="preserve"> Se incluyen los factores de enrutamiento para las categorías de </w:t>
      </w:r>
      <w:r w:rsidRPr="008B3602">
        <w:rPr>
          <w:i/>
          <w:iCs/>
        </w:rPr>
        <w:t>“PDP – Fibra”, “SDP – Fibra” y “Central – ODF”</w:t>
      </w:r>
      <w:r>
        <w:t xml:space="preserve">. </w:t>
      </w:r>
    </w:p>
  </w:footnote>
  <w:footnote w:id="8">
    <w:p w14:paraId="4E1FB551" w14:textId="6524135E" w:rsidR="00C94357" w:rsidRDefault="00C94357">
      <w:pPr>
        <w:pStyle w:val="Textonotapie"/>
      </w:pPr>
      <w:r>
        <w:rPr>
          <w:rStyle w:val="Refdenotaalpie"/>
        </w:rPr>
        <w:footnoteRef/>
      </w:r>
      <w:r>
        <w:t xml:space="preserve"> Si bien este Módulo no se presenta directamente entre los materiales compartidos en la consulta pública, la información relevante sobre los diferentes aspectos de funcionamiento del mismo (geomarketing, reglas de ingeniería, principales parámetros, etc.) </w:t>
      </w:r>
      <w:r w:rsidRPr="00565038">
        <w:t xml:space="preserve">se describen </w:t>
      </w:r>
      <w:r>
        <w:t xml:space="preserve">de manera detallada </w:t>
      </w:r>
      <w:r w:rsidRPr="00565038">
        <w:t>en el documento metodológico que forma parte de la consulta pública</w:t>
      </w:r>
      <w:r>
        <w:t>.</w:t>
      </w:r>
    </w:p>
  </w:footnote>
  <w:footnote w:id="9">
    <w:p w14:paraId="73721D9A" w14:textId="71B852E6" w:rsidR="00C94357" w:rsidRDefault="00C94357" w:rsidP="00BE371F">
      <w:pPr>
        <w:pStyle w:val="Textonotapie"/>
      </w:pPr>
      <w:r>
        <w:rPr>
          <w:rStyle w:val="Refdenotaalpie"/>
        </w:rPr>
        <w:footnoteRef/>
      </w:r>
      <w:r>
        <w:t xml:space="preserve"> Fuente: </w:t>
      </w:r>
      <w:r w:rsidRPr="00BE2EC6">
        <w:t xml:space="preserve"> </w:t>
      </w:r>
      <w:hyperlink r:id="rId1" w:history="1">
        <w:r w:rsidRPr="00B5257B">
          <w:rPr>
            <w:rStyle w:val="Hipervnculo"/>
          </w:rPr>
          <w:t>https://www.banxico.org.mx/publicaciones-y-prensa/encuestas-sobre-las-expectativas-de-los-especialis/%7B384D2689-12A4-02F7-8B3A-D18F36B3281A%7D.pdf</w:t>
        </w:r>
      </w:hyperlink>
    </w:p>
    <w:p w14:paraId="1B307FB9" w14:textId="7C7FFEF2" w:rsidR="00C94357" w:rsidRDefault="00C94357" w:rsidP="00BE371F">
      <w:pPr>
        <w:pStyle w:val="Textonotapie"/>
      </w:pPr>
      <w:r>
        <w:t>Se utiliza la expectativa de inflación general para el año 2024, por valor de 4</w:t>
      </w:r>
      <w:r w:rsidR="00C90ECD">
        <w:t>.</w:t>
      </w:r>
      <w:r>
        <w:t xml:space="preserve">05% (correspondiente al mes de junio). Adicionalmente, para reflejar el efecto del progreso tecnológico, se aplica una tendencia relativa a dicho progreso por valor de </w:t>
      </w:r>
      <w:r w:rsidRPr="000D2ECE">
        <w:t>0</w:t>
      </w:r>
      <w:r w:rsidR="00C90ECD">
        <w:t>.</w:t>
      </w:r>
      <w:r w:rsidRPr="000D2ECE">
        <w:t>32%</w:t>
      </w:r>
      <w:r>
        <w:t xml:space="preserve"> (basada en valores utilizados históricamente por el Instituto), de acuerdo con la siguiente fórmula: Tendencia de precios = </w:t>
      </w:r>
      <w:r w:rsidRPr="000D2ECE">
        <w:t>(1+4</w:t>
      </w:r>
      <w:r w:rsidR="00C90ECD">
        <w:t>.</w:t>
      </w:r>
      <w:r w:rsidRPr="000D2ECE">
        <w:t>05%)/(1+0</w:t>
      </w:r>
      <w:r w:rsidR="00C90ECD">
        <w:t>.</w:t>
      </w:r>
      <w:r w:rsidRPr="000D2ECE">
        <w:t>32%)-1 = 3</w:t>
      </w:r>
      <w:r w:rsidR="00C90ECD">
        <w:t>.</w:t>
      </w:r>
      <w:r w:rsidRPr="000D2ECE">
        <w:t>72%</w:t>
      </w:r>
    </w:p>
    <w:p w14:paraId="7BE6A23D" w14:textId="77777777" w:rsidR="00C94357" w:rsidRDefault="00C94357" w:rsidP="00BE371F">
      <w:pPr>
        <w:pStyle w:val="Textonotapie"/>
      </w:pPr>
    </w:p>
  </w:footnote>
  <w:footnote w:id="10">
    <w:p w14:paraId="3D21A64F" w14:textId="77777777" w:rsidR="00BD17A4" w:rsidRDefault="00BD17A4" w:rsidP="00BD17A4">
      <w:pPr>
        <w:pStyle w:val="Textonotapie"/>
      </w:pPr>
      <w:r>
        <w:rPr>
          <w:rStyle w:val="Refdenotaalpie"/>
        </w:rPr>
        <w:footnoteRef/>
      </w:r>
      <w:r>
        <w:t xml:space="preserve"> El Modelo de Interconexión, y el cálculo del CCPP, ha sido sometido a consulta el 9 de Junio de 2023 por el Instituto: </w:t>
      </w:r>
      <w:hyperlink r:id="rId2" w:history="1">
        <w:r w:rsidRPr="0084488B">
          <w:rPr>
            <w:rStyle w:val="Hipervnculo"/>
          </w:rPr>
          <w:t>https://www.ift.org.mx/industria/consultas-publicas/consulta-publica-sobre-los-modelos-de-costos-para-la-determinacion-de-tarifas-de-interconexion</w:t>
        </w:r>
      </w:hyperlink>
    </w:p>
    <w:p w14:paraId="6C9A7C8A" w14:textId="77777777" w:rsidR="00BD17A4" w:rsidRDefault="00BD17A4">
      <w:pPr>
        <w:pStyle w:val="Textonotapie"/>
      </w:pPr>
    </w:p>
  </w:footnote>
  <w:footnote w:id="11">
    <w:p w14:paraId="57B71048" w14:textId="40330941" w:rsidR="00C94357" w:rsidRDefault="00C94357">
      <w:pPr>
        <w:pStyle w:val="Textonotapie"/>
      </w:pPr>
      <w:r>
        <w:rPr>
          <w:rStyle w:val="Refdenotaalpie"/>
        </w:rPr>
        <w:footnoteRef/>
      </w:r>
      <w:r>
        <w:t xml:space="preserve"> Fuente: </w:t>
      </w:r>
      <w:hyperlink r:id="rId3" w:history="1">
        <w:r w:rsidRPr="0098045C">
          <w:rPr>
            <w:rStyle w:val="Hipervnculo"/>
          </w:rPr>
          <w:t>Diario Oficial del Instituto</w:t>
        </w:r>
      </w:hyperlink>
      <w:r>
        <w:rPr>
          <w:rStyle w:val="Hipervnculo"/>
        </w:rPr>
        <w:t xml:space="preserve"> </w:t>
      </w:r>
      <w:r>
        <w:t>(ver “T</w:t>
      </w:r>
      <w:r w:rsidRPr="00666DA4">
        <w:t xml:space="preserve">arifas por servicios de </w:t>
      </w:r>
      <w:proofErr w:type="spellStart"/>
      <w:r>
        <w:t>Coubicación</w:t>
      </w:r>
      <w:proofErr w:type="spellEnd"/>
      <w:r>
        <w:t>” de Tipo 1 y 2, página 56 del PDF).</w:t>
      </w:r>
    </w:p>
  </w:footnote>
  <w:footnote w:id="12">
    <w:p w14:paraId="505DDF42" w14:textId="0254BC7A" w:rsidR="00C94357" w:rsidRDefault="00C94357">
      <w:pPr>
        <w:pStyle w:val="Textonotapie"/>
      </w:pPr>
      <w:r>
        <w:rPr>
          <w:rStyle w:val="Refdenotaalpie"/>
        </w:rPr>
        <w:footnoteRef/>
      </w:r>
      <w:r>
        <w:t xml:space="preserve"> Se asume la Región de costo de Tipo Alto para Urbano.</w:t>
      </w:r>
    </w:p>
  </w:footnote>
  <w:footnote w:id="13">
    <w:p w14:paraId="197E0978" w14:textId="1062A2CA" w:rsidR="00C94357" w:rsidRDefault="00C94357" w:rsidP="00665A1F">
      <w:pPr>
        <w:pStyle w:val="Textonotapie"/>
      </w:pPr>
      <w:r>
        <w:rPr>
          <w:rStyle w:val="Refdenotaalpie"/>
        </w:rPr>
        <w:footnoteRef/>
      </w:r>
      <w:r>
        <w:t xml:space="preserve"> Se asume la Región de costo de Tipo Bajo para Rural.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6" w:space="0" w:color="0C2749" w:themeColor="text1"/>
      </w:tblBorders>
      <w:tblCellMar>
        <w:left w:w="0" w:type="dxa"/>
        <w:bottom w:w="113" w:type="dxa"/>
        <w:right w:w="0" w:type="dxa"/>
      </w:tblCellMar>
      <w:tblLook w:val="04A0" w:firstRow="1" w:lastRow="0" w:firstColumn="1" w:lastColumn="0" w:noHBand="0" w:noVBand="1"/>
    </w:tblPr>
    <w:tblGrid>
      <w:gridCol w:w="8470"/>
      <w:gridCol w:w="600"/>
    </w:tblGrid>
    <w:tr w:rsidR="00C94357" w14:paraId="2A3A1EEC" w14:textId="77777777" w:rsidTr="00DB2216">
      <w:trPr>
        <w:trHeight w:val="426"/>
      </w:trPr>
      <w:tc>
        <w:tcPr>
          <w:tcW w:w="4669" w:type="pct"/>
          <w:vAlign w:val="bottom"/>
        </w:tcPr>
        <w:p w14:paraId="027A8E42" w14:textId="6A4FB0DD" w:rsidR="00C94357" w:rsidRPr="00690F0A" w:rsidRDefault="00C94357" w:rsidP="00B47C58">
          <w:pPr>
            <w:pStyle w:val="Encabezado"/>
          </w:pPr>
          <w:r>
            <w:t>D</w:t>
          </w:r>
          <w:r>
            <w:rPr>
              <w:noProof/>
            </w:rPr>
            <w:t>ocumento metodológico de actualización del Modelo Integral de Red de Acceso Fija</w:t>
          </w:r>
        </w:p>
      </w:tc>
      <w:tc>
        <w:tcPr>
          <w:tcW w:w="331" w:type="pct"/>
          <w:vAlign w:val="center"/>
        </w:tcPr>
        <w:p w14:paraId="32B022F7" w14:textId="5DF7C815" w:rsidR="00C94357" w:rsidRPr="00690F0A" w:rsidRDefault="00C94357" w:rsidP="005302FB">
          <w:pPr>
            <w:pStyle w:val="Piedepgina"/>
            <w:jc w:val="right"/>
            <w:rPr>
              <w:szCs w:val="20"/>
            </w:rPr>
          </w:pPr>
        </w:p>
      </w:tc>
    </w:tr>
  </w:tbl>
  <w:p w14:paraId="12C10F44" w14:textId="77777777" w:rsidR="00C94357" w:rsidRDefault="00C943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3BE2716"/>
    <w:lvl w:ilvl="0">
      <w:start w:val="1"/>
      <w:numFmt w:val="decimal"/>
      <w:pStyle w:val="Listaconnmeros"/>
      <w:lvlText w:val="%1."/>
      <w:lvlJc w:val="left"/>
      <w:pPr>
        <w:ind w:left="425" w:hanging="425"/>
      </w:pPr>
      <w:rPr>
        <w:rFonts w:hint="default"/>
        <w:i w:val="0"/>
        <w:iCs w:val="0"/>
        <w:color w:val="FFC000" w:themeColor="accent3"/>
        <w:sz w:val="20"/>
      </w:rPr>
    </w:lvl>
  </w:abstractNum>
  <w:abstractNum w:abstractNumId="1" w15:restartNumberingAfterBreak="0">
    <w:nsid w:val="01F13BA3"/>
    <w:multiLevelType w:val="hybridMultilevel"/>
    <w:tmpl w:val="1BB0A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07D02"/>
    <w:multiLevelType w:val="hybridMultilevel"/>
    <w:tmpl w:val="B3A076FC"/>
    <w:lvl w:ilvl="0" w:tplc="03204B84">
      <w:start w:val="1"/>
      <w:numFmt w:val="bullet"/>
      <w:lvlText w:val=""/>
      <w:lvlJc w:val="left"/>
      <w:pPr>
        <w:ind w:left="1077" w:hanging="360"/>
      </w:pPr>
      <w:rPr>
        <w:rFonts w:ascii="Wingdings 3" w:hAnsi="Wingdings 3" w:hint="default"/>
        <w:color w:val="FFC000" w:themeColor="accent3"/>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A2D1A75"/>
    <w:multiLevelType w:val="hybridMultilevel"/>
    <w:tmpl w:val="5858C02E"/>
    <w:lvl w:ilvl="0" w:tplc="42B46AD2">
      <w:start w:val="1"/>
      <w:numFmt w:val="bullet"/>
      <w:pStyle w:val="Bullet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D516D"/>
    <w:multiLevelType w:val="multilevel"/>
    <w:tmpl w:val="15E0B018"/>
    <w:lvl w:ilvl="0">
      <w:start w:val="1"/>
      <w:numFmt w:val="bullet"/>
      <w:lvlText w:val=""/>
      <w:lvlJc w:val="left"/>
      <w:pPr>
        <w:ind w:left="425" w:hanging="425"/>
      </w:pPr>
      <w:rPr>
        <w:rFonts w:ascii="Wingdings 3" w:hAnsi="Wingdings 3" w:hint="default"/>
        <w:color w:val="FFC000" w:themeColor="accent3"/>
      </w:rPr>
    </w:lvl>
    <w:lvl w:ilvl="1">
      <w:start w:val="1"/>
      <w:numFmt w:val="bullet"/>
      <w:pStyle w:val="Listaconvietas2"/>
      <w:lvlText w:val=""/>
      <w:lvlJc w:val="left"/>
      <w:pPr>
        <w:ind w:left="851" w:hanging="426"/>
      </w:pPr>
      <w:rPr>
        <w:rFonts w:ascii="Wingdings 2" w:hAnsi="Wingdings 2" w:hint="default"/>
        <w:color w:val="FFC000"/>
      </w:rPr>
    </w:lvl>
    <w:lvl w:ilvl="2">
      <w:start w:val="1"/>
      <w:numFmt w:val="bullet"/>
      <w:pStyle w:val="Listaconvietas3"/>
      <w:lvlText w:val=""/>
      <w:lvlJc w:val="left"/>
      <w:pPr>
        <w:ind w:left="1276" w:hanging="425"/>
      </w:pPr>
      <w:rPr>
        <w:rFonts w:ascii="Symbol" w:hAnsi="Symbol" w:hint="default"/>
        <w:color w:val="FFC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7556BA"/>
    <w:multiLevelType w:val="hybridMultilevel"/>
    <w:tmpl w:val="A3A09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F05BEA"/>
    <w:multiLevelType w:val="hybridMultilevel"/>
    <w:tmpl w:val="860C1118"/>
    <w:lvl w:ilvl="0" w:tplc="1ED069C4">
      <w:start w:val="1"/>
      <w:numFmt w:val="bullet"/>
      <w:pStyle w:val="Indentado2"/>
      <w:lvlText w:val="v"/>
      <w:lvlJc w:val="left"/>
      <w:pPr>
        <w:ind w:left="1176" w:hanging="360"/>
      </w:pPr>
      <w:rPr>
        <w:rFonts w:ascii="Wingdings" w:hAnsi="Wingdings" w:hint="default"/>
        <w:color w:val="0C2749" w:themeColor="accent1"/>
        <w:lang w:val="es-ES"/>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7" w15:restartNumberingAfterBreak="0">
    <w:nsid w:val="334D587A"/>
    <w:multiLevelType w:val="hybridMultilevel"/>
    <w:tmpl w:val="26F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D679F"/>
    <w:multiLevelType w:val="hybridMultilevel"/>
    <w:tmpl w:val="F650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F51FD"/>
    <w:multiLevelType w:val="multilevel"/>
    <w:tmpl w:val="07942532"/>
    <w:lvl w:ilvl="0">
      <w:start w:val="1"/>
      <w:numFmt w:val="upperLetter"/>
      <w:pStyle w:val="Annex1"/>
      <w:lvlText w:val="Annex %1."/>
      <w:lvlJc w:val="left"/>
      <w:pPr>
        <w:ind w:left="2160" w:hanging="360"/>
      </w:pPr>
      <w:rPr>
        <w:rFonts w:hint="default"/>
      </w:rPr>
    </w:lvl>
    <w:lvl w:ilvl="1">
      <w:start w:val="1"/>
      <w:numFmt w:val="decimal"/>
      <w:pStyle w:val="Annex2"/>
      <w:lvlText w:val="%1.%2."/>
      <w:lvlJc w:val="left"/>
      <w:pPr>
        <w:ind w:left="2880" w:hanging="360"/>
      </w:pPr>
      <w:rPr>
        <w:rFonts w:hint="default"/>
      </w:rPr>
    </w:lvl>
    <w:lvl w:ilvl="2">
      <w:start w:val="1"/>
      <w:numFmt w:val="decimal"/>
      <w:pStyle w:val="Annex3"/>
      <w:lvlText w:val="%1.%2.%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15:restartNumberingAfterBreak="0">
    <w:nsid w:val="39E07AFD"/>
    <w:multiLevelType w:val="multilevel"/>
    <w:tmpl w:val="FAF076D2"/>
    <w:lvl w:ilvl="0">
      <w:start w:val="1"/>
      <w:numFmt w:val="bullet"/>
      <w:lvlText w:val=""/>
      <w:lvlJc w:val="left"/>
      <w:pPr>
        <w:ind w:left="340" w:hanging="340"/>
      </w:pPr>
      <w:rPr>
        <w:rFonts w:ascii="Wingdings 3" w:hAnsi="Wingdings 3" w:hint="default"/>
        <w:color w:val="0C2749" w:themeColor="accent1"/>
        <w:sz w:val="22"/>
        <w:szCs w:val="22"/>
        <w:lang w:val="es-ES"/>
      </w:rPr>
    </w:lvl>
    <w:lvl w:ilvl="1">
      <w:start w:val="1"/>
      <w:numFmt w:val="bullet"/>
      <w:lvlText w:val=""/>
      <w:lvlJc w:val="left"/>
      <w:pPr>
        <w:ind w:left="680" w:hanging="340"/>
      </w:pPr>
      <w:rPr>
        <w:rFonts w:ascii="Symbol" w:hAnsi="Symbol" w:hint="default"/>
        <w:color w:val="0C2749" w:themeColor="text1"/>
      </w:rPr>
    </w:lvl>
    <w:lvl w:ilvl="2">
      <w:start w:val="1"/>
      <w:numFmt w:val="bullet"/>
      <w:lvlText w:val="-"/>
      <w:lvlJc w:val="left"/>
      <w:pPr>
        <w:ind w:left="907" w:hanging="227"/>
      </w:pPr>
      <w:rPr>
        <w:rFonts w:ascii="Verdana" w:hAnsi="Verdana" w:hint="default"/>
        <w:color w:val="0C2749" w:themeColor="text1"/>
      </w:rPr>
    </w:lvl>
    <w:lvl w:ilvl="3">
      <w:start w:val="1"/>
      <w:numFmt w:val="bullet"/>
      <w:lvlText w:val="o"/>
      <w:lvlJc w:val="left"/>
      <w:pPr>
        <w:ind w:left="1474" w:hanging="453"/>
      </w:pPr>
      <w:rPr>
        <w:rFonts w:ascii="Courier New" w:hAnsi="Courier New" w:hint="default"/>
      </w:rPr>
    </w:lvl>
    <w:lvl w:ilvl="4">
      <w:start w:val="1"/>
      <w:numFmt w:val="bullet"/>
      <w:lvlText w:val="o"/>
      <w:lvlJc w:val="left"/>
      <w:pPr>
        <w:ind w:left="4366" w:hanging="360"/>
      </w:pPr>
      <w:rPr>
        <w:rFonts w:ascii="Courier New" w:hAnsi="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11" w15:restartNumberingAfterBreak="0">
    <w:nsid w:val="42B14F74"/>
    <w:multiLevelType w:val="multilevel"/>
    <w:tmpl w:val="0B506B26"/>
    <w:lvl w:ilvl="0">
      <w:start w:val="1"/>
      <w:numFmt w:val="decimal"/>
      <w:pStyle w:val="Update"/>
      <w:suff w:val="space"/>
      <w:lvlText w:val="Actualización %1."/>
      <w:lvlJc w:val="left"/>
      <w:pPr>
        <w:ind w:left="0" w:firstLine="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3B24C80"/>
    <w:multiLevelType w:val="hybridMultilevel"/>
    <w:tmpl w:val="E8B05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8C7A7D"/>
    <w:multiLevelType w:val="multilevel"/>
    <w:tmpl w:val="80CE050E"/>
    <w:lvl w:ilvl="0">
      <w:start w:val="1"/>
      <w:numFmt w:val="decimal"/>
      <w:lvlText w:val="%1."/>
      <w:lvlJc w:val="left"/>
      <w:pPr>
        <w:ind w:left="360" w:hanging="360"/>
      </w:pPr>
      <w:rPr>
        <w:rFonts w:hint="default"/>
        <w:b/>
        <w:i w:val="0"/>
        <w:color w:val="0C2749" w:themeColor="accent1"/>
        <w:sz w:val="40"/>
        <w:szCs w:val="40"/>
      </w:rPr>
    </w:lvl>
    <w:lvl w:ilvl="1">
      <w:start w:val="1"/>
      <w:numFmt w:val="decimal"/>
      <w:suff w:val="space"/>
      <w:lvlText w:val="%1.%2."/>
      <w:lvlJc w:val="left"/>
      <w:pPr>
        <w:ind w:left="357" w:hanging="357"/>
      </w:pPr>
      <w:rPr>
        <w:b/>
        <w:bCs/>
        <w:i w:val="0"/>
        <w:iCs w:val="0"/>
        <w:caps w:val="0"/>
        <w:smallCaps w:val="0"/>
        <w:strike w:val="0"/>
        <w:dstrike w:val="0"/>
        <w:noProof w:val="0"/>
        <w:vanish w:val="0"/>
        <w:spacing w:val="0"/>
        <w:kern w:val="0"/>
        <w:position w:val="0"/>
        <w:u w:val="none"/>
        <w:vertAlign w:val="baseline"/>
        <w:em w:val="none"/>
        <w:lang w:val="es-ES"/>
      </w:rPr>
    </w:lvl>
    <w:lvl w:ilvl="2">
      <w:start w:val="1"/>
      <w:numFmt w:val="decimal"/>
      <w:suff w:val="space"/>
      <w:lvlText w:val="%1.%2.%3."/>
      <w:lvlJc w:val="left"/>
      <w:pPr>
        <w:ind w:left="357" w:hanging="357"/>
      </w:pPr>
      <w:rPr>
        <w:b/>
        <w:bCs/>
        <w:i w:val="0"/>
        <w:iCs w:val="0"/>
        <w:caps w:val="0"/>
        <w:smallCaps w:val="0"/>
        <w:strike w:val="0"/>
        <w:dstrike w:val="0"/>
        <w:noProof w:val="0"/>
        <w:vanish w:val="0"/>
        <w:color w:val="0C2749" w:themeColor="accent1"/>
        <w:spacing w:val="0"/>
        <w:kern w:val="0"/>
        <w:position w:val="0"/>
        <w:u w:val="none"/>
        <w:vertAlign w:val="baseline"/>
        <w:em w:val="none"/>
        <w:lang w:val="es-E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DC956E6"/>
    <w:multiLevelType w:val="hybridMultilevel"/>
    <w:tmpl w:val="12F0C15E"/>
    <w:lvl w:ilvl="0" w:tplc="4C82B0D2">
      <w:start w:val="1"/>
      <w:numFmt w:val="decimal"/>
      <w:pStyle w:val="NumberedParagraph"/>
      <w:lvlText w:val="%1."/>
      <w:lvlJc w:val="right"/>
      <w:pPr>
        <w:ind w:left="0"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A12A30"/>
    <w:multiLevelType w:val="hybridMultilevel"/>
    <w:tmpl w:val="EA068F20"/>
    <w:lvl w:ilvl="0" w:tplc="4958290E">
      <w:start w:val="1"/>
      <w:numFmt w:val="bullet"/>
      <w:lvlText w:val=""/>
      <w:lvlJc w:val="left"/>
      <w:pPr>
        <w:ind w:left="1145" w:hanging="360"/>
      </w:pPr>
      <w:rPr>
        <w:rFonts w:ascii="Wingdings 3" w:hAnsi="Wingdings 3" w:hint="default"/>
        <w:color w:val="FFC000" w:themeColor="accent3"/>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6" w15:restartNumberingAfterBreak="0">
    <w:nsid w:val="4F7D24D7"/>
    <w:multiLevelType w:val="hybridMultilevel"/>
    <w:tmpl w:val="98265A30"/>
    <w:lvl w:ilvl="0" w:tplc="6F22F026">
      <w:start w:val="1"/>
      <w:numFmt w:val="lowerLetter"/>
      <w:pStyle w:val="ListAlphabet"/>
      <w:lvlText w:val="%1)"/>
      <w:lvlJc w:val="left"/>
      <w:pPr>
        <w:ind w:left="425" w:hanging="425"/>
      </w:pPr>
      <w:rPr>
        <w:rFonts w:hint="default"/>
        <w:color w:val="FFC00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10E74"/>
    <w:multiLevelType w:val="hybridMultilevel"/>
    <w:tmpl w:val="4BF669C2"/>
    <w:lvl w:ilvl="0" w:tplc="B4CEC150">
      <w:start w:val="1"/>
      <w:numFmt w:val="bullet"/>
      <w:pStyle w:val="Indentado1"/>
      <w:lvlText w:val=""/>
      <w:lvlJc w:val="left"/>
      <w:pPr>
        <w:ind w:left="360" w:hanging="360"/>
      </w:pPr>
      <w:rPr>
        <w:rFonts w:ascii="Wingdings 3" w:hAnsi="Wingdings 3" w:hint="default"/>
        <w:color w:val="0C2749" w:themeColor="accent1"/>
        <w:lang w:val="es-ES"/>
      </w:rPr>
    </w:lvl>
    <w:lvl w:ilvl="1" w:tplc="0C0A0009">
      <w:start w:val="1"/>
      <w:numFmt w:val="bullet"/>
      <w:lvlText w:val=""/>
      <w:lvlJc w:val="left"/>
      <w:pPr>
        <w:ind w:left="-3740" w:hanging="360"/>
      </w:pPr>
      <w:rPr>
        <w:rFonts w:ascii="Wingdings" w:hAnsi="Wingdings" w:hint="default"/>
        <w:color w:val="0C2749" w:themeColor="accent1"/>
      </w:rPr>
    </w:lvl>
    <w:lvl w:ilvl="2" w:tplc="040A0005">
      <w:start w:val="1"/>
      <w:numFmt w:val="bullet"/>
      <w:lvlText w:val=""/>
      <w:lvlJc w:val="left"/>
      <w:pPr>
        <w:ind w:left="-3020" w:hanging="360"/>
      </w:pPr>
      <w:rPr>
        <w:rFonts w:ascii="Wingdings" w:hAnsi="Wingdings" w:hint="default"/>
      </w:rPr>
    </w:lvl>
    <w:lvl w:ilvl="3" w:tplc="040A0001">
      <w:start w:val="1"/>
      <w:numFmt w:val="bullet"/>
      <w:lvlText w:val=""/>
      <w:lvlJc w:val="left"/>
      <w:pPr>
        <w:ind w:left="-2300" w:hanging="360"/>
      </w:pPr>
      <w:rPr>
        <w:rFonts w:ascii="Symbol" w:hAnsi="Symbol" w:hint="default"/>
      </w:rPr>
    </w:lvl>
    <w:lvl w:ilvl="4" w:tplc="2E12CAFE">
      <w:numFmt w:val="bullet"/>
      <w:lvlText w:val="•"/>
      <w:lvlJc w:val="left"/>
      <w:pPr>
        <w:ind w:left="-1580" w:hanging="360"/>
      </w:pPr>
      <w:rPr>
        <w:rFonts w:ascii="Verdana" w:eastAsia="Times New Roman" w:hAnsi="Verdana" w:cs="Times New Roman" w:hint="default"/>
      </w:rPr>
    </w:lvl>
    <w:lvl w:ilvl="5" w:tplc="040A0005">
      <w:start w:val="1"/>
      <w:numFmt w:val="bullet"/>
      <w:lvlText w:val=""/>
      <w:lvlJc w:val="left"/>
      <w:pPr>
        <w:ind w:left="-860" w:hanging="360"/>
      </w:pPr>
      <w:rPr>
        <w:rFonts w:ascii="Wingdings" w:hAnsi="Wingdings" w:hint="default"/>
      </w:rPr>
    </w:lvl>
    <w:lvl w:ilvl="6" w:tplc="040A0001">
      <w:start w:val="1"/>
      <w:numFmt w:val="bullet"/>
      <w:lvlText w:val=""/>
      <w:lvlJc w:val="left"/>
      <w:pPr>
        <w:ind w:left="-140" w:hanging="360"/>
      </w:pPr>
      <w:rPr>
        <w:rFonts w:ascii="Symbol" w:hAnsi="Symbol" w:hint="default"/>
      </w:rPr>
    </w:lvl>
    <w:lvl w:ilvl="7" w:tplc="040A0003">
      <w:start w:val="1"/>
      <w:numFmt w:val="bullet"/>
      <w:lvlText w:val="o"/>
      <w:lvlJc w:val="left"/>
      <w:pPr>
        <w:ind w:left="580" w:hanging="360"/>
      </w:pPr>
      <w:rPr>
        <w:rFonts w:ascii="Courier New" w:hAnsi="Courier New" w:cs="Courier New" w:hint="default"/>
      </w:rPr>
    </w:lvl>
    <w:lvl w:ilvl="8" w:tplc="040A0005">
      <w:start w:val="1"/>
      <w:numFmt w:val="bullet"/>
      <w:lvlText w:val=""/>
      <w:lvlJc w:val="left"/>
      <w:pPr>
        <w:ind w:left="1300" w:hanging="360"/>
      </w:pPr>
      <w:rPr>
        <w:rFonts w:ascii="Wingdings" w:hAnsi="Wingdings" w:hint="default"/>
      </w:rPr>
    </w:lvl>
  </w:abstractNum>
  <w:abstractNum w:abstractNumId="18" w15:restartNumberingAfterBreak="0">
    <w:nsid w:val="500E7546"/>
    <w:multiLevelType w:val="hybridMultilevel"/>
    <w:tmpl w:val="BC06E3BE"/>
    <w:lvl w:ilvl="0" w:tplc="B6740624">
      <w:start w:val="1"/>
      <w:numFmt w:val="bullet"/>
      <w:lvlText w:val=""/>
      <w:lvlJc w:val="left"/>
      <w:pPr>
        <w:ind w:left="360" w:hanging="360"/>
      </w:pPr>
      <w:rPr>
        <w:rFonts w:ascii="Wingdings" w:hAnsi="Wingdings" w:hint="default"/>
        <w:b/>
        <w:i w:val="0"/>
        <w:color w:val="FFC000" w:themeColor="accent3"/>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4174BB9"/>
    <w:multiLevelType w:val="hybridMultilevel"/>
    <w:tmpl w:val="624C657C"/>
    <w:lvl w:ilvl="0" w:tplc="E5AEFA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C968DA"/>
    <w:multiLevelType w:val="hybridMultilevel"/>
    <w:tmpl w:val="65305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554956"/>
    <w:multiLevelType w:val="hybridMultilevel"/>
    <w:tmpl w:val="6EA2A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405A36"/>
    <w:multiLevelType w:val="hybridMultilevel"/>
    <w:tmpl w:val="1E947A70"/>
    <w:lvl w:ilvl="0" w:tplc="5FD629C8">
      <w:start w:val="1"/>
      <w:numFmt w:val="lowerRoman"/>
      <w:pStyle w:val="ListRomans"/>
      <w:lvlText w:val="%1."/>
      <w:lvlJc w:val="left"/>
      <w:pPr>
        <w:ind w:left="851" w:hanging="426"/>
      </w:pPr>
      <w:rPr>
        <w:rFonts w:hint="default"/>
        <w:b w:val="0"/>
        <w:bCs w:val="0"/>
        <w:i w:val="0"/>
        <w:iCs w:val="0"/>
        <w:color w:val="FFC000" w:themeColor="accent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40ABB"/>
    <w:multiLevelType w:val="hybridMultilevel"/>
    <w:tmpl w:val="3516D8CA"/>
    <w:lvl w:ilvl="0" w:tplc="59B048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7113390"/>
    <w:multiLevelType w:val="hybridMultilevel"/>
    <w:tmpl w:val="9DBE268C"/>
    <w:lvl w:ilvl="0" w:tplc="392CBDE6">
      <w:start w:val="1"/>
      <w:numFmt w:val="bullet"/>
      <w:pStyle w:val="TableListBullet"/>
      <w:lvlText w:val=""/>
      <w:lvlJc w:val="left"/>
      <w:pPr>
        <w:ind w:left="170" w:hanging="170"/>
      </w:pPr>
      <w:rPr>
        <w:rFonts w:ascii="Wingdings 3" w:hAnsi="Wingdings 3" w:hint="default"/>
        <w:color w:val="FFC000" w:themeColor="accent3"/>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5211F0"/>
    <w:multiLevelType w:val="hybridMultilevel"/>
    <w:tmpl w:val="0214240C"/>
    <w:lvl w:ilvl="0" w:tplc="40D80648">
      <w:start w:val="1"/>
      <w:numFmt w:val="bullet"/>
      <w:lvlText w:val=""/>
      <w:lvlJc w:val="left"/>
      <w:pPr>
        <w:ind w:left="720" w:hanging="360"/>
      </w:pPr>
      <w:rPr>
        <w:rFonts w:ascii="Wingdings 3" w:hAnsi="Wingdings 3" w:hint="default"/>
        <w:color w:val="FFC000"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56585A"/>
    <w:multiLevelType w:val="hybridMultilevel"/>
    <w:tmpl w:val="7BC011E6"/>
    <w:lvl w:ilvl="0" w:tplc="1608859C">
      <w:start w:val="1"/>
      <w:numFmt w:val="bullet"/>
      <w:lvlText w:val=""/>
      <w:lvlJc w:val="left"/>
      <w:pPr>
        <w:ind w:left="720" w:hanging="360"/>
      </w:pPr>
      <w:rPr>
        <w:rFonts w:ascii="Wingdings 3" w:hAnsi="Wingdings 3" w:hint="default"/>
        <w:color w:val="FFC000" w:themeColor="accent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8A7595"/>
    <w:multiLevelType w:val="hybridMultilevel"/>
    <w:tmpl w:val="3E0CA55C"/>
    <w:lvl w:ilvl="0" w:tplc="B6740624">
      <w:start w:val="1"/>
      <w:numFmt w:val="bullet"/>
      <w:lvlText w:val=""/>
      <w:lvlJc w:val="left"/>
      <w:pPr>
        <w:ind w:left="360" w:hanging="360"/>
      </w:pPr>
      <w:rPr>
        <w:rFonts w:ascii="Wingdings" w:hAnsi="Wingdings" w:hint="default"/>
        <w:b/>
        <w:i w:val="0"/>
        <w:color w:val="FFC000" w:themeColor="accent3"/>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8727113"/>
    <w:multiLevelType w:val="hybridMultilevel"/>
    <w:tmpl w:val="EE9A1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E72706"/>
    <w:multiLevelType w:val="multilevel"/>
    <w:tmpl w:val="3DE4A966"/>
    <w:lvl w:ilvl="0">
      <w:start w:val="1"/>
      <w:numFmt w:val="decimal"/>
      <w:pStyle w:val="Ttulo1"/>
      <w:lvlText w:val="%1."/>
      <w:lvlJc w:val="left"/>
      <w:pPr>
        <w:ind w:left="0" w:firstLine="0"/>
      </w:pPr>
      <w:rPr>
        <w:rFonts w:hint="default"/>
      </w:rPr>
    </w:lvl>
    <w:lvl w:ilvl="1">
      <w:start w:val="1"/>
      <w:numFmt w:val="decimal"/>
      <w:pStyle w:val="Ttulo2"/>
      <w:lvlText w:val="%1.%2."/>
      <w:lvlJc w:val="left"/>
      <w:pPr>
        <w:ind w:left="0" w:firstLine="0"/>
      </w:pPr>
      <w:rPr>
        <w:rFonts w:hint="default"/>
      </w:rPr>
    </w:lvl>
    <w:lvl w:ilvl="2">
      <w:start w:val="1"/>
      <w:numFmt w:val="decimal"/>
      <w:pStyle w:val="Ttulo3"/>
      <w:lvlText w:val="%1.%2.%3."/>
      <w:lvlJc w:val="left"/>
      <w:pPr>
        <w:ind w:left="0" w:firstLine="0"/>
      </w:pPr>
      <w:rPr>
        <w:rFonts w:hint="default"/>
      </w:rPr>
    </w:lvl>
    <w:lvl w:ilvl="3">
      <w:start w:val="1"/>
      <w:numFmt w:val="none"/>
      <w:pStyle w:val="Ttulo4"/>
      <w:lvlText w:val=""/>
      <w:lvlJc w:val="left"/>
      <w:pPr>
        <w:ind w:left="0" w:firstLine="0"/>
      </w:pPr>
      <w:rPr>
        <w:rFonts w:hint="default"/>
      </w:rPr>
    </w:lvl>
    <w:lvl w:ilvl="4">
      <w:start w:val="1"/>
      <w:numFmt w:val="none"/>
      <w:pStyle w:val="Ttulo5"/>
      <w:lvlText w:val=""/>
      <w:lvlJc w:val="left"/>
      <w:pPr>
        <w:ind w:left="0" w:firstLine="0"/>
      </w:pPr>
      <w:rPr>
        <w:rFonts w:hint="default"/>
      </w:rPr>
    </w:lvl>
    <w:lvl w:ilvl="5">
      <w:start w:val="1"/>
      <w:numFmt w:val="none"/>
      <w:pStyle w:val="Ttulo6"/>
      <w:lvlText w:val=""/>
      <w:lvlJc w:val="left"/>
      <w:pPr>
        <w:ind w:left="1152" w:hanging="1152"/>
      </w:pPr>
      <w:rPr>
        <w:rFonts w:hint="default"/>
      </w:rPr>
    </w:lvl>
    <w:lvl w:ilvl="6">
      <w:start w:val="1"/>
      <w:numFmt w:val="none"/>
      <w:pStyle w:val="Ttulo7"/>
      <w:lvlText w:val=""/>
      <w:lvlJc w:val="left"/>
      <w:pPr>
        <w:ind w:left="1296" w:hanging="1296"/>
      </w:pPr>
      <w:rPr>
        <w:rFonts w:hint="default"/>
      </w:rPr>
    </w:lvl>
    <w:lvl w:ilvl="7">
      <w:start w:val="1"/>
      <w:numFmt w:val="none"/>
      <w:pStyle w:val="Ttulo8"/>
      <w:lvlText w:val=""/>
      <w:lvlJc w:val="left"/>
      <w:pPr>
        <w:ind w:left="1440" w:hanging="1440"/>
      </w:pPr>
      <w:rPr>
        <w:rFonts w:hint="default"/>
      </w:rPr>
    </w:lvl>
    <w:lvl w:ilvl="8">
      <w:start w:val="1"/>
      <w:numFmt w:val="none"/>
      <w:pStyle w:val="Ttulo9"/>
      <w:lvlText w:val=""/>
      <w:lvlJc w:val="left"/>
      <w:pPr>
        <w:ind w:left="1584" w:hanging="1584"/>
      </w:pPr>
      <w:rPr>
        <w:rFonts w:hint="default"/>
      </w:rPr>
    </w:lvl>
  </w:abstractNum>
  <w:num w:numId="1">
    <w:abstractNumId w:val="14"/>
  </w:num>
  <w:num w:numId="2">
    <w:abstractNumId w:val="29"/>
  </w:num>
  <w:num w:numId="3">
    <w:abstractNumId w:val="0"/>
  </w:num>
  <w:num w:numId="4">
    <w:abstractNumId w:val="4"/>
  </w:num>
  <w:num w:numId="5">
    <w:abstractNumId w:val="24"/>
  </w:num>
  <w:num w:numId="6">
    <w:abstractNumId w:val="22"/>
  </w:num>
  <w:num w:numId="7">
    <w:abstractNumId w:val="16"/>
  </w:num>
  <w:num w:numId="8">
    <w:abstractNumId w:val="9"/>
    <w:lvlOverride w:ilvl="0">
      <w:lvl w:ilvl="0">
        <w:start w:val="1"/>
        <w:numFmt w:val="upperLetter"/>
        <w:pStyle w:val="Annex1"/>
        <w:lvlText w:val="Annex %1."/>
        <w:lvlJc w:val="left"/>
        <w:pPr>
          <w:ind w:left="2160" w:hanging="360"/>
        </w:pPr>
        <w:rPr>
          <w:rFonts w:hint="default"/>
        </w:rPr>
      </w:lvl>
    </w:lvlOverride>
    <w:lvlOverride w:ilvl="1">
      <w:lvl w:ilvl="1">
        <w:start w:val="1"/>
        <w:numFmt w:val="decimal"/>
        <w:pStyle w:val="Annex2"/>
        <w:lvlText w:val="%1.%2."/>
        <w:lvlJc w:val="left"/>
        <w:pPr>
          <w:ind w:left="2880" w:hanging="360"/>
        </w:pPr>
        <w:rPr>
          <w:rFonts w:hint="default"/>
        </w:rPr>
      </w:lvl>
    </w:lvlOverride>
    <w:lvlOverride w:ilvl="2">
      <w:lvl w:ilvl="2">
        <w:start w:val="1"/>
        <w:numFmt w:val="decimal"/>
        <w:pStyle w:val="Annex3"/>
        <w:lvlText w:val="%1.%2.%3."/>
        <w:lvlJc w:val="lef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9">
    <w:abstractNumId w:val="9"/>
    <w:lvlOverride w:ilvl="0">
      <w:lvl w:ilvl="0">
        <w:start w:val="1"/>
        <w:numFmt w:val="upperLetter"/>
        <w:pStyle w:val="Annex1"/>
        <w:lvlText w:val="Annex %1."/>
        <w:lvlJc w:val="left"/>
        <w:pPr>
          <w:ind w:left="0" w:firstLine="0"/>
        </w:pPr>
        <w:rPr>
          <w:rFonts w:hint="default"/>
        </w:rPr>
      </w:lvl>
    </w:lvlOverride>
    <w:lvlOverride w:ilvl="1">
      <w:lvl w:ilvl="1">
        <w:start w:val="1"/>
        <w:numFmt w:val="decimal"/>
        <w:pStyle w:val="Annex2"/>
        <w:lvlText w:val="%1.%2."/>
        <w:lvlJc w:val="left"/>
        <w:pPr>
          <w:ind w:left="0" w:firstLine="0"/>
        </w:pPr>
        <w:rPr>
          <w:rFonts w:hint="default"/>
        </w:rPr>
      </w:lvl>
    </w:lvlOverride>
    <w:lvlOverride w:ilvl="2">
      <w:lvl w:ilvl="2">
        <w:start w:val="1"/>
        <w:numFmt w:val="decimal"/>
        <w:pStyle w:val="Annex3"/>
        <w:lvlText w:val="%1.%2.%3."/>
        <w:lvlJc w:val="left"/>
        <w:pPr>
          <w:ind w:left="0" w:firstLine="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0">
    <w:abstractNumId w:val="9"/>
    <w:lvlOverride w:ilvl="0">
      <w:lvl w:ilvl="0">
        <w:start w:val="1"/>
        <w:numFmt w:val="upperLetter"/>
        <w:pStyle w:val="Annex1"/>
        <w:lvlText w:val="Annex %1."/>
        <w:lvlJc w:val="left"/>
        <w:pPr>
          <w:ind w:left="0" w:firstLine="0"/>
        </w:pPr>
        <w:rPr>
          <w:rFonts w:hint="default"/>
        </w:rPr>
      </w:lvl>
    </w:lvlOverride>
    <w:lvlOverride w:ilvl="1">
      <w:lvl w:ilvl="1">
        <w:start w:val="1"/>
        <w:numFmt w:val="decimal"/>
        <w:pStyle w:val="Annex2"/>
        <w:lvlText w:val="%1.%2."/>
        <w:lvlJc w:val="left"/>
        <w:pPr>
          <w:ind w:left="0" w:firstLine="0"/>
        </w:pPr>
        <w:rPr>
          <w:rFonts w:hint="default"/>
        </w:rPr>
      </w:lvl>
    </w:lvlOverride>
    <w:lvlOverride w:ilvl="2">
      <w:lvl w:ilvl="2">
        <w:start w:val="1"/>
        <w:numFmt w:val="decimal"/>
        <w:pStyle w:val="Annex3"/>
        <w:lvlText w:val="%1.%2.%3."/>
        <w:lvlJc w:val="left"/>
        <w:pPr>
          <w:ind w:left="0" w:firstLine="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1">
    <w:abstractNumId w:val="9"/>
    <w:lvlOverride w:ilvl="0">
      <w:lvl w:ilvl="0">
        <w:start w:val="1"/>
        <w:numFmt w:val="upperLetter"/>
        <w:pStyle w:val="Annex1"/>
        <w:lvlText w:val="Annex %1."/>
        <w:lvlJc w:val="left"/>
        <w:pPr>
          <w:ind w:left="0" w:firstLine="0"/>
        </w:pPr>
        <w:rPr>
          <w:rFonts w:hint="default"/>
        </w:rPr>
      </w:lvl>
    </w:lvlOverride>
    <w:lvlOverride w:ilvl="1">
      <w:lvl w:ilvl="1">
        <w:start w:val="1"/>
        <w:numFmt w:val="decimal"/>
        <w:pStyle w:val="Annex2"/>
        <w:lvlText w:val="%1.%2."/>
        <w:lvlJc w:val="left"/>
        <w:pPr>
          <w:ind w:left="0" w:firstLine="0"/>
        </w:pPr>
        <w:rPr>
          <w:rFonts w:hint="default"/>
        </w:rPr>
      </w:lvl>
    </w:lvlOverride>
    <w:lvlOverride w:ilvl="2">
      <w:lvl w:ilvl="2">
        <w:start w:val="1"/>
        <w:numFmt w:val="decimal"/>
        <w:pStyle w:val="Annex3"/>
        <w:lvlText w:val="%1.%2.%3."/>
        <w:lvlJc w:val="left"/>
        <w:pPr>
          <w:ind w:left="0" w:firstLine="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6"/>
  </w:num>
  <w:num w:numId="13">
    <w:abstractNumId w:val="17"/>
  </w:num>
  <w:num w:numId="14">
    <w:abstractNumId w:val="10"/>
  </w:num>
  <w:num w:numId="15">
    <w:abstractNumId w:val="13"/>
  </w:num>
  <w:num w:numId="16">
    <w:abstractNumId w:val="26"/>
  </w:num>
  <w:num w:numId="17">
    <w:abstractNumId w:val="27"/>
  </w:num>
  <w:num w:numId="18">
    <w:abstractNumId w:val="18"/>
  </w:num>
  <w:num w:numId="19">
    <w:abstractNumId w:val="11"/>
  </w:num>
  <w:num w:numId="20">
    <w:abstractNumId w:val="15"/>
  </w:num>
  <w:num w:numId="21">
    <w:abstractNumId w:val="12"/>
  </w:num>
  <w:num w:numId="22">
    <w:abstractNumId w:val="7"/>
  </w:num>
  <w:num w:numId="23">
    <w:abstractNumId w:val="2"/>
  </w:num>
  <w:num w:numId="24">
    <w:abstractNumId w:val="8"/>
  </w:num>
  <w:num w:numId="25">
    <w:abstractNumId w:val="25"/>
  </w:num>
  <w:num w:numId="26">
    <w:abstractNumId w:val="1"/>
  </w:num>
  <w:num w:numId="27">
    <w:abstractNumId w:val="21"/>
  </w:num>
  <w:num w:numId="28">
    <w:abstractNumId w:val="19"/>
  </w:num>
  <w:num w:numId="29">
    <w:abstractNumId w:val="5"/>
  </w:num>
  <w:num w:numId="30">
    <w:abstractNumId w:val="28"/>
  </w:num>
  <w:num w:numId="31">
    <w:abstractNumId w:val="20"/>
  </w:num>
  <w:num w:numId="32">
    <w:abstractNumId w:val="23"/>
  </w:num>
  <w:num w:numId="3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DU1MTa3MDExNTNX0lEKTi0uzszPAymwqAUApWzDRSwAAAA="/>
  </w:docVars>
  <w:rsids>
    <w:rsidRoot w:val="00E92D59"/>
    <w:rsid w:val="000000B0"/>
    <w:rsid w:val="00000BFB"/>
    <w:rsid w:val="00000E83"/>
    <w:rsid w:val="00000FCA"/>
    <w:rsid w:val="0000115B"/>
    <w:rsid w:val="000015A6"/>
    <w:rsid w:val="00001604"/>
    <w:rsid w:val="0000192C"/>
    <w:rsid w:val="000027AC"/>
    <w:rsid w:val="0000361B"/>
    <w:rsid w:val="0000396C"/>
    <w:rsid w:val="00004081"/>
    <w:rsid w:val="00004B9E"/>
    <w:rsid w:val="00004E67"/>
    <w:rsid w:val="00005168"/>
    <w:rsid w:val="00005595"/>
    <w:rsid w:val="00006DEA"/>
    <w:rsid w:val="00006F17"/>
    <w:rsid w:val="000071CB"/>
    <w:rsid w:val="00007AF6"/>
    <w:rsid w:val="000103B4"/>
    <w:rsid w:val="0001046D"/>
    <w:rsid w:val="00010DA8"/>
    <w:rsid w:val="00011BA5"/>
    <w:rsid w:val="00011DF7"/>
    <w:rsid w:val="00011E78"/>
    <w:rsid w:val="0001208B"/>
    <w:rsid w:val="0001245B"/>
    <w:rsid w:val="00013734"/>
    <w:rsid w:val="00013CAC"/>
    <w:rsid w:val="00014B3E"/>
    <w:rsid w:val="00014D76"/>
    <w:rsid w:val="00014E04"/>
    <w:rsid w:val="00014F2A"/>
    <w:rsid w:val="0001566A"/>
    <w:rsid w:val="000158EA"/>
    <w:rsid w:val="00015DD4"/>
    <w:rsid w:val="00016244"/>
    <w:rsid w:val="00016806"/>
    <w:rsid w:val="000169C4"/>
    <w:rsid w:val="00020B29"/>
    <w:rsid w:val="0002121F"/>
    <w:rsid w:val="0002147E"/>
    <w:rsid w:val="000220AF"/>
    <w:rsid w:val="000221EF"/>
    <w:rsid w:val="00022333"/>
    <w:rsid w:val="0002255B"/>
    <w:rsid w:val="00022D58"/>
    <w:rsid w:val="00023360"/>
    <w:rsid w:val="0002360A"/>
    <w:rsid w:val="0002383A"/>
    <w:rsid w:val="00024826"/>
    <w:rsid w:val="00024AA7"/>
    <w:rsid w:val="00025319"/>
    <w:rsid w:val="000253B4"/>
    <w:rsid w:val="00025D94"/>
    <w:rsid w:val="00026020"/>
    <w:rsid w:val="000262DC"/>
    <w:rsid w:val="00026AAA"/>
    <w:rsid w:val="00026EE0"/>
    <w:rsid w:val="00027780"/>
    <w:rsid w:val="000277FA"/>
    <w:rsid w:val="00027D0D"/>
    <w:rsid w:val="00030A5F"/>
    <w:rsid w:val="00030EC9"/>
    <w:rsid w:val="0003109E"/>
    <w:rsid w:val="0003140E"/>
    <w:rsid w:val="000314AE"/>
    <w:rsid w:val="0003189A"/>
    <w:rsid w:val="0003243E"/>
    <w:rsid w:val="000324E3"/>
    <w:rsid w:val="000328EA"/>
    <w:rsid w:val="000334EE"/>
    <w:rsid w:val="000339A2"/>
    <w:rsid w:val="00033D2F"/>
    <w:rsid w:val="00034202"/>
    <w:rsid w:val="000342AE"/>
    <w:rsid w:val="00034B1F"/>
    <w:rsid w:val="00034F09"/>
    <w:rsid w:val="00035B93"/>
    <w:rsid w:val="00036339"/>
    <w:rsid w:val="00036CFE"/>
    <w:rsid w:val="00037799"/>
    <w:rsid w:val="00037B73"/>
    <w:rsid w:val="00037F3C"/>
    <w:rsid w:val="000403D2"/>
    <w:rsid w:val="00040CE0"/>
    <w:rsid w:val="000414D7"/>
    <w:rsid w:val="00041F9C"/>
    <w:rsid w:val="000423B8"/>
    <w:rsid w:val="00042F4E"/>
    <w:rsid w:val="0004321E"/>
    <w:rsid w:val="000445C8"/>
    <w:rsid w:val="0004506A"/>
    <w:rsid w:val="0004560F"/>
    <w:rsid w:val="0004561A"/>
    <w:rsid w:val="00046286"/>
    <w:rsid w:val="00046A14"/>
    <w:rsid w:val="00050027"/>
    <w:rsid w:val="000501F7"/>
    <w:rsid w:val="0005043F"/>
    <w:rsid w:val="00052B14"/>
    <w:rsid w:val="000530C4"/>
    <w:rsid w:val="00053D69"/>
    <w:rsid w:val="0005427F"/>
    <w:rsid w:val="00054DCE"/>
    <w:rsid w:val="00056AEC"/>
    <w:rsid w:val="00056C2B"/>
    <w:rsid w:val="000574CD"/>
    <w:rsid w:val="00057939"/>
    <w:rsid w:val="00057BB3"/>
    <w:rsid w:val="00060012"/>
    <w:rsid w:val="00060438"/>
    <w:rsid w:val="000605BB"/>
    <w:rsid w:val="000606CA"/>
    <w:rsid w:val="00060F74"/>
    <w:rsid w:val="0006123C"/>
    <w:rsid w:val="000614EB"/>
    <w:rsid w:val="0006190D"/>
    <w:rsid w:val="000621C8"/>
    <w:rsid w:val="00062264"/>
    <w:rsid w:val="0006376C"/>
    <w:rsid w:val="00063C48"/>
    <w:rsid w:val="0006401D"/>
    <w:rsid w:val="00064727"/>
    <w:rsid w:val="00064E3D"/>
    <w:rsid w:val="00064E75"/>
    <w:rsid w:val="000679AA"/>
    <w:rsid w:val="00067E70"/>
    <w:rsid w:val="00067F51"/>
    <w:rsid w:val="000706FB"/>
    <w:rsid w:val="000709D3"/>
    <w:rsid w:val="00070D77"/>
    <w:rsid w:val="00070F2F"/>
    <w:rsid w:val="0007110F"/>
    <w:rsid w:val="0007210A"/>
    <w:rsid w:val="0007216C"/>
    <w:rsid w:val="0007318D"/>
    <w:rsid w:val="00073A47"/>
    <w:rsid w:val="00075CE2"/>
    <w:rsid w:val="000764A2"/>
    <w:rsid w:val="00076B57"/>
    <w:rsid w:val="00076C4E"/>
    <w:rsid w:val="00077A07"/>
    <w:rsid w:val="0008061B"/>
    <w:rsid w:val="0008136B"/>
    <w:rsid w:val="000817FC"/>
    <w:rsid w:val="00081B19"/>
    <w:rsid w:val="00082D69"/>
    <w:rsid w:val="0008347F"/>
    <w:rsid w:val="0008525F"/>
    <w:rsid w:val="000863E0"/>
    <w:rsid w:val="00086C13"/>
    <w:rsid w:val="00087379"/>
    <w:rsid w:val="000873CA"/>
    <w:rsid w:val="00087E56"/>
    <w:rsid w:val="000901F7"/>
    <w:rsid w:val="000902B4"/>
    <w:rsid w:val="00090725"/>
    <w:rsid w:val="00090BF7"/>
    <w:rsid w:val="00092DEF"/>
    <w:rsid w:val="00092FAD"/>
    <w:rsid w:val="00093C47"/>
    <w:rsid w:val="00093D97"/>
    <w:rsid w:val="00093E6E"/>
    <w:rsid w:val="00093ECA"/>
    <w:rsid w:val="00093FFC"/>
    <w:rsid w:val="00094530"/>
    <w:rsid w:val="00094DD2"/>
    <w:rsid w:val="00094FCD"/>
    <w:rsid w:val="00095E26"/>
    <w:rsid w:val="0009638D"/>
    <w:rsid w:val="00096C5D"/>
    <w:rsid w:val="000A026B"/>
    <w:rsid w:val="000A12D7"/>
    <w:rsid w:val="000A1479"/>
    <w:rsid w:val="000A279E"/>
    <w:rsid w:val="000A28F8"/>
    <w:rsid w:val="000A347C"/>
    <w:rsid w:val="000A440E"/>
    <w:rsid w:val="000A5801"/>
    <w:rsid w:val="000A60CA"/>
    <w:rsid w:val="000A6822"/>
    <w:rsid w:val="000A72E2"/>
    <w:rsid w:val="000A7B57"/>
    <w:rsid w:val="000B015C"/>
    <w:rsid w:val="000B03D7"/>
    <w:rsid w:val="000B04D8"/>
    <w:rsid w:val="000B0832"/>
    <w:rsid w:val="000B18F8"/>
    <w:rsid w:val="000B193F"/>
    <w:rsid w:val="000B1A8A"/>
    <w:rsid w:val="000B20ED"/>
    <w:rsid w:val="000B2612"/>
    <w:rsid w:val="000B2770"/>
    <w:rsid w:val="000B2A6E"/>
    <w:rsid w:val="000B4B4D"/>
    <w:rsid w:val="000B4F3E"/>
    <w:rsid w:val="000B4F6F"/>
    <w:rsid w:val="000B522D"/>
    <w:rsid w:val="000B53B5"/>
    <w:rsid w:val="000B5E0A"/>
    <w:rsid w:val="000B5E83"/>
    <w:rsid w:val="000B6AB5"/>
    <w:rsid w:val="000B6D5D"/>
    <w:rsid w:val="000B6DA4"/>
    <w:rsid w:val="000B71F4"/>
    <w:rsid w:val="000B7946"/>
    <w:rsid w:val="000B7AA7"/>
    <w:rsid w:val="000C03F8"/>
    <w:rsid w:val="000C0B87"/>
    <w:rsid w:val="000C1058"/>
    <w:rsid w:val="000C1CDC"/>
    <w:rsid w:val="000C21B2"/>
    <w:rsid w:val="000C28F0"/>
    <w:rsid w:val="000C2B23"/>
    <w:rsid w:val="000C2C1A"/>
    <w:rsid w:val="000C2EDF"/>
    <w:rsid w:val="000C3A50"/>
    <w:rsid w:val="000C3E29"/>
    <w:rsid w:val="000C5CE1"/>
    <w:rsid w:val="000C5FC9"/>
    <w:rsid w:val="000C6234"/>
    <w:rsid w:val="000C63FA"/>
    <w:rsid w:val="000C6CE1"/>
    <w:rsid w:val="000C6ECB"/>
    <w:rsid w:val="000C70D7"/>
    <w:rsid w:val="000C7137"/>
    <w:rsid w:val="000C7EF0"/>
    <w:rsid w:val="000D0084"/>
    <w:rsid w:val="000D0086"/>
    <w:rsid w:val="000D0747"/>
    <w:rsid w:val="000D0B21"/>
    <w:rsid w:val="000D13FE"/>
    <w:rsid w:val="000D1E03"/>
    <w:rsid w:val="000D240A"/>
    <w:rsid w:val="000D2D53"/>
    <w:rsid w:val="000D2EB2"/>
    <w:rsid w:val="000D2ECE"/>
    <w:rsid w:val="000D38DB"/>
    <w:rsid w:val="000D4343"/>
    <w:rsid w:val="000D5D59"/>
    <w:rsid w:val="000D5DA9"/>
    <w:rsid w:val="000D69CA"/>
    <w:rsid w:val="000D6FC3"/>
    <w:rsid w:val="000D744B"/>
    <w:rsid w:val="000D785F"/>
    <w:rsid w:val="000E08D4"/>
    <w:rsid w:val="000E0B4B"/>
    <w:rsid w:val="000E15B7"/>
    <w:rsid w:val="000E1A65"/>
    <w:rsid w:val="000E1C70"/>
    <w:rsid w:val="000E1D1D"/>
    <w:rsid w:val="000E2C9D"/>
    <w:rsid w:val="000E3538"/>
    <w:rsid w:val="000E40CB"/>
    <w:rsid w:val="000E441A"/>
    <w:rsid w:val="000E44E2"/>
    <w:rsid w:val="000E4A21"/>
    <w:rsid w:val="000E4A86"/>
    <w:rsid w:val="000E66A6"/>
    <w:rsid w:val="000E6B3B"/>
    <w:rsid w:val="000E6C8A"/>
    <w:rsid w:val="000E7090"/>
    <w:rsid w:val="000E71E1"/>
    <w:rsid w:val="000E7C39"/>
    <w:rsid w:val="000F03C4"/>
    <w:rsid w:val="000F0504"/>
    <w:rsid w:val="000F112E"/>
    <w:rsid w:val="000F185D"/>
    <w:rsid w:val="000F3387"/>
    <w:rsid w:val="000F3777"/>
    <w:rsid w:val="000F3C30"/>
    <w:rsid w:val="000F487D"/>
    <w:rsid w:val="000F4922"/>
    <w:rsid w:val="000F5093"/>
    <w:rsid w:val="000F5978"/>
    <w:rsid w:val="000F5AB0"/>
    <w:rsid w:val="000F6978"/>
    <w:rsid w:val="000F6BBF"/>
    <w:rsid w:val="000F6BD9"/>
    <w:rsid w:val="000F7735"/>
    <w:rsid w:val="000F77D2"/>
    <w:rsid w:val="000F7B7A"/>
    <w:rsid w:val="000F7ECF"/>
    <w:rsid w:val="000F7FAB"/>
    <w:rsid w:val="001007A2"/>
    <w:rsid w:val="00100E54"/>
    <w:rsid w:val="00100FCF"/>
    <w:rsid w:val="00101954"/>
    <w:rsid w:val="00103077"/>
    <w:rsid w:val="001031B2"/>
    <w:rsid w:val="00103C8E"/>
    <w:rsid w:val="001046FA"/>
    <w:rsid w:val="00104BF0"/>
    <w:rsid w:val="0010665A"/>
    <w:rsid w:val="00106997"/>
    <w:rsid w:val="00106BD5"/>
    <w:rsid w:val="0010729C"/>
    <w:rsid w:val="00110AE0"/>
    <w:rsid w:val="00110DF3"/>
    <w:rsid w:val="00110FAE"/>
    <w:rsid w:val="00111324"/>
    <w:rsid w:val="001118AF"/>
    <w:rsid w:val="00111D2A"/>
    <w:rsid w:val="00111F8C"/>
    <w:rsid w:val="0011291A"/>
    <w:rsid w:val="00112C5A"/>
    <w:rsid w:val="00113F30"/>
    <w:rsid w:val="00114F4D"/>
    <w:rsid w:val="00114F53"/>
    <w:rsid w:val="00115168"/>
    <w:rsid w:val="00115683"/>
    <w:rsid w:val="00115705"/>
    <w:rsid w:val="00115EFC"/>
    <w:rsid w:val="00116E90"/>
    <w:rsid w:val="00117AA4"/>
    <w:rsid w:val="00121105"/>
    <w:rsid w:val="0012233B"/>
    <w:rsid w:val="00122CEC"/>
    <w:rsid w:val="00122D52"/>
    <w:rsid w:val="0012322F"/>
    <w:rsid w:val="001234BA"/>
    <w:rsid w:val="00123C6E"/>
    <w:rsid w:val="001244F6"/>
    <w:rsid w:val="00124B79"/>
    <w:rsid w:val="00124E5F"/>
    <w:rsid w:val="00125024"/>
    <w:rsid w:val="0012502E"/>
    <w:rsid w:val="00126D94"/>
    <w:rsid w:val="00127708"/>
    <w:rsid w:val="00130933"/>
    <w:rsid w:val="00130EA9"/>
    <w:rsid w:val="00131AF0"/>
    <w:rsid w:val="00132209"/>
    <w:rsid w:val="00132E4A"/>
    <w:rsid w:val="00133B4F"/>
    <w:rsid w:val="0013465E"/>
    <w:rsid w:val="00135725"/>
    <w:rsid w:val="001357FF"/>
    <w:rsid w:val="00136A30"/>
    <w:rsid w:val="00137B5E"/>
    <w:rsid w:val="00140D95"/>
    <w:rsid w:val="00141B43"/>
    <w:rsid w:val="00141C43"/>
    <w:rsid w:val="00142356"/>
    <w:rsid w:val="001425BC"/>
    <w:rsid w:val="00142915"/>
    <w:rsid w:val="00142BC1"/>
    <w:rsid w:val="0014323F"/>
    <w:rsid w:val="00144201"/>
    <w:rsid w:val="00144B24"/>
    <w:rsid w:val="0014519F"/>
    <w:rsid w:val="00145201"/>
    <w:rsid w:val="00145B5F"/>
    <w:rsid w:val="00145C80"/>
    <w:rsid w:val="001460E1"/>
    <w:rsid w:val="0015175B"/>
    <w:rsid w:val="001523C9"/>
    <w:rsid w:val="00152683"/>
    <w:rsid w:val="00152AF6"/>
    <w:rsid w:val="00152B5C"/>
    <w:rsid w:val="001532A0"/>
    <w:rsid w:val="00153462"/>
    <w:rsid w:val="00153F46"/>
    <w:rsid w:val="001541A7"/>
    <w:rsid w:val="001555CC"/>
    <w:rsid w:val="0015679D"/>
    <w:rsid w:val="0015706F"/>
    <w:rsid w:val="001571C2"/>
    <w:rsid w:val="001575BE"/>
    <w:rsid w:val="00160004"/>
    <w:rsid w:val="0016000F"/>
    <w:rsid w:val="00160529"/>
    <w:rsid w:val="00160D20"/>
    <w:rsid w:val="00161208"/>
    <w:rsid w:val="001612DA"/>
    <w:rsid w:val="001621D6"/>
    <w:rsid w:val="00162B58"/>
    <w:rsid w:val="00162BBF"/>
    <w:rsid w:val="00163263"/>
    <w:rsid w:val="001636B3"/>
    <w:rsid w:val="00163BA9"/>
    <w:rsid w:val="00163D6F"/>
    <w:rsid w:val="0016400A"/>
    <w:rsid w:val="00166B52"/>
    <w:rsid w:val="00166B8F"/>
    <w:rsid w:val="00166F6C"/>
    <w:rsid w:val="00167100"/>
    <w:rsid w:val="0016713B"/>
    <w:rsid w:val="00167B3E"/>
    <w:rsid w:val="00170645"/>
    <w:rsid w:val="00170852"/>
    <w:rsid w:val="00170D4F"/>
    <w:rsid w:val="0017203C"/>
    <w:rsid w:val="00172A9E"/>
    <w:rsid w:val="00172B3A"/>
    <w:rsid w:val="00173B4C"/>
    <w:rsid w:val="00173C35"/>
    <w:rsid w:val="0017527C"/>
    <w:rsid w:val="00175F3F"/>
    <w:rsid w:val="00176440"/>
    <w:rsid w:val="0017696D"/>
    <w:rsid w:val="00180001"/>
    <w:rsid w:val="00180028"/>
    <w:rsid w:val="00180412"/>
    <w:rsid w:val="00180618"/>
    <w:rsid w:val="001807CB"/>
    <w:rsid w:val="00180FCD"/>
    <w:rsid w:val="00181088"/>
    <w:rsid w:val="00181734"/>
    <w:rsid w:val="00182545"/>
    <w:rsid w:val="001825EE"/>
    <w:rsid w:val="001829F5"/>
    <w:rsid w:val="00183247"/>
    <w:rsid w:val="00184693"/>
    <w:rsid w:val="00184756"/>
    <w:rsid w:val="00185272"/>
    <w:rsid w:val="001865BB"/>
    <w:rsid w:val="00186702"/>
    <w:rsid w:val="00186A0F"/>
    <w:rsid w:val="00186E18"/>
    <w:rsid w:val="00187E19"/>
    <w:rsid w:val="0019034C"/>
    <w:rsid w:val="00191DFE"/>
    <w:rsid w:val="00191E47"/>
    <w:rsid w:val="00191FB4"/>
    <w:rsid w:val="00193213"/>
    <w:rsid w:val="001937AE"/>
    <w:rsid w:val="00193CB7"/>
    <w:rsid w:val="001942A2"/>
    <w:rsid w:val="0019436D"/>
    <w:rsid w:val="00194ABD"/>
    <w:rsid w:val="00195571"/>
    <w:rsid w:val="00195580"/>
    <w:rsid w:val="0019580D"/>
    <w:rsid w:val="0019609F"/>
    <w:rsid w:val="001960E2"/>
    <w:rsid w:val="00196975"/>
    <w:rsid w:val="00196A1D"/>
    <w:rsid w:val="00196A79"/>
    <w:rsid w:val="0019703D"/>
    <w:rsid w:val="001977D4"/>
    <w:rsid w:val="00197CC4"/>
    <w:rsid w:val="001A073F"/>
    <w:rsid w:val="001A240C"/>
    <w:rsid w:val="001A40D1"/>
    <w:rsid w:val="001A4821"/>
    <w:rsid w:val="001A48CF"/>
    <w:rsid w:val="001A4BF6"/>
    <w:rsid w:val="001A4FD0"/>
    <w:rsid w:val="001A59A8"/>
    <w:rsid w:val="001A59C3"/>
    <w:rsid w:val="001A5DA0"/>
    <w:rsid w:val="001A5F5C"/>
    <w:rsid w:val="001A613A"/>
    <w:rsid w:val="001A64D3"/>
    <w:rsid w:val="001A77CD"/>
    <w:rsid w:val="001B04E6"/>
    <w:rsid w:val="001B152A"/>
    <w:rsid w:val="001B2B4D"/>
    <w:rsid w:val="001B2C29"/>
    <w:rsid w:val="001B3B24"/>
    <w:rsid w:val="001B3B6F"/>
    <w:rsid w:val="001B3EEC"/>
    <w:rsid w:val="001B418B"/>
    <w:rsid w:val="001B43F6"/>
    <w:rsid w:val="001B7BF8"/>
    <w:rsid w:val="001C006E"/>
    <w:rsid w:val="001C0957"/>
    <w:rsid w:val="001C175D"/>
    <w:rsid w:val="001C2C3D"/>
    <w:rsid w:val="001C2D37"/>
    <w:rsid w:val="001C3903"/>
    <w:rsid w:val="001C477B"/>
    <w:rsid w:val="001C5122"/>
    <w:rsid w:val="001C6B17"/>
    <w:rsid w:val="001C72DA"/>
    <w:rsid w:val="001C77D1"/>
    <w:rsid w:val="001D02B6"/>
    <w:rsid w:val="001D09C8"/>
    <w:rsid w:val="001D1A79"/>
    <w:rsid w:val="001D3332"/>
    <w:rsid w:val="001D380B"/>
    <w:rsid w:val="001D38C2"/>
    <w:rsid w:val="001D419F"/>
    <w:rsid w:val="001D4E0F"/>
    <w:rsid w:val="001D5598"/>
    <w:rsid w:val="001D58C4"/>
    <w:rsid w:val="001D5965"/>
    <w:rsid w:val="001D5B07"/>
    <w:rsid w:val="001D5F9C"/>
    <w:rsid w:val="001D60C6"/>
    <w:rsid w:val="001D67EE"/>
    <w:rsid w:val="001D6895"/>
    <w:rsid w:val="001D75EC"/>
    <w:rsid w:val="001E0063"/>
    <w:rsid w:val="001E06A9"/>
    <w:rsid w:val="001E08BD"/>
    <w:rsid w:val="001E0903"/>
    <w:rsid w:val="001E0CD7"/>
    <w:rsid w:val="001E15E2"/>
    <w:rsid w:val="001E1829"/>
    <w:rsid w:val="001E1998"/>
    <w:rsid w:val="001E1A50"/>
    <w:rsid w:val="001E1A7E"/>
    <w:rsid w:val="001E2783"/>
    <w:rsid w:val="001E2B45"/>
    <w:rsid w:val="001E3A31"/>
    <w:rsid w:val="001E44A1"/>
    <w:rsid w:val="001E4760"/>
    <w:rsid w:val="001E4855"/>
    <w:rsid w:val="001E4CEE"/>
    <w:rsid w:val="001E5CB9"/>
    <w:rsid w:val="001E6473"/>
    <w:rsid w:val="001E737E"/>
    <w:rsid w:val="001E7B29"/>
    <w:rsid w:val="001E7CAF"/>
    <w:rsid w:val="001F05F3"/>
    <w:rsid w:val="001F0795"/>
    <w:rsid w:val="001F0A3C"/>
    <w:rsid w:val="001F11C9"/>
    <w:rsid w:val="001F1C60"/>
    <w:rsid w:val="001F2046"/>
    <w:rsid w:val="001F218F"/>
    <w:rsid w:val="001F2A31"/>
    <w:rsid w:val="001F4077"/>
    <w:rsid w:val="001F455B"/>
    <w:rsid w:val="001F486A"/>
    <w:rsid w:val="001F49FA"/>
    <w:rsid w:val="001F53D3"/>
    <w:rsid w:val="001F53E3"/>
    <w:rsid w:val="001F63B7"/>
    <w:rsid w:val="001F640D"/>
    <w:rsid w:val="001F67F6"/>
    <w:rsid w:val="001F761F"/>
    <w:rsid w:val="001F767E"/>
    <w:rsid w:val="001F77A9"/>
    <w:rsid w:val="001F79EC"/>
    <w:rsid w:val="0020047E"/>
    <w:rsid w:val="0020072D"/>
    <w:rsid w:val="0020171B"/>
    <w:rsid w:val="00202CF9"/>
    <w:rsid w:val="00203CB8"/>
    <w:rsid w:val="0020479C"/>
    <w:rsid w:val="002048BA"/>
    <w:rsid w:val="00204A67"/>
    <w:rsid w:val="00204AF3"/>
    <w:rsid w:val="00204F5F"/>
    <w:rsid w:val="00205246"/>
    <w:rsid w:val="00206836"/>
    <w:rsid w:val="002068E3"/>
    <w:rsid w:val="00206F66"/>
    <w:rsid w:val="0021020F"/>
    <w:rsid w:val="002103AF"/>
    <w:rsid w:val="0021099C"/>
    <w:rsid w:val="0021213E"/>
    <w:rsid w:val="002124FF"/>
    <w:rsid w:val="002135E7"/>
    <w:rsid w:val="00213D47"/>
    <w:rsid w:val="00213E1F"/>
    <w:rsid w:val="002145B3"/>
    <w:rsid w:val="00214D60"/>
    <w:rsid w:val="002150F5"/>
    <w:rsid w:val="00215474"/>
    <w:rsid w:val="00215565"/>
    <w:rsid w:val="002156CF"/>
    <w:rsid w:val="00215F71"/>
    <w:rsid w:val="002162BC"/>
    <w:rsid w:val="00216857"/>
    <w:rsid w:val="00217971"/>
    <w:rsid w:val="00217A03"/>
    <w:rsid w:val="00217A1E"/>
    <w:rsid w:val="00217D36"/>
    <w:rsid w:val="00220081"/>
    <w:rsid w:val="00220539"/>
    <w:rsid w:val="002206E4"/>
    <w:rsid w:val="00221C37"/>
    <w:rsid w:val="00221FC1"/>
    <w:rsid w:val="00222436"/>
    <w:rsid w:val="002229B2"/>
    <w:rsid w:val="002235EB"/>
    <w:rsid w:val="00224F2E"/>
    <w:rsid w:val="002250DC"/>
    <w:rsid w:val="002255A1"/>
    <w:rsid w:val="00226D33"/>
    <w:rsid w:val="00227B14"/>
    <w:rsid w:val="00227C81"/>
    <w:rsid w:val="00230178"/>
    <w:rsid w:val="002301E4"/>
    <w:rsid w:val="002311C8"/>
    <w:rsid w:val="00231878"/>
    <w:rsid w:val="0023217C"/>
    <w:rsid w:val="002323E3"/>
    <w:rsid w:val="00232EDF"/>
    <w:rsid w:val="00233DB5"/>
    <w:rsid w:val="00233EF8"/>
    <w:rsid w:val="0023534F"/>
    <w:rsid w:val="00235ADD"/>
    <w:rsid w:val="00236096"/>
    <w:rsid w:val="00236B40"/>
    <w:rsid w:val="002373B2"/>
    <w:rsid w:val="00237D21"/>
    <w:rsid w:val="00237E72"/>
    <w:rsid w:val="0024024F"/>
    <w:rsid w:val="00240FCB"/>
    <w:rsid w:val="002413D6"/>
    <w:rsid w:val="002417BB"/>
    <w:rsid w:val="0024237B"/>
    <w:rsid w:val="00242779"/>
    <w:rsid w:val="00242B64"/>
    <w:rsid w:val="002437FE"/>
    <w:rsid w:val="00244B9D"/>
    <w:rsid w:val="00244D18"/>
    <w:rsid w:val="00244D94"/>
    <w:rsid w:val="002467B3"/>
    <w:rsid w:val="00246AFD"/>
    <w:rsid w:val="0024781A"/>
    <w:rsid w:val="00250437"/>
    <w:rsid w:val="00250AA4"/>
    <w:rsid w:val="00250F5E"/>
    <w:rsid w:val="00251A35"/>
    <w:rsid w:val="00251CBC"/>
    <w:rsid w:val="0025295A"/>
    <w:rsid w:val="00253400"/>
    <w:rsid w:val="00253525"/>
    <w:rsid w:val="00257DBE"/>
    <w:rsid w:val="00257F7C"/>
    <w:rsid w:val="00260621"/>
    <w:rsid w:val="00261A5C"/>
    <w:rsid w:val="0026223C"/>
    <w:rsid w:val="00263A08"/>
    <w:rsid w:val="00263C0E"/>
    <w:rsid w:val="00263F38"/>
    <w:rsid w:val="00264E96"/>
    <w:rsid w:val="00264F50"/>
    <w:rsid w:val="0026500D"/>
    <w:rsid w:val="002653E6"/>
    <w:rsid w:val="00265500"/>
    <w:rsid w:val="00265BCD"/>
    <w:rsid w:val="00265CDE"/>
    <w:rsid w:val="00265D4F"/>
    <w:rsid w:val="00265EC1"/>
    <w:rsid w:val="00266AAD"/>
    <w:rsid w:val="00266C48"/>
    <w:rsid w:val="0026709F"/>
    <w:rsid w:val="00267D4C"/>
    <w:rsid w:val="00271108"/>
    <w:rsid w:val="0027110C"/>
    <w:rsid w:val="0027114F"/>
    <w:rsid w:val="002714B9"/>
    <w:rsid w:val="00272506"/>
    <w:rsid w:val="00272960"/>
    <w:rsid w:val="0027325A"/>
    <w:rsid w:val="00273311"/>
    <w:rsid w:val="00273CC6"/>
    <w:rsid w:val="00274410"/>
    <w:rsid w:val="00274A86"/>
    <w:rsid w:val="002752AB"/>
    <w:rsid w:val="00275361"/>
    <w:rsid w:val="0027668D"/>
    <w:rsid w:val="00276945"/>
    <w:rsid w:val="00276A42"/>
    <w:rsid w:val="00276EA2"/>
    <w:rsid w:val="00277465"/>
    <w:rsid w:val="00280150"/>
    <w:rsid w:val="002808F0"/>
    <w:rsid w:val="00280D48"/>
    <w:rsid w:val="0028279E"/>
    <w:rsid w:val="002828A1"/>
    <w:rsid w:val="00283AA2"/>
    <w:rsid w:val="00283C05"/>
    <w:rsid w:val="00283C0C"/>
    <w:rsid w:val="00284E38"/>
    <w:rsid w:val="00285024"/>
    <w:rsid w:val="00285A49"/>
    <w:rsid w:val="002879DB"/>
    <w:rsid w:val="00287BD5"/>
    <w:rsid w:val="00287FB4"/>
    <w:rsid w:val="00291934"/>
    <w:rsid w:val="0029251A"/>
    <w:rsid w:val="00292D1D"/>
    <w:rsid w:val="00292F28"/>
    <w:rsid w:val="00293CB9"/>
    <w:rsid w:val="0029423E"/>
    <w:rsid w:val="00294DFA"/>
    <w:rsid w:val="002951C6"/>
    <w:rsid w:val="002951FF"/>
    <w:rsid w:val="002957B5"/>
    <w:rsid w:val="002963D1"/>
    <w:rsid w:val="0029668E"/>
    <w:rsid w:val="002969ED"/>
    <w:rsid w:val="00296B2E"/>
    <w:rsid w:val="0029764D"/>
    <w:rsid w:val="002A0DFF"/>
    <w:rsid w:val="002A11CA"/>
    <w:rsid w:val="002A1F58"/>
    <w:rsid w:val="002A2273"/>
    <w:rsid w:val="002A2C48"/>
    <w:rsid w:val="002A32B8"/>
    <w:rsid w:val="002A3AE2"/>
    <w:rsid w:val="002A3BDB"/>
    <w:rsid w:val="002A409A"/>
    <w:rsid w:val="002A414C"/>
    <w:rsid w:val="002A42FD"/>
    <w:rsid w:val="002A4ADB"/>
    <w:rsid w:val="002A4E08"/>
    <w:rsid w:val="002A66C3"/>
    <w:rsid w:val="002B0435"/>
    <w:rsid w:val="002B1FB9"/>
    <w:rsid w:val="002B2092"/>
    <w:rsid w:val="002B3758"/>
    <w:rsid w:val="002B42E7"/>
    <w:rsid w:val="002B46C6"/>
    <w:rsid w:val="002B5108"/>
    <w:rsid w:val="002B54CD"/>
    <w:rsid w:val="002B5A17"/>
    <w:rsid w:val="002B6FCD"/>
    <w:rsid w:val="002B7B33"/>
    <w:rsid w:val="002B7F4B"/>
    <w:rsid w:val="002C0825"/>
    <w:rsid w:val="002C0948"/>
    <w:rsid w:val="002C09AE"/>
    <w:rsid w:val="002C0F35"/>
    <w:rsid w:val="002C1854"/>
    <w:rsid w:val="002C18BC"/>
    <w:rsid w:val="002C1AFC"/>
    <w:rsid w:val="002C29A2"/>
    <w:rsid w:val="002C3145"/>
    <w:rsid w:val="002C4D65"/>
    <w:rsid w:val="002C4FFD"/>
    <w:rsid w:val="002C5931"/>
    <w:rsid w:val="002C6018"/>
    <w:rsid w:val="002C6A33"/>
    <w:rsid w:val="002C7369"/>
    <w:rsid w:val="002C78EB"/>
    <w:rsid w:val="002C7FE5"/>
    <w:rsid w:val="002D0849"/>
    <w:rsid w:val="002D0BB8"/>
    <w:rsid w:val="002D1318"/>
    <w:rsid w:val="002D144C"/>
    <w:rsid w:val="002D1502"/>
    <w:rsid w:val="002D346D"/>
    <w:rsid w:val="002D3FBB"/>
    <w:rsid w:val="002D4604"/>
    <w:rsid w:val="002D4CC6"/>
    <w:rsid w:val="002D5203"/>
    <w:rsid w:val="002D54BD"/>
    <w:rsid w:val="002D5557"/>
    <w:rsid w:val="002D5CBF"/>
    <w:rsid w:val="002D69E2"/>
    <w:rsid w:val="002D733B"/>
    <w:rsid w:val="002D7579"/>
    <w:rsid w:val="002D762C"/>
    <w:rsid w:val="002D7884"/>
    <w:rsid w:val="002E01BB"/>
    <w:rsid w:val="002E059C"/>
    <w:rsid w:val="002E14CA"/>
    <w:rsid w:val="002E1B17"/>
    <w:rsid w:val="002E27DF"/>
    <w:rsid w:val="002E2890"/>
    <w:rsid w:val="002E314E"/>
    <w:rsid w:val="002E3883"/>
    <w:rsid w:val="002E3ADD"/>
    <w:rsid w:val="002E3BB4"/>
    <w:rsid w:val="002E448C"/>
    <w:rsid w:val="002E45C8"/>
    <w:rsid w:val="002E47CC"/>
    <w:rsid w:val="002E5199"/>
    <w:rsid w:val="002E620B"/>
    <w:rsid w:val="002E6348"/>
    <w:rsid w:val="002E6D40"/>
    <w:rsid w:val="002E7A00"/>
    <w:rsid w:val="002F0855"/>
    <w:rsid w:val="002F0A2C"/>
    <w:rsid w:val="002F0BE6"/>
    <w:rsid w:val="002F0FBF"/>
    <w:rsid w:val="002F1607"/>
    <w:rsid w:val="002F1AFA"/>
    <w:rsid w:val="002F25DD"/>
    <w:rsid w:val="002F2B56"/>
    <w:rsid w:val="002F3835"/>
    <w:rsid w:val="002F39ED"/>
    <w:rsid w:val="002F477D"/>
    <w:rsid w:val="002F48B8"/>
    <w:rsid w:val="002F543F"/>
    <w:rsid w:val="002F564A"/>
    <w:rsid w:val="002F57BE"/>
    <w:rsid w:val="002F649F"/>
    <w:rsid w:val="002F6CCE"/>
    <w:rsid w:val="002F6F1B"/>
    <w:rsid w:val="003008F3"/>
    <w:rsid w:val="0030095B"/>
    <w:rsid w:val="00300B62"/>
    <w:rsid w:val="00303477"/>
    <w:rsid w:val="00303768"/>
    <w:rsid w:val="0030482D"/>
    <w:rsid w:val="00304CE9"/>
    <w:rsid w:val="003055DD"/>
    <w:rsid w:val="00305A29"/>
    <w:rsid w:val="00306043"/>
    <w:rsid w:val="003060A6"/>
    <w:rsid w:val="00306816"/>
    <w:rsid w:val="00306CCF"/>
    <w:rsid w:val="0030702B"/>
    <w:rsid w:val="00307123"/>
    <w:rsid w:val="0030760C"/>
    <w:rsid w:val="00307B73"/>
    <w:rsid w:val="00310646"/>
    <w:rsid w:val="00310C27"/>
    <w:rsid w:val="00310E04"/>
    <w:rsid w:val="003112C7"/>
    <w:rsid w:val="00311B84"/>
    <w:rsid w:val="003124DE"/>
    <w:rsid w:val="003125FD"/>
    <w:rsid w:val="0031294B"/>
    <w:rsid w:val="00312DA2"/>
    <w:rsid w:val="00312EAD"/>
    <w:rsid w:val="00313C81"/>
    <w:rsid w:val="0031479D"/>
    <w:rsid w:val="00314907"/>
    <w:rsid w:val="00314A8B"/>
    <w:rsid w:val="00314C9E"/>
    <w:rsid w:val="00314CFC"/>
    <w:rsid w:val="00315D32"/>
    <w:rsid w:val="00316236"/>
    <w:rsid w:val="0031739B"/>
    <w:rsid w:val="003176C4"/>
    <w:rsid w:val="0032036B"/>
    <w:rsid w:val="003205F6"/>
    <w:rsid w:val="00320714"/>
    <w:rsid w:val="00320C1A"/>
    <w:rsid w:val="00320CEB"/>
    <w:rsid w:val="00320F09"/>
    <w:rsid w:val="0032122D"/>
    <w:rsid w:val="00321FD5"/>
    <w:rsid w:val="00322624"/>
    <w:rsid w:val="00322BEF"/>
    <w:rsid w:val="00322CB6"/>
    <w:rsid w:val="00322E76"/>
    <w:rsid w:val="00323646"/>
    <w:rsid w:val="00323D6B"/>
    <w:rsid w:val="0032468C"/>
    <w:rsid w:val="00324E65"/>
    <w:rsid w:val="00324EFB"/>
    <w:rsid w:val="00325D3F"/>
    <w:rsid w:val="00326646"/>
    <w:rsid w:val="00326726"/>
    <w:rsid w:val="0032758B"/>
    <w:rsid w:val="003276BD"/>
    <w:rsid w:val="00327878"/>
    <w:rsid w:val="00330548"/>
    <w:rsid w:val="00330A99"/>
    <w:rsid w:val="00330F47"/>
    <w:rsid w:val="0033136C"/>
    <w:rsid w:val="00332547"/>
    <w:rsid w:val="00332BCD"/>
    <w:rsid w:val="0033403A"/>
    <w:rsid w:val="00334C0C"/>
    <w:rsid w:val="00335246"/>
    <w:rsid w:val="003354BA"/>
    <w:rsid w:val="003367DE"/>
    <w:rsid w:val="003371E9"/>
    <w:rsid w:val="00337715"/>
    <w:rsid w:val="00337A4F"/>
    <w:rsid w:val="003403B7"/>
    <w:rsid w:val="003409A9"/>
    <w:rsid w:val="00340E26"/>
    <w:rsid w:val="003410AE"/>
    <w:rsid w:val="00341A53"/>
    <w:rsid w:val="0034200D"/>
    <w:rsid w:val="00342789"/>
    <w:rsid w:val="00342BEC"/>
    <w:rsid w:val="003434E9"/>
    <w:rsid w:val="0034356C"/>
    <w:rsid w:val="00343602"/>
    <w:rsid w:val="00343C1B"/>
    <w:rsid w:val="00344522"/>
    <w:rsid w:val="0034483A"/>
    <w:rsid w:val="003448DE"/>
    <w:rsid w:val="0034522A"/>
    <w:rsid w:val="003466F3"/>
    <w:rsid w:val="00347C61"/>
    <w:rsid w:val="00347CAE"/>
    <w:rsid w:val="0035056F"/>
    <w:rsid w:val="003508C7"/>
    <w:rsid w:val="00351314"/>
    <w:rsid w:val="00351FF3"/>
    <w:rsid w:val="003520A7"/>
    <w:rsid w:val="003524DC"/>
    <w:rsid w:val="0035258B"/>
    <w:rsid w:val="0035272F"/>
    <w:rsid w:val="00353598"/>
    <w:rsid w:val="003536FC"/>
    <w:rsid w:val="00353DFA"/>
    <w:rsid w:val="00354078"/>
    <w:rsid w:val="003540FB"/>
    <w:rsid w:val="003545A5"/>
    <w:rsid w:val="00354625"/>
    <w:rsid w:val="003550C5"/>
    <w:rsid w:val="00355A3B"/>
    <w:rsid w:val="0035641D"/>
    <w:rsid w:val="00357568"/>
    <w:rsid w:val="003601C3"/>
    <w:rsid w:val="00361779"/>
    <w:rsid w:val="003622A8"/>
    <w:rsid w:val="00362476"/>
    <w:rsid w:val="003631D8"/>
    <w:rsid w:val="0036466B"/>
    <w:rsid w:val="00365378"/>
    <w:rsid w:val="00366110"/>
    <w:rsid w:val="00367BEF"/>
    <w:rsid w:val="00367CDC"/>
    <w:rsid w:val="003711FF"/>
    <w:rsid w:val="00371479"/>
    <w:rsid w:val="0037156A"/>
    <w:rsid w:val="003715A2"/>
    <w:rsid w:val="0037163D"/>
    <w:rsid w:val="003721D1"/>
    <w:rsid w:val="00372600"/>
    <w:rsid w:val="00372684"/>
    <w:rsid w:val="0037297A"/>
    <w:rsid w:val="00372AF3"/>
    <w:rsid w:val="00372B39"/>
    <w:rsid w:val="00373EAE"/>
    <w:rsid w:val="00374682"/>
    <w:rsid w:val="00374C74"/>
    <w:rsid w:val="00374D96"/>
    <w:rsid w:val="00374F8F"/>
    <w:rsid w:val="00375594"/>
    <w:rsid w:val="00375AA2"/>
    <w:rsid w:val="003761FF"/>
    <w:rsid w:val="0037635E"/>
    <w:rsid w:val="00377251"/>
    <w:rsid w:val="00377491"/>
    <w:rsid w:val="00377EA4"/>
    <w:rsid w:val="003809B5"/>
    <w:rsid w:val="00380FA6"/>
    <w:rsid w:val="0038147D"/>
    <w:rsid w:val="00381D3E"/>
    <w:rsid w:val="003821B8"/>
    <w:rsid w:val="003822F7"/>
    <w:rsid w:val="003825B9"/>
    <w:rsid w:val="003831C6"/>
    <w:rsid w:val="0038324F"/>
    <w:rsid w:val="00383832"/>
    <w:rsid w:val="00383A40"/>
    <w:rsid w:val="00384504"/>
    <w:rsid w:val="00384680"/>
    <w:rsid w:val="0038493A"/>
    <w:rsid w:val="00385887"/>
    <w:rsid w:val="003864EA"/>
    <w:rsid w:val="003866A4"/>
    <w:rsid w:val="00386753"/>
    <w:rsid w:val="00386ABB"/>
    <w:rsid w:val="003874F2"/>
    <w:rsid w:val="00387A3A"/>
    <w:rsid w:val="00387A53"/>
    <w:rsid w:val="003900D6"/>
    <w:rsid w:val="00390866"/>
    <w:rsid w:val="00391034"/>
    <w:rsid w:val="00391EF3"/>
    <w:rsid w:val="00391F73"/>
    <w:rsid w:val="003925B5"/>
    <w:rsid w:val="003926DA"/>
    <w:rsid w:val="00392DF8"/>
    <w:rsid w:val="003935AB"/>
    <w:rsid w:val="00393706"/>
    <w:rsid w:val="00393BAB"/>
    <w:rsid w:val="003941AB"/>
    <w:rsid w:val="003941EA"/>
    <w:rsid w:val="00394866"/>
    <w:rsid w:val="00394D3B"/>
    <w:rsid w:val="00395182"/>
    <w:rsid w:val="0039528B"/>
    <w:rsid w:val="00395621"/>
    <w:rsid w:val="00395636"/>
    <w:rsid w:val="00396674"/>
    <w:rsid w:val="003968FB"/>
    <w:rsid w:val="003974DB"/>
    <w:rsid w:val="00397B0B"/>
    <w:rsid w:val="003A086E"/>
    <w:rsid w:val="003A0B32"/>
    <w:rsid w:val="003A1504"/>
    <w:rsid w:val="003A1D62"/>
    <w:rsid w:val="003A1EA4"/>
    <w:rsid w:val="003A2A12"/>
    <w:rsid w:val="003A2B0B"/>
    <w:rsid w:val="003A2BA7"/>
    <w:rsid w:val="003A37CC"/>
    <w:rsid w:val="003A3C1F"/>
    <w:rsid w:val="003A3CB8"/>
    <w:rsid w:val="003A42ED"/>
    <w:rsid w:val="003A4639"/>
    <w:rsid w:val="003A4805"/>
    <w:rsid w:val="003A4C7A"/>
    <w:rsid w:val="003A5217"/>
    <w:rsid w:val="003A64F3"/>
    <w:rsid w:val="003A6553"/>
    <w:rsid w:val="003A6C9A"/>
    <w:rsid w:val="003A70D8"/>
    <w:rsid w:val="003A7125"/>
    <w:rsid w:val="003B01FF"/>
    <w:rsid w:val="003B0B6C"/>
    <w:rsid w:val="003B1203"/>
    <w:rsid w:val="003B18E5"/>
    <w:rsid w:val="003B1D77"/>
    <w:rsid w:val="003B2815"/>
    <w:rsid w:val="003B3279"/>
    <w:rsid w:val="003B328E"/>
    <w:rsid w:val="003B4FF2"/>
    <w:rsid w:val="003B53FE"/>
    <w:rsid w:val="003B5CBA"/>
    <w:rsid w:val="003B5DD1"/>
    <w:rsid w:val="003B6253"/>
    <w:rsid w:val="003B64A5"/>
    <w:rsid w:val="003B66CB"/>
    <w:rsid w:val="003B7774"/>
    <w:rsid w:val="003B7A7E"/>
    <w:rsid w:val="003B7ACE"/>
    <w:rsid w:val="003B7D53"/>
    <w:rsid w:val="003B7DC5"/>
    <w:rsid w:val="003C04F9"/>
    <w:rsid w:val="003C1C74"/>
    <w:rsid w:val="003C1C84"/>
    <w:rsid w:val="003C206E"/>
    <w:rsid w:val="003C25DC"/>
    <w:rsid w:val="003C2FDC"/>
    <w:rsid w:val="003C35D6"/>
    <w:rsid w:val="003C4F95"/>
    <w:rsid w:val="003C6D39"/>
    <w:rsid w:val="003C7592"/>
    <w:rsid w:val="003C7DE6"/>
    <w:rsid w:val="003C7E27"/>
    <w:rsid w:val="003C7F5C"/>
    <w:rsid w:val="003D0524"/>
    <w:rsid w:val="003D0B83"/>
    <w:rsid w:val="003D105B"/>
    <w:rsid w:val="003D1400"/>
    <w:rsid w:val="003D21FD"/>
    <w:rsid w:val="003D2438"/>
    <w:rsid w:val="003D2D78"/>
    <w:rsid w:val="003D4164"/>
    <w:rsid w:val="003D4D1F"/>
    <w:rsid w:val="003D4FDE"/>
    <w:rsid w:val="003D51A6"/>
    <w:rsid w:val="003D5754"/>
    <w:rsid w:val="003D66C2"/>
    <w:rsid w:val="003E059D"/>
    <w:rsid w:val="003E1A11"/>
    <w:rsid w:val="003E1FF8"/>
    <w:rsid w:val="003E2C80"/>
    <w:rsid w:val="003E3EC1"/>
    <w:rsid w:val="003E400C"/>
    <w:rsid w:val="003E4DA8"/>
    <w:rsid w:val="003E5593"/>
    <w:rsid w:val="003E63BA"/>
    <w:rsid w:val="003F007B"/>
    <w:rsid w:val="003F02FC"/>
    <w:rsid w:val="003F03B5"/>
    <w:rsid w:val="003F0829"/>
    <w:rsid w:val="003F10FA"/>
    <w:rsid w:val="003F110B"/>
    <w:rsid w:val="003F1240"/>
    <w:rsid w:val="003F164F"/>
    <w:rsid w:val="003F2348"/>
    <w:rsid w:val="003F2C03"/>
    <w:rsid w:val="003F31CA"/>
    <w:rsid w:val="003F3B0C"/>
    <w:rsid w:val="003F4078"/>
    <w:rsid w:val="003F449A"/>
    <w:rsid w:val="003F4994"/>
    <w:rsid w:val="003F5023"/>
    <w:rsid w:val="003F50DE"/>
    <w:rsid w:val="004000A4"/>
    <w:rsid w:val="00400459"/>
    <w:rsid w:val="004012D1"/>
    <w:rsid w:val="00401933"/>
    <w:rsid w:val="0040274F"/>
    <w:rsid w:val="004044D0"/>
    <w:rsid w:val="00404A18"/>
    <w:rsid w:val="0040506B"/>
    <w:rsid w:val="0040525D"/>
    <w:rsid w:val="00405581"/>
    <w:rsid w:val="004056B1"/>
    <w:rsid w:val="00405772"/>
    <w:rsid w:val="00406D27"/>
    <w:rsid w:val="00407025"/>
    <w:rsid w:val="00407BD5"/>
    <w:rsid w:val="00407C23"/>
    <w:rsid w:val="00407F04"/>
    <w:rsid w:val="00410355"/>
    <w:rsid w:val="004106C1"/>
    <w:rsid w:val="00410767"/>
    <w:rsid w:val="00410D10"/>
    <w:rsid w:val="004110BF"/>
    <w:rsid w:val="00411148"/>
    <w:rsid w:val="00411152"/>
    <w:rsid w:val="00411349"/>
    <w:rsid w:val="00411643"/>
    <w:rsid w:val="004118AE"/>
    <w:rsid w:val="004120B0"/>
    <w:rsid w:val="0041218C"/>
    <w:rsid w:val="00412550"/>
    <w:rsid w:val="00413433"/>
    <w:rsid w:val="00413F92"/>
    <w:rsid w:val="0041436B"/>
    <w:rsid w:val="00414D79"/>
    <w:rsid w:val="00415165"/>
    <w:rsid w:val="0041537A"/>
    <w:rsid w:val="004154FC"/>
    <w:rsid w:val="0041589E"/>
    <w:rsid w:val="00415B06"/>
    <w:rsid w:val="00416673"/>
    <w:rsid w:val="00416DED"/>
    <w:rsid w:val="004170A5"/>
    <w:rsid w:val="00417A71"/>
    <w:rsid w:val="00420360"/>
    <w:rsid w:val="004204FA"/>
    <w:rsid w:val="00420578"/>
    <w:rsid w:val="00420EC7"/>
    <w:rsid w:val="00420FAA"/>
    <w:rsid w:val="004225EA"/>
    <w:rsid w:val="0042312C"/>
    <w:rsid w:val="004232C3"/>
    <w:rsid w:val="004236F5"/>
    <w:rsid w:val="00423810"/>
    <w:rsid w:val="00423A15"/>
    <w:rsid w:val="00423BE9"/>
    <w:rsid w:val="00423F7E"/>
    <w:rsid w:val="0042409E"/>
    <w:rsid w:val="004247D6"/>
    <w:rsid w:val="00424FF6"/>
    <w:rsid w:val="00425681"/>
    <w:rsid w:val="0042593F"/>
    <w:rsid w:val="00426B03"/>
    <w:rsid w:val="00426CCD"/>
    <w:rsid w:val="00426CEB"/>
    <w:rsid w:val="00426DCB"/>
    <w:rsid w:val="00427081"/>
    <w:rsid w:val="00430F2C"/>
    <w:rsid w:val="0043177C"/>
    <w:rsid w:val="00432289"/>
    <w:rsid w:val="00432A4A"/>
    <w:rsid w:val="00433078"/>
    <w:rsid w:val="004342A7"/>
    <w:rsid w:val="004344D1"/>
    <w:rsid w:val="00434608"/>
    <w:rsid w:val="004347D4"/>
    <w:rsid w:val="00435263"/>
    <w:rsid w:val="0043629F"/>
    <w:rsid w:val="00437187"/>
    <w:rsid w:val="00437350"/>
    <w:rsid w:val="00440463"/>
    <w:rsid w:val="004409F6"/>
    <w:rsid w:val="00440E24"/>
    <w:rsid w:val="00441C89"/>
    <w:rsid w:val="004425C6"/>
    <w:rsid w:val="004433E3"/>
    <w:rsid w:val="004437C3"/>
    <w:rsid w:val="004438B7"/>
    <w:rsid w:val="00444253"/>
    <w:rsid w:val="004446F7"/>
    <w:rsid w:val="00444C76"/>
    <w:rsid w:val="004451B6"/>
    <w:rsid w:val="00445DF2"/>
    <w:rsid w:val="00445FA1"/>
    <w:rsid w:val="004461FA"/>
    <w:rsid w:val="00446677"/>
    <w:rsid w:val="00446937"/>
    <w:rsid w:val="004471B4"/>
    <w:rsid w:val="0045052D"/>
    <w:rsid w:val="00450F28"/>
    <w:rsid w:val="00450F7A"/>
    <w:rsid w:val="00451645"/>
    <w:rsid w:val="00451E73"/>
    <w:rsid w:val="0045217C"/>
    <w:rsid w:val="004522DD"/>
    <w:rsid w:val="004529F0"/>
    <w:rsid w:val="00452FDB"/>
    <w:rsid w:val="00453206"/>
    <w:rsid w:val="004532CA"/>
    <w:rsid w:val="004533D8"/>
    <w:rsid w:val="00453672"/>
    <w:rsid w:val="00453890"/>
    <w:rsid w:val="0045523B"/>
    <w:rsid w:val="00455CE2"/>
    <w:rsid w:val="00456278"/>
    <w:rsid w:val="004565E5"/>
    <w:rsid w:val="004570D7"/>
    <w:rsid w:val="00457240"/>
    <w:rsid w:val="004573B1"/>
    <w:rsid w:val="00460B3F"/>
    <w:rsid w:val="00461A40"/>
    <w:rsid w:val="00461C24"/>
    <w:rsid w:val="004620EA"/>
    <w:rsid w:val="00462117"/>
    <w:rsid w:val="004621C1"/>
    <w:rsid w:val="00462FED"/>
    <w:rsid w:val="00463B9A"/>
    <w:rsid w:val="00463F0C"/>
    <w:rsid w:val="00464DB1"/>
    <w:rsid w:val="00465015"/>
    <w:rsid w:val="0046578E"/>
    <w:rsid w:val="00466005"/>
    <w:rsid w:val="004660B1"/>
    <w:rsid w:val="00466DC4"/>
    <w:rsid w:val="0046738B"/>
    <w:rsid w:val="00467D13"/>
    <w:rsid w:val="004709C6"/>
    <w:rsid w:val="00470D42"/>
    <w:rsid w:val="00470FDF"/>
    <w:rsid w:val="004713CB"/>
    <w:rsid w:val="004714EF"/>
    <w:rsid w:val="00471785"/>
    <w:rsid w:val="00472025"/>
    <w:rsid w:val="004727A6"/>
    <w:rsid w:val="00472DCF"/>
    <w:rsid w:val="00473B79"/>
    <w:rsid w:val="004742CE"/>
    <w:rsid w:val="0047446E"/>
    <w:rsid w:val="00474A86"/>
    <w:rsid w:val="00475456"/>
    <w:rsid w:val="004758C1"/>
    <w:rsid w:val="004758C9"/>
    <w:rsid w:val="00475E8A"/>
    <w:rsid w:val="00475F38"/>
    <w:rsid w:val="00476474"/>
    <w:rsid w:val="004767B8"/>
    <w:rsid w:val="00476A47"/>
    <w:rsid w:val="00476B1B"/>
    <w:rsid w:val="00476CC6"/>
    <w:rsid w:val="00477325"/>
    <w:rsid w:val="00477535"/>
    <w:rsid w:val="00477ACD"/>
    <w:rsid w:val="00480119"/>
    <w:rsid w:val="004803FD"/>
    <w:rsid w:val="00480573"/>
    <w:rsid w:val="004827EB"/>
    <w:rsid w:val="0048399B"/>
    <w:rsid w:val="00484468"/>
    <w:rsid w:val="00484AEC"/>
    <w:rsid w:val="00484EBE"/>
    <w:rsid w:val="00485503"/>
    <w:rsid w:val="0048604E"/>
    <w:rsid w:val="00486436"/>
    <w:rsid w:val="0048734B"/>
    <w:rsid w:val="0049000A"/>
    <w:rsid w:val="00491162"/>
    <w:rsid w:val="00491194"/>
    <w:rsid w:val="004919ED"/>
    <w:rsid w:val="00491EB8"/>
    <w:rsid w:val="00494E76"/>
    <w:rsid w:val="004963FE"/>
    <w:rsid w:val="0049782A"/>
    <w:rsid w:val="004A0323"/>
    <w:rsid w:val="004A0C48"/>
    <w:rsid w:val="004A0E63"/>
    <w:rsid w:val="004A10DF"/>
    <w:rsid w:val="004A13E3"/>
    <w:rsid w:val="004A160C"/>
    <w:rsid w:val="004A230C"/>
    <w:rsid w:val="004A2C3C"/>
    <w:rsid w:val="004A312D"/>
    <w:rsid w:val="004A3320"/>
    <w:rsid w:val="004A36E3"/>
    <w:rsid w:val="004A4C68"/>
    <w:rsid w:val="004A6562"/>
    <w:rsid w:val="004A6683"/>
    <w:rsid w:val="004A69E5"/>
    <w:rsid w:val="004B0EF6"/>
    <w:rsid w:val="004B1721"/>
    <w:rsid w:val="004B1A7D"/>
    <w:rsid w:val="004B227E"/>
    <w:rsid w:val="004B37F8"/>
    <w:rsid w:val="004B3D0E"/>
    <w:rsid w:val="004B4310"/>
    <w:rsid w:val="004B4AEC"/>
    <w:rsid w:val="004B5E16"/>
    <w:rsid w:val="004B64E8"/>
    <w:rsid w:val="004B7131"/>
    <w:rsid w:val="004B7C74"/>
    <w:rsid w:val="004B7EE5"/>
    <w:rsid w:val="004C114E"/>
    <w:rsid w:val="004C16DD"/>
    <w:rsid w:val="004C24B2"/>
    <w:rsid w:val="004C24F6"/>
    <w:rsid w:val="004C29EC"/>
    <w:rsid w:val="004C2EF3"/>
    <w:rsid w:val="004C354C"/>
    <w:rsid w:val="004C3780"/>
    <w:rsid w:val="004C3A5D"/>
    <w:rsid w:val="004C3D32"/>
    <w:rsid w:val="004C41AE"/>
    <w:rsid w:val="004C4216"/>
    <w:rsid w:val="004C459D"/>
    <w:rsid w:val="004C4A36"/>
    <w:rsid w:val="004C5952"/>
    <w:rsid w:val="004C647F"/>
    <w:rsid w:val="004C6854"/>
    <w:rsid w:val="004C6924"/>
    <w:rsid w:val="004C74A4"/>
    <w:rsid w:val="004D07AF"/>
    <w:rsid w:val="004D0B49"/>
    <w:rsid w:val="004D14DD"/>
    <w:rsid w:val="004D1DFE"/>
    <w:rsid w:val="004D1FE7"/>
    <w:rsid w:val="004D336F"/>
    <w:rsid w:val="004D3409"/>
    <w:rsid w:val="004D34A1"/>
    <w:rsid w:val="004D34CF"/>
    <w:rsid w:val="004D369B"/>
    <w:rsid w:val="004D39E6"/>
    <w:rsid w:val="004D421A"/>
    <w:rsid w:val="004D4349"/>
    <w:rsid w:val="004D484F"/>
    <w:rsid w:val="004D4B19"/>
    <w:rsid w:val="004D4FC4"/>
    <w:rsid w:val="004D54EB"/>
    <w:rsid w:val="004D5697"/>
    <w:rsid w:val="004D63D2"/>
    <w:rsid w:val="004D668C"/>
    <w:rsid w:val="004D7850"/>
    <w:rsid w:val="004E0C92"/>
    <w:rsid w:val="004E0EDC"/>
    <w:rsid w:val="004E10E6"/>
    <w:rsid w:val="004E1145"/>
    <w:rsid w:val="004E198E"/>
    <w:rsid w:val="004E4215"/>
    <w:rsid w:val="004E45C6"/>
    <w:rsid w:val="004E4913"/>
    <w:rsid w:val="004E5302"/>
    <w:rsid w:val="004E53DA"/>
    <w:rsid w:val="004E55FF"/>
    <w:rsid w:val="004E568D"/>
    <w:rsid w:val="004E5972"/>
    <w:rsid w:val="004E64C5"/>
    <w:rsid w:val="004E6508"/>
    <w:rsid w:val="004E65BB"/>
    <w:rsid w:val="004E6DFF"/>
    <w:rsid w:val="004E7B45"/>
    <w:rsid w:val="004E7FE8"/>
    <w:rsid w:val="004F027A"/>
    <w:rsid w:val="004F04DE"/>
    <w:rsid w:val="004F0BDA"/>
    <w:rsid w:val="004F0C59"/>
    <w:rsid w:val="004F142E"/>
    <w:rsid w:val="004F178B"/>
    <w:rsid w:val="004F3350"/>
    <w:rsid w:val="004F357C"/>
    <w:rsid w:val="004F3BF2"/>
    <w:rsid w:val="004F51FD"/>
    <w:rsid w:val="004F5223"/>
    <w:rsid w:val="004F55AE"/>
    <w:rsid w:val="004F5EE3"/>
    <w:rsid w:val="004F622A"/>
    <w:rsid w:val="004F652C"/>
    <w:rsid w:val="004F6B2D"/>
    <w:rsid w:val="004F780E"/>
    <w:rsid w:val="005000C2"/>
    <w:rsid w:val="005009DA"/>
    <w:rsid w:val="00500B19"/>
    <w:rsid w:val="00502009"/>
    <w:rsid w:val="00502D20"/>
    <w:rsid w:val="00502EB3"/>
    <w:rsid w:val="00503842"/>
    <w:rsid w:val="00503BBB"/>
    <w:rsid w:val="005050EF"/>
    <w:rsid w:val="005062C6"/>
    <w:rsid w:val="005066C4"/>
    <w:rsid w:val="00506715"/>
    <w:rsid w:val="00506C6F"/>
    <w:rsid w:val="00506EFF"/>
    <w:rsid w:val="00507D1B"/>
    <w:rsid w:val="005100D6"/>
    <w:rsid w:val="0051091B"/>
    <w:rsid w:val="0051097F"/>
    <w:rsid w:val="00510B24"/>
    <w:rsid w:val="00510C8D"/>
    <w:rsid w:val="0051165E"/>
    <w:rsid w:val="00512728"/>
    <w:rsid w:val="00513908"/>
    <w:rsid w:val="005144B7"/>
    <w:rsid w:val="0051527A"/>
    <w:rsid w:val="005152E1"/>
    <w:rsid w:val="00516464"/>
    <w:rsid w:val="00517E0A"/>
    <w:rsid w:val="0052102A"/>
    <w:rsid w:val="00521466"/>
    <w:rsid w:val="00521A41"/>
    <w:rsid w:val="0052208A"/>
    <w:rsid w:val="0052309E"/>
    <w:rsid w:val="00523179"/>
    <w:rsid w:val="005236FB"/>
    <w:rsid w:val="0052419F"/>
    <w:rsid w:val="00524E90"/>
    <w:rsid w:val="00524F9A"/>
    <w:rsid w:val="00524FC9"/>
    <w:rsid w:val="00526A5F"/>
    <w:rsid w:val="0052794D"/>
    <w:rsid w:val="00527C96"/>
    <w:rsid w:val="00527F31"/>
    <w:rsid w:val="00530145"/>
    <w:rsid w:val="005302FB"/>
    <w:rsid w:val="005305EA"/>
    <w:rsid w:val="00530CD0"/>
    <w:rsid w:val="00530E14"/>
    <w:rsid w:val="00530F92"/>
    <w:rsid w:val="0053143C"/>
    <w:rsid w:val="00533E2A"/>
    <w:rsid w:val="005341E0"/>
    <w:rsid w:val="005343BF"/>
    <w:rsid w:val="0053486C"/>
    <w:rsid w:val="00536A85"/>
    <w:rsid w:val="00536EF0"/>
    <w:rsid w:val="00536EF1"/>
    <w:rsid w:val="005409F4"/>
    <w:rsid w:val="00540F0D"/>
    <w:rsid w:val="00540FB0"/>
    <w:rsid w:val="00542718"/>
    <w:rsid w:val="005451EF"/>
    <w:rsid w:val="0054588D"/>
    <w:rsid w:val="00546885"/>
    <w:rsid w:val="005469B6"/>
    <w:rsid w:val="00546FA7"/>
    <w:rsid w:val="005472D1"/>
    <w:rsid w:val="005473C2"/>
    <w:rsid w:val="00547CAD"/>
    <w:rsid w:val="00547D79"/>
    <w:rsid w:val="0055008F"/>
    <w:rsid w:val="005506D6"/>
    <w:rsid w:val="00550B18"/>
    <w:rsid w:val="00550BD3"/>
    <w:rsid w:val="005511D1"/>
    <w:rsid w:val="00551BC9"/>
    <w:rsid w:val="00552536"/>
    <w:rsid w:val="00552A4A"/>
    <w:rsid w:val="00552EDC"/>
    <w:rsid w:val="005531D0"/>
    <w:rsid w:val="00553928"/>
    <w:rsid w:val="005541F3"/>
    <w:rsid w:val="005548C5"/>
    <w:rsid w:val="00555A6A"/>
    <w:rsid w:val="00555D70"/>
    <w:rsid w:val="0055699B"/>
    <w:rsid w:val="00557CBC"/>
    <w:rsid w:val="00560370"/>
    <w:rsid w:val="005606FF"/>
    <w:rsid w:val="005610F6"/>
    <w:rsid w:val="00562170"/>
    <w:rsid w:val="00562452"/>
    <w:rsid w:val="00562AEE"/>
    <w:rsid w:val="00562FBC"/>
    <w:rsid w:val="00563275"/>
    <w:rsid w:val="0056366C"/>
    <w:rsid w:val="005642FC"/>
    <w:rsid w:val="00565038"/>
    <w:rsid w:val="0056517C"/>
    <w:rsid w:val="005656E4"/>
    <w:rsid w:val="005658C3"/>
    <w:rsid w:val="00565941"/>
    <w:rsid w:val="00565BA6"/>
    <w:rsid w:val="00565E19"/>
    <w:rsid w:val="00566955"/>
    <w:rsid w:val="0056747E"/>
    <w:rsid w:val="00571B57"/>
    <w:rsid w:val="00572AE3"/>
    <w:rsid w:val="00572F7A"/>
    <w:rsid w:val="00573387"/>
    <w:rsid w:val="00574C20"/>
    <w:rsid w:val="00574E72"/>
    <w:rsid w:val="00574F0E"/>
    <w:rsid w:val="00576B33"/>
    <w:rsid w:val="00576B5B"/>
    <w:rsid w:val="005772BB"/>
    <w:rsid w:val="00577602"/>
    <w:rsid w:val="0057764A"/>
    <w:rsid w:val="00577C8B"/>
    <w:rsid w:val="00577FCC"/>
    <w:rsid w:val="00580130"/>
    <w:rsid w:val="005808E9"/>
    <w:rsid w:val="005816EB"/>
    <w:rsid w:val="005817E0"/>
    <w:rsid w:val="0058194D"/>
    <w:rsid w:val="00582AE6"/>
    <w:rsid w:val="005833C7"/>
    <w:rsid w:val="00583679"/>
    <w:rsid w:val="0058483C"/>
    <w:rsid w:val="00584F4B"/>
    <w:rsid w:val="0058556D"/>
    <w:rsid w:val="005858BA"/>
    <w:rsid w:val="00585B32"/>
    <w:rsid w:val="00587681"/>
    <w:rsid w:val="00587930"/>
    <w:rsid w:val="00587BED"/>
    <w:rsid w:val="00587C27"/>
    <w:rsid w:val="00587DB2"/>
    <w:rsid w:val="005906E4"/>
    <w:rsid w:val="0059087A"/>
    <w:rsid w:val="00590BB7"/>
    <w:rsid w:val="00591460"/>
    <w:rsid w:val="00591FB3"/>
    <w:rsid w:val="0059264F"/>
    <w:rsid w:val="00592A69"/>
    <w:rsid w:val="00592F8C"/>
    <w:rsid w:val="00593157"/>
    <w:rsid w:val="00593CE4"/>
    <w:rsid w:val="005940A8"/>
    <w:rsid w:val="00594C7A"/>
    <w:rsid w:val="00595631"/>
    <w:rsid w:val="00596378"/>
    <w:rsid w:val="005967AE"/>
    <w:rsid w:val="00596E14"/>
    <w:rsid w:val="005A091A"/>
    <w:rsid w:val="005A12A7"/>
    <w:rsid w:val="005A187B"/>
    <w:rsid w:val="005A1885"/>
    <w:rsid w:val="005A2B00"/>
    <w:rsid w:val="005A2B08"/>
    <w:rsid w:val="005A3065"/>
    <w:rsid w:val="005A4071"/>
    <w:rsid w:val="005A4762"/>
    <w:rsid w:val="005A6BAD"/>
    <w:rsid w:val="005A6EBB"/>
    <w:rsid w:val="005A7564"/>
    <w:rsid w:val="005A77D2"/>
    <w:rsid w:val="005B028A"/>
    <w:rsid w:val="005B0576"/>
    <w:rsid w:val="005B1DB4"/>
    <w:rsid w:val="005B25F4"/>
    <w:rsid w:val="005B355C"/>
    <w:rsid w:val="005B37EF"/>
    <w:rsid w:val="005B4ACE"/>
    <w:rsid w:val="005B4FFC"/>
    <w:rsid w:val="005B53A0"/>
    <w:rsid w:val="005B583F"/>
    <w:rsid w:val="005B5B3F"/>
    <w:rsid w:val="005B5F0A"/>
    <w:rsid w:val="005B6363"/>
    <w:rsid w:val="005B6F51"/>
    <w:rsid w:val="005B732E"/>
    <w:rsid w:val="005B7F08"/>
    <w:rsid w:val="005C0387"/>
    <w:rsid w:val="005C0568"/>
    <w:rsid w:val="005C099B"/>
    <w:rsid w:val="005C0EAE"/>
    <w:rsid w:val="005C12D6"/>
    <w:rsid w:val="005C1818"/>
    <w:rsid w:val="005C436A"/>
    <w:rsid w:val="005C537C"/>
    <w:rsid w:val="005C56FB"/>
    <w:rsid w:val="005C5841"/>
    <w:rsid w:val="005C5CB0"/>
    <w:rsid w:val="005C5FA3"/>
    <w:rsid w:val="005C67A9"/>
    <w:rsid w:val="005C6A65"/>
    <w:rsid w:val="005C72DD"/>
    <w:rsid w:val="005C7C09"/>
    <w:rsid w:val="005C7D81"/>
    <w:rsid w:val="005C7FD2"/>
    <w:rsid w:val="005D0AA9"/>
    <w:rsid w:val="005D1722"/>
    <w:rsid w:val="005D176A"/>
    <w:rsid w:val="005D1BA5"/>
    <w:rsid w:val="005D1FCF"/>
    <w:rsid w:val="005D41FF"/>
    <w:rsid w:val="005D43E2"/>
    <w:rsid w:val="005D47DC"/>
    <w:rsid w:val="005D48E7"/>
    <w:rsid w:val="005D5F55"/>
    <w:rsid w:val="005D7AE0"/>
    <w:rsid w:val="005E004E"/>
    <w:rsid w:val="005E11B3"/>
    <w:rsid w:val="005E1D7E"/>
    <w:rsid w:val="005E2C16"/>
    <w:rsid w:val="005E2DAC"/>
    <w:rsid w:val="005E375A"/>
    <w:rsid w:val="005E3C5D"/>
    <w:rsid w:val="005E467D"/>
    <w:rsid w:val="005E47CF"/>
    <w:rsid w:val="005E4819"/>
    <w:rsid w:val="005E498A"/>
    <w:rsid w:val="005E57B5"/>
    <w:rsid w:val="005E73D1"/>
    <w:rsid w:val="005E74B5"/>
    <w:rsid w:val="005E78E7"/>
    <w:rsid w:val="005F016A"/>
    <w:rsid w:val="005F01E5"/>
    <w:rsid w:val="005F0226"/>
    <w:rsid w:val="005F0540"/>
    <w:rsid w:val="005F068F"/>
    <w:rsid w:val="005F0A77"/>
    <w:rsid w:val="005F0F93"/>
    <w:rsid w:val="005F1040"/>
    <w:rsid w:val="005F158C"/>
    <w:rsid w:val="005F17F8"/>
    <w:rsid w:val="005F19EE"/>
    <w:rsid w:val="005F1D0D"/>
    <w:rsid w:val="005F256E"/>
    <w:rsid w:val="005F2BEE"/>
    <w:rsid w:val="005F3099"/>
    <w:rsid w:val="005F3112"/>
    <w:rsid w:val="005F3A7B"/>
    <w:rsid w:val="005F3DDA"/>
    <w:rsid w:val="005F3F2F"/>
    <w:rsid w:val="005F4A0A"/>
    <w:rsid w:val="005F4D17"/>
    <w:rsid w:val="005F4F7D"/>
    <w:rsid w:val="005F76C6"/>
    <w:rsid w:val="005F7DD7"/>
    <w:rsid w:val="00600478"/>
    <w:rsid w:val="006008FA"/>
    <w:rsid w:val="00600965"/>
    <w:rsid w:val="00600D00"/>
    <w:rsid w:val="00600ECD"/>
    <w:rsid w:val="00601080"/>
    <w:rsid w:val="00601220"/>
    <w:rsid w:val="006012D2"/>
    <w:rsid w:val="00601854"/>
    <w:rsid w:val="00601AAA"/>
    <w:rsid w:val="006029F1"/>
    <w:rsid w:val="00602B3F"/>
    <w:rsid w:val="00603BFE"/>
    <w:rsid w:val="00603E63"/>
    <w:rsid w:val="00604A5A"/>
    <w:rsid w:val="006056E6"/>
    <w:rsid w:val="0060611E"/>
    <w:rsid w:val="0060678D"/>
    <w:rsid w:val="00606A2D"/>
    <w:rsid w:val="00607DE8"/>
    <w:rsid w:val="00607F93"/>
    <w:rsid w:val="00610A9E"/>
    <w:rsid w:val="00611202"/>
    <w:rsid w:val="006116A6"/>
    <w:rsid w:val="006121C2"/>
    <w:rsid w:val="00612C9F"/>
    <w:rsid w:val="00612F8F"/>
    <w:rsid w:val="006131B7"/>
    <w:rsid w:val="006138B3"/>
    <w:rsid w:val="00613CBA"/>
    <w:rsid w:val="0061418E"/>
    <w:rsid w:val="00614434"/>
    <w:rsid w:val="00614B55"/>
    <w:rsid w:val="0061582B"/>
    <w:rsid w:val="00615F1F"/>
    <w:rsid w:val="006164F9"/>
    <w:rsid w:val="0061701D"/>
    <w:rsid w:val="00620B5A"/>
    <w:rsid w:val="006214E2"/>
    <w:rsid w:val="00621CD7"/>
    <w:rsid w:val="00622111"/>
    <w:rsid w:val="00622D87"/>
    <w:rsid w:val="006234A7"/>
    <w:rsid w:val="0062391F"/>
    <w:rsid w:val="00623A2D"/>
    <w:rsid w:val="006244EE"/>
    <w:rsid w:val="00625645"/>
    <w:rsid w:val="00626C98"/>
    <w:rsid w:val="006272CF"/>
    <w:rsid w:val="00627709"/>
    <w:rsid w:val="0062797A"/>
    <w:rsid w:val="00627CB8"/>
    <w:rsid w:val="00630023"/>
    <w:rsid w:val="006314AF"/>
    <w:rsid w:val="00631E8A"/>
    <w:rsid w:val="00632429"/>
    <w:rsid w:val="00632811"/>
    <w:rsid w:val="00633A38"/>
    <w:rsid w:val="00633C8B"/>
    <w:rsid w:val="006343D4"/>
    <w:rsid w:val="0063454D"/>
    <w:rsid w:val="0063458E"/>
    <w:rsid w:val="006348F6"/>
    <w:rsid w:val="0063543C"/>
    <w:rsid w:val="0063555E"/>
    <w:rsid w:val="00635E7F"/>
    <w:rsid w:val="0063614D"/>
    <w:rsid w:val="006361D2"/>
    <w:rsid w:val="00637050"/>
    <w:rsid w:val="0063725E"/>
    <w:rsid w:val="00637C64"/>
    <w:rsid w:val="0064043B"/>
    <w:rsid w:val="0064187B"/>
    <w:rsid w:val="0064199C"/>
    <w:rsid w:val="00641BDB"/>
    <w:rsid w:val="00642407"/>
    <w:rsid w:val="00642AF1"/>
    <w:rsid w:val="0064301E"/>
    <w:rsid w:val="00643B23"/>
    <w:rsid w:val="00644B2A"/>
    <w:rsid w:val="0064554D"/>
    <w:rsid w:val="00645CA8"/>
    <w:rsid w:val="00647151"/>
    <w:rsid w:val="006471B5"/>
    <w:rsid w:val="00650623"/>
    <w:rsid w:val="0065107F"/>
    <w:rsid w:val="0065137D"/>
    <w:rsid w:val="006527B1"/>
    <w:rsid w:val="00652DE8"/>
    <w:rsid w:val="00653358"/>
    <w:rsid w:val="0065397F"/>
    <w:rsid w:val="00653D4D"/>
    <w:rsid w:val="00653F86"/>
    <w:rsid w:val="006551A1"/>
    <w:rsid w:val="0065524B"/>
    <w:rsid w:val="006555AE"/>
    <w:rsid w:val="00655E8B"/>
    <w:rsid w:val="00656B6D"/>
    <w:rsid w:val="00656E3C"/>
    <w:rsid w:val="00656E55"/>
    <w:rsid w:val="006572D0"/>
    <w:rsid w:val="00657492"/>
    <w:rsid w:val="00657557"/>
    <w:rsid w:val="00657F6B"/>
    <w:rsid w:val="006611A9"/>
    <w:rsid w:val="006611C6"/>
    <w:rsid w:val="00661B46"/>
    <w:rsid w:val="00661B89"/>
    <w:rsid w:val="0066250F"/>
    <w:rsid w:val="00662811"/>
    <w:rsid w:val="00663C31"/>
    <w:rsid w:val="00663EC8"/>
    <w:rsid w:val="0066405C"/>
    <w:rsid w:val="006643D1"/>
    <w:rsid w:val="00664591"/>
    <w:rsid w:val="006654D8"/>
    <w:rsid w:val="00665A1F"/>
    <w:rsid w:val="0066615A"/>
    <w:rsid w:val="00666DA4"/>
    <w:rsid w:val="0066723E"/>
    <w:rsid w:val="0066761B"/>
    <w:rsid w:val="00670706"/>
    <w:rsid w:val="00670712"/>
    <w:rsid w:val="00671258"/>
    <w:rsid w:val="00671575"/>
    <w:rsid w:val="00672362"/>
    <w:rsid w:val="006723BE"/>
    <w:rsid w:val="00672975"/>
    <w:rsid w:val="00672A56"/>
    <w:rsid w:val="006739A0"/>
    <w:rsid w:val="00673F0A"/>
    <w:rsid w:val="0067421F"/>
    <w:rsid w:val="00674CEF"/>
    <w:rsid w:val="00674FEA"/>
    <w:rsid w:val="00675E8B"/>
    <w:rsid w:val="00675EDF"/>
    <w:rsid w:val="00676733"/>
    <w:rsid w:val="00676A44"/>
    <w:rsid w:val="0067729E"/>
    <w:rsid w:val="006777AA"/>
    <w:rsid w:val="0068018D"/>
    <w:rsid w:val="00680778"/>
    <w:rsid w:val="006809D6"/>
    <w:rsid w:val="0068101C"/>
    <w:rsid w:val="0068141B"/>
    <w:rsid w:val="00681632"/>
    <w:rsid w:val="00681FE7"/>
    <w:rsid w:val="0068293F"/>
    <w:rsid w:val="006834B4"/>
    <w:rsid w:val="006834CC"/>
    <w:rsid w:val="0068432E"/>
    <w:rsid w:val="00684613"/>
    <w:rsid w:val="0068645C"/>
    <w:rsid w:val="00687D88"/>
    <w:rsid w:val="00687EFC"/>
    <w:rsid w:val="006900FE"/>
    <w:rsid w:val="00690F0A"/>
    <w:rsid w:val="0069138B"/>
    <w:rsid w:val="006917F2"/>
    <w:rsid w:val="00693082"/>
    <w:rsid w:val="00693733"/>
    <w:rsid w:val="00693AA3"/>
    <w:rsid w:val="00693F3C"/>
    <w:rsid w:val="00693FA7"/>
    <w:rsid w:val="00693FF3"/>
    <w:rsid w:val="00694A98"/>
    <w:rsid w:val="00695B26"/>
    <w:rsid w:val="006966B5"/>
    <w:rsid w:val="00696B9A"/>
    <w:rsid w:val="006972D8"/>
    <w:rsid w:val="0069739E"/>
    <w:rsid w:val="006974E9"/>
    <w:rsid w:val="0069758C"/>
    <w:rsid w:val="00697C91"/>
    <w:rsid w:val="006A0BAA"/>
    <w:rsid w:val="006A0D86"/>
    <w:rsid w:val="006A1748"/>
    <w:rsid w:val="006A197E"/>
    <w:rsid w:val="006A1E1A"/>
    <w:rsid w:val="006A25D5"/>
    <w:rsid w:val="006A2EE6"/>
    <w:rsid w:val="006A3FFE"/>
    <w:rsid w:val="006A5103"/>
    <w:rsid w:val="006A5A07"/>
    <w:rsid w:val="006A5EBC"/>
    <w:rsid w:val="006A696D"/>
    <w:rsid w:val="006A6E6C"/>
    <w:rsid w:val="006B02EA"/>
    <w:rsid w:val="006B1B4F"/>
    <w:rsid w:val="006B1E6E"/>
    <w:rsid w:val="006B26AC"/>
    <w:rsid w:val="006B3385"/>
    <w:rsid w:val="006B3E2F"/>
    <w:rsid w:val="006B41AD"/>
    <w:rsid w:val="006B42CE"/>
    <w:rsid w:val="006B45A3"/>
    <w:rsid w:val="006B4A4D"/>
    <w:rsid w:val="006B4D55"/>
    <w:rsid w:val="006B4E5D"/>
    <w:rsid w:val="006B542C"/>
    <w:rsid w:val="006B5B9A"/>
    <w:rsid w:val="006B5D23"/>
    <w:rsid w:val="006B5F4C"/>
    <w:rsid w:val="006B6205"/>
    <w:rsid w:val="006B6EEA"/>
    <w:rsid w:val="006B72A3"/>
    <w:rsid w:val="006B7FB1"/>
    <w:rsid w:val="006C0C22"/>
    <w:rsid w:val="006C110D"/>
    <w:rsid w:val="006C1D33"/>
    <w:rsid w:val="006C1EE3"/>
    <w:rsid w:val="006C3D5D"/>
    <w:rsid w:val="006C4588"/>
    <w:rsid w:val="006C46D8"/>
    <w:rsid w:val="006C49A1"/>
    <w:rsid w:val="006C4B95"/>
    <w:rsid w:val="006C4BEF"/>
    <w:rsid w:val="006C5378"/>
    <w:rsid w:val="006C5658"/>
    <w:rsid w:val="006C58E2"/>
    <w:rsid w:val="006C63ED"/>
    <w:rsid w:val="006D0C0A"/>
    <w:rsid w:val="006D0D9C"/>
    <w:rsid w:val="006D0E12"/>
    <w:rsid w:val="006D15E5"/>
    <w:rsid w:val="006D1C0A"/>
    <w:rsid w:val="006D1CF2"/>
    <w:rsid w:val="006D1FF7"/>
    <w:rsid w:val="006D225C"/>
    <w:rsid w:val="006D2265"/>
    <w:rsid w:val="006D2EE1"/>
    <w:rsid w:val="006D35B1"/>
    <w:rsid w:val="006D36D5"/>
    <w:rsid w:val="006D3AF3"/>
    <w:rsid w:val="006D471E"/>
    <w:rsid w:val="006D5A05"/>
    <w:rsid w:val="006D5DE3"/>
    <w:rsid w:val="006D7040"/>
    <w:rsid w:val="006D72B1"/>
    <w:rsid w:val="006E00CE"/>
    <w:rsid w:val="006E0734"/>
    <w:rsid w:val="006E0AD4"/>
    <w:rsid w:val="006E0DC0"/>
    <w:rsid w:val="006E1822"/>
    <w:rsid w:val="006E1CBA"/>
    <w:rsid w:val="006E2203"/>
    <w:rsid w:val="006E29CB"/>
    <w:rsid w:val="006E2E55"/>
    <w:rsid w:val="006E300C"/>
    <w:rsid w:val="006E38FB"/>
    <w:rsid w:val="006E3AAB"/>
    <w:rsid w:val="006E4033"/>
    <w:rsid w:val="006E69EB"/>
    <w:rsid w:val="006E722A"/>
    <w:rsid w:val="006E7A9C"/>
    <w:rsid w:val="006F05E0"/>
    <w:rsid w:val="006F0838"/>
    <w:rsid w:val="006F08B5"/>
    <w:rsid w:val="006F0B50"/>
    <w:rsid w:val="006F0FE9"/>
    <w:rsid w:val="006F130D"/>
    <w:rsid w:val="006F135E"/>
    <w:rsid w:val="006F16F3"/>
    <w:rsid w:val="006F197F"/>
    <w:rsid w:val="006F2282"/>
    <w:rsid w:val="006F22AE"/>
    <w:rsid w:val="006F3040"/>
    <w:rsid w:val="006F3043"/>
    <w:rsid w:val="006F3343"/>
    <w:rsid w:val="006F36CC"/>
    <w:rsid w:val="006F49AB"/>
    <w:rsid w:val="006F4A0E"/>
    <w:rsid w:val="006F5915"/>
    <w:rsid w:val="006F624E"/>
    <w:rsid w:val="006F6B14"/>
    <w:rsid w:val="006F71C6"/>
    <w:rsid w:val="006F7424"/>
    <w:rsid w:val="006F7D7B"/>
    <w:rsid w:val="007000ED"/>
    <w:rsid w:val="007005C6"/>
    <w:rsid w:val="007009EC"/>
    <w:rsid w:val="00701E0B"/>
    <w:rsid w:val="00702074"/>
    <w:rsid w:val="00702204"/>
    <w:rsid w:val="00702306"/>
    <w:rsid w:val="00702478"/>
    <w:rsid w:val="0070306D"/>
    <w:rsid w:val="00703441"/>
    <w:rsid w:val="0070365A"/>
    <w:rsid w:val="00703A91"/>
    <w:rsid w:val="00703B8F"/>
    <w:rsid w:val="00704440"/>
    <w:rsid w:val="00705A69"/>
    <w:rsid w:val="00706203"/>
    <w:rsid w:val="00706342"/>
    <w:rsid w:val="00706AE9"/>
    <w:rsid w:val="00707F64"/>
    <w:rsid w:val="00710C75"/>
    <w:rsid w:val="00711538"/>
    <w:rsid w:val="007118B9"/>
    <w:rsid w:val="007127CC"/>
    <w:rsid w:val="0071405C"/>
    <w:rsid w:val="007143C0"/>
    <w:rsid w:val="00715C72"/>
    <w:rsid w:val="0071655B"/>
    <w:rsid w:val="00716BF7"/>
    <w:rsid w:val="007170F8"/>
    <w:rsid w:val="00717F45"/>
    <w:rsid w:val="0072082D"/>
    <w:rsid w:val="00720C78"/>
    <w:rsid w:val="00720CA0"/>
    <w:rsid w:val="00720E23"/>
    <w:rsid w:val="00720FE2"/>
    <w:rsid w:val="0072120E"/>
    <w:rsid w:val="0072132F"/>
    <w:rsid w:val="00721EA7"/>
    <w:rsid w:val="007220F0"/>
    <w:rsid w:val="00723460"/>
    <w:rsid w:val="007237DC"/>
    <w:rsid w:val="00723B20"/>
    <w:rsid w:val="00723B67"/>
    <w:rsid w:val="00723C37"/>
    <w:rsid w:val="00723EA3"/>
    <w:rsid w:val="0072415D"/>
    <w:rsid w:val="0072564B"/>
    <w:rsid w:val="00725E22"/>
    <w:rsid w:val="00726254"/>
    <w:rsid w:val="0072684C"/>
    <w:rsid w:val="00727569"/>
    <w:rsid w:val="007307D9"/>
    <w:rsid w:val="00730C32"/>
    <w:rsid w:val="00730DEB"/>
    <w:rsid w:val="00731376"/>
    <w:rsid w:val="0073183D"/>
    <w:rsid w:val="00731881"/>
    <w:rsid w:val="00731901"/>
    <w:rsid w:val="00731A33"/>
    <w:rsid w:val="007328D9"/>
    <w:rsid w:val="00732F4B"/>
    <w:rsid w:val="0073367F"/>
    <w:rsid w:val="00733C4C"/>
    <w:rsid w:val="007344F3"/>
    <w:rsid w:val="00735140"/>
    <w:rsid w:val="007361D1"/>
    <w:rsid w:val="0074035D"/>
    <w:rsid w:val="007411CB"/>
    <w:rsid w:val="00741719"/>
    <w:rsid w:val="0074269F"/>
    <w:rsid w:val="00742DF6"/>
    <w:rsid w:val="007441FD"/>
    <w:rsid w:val="00744276"/>
    <w:rsid w:val="0074495D"/>
    <w:rsid w:val="00744C3D"/>
    <w:rsid w:val="00745004"/>
    <w:rsid w:val="0074582E"/>
    <w:rsid w:val="00745976"/>
    <w:rsid w:val="0074622C"/>
    <w:rsid w:val="007462BB"/>
    <w:rsid w:val="00746514"/>
    <w:rsid w:val="00746620"/>
    <w:rsid w:val="007467D9"/>
    <w:rsid w:val="00746AF8"/>
    <w:rsid w:val="00746ED0"/>
    <w:rsid w:val="00747836"/>
    <w:rsid w:val="007479E5"/>
    <w:rsid w:val="007506EB"/>
    <w:rsid w:val="007509A3"/>
    <w:rsid w:val="00750EB3"/>
    <w:rsid w:val="00751C7A"/>
    <w:rsid w:val="00751CE1"/>
    <w:rsid w:val="00752511"/>
    <w:rsid w:val="0075262C"/>
    <w:rsid w:val="00752AB1"/>
    <w:rsid w:val="00754126"/>
    <w:rsid w:val="00754744"/>
    <w:rsid w:val="0075569B"/>
    <w:rsid w:val="00756EF2"/>
    <w:rsid w:val="0075737F"/>
    <w:rsid w:val="00757A35"/>
    <w:rsid w:val="00757AC7"/>
    <w:rsid w:val="007610E8"/>
    <w:rsid w:val="0076196D"/>
    <w:rsid w:val="00761B1F"/>
    <w:rsid w:val="00761E11"/>
    <w:rsid w:val="007621E9"/>
    <w:rsid w:val="00762A5C"/>
    <w:rsid w:val="00763E02"/>
    <w:rsid w:val="00764498"/>
    <w:rsid w:val="007646F9"/>
    <w:rsid w:val="0076567B"/>
    <w:rsid w:val="00766549"/>
    <w:rsid w:val="00767336"/>
    <w:rsid w:val="007708FF"/>
    <w:rsid w:val="00770983"/>
    <w:rsid w:val="00771228"/>
    <w:rsid w:val="0077176B"/>
    <w:rsid w:val="007717A5"/>
    <w:rsid w:val="007718F8"/>
    <w:rsid w:val="0077197A"/>
    <w:rsid w:val="00772554"/>
    <w:rsid w:val="00772D15"/>
    <w:rsid w:val="00773A19"/>
    <w:rsid w:val="0077415D"/>
    <w:rsid w:val="0077446E"/>
    <w:rsid w:val="007756FC"/>
    <w:rsid w:val="00775B55"/>
    <w:rsid w:val="0077600E"/>
    <w:rsid w:val="007765CB"/>
    <w:rsid w:val="00777175"/>
    <w:rsid w:val="00777D77"/>
    <w:rsid w:val="00780131"/>
    <w:rsid w:val="00780647"/>
    <w:rsid w:val="007812B3"/>
    <w:rsid w:val="00781F61"/>
    <w:rsid w:val="00782654"/>
    <w:rsid w:val="007827A4"/>
    <w:rsid w:val="00782BD4"/>
    <w:rsid w:val="00783377"/>
    <w:rsid w:val="0078346F"/>
    <w:rsid w:val="00784590"/>
    <w:rsid w:val="00785332"/>
    <w:rsid w:val="0078551C"/>
    <w:rsid w:val="00786067"/>
    <w:rsid w:val="007867CA"/>
    <w:rsid w:val="00786CA9"/>
    <w:rsid w:val="0079119D"/>
    <w:rsid w:val="0079138B"/>
    <w:rsid w:val="0079177A"/>
    <w:rsid w:val="00791DF5"/>
    <w:rsid w:val="00791EE6"/>
    <w:rsid w:val="0079222E"/>
    <w:rsid w:val="00793192"/>
    <w:rsid w:val="0079338E"/>
    <w:rsid w:val="00793CB0"/>
    <w:rsid w:val="00793EFA"/>
    <w:rsid w:val="007942DD"/>
    <w:rsid w:val="0079485C"/>
    <w:rsid w:val="00794B18"/>
    <w:rsid w:val="0079560D"/>
    <w:rsid w:val="00795BEF"/>
    <w:rsid w:val="00795C21"/>
    <w:rsid w:val="007969B2"/>
    <w:rsid w:val="00796BEB"/>
    <w:rsid w:val="007970C2"/>
    <w:rsid w:val="00797588"/>
    <w:rsid w:val="007A0016"/>
    <w:rsid w:val="007A037B"/>
    <w:rsid w:val="007A13A2"/>
    <w:rsid w:val="007A180A"/>
    <w:rsid w:val="007A2DEA"/>
    <w:rsid w:val="007A44E0"/>
    <w:rsid w:val="007A50D4"/>
    <w:rsid w:val="007A6A20"/>
    <w:rsid w:val="007A6D27"/>
    <w:rsid w:val="007A6DA9"/>
    <w:rsid w:val="007A710A"/>
    <w:rsid w:val="007A7665"/>
    <w:rsid w:val="007A7AA1"/>
    <w:rsid w:val="007A7B61"/>
    <w:rsid w:val="007A7DA6"/>
    <w:rsid w:val="007B0053"/>
    <w:rsid w:val="007B072B"/>
    <w:rsid w:val="007B09A3"/>
    <w:rsid w:val="007B0F90"/>
    <w:rsid w:val="007B15E8"/>
    <w:rsid w:val="007B19F1"/>
    <w:rsid w:val="007B2F35"/>
    <w:rsid w:val="007B332E"/>
    <w:rsid w:val="007B4335"/>
    <w:rsid w:val="007B49B0"/>
    <w:rsid w:val="007B5292"/>
    <w:rsid w:val="007B551E"/>
    <w:rsid w:val="007B6099"/>
    <w:rsid w:val="007B6438"/>
    <w:rsid w:val="007B6B76"/>
    <w:rsid w:val="007B7144"/>
    <w:rsid w:val="007B7660"/>
    <w:rsid w:val="007B7E42"/>
    <w:rsid w:val="007C13B8"/>
    <w:rsid w:val="007C18BD"/>
    <w:rsid w:val="007C257F"/>
    <w:rsid w:val="007C3C63"/>
    <w:rsid w:val="007C45F6"/>
    <w:rsid w:val="007C590F"/>
    <w:rsid w:val="007C5E09"/>
    <w:rsid w:val="007C62C7"/>
    <w:rsid w:val="007C6430"/>
    <w:rsid w:val="007C77E6"/>
    <w:rsid w:val="007C7936"/>
    <w:rsid w:val="007D011F"/>
    <w:rsid w:val="007D0BDE"/>
    <w:rsid w:val="007D0C8B"/>
    <w:rsid w:val="007D13F8"/>
    <w:rsid w:val="007D1C5A"/>
    <w:rsid w:val="007D1E62"/>
    <w:rsid w:val="007D20DB"/>
    <w:rsid w:val="007D2733"/>
    <w:rsid w:val="007D3934"/>
    <w:rsid w:val="007D3975"/>
    <w:rsid w:val="007D46CC"/>
    <w:rsid w:val="007D5681"/>
    <w:rsid w:val="007D5BA8"/>
    <w:rsid w:val="007D5CEF"/>
    <w:rsid w:val="007D6A24"/>
    <w:rsid w:val="007D6C55"/>
    <w:rsid w:val="007D7D62"/>
    <w:rsid w:val="007D7FA2"/>
    <w:rsid w:val="007E04B6"/>
    <w:rsid w:val="007E06E5"/>
    <w:rsid w:val="007E0B43"/>
    <w:rsid w:val="007E224E"/>
    <w:rsid w:val="007E26B7"/>
    <w:rsid w:val="007E2C4F"/>
    <w:rsid w:val="007E2E30"/>
    <w:rsid w:val="007E305C"/>
    <w:rsid w:val="007E30E0"/>
    <w:rsid w:val="007E428D"/>
    <w:rsid w:val="007E4A65"/>
    <w:rsid w:val="007E4B12"/>
    <w:rsid w:val="007E517A"/>
    <w:rsid w:val="007E5C10"/>
    <w:rsid w:val="007E5D09"/>
    <w:rsid w:val="007E5FD8"/>
    <w:rsid w:val="007E617B"/>
    <w:rsid w:val="007E6296"/>
    <w:rsid w:val="007E664C"/>
    <w:rsid w:val="007E69A5"/>
    <w:rsid w:val="007E6B31"/>
    <w:rsid w:val="007E7374"/>
    <w:rsid w:val="007E791F"/>
    <w:rsid w:val="007F0415"/>
    <w:rsid w:val="007F0896"/>
    <w:rsid w:val="007F0D12"/>
    <w:rsid w:val="007F0D9E"/>
    <w:rsid w:val="007F162F"/>
    <w:rsid w:val="007F1816"/>
    <w:rsid w:val="007F203C"/>
    <w:rsid w:val="007F21A3"/>
    <w:rsid w:val="007F267D"/>
    <w:rsid w:val="007F270A"/>
    <w:rsid w:val="007F5200"/>
    <w:rsid w:val="007F595A"/>
    <w:rsid w:val="007F5E4D"/>
    <w:rsid w:val="007F65D4"/>
    <w:rsid w:val="007F7200"/>
    <w:rsid w:val="007F73F4"/>
    <w:rsid w:val="007F7985"/>
    <w:rsid w:val="008001CE"/>
    <w:rsid w:val="008004C4"/>
    <w:rsid w:val="008005A8"/>
    <w:rsid w:val="0080137F"/>
    <w:rsid w:val="00802174"/>
    <w:rsid w:val="0080410A"/>
    <w:rsid w:val="00804998"/>
    <w:rsid w:val="008049BF"/>
    <w:rsid w:val="00804EAB"/>
    <w:rsid w:val="008050D0"/>
    <w:rsid w:val="00805238"/>
    <w:rsid w:val="00805408"/>
    <w:rsid w:val="00805712"/>
    <w:rsid w:val="00806090"/>
    <w:rsid w:val="008075C6"/>
    <w:rsid w:val="0080767D"/>
    <w:rsid w:val="00807BB9"/>
    <w:rsid w:val="00807C7D"/>
    <w:rsid w:val="00810107"/>
    <w:rsid w:val="008101FB"/>
    <w:rsid w:val="008127E5"/>
    <w:rsid w:val="00812927"/>
    <w:rsid w:val="00812B71"/>
    <w:rsid w:val="00812E0B"/>
    <w:rsid w:val="00813303"/>
    <w:rsid w:val="00813449"/>
    <w:rsid w:val="00813A04"/>
    <w:rsid w:val="008141B1"/>
    <w:rsid w:val="0081460E"/>
    <w:rsid w:val="008146D2"/>
    <w:rsid w:val="00814824"/>
    <w:rsid w:val="008152DB"/>
    <w:rsid w:val="00815327"/>
    <w:rsid w:val="0081553E"/>
    <w:rsid w:val="008165E9"/>
    <w:rsid w:val="00816A62"/>
    <w:rsid w:val="00817D2F"/>
    <w:rsid w:val="008205E2"/>
    <w:rsid w:val="008207D2"/>
    <w:rsid w:val="00820E1D"/>
    <w:rsid w:val="00820E21"/>
    <w:rsid w:val="00821620"/>
    <w:rsid w:val="00822993"/>
    <w:rsid w:val="00823497"/>
    <w:rsid w:val="00823B7D"/>
    <w:rsid w:val="008242B5"/>
    <w:rsid w:val="00824E90"/>
    <w:rsid w:val="00826A47"/>
    <w:rsid w:val="008270A2"/>
    <w:rsid w:val="008277CB"/>
    <w:rsid w:val="00827FD6"/>
    <w:rsid w:val="00830591"/>
    <w:rsid w:val="008308A6"/>
    <w:rsid w:val="0083138C"/>
    <w:rsid w:val="00831455"/>
    <w:rsid w:val="00831B4F"/>
    <w:rsid w:val="00831C87"/>
    <w:rsid w:val="00833C59"/>
    <w:rsid w:val="00834032"/>
    <w:rsid w:val="0083479C"/>
    <w:rsid w:val="0083547E"/>
    <w:rsid w:val="00835731"/>
    <w:rsid w:val="00835946"/>
    <w:rsid w:val="00837394"/>
    <w:rsid w:val="00841E51"/>
    <w:rsid w:val="00842B9A"/>
    <w:rsid w:val="00842D47"/>
    <w:rsid w:val="00843089"/>
    <w:rsid w:val="00843152"/>
    <w:rsid w:val="00843266"/>
    <w:rsid w:val="00844324"/>
    <w:rsid w:val="00844B05"/>
    <w:rsid w:val="0084611C"/>
    <w:rsid w:val="008461AD"/>
    <w:rsid w:val="008475E0"/>
    <w:rsid w:val="00847641"/>
    <w:rsid w:val="008476BB"/>
    <w:rsid w:val="00847E74"/>
    <w:rsid w:val="00850743"/>
    <w:rsid w:val="008507BC"/>
    <w:rsid w:val="00850A17"/>
    <w:rsid w:val="00850BD5"/>
    <w:rsid w:val="00850EA8"/>
    <w:rsid w:val="00851F38"/>
    <w:rsid w:val="008522F4"/>
    <w:rsid w:val="00852F79"/>
    <w:rsid w:val="00853435"/>
    <w:rsid w:val="008535F5"/>
    <w:rsid w:val="008538D8"/>
    <w:rsid w:val="008539AE"/>
    <w:rsid w:val="008542C7"/>
    <w:rsid w:val="008549EC"/>
    <w:rsid w:val="00855BAB"/>
    <w:rsid w:val="00855D79"/>
    <w:rsid w:val="00855F67"/>
    <w:rsid w:val="008564B0"/>
    <w:rsid w:val="00856505"/>
    <w:rsid w:val="008568C0"/>
    <w:rsid w:val="00860718"/>
    <w:rsid w:val="00861D65"/>
    <w:rsid w:val="00861F0E"/>
    <w:rsid w:val="008620EE"/>
    <w:rsid w:val="00862D2A"/>
    <w:rsid w:val="00863382"/>
    <w:rsid w:val="00863AF0"/>
    <w:rsid w:val="00863B7E"/>
    <w:rsid w:val="008640BE"/>
    <w:rsid w:val="008641FF"/>
    <w:rsid w:val="008647EE"/>
    <w:rsid w:val="00864850"/>
    <w:rsid w:val="008649B4"/>
    <w:rsid w:val="00864DDB"/>
    <w:rsid w:val="0086533D"/>
    <w:rsid w:val="00865B92"/>
    <w:rsid w:val="00865DB9"/>
    <w:rsid w:val="0086605E"/>
    <w:rsid w:val="00866063"/>
    <w:rsid w:val="008660F3"/>
    <w:rsid w:val="0086614A"/>
    <w:rsid w:val="00866403"/>
    <w:rsid w:val="00866481"/>
    <w:rsid w:val="00866D24"/>
    <w:rsid w:val="008670E3"/>
    <w:rsid w:val="00867C1C"/>
    <w:rsid w:val="00871870"/>
    <w:rsid w:val="00871EE2"/>
    <w:rsid w:val="00871F39"/>
    <w:rsid w:val="008737FA"/>
    <w:rsid w:val="00873A72"/>
    <w:rsid w:val="00874AC4"/>
    <w:rsid w:val="00874D95"/>
    <w:rsid w:val="00875BBB"/>
    <w:rsid w:val="00875E45"/>
    <w:rsid w:val="00876D2B"/>
    <w:rsid w:val="00877665"/>
    <w:rsid w:val="00877AEC"/>
    <w:rsid w:val="00880377"/>
    <w:rsid w:val="00880C86"/>
    <w:rsid w:val="0088158A"/>
    <w:rsid w:val="00881977"/>
    <w:rsid w:val="00881A99"/>
    <w:rsid w:val="00881BAA"/>
    <w:rsid w:val="00882121"/>
    <w:rsid w:val="0088383E"/>
    <w:rsid w:val="008838F1"/>
    <w:rsid w:val="00885710"/>
    <w:rsid w:val="008864EE"/>
    <w:rsid w:val="008865F0"/>
    <w:rsid w:val="008865F6"/>
    <w:rsid w:val="00886F3A"/>
    <w:rsid w:val="00887393"/>
    <w:rsid w:val="008878CF"/>
    <w:rsid w:val="008914ED"/>
    <w:rsid w:val="0089152E"/>
    <w:rsid w:val="00892415"/>
    <w:rsid w:val="008924D9"/>
    <w:rsid w:val="00892FEA"/>
    <w:rsid w:val="00893447"/>
    <w:rsid w:val="00893598"/>
    <w:rsid w:val="00893C76"/>
    <w:rsid w:val="00893E3C"/>
    <w:rsid w:val="00893FB2"/>
    <w:rsid w:val="00894030"/>
    <w:rsid w:val="00894126"/>
    <w:rsid w:val="00896C87"/>
    <w:rsid w:val="008974F0"/>
    <w:rsid w:val="00897575"/>
    <w:rsid w:val="008976CD"/>
    <w:rsid w:val="0089792E"/>
    <w:rsid w:val="008A0686"/>
    <w:rsid w:val="008A106D"/>
    <w:rsid w:val="008A10B8"/>
    <w:rsid w:val="008A1BEC"/>
    <w:rsid w:val="008A2012"/>
    <w:rsid w:val="008A20D5"/>
    <w:rsid w:val="008A26C3"/>
    <w:rsid w:val="008A2B20"/>
    <w:rsid w:val="008A3A78"/>
    <w:rsid w:val="008A3CDB"/>
    <w:rsid w:val="008A41BD"/>
    <w:rsid w:val="008A51B7"/>
    <w:rsid w:val="008A57BC"/>
    <w:rsid w:val="008A6B08"/>
    <w:rsid w:val="008A6C34"/>
    <w:rsid w:val="008A7833"/>
    <w:rsid w:val="008A7AB8"/>
    <w:rsid w:val="008B0469"/>
    <w:rsid w:val="008B0F20"/>
    <w:rsid w:val="008B3602"/>
    <w:rsid w:val="008B3D09"/>
    <w:rsid w:val="008B3D52"/>
    <w:rsid w:val="008B3FAE"/>
    <w:rsid w:val="008B4242"/>
    <w:rsid w:val="008B437B"/>
    <w:rsid w:val="008B4F41"/>
    <w:rsid w:val="008B6748"/>
    <w:rsid w:val="008B6A48"/>
    <w:rsid w:val="008B6ED5"/>
    <w:rsid w:val="008B7CC1"/>
    <w:rsid w:val="008C05E0"/>
    <w:rsid w:val="008C1289"/>
    <w:rsid w:val="008C24B3"/>
    <w:rsid w:val="008C3143"/>
    <w:rsid w:val="008C3624"/>
    <w:rsid w:val="008C4096"/>
    <w:rsid w:val="008C4A3C"/>
    <w:rsid w:val="008C590E"/>
    <w:rsid w:val="008C6025"/>
    <w:rsid w:val="008C71AC"/>
    <w:rsid w:val="008C7BFF"/>
    <w:rsid w:val="008D0291"/>
    <w:rsid w:val="008D1B5D"/>
    <w:rsid w:val="008D1E53"/>
    <w:rsid w:val="008D2122"/>
    <w:rsid w:val="008D2877"/>
    <w:rsid w:val="008D29FB"/>
    <w:rsid w:val="008D2A3C"/>
    <w:rsid w:val="008D2F8C"/>
    <w:rsid w:val="008D3853"/>
    <w:rsid w:val="008D39A4"/>
    <w:rsid w:val="008D3ACB"/>
    <w:rsid w:val="008D410A"/>
    <w:rsid w:val="008D41A7"/>
    <w:rsid w:val="008D4DD6"/>
    <w:rsid w:val="008D541D"/>
    <w:rsid w:val="008D6163"/>
    <w:rsid w:val="008D6AD2"/>
    <w:rsid w:val="008D7197"/>
    <w:rsid w:val="008D7C50"/>
    <w:rsid w:val="008E1085"/>
    <w:rsid w:val="008E140E"/>
    <w:rsid w:val="008E206C"/>
    <w:rsid w:val="008E20B4"/>
    <w:rsid w:val="008E229F"/>
    <w:rsid w:val="008E2BE8"/>
    <w:rsid w:val="008E3804"/>
    <w:rsid w:val="008E3E0A"/>
    <w:rsid w:val="008E4034"/>
    <w:rsid w:val="008E40B2"/>
    <w:rsid w:val="008E44F0"/>
    <w:rsid w:val="008E4552"/>
    <w:rsid w:val="008E4BCD"/>
    <w:rsid w:val="008E5048"/>
    <w:rsid w:val="008E526D"/>
    <w:rsid w:val="008E52E0"/>
    <w:rsid w:val="008E6399"/>
    <w:rsid w:val="008E6D34"/>
    <w:rsid w:val="008E6FD6"/>
    <w:rsid w:val="008E7901"/>
    <w:rsid w:val="008E7909"/>
    <w:rsid w:val="008E7D0D"/>
    <w:rsid w:val="008E7EBC"/>
    <w:rsid w:val="008F052C"/>
    <w:rsid w:val="008F0C57"/>
    <w:rsid w:val="008F1710"/>
    <w:rsid w:val="008F1A3F"/>
    <w:rsid w:val="008F1BD8"/>
    <w:rsid w:val="008F2D3E"/>
    <w:rsid w:val="008F2FFE"/>
    <w:rsid w:val="008F301A"/>
    <w:rsid w:val="008F3CA7"/>
    <w:rsid w:val="008F3F66"/>
    <w:rsid w:val="008F4042"/>
    <w:rsid w:val="008F4104"/>
    <w:rsid w:val="008F4378"/>
    <w:rsid w:val="008F45FE"/>
    <w:rsid w:val="008F4609"/>
    <w:rsid w:val="008F52FA"/>
    <w:rsid w:val="008F5758"/>
    <w:rsid w:val="008F58C1"/>
    <w:rsid w:val="008F5D04"/>
    <w:rsid w:val="008F6D8F"/>
    <w:rsid w:val="008F7DB1"/>
    <w:rsid w:val="00901845"/>
    <w:rsid w:val="009025E4"/>
    <w:rsid w:val="0090283E"/>
    <w:rsid w:val="009036B1"/>
    <w:rsid w:val="00905031"/>
    <w:rsid w:val="00905AAE"/>
    <w:rsid w:val="0090665F"/>
    <w:rsid w:val="009068A2"/>
    <w:rsid w:val="009069B6"/>
    <w:rsid w:val="00907042"/>
    <w:rsid w:val="009076E9"/>
    <w:rsid w:val="009116AD"/>
    <w:rsid w:val="0091179D"/>
    <w:rsid w:val="009120D8"/>
    <w:rsid w:val="009132D4"/>
    <w:rsid w:val="00913E41"/>
    <w:rsid w:val="00916FBF"/>
    <w:rsid w:val="00917C5B"/>
    <w:rsid w:val="009207EC"/>
    <w:rsid w:val="00920B43"/>
    <w:rsid w:val="00920B91"/>
    <w:rsid w:val="00921041"/>
    <w:rsid w:val="009215DA"/>
    <w:rsid w:val="00921D87"/>
    <w:rsid w:val="00921F48"/>
    <w:rsid w:val="00923B42"/>
    <w:rsid w:val="00923D63"/>
    <w:rsid w:val="00925057"/>
    <w:rsid w:val="00925DF0"/>
    <w:rsid w:val="009261E4"/>
    <w:rsid w:val="009268FD"/>
    <w:rsid w:val="009274D8"/>
    <w:rsid w:val="00927BDE"/>
    <w:rsid w:val="009308D2"/>
    <w:rsid w:val="009309DB"/>
    <w:rsid w:val="00930CD3"/>
    <w:rsid w:val="00930D54"/>
    <w:rsid w:val="009317FE"/>
    <w:rsid w:val="009322B3"/>
    <w:rsid w:val="009331D9"/>
    <w:rsid w:val="009348A5"/>
    <w:rsid w:val="0093520C"/>
    <w:rsid w:val="00935408"/>
    <w:rsid w:val="009354C7"/>
    <w:rsid w:val="00935F84"/>
    <w:rsid w:val="00936091"/>
    <w:rsid w:val="00936EF1"/>
    <w:rsid w:val="009373B3"/>
    <w:rsid w:val="009405EC"/>
    <w:rsid w:val="009408AD"/>
    <w:rsid w:val="009409A3"/>
    <w:rsid w:val="00940A55"/>
    <w:rsid w:val="00942184"/>
    <w:rsid w:val="00942D47"/>
    <w:rsid w:val="00943387"/>
    <w:rsid w:val="00943524"/>
    <w:rsid w:val="0094387F"/>
    <w:rsid w:val="00944080"/>
    <w:rsid w:val="00944332"/>
    <w:rsid w:val="00945344"/>
    <w:rsid w:val="009453F6"/>
    <w:rsid w:val="009457B6"/>
    <w:rsid w:val="00945BDB"/>
    <w:rsid w:val="00946353"/>
    <w:rsid w:val="009463E1"/>
    <w:rsid w:val="00946D4E"/>
    <w:rsid w:val="00946DBF"/>
    <w:rsid w:val="00947161"/>
    <w:rsid w:val="00947334"/>
    <w:rsid w:val="0094771C"/>
    <w:rsid w:val="00947CA3"/>
    <w:rsid w:val="00950451"/>
    <w:rsid w:val="00950DC9"/>
    <w:rsid w:val="009511AA"/>
    <w:rsid w:val="009511D7"/>
    <w:rsid w:val="00951A7F"/>
    <w:rsid w:val="00951A8C"/>
    <w:rsid w:val="00951D31"/>
    <w:rsid w:val="0095230B"/>
    <w:rsid w:val="00952901"/>
    <w:rsid w:val="009532D4"/>
    <w:rsid w:val="00953620"/>
    <w:rsid w:val="00953DBA"/>
    <w:rsid w:val="0095461E"/>
    <w:rsid w:val="00954981"/>
    <w:rsid w:val="00955E72"/>
    <w:rsid w:val="009560CE"/>
    <w:rsid w:val="00960270"/>
    <w:rsid w:val="00960354"/>
    <w:rsid w:val="00960CD8"/>
    <w:rsid w:val="00960D6C"/>
    <w:rsid w:val="009611B6"/>
    <w:rsid w:val="00962240"/>
    <w:rsid w:val="00962D7C"/>
    <w:rsid w:val="00963828"/>
    <w:rsid w:val="00963A3B"/>
    <w:rsid w:val="00963BD4"/>
    <w:rsid w:val="00963BF9"/>
    <w:rsid w:val="00963CE7"/>
    <w:rsid w:val="00964545"/>
    <w:rsid w:val="0096492D"/>
    <w:rsid w:val="00964E3C"/>
    <w:rsid w:val="00964F8D"/>
    <w:rsid w:val="00964FE8"/>
    <w:rsid w:val="009656CF"/>
    <w:rsid w:val="009657B8"/>
    <w:rsid w:val="00965E75"/>
    <w:rsid w:val="00967B06"/>
    <w:rsid w:val="00967EE6"/>
    <w:rsid w:val="00970315"/>
    <w:rsid w:val="00970D58"/>
    <w:rsid w:val="009718FC"/>
    <w:rsid w:val="009719CA"/>
    <w:rsid w:val="00972503"/>
    <w:rsid w:val="00972766"/>
    <w:rsid w:val="00972CBF"/>
    <w:rsid w:val="00973669"/>
    <w:rsid w:val="009740AD"/>
    <w:rsid w:val="00974A8C"/>
    <w:rsid w:val="00975EB6"/>
    <w:rsid w:val="0097668C"/>
    <w:rsid w:val="0097789C"/>
    <w:rsid w:val="00977DB3"/>
    <w:rsid w:val="0098045C"/>
    <w:rsid w:val="00980681"/>
    <w:rsid w:val="00980908"/>
    <w:rsid w:val="009809E2"/>
    <w:rsid w:val="00980C1D"/>
    <w:rsid w:val="00980E6D"/>
    <w:rsid w:val="009821D0"/>
    <w:rsid w:val="00983132"/>
    <w:rsid w:val="00983513"/>
    <w:rsid w:val="00983A5E"/>
    <w:rsid w:val="009846E9"/>
    <w:rsid w:val="009849EE"/>
    <w:rsid w:val="00984DEE"/>
    <w:rsid w:val="00985938"/>
    <w:rsid w:val="009868B3"/>
    <w:rsid w:val="00987019"/>
    <w:rsid w:val="00987051"/>
    <w:rsid w:val="009879E9"/>
    <w:rsid w:val="00987E82"/>
    <w:rsid w:val="009902D7"/>
    <w:rsid w:val="0099184F"/>
    <w:rsid w:val="00991D5C"/>
    <w:rsid w:val="00991EDC"/>
    <w:rsid w:val="00992475"/>
    <w:rsid w:val="009928B0"/>
    <w:rsid w:val="0099321A"/>
    <w:rsid w:val="009932E3"/>
    <w:rsid w:val="009933C4"/>
    <w:rsid w:val="009934D2"/>
    <w:rsid w:val="009942C1"/>
    <w:rsid w:val="0099432D"/>
    <w:rsid w:val="00995C88"/>
    <w:rsid w:val="00996BCA"/>
    <w:rsid w:val="009975C0"/>
    <w:rsid w:val="00997CE8"/>
    <w:rsid w:val="009A189E"/>
    <w:rsid w:val="009A1BE4"/>
    <w:rsid w:val="009A2A19"/>
    <w:rsid w:val="009A2E1C"/>
    <w:rsid w:val="009A32C1"/>
    <w:rsid w:val="009A350E"/>
    <w:rsid w:val="009A362F"/>
    <w:rsid w:val="009A3A30"/>
    <w:rsid w:val="009A3D04"/>
    <w:rsid w:val="009A3D08"/>
    <w:rsid w:val="009A4D66"/>
    <w:rsid w:val="009A5CDA"/>
    <w:rsid w:val="009A5F95"/>
    <w:rsid w:val="009A6E2C"/>
    <w:rsid w:val="009A7063"/>
    <w:rsid w:val="009A7296"/>
    <w:rsid w:val="009A75E9"/>
    <w:rsid w:val="009A7A32"/>
    <w:rsid w:val="009B0669"/>
    <w:rsid w:val="009B06BE"/>
    <w:rsid w:val="009B1409"/>
    <w:rsid w:val="009B14CF"/>
    <w:rsid w:val="009B2F58"/>
    <w:rsid w:val="009B3615"/>
    <w:rsid w:val="009B3668"/>
    <w:rsid w:val="009B37BD"/>
    <w:rsid w:val="009B462D"/>
    <w:rsid w:val="009B50DC"/>
    <w:rsid w:val="009B55CE"/>
    <w:rsid w:val="009B67A4"/>
    <w:rsid w:val="009B6A86"/>
    <w:rsid w:val="009B77F7"/>
    <w:rsid w:val="009B79A8"/>
    <w:rsid w:val="009B7A49"/>
    <w:rsid w:val="009C199F"/>
    <w:rsid w:val="009C20F0"/>
    <w:rsid w:val="009C2156"/>
    <w:rsid w:val="009C296A"/>
    <w:rsid w:val="009C2C8F"/>
    <w:rsid w:val="009C3435"/>
    <w:rsid w:val="009C37AC"/>
    <w:rsid w:val="009C38CE"/>
    <w:rsid w:val="009C3CA0"/>
    <w:rsid w:val="009C4191"/>
    <w:rsid w:val="009C4AC8"/>
    <w:rsid w:val="009C6026"/>
    <w:rsid w:val="009C6246"/>
    <w:rsid w:val="009C6A66"/>
    <w:rsid w:val="009C6C33"/>
    <w:rsid w:val="009C6DAB"/>
    <w:rsid w:val="009C7234"/>
    <w:rsid w:val="009C76CF"/>
    <w:rsid w:val="009D02DE"/>
    <w:rsid w:val="009D05F0"/>
    <w:rsid w:val="009D05FB"/>
    <w:rsid w:val="009D086A"/>
    <w:rsid w:val="009D0BF8"/>
    <w:rsid w:val="009D0DEC"/>
    <w:rsid w:val="009D10C9"/>
    <w:rsid w:val="009D14F5"/>
    <w:rsid w:val="009D1F36"/>
    <w:rsid w:val="009D2A64"/>
    <w:rsid w:val="009D31CE"/>
    <w:rsid w:val="009D3365"/>
    <w:rsid w:val="009D3509"/>
    <w:rsid w:val="009D3B3D"/>
    <w:rsid w:val="009D4234"/>
    <w:rsid w:val="009D51E8"/>
    <w:rsid w:val="009D56D0"/>
    <w:rsid w:val="009D60FF"/>
    <w:rsid w:val="009D655C"/>
    <w:rsid w:val="009D655D"/>
    <w:rsid w:val="009D713B"/>
    <w:rsid w:val="009D7707"/>
    <w:rsid w:val="009E191B"/>
    <w:rsid w:val="009E1F64"/>
    <w:rsid w:val="009E2640"/>
    <w:rsid w:val="009E31CC"/>
    <w:rsid w:val="009E3357"/>
    <w:rsid w:val="009E5532"/>
    <w:rsid w:val="009E5FE4"/>
    <w:rsid w:val="009E6928"/>
    <w:rsid w:val="009E6D20"/>
    <w:rsid w:val="009E7CFB"/>
    <w:rsid w:val="009F01DC"/>
    <w:rsid w:val="009F05F4"/>
    <w:rsid w:val="009F0A43"/>
    <w:rsid w:val="009F0D14"/>
    <w:rsid w:val="009F592D"/>
    <w:rsid w:val="009F6CB2"/>
    <w:rsid w:val="009F756F"/>
    <w:rsid w:val="009F77D1"/>
    <w:rsid w:val="009F7E15"/>
    <w:rsid w:val="00A0069B"/>
    <w:rsid w:val="00A01A39"/>
    <w:rsid w:val="00A01BB2"/>
    <w:rsid w:val="00A02E82"/>
    <w:rsid w:val="00A03FBB"/>
    <w:rsid w:val="00A041DF"/>
    <w:rsid w:val="00A04F35"/>
    <w:rsid w:val="00A054B3"/>
    <w:rsid w:val="00A061EE"/>
    <w:rsid w:val="00A064A7"/>
    <w:rsid w:val="00A0654E"/>
    <w:rsid w:val="00A06E44"/>
    <w:rsid w:val="00A07885"/>
    <w:rsid w:val="00A07B09"/>
    <w:rsid w:val="00A07FD4"/>
    <w:rsid w:val="00A12086"/>
    <w:rsid w:val="00A12586"/>
    <w:rsid w:val="00A133E7"/>
    <w:rsid w:val="00A139E2"/>
    <w:rsid w:val="00A14394"/>
    <w:rsid w:val="00A1441A"/>
    <w:rsid w:val="00A14F12"/>
    <w:rsid w:val="00A14F39"/>
    <w:rsid w:val="00A15FAB"/>
    <w:rsid w:val="00A161A0"/>
    <w:rsid w:val="00A16486"/>
    <w:rsid w:val="00A16625"/>
    <w:rsid w:val="00A1684E"/>
    <w:rsid w:val="00A20277"/>
    <w:rsid w:val="00A207DE"/>
    <w:rsid w:val="00A20840"/>
    <w:rsid w:val="00A214A1"/>
    <w:rsid w:val="00A21D72"/>
    <w:rsid w:val="00A2226C"/>
    <w:rsid w:val="00A22306"/>
    <w:rsid w:val="00A224B3"/>
    <w:rsid w:val="00A22B8B"/>
    <w:rsid w:val="00A22F54"/>
    <w:rsid w:val="00A232AB"/>
    <w:rsid w:val="00A23816"/>
    <w:rsid w:val="00A23F12"/>
    <w:rsid w:val="00A2449B"/>
    <w:rsid w:val="00A24963"/>
    <w:rsid w:val="00A24C45"/>
    <w:rsid w:val="00A25313"/>
    <w:rsid w:val="00A257F2"/>
    <w:rsid w:val="00A25E76"/>
    <w:rsid w:val="00A260EF"/>
    <w:rsid w:val="00A26957"/>
    <w:rsid w:val="00A27760"/>
    <w:rsid w:val="00A27840"/>
    <w:rsid w:val="00A27BC0"/>
    <w:rsid w:val="00A27BE9"/>
    <w:rsid w:val="00A302F6"/>
    <w:rsid w:val="00A309C1"/>
    <w:rsid w:val="00A31594"/>
    <w:rsid w:val="00A31EEE"/>
    <w:rsid w:val="00A32347"/>
    <w:rsid w:val="00A3258A"/>
    <w:rsid w:val="00A335C1"/>
    <w:rsid w:val="00A3366B"/>
    <w:rsid w:val="00A34976"/>
    <w:rsid w:val="00A35273"/>
    <w:rsid w:val="00A352C1"/>
    <w:rsid w:val="00A357B5"/>
    <w:rsid w:val="00A35FB1"/>
    <w:rsid w:val="00A36F20"/>
    <w:rsid w:val="00A408BF"/>
    <w:rsid w:val="00A408E1"/>
    <w:rsid w:val="00A40F72"/>
    <w:rsid w:val="00A414A6"/>
    <w:rsid w:val="00A415CF"/>
    <w:rsid w:val="00A42418"/>
    <w:rsid w:val="00A428E5"/>
    <w:rsid w:val="00A431BF"/>
    <w:rsid w:val="00A43AA5"/>
    <w:rsid w:val="00A440F8"/>
    <w:rsid w:val="00A443EC"/>
    <w:rsid w:val="00A44527"/>
    <w:rsid w:val="00A4532E"/>
    <w:rsid w:val="00A45E3E"/>
    <w:rsid w:val="00A46927"/>
    <w:rsid w:val="00A5128B"/>
    <w:rsid w:val="00A515A1"/>
    <w:rsid w:val="00A51C2C"/>
    <w:rsid w:val="00A51F3F"/>
    <w:rsid w:val="00A52EB0"/>
    <w:rsid w:val="00A537D2"/>
    <w:rsid w:val="00A53858"/>
    <w:rsid w:val="00A538E8"/>
    <w:rsid w:val="00A54210"/>
    <w:rsid w:val="00A54B45"/>
    <w:rsid w:val="00A54CBE"/>
    <w:rsid w:val="00A55796"/>
    <w:rsid w:val="00A55BEB"/>
    <w:rsid w:val="00A560D2"/>
    <w:rsid w:val="00A56E1B"/>
    <w:rsid w:val="00A576F4"/>
    <w:rsid w:val="00A57811"/>
    <w:rsid w:val="00A5793E"/>
    <w:rsid w:val="00A60AB2"/>
    <w:rsid w:val="00A618AF"/>
    <w:rsid w:val="00A623B0"/>
    <w:rsid w:val="00A62F57"/>
    <w:rsid w:val="00A636BC"/>
    <w:rsid w:val="00A63BEB"/>
    <w:rsid w:val="00A63F74"/>
    <w:rsid w:val="00A641BE"/>
    <w:rsid w:val="00A64325"/>
    <w:rsid w:val="00A67041"/>
    <w:rsid w:val="00A67205"/>
    <w:rsid w:val="00A6722B"/>
    <w:rsid w:val="00A67827"/>
    <w:rsid w:val="00A70567"/>
    <w:rsid w:val="00A70B98"/>
    <w:rsid w:val="00A70CA7"/>
    <w:rsid w:val="00A7131A"/>
    <w:rsid w:val="00A7156D"/>
    <w:rsid w:val="00A723BD"/>
    <w:rsid w:val="00A73310"/>
    <w:rsid w:val="00A746C7"/>
    <w:rsid w:val="00A74E83"/>
    <w:rsid w:val="00A75305"/>
    <w:rsid w:val="00A75702"/>
    <w:rsid w:val="00A75A62"/>
    <w:rsid w:val="00A75BCA"/>
    <w:rsid w:val="00A760F7"/>
    <w:rsid w:val="00A76105"/>
    <w:rsid w:val="00A7664E"/>
    <w:rsid w:val="00A7693A"/>
    <w:rsid w:val="00A76D4C"/>
    <w:rsid w:val="00A777BD"/>
    <w:rsid w:val="00A80494"/>
    <w:rsid w:val="00A80A01"/>
    <w:rsid w:val="00A8110A"/>
    <w:rsid w:val="00A81A43"/>
    <w:rsid w:val="00A82719"/>
    <w:rsid w:val="00A82845"/>
    <w:rsid w:val="00A82BF4"/>
    <w:rsid w:val="00A833EA"/>
    <w:rsid w:val="00A835D4"/>
    <w:rsid w:val="00A83B98"/>
    <w:rsid w:val="00A845A2"/>
    <w:rsid w:val="00A8484C"/>
    <w:rsid w:val="00A849F2"/>
    <w:rsid w:val="00A85720"/>
    <w:rsid w:val="00A8591D"/>
    <w:rsid w:val="00A85A54"/>
    <w:rsid w:val="00A862C9"/>
    <w:rsid w:val="00A862E5"/>
    <w:rsid w:val="00A86485"/>
    <w:rsid w:val="00A86863"/>
    <w:rsid w:val="00A86879"/>
    <w:rsid w:val="00A868DC"/>
    <w:rsid w:val="00A87B39"/>
    <w:rsid w:val="00A87BD8"/>
    <w:rsid w:val="00A87E5D"/>
    <w:rsid w:val="00A91083"/>
    <w:rsid w:val="00A910EE"/>
    <w:rsid w:val="00A9153B"/>
    <w:rsid w:val="00A91DBA"/>
    <w:rsid w:val="00A922AA"/>
    <w:rsid w:val="00A9265B"/>
    <w:rsid w:val="00A926B5"/>
    <w:rsid w:val="00A92C8B"/>
    <w:rsid w:val="00A92D82"/>
    <w:rsid w:val="00A9331A"/>
    <w:rsid w:val="00A9353C"/>
    <w:rsid w:val="00A94329"/>
    <w:rsid w:val="00A94A2F"/>
    <w:rsid w:val="00A95130"/>
    <w:rsid w:val="00A95632"/>
    <w:rsid w:val="00A95D4A"/>
    <w:rsid w:val="00A95E5F"/>
    <w:rsid w:val="00A95EA9"/>
    <w:rsid w:val="00A95F5A"/>
    <w:rsid w:val="00A9670F"/>
    <w:rsid w:val="00A96F39"/>
    <w:rsid w:val="00A97298"/>
    <w:rsid w:val="00A9760B"/>
    <w:rsid w:val="00A97F66"/>
    <w:rsid w:val="00AA01B7"/>
    <w:rsid w:val="00AA0294"/>
    <w:rsid w:val="00AA0E92"/>
    <w:rsid w:val="00AA1246"/>
    <w:rsid w:val="00AA1533"/>
    <w:rsid w:val="00AA1BCE"/>
    <w:rsid w:val="00AA3A78"/>
    <w:rsid w:val="00AA41B5"/>
    <w:rsid w:val="00AA47B3"/>
    <w:rsid w:val="00AA6D1A"/>
    <w:rsid w:val="00AB0318"/>
    <w:rsid w:val="00AB070B"/>
    <w:rsid w:val="00AB0899"/>
    <w:rsid w:val="00AB08AB"/>
    <w:rsid w:val="00AB1051"/>
    <w:rsid w:val="00AB1557"/>
    <w:rsid w:val="00AB1788"/>
    <w:rsid w:val="00AB19E9"/>
    <w:rsid w:val="00AB1D10"/>
    <w:rsid w:val="00AB28DA"/>
    <w:rsid w:val="00AB298F"/>
    <w:rsid w:val="00AB2AA6"/>
    <w:rsid w:val="00AB37F7"/>
    <w:rsid w:val="00AB3ACA"/>
    <w:rsid w:val="00AB4215"/>
    <w:rsid w:val="00AB4534"/>
    <w:rsid w:val="00AB45C3"/>
    <w:rsid w:val="00AB5B54"/>
    <w:rsid w:val="00AB651B"/>
    <w:rsid w:val="00AB6776"/>
    <w:rsid w:val="00AB6D4B"/>
    <w:rsid w:val="00AB7BDD"/>
    <w:rsid w:val="00AB7BFB"/>
    <w:rsid w:val="00AC0557"/>
    <w:rsid w:val="00AC0674"/>
    <w:rsid w:val="00AC085A"/>
    <w:rsid w:val="00AC13C8"/>
    <w:rsid w:val="00AC19F9"/>
    <w:rsid w:val="00AC1C62"/>
    <w:rsid w:val="00AC1E24"/>
    <w:rsid w:val="00AC1FC5"/>
    <w:rsid w:val="00AC2772"/>
    <w:rsid w:val="00AC2A80"/>
    <w:rsid w:val="00AC2D60"/>
    <w:rsid w:val="00AC3614"/>
    <w:rsid w:val="00AC456A"/>
    <w:rsid w:val="00AC4805"/>
    <w:rsid w:val="00AC4CD3"/>
    <w:rsid w:val="00AC56E3"/>
    <w:rsid w:val="00AC5ABB"/>
    <w:rsid w:val="00AC5DFC"/>
    <w:rsid w:val="00AC6085"/>
    <w:rsid w:val="00AC6860"/>
    <w:rsid w:val="00AC7BF3"/>
    <w:rsid w:val="00AD0662"/>
    <w:rsid w:val="00AD1415"/>
    <w:rsid w:val="00AD18E7"/>
    <w:rsid w:val="00AD247F"/>
    <w:rsid w:val="00AD28B0"/>
    <w:rsid w:val="00AD2AF4"/>
    <w:rsid w:val="00AD3260"/>
    <w:rsid w:val="00AD33F9"/>
    <w:rsid w:val="00AD3453"/>
    <w:rsid w:val="00AD3BBE"/>
    <w:rsid w:val="00AD3DBB"/>
    <w:rsid w:val="00AD43DB"/>
    <w:rsid w:val="00AD44C4"/>
    <w:rsid w:val="00AD5065"/>
    <w:rsid w:val="00AD587F"/>
    <w:rsid w:val="00AD59D2"/>
    <w:rsid w:val="00AD6C8E"/>
    <w:rsid w:val="00AD7750"/>
    <w:rsid w:val="00AD7993"/>
    <w:rsid w:val="00AD7C04"/>
    <w:rsid w:val="00AD7F1F"/>
    <w:rsid w:val="00AE068D"/>
    <w:rsid w:val="00AE12EA"/>
    <w:rsid w:val="00AE16A9"/>
    <w:rsid w:val="00AE177C"/>
    <w:rsid w:val="00AE2229"/>
    <w:rsid w:val="00AE2460"/>
    <w:rsid w:val="00AE2BF0"/>
    <w:rsid w:val="00AE2CB0"/>
    <w:rsid w:val="00AE348E"/>
    <w:rsid w:val="00AE35C5"/>
    <w:rsid w:val="00AE374A"/>
    <w:rsid w:val="00AE37F4"/>
    <w:rsid w:val="00AE45CF"/>
    <w:rsid w:val="00AE46A4"/>
    <w:rsid w:val="00AE4A59"/>
    <w:rsid w:val="00AE4F32"/>
    <w:rsid w:val="00AE5018"/>
    <w:rsid w:val="00AE69FC"/>
    <w:rsid w:val="00AE73A6"/>
    <w:rsid w:val="00AE74A3"/>
    <w:rsid w:val="00AE752D"/>
    <w:rsid w:val="00AF0188"/>
    <w:rsid w:val="00AF02DC"/>
    <w:rsid w:val="00AF0607"/>
    <w:rsid w:val="00AF0B07"/>
    <w:rsid w:val="00AF1184"/>
    <w:rsid w:val="00AF11FC"/>
    <w:rsid w:val="00AF16DF"/>
    <w:rsid w:val="00AF1CF4"/>
    <w:rsid w:val="00AF2A11"/>
    <w:rsid w:val="00AF2C86"/>
    <w:rsid w:val="00AF2DAA"/>
    <w:rsid w:val="00AF348F"/>
    <w:rsid w:val="00AF3F47"/>
    <w:rsid w:val="00AF4167"/>
    <w:rsid w:val="00AF46C2"/>
    <w:rsid w:val="00AF4896"/>
    <w:rsid w:val="00AF497D"/>
    <w:rsid w:val="00AF4D4E"/>
    <w:rsid w:val="00AF5051"/>
    <w:rsid w:val="00AF5A58"/>
    <w:rsid w:val="00AF66DA"/>
    <w:rsid w:val="00AF6786"/>
    <w:rsid w:val="00AF68BB"/>
    <w:rsid w:val="00AF6A33"/>
    <w:rsid w:val="00AF6EEE"/>
    <w:rsid w:val="00B00C40"/>
    <w:rsid w:val="00B012F3"/>
    <w:rsid w:val="00B01B70"/>
    <w:rsid w:val="00B01C6E"/>
    <w:rsid w:val="00B020F4"/>
    <w:rsid w:val="00B022F0"/>
    <w:rsid w:val="00B027D5"/>
    <w:rsid w:val="00B02A2A"/>
    <w:rsid w:val="00B02AC8"/>
    <w:rsid w:val="00B03399"/>
    <w:rsid w:val="00B03698"/>
    <w:rsid w:val="00B0484A"/>
    <w:rsid w:val="00B04E2D"/>
    <w:rsid w:val="00B06154"/>
    <w:rsid w:val="00B06856"/>
    <w:rsid w:val="00B07EB4"/>
    <w:rsid w:val="00B10166"/>
    <w:rsid w:val="00B10172"/>
    <w:rsid w:val="00B1071D"/>
    <w:rsid w:val="00B1086C"/>
    <w:rsid w:val="00B10B89"/>
    <w:rsid w:val="00B10BD6"/>
    <w:rsid w:val="00B112AD"/>
    <w:rsid w:val="00B1171C"/>
    <w:rsid w:val="00B1180D"/>
    <w:rsid w:val="00B12295"/>
    <w:rsid w:val="00B12672"/>
    <w:rsid w:val="00B12EA0"/>
    <w:rsid w:val="00B13C64"/>
    <w:rsid w:val="00B15080"/>
    <w:rsid w:val="00B154BE"/>
    <w:rsid w:val="00B15537"/>
    <w:rsid w:val="00B16752"/>
    <w:rsid w:val="00B16ACD"/>
    <w:rsid w:val="00B16F69"/>
    <w:rsid w:val="00B2050C"/>
    <w:rsid w:val="00B22091"/>
    <w:rsid w:val="00B22421"/>
    <w:rsid w:val="00B227A2"/>
    <w:rsid w:val="00B22909"/>
    <w:rsid w:val="00B23BE8"/>
    <w:rsid w:val="00B25070"/>
    <w:rsid w:val="00B25786"/>
    <w:rsid w:val="00B2580A"/>
    <w:rsid w:val="00B25D9A"/>
    <w:rsid w:val="00B26017"/>
    <w:rsid w:val="00B26E6C"/>
    <w:rsid w:val="00B27517"/>
    <w:rsid w:val="00B27548"/>
    <w:rsid w:val="00B27965"/>
    <w:rsid w:val="00B304B0"/>
    <w:rsid w:val="00B311E5"/>
    <w:rsid w:val="00B32521"/>
    <w:rsid w:val="00B3296A"/>
    <w:rsid w:val="00B32B9C"/>
    <w:rsid w:val="00B33503"/>
    <w:rsid w:val="00B34C11"/>
    <w:rsid w:val="00B355A3"/>
    <w:rsid w:val="00B357C4"/>
    <w:rsid w:val="00B36363"/>
    <w:rsid w:val="00B36A74"/>
    <w:rsid w:val="00B36DF7"/>
    <w:rsid w:val="00B37232"/>
    <w:rsid w:val="00B372F4"/>
    <w:rsid w:val="00B374A3"/>
    <w:rsid w:val="00B37F9F"/>
    <w:rsid w:val="00B37FA1"/>
    <w:rsid w:val="00B40B64"/>
    <w:rsid w:val="00B40D52"/>
    <w:rsid w:val="00B425EF"/>
    <w:rsid w:val="00B426DB"/>
    <w:rsid w:val="00B43BF0"/>
    <w:rsid w:val="00B43DBE"/>
    <w:rsid w:val="00B43F18"/>
    <w:rsid w:val="00B441C6"/>
    <w:rsid w:val="00B44CEC"/>
    <w:rsid w:val="00B45006"/>
    <w:rsid w:val="00B45635"/>
    <w:rsid w:val="00B46153"/>
    <w:rsid w:val="00B46980"/>
    <w:rsid w:val="00B47C58"/>
    <w:rsid w:val="00B50989"/>
    <w:rsid w:val="00B530AE"/>
    <w:rsid w:val="00B53DCB"/>
    <w:rsid w:val="00B5494C"/>
    <w:rsid w:val="00B54D7F"/>
    <w:rsid w:val="00B552DC"/>
    <w:rsid w:val="00B55335"/>
    <w:rsid w:val="00B559EA"/>
    <w:rsid w:val="00B55D46"/>
    <w:rsid w:val="00B56093"/>
    <w:rsid w:val="00B56D05"/>
    <w:rsid w:val="00B57E21"/>
    <w:rsid w:val="00B6017A"/>
    <w:rsid w:val="00B60A5F"/>
    <w:rsid w:val="00B615C4"/>
    <w:rsid w:val="00B615CC"/>
    <w:rsid w:val="00B62642"/>
    <w:rsid w:val="00B62A9E"/>
    <w:rsid w:val="00B62BF1"/>
    <w:rsid w:val="00B631AE"/>
    <w:rsid w:val="00B63CA0"/>
    <w:rsid w:val="00B63DD5"/>
    <w:rsid w:val="00B647A8"/>
    <w:rsid w:val="00B64DD2"/>
    <w:rsid w:val="00B64F47"/>
    <w:rsid w:val="00B65769"/>
    <w:rsid w:val="00B65ABB"/>
    <w:rsid w:val="00B66619"/>
    <w:rsid w:val="00B66A18"/>
    <w:rsid w:val="00B6706F"/>
    <w:rsid w:val="00B67D9E"/>
    <w:rsid w:val="00B70189"/>
    <w:rsid w:val="00B7049C"/>
    <w:rsid w:val="00B70EF5"/>
    <w:rsid w:val="00B71890"/>
    <w:rsid w:val="00B71B88"/>
    <w:rsid w:val="00B71DCB"/>
    <w:rsid w:val="00B72274"/>
    <w:rsid w:val="00B7253A"/>
    <w:rsid w:val="00B7290B"/>
    <w:rsid w:val="00B72A1A"/>
    <w:rsid w:val="00B72E37"/>
    <w:rsid w:val="00B72E5E"/>
    <w:rsid w:val="00B73448"/>
    <w:rsid w:val="00B74192"/>
    <w:rsid w:val="00B743E2"/>
    <w:rsid w:val="00B747B6"/>
    <w:rsid w:val="00B74DEC"/>
    <w:rsid w:val="00B75455"/>
    <w:rsid w:val="00B75746"/>
    <w:rsid w:val="00B75ED0"/>
    <w:rsid w:val="00B76727"/>
    <w:rsid w:val="00B76FC2"/>
    <w:rsid w:val="00B774C7"/>
    <w:rsid w:val="00B77602"/>
    <w:rsid w:val="00B77BD4"/>
    <w:rsid w:val="00B77D89"/>
    <w:rsid w:val="00B805D9"/>
    <w:rsid w:val="00B8142F"/>
    <w:rsid w:val="00B81930"/>
    <w:rsid w:val="00B81BFB"/>
    <w:rsid w:val="00B832F6"/>
    <w:rsid w:val="00B835E4"/>
    <w:rsid w:val="00B8368D"/>
    <w:rsid w:val="00B837BE"/>
    <w:rsid w:val="00B83939"/>
    <w:rsid w:val="00B85231"/>
    <w:rsid w:val="00B859AB"/>
    <w:rsid w:val="00B873ED"/>
    <w:rsid w:val="00B87A0A"/>
    <w:rsid w:val="00B90179"/>
    <w:rsid w:val="00B909D5"/>
    <w:rsid w:val="00B90B9F"/>
    <w:rsid w:val="00B91C13"/>
    <w:rsid w:val="00B923B8"/>
    <w:rsid w:val="00B9286F"/>
    <w:rsid w:val="00B92A39"/>
    <w:rsid w:val="00B92C26"/>
    <w:rsid w:val="00B92EA4"/>
    <w:rsid w:val="00B93B0B"/>
    <w:rsid w:val="00B93B64"/>
    <w:rsid w:val="00B94C9A"/>
    <w:rsid w:val="00B94DDF"/>
    <w:rsid w:val="00B94ECE"/>
    <w:rsid w:val="00B953AE"/>
    <w:rsid w:val="00B9550F"/>
    <w:rsid w:val="00B95554"/>
    <w:rsid w:val="00B95679"/>
    <w:rsid w:val="00B963EF"/>
    <w:rsid w:val="00B96475"/>
    <w:rsid w:val="00B96BA3"/>
    <w:rsid w:val="00B97370"/>
    <w:rsid w:val="00B97656"/>
    <w:rsid w:val="00B97795"/>
    <w:rsid w:val="00B979E0"/>
    <w:rsid w:val="00B97CC6"/>
    <w:rsid w:val="00BA0075"/>
    <w:rsid w:val="00BA0656"/>
    <w:rsid w:val="00BA08C8"/>
    <w:rsid w:val="00BA124C"/>
    <w:rsid w:val="00BA187F"/>
    <w:rsid w:val="00BA1BF8"/>
    <w:rsid w:val="00BA1F20"/>
    <w:rsid w:val="00BA214E"/>
    <w:rsid w:val="00BA249E"/>
    <w:rsid w:val="00BA2994"/>
    <w:rsid w:val="00BA33E7"/>
    <w:rsid w:val="00BA36DC"/>
    <w:rsid w:val="00BA4188"/>
    <w:rsid w:val="00BA4328"/>
    <w:rsid w:val="00BA445D"/>
    <w:rsid w:val="00BA512F"/>
    <w:rsid w:val="00BA548E"/>
    <w:rsid w:val="00BA646A"/>
    <w:rsid w:val="00BA657D"/>
    <w:rsid w:val="00BA7338"/>
    <w:rsid w:val="00BA73FA"/>
    <w:rsid w:val="00BA766E"/>
    <w:rsid w:val="00BA7B32"/>
    <w:rsid w:val="00BB007D"/>
    <w:rsid w:val="00BB0EE1"/>
    <w:rsid w:val="00BB10C9"/>
    <w:rsid w:val="00BB1857"/>
    <w:rsid w:val="00BB1D93"/>
    <w:rsid w:val="00BB1E58"/>
    <w:rsid w:val="00BB2AC9"/>
    <w:rsid w:val="00BB2E94"/>
    <w:rsid w:val="00BB44E0"/>
    <w:rsid w:val="00BB4832"/>
    <w:rsid w:val="00BB5683"/>
    <w:rsid w:val="00BB5762"/>
    <w:rsid w:val="00BB59BA"/>
    <w:rsid w:val="00BB5A8E"/>
    <w:rsid w:val="00BB5EA0"/>
    <w:rsid w:val="00BB6146"/>
    <w:rsid w:val="00BB67B9"/>
    <w:rsid w:val="00BB6D52"/>
    <w:rsid w:val="00BB7267"/>
    <w:rsid w:val="00BB7F04"/>
    <w:rsid w:val="00BC05F4"/>
    <w:rsid w:val="00BC0ADD"/>
    <w:rsid w:val="00BC1948"/>
    <w:rsid w:val="00BC1B53"/>
    <w:rsid w:val="00BC1D85"/>
    <w:rsid w:val="00BC1F1E"/>
    <w:rsid w:val="00BC224C"/>
    <w:rsid w:val="00BC29A7"/>
    <w:rsid w:val="00BC2F41"/>
    <w:rsid w:val="00BC2F47"/>
    <w:rsid w:val="00BC2F65"/>
    <w:rsid w:val="00BC3B15"/>
    <w:rsid w:val="00BC476A"/>
    <w:rsid w:val="00BC4DCA"/>
    <w:rsid w:val="00BC5847"/>
    <w:rsid w:val="00BC58EB"/>
    <w:rsid w:val="00BC5A2C"/>
    <w:rsid w:val="00BC60CE"/>
    <w:rsid w:val="00BC6EF0"/>
    <w:rsid w:val="00BD0CFC"/>
    <w:rsid w:val="00BD17A4"/>
    <w:rsid w:val="00BD1D7A"/>
    <w:rsid w:val="00BD1F9C"/>
    <w:rsid w:val="00BD226D"/>
    <w:rsid w:val="00BD2BC0"/>
    <w:rsid w:val="00BD2D34"/>
    <w:rsid w:val="00BD2D72"/>
    <w:rsid w:val="00BD2F05"/>
    <w:rsid w:val="00BD34C6"/>
    <w:rsid w:val="00BD36C0"/>
    <w:rsid w:val="00BD3DF3"/>
    <w:rsid w:val="00BD56C7"/>
    <w:rsid w:val="00BD7200"/>
    <w:rsid w:val="00BD731E"/>
    <w:rsid w:val="00BD77F9"/>
    <w:rsid w:val="00BD7E60"/>
    <w:rsid w:val="00BE07DF"/>
    <w:rsid w:val="00BE0EBB"/>
    <w:rsid w:val="00BE2529"/>
    <w:rsid w:val="00BE2612"/>
    <w:rsid w:val="00BE2EC6"/>
    <w:rsid w:val="00BE2ECE"/>
    <w:rsid w:val="00BE2F7D"/>
    <w:rsid w:val="00BE371F"/>
    <w:rsid w:val="00BE3FF0"/>
    <w:rsid w:val="00BE4A4F"/>
    <w:rsid w:val="00BE4EC8"/>
    <w:rsid w:val="00BE5A64"/>
    <w:rsid w:val="00BE7230"/>
    <w:rsid w:val="00BE72DB"/>
    <w:rsid w:val="00BE7832"/>
    <w:rsid w:val="00BE795B"/>
    <w:rsid w:val="00BF0A05"/>
    <w:rsid w:val="00BF14B1"/>
    <w:rsid w:val="00BF1FEF"/>
    <w:rsid w:val="00BF21DD"/>
    <w:rsid w:val="00BF2674"/>
    <w:rsid w:val="00BF2B73"/>
    <w:rsid w:val="00BF3533"/>
    <w:rsid w:val="00BF3E45"/>
    <w:rsid w:val="00BF419E"/>
    <w:rsid w:val="00BF4727"/>
    <w:rsid w:val="00BF5767"/>
    <w:rsid w:val="00BF5776"/>
    <w:rsid w:val="00BF5C0D"/>
    <w:rsid w:val="00BF79C6"/>
    <w:rsid w:val="00BF7EB1"/>
    <w:rsid w:val="00C0132D"/>
    <w:rsid w:val="00C014D9"/>
    <w:rsid w:val="00C01684"/>
    <w:rsid w:val="00C02FBB"/>
    <w:rsid w:val="00C030C9"/>
    <w:rsid w:val="00C0375B"/>
    <w:rsid w:val="00C04289"/>
    <w:rsid w:val="00C04484"/>
    <w:rsid w:val="00C05543"/>
    <w:rsid w:val="00C05981"/>
    <w:rsid w:val="00C06566"/>
    <w:rsid w:val="00C06836"/>
    <w:rsid w:val="00C06A0B"/>
    <w:rsid w:val="00C10B45"/>
    <w:rsid w:val="00C11077"/>
    <w:rsid w:val="00C11966"/>
    <w:rsid w:val="00C11D36"/>
    <w:rsid w:val="00C11FCE"/>
    <w:rsid w:val="00C129FE"/>
    <w:rsid w:val="00C12B44"/>
    <w:rsid w:val="00C12DC2"/>
    <w:rsid w:val="00C12FF3"/>
    <w:rsid w:val="00C13822"/>
    <w:rsid w:val="00C13DB2"/>
    <w:rsid w:val="00C13E14"/>
    <w:rsid w:val="00C144B0"/>
    <w:rsid w:val="00C14869"/>
    <w:rsid w:val="00C15419"/>
    <w:rsid w:val="00C15601"/>
    <w:rsid w:val="00C15658"/>
    <w:rsid w:val="00C15BC8"/>
    <w:rsid w:val="00C16100"/>
    <w:rsid w:val="00C179A1"/>
    <w:rsid w:val="00C17E76"/>
    <w:rsid w:val="00C20479"/>
    <w:rsid w:val="00C204DA"/>
    <w:rsid w:val="00C20910"/>
    <w:rsid w:val="00C2124C"/>
    <w:rsid w:val="00C22514"/>
    <w:rsid w:val="00C2293B"/>
    <w:rsid w:val="00C23EBD"/>
    <w:rsid w:val="00C24730"/>
    <w:rsid w:val="00C25489"/>
    <w:rsid w:val="00C254D8"/>
    <w:rsid w:val="00C25F39"/>
    <w:rsid w:val="00C2604B"/>
    <w:rsid w:val="00C267AC"/>
    <w:rsid w:val="00C269BB"/>
    <w:rsid w:val="00C26F93"/>
    <w:rsid w:val="00C276DE"/>
    <w:rsid w:val="00C279B4"/>
    <w:rsid w:val="00C302FA"/>
    <w:rsid w:val="00C30637"/>
    <w:rsid w:val="00C307F0"/>
    <w:rsid w:val="00C30DC5"/>
    <w:rsid w:val="00C30FF6"/>
    <w:rsid w:val="00C3112F"/>
    <w:rsid w:val="00C32CE0"/>
    <w:rsid w:val="00C33267"/>
    <w:rsid w:val="00C3356D"/>
    <w:rsid w:val="00C33D9C"/>
    <w:rsid w:val="00C3441D"/>
    <w:rsid w:val="00C349A4"/>
    <w:rsid w:val="00C34A4D"/>
    <w:rsid w:val="00C34BB4"/>
    <w:rsid w:val="00C3542A"/>
    <w:rsid w:val="00C35D88"/>
    <w:rsid w:val="00C36265"/>
    <w:rsid w:val="00C36BAA"/>
    <w:rsid w:val="00C36CD5"/>
    <w:rsid w:val="00C37275"/>
    <w:rsid w:val="00C37ED8"/>
    <w:rsid w:val="00C37EE6"/>
    <w:rsid w:val="00C4094E"/>
    <w:rsid w:val="00C4124B"/>
    <w:rsid w:val="00C424EB"/>
    <w:rsid w:val="00C42D62"/>
    <w:rsid w:val="00C436F3"/>
    <w:rsid w:val="00C43F3B"/>
    <w:rsid w:val="00C442AB"/>
    <w:rsid w:val="00C44617"/>
    <w:rsid w:val="00C44A76"/>
    <w:rsid w:val="00C45A39"/>
    <w:rsid w:val="00C46150"/>
    <w:rsid w:val="00C46767"/>
    <w:rsid w:val="00C470AB"/>
    <w:rsid w:val="00C506CC"/>
    <w:rsid w:val="00C50BBD"/>
    <w:rsid w:val="00C50EEA"/>
    <w:rsid w:val="00C5127A"/>
    <w:rsid w:val="00C51A51"/>
    <w:rsid w:val="00C51CF7"/>
    <w:rsid w:val="00C533FB"/>
    <w:rsid w:val="00C5399E"/>
    <w:rsid w:val="00C53D8D"/>
    <w:rsid w:val="00C5437B"/>
    <w:rsid w:val="00C543C8"/>
    <w:rsid w:val="00C54EB3"/>
    <w:rsid w:val="00C5513D"/>
    <w:rsid w:val="00C555B8"/>
    <w:rsid w:val="00C55660"/>
    <w:rsid w:val="00C55C66"/>
    <w:rsid w:val="00C56B63"/>
    <w:rsid w:val="00C56E7F"/>
    <w:rsid w:val="00C572C7"/>
    <w:rsid w:val="00C57E19"/>
    <w:rsid w:val="00C606B3"/>
    <w:rsid w:val="00C608F3"/>
    <w:rsid w:val="00C60C56"/>
    <w:rsid w:val="00C61948"/>
    <w:rsid w:val="00C61CF7"/>
    <w:rsid w:val="00C623D6"/>
    <w:rsid w:val="00C626F7"/>
    <w:rsid w:val="00C62ADA"/>
    <w:rsid w:val="00C63AA5"/>
    <w:rsid w:val="00C64BBE"/>
    <w:rsid w:val="00C64F4B"/>
    <w:rsid w:val="00C65353"/>
    <w:rsid w:val="00C657B6"/>
    <w:rsid w:val="00C658D3"/>
    <w:rsid w:val="00C66027"/>
    <w:rsid w:val="00C66DBE"/>
    <w:rsid w:val="00C67533"/>
    <w:rsid w:val="00C67624"/>
    <w:rsid w:val="00C70505"/>
    <w:rsid w:val="00C7084F"/>
    <w:rsid w:val="00C70B75"/>
    <w:rsid w:val="00C70E06"/>
    <w:rsid w:val="00C718FE"/>
    <w:rsid w:val="00C71E7B"/>
    <w:rsid w:val="00C721CF"/>
    <w:rsid w:val="00C721D2"/>
    <w:rsid w:val="00C72874"/>
    <w:rsid w:val="00C73787"/>
    <w:rsid w:val="00C743EF"/>
    <w:rsid w:val="00C74BEA"/>
    <w:rsid w:val="00C74E27"/>
    <w:rsid w:val="00C74F9A"/>
    <w:rsid w:val="00C751E0"/>
    <w:rsid w:val="00C755ED"/>
    <w:rsid w:val="00C76098"/>
    <w:rsid w:val="00C762BE"/>
    <w:rsid w:val="00C767AC"/>
    <w:rsid w:val="00C76874"/>
    <w:rsid w:val="00C77320"/>
    <w:rsid w:val="00C77428"/>
    <w:rsid w:val="00C805F9"/>
    <w:rsid w:val="00C82805"/>
    <w:rsid w:val="00C8291D"/>
    <w:rsid w:val="00C839B7"/>
    <w:rsid w:val="00C83A5F"/>
    <w:rsid w:val="00C83CFA"/>
    <w:rsid w:val="00C83D6F"/>
    <w:rsid w:val="00C83F89"/>
    <w:rsid w:val="00C84334"/>
    <w:rsid w:val="00C84987"/>
    <w:rsid w:val="00C86389"/>
    <w:rsid w:val="00C86750"/>
    <w:rsid w:val="00C90A36"/>
    <w:rsid w:val="00C90D82"/>
    <w:rsid w:val="00C90D8D"/>
    <w:rsid w:val="00C90ECD"/>
    <w:rsid w:val="00C92496"/>
    <w:rsid w:val="00C92D43"/>
    <w:rsid w:val="00C92D5E"/>
    <w:rsid w:val="00C934EA"/>
    <w:rsid w:val="00C94292"/>
    <w:rsid w:val="00C94357"/>
    <w:rsid w:val="00C94B95"/>
    <w:rsid w:val="00C953AE"/>
    <w:rsid w:val="00C95C2C"/>
    <w:rsid w:val="00C96152"/>
    <w:rsid w:val="00C96379"/>
    <w:rsid w:val="00C96A6A"/>
    <w:rsid w:val="00C9771E"/>
    <w:rsid w:val="00C97815"/>
    <w:rsid w:val="00C978F1"/>
    <w:rsid w:val="00CA1298"/>
    <w:rsid w:val="00CA1BDB"/>
    <w:rsid w:val="00CA1CB3"/>
    <w:rsid w:val="00CA21A2"/>
    <w:rsid w:val="00CA3A45"/>
    <w:rsid w:val="00CA3A59"/>
    <w:rsid w:val="00CA3A7A"/>
    <w:rsid w:val="00CA4E31"/>
    <w:rsid w:val="00CA4F12"/>
    <w:rsid w:val="00CA4FB2"/>
    <w:rsid w:val="00CA564F"/>
    <w:rsid w:val="00CA5CFC"/>
    <w:rsid w:val="00CB13A5"/>
    <w:rsid w:val="00CB19FF"/>
    <w:rsid w:val="00CB1EC4"/>
    <w:rsid w:val="00CB21AE"/>
    <w:rsid w:val="00CB2294"/>
    <w:rsid w:val="00CB2F83"/>
    <w:rsid w:val="00CB3B0F"/>
    <w:rsid w:val="00CB4412"/>
    <w:rsid w:val="00CB48EF"/>
    <w:rsid w:val="00CB5027"/>
    <w:rsid w:val="00CB52C4"/>
    <w:rsid w:val="00CB6730"/>
    <w:rsid w:val="00CB6816"/>
    <w:rsid w:val="00CB6B73"/>
    <w:rsid w:val="00CB6F3A"/>
    <w:rsid w:val="00CB7776"/>
    <w:rsid w:val="00CB7924"/>
    <w:rsid w:val="00CB7A50"/>
    <w:rsid w:val="00CB7BAC"/>
    <w:rsid w:val="00CC0071"/>
    <w:rsid w:val="00CC07E2"/>
    <w:rsid w:val="00CC10F3"/>
    <w:rsid w:val="00CC1A78"/>
    <w:rsid w:val="00CC1C1D"/>
    <w:rsid w:val="00CC1EEA"/>
    <w:rsid w:val="00CC2988"/>
    <w:rsid w:val="00CC2BDB"/>
    <w:rsid w:val="00CC3498"/>
    <w:rsid w:val="00CC392E"/>
    <w:rsid w:val="00CC395C"/>
    <w:rsid w:val="00CC5455"/>
    <w:rsid w:val="00CC5B71"/>
    <w:rsid w:val="00CC5DDC"/>
    <w:rsid w:val="00CC643B"/>
    <w:rsid w:val="00CC68E5"/>
    <w:rsid w:val="00CC6938"/>
    <w:rsid w:val="00CC789B"/>
    <w:rsid w:val="00CC7AC5"/>
    <w:rsid w:val="00CD0484"/>
    <w:rsid w:val="00CD0CE4"/>
    <w:rsid w:val="00CD13DB"/>
    <w:rsid w:val="00CD16C9"/>
    <w:rsid w:val="00CD2052"/>
    <w:rsid w:val="00CD220F"/>
    <w:rsid w:val="00CD2375"/>
    <w:rsid w:val="00CD3316"/>
    <w:rsid w:val="00CD3406"/>
    <w:rsid w:val="00CD3476"/>
    <w:rsid w:val="00CD50DB"/>
    <w:rsid w:val="00CD75E9"/>
    <w:rsid w:val="00CD7930"/>
    <w:rsid w:val="00CE007F"/>
    <w:rsid w:val="00CE0772"/>
    <w:rsid w:val="00CE0812"/>
    <w:rsid w:val="00CE08A7"/>
    <w:rsid w:val="00CE0904"/>
    <w:rsid w:val="00CE0A64"/>
    <w:rsid w:val="00CE1008"/>
    <w:rsid w:val="00CE1062"/>
    <w:rsid w:val="00CE1ACE"/>
    <w:rsid w:val="00CE2375"/>
    <w:rsid w:val="00CE23D9"/>
    <w:rsid w:val="00CE2823"/>
    <w:rsid w:val="00CE2B3D"/>
    <w:rsid w:val="00CE308E"/>
    <w:rsid w:val="00CE4276"/>
    <w:rsid w:val="00CE4812"/>
    <w:rsid w:val="00CE4E1B"/>
    <w:rsid w:val="00CE58C0"/>
    <w:rsid w:val="00CE5907"/>
    <w:rsid w:val="00CE5E2B"/>
    <w:rsid w:val="00CE5E60"/>
    <w:rsid w:val="00CE5F4C"/>
    <w:rsid w:val="00CE6143"/>
    <w:rsid w:val="00CE7594"/>
    <w:rsid w:val="00CF0023"/>
    <w:rsid w:val="00CF0AA7"/>
    <w:rsid w:val="00CF0F04"/>
    <w:rsid w:val="00CF1417"/>
    <w:rsid w:val="00CF2F8E"/>
    <w:rsid w:val="00CF3B24"/>
    <w:rsid w:val="00CF7246"/>
    <w:rsid w:val="00CF76CE"/>
    <w:rsid w:val="00CF7B03"/>
    <w:rsid w:val="00D0010B"/>
    <w:rsid w:val="00D00EA3"/>
    <w:rsid w:val="00D00F8F"/>
    <w:rsid w:val="00D01731"/>
    <w:rsid w:val="00D019B7"/>
    <w:rsid w:val="00D022B6"/>
    <w:rsid w:val="00D02AA6"/>
    <w:rsid w:val="00D02C2E"/>
    <w:rsid w:val="00D030D9"/>
    <w:rsid w:val="00D032D6"/>
    <w:rsid w:val="00D034A0"/>
    <w:rsid w:val="00D0363E"/>
    <w:rsid w:val="00D038E8"/>
    <w:rsid w:val="00D03D1C"/>
    <w:rsid w:val="00D04899"/>
    <w:rsid w:val="00D05A53"/>
    <w:rsid w:val="00D05B0A"/>
    <w:rsid w:val="00D05D62"/>
    <w:rsid w:val="00D05D98"/>
    <w:rsid w:val="00D05E2E"/>
    <w:rsid w:val="00D05F13"/>
    <w:rsid w:val="00D061C3"/>
    <w:rsid w:val="00D06210"/>
    <w:rsid w:val="00D0672F"/>
    <w:rsid w:val="00D067EA"/>
    <w:rsid w:val="00D109CD"/>
    <w:rsid w:val="00D11106"/>
    <w:rsid w:val="00D11839"/>
    <w:rsid w:val="00D12016"/>
    <w:rsid w:val="00D12672"/>
    <w:rsid w:val="00D1284F"/>
    <w:rsid w:val="00D134EF"/>
    <w:rsid w:val="00D13822"/>
    <w:rsid w:val="00D14AD6"/>
    <w:rsid w:val="00D14F78"/>
    <w:rsid w:val="00D151B5"/>
    <w:rsid w:val="00D152F4"/>
    <w:rsid w:val="00D157DF"/>
    <w:rsid w:val="00D15DAD"/>
    <w:rsid w:val="00D16051"/>
    <w:rsid w:val="00D161FF"/>
    <w:rsid w:val="00D16E27"/>
    <w:rsid w:val="00D16FD2"/>
    <w:rsid w:val="00D17C13"/>
    <w:rsid w:val="00D17FB9"/>
    <w:rsid w:val="00D2087E"/>
    <w:rsid w:val="00D20C9E"/>
    <w:rsid w:val="00D2111D"/>
    <w:rsid w:val="00D22A25"/>
    <w:rsid w:val="00D2389C"/>
    <w:rsid w:val="00D23D47"/>
    <w:rsid w:val="00D2475B"/>
    <w:rsid w:val="00D24C34"/>
    <w:rsid w:val="00D2523C"/>
    <w:rsid w:val="00D25708"/>
    <w:rsid w:val="00D25AAD"/>
    <w:rsid w:val="00D25F90"/>
    <w:rsid w:val="00D2645D"/>
    <w:rsid w:val="00D264E8"/>
    <w:rsid w:val="00D26D11"/>
    <w:rsid w:val="00D277EB"/>
    <w:rsid w:val="00D30054"/>
    <w:rsid w:val="00D30B73"/>
    <w:rsid w:val="00D30BED"/>
    <w:rsid w:val="00D30F4E"/>
    <w:rsid w:val="00D31552"/>
    <w:rsid w:val="00D31988"/>
    <w:rsid w:val="00D32D34"/>
    <w:rsid w:val="00D333D6"/>
    <w:rsid w:val="00D3341A"/>
    <w:rsid w:val="00D3484E"/>
    <w:rsid w:val="00D3494C"/>
    <w:rsid w:val="00D34ABF"/>
    <w:rsid w:val="00D34E46"/>
    <w:rsid w:val="00D3504C"/>
    <w:rsid w:val="00D350D2"/>
    <w:rsid w:val="00D356EA"/>
    <w:rsid w:val="00D3721E"/>
    <w:rsid w:val="00D375C9"/>
    <w:rsid w:val="00D37F5E"/>
    <w:rsid w:val="00D4028F"/>
    <w:rsid w:val="00D410C4"/>
    <w:rsid w:val="00D411C8"/>
    <w:rsid w:val="00D416B3"/>
    <w:rsid w:val="00D418B3"/>
    <w:rsid w:val="00D42F10"/>
    <w:rsid w:val="00D431E3"/>
    <w:rsid w:val="00D432C3"/>
    <w:rsid w:val="00D43F6A"/>
    <w:rsid w:val="00D44969"/>
    <w:rsid w:val="00D44A92"/>
    <w:rsid w:val="00D4544D"/>
    <w:rsid w:val="00D4632B"/>
    <w:rsid w:val="00D47A94"/>
    <w:rsid w:val="00D50020"/>
    <w:rsid w:val="00D5013C"/>
    <w:rsid w:val="00D503DA"/>
    <w:rsid w:val="00D50466"/>
    <w:rsid w:val="00D50EBE"/>
    <w:rsid w:val="00D520E6"/>
    <w:rsid w:val="00D52378"/>
    <w:rsid w:val="00D523F2"/>
    <w:rsid w:val="00D530EC"/>
    <w:rsid w:val="00D53175"/>
    <w:rsid w:val="00D547E7"/>
    <w:rsid w:val="00D54C3B"/>
    <w:rsid w:val="00D561F6"/>
    <w:rsid w:val="00D56E59"/>
    <w:rsid w:val="00D56FEC"/>
    <w:rsid w:val="00D572DE"/>
    <w:rsid w:val="00D57A62"/>
    <w:rsid w:val="00D607C1"/>
    <w:rsid w:val="00D61504"/>
    <w:rsid w:val="00D61D48"/>
    <w:rsid w:val="00D620D8"/>
    <w:rsid w:val="00D622D7"/>
    <w:rsid w:val="00D62E38"/>
    <w:rsid w:val="00D62E4C"/>
    <w:rsid w:val="00D630A7"/>
    <w:rsid w:val="00D633D6"/>
    <w:rsid w:val="00D633DA"/>
    <w:rsid w:val="00D649E4"/>
    <w:rsid w:val="00D65560"/>
    <w:rsid w:val="00D65573"/>
    <w:rsid w:val="00D65E0C"/>
    <w:rsid w:val="00D65E86"/>
    <w:rsid w:val="00D65E8B"/>
    <w:rsid w:val="00D66798"/>
    <w:rsid w:val="00D66AE4"/>
    <w:rsid w:val="00D66F93"/>
    <w:rsid w:val="00D66FC2"/>
    <w:rsid w:val="00D67E77"/>
    <w:rsid w:val="00D70286"/>
    <w:rsid w:val="00D70A3D"/>
    <w:rsid w:val="00D70F01"/>
    <w:rsid w:val="00D71E52"/>
    <w:rsid w:val="00D71E84"/>
    <w:rsid w:val="00D735E9"/>
    <w:rsid w:val="00D739BC"/>
    <w:rsid w:val="00D74F1E"/>
    <w:rsid w:val="00D75483"/>
    <w:rsid w:val="00D765DE"/>
    <w:rsid w:val="00D77CDF"/>
    <w:rsid w:val="00D80AD1"/>
    <w:rsid w:val="00D81CFD"/>
    <w:rsid w:val="00D82336"/>
    <w:rsid w:val="00D827D2"/>
    <w:rsid w:val="00D82899"/>
    <w:rsid w:val="00D830B0"/>
    <w:rsid w:val="00D83EC2"/>
    <w:rsid w:val="00D849D8"/>
    <w:rsid w:val="00D85529"/>
    <w:rsid w:val="00D859AC"/>
    <w:rsid w:val="00D85CC5"/>
    <w:rsid w:val="00D85CDB"/>
    <w:rsid w:val="00D86512"/>
    <w:rsid w:val="00D8663C"/>
    <w:rsid w:val="00D86849"/>
    <w:rsid w:val="00D87496"/>
    <w:rsid w:val="00D874BA"/>
    <w:rsid w:val="00D87AD6"/>
    <w:rsid w:val="00D90492"/>
    <w:rsid w:val="00D911B7"/>
    <w:rsid w:val="00D911ED"/>
    <w:rsid w:val="00D91A33"/>
    <w:rsid w:val="00D9201E"/>
    <w:rsid w:val="00D9291D"/>
    <w:rsid w:val="00D94709"/>
    <w:rsid w:val="00D95255"/>
    <w:rsid w:val="00D9546D"/>
    <w:rsid w:val="00D95A3C"/>
    <w:rsid w:val="00D960BC"/>
    <w:rsid w:val="00D9741D"/>
    <w:rsid w:val="00D97F7D"/>
    <w:rsid w:val="00DA04E7"/>
    <w:rsid w:val="00DA069E"/>
    <w:rsid w:val="00DA0C05"/>
    <w:rsid w:val="00DA0DE6"/>
    <w:rsid w:val="00DA0E71"/>
    <w:rsid w:val="00DA0F02"/>
    <w:rsid w:val="00DA1338"/>
    <w:rsid w:val="00DA13D2"/>
    <w:rsid w:val="00DA13EC"/>
    <w:rsid w:val="00DA15AA"/>
    <w:rsid w:val="00DA18F9"/>
    <w:rsid w:val="00DA19B0"/>
    <w:rsid w:val="00DA1AB8"/>
    <w:rsid w:val="00DA1D59"/>
    <w:rsid w:val="00DA1DC0"/>
    <w:rsid w:val="00DA1F0B"/>
    <w:rsid w:val="00DA24AB"/>
    <w:rsid w:val="00DA2CF4"/>
    <w:rsid w:val="00DA36C2"/>
    <w:rsid w:val="00DA3BB7"/>
    <w:rsid w:val="00DA4C50"/>
    <w:rsid w:val="00DA5C5D"/>
    <w:rsid w:val="00DA5E70"/>
    <w:rsid w:val="00DA63CF"/>
    <w:rsid w:val="00DA6496"/>
    <w:rsid w:val="00DA6E1B"/>
    <w:rsid w:val="00DA757D"/>
    <w:rsid w:val="00DA76BC"/>
    <w:rsid w:val="00DA7A30"/>
    <w:rsid w:val="00DB0A49"/>
    <w:rsid w:val="00DB17FC"/>
    <w:rsid w:val="00DB1D78"/>
    <w:rsid w:val="00DB2216"/>
    <w:rsid w:val="00DB3E3B"/>
    <w:rsid w:val="00DB3E8F"/>
    <w:rsid w:val="00DB48F7"/>
    <w:rsid w:val="00DB587F"/>
    <w:rsid w:val="00DB59F9"/>
    <w:rsid w:val="00DB61CE"/>
    <w:rsid w:val="00DB76E7"/>
    <w:rsid w:val="00DC01AA"/>
    <w:rsid w:val="00DC09B5"/>
    <w:rsid w:val="00DC191E"/>
    <w:rsid w:val="00DC2D95"/>
    <w:rsid w:val="00DC3072"/>
    <w:rsid w:val="00DC398C"/>
    <w:rsid w:val="00DC44F1"/>
    <w:rsid w:val="00DC46F5"/>
    <w:rsid w:val="00DC4D06"/>
    <w:rsid w:val="00DC50E4"/>
    <w:rsid w:val="00DC58D3"/>
    <w:rsid w:val="00DC6672"/>
    <w:rsid w:val="00DC7EA8"/>
    <w:rsid w:val="00DD08A7"/>
    <w:rsid w:val="00DD125E"/>
    <w:rsid w:val="00DD12CF"/>
    <w:rsid w:val="00DD18F9"/>
    <w:rsid w:val="00DD1B74"/>
    <w:rsid w:val="00DD2057"/>
    <w:rsid w:val="00DD21FE"/>
    <w:rsid w:val="00DD29AB"/>
    <w:rsid w:val="00DD2C39"/>
    <w:rsid w:val="00DD3454"/>
    <w:rsid w:val="00DD3CF1"/>
    <w:rsid w:val="00DD4114"/>
    <w:rsid w:val="00DD4E13"/>
    <w:rsid w:val="00DD63B9"/>
    <w:rsid w:val="00DD75AC"/>
    <w:rsid w:val="00DD7C69"/>
    <w:rsid w:val="00DE0380"/>
    <w:rsid w:val="00DE0784"/>
    <w:rsid w:val="00DE1897"/>
    <w:rsid w:val="00DE1BEE"/>
    <w:rsid w:val="00DE1CE4"/>
    <w:rsid w:val="00DE1E63"/>
    <w:rsid w:val="00DE253D"/>
    <w:rsid w:val="00DE2A1B"/>
    <w:rsid w:val="00DE2EB3"/>
    <w:rsid w:val="00DE3782"/>
    <w:rsid w:val="00DE37F2"/>
    <w:rsid w:val="00DE39A7"/>
    <w:rsid w:val="00DE4295"/>
    <w:rsid w:val="00DE4340"/>
    <w:rsid w:val="00DE4F3F"/>
    <w:rsid w:val="00DE6156"/>
    <w:rsid w:val="00DE61A0"/>
    <w:rsid w:val="00DE62C0"/>
    <w:rsid w:val="00DE6804"/>
    <w:rsid w:val="00DE6AE8"/>
    <w:rsid w:val="00DE6F58"/>
    <w:rsid w:val="00DE70CB"/>
    <w:rsid w:val="00DE7CCE"/>
    <w:rsid w:val="00DE7E17"/>
    <w:rsid w:val="00DF0333"/>
    <w:rsid w:val="00DF061E"/>
    <w:rsid w:val="00DF165B"/>
    <w:rsid w:val="00DF17B1"/>
    <w:rsid w:val="00DF195B"/>
    <w:rsid w:val="00DF25CB"/>
    <w:rsid w:val="00DF26B6"/>
    <w:rsid w:val="00DF3835"/>
    <w:rsid w:val="00DF385E"/>
    <w:rsid w:val="00DF3C4B"/>
    <w:rsid w:val="00DF3DD1"/>
    <w:rsid w:val="00DF42CA"/>
    <w:rsid w:val="00DF5D2B"/>
    <w:rsid w:val="00DF6162"/>
    <w:rsid w:val="00DF6652"/>
    <w:rsid w:val="00DF7312"/>
    <w:rsid w:val="00E01E4C"/>
    <w:rsid w:val="00E023B4"/>
    <w:rsid w:val="00E03316"/>
    <w:rsid w:val="00E03436"/>
    <w:rsid w:val="00E0349F"/>
    <w:rsid w:val="00E04110"/>
    <w:rsid w:val="00E04FFF"/>
    <w:rsid w:val="00E0582B"/>
    <w:rsid w:val="00E05CC7"/>
    <w:rsid w:val="00E05D4C"/>
    <w:rsid w:val="00E061F2"/>
    <w:rsid w:val="00E07134"/>
    <w:rsid w:val="00E07775"/>
    <w:rsid w:val="00E07E36"/>
    <w:rsid w:val="00E07EFD"/>
    <w:rsid w:val="00E101E1"/>
    <w:rsid w:val="00E10673"/>
    <w:rsid w:val="00E11B4A"/>
    <w:rsid w:val="00E139A6"/>
    <w:rsid w:val="00E13D25"/>
    <w:rsid w:val="00E1411C"/>
    <w:rsid w:val="00E1471D"/>
    <w:rsid w:val="00E14FD2"/>
    <w:rsid w:val="00E151B8"/>
    <w:rsid w:val="00E157EC"/>
    <w:rsid w:val="00E15946"/>
    <w:rsid w:val="00E1615F"/>
    <w:rsid w:val="00E166CA"/>
    <w:rsid w:val="00E16A08"/>
    <w:rsid w:val="00E16F1E"/>
    <w:rsid w:val="00E17185"/>
    <w:rsid w:val="00E17384"/>
    <w:rsid w:val="00E2000B"/>
    <w:rsid w:val="00E21C24"/>
    <w:rsid w:val="00E221A5"/>
    <w:rsid w:val="00E22566"/>
    <w:rsid w:val="00E22704"/>
    <w:rsid w:val="00E22753"/>
    <w:rsid w:val="00E2318F"/>
    <w:rsid w:val="00E23F70"/>
    <w:rsid w:val="00E240AF"/>
    <w:rsid w:val="00E24B6F"/>
    <w:rsid w:val="00E255E2"/>
    <w:rsid w:val="00E25954"/>
    <w:rsid w:val="00E25B50"/>
    <w:rsid w:val="00E27EA1"/>
    <w:rsid w:val="00E303F9"/>
    <w:rsid w:val="00E30942"/>
    <w:rsid w:val="00E30CFD"/>
    <w:rsid w:val="00E30D14"/>
    <w:rsid w:val="00E310D5"/>
    <w:rsid w:val="00E32790"/>
    <w:rsid w:val="00E33A3D"/>
    <w:rsid w:val="00E33E7B"/>
    <w:rsid w:val="00E342E8"/>
    <w:rsid w:val="00E34FB3"/>
    <w:rsid w:val="00E355CB"/>
    <w:rsid w:val="00E35DCF"/>
    <w:rsid w:val="00E3669B"/>
    <w:rsid w:val="00E36B11"/>
    <w:rsid w:val="00E40176"/>
    <w:rsid w:val="00E40554"/>
    <w:rsid w:val="00E40A8B"/>
    <w:rsid w:val="00E417BA"/>
    <w:rsid w:val="00E4197F"/>
    <w:rsid w:val="00E41EFA"/>
    <w:rsid w:val="00E420B5"/>
    <w:rsid w:val="00E4285B"/>
    <w:rsid w:val="00E428EB"/>
    <w:rsid w:val="00E42BBF"/>
    <w:rsid w:val="00E433E1"/>
    <w:rsid w:val="00E435D9"/>
    <w:rsid w:val="00E44380"/>
    <w:rsid w:val="00E44537"/>
    <w:rsid w:val="00E462DC"/>
    <w:rsid w:val="00E46474"/>
    <w:rsid w:val="00E47E2E"/>
    <w:rsid w:val="00E50124"/>
    <w:rsid w:val="00E5116E"/>
    <w:rsid w:val="00E5192C"/>
    <w:rsid w:val="00E51BDB"/>
    <w:rsid w:val="00E51BE3"/>
    <w:rsid w:val="00E52567"/>
    <w:rsid w:val="00E52D63"/>
    <w:rsid w:val="00E53644"/>
    <w:rsid w:val="00E53981"/>
    <w:rsid w:val="00E5465C"/>
    <w:rsid w:val="00E54AF3"/>
    <w:rsid w:val="00E54FDE"/>
    <w:rsid w:val="00E557AF"/>
    <w:rsid w:val="00E55E1E"/>
    <w:rsid w:val="00E564B1"/>
    <w:rsid w:val="00E56884"/>
    <w:rsid w:val="00E6011E"/>
    <w:rsid w:val="00E601DB"/>
    <w:rsid w:val="00E60382"/>
    <w:rsid w:val="00E606D0"/>
    <w:rsid w:val="00E60B0F"/>
    <w:rsid w:val="00E6208E"/>
    <w:rsid w:val="00E6220F"/>
    <w:rsid w:val="00E62489"/>
    <w:rsid w:val="00E6282F"/>
    <w:rsid w:val="00E62AB2"/>
    <w:rsid w:val="00E6371E"/>
    <w:rsid w:val="00E63C9E"/>
    <w:rsid w:val="00E65D68"/>
    <w:rsid w:val="00E66D17"/>
    <w:rsid w:val="00E7055C"/>
    <w:rsid w:val="00E70640"/>
    <w:rsid w:val="00E707FD"/>
    <w:rsid w:val="00E71162"/>
    <w:rsid w:val="00E71350"/>
    <w:rsid w:val="00E71B2E"/>
    <w:rsid w:val="00E7238B"/>
    <w:rsid w:val="00E72489"/>
    <w:rsid w:val="00E729AF"/>
    <w:rsid w:val="00E72A24"/>
    <w:rsid w:val="00E72CA7"/>
    <w:rsid w:val="00E754A5"/>
    <w:rsid w:val="00E760B3"/>
    <w:rsid w:val="00E7621E"/>
    <w:rsid w:val="00E7637B"/>
    <w:rsid w:val="00E76A15"/>
    <w:rsid w:val="00E76D54"/>
    <w:rsid w:val="00E770F3"/>
    <w:rsid w:val="00E77EB7"/>
    <w:rsid w:val="00E804F2"/>
    <w:rsid w:val="00E80516"/>
    <w:rsid w:val="00E81055"/>
    <w:rsid w:val="00E813F5"/>
    <w:rsid w:val="00E819A6"/>
    <w:rsid w:val="00E81E54"/>
    <w:rsid w:val="00E81F7C"/>
    <w:rsid w:val="00E8253D"/>
    <w:rsid w:val="00E8277F"/>
    <w:rsid w:val="00E8389C"/>
    <w:rsid w:val="00E83DF3"/>
    <w:rsid w:val="00E840CF"/>
    <w:rsid w:val="00E846AD"/>
    <w:rsid w:val="00E84986"/>
    <w:rsid w:val="00E84E23"/>
    <w:rsid w:val="00E84FE4"/>
    <w:rsid w:val="00E85265"/>
    <w:rsid w:val="00E85A0B"/>
    <w:rsid w:val="00E86CB3"/>
    <w:rsid w:val="00E86D40"/>
    <w:rsid w:val="00E8772C"/>
    <w:rsid w:val="00E87786"/>
    <w:rsid w:val="00E87B65"/>
    <w:rsid w:val="00E90DC9"/>
    <w:rsid w:val="00E910EF"/>
    <w:rsid w:val="00E91EA8"/>
    <w:rsid w:val="00E92CB4"/>
    <w:rsid w:val="00E92D59"/>
    <w:rsid w:val="00E933C7"/>
    <w:rsid w:val="00E93900"/>
    <w:rsid w:val="00E93C1F"/>
    <w:rsid w:val="00E93DE8"/>
    <w:rsid w:val="00E941CC"/>
    <w:rsid w:val="00E946AB"/>
    <w:rsid w:val="00E954E7"/>
    <w:rsid w:val="00E95615"/>
    <w:rsid w:val="00E95FF7"/>
    <w:rsid w:val="00E960A2"/>
    <w:rsid w:val="00E96150"/>
    <w:rsid w:val="00E962B4"/>
    <w:rsid w:val="00E966A9"/>
    <w:rsid w:val="00E96A52"/>
    <w:rsid w:val="00E96B4E"/>
    <w:rsid w:val="00E978D1"/>
    <w:rsid w:val="00E97EA3"/>
    <w:rsid w:val="00EA08B4"/>
    <w:rsid w:val="00EA1471"/>
    <w:rsid w:val="00EA2870"/>
    <w:rsid w:val="00EA2E15"/>
    <w:rsid w:val="00EA3C50"/>
    <w:rsid w:val="00EA42E9"/>
    <w:rsid w:val="00EA4D1A"/>
    <w:rsid w:val="00EA5F5D"/>
    <w:rsid w:val="00EA6210"/>
    <w:rsid w:val="00EB087F"/>
    <w:rsid w:val="00EB133E"/>
    <w:rsid w:val="00EB144D"/>
    <w:rsid w:val="00EB151C"/>
    <w:rsid w:val="00EB2292"/>
    <w:rsid w:val="00EB24A9"/>
    <w:rsid w:val="00EB2C2E"/>
    <w:rsid w:val="00EB2F3F"/>
    <w:rsid w:val="00EB2F60"/>
    <w:rsid w:val="00EB334F"/>
    <w:rsid w:val="00EB335E"/>
    <w:rsid w:val="00EB35C6"/>
    <w:rsid w:val="00EB40D8"/>
    <w:rsid w:val="00EB49C8"/>
    <w:rsid w:val="00EB4A00"/>
    <w:rsid w:val="00EB4A0D"/>
    <w:rsid w:val="00EB7338"/>
    <w:rsid w:val="00EC0378"/>
    <w:rsid w:val="00EC1C08"/>
    <w:rsid w:val="00EC1F3A"/>
    <w:rsid w:val="00EC29EA"/>
    <w:rsid w:val="00EC30A2"/>
    <w:rsid w:val="00EC5F71"/>
    <w:rsid w:val="00EC61EE"/>
    <w:rsid w:val="00EC679B"/>
    <w:rsid w:val="00EC6D11"/>
    <w:rsid w:val="00EC6E7E"/>
    <w:rsid w:val="00EC708A"/>
    <w:rsid w:val="00EC72B4"/>
    <w:rsid w:val="00EC7937"/>
    <w:rsid w:val="00EC7A10"/>
    <w:rsid w:val="00ED0016"/>
    <w:rsid w:val="00ED1FF1"/>
    <w:rsid w:val="00ED2587"/>
    <w:rsid w:val="00ED2D1B"/>
    <w:rsid w:val="00ED368B"/>
    <w:rsid w:val="00ED3DCD"/>
    <w:rsid w:val="00ED44F0"/>
    <w:rsid w:val="00ED457E"/>
    <w:rsid w:val="00ED4DA9"/>
    <w:rsid w:val="00ED5D28"/>
    <w:rsid w:val="00ED5D5B"/>
    <w:rsid w:val="00ED62D0"/>
    <w:rsid w:val="00ED6E1C"/>
    <w:rsid w:val="00ED7046"/>
    <w:rsid w:val="00ED71F7"/>
    <w:rsid w:val="00ED72C5"/>
    <w:rsid w:val="00ED72CD"/>
    <w:rsid w:val="00ED7E2C"/>
    <w:rsid w:val="00ED7EBA"/>
    <w:rsid w:val="00EE04EE"/>
    <w:rsid w:val="00EE07D1"/>
    <w:rsid w:val="00EE14FA"/>
    <w:rsid w:val="00EE187A"/>
    <w:rsid w:val="00EE1AB3"/>
    <w:rsid w:val="00EE1CF5"/>
    <w:rsid w:val="00EE233D"/>
    <w:rsid w:val="00EE2361"/>
    <w:rsid w:val="00EE2379"/>
    <w:rsid w:val="00EE290B"/>
    <w:rsid w:val="00EE2E61"/>
    <w:rsid w:val="00EE3148"/>
    <w:rsid w:val="00EE328F"/>
    <w:rsid w:val="00EE375E"/>
    <w:rsid w:val="00EE50A8"/>
    <w:rsid w:val="00EE5166"/>
    <w:rsid w:val="00EE51EE"/>
    <w:rsid w:val="00EE57A3"/>
    <w:rsid w:val="00EE5BBE"/>
    <w:rsid w:val="00EE60B8"/>
    <w:rsid w:val="00EE65F8"/>
    <w:rsid w:val="00EE69C9"/>
    <w:rsid w:val="00EE6EE5"/>
    <w:rsid w:val="00EE7873"/>
    <w:rsid w:val="00EF0659"/>
    <w:rsid w:val="00EF0893"/>
    <w:rsid w:val="00EF0CFD"/>
    <w:rsid w:val="00EF0DF3"/>
    <w:rsid w:val="00EF1228"/>
    <w:rsid w:val="00EF1D9B"/>
    <w:rsid w:val="00EF2689"/>
    <w:rsid w:val="00EF2AE3"/>
    <w:rsid w:val="00EF3731"/>
    <w:rsid w:val="00EF4333"/>
    <w:rsid w:val="00EF4BA6"/>
    <w:rsid w:val="00EF5638"/>
    <w:rsid w:val="00EF57F2"/>
    <w:rsid w:val="00EF60E5"/>
    <w:rsid w:val="00EF6F0F"/>
    <w:rsid w:val="00EF7381"/>
    <w:rsid w:val="00EF7760"/>
    <w:rsid w:val="00EF77BF"/>
    <w:rsid w:val="00F0180F"/>
    <w:rsid w:val="00F01BBF"/>
    <w:rsid w:val="00F02621"/>
    <w:rsid w:val="00F02B22"/>
    <w:rsid w:val="00F02B29"/>
    <w:rsid w:val="00F02B64"/>
    <w:rsid w:val="00F0376A"/>
    <w:rsid w:val="00F038B5"/>
    <w:rsid w:val="00F03CEB"/>
    <w:rsid w:val="00F03EA3"/>
    <w:rsid w:val="00F0502F"/>
    <w:rsid w:val="00F05230"/>
    <w:rsid w:val="00F053F2"/>
    <w:rsid w:val="00F05BFC"/>
    <w:rsid w:val="00F05FFA"/>
    <w:rsid w:val="00F060F4"/>
    <w:rsid w:val="00F06309"/>
    <w:rsid w:val="00F067BB"/>
    <w:rsid w:val="00F07219"/>
    <w:rsid w:val="00F07A6A"/>
    <w:rsid w:val="00F07C9A"/>
    <w:rsid w:val="00F104AA"/>
    <w:rsid w:val="00F10BD6"/>
    <w:rsid w:val="00F112FA"/>
    <w:rsid w:val="00F11643"/>
    <w:rsid w:val="00F11E0E"/>
    <w:rsid w:val="00F1242E"/>
    <w:rsid w:val="00F12690"/>
    <w:rsid w:val="00F12F80"/>
    <w:rsid w:val="00F13204"/>
    <w:rsid w:val="00F134E6"/>
    <w:rsid w:val="00F13BC7"/>
    <w:rsid w:val="00F13CAE"/>
    <w:rsid w:val="00F13DB2"/>
    <w:rsid w:val="00F13ECF"/>
    <w:rsid w:val="00F13F05"/>
    <w:rsid w:val="00F1477E"/>
    <w:rsid w:val="00F14856"/>
    <w:rsid w:val="00F14BA2"/>
    <w:rsid w:val="00F15AA8"/>
    <w:rsid w:val="00F16FD5"/>
    <w:rsid w:val="00F17594"/>
    <w:rsid w:val="00F175F9"/>
    <w:rsid w:val="00F17F67"/>
    <w:rsid w:val="00F20321"/>
    <w:rsid w:val="00F20656"/>
    <w:rsid w:val="00F20AC3"/>
    <w:rsid w:val="00F23309"/>
    <w:rsid w:val="00F23998"/>
    <w:rsid w:val="00F2506A"/>
    <w:rsid w:val="00F256EF"/>
    <w:rsid w:val="00F26C32"/>
    <w:rsid w:val="00F271E4"/>
    <w:rsid w:val="00F279DA"/>
    <w:rsid w:val="00F27F1A"/>
    <w:rsid w:val="00F27FF1"/>
    <w:rsid w:val="00F30E1E"/>
    <w:rsid w:val="00F31C7E"/>
    <w:rsid w:val="00F31DF4"/>
    <w:rsid w:val="00F32CC1"/>
    <w:rsid w:val="00F3370D"/>
    <w:rsid w:val="00F33A45"/>
    <w:rsid w:val="00F33B21"/>
    <w:rsid w:val="00F33FED"/>
    <w:rsid w:val="00F348E2"/>
    <w:rsid w:val="00F34C7A"/>
    <w:rsid w:val="00F35AB8"/>
    <w:rsid w:val="00F36024"/>
    <w:rsid w:val="00F3654C"/>
    <w:rsid w:val="00F369C7"/>
    <w:rsid w:val="00F37438"/>
    <w:rsid w:val="00F402ED"/>
    <w:rsid w:val="00F403FC"/>
    <w:rsid w:val="00F404AF"/>
    <w:rsid w:val="00F4092C"/>
    <w:rsid w:val="00F41102"/>
    <w:rsid w:val="00F41C84"/>
    <w:rsid w:val="00F426E5"/>
    <w:rsid w:val="00F42ACA"/>
    <w:rsid w:val="00F43182"/>
    <w:rsid w:val="00F4399B"/>
    <w:rsid w:val="00F4418C"/>
    <w:rsid w:val="00F44A15"/>
    <w:rsid w:val="00F44C34"/>
    <w:rsid w:val="00F45275"/>
    <w:rsid w:val="00F45491"/>
    <w:rsid w:val="00F4712D"/>
    <w:rsid w:val="00F506C2"/>
    <w:rsid w:val="00F50785"/>
    <w:rsid w:val="00F50824"/>
    <w:rsid w:val="00F50C23"/>
    <w:rsid w:val="00F51524"/>
    <w:rsid w:val="00F51539"/>
    <w:rsid w:val="00F51E02"/>
    <w:rsid w:val="00F52261"/>
    <w:rsid w:val="00F522F4"/>
    <w:rsid w:val="00F528CD"/>
    <w:rsid w:val="00F52C97"/>
    <w:rsid w:val="00F5362C"/>
    <w:rsid w:val="00F53AD3"/>
    <w:rsid w:val="00F53F84"/>
    <w:rsid w:val="00F54834"/>
    <w:rsid w:val="00F54956"/>
    <w:rsid w:val="00F549B4"/>
    <w:rsid w:val="00F54C73"/>
    <w:rsid w:val="00F54F6F"/>
    <w:rsid w:val="00F55054"/>
    <w:rsid w:val="00F550CC"/>
    <w:rsid w:val="00F5514D"/>
    <w:rsid w:val="00F560E4"/>
    <w:rsid w:val="00F565E3"/>
    <w:rsid w:val="00F566FA"/>
    <w:rsid w:val="00F56B35"/>
    <w:rsid w:val="00F56DF8"/>
    <w:rsid w:val="00F571CC"/>
    <w:rsid w:val="00F6033A"/>
    <w:rsid w:val="00F61BD6"/>
    <w:rsid w:val="00F63738"/>
    <w:rsid w:val="00F63838"/>
    <w:rsid w:val="00F6409A"/>
    <w:rsid w:val="00F643D0"/>
    <w:rsid w:val="00F648A0"/>
    <w:rsid w:val="00F64BA6"/>
    <w:rsid w:val="00F650FD"/>
    <w:rsid w:val="00F6630F"/>
    <w:rsid w:val="00F66408"/>
    <w:rsid w:val="00F66B70"/>
    <w:rsid w:val="00F672E7"/>
    <w:rsid w:val="00F70020"/>
    <w:rsid w:val="00F711FA"/>
    <w:rsid w:val="00F71890"/>
    <w:rsid w:val="00F71E4C"/>
    <w:rsid w:val="00F729C5"/>
    <w:rsid w:val="00F735F9"/>
    <w:rsid w:val="00F737D8"/>
    <w:rsid w:val="00F73EAA"/>
    <w:rsid w:val="00F73F6D"/>
    <w:rsid w:val="00F74B15"/>
    <w:rsid w:val="00F751D0"/>
    <w:rsid w:val="00F752B9"/>
    <w:rsid w:val="00F752BB"/>
    <w:rsid w:val="00F7553E"/>
    <w:rsid w:val="00F75BCD"/>
    <w:rsid w:val="00F75F32"/>
    <w:rsid w:val="00F76790"/>
    <w:rsid w:val="00F76E0F"/>
    <w:rsid w:val="00F76F16"/>
    <w:rsid w:val="00F777D8"/>
    <w:rsid w:val="00F77988"/>
    <w:rsid w:val="00F77A1B"/>
    <w:rsid w:val="00F801B8"/>
    <w:rsid w:val="00F80646"/>
    <w:rsid w:val="00F808B4"/>
    <w:rsid w:val="00F80F9B"/>
    <w:rsid w:val="00F81133"/>
    <w:rsid w:val="00F81452"/>
    <w:rsid w:val="00F82002"/>
    <w:rsid w:val="00F8252F"/>
    <w:rsid w:val="00F83899"/>
    <w:rsid w:val="00F83B6F"/>
    <w:rsid w:val="00F848AB"/>
    <w:rsid w:val="00F85176"/>
    <w:rsid w:val="00F856E3"/>
    <w:rsid w:val="00F85F69"/>
    <w:rsid w:val="00F860F1"/>
    <w:rsid w:val="00F86BC2"/>
    <w:rsid w:val="00F876F2"/>
    <w:rsid w:val="00F902DD"/>
    <w:rsid w:val="00F9041B"/>
    <w:rsid w:val="00F908AF"/>
    <w:rsid w:val="00F90D84"/>
    <w:rsid w:val="00F91184"/>
    <w:rsid w:val="00F914F9"/>
    <w:rsid w:val="00F916FA"/>
    <w:rsid w:val="00F91B75"/>
    <w:rsid w:val="00F91D41"/>
    <w:rsid w:val="00F91EF5"/>
    <w:rsid w:val="00F928C2"/>
    <w:rsid w:val="00F92AF1"/>
    <w:rsid w:val="00F92D50"/>
    <w:rsid w:val="00F92FC1"/>
    <w:rsid w:val="00F93307"/>
    <w:rsid w:val="00F93DEE"/>
    <w:rsid w:val="00F9498C"/>
    <w:rsid w:val="00F94BCE"/>
    <w:rsid w:val="00F94BDF"/>
    <w:rsid w:val="00F94CC7"/>
    <w:rsid w:val="00F95E70"/>
    <w:rsid w:val="00F96361"/>
    <w:rsid w:val="00F969E5"/>
    <w:rsid w:val="00F96FB4"/>
    <w:rsid w:val="00F9748C"/>
    <w:rsid w:val="00F9769E"/>
    <w:rsid w:val="00F978BE"/>
    <w:rsid w:val="00F97E89"/>
    <w:rsid w:val="00FA027C"/>
    <w:rsid w:val="00FA068C"/>
    <w:rsid w:val="00FA2CB3"/>
    <w:rsid w:val="00FA37AD"/>
    <w:rsid w:val="00FA40E5"/>
    <w:rsid w:val="00FA45AA"/>
    <w:rsid w:val="00FA48EA"/>
    <w:rsid w:val="00FA4AD9"/>
    <w:rsid w:val="00FA4F72"/>
    <w:rsid w:val="00FA529C"/>
    <w:rsid w:val="00FA5DFC"/>
    <w:rsid w:val="00FA6EF9"/>
    <w:rsid w:val="00FA70C3"/>
    <w:rsid w:val="00FA753E"/>
    <w:rsid w:val="00FB0C7D"/>
    <w:rsid w:val="00FB0E18"/>
    <w:rsid w:val="00FB11DA"/>
    <w:rsid w:val="00FB2BD9"/>
    <w:rsid w:val="00FB2FD0"/>
    <w:rsid w:val="00FB30BB"/>
    <w:rsid w:val="00FB4355"/>
    <w:rsid w:val="00FB4A5D"/>
    <w:rsid w:val="00FB4DAD"/>
    <w:rsid w:val="00FB52A8"/>
    <w:rsid w:val="00FB5631"/>
    <w:rsid w:val="00FB73FE"/>
    <w:rsid w:val="00FB7B85"/>
    <w:rsid w:val="00FB7EDE"/>
    <w:rsid w:val="00FC00F4"/>
    <w:rsid w:val="00FC08CD"/>
    <w:rsid w:val="00FC08D1"/>
    <w:rsid w:val="00FC1367"/>
    <w:rsid w:val="00FC1601"/>
    <w:rsid w:val="00FC34B6"/>
    <w:rsid w:val="00FC4839"/>
    <w:rsid w:val="00FC51A5"/>
    <w:rsid w:val="00FC573B"/>
    <w:rsid w:val="00FC589C"/>
    <w:rsid w:val="00FC6FFA"/>
    <w:rsid w:val="00FC793B"/>
    <w:rsid w:val="00FD069E"/>
    <w:rsid w:val="00FD1119"/>
    <w:rsid w:val="00FD1216"/>
    <w:rsid w:val="00FD1434"/>
    <w:rsid w:val="00FD1542"/>
    <w:rsid w:val="00FD1977"/>
    <w:rsid w:val="00FD1D01"/>
    <w:rsid w:val="00FD2E49"/>
    <w:rsid w:val="00FD2F07"/>
    <w:rsid w:val="00FD3270"/>
    <w:rsid w:val="00FD3695"/>
    <w:rsid w:val="00FD369D"/>
    <w:rsid w:val="00FD3A5F"/>
    <w:rsid w:val="00FD3C3E"/>
    <w:rsid w:val="00FD4678"/>
    <w:rsid w:val="00FD46D6"/>
    <w:rsid w:val="00FD4A99"/>
    <w:rsid w:val="00FD4D0E"/>
    <w:rsid w:val="00FD5478"/>
    <w:rsid w:val="00FD5772"/>
    <w:rsid w:val="00FD62A1"/>
    <w:rsid w:val="00FD687A"/>
    <w:rsid w:val="00FD6B26"/>
    <w:rsid w:val="00FD6B34"/>
    <w:rsid w:val="00FD6DEB"/>
    <w:rsid w:val="00FD71BF"/>
    <w:rsid w:val="00FD72A5"/>
    <w:rsid w:val="00FD7589"/>
    <w:rsid w:val="00FD7E84"/>
    <w:rsid w:val="00FE01D7"/>
    <w:rsid w:val="00FE1258"/>
    <w:rsid w:val="00FE1792"/>
    <w:rsid w:val="00FE1C0C"/>
    <w:rsid w:val="00FE223F"/>
    <w:rsid w:val="00FE2466"/>
    <w:rsid w:val="00FE2BF2"/>
    <w:rsid w:val="00FE3033"/>
    <w:rsid w:val="00FE31F1"/>
    <w:rsid w:val="00FE3B68"/>
    <w:rsid w:val="00FE479B"/>
    <w:rsid w:val="00FE4981"/>
    <w:rsid w:val="00FE4E87"/>
    <w:rsid w:val="00FE5E54"/>
    <w:rsid w:val="00FE5E6A"/>
    <w:rsid w:val="00FE6712"/>
    <w:rsid w:val="00FE6BDC"/>
    <w:rsid w:val="00FE6E50"/>
    <w:rsid w:val="00FF039E"/>
    <w:rsid w:val="00FF05CD"/>
    <w:rsid w:val="00FF0FCB"/>
    <w:rsid w:val="00FF1612"/>
    <w:rsid w:val="00FF2030"/>
    <w:rsid w:val="00FF3089"/>
    <w:rsid w:val="00FF3313"/>
    <w:rsid w:val="00FF33F1"/>
    <w:rsid w:val="00FF382B"/>
    <w:rsid w:val="00FF3A26"/>
    <w:rsid w:val="00FF3A40"/>
    <w:rsid w:val="00FF3CC3"/>
    <w:rsid w:val="00FF5E72"/>
    <w:rsid w:val="00FF5F84"/>
    <w:rsid w:val="00FF637A"/>
    <w:rsid w:val="00FF6952"/>
    <w:rsid w:val="00FF6B99"/>
    <w:rsid w:val="00FF6BDC"/>
    <w:rsid w:val="00FF6F8B"/>
    <w:rsid w:val="00FF7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BC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2D59"/>
    <w:pPr>
      <w:spacing w:before="240" w:after="240" w:line="360" w:lineRule="auto"/>
      <w:jc w:val="both"/>
    </w:pPr>
    <w:rPr>
      <w:sz w:val="20"/>
      <w:lang w:val="es-ES"/>
    </w:rPr>
  </w:style>
  <w:style w:type="paragraph" w:styleId="Ttulo1">
    <w:name w:val="heading 1"/>
    <w:aliases w:val="1,H1,l1,level 1 heading,Título1"/>
    <w:basedOn w:val="Normal"/>
    <w:next w:val="Normal"/>
    <w:link w:val="Ttulo1Car"/>
    <w:qFormat/>
    <w:rsid w:val="00E92D59"/>
    <w:pPr>
      <w:keepNext/>
      <w:keepLines/>
      <w:pageBreakBefore/>
      <w:numPr>
        <w:numId w:val="2"/>
      </w:numPr>
      <w:outlineLvl w:val="0"/>
    </w:pPr>
    <w:rPr>
      <w:rFonts w:asciiTheme="majorHAnsi" w:eastAsiaTheme="majorEastAsia" w:hAnsiTheme="majorHAnsi" w:cstheme="majorBidi"/>
      <w:b/>
      <w:color w:val="0C2749" w:themeColor="text1"/>
      <w:sz w:val="36"/>
      <w:szCs w:val="32"/>
    </w:rPr>
  </w:style>
  <w:style w:type="paragraph" w:styleId="Ttulo2">
    <w:name w:val="heading 2"/>
    <w:aliases w:val="2,KJL:1st Level,l2,level 2 heading"/>
    <w:basedOn w:val="Normal"/>
    <w:next w:val="Normal"/>
    <w:link w:val="Ttulo2Car"/>
    <w:unhideWhenUsed/>
    <w:qFormat/>
    <w:rsid w:val="00E92D59"/>
    <w:pPr>
      <w:keepNext/>
      <w:keepLines/>
      <w:numPr>
        <w:ilvl w:val="1"/>
        <w:numId w:val="2"/>
      </w:numPr>
      <w:outlineLvl w:val="1"/>
    </w:pPr>
    <w:rPr>
      <w:rFonts w:asciiTheme="majorHAnsi" w:eastAsiaTheme="majorEastAsia" w:hAnsiTheme="majorHAnsi" w:cstheme="majorBidi"/>
      <w:b/>
      <w:color w:val="0C2749" w:themeColor="text1"/>
      <w:sz w:val="28"/>
      <w:szCs w:val="26"/>
    </w:rPr>
  </w:style>
  <w:style w:type="paragraph" w:styleId="Ttulo3">
    <w:name w:val="heading 3"/>
    <w:aliases w:val="3"/>
    <w:basedOn w:val="Normal"/>
    <w:next w:val="Normal"/>
    <w:link w:val="Ttulo3Car"/>
    <w:unhideWhenUsed/>
    <w:qFormat/>
    <w:rsid w:val="00E92D59"/>
    <w:pPr>
      <w:keepNext/>
      <w:keepLines/>
      <w:numPr>
        <w:ilvl w:val="2"/>
        <w:numId w:val="2"/>
      </w:numPr>
      <w:outlineLvl w:val="2"/>
    </w:pPr>
    <w:rPr>
      <w:rFonts w:asciiTheme="majorHAnsi" w:eastAsiaTheme="majorEastAsia" w:hAnsiTheme="majorHAnsi" w:cstheme="majorBidi"/>
      <w:b/>
      <w:color w:val="0C2749" w:themeColor="text1"/>
      <w:sz w:val="24"/>
      <w:szCs w:val="24"/>
    </w:rPr>
  </w:style>
  <w:style w:type="paragraph" w:styleId="Ttulo4">
    <w:name w:val="heading 4"/>
    <w:basedOn w:val="Normal"/>
    <w:next w:val="Normal"/>
    <w:link w:val="Ttulo4Car"/>
    <w:unhideWhenUsed/>
    <w:qFormat/>
    <w:rsid w:val="004C6924"/>
    <w:pPr>
      <w:keepNext/>
      <w:keepLines/>
      <w:numPr>
        <w:ilvl w:val="3"/>
        <w:numId w:val="2"/>
      </w:numPr>
      <w:outlineLvl w:val="3"/>
    </w:pPr>
    <w:rPr>
      <w:rFonts w:asciiTheme="majorHAnsi" w:eastAsiaTheme="majorEastAsia" w:hAnsiTheme="majorHAnsi" w:cstheme="majorBidi"/>
      <w:b/>
      <w:iCs/>
      <w:color w:val="091D36" w:themeColor="accent1" w:themeShade="BF"/>
    </w:rPr>
  </w:style>
  <w:style w:type="paragraph" w:styleId="Ttulo5">
    <w:name w:val="heading 5"/>
    <w:basedOn w:val="Normal"/>
    <w:next w:val="Normal"/>
    <w:link w:val="Ttulo5Car"/>
    <w:unhideWhenUsed/>
    <w:qFormat/>
    <w:rsid w:val="00432289"/>
    <w:pPr>
      <w:keepNext/>
      <w:keepLines/>
      <w:numPr>
        <w:ilvl w:val="4"/>
        <w:numId w:val="2"/>
      </w:numPr>
      <w:outlineLvl w:val="4"/>
    </w:pPr>
    <w:rPr>
      <w:rFonts w:asciiTheme="majorHAnsi" w:eastAsiaTheme="majorEastAsia" w:hAnsiTheme="majorHAnsi" w:cstheme="majorBidi"/>
      <w:i/>
      <w:color w:val="0C2749" w:themeColor="text1"/>
      <w:u w:val="single"/>
    </w:rPr>
  </w:style>
  <w:style w:type="paragraph" w:styleId="Ttulo6">
    <w:name w:val="heading 6"/>
    <w:basedOn w:val="Normal"/>
    <w:next w:val="Normal"/>
    <w:link w:val="Ttulo6Car"/>
    <w:uiPriority w:val="9"/>
    <w:semiHidden/>
    <w:unhideWhenUsed/>
    <w:rsid w:val="00432289"/>
    <w:pPr>
      <w:keepNext/>
      <w:keepLines/>
      <w:numPr>
        <w:ilvl w:val="5"/>
        <w:numId w:val="2"/>
      </w:numPr>
      <w:spacing w:before="40" w:after="0"/>
      <w:outlineLvl w:val="5"/>
    </w:pPr>
    <w:rPr>
      <w:rFonts w:asciiTheme="majorHAnsi" w:eastAsiaTheme="majorEastAsia" w:hAnsiTheme="majorHAnsi" w:cstheme="majorBidi"/>
      <w:color w:val="061324" w:themeColor="accent1" w:themeShade="7F"/>
    </w:rPr>
  </w:style>
  <w:style w:type="paragraph" w:styleId="Ttulo7">
    <w:name w:val="heading 7"/>
    <w:basedOn w:val="Normal"/>
    <w:next w:val="Normal"/>
    <w:link w:val="Ttulo7Car"/>
    <w:uiPriority w:val="9"/>
    <w:semiHidden/>
    <w:unhideWhenUsed/>
    <w:qFormat/>
    <w:rsid w:val="00432289"/>
    <w:pPr>
      <w:keepNext/>
      <w:keepLines/>
      <w:numPr>
        <w:ilvl w:val="6"/>
        <w:numId w:val="2"/>
      </w:numPr>
      <w:spacing w:before="40" w:after="0"/>
      <w:outlineLvl w:val="6"/>
    </w:pPr>
    <w:rPr>
      <w:rFonts w:asciiTheme="majorHAnsi" w:eastAsiaTheme="majorEastAsia" w:hAnsiTheme="majorHAnsi" w:cstheme="majorBidi"/>
      <w:i/>
      <w:iCs/>
      <w:color w:val="061324" w:themeColor="accent1" w:themeShade="7F"/>
    </w:rPr>
  </w:style>
  <w:style w:type="paragraph" w:styleId="Ttulo8">
    <w:name w:val="heading 8"/>
    <w:basedOn w:val="Normal"/>
    <w:next w:val="Normal"/>
    <w:link w:val="Ttulo8Car"/>
    <w:uiPriority w:val="9"/>
    <w:semiHidden/>
    <w:unhideWhenUsed/>
    <w:qFormat/>
    <w:rsid w:val="00432289"/>
    <w:pPr>
      <w:keepNext/>
      <w:keepLines/>
      <w:numPr>
        <w:ilvl w:val="7"/>
        <w:numId w:val="2"/>
      </w:numPr>
      <w:spacing w:before="40" w:after="0"/>
      <w:outlineLvl w:val="7"/>
    </w:pPr>
    <w:rPr>
      <w:rFonts w:asciiTheme="majorHAnsi" w:eastAsiaTheme="majorEastAsia" w:hAnsiTheme="majorHAnsi" w:cstheme="majorBidi"/>
      <w:color w:val="154480" w:themeColor="text1" w:themeTint="D8"/>
      <w:sz w:val="21"/>
      <w:szCs w:val="21"/>
    </w:rPr>
  </w:style>
  <w:style w:type="paragraph" w:styleId="Ttulo9">
    <w:name w:val="heading 9"/>
    <w:basedOn w:val="Normal"/>
    <w:next w:val="Normal"/>
    <w:link w:val="Ttulo9Car"/>
    <w:uiPriority w:val="9"/>
    <w:semiHidden/>
    <w:unhideWhenUsed/>
    <w:qFormat/>
    <w:rsid w:val="00432289"/>
    <w:pPr>
      <w:keepNext/>
      <w:keepLines/>
      <w:numPr>
        <w:ilvl w:val="8"/>
        <w:numId w:val="2"/>
      </w:numPr>
      <w:spacing w:before="40" w:after="0"/>
      <w:outlineLvl w:val="8"/>
    </w:pPr>
    <w:rPr>
      <w:rFonts w:asciiTheme="majorHAnsi" w:eastAsiaTheme="majorEastAsia" w:hAnsiTheme="majorHAnsi" w:cstheme="majorBidi"/>
      <w:i/>
      <w:iCs/>
      <w:color w:val="154480"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H1 Car,l1 Car,level 1 heading Car,Título1 Car"/>
    <w:basedOn w:val="Fuentedeprrafopredeter"/>
    <w:link w:val="Ttulo1"/>
    <w:rsid w:val="00E92D59"/>
    <w:rPr>
      <w:rFonts w:asciiTheme="majorHAnsi" w:eastAsiaTheme="majorEastAsia" w:hAnsiTheme="majorHAnsi" w:cstheme="majorBidi"/>
      <w:b/>
      <w:color w:val="0C2749" w:themeColor="text1"/>
      <w:sz w:val="36"/>
      <w:szCs w:val="32"/>
      <w:lang w:val="es-ES"/>
    </w:rPr>
  </w:style>
  <w:style w:type="paragraph" w:styleId="TDC1">
    <w:name w:val="toc 1"/>
    <w:basedOn w:val="Normal"/>
    <w:next w:val="Normal"/>
    <w:autoRedefine/>
    <w:uiPriority w:val="39"/>
    <w:unhideWhenUsed/>
    <w:rsid w:val="00224F2E"/>
    <w:pPr>
      <w:spacing w:after="100"/>
    </w:pPr>
    <w:rPr>
      <w:b/>
      <w:smallCaps/>
    </w:rPr>
  </w:style>
  <w:style w:type="character" w:styleId="Hipervnculo">
    <w:name w:val="Hyperlink"/>
    <w:basedOn w:val="Fuentedeprrafopredeter"/>
    <w:uiPriority w:val="99"/>
    <w:unhideWhenUsed/>
    <w:rsid w:val="00432289"/>
    <w:rPr>
      <w:color w:val="0000FF" w:themeColor="hyperlink"/>
      <w:u w:val="single"/>
    </w:rPr>
  </w:style>
  <w:style w:type="character" w:customStyle="1" w:styleId="Ttulo2Car">
    <w:name w:val="Título 2 Car"/>
    <w:aliases w:val="2 Car,KJL:1st Level Car,l2 Car,level 2 heading Car"/>
    <w:basedOn w:val="Fuentedeprrafopredeter"/>
    <w:link w:val="Ttulo2"/>
    <w:rsid w:val="00E92D59"/>
    <w:rPr>
      <w:rFonts w:asciiTheme="majorHAnsi" w:eastAsiaTheme="majorEastAsia" w:hAnsiTheme="majorHAnsi" w:cstheme="majorBidi"/>
      <w:b/>
      <w:color w:val="0C2749" w:themeColor="text1"/>
      <w:sz w:val="28"/>
      <w:szCs w:val="26"/>
      <w:lang w:val="es-ES"/>
    </w:rPr>
  </w:style>
  <w:style w:type="character" w:customStyle="1" w:styleId="Ttulo3Car">
    <w:name w:val="Título 3 Car"/>
    <w:aliases w:val="3 Car"/>
    <w:basedOn w:val="Fuentedeprrafopredeter"/>
    <w:link w:val="Ttulo3"/>
    <w:rsid w:val="00E92D59"/>
    <w:rPr>
      <w:rFonts w:asciiTheme="majorHAnsi" w:eastAsiaTheme="majorEastAsia" w:hAnsiTheme="majorHAnsi" w:cstheme="majorBidi"/>
      <w:b/>
      <w:color w:val="0C2749" w:themeColor="text1"/>
      <w:sz w:val="24"/>
      <w:szCs w:val="24"/>
      <w:lang w:val="es-ES"/>
    </w:rPr>
  </w:style>
  <w:style w:type="character" w:customStyle="1" w:styleId="Ttulo4Car">
    <w:name w:val="Título 4 Car"/>
    <w:basedOn w:val="Fuentedeprrafopredeter"/>
    <w:link w:val="Ttulo4"/>
    <w:rsid w:val="004C6924"/>
    <w:rPr>
      <w:rFonts w:asciiTheme="majorHAnsi" w:eastAsiaTheme="majorEastAsia" w:hAnsiTheme="majorHAnsi" w:cstheme="majorBidi"/>
      <w:b/>
      <w:iCs/>
      <w:color w:val="091D36" w:themeColor="accent1" w:themeShade="BF"/>
      <w:sz w:val="20"/>
      <w:lang w:val="es-ES"/>
    </w:rPr>
  </w:style>
  <w:style w:type="character" w:customStyle="1" w:styleId="Ttulo5Car">
    <w:name w:val="Título 5 Car"/>
    <w:basedOn w:val="Fuentedeprrafopredeter"/>
    <w:link w:val="Ttulo5"/>
    <w:rsid w:val="00432289"/>
    <w:rPr>
      <w:rFonts w:asciiTheme="majorHAnsi" w:eastAsiaTheme="majorEastAsia" w:hAnsiTheme="majorHAnsi" w:cstheme="majorBidi"/>
      <w:i/>
      <w:color w:val="0C2749" w:themeColor="text1"/>
      <w:sz w:val="20"/>
      <w:u w:val="single"/>
    </w:rPr>
  </w:style>
  <w:style w:type="character" w:customStyle="1" w:styleId="Ttulo6Car">
    <w:name w:val="Título 6 Car"/>
    <w:basedOn w:val="Fuentedeprrafopredeter"/>
    <w:link w:val="Ttulo6"/>
    <w:uiPriority w:val="9"/>
    <w:semiHidden/>
    <w:rsid w:val="00432289"/>
    <w:rPr>
      <w:rFonts w:asciiTheme="majorHAnsi" w:eastAsiaTheme="majorEastAsia" w:hAnsiTheme="majorHAnsi" w:cstheme="majorBidi"/>
      <w:color w:val="061324" w:themeColor="accent1" w:themeShade="7F"/>
      <w:sz w:val="20"/>
    </w:rPr>
  </w:style>
  <w:style w:type="character" w:customStyle="1" w:styleId="Ttulo7Car">
    <w:name w:val="Título 7 Car"/>
    <w:basedOn w:val="Fuentedeprrafopredeter"/>
    <w:link w:val="Ttulo7"/>
    <w:uiPriority w:val="9"/>
    <w:semiHidden/>
    <w:rsid w:val="00432289"/>
    <w:rPr>
      <w:rFonts w:asciiTheme="majorHAnsi" w:eastAsiaTheme="majorEastAsia" w:hAnsiTheme="majorHAnsi" w:cstheme="majorBidi"/>
      <w:i/>
      <w:iCs/>
      <w:color w:val="061324" w:themeColor="accent1" w:themeShade="7F"/>
      <w:sz w:val="20"/>
    </w:rPr>
  </w:style>
  <w:style w:type="character" w:customStyle="1" w:styleId="Ttulo8Car">
    <w:name w:val="Título 8 Car"/>
    <w:basedOn w:val="Fuentedeprrafopredeter"/>
    <w:link w:val="Ttulo8"/>
    <w:uiPriority w:val="9"/>
    <w:semiHidden/>
    <w:rsid w:val="00432289"/>
    <w:rPr>
      <w:rFonts w:asciiTheme="majorHAnsi" w:eastAsiaTheme="majorEastAsia" w:hAnsiTheme="majorHAnsi" w:cstheme="majorBidi"/>
      <w:color w:val="154480" w:themeColor="text1" w:themeTint="D8"/>
      <w:sz w:val="21"/>
      <w:szCs w:val="21"/>
    </w:rPr>
  </w:style>
  <w:style w:type="character" w:customStyle="1" w:styleId="Ttulo9Car">
    <w:name w:val="Título 9 Car"/>
    <w:basedOn w:val="Fuentedeprrafopredeter"/>
    <w:link w:val="Ttulo9"/>
    <w:uiPriority w:val="9"/>
    <w:semiHidden/>
    <w:rsid w:val="00432289"/>
    <w:rPr>
      <w:rFonts w:asciiTheme="majorHAnsi" w:eastAsiaTheme="majorEastAsia" w:hAnsiTheme="majorHAnsi" w:cstheme="majorBidi"/>
      <w:i/>
      <w:iCs/>
      <w:color w:val="154480" w:themeColor="text1" w:themeTint="D8"/>
      <w:sz w:val="21"/>
      <w:szCs w:val="21"/>
    </w:rPr>
  </w:style>
  <w:style w:type="paragraph" w:styleId="Encabezado">
    <w:name w:val="header"/>
    <w:basedOn w:val="Normal"/>
    <w:link w:val="EncabezadoCar"/>
    <w:uiPriority w:val="99"/>
    <w:unhideWhenUsed/>
    <w:rsid w:val="00432289"/>
    <w:pPr>
      <w:tabs>
        <w:tab w:val="center" w:pos="4513"/>
        <w:tab w:val="right" w:pos="9026"/>
      </w:tabs>
      <w:spacing w:before="0" w:after="0" w:line="240" w:lineRule="auto"/>
    </w:pPr>
    <w:rPr>
      <w:i/>
      <w:color w:val="0C2749" w:themeColor="text1"/>
      <w:sz w:val="18"/>
    </w:rPr>
  </w:style>
  <w:style w:type="character" w:customStyle="1" w:styleId="EncabezadoCar">
    <w:name w:val="Encabezado Car"/>
    <w:basedOn w:val="Fuentedeprrafopredeter"/>
    <w:link w:val="Encabezado"/>
    <w:uiPriority w:val="99"/>
    <w:rsid w:val="00432289"/>
    <w:rPr>
      <w:i/>
      <w:color w:val="0C2749" w:themeColor="text1"/>
      <w:sz w:val="18"/>
    </w:rPr>
  </w:style>
  <w:style w:type="paragraph" w:styleId="Piedepgina">
    <w:name w:val="footer"/>
    <w:basedOn w:val="Normal"/>
    <w:link w:val="PiedepginaCar"/>
    <w:uiPriority w:val="99"/>
    <w:unhideWhenUsed/>
    <w:rsid w:val="00432289"/>
    <w:pPr>
      <w:tabs>
        <w:tab w:val="center" w:pos="4513"/>
        <w:tab w:val="right" w:pos="9026"/>
      </w:tabs>
      <w:spacing w:before="0" w:after="0" w:line="240" w:lineRule="auto"/>
    </w:pPr>
    <w:rPr>
      <w:sz w:val="18"/>
    </w:rPr>
  </w:style>
  <w:style w:type="character" w:customStyle="1" w:styleId="PiedepginaCar">
    <w:name w:val="Pie de página Car"/>
    <w:basedOn w:val="Fuentedeprrafopredeter"/>
    <w:link w:val="Piedepgina"/>
    <w:uiPriority w:val="99"/>
    <w:rsid w:val="00432289"/>
    <w:rPr>
      <w:sz w:val="18"/>
    </w:rPr>
  </w:style>
  <w:style w:type="table" w:styleId="Tablaconcuadrcula">
    <w:name w:val="Table Grid"/>
    <w:basedOn w:val="Tablanormal"/>
    <w:rsid w:val="0043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432289"/>
    <w:pPr>
      <w:spacing w:before="120" w:after="120"/>
    </w:pPr>
  </w:style>
  <w:style w:type="paragraph" w:styleId="TDC3">
    <w:name w:val="toc 3"/>
    <w:basedOn w:val="Normal"/>
    <w:next w:val="Normal"/>
    <w:autoRedefine/>
    <w:uiPriority w:val="39"/>
    <w:unhideWhenUsed/>
    <w:rsid w:val="00631E8A"/>
    <w:pPr>
      <w:tabs>
        <w:tab w:val="left" w:pos="880"/>
        <w:tab w:val="right" w:leader="dot" w:pos="9060"/>
      </w:tabs>
      <w:spacing w:before="120" w:after="120"/>
      <w:ind w:firstLine="170"/>
    </w:pPr>
  </w:style>
  <w:style w:type="paragraph" w:styleId="Descripcin">
    <w:name w:val="caption"/>
    <w:aliases w:val="Gráfico,Tabla1,Tabla1+verde azulado,Epígrafe1"/>
    <w:basedOn w:val="Normal"/>
    <w:next w:val="Normal"/>
    <w:link w:val="DescripcinCar"/>
    <w:uiPriority w:val="35"/>
    <w:unhideWhenUsed/>
    <w:qFormat/>
    <w:rsid w:val="00432289"/>
    <w:pPr>
      <w:spacing w:before="60"/>
      <w:jc w:val="center"/>
    </w:pPr>
    <w:rPr>
      <w:b/>
      <w:iCs/>
      <w:sz w:val="16"/>
      <w:szCs w:val="18"/>
    </w:rPr>
  </w:style>
  <w:style w:type="table" w:styleId="Tablanormal3">
    <w:name w:val="Plain Table 3"/>
    <w:basedOn w:val="Tablanormal"/>
    <w:uiPriority w:val="43"/>
    <w:rsid w:val="00432289"/>
    <w:pPr>
      <w:spacing w:after="0" w:line="240" w:lineRule="auto"/>
    </w:pPr>
    <w:tblPr>
      <w:tblStyleRowBandSize w:val="1"/>
      <w:tblStyleColBandSize w:val="1"/>
    </w:tblPr>
    <w:tblStylePr w:type="firstRow">
      <w:rPr>
        <w:b/>
        <w:bCs/>
        <w:caps/>
      </w:rPr>
      <w:tblPr/>
      <w:tcPr>
        <w:tcBorders>
          <w:bottom w:val="single" w:sz="4" w:space="0" w:color="478B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78BE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
    <w:name w:val="Grid Table 1 Light"/>
    <w:basedOn w:val="Tablanormal"/>
    <w:uiPriority w:val="46"/>
    <w:rsid w:val="00432289"/>
    <w:pPr>
      <w:spacing w:after="0" w:line="240" w:lineRule="auto"/>
    </w:pPr>
    <w:tblPr>
      <w:tblStyleRowBandSize w:val="1"/>
      <w:tblStyleColBandSize w:val="1"/>
      <w:tblBorders>
        <w:top w:val="single" w:sz="4" w:space="0" w:color="6DA2E7" w:themeColor="text1" w:themeTint="66"/>
        <w:left w:val="single" w:sz="4" w:space="0" w:color="6DA2E7" w:themeColor="text1" w:themeTint="66"/>
        <w:bottom w:val="single" w:sz="4" w:space="0" w:color="6DA2E7" w:themeColor="text1" w:themeTint="66"/>
        <w:right w:val="single" w:sz="4" w:space="0" w:color="6DA2E7" w:themeColor="text1" w:themeTint="66"/>
        <w:insideH w:val="single" w:sz="4" w:space="0" w:color="6DA2E7" w:themeColor="text1" w:themeTint="66"/>
        <w:insideV w:val="single" w:sz="4" w:space="0" w:color="6DA2E7" w:themeColor="text1" w:themeTint="66"/>
      </w:tblBorders>
    </w:tblPr>
    <w:tblStylePr w:type="firstRow">
      <w:rPr>
        <w:b/>
        <w:bCs/>
      </w:rPr>
      <w:tblPr/>
      <w:tcPr>
        <w:tcBorders>
          <w:bottom w:val="single" w:sz="12" w:space="0" w:color="2474DB" w:themeColor="text1" w:themeTint="99"/>
        </w:tcBorders>
      </w:tcPr>
    </w:tblStylePr>
    <w:tblStylePr w:type="lastRow">
      <w:rPr>
        <w:b/>
        <w:bCs/>
      </w:rPr>
      <w:tblPr/>
      <w:tcPr>
        <w:tcBorders>
          <w:top w:val="double" w:sz="2" w:space="0" w:color="2474DB" w:themeColor="text1" w:themeTint="99"/>
        </w:tcBorders>
      </w:tcPr>
    </w:tblStylePr>
    <w:tblStylePr w:type="firstCol">
      <w:rPr>
        <w:b/>
        <w:bCs/>
      </w:rPr>
    </w:tblStylePr>
    <w:tblStylePr w:type="lastCol">
      <w:rPr>
        <w:b/>
        <w:bCs/>
      </w:rPr>
    </w:tblStylePr>
  </w:style>
  <w:style w:type="character" w:customStyle="1" w:styleId="Bullet1Char">
    <w:name w:val="Bullet 1 Char"/>
    <w:basedOn w:val="Fuentedeprrafopredeter"/>
    <w:link w:val="Bullet1"/>
    <w:locked/>
    <w:rsid w:val="00A01A39"/>
    <w:rPr>
      <w:sz w:val="20"/>
      <w:lang w:val="es-ES"/>
    </w:rPr>
  </w:style>
  <w:style w:type="paragraph" w:styleId="Listaconvietas2">
    <w:name w:val="List Bullet 2"/>
    <w:aliases w:val="Bullet 2,B_Bullet 2"/>
    <w:basedOn w:val="Normal"/>
    <w:unhideWhenUsed/>
    <w:qFormat/>
    <w:rsid w:val="00432289"/>
    <w:pPr>
      <w:numPr>
        <w:ilvl w:val="1"/>
        <w:numId w:val="4"/>
      </w:numPr>
      <w:spacing w:before="0" w:after="120"/>
    </w:pPr>
  </w:style>
  <w:style w:type="paragraph" w:styleId="Listaconvietas3">
    <w:name w:val="List Bullet 3"/>
    <w:aliases w:val="Bullet 3,B_Bullet 3"/>
    <w:basedOn w:val="Normal"/>
    <w:unhideWhenUsed/>
    <w:qFormat/>
    <w:rsid w:val="00432289"/>
    <w:pPr>
      <w:numPr>
        <w:ilvl w:val="2"/>
        <w:numId w:val="4"/>
      </w:numPr>
      <w:spacing w:before="0" w:after="120"/>
    </w:pPr>
  </w:style>
  <w:style w:type="paragraph" w:styleId="Textonotapie">
    <w:name w:val="footnote text"/>
    <w:aliases w:val="Footnote,Fußnote,FN,fn Car,footnote text Car,Footnotes Car,Footnote ak Car,Texto nota pie Car1,Texto nota pie Car2 Car Car,Texto nota pie Car Car1 Car Car,Texto nota pie Car Car Car Car Car Car Car Car1 Car Car,Footnote referenc,fn,f"/>
    <w:basedOn w:val="Normal"/>
    <w:link w:val="TextonotapieCar"/>
    <w:uiPriority w:val="99"/>
    <w:unhideWhenUsed/>
    <w:qFormat/>
    <w:rsid w:val="00432289"/>
    <w:pPr>
      <w:spacing w:before="0" w:after="0" w:line="240" w:lineRule="auto"/>
    </w:pPr>
    <w:rPr>
      <w:sz w:val="16"/>
      <w:szCs w:val="20"/>
    </w:rPr>
  </w:style>
  <w:style w:type="character" w:customStyle="1" w:styleId="TextonotapieCar">
    <w:name w:val="Texto nota pie Car"/>
    <w:aliases w:val="Footnote Car,Fußnote Car,FN Car,fn Car Car,footnote text Car Car,Footnotes Car Car,Footnote ak Car Car,Texto nota pie Car1 Car,Texto nota pie Car2 Car Car Car,Texto nota pie Car Car1 Car Car Car,Footnote referenc Car,fn Car1,f Car"/>
    <w:basedOn w:val="Fuentedeprrafopredeter"/>
    <w:link w:val="Textonotapie"/>
    <w:uiPriority w:val="99"/>
    <w:rsid w:val="00432289"/>
    <w:rPr>
      <w:sz w:val="16"/>
      <w:szCs w:val="20"/>
    </w:rPr>
  </w:style>
  <w:style w:type="character" w:styleId="Refdenotaalpie">
    <w:name w:val="footnote reference"/>
    <w:aliases w:val="Footnote Reference Superscript,Ref,de nota al pie,FC,Appel note de bas de p,referencia nota al pie,Footnote symbol,Texto de nota al pie,Footnotes refss,Appel note de bas de page,fr,o,Style 6,Style 12,(NECG) Footnote Reference,Nota"/>
    <w:basedOn w:val="Fuentedeprrafopredeter"/>
    <w:uiPriority w:val="99"/>
    <w:unhideWhenUsed/>
    <w:qFormat/>
    <w:rsid w:val="00432289"/>
    <w:rPr>
      <w:vertAlign w:val="superscript"/>
    </w:rPr>
  </w:style>
  <w:style w:type="paragraph" w:styleId="Continuarlista">
    <w:name w:val="List Continue"/>
    <w:basedOn w:val="Normal"/>
    <w:uiPriority w:val="99"/>
    <w:unhideWhenUsed/>
    <w:rsid w:val="00432289"/>
    <w:pPr>
      <w:spacing w:after="120"/>
      <w:ind w:left="283"/>
      <w:contextualSpacing/>
    </w:pPr>
  </w:style>
  <w:style w:type="paragraph" w:styleId="Lista">
    <w:name w:val="List"/>
    <w:basedOn w:val="Normal"/>
    <w:uiPriority w:val="99"/>
    <w:unhideWhenUsed/>
    <w:rsid w:val="00432289"/>
    <w:pPr>
      <w:ind w:left="283" w:hanging="283"/>
      <w:contextualSpacing/>
    </w:pPr>
  </w:style>
  <w:style w:type="paragraph" w:styleId="Listaconnmeros">
    <w:name w:val="List Number"/>
    <w:basedOn w:val="Normal"/>
    <w:link w:val="ListaconnmerosCar"/>
    <w:uiPriority w:val="4"/>
    <w:unhideWhenUsed/>
    <w:qFormat/>
    <w:rsid w:val="00432289"/>
    <w:pPr>
      <w:numPr>
        <w:numId w:val="3"/>
      </w:numPr>
      <w:spacing w:before="120" w:after="120"/>
    </w:pPr>
  </w:style>
  <w:style w:type="table" w:styleId="Tablaconlista1">
    <w:name w:val="Table List 1"/>
    <w:basedOn w:val="Tablanormal"/>
    <w:uiPriority w:val="99"/>
    <w:unhideWhenUsed/>
    <w:rsid w:val="00432289"/>
    <w:pPr>
      <w:spacing w:before="240"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unhideWhenUsed/>
    <w:rsid w:val="00432289"/>
    <w:rPr>
      <w:sz w:val="16"/>
      <w:szCs w:val="16"/>
    </w:rPr>
  </w:style>
  <w:style w:type="paragraph" w:styleId="Textocomentario">
    <w:name w:val="annotation text"/>
    <w:basedOn w:val="Normal"/>
    <w:link w:val="TextocomentarioCar"/>
    <w:uiPriority w:val="99"/>
    <w:unhideWhenUsed/>
    <w:rsid w:val="00432289"/>
    <w:pPr>
      <w:spacing w:line="240" w:lineRule="auto"/>
    </w:pPr>
    <w:rPr>
      <w:szCs w:val="20"/>
    </w:rPr>
  </w:style>
  <w:style w:type="character" w:customStyle="1" w:styleId="TextocomentarioCar">
    <w:name w:val="Texto comentario Car"/>
    <w:basedOn w:val="Fuentedeprrafopredeter"/>
    <w:link w:val="Textocomentario"/>
    <w:uiPriority w:val="99"/>
    <w:rsid w:val="00432289"/>
    <w:rPr>
      <w:sz w:val="20"/>
      <w:szCs w:val="20"/>
    </w:rPr>
  </w:style>
  <w:style w:type="paragraph" w:styleId="Asuntodelcomentario">
    <w:name w:val="annotation subject"/>
    <w:basedOn w:val="Textocomentario"/>
    <w:next w:val="Textocomentario"/>
    <w:link w:val="AsuntodelcomentarioCar"/>
    <w:uiPriority w:val="99"/>
    <w:semiHidden/>
    <w:unhideWhenUsed/>
    <w:rsid w:val="00432289"/>
    <w:rPr>
      <w:b/>
      <w:bCs/>
    </w:rPr>
  </w:style>
  <w:style w:type="character" w:customStyle="1" w:styleId="AsuntodelcomentarioCar">
    <w:name w:val="Asunto del comentario Car"/>
    <w:basedOn w:val="TextocomentarioCar"/>
    <w:link w:val="Asuntodelcomentario"/>
    <w:uiPriority w:val="99"/>
    <w:semiHidden/>
    <w:rsid w:val="00432289"/>
    <w:rPr>
      <w:b/>
      <w:bCs/>
      <w:sz w:val="20"/>
      <w:szCs w:val="20"/>
    </w:rPr>
  </w:style>
  <w:style w:type="paragraph" w:styleId="Prrafodelista">
    <w:name w:val="List Paragraph"/>
    <w:basedOn w:val="Normal"/>
    <w:link w:val="PrrafodelistaCar"/>
    <w:uiPriority w:val="34"/>
    <w:rsid w:val="00432289"/>
    <w:pPr>
      <w:spacing w:line="336" w:lineRule="auto"/>
      <w:ind w:left="720"/>
      <w:contextualSpacing/>
    </w:pPr>
    <w:rPr>
      <w:rFonts w:ascii="Verdana" w:eastAsia="Times New Roman" w:hAnsi="Verdana" w:cs="Times New Roman"/>
      <w:szCs w:val="24"/>
      <w:lang w:eastAsia="es-ES"/>
    </w:rPr>
  </w:style>
  <w:style w:type="character" w:customStyle="1" w:styleId="PrrafodelistaCar">
    <w:name w:val="Párrafo de lista Car"/>
    <w:link w:val="Prrafodelista"/>
    <w:uiPriority w:val="34"/>
    <w:locked/>
    <w:rsid w:val="00432289"/>
    <w:rPr>
      <w:rFonts w:ascii="Verdana" w:eastAsia="Times New Roman" w:hAnsi="Verdana" w:cs="Times New Roman"/>
      <w:sz w:val="20"/>
      <w:szCs w:val="24"/>
      <w:lang w:eastAsia="es-ES"/>
    </w:rPr>
  </w:style>
  <w:style w:type="paragraph" w:customStyle="1" w:styleId="TableListBullet">
    <w:name w:val="Table List Bullet"/>
    <w:basedOn w:val="Normal"/>
    <w:link w:val="TableListBulletChar"/>
    <w:uiPriority w:val="6"/>
    <w:qFormat/>
    <w:rsid w:val="00D418B3"/>
    <w:pPr>
      <w:numPr>
        <w:numId w:val="5"/>
      </w:numPr>
      <w:tabs>
        <w:tab w:val="left" w:pos="284"/>
      </w:tabs>
      <w:spacing w:before="40" w:after="40" w:line="240" w:lineRule="auto"/>
      <w:jc w:val="left"/>
    </w:pPr>
    <w:rPr>
      <w:sz w:val="18"/>
      <w:szCs w:val="16"/>
    </w:rPr>
  </w:style>
  <w:style w:type="paragraph" w:customStyle="1" w:styleId="TableHeading">
    <w:name w:val="Table Heading"/>
    <w:basedOn w:val="Normal"/>
    <w:uiPriority w:val="5"/>
    <w:qFormat/>
    <w:rsid w:val="00432289"/>
    <w:pPr>
      <w:spacing w:before="60" w:after="60" w:line="240" w:lineRule="auto"/>
      <w:jc w:val="center"/>
    </w:pPr>
    <w:rPr>
      <w:bCs/>
      <w:color w:val="FFFFFF"/>
      <w:sz w:val="18"/>
      <w:szCs w:val="16"/>
    </w:rPr>
  </w:style>
  <w:style w:type="paragraph" w:customStyle="1" w:styleId="TableParagraph">
    <w:name w:val="Table Paragraph"/>
    <w:basedOn w:val="Normal"/>
    <w:uiPriority w:val="5"/>
    <w:qFormat/>
    <w:rsid w:val="00432289"/>
    <w:pPr>
      <w:spacing w:before="60" w:after="60" w:line="240" w:lineRule="auto"/>
      <w:jc w:val="left"/>
    </w:pPr>
    <w:rPr>
      <w:color w:val="000000"/>
      <w:sz w:val="18"/>
      <w:szCs w:val="16"/>
    </w:rPr>
  </w:style>
  <w:style w:type="character" w:styleId="Textodelmarcadordeposicin">
    <w:name w:val="Placeholder Text"/>
    <w:basedOn w:val="Fuentedeprrafopredeter"/>
    <w:uiPriority w:val="99"/>
    <w:semiHidden/>
    <w:rsid w:val="00432289"/>
    <w:rPr>
      <w:color w:val="808080"/>
    </w:rPr>
  </w:style>
  <w:style w:type="paragraph" w:customStyle="1" w:styleId="NumberedParagraph">
    <w:name w:val="Numbered Paragraph"/>
    <w:basedOn w:val="Normal"/>
    <w:link w:val="NumberedParagraphChar"/>
    <w:uiPriority w:val="1"/>
    <w:rsid w:val="00F902DD"/>
    <w:pPr>
      <w:numPr>
        <w:numId w:val="1"/>
      </w:numPr>
    </w:pPr>
  </w:style>
  <w:style w:type="character" w:customStyle="1" w:styleId="ListaconnmerosCar">
    <w:name w:val="Lista con números Car"/>
    <w:basedOn w:val="Fuentedeprrafopredeter"/>
    <w:link w:val="Listaconnmeros"/>
    <w:uiPriority w:val="4"/>
    <w:rsid w:val="00432289"/>
    <w:rPr>
      <w:sz w:val="20"/>
    </w:rPr>
  </w:style>
  <w:style w:type="character" w:customStyle="1" w:styleId="NumberedParagraphChar">
    <w:name w:val="Numbered Paragraph Char"/>
    <w:basedOn w:val="Fuentedeprrafopredeter"/>
    <w:link w:val="NumberedParagraph"/>
    <w:uiPriority w:val="1"/>
    <w:rsid w:val="00F902DD"/>
    <w:rPr>
      <w:sz w:val="20"/>
      <w:lang w:val="es-ES"/>
    </w:rPr>
  </w:style>
  <w:style w:type="table" w:customStyle="1" w:styleId="Axon">
    <w:name w:val="Axon"/>
    <w:basedOn w:val="Tablanormal"/>
    <w:uiPriority w:val="99"/>
    <w:rsid w:val="0006401D"/>
    <w:pPr>
      <w:spacing w:after="0" w:line="240" w:lineRule="auto"/>
    </w:pPr>
    <w:rPr>
      <w:rFonts w:eastAsia="Calibri" w:cs="Times New Roman"/>
      <w:sz w:val="20"/>
      <w:szCs w:val="20"/>
      <w:lang w:val="en-US"/>
    </w:rPr>
    <w:tblPr>
      <w:tblBorders>
        <w:bottom w:val="single" w:sz="4" w:space="0" w:color="0C2749" w:themeColor="text1"/>
        <w:insideH w:val="single" w:sz="4" w:space="0" w:color="0C2749" w:themeColor="text1"/>
      </w:tblBorders>
    </w:tblPr>
    <w:trPr>
      <w:cantSplit/>
    </w:trPr>
    <w:tcPr>
      <w:vAlign w:val="center"/>
    </w:tcPr>
    <w:tblStylePr w:type="firstRow">
      <w:pPr>
        <w:pageBreakBefore w:val="0"/>
        <w:wordWrap/>
        <w:spacing w:beforeLines="0" w:before="0" w:beforeAutospacing="0" w:afterLines="0" w:after="0" w:afterAutospacing="0" w:line="240" w:lineRule="auto"/>
        <w:jc w:val="left"/>
      </w:pPr>
      <w:rPr>
        <w:rFonts w:asciiTheme="minorHAnsi" w:hAnsiTheme="minorHAnsi"/>
        <w:b/>
        <w:sz w:val="20"/>
      </w:rPr>
      <w:tblPr/>
      <w:tcPr>
        <w:tcBorders>
          <w:insideH w:val="single" w:sz="4" w:space="0" w:color="FFFFFF" w:themeColor="background1"/>
          <w:insideV w:val="single" w:sz="4" w:space="0" w:color="FFFFFF" w:themeColor="background1"/>
        </w:tcBorders>
        <w:shd w:val="clear" w:color="auto" w:fill="0C2749" w:themeFill="text1"/>
      </w:tcPr>
    </w:tblStylePr>
    <w:tblStylePr w:type="lastRow">
      <w:rPr>
        <w:b/>
      </w:rPr>
      <w:tblPr/>
      <w:tcPr>
        <w:tcBorders>
          <w:top w:val="double" w:sz="4" w:space="0" w:color="0C2749" w:themeColor="text1"/>
        </w:tcBorders>
      </w:tcPr>
    </w:tblStylePr>
    <w:tblStylePr w:type="firstCol">
      <w:rPr>
        <w:rFonts w:asciiTheme="minorHAnsi" w:hAnsiTheme="minorHAnsi"/>
        <w:sz w:val="18"/>
      </w:rPr>
    </w:tblStylePr>
    <w:tblStylePr w:type="lastCol">
      <w:rPr>
        <w:rFonts w:asciiTheme="minorHAnsi" w:hAnsiTheme="minorHAnsi"/>
        <w:sz w:val="20"/>
      </w:rPr>
    </w:tblStylePr>
  </w:style>
  <w:style w:type="paragraph" w:customStyle="1" w:styleId="ListRomans">
    <w:name w:val="List Romans"/>
    <w:basedOn w:val="Normal"/>
    <w:link w:val="ListRomansChar"/>
    <w:uiPriority w:val="5"/>
    <w:qFormat/>
    <w:rsid w:val="00432289"/>
    <w:pPr>
      <w:numPr>
        <w:numId w:val="6"/>
      </w:numPr>
      <w:spacing w:before="120" w:after="120"/>
    </w:pPr>
  </w:style>
  <w:style w:type="paragraph" w:customStyle="1" w:styleId="ListAlphabet">
    <w:name w:val="List Alphabet"/>
    <w:basedOn w:val="Normal"/>
    <w:link w:val="ListAlphabetChar"/>
    <w:uiPriority w:val="5"/>
    <w:qFormat/>
    <w:rsid w:val="002E7A00"/>
    <w:pPr>
      <w:numPr>
        <w:numId w:val="7"/>
      </w:numPr>
      <w:spacing w:before="120" w:after="120"/>
    </w:pPr>
  </w:style>
  <w:style w:type="character" w:customStyle="1" w:styleId="ListRomansChar">
    <w:name w:val="List Romans Char"/>
    <w:basedOn w:val="Fuentedeprrafopredeter"/>
    <w:link w:val="ListRomans"/>
    <w:uiPriority w:val="5"/>
    <w:rsid w:val="00432289"/>
    <w:rPr>
      <w:sz w:val="20"/>
    </w:rPr>
  </w:style>
  <w:style w:type="character" w:customStyle="1" w:styleId="ListAlphabetChar">
    <w:name w:val="List Alphabet Char"/>
    <w:basedOn w:val="Fuentedeprrafopredeter"/>
    <w:link w:val="ListAlphabet"/>
    <w:uiPriority w:val="5"/>
    <w:rsid w:val="002E7A00"/>
    <w:rPr>
      <w:sz w:val="20"/>
    </w:rPr>
  </w:style>
  <w:style w:type="character" w:styleId="Nmerodelnea">
    <w:name w:val="line number"/>
    <w:basedOn w:val="Fuentedeprrafopredeter"/>
    <w:uiPriority w:val="99"/>
    <w:semiHidden/>
    <w:unhideWhenUsed/>
    <w:rsid w:val="00432289"/>
  </w:style>
  <w:style w:type="paragraph" w:customStyle="1" w:styleId="Annex1">
    <w:name w:val="Annex 1"/>
    <w:basedOn w:val="Ttulo1"/>
    <w:next w:val="Normal"/>
    <w:link w:val="Annex1Char"/>
    <w:uiPriority w:val="99"/>
    <w:qFormat/>
    <w:rsid w:val="007F162F"/>
    <w:pPr>
      <w:numPr>
        <w:numId w:val="11"/>
      </w:numPr>
    </w:pPr>
  </w:style>
  <w:style w:type="paragraph" w:customStyle="1" w:styleId="Annex2">
    <w:name w:val="Annex 2"/>
    <w:basedOn w:val="Annex1"/>
    <w:next w:val="Normal"/>
    <w:link w:val="Annex2Char"/>
    <w:uiPriority w:val="99"/>
    <w:qFormat/>
    <w:rsid w:val="007F162F"/>
    <w:pPr>
      <w:pageBreakBefore w:val="0"/>
      <w:numPr>
        <w:ilvl w:val="1"/>
      </w:numPr>
    </w:pPr>
    <w:rPr>
      <w:sz w:val="28"/>
    </w:rPr>
  </w:style>
  <w:style w:type="character" w:customStyle="1" w:styleId="Annex1Char">
    <w:name w:val="Annex 1 Char"/>
    <w:basedOn w:val="Ttulo1Car"/>
    <w:link w:val="Annex1"/>
    <w:uiPriority w:val="99"/>
    <w:rsid w:val="007F162F"/>
    <w:rPr>
      <w:rFonts w:asciiTheme="majorHAnsi" w:eastAsiaTheme="majorEastAsia" w:hAnsiTheme="majorHAnsi" w:cstheme="majorBidi"/>
      <w:b/>
      <w:color w:val="0C2749" w:themeColor="text1"/>
      <w:sz w:val="36"/>
      <w:szCs w:val="32"/>
      <w:lang w:val="es-ES"/>
    </w:rPr>
  </w:style>
  <w:style w:type="character" w:customStyle="1" w:styleId="Annex2Char">
    <w:name w:val="Annex 2 Char"/>
    <w:basedOn w:val="Annex1Char"/>
    <w:link w:val="Annex2"/>
    <w:uiPriority w:val="99"/>
    <w:rsid w:val="007F162F"/>
    <w:rPr>
      <w:rFonts w:asciiTheme="majorHAnsi" w:eastAsiaTheme="majorEastAsia" w:hAnsiTheme="majorHAnsi" w:cstheme="majorBidi"/>
      <w:b/>
      <w:color w:val="0C2749" w:themeColor="text1"/>
      <w:sz w:val="28"/>
      <w:szCs w:val="32"/>
      <w:lang w:val="es-ES"/>
    </w:rPr>
  </w:style>
  <w:style w:type="paragraph" w:customStyle="1" w:styleId="Annex3">
    <w:name w:val="Annex 3"/>
    <w:basedOn w:val="Annex2"/>
    <w:next w:val="Normal"/>
    <w:link w:val="Annex3Char"/>
    <w:uiPriority w:val="99"/>
    <w:qFormat/>
    <w:rsid w:val="007F162F"/>
    <w:pPr>
      <w:numPr>
        <w:ilvl w:val="2"/>
        <w:numId w:val="8"/>
      </w:numPr>
      <w:ind w:left="0" w:firstLine="0"/>
      <w:jc w:val="left"/>
    </w:pPr>
    <w:rPr>
      <w:sz w:val="24"/>
    </w:rPr>
  </w:style>
  <w:style w:type="character" w:customStyle="1" w:styleId="Annex3Char">
    <w:name w:val="Annex 3 Char"/>
    <w:basedOn w:val="Annex2Char"/>
    <w:link w:val="Annex3"/>
    <w:uiPriority w:val="99"/>
    <w:rsid w:val="007F162F"/>
    <w:rPr>
      <w:rFonts w:asciiTheme="majorHAnsi" w:eastAsiaTheme="majorEastAsia" w:hAnsiTheme="majorHAnsi" w:cstheme="majorBidi"/>
      <w:b/>
      <w:color w:val="0C2749" w:themeColor="text1"/>
      <w:sz w:val="24"/>
      <w:szCs w:val="32"/>
      <w:lang w:val="es-ES"/>
    </w:rPr>
  </w:style>
  <w:style w:type="table" w:styleId="Tablanormal2">
    <w:name w:val="Plain Table 2"/>
    <w:basedOn w:val="Tablanormal"/>
    <w:uiPriority w:val="42"/>
    <w:rsid w:val="00432289"/>
    <w:pPr>
      <w:spacing w:after="0" w:line="240" w:lineRule="auto"/>
    </w:pPr>
    <w:tblPr>
      <w:tblStyleRowBandSize w:val="1"/>
      <w:tblStyleColBandSize w:val="1"/>
      <w:tblBorders>
        <w:top w:val="single" w:sz="4" w:space="0" w:color="478BE1" w:themeColor="text1" w:themeTint="80"/>
        <w:bottom w:val="single" w:sz="4" w:space="0" w:color="478BE1" w:themeColor="text1" w:themeTint="80"/>
      </w:tblBorders>
    </w:tblPr>
    <w:tblStylePr w:type="firstRow">
      <w:rPr>
        <w:b/>
        <w:bCs/>
      </w:rPr>
      <w:tblPr/>
      <w:tcPr>
        <w:tcBorders>
          <w:bottom w:val="single" w:sz="4" w:space="0" w:color="478BE1" w:themeColor="text1" w:themeTint="80"/>
        </w:tcBorders>
      </w:tcPr>
    </w:tblStylePr>
    <w:tblStylePr w:type="lastRow">
      <w:rPr>
        <w:b/>
        <w:bCs/>
      </w:rPr>
      <w:tblPr/>
      <w:tcPr>
        <w:tcBorders>
          <w:top w:val="single" w:sz="4" w:space="0" w:color="478BE1" w:themeColor="text1" w:themeTint="80"/>
        </w:tcBorders>
      </w:tcPr>
    </w:tblStylePr>
    <w:tblStylePr w:type="firstCol">
      <w:rPr>
        <w:b/>
        <w:bCs/>
      </w:rPr>
    </w:tblStylePr>
    <w:tblStylePr w:type="lastCol">
      <w:rPr>
        <w:b/>
        <w:bCs/>
      </w:rPr>
    </w:tblStylePr>
    <w:tblStylePr w:type="band1Vert">
      <w:tblPr/>
      <w:tcPr>
        <w:tcBorders>
          <w:left w:val="single" w:sz="4" w:space="0" w:color="478BE1" w:themeColor="text1" w:themeTint="80"/>
          <w:right w:val="single" w:sz="4" w:space="0" w:color="478BE1" w:themeColor="text1" w:themeTint="80"/>
        </w:tcBorders>
      </w:tcPr>
    </w:tblStylePr>
    <w:tblStylePr w:type="band2Vert">
      <w:tblPr/>
      <w:tcPr>
        <w:tcBorders>
          <w:left w:val="single" w:sz="4" w:space="0" w:color="478BE1" w:themeColor="text1" w:themeTint="80"/>
          <w:right w:val="single" w:sz="4" w:space="0" w:color="478BE1" w:themeColor="text1" w:themeTint="80"/>
        </w:tcBorders>
      </w:tcPr>
    </w:tblStylePr>
    <w:tblStylePr w:type="band1Horz">
      <w:tblPr/>
      <w:tcPr>
        <w:tcBorders>
          <w:top w:val="single" w:sz="4" w:space="0" w:color="478BE1" w:themeColor="text1" w:themeTint="80"/>
          <w:bottom w:val="single" w:sz="4" w:space="0" w:color="478BE1" w:themeColor="text1" w:themeTint="80"/>
        </w:tcBorders>
      </w:tcPr>
    </w:tblStylePr>
  </w:style>
  <w:style w:type="character" w:customStyle="1" w:styleId="TableListBulletChar">
    <w:name w:val="Table List Bullet Char"/>
    <w:basedOn w:val="Fuentedeprrafopredeter"/>
    <w:link w:val="TableListBullet"/>
    <w:uiPriority w:val="6"/>
    <w:rsid w:val="00D418B3"/>
    <w:rPr>
      <w:sz w:val="18"/>
      <w:szCs w:val="16"/>
    </w:rPr>
  </w:style>
  <w:style w:type="character" w:customStyle="1" w:styleId="DescripcinCar">
    <w:name w:val="Descripción Car"/>
    <w:aliases w:val="Gráfico Car,Tabla1 Car,Tabla1+verde azulado Car,Epígrafe1 Car"/>
    <w:basedOn w:val="Fuentedeprrafopredeter"/>
    <w:link w:val="Descripcin"/>
    <w:uiPriority w:val="35"/>
    <w:rsid w:val="00E92D59"/>
    <w:rPr>
      <w:b/>
      <w:iCs/>
      <w:sz w:val="16"/>
      <w:szCs w:val="18"/>
    </w:rPr>
  </w:style>
  <w:style w:type="paragraph" w:customStyle="1" w:styleId="Tableheading0">
    <w:name w:val="Table: heading"/>
    <w:basedOn w:val="Normal"/>
    <w:rsid w:val="00E92D59"/>
    <w:pPr>
      <w:spacing w:before="60" w:after="60" w:line="240" w:lineRule="auto"/>
      <w:jc w:val="center"/>
    </w:pPr>
    <w:rPr>
      <w:rFonts w:ascii="Verdana" w:eastAsia="Times New Roman" w:hAnsi="Verdana" w:cs="Times New Roman"/>
      <w:b/>
      <w:color w:val="FFFFFF" w:themeColor="background1"/>
      <w:sz w:val="16"/>
      <w:szCs w:val="24"/>
      <w:lang w:val="es-ES_tradnl" w:eastAsia="es-ES"/>
    </w:rPr>
  </w:style>
  <w:style w:type="paragraph" w:customStyle="1" w:styleId="Indentado2">
    <w:name w:val="Indentado 2"/>
    <w:basedOn w:val="Normal"/>
    <w:uiPriority w:val="99"/>
    <w:rsid w:val="00E92D59"/>
    <w:pPr>
      <w:numPr>
        <w:numId w:val="12"/>
      </w:numPr>
      <w:spacing w:before="0" w:after="0" w:line="336" w:lineRule="auto"/>
    </w:pPr>
    <w:rPr>
      <w:rFonts w:ascii="Verdana" w:eastAsia="Times New Roman" w:hAnsi="Verdana" w:cs="Times New Roman"/>
      <w:szCs w:val="24"/>
      <w:lang w:val="es-ES_tradnl" w:eastAsia="es-ES"/>
    </w:rPr>
  </w:style>
  <w:style w:type="paragraph" w:customStyle="1" w:styleId="Indentado1">
    <w:name w:val="Indentado 1"/>
    <w:basedOn w:val="Normal"/>
    <w:link w:val="Indentado1Car"/>
    <w:autoRedefine/>
    <w:rsid w:val="00E92D59"/>
    <w:pPr>
      <w:numPr>
        <w:numId w:val="13"/>
      </w:numPr>
      <w:spacing w:before="0" w:after="60" w:line="336" w:lineRule="auto"/>
      <w:ind w:left="709"/>
    </w:pPr>
    <w:rPr>
      <w:rFonts w:ascii="Verdana" w:eastAsia="Times New Roman" w:hAnsi="Verdana" w:cs="Times New Roman"/>
      <w:szCs w:val="24"/>
      <w:lang w:val="es-ES_tradnl" w:eastAsia="es-ES"/>
    </w:rPr>
  </w:style>
  <w:style w:type="paragraph" w:customStyle="1" w:styleId="Bullet1">
    <w:name w:val="Bullet 1"/>
    <w:basedOn w:val="Indentado1"/>
    <w:link w:val="Bullet1Char"/>
    <w:autoRedefine/>
    <w:qFormat/>
    <w:rsid w:val="00A01A39"/>
    <w:pPr>
      <w:numPr>
        <w:numId w:val="33"/>
      </w:numPr>
      <w:tabs>
        <w:tab w:val="left" w:pos="3686"/>
      </w:tabs>
      <w:spacing w:after="120" w:line="360" w:lineRule="auto"/>
    </w:pPr>
    <w:rPr>
      <w:rFonts w:asciiTheme="minorHAnsi" w:eastAsiaTheme="minorHAnsi" w:hAnsiTheme="minorHAnsi" w:cstheme="minorBidi"/>
      <w:szCs w:val="22"/>
      <w:lang w:val="es-ES" w:eastAsia="en-US"/>
    </w:rPr>
  </w:style>
  <w:style w:type="paragraph" w:customStyle="1" w:styleId="Tablecells">
    <w:name w:val="Table: cells"/>
    <w:qFormat/>
    <w:rsid w:val="00E92D59"/>
    <w:pPr>
      <w:spacing w:before="40" w:after="40" w:line="240" w:lineRule="auto"/>
      <w:jc w:val="center"/>
    </w:pPr>
    <w:rPr>
      <w:sz w:val="16"/>
      <w:lang w:val="es-ES"/>
    </w:rPr>
  </w:style>
  <w:style w:type="paragraph" w:customStyle="1" w:styleId="Bullet4">
    <w:name w:val="Bullet 4"/>
    <w:basedOn w:val="Listaconvietas3"/>
    <w:rsid w:val="00E92D59"/>
    <w:pPr>
      <w:numPr>
        <w:ilvl w:val="0"/>
        <w:numId w:val="0"/>
      </w:numPr>
      <w:spacing w:after="60" w:line="336" w:lineRule="auto"/>
      <w:ind w:left="1474" w:hanging="453"/>
      <w:contextualSpacing/>
    </w:pPr>
    <w:rPr>
      <w:rFonts w:ascii="Verdana" w:eastAsia="Calibri" w:hAnsi="Verdana" w:cs="Times New Roman"/>
      <w:szCs w:val="32"/>
      <w:lang w:eastAsia="es-ES"/>
    </w:rPr>
  </w:style>
  <w:style w:type="character" w:styleId="Mencionar">
    <w:name w:val="Mention"/>
    <w:basedOn w:val="Fuentedeprrafopredeter"/>
    <w:uiPriority w:val="99"/>
    <w:unhideWhenUsed/>
    <w:rsid w:val="00E92D59"/>
    <w:rPr>
      <w:color w:val="2B579A"/>
      <w:shd w:val="clear" w:color="auto" w:fill="E1DFDD"/>
    </w:rPr>
  </w:style>
  <w:style w:type="paragraph" w:styleId="NormalWeb">
    <w:name w:val="Normal (Web)"/>
    <w:basedOn w:val="Normal"/>
    <w:uiPriority w:val="99"/>
    <w:unhideWhenUsed/>
    <w:rsid w:val="00F5514D"/>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customStyle="1" w:styleId="Indentado1Car">
    <w:name w:val="Indentado 1 Car"/>
    <w:link w:val="Indentado1"/>
    <w:rsid w:val="003B7DC5"/>
    <w:rPr>
      <w:rFonts w:ascii="Verdana" w:eastAsia="Times New Roman" w:hAnsi="Verdana" w:cs="Times New Roman"/>
      <w:sz w:val="20"/>
      <w:szCs w:val="24"/>
      <w:lang w:val="es-ES_tradnl" w:eastAsia="es-ES"/>
    </w:rPr>
  </w:style>
  <w:style w:type="paragraph" w:customStyle="1" w:styleId="Update">
    <w:name w:val="Update"/>
    <w:basedOn w:val="Normal"/>
    <w:link w:val="UpdateChar"/>
    <w:qFormat/>
    <w:rsid w:val="00637050"/>
    <w:pPr>
      <w:numPr>
        <w:numId w:val="19"/>
      </w:numPr>
      <w:pBdr>
        <w:top w:val="double" w:sz="4" w:space="1" w:color="0C2749" w:themeColor="accent1"/>
        <w:left w:val="double" w:sz="4" w:space="4" w:color="0C2749" w:themeColor="accent1"/>
        <w:bottom w:val="double" w:sz="4" w:space="0" w:color="0C2749" w:themeColor="accent1"/>
        <w:right w:val="double" w:sz="4" w:space="4" w:color="0C2749" w:themeColor="accent1"/>
      </w:pBdr>
      <w:spacing w:line="336" w:lineRule="auto"/>
    </w:pPr>
    <w:rPr>
      <w:rFonts w:ascii="Verdana" w:eastAsia="Times New Roman" w:hAnsi="Verdana" w:cs="Times New Roman"/>
      <w:b/>
      <w:color w:val="0C2749" w:themeColor="accent1"/>
      <w:szCs w:val="24"/>
      <w:lang w:val="en-GB" w:eastAsia="es-ES"/>
    </w:rPr>
  </w:style>
  <w:style w:type="character" w:customStyle="1" w:styleId="UpdateChar">
    <w:name w:val="Update Char"/>
    <w:basedOn w:val="Fuentedeprrafopredeter"/>
    <w:link w:val="Update"/>
    <w:rsid w:val="00637050"/>
    <w:rPr>
      <w:rFonts w:ascii="Verdana" w:eastAsia="Times New Roman" w:hAnsi="Verdana" w:cs="Times New Roman"/>
      <w:b/>
      <w:color w:val="0C2749" w:themeColor="accent1"/>
      <w:sz w:val="20"/>
      <w:szCs w:val="24"/>
      <w:lang w:eastAsia="es-ES"/>
    </w:rPr>
  </w:style>
  <w:style w:type="paragraph" w:styleId="Revisin">
    <w:name w:val="Revision"/>
    <w:hidden/>
    <w:uiPriority w:val="99"/>
    <w:semiHidden/>
    <w:rsid w:val="00FC6FFA"/>
    <w:pPr>
      <w:spacing w:after="0" w:line="240" w:lineRule="auto"/>
    </w:pPr>
    <w:rPr>
      <w:sz w:val="20"/>
      <w:lang w:val="es-ES"/>
    </w:rPr>
  </w:style>
  <w:style w:type="character" w:styleId="Hipervnculovisitado">
    <w:name w:val="FollowedHyperlink"/>
    <w:basedOn w:val="Fuentedeprrafopredeter"/>
    <w:uiPriority w:val="99"/>
    <w:semiHidden/>
    <w:unhideWhenUsed/>
    <w:rsid w:val="004F178B"/>
    <w:rPr>
      <w:color w:val="800080" w:themeColor="followedHyperlink"/>
      <w:u w:val="single"/>
    </w:rPr>
  </w:style>
  <w:style w:type="paragraph" w:styleId="Textodeglobo">
    <w:name w:val="Balloon Text"/>
    <w:basedOn w:val="Normal"/>
    <w:link w:val="TextodegloboCar"/>
    <w:uiPriority w:val="99"/>
    <w:semiHidden/>
    <w:unhideWhenUsed/>
    <w:rsid w:val="00574F0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F0E"/>
    <w:rPr>
      <w:rFonts w:ascii="Segoe UI" w:hAnsi="Segoe UI" w:cs="Segoe UI"/>
      <w:sz w:val="18"/>
      <w:szCs w:val="18"/>
      <w:lang w:val="es-ES"/>
    </w:rPr>
  </w:style>
  <w:style w:type="character" w:styleId="Mencinsinresolver">
    <w:name w:val="Unresolved Mention"/>
    <w:basedOn w:val="Fuentedeprrafopredeter"/>
    <w:uiPriority w:val="99"/>
    <w:semiHidden/>
    <w:unhideWhenUsed/>
    <w:rsid w:val="00484468"/>
    <w:rPr>
      <w:color w:val="605E5C"/>
      <w:shd w:val="clear" w:color="auto" w:fill="E1DFDD"/>
    </w:rPr>
  </w:style>
  <w:style w:type="paragraph" w:customStyle="1" w:styleId="Recommendation">
    <w:name w:val="Recommendation"/>
    <w:basedOn w:val="Normal"/>
    <w:link w:val="RecommendationChar"/>
    <w:qFormat/>
    <w:rsid w:val="000B0832"/>
    <w:pPr>
      <w:pBdr>
        <w:top w:val="double" w:sz="4" w:space="1" w:color="0C2749" w:themeColor="accent1"/>
        <w:left w:val="double" w:sz="4" w:space="4" w:color="0C2749" w:themeColor="accent1"/>
        <w:bottom w:val="double" w:sz="4" w:space="0" w:color="0C2749" w:themeColor="accent1"/>
        <w:right w:val="double" w:sz="4" w:space="4" w:color="0C2749" w:themeColor="accent1"/>
      </w:pBdr>
      <w:spacing w:line="336" w:lineRule="auto"/>
    </w:pPr>
    <w:rPr>
      <w:rFonts w:ascii="Verdana" w:eastAsia="Times New Roman" w:hAnsi="Verdana" w:cs="Times New Roman"/>
      <w:b/>
      <w:color w:val="0C2749" w:themeColor="accent1"/>
      <w:szCs w:val="24"/>
      <w:lang w:val="en-GB" w:eastAsia="es-ES"/>
    </w:rPr>
  </w:style>
  <w:style w:type="character" w:customStyle="1" w:styleId="RecommendationChar">
    <w:name w:val="Recommendation Char"/>
    <w:basedOn w:val="Fuentedeprrafopredeter"/>
    <w:link w:val="Recommendation"/>
    <w:rsid w:val="000B0832"/>
    <w:rPr>
      <w:rFonts w:ascii="Verdana" w:eastAsia="Times New Roman" w:hAnsi="Verdana" w:cs="Times New Roman"/>
      <w:b/>
      <w:color w:val="0C2749" w:themeColor="accent1"/>
      <w:sz w:val="20"/>
      <w:szCs w:val="24"/>
      <w:lang w:eastAsia="es-ES"/>
    </w:rPr>
  </w:style>
  <w:style w:type="table" w:styleId="Tablanormal1">
    <w:name w:val="Plain Table 1"/>
    <w:basedOn w:val="Tablanormal"/>
    <w:uiPriority w:val="41"/>
    <w:rsid w:val="006712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806">
      <w:bodyDiv w:val="1"/>
      <w:marLeft w:val="0"/>
      <w:marRight w:val="0"/>
      <w:marTop w:val="0"/>
      <w:marBottom w:val="0"/>
      <w:divBdr>
        <w:top w:val="none" w:sz="0" w:space="0" w:color="auto"/>
        <w:left w:val="none" w:sz="0" w:space="0" w:color="auto"/>
        <w:bottom w:val="none" w:sz="0" w:space="0" w:color="auto"/>
        <w:right w:val="none" w:sz="0" w:space="0" w:color="auto"/>
      </w:divBdr>
    </w:div>
    <w:div w:id="201599718">
      <w:bodyDiv w:val="1"/>
      <w:marLeft w:val="0"/>
      <w:marRight w:val="0"/>
      <w:marTop w:val="0"/>
      <w:marBottom w:val="0"/>
      <w:divBdr>
        <w:top w:val="none" w:sz="0" w:space="0" w:color="auto"/>
        <w:left w:val="none" w:sz="0" w:space="0" w:color="auto"/>
        <w:bottom w:val="none" w:sz="0" w:space="0" w:color="auto"/>
        <w:right w:val="none" w:sz="0" w:space="0" w:color="auto"/>
      </w:divBdr>
    </w:div>
    <w:div w:id="477840342">
      <w:bodyDiv w:val="1"/>
      <w:marLeft w:val="0"/>
      <w:marRight w:val="0"/>
      <w:marTop w:val="0"/>
      <w:marBottom w:val="0"/>
      <w:divBdr>
        <w:top w:val="none" w:sz="0" w:space="0" w:color="auto"/>
        <w:left w:val="none" w:sz="0" w:space="0" w:color="auto"/>
        <w:bottom w:val="none" w:sz="0" w:space="0" w:color="auto"/>
        <w:right w:val="none" w:sz="0" w:space="0" w:color="auto"/>
      </w:divBdr>
    </w:div>
    <w:div w:id="539784228">
      <w:bodyDiv w:val="1"/>
      <w:marLeft w:val="0"/>
      <w:marRight w:val="0"/>
      <w:marTop w:val="0"/>
      <w:marBottom w:val="0"/>
      <w:divBdr>
        <w:top w:val="none" w:sz="0" w:space="0" w:color="auto"/>
        <w:left w:val="none" w:sz="0" w:space="0" w:color="auto"/>
        <w:bottom w:val="none" w:sz="0" w:space="0" w:color="auto"/>
        <w:right w:val="none" w:sz="0" w:space="0" w:color="auto"/>
      </w:divBdr>
    </w:div>
    <w:div w:id="600452703">
      <w:bodyDiv w:val="1"/>
      <w:marLeft w:val="0"/>
      <w:marRight w:val="0"/>
      <w:marTop w:val="0"/>
      <w:marBottom w:val="0"/>
      <w:divBdr>
        <w:top w:val="none" w:sz="0" w:space="0" w:color="auto"/>
        <w:left w:val="none" w:sz="0" w:space="0" w:color="auto"/>
        <w:bottom w:val="none" w:sz="0" w:space="0" w:color="auto"/>
        <w:right w:val="none" w:sz="0" w:space="0" w:color="auto"/>
      </w:divBdr>
    </w:div>
    <w:div w:id="705367986">
      <w:bodyDiv w:val="1"/>
      <w:marLeft w:val="0"/>
      <w:marRight w:val="0"/>
      <w:marTop w:val="0"/>
      <w:marBottom w:val="0"/>
      <w:divBdr>
        <w:top w:val="none" w:sz="0" w:space="0" w:color="auto"/>
        <w:left w:val="none" w:sz="0" w:space="0" w:color="auto"/>
        <w:bottom w:val="none" w:sz="0" w:space="0" w:color="auto"/>
        <w:right w:val="none" w:sz="0" w:space="0" w:color="auto"/>
      </w:divBdr>
    </w:div>
    <w:div w:id="843519718">
      <w:bodyDiv w:val="1"/>
      <w:marLeft w:val="0"/>
      <w:marRight w:val="0"/>
      <w:marTop w:val="0"/>
      <w:marBottom w:val="0"/>
      <w:divBdr>
        <w:top w:val="none" w:sz="0" w:space="0" w:color="auto"/>
        <w:left w:val="none" w:sz="0" w:space="0" w:color="auto"/>
        <w:bottom w:val="none" w:sz="0" w:space="0" w:color="auto"/>
        <w:right w:val="none" w:sz="0" w:space="0" w:color="auto"/>
      </w:divBdr>
    </w:div>
    <w:div w:id="846100081">
      <w:bodyDiv w:val="1"/>
      <w:marLeft w:val="0"/>
      <w:marRight w:val="0"/>
      <w:marTop w:val="0"/>
      <w:marBottom w:val="0"/>
      <w:divBdr>
        <w:top w:val="none" w:sz="0" w:space="0" w:color="auto"/>
        <w:left w:val="none" w:sz="0" w:space="0" w:color="auto"/>
        <w:bottom w:val="none" w:sz="0" w:space="0" w:color="auto"/>
        <w:right w:val="none" w:sz="0" w:space="0" w:color="auto"/>
      </w:divBdr>
    </w:div>
    <w:div w:id="925576825">
      <w:bodyDiv w:val="1"/>
      <w:marLeft w:val="0"/>
      <w:marRight w:val="0"/>
      <w:marTop w:val="0"/>
      <w:marBottom w:val="0"/>
      <w:divBdr>
        <w:top w:val="none" w:sz="0" w:space="0" w:color="auto"/>
        <w:left w:val="none" w:sz="0" w:space="0" w:color="auto"/>
        <w:bottom w:val="none" w:sz="0" w:space="0" w:color="auto"/>
        <w:right w:val="none" w:sz="0" w:space="0" w:color="auto"/>
      </w:divBdr>
    </w:div>
    <w:div w:id="1026370013">
      <w:bodyDiv w:val="1"/>
      <w:marLeft w:val="0"/>
      <w:marRight w:val="0"/>
      <w:marTop w:val="0"/>
      <w:marBottom w:val="0"/>
      <w:divBdr>
        <w:top w:val="none" w:sz="0" w:space="0" w:color="auto"/>
        <w:left w:val="none" w:sz="0" w:space="0" w:color="auto"/>
        <w:bottom w:val="none" w:sz="0" w:space="0" w:color="auto"/>
        <w:right w:val="none" w:sz="0" w:space="0" w:color="auto"/>
      </w:divBdr>
    </w:div>
    <w:div w:id="1075978067">
      <w:bodyDiv w:val="1"/>
      <w:marLeft w:val="0"/>
      <w:marRight w:val="0"/>
      <w:marTop w:val="0"/>
      <w:marBottom w:val="0"/>
      <w:divBdr>
        <w:top w:val="none" w:sz="0" w:space="0" w:color="auto"/>
        <w:left w:val="none" w:sz="0" w:space="0" w:color="auto"/>
        <w:bottom w:val="none" w:sz="0" w:space="0" w:color="auto"/>
        <w:right w:val="none" w:sz="0" w:space="0" w:color="auto"/>
      </w:divBdr>
    </w:div>
    <w:div w:id="1307322402">
      <w:bodyDiv w:val="1"/>
      <w:marLeft w:val="0"/>
      <w:marRight w:val="0"/>
      <w:marTop w:val="0"/>
      <w:marBottom w:val="0"/>
      <w:divBdr>
        <w:top w:val="none" w:sz="0" w:space="0" w:color="auto"/>
        <w:left w:val="none" w:sz="0" w:space="0" w:color="auto"/>
        <w:bottom w:val="none" w:sz="0" w:space="0" w:color="auto"/>
        <w:right w:val="none" w:sz="0" w:space="0" w:color="auto"/>
      </w:divBdr>
    </w:div>
    <w:div w:id="1492791508">
      <w:bodyDiv w:val="1"/>
      <w:marLeft w:val="0"/>
      <w:marRight w:val="0"/>
      <w:marTop w:val="0"/>
      <w:marBottom w:val="0"/>
      <w:divBdr>
        <w:top w:val="none" w:sz="0" w:space="0" w:color="auto"/>
        <w:left w:val="none" w:sz="0" w:space="0" w:color="auto"/>
        <w:bottom w:val="none" w:sz="0" w:space="0" w:color="auto"/>
        <w:right w:val="none" w:sz="0" w:space="0" w:color="auto"/>
      </w:divBdr>
    </w:div>
    <w:div w:id="1539967796">
      <w:bodyDiv w:val="1"/>
      <w:marLeft w:val="0"/>
      <w:marRight w:val="0"/>
      <w:marTop w:val="0"/>
      <w:marBottom w:val="0"/>
      <w:divBdr>
        <w:top w:val="none" w:sz="0" w:space="0" w:color="auto"/>
        <w:left w:val="none" w:sz="0" w:space="0" w:color="auto"/>
        <w:bottom w:val="none" w:sz="0" w:space="0" w:color="auto"/>
        <w:right w:val="none" w:sz="0" w:space="0" w:color="auto"/>
      </w:divBdr>
    </w:div>
    <w:div w:id="1798520683">
      <w:bodyDiv w:val="1"/>
      <w:marLeft w:val="0"/>
      <w:marRight w:val="0"/>
      <w:marTop w:val="0"/>
      <w:marBottom w:val="0"/>
      <w:divBdr>
        <w:top w:val="none" w:sz="0" w:space="0" w:color="auto"/>
        <w:left w:val="none" w:sz="0" w:space="0" w:color="auto"/>
        <w:bottom w:val="none" w:sz="0" w:space="0" w:color="auto"/>
        <w:right w:val="none" w:sz="0" w:space="0" w:color="auto"/>
      </w:divBdr>
    </w:div>
    <w:div w:id="2054885239">
      <w:bodyDiv w:val="1"/>
      <w:marLeft w:val="0"/>
      <w:marRight w:val="0"/>
      <w:marTop w:val="0"/>
      <w:marBottom w:val="0"/>
      <w:divBdr>
        <w:top w:val="none" w:sz="0" w:space="0" w:color="auto"/>
        <w:left w:val="none" w:sz="0" w:space="0" w:color="auto"/>
        <w:bottom w:val="none" w:sz="0" w:space="0" w:color="auto"/>
        <w:right w:val="none" w:sz="0" w:space="0" w:color="auto"/>
      </w:divBdr>
    </w:div>
    <w:div w:id="2092966953">
      <w:bodyDiv w:val="1"/>
      <w:marLeft w:val="0"/>
      <w:marRight w:val="0"/>
      <w:marTop w:val="0"/>
      <w:marBottom w:val="0"/>
      <w:divBdr>
        <w:top w:val="none" w:sz="0" w:space="0" w:color="auto"/>
        <w:left w:val="none" w:sz="0" w:space="0" w:color="auto"/>
        <w:bottom w:val="none" w:sz="0" w:space="0" w:color="auto"/>
        <w:right w:val="none" w:sz="0" w:space="0" w:color="auto"/>
      </w:divBdr>
    </w:div>
    <w:div w:id="21350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sites/default/files/conocenos/pleno/sesiones/acuerdoliga/dofpift261022533.pdf" TargetMode="External"/><Relationship Id="rId2" Type="http://schemas.openxmlformats.org/officeDocument/2006/relationships/hyperlink" Target="https://www.ift.org.mx/industria/consultas-publicas/consulta-publica-sobre-los-modelos-de-costos-para-la-determinacion-de-tarifas-de-interconexion" TargetMode="External"/><Relationship Id="rId1" Type="http://schemas.openxmlformats.org/officeDocument/2006/relationships/hyperlink" Target="https://www.banxico.org.mx/publicaciones-y-prensa/encuestas-sobre-las-expectativas-de-los-especialis/%7B384D2689-12A4-02F7-8B3A-D18F36B3281A%7D.pdf" TargetMode="External"/></Relationships>
</file>

<file path=word/theme/theme1.xml><?xml version="1.0" encoding="utf-8"?>
<a:theme xmlns:a="http://schemas.openxmlformats.org/drawingml/2006/main" name="officeNewAxonPPTTheme">
  <a:themeElements>
    <a:clrScheme name="Axon">
      <a:dk1>
        <a:srgbClr val="0C2749"/>
      </a:dk1>
      <a:lt1>
        <a:sysClr val="window" lastClr="FFFFFF"/>
      </a:lt1>
      <a:dk2>
        <a:srgbClr val="0C2749"/>
      </a:dk2>
      <a:lt2>
        <a:srgbClr val="D0CECE"/>
      </a:lt2>
      <a:accent1>
        <a:srgbClr val="0C2749"/>
      </a:accent1>
      <a:accent2>
        <a:srgbClr val="D0CECE"/>
      </a:accent2>
      <a:accent3>
        <a:srgbClr val="FFC000"/>
      </a:accent3>
      <a:accent4>
        <a:srgbClr val="6AB1E3"/>
      </a:accent4>
      <a:accent5>
        <a:srgbClr val="54A08F"/>
      </a:accent5>
      <a:accent6>
        <a:srgbClr val="4F629B"/>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defPPr algn="ctr">
          <a:defRPr sz="1200"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chor="ctr">
        <a:noAutofit/>
      </a:bodyPr>
      <a:lstStyle>
        <a:defPPr algn="l">
          <a:lnSpc>
            <a:spcPct val="150000"/>
          </a:lnSpc>
          <a:defRPr sz="1200" dirty="0" err="1" smtClean="0"/>
        </a:defPPr>
      </a:lstStyle>
    </a:txDef>
  </a:objectDefaults>
  <a:extraClrSchemeLst/>
  <a:extLst>
    <a:ext uri="{05A4C25C-085E-4340-85A3-A5531E510DB2}">
      <thm15:themeFamily xmlns:thm15="http://schemas.microsoft.com/office/thememl/2012/main" name="officeNewAxonPPTTheme" id="{1C190AD0-1196-476F-99C6-9497F1947B81}" vid="{52165DE7-0353-47F9-AA0B-543F359603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63156-1CE3-400F-A95E-0AEC0840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7665</Words>
  <Characters>42161</Characters>
  <Application>Microsoft Office Word</Application>
  <DocSecurity>0</DocSecurity>
  <Lines>351</Lines>
  <Paragraphs>99</Paragraphs>
  <ScaleCrop>false</ScaleCrop>
  <Company/>
  <LinksUpToDate>false</LinksUpToDate>
  <CharactersWithSpaces>49727</CharactersWithSpaces>
  <SharedDoc>false</SharedDoc>
  <HLinks>
    <vt:vector size="132" baseType="variant">
      <vt:variant>
        <vt:i4>1638454</vt:i4>
      </vt:variant>
      <vt:variant>
        <vt:i4>128</vt:i4>
      </vt:variant>
      <vt:variant>
        <vt:i4>0</vt:i4>
      </vt:variant>
      <vt:variant>
        <vt:i4>5</vt:i4>
      </vt:variant>
      <vt:variant>
        <vt:lpwstr/>
      </vt:variant>
      <vt:variant>
        <vt:lpwstr>_Toc137738327</vt:lpwstr>
      </vt:variant>
      <vt:variant>
        <vt:i4>1638454</vt:i4>
      </vt:variant>
      <vt:variant>
        <vt:i4>122</vt:i4>
      </vt:variant>
      <vt:variant>
        <vt:i4>0</vt:i4>
      </vt:variant>
      <vt:variant>
        <vt:i4>5</vt:i4>
      </vt:variant>
      <vt:variant>
        <vt:lpwstr/>
      </vt:variant>
      <vt:variant>
        <vt:lpwstr>_Toc137738326</vt:lpwstr>
      </vt:variant>
      <vt:variant>
        <vt:i4>1638454</vt:i4>
      </vt:variant>
      <vt:variant>
        <vt:i4>116</vt:i4>
      </vt:variant>
      <vt:variant>
        <vt:i4>0</vt:i4>
      </vt:variant>
      <vt:variant>
        <vt:i4>5</vt:i4>
      </vt:variant>
      <vt:variant>
        <vt:lpwstr/>
      </vt:variant>
      <vt:variant>
        <vt:lpwstr>_Toc137738325</vt:lpwstr>
      </vt:variant>
      <vt:variant>
        <vt:i4>1638454</vt:i4>
      </vt:variant>
      <vt:variant>
        <vt:i4>110</vt:i4>
      </vt:variant>
      <vt:variant>
        <vt:i4>0</vt:i4>
      </vt:variant>
      <vt:variant>
        <vt:i4>5</vt:i4>
      </vt:variant>
      <vt:variant>
        <vt:lpwstr/>
      </vt:variant>
      <vt:variant>
        <vt:lpwstr>_Toc137738324</vt:lpwstr>
      </vt:variant>
      <vt:variant>
        <vt:i4>1638454</vt:i4>
      </vt:variant>
      <vt:variant>
        <vt:i4>104</vt:i4>
      </vt:variant>
      <vt:variant>
        <vt:i4>0</vt:i4>
      </vt:variant>
      <vt:variant>
        <vt:i4>5</vt:i4>
      </vt:variant>
      <vt:variant>
        <vt:lpwstr/>
      </vt:variant>
      <vt:variant>
        <vt:lpwstr>_Toc137738323</vt:lpwstr>
      </vt:variant>
      <vt:variant>
        <vt:i4>1638454</vt:i4>
      </vt:variant>
      <vt:variant>
        <vt:i4>98</vt:i4>
      </vt:variant>
      <vt:variant>
        <vt:i4>0</vt:i4>
      </vt:variant>
      <vt:variant>
        <vt:i4>5</vt:i4>
      </vt:variant>
      <vt:variant>
        <vt:lpwstr/>
      </vt:variant>
      <vt:variant>
        <vt:lpwstr>_Toc137738322</vt:lpwstr>
      </vt:variant>
      <vt:variant>
        <vt:i4>1638454</vt:i4>
      </vt:variant>
      <vt:variant>
        <vt:i4>92</vt:i4>
      </vt:variant>
      <vt:variant>
        <vt:i4>0</vt:i4>
      </vt:variant>
      <vt:variant>
        <vt:i4>5</vt:i4>
      </vt:variant>
      <vt:variant>
        <vt:lpwstr/>
      </vt:variant>
      <vt:variant>
        <vt:lpwstr>_Toc137738321</vt:lpwstr>
      </vt:variant>
      <vt:variant>
        <vt:i4>1638454</vt:i4>
      </vt:variant>
      <vt:variant>
        <vt:i4>86</vt:i4>
      </vt:variant>
      <vt:variant>
        <vt:i4>0</vt:i4>
      </vt:variant>
      <vt:variant>
        <vt:i4>5</vt:i4>
      </vt:variant>
      <vt:variant>
        <vt:lpwstr/>
      </vt:variant>
      <vt:variant>
        <vt:lpwstr>_Toc137738320</vt:lpwstr>
      </vt:variant>
      <vt:variant>
        <vt:i4>1703990</vt:i4>
      </vt:variant>
      <vt:variant>
        <vt:i4>80</vt:i4>
      </vt:variant>
      <vt:variant>
        <vt:i4>0</vt:i4>
      </vt:variant>
      <vt:variant>
        <vt:i4>5</vt:i4>
      </vt:variant>
      <vt:variant>
        <vt:lpwstr/>
      </vt:variant>
      <vt:variant>
        <vt:lpwstr>_Toc137738319</vt:lpwstr>
      </vt:variant>
      <vt:variant>
        <vt:i4>1703990</vt:i4>
      </vt:variant>
      <vt:variant>
        <vt:i4>74</vt:i4>
      </vt:variant>
      <vt:variant>
        <vt:i4>0</vt:i4>
      </vt:variant>
      <vt:variant>
        <vt:i4>5</vt:i4>
      </vt:variant>
      <vt:variant>
        <vt:lpwstr/>
      </vt:variant>
      <vt:variant>
        <vt:lpwstr>_Toc137738318</vt:lpwstr>
      </vt:variant>
      <vt:variant>
        <vt:i4>1703990</vt:i4>
      </vt:variant>
      <vt:variant>
        <vt:i4>68</vt:i4>
      </vt:variant>
      <vt:variant>
        <vt:i4>0</vt:i4>
      </vt:variant>
      <vt:variant>
        <vt:i4>5</vt:i4>
      </vt:variant>
      <vt:variant>
        <vt:lpwstr/>
      </vt:variant>
      <vt:variant>
        <vt:lpwstr>_Toc137738317</vt:lpwstr>
      </vt:variant>
      <vt:variant>
        <vt:i4>1703990</vt:i4>
      </vt:variant>
      <vt:variant>
        <vt:i4>62</vt:i4>
      </vt:variant>
      <vt:variant>
        <vt:i4>0</vt:i4>
      </vt:variant>
      <vt:variant>
        <vt:i4>5</vt:i4>
      </vt:variant>
      <vt:variant>
        <vt:lpwstr/>
      </vt:variant>
      <vt:variant>
        <vt:lpwstr>_Toc137738316</vt:lpwstr>
      </vt:variant>
      <vt:variant>
        <vt:i4>1703990</vt:i4>
      </vt:variant>
      <vt:variant>
        <vt:i4>56</vt:i4>
      </vt:variant>
      <vt:variant>
        <vt:i4>0</vt:i4>
      </vt:variant>
      <vt:variant>
        <vt:i4>5</vt:i4>
      </vt:variant>
      <vt:variant>
        <vt:lpwstr/>
      </vt:variant>
      <vt:variant>
        <vt:lpwstr>_Toc137738315</vt:lpwstr>
      </vt:variant>
      <vt:variant>
        <vt:i4>1703990</vt:i4>
      </vt:variant>
      <vt:variant>
        <vt:i4>50</vt:i4>
      </vt:variant>
      <vt:variant>
        <vt:i4>0</vt:i4>
      </vt:variant>
      <vt:variant>
        <vt:i4>5</vt:i4>
      </vt:variant>
      <vt:variant>
        <vt:lpwstr/>
      </vt:variant>
      <vt:variant>
        <vt:lpwstr>_Toc137738314</vt:lpwstr>
      </vt:variant>
      <vt:variant>
        <vt:i4>1703990</vt:i4>
      </vt:variant>
      <vt:variant>
        <vt:i4>44</vt:i4>
      </vt:variant>
      <vt:variant>
        <vt:i4>0</vt:i4>
      </vt:variant>
      <vt:variant>
        <vt:i4>5</vt:i4>
      </vt:variant>
      <vt:variant>
        <vt:lpwstr/>
      </vt:variant>
      <vt:variant>
        <vt:lpwstr>_Toc137738313</vt:lpwstr>
      </vt:variant>
      <vt:variant>
        <vt:i4>1703990</vt:i4>
      </vt:variant>
      <vt:variant>
        <vt:i4>38</vt:i4>
      </vt:variant>
      <vt:variant>
        <vt:i4>0</vt:i4>
      </vt:variant>
      <vt:variant>
        <vt:i4>5</vt:i4>
      </vt:variant>
      <vt:variant>
        <vt:lpwstr/>
      </vt:variant>
      <vt:variant>
        <vt:lpwstr>_Toc137738312</vt:lpwstr>
      </vt:variant>
      <vt:variant>
        <vt:i4>1703990</vt:i4>
      </vt:variant>
      <vt:variant>
        <vt:i4>32</vt:i4>
      </vt:variant>
      <vt:variant>
        <vt:i4>0</vt:i4>
      </vt:variant>
      <vt:variant>
        <vt:i4>5</vt:i4>
      </vt:variant>
      <vt:variant>
        <vt:lpwstr/>
      </vt:variant>
      <vt:variant>
        <vt:lpwstr>_Toc137738311</vt:lpwstr>
      </vt:variant>
      <vt:variant>
        <vt:i4>1703990</vt:i4>
      </vt:variant>
      <vt:variant>
        <vt:i4>26</vt:i4>
      </vt:variant>
      <vt:variant>
        <vt:i4>0</vt:i4>
      </vt:variant>
      <vt:variant>
        <vt:i4>5</vt:i4>
      </vt:variant>
      <vt:variant>
        <vt:lpwstr/>
      </vt:variant>
      <vt:variant>
        <vt:lpwstr>_Toc137738310</vt:lpwstr>
      </vt:variant>
      <vt:variant>
        <vt:i4>1769526</vt:i4>
      </vt:variant>
      <vt:variant>
        <vt:i4>20</vt:i4>
      </vt:variant>
      <vt:variant>
        <vt:i4>0</vt:i4>
      </vt:variant>
      <vt:variant>
        <vt:i4>5</vt:i4>
      </vt:variant>
      <vt:variant>
        <vt:lpwstr/>
      </vt:variant>
      <vt:variant>
        <vt:lpwstr>_Toc137738309</vt:lpwstr>
      </vt:variant>
      <vt:variant>
        <vt:i4>1769526</vt:i4>
      </vt:variant>
      <vt:variant>
        <vt:i4>14</vt:i4>
      </vt:variant>
      <vt:variant>
        <vt:i4>0</vt:i4>
      </vt:variant>
      <vt:variant>
        <vt:i4>5</vt:i4>
      </vt:variant>
      <vt:variant>
        <vt:lpwstr/>
      </vt:variant>
      <vt:variant>
        <vt:lpwstr>_Toc137738308</vt:lpwstr>
      </vt:variant>
      <vt:variant>
        <vt:i4>1769526</vt:i4>
      </vt:variant>
      <vt:variant>
        <vt:i4>8</vt:i4>
      </vt:variant>
      <vt:variant>
        <vt:i4>0</vt:i4>
      </vt:variant>
      <vt:variant>
        <vt:i4>5</vt:i4>
      </vt:variant>
      <vt:variant>
        <vt:lpwstr/>
      </vt:variant>
      <vt:variant>
        <vt:lpwstr>_Toc137738307</vt:lpwstr>
      </vt:variant>
      <vt:variant>
        <vt:i4>1769526</vt:i4>
      </vt:variant>
      <vt:variant>
        <vt:i4>2</vt:i4>
      </vt:variant>
      <vt:variant>
        <vt:i4>0</vt:i4>
      </vt:variant>
      <vt:variant>
        <vt:i4>5</vt:i4>
      </vt:variant>
      <vt:variant>
        <vt:lpwstr/>
      </vt:variant>
      <vt:variant>
        <vt:lpwstr>_Toc137738306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2023-08-08T16:41:00Z</dcterms:created>
  <dcterms:modified xsi:type="dcterms:W3CDTF">2023-08-08T16:41:00Z</dcterms:modified>
</cp:coreProperties>
</file>