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BAD2C" w14:textId="1FAAA529" w:rsidR="00AB6F00" w:rsidRPr="00662097" w:rsidRDefault="00662097" w:rsidP="00662097">
      <w:pPr>
        <w:spacing w:before="0" w:after="0"/>
        <w:rPr>
          <w:rFonts w:ascii="Arial" w:hAnsi="Arial" w:cs="Arial"/>
          <w:b/>
          <w:sz w:val="22"/>
        </w:rPr>
      </w:pPr>
      <w:bookmarkStart w:id="0" w:name="_Ref525571481"/>
      <w:bookmarkStart w:id="1" w:name="_Ref510019545"/>
      <w:bookmarkStart w:id="2" w:name="_Ref510021754"/>
      <w:bookmarkStart w:id="3" w:name="_Ref510021845"/>
      <w:bookmarkStart w:id="4" w:name="OLE_LINK1"/>
      <w:bookmarkStart w:id="5" w:name="_Toc468114360"/>
      <w:bookmarkStart w:id="6" w:name="_Ref467589643"/>
      <w:bookmarkStart w:id="7" w:name="_Ref467487574"/>
      <w:bookmarkStart w:id="8" w:name="_Toc468709030"/>
      <w:r w:rsidRPr="00662097">
        <w:rPr>
          <w:rFonts w:ascii="Arial" w:hAnsi="Arial" w:cs="Arial"/>
          <w:b/>
          <w:sz w:val="22"/>
        </w:rPr>
        <w:t xml:space="preserve">RESPUESTAS GENERALES QUE BRINDA EL INSTITUTO FEDERAL DE TELECOMUNICACIONES A LAS MANIFESTACIONES, OPINIONES, COMENTARIOS Y PROPUESTAS CONCRETAS, PRESENTADAS DURANTE LA </w:t>
      </w:r>
      <w:r w:rsidRPr="00662097">
        <w:rPr>
          <w:rFonts w:ascii="Arial" w:hAnsi="Arial" w:cs="Arial"/>
          <w:b/>
          <w:i/>
          <w:iCs/>
          <w:sz w:val="22"/>
        </w:rPr>
        <w:t>“</w:t>
      </w:r>
      <w:bookmarkStart w:id="9" w:name="_Hlk153444178"/>
      <w:bookmarkStart w:id="10" w:name="_GoBack"/>
      <w:r w:rsidRPr="00662097">
        <w:rPr>
          <w:rFonts w:ascii="Arial" w:hAnsi="Arial" w:cs="Arial"/>
          <w:b/>
          <w:i/>
          <w:iCs/>
          <w:sz w:val="22"/>
        </w:rPr>
        <w:t>CONSULTA PÚBLICA SOBRE LAS ACTUALIZACIONES AL MODELO INTEGRAL DE RED DE ACCESO FIJA PARA DETERMINAR TARIFAS DE SERVICIOS DE COMPARTICIÓN DE INFRAESTRUCTURA PASIVA Y DE DESAGREGACIÓN DEL AEP EN TELECOMUNICACIONES</w:t>
      </w:r>
      <w:bookmarkEnd w:id="9"/>
      <w:bookmarkEnd w:id="10"/>
      <w:r w:rsidR="00AB6F00" w:rsidRPr="00662097">
        <w:rPr>
          <w:rFonts w:ascii="Arial" w:hAnsi="Arial" w:cs="Arial"/>
          <w:b/>
          <w:i/>
          <w:iCs/>
          <w:sz w:val="22"/>
        </w:rPr>
        <w:t>”</w:t>
      </w:r>
      <w:r w:rsidR="00322713" w:rsidRPr="00662097">
        <w:rPr>
          <w:rStyle w:val="Refdenotaalpie"/>
          <w:rFonts w:ascii="Arial" w:hAnsi="Arial" w:cs="Arial"/>
          <w:b/>
          <w:i/>
          <w:iCs/>
          <w:sz w:val="22"/>
        </w:rPr>
        <w:footnoteReference w:id="2"/>
      </w:r>
      <w:r w:rsidR="00322713" w:rsidRPr="00662097">
        <w:rPr>
          <w:rFonts w:ascii="Arial" w:hAnsi="Arial" w:cs="Arial"/>
          <w:b/>
          <w:i/>
          <w:iCs/>
          <w:sz w:val="22"/>
        </w:rPr>
        <w:t>.</w:t>
      </w:r>
    </w:p>
    <w:p w14:paraId="0844955F" w14:textId="6CCFC3A5" w:rsidR="00AB6F00" w:rsidRPr="00FF1D65" w:rsidRDefault="00662097" w:rsidP="00662097">
      <w:pPr>
        <w:pStyle w:val="Ttulo4"/>
        <w:rPr>
          <w:rFonts w:ascii="Arial" w:hAnsi="Arial" w:cs="Arial"/>
          <w:color w:val="auto"/>
          <w:lang w:val="es-MX"/>
        </w:rPr>
      </w:pPr>
      <w:r w:rsidRPr="00FF1D65">
        <w:rPr>
          <w:rFonts w:ascii="Arial" w:hAnsi="Arial" w:cs="Arial"/>
          <w:color w:val="auto"/>
          <w:lang w:val="es-MX"/>
        </w:rPr>
        <w:t>Fecha de elaboración:</w:t>
      </w:r>
    </w:p>
    <w:p w14:paraId="79917F88" w14:textId="0CD18C86" w:rsidR="00662097" w:rsidRDefault="00662097" w:rsidP="00AB6F00">
      <w:pPr>
        <w:rPr>
          <w:rFonts w:ascii="Arial" w:hAnsi="Arial" w:cs="Arial"/>
        </w:rPr>
      </w:pPr>
      <w:r>
        <w:rPr>
          <w:rFonts w:ascii="Arial" w:hAnsi="Arial" w:cs="Arial"/>
        </w:rPr>
        <w:t>8 de noviembre de 2023.</w:t>
      </w:r>
    </w:p>
    <w:p w14:paraId="18E99DF3" w14:textId="77777777" w:rsidR="00662097" w:rsidRPr="00662097" w:rsidRDefault="00662097" w:rsidP="00662097">
      <w:pPr>
        <w:pStyle w:val="Ttulo4"/>
        <w:spacing w:before="0" w:after="0"/>
        <w:rPr>
          <w:rFonts w:ascii="Arial" w:hAnsi="Arial" w:cs="Arial"/>
          <w:b w:val="0"/>
        </w:rPr>
      </w:pPr>
      <w:r w:rsidRPr="00662097">
        <w:rPr>
          <w:rFonts w:ascii="Arial" w:hAnsi="Arial" w:cs="Arial"/>
          <w:color w:val="auto"/>
          <w:lang w:val="es-MX"/>
        </w:rPr>
        <w:t>Título o denominación de la consulta pública:</w:t>
      </w:r>
      <w:r w:rsidRPr="00662097">
        <w:rPr>
          <w:rFonts w:ascii="Arial" w:hAnsi="Arial" w:cs="Arial"/>
        </w:rPr>
        <w:cr/>
      </w:r>
    </w:p>
    <w:p w14:paraId="5E08BA7C" w14:textId="5495FBCC" w:rsidR="00662097" w:rsidRPr="00662097" w:rsidRDefault="00662097" w:rsidP="00662097">
      <w:pPr>
        <w:pStyle w:val="Ttulo4"/>
        <w:spacing w:before="0" w:after="0"/>
        <w:rPr>
          <w:rFonts w:ascii="Arial" w:hAnsi="Arial" w:cs="Arial"/>
          <w:b w:val="0"/>
        </w:rPr>
      </w:pPr>
      <w:r w:rsidRPr="00662097">
        <w:rPr>
          <w:rFonts w:ascii="Arial" w:hAnsi="Arial" w:cs="Arial"/>
          <w:b w:val="0"/>
          <w:color w:val="auto"/>
        </w:rPr>
        <w:t>“CONSULTA PÚBLICA SOBRE LAS ACTUALIZACIONES AL MODELO INTEGRAL DE RED DE ACCESO FIJA PARA DETERMINAR TARIFAS DE SERVICIOS DE COMPARTICIÓN DE INFRAESTRUCTURA PASIVA Y DE DESAGREGACIÓN DEL AEP EN TELECOMUNICACIONES” (en lo sucesivo, la “Consulta Pública”)</w:t>
      </w:r>
    </w:p>
    <w:p w14:paraId="7EF035A9" w14:textId="5EC9324B" w:rsidR="008D1854" w:rsidRPr="00662097" w:rsidRDefault="008D1854" w:rsidP="008D1854">
      <w:pPr>
        <w:pStyle w:val="Ttulo4"/>
        <w:rPr>
          <w:rFonts w:ascii="Arial" w:hAnsi="Arial" w:cs="Arial"/>
          <w:color w:val="auto"/>
          <w:lang w:val="es-MX"/>
        </w:rPr>
      </w:pPr>
      <w:r w:rsidRPr="00662097">
        <w:rPr>
          <w:rFonts w:ascii="Arial" w:hAnsi="Arial" w:cs="Arial"/>
          <w:color w:val="auto"/>
          <w:lang w:val="es-MX"/>
        </w:rPr>
        <w:t xml:space="preserve">Descripción de la </w:t>
      </w:r>
      <w:r w:rsidR="00FF1D65">
        <w:rPr>
          <w:rFonts w:ascii="Arial" w:hAnsi="Arial" w:cs="Arial"/>
          <w:color w:val="auto"/>
          <w:lang w:val="es-MX"/>
        </w:rPr>
        <w:t>Consulta Pública</w:t>
      </w:r>
      <w:r w:rsidRPr="00662097">
        <w:rPr>
          <w:rFonts w:ascii="Arial" w:hAnsi="Arial" w:cs="Arial"/>
          <w:color w:val="auto"/>
          <w:lang w:val="es-MX"/>
        </w:rPr>
        <w:t xml:space="preserve">: </w:t>
      </w:r>
    </w:p>
    <w:p w14:paraId="5B148422" w14:textId="478DF947" w:rsidR="005B6E83" w:rsidRPr="00662097" w:rsidRDefault="008D1854" w:rsidP="005B6E83">
      <w:pPr>
        <w:rPr>
          <w:rFonts w:ascii="Arial" w:hAnsi="Arial" w:cs="Arial"/>
          <w:bCs/>
          <w:lang w:val="es-MX"/>
        </w:rPr>
      </w:pPr>
      <w:r w:rsidRPr="00662097">
        <w:rPr>
          <w:rFonts w:ascii="Arial" w:hAnsi="Arial" w:cs="Arial"/>
          <w:bCs/>
          <w:lang w:val="es-MX"/>
        </w:rPr>
        <w:t xml:space="preserve">El Instituto Federal de Telecomunicaciones (en lo sucesivo, “Instituto” o “IFT”) </w:t>
      </w:r>
      <w:r w:rsidR="005B6E83" w:rsidRPr="00662097">
        <w:rPr>
          <w:rFonts w:ascii="Arial" w:hAnsi="Arial" w:cs="Arial"/>
          <w:bCs/>
          <w:lang w:val="es-MX"/>
        </w:rPr>
        <w:t xml:space="preserve">recibió comentarios, opiniones y aportaciones con relación al contenido del Modelo Integral de Red de Acceso Fija a través de la siguiente dirección de correo electrónico </w:t>
      </w:r>
      <w:hyperlink r:id="rId11" w:history="1">
        <w:r w:rsidR="005B6E83" w:rsidRPr="00662097">
          <w:rPr>
            <w:rStyle w:val="Hipervnculo"/>
            <w:rFonts w:ascii="Arial" w:hAnsi="Arial" w:cs="Arial"/>
            <w:bCs/>
            <w:lang w:val="es-MX"/>
          </w:rPr>
          <w:t>modelos.dgci@ift.org.mx</w:t>
        </w:r>
      </w:hyperlink>
      <w:r w:rsidR="005B6E83" w:rsidRPr="00662097">
        <w:rPr>
          <w:rFonts w:ascii="Arial" w:hAnsi="Arial" w:cs="Arial"/>
          <w:bCs/>
          <w:lang w:val="es-MX"/>
        </w:rPr>
        <w:t xml:space="preserve">, o bien, mediante escrito presentado en la Oficialía de Partes Común del Instituto ubicada en Insurgentes Sur 1143, colonia Nochebuena, Demarcación Territorial Benito Juárez, C.P. 03720, Ciudad de México. </w:t>
      </w:r>
    </w:p>
    <w:p w14:paraId="3FFAAD20" w14:textId="4B088710" w:rsidR="005B6E83" w:rsidRPr="00662097" w:rsidRDefault="005B6E83" w:rsidP="005B6E83">
      <w:pPr>
        <w:rPr>
          <w:rFonts w:ascii="Arial" w:hAnsi="Arial" w:cs="Arial"/>
          <w:bCs/>
          <w:lang w:val="es-MX"/>
        </w:rPr>
      </w:pPr>
      <w:r w:rsidRPr="00662097">
        <w:rPr>
          <w:rFonts w:ascii="Arial" w:hAnsi="Arial" w:cs="Arial"/>
          <w:bCs/>
          <w:lang w:val="es-MX"/>
        </w:rPr>
        <w:t>Para ello</w:t>
      </w:r>
      <w:r w:rsidR="00CC5EE3" w:rsidRPr="00662097">
        <w:rPr>
          <w:rFonts w:ascii="Arial" w:hAnsi="Arial" w:cs="Arial"/>
          <w:bCs/>
          <w:lang w:val="es-MX"/>
        </w:rPr>
        <w:t>,</w:t>
      </w:r>
      <w:r w:rsidRPr="00662097">
        <w:rPr>
          <w:rFonts w:ascii="Arial" w:hAnsi="Arial" w:cs="Arial"/>
          <w:bCs/>
          <w:lang w:val="es-MX"/>
        </w:rPr>
        <w:t xml:space="preserve"> el Instituto puso a disposición de todos los interesados en participar el “Formato para participar en la </w:t>
      </w:r>
      <w:r w:rsidR="00FF1D65">
        <w:rPr>
          <w:rFonts w:ascii="Arial" w:hAnsi="Arial" w:cs="Arial"/>
          <w:bCs/>
          <w:lang w:val="es-MX"/>
        </w:rPr>
        <w:t>Consulta Pública</w:t>
      </w:r>
      <w:r w:rsidRPr="00662097">
        <w:rPr>
          <w:rFonts w:ascii="Arial" w:hAnsi="Arial" w:cs="Arial"/>
          <w:bCs/>
          <w:lang w:val="es-MX"/>
        </w:rPr>
        <w:t>”.</w:t>
      </w:r>
    </w:p>
    <w:p w14:paraId="36CE8FE0" w14:textId="3840A33A" w:rsidR="008D1854" w:rsidRPr="00662097" w:rsidRDefault="005B6E83" w:rsidP="008D1854">
      <w:pPr>
        <w:rPr>
          <w:rFonts w:ascii="Arial" w:hAnsi="Arial" w:cs="Arial"/>
          <w:bCs/>
          <w:lang w:val="es-MX"/>
        </w:rPr>
      </w:pPr>
      <w:r w:rsidRPr="00662097">
        <w:rPr>
          <w:rFonts w:ascii="Arial" w:hAnsi="Arial" w:cs="Arial"/>
          <w:bCs/>
          <w:lang w:val="es-MX"/>
        </w:rPr>
        <w:t xml:space="preserve">La información que los interesados hicieron llegar al Instituto de acuerdo </w:t>
      </w:r>
      <w:r w:rsidR="00160FE4" w:rsidRPr="00662097">
        <w:rPr>
          <w:rFonts w:ascii="Arial" w:hAnsi="Arial" w:cs="Arial"/>
          <w:bCs/>
          <w:lang w:val="es-MX"/>
        </w:rPr>
        <w:t>con</w:t>
      </w:r>
      <w:r w:rsidRPr="00662097">
        <w:rPr>
          <w:rFonts w:ascii="Arial" w:hAnsi="Arial" w:cs="Arial"/>
          <w:bCs/>
          <w:lang w:val="es-MX"/>
        </w:rPr>
        <w:t xml:space="preserve"> los plazos y términos descritos en esta mecánica- con relación al presente proceso consultivo no tendrá carácter vinculante, sin perjuicio de que el Instituto pueda ponderarla conforme a lo establecido en el presente informe.</w:t>
      </w:r>
    </w:p>
    <w:p w14:paraId="2D72633C" w14:textId="21135E18" w:rsidR="008D1854" w:rsidRPr="00FF1D65" w:rsidRDefault="008D1854" w:rsidP="008D1854">
      <w:pPr>
        <w:pStyle w:val="Ttulo4"/>
        <w:rPr>
          <w:rFonts w:ascii="Arial" w:hAnsi="Arial" w:cs="Arial"/>
          <w:color w:val="auto"/>
          <w:lang w:val="es-MX"/>
        </w:rPr>
      </w:pPr>
      <w:r w:rsidRPr="00FF1D65">
        <w:rPr>
          <w:rFonts w:ascii="Arial" w:hAnsi="Arial" w:cs="Arial"/>
          <w:color w:val="auto"/>
          <w:lang w:val="es-MX"/>
        </w:rPr>
        <w:t xml:space="preserve">Objetivos de la </w:t>
      </w:r>
      <w:r w:rsidR="00FF1D65">
        <w:rPr>
          <w:rFonts w:ascii="Arial" w:hAnsi="Arial" w:cs="Arial"/>
          <w:color w:val="auto"/>
          <w:lang w:val="es-MX"/>
        </w:rPr>
        <w:t>Consulta Pública</w:t>
      </w:r>
      <w:r w:rsidRPr="00FF1D65">
        <w:rPr>
          <w:rFonts w:ascii="Arial" w:hAnsi="Arial" w:cs="Arial"/>
          <w:color w:val="auto"/>
          <w:lang w:val="es-MX"/>
        </w:rPr>
        <w:t xml:space="preserve">: </w:t>
      </w:r>
    </w:p>
    <w:p w14:paraId="1855CCFD" w14:textId="427B12FB" w:rsidR="008D1854" w:rsidRPr="00662097" w:rsidRDefault="008D1854" w:rsidP="008D1854">
      <w:pPr>
        <w:rPr>
          <w:rFonts w:ascii="Arial" w:hAnsi="Arial" w:cs="Arial"/>
          <w:bCs/>
          <w:lang w:val="es-MX"/>
        </w:rPr>
      </w:pPr>
      <w:r w:rsidRPr="00662097">
        <w:rPr>
          <w:rFonts w:ascii="Arial" w:hAnsi="Arial" w:cs="Arial"/>
          <w:bCs/>
          <w:lang w:val="es-MX"/>
        </w:rPr>
        <w:t xml:space="preserve">La </w:t>
      </w:r>
      <w:r w:rsidR="00FF1D65">
        <w:rPr>
          <w:rFonts w:ascii="Arial" w:hAnsi="Arial" w:cs="Arial"/>
          <w:bCs/>
          <w:lang w:val="es-MX"/>
        </w:rPr>
        <w:t>Consulta Pública</w:t>
      </w:r>
      <w:r w:rsidRPr="00662097">
        <w:rPr>
          <w:rFonts w:ascii="Arial" w:hAnsi="Arial" w:cs="Arial"/>
          <w:bCs/>
          <w:lang w:val="es-MX"/>
        </w:rPr>
        <w:t xml:space="preserve"> </w:t>
      </w:r>
      <w:r w:rsidR="008362EA" w:rsidRPr="00662097">
        <w:rPr>
          <w:rFonts w:ascii="Arial" w:hAnsi="Arial" w:cs="Arial"/>
          <w:bCs/>
          <w:lang w:val="es-MX"/>
        </w:rPr>
        <w:t xml:space="preserve">tuvo </w:t>
      </w:r>
      <w:r w:rsidRPr="00662097">
        <w:rPr>
          <w:rFonts w:ascii="Arial" w:hAnsi="Arial" w:cs="Arial"/>
          <w:bCs/>
          <w:lang w:val="es-MX"/>
        </w:rPr>
        <w:t xml:space="preserve">por objeto transparentar y dar a conocer las actualizaciones metodológicas y modificaciones al Modelo de Costos Integral de la Red de Acceso Fija (en lo sucesivo el “Modelo </w:t>
      </w:r>
      <w:r w:rsidRPr="00662097">
        <w:rPr>
          <w:rFonts w:ascii="Arial" w:hAnsi="Arial" w:cs="Arial"/>
          <w:bCs/>
          <w:lang w:val="es-MX"/>
        </w:rPr>
        <w:lastRenderedPageBreak/>
        <w:t xml:space="preserve">Integral”), así como contar con elementos que aporten mayor precisión </w:t>
      </w:r>
      <w:r w:rsidR="008362EA" w:rsidRPr="00662097">
        <w:rPr>
          <w:rFonts w:ascii="Arial" w:hAnsi="Arial" w:cs="Arial"/>
          <w:bCs/>
          <w:lang w:val="es-MX"/>
        </w:rPr>
        <w:t xml:space="preserve">a </w:t>
      </w:r>
      <w:r w:rsidRPr="00662097">
        <w:rPr>
          <w:rFonts w:ascii="Arial" w:hAnsi="Arial" w:cs="Arial"/>
          <w:bCs/>
          <w:lang w:val="es-MX"/>
        </w:rPr>
        <w:t xml:space="preserve">los posibles impactos que se desprenden a razón de su implementación. </w:t>
      </w:r>
    </w:p>
    <w:p w14:paraId="2EA5D7BC" w14:textId="65439B38" w:rsidR="008D1854" w:rsidRPr="00662097" w:rsidRDefault="008D1854" w:rsidP="008D1854">
      <w:pPr>
        <w:rPr>
          <w:rFonts w:ascii="Arial" w:hAnsi="Arial" w:cs="Arial"/>
          <w:bCs/>
          <w:lang w:val="es-MX"/>
        </w:rPr>
      </w:pPr>
      <w:r w:rsidRPr="00662097">
        <w:rPr>
          <w:rFonts w:ascii="Arial" w:hAnsi="Arial" w:cs="Arial"/>
          <w:bCs/>
          <w:lang w:val="es-MX"/>
        </w:rPr>
        <w:t xml:space="preserve">En este sentido, el objetivo principal de las modificaciones al Modelo Integral consiste en establecer las bases para la determinación de las tarifas aplicables a los servicios de acceso y uso compartido de infraestructura pasiva y de desagregación, a través de la metodología de costos incrementales promedio de largo plazo considerando </w:t>
      </w:r>
      <w:r w:rsidR="00CC5EE3" w:rsidRPr="00662097">
        <w:rPr>
          <w:rFonts w:ascii="Arial" w:hAnsi="Arial" w:cs="Arial"/>
          <w:bCs/>
          <w:lang w:val="es-MX"/>
        </w:rPr>
        <w:t xml:space="preserve">la </w:t>
      </w:r>
      <w:r w:rsidRPr="00662097">
        <w:rPr>
          <w:rFonts w:ascii="Arial" w:hAnsi="Arial" w:cs="Arial"/>
          <w:bCs/>
          <w:lang w:val="es-MX"/>
        </w:rPr>
        <w:t>actualización de parámetros cuando así se identifique necesario.</w:t>
      </w:r>
    </w:p>
    <w:p w14:paraId="058C35F8" w14:textId="78AD0131" w:rsidR="008D1854" w:rsidRPr="00FF1D65" w:rsidRDefault="008D1854" w:rsidP="008D1854">
      <w:pPr>
        <w:pStyle w:val="Ttulo4"/>
        <w:rPr>
          <w:rFonts w:ascii="Arial" w:hAnsi="Arial" w:cs="Arial"/>
          <w:color w:val="auto"/>
          <w:lang w:val="es-MX"/>
        </w:rPr>
      </w:pPr>
      <w:r w:rsidRPr="00FF1D65">
        <w:rPr>
          <w:rFonts w:ascii="Arial" w:hAnsi="Arial" w:cs="Arial"/>
          <w:color w:val="auto"/>
          <w:lang w:val="es-MX"/>
        </w:rPr>
        <w:t xml:space="preserve">Unidad responsable de la </w:t>
      </w:r>
      <w:r w:rsidR="00FF1D65" w:rsidRPr="00FF1D65">
        <w:rPr>
          <w:rFonts w:ascii="Arial" w:hAnsi="Arial" w:cs="Arial"/>
          <w:color w:val="auto"/>
          <w:lang w:val="es-MX"/>
        </w:rPr>
        <w:t>Consulta Pública</w:t>
      </w:r>
      <w:r w:rsidRPr="00FF1D65">
        <w:rPr>
          <w:rFonts w:ascii="Arial" w:hAnsi="Arial" w:cs="Arial"/>
          <w:color w:val="auto"/>
          <w:lang w:val="es-MX"/>
        </w:rPr>
        <w:t xml:space="preserve">: </w:t>
      </w:r>
    </w:p>
    <w:p w14:paraId="6EFF22C3" w14:textId="78A07433" w:rsidR="008D1854" w:rsidRPr="00662097" w:rsidRDefault="008D1854" w:rsidP="008D1854">
      <w:pPr>
        <w:rPr>
          <w:rFonts w:ascii="Arial" w:hAnsi="Arial" w:cs="Arial"/>
          <w:bCs/>
          <w:lang w:val="es-MX"/>
        </w:rPr>
      </w:pPr>
      <w:r w:rsidRPr="00662097">
        <w:rPr>
          <w:rFonts w:ascii="Arial" w:hAnsi="Arial" w:cs="Arial"/>
          <w:bCs/>
          <w:lang w:val="es-MX"/>
        </w:rPr>
        <w:t>Unidad de Política Regulatoria</w:t>
      </w:r>
      <w:r w:rsidR="00FF1D65">
        <w:rPr>
          <w:rFonts w:ascii="Arial" w:hAnsi="Arial" w:cs="Arial"/>
          <w:bCs/>
          <w:lang w:val="es-MX"/>
        </w:rPr>
        <w:t xml:space="preserve"> (en lo sucesivo, “UPR”)</w:t>
      </w:r>
      <w:r w:rsidRPr="00662097">
        <w:rPr>
          <w:rFonts w:ascii="Arial" w:hAnsi="Arial" w:cs="Arial"/>
          <w:bCs/>
          <w:lang w:val="es-MX"/>
        </w:rPr>
        <w:t>.</w:t>
      </w:r>
    </w:p>
    <w:p w14:paraId="4CE59178" w14:textId="2D1F8F9D" w:rsidR="008D1854" w:rsidRPr="00FF1D65" w:rsidRDefault="008D1854" w:rsidP="008D1854">
      <w:pPr>
        <w:pStyle w:val="Ttulo4"/>
        <w:rPr>
          <w:rFonts w:ascii="Arial" w:hAnsi="Arial" w:cs="Arial"/>
          <w:color w:val="auto"/>
          <w:lang w:val="es-MX"/>
        </w:rPr>
      </w:pPr>
      <w:r w:rsidRPr="00FF1D65">
        <w:rPr>
          <w:rFonts w:ascii="Arial" w:hAnsi="Arial" w:cs="Arial"/>
          <w:color w:val="auto"/>
          <w:lang w:val="es-MX"/>
        </w:rPr>
        <w:t xml:space="preserve">Descripción de los participantes en la </w:t>
      </w:r>
      <w:r w:rsidR="00FF1D65" w:rsidRPr="00FF1D65">
        <w:rPr>
          <w:rFonts w:ascii="Arial" w:hAnsi="Arial" w:cs="Arial"/>
          <w:color w:val="auto"/>
          <w:lang w:val="es-MX"/>
        </w:rPr>
        <w:t>Consulta Pública</w:t>
      </w:r>
      <w:r w:rsidRPr="00FF1D65">
        <w:rPr>
          <w:rFonts w:ascii="Arial" w:hAnsi="Arial" w:cs="Arial"/>
          <w:color w:val="auto"/>
          <w:lang w:val="es-MX"/>
        </w:rPr>
        <w:t>:</w:t>
      </w:r>
    </w:p>
    <w:p w14:paraId="1E0A8189" w14:textId="4833733B" w:rsidR="008D1854" w:rsidRPr="00662097" w:rsidRDefault="008D1854" w:rsidP="008D1854">
      <w:pPr>
        <w:rPr>
          <w:rFonts w:ascii="Arial" w:hAnsi="Arial" w:cs="Arial"/>
          <w:bCs/>
          <w:lang w:val="es-MX"/>
        </w:rPr>
      </w:pPr>
      <w:r w:rsidRPr="00662097">
        <w:rPr>
          <w:rFonts w:ascii="Arial" w:hAnsi="Arial" w:cs="Arial"/>
          <w:bCs/>
          <w:lang w:val="es-MX"/>
        </w:rPr>
        <w:t xml:space="preserve">Durante el plazo de duración de la </w:t>
      </w:r>
      <w:r w:rsidR="00FF1D65">
        <w:rPr>
          <w:rFonts w:ascii="Arial" w:hAnsi="Arial" w:cs="Arial"/>
          <w:bCs/>
          <w:lang w:val="es-MX"/>
        </w:rPr>
        <w:t>Consulta Pública</w:t>
      </w:r>
      <w:r w:rsidRPr="00662097">
        <w:rPr>
          <w:rFonts w:ascii="Arial" w:hAnsi="Arial" w:cs="Arial"/>
          <w:bCs/>
          <w:lang w:val="es-MX"/>
        </w:rPr>
        <w:t xml:space="preserve"> de mérito, se recibieron comentarios por parte de los siguientes participantes: </w:t>
      </w:r>
    </w:p>
    <w:tbl>
      <w:tblPr>
        <w:tblpPr w:leftFromText="141" w:rightFromText="141" w:vertAnchor="text" w:tblpXSpec="center" w:tblpY="108"/>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0"/>
        <w:gridCol w:w="2268"/>
      </w:tblGrid>
      <w:tr w:rsidR="00A753E4" w:rsidRPr="00662097" w14:paraId="4D6AF6EA" w14:textId="77777777" w:rsidTr="00483489">
        <w:trPr>
          <w:trHeight w:val="113"/>
          <w:tblHeader/>
        </w:trPr>
        <w:tc>
          <w:tcPr>
            <w:tcW w:w="5240" w:type="dxa"/>
            <w:tcBorders>
              <w:right w:val="single" w:sz="4" w:space="0" w:color="FFFFFF" w:themeColor="background1"/>
            </w:tcBorders>
            <w:shd w:val="clear" w:color="auto" w:fill="0C2749" w:themeFill="accent1"/>
            <w:vAlign w:val="center"/>
          </w:tcPr>
          <w:p w14:paraId="325A5E65" w14:textId="77777777" w:rsidR="00A753E4" w:rsidRPr="00662097" w:rsidRDefault="00A753E4" w:rsidP="00A753E4">
            <w:pPr>
              <w:spacing w:before="60" w:after="60" w:line="240" w:lineRule="auto"/>
              <w:jc w:val="center"/>
              <w:rPr>
                <w:rFonts w:ascii="Arial" w:eastAsia="Times New Roman" w:hAnsi="Arial" w:cs="Arial"/>
                <w:b/>
                <w:bCs/>
                <w:color w:val="FFFFFF" w:themeColor="background1"/>
                <w:sz w:val="16"/>
                <w:szCs w:val="16"/>
                <w:lang w:eastAsia="es-MX"/>
              </w:rPr>
            </w:pPr>
            <w:r w:rsidRPr="00662097">
              <w:rPr>
                <w:rFonts w:ascii="Arial" w:eastAsia="Times New Roman" w:hAnsi="Arial" w:cs="Arial"/>
                <w:b/>
                <w:bCs/>
                <w:color w:val="FFFFFF" w:themeColor="background1"/>
                <w:sz w:val="16"/>
                <w:szCs w:val="16"/>
                <w:lang w:eastAsia="es-MX"/>
              </w:rPr>
              <w:t>Participante</w:t>
            </w:r>
          </w:p>
        </w:tc>
        <w:tc>
          <w:tcPr>
            <w:tcW w:w="2268" w:type="dxa"/>
            <w:tcBorders>
              <w:left w:val="single" w:sz="4" w:space="0" w:color="FFFFFF" w:themeColor="background1"/>
              <w:right w:val="single" w:sz="4" w:space="0" w:color="FFFFFF" w:themeColor="background1"/>
            </w:tcBorders>
            <w:shd w:val="clear" w:color="auto" w:fill="0C2749" w:themeFill="accent1"/>
            <w:vAlign w:val="center"/>
            <w:hideMark/>
          </w:tcPr>
          <w:p w14:paraId="4FE40A54" w14:textId="59EB3783" w:rsidR="00A753E4" w:rsidRPr="00662097" w:rsidRDefault="00A753E4" w:rsidP="00CF1C21">
            <w:pPr>
              <w:spacing w:before="0" w:after="0" w:line="240" w:lineRule="auto"/>
              <w:jc w:val="center"/>
              <w:rPr>
                <w:rFonts w:ascii="Arial" w:eastAsia="Times New Roman" w:hAnsi="Arial" w:cs="Arial"/>
                <w:b/>
                <w:bCs/>
                <w:color w:val="FFFFFF" w:themeColor="background1"/>
                <w:sz w:val="16"/>
                <w:szCs w:val="16"/>
                <w:lang w:eastAsia="es-MX"/>
              </w:rPr>
            </w:pPr>
            <w:r w:rsidRPr="00662097">
              <w:rPr>
                <w:rFonts w:ascii="Arial" w:eastAsia="Times New Roman" w:hAnsi="Arial" w:cs="Arial"/>
                <w:b/>
                <w:bCs/>
                <w:color w:val="FFFFFF" w:themeColor="background1"/>
                <w:sz w:val="16"/>
                <w:szCs w:val="16"/>
                <w:lang w:eastAsia="es-MX"/>
              </w:rPr>
              <w:t>Abreviación</w:t>
            </w:r>
          </w:p>
        </w:tc>
      </w:tr>
      <w:tr w:rsidR="00A753E4" w:rsidRPr="00662097" w14:paraId="06C8F2F2" w14:textId="77777777" w:rsidTr="00483489">
        <w:trPr>
          <w:trHeight w:val="20"/>
        </w:trPr>
        <w:tc>
          <w:tcPr>
            <w:tcW w:w="5240" w:type="dxa"/>
            <w:vAlign w:val="center"/>
          </w:tcPr>
          <w:p w14:paraId="1B8F3B4A" w14:textId="2E9A0015" w:rsidR="00A753E4" w:rsidRPr="00662097" w:rsidRDefault="00483489" w:rsidP="00483489">
            <w:pPr>
              <w:spacing w:before="60" w:after="6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Megacable, S.A. de C.V.</w:t>
            </w:r>
          </w:p>
        </w:tc>
        <w:tc>
          <w:tcPr>
            <w:tcW w:w="2268" w:type="dxa"/>
            <w:shd w:val="clear" w:color="auto" w:fill="auto"/>
            <w:vAlign w:val="center"/>
          </w:tcPr>
          <w:p w14:paraId="60E235E9" w14:textId="0834487B" w:rsidR="00A753E4" w:rsidRPr="00662097" w:rsidRDefault="00483489" w:rsidP="00483489">
            <w:pPr>
              <w:spacing w:before="60" w:after="6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Mega Cable</w:t>
            </w:r>
          </w:p>
        </w:tc>
      </w:tr>
      <w:tr w:rsidR="00A753E4" w:rsidRPr="00662097" w14:paraId="58BB6864" w14:textId="77777777" w:rsidTr="00483489">
        <w:trPr>
          <w:trHeight w:val="20"/>
        </w:trPr>
        <w:tc>
          <w:tcPr>
            <w:tcW w:w="5240" w:type="dxa"/>
            <w:vAlign w:val="center"/>
          </w:tcPr>
          <w:p w14:paraId="661CF2C5" w14:textId="070C9BC7" w:rsidR="00A753E4" w:rsidRPr="00662097" w:rsidRDefault="00483489" w:rsidP="00483489">
            <w:pPr>
              <w:spacing w:before="60" w:after="6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Cámara Nacional de la Industria Electrónica, de Telecomunicaciones y Tecnologías de la Información.</w:t>
            </w:r>
          </w:p>
        </w:tc>
        <w:tc>
          <w:tcPr>
            <w:tcW w:w="2268" w:type="dxa"/>
            <w:shd w:val="clear" w:color="auto" w:fill="auto"/>
            <w:vAlign w:val="center"/>
          </w:tcPr>
          <w:p w14:paraId="7F9A6CFE" w14:textId="171D3985" w:rsidR="00A753E4" w:rsidRPr="00662097" w:rsidRDefault="00483489" w:rsidP="00483489">
            <w:pPr>
              <w:spacing w:before="60" w:after="6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CANIETI</w:t>
            </w:r>
          </w:p>
        </w:tc>
      </w:tr>
      <w:tr w:rsidR="00A753E4" w:rsidRPr="00662097" w14:paraId="3DF7EDFD" w14:textId="77777777" w:rsidTr="00483489">
        <w:trPr>
          <w:trHeight w:val="20"/>
        </w:trPr>
        <w:tc>
          <w:tcPr>
            <w:tcW w:w="5240" w:type="dxa"/>
            <w:vAlign w:val="center"/>
          </w:tcPr>
          <w:p w14:paraId="28A0B0D3" w14:textId="0DB0FA9A" w:rsidR="00A753E4" w:rsidRPr="00662097" w:rsidRDefault="00483489" w:rsidP="00483489">
            <w:pPr>
              <w:spacing w:before="60" w:after="60" w:line="240" w:lineRule="auto"/>
              <w:jc w:val="center"/>
              <w:rPr>
                <w:rFonts w:ascii="Arial" w:hAnsi="Arial" w:cs="Arial"/>
                <w:sz w:val="16"/>
                <w:szCs w:val="16"/>
              </w:rPr>
            </w:pPr>
            <w:proofErr w:type="spellStart"/>
            <w:r w:rsidRPr="00662097">
              <w:rPr>
                <w:rFonts w:ascii="Arial" w:hAnsi="Arial" w:cs="Arial"/>
                <w:sz w:val="16"/>
                <w:szCs w:val="16"/>
              </w:rPr>
              <w:t>Operbes</w:t>
            </w:r>
            <w:proofErr w:type="spellEnd"/>
            <w:r w:rsidRPr="00662097">
              <w:rPr>
                <w:rFonts w:ascii="Arial" w:hAnsi="Arial" w:cs="Arial"/>
                <w:sz w:val="16"/>
                <w:szCs w:val="16"/>
              </w:rPr>
              <w:t>, S.A. de C.V., Cablevisión, S.A. de C.V., Cablemás Telecomunicaciones, S.A. de C.V., Cablevisión Red, S.A. de C.V., Televisión Internacional, S.A. de C.V., México Red de Telecomunicaciones, S. de R.L. de C.V. y TV Cable de Oriente, S.A. de C.V.</w:t>
            </w:r>
          </w:p>
        </w:tc>
        <w:tc>
          <w:tcPr>
            <w:tcW w:w="2268" w:type="dxa"/>
            <w:shd w:val="clear" w:color="auto" w:fill="auto"/>
            <w:vAlign w:val="center"/>
          </w:tcPr>
          <w:p w14:paraId="37AC6917" w14:textId="60CA4254" w:rsidR="00A753E4" w:rsidRPr="00662097" w:rsidRDefault="00483489" w:rsidP="00483489">
            <w:pPr>
              <w:spacing w:before="60" w:after="60" w:line="240" w:lineRule="auto"/>
              <w:jc w:val="center"/>
              <w:rPr>
                <w:rFonts w:ascii="Arial" w:hAnsi="Arial" w:cs="Arial"/>
                <w:sz w:val="16"/>
                <w:szCs w:val="16"/>
              </w:rPr>
            </w:pPr>
            <w:r w:rsidRPr="00662097">
              <w:rPr>
                <w:rFonts w:ascii="Arial" w:hAnsi="Arial" w:cs="Arial"/>
                <w:sz w:val="16"/>
                <w:szCs w:val="16"/>
              </w:rPr>
              <w:t>Grupo Televisa</w:t>
            </w:r>
          </w:p>
        </w:tc>
      </w:tr>
    </w:tbl>
    <w:p w14:paraId="5E5D0A20" w14:textId="77777777" w:rsidR="00A753E4" w:rsidRPr="00662097" w:rsidRDefault="00A753E4" w:rsidP="008D1854">
      <w:pPr>
        <w:rPr>
          <w:rFonts w:ascii="Arial" w:hAnsi="Arial" w:cs="Arial"/>
          <w:bCs/>
          <w:lang w:val="es-MX"/>
        </w:rPr>
      </w:pPr>
    </w:p>
    <w:p w14:paraId="7B5FC963" w14:textId="77777777" w:rsidR="009B0FC9" w:rsidRPr="00662097" w:rsidRDefault="009B0FC9" w:rsidP="008D1854">
      <w:pPr>
        <w:rPr>
          <w:rFonts w:ascii="Arial" w:hAnsi="Arial" w:cs="Arial"/>
          <w:bCs/>
          <w:lang w:val="es-MX"/>
        </w:rPr>
      </w:pPr>
    </w:p>
    <w:p w14:paraId="2865B9DC" w14:textId="77777777" w:rsidR="00A753E4" w:rsidRPr="00662097" w:rsidRDefault="00A753E4" w:rsidP="008D1854">
      <w:pPr>
        <w:rPr>
          <w:rFonts w:ascii="Arial" w:hAnsi="Arial" w:cs="Arial"/>
          <w:bCs/>
          <w:lang w:val="es-MX"/>
        </w:rPr>
      </w:pPr>
    </w:p>
    <w:p w14:paraId="433CB76E" w14:textId="77777777" w:rsidR="00483489" w:rsidRPr="00662097" w:rsidRDefault="00483489" w:rsidP="008D1854">
      <w:pPr>
        <w:rPr>
          <w:rFonts w:ascii="Arial" w:hAnsi="Arial" w:cs="Arial"/>
          <w:bCs/>
          <w:lang w:val="es-MX"/>
        </w:rPr>
      </w:pPr>
    </w:p>
    <w:p w14:paraId="181EB067" w14:textId="09ABECD4" w:rsidR="008D1854" w:rsidRPr="00662097" w:rsidRDefault="008D1854" w:rsidP="008D1854">
      <w:pPr>
        <w:rPr>
          <w:rFonts w:ascii="Arial" w:hAnsi="Arial" w:cs="Arial"/>
          <w:bCs/>
          <w:lang w:val="es-MX"/>
        </w:rPr>
      </w:pPr>
      <w:r w:rsidRPr="00662097">
        <w:rPr>
          <w:rFonts w:ascii="Arial" w:hAnsi="Arial" w:cs="Arial"/>
          <w:bCs/>
          <w:lang w:val="es-MX"/>
        </w:rPr>
        <w:t>Dichos comentarios se encuentran disponibles para su consulta en la página de Internet</w:t>
      </w:r>
      <w:r w:rsidR="00DB7CB9" w:rsidRPr="00662097">
        <w:rPr>
          <w:rFonts w:ascii="Arial" w:hAnsi="Arial" w:cs="Arial"/>
          <w:bCs/>
          <w:lang w:val="es-MX"/>
        </w:rPr>
        <w:t>:</w:t>
      </w:r>
    </w:p>
    <w:p w14:paraId="695D5222" w14:textId="481626A1" w:rsidR="009B0FC9" w:rsidRPr="00662097" w:rsidRDefault="00EA2F13" w:rsidP="008D1854">
      <w:pPr>
        <w:rPr>
          <w:rFonts w:ascii="Arial" w:hAnsi="Arial" w:cs="Arial"/>
          <w:bCs/>
          <w:lang w:val="es-MX"/>
        </w:rPr>
      </w:pPr>
      <w:hyperlink r:id="rId12" w:history="1">
        <w:r w:rsidR="009B0FC9" w:rsidRPr="00662097">
          <w:rPr>
            <w:rStyle w:val="Hipervnculo"/>
            <w:rFonts w:ascii="Arial" w:hAnsi="Arial" w:cs="Arial"/>
            <w:bCs/>
            <w:lang w:val="es-MX"/>
          </w:rPr>
          <w:t>https://www.ift.org.mx/industria/consultas-publicas/consulta-publica-sobre-las-actualizaciones-al-modelo-integral-de-red-de-acceso-fija-para-determinar</w:t>
        </w:r>
      </w:hyperlink>
    </w:p>
    <w:p w14:paraId="6C621B6F" w14:textId="4047ECEE" w:rsidR="008D1854" w:rsidRPr="00662097" w:rsidRDefault="008D1854" w:rsidP="008D1854">
      <w:pPr>
        <w:pStyle w:val="Ttulo4"/>
        <w:rPr>
          <w:rFonts w:ascii="Arial" w:hAnsi="Arial" w:cs="Arial"/>
          <w:lang w:val="es-MX"/>
        </w:rPr>
      </w:pPr>
      <w:r w:rsidRPr="00662097">
        <w:rPr>
          <w:rFonts w:ascii="Arial" w:hAnsi="Arial" w:cs="Arial"/>
          <w:lang w:val="es-MX"/>
        </w:rPr>
        <w:t xml:space="preserve">Respuestas o posicionamientos por parte </w:t>
      </w:r>
      <w:r w:rsidR="00FF1D65">
        <w:rPr>
          <w:rFonts w:ascii="Arial" w:hAnsi="Arial" w:cs="Arial"/>
          <w:lang w:val="es-MX"/>
        </w:rPr>
        <w:t>de la UPR</w:t>
      </w:r>
      <w:r w:rsidR="00CC5EE3" w:rsidRPr="00662097">
        <w:rPr>
          <w:rFonts w:ascii="Arial" w:hAnsi="Arial" w:cs="Arial"/>
          <w:lang w:val="es-MX"/>
        </w:rPr>
        <w:t>:</w:t>
      </w:r>
    </w:p>
    <w:p w14:paraId="0AC35E20" w14:textId="63E53B17" w:rsidR="008D1854" w:rsidRPr="00662097" w:rsidRDefault="008D1854" w:rsidP="008D1854">
      <w:pPr>
        <w:rPr>
          <w:rFonts w:ascii="Arial" w:hAnsi="Arial" w:cs="Arial"/>
          <w:lang w:val="es-MX"/>
        </w:rPr>
      </w:pPr>
      <w:r w:rsidRPr="00662097">
        <w:rPr>
          <w:rFonts w:ascii="Arial" w:hAnsi="Arial" w:cs="Arial"/>
          <w:lang w:val="es-MX"/>
        </w:rPr>
        <w:t>La</w:t>
      </w:r>
      <w:r w:rsidR="00CD66E2" w:rsidRPr="00662097">
        <w:rPr>
          <w:rFonts w:ascii="Arial" w:hAnsi="Arial" w:cs="Arial"/>
          <w:lang w:val="es-MX"/>
        </w:rPr>
        <w:t xml:space="preserve"> siguiente sección </w:t>
      </w:r>
      <w:r w:rsidRPr="00662097">
        <w:rPr>
          <w:rFonts w:ascii="Arial" w:hAnsi="Arial" w:cs="Arial"/>
          <w:lang w:val="es-MX"/>
        </w:rPr>
        <w:t xml:space="preserve">presenta la lista de </w:t>
      </w:r>
      <w:r w:rsidR="00CD66E2" w:rsidRPr="00662097">
        <w:rPr>
          <w:rFonts w:ascii="Arial" w:hAnsi="Arial" w:cs="Arial"/>
          <w:lang w:val="es-MX"/>
        </w:rPr>
        <w:t xml:space="preserve">los comentarios recibidos como </w:t>
      </w:r>
      <w:r w:rsidRPr="00662097">
        <w:rPr>
          <w:rFonts w:ascii="Arial" w:hAnsi="Arial" w:cs="Arial"/>
          <w:lang w:val="es-MX"/>
        </w:rPr>
        <w:t>respuestas a la Consulta Pública sobre la actualización del Modelo Integral</w:t>
      </w:r>
      <w:r w:rsidR="00CD66E2" w:rsidRPr="00662097">
        <w:rPr>
          <w:rFonts w:ascii="Arial" w:hAnsi="Arial" w:cs="Arial"/>
          <w:lang w:val="es-MX"/>
        </w:rPr>
        <w:t xml:space="preserve">, así como la respuesta </w:t>
      </w:r>
      <w:r w:rsidR="00FF1D65">
        <w:rPr>
          <w:rFonts w:ascii="Arial" w:hAnsi="Arial" w:cs="Arial"/>
          <w:lang w:val="es-MX"/>
        </w:rPr>
        <w:t>de la UPR</w:t>
      </w:r>
      <w:r w:rsidR="00CD66E2" w:rsidRPr="00662097">
        <w:rPr>
          <w:rFonts w:ascii="Arial" w:hAnsi="Arial" w:cs="Arial"/>
          <w:lang w:val="es-MX"/>
        </w:rPr>
        <w:t xml:space="preserve"> a los mismo</w:t>
      </w:r>
      <w:r w:rsidR="0018105F" w:rsidRPr="00662097">
        <w:rPr>
          <w:rFonts w:ascii="Arial" w:hAnsi="Arial" w:cs="Arial"/>
          <w:lang w:val="es-MX"/>
        </w:rPr>
        <w:t>s</w:t>
      </w:r>
      <w:r w:rsidRPr="00662097">
        <w:rPr>
          <w:rFonts w:ascii="Arial" w:hAnsi="Arial" w:cs="Arial"/>
          <w:lang w:val="es-MX"/>
        </w:rPr>
        <w:t>.</w:t>
      </w:r>
    </w:p>
    <w:p w14:paraId="6675D6EC" w14:textId="1FE18A9C" w:rsidR="008D1854" w:rsidRPr="00662097" w:rsidRDefault="008D1854" w:rsidP="008D1854">
      <w:pPr>
        <w:rPr>
          <w:rFonts w:ascii="Arial" w:hAnsi="Arial" w:cs="Arial"/>
          <w:i/>
          <w:lang w:val="es-MX" w:eastAsia="es-MX"/>
        </w:rPr>
        <w:sectPr w:rsidR="008D1854" w:rsidRPr="00662097" w:rsidSect="0088158A">
          <w:headerReference w:type="default" r:id="rId13"/>
          <w:footerReference w:type="default" r:id="rId14"/>
          <w:pgSz w:w="11906" w:h="16838" w:code="9"/>
          <w:pgMar w:top="1418" w:right="1418" w:bottom="1418" w:left="1418" w:header="340" w:footer="397" w:gutter="0"/>
          <w:cols w:space="708"/>
          <w:docGrid w:linePitch="360"/>
        </w:sectPr>
      </w:pPr>
    </w:p>
    <w:p w14:paraId="06F9841C" w14:textId="51A2D319" w:rsidR="00E92D59" w:rsidRPr="00662097" w:rsidRDefault="003A6618" w:rsidP="00D2111D">
      <w:pPr>
        <w:pStyle w:val="Ttulo1"/>
        <w:rPr>
          <w:rFonts w:ascii="Arial" w:hAnsi="Arial" w:cs="Arial"/>
        </w:rPr>
      </w:pPr>
      <w:bookmarkStart w:id="11" w:name="_Toc134688637"/>
      <w:bookmarkStart w:id="12" w:name="_Toc134688941"/>
      <w:bookmarkStart w:id="13" w:name="_Toc134688638"/>
      <w:bookmarkStart w:id="14" w:name="_Toc134688942"/>
      <w:bookmarkStart w:id="15" w:name="_Toc134689270"/>
      <w:bookmarkStart w:id="16" w:name="_Toc134689650"/>
      <w:bookmarkStart w:id="17" w:name="_Toc134688639"/>
      <w:bookmarkStart w:id="18" w:name="_Toc134688943"/>
      <w:bookmarkStart w:id="19" w:name="_Toc134689271"/>
      <w:bookmarkStart w:id="20" w:name="_Toc134689651"/>
      <w:bookmarkStart w:id="21" w:name="_Toc134688640"/>
      <w:bookmarkStart w:id="22" w:name="_Toc134688944"/>
      <w:bookmarkEnd w:id="11"/>
      <w:bookmarkEnd w:id="12"/>
      <w:bookmarkEnd w:id="13"/>
      <w:bookmarkEnd w:id="14"/>
      <w:bookmarkEnd w:id="15"/>
      <w:bookmarkEnd w:id="16"/>
      <w:bookmarkEnd w:id="17"/>
      <w:bookmarkEnd w:id="18"/>
      <w:bookmarkEnd w:id="19"/>
      <w:bookmarkEnd w:id="20"/>
      <w:bookmarkEnd w:id="21"/>
      <w:bookmarkEnd w:id="22"/>
      <w:r w:rsidRPr="00662097">
        <w:rPr>
          <w:rFonts w:ascii="Arial" w:hAnsi="Arial" w:cs="Arial"/>
        </w:rPr>
        <w:lastRenderedPageBreak/>
        <w:t>Análisis de los comentarios</w:t>
      </w:r>
    </w:p>
    <w:tbl>
      <w:tblPr>
        <w:tblpPr w:leftFromText="141" w:rightFromText="141" w:vertAnchor="text" w:tblpXSpec="center" w:tblpY="108"/>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1843"/>
        <w:gridCol w:w="6379"/>
        <w:gridCol w:w="4536"/>
      </w:tblGrid>
      <w:tr w:rsidR="00D94CEC" w:rsidRPr="00662097" w14:paraId="3D4023E9" w14:textId="181B7912" w:rsidTr="008F664E">
        <w:trPr>
          <w:trHeight w:val="20"/>
          <w:tblHeader/>
        </w:trPr>
        <w:tc>
          <w:tcPr>
            <w:tcW w:w="1271" w:type="dxa"/>
            <w:tcBorders>
              <w:right w:val="single" w:sz="4" w:space="0" w:color="FFFFFF" w:themeColor="background1"/>
            </w:tcBorders>
            <w:shd w:val="clear" w:color="auto" w:fill="0C2749" w:themeFill="accent1"/>
            <w:vAlign w:val="center"/>
          </w:tcPr>
          <w:p w14:paraId="6601BDE9" w14:textId="6EBA4A91" w:rsidR="00D94CEC" w:rsidRPr="00662097" w:rsidRDefault="00D94CEC" w:rsidP="00362FB5">
            <w:pPr>
              <w:spacing w:before="0" w:after="0" w:line="240" w:lineRule="auto"/>
              <w:jc w:val="center"/>
              <w:rPr>
                <w:rFonts w:ascii="Arial" w:eastAsia="Times New Roman" w:hAnsi="Arial" w:cs="Arial"/>
                <w:b/>
                <w:bCs/>
                <w:color w:val="FFFFFF" w:themeColor="background1"/>
                <w:sz w:val="16"/>
                <w:szCs w:val="16"/>
                <w:lang w:eastAsia="es-MX"/>
              </w:rPr>
            </w:pPr>
            <w:r w:rsidRPr="00662097">
              <w:rPr>
                <w:rFonts w:ascii="Arial" w:eastAsia="Times New Roman" w:hAnsi="Arial" w:cs="Arial"/>
                <w:b/>
                <w:bCs/>
                <w:color w:val="FFFFFF" w:themeColor="background1"/>
                <w:sz w:val="16"/>
                <w:szCs w:val="16"/>
                <w:lang w:eastAsia="es-MX"/>
              </w:rPr>
              <w:t>Participante</w:t>
            </w:r>
          </w:p>
        </w:tc>
        <w:tc>
          <w:tcPr>
            <w:tcW w:w="1843" w:type="dxa"/>
            <w:tcBorders>
              <w:left w:val="single" w:sz="4" w:space="0" w:color="FFFFFF" w:themeColor="background1"/>
              <w:right w:val="single" w:sz="4" w:space="0" w:color="FFFFFF" w:themeColor="background1"/>
            </w:tcBorders>
            <w:shd w:val="clear" w:color="auto" w:fill="0C2749" w:themeFill="accent1"/>
            <w:vAlign w:val="center"/>
            <w:hideMark/>
          </w:tcPr>
          <w:p w14:paraId="488EE51A" w14:textId="69330989" w:rsidR="00D94CEC" w:rsidRPr="00662097" w:rsidRDefault="00D94CEC" w:rsidP="00362FB5">
            <w:pPr>
              <w:spacing w:before="0" w:after="0" w:line="240" w:lineRule="auto"/>
              <w:jc w:val="center"/>
              <w:rPr>
                <w:rFonts w:ascii="Arial" w:eastAsia="Times New Roman" w:hAnsi="Arial" w:cs="Arial"/>
                <w:b/>
                <w:bCs/>
                <w:color w:val="FFFFFF" w:themeColor="background1"/>
                <w:sz w:val="16"/>
                <w:szCs w:val="16"/>
                <w:lang w:eastAsia="es-MX"/>
              </w:rPr>
            </w:pPr>
            <w:r w:rsidRPr="00662097">
              <w:rPr>
                <w:rFonts w:ascii="Arial" w:eastAsia="Times New Roman" w:hAnsi="Arial" w:cs="Arial"/>
                <w:b/>
                <w:bCs/>
                <w:color w:val="FFFFFF" w:themeColor="background1"/>
                <w:sz w:val="16"/>
                <w:szCs w:val="16"/>
                <w:lang w:eastAsia="es-MX"/>
              </w:rPr>
              <w:t>Artículo o apartado</w:t>
            </w:r>
          </w:p>
        </w:tc>
        <w:tc>
          <w:tcPr>
            <w:tcW w:w="6379" w:type="dxa"/>
            <w:tcBorders>
              <w:left w:val="single" w:sz="4" w:space="0" w:color="FFFFFF" w:themeColor="background1"/>
              <w:right w:val="single" w:sz="4" w:space="0" w:color="FFFFFF" w:themeColor="background1"/>
            </w:tcBorders>
            <w:shd w:val="clear" w:color="auto" w:fill="0C2749" w:themeFill="accent1"/>
            <w:vAlign w:val="center"/>
            <w:hideMark/>
          </w:tcPr>
          <w:p w14:paraId="2CF7E605" w14:textId="49FA7F74" w:rsidR="00D94CEC" w:rsidRPr="00662097" w:rsidRDefault="00D94CEC" w:rsidP="00362FB5">
            <w:pPr>
              <w:spacing w:before="0" w:after="0" w:line="240" w:lineRule="auto"/>
              <w:jc w:val="center"/>
              <w:rPr>
                <w:rFonts w:ascii="Arial" w:eastAsia="Times New Roman" w:hAnsi="Arial" w:cs="Arial"/>
                <w:b/>
                <w:bCs/>
                <w:color w:val="FFFFFF" w:themeColor="background1"/>
                <w:sz w:val="16"/>
                <w:szCs w:val="16"/>
                <w:lang w:eastAsia="es-MX"/>
              </w:rPr>
            </w:pPr>
            <w:r w:rsidRPr="00662097">
              <w:rPr>
                <w:rFonts w:ascii="Arial" w:eastAsia="Times New Roman" w:hAnsi="Arial" w:cs="Arial"/>
                <w:b/>
                <w:bCs/>
                <w:color w:val="FFFFFF" w:themeColor="background1"/>
                <w:sz w:val="16"/>
                <w:szCs w:val="16"/>
                <w:lang w:eastAsia="es-MX"/>
              </w:rPr>
              <w:t>Comentario</w:t>
            </w:r>
          </w:p>
        </w:tc>
        <w:tc>
          <w:tcPr>
            <w:tcW w:w="4536" w:type="dxa"/>
            <w:tcBorders>
              <w:left w:val="single" w:sz="4" w:space="0" w:color="FFFFFF" w:themeColor="background1"/>
            </w:tcBorders>
            <w:shd w:val="clear" w:color="auto" w:fill="0C2749" w:themeFill="accent1"/>
            <w:vAlign w:val="center"/>
          </w:tcPr>
          <w:p w14:paraId="71007623" w14:textId="54377714" w:rsidR="00D94CEC" w:rsidRPr="00662097" w:rsidRDefault="00D94CEC" w:rsidP="00A229E8">
            <w:pPr>
              <w:spacing w:before="0" w:after="0" w:line="240" w:lineRule="auto"/>
              <w:jc w:val="center"/>
              <w:rPr>
                <w:rFonts w:ascii="Arial" w:eastAsia="Times New Roman" w:hAnsi="Arial" w:cs="Arial"/>
                <w:b/>
                <w:bCs/>
                <w:color w:val="FFFFFF" w:themeColor="background1"/>
                <w:sz w:val="16"/>
                <w:szCs w:val="16"/>
                <w:lang w:eastAsia="es-MX"/>
              </w:rPr>
            </w:pPr>
            <w:r w:rsidRPr="00662097">
              <w:rPr>
                <w:rFonts w:ascii="Arial" w:eastAsia="Times New Roman" w:hAnsi="Arial" w:cs="Arial"/>
                <w:b/>
                <w:bCs/>
                <w:color w:val="FFFFFF" w:themeColor="background1"/>
                <w:sz w:val="16"/>
                <w:szCs w:val="16"/>
                <w:lang w:eastAsia="es-MX"/>
              </w:rPr>
              <w:t>Respuesta</w:t>
            </w:r>
          </w:p>
        </w:tc>
      </w:tr>
      <w:tr w:rsidR="00D94CEC" w:rsidRPr="00662097" w14:paraId="7C82BBF7" w14:textId="307F8C15" w:rsidTr="008F664E">
        <w:trPr>
          <w:trHeight w:val="20"/>
        </w:trPr>
        <w:tc>
          <w:tcPr>
            <w:tcW w:w="1271" w:type="dxa"/>
            <w:vAlign w:val="center"/>
          </w:tcPr>
          <w:p w14:paraId="609BBBE3" w14:textId="7A9F09AB" w:rsidR="00D94CEC" w:rsidRPr="00662097" w:rsidRDefault="00D94CEC" w:rsidP="007E1C47">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Mega Cable</w:t>
            </w:r>
          </w:p>
        </w:tc>
        <w:tc>
          <w:tcPr>
            <w:tcW w:w="1843" w:type="dxa"/>
            <w:shd w:val="clear" w:color="auto" w:fill="auto"/>
            <w:vAlign w:val="center"/>
          </w:tcPr>
          <w:p w14:paraId="11F997BF" w14:textId="193F8AE8" w:rsidR="00D94CEC" w:rsidRPr="00662097" w:rsidRDefault="00D94CEC" w:rsidP="007E1C47">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2.1 Principios principales establecidos en el marco regulatorio y 2.2 Operador Modelado</w:t>
            </w:r>
          </w:p>
        </w:tc>
        <w:tc>
          <w:tcPr>
            <w:tcW w:w="6379" w:type="dxa"/>
            <w:shd w:val="clear" w:color="auto" w:fill="auto"/>
            <w:vAlign w:val="center"/>
          </w:tcPr>
          <w:p w14:paraId="3DDA95F6" w14:textId="3C6E5C14" w:rsidR="00D94CEC" w:rsidRPr="00662097" w:rsidRDefault="00D94CEC" w:rsidP="007E1C47">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En opinión de Mega Cable, en las actualizaciones al </w:t>
            </w:r>
            <w:r w:rsidRPr="00662097">
              <w:rPr>
                <w:rFonts w:ascii="Arial" w:eastAsia="Times New Roman" w:hAnsi="Arial" w:cs="Arial"/>
                <w:i/>
                <w:color w:val="000000"/>
                <w:sz w:val="16"/>
                <w:szCs w:val="16"/>
                <w:lang w:eastAsia="es-MX"/>
              </w:rPr>
              <w:t>Modelo Integral de Red de Acceso fija para determinar tarifas de servicios de compartición de infraestructura pasiva y de desagregación del AEP en telecomunicaciones</w:t>
            </w:r>
            <w:r w:rsidRPr="00662097">
              <w:rPr>
                <w:rFonts w:ascii="Arial" w:eastAsia="Times New Roman" w:hAnsi="Arial" w:cs="Arial"/>
                <w:color w:val="000000"/>
                <w:sz w:val="16"/>
                <w:szCs w:val="16"/>
                <w:lang w:eastAsia="es-MX"/>
              </w:rPr>
              <w:t xml:space="preserve"> (“Modelo Integral”)</w:t>
            </w:r>
            <w:r w:rsidR="00D77FAF" w:rsidRPr="00662097">
              <w:rPr>
                <w:rFonts w:ascii="Arial" w:eastAsia="Times New Roman" w:hAnsi="Arial" w:cs="Arial"/>
                <w:color w:val="000000"/>
                <w:sz w:val="16"/>
                <w:szCs w:val="16"/>
                <w:lang w:eastAsia="es-MX"/>
              </w:rPr>
              <w:t>,</w:t>
            </w:r>
            <w:r w:rsidRPr="00662097">
              <w:rPr>
                <w:rFonts w:ascii="Arial" w:eastAsia="Times New Roman" w:hAnsi="Arial" w:cs="Arial"/>
                <w:color w:val="000000"/>
                <w:sz w:val="16"/>
                <w:szCs w:val="16"/>
                <w:lang w:eastAsia="es-MX"/>
              </w:rPr>
              <w:t xml:space="preserve"> </w:t>
            </w:r>
            <w:r w:rsidR="00D77FAF" w:rsidRPr="00662097">
              <w:rPr>
                <w:rFonts w:ascii="Arial" w:eastAsia="Times New Roman" w:hAnsi="Arial" w:cs="Arial"/>
                <w:color w:val="000000"/>
                <w:sz w:val="16"/>
                <w:szCs w:val="16"/>
                <w:lang w:eastAsia="es-MX"/>
              </w:rPr>
              <w:t xml:space="preserve">existe </w:t>
            </w:r>
            <w:r w:rsidRPr="00662097">
              <w:rPr>
                <w:rFonts w:ascii="Arial" w:eastAsia="Times New Roman" w:hAnsi="Arial" w:cs="Arial"/>
                <w:color w:val="000000"/>
                <w:sz w:val="16"/>
                <w:szCs w:val="16"/>
                <w:lang w:eastAsia="es-MX"/>
              </w:rPr>
              <w:t xml:space="preserve">una desconexión entre el enfoque conceptual y la implementación del modelo. </w:t>
            </w:r>
          </w:p>
          <w:p w14:paraId="7B7F9372" w14:textId="6C48BF2A" w:rsidR="00D94CEC" w:rsidRPr="00662097" w:rsidRDefault="00D94CEC" w:rsidP="007E1C47">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Contrario a lo señalado en el </w:t>
            </w:r>
            <w:r w:rsidRPr="00662097">
              <w:rPr>
                <w:rFonts w:ascii="Arial" w:eastAsia="Times New Roman" w:hAnsi="Arial" w:cs="Arial"/>
                <w:i/>
                <w:color w:val="000000"/>
                <w:sz w:val="16"/>
                <w:szCs w:val="16"/>
                <w:lang w:eastAsia="es-MX"/>
              </w:rPr>
              <w:t>Documento Metodológico y Descriptivo</w:t>
            </w:r>
            <w:r w:rsidRPr="00662097">
              <w:rPr>
                <w:rFonts w:ascii="Arial" w:eastAsia="Times New Roman" w:hAnsi="Arial" w:cs="Arial"/>
                <w:color w:val="000000"/>
                <w:sz w:val="16"/>
                <w:szCs w:val="16"/>
                <w:lang w:eastAsia="es-MX"/>
              </w:rPr>
              <w:t xml:space="preserve"> (“Documento Metodológico”), las consideraciones en el mismo documento, en el Documento Actualización, así como del contenido en el archivo de Excel que contiene el Modelo, se observa que este último, lejos de basarse en un operador hipotético eficiente basado en aspectos generales de la red de acceso del Agente Económico Preponderante (“AEP”), en realidad se sustenta en un alto grado en características propias y datos e información operativos y contables del AEP.</w:t>
            </w:r>
          </w:p>
          <w:p w14:paraId="074781F1" w14:textId="33B6754D" w:rsidR="00D94CEC" w:rsidRPr="00662097" w:rsidRDefault="00D94CEC" w:rsidP="007E1C47">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Por lo tanto, es muy probable que los resultados del Modelo Integral reflejen en las tarifas las ineficiencias y distorsiones resultantes de darle demasiado peso a la información operativa y financiera del AEP. Lo anterior parece ser inconsistente con los criterios establecidos en la Resolución de Preponderancia y en mejores prácticas internacionales.</w:t>
            </w:r>
          </w:p>
          <w:p w14:paraId="581E8269" w14:textId="77777777" w:rsidR="00D94CEC" w:rsidRPr="00662097" w:rsidRDefault="00D94CEC" w:rsidP="007E1C47">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En particular, lo que se describe en los documentos señalados no es muy compatible con un enfoque ingenieril o </w:t>
            </w:r>
            <w:r w:rsidRPr="00662097">
              <w:rPr>
                <w:rFonts w:ascii="Arial" w:eastAsia="Times New Roman" w:hAnsi="Arial" w:cs="Arial"/>
                <w:i/>
                <w:iCs/>
                <w:color w:val="000000"/>
                <w:sz w:val="16"/>
                <w:szCs w:val="16"/>
                <w:lang w:eastAsia="es-MX"/>
              </w:rPr>
              <w:t xml:space="preserve">bottom-up, </w:t>
            </w:r>
            <w:r w:rsidRPr="00662097">
              <w:rPr>
                <w:rFonts w:ascii="Arial" w:eastAsia="Times New Roman" w:hAnsi="Arial" w:cs="Arial"/>
                <w:iCs/>
                <w:color w:val="000000"/>
                <w:sz w:val="16"/>
                <w:szCs w:val="16"/>
                <w:lang w:eastAsia="es-MX"/>
              </w:rPr>
              <w:t>cuando se parte de la arquitectura, diseño y cobertura de la red del AEP, lo cual corresponde más bien a un</w:t>
            </w:r>
            <w:r w:rsidRPr="00662097">
              <w:rPr>
                <w:rFonts w:ascii="Arial" w:eastAsia="Times New Roman" w:hAnsi="Arial" w:cs="Arial"/>
                <w:color w:val="000000"/>
                <w:sz w:val="16"/>
                <w:szCs w:val="16"/>
                <w:lang w:eastAsia="es-MX"/>
              </w:rPr>
              <w:t xml:space="preserve"> modelo </w:t>
            </w:r>
            <w:r w:rsidRPr="00662097">
              <w:rPr>
                <w:rFonts w:ascii="Arial" w:eastAsia="Times New Roman" w:hAnsi="Arial" w:cs="Arial"/>
                <w:i/>
                <w:iCs/>
                <w:color w:val="000000"/>
                <w:sz w:val="16"/>
                <w:szCs w:val="16"/>
                <w:lang w:eastAsia="es-MX"/>
              </w:rPr>
              <w:t>top-</w:t>
            </w:r>
            <w:proofErr w:type="spellStart"/>
            <w:r w:rsidRPr="00662097">
              <w:rPr>
                <w:rFonts w:ascii="Arial" w:eastAsia="Times New Roman" w:hAnsi="Arial" w:cs="Arial"/>
                <w:i/>
                <w:iCs/>
                <w:color w:val="000000"/>
                <w:sz w:val="16"/>
                <w:szCs w:val="16"/>
                <w:lang w:eastAsia="es-MX"/>
              </w:rPr>
              <w:t>down</w:t>
            </w:r>
            <w:proofErr w:type="spellEnd"/>
            <w:r w:rsidRPr="00662097">
              <w:rPr>
                <w:rFonts w:ascii="Arial" w:eastAsia="Times New Roman" w:hAnsi="Arial" w:cs="Arial"/>
                <w:color w:val="000000"/>
                <w:sz w:val="16"/>
                <w:szCs w:val="16"/>
                <w:lang w:eastAsia="es-MX"/>
              </w:rPr>
              <w:t xml:space="preserve">, al que se le incorporan algunos elementos de optimización. </w:t>
            </w:r>
          </w:p>
          <w:p w14:paraId="4E52FFDB" w14:textId="139F0F66" w:rsidR="00D94CEC" w:rsidRPr="00662097" w:rsidRDefault="00D94CEC" w:rsidP="007E1C47">
            <w:pPr>
              <w:spacing w:before="120" w:after="120" w:line="240" w:lineRule="auto"/>
              <w:rPr>
                <w:rFonts w:ascii="Arial" w:hAnsi="Arial" w:cs="Arial"/>
                <w:sz w:val="16"/>
                <w:szCs w:val="16"/>
              </w:rPr>
            </w:pPr>
            <w:r w:rsidRPr="00662097">
              <w:rPr>
                <w:rFonts w:ascii="Arial" w:hAnsi="Arial" w:cs="Arial"/>
                <w:sz w:val="16"/>
                <w:szCs w:val="16"/>
              </w:rPr>
              <w:t>En efecto, el Modelo Integral incorpora no solo la conformación de la red del AEP, sino también sus reglas de ingeniería y su información de demanda, costos y financiera, cuando en todo caso, toda esta información se debería utilizar solamente para calibrar el Modelo.</w:t>
            </w:r>
          </w:p>
          <w:p w14:paraId="612E640D" w14:textId="2B964EA6" w:rsidR="00D94CEC" w:rsidRPr="00662097" w:rsidRDefault="00D94CEC" w:rsidP="007E1C47">
            <w:pPr>
              <w:pStyle w:val="Default"/>
              <w:spacing w:before="120" w:after="120"/>
              <w:jc w:val="both"/>
              <w:rPr>
                <w:rFonts w:ascii="Arial" w:hAnsi="Arial" w:cs="Arial"/>
                <w:sz w:val="16"/>
                <w:szCs w:val="16"/>
              </w:rPr>
            </w:pPr>
            <w:r w:rsidRPr="00662097">
              <w:rPr>
                <w:rFonts w:ascii="Arial" w:hAnsi="Arial" w:cs="Arial"/>
                <w:sz w:val="16"/>
                <w:szCs w:val="16"/>
              </w:rPr>
              <w:t xml:space="preserve">Por ejemplo, tómese en cuenta las decisiones de inversión del AEP. Si el despliegue (nodos, casas pasadas, líneas activas) de la red de fibra FTTH modelada se basa en las decisiones de inversión de aquel agente económico, entonces no puede corresponder a un operador hipotético eficiente, pues estará reflejando decisiones históricas, la mayoría ineficientes, en un entorno donde además no existen condiciones de competencia efectiva. </w:t>
            </w:r>
          </w:p>
          <w:p w14:paraId="501B6BA8" w14:textId="77777777" w:rsidR="00D94CEC" w:rsidRPr="00662097" w:rsidRDefault="00D94CEC" w:rsidP="007E1C47">
            <w:pPr>
              <w:autoSpaceDE w:val="0"/>
              <w:autoSpaceDN w:val="0"/>
              <w:adjustRightInd w:val="0"/>
              <w:spacing w:before="0" w:after="120" w:line="240" w:lineRule="auto"/>
              <w:rPr>
                <w:rFonts w:ascii="Arial" w:hAnsi="Arial" w:cs="Arial"/>
                <w:sz w:val="16"/>
                <w:szCs w:val="16"/>
              </w:rPr>
            </w:pPr>
            <w:r w:rsidRPr="00662097">
              <w:rPr>
                <w:rFonts w:ascii="Arial" w:hAnsi="Arial" w:cs="Arial"/>
                <w:sz w:val="16"/>
                <w:szCs w:val="16"/>
              </w:rPr>
              <w:t>Además, la excesiva dependencia del Modelo Integral en la información del AEP muy probablemente se traduzca en que las tarifas de los servicios mayoristas continúen sin promover mayores condiciones de competencia en el sector, ni tampoco generen los incentivos adecuados de eficiencia estática y dinámica al AEP.</w:t>
            </w:r>
          </w:p>
          <w:p w14:paraId="1118B920" w14:textId="14043D70" w:rsidR="00D94CEC" w:rsidRPr="00662097" w:rsidRDefault="00D94CEC" w:rsidP="007E1C47">
            <w:pPr>
              <w:pStyle w:val="Default"/>
              <w:spacing w:after="120"/>
              <w:jc w:val="both"/>
              <w:rPr>
                <w:rFonts w:ascii="Arial" w:hAnsi="Arial" w:cs="Arial"/>
                <w:sz w:val="16"/>
                <w:szCs w:val="16"/>
              </w:rPr>
            </w:pPr>
            <w:r w:rsidRPr="00662097">
              <w:rPr>
                <w:rFonts w:ascii="Arial" w:hAnsi="Arial" w:cs="Arial"/>
                <w:sz w:val="16"/>
                <w:szCs w:val="16"/>
              </w:rPr>
              <w:t>Por lo tanto, se solicita al IFT que, con respecto al Modelo Integral, reduzca en la medida de lo posible la utilización de datos financieros y contables, así como reglas de ingeniería y operativas proporcionados por el AEP.</w:t>
            </w:r>
          </w:p>
        </w:tc>
        <w:tc>
          <w:tcPr>
            <w:tcW w:w="4536" w:type="dxa"/>
          </w:tcPr>
          <w:p w14:paraId="37F6F96A" w14:textId="4907DA1E" w:rsidR="00D94CEC" w:rsidRPr="00662097" w:rsidRDefault="006E77B5" w:rsidP="00A229E8">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L</w:t>
            </w:r>
            <w:r w:rsidR="00D94CEC" w:rsidRPr="00662097">
              <w:rPr>
                <w:rFonts w:ascii="Arial" w:eastAsia="Times New Roman" w:hAnsi="Arial" w:cs="Arial"/>
                <w:color w:val="000000"/>
                <w:sz w:val="16"/>
                <w:szCs w:val="16"/>
                <w:lang w:eastAsia="es-MX"/>
              </w:rPr>
              <w:t xml:space="preserve">a modelación </w:t>
            </w:r>
            <w:r w:rsidR="00D94CEC" w:rsidRPr="00662097">
              <w:rPr>
                <w:rFonts w:ascii="Arial" w:eastAsia="Times New Roman" w:hAnsi="Arial" w:cs="Arial"/>
                <w:i/>
                <w:iCs/>
                <w:color w:val="000000"/>
                <w:sz w:val="16"/>
                <w:szCs w:val="16"/>
                <w:lang w:eastAsia="es-MX"/>
              </w:rPr>
              <w:t>bottom-up</w:t>
            </w:r>
            <w:r w:rsidR="00D94CEC" w:rsidRPr="00662097">
              <w:rPr>
                <w:rFonts w:ascii="Arial" w:eastAsia="Times New Roman" w:hAnsi="Arial" w:cs="Arial"/>
                <w:color w:val="000000"/>
                <w:sz w:val="16"/>
                <w:szCs w:val="16"/>
                <w:lang w:eastAsia="es-MX"/>
              </w:rPr>
              <w:t xml:space="preserve"> de un operador hipotético eficiente no entra en conflicto con el hecho de que dicha modelación deba basarse y por tanto tener en cuenta </w:t>
            </w:r>
            <w:r w:rsidR="00E724CE" w:rsidRPr="00662097">
              <w:rPr>
                <w:rFonts w:ascii="Arial" w:eastAsia="Times New Roman" w:hAnsi="Arial" w:cs="Arial"/>
                <w:color w:val="000000"/>
                <w:sz w:val="16"/>
                <w:szCs w:val="16"/>
                <w:lang w:eastAsia="es-MX"/>
              </w:rPr>
              <w:t xml:space="preserve">ciertas </w:t>
            </w:r>
            <w:r w:rsidR="00D94CEC" w:rsidRPr="00662097">
              <w:rPr>
                <w:rFonts w:ascii="Arial" w:eastAsia="Times New Roman" w:hAnsi="Arial" w:cs="Arial"/>
                <w:color w:val="000000"/>
                <w:sz w:val="16"/>
                <w:szCs w:val="16"/>
                <w:lang w:eastAsia="es-MX"/>
              </w:rPr>
              <w:t>características del AEP sujeto a regulación, siempre y cuando dichas características no contradigan el principio de eficiencia. Esta cualidad puede identificarse</w:t>
            </w:r>
            <w:r w:rsidR="00C94720" w:rsidRPr="00662097">
              <w:rPr>
                <w:rFonts w:ascii="Arial" w:eastAsia="Times New Roman" w:hAnsi="Arial" w:cs="Arial"/>
                <w:color w:val="000000"/>
                <w:sz w:val="16"/>
                <w:szCs w:val="16"/>
                <w:lang w:eastAsia="es-MX"/>
              </w:rPr>
              <w:t xml:space="preserve"> a modo de ejemplo</w:t>
            </w:r>
            <w:r w:rsidR="00D94CEC" w:rsidRPr="00662097">
              <w:rPr>
                <w:rFonts w:ascii="Arial" w:eastAsia="Times New Roman" w:hAnsi="Arial" w:cs="Arial"/>
                <w:color w:val="000000"/>
                <w:sz w:val="16"/>
                <w:szCs w:val="16"/>
                <w:lang w:eastAsia="es-MX"/>
              </w:rPr>
              <w:t xml:space="preserve"> en </w:t>
            </w:r>
            <w:r w:rsidR="00C94720" w:rsidRPr="00662097">
              <w:rPr>
                <w:rFonts w:ascii="Arial" w:eastAsia="Times New Roman" w:hAnsi="Arial" w:cs="Arial"/>
                <w:color w:val="000000"/>
                <w:sz w:val="16"/>
                <w:szCs w:val="16"/>
                <w:lang w:eastAsia="es-MX"/>
              </w:rPr>
              <w:t xml:space="preserve">el Criterio 4 descrito </w:t>
            </w:r>
            <w:r w:rsidR="00D94CEC" w:rsidRPr="00662097">
              <w:rPr>
                <w:rFonts w:ascii="Arial" w:eastAsia="Times New Roman" w:hAnsi="Arial" w:cs="Arial"/>
                <w:color w:val="000000"/>
                <w:sz w:val="16"/>
                <w:szCs w:val="16"/>
                <w:lang w:eastAsia="es-MX"/>
              </w:rPr>
              <w:t>en el propio Documento Metodológico</w:t>
            </w:r>
            <w:r w:rsidR="00C94720" w:rsidRPr="00662097">
              <w:rPr>
                <w:rFonts w:ascii="Arial" w:eastAsia="Times New Roman" w:hAnsi="Arial" w:cs="Arial"/>
                <w:color w:val="000000"/>
                <w:sz w:val="16"/>
                <w:szCs w:val="16"/>
                <w:lang w:eastAsia="es-MX"/>
              </w:rPr>
              <w:t>:</w:t>
            </w:r>
          </w:p>
          <w:p w14:paraId="779CB325" w14:textId="69B9AFC3" w:rsidR="00D94CEC" w:rsidRPr="00662097" w:rsidRDefault="00D94CEC" w:rsidP="00A229E8">
            <w:pPr>
              <w:spacing w:before="120" w:after="120" w:line="240" w:lineRule="auto"/>
              <w:ind w:left="567"/>
              <w:rPr>
                <w:rFonts w:ascii="Arial" w:eastAsia="Times New Roman" w:hAnsi="Arial" w:cs="Arial"/>
                <w:i/>
                <w:iCs/>
                <w:color w:val="000000"/>
                <w:sz w:val="16"/>
                <w:szCs w:val="16"/>
                <w:lang w:eastAsia="es-MX"/>
              </w:rPr>
            </w:pPr>
            <w:r w:rsidRPr="00662097">
              <w:rPr>
                <w:rFonts w:ascii="Arial" w:eastAsia="Times New Roman" w:hAnsi="Arial" w:cs="Arial"/>
                <w:i/>
                <w:iCs/>
                <w:color w:val="000000"/>
                <w:sz w:val="16"/>
                <w:szCs w:val="16"/>
                <w:lang w:eastAsia="es-MX"/>
              </w:rPr>
              <w:t xml:space="preserve">Criterio 4: “El operador modelado es un operador hipotéticamente eficiente </w:t>
            </w:r>
            <w:r w:rsidRPr="00662097">
              <w:rPr>
                <w:rFonts w:ascii="Arial" w:eastAsia="Times New Roman" w:hAnsi="Arial" w:cs="Arial"/>
                <w:i/>
                <w:iCs/>
                <w:color w:val="000000"/>
                <w:sz w:val="16"/>
                <w:szCs w:val="16"/>
                <w:u w:val="single"/>
                <w:lang w:eastAsia="es-MX"/>
              </w:rPr>
              <w:t>basado en el AEP</w:t>
            </w:r>
            <w:r w:rsidRPr="00662097">
              <w:rPr>
                <w:rFonts w:ascii="Arial" w:eastAsia="Times New Roman" w:hAnsi="Arial" w:cs="Arial"/>
                <w:i/>
                <w:iCs/>
                <w:color w:val="000000"/>
                <w:sz w:val="16"/>
                <w:szCs w:val="16"/>
                <w:lang w:eastAsia="es-MX"/>
              </w:rPr>
              <w:t>”.</w:t>
            </w:r>
          </w:p>
          <w:p w14:paraId="6F6238B5" w14:textId="2810E724" w:rsidR="00D94CEC" w:rsidRPr="00662097" w:rsidRDefault="00D94CEC" w:rsidP="00A229E8">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Adicionalmente a lo anterior, resulta importante resaltar los siguientes aspectos:</w:t>
            </w:r>
          </w:p>
          <w:p w14:paraId="6C092E3E" w14:textId="4AC51BCD" w:rsidR="00D94CEC" w:rsidRPr="00662097" w:rsidRDefault="00D94CEC" w:rsidP="00570AFE">
            <w:pPr>
              <w:pStyle w:val="Prrafodelista"/>
              <w:numPr>
                <w:ilvl w:val="0"/>
                <w:numId w:val="15"/>
              </w:numPr>
              <w:spacing w:before="120" w:after="120" w:line="240" w:lineRule="auto"/>
              <w:rPr>
                <w:rFonts w:ascii="Arial" w:hAnsi="Arial" w:cs="Arial"/>
                <w:color w:val="000000"/>
                <w:sz w:val="16"/>
                <w:szCs w:val="16"/>
                <w:lang w:eastAsia="es-MX"/>
              </w:rPr>
            </w:pPr>
            <w:r w:rsidRPr="00662097">
              <w:rPr>
                <w:rFonts w:ascii="Arial" w:hAnsi="Arial" w:cs="Arial"/>
                <w:color w:val="000000"/>
                <w:sz w:val="16"/>
                <w:szCs w:val="16"/>
                <w:lang w:eastAsia="es-MX"/>
              </w:rPr>
              <w:t xml:space="preserve">El hecho de basar la modelación en </w:t>
            </w:r>
            <w:r w:rsidR="003F716F" w:rsidRPr="00662097">
              <w:rPr>
                <w:rFonts w:ascii="Arial" w:hAnsi="Arial" w:cs="Arial"/>
                <w:color w:val="000000"/>
                <w:sz w:val="16"/>
                <w:szCs w:val="16"/>
                <w:lang w:eastAsia="es-MX"/>
              </w:rPr>
              <w:t xml:space="preserve">ciertas </w:t>
            </w:r>
            <w:r w:rsidRPr="00662097">
              <w:rPr>
                <w:rFonts w:ascii="Arial" w:hAnsi="Arial" w:cs="Arial"/>
                <w:color w:val="000000"/>
                <w:sz w:val="16"/>
                <w:szCs w:val="16"/>
                <w:lang w:eastAsia="es-MX"/>
              </w:rPr>
              <w:t xml:space="preserve">características propias del AEP se encuentra totalmente alineado con las mejores prácticas internacionales empleadas por otros reguladores. De lo contrario, el Modelo debería </w:t>
            </w:r>
            <w:r w:rsidR="003F716F" w:rsidRPr="00662097">
              <w:rPr>
                <w:rFonts w:ascii="Arial" w:hAnsi="Arial" w:cs="Arial"/>
                <w:color w:val="000000"/>
                <w:sz w:val="16"/>
                <w:szCs w:val="16"/>
                <w:lang w:eastAsia="es-MX"/>
              </w:rPr>
              <w:t xml:space="preserve">apoyarse </w:t>
            </w:r>
            <w:r w:rsidRPr="00662097">
              <w:rPr>
                <w:rFonts w:ascii="Arial" w:hAnsi="Arial" w:cs="Arial"/>
                <w:color w:val="000000"/>
                <w:sz w:val="16"/>
                <w:szCs w:val="16"/>
                <w:lang w:eastAsia="es-MX"/>
              </w:rPr>
              <w:t xml:space="preserve">en un gran número de hipótesis teóricas que </w:t>
            </w:r>
            <w:r w:rsidR="006E77B5" w:rsidRPr="00662097">
              <w:rPr>
                <w:rFonts w:ascii="Arial" w:hAnsi="Arial" w:cs="Arial"/>
                <w:color w:val="000000"/>
                <w:sz w:val="16"/>
                <w:szCs w:val="16"/>
                <w:lang w:eastAsia="es-MX"/>
              </w:rPr>
              <w:t xml:space="preserve">podrían </w:t>
            </w:r>
            <w:r w:rsidRPr="00662097">
              <w:rPr>
                <w:rFonts w:ascii="Arial" w:hAnsi="Arial" w:cs="Arial"/>
                <w:color w:val="000000"/>
                <w:sz w:val="16"/>
                <w:szCs w:val="16"/>
                <w:lang w:eastAsia="es-MX"/>
              </w:rPr>
              <w:t xml:space="preserve">no </w:t>
            </w:r>
            <w:r w:rsidR="006E77B5" w:rsidRPr="00662097">
              <w:rPr>
                <w:rFonts w:ascii="Arial" w:hAnsi="Arial" w:cs="Arial"/>
                <w:color w:val="000000"/>
                <w:sz w:val="16"/>
                <w:szCs w:val="16"/>
                <w:lang w:eastAsia="es-MX"/>
              </w:rPr>
              <w:t>tener</w:t>
            </w:r>
            <w:r w:rsidRPr="00662097">
              <w:rPr>
                <w:rFonts w:ascii="Arial" w:hAnsi="Arial" w:cs="Arial"/>
                <w:color w:val="000000"/>
                <w:sz w:val="16"/>
                <w:szCs w:val="16"/>
                <w:lang w:eastAsia="es-MX"/>
              </w:rPr>
              <w:t xml:space="preserve"> sustento.</w:t>
            </w:r>
          </w:p>
          <w:p w14:paraId="2D37C7E5" w14:textId="77777777" w:rsidR="00D94CEC" w:rsidRPr="00662097" w:rsidRDefault="00D94CEC" w:rsidP="00570AFE">
            <w:pPr>
              <w:pStyle w:val="Prrafodelista"/>
              <w:numPr>
                <w:ilvl w:val="0"/>
                <w:numId w:val="15"/>
              </w:numPr>
              <w:spacing w:before="120" w:after="120" w:line="240" w:lineRule="auto"/>
              <w:rPr>
                <w:rFonts w:ascii="Arial" w:hAnsi="Arial" w:cs="Arial"/>
                <w:color w:val="000000"/>
                <w:sz w:val="16"/>
                <w:szCs w:val="16"/>
                <w:lang w:eastAsia="es-MX"/>
              </w:rPr>
            </w:pPr>
            <w:r w:rsidRPr="00662097">
              <w:rPr>
                <w:rFonts w:ascii="Arial" w:hAnsi="Arial" w:cs="Arial"/>
                <w:color w:val="000000"/>
                <w:sz w:val="16"/>
                <w:szCs w:val="16"/>
                <w:lang w:eastAsia="es-MX"/>
              </w:rPr>
              <w:t>El Modelo ya incorpora ajustes para aquellos aspectos que se consideran una ineficiencia del AEP como, por ejemplo, aquellos ajustes descritos en la sección “3.2. Análisis geomarketing” del Documento Metodológico.</w:t>
            </w:r>
          </w:p>
          <w:p w14:paraId="282DC48B" w14:textId="3DA40D0D" w:rsidR="006E77B5" w:rsidRPr="00662097" w:rsidRDefault="006E77B5" w:rsidP="00570AFE">
            <w:pPr>
              <w:pStyle w:val="Prrafodelista"/>
              <w:numPr>
                <w:ilvl w:val="0"/>
                <w:numId w:val="15"/>
              </w:numPr>
              <w:spacing w:before="120" w:after="120" w:line="240" w:lineRule="auto"/>
              <w:rPr>
                <w:rFonts w:ascii="Arial" w:hAnsi="Arial" w:cs="Arial"/>
                <w:color w:val="000000"/>
                <w:sz w:val="16"/>
                <w:szCs w:val="16"/>
                <w:lang w:eastAsia="es-MX"/>
              </w:rPr>
            </w:pPr>
            <w:r w:rsidRPr="00662097">
              <w:rPr>
                <w:rFonts w:ascii="Arial" w:hAnsi="Arial" w:cs="Arial"/>
                <w:color w:val="000000"/>
                <w:sz w:val="16"/>
                <w:szCs w:val="16"/>
                <w:lang w:eastAsia="es-MX"/>
              </w:rPr>
              <w:t xml:space="preserve">Con independencia de lo anterior, </w:t>
            </w:r>
            <w:r w:rsidR="006B112D">
              <w:rPr>
                <w:rFonts w:ascii="Arial" w:hAnsi="Arial" w:cs="Arial"/>
                <w:color w:val="000000"/>
                <w:sz w:val="16"/>
                <w:szCs w:val="16"/>
                <w:lang w:eastAsia="es-MX"/>
              </w:rPr>
              <w:t>la UPR</w:t>
            </w:r>
            <w:r w:rsidRPr="00662097">
              <w:rPr>
                <w:rFonts w:ascii="Arial" w:hAnsi="Arial" w:cs="Arial"/>
                <w:color w:val="000000"/>
                <w:sz w:val="16"/>
                <w:szCs w:val="16"/>
                <w:lang w:eastAsia="es-MX"/>
              </w:rPr>
              <w:t xml:space="preserve"> considera procedente revisar los parámetros.</w:t>
            </w:r>
          </w:p>
        </w:tc>
      </w:tr>
      <w:tr w:rsidR="00D94CEC" w:rsidRPr="00662097" w14:paraId="011F7A42" w14:textId="77777777" w:rsidTr="008F664E">
        <w:trPr>
          <w:trHeight w:val="20"/>
        </w:trPr>
        <w:tc>
          <w:tcPr>
            <w:tcW w:w="1271" w:type="dxa"/>
            <w:vAlign w:val="center"/>
          </w:tcPr>
          <w:p w14:paraId="2E1FB7FE" w14:textId="60A74ABA" w:rsidR="00D94CEC" w:rsidRPr="00662097" w:rsidRDefault="00D94CEC" w:rsidP="007E1C47">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lastRenderedPageBreak/>
              <w:t>CANIETI</w:t>
            </w:r>
          </w:p>
        </w:tc>
        <w:tc>
          <w:tcPr>
            <w:tcW w:w="1843" w:type="dxa"/>
            <w:shd w:val="clear" w:color="auto" w:fill="auto"/>
            <w:vAlign w:val="center"/>
          </w:tcPr>
          <w:p w14:paraId="11E24C64" w14:textId="3DF4E1F0" w:rsidR="00D94CEC" w:rsidRPr="00662097" w:rsidRDefault="00D94CEC" w:rsidP="007E1C47">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2.1 Principios principales establecidos en el marco regulatorio y 2.2 Operador modelado</w:t>
            </w:r>
          </w:p>
        </w:tc>
        <w:tc>
          <w:tcPr>
            <w:tcW w:w="6379" w:type="dxa"/>
            <w:shd w:val="clear" w:color="auto" w:fill="auto"/>
            <w:vAlign w:val="center"/>
          </w:tcPr>
          <w:p w14:paraId="4397A2A0" w14:textId="2987D57C" w:rsidR="00D94CEC" w:rsidRPr="00662097" w:rsidRDefault="00D94CEC" w:rsidP="00E50C33">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Contrario a lo señalado en el </w:t>
            </w:r>
            <w:r w:rsidRPr="00662097">
              <w:rPr>
                <w:rFonts w:ascii="Arial" w:eastAsia="Times New Roman" w:hAnsi="Arial" w:cs="Arial"/>
                <w:i/>
                <w:color w:val="000000"/>
                <w:sz w:val="16"/>
                <w:szCs w:val="16"/>
                <w:lang w:eastAsia="es-MX"/>
              </w:rPr>
              <w:t>Documento Metodológico y Descriptivo</w:t>
            </w:r>
            <w:r w:rsidRPr="00662097">
              <w:rPr>
                <w:rFonts w:ascii="Arial" w:eastAsia="Times New Roman" w:hAnsi="Arial" w:cs="Arial"/>
                <w:color w:val="000000"/>
                <w:sz w:val="16"/>
                <w:szCs w:val="16"/>
                <w:lang w:eastAsia="es-MX"/>
              </w:rPr>
              <w:t xml:space="preserve"> (“Documento Metodológico”), las consideraciones en el mismo, así como en el Documento Actualización, y del contenido en el archivo de Excel que contiene el Modelo, se observa que este último, lejos de soportarse en un operador hipotético eficiente basado en aspectos generales de la red de acceso del AEPT, en realidad se sustenta en un alto grado en características propias y datos e información operativos y contables del mismo. Por lo tanto, es muy probable que los resultados del Modelo Integral reflejen en las tarifas las ineficiencias y distorsiones resultantes de darle demasiado peso a la información operativa y financiera del AEPT. Lo anterior parece ser inconsistente con los criterios establecidos en la Resolución de Preponderancia y las mejores prácticas internacionales.</w:t>
            </w:r>
          </w:p>
          <w:p w14:paraId="2B469B9C" w14:textId="46D8FB17" w:rsidR="00D94CEC" w:rsidRPr="00662097" w:rsidRDefault="00D94CEC" w:rsidP="00E50C33">
            <w:pPr>
              <w:autoSpaceDE w:val="0"/>
              <w:autoSpaceDN w:val="0"/>
              <w:adjustRightInd w:val="0"/>
              <w:spacing w:before="120" w:after="120" w:line="240" w:lineRule="auto"/>
              <w:rPr>
                <w:rFonts w:ascii="Arial" w:hAnsi="Arial" w:cs="Arial"/>
                <w:sz w:val="16"/>
                <w:szCs w:val="16"/>
              </w:rPr>
            </w:pPr>
            <w:r w:rsidRPr="00662097">
              <w:rPr>
                <w:rFonts w:ascii="Arial" w:hAnsi="Arial" w:cs="Arial"/>
                <w:sz w:val="16"/>
                <w:szCs w:val="16"/>
              </w:rPr>
              <w:t>El Modelo Integral incorpora no solo la conformación de la red del AEPT, sino también sus reglas de ingeniería y su información de demanda, costos y financiera, cuando en todo caso, esta información se debería utilizar solamente para calibrar el Modelo.</w:t>
            </w:r>
          </w:p>
          <w:p w14:paraId="4ECC6E16" w14:textId="77777777" w:rsidR="00D94CEC" w:rsidRPr="00662097" w:rsidRDefault="00D94CEC" w:rsidP="00E50C33">
            <w:pPr>
              <w:pStyle w:val="Default"/>
              <w:spacing w:before="120" w:after="120"/>
              <w:jc w:val="both"/>
              <w:rPr>
                <w:rFonts w:ascii="Arial" w:hAnsi="Arial" w:cs="Arial"/>
                <w:sz w:val="16"/>
                <w:szCs w:val="16"/>
              </w:rPr>
            </w:pPr>
            <w:r w:rsidRPr="00662097">
              <w:rPr>
                <w:rFonts w:ascii="Arial" w:hAnsi="Arial" w:cs="Arial"/>
                <w:sz w:val="16"/>
                <w:szCs w:val="16"/>
              </w:rPr>
              <w:t>Por ejemplo, tómese en cuenta las decisiones de inversión del AEPT, si el despliegue (nodos, casas pasadas, líneas activas) de la red de fibra FTTH modelada se basa en las decisiones de inversión de aquel agente económico; entonces no puede corresponder a un operador hipotético eficiente, pues estará reflejando decisiones históricas, la mayoría ineficientes, en un entorno donde además no existen condiciones de competencia efectiva.</w:t>
            </w:r>
          </w:p>
          <w:p w14:paraId="13A82799" w14:textId="77777777" w:rsidR="00D94CEC" w:rsidRPr="00662097" w:rsidRDefault="00D94CEC" w:rsidP="00E50C33">
            <w:pPr>
              <w:autoSpaceDE w:val="0"/>
              <w:autoSpaceDN w:val="0"/>
              <w:adjustRightInd w:val="0"/>
              <w:spacing w:before="120" w:after="120" w:line="240" w:lineRule="auto"/>
              <w:rPr>
                <w:rFonts w:ascii="Arial" w:hAnsi="Arial" w:cs="Arial"/>
                <w:sz w:val="16"/>
                <w:szCs w:val="16"/>
              </w:rPr>
            </w:pPr>
            <w:r w:rsidRPr="00662097">
              <w:rPr>
                <w:rFonts w:ascii="Arial" w:hAnsi="Arial" w:cs="Arial"/>
                <w:sz w:val="16"/>
                <w:szCs w:val="16"/>
              </w:rPr>
              <w:t>Además, la excesiva dependencia del Modelo Integral en la información del AEPT muy probablemente se traduzca en que las tarifas de los servicios mayoristas continúen sin promover mayores condiciones de competencia en el sector, ni tampoco generen los incentivos adecuados de eficiencia estática y dinámica al AEPT.</w:t>
            </w:r>
          </w:p>
          <w:p w14:paraId="319945E3" w14:textId="3503D7BF" w:rsidR="00D94CEC" w:rsidRPr="00662097" w:rsidRDefault="00D94CEC" w:rsidP="00E50C33">
            <w:pPr>
              <w:spacing w:before="120" w:after="120" w:line="240" w:lineRule="auto"/>
              <w:rPr>
                <w:rFonts w:ascii="Arial" w:eastAsia="Times New Roman" w:hAnsi="Arial" w:cs="Arial"/>
                <w:color w:val="000000"/>
                <w:sz w:val="16"/>
                <w:szCs w:val="16"/>
                <w:lang w:eastAsia="es-MX"/>
              </w:rPr>
            </w:pPr>
            <w:r w:rsidRPr="00662097">
              <w:rPr>
                <w:rFonts w:ascii="Arial" w:hAnsi="Arial" w:cs="Arial"/>
                <w:sz w:val="16"/>
                <w:szCs w:val="16"/>
              </w:rPr>
              <w:t>Por lo tanto, se solicita atentamente al IFT que, con respecto al Modelo Integral, reduzca en la medida de lo posible la utilización de datos financieros y contables, así como reglas de ingeniería y operativas proporcionados por el AEPT.</w:t>
            </w:r>
          </w:p>
        </w:tc>
        <w:tc>
          <w:tcPr>
            <w:tcW w:w="4536" w:type="dxa"/>
          </w:tcPr>
          <w:p w14:paraId="601AD9B9" w14:textId="245182D7" w:rsidR="00D94CEC" w:rsidRPr="00662097" w:rsidRDefault="00D94CEC" w:rsidP="00A229E8">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Ver respuesta al comentario anterior.</w:t>
            </w:r>
          </w:p>
        </w:tc>
      </w:tr>
      <w:tr w:rsidR="00D94CEC" w:rsidRPr="00662097" w14:paraId="2F11295F" w14:textId="053866FA" w:rsidTr="008F664E">
        <w:trPr>
          <w:trHeight w:val="20"/>
        </w:trPr>
        <w:tc>
          <w:tcPr>
            <w:tcW w:w="1271" w:type="dxa"/>
            <w:vAlign w:val="center"/>
          </w:tcPr>
          <w:p w14:paraId="69602F06" w14:textId="03BBC573" w:rsidR="00D94CEC" w:rsidRPr="00662097" w:rsidRDefault="00D94CEC" w:rsidP="007E1C47">
            <w:pPr>
              <w:spacing w:after="0" w:line="240" w:lineRule="auto"/>
              <w:jc w:val="center"/>
              <w:rPr>
                <w:rFonts w:ascii="Arial" w:hAnsi="Arial" w:cs="Arial"/>
                <w:sz w:val="16"/>
                <w:szCs w:val="16"/>
              </w:rPr>
            </w:pPr>
            <w:r w:rsidRPr="00662097">
              <w:rPr>
                <w:rFonts w:ascii="Arial" w:eastAsia="Times New Roman" w:hAnsi="Arial" w:cs="Arial"/>
                <w:color w:val="000000"/>
                <w:sz w:val="16"/>
                <w:szCs w:val="16"/>
                <w:lang w:eastAsia="es-MX"/>
              </w:rPr>
              <w:t>Mega Cable</w:t>
            </w:r>
          </w:p>
        </w:tc>
        <w:tc>
          <w:tcPr>
            <w:tcW w:w="1843" w:type="dxa"/>
            <w:shd w:val="clear" w:color="auto" w:fill="auto"/>
            <w:vAlign w:val="center"/>
          </w:tcPr>
          <w:p w14:paraId="33B295E2" w14:textId="77777777" w:rsidR="00D94CEC" w:rsidRPr="00662097" w:rsidRDefault="00D94CEC" w:rsidP="007E1C47">
            <w:pPr>
              <w:spacing w:after="0" w:line="240" w:lineRule="auto"/>
              <w:jc w:val="center"/>
              <w:rPr>
                <w:rFonts w:ascii="Arial" w:hAnsi="Arial" w:cs="Arial"/>
                <w:sz w:val="16"/>
                <w:szCs w:val="16"/>
              </w:rPr>
            </w:pPr>
            <w:r w:rsidRPr="00662097">
              <w:rPr>
                <w:rFonts w:ascii="Arial" w:hAnsi="Arial" w:cs="Arial"/>
                <w:sz w:val="16"/>
                <w:szCs w:val="16"/>
              </w:rPr>
              <w:t>2.1.3 Horizonte de tiempo</w:t>
            </w:r>
          </w:p>
        </w:tc>
        <w:tc>
          <w:tcPr>
            <w:tcW w:w="6379" w:type="dxa"/>
            <w:shd w:val="clear" w:color="auto" w:fill="auto"/>
            <w:vAlign w:val="center"/>
          </w:tcPr>
          <w:p w14:paraId="652CD544" w14:textId="77777777" w:rsidR="00D94CEC" w:rsidRPr="00662097" w:rsidRDefault="00D94CEC" w:rsidP="00E50C33">
            <w:pPr>
              <w:autoSpaceDE w:val="0"/>
              <w:autoSpaceDN w:val="0"/>
              <w:adjustRightInd w:val="0"/>
              <w:spacing w:before="120" w:after="120" w:line="240" w:lineRule="auto"/>
              <w:rPr>
                <w:rFonts w:ascii="Arial" w:hAnsi="Arial" w:cs="Arial"/>
                <w:color w:val="000000"/>
                <w:sz w:val="16"/>
                <w:szCs w:val="16"/>
                <w:lang w:eastAsia="es-MX"/>
              </w:rPr>
            </w:pPr>
            <w:r w:rsidRPr="00662097">
              <w:rPr>
                <w:rFonts w:ascii="Arial" w:hAnsi="Arial" w:cs="Arial"/>
                <w:color w:val="000000"/>
                <w:sz w:val="16"/>
                <w:szCs w:val="16"/>
                <w:lang w:eastAsia="es-MX"/>
              </w:rPr>
              <w:t xml:space="preserve">El Criterio 3 del Documento Metodológico establece que se tomó en cuenta un marco temporal de 7 años, con un año de referencia en particular. Sin embargo, al verificar el contenido de las hojas de Excel que conforman el Modelo Integral, se tiene que en realidad se enfoca enteramente en un periodo de un solo año. </w:t>
            </w:r>
          </w:p>
          <w:p w14:paraId="5291665F" w14:textId="5B7A9D34" w:rsidR="00D94CEC" w:rsidRPr="00662097" w:rsidRDefault="00D94CEC" w:rsidP="00E50C33">
            <w:pPr>
              <w:autoSpaceDE w:val="0"/>
              <w:autoSpaceDN w:val="0"/>
              <w:adjustRightInd w:val="0"/>
              <w:spacing w:before="120" w:after="120" w:line="240" w:lineRule="auto"/>
              <w:rPr>
                <w:rFonts w:ascii="Arial" w:hAnsi="Arial" w:cs="Arial"/>
                <w:color w:val="000000"/>
                <w:sz w:val="16"/>
                <w:szCs w:val="16"/>
                <w:lang w:eastAsia="es-MX"/>
              </w:rPr>
            </w:pPr>
            <w:r w:rsidRPr="00662097">
              <w:rPr>
                <w:rFonts w:ascii="Arial" w:hAnsi="Arial" w:cs="Arial"/>
                <w:color w:val="000000"/>
                <w:sz w:val="16"/>
                <w:szCs w:val="16"/>
                <w:lang w:eastAsia="es-MX"/>
              </w:rPr>
              <w:t>De cualquier manera, sea un año o siete años, parecen periodos reducidos ya que al tratarse de un modelo enfocado en la red de acceso del AEP, que se conforma en buena parte de equipo y tecnología, no captura la evolución tecnológica que, por ejemplo, debería conducir a la sustitución acelerada de la red de cobre y tecnologías obsoletas, por red FTTH y tecnologías de nueva generación. Un horizonte de tiempo limitado, también limita la proyección de la depreciación de los activos en el tiempo. Esto último es particularmente relevante si se toma la importancia de la infraestructura civil, la cual se trata de activos con una vida útil muy extensa.</w:t>
            </w:r>
          </w:p>
        </w:tc>
        <w:tc>
          <w:tcPr>
            <w:tcW w:w="4536" w:type="dxa"/>
          </w:tcPr>
          <w:p w14:paraId="0D5D25AA" w14:textId="2C064AC0" w:rsidR="00B05CF3" w:rsidRPr="00662097" w:rsidRDefault="006E77B5" w:rsidP="00A229E8">
            <w:pPr>
              <w:autoSpaceDE w:val="0"/>
              <w:autoSpaceDN w:val="0"/>
              <w:adjustRightInd w:val="0"/>
              <w:spacing w:before="120" w:after="120" w:line="240" w:lineRule="auto"/>
              <w:rPr>
                <w:rFonts w:ascii="Arial" w:hAnsi="Arial" w:cs="Arial"/>
                <w:color w:val="000000"/>
                <w:sz w:val="16"/>
                <w:szCs w:val="16"/>
                <w:lang w:eastAsia="es-MX"/>
              </w:rPr>
            </w:pPr>
            <w:r w:rsidRPr="00662097">
              <w:rPr>
                <w:rFonts w:ascii="Arial" w:hAnsi="Arial" w:cs="Arial"/>
                <w:color w:val="000000"/>
                <w:sz w:val="16"/>
                <w:szCs w:val="16"/>
                <w:lang w:eastAsia="es-MX"/>
              </w:rPr>
              <w:t>E</w:t>
            </w:r>
            <w:r w:rsidR="00D94CEC" w:rsidRPr="00662097">
              <w:rPr>
                <w:rFonts w:ascii="Arial" w:hAnsi="Arial" w:cs="Arial"/>
                <w:color w:val="000000"/>
                <w:sz w:val="16"/>
                <w:szCs w:val="16"/>
                <w:lang w:eastAsia="es-MX"/>
              </w:rPr>
              <w:t>n la pestaña ‘Dashboard’ del Modelo el usuario puede modificar el año para el que se desea producir resultados</w:t>
            </w:r>
            <w:r w:rsidR="00CF1C21" w:rsidRPr="00662097">
              <w:rPr>
                <w:rFonts w:ascii="Arial" w:hAnsi="Arial" w:cs="Arial"/>
                <w:color w:val="000000"/>
                <w:sz w:val="16"/>
                <w:szCs w:val="16"/>
                <w:lang w:eastAsia="es-MX"/>
              </w:rPr>
              <w:t xml:space="preserve">, de conformidad con el enfoque </w:t>
            </w:r>
            <w:r w:rsidR="00CF1C21" w:rsidRPr="00662097">
              <w:rPr>
                <w:rFonts w:ascii="Arial" w:hAnsi="Arial" w:cs="Arial"/>
                <w:i/>
                <w:iCs/>
                <w:color w:val="000000"/>
                <w:sz w:val="16"/>
                <w:szCs w:val="16"/>
                <w:lang w:eastAsia="es-MX"/>
              </w:rPr>
              <w:t>bottom up</w:t>
            </w:r>
            <w:r w:rsidR="00CF1C21" w:rsidRPr="00662097">
              <w:rPr>
                <w:rFonts w:ascii="Arial" w:hAnsi="Arial" w:cs="Arial"/>
                <w:color w:val="000000"/>
                <w:sz w:val="16"/>
                <w:szCs w:val="16"/>
                <w:lang w:eastAsia="es-MX"/>
              </w:rPr>
              <w:t xml:space="preserve">, a partir de una metodología de </w:t>
            </w:r>
            <w:r w:rsidR="00B3192C" w:rsidRPr="00662097">
              <w:rPr>
                <w:rFonts w:ascii="Arial" w:hAnsi="Arial" w:cs="Arial"/>
                <w:color w:val="000000"/>
                <w:sz w:val="16"/>
                <w:szCs w:val="16"/>
                <w:lang w:eastAsia="es-MX"/>
              </w:rPr>
              <w:t>Costos Incrementales Promedio de Largo Plazo (</w:t>
            </w:r>
            <w:r w:rsidR="00CF1C21" w:rsidRPr="00662097">
              <w:rPr>
                <w:rFonts w:ascii="Arial" w:hAnsi="Arial" w:cs="Arial"/>
                <w:color w:val="000000"/>
                <w:sz w:val="16"/>
                <w:szCs w:val="16"/>
                <w:lang w:eastAsia="es-MX"/>
              </w:rPr>
              <w:t>CIPLP</w:t>
            </w:r>
            <w:r w:rsidR="00B3192C" w:rsidRPr="00662097">
              <w:rPr>
                <w:rFonts w:ascii="Arial" w:hAnsi="Arial" w:cs="Arial"/>
                <w:color w:val="000000"/>
                <w:sz w:val="16"/>
                <w:szCs w:val="16"/>
                <w:lang w:eastAsia="es-MX"/>
              </w:rPr>
              <w:t>)</w:t>
            </w:r>
            <w:r w:rsidR="00CF1C21" w:rsidRPr="00662097">
              <w:rPr>
                <w:rFonts w:ascii="Arial" w:hAnsi="Arial" w:cs="Arial"/>
                <w:color w:val="000000"/>
                <w:sz w:val="16"/>
                <w:szCs w:val="16"/>
                <w:lang w:eastAsia="es-MX"/>
              </w:rPr>
              <w:t xml:space="preserve">. </w:t>
            </w:r>
          </w:p>
          <w:p w14:paraId="41D40DB3" w14:textId="79D51210" w:rsidR="00B05CF3" w:rsidRPr="00662097" w:rsidRDefault="00CF1C21" w:rsidP="00A229E8">
            <w:pPr>
              <w:autoSpaceDE w:val="0"/>
              <w:autoSpaceDN w:val="0"/>
              <w:adjustRightInd w:val="0"/>
              <w:spacing w:before="120" w:after="120" w:line="240" w:lineRule="auto"/>
              <w:rPr>
                <w:rFonts w:ascii="Arial" w:hAnsi="Arial" w:cs="Arial"/>
                <w:color w:val="000000"/>
                <w:sz w:val="16"/>
                <w:szCs w:val="16"/>
                <w:lang w:eastAsia="es-MX"/>
              </w:rPr>
            </w:pPr>
            <w:r w:rsidRPr="00662097">
              <w:rPr>
                <w:rFonts w:ascii="Arial" w:hAnsi="Arial" w:cs="Arial"/>
                <w:color w:val="000000"/>
                <w:sz w:val="16"/>
                <w:szCs w:val="16"/>
                <w:lang w:eastAsia="es-MX"/>
              </w:rPr>
              <w:t>En este contexto, el propio modelo dispone</w:t>
            </w:r>
            <w:r w:rsidR="00D94CEC" w:rsidRPr="00662097">
              <w:rPr>
                <w:rFonts w:ascii="Arial" w:hAnsi="Arial" w:cs="Arial"/>
                <w:color w:val="000000"/>
                <w:sz w:val="16"/>
                <w:szCs w:val="16"/>
                <w:lang w:eastAsia="es-MX"/>
              </w:rPr>
              <w:t xml:space="preserve"> de un marco temporal de 7 años</w:t>
            </w:r>
            <w:r w:rsidRPr="00662097">
              <w:rPr>
                <w:rFonts w:ascii="Arial" w:hAnsi="Arial" w:cs="Arial"/>
                <w:color w:val="000000"/>
                <w:sz w:val="16"/>
                <w:szCs w:val="16"/>
                <w:lang w:eastAsia="es-MX"/>
              </w:rPr>
              <w:t xml:space="preserve"> </w:t>
            </w:r>
            <w:r w:rsidR="00D94CEC" w:rsidRPr="00662097">
              <w:rPr>
                <w:rFonts w:ascii="Arial" w:hAnsi="Arial" w:cs="Arial"/>
                <w:color w:val="000000"/>
                <w:sz w:val="16"/>
                <w:szCs w:val="16"/>
                <w:lang w:eastAsia="es-MX"/>
              </w:rPr>
              <w:t>(2022-2028)</w:t>
            </w:r>
            <w:r w:rsidR="00B05CF3" w:rsidRPr="00662097">
              <w:rPr>
                <w:rFonts w:ascii="Arial" w:hAnsi="Arial" w:cs="Arial"/>
                <w:color w:val="000000"/>
                <w:sz w:val="16"/>
                <w:szCs w:val="16"/>
                <w:lang w:eastAsia="es-MX"/>
              </w:rPr>
              <w:t>, así como de la metodología para la anualización de los costos</w:t>
            </w:r>
            <w:r w:rsidR="005E5E08" w:rsidRPr="00662097">
              <w:rPr>
                <w:rFonts w:ascii="Arial" w:hAnsi="Arial" w:cs="Arial"/>
                <w:color w:val="000000"/>
                <w:sz w:val="16"/>
                <w:szCs w:val="16"/>
                <w:lang w:eastAsia="es-MX"/>
              </w:rPr>
              <w:t>, la cual</w:t>
            </w:r>
            <w:r w:rsidR="00B05CF3" w:rsidRPr="00662097">
              <w:rPr>
                <w:rFonts w:ascii="Arial" w:hAnsi="Arial" w:cs="Arial"/>
                <w:color w:val="000000"/>
                <w:sz w:val="16"/>
                <w:szCs w:val="16"/>
                <w:lang w:eastAsia="es-MX"/>
              </w:rPr>
              <w:t xml:space="preserve"> permite que dada la particularidad de la fórmula del Método de Anualidades Inclinadas empleado para la depreciación de los activos (ver fórmula en la sección “3.4.4. Cálculos de anualidad” del</w:t>
            </w:r>
            <w:r w:rsidR="00B05CF3" w:rsidRPr="00662097">
              <w:rPr>
                <w:rFonts w:ascii="Arial" w:eastAsia="Times New Roman" w:hAnsi="Arial" w:cs="Arial"/>
                <w:color w:val="000000"/>
                <w:sz w:val="16"/>
                <w:szCs w:val="16"/>
                <w:lang w:eastAsia="es-MX"/>
              </w:rPr>
              <w:t xml:space="preserve"> Documento Metodológico</w:t>
            </w:r>
            <w:r w:rsidR="00B05CF3" w:rsidRPr="00662097">
              <w:rPr>
                <w:rFonts w:ascii="Arial" w:hAnsi="Arial" w:cs="Arial"/>
                <w:color w:val="000000"/>
                <w:sz w:val="16"/>
                <w:szCs w:val="16"/>
                <w:lang w:eastAsia="es-MX"/>
              </w:rPr>
              <w:t xml:space="preserve">), ya tiene en cuenta la vida útil completa de los activos, sin que resulte necesario incorporar tal número de años en el período modelado del Modelo. </w:t>
            </w:r>
          </w:p>
          <w:p w14:paraId="711576A3" w14:textId="738602F3" w:rsidR="00D94CEC" w:rsidRPr="00662097" w:rsidRDefault="00B05CF3" w:rsidP="00A229E8">
            <w:pPr>
              <w:autoSpaceDE w:val="0"/>
              <w:autoSpaceDN w:val="0"/>
              <w:adjustRightInd w:val="0"/>
              <w:spacing w:before="120" w:after="120" w:line="240" w:lineRule="auto"/>
              <w:rPr>
                <w:rFonts w:ascii="Arial" w:hAnsi="Arial" w:cs="Arial"/>
                <w:color w:val="000000"/>
                <w:sz w:val="16"/>
                <w:szCs w:val="16"/>
                <w:lang w:eastAsia="es-MX"/>
              </w:rPr>
            </w:pPr>
            <w:r w:rsidRPr="00662097">
              <w:rPr>
                <w:rFonts w:ascii="Arial" w:hAnsi="Arial" w:cs="Arial"/>
                <w:color w:val="000000"/>
                <w:sz w:val="16"/>
                <w:szCs w:val="16"/>
                <w:lang w:eastAsia="es-MX"/>
              </w:rPr>
              <w:t>Por su parte, r</w:t>
            </w:r>
            <w:r w:rsidR="00D94CEC" w:rsidRPr="00662097">
              <w:rPr>
                <w:rFonts w:ascii="Arial" w:hAnsi="Arial" w:cs="Arial"/>
                <w:color w:val="000000"/>
                <w:sz w:val="16"/>
                <w:szCs w:val="16"/>
                <w:lang w:eastAsia="es-MX"/>
              </w:rPr>
              <w:t xml:space="preserve">especto del comentario relativo a la migración de la red de cobre hacia la red de FTTH, se señala igualmente </w:t>
            </w:r>
            <w:r w:rsidR="00D94CEC" w:rsidRPr="00662097">
              <w:rPr>
                <w:rFonts w:ascii="Arial" w:hAnsi="Arial" w:cs="Arial"/>
                <w:color w:val="000000"/>
                <w:sz w:val="16"/>
                <w:szCs w:val="16"/>
                <w:lang w:eastAsia="es-MX"/>
              </w:rPr>
              <w:lastRenderedPageBreak/>
              <w:t>que el Modelo ya cuenta con esta particularidad, tal y como puede comprobarse en la pestaña ‘</w:t>
            </w:r>
            <w:proofErr w:type="spellStart"/>
            <w:r w:rsidR="00D94CEC" w:rsidRPr="00662097">
              <w:rPr>
                <w:rFonts w:ascii="Arial" w:hAnsi="Arial" w:cs="Arial"/>
                <w:color w:val="000000"/>
                <w:sz w:val="16"/>
                <w:szCs w:val="16"/>
                <w:lang w:eastAsia="es-MX"/>
              </w:rPr>
              <w:t>Demand</w:t>
            </w:r>
            <w:proofErr w:type="spellEnd"/>
            <w:r w:rsidR="00D94CEC" w:rsidRPr="00662097">
              <w:rPr>
                <w:rFonts w:ascii="Arial" w:hAnsi="Arial" w:cs="Arial"/>
                <w:color w:val="000000"/>
                <w:sz w:val="16"/>
                <w:szCs w:val="16"/>
                <w:lang w:eastAsia="es-MX"/>
              </w:rPr>
              <w:t xml:space="preserve">’, donde el mismo asume que los clientes de las redes de FTTH aumentan a lo largo del período modelado, en </w:t>
            </w:r>
            <w:r w:rsidR="00AC45AF" w:rsidRPr="00662097">
              <w:rPr>
                <w:rFonts w:ascii="Arial" w:hAnsi="Arial" w:cs="Arial"/>
                <w:color w:val="000000"/>
                <w:sz w:val="16"/>
                <w:szCs w:val="16"/>
                <w:lang w:eastAsia="es-MX"/>
              </w:rPr>
              <w:t xml:space="preserve">detrimento de </w:t>
            </w:r>
            <w:r w:rsidR="00D94CEC" w:rsidRPr="00662097">
              <w:rPr>
                <w:rFonts w:ascii="Arial" w:hAnsi="Arial" w:cs="Arial"/>
                <w:color w:val="000000"/>
                <w:sz w:val="16"/>
                <w:szCs w:val="16"/>
                <w:lang w:eastAsia="es-MX"/>
              </w:rPr>
              <w:t xml:space="preserve">los clientes de las redes de cobre/FTTC. </w:t>
            </w:r>
          </w:p>
          <w:p w14:paraId="5FD334A0" w14:textId="74BEC3CA" w:rsidR="00D94CEC" w:rsidRPr="00662097" w:rsidRDefault="00D94CEC" w:rsidP="00A229E8">
            <w:pPr>
              <w:autoSpaceDE w:val="0"/>
              <w:autoSpaceDN w:val="0"/>
              <w:adjustRightInd w:val="0"/>
              <w:spacing w:before="120" w:after="120" w:line="240" w:lineRule="auto"/>
              <w:rPr>
                <w:rFonts w:ascii="Arial" w:hAnsi="Arial" w:cs="Arial"/>
                <w:color w:val="000000"/>
                <w:sz w:val="16"/>
                <w:szCs w:val="16"/>
                <w:lang w:eastAsia="es-MX"/>
              </w:rPr>
            </w:pPr>
          </w:p>
        </w:tc>
      </w:tr>
      <w:tr w:rsidR="00D94CEC" w:rsidRPr="00662097" w14:paraId="5EAE7E36" w14:textId="3EF87665" w:rsidTr="008F664E">
        <w:trPr>
          <w:trHeight w:val="20"/>
        </w:trPr>
        <w:tc>
          <w:tcPr>
            <w:tcW w:w="1271" w:type="dxa"/>
            <w:vAlign w:val="center"/>
          </w:tcPr>
          <w:p w14:paraId="58899B1F" w14:textId="179FD36A" w:rsidR="00D94CEC" w:rsidRPr="00662097" w:rsidRDefault="00D94CEC" w:rsidP="007E1C47">
            <w:pPr>
              <w:spacing w:after="0" w:line="240" w:lineRule="auto"/>
              <w:jc w:val="center"/>
              <w:rPr>
                <w:rFonts w:ascii="Arial" w:hAnsi="Arial" w:cs="Arial"/>
                <w:sz w:val="16"/>
                <w:szCs w:val="16"/>
              </w:rPr>
            </w:pPr>
            <w:r w:rsidRPr="00662097">
              <w:rPr>
                <w:rFonts w:ascii="Arial" w:eastAsia="Times New Roman" w:hAnsi="Arial" w:cs="Arial"/>
                <w:color w:val="000000"/>
                <w:sz w:val="16"/>
                <w:szCs w:val="16"/>
                <w:lang w:eastAsia="es-MX"/>
              </w:rPr>
              <w:lastRenderedPageBreak/>
              <w:t>Mega Cable</w:t>
            </w:r>
          </w:p>
        </w:tc>
        <w:tc>
          <w:tcPr>
            <w:tcW w:w="1843" w:type="dxa"/>
            <w:shd w:val="clear" w:color="auto" w:fill="auto"/>
            <w:vAlign w:val="center"/>
          </w:tcPr>
          <w:p w14:paraId="406CF9B4" w14:textId="5F5EF27D" w:rsidR="00D94CEC" w:rsidRPr="00662097" w:rsidRDefault="00D94CEC" w:rsidP="007E1C47">
            <w:pPr>
              <w:spacing w:after="0" w:line="240" w:lineRule="auto"/>
              <w:jc w:val="center"/>
              <w:rPr>
                <w:rFonts w:ascii="Arial" w:hAnsi="Arial" w:cs="Arial"/>
                <w:sz w:val="16"/>
                <w:szCs w:val="16"/>
              </w:rPr>
            </w:pPr>
            <w:r w:rsidRPr="00662097">
              <w:rPr>
                <w:rFonts w:ascii="Arial" w:hAnsi="Arial" w:cs="Arial"/>
                <w:sz w:val="16"/>
                <w:szCs w:val="16"/>
              </w:rPr>
              <w:t>2.2.2. Servicios Modelados</w:t>
            </w:r>
          </w:p>
        </w:tc>
        <w:tc>
          <w:tcPr>
            <w:tcW w:w="6379" w:type="dxa"/>
            <w:shd w:val="clear" w:color="auto" w:fill="auto"/>
            <w:vAlign w:val="center"/>
          </w:tcPr>
          <w:p w14:paraId="31103EF2" w14:textId="77777777" w:rsidR="00D94CEC" w:rsidRPr="00662097" w:rsidRDefault="00D94CEC" w:rsidP="00E50C33">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Se observa que el Modelo Integral se dimensiona con base en los servicios que se busca determinar las tarifas (los de las ORCI y OREDA, principalmente).</w:t>
            </w:r>
          </w:p>
          <w:p w14:paraId="08DC370F" w14:textId="77777777" w:rsidR="00D94CEC" w:rsidRPr="00662097" w:rsidRDefault="00D94CEC" w:rsidP="00E50C33">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No queda claro como el Modelo Integral y, por otro lado, el otro </w:t>
            </w:r>
            <w:r w:rsidRPr="00662097">
              <w:rPr>
                <w:rFonts w:ascii="Arial" w:eastAsia="Times New Roman" w:hAnsi="Arial" w:cs="Arial"/>
                <w:i/>
                <w:color w:val="000000"/>
                <w:sz w:val="16"/>
                <w:szCs w:val="16"/>
                <w:lang w:eastAsia="es-MX"/>
              </w:rPr>
              <w:t xml:space="preserve">Modelo de Costos “Integral” para la determinación de tarifas de los servicios de Interconexión, Enlaces Dedicados, Usuario Visitante y </w:t>
            </w:r>
            <w:proofErr w:type="spellStart"/>
            <w:r w:rsidRPr="00662097">
              <w:rPr>
                <w:rFonts w:ascii="Arial" w:eastAsia="Times New Roman" w:hAnsi="Arial" w:cs="Arial"/>
                <w:i/>
                <w:color w:val="000000"/>
                <w:sz w:val="16"/>
                <w:szCs w:val="16"/>
                <w:lang w:eastAsia="es-MX"/>
              </w:rPr>
              <w:t>SCyD</w:t>
            </w:r>
            <w:proofErr w:type="spellEnd"/>
            <w:r w:rsidRPr="00662097">
              <w:rPr>
                <w:rFonts w:ascii="Arial" w:eastAsia="Times New Roman" w:hAnsi="Arial" w:cs="Arial"/>
                <w:i/>
                <w:color w:val="000000"/>
                <w:sz w:val="16"/>
                <w:szCs w:val="16"/>
                <w:lang w:eastAsia="es-MX"/>
              </w:rPr>
              <w:t xml:space="preserve"> 2024-2026</w:t>
            </w:r>
            <w:r w:rsidRPr="00662097">
              <w:rPr>
                <w:rFonts w:ascii="Arial" w:eastAsia="Times New Roman" w:hAnsi="Arial" w:cs="Arial"/>
                <w:color w:val="000000"/>
                <w:sz w:val="16"/>
                <w:szCs w:val="16"/>
                <w:lang w:eastAsia="es-MX"/>
              </w:rPr>
              <w:t xml:space="preserve">, recientemente consultado públicamente por el IFT, incorporan las economías de escala que existen al prestarse todos esos servicios por medio de una sola red de telecomunicaciones y en donde los servicios de uno y otro utilizan los mismos elementos de infraestructura activa y pasiva. </w:t>
            </w:r>
          </w:p>
          <w:p w14:paraId="4CCF73BA" w14:textId="77777777" w:rsidR="00D94CEC" w:rsidRPr="00662097" w:rsidRDefault="00D94CEC" w:rsidP="00E50C33">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Dichos otros servicios que, aunque no forman parte de la OREDA y ORCI, comparten infraestructura y elementos de las redes de acceso con los servicios desagregados y de infraestructura pasiva. </w:t>
            </w:r>
          </w:p>
          <w:p w14:paraId="16F71F7B" w14:textId="39C4C53C" w:rsidR="00D94CEC" w:rsidRPr="00662097" w:rsidRDefault="00D94CEC" w:rsidP="00E50C33">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En ninguno de los documentos metodológicos de esta y la consulta del Modelo de Costos de Interconexión se aclara o explica cómo, en su caso, se capturan las economías de escala y alcance que resultan de la prestación de diversos servicios y que amortizan entre varios los costos de inversión de la infraestructura.</w:t>
            </w:r>
          </w:p>
          <w:p w14:paraId="303AE6A1" w14:textId="2A9F7198" w:rsidR="00D94CEC" w:rsidRPr="00662097" w:rsidRDefault="00D94CEC" w:rsidP="00E50C33">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Por lo anterior, se solicita que sea explicado y/o justificado cómo es que se incorporan dichas economías de escala en el Modelo Integral consultado o, dicho de otro modo, cómo se evita una doble amortización de elementos o activos de infraestructura en común.</w:t>
            </w:r>
          </w:p>
        </w:tc>
        <w:tc>
          <w:tcPr>
            <w:tcW w:w="4536" w:type="dxa"/>
          </w:tcPr>
          <w:p w14:paraId="22584D55" w14:textId="3496F2F3" w:rsidR="00D94CEC" w:rsidRPr="00662097" w:rsidRDefault="00D94CEC" w:rsidP="00A229E8">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Con el objetivo de reflejar la compartición que existe entre la infraestructura de las redes de acceso (relevantes </w:t>
            </w:r>
            <w:r w:rsidR="00AC45AF" w:rsidRPr="00662097">
              <w:rPr>
                <w:rFonts w:ascii="Arial" w:eastAsia="Times New Roman" w:hAnsi="Arial" w:cs="Arial"/>
                <w:color w:val="000000"/>
                <w:sz w:val="16"/>
                <w:szCs w:val="16"/>
                <w:lang w:eastAsia="es-MX"/>
              </w:rPr>
              <w:t xml:space="preserve">para </w:t>
            </w:r>
            <w:r w:rsidRPr="00662097">
              <w:rPr>
                <w:rFonts w:ascii="Arial" w:eastAsia="Times New Roman" w:hAnsi="Arial" w:cs="Arial"/>
                <w:color w:val="000000"/>
                <w:sz w:val="16"/>
                <w:szCs w:val="16"/>
                <w:lang w:eastAsia="es-MX"/>
              </w:rPr>
              <w:t xml:space="preserve">el Modelo Integral) y las redes </w:t>
            </w:r>
            <w:proofErr w:type="spellStart"/>
            <w:r w:rsidRPr="00662097">
              <w:rPr>
                <w:rFonts w:ascii="Arial" w:eastAsia="Times New Roman" w:hAnsi="Arial" w:cs="Arial"/>
                <w:i/>
                <w:iCs/>
                <w:color w:val="000000"/>
                <w:sz w:val="16"/>
                <w:szCs w:val="16"/>
                <w:lang w:eastAsia="es-MX"/>
              </w:rPr>
              <w:t>core</w:t>
            </w:r>
            <w:proofErr w:type="spellEnd"/>
            <w:r w:rsidRPr="00662097">
              <w:rPr>
                <w:rFonts w:ascii="Arial" w:eastAsia="Times New Roman" w:hAnsi="Arial" w:cs="Arial"/>
                <w:color w:val="000000"/>
                <w:sz w:val="16"/>
                <w:szCs w:val="16"/>
                <w:lang w:eastAsia="es-MX"/>
              </w:rPr>
              <w:t xml:space="preserve"> (relevantes para el Modelo de Interconexión), el </w:t>
            </w:r>
            <w:r w:rsidR="00AC45AF" w:rsidRPr="00662097">
              <w:rPr>
                <w:rFonts w:ascii="Arial" w:eastAsia="Times New Roman" w:hAnsi="Arial" w:cs="Arial"/>
                <w:color w:val="000000"/>
                <w:sz w:val="16"/>
                <w:szCs w:val="16"/>
                <w:lang w:eastAsia="es-MX"/>
              </w:rPr>
              <w:t>M</w:t>
            </w:r>
            <w:r w:rsidRPr="00662097">
              <w:rPr>
                <w:rFonts w:ascii="Arial" w:eastAsia="Times New Roman" w:hAnsi="Arial" w:cs="Arial"/>
                <w:color w:val="000000"/>
                <w:sz w:val="16"/>
                <w:szCs w:val="16"/>
                <w:lang w:eastAsia="es-MX"/>
              </w:rPr>
              <w:t xml:space="preserve">odelo incluye el parámetro “Tasa de compartición de activos - acceso con </w:t>
            </w:r>
            <w:proofErr w:type="spellStart"/>
            <w:r w:rsidRPr="00662097">
              <w:rPr>
                <w:rFonts w:ascii="Arial" w:eastAsia="Times New Roman" w:hAnsi="Arial" w:cs="Arial"/>
                <w:color w:val="000000"/>
                <w:sz w:val="16"/>
                <w:szCs w:val="16"/>
                <w:lang w:eastAsia="es-MX"/>
              </w:rPr>
              <w:t>core</w:t>
            </w:r>
            <w:proofErr w:type="spellEnd"/>
            <w:r w:rsidRPr="00662097">
              <w:rPr>
                <w:rFonts w:ascii="Arial" w:eastAsia="Times New Roman" w:hAnsi="Arial" w:cs="Arial"/>
                <w:color w:val="000000"/>
                <w:sz w:val="16"/>
                <w:szCs w:val="16"/>
                <w:lang w:eastAsia="es-MX"/>
              </w:rPr>
              <w:t xml:space="preserve">”, que puede ser identificado en la pestaña ‘Dashboard’ del mismo. </w:t>
            </w:r>
          </w:p>
          <w:p w14:paraId="3B1F833A" w14:textId="77777777" w:rsidR="00D94C3B" w:rsidRPr="00662097" w:rsidRDefault="00D94C3B" w:rsidP="00A229E8">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Dicha tasa es empleada posteriormente en la pestaña ‘</w:t>
            </w:r>
            <w:proofErr w:type="spellStart"/>
            <w:r w:rsidRPr="00662097">
              <w:rPr>
                <w:rFonts w:ascii="Arial" w:eastAsia="Times New Roman" w:hAnsi="Arial" w:cs="Arial"/>
                <w:color w:val="000000"/>
                <w:sz w:val="16"/>
                <w:szCs w:val="16"/>
                <w:lang w:eastAsia="es-MX"/>
              </w:rPr>
              <w:t>Inventory</w:t>
            </w:r>
            <w:proofErr w:type="spellEnd"/>
            <w:r w:rsidRPr="00662097">
              <w:rPr>
                <w:rFonts w:ascii="Arial" w:eastAsia="Times New Roman" w:hAnsi="Arial" w:cs="Arial"/>
                <w:color w:val="000000"/>
                <w:sz w:val="16"/>
                <w:szCs w:val="16"/>
                <w:lang w:eastAsia="es-MX"/>
              </w:rPr>
              <w:t>’ para realizar un ajuste sobre los activos modelados que tiene</w:t>
            </w:r>
            <w:r w:rsidR="00AC45AF" w:rsidRPr="00662097">
              <w:rPr>
                <w:rFonts w:ascii="Arial" w:eastAsia="Times New Roman" w:hAnsi="Arial" w:cs="Arial"/>
                <w:color w:val="000000"/>
                <w:sz w:val="16"/>
                <w:szCs w:val="16"/>
                <w:lang w:eastAsia="es-MX"/>
              </w:rPr>
              <w:t>n</w:t>
            </w:r>
            <w:r w:rsidRPr="00662097">
              <w:rPr>
                <w:rFonts w:ascii="Arial" w:eastAsia="Times New Roman" w:hAnsi="Arial" w:cs="Arial"/>
                <w:color w:val="000000"/>
                <w:sz w:val="16"/>
                <w:szCs w:val="16"/>
                <w:lang w:eastAsia="es-MX"/>
              </w:rPr>
              <w:t xml:space="preserve"> en consideración dicho porcentaje de compartición.</w:t>
            </w:r>
          </w:p>
          <w:p w14:paraId="72F96C58" w14:textId="51F3C83E" w:rsidR="0020744E" w:rsidRPr="00662097" w:rsidRDefault="0020744E" w:rsidP="00A229E8">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Lo anterior, en consistencia con los servicios modelados en cada uno de los modelos, considerando aquellos elementos estrictamente relacionados con la provisión de los servicios.</w:t>
            </w:r>
          </w:p>
          <w:p w14:paraId="5CE2DC2D" w14:textId="2D0AF293" w:rsidR="000A3E0F" w:rsidRPr="00662097" w:rsidRDefault="000A3E0F" w:rsidP="00A229E8">
            <w:pPr>
              <w:spacing w:before="120" w:after="120" w:line="240" w:lineRule="auto"/>
              <w:rPr>
                <w:rFonts w:ascii="Arial" w:eastAsia="Times New Roman" w:hAnsi="Arial" w:cs="Arial"/>
                <w:color w:val="000000"/>
                <w:sz w:val="16"/>
                <w:szCs w:val="16"/>
                <w:lang w:eastAsia="es-MX"/>
              </w:rPr>
            </w:pPr>
          </w:p>
        </w:tc>
      </w:tr>
      <w:tr w:rsidR="00D94CEC" w:rsidRPr="00662097" w14:paraId="030F17AF" w14:textId="27FCA4B8" w:rsidTr="008F664E">
        <w:trPr>
          <w:trHeight w:val="20"/>
        </w:trPr>
        <w:tc>
          <w:tcPr>
            <w:tcW w:w="1271" w:type="dxa"/>
            <w:vAlign w:val="center"/>
          </w:tcPr>
          <w:p w14:paraId="6480E736" w14:textId="3CEE4D6D" w:rsidR="00D94CEC" w:rsidRPr="00662097" w:rsidRDefault="00D94CEC" w:rsidP="00DF017F">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Mega Cable</w:t>
            </w:r>
          </w:p>
        </w:tc>
        <w:tc>
          <w:tcPr>
            <w:tcW w:w="1843" w:type="dxa"/>
            <w:shd w:val="clear" w:color="auto" w:fill="auto"/>
            <w:vAlign w:val="center"/>
          </w:tcPr>
          <w:p w14:paraId="672CC1A5" w14:textId="28EB4348" w:rsidR="00D94CEC" w:rsidRPr="00662097" w:rsidRDefault="00D94CEC" w:rsidP="00DF017F">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2.2.3 Nivel de Eficiencia del Operador Modelado y 2.2.4 Huella del Operador Modelado</w:t>
            </w:r>
          </w:p>
        </w:tc>
        <w:tc>
          <w:tcPr>
            <w:tcW w:w="6379" w:type="dxa"/>
            <w:shd w:val="clear" w:color="auto" w:fill="auto"/>
            <w:vAlign w:val="center"/>
          </w:tcPr>
          <w:p w14:paraId="3B0DC397" w14:textId="77777777" w:rsidR="00D94CEC" w:rsidRPr="00662097" w:rsidRDefault="00D94CEC" w:rsidP="00E50C33">
            <w:pPr>
              <w:autoSpaceDE w:val="0"/>
              <w:autoSpaceDN w:val="0"/>
              <w:adjustRightInd w:val="0"/>
              <w:spacing w:before="120" w:after="120" w:line="240" w:lineRule="auto"/>
              <w:rPr>
                <w:rFonts w:ascii="Arial" w:hAnsi="Arial" w:cs="Arial"/>
                <w:sz w:val="16"/>
                <w:szCs w:val="16"/>
                <w:lang w:val="es-ES_tradnl"/>
              </w:rPr>
            </w:pPr>
            <w:r w:rsidRPr="00662097">
              <w:rPr>
                <w:rFonts w:ascii="Arial" w:hAnsi="Arial" w:cs="Arial"/>
                <w:sz w:val="16"/>
                <w:szCs w:val="16"/>
              </w:rPr>
              <w:t>De la revisión de los datos contenidos en el Modelo Integral, pareciera que el enfoque “</w:t>
            </w:r>
            <w:proofErr w:type="spellStart"/>
            <w:r w:rsidRPr="00662097">
              <w:rPr>
                <w:rFonts w:ascii="Arial" w:hAnsi="Arial" w:cs="Arial"/>
                <w:i/>
                <w:sz w:val="16"/>
                <w:szCs w:val="16"/>
              </w:rPr>
              <w:t>scorched-node</w:t>
            </w:r>
            <w:proofErr w:type="spellEnd"/>
            <w:r w:rsidRPr="00662097">
              <w:rPr>
                <w:rFonts w:ascii="Arial" w:hAnsi="Arial" w:cs="Arial"/>
                <w:i/>
                <w:sz w:val="16"/>
                <w:szCs w:val="16"/>
              </w:rPr>
              <w:t xml:space="preserve"> modificado</w:t>
            </w:r>
            <w:r w:rsidRPr="00662097">
              <w:rPr>
                <w:rFonts w:ascii="Arial" w:hAnsi="Arial" w:cs="Arial"/>
                <w:sz w:val="16"/>
                <w:szCs w:val="16"/>
              </w:rPr>
              <w:t>” no se traduce en un nivel de eficiencia suficiente donde se optimice o racionalice el diseño de la red del AEP.</w:t>
            </w:r>
            <w:r w:rsidRPr="00662097">
              <w:rPr>
                <w:rFonts w:ascii="Arial" w:hAnsi="Arial" w:cs="Arial"/>
                <w:sz w:val="16"/>
                <w:szCs w:val="16"/>
                <w:lang w:val="es-ES_tradnl"/>
              </w:rPr>
              <w:t xml:space="preserve"> En particular, se observa que, en el Modelo Integral, el resultado del dimensionamiento de la topología a partir de la “demanda” de casas pasadas no puede considerarse suficientemente eficiente. </w:t>
            </w:r>
          </w:p>
          <w:p w14:paraId="1A1539DF" w14:textId="4CFA3793" w:rsidR="00D94CEC" w:rsidRPr="00662097" w:rsidRDefault="00D94CEC" w:rsidP="00E50C33">
            <w:pPr>
              <w:autoSpaceDE w:val="0"/>
              <w:autoSpaceDN w:val="0"/>
              <w:adjustRightInd w:val="0"/>
              <w:spacing w:before="120" w:after="120" w:line="240" w:lineRule="auto"/>
              <w:rPr>
                <w:rFonts w:ascii="Arial" w:hAnsi="Arial" w:cs="Arial"/>
                <w:sz w:val="16"/>
                <w:szCs w:val="16"/>
                <w:lang w:val="es-ES_tradnl"/>
              </w:rPr>
            </w:pPr>
            <w:r w:rsidRPr="00662097">
              <w:rPr>
                <w:rFonts w:ascii="Arial" w:hAnsi="Arial" w:cs="Arial"/>
                <w:sz w:val="16"/>
                <w:szCs w:val="16"/>
                <w:lang w:val="es-ES_tradnl"/>
              </w:rPr>
              <w:t xml:space="preserve">Por ejemplo, el Modelo Integral no considera que cierto porcentaje de las centrales (y, por lo tanto, también los PDP) pueden ser redundantes o ineficientes, </w:t>
            </w:r>
            <w:r w:rsidR="00A34F1A" w:rsidRPr="00662097">
              <w:rPr>
                <w:rFonts w:ascii="Arial" w:hAnsi="Arial" w:cs="Arial"/>
                <w:sz w:val="16"/>
                <w:szCs w:val="16"/>
                <w:lang w:val="es-ES_tradnl"/>
              </w:rPr>
              <w:t>sobre todo</w:t>
            </w:r>
            <w:r w:rsidRPr="00662097">
              <w:rPr>
                <w:rFonts w:ascii="Arial" w:hAnsi="Arial" w:cs="Arial"/>
                <w:sz w:val="16"/>
                <w:szCs w:val="16"/>
                <w:lang w:val="es-ES_tradnl"/>
              </w:rPr>
              <w:t xml:space="preserve"> en el caso de la red de cobre. Esto es, que el volumen de líneas activas podría ser soportado de manera eficiente por un número menor de nodos, lo cual se traduciría en costos unitarios más bajos.</w:t>
            </w:r>
          </w:p>
          <w:p w14:paraId="3B59D476" w14:textId="77777777" w:rsidR="00D94CEC" w:rsidRPr="00662097" w:rsidRDefault="00D94CEC" w:rsidP="00E50C33">
            <w:pPr>
              <w:spacing w:before="120" w:after="120" w:line="240" w:lineRule="auto"/>
              <w:rPr>
                <w:rFonts w:ascii="Arial" w:hAnsi="Arial" w:cs="Arial"/>
                <w:sz w:val="16"/>
                <w:szCs w:val="16"/>
              </w:rPr>
            </w:pPr>
            <w:r w:rsidRPr="00662097">
              <w:rPr>
                <w:rFonts w:ascii="Arial" w:hAnsi="Arial" w:cs="Arial"/>
                <w:sz w:val="16"/>
                <w:szCs w:val="16"/>
                <w:lang w:val="es-ES_tradnl"/>
              </w:rPr>
              <w:t>Adicionalmente se observa que, d</w:t>
            </w:r>
            <w:proofErr w:type="spellStart"/>
            <w:r w:rsidRPr="00662097">
              <w:rPr>
                <w:rFonts w:ascii="Arial" w:hAnsi="Arial" w:cs="Arial"/>
                <w:sz w:val="16"/>
                <w:szCs w:val="16"/>
              </w:rPr>
              <w:t>e</w:t>
            </w:r>
            <w:proofErr w:type="spellEnd"/>
            <w:r w:rsidRPr="00662097">
              <w:rPr>
                <w:rFonts w:ascii="Arial" w:hAnsi="Arial" w:cs="Arial"/>
                <w:sz w:val="16"/>
                <w:szCs w:val="16"/>
              </w:rPr>
              <w:t xml:space="preserve"> las 8,620 centrales que se consideran en el Modelo (300 más que en el modelo de 2020, por cierto), 1,135 (más del 13%) cuentan con menos de 100 casas pasadas y 1,882 (cerca del 22%) cuentan con menos de 100 líneas activas. Esta situación se traduce en ineficiencias en el Modelo Integral y distorsiona las señales o incentivos que debería generar tanto al AEP como a los CS. En particular, a estos últimos les encarece el costo de los servicios desagregados. </w:t>
            </w:r>
          </w:p>
          <w:p w14:paraId="1555439A" w14:textId="37285A92" w:rsidR="00D94CEC" w:rsidRPr="00662097" w:rsidRDefault="00D94CEC" w:rsidP="00E50C33">
            <w:pPr>
              <w:spacing w:before="120" w:after="120" w:line="240" w:lineRule="auto"/>
              <w:rPr>
                <w:rFonts w:ascii="Arial" w:hAnsi="Arial" w:cs="Arial"/>
                <w:sz w:val="16"/>
                <w:szCs w:val="16"/>
                <w:lang w:val="es-ES_tradnl"/>
              </w:rPr>
            </w:pPr>
            <w:r w:rsidRPr="00662097">
              <w:rPr>
                <w:rFonts w:ascii="Arial" w:hAnsi="Arial" w:cs="Arial"/>
                <w:sz w:val="16"/>
                <w:szCs w:val="16"/>
              </w:rPr>
              <w:lastRenderedPageBreak/>
              <w:t>Reguladores de otros países como ARCEP en Francia o la anterior CMT en España han superado esta problemática limitando la huella del operador hipotético modelado a un subconjunto de la huella del operador regulado.</w:t>
            </w:r>
            <w:r w:rsidRPr="00662097">
              <w:rPr>
                <w:rFonts w:ascii="Arial" w:hAnsi="Arial" w:cs="Arial"/>
                <w:sz w:val="16"/>
                <w:szCs w:val="16"/>
                <w:lang w:val="es-ES_tradnl"/>
              </w:rPr>
              <w:t xml:space="preserve"> Se solicita seguir una metodología similar a fin de reducir el impacto de ineficiencias en el diseño y cobertura de la red del AEP.</w:t>
            </w:r>
          </w:p>
        </w:tc>
        <w:tc>
          <w:tcPr>
            <w:tcW w:w="4536" w:type="dxa"/>
          </w:tcPr>
          <w:p w14:paraId="32DC8088" w14:textId="3DAF5558" w:rsidR="00E23591" w:rsidRPr="00662097" w:rsidRDefault="00BA0A9C" w:rsidP="00160268">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lastRenderedPageBreak/>
              <w:t>C</w:t>
            </w:r>
            <w:r w:rsidR="00E23591" w:rsidRPr="00662097">
              <w:rPr>
                <w:rFonts w:ascii="Arial" w:eastAsia="Times New Roman" w:hAnsi="Arial" w:cs="Arial"/>
                <w:color w:val="000000"/>
                <w:sz w:val="16"/>
                <w:szCs w:val="16"/>
                <w:lang w:eastAsia="es-MX"/>
              </w:rPr>
              <w:t>on respecto a la eficiencia, si bien se reconoce que el modelo refleja la estructura nodal del AEP, es decir la ubicación real de sus nodos (Centrales y PDP), varios ajustes han sido considerados con el fin de asegurar el nivel de eficiencia adecuado.</w:t>
            </w:r>
          </w:p>
          <w:p w14:paraId="503BB759" w14:textId="3D0C6B3C" w:rsidR="00E23591" w:rsidRPr="00662097" w:rsidRDefault="00E23591" w:rsidP="00160268">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Primero, las trayectorias de la red para conectar los nodos entre ellos y a los usuarios finales han sido definidas usando un algoritmo de camino </w:t>
            </w:r>
            <w:r w:rsidR="00C537D9" w:rsidRPr="00662097">
              <w:rPr>
                <w:rFonts w:ascii="Arial" w:eastAsia="Times New Roman" w:hAnsi="Arial" w:cs="Arial"/>
                <w:color w:val="000000"/>
                <w:sz w:val="16"/>
                <w:szCs w:val="16"/>
                <w:lang w:eastAsia="es-MX"/>
              </w:rPr>
              <w:t>más</w:t>
            </w:r>
            <w:r w:rsidRPr="00662097">
              <w:rPr>
                <w:rFonts w:ascii="Arial" w:eastAsia="Times New Roman" w:hAnsi="Arial" w:cs="Arial"/>
                <w:color w:val="000000"/>
                <w:sz w:val="16"/>
                <w:szCs w:val="16"/>
                <w:lang w:eastAsia="es-MX"/>
              </w:rPr>
              <w:t xml:space="preserve"> corto, que no es necesariamente el caso en la realidad.</w:t>
            </w:r>
          </w:p>
          <w:p w14:paraId="1DF5B849" w14:textId="1EA8ADAF" w:rsidR="00E23591" w:rsidRPr="00662097" w:rsidRDefault="00E23591" w:rsidP="00160268">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Segundo, la base de datos de los nodos proporcionada por el AEP ha sido anali</w:t>
            </w:r>
            <w:r w:rsidR="00C537D9" w:rsidRPr="00662097">
              <w:rPr>
                <w:rFonts w:ascii="Arial" w:eastAsia="Times New Roman" w:hAnsi="Arial" w:cs="Arial"/>
                <w:color w:val="000000"/>
                <w:sz w:val="16"/>
                <w:szCs w:val="16"/>
                <w:lang w:eastAsia="es-MX"/>
              </w:rPr>
              <w:t>z</w:t>
            </w:r>
            <w:r w:rsidRPr="00662097">
              <w:rPr>
                <w:rFonts w:ascii="Arial" w:eastAsia="Times New Roman" w:hAnsi="Arial" w:cs="Arial"/>
                <w:color w:val="000000"/>
                <w:sz w:val="16"/>
                <w:szCs w:val="16"/>
                <w:lang w:eastAsia="es-MX"/>
              </w:rPr>
              <w:t>ada y ajustada: varios PDP han sido reasignados a un</w:t>
            </w:r>
            <w:r w:rsidR="00C537D9" w:rsidRPr="00662097">
              <w:rPr>
                <w:rFonts w:ascii="Arial" w:eastAsia="Times New Roman" w:hAnsi="Arial" w:cs="Arial"/>
                <w:color w:val="000000"/>
                <w:sz w:val="16"/>
                <w:szCs w:val="16"/>
                <w:lang w:eastAsia="es-MX"/>
              </w:rPr>
              <w:t>a</w:t>
            </w:r>
            <w:r w:rsidRPr="00662097">
              <w:rPr>
                <w:rFonts w:ascii="Arial" w:eastAsia="Times New Roman" w:hAnsi="Arial" w:cs="Arial"/>
                <w:color w:val="000000"/>
                <w:sz w:val="16"/>
                <w:szCs w:val="16"/>
                <w:lang w:eastAsia="es-MX"/>
              </w:rPr>
              <w:t xml:space="preserve"> central </w:t>
            </w:r>
            <w:r w:rsidR="00C537D9" w:rsidRPr="00662097">
              <w:rPr>
                <w:rFonts w:ascii="Arial" w:eastAsia="Times New Roman" w:hAnsi="Arial" w:cs="Arial"/>
                <w:color w:val="000000"/>
                <w:sz w:val="16"/>
                <w:szCs w:val="16"/>
                <w:lang w:eastAsia="es-MX"/>
              </w:rPr>
              <w:t>más</w:t>
            </w:r>
            <w:r w:rsidRPr="00662097">
              <w:rPr>
                <w:rFonts w:ascii="Arial" w:eastAsia="Times New Roman" w:hAnsi="Arial" w:cs="Arial"/>
                <w:color w:val="000000"/>
                <w:sz w:val="16"/>
                <w:szCs w:val="16"/>
                <w:lang w:eastAsia="es-MX"/>
              </w:rPr>
              <w:t xml:space="preserve"> cercan</w:t>
            </w:r>
            <w:r w:rsidR="00C537D9" w:rsidRPr="00662097">
              <w:rPr>
                <w:rFonts w:ascii="Arial" w:eastAsia="Times New Roman" w:hAnsi="Arial" w:cs="Arial"/>
                <w:color w:val="000000"/>
                <w:sz w:val="16"/>
                <w:szCs w:val="16"/>
                <w:lang w:eastAsia="es-MX"/>
              </w:rPr>
              <w:t>a</w:t>
            </w:r>
            <w:r w:rsidRPr="00662097">
              <w:rPr>
                <w:rFonts w:ascii="Arial" w:eastAsia="Times New Roman" w:hAnsi="Arial" w:cs="Arial"/>
                <w:color w:val="000000"/>
                <w:sz w:val="16"/>
                <w:szCs w:val="16"/>
                <w:lang w:eastAsia="es-MX"/>
              </w:rPr>
              <w:t xml:space="preserve">, y nodos han sido fusionados cuando se </w:t>
            </w:r>
            <w:r w:rsidR="00C537D9" w:rsidRPr="00662097">
              <w:rPr>
                <w:rFonts w:ascii="Arial" w:eastAsia="Times New Roman" w:hAnsi="Arial" w:cs="Arial"/>
                <w:color w:val="000000"/>
                <w:sz w:val="16"/>
                <w:szCs w:val="16"/>
                <w:lang w:eastAsia="es-MX"/>
              </w:rPr>
              <w:t>encontraban</w:t>
            </w:r>
            <w:r w:rsidRPr="00662097">
              <w:rPr>
                <w:rFonts w:ascii="Arial" w:eastAsia="Times New Roman" w:hAnsi="Arial" w:cs="Arial"/>
                <w:color w:val="000000"/>
                <w:sz w:val="16"/>
                <w:szCs w:val="16"/>
                <w:lang w:eastAsia="es-MX"/>
              </w:rPr>
              <w:t xml:space="preserve"> muy cerca uno del otro. </w:t>
            </w:r>
          </w:p>
          <w:p w14:paraId="62A1FB7C" w14:textId="4279EE22" w:rsidR="001A692D" w:rsidRPr="00662097" w:rsidRDefault="000A3E0F" w:rsidP="00160268">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Ahora bien, e</w:t>
            </w:r>
            <w:r w:rsidR="001A692D" w:rsidRPr="00662097">
              <w:rPr>
                <w:rFonts w:ascii="Arial" w:eastAsia="Times New Roman" w:hAnsi="Arial" w:cs="Arial"/>
                <w:color w:val="000000"/>
                <w:sz w:val="16"/>
                <w:szCs w:val="16"/>
                <w:lang w:eastAsia="es-MX"/>
              </w:rPr>
              <w:t>l hecho que haya centrales de tamaño reducid</w:t>
            </w:r>
            <w:r w:rsidR="00FB50BE" w:rsidRPr="00662097">
              <w:rPr>
                <w:rFonts w:ascii="Arial" w:eastAsia="Times New Roman" w:hAnsi="Arial" w:cs="Arial"/>
                <w:color w:val="000000"/>
                <w:sz w:val="16"/>
                <w:szCs w:val="16"/>
                <w:lang w:eastAsia="es-MX"/>
              </w:rPr>
              <w:t>o</w:t>
            </w:r>
            <w:r w:rsidR="001A692D" w:rsidRPr="00662097">
              <w:rPr>
                <w:rFonts w:ascii="Arial" w:eastAsia="Times New Roman" w:hAnsi="Arial" w:cs="Arial"/>
                <w:color w:val="000000"/>
                <w:sz w:val="16"/>
                <w:szCs w:val="16"/>
                <w:lang w:eastAsia="es-MX"/>
              </w:rPr>
              <w:t xml:space="preserve"> no necesariamente demuestra una falta de eficiencia, si no el </w:t>
            </w:r>
            <w:r w:rsidR="001A692D" w:rsidRPr="00662097">
              <w:rPr>
                <w:rFonts w:ascii="Arial" w:eastAsia="Times New Roman" w:hAnsi="Arial" w:cs="Arial"/>
                <w:color w:val="000000"/>
                <w:sz w:val="16"/>
                <w:szCs w:val="16"/>
                <w:lang w:eastAsia="es-MX"/>
              </w:rPr>
              <w:lastRenderedPageBreak/>
              <w:t>hecho que el AEP conecta áreas remotas, que no se puedan conectar a un</w:t>
            </w:r>
            <w:r w:rsidR="00F37A52" w:rsidRPr="00662097">
              <w:rPr>
                <w:rFonts w:ascii="Arial" w:eastAsia="Times New Roman" w:hAnsi="Arial" w:cs="Arial"/>
                <w:color w:val="000000"/>
                <w:sz w:val="16"/>
                <w:szCs w:val="16"/>
                <w:lang w:eastAsia="es-MX"/>
              </w:rPr>
              <w:t>a</w:t>
            </w:r>
            <w:r w:rsidR="001A692D" w:rsidRPr="00662097">
              <w:rPr>
                <w:rFonts w:ascii="Arial" w:eastAsia="Times New Roman" w:hAnsi="Arial" w:cs="Arial"/>
                <w:color w:val="000000"/>
                <w:sz w:val="16"/>
                <w:szCs w:val="16"/>
                <w:lang w:eastAsia="es-MX"/>
              </w:rPr>
              <w:t xml:space="preserve"> central más lejana.</w:t>
            </w:r>
          </w:p>
          <w:p w14:paraId="2247F200" w14:textId="26C90F5A" w:rsidR="001A692D" w:rsidRPr="00662097" w:rsidRDefault="001A692D" w:rsidP="00160268">
            <w:pPr>
              <w:spacing w:before="120" w:after="120" w:line="240" w:lineRule="auto"/>
              <w:rPr>
                <w:rFonts w:ascii="Arial" w:hAnsi="Arial" w:cs="Arial"/>
                <w:sz w:val="16"/>
                <w:szCs w:val="16"/>
              </w:rPr>
            </w:pPr>
            <w:r w:rsidRPr="00662097">
              <w:rPr>
                <w:rFonts w:ascii="Arial" w:eastAsia="Times New Roman" w:hAnsi="Arial" w:cs="Arial"/>
                <w:color w:val="000000"/>
                <w:sz w:val="16"/>
                <w:szCs w:val="16"/>
                <w:lang w:eastAsia="es-MX"/>
              </w:rPr>
              <w:t xml:space="preserve">Cabe destacar que, en el caso de Francia o España, la huella del operador modelado ha sido reducida a un subconjunto de la huella del operador regulado porque los costos de las </w:t>
            </w:r>
            <w:r w:rsidR="00F37A52" w:rsidRPr="00662097">
              <w:rPr>
                <w:rFonts w:ascii="Arial" w:eastAsia="Times New Roman" w:hAnsi="Arial" w:cs="Arial"/>
                <w:color w:val="000000"/>
                <w:sz w:val="16"/>
                <w:szCs w:val="16"/>
                <w:lang w:eastAsia="es-MX"/>
              </w:rPr>
              <w:t>líneas</w:t>
            </w:r>
            <w:r w:rsidRPr="00662097">
              <w:rPr>
                <w:rFonts w:ascii="Arial" w:eastAsia="Times New Roman" w:hAnsi="Arial" w:cs="Arial"/>
                <w:color w:val="000000"/>
                <w:sz w:val="16"/>
                <w:szCs w:val="16"/>
                <w:lang w:eastAsia="es-MX"/>
              </w:rPr>
              <w:t xml:space="preserve"> </w:t>
            </w:r>
            <w:r w:rsidR="00F37A52" w:rsidRPr="00662097">
              <w:rPr>
                <w:rFonts w:ascii="Arial" w:eastAsia="Times New Roman" w:hAnsi="Arial" w:cs="Arial"/>
                <w:color w:val="000000"/>
                <w:sz w:val="16"/>
                <w:szCs w:val="16"/>
                <w:lang w:eastAsia="es-MX"/>
              </w:rPr>
              <w:t>más</w:t>
            </w:r>
            <w:r w:rsidRPr="00662097">
              <w:rPr>
                <w:rFonts w:ascii="Arial" w:eastAsia="Times New Roman" w:hAnsi="Arial" w:cs="Arial"/>
                <w:color w:val="000000"/>
                <w:sz w:val="16"/>
                <w:szCs w:val="16"/>
                <w:lang w:eastAsia="es-MX"/>
              </w:rPr>
              <w:t xml:space="preserve"> remotas (y entonces </w:t>
            </w:r>
            <w:r w:rsidR="00F37A52" w:rsidRPr="00662097">
              <w:rPr>
                <w:rFonts w:ascii="Arial" w:eastAsia="Times New Roman" w:hAnsi="Arial" w:cs="Arial"/>
                <w:color w:val="000000"/>
                <w:sz w:val="16"/>
                <w:szCs w:val="16"/>
                <w:lang w:eastAsia="es-MX"/>
              </w:rPr>
              <w:t>más</w:t>
            </w:r>
            <w:r w:rsidRPr="00662097">
              <w:rPr>
                <w:rFonts w:ascii="Arial" w:eastAsia="Times New Roman" w:hAnsi="Arial" w:cs="Arial"/>
                <w:color w:val="000000"/>
                <w:sz w:val="16"/>
                <w:szCs w:val="16"/>
                <w:lang w:eastAsia="es-MX"/>
              </w:rPr>
              <w:t xml:space="preserve"> costosas) se recuperan a través del servicio universal, lo que no existe en </w:t>
            </w:r>
            <w:r w:rsidR="00F37A52" w:rsidRPr="00662097">
              <w:rPr>
                <w:rFonts w:ascii="Arial" w:eastAsia="Times New Roman" w:hAnsi="Arial" w:cs="Arial"/>
                <w:color w:val="000000"/>
                <w:sz w:val="16"/>
                <w:szCs w:val="16"/>
                <w:lang w:eastAsia="es-MX"/>
              </w:rPr>
              <w:t>México</w:t>
            </w:r>
            <w:r w:rsidRPr="00662097">
              <w:rPr>
                <w:rFonts w:ascii="Arial" w:eastAsia="Times New Roman" w:hAnsi="Arial" w:cs="Arial"/>
                <w:color w:val="000000"/>
                <w:sz w:val="16"/>
                <w:szCs w:val="16"/>
                <w:lang w:eastAsia="es-MX"/>
              </w:rPr>
              <w:t>.</w:t>
            </w:r>
          </w:p>
        </w:tc>
      </w:tr>
      <w:tr w:rsidR="00D94CEC" w:rsidRPr="00662097" w14:paraId="4BAFEF22" w14:textId="7FED8F46" w:rsidTr="008F664E">
        <w:trPr>
          <w:trHeight w:val="20"/>
        </w:trPr>
        <w:tc>
          <w:tcPr>
            <w:tcW w:w="1271" w:type="dxa"/>
            <w:vAlign w:val="center"/>
          </w:tcPr>
          <w:p w14:paraId="041FB878" w14:textId="4D8B7666" w:rsidR="00D94CEC" w:rsidRPr="00662097" w:rsidRDefault="00D94CEC" w:rsidP="007E1C47">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lastRenderedPageBreak/>
              <w:t>Mega Cable</w:t>
            </w:r>
          </w:p>
        </w:tc>
        <w:tc>
          <w:tcPr>
            <w:tcW w:w="1843" w:type="dxa"/>
            <w:shd w:val="clear" w:color="auto" w:fill="auto"/>
            <w:vAlign w:val="center"/>
          </w:tcPr>
          <w:p w14:paraId="750C40E9" w14:textId="7E43A50C" w:rsidR="00D94CEC" w:rsidRPr="00662097" w:rsidRDefault="00D94CEC" w:rsidP="007E1C47">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2.2.3.1 Consideración de Activos Modernos Equivalentes</w:t>
            </w:r>
          </w:p>
        </w:tc>
        <w:tc>
          <w:tcPr>
            <w:tcW w:w="6379" w:type="dxa"/>
            <w:shd w:val="clear" w:color="auto" w:fill="auto"/>
            <w:vAlign w:val="center"/>
          </w:tcPr>
          <w:p w14:paraId="722320B6" w14:textId="77777777" w:rsidR="00D94CEC" w:rsidRPr="00662097" w:rsidRDefault="00D94CEC" w:rsidP="00C125C0">
            <w:pPr>
              <w:autoSpaceDE w:val="0"/>
              <w:autoSpaceDN w:val="0"/>
              <w:adjustRightInd w:val="0"/>
              <w:spacing w:before="120" w:after="120" w:line="240" w:lineRule="auto"/>
              <w:rPr>
                <w:rFonts w:ascii="Arial" w:hAnsi="Arial" w:cs="Arial"/>
                <w:sz w:val="16"/>
                <w:szCs w:val="16"/>
              </w:rPr>
            </w:pPr>
            <w:r w:rsidRPr="00662097">
              <w:rPr>
                <w:rFonts w:ascii="Arial" w:hAnsi="Arial" w:cs="Arial"/>
                <w:sz w:val="16"/>
                <w:szCs w:val="16"/>
              </w:rPr>
              <w:t>El Documento Metodológico cita dos alternativas para el tratamiento de la reposición de activos para los elementos de la red de cobre: a) sustitución por red de acceso basada en tecnología más eficiente disponible (fibra óptica) o b) “enfoque híbrido” con red NGA y red de cobre que coexisten.</w:t>
            </w:r>
          </w:p>
          <w:p w14:paraId="48AAE904" w14:textId="79570E48" w:rsidR="00D94CEC" w:rsidRPr="00662097" w:rsidRDefault="00D94CEC" w:rsidP="00C125C0">
            <w:pPr>
              <w:autoSpaceDE w:val="0"/>
              <w:autoSpaceDN w:val="0"/>
              <w:adjustRightInd w:val="0"/>
              <w:spacing w:before="120" w:after="120" w:line="240" w:lineRule="auto"/>
              <w:rPr>
                <w:rFonts w:ascii="Arial" w:hAnsi="Arial" w:cs="Arial"/>
                <w:sz w:val="16"/>
                <w:szCs w:val="16"/>
              </w:rPr>
            </w:pPr>
            <w:r w:rsidRPr="00662097">
              <w:rPr>
                <w:rFonts w:ascii="Arial" w:hAnsi="Arial" w:cs="Arial"/>
                <w:sz w:val="16"/>
                <w:szCs w:val="16"/>
              </w:rPr>
              <w:t>Se afirma que se utiliza el segundo esquema por “ser consistente con el contexto mexicano” y “permite capturar el estado de la red fija como es actualmente, así como también en los próximos años (…).</w:t>
            </w:r>
            <w:r w:rsidR="00D43524" w:rsidRPr="00662097">
              <w:rPr>
                <w:rFonts w:ascii="Arial" w:hAnsi="Arial" w:cs="Arial"/>
                <w:sz w:val="16"/>
                <w:szCs w:val="16"/>
              </w:rPr>
              <w:t>”</w:t>
            </w:r>
          </w:p>
          <w:p w14:paraId="5FBA24E1" w14:textId="77777777" w:rsidR="00D94CEC" w:rsidRPr="00662097" w:rsidRDefault="00D94CEC" w:rsidP="00C125C0">
            <w:pPr>
              <w:autoSpaceDE w:val="0"/>
              <w:autoSpaceDN w:val="0"/>
              <w:adjustRightInd w:val="0"/>
              <w:spacing w:before="120" w:after="120" w:line="240" w:lineRule="auto"/>
              <w:rPr>
                <w:rFonts w:ascii="Arial" w:hAnsi="Arial" w:cs="Arial"/>
                <w:sz w:val="16"/>
                <w:szCs w:val="16"/>
              </w:rPr>
            </w:pPr>
            <w:r w:rsidRPr="00662097">
              <w:rPr>
                <w:rFonts w:ascii="Arial" w:hAnsi="Arial" w:cs="Arial"/>
                <w:sz w:val="16"/>
                <w:szCs w:val="16"/>
              </w:rPr>
              <w:t xml:space="preserve">Se observa una decisión de política regulatoria donde se prioriza garantizar la recuperación total de costos del AEP aún en contra de los principios establecidos en la LFTR y en la Resolución de Preponderancia de defender y promover la competencia y mayor eficiencia en las telecomunicaciones.  </w:t>
            </w:r>
          </w:p>
          <w:p w14:paraId="0325B132" w14:textId="54BBEC63" w:rsidR="00D94CEC" w:rsidRPr="00662097" w:rsidRDefault="00D94CEC" w:rsidP="00C125C0">
            <w:pPr>
              <w:autoSpaceDE w:val="0"/>
              <w:autoSpaceDN w:val="0"/>
              <w:adjustRightInd w:val="0"/>
              <w:spacing w:before="120" w:after="120" w:line="240" w:lineRule="auto"/>
              <w:rPr>
                <w:rFonts w:ascii="Arial" w:hAnsi="Arial" w:cs="Arial"/>
                <w:sz w:val="16"/>
                <w:szCs w:val="16"/>
              </w:rPr>
            </w:pPr>
            <w:r w:rsidRPr="00662097">
              <w:rPr>
                <w:rFonts w:ascii="Arial" w:hAnsi="Arial" w:cs="Arial"/>
                <w:sz w:val="16"/>
                <w:szCs w:val="16"/>
              </w:rPr>
              <w:t xml:space="preserve">Contrario a lo que se señala, es un contrasentido el Criterio 6 respecto a que “la red eficiente moderna está basada en un enfoque híbrido: una red de cobre, una red de FTTH y una red de FTTC.” Lo anterior implica mantener en un alto grado una red histórica, totalmente depreciada, que no es ni moderna ni eficiente. Además, dicho enfoque genera los incentivos equivocados, al desincentivar al AEP a migrar en una mayor proporción su red a tecnologías modernas y eficientes, ya que permite que continúe recuperando los costos de la red obsoleta. </w:t>
            </w:r>
          </w:p>
          <w:p w14:paraId="580B7C64" w14:textId="77777777" w:rsidR="00D94CEC" w:rsidRPr="00662097" w:rsidRDefault="00D94CEC" w:rsidP="00C125C0">
            <w:pPr>
              <w:autoSpaceDE w:val="0"/>
              <w:autoSpaceDN w:val="0"/>
              <w:adjustRightInd w:val="0"/>
              <w:spacing w:before="120" w:after="120" w:line="240" w:lineRule="auto"/>
              <w:rPr>
                <w:rFonts w:ascii="Arial" w:hAnsi="Arial" w:cs="Arial"/>
                <w:sz w:val="16"/>
                <w:szCs w:val="16"/>
              </w:rPr>
            </w:pPr>
            <w:r w:rsidRPr="00662097">
              <w:rPr>
                <w:rFonts w:ascii="Arial" w:hAnsi="Arial" w:cs="Arial"/>
                <w:sz w:val="16"/>
                <w:szCs w:val="16"/>
              </w:rPr>
              <w:t>Se solicita adoptar en su lugar la primera interpretación de activos modernos equivalentes (MEA), de una red completamente NGA, a fin de reflejar cabalmente los principios establecidos en la regulación sectorial.</w:t>
            </w:r>
          </w:p>
        </w:tc>
        <w:tc>
          <w:tcPr>
            <w:tcW w:w="4536" w:type="dxa"/>
          </w:tcPr>
          <w:p w14:paraId="5C2DAF0F" w14:textId="29B2902E" w:rsidR="00D94CEC" w:rsidRPr="00662097" w:rsidRDefault="0020744E" w:rsidP="00941E82">
            <w:pPr>
              <w:autoSpaceDE w:val="0"/>
              <w:autoSpaceDN w:val="0"/>
              <w:adjustRightInd w:val="0"/>
              <w:spacing w:before="120" w:after="120" w:line="240" w:lineRule="auto"/>
              <w:rPr>
                <w:rFonts w:ascii="Arial" w:hAnsi="Arial" w:cs="Arial"/>
                <w:sz w:val="16"/>
                <w:szCs w:val="16"/>
              </w:rPr>
            </w:pPr>
            <w:r w:rsidRPr="00662097">
              <w:rPr>
                <w:rFonts w:ascii="Arial" w:hAnsi="Arial" w:cs="Arial"/>
                <w:sz w:val="16"/>
                <w:szCs w:val="16"/>
              </w:rPr>
              <w:t>En este caso</w:t>
            </w:r>
            <w:r w:rsidR="00D94CEC" w:rsidRPr="00662097">
              <w:rPr>
                <w:rFonts w:ascii="Arial" w:hAnsi="Arial" w:cs="Arial"/>
                <w:sz w:val="16"/>
                <w:szCs w:val="16"/>
              </w:rPr>
              <w:t xml:space="preserve"> no se considera que el criterio adoptado </w:t>
            </w:r>
            <w:r w:rsidR="00674C00" w:rsidRPr="00662097">
              <w:rPr>
                <w:rFonts w:ascii="Arial" w:hAnsi="Arial" w:cs="Arial"/>
                <w:sz w:val="16"/>
                <w:szCs w:val="16"/>
              </w:rPr>
              <w:t xml:space="preserve">por el Instituto </w:t>
            </w:r>
            <w:r w:rsidR="00D94CEC" w:rsidRPr="00662097">
              <w:rPr>
                <w:rFonts w:ascii="Arial" w:hAnsi="Arial" w:cs="Arial"/>
                <w:sz w:val="16"/>
                <w:szCs w:val="16"/>
              </w:rPr>
              <w:t xml:space="preserve">se encuentre en contraposición con el objetivo de promover la competencia y eficiencia en las telecomunicaciones. </w:t>
            </w:r>
            <w:r w:rsidR="004878BA" w:rsidRPr="00662097">
              <w:rPr>
                <w:rFonts w:ascii="Arial" w:hAnsi="Arial" w:cs="Arial"/>
                <w:sz w:val="16"/>
                <w:szCs w:val="16"/>
              </w:rPr>
              <w:t>E</w:t>
            </w:r>
            <w:r w:rsidR="00D94CEC" w:rsidRPr="00662097">
              <w:rPr>
                <w:rFonts w:ascii="Arial" w:hAnsi="Arial" w:cs="Arial"/>
                <w:sz w:val="16"/>
                <w:szCs w:val="16"/>
              </w:rPr>
              <w:t>l uso de un enfoque híbrido en un contexto donde todavía coexisten diferentes redes (cobre, FTTH y FTTC) se encuentra alineado con las mejores prácticas internacionales adoptadas por otros reguladores</w:t>
            </w:r>
            <w:r w:rsidR="001F4B68" w:rsidRPr="00662097">
              <w:rPr>
                <w:rFonts w:ascii="Arial" w:hAnsi="Arial" w:cs="Arial"/>
                <w:sz w:val="16"/>
                <w:szCs w:val="16"/>
              </w:rPr>
              <w:t xml:space="preserve"> (como por ejemplo los reguladores de Bélgica o Dinamarca)</w:t>
            </w:r>
            <w:r w:rsidR="00D94CEC" w:rsidRPr="00662097">
              <w:rPr>
                <w:rFonts w:ascii="Arial" w:hAnsi="Arial" w:cs="Arial"/>
                <w:sz w:val="16"/>
                <w:szCs w:val="16"/>
              </w:rPr>
              <w:t xml:space="preserve">. </w:t>
            </w:r>
          </w:p>
          <w:p w14:paraId="58AA3A9E" w14:textId="2C9D584D" w:rsidR="00D94CEC" w:rsidRPr="00662097" w:rsidRDefault="00D94CEC" w:rsidP="00941E82">
            <w:pPr>
              <w:autoSpaceDE w:val="0"/>
              <w:autoSpaceDN w:val="0"/>
              <w:adjustRightInd w:val="0"/>
              <w:spacing w:before="120" w:after="120" w:line="240" w:lineRule="auto"/>
              <w:rPr>
                <w:rFonts w:ascii="Arial" w:hAnsi="Arial" w:cs="Arial"/>
                <w:sz w:val="16"/>
                <w:szCs w:val="16"/>
              </w:rPr>
            </w:pPr>
            <w:r w:rsidRPr="00662097">
              <w:rPr>
                <w:rFonts w:ascii="Arial" w:hAnsi="Arial" w:cs="Arial"/>
                <w:sz w:val="16"/>
                <w:szCs w:val="16"/>
              </w:rPr>
              <w:t xml:space="preserve">Si bien es cierto que las redes de cobre presentan un alto grado de depreciación, el Modelo ya introduce un ajuste para precisamente evitar una </w:t>
            </w:r>
            <w:proofErr w:type="spellStart"/>
            <w:r w:rsidRPr="00662097">
              <w:rPr>
                <w:rFonts w:ascii="Arial" w:hAnsi="Arial" w:cs="Arial"/>
                <w:sz w:val="16"/>
                <w:szCs w:val="16"/>
              </w:rPr>
              <w:t>sobre-recuperación</w:t>
            </w:r>
            <w:proofErr w:type="spellEnd"/>
            <w:r w:rsidRPr="00662097">
              <w:rPr>
                <w:rFonts w:ascii="Arial" w:hAnsi="Arial" w:cs="Arial"/>
                <w:sz w:val="16"/>
                <w:szCs w:val="16"/>
              </w:rPr>
              <w:t xml:space="preserve"> de los costos asociados a estos activos, evitando así el escenario señalado, tal y como se </w:t>
            </w:r>
            <w:r w:rsidR="00674C00" w:rsidRPr="00662097">
              <w:rPr>
                <w:rFonts w:ascii="Arial" w:hAnsi="Arial" w:cs="Arial"/>
                <w:sz w:val="16"/>
                <w:szCs w:val="16"/>
              </w:rPr>
              <w:t xml:space="preserve">indica </w:t>
            </w:r>
            <w:r w:rsidRPr="00662097">
              <w:rPr>
                <w:rFonts w:ascii="Arial" w:hAnsi="Arial" w:cs="Arial"/>
                <w:sz w:val="16"/>
                <w:szCs w:val="16"/>
              </w:rPr>
              <w:t xml:space="preserve">en la sección 2.2. del “Documento de Actualización”: </w:t>
            </w:r>
          </w:p>
          <w:p w14:paraId="0459D3C9" w14:textId="77777777" w:rsidR="00D94CEC" w:rsidRPr="00662097" w:rsidRDefault="00D94CEC" w:rsidP="00577C11">
            <w:pPr>
              <w:autoSpaceDE w:val="0"/>
              <w:autoSpaceDN w:val="0"/>
              <w:adjustRightInd w:val="0"/>
              <w:spacing w:before="120" w:after="120" w:line="240" w:lineRule="auto"/>
              <w:ind w:left="567"/>
              <w:rPr>
                <w:rFonts w:ascii="Arial" w:hAnsi="Arial" w:cs="Arial"/>
                <w:i/>
                <w:iCs/>
                <w:sz w:val="16"/>
                <w:szCs w:val="16"/>
              </w:rPr>
            </w:pPr>
            <w:r w:rsidRPr="00662097">
              <w:rPr>
                <w:rFonts w:ascii="Arial" w:hAnsi="Arial" w:cs="Arial"/>
                <w:i/>
                <w:iCs/>
                <w:sz w:val="16"/>
                <w:szCs w:val="16"/>
              </w:rPr>
              <w:t xml:space="preserve">En el entorno actual de telecomunicaciones, es evidente que las redes de acceso de cobre se encuentran cada día más obsoletas, al ser incapaces de ofrecer las velocidades crecientes de banda ancha demandadas por los usuarios. Adicionalmente, los cables de cobre también presentan un alto grado de depreciación acumulada en las finanzas del AEP, al haber sido desplegados hace un número sustancial de años. Por tanto, se estima que, para evitar una </w:t>
            </w:r>
            <w:proofErr w:type="spellStart"/>
            <w:r w:rsidRPr="00662097">
              <w:rPr>
                <w:rFonts w:ascii="Arial" w:hAnsi="Arial" w:cs="Arial"/>
                <w:i/>
                <w:iCs/>
                <w:sz w:val="16"/>
                <w:szCs w:val="16"/>
              </w:rPr>
              <w:t>sobre-recuperación</w:t>
            </w:r>
            <w:proofErr w:type="spellEnd"/>
            <w:r w:rsidRPr="00662097">
              <w:rPr>
                <w:rFonts w:ascii="Arial" w:hAnsi="Arial" w:cs="Arial"/>
                <w:i/>
                <w:iCs/>
                <w:sz w:val="16"/>
                <w:szCs w:val="16"/>
              </w:rPr>
              <w:t xml:space="preserve"> de los costos relacionados con los cables de cobre, el Modelo debe extender la aplicación del descuento explicado previamente para el valor de reposición de las canalizaciones, pozos y postes, también a los activos relacionados con los cables de cobre en el Modelo. Se hace notar que esta aproximación ya ha sido empleada previamente por otros reguladores de telecomunicaciones en el entorno internacional. Para llevar a cabo esta implementación, se ha introducido un nuevo parámetro en el Modelo, que refleja el descuento a ser aplicado sobre el valor de reposición de los cables de cobre.</w:t>
            </w:r>
          </w:p>
          <w:p w14:paraId="36146445" w14:textId="2B847831" w:rsidR="00160268" w:rsidRPr="00662097" w:rsidRDefault="006F0B2C" w:rsidP="00785C11">
            <w:pPr>
              <w:autoSpaceDE w:val="0"/>
              <w:autoSpaceDN w:val="0"/>
              <w:adjustRightInd w:val="0"/>
              <w:spacing w:before="120" w:after="120" w:line="240" w:lineRule="auto"/>
              <w:rPr>
                <w:rFonts w:ascii="Arial" w:hAnsi="Arial" w:cs="Arial"/>
                <w:iCs/>
                <w:sz w:val="16"/>
                <w:szCs w:val="16"/>
              </w:rPr>
            </w:pPr>
            <w:r w:rsidRPr="00662097">
              <w:rPr>
                <w:rFonts w:ascii="Arial" w:hAnsi="Arial" w:cs="Arial"/>
                <w:iCs/>
                <w:sz w:val="16"/>
                <w:szCs w:val="16"/>
              </w:rPr>
              <w:t xml:space="preserve">Adicionalmente, se destaca que el Modelo Integral considera la adopción de tecnologías de fibra óptica (líneas activas </w:t>
            </w:r>
            <w:r w:rsidRPr="00662097">
              <w:rPr>
                <w:rFonts w:ascii="Arial" w:hAnsi="Arial" w:cs="Arial"/>
                <w:iCs/>
                <w:sz w:val="16"/>
                <w:szCs w:val="16"/>
              </w:rPr>
              <w:lastRenderedPageBreak/>
              <w:t>respecto a líneas pasivas)</w:t>
            </w:r>
            <w:r w:rsidR="00160268" w:rsidRPr="00662097">
              <w:rPr>
                <w:rFonts w:ascii="Arial" w:hAnsi="Arial" w:cs="Arial"/>
                <w:iCs/>
                <w:sz w:val="16"/>
                <w:szCs w:val="16"/>
              </w:rPr>
              <w:t xml:space="preserve"> acorde con lo observado en el mercado y</w:t>
            </w:r>
            <w:r w:rsidRPr="00662097">
              <w:rPr>
                <w:rFonts w:ascii="Arial" w:hAnsi="Arial" w:cs="Arial"/>
                <w:iCs/>
                <w:sz w:val="16"/>
                <w:szCs w:val="16"/>
              </w:rPr>
              <w:t xml:space="preserve"> que resulta en un monto superior incluso a lo observado en algunos países europeos. La tasa de adopción implementada en México resulta en un porcentaje del 69%.</w:t>
            </w:r>
          </w:p>
          <w:p w14:paraId="45FFA52B" w14:textId="70F7CFFE" w:rsidR="006F0B2C" w:rsidRPr="00662097" w:rsidRDefault="00160268" w:rsidP="00785C11">
            <w:pPr>
              <w:autoSpaceDE w:val="0"/>
              <w:autoSpaceDN w:val="0"/>
              <w:adjustRightInd w:val="0"/>
              <w:spacing w:before="120" w:after="120" w:line="240" w:lineRule="auto"/>
              <w:rPr>
                <w:rFonts w:ascii="Arial" w:hAnsi="Arial" w:cs="Arial"/>
                <w:iCs/>
                <w:sz w:val="16"/>
                <w:szCs w:val="16"/>
              </w:rPr>
            </w:pPr>
            <w:r w:rsidRPr="00662097">
              <w:rPr>
                <w:rFonts w:ascii="Arial" w:hAnsi="Arial" w:cs="Arial"/>
                <w:iCs/>
                <w:sz w:val="16"/>
                <w:szCs w:val="16"/>
              </w:rPr>
              <w:t xml:space="preserve">De igual forma </w:t>
            </w:r>
            <w:r w:rsidR="00785C11" w:rsidRPr="00662097">
              <w:rPr>
                <w:rFonts w:ascii="Arial" w:hAnsi="Arial" w:cs="Arial"/>
                <w:iCs/>
                <w:sz w:val="16"/>
                <w:szCs w:val="16"/>
              </w:rPr>
              <w:t xml:space="preserve">se destaca que </w:t>
            </w:r>
            <w:r w:rsidRPr="00662097">
              <w:rPr>
                <w:rFonts w:ascii="Arial" w:hAnsi="Arial" w:cs="Arial"/>
                <w:iCs/>
                <w:sz w:val="16"/>
                <w:szCs w:val="16"/>
              </w:rPr>
              <w:t xml:space="preserve">de acuerdo con la información publicada en el Banco de Información de Telecomunicaciones del Instituto, la evolución del porcentaje de accesos con tecnología de fibra óptica por parte del AEP ha evolucionado de representar el </w:t>
            </w:r>
            <w:r w:rsidR="00785C11" w:rsidRPr="00662097">
              <w:rPr>
                <w:rFonts w:ascii="Arial" w:hAnsi="Arial" w:cs="Arial"/>
                <w:iCs/>
                <w:sz w:val="16"/>
                <w:szCs w:val="16"/>
              </w:rPr>
              <w:t>25.5</w:t>
            </w:r>
            <w:r w:rsidRPr="00662097">
              <w:rPr>
                <w:rFonts w:ascii="Arial" w:hAnsi="Arial" w:cs="Arial"/>
                <w:iCs/>
                <w:sz w:val="16"/>
                <w:szCs w:val="16"/>
              </w:rPr>
              <w:t xml:space="preserve">% en 2013 de </w:t>
            </w:r>
            <w:r w:rsidR="00785C11" w:rsidRPr="00662097">
              <w:rPr>
                <w:rFonts w:ascii="Arial" w:hAnsi="Arial" w:cs="Arial"/>
                <w:iCs/>
                <w:sz w:val="16"/>
                <w:szCs w:val="16"/>
              </w:rPr>
              <w:t>sus</w:t>
            </w:r>
            <w:r w:rsidRPr="00662097">
              <w:rPr>
                <w:rFonts w:ascii="Arial" w:hAnsi="Arial" w:cs="Arial"/>
                <w:iCs/>
                <w:sz w:val="16"/>
                <w:szCs w:val="16"/>
              </w:rPr>
              <w:t xml:space="preserve"> accesos totales hasta el 69.2% al primer trimestre de 2023.</w:t>
            </w:r>
          </w:p>
          <w:p w14:paraId="57B81116" w14:textId="51FFF453" w:rsidR="00785C11" w:rsidRPr="00662097" w:rsidRDefault="00785C11" w:rsidP="00785C11">
            <w:pPr>
              <w:autoSpaceDE w:val="0"/>
              <w:autoSpaceDN w:val="0"/>
              <w:adjustRightInd w:val="0"/>
              <w:spacing w:before="120" w:after="120" w:line="240" w:lineRule="auto"/>
              <w:rPr>
                <w:rFonts w:ascii="Arial" w:hAnsi="Arial" w:cs="Arial"/>
                <w:iCs/>
                <w:sz w:val="16"/>
                <w:szCs w:val="16"/>
              </w:rPr>
            </w:pPr>
            <w:r w:rsidRPr="00662097">
              <w:rPr>
                <w:rFonts w:ascii="Arial" w:hAnsi="Arial" w:cs="Arial"/>
                <w:iCs/>
                <w:sz w:val="16"/>
                <w:szCs w:val="16"/>
              </w:rPr>
              <w:t xml:space="preserve">Lo anterior permite </w:t>
            </w:r>
            <w:r w:rsidR="00557903" w:rsidRPr="00662097">
              <w:rPr>
                <w:rFonts w:ascii="Arial" w:hAnsi="Arial" w:cs="Arial"/>
                <w:iCs/>
                <w:sz w:val="16"/>
                <w:szCs w:val="16"/>
              </w:rPr>
              <w:t xml:space="preserve">considerar la </w:t>
            </w:r>
            <w:r w:rsidR="00690196" w:rsidRPr="00662097">
              <w:rPr>
                <w:rFonts w:ascii="Arial" w:hAnsi="Arial" w:cs="Arial"/>
                <w:iCs/>
                <w:sz w:val="16"/>
                <w:szCs w:val="16"/>
              </w:rPr>
              <w:t xml:space="preserve">validez en la adopción </w:t>
            </w:r>
            <w:proofErr w:type="gramStart"/>
            <w:r w:rsidR="00690196" w:rsidRPr="00662097">
              <w:rPr>
                <w:rFonts w:ascii="Arial" w:hAnsi="Arial" w:cs="Arial"/>
                <w:iCs/>
                <w:sz w:val="16"/>
                <w:szCs w:val="16"/>
              </w:rPr>
              <w:t>del  de</w:t>
            </w:r>
            <w:proofErr w:type="gramEnd"/>
            <w:r w:rsidR="00690196" w:rsidRPr="00662097">
              <w:rPr>
                <w:rFonts w:ascii="Arial" w:hAnsi="Arial" w:cs="Arial"/>
                <w:iCs/>
                <w:sz w:val="16"/>
                <w:szCs w:val="16"/>
              </w:rPr>
              <w:t xml:space="preserve"> las redes de fibra, </w:t>
            </w:r>
            <w:r w:rsidRPr="00662097">
              <w:rPr>
                <w:rFonts w:ascii="Arial" w:hAnsi="Arial" w:cs="Arial"/>
                <w:iCs/>
                <w:sz w:val="16"/>
                <w:szCs w:val="16"/>
              </w:rPr>
              <w:t xml:space="preserve"> asegurando los incentivos del AEP para la migración tecnológica en sus redes.</w:t>
            </w:r>
          </w:p>
          <w:p w14:paraId="579E623F" w14:textId="73740C10" w:rsidR="00160268" w:rsidRPr="00662097" w:rsidRDefault="00160268" w:rsidP="00577C11">
            <w:pPr>
              <w:autoSpaceDE w:val="0"/>
              <w:autoSpaceDN w:val="0"/>
              <w:adjustRightInd w:val="0"/>
              <w:spacing w:before="120" w:after="120" w:line="240" w:lineRule="auto"/>
              <w:ind w:left="567"/>
              <w:rPr>
                <w:rFonts w:ascii="Arial" w:hAnsi="Arial" w:cs="Arial"/>
                <w:iCs/>
                <w:sz w:val="16"/>
                <w:szCs w:val="16"/>
              </w:rPr>
            </w:pPr>
          </w:p>
        </w:tc>
      </w:tr>
      <w:tr w:rsidR="00D94CEC" w:rsidRPr="00662097" w14:paraId="40BC2FFF" w14:textId="36D441E0" w:rsidTr="008F664E">
        <w:trPr>
          <w:trHeight w:val="20"/>
        </w:trPr>
        <w:tc>
          <w:tcPr>
            <w:tcW w:w="1271" w:type="dxa"/>
            <w:vAlign w:val="center"/>
          </w:tcPr>
          <w:p w14:paraId="7E161C71" w14:textId="3A82439D" w:rsidR="00D94CEC" w:rsidRPr="00662097" w:rsidRDefault="00D94CEC" w:rsidP="007E1C47">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lastRenderedPageBreak/>
              <w:t>Mega Cable</w:t>
            </w:r>
          </w:p>
        </w:tc>
        <w:tc>
          <w:tcPr>
            <w:tcW w:w="1843" w:type="dxa"/>
            <w:shd w:val="clear" w:color="auto" w:fill="auto"/>
            <w:vAlign w:val="center"/>
          </w:tcPr>
          <w:p w14:paraId="3775BDEC" w14:textId="42958B84" w:rsidR="00D94CEC" w:rsidRPr="00662097" w:rsidRDefault="00D94CEC" w:rsidP="007E1C47">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2.3.5 Reglas de Dimensionamiento y Diseño de Red</w:t>
            </w:r>
          </w:p>
        </w:tc>
        <w:tc>
          <w:tcPr>
            <w:tcW w:w="6379" w:type="dxa"/>
            <w:shd w:val="clear" w:color="auto" w:fill="auto"/>
            <w:vAlign w:val="center"/>
          </w:tcPr>
          <w:p w14:paraId="5C871B2C" w14:textId="77777777" w:rsidR="00D94CEC" w:rsidRPr="00662097" w:rsidRDefault="00D94CEC" w:rsidP="00C125C0">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 xml:space="preserve">Se afirma confusamente en el Criterio 15 que el diseño de la red está basado en principios técnicos que reflejen las condiciones en México tanto las “directrices IFT” como “las prácticas del operador local” y “otros requisitos relevantes” (sic). </w:t>
            </w:r>
          </w:p>
          <w:p w14:paraId="04ECCAC0" w14:textId="1F320218" w:rsidR="00D94CEC" w:rsidRPr="00662097" w:rsidRDefault="00D94CEC" w:rsidP="00C125C0">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Se insiste que tales principios parecen contrarios al de modelar un operador eficiente con un enfoque CIPLP.</w:t>
            </w:r>
          </w:p>
          <w:p w14:paraId="2223568D" w14:textId="4891300A" w:rsidR="00D94CEC" w:rsidRPr="00662097" w:rsidRDefault="00D94CEC" w:rsidP="00C125C0">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De una revisión ocular del Modelo Integral se observa que se consideraron predominantemente las “prácticas” del AEP, se desconoce a qué se refiere el Documento Metodológico por “directrices IFT” y por “otros requisitos relevantes”.</w:t>
            </w:r>
          </w:p>
        </w:tc>
        <w:tc>
          <w:tcPr>
            <w:tcW w:w="4536" w:type="dxa"/>
          </w:tcPr>
          <w:p w14:paraId="230A75B0" w14:textId="57C3FB95" w:rsidR="00C94720" w:rsidRPr="00662097" w:rsidRDefault="00C94720" w:rsidP="00C94720">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Con relación al comentario sobre modelación de un operador eficiente, </w:t>
            </w:r>
            <w:r w:rsidR="00E17C4B" w:rsidRPr="00662097">
              <w:rPr>
                <w:rFonts w:ascii="Arial" w:eastAsia="Times New Roman" w:hAnsi="Arial" w:cs="Arial"/>
                <w:color w:val="000000"/>
                <w:sz w:val="16"/>
                <w:szCs w:val="16"/>
                <w:lang w:eastAsia="es-MX"/>
              </w:rPr>
              <w:t xml:space="preserve">se destaca que </w:t>
            </w:r>
            <w:r w:rsidR="003E3693" w:rsidRPr="00662097">
              <w:rPr>
                <w:rFonts w:ascii="Arial" w:eastAsia="Times New Roman" w:hAnsi="Arial" w:cs="Arial"/>
                <w:color w:val="000000"/>
                <w:sz w:val="16"/>
                <w:szCs w:val="16"/>
                <w:lang w:eastAsia="es-MX"/>
              </w:rPr>
              <w:t>las “directrices IFT” refieren a la metodología dispuesta en las Medidas</w:t>
            </w:r>
            <w:r w:rsidR="008B7747" w:rsidRPr="00662097">
              <w:rPr>
                <w:rFonts w:ascii="Arial" w:eastAsia="Times New Roman" w:hAnsi="Arial" w:cs="Arial"/>
                <w:color w:val="000000"/>
                <w:sz w:val="16"/>
                <w:szCs w:val="16"/>
                <w:lang w:eastAsia="es-MX"/>
              </w:rPr>
              <w:t xml:space="preserve"> Fijas </w:t>
            </w:r>
            <w:r w:rsidR="006F0B2C" w:rsidRPr="00662097">
              <w:rPr>
                <w:rFonts w:ascii="Arial" w:eastAsia="Times New Roman" w:hAnsi="Arial" w:cs="Arial"/>
                <w:color w:val="000000"/>
                <w:sz w:val="16"/>
                <w:szCs w:val="16"/>
                <w:lang w:eastAsia="es-MX"/>
              </w:rPr>
              <w:t xml:space="preserve">(TRIGÉSIMA NOVENA) </w:t>
            </w:r>
            <w:r w:rsidR="008B7747" w:rsidRPr="00662097">
              <w:rPr>
                <w:rFonts w:ascii="Arial" w:eastAsia="Times New Roman" w:hAnsi="Arial" w:cs="Arial"/>
                <w:color w:val="000000"/>
                <w:sz w:val="16"/>
                <w:szCs w:val="16"/>
                <w:lang w:eastAsia="es-MX"/>
              </w:rPr>
              <w:t>como las Medidas de Desagregación</w:t>
            </w:r>
            <w:r w:rsidR="006F0B2C" w:rsidRPr="00662097">
              <w:rPr>
                <w:rFonts w:ascii="Arial" w:eastAsia="Times New Roman" w:hAnsi="Arial" w:cs="Arial"/>
                <w:color w:val="000000"/>
                <w:sz w:val="16"/>
                <w:szCs w:val="16"/>
                <w:lang w:eastAsia="es-MX"/>
              </w:rPr>
              <w:t xml:space="preserve"> (TRIGÉSIMA NOVENA)</w:t>
            </w:r>
            <w:r w:rsidR="003E3693" w:rsidRPr="00662097">
              <w:rPr>
                <w:rFonts w:ascii="Arial" w:eastAsia="Times New Roman" w:hAnsi="Arial" w:cs="Arial"/>
                <w:color w:val="000000"/>
                <w:sz w:val="16"/>
                <w:szCs w:val="16"/>
                <w:lang w:eastAsia="es-MX"/>
              </w:rPr>
              <w:t>, los criterios históricos implementados por el Instituto en el Modelo Integral, mientras que “otros requisitos relevantes” refiere al enfoque modelado, de conformidad con las reglas de ingeniería implementadas.</w:t>
            </w:r>
          </w:p>
          <w:p w14:paraId="07EFFA0E" w14:textId="3DA86BAB" w:rsidR="00C94720" w:rsidRPr="00662097" w:rsidRDefault="00674C00" w:rsidP="00C94720">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Por último, s</w:t>
            </w:r>
            <w:r w:rsidR="00C94720" w:rsidRPr="00662097">
              <w:rPr>
                <w:rFonts w:ascii="Arial" w:hAnsi="Arial" w:cs="Arial"/>
                <w:sz w:val="16"/>
                <w:szCs w:val="16"/>
                <w:lang w:eastAsia="es-MX"/>
              </w:rPr>
              <w:t>e hace notar que los algoritmos de diseño de la red no han sido modificados como parte del nuevo proceso de actualización del Modelo</w:t>
            </w:r>
            <w:r w:rsidR="003E3693" w:rsidRPr="00662097">
              <w:rPr>
                <w:rFonts w:ascii="Arial" w:hAnsi="Arial" w:cs="Arial"/>
                <w:sz w:val="16"/>
                <w:szCs w:val="16"/>
                <w:lang w:eastAsia="es-MX"/>
              </w:rPr>
              <w:t xml:space="preserve"> realizado desde 2018</w:t>
            </w:r>
            <w:r w:rsidR="00C94720" w:rsidRPr="00662097">
              <w:rPr>
                <w:rFonts w:ascii="Arial" w:hAnsi="Arial" w:cs="Arial"/>
                <w:sz w:val="16"/>
                <w:szCs w:val="16"/>
                <w:lang w:eastAsia="es-MX"/>
              </w:rPr>
              <w:t xml:space="preserve">. </w:t>
            </w:r>
          </w:p>
        </w:tc>
      </w:tr>
      <w:tr w:rsidR="00D94CEC" w:rsidRPr="00662097" w14:paraId="68B40BF6" w14:textId="6E462659" w:rsidTr="008F664E">
        <w:trPr>
          <w:trHeight w:val="20"/>
        </w:trPr>
        <w:tc>
          <w:tcPr>
            <w:tcW w:w="1271" w:type="dxa"/>
            <w:vAlign w:val="center"/>
          </w:tcPr>
          <w:p w14:paraId="7E05F606" w14:textId="64700EF5" w:rsidR="00D94CEC" w:rsidRPr="00662097" w:rsidRDefault="00D94CEC" w:rsidP="007E1C47">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Mega Cable</w:t>
            </w:r>
          </w:p>
        </w:tc>
        <w:tc>
          <w:tcPr>
            <w:tcW w:w="1843" w:type="dxa"/>
            <w:shd w:val="clear" w:color="auto" w:fill="auto"/>
            <w:vAlign w:val="center"/>
          </w:tcPr>
          <w:p w14:paraId="0E8A1C23" w14:textId="62414BCE" w:rsidR="00D94CEC" w:rsidRPr="00662097" w:rsidRDefault="00D94CEC" w:rsidP="007E1C47">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2.3.5.2 Demanda para el cálculo de costos unitarios</w:t>
            </w:r>
          </w:p>
        </w:tc>
        <w:tc>
          <w:tcPr>
            <w:tcW w:w="6379" w:type="dxa"/>
            <w:shd w:val="clear" w:color="auto" w:fill="auto"/>
            <w:vAlign w:val="center"/>
          </w:tcPr>
          <w:p w14:paraId="63661DAA" w14:textId="77777777" w:rsidR="00D94CEC" w:rsidRPr="00662097" w:rsidRDefault="00D94CEC" w:rsidP="00C125C0">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El Criterio 16 señala confusamente que:</w:t>
            </w:r>
          </w:p>
          <w:p w14:paraId="3CEE891D" w14:textId="77777777" w:rsidR="00D94CEC" w:rsidRPr="00662097" w:rsidRDefault="00D94CEC" w:rsidP="00FD117A">
            <w:pPr>
              <w:pStyle w:val="TableListBullet"/>
              <w:numPr>
                <w:ilvl w:val="0"/>
                <w:numId w:val="0"/>
              </w:numPr>
              <w:ind w:left="170"/>
              <w:rPr>
                <w:rFonts w:ascii="Arial" w:hAnsi="Arial" w:cs="Arial"/>
                <w:szCs w:val="14"/>
                <w:lang w:eastAsia="es-MX"/>
              </w:rPr>
            </w:pPr>
            <w:r w:rsidRPr="00662097">
              <w:rPr>
                <w:rFonts w:ascii="Arial" w:hAnsi="Arial" w:cs="Arial"/>
                <w:i/>
                <w:iCs/>
                <w:szCs w:val="14"/>
                <w:lang w:eastAsia="es-MX"/>
              </w:rPr>
              <w:t xml:space="preserve">“Construir el modelo CIPLP basado en redes de acceso coexistentes a largo plazo </w:t>
            </w:r>
            <w:r w:rsidRPr="00662097">
              <w:rPr>
                <w:rFonts w:ascii="Arial" w:hAnsi="Arial" w:cs="Arial"/>
                <w:b/>
                <w:i/>
                <w:iCs/>
                <w:szCs w:val="14"/>
                <w:u w:val="single"/>
                <w:lang w:eastAsia="es-MX"/>
              </w:rPr>
              <w:t>llevaría a costos de acceso artificialmente altos y daría incentivos a la duplicación de redes ineficiente</w:t>
            </w:r>
            <w:r w:rsidRPr="00662097">
              <w:rPr>
                <w:rFonts w:ascii="Arial" w:hAnsi="Arial" w:cs="Arial"/>
                <w:i/>
                <w:iCs/>
                <w:szCs w:val="14"/>
                <w:lang w:eastAsia="es-MX"/>
              </w:rPr>
              <w:t xml:space="preserve"> (</w:t>
            </w:r>
            <w:r w:rsidRPr="00662097">
              <w:rPr>
                <w:rFonts w:ascii="Arial" w:hAnsi="Arial" w:cs="Arial"/>
                <w:b/>
                <w:i/>
                <w:iCs/>
                <w:szCs w:val="14"/>
                <w:u w:val="single"/>
                <w:lang w:eastAsia="es-MX"/>
              </w:rPr>
              <w:t>señales erróneas</w:t>
            </w:r>
            <w:r w:rsidRPr="00662097">
              <w:rPr>
                <w:rFonts w:ascii="Arial" w:hAnsi="Arial" w:cs="Arial"/>
                <w:i/>
                <w:iCs/>
                <w:szCs w:val="14"/>
                <w:lang w:eastAsia="es-MX"/>
              </w:rPr>
              <w:t xml:space="preserve"> de "</w:t>
            </w:r>
            <w:proofErr w:type="spellStart"/>
            <w:r w:rsidRPr="00662097">
              <w:rPr>
                <w:rFonts w:ascii="Arial" w:hAnsi="Arial" w:cs="Arial"/>
                <w:i/>
                <w:iCs/>
                <w:szCs w:val="14"/>
                <w:lang w:eastAsia="es-MX"/>
              </w:rPr>
              <w:t>make</w:t>
            </w:r>
            <w:proofErr w:type="spellEnd"/>
            <w:r w:rsidRPr="00662097">
              <w:rPr>
                <w:rFonts w:ascii="Arial" w:hAnsi="Arial" w:cs="Arial"/>
                <w:i/>
                <w:iCs/>
                <w:szCs w:val="14"/>
                <w:lang w:eastAsia="es-MX"/>
              </w:rPr>
              <w:t xml:space="preserve"> </w:t>
            </w:r>
            <w:proofErr w:type="spellStart"/>
            <w:r w:rsidRPr="00662097">
              <w:rPr>
                <w:rFonts w:ascii="Arial" w:hAnsi="Arial" w:cs="Arial"/>
                <w:i/>
                <w:iCs/>
                <w:szCs w:val="14"/>
                <w:lang w:eastAsia="es-MX"/>
              </w:rPr>
              <w:t>or</w:t>
            </w:r>
            <w:proofErr w:type="spellEnd"/>
            <w:r w:rsidRPr="00662097">
              <w:rPr>
                <w:rFonts w:ascii="Arial" w:hAnsi="Arial" w:cs="Arial"/>
                <w:i/>
                <w:iCs/>
                <w:szCs w:val="14"/>
                <w:lang w:eastAsia="es-MX"/>
              </w:rPr>
              <w:t xml:space="preserve"> </w:t>
            </w:r>
            <w:proofErr w:type="spellStart"/>
            <w:r w:rsidRPr="00662097">
              <w:rPr>
                <w:rFonts w:ascii="Arial" w:hAnsi="Arial" w:cs="Arial"/>
                <w:i/>
                <w:iCs/>
                <w:szCs w:val="14"/>
                <w:lang w:eastAsia="es-MX"/>
              </w:rPr>
              <w:t>buy</w:t>
            </w:r>
            <w:proofErr w:type="spellEnd"/>
            <w:r w:rsidRPr="00662097">
              <w:rPr>
                <w:rFonts w:ascii="Arial" w:hAnsi="Arial" w:cs="Arial"/>
                <w:i/>
                <w:iCs/>
                <w:szCs w:val="14"/>
                <w:lang w:eastAsia="es-MX"/>
              </w:rPr>
              <w:t xml:space="preserve">"). Por lo tanto, se debe suponer que </w:t>
            </w:r>
            <w:r w:rsidRPr="00662097">
              <w:rPr>
                <w:rFonts w:ascii="Arial" w:hAnsi="Arial" w:cs="Arial"/>
                <w:b/>
                <w:i/>
                <w:iCs/>
                <w:szCs w:val="14"/>
                <w:u w:val="single"/>
                <w:lang w:eastAsia="es-MX"/>
              </w:rPr>
              <w:t xml:space="preserve">cada topología de red de acceso admite el 100% </w:t>
            </w:r>
            <w:r w:rsidRPr="00662097">
              <w:rPr>
                <w:rFonts w:ascii="Arial" w:hAnsi="Arial" w:cs="Arial"/>
                <w:i/>
                <w:iCs/>
                <w:szCs w:val="14"/>
                <w:lang w:eastAsia="es-MX"/>
              </w:rPr>
              <w:t>de la demanda actual fija del AEP en un área determinada, bajo los principios de CIPLP.”</w:t>
            </w:r>
            <w:r w:rsidRPr="00662097">
              <w:rPr>
                <w:rFonts w:ascii="Arial" w:hAnsi="Arial" w:cs="Arial"/>
                <w:szCs w:val="14"/>
                <w:lang w:eastAsia="es-MX"/>
              </w:rPr>
              <w:t xml:space="preserve"> [Énfasis añadido]</w:t>
            </w:r>
          </w:p>
          <w:p w14:paraId="373789F3" w14:textId="46BE9719" w:rsidR="00D94CEC" w:rsidRPr="00662097" w:rsidRDefault="00D94CEC" w:rsidP="00C125C0">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 xml:space="preserve">Se solicita aclarar dicho criterio pues, en primer lugar, va en contra de lo señalado previamente en el Documento Metodológico, respecto a que se modelan tres redes separadas. En segundo lugar, el que cada topología de red de acceso soporte el 100% de la demanda actual fija en un área determinada implica precisamente una duplicación ineficiente y señales </w:t>
            </w:r>
            <w:r w:rsidRPr="00662097">
              <w:rPr>
                <w:rFonts w:ascii="Arial" w:hAnsi="Arial" w:cs="Arial"/>
                <w:i/>
                <w:iCs/>
                <w:sz w:val="16"/>
                <w:szCs w:val="16"/>
                <w:lang w:eastAsia="es-MX"/>
              </w:rPr>
              <w:t>“</w:t>
            </w:r>
            <w:proofErr w:type="spellStart"/>
            <w:r w:rsidRPr="00662097">
              <w:rPr>
                <w:rFonts w:ascii="Arial" w:hAnsi="Arial" w:cs="Arial"/>
                <w:i/>
                <w:iCs/>
                <w:sz w:val="16"/>
                <w:szCs w:val="16"/>
                <w:lang w:eastAsia="es-MX"/>
              </w:rPr>
              <w:t>Make</w:t>
            </w:r>
            <w:proofErr w:type="spellEnd"/>
            <w:r w:rsidRPr="00662097">
              <w:rPr>
                <w:rFonts w:ascii="Arial" w:hAnsi="Arial" w:cs="Arial"/>
                <w:i/>
                <w:iCs/>
                <w:sz w:val="16"/>
                <w:szCs w:val="16"/>
                <w:lang w:eastAsia="es-MX"/>
              </w:rPr>
              <w:t xml:space="preserve"> </w:t>
            </w:r>
            <w:proofErr w:type="spellStart"/>
            <w:r w:rsidRPr="00662097">
              <w:rPr>
                <w:rFonts w:ascii="Arial" w:hAnsi="Arial" w:cs="Arial"/>
                <w:i/>
                <w:iCs/>
                <w:sz w:val="16"/>
                <w:szCs w:val="16"/>
                <w:lang w:eastAsia="es-MX"/>
              </w:rPr>
              <w:t>or</w:t>
            </w:r>
            <w:proofErr w:type="spellEnd"/>
            <w:r w:rsidRPr="00662097">
              <w:rPr>
                <w:rFonts w:ascii="Arial" w:hAnsi="Arial" w:cs="Arial"/>
                <w:i/>
                <w:iCs/>
                <w:sz w:val="16"/>
                <w:szCs w:val="16"/>
                <w:lang w:eastAsia="es-MX"/>
              </w:rPr>
              <w:t xml:space="preserve"> </w:t>
            </w:r>
            <w:proofErr w:type="spellStart"/>
            <w:r w:rsidRPr="00662097">
              <w:rPr>
                <w:rFonts w:ascii="Arial" w:hAnsi="Arial" w:cs="Arial"/>
                <w:i/>
                <w:iCs/>
                <w:sz w:val="16"/>
                <w:szCs w:val="16"/>
                <w:lang w:eastAsia="es-MX"/>
              </w:rPr>
              <w:t>buy</w:t>
            </w:r>
            <w:proofErr w:type="spellEnd"/>
            <w:r w:rsidRPr="00662097">
              <w:rPr>
                <w:rFonts w:ascii="Arial" w:hAnsi="Arial" w:cs="Arial"/>
                <w:i/>
                <w:iCs/>
                <w:sz w:val="16"/>
                <w:szCs w:val="16"/>
                <w:lang w:eastAsia="es-MX"/>
              </w:rPr>
              <w:t>”</w:t>
            </w:r>
            <w:r w:rsidRPr="00662097">
              <w:rPr>
                <w:rFonts w:ascii="Arial" w:hAnsi="Arial" w:cs="Arial"/>
                <w:sz w:val="16"/>
                <w:szCs w:val="16"/>
                <w:lang w:eastAsia="es-MX"/>
              </w:rPr>
              <w:t xml:space="preserve"> erróneas o distorsionadas, lo que supuestamente se busca evitar con dicho criterio. En concreto, la primera afirmación de la cita anterior es contradictoria con la segunda.</w:t>
            </w:r>
          </w:p>
        </w:tc>
        <w:tc>
          <w:tcPr>
            <w:tcW w:w="4536" w:type="dxa"/>
          </w:tcPr>
          <w:p w14:paraId="06FB2A09" w14:textId="3782FA32" w:rsidR="00D94CEC" w:rsidRPr="00662097" w:rsidRDefault="00D1275D" w:rsidP="000349A1">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Tras una revisión de la descripción del Criterio 16</w:t>
            </w:r>
            <w:r w:rsidR="006A1E16" w:rsidRPr="00662097">
              <w:rPr>
                <w:rFonts w:ascii="Arial" w:hAnsi="Arial" w:cs="Arial"/>
                <w:sz w:val="16"/>
                <w:szCs w:val="16"/>
                <w:lang w:eastAsia="es-MX"/>
              </w:rPr>
              <w:t xml:space="preserve"> del Documento Metodológico</w:t>
            </w:r>
            <w:r w:rsidRPr="00662097">
              <w:rPr>
                <w:rFonts w:ascii="Arial" w:hAnsi="Arial" w:cs="Arial"/>
                <w:sz w:val="16"/>
                <w:szCs w:val="16"/>
                <w:lang w:eastAsia="es-MX"/>
              </w:rPr>
              <w:t xml:space="preserve">, se ha procedido a ajustar el mismo, </w:t>
            </w:r>
            <w:r w:rsidR="000349A1" w:rsidRPr="00662097">
              <w:rPr>
                <w:rFonts w:ascii="Arial" w:hAnsi="Arial" w:cs="Arial"/>
                <w:sz w:val="16"/>
                <w:szCs w:val="16"/>
                <w:lang w:eastAsia="es-MX"/>
              </w:rPr>
              <w:t xml:space="preserve">dado que se reconoce que el mismo no se ajustaría </w:t>
            </w:r>
            <w:r w:rsidR="00EB757E" w:rsidRPr="00662097">
              <w:rPr>
                <w:rFonts w:ascii="Arial" w:hAnsi="Arial" w:cs="Arial"/>
                <w:sz w:val="16"/>
                <w:szCs w:val="16"/>
                <w:lang w:eastAsia="es-MX"/>
              </w:rPr>
              <w:t xml:space="preserve">plenamente a la implementación </w:t>
            </w:r>
            <w:r w:rsidR="006A1E16" w:rsidRPr="00662097">
              <w:rPr>
                <w:rFonts w:ascii="Arial" w:hAnsi="Arial" w:cs="Arial"/>
                <w:sz w:val="16"/>
                <w:szCs w:val="16"/>
                <w:lang w:eastAsia="es-MX"/>
              </w:rPr>
              <w:t xml:space="preserve">existente en </w:t>
            </w:r>
            <w:r w:rsidRPr="00662097">
              <w:rPr>
                <w:rFonts w:ascii="Arial" w:hAnsi="Arial" w:cs="Arial"/>
                <w:sz w:val="16"/>
                <w:szCs w:val="16"/>
                <w:lang w:eastAsia="es-MX"/>
              </w:rPr>
              <w:t xml:space="preserve">el Modelo Integral. </w:t>
            </w:r>
            <w:r w:rsidR="00BE1883" w:rsidRPr="00662097">
              <w:rPr>
                <w:rFonts w:ascii="Arial" w:hAnsi="Arial" w:cs="Arial"/>
                <w:sz w:val="16"/>
                <w:szCs w:val="16"/>
                <w:lang w:eastAsia="es-MX"/>
              </w:rPr>
              <w:t>La nueva descripción tras los ajustes introducidos es la siguiente:</w:t>
            </w:r>
          </w:p>
          <w:p w14:paraId="3255A0A0" w14:textId="2B1F2251" w:rsidR="00A31A34" w:rsidRPr="00662097" w:rsidRDefault="00BE1883" w:rsidP="001B02FE">
            <w:pPr>
              <w:autoSpaceDE w:val="0"/>
              <w:autoSpaceDN w:val="0"/>
              <w:adjustRightInd w:val="0"/>
              <w:spacing w:before="120" w:after="120" w:line="240" w:lineRule="auto"/>
              <w:ind w:left="567"/>
              <w:rPr>
                <w:rFonts w:ascii="Arial" w:hAnsi="Arial" w:cs="Arial"/>
                <w:i/>
                <w:iCs/>
                <w:sz w:val="16"/>
                <w:szCs w:val="16"/>
                <w:lang w:eastAsia="es-MX"/>
              </w:rPr>
            </w:pPr>
            <w:r w:rsidRPr="00662097">
              <w:rPr>
                <w:rFonts w:ascii="Arial" w:hAnsi="Arial" w:cs="Arial"/>
                <w:i/>
                <w:iCs/>
                <w:sz w:val="16"/>
                <w:szCs w:val="16"/>
                <w:lang w:eastAsia="es-MX"/>
              </w:rPr>
              <w:t>Criterio 16: El modelo CIPLP supone que cada tecnología de red de acceso admite el 100% de la demanda actual de la red fija local del AEP en términos de suscripciones activas</w:t>
            </w:r>
            <w:r w:rsidR="001B02FE" w:rsidRPr="00662097">
              <w:rPr>
                <w:rFonts w:ascii="Arial" w:hAnsi="Arial" w:cs="Arial"/>
                <w:i/>
                <w:iCs/>
                <w:sz w:val="16"/>
                <w:szCs w:val="16"/>
                <w:lang w:eastAsia="es-MX"/>
              </w:rPr>
              <w:t xml:space="preserve"> </w:t>
            </w:r>
            <w:r w:rsidR="001B02FE" w:rsidRPr="00662097">
              <w:rPr>
                <w:rFonts w:ascii="Arial" w:hAnsi="Arial" w:cs="Arial"/>
                <w:i/>
                <w:iCs/>
                <w:strike/>
                <w:sz w:val="16"/>
                <w:szCs w:val="16"/>
                <w:lang w:eastAsia="es-MX"/>
              </w:rPr>
              <w:t>(es decir, el 100% de la demanda "cobre + FTTH + FTTC")</w:t>
            </w:r>
            <w:r w:rsidR="00A72F61" w:rsidRPr="00662097">
              <w:rPr>
                <w:rFonts w:ascii="Arial" w:hAnsi="Arial" w:cs="Arial"/>
                <w:i/>
                <w:iCs/>
                <w:sz w:val="16"/>
                <w:szCs w:val="16"/>
                <w:lang w:eastAsia="es-MX"/>
              </w:rPr>
              <w:t xml:space="preserve"> </w:t>
            </w:r>
            <w:bookmarkStart w:id="23" w:name="_Hlk145673967"/>
            <w:r w:rsidR="00A72F61" w:rsidRPr="00662097">
              <w:rPr>
                <w:rFonts w:ascii="Arial" w:hAnsi="Arial" w:cs="Arial"/>
                <w:b/>
                <w:bCs/>
                <w:i/>
                <w:iCs/>
                <w:sz w:val="16"/>
                <w:szCs w:val="16"/>
                <w:lang w:eastAsia="es-MX"/>
              </w:rPr>
              <w:t>correspondientes a la tecnología bajo análisis</w:t>
            </w:r>
            <w:r w:rsidR="00A72F61" w:rsidRPr="00662097">
              <w:rPr>
                <w:rFonts w:ascii="Arial" w:hAnsi="Arial" w:cs="Arial"/>
                <w:i/>
                <w:iCs/>
                <w:sz w:val="16"/>
                <w:szCs w:val="16"/>
                <w:lang w:eastAsia="es-MX"/>
              </w:rPr>
              <w:t xml:space="preserve"> </w:t>
            </w:r>
            <w:r w:rsidR="001B02FE" w:rsidRPr="00662097">
              <w:rPr>
                <w:rFonts w:ascii="Arial" w:hAnsi="Arial" w:cs="Arial"/>
                <w:b/>
                <w:bCs/>
                <w:i/>
                <w:iCs/>
                <w:sz w:val="16"/>
                <w:szCs w:val="16"/>
                <w:lang w:eastAsia="es-MX"/>
              </w:rPr>
              <w:t>(es decir, el escenario de cobre asume el 100% de la demanda de cobre, el de FTTH el 100% de la demanda de FTTH, y el de FTTC el 100% de la demanda de FTTC)</w:t>
            </w:r>
            <w:bookmarkEnd w:id="23"/>
            <w:r w:rsidR="001B02FE" w:rsidRPr="00662097">
              <w:rPr>
                <w:rFonts w:ascii="Arial" w:hAnsi="Arial" w:cs="Arial"/>
                <w:i/>
                <w:iCs/>
                <w:sz w:val="16"/>
                <w:szCs w:val="16"/>
                <w:lang w:eastAsia="es-MX"/>
              </w:rPr>
              <w:t>.</w:t>
            </w:r>
            <w:r w:rsidR="00A31A34" w:rsidRPr="00662097">
              <w:rPr>
                <w:rFonts w:ascii="Arial" w:hAnsi="Arial" w:cs="Arial"/>
                <w:i/>
                <w:iCs/>
                <w:sz w:val="16"/>
                <w:szCs w:val="16"/>
                <w:lang w:eastAsia="es-MX"/>
              </w:rPr>
              <w:t xml:space="preserve"> </w:t>
            </w:r>
          </w:p>
          <w:p w14:paraId="67FEDEBE" w14:textId="117F138E" w:rsidR="00C5503B" w:rsidRPr="00662097" w:rsidRDefault="00C5503B" w:rsidP="00C5503B">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lastRenderedPageBreak/>
              <w:t>Al respecto de la</w:t>
            </w:r>
            <w:r w:rsidR="00061523" w:rsidRPr="00662097">
              <w:rPr>
                <w:rFonts w:ascii="Arial" w:hAnsi="Arial" w:cs="Arial"/>
                <w:sz w:val="16"/>
                <w:szCs w:val="16"/>
                <w:lang w:eastAsia="es-MX"/>
              </w:rPr>
              <w:t xml:space="preserve"> modelación de tres redes separadas, se hace notar lo siguiente:</w:t>
            </w:r>
          </w:p>
          <w:p w14:paraId="22080463" w14:textId="341C7096" w:rsidR="00BE1883" w:rsidRPr="00662097" w:rsidRDefault="00570AFE" w:rsidP="00570AFE">
            <w:pPr>
              <w:pStyle w:val="Prrafodelista"/>
              <w:numPr>
                <w:ilvl w:val="0"/>
                <w:numId w:val="24"/>
              </w:num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Esta aproximación se encuentra alineada con la empleada por el Instituto, lo cual permite mantener consistencia y continuidad regulatoria.</w:t>
            </w:r>
          </w:p>
          <w:p w14:paraId="51D6A24B" w14:textId="427716A3" w:rsidR="00570AFE" w:rsidRPr="00662097" w:rsidRDefault="00570AFE" w:rsidP="00570AFE">
            <w:pPr>
              <w:pStyle w:val="Prrafodelista"/>
              <w:numPr>
                <w:ilvl w:val="0"/>
                <w:numId w:val="24"/>
              </w:num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Está a su vez también alineada con las mejores prácticas adoptadas por otros reguladores, donde se asume necesaria</w:t>
            </w:r>
            <w:r w:rsidR="00164F5B" w:rsidRPr="00662097">
              <w:rPr>
                <w:rFonts w:ascii="Arial" w:hAnsi="Arial" w:cs="Arial"/>
                <w:sz w:val="16"/>
                <w:szCs w:val="16"/>
                <w:lang w:eastAsia="es-MX"/>
              </w:rPr>
              <w:t xml:space="preserve"> a raíz de </w:t>
            </w:r>
            <w:r w:rsidRPr="00662097">
              <w:rPr>
                <w:rFonts w:ascii="Arial" w:hAnsi="Arial" w:cs="Arial"/>
                <w:sz w:val="16"/>
                <w:szCs w:val="16"/>
                <w:lang w:eastAsia="es-MX"/>
              </w:rPr>
              <w:t>la coexistencia de las redes de cobre y fibra.</w:t>
            </w:r>
          </w:p>
          <w:p w14:paraId="143A23DD" w14:textId="47D3CC9A" w:rsidR="00966485" w:rsidRPr="00662097" w:rsidRDefault="00966485" w:rsidP="00966485">
            <w:pPr>
              <w:pStyle w:val="Prrafodelista"/>
              <w:numPr>
                <w:ilvl w:val="0"/>
                <w:numId w:val="24"/>
              </w:numPr>
              <w:autoSpaceDE w:val="0"/>
              <w:autoSpaceDN w:val="0"/>
              <w:adjustRightInd w:val="0"/>
              <w:spacing w:before="120" w:after="120" w:line="240" w:lineRule="auto"/>
              <w:rPr>
                <w:rFonts w:ascii="Arial" w:hAnsi="Arial" w:cs="Arial"/>
                <w:i/>
                <w:iCs/>
                <w:sz w:val="16"/>
                <w:szCs w:val="16"/>
                <w:lang w:eastAsia="es-MX"/>
              </w:rPr>
            </w:pPr>
            <w:r w:rsidRPr="00662097">
              <w:rPr>
                <w:rFonts w:ascii="Arial" w:hAnsi="Arial" w:cs="Arial"/>
                <w:sz w:val="16"/>
                <w:szCs w:val="16"/>
                <w:lang w:eastAsia="es-MX"/>
              </w:rPr>
              <w:t xml:space="preserve">De manera adicional a lo anterior, el Modelo incorpora otros mecanismos para acomodar de manera correcta el envío de señales </w:t>
            </w:r>
            <w:r w:rsidRPr="00662097">
              <w:rPr>
                <w:rFonts w:ascii="Arial" w:hAnsi="Arial" w:cs="Arial"/>
                <w:i/>
                <w:iCs/>
                <w:sz w:val="16"/>
                <w:szCs w:val="16"/>
                <w:lang w:eastAsia="es-MX"/>
              </w:rPr>
              <w:t>“</w:t>
            </w:r>
            <w:proofErr w:type="spellStart"/>
            <w:r w:rsidRPr="00662097">
              <w:rPr>
                <w:rFonts w:ascii="Arial" w:hAnsi="Arial" w:cs="Arial"/>
                <w:i/>
                <w:iCs/>
                <w:sz w:val="16"/>
                <w:szCs w:val="16"/>
                <w:lang w:eastAsia="es-MX"/>
              </w:rPr>
              <w:t>Make</w:t>
            </w:r>
            <w:proofErr w:type="spellEnd"/>
            <w:r w:rsidRPr="00662097">
              <w:rPr>
                <w:rFonts w:ascii="Arial" w:hAnsi="Arial" w:cs="Arial"/>
                <w:i/>
                <w:iCs/>
                <w:sz w:val="16"/>
                <w:szCs w:val="16"/>
                <w:lang w:eastAsia="es-MX"/>
              </w:rPr>
              <w:t xml:space="preserve"> </w:t>
            </w:r>
            <w:proofErr w:type="spellStart"/>
            <w:r w:rsidRPr="00662097">
              <w:rPr>
                <w:rFonts w:ascii="Arial" w:hAnsi="Arial" w:cs="Arial"/>
                <w:i/>
                <w:iCs/>
                <w:sz w:val="16"/>
                <w:szCs w:val="16"/>
                <w:lang w:eastAsia="es-MX"/>
              </w:rPr>
              <w:t>or</w:t>
            </w:r>
            <w:proofErr w:type="spellEnd"/>
            <w:r w:rsidRPr="00662097">
              <w:rPr>
                <w:rFonts w:ascii="Arial" w:hAnsi="Arial" w:cs="Arial"/>
                <w:i/>
                <w:iCs/>
                <w:sz w:val="16"/>
                <w:szCs w:val="16"/>
                <w:lang w:eastAsia="es-MX"/>
              </w:rPr>
              <w:t xml:space="preserve"> </w:t>
            </w:r>
            <w:proofErr w:type="spellStart"/>
            <w:r w:rsidRPr="00662097">
              <w:rPr>
                <w:rFonts w:ascii="Arial" w:hAnsi="Arial" w:cs="Arial"/>
                <w:i/>
                <w:iCs/>
                <w:sz w:val="16"/>
                <w:szCs w:val="16"/>
                <w:lang w:eastAsia="es-MX"/>
              </w:rPr>
              <w:t>Buy</w:t>
            </w:r>
            <w:proofErr w:type="spellEnd"/>
            <w:r w:rsidRPr="00662097">
              <w:rPr>
                <w:rFonts w:ascii="Arial" w:hAnsi="Arial" w:cs="Arial"/>
                <w:i/>
                <w:iCs/>
                <w:sz w:val="16"/>
                <w:szCs w:val="16"/>
                <w:lang w:eastAsia="es-MX"/>
              </w:rPr>
              <w:t>”</w:t>
            </w:r>
            <w:r w:rsidRPr="00662097">
              <w:rPr>
                <w:rFonts w:ascii="Arial" w:hAnsi="Arial" w:cs="Arial"/>
                <w:sz w:val="16"/>
                <w:szCs w:val="16"/>
                <w:lang w:eastAsia="es-MX"/>
              </w:rPr>
              <w:t xml:space="preserve">, como serían principalmente los ajustes introducidos sobre la valoración de activos de ingeniería civil reutilizables y de cables de cobre (ver Criterio 21 del Documento Metodológico), así como la compartición de activos de ingeniería civil entre las diferentes redes de acceso modeladas. </w:t>
            </w:r>
          </w:p>
        </w:tc>
      </w:tr>
      <w:tr w:rsidR="008A7949" w:rsidRPr="00662097" w14:paraId="1D7A3CD0" w14:textId="6FA3FC3B" w:rsidTr="008F664E">
        <w:trPr>
          <w:trHeight w:val="20"/>
        </w:trPr>
        <w:tc>
          <w:tcPr>
            <w:tcW w:w="1271" w:type="dxa"/>
            <w:vAlign w:val="center"/>
          </w:tcPr>
          <w:p w14:paraId="5C279BD1" w14:textId="72FFFDD6"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lastRenderedPageBreak/>
              <w:t>Mega Cable</w:t>
            </w:r>
          </w:p>
        </w:tc>
        <w:tc>
          <w:tcPr>
            <w:tcW w:w="1843" w:type="dxa"/>
            <w:shd w:val="clear" w:color="auto" w:fill="auto"/>
            <w:vAlign w:val="center"/>
          </w:tcPr>
          <w:p w14:paraId="5E3BD0A8" w14:textId="6CD25584"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2.3.5.3 Compartición de infraestructura</w:t>
            </w:r>
          </w:p>
        </w:tc>
        <w:tc>
          <w:tcPr>
            <w:tcW w:w="6379" w:type="dxa"/>
            <w:shd w:val="clear" w:color="auto" w:fill="auto"/>
            <w:vAlign w:val="center"/>
          </w:tcPr>
          <w:p w14:paraId="37C09346" w14:textId="0220FE40"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Se afirma que el Modelo Integral contempla el uso compartido entre la red de transporte y de acceso del AEP, así como con “otros tipos de redes e infraestructuras”. Sin embargo, ni en los Documentos Metodológico y Actualización, ni en el propio Modelo Integral queda claro c</w:t>
            </w:r>
            <w:r w:rsidR="00EC0FA7" w:rsidRPr="00662097">
              <w:rPr>
                <w:rFonts w:ascii="Arial" w:hAnsi="Arial" w:cs="Arial"/>
                <w:sz w:val="16"/>
                <w:szCs w:val="16"/>
                <w:lang w:eastAsia="es-MX"/>
              </w:rPr>
              <w:t>ó</w:t>
            </w:r>
            <w:r w:rsidRPr="00662097">
              <w:rPr>
                <w:rFonts w:ascii="Arial" w:hAnsi="Arial" w:cs="Arial"/>
                <w:sz w:val="16"/>
                <w:szCs w:val="16"/>
                <w:lang w:eastAsia="es-MX"/>
              </w:rPr>
              <w:t>mo se incorpora esa compartición de infraestructura que, como se señala, debería de verse reflejado en economías de escala.</w:t>
            </w:r>
          </w:p>
          <w:p w14:paraId="099ACA37" w14:textId="77777777"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 xml:space="preserve">Ciertamente, algunos de los servicios mayoristas que se modelan son de compartición de infraestructura ofrecidos a terceros y, se asume, también se incluye el </w:t>
            </w:r>
            <w:proofErr w:type="spellStart"/>
            <w:r w:rsidRPr="00662097">
              <w:rPr>
                <w:rFonts w:ascii="Arial" w:hAnsi="Arial" w:cs="Arial"/>
                <w:sz w:val="16"/>
                <w:szCs w:val="16"/>
                <w:lang w:eastAsia="es-MX"/>
              </w:rPr>
              <w:t>autoabasto</w:t>
            </w:r>
            <w:proofErr w:type="spellEnd"/>
            <w:r w:rsidRPr="00662097">
              <w:rPr>
                <w:rFonts w:ascii="Arial" w:hAnsi="Arial" w:cs="Arial"/>
                <w:sz w:val="16"/>
                <w:szCs w:val="16"/>
                <w:lang w:eastAsia="es-MX"/>
              </w:rPr>
              <w:t xml:space="preserve"> o la prestación de dichos servicios a empresas relacionadas del AEP. </w:t>
            </w:r>
          </w:p>
          <w:p w14:paraId="6F1F43D5" w14:textId="672D3142"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Sin embargo, no se específica como se incorpora la compartición con la red de transporte y con los servicios considerados en el otro modelo de costos consultado por el IFT (el de servicios de interconexión y enlaces dedicados).</w:t>
            </w:r>
          </w:p>
        </w:tc>
        <w:tc>
          <w:tcPr>
            <w:tcW w:w="4536" w:type="dxa"/>
          </w:tcPr>
          <w:p w14:paraId="72A58DA6" w14:textId="6F09E7DF" w:rsidR="008A7949" w:rsidRPr="00662097" w:rsidRDefault="008A7949" w:rsidP="008A7949">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Con el objetivo de reflejar la compartición que existe entre la infraestructura de </w:t>
            </w:r>
            <w:r w:rsidR="000B394C" w:rsidRPr="00662097">
              <w:rPr>
                <w:rFonts w:ascii="Arial" w:eastAsia="Times New Roman" w:hAnsi="Arial" w:cs="Arial"/>
                <w:color w:val="000000"/>
                <w:sz w:val="16"/>
                <w:szCs w:val="16"/>
                <w:lang w:eastAsia="es-MX"/>
              </w:rPr>
              <w:t xml:space="preserve">las </w:t>
            </w:r>
            <w:r w:rsidRPr="00662097">
              <w:rPr>
                <w:rFonts w:ascii="Arial" w:eastAsia="Times New Roman" w:hAnsi="Arial" w:cs="Arial"/>
                <w:color w:val="000000"/>
                <w:sz w:val="16"/>
                <w:szCs w:val="16"/>
                <w:lang w:eastAsia="es-MX"/>
              </w:rPr>
              <w:t xml:space="preserve">redes de acceso (relevantes </w:t>
            </w:r>
            <w:r w:rsidR="000B394C" w:rsidRPr="00662097">
              <w:rPr>
                <w:rFonts w:ascii="Arial" w:eastAsia="Times New Roman" w:hAnsi="Arial" w:cs="Arial"/>
                <w:color w:val="000000"/>
                <w:sz w:val="16"/>
                <w:szCs w:val="16"/>
                <w:lang w:eastAsia="es-MX"/>
              </w:rPr>
              <w:t xml:space="preserve">para </w:t>
            </w:r>
            <w:r w:rsidRPr="00662097">
              <w:rPr>
                <w:rFonts w:ascii="Arial" w:eastAsia="Times New Roman" w:hAnsi="Arial" w:cs="Arial"/>
                <w:color w:val="000000"/>
                <w:sz w:val="16"/>
                <w:szCs w:val="16"/>
                <w:lang w:eastAsia="es-MX"/>
              </w:rPr>
              <w:t xml:space="preserve">el Modelo Integral) y las redes </w:t>
            </w:r>
            <w:proofErr w:type="spellStart"/>
            <w:r w:rsidRPr="00662097">
              <w:rPr>
                <w:rFonts w:ascii="Arial" w:eastAsia="Times New Roman" w:hAnsi="Arial" w:cs="Arial"/>
                <w:i/>
                <w:iCs/>
                <w:color w:val="000000"/>
                <w:sz w:val="16"/>
                <w:szCs w:val="16"/>
                <w:lang w:eastAsia="es-MX"/>
              </w:rPr>
              <w:t>core</w:t>
            </w:r>
            <w:proofErr w:type="spellEnd"/>
            <w:r w:rsidRPr="00662097">
              <w:rPr>
                <w:rFonts w:ascii="Arial" w:eastAsia="Times New Roman" w:hAnsi="Arial" w:cs="Arial"/>
                <w:color w:val="000000"/>
                <w:sz w:val="16"/>
                <w:szCs w:val="16"/>
                <w:lang w:eastAsia="es-MX"/>
              </w:rPr>
              <w:t xml:space="preserve"> (relevantes para el Modelo de Interconexión), el modelo incluye el parámetro “Tasa de compartición de activos - acceso con </w:t>
            </w:r>
            <w:proofErr w:type="spellStart"/>
            <w:r w:rsidRPr="00662097">
              <w:rPr>
                <w:rFonts w:ascii="Arial" w:eastAsia="Times New Roman" w:hAnsi="Arial" w:cs="Arial"/>
                <w:color w:val="000000"/>
                <w:sz w:val="16"/>
                <w:szCs w:val="16"/>
                <w:lang w:eastAsia="es-MX"/>
              </w:rPr>
              <w:t>core</w:t>
            </w:r>
            <w:proofErr w:type="spellEnd"/>
            <w:r w:rsidRPr="00662097">
              <w:rPr>
                <w:rFonts w:ascii="Arial" w:eastAsia="Times New Roman" w:hAnsi="Arial" w:cs="Arial"/>
                <w:color w:val="000000"/>
                <w:sz w:val="16"/>
                <w:szCs w:val="16"/>
                <w:lang w:eastAsia="es-MX"/>
              </w:rPr>
              <w:t>”, que puede ser identificado en la pestaña ‘Dashboard’ del mismo.</w:t>
            </w:r>
          </w:p>
          <w:p w14:paraId="79E87A74" w14:textId="77777777" w:rsidR="00D74A2D" w:rsidRPr="00662097" w:rsidRDefault="008A7949" w:rsidP="008A7949">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De manera adicional, el Modelo también incorporar</w:t>
            </w:r>
            <w:r w:rsidR="007072F7" w:rsidRPr="00662097">
              <w:rPr>
                <w:rFonts w:ascii="Arial" w:eastAsia="Times New Roman" w:hAnsi="Arial" w:cs="Arial"/>
                <w:color w:val="000000"/>
                <w:sz w:val="16"/>
                <w:szCs w:val="16"/>
                <w:lang w:eastAsia="es-MX"/>
              </w:rPr>
              <w:t>a</w:t>
            </w:r>
            <w:r w:rsidRPr="00662097">
              <w:rPr>
                <w:rFonts w:ascii="Arial" w:eastAsia="Times New Roman" w:hAnsi="Arial" w:cs="Arial"/>
                <w:color w:val="000000"/>
                <w:sz w:val="16"/>
                <w:szCs w:val="16"/>
                <w:lang w:eastAsia="es-MX"/>
              </w:rPr>
              <w:t xml:space="preserve"> en </w:t>
            </w:r>
            <w:r w:rsidR="00202640" w:rsidRPr="00662097">
              <w:rPr>
                <w:rFonts w:ascii="Arial" w:eastAsia="Times New Roman" w:hAnsi="Arial" w:cs="Arial"/>
                <w:color w:val="000000"/>
                <w:sz w:val="16"/>
                <w:szCs w:val="16"/>
                <w:lang w:eastAsia="es-MX"/>
              </w:rPr>
              <w:t>esa</w:t>
            </w:r>
            <w:r w:rsidR="00826D3B" w:rsidRPr="00662097">
              <w:rPr>
                <w:rFonts w:ascii="Arial" w:eastAsia="Times New Roman" w:hAnsi="Arial" w:cs="Arial"/>
                <w:color w:val="000000"/>
                <w:sz w:val="16"/>
                <w:szCs w:val="16"/>
                <w:lang w:eastAsia="es-MX"/>
              </w:rPr>
              <w:t xml:space="preserve"> </w:t>
            </w:r>
            <w:r w:rsidRPr="00662097">
              <w:rPr>
                <w:rFonts w:ascii="Arial" w:eastAsia="Times New Roman" w:hAnsi="Arial" w:cs="Arial"/>
                <w:color w:val="000000"/>
                <w:sz w:val="16"/>
                <w:szCs w:val="16"/>
                <w:lang w:eastAsia="es-MX"/>
              </w:rPr>
              <w:t>misma pestaña ‘Dashboard’ una</w:t>
            </w:r>
            <w:r w:rsidR="007072F7" w:rsidRPr="00662097">
              <w:rPr>
                <w:rFonts w:ascii="Arial" w:eastAsia="Times New Roman" w:hAnsi="Arial" w:cs="Arial"/>
                <w:color w:val="000000"/>
                <w:sz w:val="16"/>
                <w:szCs w:val="16"/>
                <w:lang w:eastAsia="es-MX"/>
              </w:rPr>
              <w:t xml:space="preserve"> </w:t>
            </w:r>
            <w:r w:rsidRPr="00662097">
              <w:rPr>
                <w:rFonts w:ascii="Arial" w:eastAsia="Times New Roman" w:hAnsi="Arial" w:cs="Arial"/>
                <w:color w:val="000000"/>
                <w:sz w:val="16"/>
                <w:szCs w:val="16"/>
                <w:lang w:eastAsia="es-MX"/>
              </w:rPr>
              <w:t>“Tasa de compartición de activos - con servicios de utilidades”, que refleja la compartición de la red de acceso del AEP con otras redes</w:t>
            </w:r>
            <w:r w:rsidR="00CE79CB" w:rsidRPr="00662097">
              <w:rPr>
                <w:rFonts w:ascii="Arial" w:eastAsia="Times New Roman" w:hAnsi="Arial" w:cs="Arial"/>
                <w:color w:val="000000"/>
                <w:sz w:val="16"/>
                <w:szCs w:val="16"/>
                <w:lang w:eastAsia="es-MX"/>
              </w:rPr>
              <w:t xml:space="preserve"> diferentes a las de telecomunicaciones</w:t>
            </w:r>
            <w:r w:rsidRPr="00662097">
              <w:rPr>
                <w:rFonts w:ascii="Arial" w:eastAsia="Times New Roman" w:hAnsi="Arial" w:cs="Arial"/>
                <w:color w:val="000000"/>
                <w:sz w:val="16"/>
                <w:szCs w:val="16"/>
                <w:lang w:eastAsia="es-MX"/>
              </w:rPr>
              <w:t>.</w:t>
            </w:r>
          </w:p>
          <w:p w14:paraId="01104FA2" w14:textId="39B1334E" w:rsidR="00391ABA" w:rsidRPr="00662097" w:rsidRDefault="00D74A2D" w:rsidP="00EA260D">
            <w:pPr>
              <w:autoSpaceDE w:val="0"/>
              <w:autoSpaceDN w:val="0"/>
              <w:adjustRightInd w:val="0"/>
              <w:spacing w:before="120" w:after="120" w:line="240" w:lineRule="auto"/>
              <w:rPr>
                <w:rFonts w:ascii="Arial" w:hAnsi="Arial" w:cs="Arial"/>
                <w:sz w:val="16"/>
                <w:szCs w:val="16"/>
                <w:lang w:eastAsia="es-MX"/>
              </w:rPr>
            </w:pPr>
            <w:r w:rsidRPr="00662097">
              <w:rPr>
                <w:rFonts w:ascii="Arial" w:eastAsia="Times New Roman" w:hAnsi="Arial" w:cs="Arial"/>
                <w:color w:val="000000"/>
                <w:sz w:val="16"/>
                <w:szCs w:val="16"/>
                <w:lang w:eastAsia="es-MX"/>
              </w:rPr>
              <w:t>Ambas tasas son empleadas</w:t>
            </w:r>
            <w:r w:rsidR="00D94C3B" w:rsidRPr="00662097">
              <w:rPr>
                <w:rFonts w:ascii="Arial" w:eastAsia="Times New Roman" w:hAnsi="Arial" w:cs="Arial"/>
                <w:color w:val="000000"/>
                <w:sz w:val="16"/>
                <w:szCs w:val="16"/>
                <w:lang w:eastAsia="es-MX"/>
              </w:rPr>
              <w:t xml:space="preserve"> posteriormente</w:t>
            </w:r>
            <w:r w:rsidRPr="00662097">
              <w:rPr>
                <w:rFonts w:ascii="Arial" w:eastAsia="Times New Roman" w:hAnsi="Arial" w:cs="Arial"/>
                <w:color w:val="000000"/>
                <w:sz w:val="16"/>
                <w:szCs w:val="16"/>
                <w:lang w:eastAsia="es-MX"/>
              </w:rPr>
              <w:t xml:space="preserve"> en la pestaña ‘</w:t>
            </w:r>
            <w:proofErr w:type="spellStart"/>
            <w:r w:rsidRPr="00662097">
              <w:rPr>
                <w:rFonts w:ascii="Arial" w:eastAsia="Times New Roman" w:hAnsi="Arial" w:cs="Arial"/>
                <w:color w:val="000000"/>
                <w:sz w:val="16"/>
                <w:szCs w:val="16"/>
                <w:lang w:eastAsia="es-MX"/>
              </w:rPr>
              <w:t>Inventory</w:t>
            </w:r>
            <w:proofErr w:type="spellEnd"/>
            <w:r w:rsidRPr="00662097">
              <w:rPr>
                <w:rFonts w:ascii="Arial" w:eastAsia="Times New Roman" w:hAnsi="Arial" w:cs="Arial"/>
                <w:color w:val="000000"/>
                <w:sz w:val="16"/>
                <w:szCs w:val="16"/>
                <w:lang w:eastAsia="es-MX"/>
              </w:rPr>
              <w:t xml:space="preserve">’ </w:t>
            </w:r>
            <w:r w:rsidR="00D94C3B" w:rsidRPr="00662097">
              <w:rPr>
                <w:rFonts w:ascii="Arial" w:eastAsia="Times New Roman" w:hAnsi="Arial" w:cs="Arial"/>
                <w:color w:val="000000"/>
                <w:sz w:val="16"/>
                <w:szCs w:val="16"/>
                <w:lang w:eastAsia="es-MX"/>
              </w:rPr>
              <w:t>para realizar un ajuste sobre los activos modelados que tiene</w:t>
            </w:r>
            <w:r w:rsidR="00627E1E" w:rsidRPr="00662097">
              <w:rPr>
                <w:rFonts w:ascii="Arial" w:eastAsia="Times New Roman" w:hAnsi="Arial" w:cs="Arial"/>
                <w:color w:val="000000"/>
                <w:sz w:val="16"/>
                <w:szCs w:val="16"/>
                <w:lang w:eastAsia="es-MX"/>
              </w:rPr>
              <w:t>n</w:t>
            </w:r>
            <w:r w:rsidR="00D94C3B" w:rsidRPr="00662097">
              <w:rPr>
                <w:rFonts w:ascii="Arial" w:eastAsia="Times New Roman" w:hAnsi="Arial" w:cs="Arial"/>
                <w:color w:val="000000"/>
                <w:sz w:val="16"/>
                <w:szCs w:val="16"/>
                <w:lang w:eastAsia="es-MX"/>
              </w:rPr>
              <w:t xml:space="preserve"> en consideración los porcentajes relevantes de compartición. </w:t>
            </w:r>
          </w:p>
        </w:tc>
      </w:tr>
      <w:tr w:rsidR="008A7949" w:rsidRPr="00662097" w14:paraId="00008216" w14:textId="77777777" w:rsidTr="008F664E">
        <w:trPr>
          <w:trHeight w:val="20"/>
        </w:trPr>
        <w:tc>
          <w:tcPr>
            <w:tcW w:w="1271" w:type="dxa"/>
            <w:vAlign w:val="center"/>
          </w:tcPr>
          <w:p w14:paraId="313B8A98" w14:textId="7F5FB5D4"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CANIETI</w:t>
            </w:r>
          </w:p>
        </w:tc>
        <w:tc>
          <w:tcPr>
            <w:tcW w:w="1843" w:type="dxa"/>
            <w:shd w:val="clear" w:color="auto" w:fill="auto"/>
            <w:vAlign w:val="center"/>
          </w:tcPr>
          <w:p w14:paraId="5440C2C2" w14:textId="260EECD4"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2.3.5.3 Compartición de infraestructura</w:t>
            </w:r>
          </w:p>
        </w:tc>
        <w:tc>
          <w:tcPr>
            <w:tcW w:w="6379" w:type="dxa"/>
            <w:shd w:val="clear" w:color="auto" w:fill="auto"/>
            <w:vAlign w:val="center"/>
          </w:tcPr>
          <w:p w14:paraId="7AC95A9C" w14:textId="77777777"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Se afirma que el Modelo Integral contempla el uso compartido entre la red de transporte y de acceso del AEPT, así como con “otros tipos de redes e infraestructuras”. Sin embargo, ni en los Documentos Metodológico y Actualización, ni en el propio Modelo Integral, queda claro cómo se incorpora esa compartición de infraestructura que, como se señala, debería de verse reflejado en economías de escala.</w:t>
            </w:r>
          </w:p>
          <w:p w14:paraId="537C68A3" w14:textId="19A61D5E"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 xml:space="preserve">Ciertamente, algunos de los servicios mayoristas que se modelan son de compartición de infraestructura ofrecidos a terceros y, se asume, también se incluye el </w:t>
            </w:r>
            <w:proofErr w:type="spellStart"/>
            <w:r w:rsidRPr="00662097">
              <w:rPr>
                <w:rFonts w:ascii="Arial" w:hAnsi="Arial" w:cs="Arial"/>
                <w:sz w:val="16"/>
                <w:szCs w:val="16"/>
                <w:lang w:eastAsia="es-MX"/>
              </w:rPr>
              <w:t>autoabasto</w:t>
            </w:r>
            <w:proofErr w:type="spellEnd"/>
            <w:r w:rsidRPr="00662097">
              <w:rPr>
                <w:rFonts w:ascii="Arial" w:hAnsi="Arial" w:cs="Arial"/>
                <w:sz w:val="16"/>
                <w:szCs w:val="16"/>
                <w:lang w:eastAsia="es-MX"/>
              </w:rPr>
              <w:t xml:space="preserve"> de dichos servicios. Sin embargo, no se específica como se incorpora la compartición con la red de transporte y con los servicios considerados en el otro modelo de costos consultado por el IFT (el de servicios de interconexión y enlaces dedicados).</w:t>
            </w:r>
          </w:p>
        </w:tc>
        <w:tc>
          <w:tcPr>
            <w:tcW w:w="4536" w:type="dxa"/>
          </w:tcPr>
          <w:p w14:paraId="66C71F16" w14:textId="29F5A3ED" w:rsidR="008A7949" w:rsidRPr="00662097" w:rsidRDefault="00826D3B"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 xml:space="preserve">Ver respuesta al comentario anterior. </w:t>
            </w:r>
          </w:p>
        </w:tc>
      </w:tr>
      <w:tr w:rsidR="008A7949" w:rsidRPr="00662097" w14:paraId="122A8740" w14:textId="7C17EB1B" w:rsidTr="008F664E">
        <w:trPr>
          <w:trHeight w:val="20"/>
        </w:trPr>
        <w:tc>
          <w:tcPr>
            <w:tcW w:w="1271" w:type="dxa"/>
            <w:vAlign w:val="center"/>
          </w:tcPr>
          <w:p w14:paraId="323B10E0" w14:textId="0162D0F2"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lastRenderedPageBreak/>
              <w:t>Mega Cable</w:t>
            </w:r>
          </w:p>
        </w:tc>
        <w:tc>
          <w:tcPr>
            <w:tcW w:w="1843" w:type="dxa"/>
            <w:shd w:val="clear" w:color="auto" w:fill="auto"/>
            <w:vAlign w:val="center"/>
          </w:tcPr>
          <w:p w14:paraId="757BC9E8" w14:textId="0E496F2F"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2.4.1 Valoración de activos</w:t>
            </w:r>
          </w:p>
        </w:tc>
        <w:tc>
          <w:tcPr>
            <w:tcW w:w="6379" w:type="dxa"/>
            <w:shd w:val="clear" w:color="auto" w:fill="auto"/>
            <w:vAlign w:val="center"/>
          </w:tcPr>
          <w:p w14:paraId="28FDBB06" w14:textId="592A532D"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Se afirma que para determinar el CAPEX se utiliza un enfoque que considera el costo actual de los activos a partir del costo de reposición (con excepción de los activos reutilizables). Se afirma igualmente que los insumos de costos se basan en la última información disponible y reflejan “el mercado” en 2023, año base del modelo (Criterios 19 y 20).</w:t>
            </w:r>
          </w:p>
          <w:p w14:paraId="7F4C3613" w14:textId="77777777"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Todo lo anterior, en teoría, parece lo adecuado; sin embargo, en la práctica, se observa que el IFT utiliza información de costos del AEP lo cual es inconsistente con el valor de reposición de los activos y con la información de costos de los insumos de “mercado”. El AEP no enfrenta condiciones de competencia efectiva y, por lo tanto, sus decisiones de inversión y reposición de activos tampoco se pueden considerar eficientes ni resultantes de presiones competitivas.</w:t>
            </w:r>
          </w:p>
          <w:p w14:paraId="16BAAA78" w14:textId="412C3F6A"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El caso de la vida útil de los activos del modelo de costos también se obtiene de la información del AEP, extraídos de la Separación Contable (Criterio 24), cuando se debería de utilizar algún enfoque metodológico que garantizara una contabilización eficiente de dichos activos.</w:t>
            </w:r>
          </w:p>
        </w:tc>
        <w:tc>
          <w:tcPr>
            <w:tcW w:w="4536" w:type="dxa"/>
          </w:tcPr>
          <w:p w14:paraId="340F1DF8" w14:textId="1B322C4A" w:rsidR="00116C4B" w:rsidRPr="00662097" w:rsidRDefault="00116C4B" w:rsidP="00CF3BE8">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Se señala que</w:t>
            </w:r>
            <w:r w:rsidR="006B776A" w:rsidRPr="00662097">
              <w:rPr>
                <w:rFonts w:ascii="Arial" w:hAnsi="Arial" w:cs="Arial"/>
                <w:sz w:val="16"/>
                <w:szCs w:val="16"/>
                <w:lang w:eastAsia="es-MX"/>
              </w:rPr>
              <w:t xml:space="preserve"> tanto </w:t>
            </w:r>
            <w:r w:rsidRPr="00662097">
              <w:rPr>
                <w:rFonts w:ascii="Arial" w:hAnsi="Arial" w:cs="Arial"/>
                <w:sz w:val="16"/>
                <w:szCs w:val="16"/>
                <w:lang w:eastAsia="es-MX"/>
              </w:rPr>
              <w:t>l</w:t>
            </w:r>
            <w:r w:rsidR="008A7949" w:rsidRPr="00662097">
              <w:rPr>
                <w:rFonts w:ascii="Arial" w:hAnsi="Arial" w:cs="Arial"/>
                <w:sz w:val="16"/>
                <w:szCs w:val="16"/>
                <w:lang w:eastAsia="es-MX"/>
              </w:rPr>
              <w:t xml:space="preserve">a información </w:t>
            </w:r>
            <w:r w:rsidR="006B776A" w:rsidRPr="00662097">
              <w:rPr>
                <w:rFonts w:ascii="Arial" w:hAnsi="Arial" w:cs="Arial"/>
                <w:sz w:val="16"/>
                <w:szCs w:val="16"/>
                <w:lang w:eastAsia="es-MX"/>
              </w:rPr>
              <w:t xml:space="preserve">de CAPEX </w:t>
            </w:r>
            <w:r w:rsidR="003565C0" w:rsidRPr="00662097">
              <w:rPr>
                <w:rFonts w:ascii="Arial" w:hAnsi="Arial" w:cs="Arial"/>
                <w:sz w:val="16"/>
                <w:szCs w:val="16"/>
                <w:lang w:eastAsia="es-MX"/>
              </w:rPr>
              <w:t>(Gastos de capital, por su acrónimo en inglés “</w:t>
            </w:r>
            <w:r w:rsidR="003565C0" w:rsidRPr="00662097">
              <w:rPr>
                <w:rFonts w:ascii="Arial" w:hAnsi="Arial" w:cs="Arial"/>
                <w:i/>
                <w:iCs/>
                <w:sz w:val="16"/>
                <w:szCs w:val="16"/>
                <w:lang w:eastAsia="es-MX"/>
              </w:rPr>
              <w:t xml:space="preserve">Capital </w:t>
            </w:r>
            <w:proofErr w:type="spellStart"/>
            <w:r w:rsidR="003565C0" w:rsidRPr="00662097">
              <w:rPr>
                <w:rFonts w:ascii="Arial" w:hAnsi="Arial" w:cs="Arial"/>
                <w:i/>
                <w:iCs/>
                <w:sz w:val="16"/>
                <w:szCs w:val="16"/>
                <w:lang w:eastAsia="es-MX"/>
              </w:rPr>
              <w:t>expenditures</w:t>
            </w:r>
            <w:proofErr w:type="spellEnd"/>
            <w:r w:rsidR="003565C0" w:rsidRPr="00662097">
              <w:rPr>
                <w:rFonts w:ascii="Arial" w:hAnsi="Arial" w:cs="Arial"/>
                <w:sz w:val="16"/>
                <w:szCs w:val="16"/>
                <w:lang w:eastAsia="es-MX"/>
              </w:rPr>
              <w:t>”)</w:t>
            </w:r>
            <w:r w:rsidR="006B776A" w:rsidRPr="00662097">
              <w:rPr>
                <w:rFonts w:ascii="Arial" w:hAnsi="Arial" w:cs="Arial"/>
                <w:sz w:val="16"/>
                <w:szCs w:val="16"/>
                <w:lang w:eastAsia="es-MX"/>
              </w:rPr>
              <w:t xml:space="preserve"> </w:t>
            </w:r>
            <w:r w:rsidR="00080ED2" w:rsidRPr="00662097">
              <w:rPr>
                <w:rFonts w:ascii="Arial" w:hAnsi="Arial" w:cs="Arial"/>
                <w:sz w:val="16"/>
                <w:szCs w:val="16"/>
                <w:lang w:eastAsia="es-MX"/>
              </w:rPr>
              <w:t xml:space="preserve">unitarios </w:t>
            </w:r>
            <w:r w:rsidR="006B776A" w:rsidRPr="00662097">
              <w:rPr>
                <w:rFonts w:ascii="Arial" w:hAnsi="Arial" w:cs="Arial"/>
                <w:sz w:val="16"/>
                <w:szCs w:val="16"/>
                <w:lang w:eastAsia="es-MX"/>
              </w:rPr>
              <w:t xml:space="preserve">como de </w:t>
            </w:r>
            <w:r w:rsidR="00080ED2" w:rsidRPr="00662097">
              <w:rPr>
                <w:rFonts w:ascii="Arial" w:hAnsi="Arial" w:cs="Arial"/>
                <w:sz w:val="16"/>
                <w:szCs w:val="16"/>
                <w:lang w:eastAsia="es-MX"/>
              </w:rPr>
              <w:t>v</w:t>
            </w:r>
            <w:r w:rsidR="006B776A" w:rsidRPr="00662097">
              <w:rPr>
                <w:rFonts w:ascii="Arial" w:hAnsi="Arial" w:cs="Arial"/>
                <w:sz w:val="16"/>
                <w:szCs w:val="16"/>
                <w:lang w:eastAsia="es-MX"/>
              </w:rPr>
              <w:t xml:space="preserve">idas </w:t>
            </w:r>
            <w:r w:rsidR="00080ED2" w:rsidRPr="00662097">
              <w:rPr>
                <w:rFonts w:ascii="Arial" w:hAnsi="Arial" w:cs="Arial"/>
                <w:sz w:val="16"/>
                <w:szCs w:val="16"/>
                <w:lang w:eastAsia="es-MX"/>
              </w:rPr>
              <w:t>ú</w:t>
            </w:r>
            <w:r w:rsidR="006B776A" w:rsidRPr="00662097">
              <w:rPr>
                <w:rFonts w:ascii="Arial" w:hAnsi="Arial" w:cs="Arial"/>
                <w:sz w:val="16"/>
                <w:szCs w:val="16"/>
                <w:lang w:eastAsia="es-MX"/>
              </w:rPr>
              <w:t xml:space="preserve">tiles </w:t>
            </w:r>
            <w:r w:rsidR="008A7949" w:rsidRPr="00662097">
              <w:rPr>
                <w:rFonts w:ascii="Arial" w:hAnsi="Arial" w:cs="Arial"/>
                <w:sz w:val="16"/>
                <w:szCs w:val="16"/>
                <w:lang w:eastAsia="es-MX"/>
              </w:rPr>
              <w:t xml:space="preserve">facilitada por parte del AEP ha sido revisada y </w:t>
            </w:r>
            <w:r w:rsidRPr="00662097">
              <w:rPr>
                <w:rFonts w:ascii="Arial" w:hAnsi="Arial" w:cs="Arial"/>
                <w:sz w:val="16"/>
                <w:szCs w:val="16"/>
                <w:lang w:eastAsia="es-MX"/>
              </w:rPr>
              <w:t xml:space="preserve">comparada con datos </w:t>
            </w:r>
            <w:r w:rsidR="009D3462" w:rsidRPr="00662097">
              <w:rPr>
                <w:rFonts w:ascii="Arial" w:hAnsi="Arial" w:cs="Arial"/>
                <w:sz w:val="16"/>
                <w:szCs w:val="16"/>
                <w:lang w:eastAsia="es-MX"/>
              </w:rPr>
              <w:t xml:space="preserve">de referencia internacionales para garantizar </w:t>
            </w:r>
            <w:r w:rsidR="00080ED2" w:rsidRPr="00662097">
              <w:rPr>
                <w:rFonts w:ascii="Arial" w:hAnsi="Arial" w:cs="Arial"/>
                <w:sz w:val="16"/>
                <w:szCs w:val="16"/>
                <w:lang w:eastAsia="es-MX"/>
              </w:rPr>
              <w:t xml:space="preserve">que </w:t>
            </w:r>
            <w:r w:rsidR="00645F9B" w:rsidRPr="00662097">
              <w:rPr>
                <w:rFonts w:ascii="Arial" w:hAnsi="Arial" w:cs="Arial"/>
                <w:sz w:val="16"/>
                <w:szCs w:val="16"/>
                <w:lang w:eastAsia="es-MX"/>
              </w:rPr>
              <w:t xml:space="preserve">la misma es </w:t>
            </w:r>
            <w:r w:rsidR="003B0BFA" w:rsidRPr="00662097">
              <w:rPr>
                <w:rFonts w:ascii="Arial" w:hAnsi="Arial" w:cs="Arial"/>
                <w:sz w:val="16"/>
                <w:szCs w:val="16"/>
                <w:lang w:eastAsia="es-MX"/>
              </w:rPr>
              <w:t>apropiada y se encuentra alineada con valores de mercado</w:t>
            </w:r>
            <w:r w:rsidR="00645F9B" w:rsidRPr="00662097">
              <w:rPr>
                <w:rFonts w:ascii="Arial" w:hAnsi="Arial" w:cs="Arial"/>
                <w:sz w:val="16"/>
                <w:szCs w:val="16"/>
                <w:lang w:eastAsia="es-MX"/>
              </w:rPr>
              <w:t xml:space="preserve">. </w:t>
            </w:r>
          </w:p>
          <w:p w14:paraId="3CA36877" w14:textId="37F5A5EA" w:rsidR="006B6DFB" w:rsidRPr="00662097" w:rsidRDefault="00EB02BD" w:rsidP="00851A48">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 xml:space="preserve">De cualquier forma, se hará una evaluación en el costo de los activos que permita considerar los comentarios recibidos a efecto de reflejar costos unitarios </w:t>
            </w:r>
            <w:r w:rsidR="00A02393" w:rsidRPr="00662097">
              <w:rPr>
                <w:rFonts w:ascii="Arial" w:hAnsi="Arial" w:cs="Arial"/>
                <w:sz w:val="16"/>
                <w:szCs w:val="16"/>
                <w:lang w:eastAsia="es-MX"/>
              </w:rPr>
              <w:t xml:space="preserve">que </w:t>
            </w:r>
            <w:r w:rsidR="007B57E8" w:rsidRPr="00662097">
              <w:rPr>
                <w:rFonts w:ascii="Arial" w:hAnsi="Arial" w:cs="Arial"/>
                <w:sz w:val="16"/>
                <w:szCs w:val="16"/>
                <w:lang w:eastAsia="es-MX"/>
              </w:rPr>
              <w:t>presenten</w:t>
            </w:r>
            <w:r w:rsidR="00A02393" w:rsidRPr="00662097">
              <w:rPr>
                <w:rFonts w:ascii="Arial" w:hAnsi="Arial" w:cs="Arial"/>
                <w:sz w:val="16"/>
                <w:szCs w:val="16"/>
                <w:lang w:eastAsia="es-MX"/>
              </w:rPr>
              <w:t xml:space="preserve"> un valor de reposición acorde </w:t>
            </w:r>
            <w:r w:rsidR="00756B8C" w:rsidRPr="00662097">
              <w:rPr>
                <w:rFonts w:ascii="Arial" w:hAnsi="Arial" w:cs="Arial"/>
                <w:sz w:val="16"/>
                <w:szCs w:val="16"/>
                <w:lang w:eastAsia="es-MX"/>
              </w:rPr>
              <w:t>con</w:t>
            </w:r>
            <w:r w:rsidR="00A02393" w:rsidRPr="00662097">
              <w:rPr>
                <w:rFonts w:ascii="Arial" w:hAnsi="Arial" w:cs="Arial"/>
                <w:sz w:val="16"/>
                <w:szCs w:val="16"/>
                <w:lang w:eastAsia="es-MX"/>
              </w:rPr>
              <w:t xml:space="preserve"> la evolución de los precios y el progreso tecnológico.</w:t>
            </w:r>
            <w:r w:rsidR="003E3693" w:rsidRPr="00662097">
              <w:rPr>
                <w:rFonts w:ascii="Arial" w:hAnsi="Arial" w:cs="Arial"/>
                <w:sz w:val="16"/>
                <w:szCs w:val="16"/>
                <w:lang w:eastAsia="es-MX"/>
              </w:rPr>
              <w:t xml:space="preserve"> </w:t>
            </w:r>
          </w:p>
        </w:tc>
      </w:tr>
      <w:tr w:rsidR="008A7949" w:rsidRPr="00662097" w14:paraId="542EE0B9" w14:textId="06956DA9" w:rsidTr="008F664E">
        <w:trPr>
          <w:trHeight w:val="20"/>
        </w:trPr>
        <w:tc>
          <w:tcPr>
            <w:tcW w:w="1271" w:type="dxa"/>
            <w:vAlign w:val="center"/>
          </w:tcPr>
          <w:p w14:paraId="5B15CB7D" w14:textId="07527B0F"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Mega Cable</w:t>
            </w:r>
          </w:p>
        </w:tc>
        <w:tc>
          <w:tcPr>
            <w:tcW w:w="1843" w:type="dxa"/>
            <w:shd w:val="clear" w:color="auto" w:fill="auto"/>
            <w:vAlign w:val="center"/>
          </w:tcPr>
          <w:p w14:paraId="04936AEF" w14:textId="6C92E987"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2.4.2.1. CCPP</w:t>
            </w:r>
          </w:p>
        </w:tc>
        <w:tc>
          <w:tcPr>
            <w:tcW w:w="6379" w:type="dxa"/>
            <w:shd w:val="clear" w:color="auto" w:fill="auto"/>
            <w:vAlign w:val="center"/>
          </w:tcPr>
          <w:p w14:paraId="267A0DA5" w14:textId="7F4D5DCC" w:rsidR="008A7949" w:rsidRPr="00662097" w:rsidRDefault="008A7949" w:rsidP="008A7949">
            <w:pPr>
              <w:pStyle w:val="Default"/>
              <w:spacing w:before="120" w:after="120"/>
              <w:jc w:val="both"/>
              <w:rPr>
                <w:rFonts w:ascii="Arial" w:hAnsi="Arial" w:cs="Arial"/>
                <w:sz w:val="16"/>
                <w:szCs w:val="16"/>
              </w:rPr>
            </w:pPr>
            <w:r w:rsidRPr="00662097">
              <w:rPr>
                <w:rFonts w:ascii="Arial" w:hAnsi="Arial" w:cs="Arial"/>
                <w:sz w:val="16"/>
                <w:szCs w:val="16"/>
              </w:rPr>
              <w:t>Mi representada ha hecho previamente observaciones sobre algunas áreas de oportunidad y deficiencias en el cálculo del CCPP</w:t>
            </w:r>
            <w:r w:rsidR="007B48DB" w:rsidRPr="00662097">
              <w:rPr>
                <w:rFonts w:ascii="Arial" w:hAnsi="Arial" w:cs="Arial"/>
                <w:sz w:val="16"/>
                <w:szCs w:val="16"/>
              </w:rPr>
              <w:t xml:space="preserve"> (Costo de Capital Promedio Ponderado)</w:t>
            </w:r>
            <w:r w:rsidRPr="00662097">
              <w:rPr>
                <w:rFonts w:ascii="Arial" w:hAnsi="Arial" w:cs="Arial"/>
                <w:sz w:val="16"/>
                <w:szCs w:val="16"/>
              </w:rPr>
              <w:t xml:space="preserve"> al IFT con motivo de otras consultas y otros procedimientos. </w:t>
            </w:r>
          </w:p>
          <w:p w14:paraId="7C2936F9" w14:textId="024987B2" w:rsidR="008A7949" w:rsidRPr="00662097" w:rsidRDefault="008A7949" w:rsidP="008A7949">
            <w:pPr>
              <w:pStyle w:val="Default"/>
              <w:spacing w:before="120" w:after="120"/>
              <w:jc w:val="both"/>
              <w:rPr>
                <w:rFonts w:ascii="Arial" w:hAnsi="Arial" w:cs="Arial"/>
                <w:sz w:val="16"/>
                <w:szCs w:val="16"/>
              </w:rPr>
            </w:pPr>
            <w:r w:rsidRPr="00662097">
              <w:rPr>
                <w:rFonts w:ascii="Arial" w:hAnsi="Arial" w:cs="Arial"/>
                <w:sz w:val="16"/>
                <w:szCs w:val="16"/>
              </w:rPr>
              <w:t xml:space="preserve">Dado que en esta consulta no se entra al detalle del mismo, tampoco se repetirán dichas observaciones, sin embargo, </w:t>
            </w:r>
            <w:r w:rsidRPr="00662097">
              <w:rPr>
                <w:rFonts w:ascii="Arial" w:hAnsi="Arial" w:cs="Arial"/>
                <w:b/>
                <w:bCs/>
                <w:sz w:val="16"/>
                <w:szCs w:val="16"/>
                <w:u w:val="single"/>
              </w:rPr>
              <w:t>se solicita</w:t>
            </w:r>
            <w:r w:rsidRPr="00662097">
              <w:rPr>
                <w:rFonts w:ascii="Arial" w:hAnsi="Arial" w:cs="Arial"/>
                <w:sz w:val="16"/>
                <w:szCs w:val="16"/>
              </w:rPr>
              <w:t xml:space="preserve"> consultar las mismas, ya que por ejemplo, sigue faltando total transparencia en las fuentes utilizadas para el cálculo del CCPP, se siguen utilizando indicadores financieros de corto plazo y por otro lado, aunque el Instituto reconoce que el AEP cuenta con capacidad de acceder a financiamiento a costos menores que la tasa de rendimiento de los valores gubernamentales de nuestro país, se sigue utilizando en la fórmula del CCPP un valor por encima de esta última tasa.</w:t>
            </w:r>
          </w:p>
        </w:tc>
        <w:tc>
          <w:tcPr>
            <w:tcW w:w="4536" w:type="dxa"/>
          </w:tcPr>
          <w:p w14:paraId="2D9C96CE" w14:textId="112DDC98" w:rsidR="008A7949" w:rsidRPr="00662097" w:rsidRDefault="003E3693" w:rsidP="008A7949">
            <w:pPr>
              <w:pStyle w:val="Default"/>
              <w:spacing w:before="120" w:after="120"/>
              <w:jc w:val="both"/>
              <w:rPr>
                <w:rFonts w:ascii="Arial" w:hAnsi="Arial" w:cs="Arial"/>
                <w:sz w:val="16"/>
                <w:szCs w:val="16"/>
              </w:rPr>
            </w:pPr>
            <w:r w:rsidRPr="00662097">
              <w:rPr>
                <w:rFonts w:ascii="Arial" w:hAnsi="Arial" w:cs="Arial"/>
                <w:sz w:val="16"/>
                <w:szCs w:val="16"/>
              </w:rPr>
              <w:t>La atención a dicho comentario se realiza c</w:t>
            </w:r>
            <w:r w:rsidR="003C0C35" w:rsidRPr="00662097">
              <w:rPr>
                <w:rFonts w:ascii="Arial" w:hAnsi="Arial" w:cs="Arial"/>
                <w:sz w:val="16"/>
                <w:szCs w:val="16"/>
              </w:rPr>
              <w:t xml:space="preserve">onforme a lo </w:t>
            </w:r>
            <w:r w:rsidR="00CF3684" w:rsidRPr="00662097">
              <w:rPr>
                <w:rFonts w:ascii="Arial" w:hAnsi="Arial" w:cs="Arial"/>
                <w:sz w:val="16"/>
                <w:szCs w:val="16"/>
              </w:rPr>
              <w:t>dispuesto</w:t>
            </w:r>
            <w:r w:rsidR="003C0C35" w:rsidRPr="00662097">
              <w:rPr>
                <w:rFonts w:ascii="Arial" w:hAnsi="Arial" w:cs="Arial"/>
                <w:sz w:val="16"/>
                <w:szCs w:val="16"/>
              </w:rPr>
              <w:t xml:space="preserve"> en la consulta pública correspondiente</w:t>
            </w:r>
            <w:r w:rsidR="009667E7" w:rsidRPr="00662097">
              <w:rPr>
                <w:rFonts w:ascii="Arial" w:hAnsi="Arial" w:cs="Arial"/>
                <w:sz w:val="16"/>
                <w:szCs w:val="16"/>
              </w:rPr>
              <w:t>.</w:t>
            </w:r>
          </w:p>
        </w:tc>
      </w:tr>
      <w:tr w:rsidR="008A7949" w:rsidRPr="00662097" w14:paraId="42BB0CEA" w14:textId="40DDAA6C" w:rsidTr="008F664E">
        <w:trPr>
          <w:trHeight w:val="20"/>
        </w:trPr>
        <w:tc>
          <w:tcPr>
            <w:tcW w:w="1271" w:type="dxa"/>
            <w:vAlign w:val="center"/>
          </w:tcPr>
          <w:p w14:paraId="345F1211" w14:textId="71CFB535" w:rsidR="008A7949" w:rsidRPr="00662097" w:rsidRDefault="008A7949" w:rsidP="008A7949">
            <w:pPr>
              <w:spacing w:after="0" w:line="240" w:lineRule="auto"/>
              <w:ind w:right="227" w:firstLine="227"/>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Mega Cable</w:t>
            </w:r>
          </w:p>
        </w:tc>
        <w:tc>
          <w:tcPr>
            <w:tcW w:w="1843" w:type="dxa"/>
            <w:shd w:val="clear" w:color="auto" w:fill="auto"/>
            <w:vAlign w:val="center"/>
          </w:tcPr>
          <w:p w14:paraId="256FF333" w14:textId="47B2E098"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2.4.4.2 Tendencias de precios de activos</w:t>
            </w:r>
          </w:p>
        </w:tc>
        <w:tc>
          <w:tcPr>
            <w:tcW w:w="6379" w:type="dxa"/>
            <w:shd w:val="clear" w:color="auto" w:fill="auto"/>
            <w:vAlign w:val="center"/>
          </w:tcPr>
          <w:p w14:paraId="4FAB1114" w14:textId="77777777"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 xml:space="preserve">El Modelo Integral establece tendencias de precios de los activos a largo plazo que no son realistas a las tendencias de las telecomunicaciones y que son aplicadas en el Modelo de Interconexión. </w:t>
            </w:r>
          </w:p>
          <w:p w14:paraId="50453E3B" w14:textId="77777777"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 xml:space="preserve">El Modelo Integral es demasiado simplista al solamente considerar una sola tendencia de precios a largo plazo para todos los activos y costos operativos. Esa tendencia se basa en los datos proporcionados por la Encuesta sobre las expectativas de los especialistas en economía del sector privado del Banco de México, con relación a las proyecciones sobre del índice de inflación (4.05%). </w:t>
            </w:r>
          </w:p>
          <w:p w14:paraId="14A3E49A" w14:textId="77777777"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 xml:space="preserve">Dicho valor se divide por un factor que refleja el progreso tecnológico pero que es marcadamente más reducido que la tasa de inflación pronosticada (0.32%). Como resultado, se calcula una tasa de incremento en precios para todos los activos de 3.72%. </w:t>
            </w:r>
          </w:p>
          <w:p w14:paraId="15B6DAC6" w14:textId="77777777"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Mientras que puede ser razonable utilizar el pronóstico de la inflación para modelar la tendencia de los precios de servicios de ingeniería e incluso de sueldos y salarios. Resulta llamativo que el factor de progreso tecnológico utilizado sea tan reducido (sólo 0.32%), lo cual resulta incompatible con las tendencias en los últimos años en ese renglón.</w:t>
            </w:r>
          </w:p>
          <w:p w14:paraId="7535136A" w14:textId="77777777"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lastRenderedPageBreak/>
              <w:t xml:space="preserve">No resulta razonable que se utilice un valor de 3.72% para todos los activos y elementos del </w:t>
            </w:r>
            <w:proofErr w:type="spellStart"/>
            <w:r w:rsidRPr="00662097">
              <w:rPr>
                <w:rFonts w:ascii="Arial" w:hAnsi="Arial" w:cs="Arial"/>
                <w:sz w:val="16"/>
                <w:szCs w:val="16"/>
                <w:lang w:eastAsia="es-MX"/>
              </w:rPr>
              <w:t>Capex</w:t>
            </w:r>
            <w:proofErr w:type="spellEnd"/>
            <w:r w:rsidRPr="00662097">
              <w:rPr>
                <w:rFonts w:ascii="Arial" w:hAnsi="Arial" w:cs="Arial"/>
                <w:sz w:val="16"/>
                <w:szCs w:val="16"/>
                <w:lang w:eastAsia="es-MX"/>
              </w:rPr>
              <w:t>, cuando la innovación tecnológica y operativa en las telecomunicaciones implica ahorros y ganancias en eficiencia más importantes.</w:t>
            </w:r>
          </w:p>
          <w:p w14:paraId="05CA736F" w14:textId="5633202E"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Ese 3.72% es incluso incompatible con la tendencia del índice de precios de telecomunicaciones que el propio IFT y el INEGI informan periódicamente, que, aunque se refiere a servicios finales, refleja en cierto grado, el comportamiento de los precios de los insumos de telecomunicaciones.</w:t>
            </w:r>
          </w:p>
        </w:tc>
        <w:tc>
          <w:tcPr>
            <w:tcW w:w="4536" w:type="dxa"/>
          </w:tcPr>
          <w:p w14:paraId="34E6E914" w14:textId="304CB388" w:rsidR="003336C1" w:rsidRPr="00662097" w:rsidRDefault="00F91A2D"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lastRenderedPageBreak/>
              <w:t>Se ha considerado adecuad</w:t>
            </w:r>
            <w:r w:rsidR="008710B6" w:rsidRPr="00662097">
              <w:rPr>
                <w:rFonts w:ascii="Arial" w:hAnsi="Arial" w:cs="Arial"/>
                <w:sz w:val="16"/>
                <w:szCs w:val="16"/>
                <w:lang w:eastAsia="es-MX"/>
              </w:rPr>
              <w:t>a</w:t>
            </w:r>
            <w:r w:rsidRPr="00662097">
              <w:rPr>
                <w:rFonts w:ascii="Arial" w:hAnsi="Arial" w:cs="Arial"/>
                <w:sz w:val="16"/>
                <w:szCs w:val="16"/>
                <w:lang w:eastAsia="es-MX"/>
              </w:rPr>
              <w:t xml:space="preserve"> </w:t>
            </w:r>
            <w:r w:rsidR="003336C1" w:rsidRPr="00662097">
              <w:rPr>
                <w:rFonts w:ascii="Arial" w:hAnsi="Arial" w:cs="Arial"/>
                <w:sz w:val="16"/>
                <w:szCs w:val="16"/>
                <w:lang w:eastAsia="es-MX"/>
              </w:rPr>
              <w:t xml:space="preserve">la utilización de </w:t>
            </w:r>
            <w:r w:rsidR="00F311D3" w:rsidRPr="00662097">
              <w:rPr>
                <w:rFonts w:ascii="Arial" w:hAnsi="Arial" w:cs="Arial"/>
                <w:sz w:val="16"/>
                <w:szCs w:val="16"/>
                <w:lang w:eastAsia="es-MX"/>
              </w:rPr>
              <w:t>una única tendencia de precios</w:t>
            </w:r>
            <w:r w:rsidR="003336C1" w:rsidRPr="00662097">
              <w:rPr>
                <w:rFonts w:ascii="Arial" w:hAnsi="Arial" w:cs="Arial"/>
                <w:sz w:val="16"/>
                <w:szCs w:val="16"/>
                <w:lang w:eastAsia="es-MX"/>
              </w:rPr>
              <w:t xml:space="preserve">, principalmente por los dos siguientes motivos: </w:t>
            </w:r>
          </w:p>
          <w:p w14:paraId="0B3052B7" w14:textId="2480C6DF" w:rsidR="003336C1" w:rsidRPr="00662097" w:rsidRDefault="003336C1" w:rsidP="00570AFE">
            <w:pPr>
              <w:pStyle w:val="Prrafodelista"/>
              <w:numPr>
                <w:ilvl w:val="0"/>
                <w:numId w:val="16"/>
              </w:num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 xml:space="preserve">Esta aproximación se encuentra alineada con la </w:t>
            </w:r>
            <w:r w:rsidR="005C0F01" w:rsidRPr="00662097">
              <w:rPr>
                <w:rFonts w:ascii="Arial" w:hAnsi="Arial" w:cs="Arial"/>
                <w:sz w:val="16"/>
                <w:szCs w:val="16"/>
                <w:lang w:eastAsia="es-MX"/>
              </w:rPr>
              <w:t>empleada por el Instituto</w:t>
            </w:r>
            <w:r w:rsidR="00024065" w:rsidRPr="00662097">
              <w:rPr>
                <w:rFonts w:ascii="Arial" w:hAnsi="Arial" w:cs="Arial"/>
                <w:sz w:val="16"/>
                <w:szCs w:val="16"/>
                <w:lang w:eastAsia="es-MX"/>
              </w:rPr>
              <w:t xml:space="preserve"> en años previos</w:t>
            </w:r>
            <w:r w:rsidRPr="00662097">
              <w:rPr>
                <w:rFonts w:ascii="Arial" w:hAnsi="Arial" w:cs="Arial"/>
                <w:sz w:val="16"/>
                <w:szCs w:val="16"/>
                <w:lang w:eastAsia="es-MX"/>
              </w:rPr>
              <w:t>.</w:t>
            </w:r>
          </w:p>
          <w:p w14:paraId="60D2B4AF" w14:textId="3D4A1FE2" w:rsidR="0030585D" w:rsidRPr="00662097" w:rsidRDefault="003336C1" w:rsidP="00570AFE">
            <w:pPr>
              <w:pStyle w:val="Prrafodelista"/>
              <w:numPr>
                <w:ilvl w:val="0"/>
                <w:numId w:val="16"/>
              </w:num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Es necesario destacar que</w:t>
            </w:r>
            <w:r w:rsidR="00660756" w:rsidRPr="00662097">
              <w:rPr>
                <w:rFonts w:ascii="Arial" w:hAnsi="Arial" w:cs="Arial"/>
                <w:sz w:val="16"/>
                <w:szCs w:val="16"/>
                <w:lang w:eastAsia="es-MX"/>
              </w:rPr>
              <w:t>,</w:t>
            </w:r>
            <w:r w:rsidR="00A97A23" w:rsidRPr="00662097">
              <w:rPr>
                <w:rFonts w:ascii="Arial" w:hAnsi="Arial" w:cs="Arial"/>
                <w:sz w:val="16"/>
                <w:szCs w:val="16"/>
                <w:lang w:eastAsia="es-MX"/>
              </w:rPr>
              <w:t xml:space="preserve"> en </w:t>
            </w:r>
            <w:r w:rsidRPr="00662097">
              <w:rPr>
                <w:rFonts w:ascii="Arial" w:hAnsi="Arial" w:cs="Arial"/>
                <w:sz w:val="16"/>
                <w:szCs w:val="16"/>
                <w:lang w:eastAsia="es-MX"/>
              </w:rPr>
              <w:t>las redes de acceso</w:t>
            </w:r>
            <w:r w:rsidR="005C0F01" w:rsidRPr="00662097">
              <w:rPr>
                <w:rFonts w:ascii="Arial" w:hAnsi="Arial" w:cs="Arial"/>
                <w:sz w:val="16"/>
                <w:szCs w:val="16"/>
                <w:lang w:eastAsia="es-MX"/>
              </w:rPr>
              <w:t xml:space="preserve">, </w:t>
            </w:r>
            <w:r w:rsidR="00024065" w:rsidRPr="00662097">
              <w:rPr>
                <w:rFonts w:ascii="Arial" w:hAnsi="Arial" w:cs="Arial"/>
                <w:sz w:val="16"/>
                <w:szCs w:val="16"/>
                <w:lang w:eastAsia="es-MX"/>
              </w:rPr>
              <w:t xml:space="preserve">las cuales son relevantes para el Modelo Integral, </w:t>
            </w:r>
            <w:r w:rsidR="00A97A23" w:rsidRPr="00662097">
              <w:rPr>
                <w:rFonts w:ascii="Arial" w:hAnsi="Arial" w:cs="Arial"/>
                <w:sz w:val="16"/>
                <w:szCs w:val="16"/>
                <w:lang w:eastAsia="es-MX"/>
              </w:rPr>
              <w:t xml:space="preserve">están compuestas en su gran mayoría por elementos </w:t>
            </w:r>
            <w:r w:rsidR="00F467E1" w:rsidRPr="00662097">
              <w:rPr>
                <w:rFonts w:ascii="Arial" w:hAnsi="Arial" w:cs="Arial"/>
                <w:sz w:val="16"/>
                <w:szCs w:val="16"/>
                <w:lang w:eastAsia="es-MX"/>
              </w:rPr>
              <w:t xml:space="preserve">de red </w:t>
            </w:r>
            <w:r w:rsidR="00A97A23" w:rsidRPr="00662097">
              <w:rPr>
                <w:rFonts w:ascii="Arial" w:hAnsi="Arial" w:cs="Arial"/>
                <w:sz w:val="16"/>
                <w:szCs w:val="16"/>
                <w:lang w:eastAsia="es-MX"/>
              </w:rPr>
              <w:t>pasivos.</w:t>
            </w:r>
            <w:r w:rsidR="00D96409" w:rsidRPr="00662097">
              <w:rPr>
                <w:rFonts w:ascii="Arial" w:hAnsi="Arial" w:cs="Arial"/>
                <w:sz w:val="16"/>
                <w:szCs w:val="16"/>
                <w:lang w:eastAsia="es-MX"/>
              </w:rPr>
              <w:t xml:space="preserve"> </w:t>
            </w:r>
            <w:r w:rsidR="00660756" w:rsidRPr="00662097">
              <w:rPr>
                <w:rFonts w:ascii="Arial" w:hAnsi="Arial" w:cs="Arial"/>
                <w:sz w:val="16"/>
                <w:szCs w:val="16"/>
                <w:lang w:eastAsia="es-MX"/>
              </w:rPr>
              <w:t xml:space="preserve">En términos generales, </w:t>
            </w:r>
            <w:r w:rsidR="008710B6" w:rsidRPr="00662097">
              <w:rPr>
                <w:rFonts w:ascii="Arial" w:hAnsi="Arial" w:cs="Arial"/>
                <w:sz w:val="16"/>
                <w:szCs w:val="16"/>
                <w:lang w:eastAsia="es-MX"/>
              </w:rPr>
              <w:t xml:space="preserve">la práctica demuestra que </w:t>
            </w:r>
            <w:r w:rsidR="0009734E" w:rsidRPr="00662097">
              <w:rPr>
                <w:rFonts w:ascii="Arial" w:hAnsi="Arial" w:cs="Arial"/>
                <w:sz w:val="16"/>
                <w:szCs w:val="16"/>
                <w:lang w:eastAsia="es-MX"/>
              </w:rPr>
              <w:t>cabe esperar que la tendencia de estos elementos</w:t>
            </w:r>
            <w:r w:rsidR="00D576F2" w:rsidRPr="00662097">
              <w:rPr>
                <w:rFonts w:ascii="Arial" w:hAnsi="Arial" w:cs="Arial"/>
                <w:sz w:val="16"/>
                <w:szCs w:val="16"/>
                <w:lang w:eastAsia="es-MX"/>
              </w:rPr>
              <w:t xml:space="preserve"> de red</w:t>
            </w:r>
            <w:r w:rsidR="0009734E" w:rsidRPr="00662097">
              <w:rPr>
                <w:rFonts w:ascii="Arial" w:hAnsi="Arial" w:cs="Arial"/>
                <w:sz w:val="16"/>
                <w:szCs w:val="16"/>
                <w:lang w:eastAsia="es-MX"/>
              </w:rPr>
              <w:t xml:space="preserve"> </w:t>
            </w:r>
            <w:r w:rsidR="001F302E" w:rsidRPr="00662097">
              <w:rPr>
                <w:rFonts w:ascii="Arial" w:hAnsi="Arial" w:cs="Arial"/>
                <w:sz w:val="16"/>
                <w:szCs w:val="16"/>
                <w:lang w:eastAsia="es-MX"/>
              </w:rPr>
              <w:t xml:space="preserve">pasivos </w:t>
            </w:r>
            <w:r w:rsidR="0009734E" w:rsidRPr="00662097">
              <w:rPr>
                <w:rFonts w:ascii="Arial" w:hAnsi="Arial" w:cs="Arial"/>
                <w:sz w:val="16"/>
                <w:szCs w:val="16"/>
                <w:lang w:eastAsia="es-MX"/>
              </w:rPr>
              <w:t xml:space="preserve">se encuentre alineada en gran medida con la evolución de la inflación. </w:t>
            </w:r>
          </w:p>
          <w:p w14:paraId="12DFC11C" w14:textId="5E5060C0" w:rsidR="009F5F7C" w:rsidRPr="00662097" w:rsidRDefault="00543A74" w:rsidP="00BB766B">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E</w:t>
            </w:r>
            <w:r w:rsidR="007C5B26" w:rsidRPr="00662097">
              <w:rPr>
                <w:rFonts w:ascii="Arial" w:hAnsi="Arial" w:cs="Arial"/>
                <w:sz w:val="16"/>
                <w:szCs w:val="16"/>
                <w:lang w:eastAsia="es-MX"/>
              </w:rPr>
              <w:t xml:space="preserve">n lo que respecta al progreso tecnológico, si bien es cierto que </w:t>
            </w:r>
            <w:r w:rsidR="007148B7" w:rsidRPr="00662097">
              <w:rPr>
                <w:rFonts w:ascii="Arial" w:hAnsi="Arial" w:cs="Arial"/>
                <w:sz w:val="16"/>
                <w:szCs w:val="16"/>
                <w:lang w:eastAsia="es-MX"/>
              </w:rPr>
              <w:t xml:space="preserve">la innovación tecnológica </w:t>
            </w:r>
            <w:r w:rsidR="003E17AA" w:rsidRPr="00662097">
              <w:rPr>
                <w:rFonts w:ascii="Arial" w:hAnsi="Arial" w:cs="Arial"/>
                <w:sz w:val="16"/>
                <w:szCs w:val="16"/>
                <w:lang w:eastAsia="es-MX"/>
              </w:rPr>
              <w:t xml:space="preserve">pudiera </w:t>
            </w:r>
            <w:r w:rsidR="007148B7" w:rsidRPr="00662097">
              <w:rPr>
                <w:rFonts w:ascii="Arial" w:hAnsi="Arial" w:cs="Arial"/>
                <w:sz w:val="16"/>
                <w:szCs w:val="16"/>
                <w:lang w:eastAsia="es-MX"/>
              </w:rPr>
              <w:t xml:space="preserve">jugar un papel más relevante en </w:t>
            </w:r>
            <w:r w:rsidR="00B04438" w:rsidRPr="00662097">
              <w:rPr>
                <w:rFonts w:ascii="Arial" w:hAnsi="Arial" w:cs="Arial"/>
                <w:sz w:val="16"/>
                <w:szCs w:val="16"/>
                <w:lang w:eastAsia="es-MX"/>
              </w:rPr>
              <w:t xml:space="preserve">elementos activos, </w:t>
            </w:r>
            <w:r w:rsidRPr="00662097">
              <w:rPr>
                <w:rFonts w:ascii="Arial" w:hAnsi="Arial" w:cs="Arial"/>
                <w:sz w:val="16"/>
                <w:szCs w:val="16"/>
                <w:lang w:eastAsia="es-MX"/>
              </w:rPr>
              <w:t xml:space="preserve">este no es comúnmente el caso de los elementos pasivos, donde el precio se encuentra </w:t>
            </w:r>
            <w:r w:rsidRPr="00662097">
              <w:rPr>
                <w:rFonts w:ascii="Arial" w:hAnsi="Arial" w:cs="Arial"/>
                <w:sz w:val="16"/>
                <w:szCs w:val="16"/>
                <w:lang w:eastAsia="es-MX"/>
              </w:rPr>
              <w:lastRenderedPageBreak/>
              <w:t xml:space="preserve">ligado principalmente al precio de los materiales y al de la mano de obra. </w:t>
            </w:r>
            <w:r w:rsidR="0035022F" w:rsidRPr="00662097">
              <w:rPr>
                <w:rFonts w:ascii="Arial" w:hAnsi="Arial" w:cs="Arial"/>
                <w:sz w:val="16"/>
                <w:szCs w:val="16"/>
                <w:lang w:eastAsia="es-MX"/>
              </w:rPr>
              <w:t xml:space="preserve">Por </w:t>
            </w:r>
            <w:r w:rsidR="0094777C" w:rsidRPr="00662097">
              <w:rPr>
                <w:rFonts w:ascii="Arial" w:hAnsi="Arial" w:cs="Arial"/>
                <w:sz w:val="16"/>
                <w:szCs w:val="16"/>
                <w:lang w:eastAsia="es-MX"/>
              </w:rPr>
              <w:t xml:space="preserve">el motivo anterior, </w:t>
            </w:r>
            <w:r w:rsidR="0035022F" w:rsidRPr="00662097">
              <w:rPr>
                <w:rFonts w:ascii="Arial" w:hAnsi="Arial" w:cs="Arial"/>
                <w:sz w:val="16"/>
                <w:szCs w:val="16"/>
                <w:lang w:eastAsia="es-MX"/>
              </w:rPr>
              <w:t xml:space="preserve">se </w:t>
            </w:r>
            <w:r w:rsidR="0094777C" w:rsidRPr="00662097">
              <w:rPr>
                <w:rFonts w:ascii="Arial" w:hAnsi="Arial" w:cs="Arial"/>
                <w:sz w:val="16"/>
                <w:szCs w:val="16"/>
                <w:lang w:eastAsia="es-MX"/>
              </w:rPr>
              <w:t xml:space="preserve">estima </w:t>
            </w:r>
            <w:r w:rsidR="0035022F" w:rsidRPr="00662097">
              <w:rPr>
                <w:rFonts w:ascii="Arial" w:hAnsi="Arial" w:cs="Arial"/>
                <w:sz w:val="16"/>
                <w:szCs w:val="16"/>
                <w:lang w:eastAsia="es-MX"/>
              </w:rPr>
              <w:t xml:space="preserve">que el valor de 0.32% </w:t>
            </w:r>
            <w:r w:rsidR="0094777C" w:rsidRPr="00662097">
              <w:rPr>
                <w:rFonts w:ascii="Arial" w:hAnsi="Arial" w:cs="Arial"/>
                <w:sz w:val="16"/>
                <w:szCs w:val="16"/>
                <w:lang w:eastAsia="es-MX"/>
              </w:rPr>
              <w:t>empleado</w:t>
            </w:r>
            <w:r w:rsidR="001E4332" w:rsidRPr="00662097">
              <w:rPr>
                <w:rFonts w:ascii="Arial" w:hAnsi="Arial" w:cs="Arial"/>
                <w:sz w:val="16"/>
                <w:szCs w:val="16"/>
                <w:lang w:eastAsia="es-MX"/>
              </w:rPr>
              <w:t xml:space="preserve"> para ajustar la tendencia de precios</w:t>
            </w:r>
            <w:r w:rsidR="0094777C" w:rsidRPr="00662097">
              <w:rPr>
                <w:rFonts w:ascii="Arial" w:hAnsi="Arial" w:cs="Arial"/>
                <w:sz w:val="16"/>
                <w:szCs w:val="16"/>
                <w:lang w:eastAsia="es-MX"/>
              </w:rPr>
              <w:t xml:space="preserve"> </w:t>
            </w:r>
            <w:r w:rsidR="0035022F" w:rsidRPr="00662097">
              <w:rPr>
                <w:rFonts w:ascii="Arial" w:hAnsi="Arial" w:cs="Arial"/>
                <w:sz w:val="16"/>
                <w:szCs w:val="16"/>
                <w:lang w:eastAsia="es-MX"/>
              </w:rPr>
              <w:t>estaría reflejando de manera adecuada el progreso tecnológico en los elementos de la red de acceso.</w:t>
            </w:r>
          </w:p>
        </w:tc>
      </w:tr>
      <w:tr w:rsidR="008A7949" w:rsidRPr="00662097" w14:paraId="72A7DC69" w14:textId="19366002" w:rsidTr="008F664E">
        <w:trPr>
          <w:trHeight w:val="20"/>
        </w:trPr>
        <w:tc>
          <w:tcPr>
            <w:tcW w:w="1271" w:type="dxa"/>
            <w:vAlign w:val="center"/>
          </w:tcPr>
          <w:p w14:paraId="0D502DC9" w14:textId="1512EFCA"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lastRenderedPageBreak/>
              <w:t>Mega Cable</w:t>
            </w:r>
          </w:p>
        </w:tc>
        <w:tc>
          <w:tcPr>
            <w:tcW w:w="1843" w:type="dxa"/>
            <w:shd w:val="clear" w:color="auto" w:fill="auto"/>
            <w:vAlign w:val="center"/>
          </w:tcPr>
          <w:p w14:paraId="1CEB5190" w14:textId="14E416ED"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2.4.5. Recuperación de costos</w:t>
            </w:r>
          </w:p>
        </w:tc>
        <w:tc>
          <w:tcPr>
            <w:tcW w:w="6379" w:type="dxa"/>
            <w:shd w:val="clear" w:color="auto" w:fill="auto"/>
            <w:vAlign w:val="center"/>
          </w:tcPr>
          <w:p w14:paraId="7019889D" w14:textId="3CB7E5C3"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En el Documento Metodológico se afirma que:</w:t>
            </w:r>
          </w:p>
          <w:p w14:paraId="1E9AF2D6" w14:textId="77777777" w:rsidR="008A7949" w:rsidRPr="00662097" w:rsidRDefault="008A7949" w:rsidP="0027149F">
            <w:pPr>
              <w:pStyle w:val="TableListBullet"/>
              <w:numPr>
                <w:ilvl w:val="0"/>
                <w:numId w:val="0"/>
              </w:numPr>
              <w:ind w:left="227"/>
              <w:rPr>
                <w:rFonts w:ascii="Arial" w:hAnsi="Arial" w:cs="Arial"/>
                <w:i/>
                <w:iCs/>
                <w:szCs w:val="14"/>
                <w:lang w:eastAsia="es-MX"/>
              </w:rPr>
            </w:pPr>
            <w:r w:rsidRPr="00662097">
              <w:rPr>
                <w:rFonts w:ascii="Arial" w:hAnsi="Arial" w:cs="Arial"/>
                <w:i/>
                <w:iCs/>
                <w:szCs w:val="14"/>
                <w:lang w:eastAsia="es-MX"/>
              </w:rPr>
              <w:t xml:space="preserve">“El modelo asegura la recuperación del costo eficiente para el acceso y los servicios básicos para el operador modelado. En particular, identifica los activos requeridos para proporcionar uno u otro servicio para definir la base de costos para el servicio, y </w:t>
            </w:r>
            <w:r w:rsidRPr="00662097">
              <w:rPr>
                <w:rFonts w:ascii="Arial" w:hAnsi="Arial" w:cs="Arial"/>
                <w:b/>
                <w:i/>
                <w:iCs/>
                <w:szCs w:val="14"/>
                <w:u w:val="single"/>
                <w:lang w:eastAsia="es-MX"/>
              </w:rPr>
              <w:t>no tendrá en cuenta los activos que se benefician de una financiación alternativa</w:t>
            </w:r>
            <w:r w:rsidRPr="00662097">
              <w:rPr>
                <w:rFonts w:ascii="Arial" w:hAnsi="Arial" w:cs="Arial"/>
                <w:i/>
                <w:iCs/>
                <w:szCs w:val="14"/>
                <w:lang w:eastAsia="es-MX"/>
              </w:rPr>
              <w:t>, como por ejemplo la ayuda estatal y los pagos del cliente final.”</w:t>
            </w:r>
          </w:p>
          <w:p w14:paraId="11F8036B" w14:textId="166E1BA1"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Sin embargo, gran parte de los elementos de infraestructura que se utilizan para los servicios mayoristas de desagregación y compartición de infraestructura también son utilizados por otros servicios mayorista como los de interconexión y enlaces. No parece que en el Modelo Integral se identifique que los costos del AEP se amorticen entre todos estos servicios, pudiendo darse un doble pago por un mismo elemento o equipo de red.</w:t>
            </w:r>
          </w:p>
        </w:tc>
        <w:tc>
          <w:tcPr>
            <w:tcW w:w="4536" w:type="dxa"/>
          </w:tcPr>
          <w:p w14:paraId="18D3E348" w14:textId="0708A892" w:rsidR="0027149F" w:rsidRPr="00662097" w:rsidRDefault="0027149F" w:rsidP="0027149F">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Con el objetivo de reflejar la compartición que existe entre la infraestructura de las redes de acceso (relevantes </w:t>
            </w:r>
            <w:r w:rsidR="003E17AA" w:rsidRPr="00662097">
              <w:rPr>
                <w:rFonts w:ascii="Arial" w:eastAsia="Times New Roman" w:hAnsi="Arial" w:cs="Arial"/>
                <w:color w:val="000000"/>
                <w:sz w:val="16"/>
                <w:szCs w:val="16"/>
                <w:lang w:eastAsia="es-MX"/>
              </w:rPr>
              <w:t xml:space="preserve">para </w:t>
            </w:r>
            <w:r w:rsidRPr="00662097">
              <w:rPr>
                <w:rFonts w:ascii="Arial" w:eastAsia="Times New Roman" w:hAnsi="Arial" w:cs="Arial"/>
                <w:color w:val="000000"/>
                <w:sz w:val="16"/>
                <w:szCs w:val="16"/>
                <w:lang w:eastAsia="es-MX"/>
              </w:rPr>
              <w:t xml:space="preserve">el Modelo Integral) y las redes </w:t>
            </w:r>
            <w:proofErr w:type="spellStart"/>
            <w:r w:rsidRPr="00662097">
              <w:rPr>
                <w:rFonts w:ascii="Arial" w:eastAsia="Times New Roman" w:hAnsi="Arial" w:cs="Arial"/>
                <w:i/>
                <w:iCs/>
                <w:color w:val="000000"/>
                <w:sz w:val="16"/>
                <w:szCs w:val="16"/>
                <w:lang w:eastAsia="es-MX"/>
              </w:rPr>
              <w:t>core</w:t>
            </w:r>
            <w:proofErr w:type="spellEnd"/>
            <w:r w:rsidRPr="00662097">
              <w:rPr>
                <w:rFonts w:ascii="Arial" w:eastAsia="Times New Roman" w:hAnsi="Arial" w:cs="Arial"/>
                <w:color w:val="000000"/>
                <w:sz w:val="16"/>
                <w:szCs w:val="16"/>
                <w:lang w:eastAsia="es-MX"/>
              </w:rPr>
              <w:t xml:space="preserve"> (relevantes para el Modelo de Interconexión), el modelo incluye el parámetro “Tasa de compartición de activos - acceso con </w:t>
            </w:r>
            <w:proofErr w:type="spellStart"/>
            <w:r w:rsidRPr="00662097">
              <w:rPr>
                <w:rFonts w:ascii="Arial" w:eastAsia="Times New Roman" w:hAnsi="Arial" w:cs="Arial"/>
                <w:color w:val="000000"/>
                <w:sz w:val="16"/>
                <w:szCs w:val="16"/>
                <w:lang w:eastAsia="es-MX"/>
              </w:rPr>
              <w:t>core</w:t>
            </w:r>
            <w:proofErr w:type="spellEnd"/>
            <w:r w:rsidRPr="00662097">
              <w:rPr>
                <w:rFonts w:ascii="Arial" w:eastAsia="Times New Roman" w:hAnsi="Arial" w:cs="Arial"/>
                <w:color w:val="000000"/>
                <w:sz w:val="16"/>
                <w:szCs w:val="16"/>
                <w:lang w:eastAsia="es-MX"/>
              </w:rPr>
              <w:t xml:space="preserve">”, que puede ser identificado en la pestaña ‘Dashboard’ del mismo. </w:t>
            </w:r>
          </w:p>
          <w:p w14:paraId="67B6837B" w14:textId="77777777" w:rsidR="008A7949" w:rsidRPr="00662097" w:rsidRDefault="0027149F" w:rsidP="0027149F">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Dicha tasa es empleada posteriormente en la pestaña ‘</w:t>
            </w:r>
            <w:proofErr w:type="spellStart"/>
            <w:r w:rsidRPr="00662097">
              <w:rPr>
                <w:rFonts w:ascii="Arial" w:eastAsia="Times New Roman" w:hAnsi="Arial" w:cs="Arial"/>
                <w:color w:val="000000"/>
                <w:sz w:val="16"/>
                <w:szCs w:val="16"/>
                <w:lang w:eastAsia="es-MX"/>
              </w:rPr>
              <w:t>Inventory</w:t>
            </w:r>
            <w:proofErr w:type="spellEnd"/>
            <w:r w:rsidRPr="00662097">
              <w:rPr>
                <w:rFonts w:ascii="Arial" w:eastAsia="Times New Roman" w:hAnsi="Arial" w:cs="Arial"/>
                <w:color w:val="000000"/>
                <w:sz w:val="16"/>
                <w:szCs w:val="16"/>
                <w:lang w:eastAsia="es-MX"/>
              </w:rPr>
              <w:t>’ para realizar un ajuste sobre los activos modelados que tiene</w:t>
            </w:r>
            <w:r w:rsidR="003E17AA" w:rsidRPr="00662097">
              <w:rPr>
                <w:rFonts w:ascii="Arial" w:eastAsia="Times New Roman" w:hAnsi="Arial" w:cs="Arial"/>
                <w:color w:val="000000"/>
                <w:sz w:val="16"/>
                <w:szCs w:val="16"/>
                <w:lang w:eastAsia="es-MX"/>
              </w:rPr>
              <w:t>n</w:t>
            </w:r>
            <w:r w:rsidRPr="00662097">
              <w:rPr>
                <w:rFonts w:ascii="Arial" w:eastAsia="Times New Roman" w:hAnsi="Arial" w:cs="Arial"/>
                <w:color w:val="000000"/>
                <w:sz w:val="16"/>
                <w:szCs w:val="16"/>
                <w:lang w:eastAsia="es-MX"/>
              </w:rPr>
              <w:t xml:space="preserve"> en consideración dicho porcentaje de compartición, evitando así que pueda darse un doble pago, según lo señalado por Mega Cable.</w:t>
            </w:r>
          </w:p>
          <w:p w14:paraId="560DDA35" w14:textId="6E725A6C" w:rsidR="008E4AD0" w:rsidRPr="00662097" w:rsidRDefault="008E4AD0" w:rsidP="0027149F">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 xml:space="preserve">Ahora bien, se destaca que el objeto del Modelo Integral es la modelación de servicios mayoristas que utilizan la red de acceso. De forma que se reconozcan los costos estrictamente relacionados con los mismos.  </w:t>
            </w:r>
          </w:p>
        </w:tc>
      </w:tr>
      <w:tr w:rsidR="008A7949" w:rsidRPr="00662097" w14:paraId="7A3C7517" w14:textId="77777777" w:rsidTr="008F664E">
        <w:trPr>
          <w:trHeight w:val="20"/>
        </w:trPr>
        <w:tc>
          <w:tcPr>
            <w:tcW w:w="1271" w:type="dxa"/>
            <w:vAlign w:val="center"/>
          </w:tcPr>
          <w:p w14:paraId="061C4B4F" w14:textId="64E1CC5A"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CANIETI</w:t>
            </w:r>
          </w:p>
        </w:tc>
        <w:tc>
          <w:tcPr>
            <w:tcW w:w="1843" w:type="dxa"/>
            <w:shd w:val="clear" w:color="auto" w:fill="auto"/>
            <w:vAlign w:val="center"/>
          </w:tcPr>
          <w:p w14:paraId="0681BEB0" w14:textId="4D218AF8"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2.4.5. Recuperación de costos</w:t>
            </w:r>
          </w:p>
        </w:tc>
        <w:tc>
          <w:tcPr>
            <w:tcW w:w="6379" w:type="dxa"/>
            <w:shd w:val="clear" w:color="auto" w:fill="auto"/>
            <w:vAlign w:val="center"/>
          </w:tcPr>
          <w:p w14:paraId="6C0A4AAE" w14:textId="77777777"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En el Documento Metodológico se afirma que:</w:t>
            </w:r>
          </w:p>
          <w:p w14:paraId="61DFF4BD" w14:textId="77777777" w:rsidR="008A7949" w:rsidRPr="00662097" w:rsidRDefault="008A7949" w:rsidP="0027149F">
            <w:pPr>
              <w:pStyle w:val="TableListBullet"/>
              <w:numPr>
                <w:ilvl w:val="0"/>
                <w:numId w:val="0"/>
              </w:numPr>
              <w:spacing w:before="120" w:after="120"/>
              <w:ind w:left="227"/>
              <w:rPr>
                <w:rFonts w:ascii="Arial" w:hAnsi="Arial" w:cs="Arial"/>
                <w:i/>
                <w:iCs/>
                <w:lang w:eastAsia="es-MX"/>
              </w:rPr>
            </w:pPr>
            <w:r w:rsidRPr="00662097">
              <w:rPr>
                <w:rFonts w:ascii="Arial" w:hAnsi="Arial" w:cs="Arial"/>
                <w:i/>
                <w:iCs/>
                <w:lang w:eastAsia="es-MX"/>
              </w:rPr>
              <w:t>“El modelo asegura la recuperación del costo eficiente para el acceso y los servicios básicos para el operador modelado. En particular, identifica los activos requeridos para proporcionar uno u otro servicio para definir la base de costos para el servicio, y no tendrá en cuenta los activos que se benefician de una financiación alternativa, como por ejemplo la ayuda estatal y los pagos del cliente final.”</w:t>
            </w:r>
          </w:p>
          <w:p w14:paraId="3A7D2720" w14:textId="67BCD67E"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Sin embargo, gran parte de los elementos de infraestructura que se utilizan para los servicios mayoristas de desagregación y compartición de infraestructura, también son utilizados por otros servicios mayorista como los de interconexión y enlaces. No parece que en el Modelo Integral se identifique que los costos del AEPT se amorticen entre todos estos servicios, pudiendo darse un doble pago por un mismo elemento o equipo de red.</w:t>
            </w:r>
          </w:p>
        </w:tc>
        <w:tc>
          <w:tcPr>
            <w:tcW w:w="4536" w:type="dxa"/>
          </w:tcPr>
          <w:p w14:paraId="6E52D183" w14:textId="64466685" w:rsidR="008A7949" w:rsidRPr="00662097" w:rsidRDefault="00D56BC8"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Ver respuesta al comentario anterior.</w:t>
            </w:r>
          </w:p>
        </w:tc>
      </w:tr>
      <w:tr w:rsidR="008A7949" w:rsidRPr="00662097" w14:paraId="269BA5FF" w14:textId="0E9E2C79" w:rsidTr="008F664E">
        <w:trPr>
          <w:trHeight w:val="20"/>
        </w:trPr>
        <w:tc>
          <w:tcPr>
            <w:tcW w:w="1271" w:type="dxa"/>
            <w:vAlign w:val="center"/>
          </w:tcPr>
          <w:p w14:paraId="56E6B255" w14:textId="13A3AA87"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Mega Cable</w:t>
            </w:r>
          </w:p>
        </w:tc>
        <w:tc>
          <w:tcPr>
            <w:tcW w:w="1843" w:type="dxa"/>
            <w:shd w:val="clear" w:color="auto" w:fill="auto"/>
            <w:vAlign w:val="center"/>
          </w:tcPr>
          <w:p w14:paraId="2CBF9F5B" w14:textId="77C18A61" w:rsidR="008A7949" w:rsidRPr="00662097" w:rsidRDefault="008A7949" w:rsidP="008A7949">
            <w:pPr>
              <w:spacing w:after="0" w:line="240" w:lineRule="auto"/>
              <w:jc w:val="center"/>
              <w:rPr>
                <w:rFonts w:ascii="Arial" w:eastAsia="Times New Roman" w:hAnsi="Arial" w:cs="Arial"/>
                <w:color w:val="000000"/>
                <w:sz w:val="16"/>
                <w:szCs w:val="16"/>
                <w:highlight w:val="cyan"/>
                <w:lang w:eastAsia="es-MX"/>
              </w:rPr>
            </w:pPr>
            <w:r w:rsidRPr="00662097">
              <w:rPr>
                <w:rFonts w:ascii="Arial" w:eastAsia="Times New Roman" w:hAnsi="Arial" w:cs="Arial"/>
                <w:color w:val="000000"/>
                <w:sz w:val="16"/>
                <w:szCs w:val="16"/>
                <w:lang w:eastAsia="es-MX"/>
              </w:rPr>
              <w:t>3.3 Costos unitarios</w:t>
            </w:r>
          </w:p>
        </w:tc>
        <w:tc>
          <w:tcPr>
            <w:tcW w:w="6379" w:type="dxa"/>
            <w:shd w:val="clear" w:color="auto" w:fill="auto"/>
            <w:vAlign w:val="center"/>
          </w:tcPr>
          <w:p w14:paraId="4E513F99" w14:textId="77777777" w:rsidR="008A7949" w:rsidRPr="00662097" w:rsidRDefault="008A7949" w:rsidP="008A7949">
            <w:pPr>
              <w:spacing w:before="120" w:after="120" w:line="240" w:lineRule="auto"/>
              <w:rPr>
                <w:rFonts w:ascii="Arial" w:hAnsi="Arial" w:cs="Arial"/>
                <w:sz w:val="16"/>
                <w:szCs w:val="16"/>
                <w:lang w:val="es-ES_tradnl"/>
              </w:rPr>
            </w:pPr>
            <w:r w:rsidRPr="00662097">
              <w:rPr>
                <w:rFonts w:ascii="Arial" w:hAnsi="Arial" w:cs="Arial"/>
                <w:sz w:val="16"/>
                <w:szCs w:val="16"/>
                <w:lang w:val="es-ES_tradnl"/>
              </w:rPr>
              <w:t>Tal como ocurrió en los modelos de la red de acceso anteriores (2018 y 2021), en el Modelo Integral se utilizan los costos unitarios reportados por el propio AEP, lejos que reflejen los valores de mercado. Esto se verifica en el propio Modelo Integral, en la columna “Z” de la hoja “</w:t>
            </w:r>
            <w:proofErr w:type="spellStart"/>
            <w:r w:rsidRPr="00662097">
              <w:rPr>
                <w:rFonts w:ascii="Arial" w:hAnsi="Arial" w:cs="Arial"/>
                <w:sz w:val="16"/>
                <w:szCs w:val="16"/>
                <w:lang w:val="es-ES_tradnl"/>
              </w:rPr>
              <w:t>Unit</w:t>
            </w:r>
            <w:proofErr w:type="spellEnd"/>
            <w:r w:rsidRPr="00662097">
              <w:rPr>
                <w:rFonts w:ascii="Arial" w:hAnsi="Arial" w:cs="Arial"/>
                <w:sz w:val="16"/>
                <w:szCs w:val="16"/>
                <w:lang w:val="es-ES_tradnl"/>
              </w:rPr>
              <w:t xml:space="preserve"> </w:t>
            </w:r>
            <w:proofErr w:type="spellStart"/>
            <w:r w:rsidRPr="00662097">
              <w:rPr>
                <w:rFonts w:ascii="Arial" w:hAnsi="Arial" w:cs="Arial"/>
                <w:sz w:val="16"/>
                <w:szCs w:val="16"/>
                <w:lang w:val="es-ES_tradnl"/>
              </w:rPr>
              <w:t>Costs</w:t>
            </w:r>
            <w:proofErr w:type="spellEnd"/>
            <w:r w:rsidRPr="00662097">
              <w:rPr>
                <w:rFonts w:ascii="Arial" w:hAnsi="Arial" w:cs="Arial"/>
                <w:sz w:val="16"/>
                <w:szCs w:val="16"/>
                <w:lang w:val="es-ES_tradnl"/>
              </w:rPr>
              <w:t xml:space="preserve"> </w:t>
            </w:r>
            <w:proofErr w:type="spellStart"/>
            <w:r w:rsidRPr="00662097">
              <w:rPr>
                <w:rFonts w:ascii="Arial" w:hAnsi="Arial" w:cs="Arial"/>
                <w:sz w:val="16"/>
                <w:szCs w:val="16"/>
                <w:lang w:val="es-ES_tradnl"/>
              </w:rPr>
              <w:t>of</w:t>
            </w:r>
            <w:proofErr w:type="spellEnd"/>
            <w:r w:rsidRPr="00662097">
              <w:rPr>
                <w:rFonts w:ascii="Arial" w:hAnsi="Arial" w:cs="Arial"/>
                <w:sz w:val="16"/>
                <w:szCs w:val="16"/>
                <w:lang w:val="es-ES_tradnl"/>
              </w:rPr>
              <w:t xml:space="preserve"> </w:t>
            </w:r>
            <w:proofErr w:type="spellStart"/>
            <w:r w:rsidRPr="00662097">
              <w:rPr>
                <w:rFonts w:ascii="Arial" w:hAnsi="Arial" w:cs="Arial"/>
                <w:sz w:val="16"/>
                <w:szCs w:val="16"/>
                <w:lang w:val="es-ES_tradnl"/>
              </w:rPr>
              <w:t>Assets</w:t>
            </w:r>
            <w:proofErr w:type="spellEnd"/>
            <w:r w:rsidRPr="00662097">
              <w:rPr>
                <w:rFonts w:ascii="Arial" w:hAnsi="Arial" w:cs="Arial"/>
                <w:sz w:val="16"/>
                <w:szCs w:val="16"/>
                <w:lang w:val="es-ES_tradnl"/>
              </w:rPr>
              <w:t xml:space="preserve">” en la cual se indica en todos los casos la fuente es: “Red Nacional”. </w:t>
            </w:r>
          </w:p>
          <w:p w14:paraId="1E01ACBF" w14:textId="77777777" w:rsidR="008A7949" w:rsidRPr="00662097" w:rsidRDefault="008A7949" w:rsidP="008A7949">
            <w:pPr>
              <w:spacing w:before="120" w:after="120" w:line="240" w:lineRule="auto"/>
              <w:rPr>
                <w:rFonts w:ascii="Arial" w:hAnsi="Arial" w:cs="Arial"/>
                <w:sz w:val="16"/>
                <w:szCs w:val="16"/>
                <w:lang w:val="es-ES_tradnl"/>
              </w:rPr>
            </w:pPr>
            <w:r w:rsidRPr="00662097">
              <w:rPr>
                <w:rFonts w:ascii="Arial" w:hAnsi="Arial" w:cs="Arial"/>
                <w:sz w:val="16"/>
                <w:szCs w:val="16"/>
                <w:lang w:val="es-ES_tradnl"/>
              </w:rPr>
              <w:t xml:space="preserve">En el Documento Metodológico se justifica que con ello se refleja el poder de mercado por el lado de la compra que podría tener el AEP, lo cual tendría que reflejar costos de </w:t>
            </w:r>
            <w:r w:rsidRPr="00662097">
              <w:rPr>
                <w:rFonts w:ascii="Arial" w:hAnsi="Arial" w:cs="Arial"/>
                <w:sz w:val="16"/>
                <w:szCs w:val="16"/>
                <w:lang w:val="es-ES_tradnl"/>
              </w:rPr>
              <w:lastRenderedPageBreak/>
              <w:t xml:space="preserve">los insumos más bajos. Sin embargo, lejos de ese caso, varios de los datos de costos unitarios son inapropiados. Solamente por citar un ejemplo, el modelo de costos asume un costo de inversión en un “poste promedio” de $2,612 pesos, costo que resulta elevado. </w:t>
            </w:r>
          </w:p>
          <w:p w14:paraId="414CDEE6" w14:textId="77777777" w:rsidR="008A7949" w:rsidRPr="00662097" w:rsidRDefault="008A7949" w:rsidP="008A7949">
            <w:pPr>
              <w:spacing w:before="120" w:after="120" w:line="240" w:lineRule="auto"/>
              <w:rPr>
                <w:rFonts w:ascii="Arial" w:hAnsi="Arial" w:cs="Arial"/>
                <w:sz w:val="16"/>
                <w:szCs w:val="16"/>
                <w:lang w:val="es-ES_tradnl"/>
              </w:rPr>
            </w:pPr>
            <w:r w:rsidRPr="00662097">
              <w:rPr>
                <w:rFonts w:ascii="Arial" w:hAnsi="Arial" w:cs="Arial"/>
                <w:sz w:val="16"/>
                <w:szCs w:val="16"/>
                <w:lang w:val="es-ES_tradnl"/>
              </w:rPr>
              <w:t>La gran mayoría de los postes del AEP (la Red Nacional Última Milla) siguen siendo de madera, los cuales son más económicos que los de concreto. Como se observa, el costo de inversión en un poste utilizado en el modelo de costos no parece corresponder al más económico que un operador eficiente podría obtener en el mercado.</w:t>
            </w:r>
          </w:p>
          <w:p w14:paraId="3D0FEA48" w14:textId="77777777" w:rsidR="008A7949" w:rsidRPr="00662097" w:rsidRDefault="008A7949" w:rsidP="008A7949">
            <w:pPr>
              <w:spacing w:before="120" w:after="120" w:line="240" w:lineRule="auto"/>
              <w:rPr>
                <w:rFonts w:ascii="Arial" w:hAnsi="Arial" w:cs="Arial"/>
                <w:sz w:val="16"/>
                <w:szCs w:val="16"/>
                <w:lang w:val="es-ES_tradnl"/>
              </w:rPr>
            </w:pPr>
            <w:r w:rsidRPr="00662097">
              <w:rPr>
                <w:rFonts w:ascii="Arial" w:hAnsi="Arial" w:cs="Arial"/>
                <w:sz w:val="16"/>
                <w:szCs w:val="16"/>
                <w:lang w:val="es-ES_tradnl"/>
              </w:rPr>
              <w:t>Por lo tanto, se solicita recurrir a otras fuentes alternativas que garanticen la objetividad y neutralidad de la información o bien, realizar un ejercicio de auditoría que permita validar o en su caso, ajustar la información aportada por el AEP.</w:t>
            </w:r>
          </w:p>
        </w:tc>
        <w:tc>
          <w:tcPr>
            <w:tcW w:w="4536" w:type="dxa"/>
          </w:tcPr>
          <w:p w14:paraId="21EBE77E" w14:textId="77777777" w:rsidR="008A7949" w:rsidRPr="00662097" w:rsidRDefault="001C16B7" w:rsidP="001C16B7">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lastRenderedPageBreak/>
              <w:t xml:space="preserve">Tal y como se ha expresado previamente, </w:t>
            </w:r>
            <w:r w:rsidR="008221F1" w:rsidRPr="00662097">
              <w:rPr>
                <w:rFonts w:ascii="Arial" w:hAnsi="Arial" w:cs="Arial"/>
                <w:sz w:val="16"/>
                <w:szCs w:val="16"/>
                <w:lang w:eastAsia="es-MX"/>
              </w:rPr>
              <w:t>toda la información de CAPEX unitarios facilitada por parte del AEP ha sido revisada y comparada con datos de referencia internacionales para garantizar que la misma es apropiada y se encuentra alineada con valores de mercado.</w:t>
            </w:r>
            <w:r w:rsidR="00D1771F" w:rsidRPr="00662097">
              <w:rPr>
                <w:rFonts w:ascii="Arial" w:hAnsi="Arial" w:cs="Arial"/>
                <w:sz w:val="16"/>
                <w:szCs w:val="16"/>
                <w:lang w:eastAsia="es-MX"/>
              </w:rPr>
              <w:t xml:space="preserve"> </w:t>
            </w:r>
          </w:p>
          <w:p w14:paraId="651CD793" w14:textId="50318115" w:rsidR="008A7949" w:rsidRPr="00662097" w:rsidRDefault="00A02393" w:rsidP="001C16B7">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 xml:space="preserve">De cualquier forma, </w:t>
            </w:r>
            <w:r w:rsidR="006B112D">
              <w:rPr>
                <w:rFonts w:ascii="Arial" w:hAnsi="Arial" w:cs="Arial"/>
                <w:sz w:val="16"/>
                <w:szCs w:val="16"/>
                <w:lang w:eastAsia="es-MX"/>
              </w:rPr>
              <w:t>la UPR</w:t>
            </w:r>
            <w:r w:rsidRPr="00662097">
              <w:rPr>
                <w:rFonts w:ascii="Arial" w:hAnsi="Arial" w:cs="Arial"/>
                <w:sz w:val="16"/>
                <w:szCs w:val="16"/>
                <w:lang w:eastAsia="es-MX"/>
              </w:rPr>
              <w:t xml:space="preserve"> hará una evaluación </w:t>
            </w:r>
            <w:r w:rsidR="00CE0CCD" w:rsidRPr="00662097">
              <w:rPr>
                <w:rFonts w:ascii="Arial" w:hAnsi="Arial" w:cs="Arial"/>
                <w:sz w:val="16"/>
                <w:szCs w:val="16"/>
                <w:lang w:eastAsia="es-MX"/>
              </w:rPr>
              <w:t>d</w:t>
            </w:r>
            <w:r w:rsidRPr="00662097">
              <w:rPr>
                <w:rFonts w:ascii="Arial" w:hAnsi="Arial" w:cs="Arial"/>
                <w:sz w:val="16"/>
                <w:szCs w:val="16"/>
                <w:lang w:eastAsia="es-MX"/>
              </w:rPr>
              <w:t xml:space="preserve">el costo de los activos que permita considerar los comentarios recibidos a </w:t>
            </w:r>
            <w:r w:rsidRPr="00662097">
              <w:rPr>
                <w:rFonts w:ascii="Arial" w:hAnsi="Arial" w:cs="Arial"/>
                <w:sz w:val="16"/>
                <w:szCs w:val="16"/>
                <w:lang w:eastAsia="es-MX"/>
              </w:rPr>
              <w:lastRenderedPageBreak/>
              <w:t xml:space="preserve">efecto de reflejar costos unitarios que reflejan un valor de reposición acorde </w:t>
            </w:r>
            <w:r w:rsidR="00990240" w:rsidRPr="00662097">
              <w:rPr>
                <w:rFonts w:ascii="Arial" w:hAnsi="Arial" w:cs="Arial"/>
                <w:sz w:val="16"/>
                <w:szCs w:val="16"/>
                <w:lang w:eastAsia="es-MX"/>
              </w:rPr>
              <w:t>con los</w:t>
            </w:r>
            <w:r w:rsidR="00990240" w:rsidRPr="00662097">
              <w:rPr>
                <w:rFonts w:ascii="Arial" w:hAnsi="Arial" w:cs="Arial"/>
                <w:sz w:val="16"/>
                <w:szCs w:val="16"/>
                <w:lang w:val="es-ES_tradnl"/>
              </w:rPr>
              <w:t xml:space="preserve"> costos de los insumos más bajos</w:t>
            </w:r>
            <w:r w:rsidR="00990240" w:rsidRPr="00662097">
              <w:rPr>
                <w:rFonts w:ascii="Arial" w:hAnsi="Arial" w:cs="Arial"/>
                <w:sz w:val="16"/>
                <w:szCs w:val="16"/>
                <w:lang w:eastAsia="es-MX"/>
              </w:rPr>
              <w:t xml:space="preserve"> y </w:t>
            </w:r>
            <w:r w:rsidRPr="00662097">
              <w:rPr>
                <w:rFonts w:ascii="Arial" w:hAnsi="Arial" w:cs="Arial"/>
                <w:sz w:val="16"/>
                <w:szCs w:val="16"/>
                <w:lang w:eastAsia="es-MX"/>
              </w:rPr>
              <w:t>a la evolución de los precios y el progreso tecnológico.</w:t>
            </w:r>
          </w:p>
        </w:tc>
      </w:tr>
      <w:tr w:rsidR="008A7949" w:rsidRPr="00662097" w14:paraId="53165BA6" w14:textId="344ABB65" w:rsidTr="008F664E">
        <w:trPr>
          <w:trHeight w:val="20"/>
        </w:trPr>
        <w:tc>
          <w:tcPr>
            <w:tcW w:w="1271" w:type="dxa"/>
            <w:vAlign w:val="center"/>
          </w:tcPr>
          <w:p w14:paraId="056032D9" w14:textId="4ECC312B" w:rsidR="008A7949" w:rsidRPr="00662097" w:rsidRDefault="008A7949" w:rsidP="008A7949">
            <w:pPr>
              <w:spacing w:after="0" w:line="240" w:lineRule="auto"/>
              <w:jc w:val="center"/>
              <w:rPr>
                <w:rFonts w:ascii="Arial" w:eastAsia="Times New Roman" w:hAnsi="Arial" w:cs="Arial"/>
                <w:b/>
                <w:color w:val="000000"/>
                <w:sz w:val="16"/>
                <w:szCs w:val="16"/>
                <w:lang w:eastAsia="es-MX"/>
              </w:rPr>
            </w:pPr>
            <w:r w:rsidRPr="00662097">
              <w:rPr>
                <w:rFonts w:ascii="Arial" w:eastAsia="Times New Roman" w:hAnsi="Arial" w:cs="Arial"/>
                <w:color w:val="000000"/>
                <w:sz w:val="16"/>
                <w:szCs w:val="16"/>
                <w:lang w:eastAsia="es-MX"/>
              </w:rPr>
              <w:lastRenderedPageBreak/>
              <w:t>Mega Cable</w:t>
            </w:r>
          </w:p>
        </w:tc>
        <w:tc>
          <w:tcPr>
            <w:tcW w:w="1843" w:type="dxa"/>
            <w:shd w:val="clear" w:color="auto" w:fill="auto"/>
            <w:vAlign w:val="center"/>
          </w:tcPr>
          <w:p w14:paraId="3C3BF94F" w14:textId="76751980" w:rsidR="008A7949" w:rsidRPr="00662097" w:rsidRDefault="008A7949" w:rsidP="008A7949">
            <w:pPr>
              <w:spacing w:before="0" w:after="0" w:line="240" w:lineRule="auto"/>
              <w:jc w:val="center"/>
              <w:rPr>
                <w:rFonts w:ascii="Arial" w:eastAsia="Times New Roman" w:hAnsi="Arial" w:cs="Arial"/>
                <w:bCs/>
                <w:color w:val="000000"/>
                <w:sz w:val="16"/>
                <w:szCs w:val="16"/>
                <w:lang w:eastAsia="es-MX"/>
              </w:rPr>
            </w:pPr>
            <w:r w:rsidRPr="00662097">
              <w:rPr>
                <w:rFonts w:ascii="Arial" w:eastAsia="Times New Roman" w:hAnsi="Arial" w:cs="Arial"/>
                <w:bCs/>
                <w:color w:val="000000"/>
                <w:sz w:val="16"/>
                <w:szCs w:val="16"/>
                <w:lang w:eastAsia="es-MX"/>
              </w:rPr>
              <w:t>Modelo Integral - Hoja</w:t>
            </w:r>
          </w:p>
          <w:p w14:paraId="63D82516" w14:textId="77777777" w:rsidR="008A7949" w:rsidRPr="00662097" w:rsidRDefault="008A7949" w:rsidP="008A7949">
            <w:pPr>
              <w:spacing w:before="0" w:after="0" w:line="240" w:lineRule="auto"/>
              <w:jc w:val="center"/>
              <w:rPr>
                <w:rFonts w:ascii="Arial" w:eastAsia="Times New Roman" w:hAnsi="Arial" w:cs="Arial"/>
                <w:bCs/>
                <w:color w:val="000000"/>
                <w:sz w:val="16"/>
                <w:szCs w:val="16"/>
                <w:lang w:eastAsia="es-MX"/>
              </w:rPr>
            </w:pPr>
            <w:r w:rsidRPr="00662097">
              <w:rPr>
                <w:rFonts w:ascii="Arial" w:eastAsia="Times New Roman" w:hAnsi="Arial" w:cs="Arial"/>
                <w:bCs/>
                <w:color w:val="000000"/>
                <w:sz w:val="16"/>
                <w:szCs w:val="16"/>
                <w:lang w:eastAsia="es-MX"/>
              </w:rPr>
              <w:t>“P de los Servicios”</w:t>
            </w:r>
          </w:p>
        </w:tc>
        <w:tc>
          <w:tcPr>
            <w:tcW w:w="6379" w:type="dxa"/>
            <w:shd w:val="clear" w:color="auto" w:fill="auto"/>
            <w:vAlign w:val="center"/>
          </w:tcPr>
          <w:p w14:paraId="7613B194" w14:textId="77777777" w:rsidR="008A7949" w:rsidRPr="00662097" w:rsidRDefault="008A7949" w:rsidP="008A7949">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Al analizar los precios de los servicios resultantes del Modelo Integral, que se comparan en la hoja “P de los Servicios”, resulta preocupante que gran parte de los valores de los servicios mayoristas de compartición de infraestructura y de acceso desagregado en la red de cobre resultan superiores con relación a los de la columna a la derecha (columna “H”) que con el título “viejo modelo” se supone presenta los valores que se obtenían con el modelo anterior “Modelo de Red de Acceso 2021”. </w:t>
            </w:r>
          </w:p>
          <w:p w14:paraId="6C906CE1" w14:textId="77777777" w:rsidR="008A7949" w:rsidRPr="00662097" w:rsidRDefault="008A7949" w:rsidP="008A7949">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Por citar solo algunos ejemplos, los precios de los ductos, pozos y renta de fibra obscura presentan </w:t>
            </w:r>
            <w:r w:rsidRPr="00662097">
              <w:rPr>
                <w:rFonts w:ascii="Arial" w:eastAsia="Times New Roman" w:hAnsi="Arial" w:cs="Arial"/>
                <w:b/>
                <w:color w:val="000000"/>
                <w:sz w:val="16"/>
                <w:szCs w:val="16"/>
                <w:lang w:eastAsia="es-MX"/>
              </w:rPr>
              <w:t>incrementos sustanciales</w:t>
            </w:r>
            <w:r w:rsidRPr="00662097">
              <w:rPr>
                <w:rFonts w:ascii="Arial" w:eastAsia="Times New Roman" w:hAnsi="Arial" w:cs="Arial"/>
                <w:color w:val="000000"/>
                <w:sz w:val="16"/>
                <w:szCs w:val="16"/>
                <w:lang w:eastAsia="es-MX"/>
              </w:rPr>
              <w:t xml:space="preserve">. La desagregación virtual del bucle local (tanto FTTH, como FTTC), también presenta un </w:t>
            </w:r>
            <w:r w:rsidRPr="00662097">
              <w:rPr>
                <w:rFonts w:ascii="Arial" w:eastAsia="Times New Roman" w:hAnsi="Arial" w:cs="Arial"/>
                <w:b/>
                <w:color w:val="000000"/>
                <w:sz w:val="16"/>
                <w:szCs w:val="16"/>
                <w:lang w:eastAsia="es-MX"/>
              </w:rPr>
              <w:t>incremento considerable</w:t>
            </w:r>
            <w:r w:rsidRPr="00662097">
              <w:rPr>
                <w:rFonts w:ascii="Arial" w:eastAsia="Times New Roman" w:hAnsi="Arial" w:cs="Arial"/>
                <w:color w:val="000000"/>
                <w:sz w:val="16"/>
                <w:szCs w:val="16"/>
                <w:lang w:eastAsia="es-MX"/>
              </w:rPr>
              <w:t>.</w:t>
            </w:r>
          </w:p>
          <w:p w14:paraId="7BADE627" w14:textId="77777777" w:rsidR="008A7949" w:rsidRPr="00662097" w:rsidRDefault="008A7949" w:rsidP="008A7949">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Lo anterior implica que los cambios y actualizaciones del Modelo Integral que se señalan en esta consulta harán aún más onerosos la mayor parte de los servicios mayoristas del AEP, esto cuando es un hecho notorio que con los precios vigentes de los servicios de la OREDA y la ORCI, la demanda por los mismos ha sido de por sí, muy reducida, sin que sean un factor que promueva la competencia efectiva en el sector, como sí ha ocurrido en otros países. </w:t>
            </w:r>
          </w:p>
          <w:p w14:paraId="59634E18" w14:textId="77777777" w:rsidR="008A7949" w:rsidRPr="00662097" w:rsidRDefault="008A7949" w:rsidP="008A7949">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Además, los incrementos señalados en tarifas mayoristas aunados a la tendencia a la baja de los precios de telecomunicaciones al usuario final, según reportan el propio IFT e INEGI, se traduce en mayor dificultad para que exista replicabilidad económica y puede facilitar al AEP prácticas de estrechamiento de márgenes (</w:t>
            </w:r>
            <w:proofErr w:type="spellStart"/>
            <w:r w:rsidRPr="00662097">
              <w:rPr>
                <w:rFonts w:ascii="Arial" w:eastAsia="Times New Roman" w:hAnsi="Arial" w:cs="Arial"/>
                <w:color w:val="000000"/>
                <w:sz w:val="16"/>
                <w:szCs w:val="16"/>
                <w:lang w:eastAsia="es-MX"/>
              </w:rPr>
              <w:t>price</w:t>
            </w:r>
            <w:proofErr w:type="spellEnd"/>
            <w:r w:rsidRPr="00662097">
              <w:rPr>
                <w:rFonts w:ascii="Arial" w:eastAsia="Times New Roman" w:hAnsi="Arial" w:cs="Arial"/>
                <w:color w:val="000000"/>
                <w:sz w:val="16"/>
                <w:szCs w:val="16"/>
                <w:lang w:eastAsia="es-MX"/>
              </w:rPr>
              <w:t xml:space="preserve"> </w:t>
            </w:r>
            <w:proofErr w:type="spellStart"/>
            <w:r w:rsidRPr="00662097">
              <w:rPr>
                <w:rFonts w:ascii="Arial" w:eastAsia="Times New Roman" w:hAnsi="Arial" w:cs="Arial"/>
                <w:color w:val="000000"/>
                <w:sz w:val="16"/>
                <w:szCs w:val="16"/>
                <w:lang w:eastAsia="es-MX"/>
              </w:rPr>
              <w:t>squeeze</w:t>
            </w:r>
            <w:proofErr w:type="spellEnd"/>
            <w:r w:rsidRPr="00662097">
              <w:rPr>
                <w:rFonts w:ascii="Arial" w:eastAsia="Times New Roman" w:hAnsi="Arial" w:cs="Arial"/>
                <w:color w:val="000000"/>
                <w:sz w:val="16"/>
                <w:szCs w:val="16"/>
                <w:lang w:eastAsia="es-MX"/>
              </w:rPr>
              <w:t xml:space="preserve">). </w:t>
            </w:r>
          </w:p>
          <w:p w14:paraId="1239EBC3" w14:textId="027FA06D" w:rsidR="008A7949" w:rsidRPr="00662097" w:rsidRDefault="008A7949" w:rsidP="008A7949">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Se solicita revisar los supuestos y parámetros utilizados y actualizados en el Modelo Integral y priorizar modelar un verdadero operador eficiente y en menor grado datos directos de la operación del AEP, ya que parece privilegiarse que el AEP recupere sus costos operativos actuales (por más que dicha operación sea ineficiente) en lugar de generar las señales e incentivos adecuados para impulsar la competencia y el uso eficiente de la infraestructura de dicho agente económico.</w:t>
            </w:r>
          </w:p>
        </w:tc>
        <w:tc>
          <w:tcPr>
            <w:tcW w:w="4536" w:type="dxa"/>
          </w:tcPr>
          <w:p w14:paraId="130C8CFF" w14:textId="2F218BAC" w:rsidR="008A7949" w:rsidRPr="00662097" w:rsidRDefault="006B112D" w:rsidP="009C7CB9">
            <w:pPr>
              <w:spacing w:before="120" w:after="12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La UPR</w:t>
            </w:r>
            <w:r w:rsidR="009C7CB9" w:rsidRPr="00662097">
              <w:rPr>
                <w:rFonts w:ascii="Arial" w:eastAsia="Times New Roman" w:hAnsi="Arial" w:cs="Arial"/>
                <w:color w:val="000000"/>
                <w:sz w:val="16"/>
                <w:szCs w:val="16"/>
                <w:lang w:eastAsia="es-MX"/>
              </w:rPr>
              <w:t xml:space="preserve"> es consciente de las evoluciones que han presentado </w:t>
            </w:r>
            <w:r w:rsidR="002C6B2E" w:rsidRPr="00662097">
              <w:rPr>
                <w:rFonts w:ascii="Arial" w:eastAsia="Times New Roman" w:hAnsi="Arial" w:cs="Arial"/>
                <w:color w:val="000000"/>
                <w:sz w:val="16"/>
                <w:szCs w:val="16"/>
                <w:lang w:eastAsia="es-MX"/>
              </w:rPr>
              <w:t xml:space="preserve">los </w:t>
            </w:r>
            <w:r w:rsidR="00F81B9F" w:rsidRPr="00662097">
              <w:rPr>
                <w:rFonts w:ascii="Arial" w:eastAsia="Times New Roman" w:hAnsi="Arial" w:cs="Arial"/>
                <w:color w:val="000000"/>
                <w:sz w:val="16"/>
                <w:szCs w:val="16"/>
                <w:lang w:eastAsia="es-MX"/>
              </w:rPr>
              <w:t xml:space="preserve">costos unitarios </w:t>
            </w:r>
            <w:r w:rsidR="002C6B2E" w:rsidRPr="00662097">
              <w:rPr>
                <w:rFonts w:ascii="Arial" w:eastAsia="Times New Roman" w:hAnsi="Arial" w:cs="Arial"/>
                <w:color w:val="000000"/>
                <w:sz w:val="16"/>
                <w:szCs w:val="16"/>
                <w:lang w:eastAsia="es-MX"/>
              </w:rPr>
              <w:t xml:space="preserve">de los servicios a raíz de la actualización y de los ajustes introducidos en la última versión </w:t>
            </w:r>
            <w:r w:rsidR="00D03180" w:rsidRPr="00662097">
              <w:rPr>
                <w:rFonts w:ascii="Arial" w:eastAsia="Times New Roman" w:hAnsi="Arial" w:cs="Arial"/>
                <w:color w:val="000000"/>
                <w:sz w:val="16"/>
                <w:szCs w:val="16"/>
                <w:lang w:eastAsia="es-MX"/>
              </w:rPr>
              <w:t xml:space="preserve">del Modelo Integral </w:t>
            </w:r>
            <w:r w:rsidR="002C6B2E" w:rsidRPr="00662097">
              <w:rPr>
                <w:rFonts w:ascii="Arial" w:eastAsia="Times New Roman" w:hAnsi="Arial" w:cs="Arial"/>
                <w:color w:val="000000"/>
                <w:sz w:val="16"/>
                <w:szCs w:val="16"/>
                <w:lang w:eastAsia="es-MX"/>
              </w:rPr>
              <w:t>sometida a consulta pública.</w:t>
            </w:r>
          </w:p>
          <w:p w14:paraId="4218E68F" w14:textId="25484A0F" w:rsidR="00F81B9F" w:rsidRPr="00662097" w:rsidRDefault="00F81B9F" w:rsidP="00F81B9F">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No obstante, se considera que </w:t>
            </w:r>
            <w:r w:rsidR="00AD22A4" w:rsidRPr="00662097">
              <w:rPr>
                <w:rFonts w:ascii="Arial" w:eastAsia="Times New Roman" w:hAnsi="Arial" w:cs="Arial"/>
                <w:color w:val="000000"/>
                <w:sz w:val="16"/>
                <w:szCs w:val="16"/>
                <w:lang w:eastAsia="es-MX"/>
              </w:rPr>
              <w:t xml:space="preserve">la </w:t>
            </w:r>
            <w:r w:rsidRPr="00662097">
              <w:rPr>
                <w:rFonts w:ascii="Arial" w:eastAsia="Times New Roman" w:hAnsi="Arial" w:cs="Arial"/>
                <w:color w:val="000000"/>
                <w:sz w:val="16"/>
                <w:szCs w:val="16"/>
                <w:lang w:eastAsia="es-MX"/>
              </w:rPr>
              <w:t xml:space="preserve">nueva versión </w:t>
            </w:r>
            <w:r w:rsidR="00AD22A4" w:rsidRPr="00662097">
              <w:rPr>
                <w:rFonts w:ascii="Arial" w:eastAsia="Times New Roman" w:hAnsi="Arial" w:cs="Arial"/>
                <w:color w:val="000000"/>
                <w:sz w:val="16"/>
                <w:szCs w:val="16"/>
                <w:lang w:eastAsia="es-MX"/>
              </w:rPr>
              <w:t xml:space="preserve">del Modelo </w:t>
            </w:r>
            <w:r w:rsidR="00055907" w:rsidRPr="00662097">
              <w:rPr>
                <w:rFonts w:ascii="Arial" w:eastAsia="Times New Roman" w:hAnsi="Arial" w:cs="Arial"/>
                <w:color w:val="000000"/>
                <w:sz w:val="16"/>
                <w:szCs w:val="16"/>
                <w:lang w:eastAsia="es-MX"/>
              </w:rPr>
              <w:t xml:space="preserve">deberá </w:t>
            </w:r>
            <w:r w:rsidR="00A80786" w:rsidRPr="00662097">
              <w:rPr>
                <w:rFonts w:ascii="Arial" w:eastAsia="Times New Roman" w:hAnsi="Arial" w:cs="Arial"/>
                <w:color w:val="000000"/>
                <w:sz w:val="16"/>
                <w:szCs w:val="16"/>
                <w:lang w:eastAsia="es-MX"/>
              </w:rPr>
              <w:t>re</w:t>
            </w:r>
            <w:r w:rsidR="00A02393" w:rsidRPr="00662097">
              <w:rPr>
                <w:rFonts w:ascii="Arial" w:eastAsia="Times New Roman" w:hAnsi="Arial" w:cs="Arial"/>
                <w:color w:val="000000"/>
                <w:sz w:val="16"/>
                <w:szCs w:val="16"/>
                <w:lang w:eastAsia="es-MX"/>
              </w:rPr>
              <w:t>flejar</w:t>
            </w:r>
            <w:r w:rsidRPr="00662097">
              <w:rPr>
                <w:rFonts w:ascii="Arial" w:eastAsia="Times New Roman" w:hAnsi="Arial" w:cs="Arial"/>
                <w:color w:val="000000"/>
                <w:sz w:val="16"/>
                <w:szCs w:val="16"/>
                <w:lang w:eastAsia="es-MX"/>
              </w:rPr>
              <w:t xml:space="preserve"> la evolución del mercado de telecomunicaciones en los últimos años.</w:t>
            </w:r>
          </w:p>
          <w:p w14:paraId="14FDB396" w14:textId="139F49AE" w:rsidR="00A02393" w:rsidRPr="00662097" w:rsidRDefault="00CE0CCD" w:rsidP="00CE0CCD">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Por lo que</w:t>
            </w:r>
            <w:r w:rsidR="00A02393" w:rsidRPr="00662097">
              <w:rPr>
                <w:rFonts w:ascii="Arial" w:eastAsia="Times New Roman" w:hAnsi="Arial" w:cs="Arial"/>
                <w:color w:val="000000"/>
                <w:sz w:val="16"/>
                <w:szCs w:val="16"/>
                <w:lang w:eastAsia="es-MX"/>
              </w:rPr>
              <w:t xml:space="preserve"> se hará una revisión de precios, a efecto de tener </w:t>
            </w:r>
            <w:r w:rsidR="00A02393" w:rsidRPr="00662097">
              <w:rPr>
                <w:rFonts w:ascii="Arial" w:hAnsi="Arial" w:cs="Arial"/>
                <w:sz w:val="16"/>
                <w:szCs w:val="16"/>
                <w:lang w:eastAsia="es-MX"/>
              </w:rPr>
              <w:t xml:space="preserve">costos unitarios que reflejan un valor de reposición acorde </w:t>
            </w:r>
            <w:r w:rsidR="001B58AC" w:rsidRPr="00662097">
              <w:rPr>
                <w:rFonts w:ascii="Arial" w:hAnsi="Arial" w:cs="Arial"/>
                <w:sz w:val="16"/>
                <w:szCs w:val="16"/>
                <w:lang w:eastAsia="es-MX"/>
              </w:rPr>
              <w:t>con</w:t>
            </w:r>
            <w:r w:rsidR="00A02393" w:rsidRPr="00662097">
              <w:rPr>
                <w:rFonts w:ascii="Arial" w:hAnsi="Arial" w:cs="Arial"/>
                <w:sz w:val="16"/>
                <w:szCs w:val="16"/>
                <w:lang w:eastAsia="es-MX"/>
              </w:rPr>
              <w:t xml:space="preserve"> la evolución de los precios y el progreso tecnológico</w:t>
            </w:r>
            <w:r w:rsidRPr="00662097">
              <w:rPr>
                <w:rFonts w:ascii="Arial" w:hAnsi="Arial" w:cs="Arial"/>
                <w:sz w:val="16"/>
                <w:szCs w:val="16"/>
                <w:lang w:eastAsia="es-MX"/>
              </w:rPr>
              <w:t xml:space="preserve">, incluyendo </w:t>
            </w:r>
            <w:r w:rsidR="00A02393" w:rsidRPr="00662097">
              <w:rPr>
                <w:rFonts w:ascii="Arial" w:eastAsia="Times New Roman" w:hAnsi="Arial" w:cs="Arial"/>
                <w:color w:val="000000"/>
                <w:sz w:val="16"/>
                <w:szCs w:val="16"/>
                <w:lang w:eastAsia="es-MX"/>
              </w:rPr>
              <w:t>las condiciones de asignación de costos acorde con los alcances técnicos de los servicios autorizados en la oferta de referencia respectiva.</w:t>
            </w:r>
          </w:p>
          <w:p w14:paraId="3203EF94" w14:textId="336C6727" w:rsidR="00F81B9F" w:rsidRPr="00662097" w:rsidRDefault="00C36FFA" w:rsidP="005B1F4C">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Con relación al comentario sobre eficiencia, </w:t>
            </w:r>
            <w:r w:rsidR="003A0EDD" w:rsidRPr="00662097">
              <w:rPr>
                <w:rFonts w:ascii="Arial" w:eastAsia="Times New Roman" w:hAnsi="Arial" w:cs="Arial"/>
                <w:color w:val="000000"/>
                <w:sz w:val="16"/>
                <w:szCs w:val="16"/>
                <w:lang w:eastAsia="es-MX"/>
              </w:rPr>
              <w:t>dicho enfoque se atiende en la respuesta ofrecida respecto a l</w:t>
            </w:r>
            <w:r w:rsidR="006A1AEA" w:rsidRPr="00662097">
              <w:rPr>
                <w:rFonts w:ascii="Arial" w:eastAsia="Times New Roman" w:hAnsi="Arial" w:cs="Arial"/>
                <w:color w:val="000000"/>
                <w:sz w:val="16"/>
                <w:szCs w:val="16"/>
                <w:lang w:eastAsia="es-MX"/>
              </w:rPr>
              <w:t>o</w:t>
            </w:r>
            <w:r w:rsidR="003A0EDD" w:rsidRPr="00662097">
              <w:rPr>
                <w:rFonts w:ascii="Arial" w:eastAsia="Times New Roman" w:hAnsi="Arial" w:cs="Arial"/>
                <w:color w:val="000000"/>
                <w:sz w:val="16"/>
                <w:szCs w:val="16"/>
                <w:lang w:eastAsia="es-MX"/>
              </w:rPr>
              <w:t xml:space="preserve">s comentarios realizados </w:t>
            </w:r>
            <w:r w:rsidR="001B58AC" w:rsidRPr="00662097">
              <w:rPr>
                <w:rFonts w:ascii="Arial" w:eastAsia="Times New Roman" w:hAnsi="Arial" w:cs="Arial"/>
                <w:color w:val="000000"/>
                <w:sz w:val="16"/>
                <w:szCs w:val="16"/>
                <w:lang w:eastAsia="es-MX"/>
              </w:rPr>
              <w:t>previamente</w:t>
            </w:r>
            <w:r w:rsidR="003A0EDD" w:rsidRPr="00662097">
              <w:rPr>
                <w:rFonts w:ascii="Arial" w:eastAsia="Times New Roman" w:hAnsi="Arial" w:cs="Arial"/>
                <w:color w:val="000000"/>
                <w:sz w:val="16"/>
                <w:szCs w:val="16"/>
                <w:lang w:eastAsia="es-MX"/>
              </w:rPr>
              <w:t xml:space="preserve"> sobre los puntos 2.2.3 y 2.2.4.</w:t>
            </w:r>
            <w:r w:rsidRPr="00662097">
              <w:rPr>
                <w:rFonts w:ascii="Arial" w:eastAsia="Times New Roman" w:hAnsi="Arial" w:cs="Arial"/>
                <w:color w:val="000000"/>
                <w:sz w:val="16"/>
                <w:szCs w:val="16"/>
                <w:lang w:eastAsia="es-MX"/>
              </w:rPr>
              <w:t xml:space="preserve"> </w:t>
            </w:r>
            <w:r w:rsidR="003A0EDD" w:rsidRPr="00662097">
              <w:rPr>
                <w:rFonts w:ascii="Arial" w:eastAsia="Times New Roman" w:hAnsi="Arial" w:cs="Arial"/>
                <w:color w:val="000000"/>
                <w:sz w:val="16"/>
                <w:szCs w:val="16"/>
                <w:lang w:eastAsia="es-MX"/>
              </w:rPr>
              <w:t xml:space="preserve"> </w:t>
            </w:r>
          </w:p>
        </w:tc>
      </w:tr>
      <w:tr w:rsidR="008A7949" w:rsidRPr="00662097" w14:paraId="1AD49BAB" w14:textId="77777777" w:rsidTr="008F664E">
        <w:trPr>
          <w:trHeight w:val="20"/>
        </w:trPr>
        <w:tc>
          <w:tcPr>
            <w:tcW w:w="1271" w:type="dxa"/>
            <w:vAlign w:val="center"/>
          </w:tcPr>
          <w:p w14:paraId="396D0EB1" w14:textId="16F6A2AF"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CANIETI</w:t>
            </w:r>
          </w:p>
        </w:tc>
        <w:tc>
          <w:tcPr>
            <w:tcW w:w="1843" w:type="dxa"/>
            <w:shd w:val="clear" w:color="auto" w:fill="auto"/>
            <w:vAlign w:val="center"/>
          </w:tcPr>
          <w:p w14:paraId="370E90BA" w14:textId="77777777" w:rsidR="008A7949" w:rsidRPr="00662097" w:rsidRDefault="008A7949" w:rsidP="008A7949">
            <w:pPr>
              <w:spacing w:before="0" w:after="0" w:line="240" w:lineRule="auto"/>
              <w:jc w:val="center"/>
              <w:rPr>
                <w:rFonts w:ascii="Arial" w:eastAsia="Times New Roman" w:hAnsi="Arial" w:cs="Arial"/>
                <w:bCs/>
                <w:color w:val="000000"/>
                <w:sz w:val="16"/>
                <w:szCs w:val="16"/>
                <w:lang w:eastAsia="es-MX"/>
              </w:rPr>
            </w:pPr>
            <w:r w:rsidRPr="00662097">
              <w:rPr>
                <w:rFonts w:ascii="Arial" w:eastAsia="Times New Roman" w:hAnsi="Arial" w:cs="Arial"/>
                <w:bCs/>
                <w:color w:val="000000"/>
                <w:sz w:val="16"/>
                <w:szCs w:val="16"/>
                <w:lang w:eastAsia="es-MX"/>
              </w:rPr>
              <w:t>Modelo Integral - Hoja</w:t>
            </w:r>
          </w:p>
          <w:p w14:paraId="27D964E8" w14:textId="44D2F57A" w:rsidR="008A7949" w:rsidRPr="00662097" w:rsidRDefault="008A7949" w:rsidP="008A7949">
            <w:pPr>
              <w:spacing w:before="0" w:after="0" w:line="240" w:lineRule="auto"/>
              <w:jc w:val="center"/>
              <w:rPr>
                <w:rFonts w:ascii="Arial" w:eastAsia="Times New Roman" w:hAnsi="Arial" w:cs="Arial"/>
                <w:bCs/>
                <w:color w:val="000000"/>
                <w:sz w:val="16"/>
                <w:szCs w:val="16"/>
                <w:lang w:eastAsia="es-MX"/>
              </w:rPr>
            </w:pPr>
            <w:r w:rsidRPr="00662097">
              <w:rPr>
                <w:rFonts w:ascii="Arial" w:eastAsia="Times New Roman" w:hAnsi="Arial" w:cs="Arial"/>
                <w:bCs/>
                <w:color w:val="000000"/>
                <w:sz w:val="16"/>
                <w:szCs w:val="16"/>
                <w:lang w:eastAsia="es-MX"/>
              </w:rPr>
              <w:t>“P de los Servicios”</w:t>
            </w:r>
          </w:p>
        </w:tc>
        <w:tc>
          <w:tcPr>
            <w:tcW w:w="6379" w:type="dxa"/>
            <w:shd w:val="clear" w:color="auto" w:fill="auto"/>
            <w:vAlign w:val="center"/>
          </w:tcPr>
          <w:p w14:paraId="11CBAA4E" w14:textId="77777777" w:rsidR="008A7949" w:rsidRPr="00662097" w:rsidRDefault="008A7949" w:rsidP="008A7949">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Al analizar los precios de los servicios resultantes del Modelo Integral, que se comparan en la hoja “P de los Servicios”, resulta preocupante que gran parte de los valores de los servicios mayoristas de compartición de infraestructura y de acceso desagregado en la red de cobre, resultan superiores con relación a los de la columna a la derecha (columna </w:t>
            </w:r>
            <w:r w:rsidRPr="00662097">
              <w:rPr>
                <w:rFonts w:ascii="Arial" w:eastAsia="Times New Roman" w:hAnsi="Arial" w:cs="Arial"/>
                <w:color w:val="000000"/>
                <w:sz w:val="16"/>
                <w:szCs w:val="16"/>
                <w:lang w:eastAsia="es-MX"/>
              </w:rPr>
              <w:lastRenderedPageBreak/>
              <w:t xml:space="preserve">“H”), que con el título “viejo modelo” se supone presenta los valores que se obtenían con el modelo anterior “Modelo de Red de Acceso 2021”. </w:t>
            </w:r>
          </w:p>
          <w:p w14:paraId="4D5134B9" w14:textId="70D0754A" w:rsidR="008A7949" w:rsidRPr="00662097" w:rsidRDefault="008A7949" w:rsidP="008A7949">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Por citar solo algunos ejemplos, los precios de los ductos, pozos y renta de fibra oscura, presentan incrementos sustanciales. La desagregación virtual del bucle local (tanto FTTH, como FTTC), también presenta un incremento considerable.</w:t>
            </w:r>
          </w:p>
          <w:p w14:paraId="3F607480" w14:textId="77777777" w:rsidR="008A7949" w:rsidRPr="00662097" w:rsidRDefault="008A7949" w:rsidP="008A7949">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Lo anterior implica que los cambios y actualizaciones del Modelo Integral que se señalan en esta consulta harán aún más onerosos la mayor parte de los servicios mayoristas del AEPT; esto, cuando es un hecho notorio que con los precios vigentes de los servicios de la OREDA y la ORCI, no han fomentado la demanda por los mismos. Por lo que no se han convertido en un factor que promueva la competencia efectiva en el sector, como sí ha ocurrido en otros países.</w:t>
            </w:r>
          </w:p>
          <w:p w14:paraId="5A00F27E" w14:textId="72621D6D" w:rsidR="008A7949" w:rsidRPr="00662097" w:rsidRDefault="008A7949" w:rsidP="008A7949">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Se solicita atentamente revisar los supuestos y parámetros utilizados y actualizados en el Modelo Integral y priorizar modelar un verdadero operador eficiente y en menor grado datos directos de la operación del AEPT, ya que parece privilegiarse que éste recupere sus costos operativos actuales (por más que dicha operación sea ineficiente), en lugar de generar las señales e incentivos adecuados para impulsar la competencia y el uso eficiente de la infraestructura de dicho agente económico.</w:t>
            </w:r>
          </w:p>
        </w:tc>
        <w:tc>
          <w:tcPr>
            <w:tcW w:w="4536" w:type="dxa"/>
          </w:tcPr>
          <w:p w14:paraId="7163C049" w14:textId="1BCCFBAB" w:rsidR="008A7949" w:rsidRPr="00662097" w:rsidRDefault="008A7949" w:rsidP="008A7949">
            <w:pPr>
              <w:spacing w:before="120" w:after="120"/>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lastRenderedPageBreak/>
              <w:t xml:space="preserve">Ver respuesta </w:t>
            </w:r>
            <w:r w:rsidR="00D02480" w:rsidRPr="00662097">
              <w:rPr>
                <w:rFonts w:ascii="Arial" w:eastAsia="Times New Roman" w:hAnsi="Arial" w:cs="Arial"/>
                <w:color w:val="000000"/>
                <w:sz w:val="16"/>
                <w:szCs w:val="16"/>
                <w:lang w:eastAsia="es-MX"/>
              </w:rPr>
              <w:t xml:space="preserve">al comentario anterior. </w:t>
            </w:r>
          </w:p>
        </w:tc>
      </w:tr>
      <w:tr w:rsidR="008A7949" w:rsidRPr="00662097" w14:paraId="7E4C85CB" w14:textId="0B3FF17D" w:rsidTr="008F664E">
        <w:trPr>
          <w:trHeight w:val="20"/>
        </w:trPr>
        <w:tc>
          <w:tcPr>
            <w:tcW w:w="1271" w:type="dxa"/>
            <w:vAlign w:val="center"/>
          </w:tcPr>
          <w:p w14:paraId="0AC299F7" w14:textId="7FE19DCE"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Mega Cable</w:t>
            </w:r>
          </w:p>
        </w:tc>
        <w:tc>
          <w:tcPr>
            <w:tcW w:w="1843" w:type="dxa"/>
            <w:shd w:val="clear" w:color="auto" w:fill="auto"/>
            <w:vAlign w:val="center"/>
          </w:tcPr>
          <w:p w14:paraId="3D6CC945" w14:textId="2B1CCBC9" w:rsidR="008A7949" w:rsidRPr="00662097" w:rsidRDefault="008A7949" w:rsidP="008A7949">
            <w:pPr>
              <w:spacing w:after="0" w:line="240" w:lineRule="auto"/>
              <w:jc w:val="center"/>
              <w:rPr>
                <w:rFonts w:ascii="Arial" w:eastAsia="Times New Roman" w:hAnsi="Arial" w:cs="Arial"/>
                <w:b/>
                <w:color w:val="000000"/>
                <w:sz w:val="16"/>
                <w:szCs w:val="16"/>
                <w:lang w:eastAsia="es-MX"/>
              </w:rPr>
            </w:pPr>
            <w:r w:rsidRPr="00662097">
              <w:rPr>
                <w:rFonts w:ascii="Arial" w:eastAsia="Times New Roman" w:hAnsi="Arial" w:cs="Arial"/>
                <w:color w:val="000000"/>
                <w:sz w:val="16"/>
                <w:szCs w:val="16"/>
                <w:lang w:eastAsia="es-MX"/>
              </w:rPr>
              <w:t>2.2 Tratamiento de activos de infraestructura civil</w:t>
            </w:r>
          </w:p>
        </w:tc>
        <w:tc>
          <w:tcPr>
            <w:tcW w:w="6379" w:type="dxa"/>
            <w:shd w:val="clear" w:color="auto" w:fill="auto"/>
            <w:vAlign w:val="center"/>
          </w:tcPr>
          <w:p w14:paraId="1172249A" w14:textId="77777777" w:rsidR="008A7949" w:rsidRPr="00662097" w:rsidRDefault="008A7949" w:rsidP="008A7949">
            <w:pPr>
              <w:pStyle w:val="Default"/>
              <w:spacing w:before="120" w:after="120"/>
              <w:jc w:val="both"/>
              <w:rPr>
                <w:rFonts w:ascii="Arial" w:hAnsi="Arial" w:cs="Arial"/>
                <w:sz w:val="16"/>
                <w:szCs w:val="16"/>
              </w:rPr>
            </w:pPr>
            <w:r w:rsidRPr="00662097">
              <w:rPr>
                <w:rFonts w:ascii="Arial" w:hAnsi="Arial" w:cs="Arial"/>
                <w:sz w:val="16"/>
                <w:szCs w:val="16"/>
              </w:rPr>
              <w:t>Resulta importante reiterar, como se hizo con respecto a los modelos de la red de acceso anteriores, que el considerar por separado la demanda de acceso a la red de cobre de la de fibra óptica y, por lo tanto, al modelar dos o incluso tres redes (como es el caso del Modelo Integral al incluir FTTC), resulta en un subsidio por demás ineficiente de la red de cobre del AEP.</w:t>
            </w:r>
          </w:p>
          <w:p w14:paraId="18DB9B4A" w14:textId="77777777" w:rsidR="008A7949" w:rsidRPr="00662097" w:rsidRDefault="008A7949" w:rsidP="008A7949">
            <w:pPr>
              <w:pStyle w:val="Default"/>
              <w:spacing w:before="120" w:after="120"/>
              <w:jc w:val="both"/>
              <w:rPr>
                <w:rFonts w:ascii="Arial" w:hAnsi="Arial" w:cs="Arial"/>
                <w:sz w:val="16"/>
                <w:szCs w:val="16"/>
              </w:rPr>
            </w:pPr>
            <w:r w:rsidRPr="00662097">
              <w:rPr>
                <w:rFonts w:ascii="Arial" w:hAnsi="Arial" w:cs="Arial"/>
                <w:sz w:val="16"/>
                <w:szCs w:val="16"/>
              </w:rPr>
              <w:t xml:space="preserve">A nivel mundial existe desde hace más de dos décadas un proceso de migración (con diferentes grados de evolución) de redes tradicionales por redes NGN, lo anterior resulta en que la red de cobre de los incumbentes en cada país (y el AEP no es la excepción) enfrente un exceso de capacidad con una demanda decreciente en el largo plazo. </w:t>
            </w:r>
          </w:p>
          <w:p w14:paraId="482052DE" w14:textId="48688368" w:rsidR="008A7949" w:rsidRPr="00662097" w:rsidRDefault="008A7949" w:rsidP="008A7949">
            <w:pPr>
              <w:pStyle w:val="Default"/>
              <w:spacing w:before="120" w:after="120"/>
              <w:jc w:val="both"/>
              <w:rPr>
                <w:rFonts w:ascii="Arial" w:hAnsi="Arial" w:cs="Arial"/>
                <w:sz w:val="16"/>
                <w:szCs w:val="16"/>
              </w:rPr>
            </w:pPr>
            <w:r w:rsidRPr="00662097">
              <w:rPr>
                <w:rFonts w:ascii="Arial" w:hAnsi="Arial" w:cs="Arial"/>
                <w:sz w:val="16"/>
                <w:szCs w:val="16"/>
              </w:rPr>
              <w:t>Asimismo, la infraestructura de las redes de cobre por lo general se encuentra en totalmente o casi totalmente depreciada (v.g., la inversión ha sido recuperada), por lo cual dicha infraestructura puede considerarse un costo hundido. Por lo tanto, los activos totalmente depreciados no deberían considerarse dentro del Modelo Integral.</w:t>
            </w:r>
          </w:p>
          <w:p w14:paraId="7D956838" w14:textId="1C05BECB" w:rsidR="008A7949" w:rsidRPr="00662097" w:rsidRDefault="008A7949" w:rsidP="008A7949">
            <w:pPr>
              <w:pStyle w:val="Default"/>
              <w:spacing w:before="120" w:after="120"/>
              <w:jc w:val="both"/>
              <w:rPr>
                <w:rFonts w:ascii="Arial" w:hAnsi="Arial" w:cs="Arial"/>
                <w:sz w:val="16"/>
                <w:szCs w:val="16"/>
              </w:rPr>
            </w:pPr>
            <w:r w:rsidRPr="00662097">
              <w:rPr>
                <w:rFonts w:ascii="Arial" w:hAnsi="Arial" w:cs="Arial"/>
                <w:sz w:val="16"/>
                <w:szCs w:val="16"/>
              </w:rPr>
              <w:t xml:space="preserve">Por cierto, el enfoque de reposición de activos, GRC, que se pretende utilizar, es considerado que permite una </w:t>
            </w:r>
            <w:proofErr w:type="spellStart"/>
            <w:r w:rsidRPr="00662097">
              <w:rPr>
                <w:rFonts w:ascii="Arial" w:hAnsi="Arial" w:cs="Arial"/>
                <w:sz w:val="16"/>
                <w:szCs w:val="16"/>
              </w:rPr>
              <w:t>sobre-recuperación</w:t>
            </w:r>
            <w:proofErr w:type="spellEnd"/>
            <w:r w:rsidRPr="00662097">
              <w:rPr>
                <w:rFonts w:ascii="Arial" w:hAnsi="Arial" w:cs="Arial"/>
                <w:sz w:val="16"/>
                <w:szCs w:val="16"/>
              </w:rPr>
              <w:t xml:space="preserve"> de los costos pues no toma en cuenta la proporción en que ya han sido depreciados los activos</w:t>
            </w:r>
            <w:r w:rsidRPr="00662097">
              <w:rPr>
                <w:rStyle w:val="Refdenotaalpie"/>
                <w:rFonts w:ascii="Arial" w:hAnsi="Arial" w:cs="Arial"/>
                <w:sz w:val="16"/>
                <w:szCs w:val="16"/>
              </w:rPr>
              <w:footnoteReference w:id="3"/>
            </w:r>
            <w:r w:rsidRPr="00662097">
              <w:rPr>
                <w:rFonts w:ascii="Arial" w:hAnsi="Arial" w:cs="Arial"/>
                <w:sz w:val="16"/>
                <w:szCs w:val="16"/>
              </w:rPr>
              <w:t xml:space="preserve">, por lo cual, la teoría recomienda el uso, en todo caso, de un enfoque de costo neto de reposición (Net </w:t>
            </w:r>
            <w:proofErr w:type="spellStart"/>
            <w:r w:rsidRPr="00662097">
              <w:rPr>
                <w:rFonts w:ascii="Arial" w:hAnsi="Arial" w:cs="Arial"/>
                <w:sz w:val="16"/>
                <w:szCs w:val="16"/>
              </w:rPr>
              <w:t>replacement</w:t>
            </w:r>
            <w:proofErr w:type="spellEnd"/>
            <w:r w:rsidRPr="00662097">
              <w:rPr>
                <w:rFonts w:ascii="Arial" w:hAnsi="Arial" w:cs="Arial"/>
                <w:sz w:val="16"/>
                <w:szCs w:val="16"/>
              </w:rPr>
              <w:t xml:space="preserve"> </w:t>
            </w:r>
            <w:proofErr w:type="spellStart"/>
            <w:r w:rsidRPr="00662097">
              <w:rPr>
                <w:rFonts w:ascii="Arial" w:hAnsi="Arial" w:cs="Arial"/>
                <w:sz w:val="16"/>
                <w:szCs w:val="16"/>
              </w:rPr>
              <w:t>cost</w:t>
            </w:r>
            <w:proofErr w:type="spellEnd"/>
            <w:r w:rsidRPr="00662097">
              <w:rPr>
                <w:rFonts w:ascii="Arial" w:hAnsi="Arial" w:cs="Arial"/>
                <w:sz w:val="16"/>
                <w:szCs w:val="16"/>
              </w:rPr>
              <w:t>). Por lo tanto, se considera que en el Modelo Integral no se debería modelar un porcentaje de descuento del valor bruto de reposición (</w:t>
            </w:r>
            <w:proofErr w:type="spellStart"/>
            <w:r w:rsidRPr="00662097">
              <w:rPr>
                <w:rFonts w:ascii="Arial" w:hAnsi="Arial" w:cs="Arial"/>
                <w:sz w:val="16"/>
                <w:szCs w:val="16"/>
              </w:rPr>
              <w:t>gross</w:t>
            </w:r>
            <w:proofErr w:type="spellEnd"/>
            <w:r w:rsidRPr="00662097">
              <w:rPr>
                <w:rFonts w:ascii="Arial" w:hAnsi="Arial" w:cs="Arial"/>
                <w:sz w:val="16"/>
                <w:szCs w:val="16"/>
              </w:rPr>
              <w:t xml:space="preserve"> </w:t>
            </w:r>
            <w:proofErr w:type="spellStart"/>
            <w:r w:rsidRPr="00662097">
              <w:rPr>
                <w:rFonts w:ascii="Arial" w:hAnsi="Arial" w:cs="Arial"/>
                <w:sz w:val="16"/>
                <w:szCs w:val="16"/>
              </w:rPr>
              <w:t>replacement</w:t>
            </w:r>
            <w:proofErr w:type="spellEnd"/>
            <w:r w:rsidRPr="00662097">
              <w:rPr>
                <w:rFonts w:ascii="Arial" w:hAnsi="Arial" w:cs="Arial"/>
                <w:sz w:val="16"/>
                <w:szCs w:val="16"/>
              </w:rPr>
              <w:t xml:space="preserve"> </w:t>
            </w:r>
            <w:proofErr w:type="spellStart"/>
            <w:r w:rsidRPr="00662097">
              <w:rPr>
                <w:rFonts w:ascii="Arial" w:hAnsi="Arial" w:cs="Arial"/>
                <w:sz w:val="16"/>
                <w:szCs w:val="16"/>
              </w:rPr>
              <w:t>cost</w:t>
            </w:r>
            <w:proofErr w:type="spellEnd"/>
            <w:r w:rsidRPr="00662097">
              <w:rPr>
                <w:rFonts w:ascii="Arial" w:hAnsi="Arial" w:cs="Arial"/>
                <w:sz w:val="16"/>
                <w:szCs w:val="16"/>
              </w:rPr>
              <w:t>) de alrededor de solo un 30%, sino que dicho de</w:t>
            </w:r>
            <w:r w:rsidR="00676E16" w:rsidRPr="00662097">
              <w:rPr>
                <w:rFonts w:ascii="Arial" w:hAnsi="Arial" w:cs="Arial"/>
                <w:sz w:val="16"/>
                <w:szCs w:val="16"/>
              </w:rPr>
              <w:t xml:space="preserve"> [SIC]</w:t>
            </w:r>
            <w:r w:rsidRPr="00662097">
              <w:rPr>
                <w:rFonts w:ascii="Arial" w:hAnsi="Arial" w:cs="Arial"/>
                <w:sz w:val="16"/>
                <w:szCs w:val="16"/>
              </w:rPr>
              <w:t>.</w:t>
            </w:r>
          </w:p>
          <w:p w14:paraId="1E2F101C" w14:textId="77777777" w:rsidR="008A7949" w:rsidRPr="00662097" w:rsidRDefault="008A7949" w:rsidP="008A7949">
            <w:pPr>
              <w:spacing w:before="120" w:after="120" w:line="240" w:lineRule="auto"/>
              <w:rPr>
                <w:rFonts w:ascii="Arial" w:hAnsi="Arial" w:cs="Arial"/>
                <w:sz w:val="16"/>
                <w:szCs w:val="16"/>
              </w:rPr>
            </w:pPr>
            <w:r w:rsidRPr="00662097">
              <w:rPr>
                <w:rFonts w:ascii="Arial" w:hAnsi="Arial" w:cs="Arial"/>
                <w:sz w:val="16"/>
                <w:szCs w:val="16"/>
              </w:rPr>
              <w:t xml:space="preserve">Un comportamiento racional de un operador eficiente sería ya no invertir en la reposición de la red de cobre, que además exhibe cada vez un mayor exceso de capacidad. Por lo tanto, el Modelo Integral se traduce en que las tarifas de los servicios mayoristas sobre la red de cobre no sólo permitan al AEP recuperar los costos de ese servicio en </w:t>
            </w:r>
            <w:r w:rsidRPr="00662097">
              <w:rPr>
                <w:rFonts w:ascii="Arial" w:hAnsi="Arial" w:cs="Arial"/>
                <w:sz w:val="16"/>
                <w:szCs w:val="16"/>
              </w:rPr>
              <w:lastRenderedPageBreak/>
              <w:t>específico, sino también a subsidiar el exceso de capacidad (creciente) de toda la red de cobre del AEP.</w:t>
            </w:r>
          </w:p>
          <w:p w14:paraId="5657B877" w14:textId="59726E5F" w:rsidR="008A7949" w:rsidRPr="00662097" w:rsidRDefault="008A7949" w:rsidP="008A7949">
            <w:pPr>
              <w:spacing w:before="120" w:after="120" w:line="240" w:lineRule="auto"/>
              <w:rPr>
                <w:rFonts w:ascii="Arial" w:hAnsi="Arial" w:cs="Arial"/>
                <w:sz w:val="16"/>
                <w:szCs w:val="16"/>
              </w:rPr>
            </w:pPr>
            <w:r w:rsidRPr="00662097">
              <w:rPr>
                <w:rFonts w:ascii="Arial" w:hAnsi="Arial" w:cs="Arial"/>
                <w:sz w:val="16"/>
                <w:szCs w:val="16"/>
              </w:rPr>
              <w:t xml:space="preserve">Lo anterior además crea los incentivos equivocados pues permite al AEP recuperar los costos totales de reposición de la red de cobre, lo cual además desincentiva la migración a fibra. </w:t>
            </w:r>
          </w:p>
        </w:tc>
        <w:tc>
          <w:tcPr>
            <w:tcW w:w="4536" w:type="dxa"/>
          </w:tcPr>
          <w:p w14:paraId="17EC0560" w14:textId="5E0A1645" w:rsidR="00CB5EB9" w:rsidRPr="00662097" w:rsidRDefault="004F3FC5" w:rsidP="00CB5EB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lastRenderedPageBreak/>
              <w:t>Tal y como se ha expresado en comentarios previos a</w:t>
            </w:r>
            <w:r w:rsidR="00CB5EB9" w:rsidRPr="00662097">
              <w:rPr>
                <w:rFonts w:ascii="Arial" w:hAnsi="Arial" w:cs="Arial"/>
                <w:sz w:val="16"/>
                <w:szCs w:val="16"/>
                <w:lang w:eastAsia="es-MX"/>
              </w:rPr>
              <w:t>l respecto de la modelación de tres redes separadas, se hace notar lo siguiente:</w:t>
            </w:r>
          </w:p>
          <w:p w14:paraId="5496E733" w14:textId="1A6FDB7F" w:rsidR="00CB5EB9" w:rsidRPr="00662097" w:rsidRDefault="00CB5EB9" w:rsidP="00CB5EB9">
            <w:pPr>
              <w:pStyle w:val="Prrafodelista"/>
              <w:numPr>
                <w:ilvl w:val="0"/>
                <w:numId w:val="24"/>
              </w:num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Esta aproximación se encuentra alineada con la empleada por el Instituto, lo cual permite mantener consistencia y continuidad regulatoria.</w:t>
            </w:r>
          </w:p>
          <w:p w14:paraId="0A712D0D" w14:textId="77777777" w:rsidR="00F84A5B" w:rsidRPr="00662097" w:rsidRDefault="00CB5EB9" w:rsidP="00F84A5B">
            <w:pPr>
              <w:pStyle w:val="Prrafodelista"/>
              <w:numPr>
                <w:ilvl w:val="0"/>
                <w:numId w:val="24"/>
              </w:num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Está a su vez también alineada con las mejores prácticas adoptadas por otros reguladores, donde se asume necesaria a raíz de la coexistencia de las redes de cobre y fibra.</w:t>
            </w:r>
          </w:p>
          <w:p w14:paraId="2F1FFDFC" w14:textId="796E835D" w:rsidR="00A03EA4" w:rsidRPr="00662097" w:rsidRDefault="00CB5EB9" w:rsidP="002E567A">
            <w:pPr>
              <w:pStyle w:val="Prrafodelista"/>
              <w:numPr>
                <w:ilvl w:val="0"/>
                <w:numId w:val="24"/>
              </w:num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rPr>
              <w:t xml:space="preserve">De manera adicional a lo anterior, el Modelo incorpora otros mecanismos para </w:t>
            </w:r>
            <w:r w:rsidR="00111B75" w:rsidRPr="00662097">
              <w:rPr>
                <w:rFonts w:ascii="Arial" w:hAnsi="Arial" w:cs="Arial"/>
                <w:sz w:val="16"/>
                <w:szCs w:val="16"/>
              </w:rPr>
              <w:t>modelar</w:t>
            </w:r>
            <w:r w:rsidRPr="00662097">
              <w:rPr>
                <w:rFonts w:ascii="Arial" w:hAnsi="Arial" w:cs="Arial"/>
                <w:sz w:val="16"/>
                <w:szCs w:val="16"/>
              </w:rPr>
              <w:t xml:space="preserve"> de manera correcta el envío de señales </w:t>
            </w:r>
            <w:r w:rsidRPr="00662097">
              <w:rPr>
                <w:rFonts w:ascii="Arial" w:hAnsi="Arial" w:cs="Arial"/>
                <w:i/>
                <w:iCs/>
                <w:sz w:val="16"/>
                <w:szCs w:val="16"/>
              </w:rPr>
              <w:t>“</w:t>
            </w:r>
            <w:proofErr w:type="spellStart"/>
            <w:r w:rsidRPr="00662097">
              <w:rPr>
                <w:rFonts w:ascii="Arial" w:hAnsi="Arial" w:cs="Arial"/>
                <w:i/>
                <w:iCs/>
                <w:sz w:val="16"/>
                <w:szCs w:val="16"/>
              </w:rPr>
              <w:t>Make</w:t>
            </w:r>
            <w:proofErr w:type="spellEnd"/>
            <w:r w:rsidRPr="00662097">
              <w:rPr>
                <w:rFonts w:ascii="Arial" w:hAnsi="Arial" w:cs="Arial"/>
                <w:i/>
                <w:iCs/>
                <w:sz w:val="16"/>
                <w:szCs w:val="16"/>
              </w:rPr>
              <w:t xml:space="preserve"> </w:t>
            </w:r>
            <w:proofErr w:type="spellStart"/>
            <w:r w:rsidRPr="00662097">
              <w:rPr>
                <w:rFonts w:ascii="Arial" w:hAnsi="Arial" w:cs="Arial"/>
                <w:i/>
                <w:iCs/>
                <w:sz w:val="16"/>
                <w:szCs w:val="16"/>
              </w:rPr>
              <w:t>or</w:t>
            </w:r>
            <w:proofErr w:type="spellEnd"/>
            <w:r w:rsidRPr="00662097">
              <w:rPr>
                <w:rFonts w:ascii="Arial" w:hAnsi="Arial" w:cs="Arial"/>
                <w:i/>
                <w:iCs/>
                <w:sz w:val="16"/>
                <w:szCs w:val="16"/>
              </w:rPr>
              <w:t xml:space="preserve"> </w:t>
            </w:r>
            <w:proofErr w:type="spellStart"/>
            <w:r w:rsidRPr="00662097">
              <w:rPr>
                <w:rFonts w:ascii="Arial" w:hAnsi="Arial" w:cs="Arial"/>
                <w:i/>
                <w:iCs/>
                <w:sz w:val="16"/>
                <w:szCs w:val="16"/>
              </w:rPr>
              <w:t>Buy</w:t>
            </w:r>
            <w:proofErr w:type="spellEnd"/>
            <w:r w:rsidRPr="00662097">
              <w:rPr>
                <w:rFonts w:ascii="Arial" w:hAnsi="Arial" w:cs="Arial"/>
                <w:i/>
                <w:iCs/>
                <w:sz w:val="16"/>
                <w:szCs w:val="16"/>
              </w:rPr>
              <w:t>”</w:t>
            </w:r>
            <w:r w:rsidRPr="00662097">
              <w:rPr>
                <w:rFonts w:ascii="Arial" w:hAnsi="Arial" w:cs="Arial"/>
                <w:sz w:val="16"/>
                <w:szCs w:val="16"/>
              </w:rPr>
              <w:t>, como serían principalmente los ajustes introducidos sobre la valoración de activos de ingeniería civil reutilizables y de cables de cobre (ver Criterio 21 del Documento Metodológico), así como la compartición de activos de ingeniería civil entre las diferentes redes de acceso modeladas.</w:t>
            </w:r>
            <w:r w:rsidR="00FE50D7" w:rsidRPr="00662097">
              <w:rPr>
                <w:rFonts w:ascii="Arial" w:hAnsi="Arial" w:cs="Arial"/>
                <w:sz w:val="16"/>
                <w:szCs w:val="16"/>
              </w:rPr>
              <w:t xml:space="preserve"> En el caso particular </w:t>
            </w:r>
            <w:r w:rsidR="001E6411" w:rsidRPr="00662097">
              <w:rPr>
                <w:rFonts w:ascii="Arial" w:hAnsi="Arial" w:cs="Arial"/>
                <w:sz w:val="16"/>
                <w:szCs w:val="16"/>
              </w:rPr>
              <w:t xml:space="preserve">de los ajustes introducidos sobre la valoración de activos de ingeniería civil reutilizables y de cables de cobre, estos precisamente buscan </w:t>
            </w:r>
            <w:r w:rsidR="002E567A" w:rsidRPr="00662097">
              <w:rPr>
                <w:rFonts w:ascii="Arial" w:hAnsi="Arial" w:cs="Arial"/>
                <w:sz w:val="16"/>
                <w:szCs w:val="16"/>
              </w:rPr>
              <w:t xml:space="preserve">evitar la </w:t>
            </w:r>
            <w:proofErr w:type="spellStart"/>
            <w:r w:rsidR="002E567A" w:rsidRPr="00662097">
              <w:rPr>
                <w:rFonts w:ascii="Arial" w:hAnsi="Arial" w:cs="Arial"/>
                <w:sz w:val="16"/>
                <w:szCs w:val="16"/>
              </w:rPr>
              <w:t>sobre-recuperación</w:t>
            </w:r>
            <w:proofErr w:type="spellEnd"/>
            <w:r w:rsidR="002E567A" w:rsidRPr="00662097">
              <w:rPr>
                <w:rFonts w:ascii="Arial" w:hAnsi="Arial" w:cs="Arial"/>
                <w:sz w:val="16"/>
                <w:szCs w:val="16"/>
              </w:rPr>
              <w:t xml:space="preserve"> de costos por parte del AEP</w:t>
            </w:r>
            <w:r w:rsidR="00B34D56" w:rsidRPr="00662097">
              <w:rPr>
                <w:rFonts w:ascii="Arial" w:hAnsi="Arial" w:cs="Arial"/>
                <w:sz w:val="16"/>
                <w:szCs w:val="16"/>
              </w:rPr>
              <w:t xml:space="preserve"> que </w:t>
            </w:r>
            <w:r w:rsidR="00F128DB" w:rsidRPr="00662097">
              <w:rPr>
                <w:rFonts w:ascii="Arial" w:hAnsi="Arial" w:cs="Arial"/>
                <w:sz w:val="16"/>
                <w:szCs w:val="16"/>
              </w:rPr>
              <w:t xml:space="preserve">se </w:t>
            </w:r>
            <w:r w:rsidR="00B34D56" w:rsidRPr="00662097">
              <w:rPr>
                <w:rFonts w:ascii="Arial" w:hAnsi="Arial" w:cs="Arial"/>
                <w:sz w:val="16"/>
                <w:szCs w:val="16"/>
              </w:rPr>
              <w:t xml:space="preserve">menciona </w:t>
            </w:r>
            <w:r w:rsidR="002E567A" w:rsidRPr="00662097">
              <w:rPr>
                <w:rFonts w:ascii="Arial" w:hAnsi="Arial" w:cs="Arial"/>
                <w:sz w:val="16"/>
                <w:szCs w:val="16"/>
              </w:rPr>
              <w:t>en el Documento de Actualización</w:t>
            </w:r>
            <w:r w:rsidR="00F128DB" w:rsidRPr="00662097">
              <w:rPr>
                <w:rFonts w:ascii="Arial" w:hAnsi="Arial" w:cs="Arial"/>
                <w:sz w:val="16"/>
                <w:szCs w:val="16"/>
              </w:rPr>
              <w:t xml:space="preserve"> como sigue</w:t>
            </w:r>
            <w:r w:rsidR="002E567A" w:rsidRPr="00662097">
              <w:rPr>
                <w:rFonts w:ascii="Arial" w:hAnsi="Arial" w:cs="Arial"/>
                <w:sz w:val="16"/>
                <w:szCs w:val="16"/>
              </w:rPr>
              <w:t xml:space="preserve">: </w:t>
            </w:r>
            <w:r w:rsidR="002E567A" w:rsidRPr="00662097">
              <w:rPr>
                <w:rFonts w:ascii="Arial" w:hAnsi="Arial" w:cs="Arial"/>
                <w:i/>
                <w:iCs/>
                <w:sz w:val="16"/>
                <w:szCs w:val="16"/>
              </w:rPr>
              <w:t xml:space="preserve">“El objetivo de tal enfoque es el de enviar las </w:t>
            </w:r>
            <w:r w:rsidR="002E567A" w:rsidRPr="00662097">
              <w:rPr>
                <w:rFonts w:ascii="Arial" w:hAnsi="Arial" w:cs="Arial"/>
                <w:i/>
                <w:iCs/>
                <w:sz w:val="16"/>
                <w:szCs w:val="16"/>
              </w:rPr>
              <w:lastRenderedPageBreak/>
              <w:t>señales eficientes de entrada al mercado en lo relativo a la decisión de “comprar o construir”. En este sentido, el alto grado de depreciación acumulada que comúnmente presentan estos activos en las redes de los operadores de redes de acceso (generalmente dichos activos fueron desplegados hace un número sustancial de años), junto con las reducidas posibilidades para desplegar infraestructura civil en paralelo a la ya existente que pueden tener los operadores alternativos o nuevos, son aspectos que deben ser considerados a la hora de definir precios mayoristas que garanticen un adecuado nivel de competencia en el mercado.”</w:t>
            </w:r>
          </w:p>
        </w:tc>
      </w:tr>
      <w:tr w:rsidR="008A7949" w:rsidRPr="00662097" w14:paraId="5CE0C410" w14:textId="5B0844C9" w:rsidTr="008F664E">
        <w:trPr>
          <w:trHeight w:val="20"/>
        </w:trPr>
        <w:tc>
          <w:tcPr>
            <w:tcW w:w="1271" w:type="dxa"/>
            <w:vAlign w:val="center"/>
          </w:tcPr>
          <w:p w14:paraId="76164113" w14:textId="3CD6B369"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lastRenderedPageBreak/>
              <w:t>Mega Cable</w:t>
            </w:r>
          </w:p>
        </w:tc>
        <w:tc>
          <w:tcPr>
            <w:tcW w:w="1843" w:type="dxa"/>
            <w:shd w:val="clear" w:color="auto" w:fill="auto"/>
            <w:vAlign w:val="center"/>
          </w:tcPr>
          <w:p w14:paraId="58B5B169" w14:textId="6201B1FE"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3.1. Inventario de Activos</w:t>
            </w:r>
          </w:p>
        </w:tc>
        <w:tc>
          <w:tcPr>
            <w:tcW w:w="6379" w:type="dxa"/>
            <w:shd w:val="clear" w:color="auto" w:fill="auto"/>
            <w:vAlign w:val="center"/>
          </w:tcPr>
          <w:p w14:paraId="4D63DBF1" w14:textId="77777777" w:rsidR="008A7949" w:rsidRPr="00662097" w:rsidRDefault="008A7949" w:rsidP="008A7949">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La actualización de los niveles de cobertura y de los nodos de la red modelada se basan completamente en la información del AEP sin que la actualización considere una optimización o racionalización de los datos proporcionados por dicho agente económico.</w:t>
            </w:r>
          </w:p>
          <w:p w14:paraId="1FFEEF03" w14:textId="77777777" w:rsidR="008A7949" w:rsidRPr="00662097" w:rsidRDefault="008A7949" w:rsidP="008A7949">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Como resultado, se observan aspectos que son notoriamente ineficientes, como el que se modele una red con 22.4 millones de casas o premisas pasadas por la red de cobre, cuando la tendencia debería ser a sustituir esta infraestructura por FTTH. En conjunto, con las tres tecnologías o redes consideradas (cobre, FTTH, FTTC), el número de casas pasadas es de más de 38 millones, cuando el número de líneas activas en el modelo es de menos de 20 millones.  </w:t>
            </w:r>
          </w:p>
          <w:p w14:paraId="0DA4EDC0" w14:textId="77777777" w:rsidR="008A7949" w:rsidRPr="00662097" w:rsidRDefault="008A7949" w:rsidP="008A7949">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De igual forma, como se comenta previamente, el inventario de nodos del AEP en el Modelo Integral 2024 se incrementó con respecto al de 2021 cuando, por el contrario, se modela una reducción de las líneas activas. </w:t>
            </w:r>
          </w:p>
          <w:p w14:paraId="506C114E" w14:textId="6FAE1676" w:rsidR="008A7949" w:rsidRPr="00662097" w:rsidRDefault="008A7949" w:rsidP="008A7949">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Dicho diseño del modelo refleja ineficiencias que necesariamente son transmitidas en las tarifas resultantes. Por lo tanto, se solicita hacer una revisión del grado excesivo de dependencia del Modelo Integral para 2024 en la información proporcionada por el AEP y que se identifiquen áreas o aspectos donde se pueda sustituir dicha información por parámetros o métricas de un operador eficiente, tal y como demanda un verdadero modelo de costos CIPLP con enfoque bottom-up.</w:t>
            </w:r>
          </w:p>
        </w:tc>
        <w:tc>
          <w:tcPr>
            <w:tcW w:w="4536" w:type="dxa"/>
          </w:tcPr>
          <w:p w14:paraId="1040567B" w14:textId="4405343A" w:rsidR="00C31215" w:rsidRPr="00662097" w:rsidRDefault="000F726B" w:rsidP="008940F8">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Tal y como se ha expresado previamente, se hace notar que la información del AEP ha sido </w:t>
            </w:r>
            <w:r w:rsidR="00F35920" w:rsidRPr="00662097">
              <w:rPr>
                <w:rFonts w:ascii="Arial" w:eastAsia="Times New Roman" w:hAnsi="Arial" w:cs="Arial"/>
                <w:color w:val="000000"/>
                <w:sz w:val="16"/>
                <w:szCs w:val="16"/>
                <w:lang w:eastAsia="es-MX"/>
              </w:rPr>
              <w:t xml:space="preserve">analizada y ajustada para garantizar el principio de eficiencia del Modelo, habiéndose incorporado </w:t>
            </w:r>
            <w:r w:rsidRPr="00662097">
              <w:rPr>
                <w:rFonts w:ascii="Arial" w:eastAsia="Times New Roman" w:hAnsi="Arial" w:cs="Arial"/>
                <w:color w:val="000000"/>
                <w:sz w:val="16"/>
                <w:szCs w:val="16"/>
                <w:lang w:eastAsia="es-MX"/>
              </w:rPr>
              <w:t xml:space="preserve">ajustes para aquellos aspectos que se consideran una ineficiencia del AEP como, por ejemplo, </w:t>
            </w:r>
            <w:r w:rsidR="00464880" w:rsidRPr="00662097">
              <w:rPr>
                <w:rFonts w:ascii="Arial" w:eastAsia="Times New Roman" w:hAnsi="Arial" w:cs="Arial"/>
                <w:color w:val="000000"/>
                <w:sz w:val="16"/>
                <w:szCs w:val="16"/>
                <w:lang w:eastAsia="es-MX"/>
              </w:rPr>
              <w:t xml:space="preserve">los </w:t>
            </w:r>
            <w:r w:rsidRPr="00662097">
              <w:rPr>
                <w:rFonts w:ascii="Arial" w:eastAsia="Times New Roman" w:hAnsi="Arial" w:cs="Arial"/>
                <w:color w:val="000000"/>
                <w:sz w:val="16"/>
                <w:szCs w:val="16"/>
                <w:lang w:eastAsia="es-MX"/>
              </w:rPr>
              <w:t xml:space="preserve">ajustes </w:t>
            </w:r>
            <w:r w:rsidR="00F35920" w:rsidRPr="00662097">
              <w:rPr>
                <w:rFonts w:ascii="Arial" w:eastAsia="Times New Roman" w:hAnsi="Arial" w:cs="Arial"/>
                <w:color w:val="000000"/>
                <w:sz w:val="16"/>
                <w:szCs w:val="16"/>
                <w:lang w:eastAsia="es-MX"/>
              </w:rPr>
              <w:t xml:space="preserve">introducidos en </w:t>
            </w:r>
            <w:r w:rsidR="008940F8" w:rsidRPr="00662097">
              <w:rPr>
                <w:rFonts w:ascii="Arial" w:eastAsia="Times New Roman" w:hAnsi="Arial" w:cs="Arial"/>
                <w:color w:val="000000"/>
                <w:sz w:val="16"/>
                <w:szCs w:val="16"/>
                <w:lang w:eastAsia="es-MX"/>
              </w:rPr>
              <w:t xml:space="preserve">su </w:t>
            </w:r>
            <w:r w:rsidR="00F35920" w:rsidRPr="00662097">
              <w:rPr>
                <w:rFonts w:ascii="Arial" w:eastAsia="Times New Roman" w:hAnsi="Arial" w:cs="Arial"/>
                <w:color w:val="000000"/>
                <w:sz w:val="16"/>
                <w:szCs w:val="16"/>
                <w:lang w:eastAsia="es-MX"/>
              </w:rPr>
              <w:t xml:space="preserve">estructura nodal, que han sido </w:t>
            </w:r>
            <w:r w:rsidRPr="00662097">
              <w:rPr>
                <w:rFonts w:ascii="Arial" w:eastAsia="Times New Roman" w:hAnsi="Arial" w:cs="Arial"/>
                <w:color w:val="000000"/>
                <w:sz w:val="16"/>
                <w:szCs w:val="16"/>
                <w:lang w:eastAsia="es-MX"/>
              </w:rPr>
              <w:t>descritos en la sección “3.2. Análisis geomarketing” del Documento Metodológico.</w:t>
            </w:r>
          </w:p>
          <w:p w14:paraId="5CD686FC" w14:textId="079920B5" w:rsidR="00F35920" w:rsidRPr="00662097" w:rsidRDefault="00615A55" w:rsidP="00BA1C78">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Con relación al número</w:t>
            </w:r>
            <w:r w:rsidR="00330378" w:rsidRPr="00662097">
              <w:rPr>
                <w:rFonts w:ascii="Arial" w:eastAsia="Times New Roman" w:hAnsi="Arial" w:cs="Arial"/>
                <w:color w:val="000000"/>
                <w:sz w:val="16"/>
                <w:szCs w:val="16"/>
                <w:lang w:eastAsia="es-MX"/>
              </w:rPr>
              <w:t xml:space="preserve"> de</w:t>
            </w:r>
            <w:r w:rsidRPr="00662097">
              <w:rPr>
                <w:rFonts w:ascii="Arial" w:eastAsia="Times New Roman" w:hAnsi="Arial" w:cs="Arial"/>
                <w:color w:val="000000"/>
                <w:sz w:val="16"/>
                <w:szCs w:val="16"/>
                <w:lang w:eastAsia="es-MX"/>
              </w:rPr>
              <w:t xml:space="preserve"> </w:t>
            </w:r>
            <w:r w:rsidR="00E04823" w:rsidRPr="00662097">
              <w:rPr>
                <w:rFonts w:ascii="Arial" w:eastAsia="Times New Roman" w:hAnsi="Arial" w:cs="Arial"/>
                <w:color w:val="000000"/>
                <w:sz w:val="16"/>
                <w:szCs w:val="16"/>
                <w:lang w:eastAsia="es-MX"/>
              </w:rPr>
              <w:t>premisas pasadas, se señala nuevamente que est</w:t>
            </w:r>
            <w:r w:rsidR="00892910" w:rsidRPr="00662097">
              <w:rPr>
                <w:rFonts w:ascii="Arial" w:eastAsia="Times New Roman" w:hAnsi="Arial" w:cs="Arial"/>
                <w:color w:val="000000"/>
                <w:sz w:val="16"/>
                <w:szCs w:val="16"/>
                <w:lang w:eastAsia="es-MX"/>
              </w:rPr>
              <w:t>a situación</w:t>
            </w:r>
            <w:r w:rsidR="00E04823" w:rsidRPr="00662097">
              <w:rPr>
                <w:rFonts w:ascii="Arial" w:eastAsia="Times New Roman" w:hAnsi="Arial" w:cs="Arial"/>
                <w:color w:val="000000"/>
                <w:sz w:val="16"/>
                <w:szCs w:val="16"/>
                <w:lang w:eastAsia="es-MX"/>
              </w:rPr>
              <w:t xml:space="preserve"> es consecuencia de la coexistencia de las redes de cobre y fibra. En este </w:t>
            </w:r>
            <w:r w:rsidR="00001CE7" w:rsidRPr="00662097">
              <w:rPr>
                <w:rFonts w:ascii="Arial" w:eastAsia="Times New Roman" w:hAnsi="Arial" w:cs="Arial"/>
                <w:color w:val="000000"/>
                <w:sz w:val="16"/>
                <w:szCs w:val="16"/>
                <w:lang w:eastAsia="es-MX"/>
              </w:rPr>
              <w:t>contexto</w:t>
            </w:r>
            <w:r w:rsidR="00E04823" w:rsidRPr="00662097">
              <w:rPr>
                <w:rFonts w:ascii="Arial" w:eastAsia="Times New Roman" w:hAnsi="Arial" w:cs="Arial"/>
                <w:color w:val="000000"/>
                <w:sz w:val="16"/>
                <w:szCs w:val="16"/>
                <w:lang w:eastAsia="es-MX"/>
              </w:rPr>
              <w:t xml:space="preserve">, hasta que no se </w:t>
            </w:r>
            <w:r w:rsidR="00001CE7" w:rsidRPr="00662097">
              <w:rPr>
                <w:rFonts w:ascii="Arial" w:eastAsia="Times New Roman" w:hAnsi="Arial" w:cs="Arial"/>
                <w:color w:val="000000"/>
                <w:sz w:val="16"/>
                <w:szCs w:val="16"/>
                <w:lang w:eastAsia="es-MX"/>
              </w:rPr>
              <w:t xml:space="preserve">lleve a cabo </w:t>
            </w:r>
            <w:r w:rsidR="00E04823" w:rsidRPr="00662097">
              <w:rPr>
                <w:rFonts w:ascii="Arial" w:eastAsia="Times New Roman" w:hAnsi="Arial" w:cs="Arial"/>
                <w:color w:val="000000"/>
                <w:sz w:val="16"/>
                <w:szCs w:val="16"/>
                <w:lang w:eastAsia="es-MX"/>
              </w:rPr>
              <w:t>el apagado de la</w:t>
            </w:r>
            <w:r w:rsidR="00001CE7" w:rsidRPr="00662097">
              <w:rPr>
                <w:rFonts w:ascii="Arial" w:eastAsia="Times New Roman" w:hAnsi="Arial" w:cs="Arial"/>
                <w:color w:val="000000"/>
                <w:sz w:val="16"/>
                <w:szCs w:val="16"/>
                <w:lang w:eastAsia="es-MX"/>
              </w:rPr>
              <w:t>s</w:t>
            </w:r>
            <w:r w:rsidR="00E04823" w:rsidRPr="00662097">
              <w:rPr>
                <w:rFonts w:ascii="Arial" w:eastAsia="Times New Roman" w:hAnsi="Arial" w:cs="Arial"/>
                <w:color w:val="000000"/>
                <w:sz w:val="16"/>
                <w:szCs w:val="16"/>
                <w:lang w:eastAsia="es-MX"/>
              </w:rPr>
              <w:t xml:space="preserve"> red</w:t>
            </w:r>
            <w:r w:rsidR="00001CE7" w:rsidRPr="00662097">
              <w:rPr>
                <w:rFonts w:ascii="Arial" w:eastAsia="Times New Roman" w:hAnsi="Arial" w:cs="Arial"/>
                <w:color w:val="000000"/>
                <w:sz w:val="16"/>
                <w:szCs w:val="16"/>
                <w:lang w:eastAsia="es-MX"/>
              </w:rPr>
              <w:t>es</w:t>
            </w:r>
            <w:r w:rsidR="00E04823" w:rsidRPr="00662097">
              <w:rPr>
                <w:rFonts w:ascii="Arial" w:eastAsia="Times New Roman" w:hAnsi="Arial" w:cs="Arial"/>
                <w:color w:val="000000"/>
                <w:sz w:val="16"/>
                <w:szCs w:val="16"/>
                <w:lang w:eastAsia="es-MX"/>
              </w:rPr>
              <w:t xml:space="preserve"> de cobre, </w:t>
            </w:r>
            <w:r w:rsidR="00683039" w:rsidRPr="00662097">
              <w:rPr>
                <w:rFonts w:ascii="Arial" w:eastAsia="Times New Roman" w:hAnsi="Arial" w:cs="Arial"/>
                <w:color w:val="000000"/>
                <w:sz w:val="16"/>
                <w:szCs w:val="16"/>
                <w:lang w:eastAsia="es-MX"/>
              </w:rPr>
              <w:t xml:space="preserve">se considera que el modelado debe capturar la realidad </w:t>
            </w:r>
            <w:r w:rsidR="00330378" w:rsidRPr="00662097">
              <w:rPr>
                <w:rFonts w:ascii="Arial" w:eastAsia="Times New Roman" w:hAnsi="Arial" w:cs="Arial"/>
                <w:color w:val="000000"/>
                <w:sz w:val="16"/>
                <w:szCs w:val="16"/>
                <w:lang w:eastAsia="es-MX"/>
              </w:rPr>
              <w:t>d</w:t>
            </w:r>
            <w:r w:rsidR="00683039" w:rsidRPr="00662097">
              <w:rPr>
                <w:rFonts w:ascii="Arial" w:eastAsia="Times New Roman" w:hAnsi="Arial" w:cs="Arial"/>
                <w:color w:val="000000"/>
                <w:sz w:val="16"/>
                <w:szCs w:val="16"/>
                <w:lang w:eastAsia="es-MX"/>
              </w:rPr>
              <w:t xml:space="preserve">el mercado mexicano. </w:t>
            </w:r>
          </w:p>
          <w:p w14:paraId="6743B639" w14:textId="3AEBA2AF" w:rsidR="00D8131E" w:rsidRPr="00662097" w:rsidRDefault="00D8131E" w:rsidP="00BA1C78">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Por último, el aumento en el inventario de nodos del AEP </w:t>
            </w:r>
            <w:r w:rsidR="005152F2" w:rsidRPr="00662097">
              <w:rPr>
                <w:rFonts w:ascii="Arial" w:eastAsia="Times New Roman" w:hAnsi="Arial" w:cs="Arial"/>
                <w:color w:val="000000"/>
                <w:sz w:val="16"/>
                <w:szCs w:val="16"/>
                <w:lang w:eastAsia="es-MX"/>
              </w:rPr>
              <w:t>(</w:t>
            </w:r>
            <w:r w:rsidR="002058F2" w:rsidRPr="00662097">
              <w:rPr>
                <w:rFonts w:ascii="Arial" w:eastAsia="Times New Roman" w:hAnsi="Arial" w:cs="Arial"/>
                <w:color w:val="000000"/>
                <w:sz w:val="16"/>
                <w:szCs w:val="16"/>
                <w:lang w:eastAsia="es-MX"/>
              </w:rPr>
              <w:t xml:space="preserve">aumento </w:t>
            </w:r>
            <w:r w:rsidR="005152F2" w:rsidRPr="00662097">
              <w:rPr>
                <w:rFonts w:ascii="Arial" w:eastAsia="Times New Roman" w:hAnsi="Arial" w:cs="Arial"/>
                <w:color w:val="000000"/>
                <w:sz w:val="16"/>
                <w:szCs w:val="16"/>
                <w:lang w:eastAsia="es-MX"/>
              </w:rPr>
              <w:t>inferior al 3% respecto al año 2018) se considera razonable dada la necesidad de capturar nuevos despliegues, por ejemplo, para albergar zonas con nuevos desarrollos urbanísticos</w:t>
            </w:r>
            <w:r w:rsidR="00606A2A" w:rsidRPr="00662097">
              <w:rPr>
                <w:rFonts w:ascii="Arial" w:eastAsia="Times New Roman" w:hAnsi="Arial" w:cs="Arial"/>
                <w:color w:val="000000"/>
                <w:sz w:val="16"/>
                <w:szCs w:val="16"/>
                <w:lang w:eastAsia="es-MX"/>
              </w:rPr>
              <w:t xml:space="preserve"> o previamente no atendidas</w:t>
            </w:r>
            <w:r w:rsidR="005152F2" w:rsidRPr="00662097">
              <w:rPr>
                <w:rFonts w:ascii="Arial" w:eastAsia="Times New Roman" w:hAnsi="Arial" w:cs="Arial"/>
                <w:color w:val="000000"/>
                <w:sz w:val="16"/>
                <w:szCs w:val="16"/>
                <w:lang w:eastAsia="es-MX"/>
              </w:rPr>
              <w:t xml:space="preserve">. </w:t>
            </w:r>
          </w:p>
        </w:tc>
      </w:tr>
      <w:tr w:rsidR="008A7949" w:rsidRPr="00662097" w14:paraId="4CD88C52" w14:textId="77777777" w:rsidTr="008F664E">
        <w:trPr>
          <w:trHeight w:val="20"/>
        </w:trPr>
        <w:tc>
          <w:tcPr>
            <w:tcW w:w="1271" w:type="dxa"/>
            <w:vAlign w:val="center"/>
          </w:tcPr>
          <w:p w14:paraId="5B440C01" w14:textId="32BC9F82"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CANIETI</w:t>
            </w:r>
          </w:p>
        </w:tc>
        <w:tc>
          <w:tcPr>
            <w:tcW w:w="1843" w:type="dxa"/>
            <w:shd w:val="clear" w:color="auto" w:fill="auto"/>
            <w:vAlign w:val="center"/>
          </w:tcPr>
          <w:p w14:paraId="5C8D6F4F" w14:textId="7496C7BC" w:rsidR="008A7949" w:rsidRPr="00662097" w:rsidRDefault="008A7949" w:rsidP="008A7949">
            <w:pPr>
              <w:spacing w:after="0" w:line="240" w:lineRule="auto"/>
              <w:jc w:val="center"/>
              <w:rPr>
                <w:rFonts w:ascii="Arial" w:eastAsia="Times New Roman" w:hAnsi="Arial" w:cs="Arial"/>
                <w:bCs/>
                <w:color w:val="000000"/>
                <w:sz w:val="16"/>
                <w:szCs w:val="16"/>
                <w:lang w:eastAsia="es-MX"/>
              </w:rPr>
            </w:pPr>
            <w:r w:rsidRPr="00662097">
              <w:rPr>
                <w:rFonts w:ascii="Arial" w:eastAsia="Times New Roman" w:hAnsi="Arial" w:cs="Arial"/>
                <w:bCs/>
                <w:color w:val="000000"/>
                <w:sz w:val="16"/>
                <w:szCs w:val="16"/>
                <w:lang w:eastAsia="es-MX"/>
              </w:rPr>
              <w:t>3.1. Inventario de activos necesarios a ser desplegados en la red</w:t>
            </w:r>
          </w:p>
        </w:tc>
        <w:tc>
          <w:tcPr>
            <w:tcW w:w="6379" w:type="dxa"/>
            <w:shd w:val="clear" w:color="auto" w:fill="auto"/>
            <w:vAlign w:val="center"/>
          </w:tcPr>
          <w:p w14:paraId="577974CD" w14:textId="77777777" w:rsidR="008A7949" w:rsidRPr="00662097" w:rsidRDefault="008A7949" w:rsidP="008A7949">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La actualización de los niveles de cobertura y de los nodos de la red modelada se basan completamente en la información del AEPT, sin que la actualización considere una optimización o racionalización de los datos proporcionados por dicho agente económico.</w:t>
            </w:r>
          </w:p>
          <w:p w14:paraId="6982BFE6" w14:textId="77777777" w:rsidR="008A7949" w:rsidRPr="00662097" w:rsidRDefault="008A7949" w:rsidP="008A7949">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Como resultado, se observan aspectos que son notoriamente ineficientes, como el que se modele una red con 22.4 millones de casas o premisas pasadas por la red de cobre, cuando la tendencia debería ser a sustituir esta infraestructura por FTTH. En conjunto, con las tres tecnologías o redes consideradas (cobre, FTTH, FTTC), el número de casas pasadas es de más de 38 millones, cuando el número de líneas activas en el modelo es de menos de 20 millones.  </w:t>
            </w:r>
          </w:p>
          <w:p w14:paraId="5808DC2E" w14:textId="77777777" w:rsidR="008A7949" w:rsidRPr="00662097" w:rsidRDefault="008A7949" w:rsidP="008A7949">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lastRenderedPageBreak/>
              <w:t xml:space="preserve">De igual forma, como se comenta previamente, el inventario de nodos del AEPT en el Modelo Integral de la Red de Acceso para 2024, se incrementó con respecto al de 2021 cuando, por el contrario, se modela una reducción de las líneas activas. </w:t>
            </w:r>
          </w:p>
          <w:p w14:paraId="38F40796" w14:textId="66F3B3B0" w:rsidR="008A7949" w:rsidRPr="00662097" w:rsidRDefault="008A7949" w:rsidP="008A7949">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Dicho diseño del modelo refleja ineficiencias que necesariamente son transmitidas en las tarifas resultantes. Por lo tanto, se solicita atentamente hacer una revisión del grado excesivo de dependencia del Modelo Integral de la Red de Acceso para 2024 en la información proporcionada por el AEPT, y que se identifiquen áreas o aspectos donde se pueda sustituir dicha información por parámetros o métricas de un operador eficiente, tal y como demanda un verdadero modelo de costos CIPLP con enfoque bottom-up.</w:t>
            </w:r>
          </w:p>
        </w:tc>
        <w:tc>
          <w:tcPr>
            <w:tcW w:w="4536" w:type="dxa"/>
          </w:tcPr>
          <w:p w14:paraId="04D3CFD3" w14:textId="44CCC41A" w:rsidR="008A7949" w:rsidRPr="00662097" w:rsidRDefault="008A7949" w:rsidP="008A7949">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lastRenderedPageBreak/>
              <w:t xml:space="preserve">Ver respuesta </w:t>
            </w:r>
            <w:r w:rsidR="00D217C1" w:rsidRPr="00662097">
              <w:rPr>
                <w:rFonts w:ascii="Arial" w:eastAsia="Times New Roman" w:hAnsi="Arial" w:cs="Arial"/>
                <w:color w:val="000000"/>
                <w:sz w:val="16"/>
                <w:szCs w:val="16"/>
                <w:lang w:eastAsia="es-MX"/>
              </w:rPr>
              <w:t xml:space="preserve">al comentario </w:t>
            </w:r>
            <w:r w:rsidRPr="00662097">
              <w:rPr>
                <w:rFonts w:ascii="Arial" w:eastAsia="Times New Roman" w:hAnsi="Arial" w:cs="Arial"/>
                <w:color w:val="000000"/>
                <w:sz w:val="16"/>
                <w:szCs w:val="16"/>
                <w:lang w:eastAsia="es-MX"/>
              </w:rPr>
              <w:t>anterior</w:t>
            </w:r>
            <w:r w:rsidR="00D217C1" w:rsidRPr="00662097">
              <w:rPr>
                <w:rFonts w:ascii="Arial" w:eastAsia="Times New Roman" w:hAnsi="Arial" w:cs="Arial"/>
                <w:color w:val="000000"/>
                <w:sz w:val="16"/>
                <w:szCs w:val="16"/>
                <w:lang w:eastAsia="es-MX"/>
              </w:rPr>
              <w:t>.</w:t>
            </w:r>
          </w:p>
        </w:tc>
      </w:tr>
      <w:tr w:rsidR="008A7949" w:rsidRPr="00662097" w14:paraId="2E501E0B" w14:textId="1F22A53F" w:rsidTr="008F664E">
        <w:trPr>
          <w:trHeight w:val="20"/>
        </w:trPr>
        <w:tc>
          <w:tcPr>
            <w:tcW w:w="1271" w:type="dxa"/>
            <w:vAlign w:val="center"/>
          </w:tcPr>
          <w:p w14:paraId="029A467F" w14:textId="4D07DD39"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Mega Cable</w:t>
            </w:r>
          </w:p>
        </w:tc>
        <w:tc>
          <w:tcPr>
            <w:tcW w:w="1843" w:type="dxa"/>
            <w:shd w:val="clear" w:color="auto" w:fill="auto"/>
            <w:vAlign w:val="center"/>
          </w:tcPr>
          <w:p w14:paraId="35CE74C7" w14:textId="7F3A8200"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3.3. Costos Unitarios</w:t>
            </w:r>
          </w:p>
        </w:tc>
        <w:tc>
          <w:tcPr>
            <w:tcW w:w="6379" w:type="dxa"/>
            <w:shd w:val="clear" w:color="auto" w:fill="auto"/>
            <w:vAlign w:val="center"/>
          </w:tcPr>
          <w:p w14:paraId="4C62BD66" w14:textId="5DA8677B" w:rsidR="008A7949" w:rsidRPr="00662097" w:rsidRDefault="008A7949" w:rsidP="008A7949">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Como se indica previamente, en lugar de considerar valores comerciales o de mercado de los activos de red, el IFT ha optado por considerar la información del AEP como válida</w:t>
            </w:r>
            <w:r w:rsidR="0027583B" w:rsidRPr="00662097">
              <w:rPr>
                <w:rFonts w:ascii="Arial" w:eastAsia="Times New Roman" w:hAnsi="Arial" w:cs="Arial"/>
                <w:color w:val="000000"/>
                <w:sz w:val="16"/>
                <w:szCs w:val="16"/>
                <w:lang w:eastAsia="es-MX"/>
              </w:rPr>
              <w:t>.</w:t>
            </w:r>
          </w:p>
          <w:p w14:paraId="05ADA8E8" w14:textId="77777777" w:rsidR="008A7949" w:rsidRPr="00662097" w:rsidRDefault="008A7949" w:rsidP="008A7949">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Así, en el numeral 3.3 del Documento Actualización se señala que para actualizar los costos unitarios:</w:t>
            </w:r>
          </w:p>
          <w:p w14:paraId="0AEBAD34" w14:textId="77777777" w:rsidR="008A7949" w:rsidRPr="00662097" w:rsidRDefault="008A7949" w:rsidP="00E25791">
            <w:pPr>
              <w:pStyle w:val="TableListBullet"/>
              <w:numPr>
                <w:ilvl w:val="0"/>
                <w:numId w:val="0"/>
              </w:numPr>
              <w:ind w:left="227"/>
              <w:rPr>
                <w:rFonts w:ascii="Arial" w:hAnsi="Arial" w:cs="Arial"/>
                <w:i/>
                <w:iCs/>
                <w:lang w:eastAsia="es-MX"/>
              </w:rPr>
            </w:pPr>
            <w:r w:rsidRPr="00662097">
              <w:rPr>
                <w:rFonts w:ascii="Arial" w:hAnsi="Arial" w:cs="Arial"/>
                <w:i/>
                <w:iCs/>
                <w:lang w:eastAsia="es-MX"/>
              </w:rPr>
              <w:t xml:space="preserve">“Para la revisión de los costos unitarios, se ha solicitado información actualizada al AEP sobre los </w:t>
            </w:r>
            <w:r w:rsidRPr="00662097">
              <w:rPr>
                <w:rFonts w:ascii="Arial" w:hAnsi="Arial" w:cs="Arial"/>
                <w:b/>
                <w:i/>
                <w:iCs/>
                <w:u w:val="single"/>
                <w:lang w:eastAsia="es-MX"/>
              </w:rPr>
              <w:t>costos unitarios de la totalidad de los activos considerados</w:t>
            </w:r>
            <w:r w:rsidRPr="00662097">
              <w:rPr>
                <w:rFonts w:ascii="Arial" w:hAnsi="Arial" w:cs="Arial"/>
                <w:i/>
                <w:iCs/>
                <w:lang w:eastAsia="es-MX"/>
              </w:rPr>
              <w:t xml:space="preserve"> en el Modelo (canalizaciones, pozos, postes, cables de fibra y cobre, etc.), tomando como referencia el año de 2023.” [Énfasis propio]</w:t>
            </w:r>
          </w:p>
          <w:p w14:paraId="2943EFB8" w14:textId="37BAEC63"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Este proceder resulta en que, en lugar de un enfoque de costos incrementales promedio de largo plazo (CIPLP), que refleje o aproxime condiciones de competencia, el Modelo Integral se asemeje a un enfoque regulatorio de Tasa de Retorno (</w:t>
            </w:r>
            <w:proofErr w:type="spellStart"/>
            <w:r w:rsidRPr="00662097">
              <w:rPr>
                <w:rFonts w:ascii="Arial" w:hAnsi="Arial" w:cs="Arial"/>
                <w:sz w:val="16"/>
                <w:szCs w:val="16"/>
                <w:lang w:eastAsia="es-MX"/>
              </w:rPr>
              <w:t>Rate</w:t>
            </w:r>
            <w:proofErr w:type="spellEnd"/>
            <w:r w:rsidRPr="00662097">
              <w:rPr>
                <w:rFonts w:ascii="Arial" w:hAnsi="Arial" w:cs="Arial"/>
                <w:sz w:val="16"/>
                <w:szCs w:val="16"/>
                <w:lang w:eastAsia="es-MX"/>
              </w:rPr>
              <w:t xml:space="preserve"> </w:t>
            </w:r>
            <w:proofErr w:type="spellStart"/>
            <w:r w:rsidRPr="00662097">
              <w:rPr>
                <w:rFonts w:ascii="Arial" w:hAnsi="Arial" w:cs="Arial"/>
                <w:sz w:val="16"/>
                <w:szCs w:val="16"/>
                <w:lang w:eastAsia="es-MX"/>
              </w:rPr>
              <w:t>of</w:t>
            </w:r>
            <w:proofErr w:type="spellEnd"/>
            <w:r w:rsidRPr="00662097">
              <w:rPr>
                <w:rFonts w:ascii="Arial" w:hAnsi="Arial" w:cs="Arial"/>
                <w:sz w:val="16"/>
                <w:szCs w:val="16"/>
                <w:lang w:eastAsia="es-MX"/>
              </w:rPr>
              <w:t xml:space="preserve"> </w:t>
            </w:r>
            <w:proofErr w:type="spellStart"/>
            <w:r w:rsidRPr="00662097">
              <w:rPr>
                <w:rFonts w:ascii="Arial" w:hAnsi="Arial" w:cs="Arial"/>
                <w:sz w:val="16"/>
                <w:szCs w:val="16"/>
                <w:lang w:eastAsia="es-MX"/>
              </w:rPr>
              <w:t>Return</w:t>
            </w:r>
            <w:proofErr w:type="spellEnd"/>
            <w:r w:rsidRPr="00662097">
              <w:rPr>
                <w:rFonts w:ascii="Arial" w:hAnsi="Arial" w:cs="Arial"/>
                <w:sz w:val="16"/>
                <w:szCs w:val="16"/>
                <w:lang w:eastAsia="es-MX"/>
              </w:rPr>
              <w:t xml:space="preserve"> </w:t>
            </w:r>
            <w:proofErr w:type="spellStart"/>
            <w:r w:rsidRPr="00662097">
              <w:rPr>
                <w:rFonts w:ascii="Arial" w:hAnsi="Arial" w:cs="Arial"/>
                <w:sz w:val="16"/>
                <w:szCs w:val="16"/>
                <w:lang w:eastAsia="es-MX"/>
              </w:rPr>
              <w:t>Regulation</w:t>
            </w:r>
            <w:proofErr w:type="spellEnd"/>
            <w:r w:rsidRPr="00662097">
              <w:rPr>
                <w:rFonts w:ascii="Arial" w:hAnsi="Arial" w:cs="Arial"/>
                <w:sz w:val="16"/>
                <w:szCs w:val="16"/>
                <w:lang w:eastAsia="es-MX"/>
              </w:rPr>
              <w:t>), donde al regulado se le permite recuperar la totalidad de sus costos, eliminando cualquier incentivo para ser más eficiente o inclusive para invertir de manera más racional.</w:t>
            </w:r>
          </w:p>
        </w:tc>
        <w:tc>
          <w:tcPr>
            <w:tcW w:w="4536" w:type="dxa"/>
          </w:tcPr>
          <w:p w14:paraId="05F06144" w14:textId="67BDDFF5" w:rsidR="000C6805" w:rsidRPr="00662097" w:rsidRDefault="00FF3EDA" w:rsidP="000C6805">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L</w:t>
            </w:r>
            <w:r w:rsidR="000C6805" w:rsidRPr="00662097">
              <w:rPr>
                <w:rFonts w:ascii="Arial" w:hAnsi="Arial" w:cs="Arial"/>
                <w:sz w:val="16"/>
                <w:szCs w:val="16"/>
                <w:lang w:eastAsia="es-MX"/>
              </w:rPr>
              <w:t xml:space="preserve">a información de CAPEX unitarios </w:t>
            </w:r>
            <w:r w:rsidRPr="00662097">
              <w:rPr>
                <w:rFonts w:ascii="Arial" w:hAnsi="Arial" w:cs="Arial"/>
                <w:sz w:val="16"/>
                <w:szCs w:val="16"/>
                <w:lang w:eastAsia="es-MX"/>
              </w:rPr>
              <w:t xml:space="preserve">proporcionada </w:t>
            </w:r>
            <w:r w:rsidR="000C6805" w:rsidRPr="00662097">
              <w:rPr>
                <w:rFonts w:ascii="Arial" w:hAnsi="Arial" w:cs="Arial"/>
                <w:sz w:val="16"/>
                <w:szCs w:val="16"/>
                <w:lang w:eastAsia="es-MX"/>
              </w:rPr>
              <w:t>por parte del</w:t>
            </w:r>
            <w:r w:rsidR="000C6805" w:rsidRPr="00662097" w:rsidDel="00CF3684">
              <w:rPr>
                <w:rFonts w:ascii="Arial" w:hAnsi="Arial" w:cs="Arial"/>
                <w:sz w:val="16"/>
                <w:szCs w:val="16"/>
                <w:lang w:eastAsia="es-MX"/>
              </w:rPr>
              <w:t xml:space="preserve"> AEP </w:t>
            </w:r>
            <w:r w:rsidR="000C6805" w:rsidRPr="00662097">
              <w:rPr>
                <w:rFonts w:ascii="Arial" w:hAnsi="Arial" w:cs="Arial"/>
                <w:sz w:val="16"/>
                <w:szCs w:val="16"/>
                <w:lang w:eastAsia="es-MX"/>
              </w:rPr>
              <w:t xml:space="preserve">ha sido revisada y comparada con datos de referencia internacionales para garantizar que la misma es apropiada y se encuentra alineada con valores de mercado. </w:t>
            </w:r>
          </w:p>
          <w:p w14:paraId="3E9C824A" w14:textId="3F1BEA05" w:rsidR="008B62C8" w:rsidRPr="00662097" w:rsidRDefault="00A04FB0" w:rsidP="008B62C8">
            <w:pPr>
              <w:spacing w:before="120" w:after="120" w:line="240" w:lineRule="auto"/>
              <w:rPr>
                <w:rFonts w:ascii="Arial" w:hAnsi="Arial" w:cs="Arial"/>
                <w:sz w:val="16"/>
                <w:szCs w:val="16"/>
                <w:lang w:eastAsia="es-MX"/>
              </w:rPr>
            </w:pPr>
            <w:r w:rsidRPr="00662097">
              <w:rPr>
                <w:rFonts w:ascii="Arial" w:hAnsi="Arial" w:cs="Arial"/>
                <w:sz w:val="16"/>
                <w:szCs w:val="16"/>
                <w:lang w:eastAsia="es-MX"/>
              </w:rPr>
              <w:t xml:space="preserve">De manera adicional a lo anterior, </w:t>
            </w:r>
            <w:r w:rsidR="00705CC5" w:rsidRPr="00662097">
              <w:rPr>
                <w:rFonts w:ascii="Arial" w:eastAsia="Times New Roman" w:hAnsi="Arial" w:cs="Arial"/>
                <w:color w:val="000000"/>
                <w:sz w:val="16"/>
                <w:szCs w:val="16"/>
                <w:lang w:eastAsia="es-MX"/>
              </w:rPr>
              <w:t xml:space="preserve">se hará una revisión de los </w:t>
            </w:r>
            <w:r w:rsidR="008B62C8" w:rsidRPr="00662097">
              <w:rPr>
                <w:rFonts w:ascii="Arial" w:eastAsia="Times New Roman" w:hAnsi="Arial" w:cs="Arial"/>
                <w:color w:val="000000"/>
                <w:sz w:val="16"/>
                <w:szCs w:val="16"/>
                <w:lang w:eastAsia="es-MX"/>
              </w:rPr>
              <w:t xml:space="preserve">costos unitarios </w:t>
            </w:r>
            <w:r w:rsidR="00705CC5" w:rsidRPr="00662097">
              <w:rPr>
                <w:rFonts w:ascii="Arial" w:eastAsia="Times New Roman" w:hAnsi="Arial" w:cs="Arial"/>
                <w:color w:val="000000"/>
                <w:sz w:val="16"/>
                <w:szCs w:val="16"/>
                <w:lang w:eastAsia="es-MX"/>
              </w:rPr>
              <w:t xml:space="preserve">de </w:t>
            </w:r>
            <w:r w:rsidR="008B62C8" w:rsidRPr="00662097">
              <w:rPr>
                <w:rFonts w:ascii="Arial" w:eastAsia="Times New Roman" w:hAnsi="Arial" w:cs="Arial"/>
                <w:color w:val="000000"/>
                <w:sz w:val="16"/>
                <w:szCs w:val="16"/>
                <w:lang w:eastAsia="es-MX"/>
              </w:rPr>
              <w:t xml:space="preserve">ciertos </w:t>
            </w:r>
            <w:r w:rsidR="00705CC5" w:rsidRPr="00662097">
              <w:rPr>
                <w:rFonts w:ascii="Arial" w:eastAsia="Times New Roman" w:hAnsi="Arial" w:cs="Arial"/>
                <w:color w:val="000000"/>
                <w:sz w:val="16"/>
                <w:szCs w:val="16"/>
                <w:lang w:eastAsia="es-MX"/>
              </w:rPr>
              <w:t xml:space="preserve">elementos de infraestructura pasiva a efecto de </w:t>
            </w:r>
            <w:r w:rsidR="008B62C8" w:rsidRPr="00662097">
              <w:rPr>
                <w:rFonts w:ascii="Arial" w:eastAsia="Times New Roman" w:hAnsi="Arial" w:cs="Arial"/>
                <w:color w:val="000000"/>
                <w:sz w:val="16"/>
                <w:szCs w:val="16"/>
                <w:lang w:eastAsia="es-MX"/>
              </w:rPr>
              <w:t xml:space="preserve">garantizar que los mismos </w:t>
            </w:r>
            <w:r w:rsidR="00705CC5" w:rsidRPr="00662097">
              <w:rPr>
                <w:rFonts w:ascii="Arial" w:hAnsi="Arial" w:cs="Arial"/>
                <w:sz w:val="16"/>
                <w:szCs w:val="16"/>
                <w:lang w:eastAsia="es-MX"/>
              </w:rPr>
              <w:t xml:space="preserve">reflejan un valor de reposición acorde </w:t>
            </w:r>
            <w:r w:rsidR="004B7D21" w:rsidRPr="00662097">
              <w:rPr>
                <w:rFonts w:ascii="Arial" w:hAnsi="Arial" w:cs="Arial"/>
                <w:sz w:val="16"/>
                <w:szCs w:val="16"/>
                <w:lang w:eastAsia="es-MX"/>
              </w:rPr>
              <w:t>con</w:t>
            </w:r>
            <w:r w:rsidR="00705CC5" w:rsidRPr="00662097">
              <w:rPr>
                <w:rFonts w:ascii="Arial" w:hAnsi="Arial" w:cs="Arial"/>
                <w:sz w:val="16"/>
                <w:szCs w:val="16"/>
                <w:lang w:eastAsia="es-MX"/>
              </w:rPr>
              <w:t xml:space="preserve"> la evolución de los precios y el progreso tecnológico</w:t>
            </w:r>
            <w:r w:rsidRPr="00662097">
              <w:rPr>
                <w:rFonts w:ascii="Arial" w:hAnsi="Arial" w:cs="Arial"/>
                <w:sz w:val="16"/>
                <w:szCs w:val="16"/>
                <w:lang w:eastAsia="es-MX"/>
              </w:rPr>
              <w:t xml:space="preserve">. </w:t>
            </w:r>
          </w:p>
          <w:p w14:paraId="0F2A1B83" w14:textId="389D74AE" w:rsidR="008A7949" w:rsidRPr="00662097" w:rsidRDefault="00A04FB0" w:rsidP="008B62C8">
            <w:pPr>
              <w:spacing w:before="120" w:after="120" w:line="240" w:lineRule="auto"/>
              <w:rPr>
                <w:rFonts w:ascii="Arial" w:eastAsia="Times New Roman" w:hAnsi="Arial" w:cs="Arial"/>
                <w:color w:val="000000"/>
                <w:sz w:val="16"/>
                <w:szCs w:val="16"/>
                <w:lang w:eastAsia="es-MX"/>
              </w:rPr>
            </w:pPr>
            <w:r w:rsidRPr="00662097">
              <w:rPr>
                <w:rFonts w:ascii="Arial" w:hAnsi="Arial" w:cs="Arial"/>
                <w:sz w:val="16"/>
                <w:szCs w:val="16"/>
                <w:lang w:eastAsia="es-MX"/>
              </w:rPr>
              <w:t xml:space="preserve">En este mismo contexto, </w:t>
            </w:r>
            <w:r w:rsidR="00F7250F" w:rsidRPr="00662097">
              <w:rPr>
                <w:rFonts w:ascii="Arial" w:hAnsi="Arial" w:cs="Arial"/>
                <w:sz w:val="16"/>
                <w:szCs w:val="16"/>
                <w:lang w:eastAsia="es-MX"/>
              </w:rPr>
              <w:t xml:space="preserve">dado que </w:t>
            </w:r>
            <w:r w:rsidR="0009248B" w:rsidRPr="00662097">
              <w:rPr>
                <w:rFonts w:ascii="Arial" w:hAnsi="Arial" w:cs="Arial"/>
                <w:sz w:val="16"/>
                <w:szCs w:val="16"/>
                <w:lang w:eastAsia="es-MX"/>
              </w:rPr>
              <w:t xml:space="preserve">el comentario </w:t>
            </w:r>
            <w:r w:rsidR="00F7250F" w:rsidRPr="00662097">
              <w:rPr>
                <w:rFonts w:ascii="Arial" w:hAnsi="Arial" w:cs="Arial"/>
                <w:sz w:val="16"/>
                <w:szCs w:val="16"/>
                <w:lang w:eastAsia="es-MX"/>
              </w:rPr>
              <w:t xml:space="preserve">no ofrece </w:t>
            </w:r>
            <w:r w:rsidRPr="00662097">
              <w:rPr>
                <w:rFonts w:ascii="Arial" w:hAnsi="Arial" w:cs="Arial"/>
                <w:sz w:val="16"/>
                <w:szCs w:val="16"/>
                <w:lang w:eastAsia="es-MX"/>
              </w:rPr>
              <w:t>evidencia que p</w:t>
            </w:r>
            <w:r w:rsidR="00F7250F" w:rsidRPr="00662097">
              <w:rPr>
                <w:rFonts w:ascii="Arial" w:hAnsi="Arial" w:cs="Arial"/>
                <w:sz w:val="16"/>
                <w:szCs w:val="16"/>
                <w:lang w:eastAsia="es-MX"/>
              </w:rPr>
              <w:t xml:space="preserve">ermita </w:t>
            </w:r>
            <w:r w:rsidR="006B112D">
              <w:rPr>
                <w:rFonts w:ascii="Arial" w:hAnsi="Arial" w:cs="Arial"/>
                <w:sz w:val="16"/>
                <w:szCs w:val="16"/>
                <w:lang w:eastAsia="es-MX"/>
              </w:rPr>
              <w:t>a la UPR</w:t>
            </w:r>
            <w:r w:rsidR="00F7250F" w:rsidRPr="00662097">
              <w:rPr>
                <w:rFonts w:ascii="Arial" w:hAnsi="Arial" w:cs="Arial"/>
                <w:sz w:val="16"/>
                <w:szCs w:val="16"/>
                <w:lang w:eastAsia="es-MX"/>
              </w:rPr>
              <w:t xml:space="preserve"> revisar </w:t>
            </w:r>
            <w:r w:rsidRPr="00662097">
              <w:rPr>
                <w:rFonts w:ascii="Arial" w:hAnsi="Arial" w:cs="Arial"/>
                <w:sz w:val="16"/>
                <w:szCs w:val="16"/>
                <w:lang w:eastAsia="es-MX"/>
              </w:rPr>
              <w:t xml:space="preserve">los </w:t>
            </w:r>
            <w:r w:rsidR="00F7250F" w:rsidRPr="00662097">
              <w:rPr>
                <w:rFonts w:ascii="Arial" w:hAnsi="Arial" w:cs="Arial"/>
                <w:sz w:val="16"/>
                <w:szCs w:val="16"/>
                <w:lang w:eastAsia="es-MX"/>
              </w:rPr>
              <w:t>insumos</w:t>
            </w:r>
            <w:r w:rsidRPr="00662097">
              <w:rPr>
                <w:rFonts w:ascii="Arial" w:hAnsi="Arial" w:cs="Arial"/>
                <w:sz w:val="16"/>
                <w:szCs w:val="16"/>
                <w:lang w:eastAsia="es-MX"/>
              </w:rPr>
              <w:t xml:space="preserve"> emplead</w:t>
            </w:r>
            <w:r w:rsidR="009C0575" w:rsidRPr="00662097">
              <w:rPr>
                <w:rFonts w:ascii="Arial" w:hAnsi="Arial" w:cs="Arial"/>
                <w:sz w:val="16"/>
                <w:szCs w:val="16"/>
                <w:lang w:eastAsia="es-MX"/>
              </w:rPr>
              <w:t>o</w:t>
            </w:r>
            <w:r w:rsidRPr="00662097">
              <w:rPr>
                <w:rFonts w:ascii="Arial" w:hAnsi="Arial" w:cs="Arial"/>
                <w:sz w:val="16"/>
                <w:szCs w:val="16"/>
                <w:lang w:eastAsia="es-MX"/>
              </w:rPr>
              <w:t>s por el Modelo</w:t>
            </w:r>
            <w:r w:rsidR="00F7250F" w:rsidRPr="00662097">
              <w:rPr>
                <w:rFonts w:ascii="Arial" w:hAnsi="Arial" w:cs="Arial"/>
                <w:sz w:val="16"/>
                <w:szCs w:val="16"/>
                <w:lang w:eastAsia="es-MX"/>
              </w:rPr>
              <w:t xml:space="preserve">, </w:t>
            </w:r>
            <w:r w:rsidR="0009248B" w:rsidRPr="00662097">
              <w:rPr>
                <w:rFonts w:ascii="Arial" w:hAnsi="Arial" w:cs="Arial"/>
                <w:sz w:val="16"/>
                <w:szCs w:val="16"/>
                <w:lang w:eastAsia="es-MX"/>
              </w:rPr>
              <w:t>se considera que</w:t>
            </w:r>
            <w:r w:rsidR="00F7250F" w:rsidRPr="00662097">
              <w:rPr>
                <w:rFonts w:ascii="Arial" w:hAnsi="Arial" w:cs="Arial"/>
                <w:sz w:val="16"/>
                <w:szCs w:val="16"/>
                <w:lang w:eastAsia="es-MX"/>
              </w:rPr>
              <w:t xml:space="preserve"> las referencias internacionales </w:t>
            </w:r>
            <w:r w:rsidR="0009248B" w:rsidRPr="00662097">
              <w:rPr>
                <w:rFonts w:ascii="Arial" w:hAnsi="Arial" w:cs="Arial"/>
                <w:sz w:val="16"/>
                <w:szCs w:val="16"/>
                <w:lang w:eastAsia="es-MX"/>
              </w:rPr>
              <w:t>analizadas resultan acordes para la modelación de los servicios</w:t>
            </w:r>
            <w:r w:rsidRPr="00662097">
              <w:rPr>
                <w:rFonts w:ascii="Arial" w:hAnsi="Arial" w:cs="Arial"/>
                <w:sz w:val="16"/>
                <w:szCs w:val="16"/>
                <w:lang w:eastAsia="es-MX"/>
              </w:rPr>
              <w:t>.</w:t>
            </w:r>
          </w:p>
        </w:tc>
      </w:tr>
      <w:tr w:rsidR="008A7949" w:rsidRPr="00662097" w14:paraId="73B0AA4A" w14:textId="77777777" w:rsidTr="008F664E">
        <w:trPr>
          <w:trHeight w:val="20"/>
        </w:trPr>
        <w:tc>
          <w:tcPr>
            <w:tcW w:w="1271" w:type="dxa"/>
            <w:vAlign w:val="center"/>
          </w:tcPr>
          <w:p w14:paraId="05244AB8" w14:textId="6E1E4AB5"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CANIETI</w:t>
            </w:r>
          </w:p>
        </w:tc>
        <w:tc>
          <w:tcPr>
            <w:tcW w:w="1843" w:type="dxa"/>
            <w:shd w:val="clear" w:color="auto" w:fill="auto"/>
            <w:vAlign w:val="center"/>
          </w:tcPr>
          <w:p w14:paraId="5C53186F" w14:textId="64905918" w:rsidR="008A7949" w:rsidRPr="00662097" w:rsidRDefault="008A7949" w:rsidP="008A7949">
            <w:pPr>
              <w:spacing w:after="0" w:line="240" w:lineRule="auto"/>
              <w:jc w:val="center"/>
              <w:rPr>
                <w:rFonts w:ascii="Arial" w:eastAsia="Times New Roman" w:hAnsi="Arial" w:cs="Arial"/>
                <w:bCs/>
                <w:color w:val="000000"/>
                <w:sz w:val="16"/>
                <w:szCs w:val="16"/>
                <w:lang w:eastAsia="es-MX"/>
              </w:rPr>
            </w:pPr>
            <w:r w:rsidRPr="00662097">
              <w:rPr>
                <w:rFonts w:ascii="Arial" w:eastAsia="Times New Roman" w:hAnsi="Arial" w:cs="Arial"/>
                <w:bCs/>
                <w:color w:val="000000"/>
                <w:sz w:val="16"/>
                <w:szCs w:val="16"/>
                <w:lang w:eastAsia="es-MX"/>
              </w:rPr>
              <w:t>3.3. Costos Unitarios</w:t>
            </w:r>
          </w:p>
        </w:tc>
        <w:tc>
          <w:tcPr>
            <w:tcW w:w="6379" w:type="dxa"/>
            <w:shd w:val="clear" w:color="auto" w:fill="auto"/>
            <w:vAlign w:val="center"/>
          </w:tcPr>
          <w:p w14:paraId="10B6E2D6" w14:textId="77777777" w:rsidR="008A7949" w:rsidRPr="00662097" w:rsidRDefault="008A7949" w:rsidP="008A7949">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En lugar de considerar valores comerciales o de mercado de los activos de red, el IFT ha optado por considerar la información del AEPT como válida.</w:t>
            </w:r>
          </w:p>
          <w:p w14:paraId="5328DB8C" w14:textId="77777777" w:rsidR="008A7949" w:rsidRPr="00662097" w:rsidRDefault="008A7949" w:rsidP="008A7949">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Así, en el numeral 3.3 se señala que para actualizar los costos unitarios:</w:t>
            </w:r>
          </w:p>
          <w:p w14:paraId="617B5F5A" w14:textId="77777777" w:rsidR="008A7949" w:rsidRPr="00662097" w:rsidRDefault="008A7949" w:rsidP="000648CA">
            <w:pPr>
              <w:pStyle w:val="TableListBullet"/>
              <w:numPr>
                <w:ilvl w:val="0"/>
                <w:numId w:val="0"/>
              </w:numPr>
              <w:ind w:left="227"/>
              <w:rPr>
                <w:rFonts w:ascii="Arial" w:hAnsi="Arial" w:cs="Arial"/>
                <w:i/>
                <w:iCs/>
                <w:lang w:eastAsia="es-MX"/>
              </w:rPr>
            </w:pPr>
            <w:r w:rsidRPr="00662097">
              <w:rPr>
                <w:rFonts w:ascii="Arial" w:hAnsi="Arial" w:cs="Arial"/>
                <w:i/>
                <w:iCs/>
                <w:lang w:eastAsia="es-MX"/>
              </w:rPr>
              <w:t xml:space="preserve">“Para la revisión de los costos unitarios, se ha solicitado información actualizada al AEP sobre los </w:t>
            </w:r>
            <w:r w:rsidRPr="00662097">
              <w:rPr>
                <w:rFonts w:ascii="Arial" w:hAnsi="Arial" w:cs="Arial"/>
                <w:b/>
                <w:i/>
                <w:iCs/>
                <w:u w:val="single"/>
                <w:lang w:eastAsia="es-MX"/>
              </w:rPr>
              <w:t>costos unitarios de la totalidad de los activos considerados</w:t>
            </w:r>
            <w:r w:rsidRPr="00662097">
              <w:rPr>
                <w:rFonts w:ascii="Arial" w:hAnsi="Arial" w:cs="Arial"/>
                <w:i/>
                <w:iCs/>
                <w:lang w:eastAsia="es-MX"/>
              </w:rPr>
              <w:t xml:space="preserve"> en el Modelo (canalizaciones, pozos, postes, cables de fibra y cobre, etc.), tomando como referencia el año de 2023.” [Énfasis propio]</w:t>
            </w:r>
          </w:p>
          <w:p w14:paraId="5505E333" w14:textId="77777777" w:rsidR="008A7949" w:rsidRPr="00662097" w:rsidRDefault="008A7949" w:rsidP="008A7949">
            <w:pPr>
              <w:spacing w:before="120" w:after="120" w:line="240" w:lineRule="auto"/>
              <w:rPr>
                <w:rFonts w:ascii="Arial" w:hAnsi="Arial" w:cs="Arial"/>
                <w:sz w:val="16"/>
                <w:szCs w:val="16"/>
                <w:lang w:eastAsia="es-MX"/>
              </w:rPr>
            </w:pPr>
            <w:r w:rsidRPr="00662097">
              <w:rPr>
                <w:rFonts w:ascii="Arial" w:hAnsi="Arial" w:cs="Arial"/>
                <w:sz w:val="16"/>
                <w:szCs w:val="16"/>
                <w:lang w:eastAsia="es-MX"/>
              </w:rPr>
              <w:t>Este proceder resulta en que, en lugar de un enfoque de costos incrementales promedio de largo plazo (CIPLP), que refleje o aproxime condiciones de competencia, el Modelo Integral se asemeje a un enfoque regulatorio de Tasa de Retorno (</w:t>
            </w:r>
            <w:proofErr w:type="spellStart"/>
            <w:r w:rsidRPr="00662097">
              <w:rPr>
                <w:rFonts w:ascii="Arial" w:hAnsi="Arial" w:cs="Arial"/>
                <w:sz w:val="16"/>
                <w:szCs w:val="16"/>
                <w:lang w:eastAsia="es-MX"/>
              </w:rPr>
              <w:t>Rate</w:t>
            </w:r>
            <w:proofErr w:type="spellEnd"/>
            <w:r w:rsidRPr="00662097">
              <w:rPr>
                <w:rFonts w:ascii="Arial" w:hAnsi="Arial" w:cs="Arial"/>
                <w:sz w:val="16"/>
                <w:szCs w:val="16"/>
                <w:lang w:eastAsia="es-MX"/>
              </w:rPr>
              <w:t xml:space="preserve"> </w:t>
            </w:r>
            <w:proofErr w:type="spellStart"/>
            <w:r w:rsidRPr="00662097">
              <w:rPr>
                <w:rFonts w:ascii="Arial" w:hAnsi="Arial" w:cs="Arial"/>
                <w:sz w:val="16"/>
                <w:szCs w:val="16"/>
                <w:lang w:eastAsia="es-MX"/>
              </w:rPr>
              <w:t>of</w:t>
            </w:r>
            <w:proofErr w:type="spellEnd"/>
            <w:r w:rsidRPr="00662097">
              <w:rPr>
                <w:rFonts w:ascii="Arial" w:hAnsi="Arial" w:cs="Arial"/>
                <w:sz w:val="16"/>
                <w:szCs w:val="16"/>
                <w:lang w:eastAsia="es-MX"/>
              </w:rPr>
              <w:t xml:space="preserve"> </w:t>
            </w:r>
            <w:proofErr w:type="spellStart"/>
            <w:r w:rsidRPr="00662097">
              <w:rPr>
                <w:rFonts w:ascii="Arial" w:hAnsi="Arial" w:cs="Arial"/>
                <w:sz w:val="16"/>
                <w:szCs w:val="16"/>
                <w:lang w:eastAsia="es-MX"/>
              </w:rPr>
              <w:t>Return</w:t>
            </w:r>
            <w:proofErr w:type="spellEnd"/>
            <w:r w:rsidRPr="00662097">
              <w:rPr>
                <w:rFonts w:ascii="Arial" w:hAnsi="Arial" w:cs="Arial"/>
                <w:sz w:val="16"/>
                <w:szCs w:val="16"/>
                <w:lang w:eastAsia="es-MX"/>
              </w:rPr>
              <w:t xml:space="preserve"> </w:t>
            </w:r>
            <w:proofErr w:type="spellStart"/>
            <w:r w:rsidRPr="00662097">
              <w:rPr>
                <w:rFonts w:ascii="Arial" w:hAnsi="Arial" w:cs="Arial"/>
                <w:sz w:val="16"/>
                <w:szCs w:val="16"/>
                <w:lang w:eastAsia="es-MX"/>
              </w:rPr>
              <w:t>Regulation</w:t>
            </w:r>
            <w:proofErr w:type="spellEnd"/>
            <w:r w:rsidRPr="00662097">
              <w:rPr>
                <w:rFonts w:ascii="Arial" w:hAnsi="Arial" w:cs="Arial"/>
                <w:sz w:val="16"/>
                <w:szCs w:val="16"/>
                <w:lang w:eastAsia="es-MX"/>
              </w:rPr>
              <w:t>), donde al regulado se le permite recuperar la totalidad de sus costos, eliminando cualquier incentivo para ser más eficiente o inclusive para invertir de manera más racional.</w:t>
            </w:r>
          </w:p>
          <w:p w14:paraId="5DE9FDC2" w14:textId="77777777" w:rsidR="008A7949" w:rsidRPr="00662097" w:rsidRDefault="008A7949" w:rsidP="008A7949">
            <w:pPr>
              <w:spacing w:before="120" w:after="120" w:line="240" w:lineRule="auto"/>
              <w:rPr>
                <w:rFonts w:ascii="Arial" w:hAnsi="Arial" w:cs="Arial"/>
                <w:sz w:val="16"/>
                <w:szCs w:val="16"/>
                <w:lang w:val="es-ES_tradnl"/>
              </w:rPr>
            </w:pPr>
            <w:r w:rsidRPr="00662097">
              <w:rPr>
                <w:rFonts w:ascii="Arial" w:hAnsi="Arial" w:cs="Arial"/>
                <w:sz w:val="16"/>
                <w:szCs w:val="16"/>
                <w:lang w:val="es-ES_tradnl"/>
              </w:rPr>
              <w:t xml:space="preserve">Varios de los datos de costos unitarios son inapropiados. Solamente por citar un ejemplo, el modelo de costos asume un costo de inversión en un “poste promedio” de $2,612 pesos, que resulta elevado. </w:t>
            </w:r>
          </w:p>
          <w:p w14:paraId="74B8DA55" w14:textId="77777777" w:rsidR="008A7949" w:rsidRPr="00662097" w:rsidRDefault="008A7949" w:rsidP="008A7949">
            <w:pPr>
              <w:spacing w:before="120" w:after="120" w:line="240" w:lineRule="auto"/>
              <w:rPr>
                <w:rFonts w:ascii="Arial" w:hAnsi="Arial" w:cs="Arial"/>
                <w:sz w:val="16"/>
                <w:szCs w:val="16"/>
                <w:lang w:val="es-ES_tradnl"/>
              </w:rPr>
            </w:pPr>
            <w:r w:rsidRPr="00662097">
              <w:rPr>
                <w:rFonts w:ascii="Arial" w:hAnsi="Arial" w:cs="Arial"/>
                <w:sz w:val="16"/>
                <w:szCs w:val="16"/>
                <w:lang w:val="es-ES_tradnl"/>
              </w:rPr>
              <w:lastRenderedPageBreak/>
              <w:t>La gran mayoría de los postes del AEPT (la Red Nacional Última Milla) siguen siendo de madera, los cuales son más económicos que los de concreto. Como se observa, el costo de inversión en un poste utilizado en el modelo de costos no parece corresponder al más económico que un operador eficiente podría obtener en el mercado.</w:t>
            </w:r>
          </w:p>
          <w:p w14:paraId="7ADD3EE0" w14:textId="729CED6E" w:rsidR="008A7949" w:rsidRPr="00662097" w:rsidRDefault="008A7949" w:rsidP="008A7949">
            <w:pPr>
              <w:spacing w:before="120" w:after="120" w:line="240" w:lineRule="auto"/>
              <w:rPr>
                <w:rFonts w:ascii="Arial" w:eastAsia="Times New Roman" w:hAnsi="Arial" w:cs="Arial"/>
                <w:color w:val="000000"/>
                <w:sz w:val="16"/>
                <w:szCs w:val="16"/>
                <w:lang w:eastAsia="es-MX"/>
              </w:rPr>
            </w:pPr>
            <w:r w:rsidRPr="00662097">
              <w:rPr>
                <w:rFonts w:ascii="Arial" w:hAnsi="Arial" w:cs="Arial"/>
                <w:sz w:val="16"/>
                <w:szCs w:val="16"/>
                <w:lang w:val="es-ES_tradnl"/>
              </w:rPr>
              <w:t>Por lo tanto, se solicita atentamente recurrir a otras fuentes alternativas que garanticen la objetividad y neutralidad de la información o bien, realizar un ejercicio de auditoría que permita validar o, en su caso, ajustar la información aportada por el AEPT.</w:t>
            </w:r>
          </w:p>
        </w:tc>
        <w:tc>
          <w:tcPr>
            <w:tcW w:w="4536" w:type="dxa"/>
          </w:tcPr>
          <w:p w14:paraId="14C20E70" w14:textId="0F80F18D" w:rsidR="00B0325A" w:rsidRPr="00662097" w:rsidRDefault="008A7949" w:rsidP="00E8695E">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lastRenderedPageBreak/>
              <w:t xml:space="preserve">Ver respuesta </w:t>
            </w:r>
            <w:r w:rsidR="00CD33F8" w:rsidRPr="00662097">
              <w:rPr>
                <w:rFonts w:ascii="Arial" w:eastAsia="Times New Roman" w:hAnsi="Arial" w:cs="Arial"/>
                <w:color w:val="000000"/>
                <w:sz w:val="16"/>
                <w:szCs w:val="16"/>
                <w:lang w:eastAsia="es-MX"/>
              </w:rPr>
              <w:t xml:space="preserve">al comentario anterior. </w:t>
            </w:r>
          </w:p>
        </w:tc>
      </w:tr>
      <w:tr w:rsidR="008A7949" w:rsidRPr="00662097" w14:paraId="4EBDF8F7" w14:textId="08C8FF0C" w:rsidTr="008F664E">
        <w:trPr>
          <w:trHeight w:val="20"/>
        </w:trPr>
        <w:tc>
          <w:tcPr>
            <w:tcW w:w="1271" w:type="dxa"/>
            <w:vAlign w:val="center"/>
          </w:tcPr>
          <w:p w14:paraId="53F46009" w14:textId="39F3A271"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Mega Cable</w:t>
            </w:r>
          </w:p>
        </w:tc>
        <w:tc>
          <w:tcPr>
            <w:tcW w:w="1843" w:type="dxa"/>
            <w:shd w:val="clear" w:color="auto" w:fill="auto"/>
            <w:vAlign w:val="center"/>
          </w:tcPr>
          <w:p w14:paraId="529D4850" w14:textId="54AEE0D6"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3.6. CCPP</w:t>
            </w:r>
          </w:p>
        </w:tc>
        <w:tc>
          <w:tcPr>
            <w:tcW w:w="6379" w:type="dxa"/>
            <w:shd w:val="clear" w:color="auto" w:fill="auto"/>
          </w:tcPr>
          <w:p w14:paraId="57E386FA" w14:textId="576DB505" w:rsidR="008A7949" w:rsidRPr="00662097" w:rsidRDefault="008A7949" w:rsidP="008A7949">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Se afirma que se calcula un CCPP de un operador eficiente, cuando en realidad se basa en información de distintos operadores. Se ha señalado repetidamente que el AEP es un grupo económico multinacional con capacidad de financiarse en los mercados financieros internacionales, por lo cual los CCPP estimados tanto en este modelo como en el de interconexión sobrestiman el CCPP no solo de un operador eficiente, sino del propio AEP.</w:t>
            </w:r>
          </w:p>
        </w:tc>
        <w:tc>
          <w:tcPr>
            <w:tcW w:w="4536" w:type="dxa"/>
          </w:tcPr>
          <w:p w14:paraId="21ED26E2" w14:textId="566EEF54" w:rsidR="008A7949" w:rsidRPr="00662097" w:rsidRDefault="0009248B" w:rsidP="008A7949">
            <w:pPr>
              <w:spacing w:before="120" w:after="120" w:line="240" w:lineRule="auto"/>
              <w:rPr>
                <w:rFonts w:ascii="Arial" w:eastAsia="Times New Roman" w:hAnsi="Arial" w:cs="Arial"/>
                <w:color w:val="000000"/>
                <w:sz w:val="16"/>
                <w:szCs w:val="16"/>
                <w:lang w:eastAsia="es-MX"/>
              </w:rPr>
            </w:pPr>
            <w:r w:rsidRPr="00662097">
              <w:rPr>
                <w:rFonts w:ascii="Arial" w:hAnsi="Arial" w:cs="Arial"/>
                <w:sz w:val="16"/>
                <w:szCs w:val="16"/>
              </w:rPr>
              <w:t xml:space="preserve">La atención a dicho comentario se realizará conforme a lo </w:t>
            </w:r>
            <w:r w:rsidR="00CF3684" w:rsidRPr="00662097">
              <w:rPr>
                <w:rFonts w:ascii="Arial" w:hAnsi="Arial" w:cs="Arial"/>
                <w:sz w:val="16"/>
                <w:szCs w:val="16"/>
              </w:rPr>
              <w:t>dispuesto</w:t>
            </w:r>
            <w:r w:rsidRPr="00662097">
              <w:rPr>
                <w:rFonts w:ascii="Arial" w:hAnsi="Arial" w:cs="Arial"/>
                <w:sz w:val="16"/>
                <w:szCs w:val="16"/>
              </w:rPr>
              <w:t xml:space="preserve"> en la consulta pública correspondiente.</w:t>
            </w:r>
          </w:p>
        </w:tc>
      </w:tr>
      <w:tr w:rsidR="008A7949" w:rsidRPr="00662097" w14:paraId="06934C14" w14:textId="338104BB" w:rsidTr="008F664E">
        <w:trPr>
          <w:trHeight w:val="20"/>
        </w:trPr>
        <w:tc>
          <w:tcPr>
            <w:tcW w:w="1271" w:type="dxa"/>
            <w:vAlign w:val="center"/>
          </w:tcPr>
          <w:p w14:paraId="3BD4A215" w14:textId="2BAD5D77"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Mega Cable</w:t>
            </w:r>
          </w:p>
        </w:tc>
        <w:tc>
          <w:tcPr>
            <w:tcW w:w="1843" w:type="dxa"/>
            <w:shd w:val="clear" w:color="auto" w:fill="auto"/>
            <w:vAlign w:val="center"/>
          </w:tcPr>
          <w:p w14:paraId="6904F4E5" w14:textId="212FA4DE"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3.7. Actualización de otros parámetros (Actualización 12)</w:t>
            </w:r>
          </w:p>
        </w:tc>
        <w:tc>
          <w:tcPr>
            <w:tcW w:w="6379" w:type="dxa"/>
            <w:shd w:val="clear" w:color="auto" w:fill="auto"/>
          </w:tcPr>
          <w:p w14:paraId="7E33D4DF" w14:textId="77777777"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 xml:space="preserve">Para actualizar la información del índice de fallas por tecnología, el cual es un driver del </w:t>
            </w:r>
            <w:proofErr w:type="spellStart"/>
            <w:r w:rsidRPr="00662097">
              <w:rPr>
                <w:rFonts w:ascii="Arial" w:hAnsi="Arial" w:cs="Arial"/>
                <w:sz w:val="16"/>
                <w:szCs w:val="16"/>
                <w:lang w:eastAsia="es-MX"/>
              </w:rPr>
              <w:t>Opex</w:t>
            </w:r>
            <w:proofErr w:type="spellEnd"/>
            <w:r w:rsidRPr="00662097">
              <w:rPr>
                <w:rFonts w:ascii="Arial" w:hAnsi="Arial" w:cs="Arial"/>
                <w:sz w:val="16"/>
                <w:szCs w:val="16"/>
                <w:lang w:eastAsia="es-MX"/>
              </w:rPr>
              <w:t xml:space="preserve">, el Modelo Integral también se basa en la información proporcionada por el AEP y no en </w:t>
            </w:r>
            <w:proofErr w:type="spellStart"/>
            <w:r w:rsidRPr="00662097">
              <w:rPr>
                <w:rFonts w:ascii="Arial" w:hAnsi="Arial" w:cs="Arial"/>
                <w:sz w:val="16"/>
                <w:szCs w:val="16"/>
                <w:lang w:eastAsia="es-MX"/>
              </w:rPr>
              <w:t>benchmarks</w:t>
            </w:r>
            <w:proofErr w:type="spellEnd"/>
            <w:r w:rsidRPr="00662097">
              <w:rPr>
                <w:rFonts w:ascii="Arial" w:hAnsi="Arial" w:cs="Arial"/>
                <w:sz w:val="16"/>
                <w:szCs w:val="16"/>
                <w:lang w:eastAsia="es-MX"/>
              </w:rPr>
              <w:t xml:space="preserve"> internacionales o parámetros conforme a un operador hipotético eficiente. Al respecto, el Documento Actualización presenta la siguiente tabla:</w:t>
            </w:r>
          </w:p>
          <w:p w14:paraId="64C745A0" w14:textId="77777777" w:rsidR="008A7949" w:rsidRPr="00662097" w:rsidRDefault="008A7949" w:rsidP="008A7949">
            <w:pPr>
              <w:autoSpaceDE w:val="0"/>
              <w:autoSpaceDN w:val="0"/>
              <w:adjustRightInd w:val="0"/>
              <w:spacing w:before="120" w:after="120" w:line="240" w:lineRule="auto"/>
              <w:jc w:val="center"/>
              <w:rPr>
                <w:rFonts w:ascii="Arial" w:eastAsia="Times New Roman" w:hAnsi="Arial" w:cs="Arial"/>
                <w:color w:val="000000"/>
                <w:sz w:val="16"/>
                <w:szCs w:val="16"/>
                <w:lang w:eastAsia="es-MX"/>
              </w:rPr>
            </w:pPr>
            <w:r w:rsidRPr="00662097">
              <w:rPr>
                <w:rFonts w:ascii="Arial" w:hAnsi="Arial" w:cs="Arial"/>
                <w:noProof/>
                <w:sz w:val="16"/>
                <w:szCs w:val="16"/>
                <w:lang w:eastAsia="es-MX"/>
              </w:rPr>
              <w:drawing>
                <wp:inline distT="0" distB="0" distL="0" distR="0" wp14:anchorId="70E6D3ED" wp14:editId="625D0C6E">
                  <wp:extent cx="3074442" cy="914710"/>
                  <wp:effectExtent l="0" t="0" r="0" b="0"/>
                  <wp:docPr id="4" name="Picture 4" descr="A blue and whit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A blue and white background with white text&#10;&#10;Description automatically generated"/>
                          <pic:cNvPicPr/>
                        </pic:nvPicPr>
                        <pic:blipFill>
                          <a:blip r:embed="rId15"/>
                          <a:stretch>
                            <a:fillRect/>
                          </a:stretch>
                        </pic:blipFill>
                        <pic:spPr>
                          <a:xfrm>
                            <a:off x="0" y="0"/>
                            <a:ext cx="3103105" cy="923238"/>
                          </a:xfrm>
                          <a:prstGeom prst="rect">
                            <a:avLst/>
                          </a:prstGeom>
                        </pic:spPr>
                      </pic:pic>
                    </a:graphicData>
                  </a:graphic>
                </wp:inline>
              </w:drawing>
            </w:r>
          </w:p>
          <w:p w14:paraId="0DF4E21E" w14:textId="7F37975F" w:rsidR="008A7949" w:rsidRPr="00662097" w:rsidRDefault="008A7949" w:rsidP="008A7949">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No en balde, se observa que los valores son muy similares entre el modelo anterior y el Modelo Integral, en el caso de Fibra incluso se incrementa. Nuevamente, todo esto conduce a que las tarifas de servicios OREDA y ORCI reflejen las ineficiencias propias del AEP, en lugar de que se le discipline con parámetros operativos de un operador eficiente.</w:t>
            </w:r>
          </w:p>
        </w:tc>
        <w:tc>
          <w:tcPr>
            <w:tcW w:w="4536" w:type="dxa"/>
          </w:tcPr>
          <w:p w14:paraId="076D6E1B" w14:textId="6FDDA109" w:rsidR="005F286B" w:rsidRPr="00662097" w:rsidRDefault="00B00F87"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Para los parámetros de porcentaje de fallas, s</w:t>
            </w:r>
            <w:r w:rsidR="0060428F" w:rsidRPr="00662097">
              <w:rPr>
                <w:rFonts w:ascii="Arial" w:hAnsi="Arial" w:cs="Arial"/>
                <w:sz w:val="16"/>
                <w:szCs w:val="16"/>
                <w:lang w:eastAsia="es-MX"/>
              </w:rPr>
              <w:t xml:space="preserve">e </w:t>
            </w:r>
            <w:r w:rsidR="00550D0B" w:rsidRPr="00662097">
              <w:rPr>
                <w:rFonts w:ascii="Arial" w:hAnsi="Arial" w:cs="Arial"/>
                <w:sz w:val="16"/>
                <w:szCs w:val="16"/>
                <w:lang w:eastAsia="es-MX"/>
              </w:rPr>
              <w:t xml:space="preserve">ha </w:t>
            </w:r>
            <w:r w:rsidRPr="00662097">
              <w:rPr>
                <w:rFonts w:ascii="Arial" w:hAnsi="Arial" w:cs="Arial"/>
                <w:sz w:val="16"/>
                <w:szCs w:val="16"/>
                <w:lang w:eastAsia="es-MX"/>
              </w:rPr>
              <w:t xml:space="preserve">considerado oportuno emplear los valores facilitados por </w:t>
            </w:r>
            <w:r w:rsidRPr="00662097" w:rsidDel="00CF3684">
              <w:rPr>
                <w:rFonts w:ascii="Arial" w:hAnsi="Arial" w:cs="Arial"/>
                <w:sz w:val="16"/>
                <w:szCs w:val="16"/>
                <w:lang w:eastAsia="es-MX"/>
              </w:rPr>
              <w:t>el AEP</w:t>
            </w:r>
            <w:r w:rsidRPr="00662097">
              <w:rPr>
                <w:rFonts w:ascii="Arial" w:hAnsi="Arial" w:cs="Arial"/>
                <w:sz w:val="16"/>
                <w:szCs w:val="16"/>
                <w:lang w:eastAsia="es-MX"/>
              </w:rPr>
              <w:t>, al</w:t>
            </w:r>
            <w:r w:rsidR="005F286B" w:rsidRPr="00662097">
              <w:rPr>
                <w:rFonts w:ascii="Arial" w:hAnsi="Arial" w:cs="Arial"/>
                <w:sz w:val="16"/>
                <w:szCs w:val="16"/>
                <w:lang w:eastAsia="es-MX"/>
              </w:rPr>
              <w:t>:</w:t>
            </w:r>
          </w:p>
          <w:p w14:paraId="2E259362" w14:textId="22377471" w:rsidR="008A7949" w:rsidRPr="00662097" w:rsidRDefault="00721519" w:rsidP="00570AFE">
            <w:pPr>
              <w:pStyle w:val="Prrafodelista"/>
              <w:numPr>
                <w:ilvl w:val="0"/>
                <w:numId w:val="17"/>
              </w:num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Estos parámetros se encuentran</w:t>
            </w:r>
            <w:r w:rsidR="001462F1" w:rsidRPr="00662097">
              <w:rPr>
                <w:rFonts w:ascii="Arial" w:hAnsi="Arial" w:cs="Arial"/>
                <w:sz w:val="16"/>
                <w:szCs w:val="16"/>
                <w:lang w:eastAsia="es-MX"/>
              </w:rPr>
              <w:t xml:space="preserve"> </w:t>
            </w:r>
            <w:r w:rsidR="00B00F87" w:rsidRPr="00662097">
              <w:rPr>
                <w:rFonts w:ascii="Arial" w:hAnsi="Arial" w:cs="Arial"/>
                <w:sz w:val="16"/>
                <w:szCs w:val="16"/>
                <w:lang w:eastAsia="es-MX"/>
              </w:rPr>
              <w:t xml:space="preserve">alineados con los valores empleados </w:t>
            </w:r>
            <w:r w:rsidR="00EF23EA" w:rsidRPr="00662097">
              <w:rPr>
                <w:rFonts w:ascii="Arial" w:hAnsi="Arial" w:cs="Arial"/>
                <w:sz w:val="16"/>
                <w:szCs w:val="16"/>
                <w:lang w:eastAsia="es-MX"/>
              </w:rPr>
              <w:t>por el Instituto</w:t>
            </w:r>
            <w:r w:rsidR="005F286B" w:rsidRPr="00662097">
              <w:rPr>
                <w:rFonts w:ascii="Arial" w:hAnsi="Arial" w:cs="Arial"/>
                <w:sz w:val="16"/>
                <w:szCs w:val="16"/>
                <w:lang w:eastAsia="es-MX"/>
              </w:rPr>
              <w:t xml:space="preserve">, lo cual permite mantener consistencia y continuidad regulatoria. </w:t>
            </w:r>
          </w:p>
          <w:p w14:paraId="081F5FC4" w14:textId="356F7718" w:rsidR="005F286B" w:rsidRPr="00662097" w:rsidRDefault="001118DB" w:rsidP="00570AFE">
            <w:pPr>
              <w:pStyle w:val="Prrafodelista"/>
              <w:numPr>
                <w:ilvl w:val="0"/>
                <w:numId w:val="17"/>
              </w:num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 xml:space="preserve">Considerarse que </w:t>
            </w:r>
            <w:r w:rsidR="00F95BF1" w:rsidRPr="00662097">
              <w:rPr>
                <w:rFonts w:ascii="Arial" w:hAnsi="Arial" w:cs="Arial"/>
                <w:sz w:val="16"/>
                <w:szCs w:val="16"/>
                <w:lang w:eastAsia="es-MX"/>
              </w:rPr>
              <w:t xml:space="preserve">dichos </w:t>
            </w:r>
            <w:r w:rsidRPr="00662097">
              <w:rPr>
                <w:rFonts w:ascii="Arial" w:hAnsi="Arial" w:cs="Arial"/>
                <w:sz w:val="16"/>
                <w:szCs w:val="16"/>
                <w:lang w:eastAsia="es-MX"/>
              </w:rPr>
              <w:t>porcentaje</w:t>
            </w:r>
            <w:r w:rsidR="00DD439B" w:rsidRPr="00662097">
              <w:rPr>
                <w:rFonts w:ascii="Arial" w:hAnsi="Arial" w:cs="Arial"/>
                <w:sz w:val="16"/>
                <w:szCs w:val="16"/>
                <w:lang w:eastAsia="es-MX"/>
              </w:rPr>
              <w:t>s</w:t>
            </w:r>
            <w:r w:rsidRPr="00662097">
              <w:rPr>
                <w:rFonts w:ascii="Arial" w:hAnsi="Arial" w:cs="Arial"/>
                <w:sz w:val="16"/>
                <w:szCs w:val="16"/>
                <w:lang w:eastAsia="es-MX"/>
              </w:rPr>
              <w:t xml:space="preserve"> de fallas </w:t>
            </w:r>
            <w:r w:rsidR="00F95BF1" w:rsidRPr="00662097">
              <w:rPr>
                <w:rFonts w:ascii="Arial" w:hAnsi="Arial" w:cs="Arial"/>
                <w:sz w:val="16"/>
                <w:szCs w:val="16"/>
                <w:lang w:eastAsia="es-MX"/>
              </w:rPr>
              <w:t xml:space="preserve">son </w:t>
            </w:r>
            <w:r w:rsidR="004F212C" w:rsidRPr="00662097">
              <w:rPr>
                <w:rFonts w:ascii="Arial" w:hAnsi="Arial" w:cs="Arial"/>
                <w:sz w:val="16"/>
                <w:szCs w:val="16"/>
                <w:lang w:eastAsia="es-MX"/>
              </w:rPr>
              <w:t xml:space="preserve">representativos y </w:t>
            </w:r>
            <w:r w:rsidRPr="00662097">
              <w:rPr>
                <w:rFonts w:ascii="Arial" w:hAnsi="Arial" w:cs="Arial"/>
                <w:sz w:val="16"/>
                <w:szCs w:val="16"/>
                <w:lang w:eastAsia="es-MX"/>
              </w:rPr>
              <w:t>adecuado</w:t>
            </w:r>
            <w:r w:rsidR="004F212C" w:rsidRPr="00662097">
              <w:rPr>
                <w:rFonts w:ascii="Arial" w:hAnsi="Arial" w:cs="Arial"/>
                <w:sz w:val="16"/>
                <w:szCs w:val="16"/>
                <w:lang w:eastAsia="es-MX"/>
              </w:rPr>
              <w:t>s</w:t>
            </w:r>
            <w:r w:rsidR="00F95BF1" w:rsidRPr="00662097">
              <w:rPr>
                <w:rFonts w:ascii="Arial" w:hAnsi="Arial" w:cs="Arial"/>
                <w:sz w:val="16"/>
                <w:szCs w:val="16"/>
                <w:lang w:eastAsia="es-MX"/>
              </w:rPr>
              <w:t xml:space="preserve"> en la práctica</w:t>
            </w:r>
            <w:r w:rsidRPr="00662097">
              <w:rPr>
                <w:rFonts w:ascii="Arial" w:hAnsi="Arial" w:cs="Arial"/>
                <w:sz w:val="16"/>
                <w:szCs w:val="16"/>
                <w:lang w:eastAsia="es-MX"/>
              </w:rPr>
              <w:t>,</w:t>
            </w:r>
            <w:r w:rsidR="00F95BF1" w:rsidRPr="00662097">
              <w:rPr>
                <w:rFonts w:ascii="Arial" w:hAnsi="Arial" w:cs="Arial"/>
                <w:sz w:val="16"/>
                <w:szCs w:val="16"/>
                <w:lang w:eastAsia="es-MX"/>
              </w:rPr>
              <w:t xml:space="preserve"> con base a la </w:t>
            </w:r>
            <w:r w:rsidR="00310E44" w:rsidRPr="00662097">
              <w:rPr>
                <w:rFonts w:ascii="Arial" w:hAnsi="Arial" w:cs="Arial"/>
                <w:sz w:val="16"/>
                <w:szCs w:val="16"/>
                <w:lang w:eastAsia="es-MX"/>
              </w:rPr>
              <w:t xml:space="preserve">experiencia </w:t>
            </w:r>
            <w:r w:rsidR="000D3EA4" w:rsidRPr="00662097">
              <w:rPr>
                <w:rFonts w:ascii="Arial" w:hAnsi="Arial" w:cs="Arial"/>
                <w:sz w:val="16"/>
                <w:szCs w:val="16"/>
                <w:lang w:eastAsia="es-MX"/>
              </w:rPr>
              <w:t>internacional</w:t>
            </w:r>
            <w:r w:rsidR="00310E44" w:rsidRPr="00662097">
              <w:rPr>
                <w:rFonts w:ascii="Arial" w:hAnsi="Arial" w:cs="Arial"/>
                <w:sz w:val="16"/>
                <w:szCs w:val="16"/>
                <w:lang w:eastAsia="es-MX"/>
              </w:rPr>
              <w:t>.</w:t>
            </w:r>
          </w:p>
          <w:p w14:paraId="779F477B" w14:textId="7DFA3C94" w:rsidR="00A40B0B" w:rsidRPr="00662097" w:rsidRDefault="00A40B0B"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 xml:space="preserve">En este mismo contexto, </w:t>
            </w:r>
            <w:r w:rsidR="0009248B" w:rsidRPr="00662097">
              <w:rPr>
                <w:rFonts w:ascii="Arial" w:hAnsi="Arial" w:cs="Arial"/>
                <w:sz w:val="16"/>
                <w:szCs w:val="16"/>
                <w:lang w:eastAsia="es-MX"/>
              </w:rPr>
              <w:t xml:space="preserve"> dado que el comentario no ofrece evidencia que permita </w:t>
            </w:r>
            <w:r w:rsidR="006B112D">
              <w:rPr>
                <w:rFonts w:ascii="Arial" w:hAnsi="Arial" w:cs="Arial"/>
                <w:sz w:val="16"/>
                <w:szCs w:val="16"/>
                <w:lang w:eastAsia="es-MX"/>
              </w:rPr>
              <w:t>a la UPR</w:t>
            </w:r>
            <w:r w:rsidR="0009248B" w:rsidRPr="00662097">
              <w:rPr>
                <w:rFonts w:ascii="Arial" w:hAnsi="Arial" w:cs="Arial"/>
                <w:sz w:val="16"/>
                <w:szCs w:val="16"/>
                <w:lang w:eastAsia="es-MX"/>
              </w:rPr>
              <w:t xml:space="preserve"> revisar los insumos empleadas por el Modelo, se considera que las referencias internacionales analizadas resultan acordes para la modelación de los servicios.</w:t>
            </w:r>
          </w:p>
        </w:tc>
      </w:tr>
      <w:tr w:rsidR="008A7949" w:rsidRPr="00662097" w14:paraId="100E9966" w14:textId="77777777" w:rsidTr="008F664E">
        <w:trPr>
          <w:trHeight w:val="20"/>
        </w:trPr>
        <w:tc>
          <w:tcPr>
            <w:tcW w:w="1271" w:type="dxa"/>
            <w:vAlign w:val="center"/>
          </w:tcPr>
          <w:p w14:paraId="75BA5C5D" w14:textId="37A6A7F4"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CANIETI</w:t>
            </w:r>
          </w:p>
        </w:tc>
        <w:tc>
          <w:tcPr>
            <w:tcW w:w="1843" w:type="dxa"/>
            <w:shd w:val="clear" w:color="auto" w:fill="auto"/>
            <w:vAlign w:val="center"/>
          </w:tcPr>
          <w:p w14:paraId="5010AEE8" w14:textId="77777777" w:rsidR="008A7949" w:rsidRPr="00662097" w:rsidRDefault="008A7949" w:rsidP="008A7949">
            <w:pPr>
              <w:spacing w:after="0" w:line="240" w:lineRule="auto"/>
              <w:jc w:val="center"/>
              <w:rPr>
                <w:rFonts w:ascii="Arial" w:eastAsia="Times New Roman" w:hAnsi="Arial" w:cs="Arial"/>
                <w:bCs/>
                <w:color w:val="000000"/>
                <w:sz w:val="16"/>
                <w:szCs w:val="16"/>
                <w:lang w:eastAsia="es-MX"/>
              </w:rPr>
            </w:pPr>
            <w:r w:rsidRPr="00662097">
              <w:rPr>
                <w:rFonts w:ascii="Arial" w:eastAsia="Times New Roman" w:hAnsi="Arial" w:cs="Arial"/>
                <w:bCs/>
                <w:color w:val="000000"/>
                <w:sz w:val="16"/>
                <w:szCs w:val="16"/>
                <w:lang w:eastAsia="es-MX"/>
              </w:rPr>
              <w:t>3.7. Otros parámetros</w:t>
            </w:r>
          </w:p>
          <w:p w14:paraId="2B12D0FA" w14:textId="77777777" w:rsidR="008A7949" w:rsidRPr="00662097" w:rsidRDefault="008A7949" w:rsidP="008A7949">
            <w:pPr>
              <w:spacing w:after="0" w:line="240" w:lineRule="auto"/>
              <w:jc w:val="center"/>
              <w:rPr>
                <w:rFonts w:ascii="Arial" w:eastAsia="Times New Roman" w:hAnsi="Arial" w:cs="Arial"/>
                <w:bCs/>
                <w:color w:val="000000"/>
                <w:sz w:val="16"/>
                <w:szCs w:val="16"/>
                <w:lang w:eastAsia="es-MX"/>
              </w:rPr>
            </w:pPr>
            <w:r w:rsidRPr="00662097">
              <w:rPr>
                <w:rFonts w:ascii="Arial" w:eastAsia="Times New Roman" w:hAnsi="Arial" w:cs="Arial"/>
                <w:bCs/>
                <w:color w:val="000000"/>
                <w:sz w:val="16"/>
                <w:szCs w:val="16"/>
                <w:lang w:eastAsia="es-MX"/>
              </w:rPr>
              <w:t>Parámetros de reparación de fallas</w:t>
            </w:r>
          </w:p>
          <w:p w14:paraId="09765027" w14:textId="0BE7C05E"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bCs/>
                <w:color w:val="000000"/>
                <w:sz w:val="16"/>
                <w:szCs w:val="16"/>
                <w:lang w:eastAsia="es-MX"/>
              </w:rPr>
              <w:t>(Actualización 12)</w:t>
            </w:r>
          </w:p>
        </w:tc>
        <w:tc>
          <w:tcPr>
            <w:tcW w:w="6379" w:type="dxa"/>
            <w:shd w:val="clear" w:color="auto" w:fill="auto"/>
            <w:vAlign w:val="center"/>
          </w:tcPr>
          <w:p w14:paraId="54CB9CCE" w14:textId="77777777"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 xml:space="preserve">Para actualizar la información del índice de fallas por tecnología, el cual es un driver del </w:t>
            </w:r>
            <w:proofErr w:type="spellStart"/>
            <w:r w:rsidRPr="00662097">
              <w:rPr>
                <w:rFonts w:ascii="Arial" w:hAnsi="Arial" w:cs="Arial"/>
                <w:sz w:val="16"/>
                <w:szCs w:val="16"/>
                <w:lang w:eastAsia="es-MX"/>
              </w:rPr>
              <w:t>Opex</w:t>
            </w:r>
            <w:proofErr w:type="spellEnd"/>
            <w:r w:rsidRPr="00662097">
              <w:rPr>
                <w:rFonts w:ascii="Arial" w:hAnsi="Arial" w:cs="Arial"/>
                <w:sz w:val="16"/>
                <w:szCs w:val="16"/>
                <w:lang w:eastAsia="es-MX"/>
              </w:rPr>
              <w:t xml:space="preserve">, el Modelo Integral también se basa en la información proporcionada por el AEPT y no en </w:t>
            </w:r>
            <w:proofErr w:type="spellStart"/>
            <w:r w:rsidRPr="00662097">
              <w:rPr>
                <w:rFonts w:ascii="Arial" w:hAnsi="Arial" w:cs="Arial"/>
                <w:sz w:val="16"/>
                <w:szCs w:val="16"/>
                <w:lang w:eastAsia="es-MX"/>
              </w:rPr>
              <w:t>benchmarks</w:t>
            </w:r>
            <w:proofErr w:type="spellEnd"/>
            <w:r w:rsidRPr="00662097">
              <w:rPr>
                <w:rFonts w:ascii="Arial" w:hAnsi="Arial" w:cs="Arial"/>
                <w:sz w:val="16"/>
                <w:szCs w:val="16"/>
                <w:lang w:eastAsia="es-MX"/>
              </w:rPr>
              <w:t xml:space="preserve"> internacionales o parámetros conforme a un operador hipotético eficiente. Al respecto, el Documento Actualización presenta la siguiente tabla:</w:t>
            </w:r>
          </w:p>
          <w:p w14:paraId="224B6FB1" w14:textId="77777777" w:rsidR="008A7949" w:rsidRPr="00662097" w:rsidRDefault="008A7949" w:rsidP="008A7949">
            <w:pPr>
              <w:autoSpaceDE w:val="0"/>
              <w:autoSpaceDN w:val="0"/>
              <w:adjustRightInd w:val="0"/>
              <w:spacing w:before="120" w:after="120" w:line="240" w:lineRule="auto"/>
              <w:jc w:val="center"/>
              <w:rPr>
                <w:rFonts w:ascii="Arial" w:eastAsia="Times New Roman" w:hAnsi="Arial" w:cs="Arial"/>
                <w:color w:val="000000"/>
                <w:sz w:val="16"/>
                <w:szCs w:val="16"/>
                <w:lang w:eastAsia="es-MX"/>
              </w:rPr>
            </w:pPr>
            <w:r w:rsidRPr="00662097">
              <w:rPr>
                <w:rFonts w:ascii="Arial" w:hAnsi="Arial" w:cs="Arial"/>
                <w:noProof/>
                <w:sz w:val="16"/>
                <w:szCs w:val="16"/>
                <w:lang w:val="en-US"/>
              </w:rPr>
              <w:drawing>
                <wp:inline distT="0" distB="0" distL="0" distR="0" wp14:anchorId="3CDC1FA2" wp14:editId="63B668C9">
                  <wp:extent cx="3074442" cy="91471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03105" cy="923238"/>
                          </a:xfrm>
                          <a:prstGeom prst="rect">
                            <a:avLst/>
                          </a:prstGeom>
                        </pic:spPr>
                      </pic:pic>
                    </a:graphicData>
                  </a:graphic>
                </wp:inline>
              </w:drawing>
            </w:r>
          </w:p>
          <w:p w14:paraId="1AED9F18" w14:textId="43089F82"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eastAsia="Times New Roman" w:hAnsi="Arial" w:cs="Arial"/>
                <w:color w:val="000000"/>
                <w:sz w:val="16"/>
                <w:szCs w:val="16"/>
                <w:lang w:eastAsia="es-MX"/>
              </w:rPr>
              <w:lastRenderedPageBreak/>
              <w:t>Así, se observa que los valores son muy similares entre el modelo anterior y el Modelo Integral, en el caso de Fibra incluso se incrementa. Nuevamente, todo esto conduce a que las tarifas de servicios OREDA y ORCI reflejen las ineficiencias propias del AEPT, en lugar de que se le discipline con parámetros operativos de un operador eficiente.</w:t>
            </w:r>
          </w:p>
        </w:tc>
        <w:tc>
          <w:tcPr>
            <w:tcW w:w="4536" w:type="dxa"/>
          </w:tcPr>
          <w:p w14:paraId="28FD14AA" w14:textId="794FDEA3"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lastRenderedPageBreak/>
              <w:t xml:space="preserve">Ver respuesta </w:t>
            </w:r>
            <w:r w:rsidR="009947C5" w:rsidRPr="00662097">
              <w:rPr>
                <w:rFonts w:ascii="Arial" w:hAnsi="Arial" w:cs="Arial"/>
                <w:sz w:val="16"/>
                <w:szCs w:val="16"/>
                <w:lang w:eastAsia="es-MX"/>
              </w:rPr>
              <w:t xml:space="preserve">al comentario </w:t>
            </w:r>
            <w:r w:rsidRPr="00662097">
              <w:rPr>
                <w:rFonts w:ascii="Arial" w:hAnsi="Arial" w:cs="Arial"/>
                <w:sz w:val="16"/>
                <w:szCs w:val="16"/>
                <w:lang w:eastAsia="es-MX"/>
              </w:rPr>
              <w:t>anterior.</w:t>
            </w:r>
          </w:p>
        </w:tc>
      </w:tr>
      <w:tr w:rsidR="008A7949" w:rsidRPr="00662097" w14:paraId="52F4B492" w14:textId="5D10ECF4" w:rsidTr="008F664E">
        <w:trPr>
          <w:trHeight w:val="20"/>
        </w:trPr>
        <w:tc>
          <w:tcPr>
            <w:tcW w:w="1271" w:type="dxa"/>
            <w:vAlign w:val="center"/>
          </w:tcPr>
          <w:p w14:paraId="1BD64231" w14:textId="69B10091" w:rsidR="008A7949" w:rsidRPr="00662097" w:rsidRDefault="008A7949" w:rsidP="008A7949">
            <w:pPr>
              <w:spacing w:after="0" w:line="240" w:lineRule="auto"/>
              <w:jc w:val="center"/>
              <w:rPr>
                <w:rFonts w:ascii="Arial" w:eastAsia="Times New Roman" w:hAnsi="Arial" w:cs="Arial"/>
                <w:color w:val="000000"/>
                <w:sz w:val="16"/>
                <w:szCs w:val="16"/>
                <w:lang w:eastAsia="es-MX"/>
              </w:rPr>
            </w:pPr>
            <w:bookmarkStart w:id="24" w:name="_Hlk145664902"/>
            <w:r w:rsidRPr="00662097">
              <w:rPr>
                <w:rFonts w:ascii="Arial" w:eastAsia="Times New Roman" w:hAnsi="Arial" w:cs="Arial"/>
                <w:color w:val="000000"/>
                <w:sz w:val="16"/>
                <w:szCs w:val="16"/>
                <w:lang w:eastAsia="es-MX"/>
              </w:rPr>
              <w:t>Mega Cable</w:t>
            </w:r>
          </w:p>
        </w:tc>
        <w:tc>
          <w:tcPr>
            <w:tcW w:w="1843" w:type="dxa"/>
            <w:shd w:val="clear" w:color="auto" w:fill="auto"/>
            <w:vAlign w:val="center"/>
          </w:tcPr>
          <w:p w14:paraId="037FD817" w14:textId="77777777" w:rsidR="008A7949" w:rsidRPr="00662097" w:rsidRDefault="008A7949" w:rsidP="008A7949">
            <w:pPr>
              <w:spacing w:after="0" w:line="240" w:lineRule="auto"/>
              <w:jc w:val="center"/>
              <w:rPr>
                <w:rFonts w:ascii="Arial" w:eastAsia="Times New Roman" w:hAnsi="Arial" w:cs="Arial"/>
                <w:bCs/>
                <w:color w:val="000000"/>
                <w:sz w:val="16"/>
                <w:szCs w:val="16"/>
                <w:lang w:eastAsia="es-MX"/>
              </w:rPr>
            </w:pPr>
            <w:r w:rsidRPr="00662097">
              <w:rPr>
                <w:rFonts w:ascii="Arial" w:eastAsia="Times New Roman" w:hAnsi="Arial" w:cs="Arial"/>
                <w:bCs/>
                <w:color w:val="000000"/>
                <w:sz w:val="16"/>
                <w:szCs w:val="16"/>
                <w:lang w:eastAsia="es-MX"/>
              </w:rPr>
              <w:t>3.7. Otros parámetros</w:t>
            </w:r>
          </w:p>
          <w:p w14:paraId="5BDA5110" w14:textId="42F2665B"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Costo de mano de obra (Actualización 13)</w:t>
            </w:r>
          </w:p>
        </w:tc>
        <w:tc>
          <w:tcPr>
            <w:tcW w:w="6379" w:type="dxa"/>
            <w:shd w:val="clear" w:color="auto" w:fill="auto"/>
            <w:vAlign w:val="center"/>
          </w:tcPr>
          <w:p w14:paraId="70A778A9" w14:textId="7459E9DF"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Para actualizar este rubro también se le ha requerido al AEP el costo de la mano de obra “actual”, cuya variación respecto al valor usado en la versión anterior del Modelo se muestra en la siguiente tabla:</w:t>
            </w:r>
          </w:p>
          <w:p w14:paraId="63CCEB98" w14:textId="77777777"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noProof/>
                <w:sz w:val="16"/>
                <w:szCs w:val="16"/>
                <w:lang w:eastAsia="es-MX"/>
              </w:rPr>
              <w:drawing>
                <wp:inline distT="0" distB="0" distL="0" distR="0" wp14:anchorId="26B2B001" wp14:editId="150A4E0C">
                  <wp:extent cx="3767328" cy="651556"/>
                  <wp:effectExtent l="0" t="0" r="5080" b="0"/>
                  <wp:docPr id="5" name="Picture 5"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A blue and white sign with white text&#10;&#10;Description automatically generated"/>
                          <pic:cNvPicPr/>
                        </pic:nvPicPr>
                        <pic:blipFill>
                          <a:blip r:embed="rId16"/>
                          <a:stretch>
                            <a:fillRect/>
                          </a:stretch>
                        </pic:blipFill>
                        <pic:spPr>
                          <a:xfrm>
                            <a:off x="0" y="0"/>
                            <a:ext cx="3797852" cy="656835"/>
                          </a:xfrm>
                          <a:prstGeom prst="rect">
                            <a:avLst/>
                          </a:prstGeom>
                        </pic:spPr>
                      </pic:pic>
                    </a:graphicData>
                  </a:graphic>
                </wp:inline>
              </w:drawing>
            </w:r>
          </w:p>
          <w:p w14:paraId="3FD35CE0" w14:textId="77777777"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 xml:space="preserve">Obsérvese un incremento cercano al 10% en el valor de la mano de obra por hora que reporta Telmex. </w:t>
            </w:r>
          </w:p>
          <w:p w14:paraId="285785D0" w14:textId="77777777"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eastAsia="Times New Roman" w:hAnsi="Arial" w:cs="Arial"/>
                <w:color w:val="000000"/>
                <w:sz w:val="16"/>
                <w:szCs w:val="16"/>
                <w:lang w:eastAsia="es-MX"/>
              </w:rPr>
              <w:t>Además, el incremento salarial no refleja condiciones de mercado o competitivas, sino la relación específica del AEP con su sindicato de trabajadores. Se solicita utilizar un incremento salarial que refleje condiciones de competencia en el mercado laboral y de telecomunicaciones.</w:t>
            </w:r>
          </w:p>
          <w:p w14:paraId="0F08781D" w14:textId="392A6402"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 xml:space="preserve">El IFT debería realizar al menos un comparativo con información de otros operadores o de precios de obra civil en el mercado pues de lo contrario estará permitiendo que el AEP repercuta sus costos (o lo que afirma que son sus costos), sin importar si estos son eficientes o razonables. Por el contrario, el permitir que el AEP recupere todos sus costos sin un elemento que le presione a ser más eficiente, no promueve la competencia y perpetúa el </w:t>
            </w:r>
            <w:r w:rsidRPr="00662097">
              <w:rPr>
                <w:rFonts w:ascii="Arial" w:hAnsi="Arial" w:cs="Arial"/>
                <w:i/>
                <w:sz w:val="16"/>
                <w:szCs w:val="16"/>
                <w:lang w:eastAsia="es-MX"/>
              </w:rPr>
              <w:t>statu quo</w:t>
            </w:r>
            <w:r w:rsidRPr="00662097">
              <w:rPr>
                <w:rFonts w:ascii="Arial" w:hAnsi="Arial" w:cs="Arial"/>
                <w:sz w:val="16"/>
                <w:szCs w:val="16"/>
                <w:lang w:eastAsia="es-MX"/>
              </w:rPr>
              <w:t xml:space="preserve"> en favor del AEP.</w:t>
            </w:r>
          </w:p>
        </w:tc>
        <w:tc>
          <w:tcPr>
            <w:tcW w:w="4536" w:type="dxa"/>
          </w:tcPr>
          <w:p w14:paraId="27119861" w14:textId="1EDC1F57" w:rsidR="008A7949" w:rsidRPr="00662097" w:rsidRDefault="00A15D0B" w:rsidP="00A15D0B">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 xml:space="preserve">Se hace notar que se ha considerado apropiado y conservador asumir un crecimiento cercano al 10%, dado que, si se comparan con las estadísticas de salarios </w:t>
            </w:r>
            <w:r w:rsidR="00CF035A" w:rsidRPr="00662097">
              <w:rPr>
                <w:rFonts w:ascii="Arial" w:hAnsi="Arial" w:cs="Arial"/>
                <w:sz w:val="16"/>
                <w:szCs w:val="16"/>
                <w:lang w:eastAsia="es-MX"/>
              </w:rPr>
              <w:t xml:space="preserve">de México </w:t>
            </w:r>
            <w:r w:rsidRPr="00662097">
              <w:rPr>
                <w:rFonts w:ascii="Arial" w:hAnsi="Arial" w:cs="Arial"/>
                <w:sz w:val="16"/>
                <w:szCs w:val="16"/>
                <w:lang w:eastAsia="es-MX"/>
              </w:rPr>
              <w:t xml:space="preserve">entre los años 2020 y 2023, los mismos han presentado incrementos cercanos al 20%, es decir, considerablemente </w:t>
            </w:r>
            <w:r w:rsidR="0096600D" w:rsidRPr="00662097">
              <w:rPr>
                <w:rFonts w:ascii="Arial" w:hAnsi="Arial" w:cs="Arial"/>
                <w:sz w:val="16"/>
                <w:szCs w:val="16"/>
                <w:lang w:eastAsia="es-MX"/>
              </w:rPr>
              <w:t xml:space="preserve">superiores </w:t>
            </w:r>
            <w:r w:rsidRPr="00662097">
              <w:rPr>
                <w:rFonts w:ascii="Arial" w:hAnsi="Arial" w:cs="Arial"/>
                <w:sz w:val="16"/>
                <w:szCs w:val="16"/>
                <w:lang w:eastAsia="es-MX"/>
              </w:rPr>
              <w:t>al del Modelo Integral. Esta variación puede comprobarse en la siguiente liga del Gobierno de México:</w:t>
            </w:r>
          </w:p>
          <w:p w14:paraId="6F64D4A8" w14:textId="77777777" w:rsidR="00690196" w:rsidRPr="00662097" w:rsidRDefault="00EA2F13" w:rsidP="00A15D0B">
            <w:pPr>
              <w:autoSpaceDE w:val="0"/>
              <w:autoSpaceDN w:val="0"/>
              <w:adjustRightInd w:val="0"/>
              <w:spacing w:before="120" w:after="120" w:line="240" w:lineRule="auto"/>
              <w:rPr>
                <w:rStyle w:val="Hipervnculo"/>
                <w:rFonts w:ascii="Arial" w:hAnsi="Arial" w:cs="Arial"/>
                <w:sz w:val="16"/>
                <w:szCs w:val="16"/>
                <w:lang w:eastAsia="es-MX"/>
              </w:rPr>
            </w:pPr>
            <w:hyperlink r:id="rId17" w:history="1">
              <w:r w:rsidR="00A15D0B" w:rsidRPr="00662097">
                <w:rPr>
                  <w:rStyle w:val="Hipervnculo"/>
                  <w:rFonts w:ascii="Arial" w:hAnsi="Arial" w:cs="Arial"/>
                  <w:sz w:val="16"/>
                  <w:szCs w:val="16"/>
                  <w:lang w:eastAsia="es-MX"/>
                </w:rPr>
                <w:t>https://www.economia.gob.mx/datamexico/es/profile/occupation/profesionistas-y-tecnicos?employSelector1=salaryOption&amp;typeJob1=totalOption</w:t>
              </w:r>
            </w:hyperlink>
          </w:p>
          <w:p w14:paraId="6D5F389C" w14:textId="6C861873" w:rsidR="00CD35BF" w:rsidRPr="00662097" w:rsidRDefault="00705CC5" w:rsidP="00A15D0B">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 xml:space="preserve">De cualquier forma se hará una revisión que represente una actualización del costo laboral para los servicios de tendido de cable que refleje el incremento </w:t>
            </w:r>
            <w:r w:rsidR="00C511C9" w:rsidRPr="00662097">
              <w:rPr>
                <w:rFonts w:ascii="Arial" w:hAnsi="Arial" w:cs="Arial"/>
                <w:sz w:val="16"/>
                <w:szCs w:val="16"/>
                <w:lang w:eastAsia="es-MX"/>
              </w:rPr>
              <w:t>salarial</w:t>
            </w:r>
            <w:r w:rsidRPr="00662097">
              <w:rPr>
                <w:rFonts w:ascii="Arial" w:hAnsi="Arial" w:cs="Arial"/>
                <w:sz w:val="16"/>
                <w:szCs w:val="16"/>
                <w:lang w:eastAsia="es-MX"/>
              </w:rPr>
              <w:t xml:space="preserve"> acordado por el AEP con sus trabajadores.</w:t>
            </w:r>
          </w:p>
        </w:tc>
      </w:tr>
      <w:bookmarkEnd w:id="24"/>
      <w:tr w:rsidR="008A7949" w:rsidRPr="00662097" w14:paraId="4128D4E9" w14:textId="77777777" w:rsidTr="008F664E">
        <w:trPr>
          <w:trHeight w:val="20"/>
        </w:trPr>
        <w:tc>
          <w:tcPr>
            <w:tcW w:w="1271" w:type="dxa"/>
            <w:vAlign w:val="center"/>
          </w:tcPr>
          <w:p w14:paraId="297CF7CE" w14:textId="4C0B361B"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CANIETI</w:t>
            </w:r>
          </w:p>
        </w:tc>
        <w:tc>
          <w:tcPr>
            <w:tcW w:w="1843" w:type="dxa"/>
            <w:shd w:val="clear" w:color="auto" w:fill="auto"/>
            <w:vAlign w:val="center"/>
          </w:tcPr>
          <w:p w14:paraId="216620E4" w14:textId="77777777" w:rsidR="008A7949" w:rsidRPr="00662097" w:rsidRDefault="008A7949" w:rsidP="008A7949">
            <w:pPr>
              <w:spacing w:after="0" w:line="240" w:lineRule="auto"/>
              <w:jc w:val="center"/>
              <w:rPr>
                <w:rFonts w:ascii="Arial" w:eastAsia="Times New Roman" w:hAnsi="Arial" w:cs="Arial"/>
                <w:bCs/>
                <w:color w:val="000000"/>
                <w:sz w:val="16"/>
                <w:szCs w:val="16"/>
                <w:lang w:eastAsia="es-MX"/>
              </w:rPr>
            </w:pPr>
            <w:r w:rsidRPr="00662097">
              <w:rPr>
                <w:rFonts w:ascii="Arial" w:eastAsia="Times New Roman" w:hAnsi="Arial" w:cs="Arial"/>
                <w:bCs/>
                <w:color w:val="000000"/>
                <w:sz w:val="16"/>
                <w:szCs w:val="16"/>
                <w:lang w:eastAsia="es-MX"/>
              </w:rPr>
              <w:t>3.7. Otros parámetros</w:t>
            </w:r>
          </w:p>
          <w:p w14:paraId="3A3B618B" w14:textId="66089335"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bCs/>
                <w:color w:val="000000"/>
                <w:sz w:val="16"/>
                <w:szCs w:val="16"/>
                <w:lang w:eastAsia="es-MX"/>
              </w:rPr>
              <w:t>Costo de mano de obra (Actualización 13)</w:t>
            </w:r>
          </w:p>
        </w:tc>
        <w:tc>
          <w:tcPr>
            <w:tcW w:w="6379" w:type="dxa"/>
            <w:shd w:val="clear" w:color="auto" w:fill="auto"/>
            <w:vAlign w:val="center"/>
          </w:tcPr>
          <w:p w14:paraId="720443EC" w14:textId="77777777"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Para actualizar este rubro también se le ha requerido al AEPT el costo de la mano de obra “actual”, cuya variación respecto al valor usado en la versión anterior del Modelo se muestra en la siguiente tabla:</w:t>
            </w:r>
          </w:p>
          <w:p w14:paraId="28AEB59D" w14:textId="77777777" w:rsidR="008A7949" w:rsidRPr="00662097" w:rsidRDefault="008A7949" w:rsidP="008A7949">
            <w:pPr>
              <w:autoSpaceDE w:val="0"/>
              <w:autoSpaceDN w:val="0"/>
              <w:adjustRightInd w:val="0"/>
              <w:spacing w:before="120" w:after="120" w:line="240" w:lineRule="auto"/>
              <w:jc w:val="center"/>
              <w:rPr>
                <w:rFonts w:ascii="Arial" w:hAnsi="Arial" w:cs="Arial"/>
                <w:sz w:val="16"/>
                <w:szCs w:val="16"/>
                <w:lang w:eastAsia="es-MX"/>
              </w:rPr>
            </w:pPr>
            <w:r w:rsidRPr="00662097">
              <w:rPr>
                <w:rFonts w:ascii="Arial" w:hAnsi="Arial" w:cs="Arial"/>
                <w:noProof/>
                <w:sz w:val="16"/>
                <w:szCs w:val="16"/>
                <w:lang w:val="en-US"/>
              </w:rPr>
              <w:drawing>
                <wp:inline distT="0" distB="0" distL="0" distR="0" wp14:anchorId="521F8654" wp14:editId="0E2B29B4">
                  <wp:extent cx="3695700" cy="639168"/>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19686" cy="643316"/>
                          </a:xfrm>
                          <a:prstGeom prst="rect">
                            <a:avLst/>
                          </a:prstGeom>
                        </pic:spPr>
                      </pic:pic>
                    </a:graphicData>
                  </a:graphic>
                </wp:inline>
              </w:drawing>
            </w:r>
          </w:p>
          <w:p w14:paraId="1319E4D2" w14:textId="517A0BB2"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 xml:space="preserve">Obsérvese un incremento cercano al 10% en el valor de la mano de obra por hora que reporta Telmex. El IFT debería realizar al menos un comparativo con información de otros operadores o de precios de obra civil en el mercado pues, de lo contrario, estaría permitiendo que el AEPT repercuta sus costos (o lo que afirma que son sus costos), sin importar si estos son eficientes o razonables. Por el contrario, el permitir que el AEPT recupere todos sus costos sin un elemento que le presione a ser más eficiente, no promueve la competencia y perpetúa el </w:t>
            </w:r>
            <w:r w:rsidRPr="00662097">
              <w:rPr>
                <w:rFonts w:ascii="Arial" w:hAnsi="Arial" w:cs="Arial"/>
                <w:i/>
                <w:sz w:val="16"/>
                <w:szCs w:val="16"/>
                <w:lang w:eastAsia="es-MX"/>
              </w:rPr>
              <w:t>statu quo</w:t>
            </w:r>
            <w:r w:rsidRPr="00662097">
              <w:rPr>
                <w:rFonts w:ascii="Arial" w:hAnsi="Arial" w:cs="Arial"/>
                <w:sz w:val="16"/>
                <w:szCs w:val="16"/>
                <w:lang w:eastAsia="es-MX"/>
              </w:rPr>
              <w:t xml:space="preserve"> a su favor.</w:t>
            </w:r>
          </w:p>
        </w:tc>
        <w:tc>
          <w:tcPr>
            <w:tcW w:w="4536" w:type="dxa"/>
          </w:tcPr>
          <w:p w14:paraId="636BFF2A" w14:textId="32D18FF2" w:rsidR="008A7949" w:rsidRPr="00662097" w:rsidRDefault="009947C5"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Ver respuesta al comentario anterior.</w:t>
            </w:r>
          </w:p>
        </w:tc>
      </w:tr>
      <w:tr w:rsidR="008A7949" w:rsidRPr="00662097" w14:paraId="4AC556B2" w14:textId="689DE525" w:rsidTr="008F664E">
        <w:trPr>
          <w:trHeight w:val="20"/>
        </w:trPr>
        <w:tc>
          <w:tcPr>
            <w:tcW w:w="1271" w:type="dxa"/>
            <w:vAlign w:val="center"/>
          </w:tcPr>
          <w:p w14:paraId="623146B4" w14:textId="2F6F617A"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lastRenderedPageBreak/>
              <w:t>Mega Cable</w:t>
            </w:r>
          </w:p>
        </w:tc>
        <w:tc>
          <w:tcPr>
            <w:tcW w:w="1843" w:type="dxa"/>
            <w:shd w:val="clear" w:color="auto" w:fill="auto"/>
            <w:vAlign w:val="center"/>
          </w:tcPr>
          <w:p w14:paraId="10C01C2F" w14:textId="0C70E5EC"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Parámetros de acomedida (Actualización 14)</w:t>
            </w:r>
          </w:p>
        </w:tc>
        <w:tc>
          <w:tcPr>
            <w:tcW w:w="6379" w:type="dxa"/>
            <w:shd w:val="clear" w:color="auto" w:fill="auto"/>
            <w:vAlign w:val="center"/>
          </w:tcPr>
          <w:p w14:paraId="40710478" w14:textId="56F46AB7"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Se afirma que se realizó “un muestreo geográfico” para actualizar los parámetros de acometida. El parámetro para las acometidas urbanas se incrementa a 5.49 (de 5.0) y el rural se reduce de 30.00 a 22.49. No queda claro cómo y cuándo se hizo ese “muestreo”, si se hizo dicho ejercicio, se debería de dar mayor información sobre el mismo. En su lugar, pareciera que con esto solo se busca ajustar el modelo a los objetivos de niveles de tarifas.</w:t>
            </w:r>
          </w:p>
        </w:tc>
        <w:tc>
          <w:tcPr>
            <w:tcW w:w="4536" w:type="dxa"/>
          </w:tcPr>
          <w:p w14:paraId="6C1D0A75" w14:textId="77777777" w:rsidR="00F94993" w:rsidRPr="00662097" w:rsidRDefault="00F94993"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Tal y como se indica en el Documento de Actualización:</w:t>
            </w:r>
          </w:p>
          <w:p w14:paraId="2EFF8C9E" w14:textId="31272C5B" w:rsidR="008A7949" w:rsidRPr="00662097" w:rsidRDefault="00F94993" w:rsidP="00F94993">
            <w:pPr>
              <w:autoSpaceDE w:val="0"/>
              <w:autoSpaceDN w:val="0"/>
              <w:adjustRightInd w:val="0"/>
              <w:spacing w:before="120" w:after="120" w:line="240" w:lineRule="auto"/>
              <w:ind w:left="567"/>
              <w:rPr>
                <w:rFonts w:ascii="Arial" w:hAnsi="Arial" w:cs="Arial"/>
                <w:sz w:val="16"/>
                <w:szCs w:val="16"/>
                <w:lang w:eastAsia="es-MX"/>
              </w:rPr>
            </w:pPr>
            <w:r w:rsidRPr="00662097">
              <w:rPr>
                <w:rFonts w:ascii="Arial" w:hAnsi="Arial" w:cs="Arial"/>
                <w:i/>
                <w:iCs/>
                <w:sz w:val="16"/>
                <w:szCs w:val="16"/>
                <w:lang w:eastAsia="es-MX"/>
              </w:rPr>
              <w:t xml:space="preserve">Para la actualización de los parámetros de la vertical del Modelo se ha llevado a cabo un muestro geográfico, </w:t>
            </w:r>
            <w:r w:rsidRPr="00662097">
              <w:rPr>
                <w:rFonts w:ascii="Arial" w:hAnsi="Arial" w:cs="Arial"/>
                <w:i/>
                <w:iCs/>
                <w:sz w:val="16"/>
                <w:szCs w:val="16"/>
                <w:u w:val="single"/>
                <w:lang w:eastAsia="es-MX"/>
              </w:rPr>
              <w:t>con el objetivo de medir la distancia promedio entre los edificios y la carretera más cercana</w:t>
            </w:r>
            <w:r w:rsidRPr="00662097">
              <w:rPr>
                <w:rFonts w:ascii="Arial" w:hAnsi="Arial" w:cs="Arial"/>
                <w:i/>
                <w:iCs/>
                <w:sz w:val="16"/>
                <w:szCs w:val="16"/>
                <w:lang w:eastAsia="es-MX"/>
              </w:rPr>
              <w:t>.</w:t>
            </w:r>
          </w:p>
          <w:p w14:paraId="0C6CAD49" w14:textId="2FC0EC75" w:rsidR="00F94993" w:rsidRPr="00662097" w:rsidRDefault="00504CAA" w:rsidP="00CB2661">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Es decir, el muestreo consistió en la toma de medida</w:t>
            </w:r>
            <w:r w:rsidR="00A27B13" w:rsidRPr="00662097">
              <w:rPr>
                <w:rFonts w:ascii="Arial" w:hAnsi="Arial" w:cs="Arial"/>
                <w:sz w:val="16"/>
                <w:szCs w:val="16"/>
                <w:lang w:eastAsia="es-MX"/>
              </w:rPr>
              <w:t>s</w:t>
            </w:r>
            <w:r w:rsidRPr="00662097">
              <w:rPr>
                <w:rFonts w:ascii="Arial" w:hAnsi="Arial" w:cs="Arial"/>
                <w:sz w:val="16"/>
                <w:szCs w:val="16"/>
                <w:lang w:eastAsia="es-MX"/>
              </w:rPr>
              <w:t xml:space="preserve"> de distancias</w:t>
            </w:r>
            <w:r w:rsidR="00535E0A" w:rsidRPr="00662097">
              <w:rPr>
                <w:rFonts w:ascii="Arial" w:hAnsi="Arial" w:cs="Arial"/>
                <w:sz w:val="16"/>
                <w:szCs w:val="16"/>
                <w:lang w:eastAsia="es-MX"/>
              </w:rPr>
              <w:t xml:space="preserve"> geográficas</w:t>
            </w:r>
            <w:r w:rsidRPr="00662097">
              <w:rPr>
                <w:rFonts w:ascii="Arial" w:hAnsi="Arial" w:cs="Arial"/>
                <w:sz w:val="16"/>
                <w:szCs w:val="16"/>
                <w:lang w:eastAsia="es-MX"/>
              </w:rPr>
              <w:t xml:space="preserve">, </w:t>
            </w:r>
            <w:r w:rsidR="00A27B13" w:rsidRPr="00662097">
              <w:rPr>
                <w:rFonts w:ascii="Arial" w:hAnsi="Arial" w:cs="Arial"/>
                <w:sz w:val="16"/>
                <w:szCs w:val="16"/>
                <w:lang w:eastAsia="es-MX"/>
              </w:rPr>
              <w:t xml:space="preserve">realizadas </w:t>
            </w:r>
            <w:r w:rsidRPr="00662097">
              <w:rPr>
                <w:rFonts w:ascii="Arial" w:hAnsi="Arial" w:cs="Arial"/>
                <w:sz w:val="16"/>
                <w:szCs w:val="16"/>
                <w:lang w:eastAsia="es-MX"/>
              </w:rPr>
              <w:t xml:space="preserve">sobre </w:t>
            </w:r>
            <w:r w:rsidR="00A27B13" w:rsidRPr="00662097">
              <w:rPr>
                <w:rFonts w:ascii="Arial" w:hAnsi="Arial" w:cs="Arial"/>
                <w:sz w:val="16"/>
                <w:szCs w:val="16"/>
                <w:lang w:eastAsia="es-MX"/>
              </w:rPr>
              <w:t>el mapa del territorio de México</w:t>
            </w:r>
            <w:r w:rsidR="00CB2661" w:rsidRPr="00662097">
              <w:rPr>
                <w:rFonts w:ascii="Arial" w:hAnsi="Arial" w:cs="Arial"/>
                <w:sz w:val="16"/>
                <w:szCs w:val="16"/>
                <w:lang w:eastAsia="es-MX"/>
              </w:rPr>
              <w:t>, a partir de coordenadas geográficas</w:t>
            </w:r>
            <w:r w:rsidR="00180771" w:rsidRPr="00662097">
              <w:rPr>
                <w:rFonts w:ascii="Arial" w:hAnsi="Arial" w:cs="Arial"/>
                <w:sz w:val="16"/>
                <w:szCs w:val="16"/>
                <w:lang w:eastAsia="es-MX"/>
              </w:rPr>
              <w:t xml:space="preserve"> (latitud y longitud)</w:t>
            </w:r>
            <w:r w:rsidR="00A27B13" w:rsidRPr="00662097">
              <w:rPr>
                <w:rFonts w:ascii="Arial" w:hAnsi="Arial" w:cs="Arial"/>
                <w:sz w:val="16"/>
                <w:szCs w:val="16"/>
                <w:lang w:eastAsia="es-MX"/>
              </w:rPr>
              <w:t>,</w:t>
            </w:r>
            <w:r w:rsidR="00535E0A" w:rsidRPr="00662097">
              <w:rPr>
                <w:rFonts w:ascii="Arial" w:hAnsi="Arial" w:cs="Arial"/>
                <w:sz w:val="16"/>
                <w:szCs w:val="16"/>
                <w:lang w:eastAsia="es-MX"/>
              </w:rPr>
              <w:t xml:space="preserve"> que </w:t>
            </w:r>
            <w:r w:rsidR="008A497A" w:rsidRPr="00662097">
              <w:rPr>
                <w:rFonts w:ascii="Arial" w:hAnsi="Arial" w:cs="Arial"/>
                <w:sz w:val="16"/>
                <w:szCs w:val="16"/>
                <w:lang w:eastAsia="es-MX"/>
              </w:rPr>
              <w:t xml:space="preserve">han permitido </w:t>
            </w:r>
            <w:r w:rsidR="00535E0A" w:rsidRPr="00662097">
              <w:rPr>
                <w:rFonts w:ascii="Arial" w:hAnsi="Arial" w:cs="Arial"/>
                <w:sz w:val="16"/>
                <w:szCs w:val="16"/>
                <w:lang w:eastAsia="es-MX"/>
              </w:rPr>
              <w:t xml:space="preserve">estimar la distancia </w:t>
            </w:r>
            <w:r w:rsidR="008A497A" w:rsidRPr="00662097">
              <w:rPr>
                <w:rFonts w:ascii="Arial" w:hAnsi="Arial" w:cs="Arial"/>
                <w:sz w:val="16"/>
                <w:szCs w:val="16"/>
                <w:lang w:eastAsia="es-MX"/>
              </w:rPr>
              <w:t xml:space="preserve">existente </w:t>
            </w:r>
            <w:r w:rsidR="00535E0A" w:rsidRPr="00662097">
              <w:rPr>
                <w:rFonts w:ascii="Arial" w:hAnsi="Arial" w:cs="Arial"/>
                <w:sz w:val="16"/>
                <w:szCs w:val="16"/>
                <w:lang w:eastAsia="es-MX"/>
              </w:rPr>
              <w:t>entre los edificios y la carretera más cercana.</w:t>
            </w:r>
            <w:r w:rsidR="007B3F60" w:rsidRPr="00662097">
              <w:rPr>
                <w:rFonts w:ascii="Arial" w:hAnsi="Arial" w:cs="Arial"/>
                <w:sz w:val="16"/>
                <w:szCs w:val="16"/>
                <w:lang w:eastAsia="es-MX"/>
              </w:rPr>
              <w:t xml:space="preserve"> Con base </w:t>
            </w:r>
            <w:r w:rsidR="006D48DE" w:rsidRPr="00662097">
              <w:rPr>
                <w:rFonts w:ascii="Arial" w:hAnsi="Arial" w:cs="Arial"/>
                <w:sz w:val="16"/>
                <w:szCs w:val="16"/>
                <w:lang w:eastAsia="es-MX"/>
              </w:rPr>
              <w:t>en</w:t>
            </w:r>
            <w:r w:rsidR="007B3F60" w:rsidRPr="00662097">
              <w:rPr>
                <w:rFonts w:ascii="Arial" w:hAnsi="Arial" w:cs="Arial"/>
                <w:sz w:val="16"/>
                <w:szCs w:val="16"/>
                <w:lang w:eastAsia="es-MX"/>
              </w:rPr>
              <w:t xml:space="preserve"> la información de distancias obtenida</w:t>
            </w:r>
            <w:r w:rsidR="007E6717" w:rsidRPr="00662097">
              <w:rPr>
                <w:rFonts w:ascii="Arial" w:hAnsi="Arial" w:cs="Arial"/>
                <w:sz w:val="16"/>
                <w:szCs w:val="16"/>
                <w:lang w:eastAsia="es-MX"/>
              </w:rPr>
              <w:t>s</w:t>
            </w:r>
            <w:r w:rsidR="007B3F60" w:rsidRPr="00662097">
              <w:rPr>
                <w:rFonts w:ascii="Arial" w:hAnsi="Arial" w:cs="Arial"/>
                <w:sz w:val="16"/>
                <w:szCs w:val="16"/>
                <w:lang w:eastAsia="es-MX"/>
              </w:rPr>
              <w:t xml:space="preserve"> se ha procedido a calcular un promedio que se introduce como dato de entrada en el Modelo Integral.</w:t>
            </w:r>
          </w:p>
        </w:tc>
      </w:tr>
      <w:tr w:rsidR="008A7949" w:rsidRPr="00662097" w14:paraId="292BE77E" w14:textId="1B909942" w:rsidTr="008F664E">
        <w:trPr>
          <w:trHeight w:val="20"/>
        </w:trPr>
        <w:tc>
          <w:tcPr>
            <w:tcW w:w="1271" w:type="dxa"/>
            <w:vAlign w:val="center"/>
          </w:tcPr>
          <w:p w14:paraId="1BA190ED" w14:textId="5E11FFB6"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Mega Cable</w:t>
            </w:r>
          </w:p>
        </w:tc>
        <w:tc>
          <w:tcPr>
            <w:tcW w:w="1843" w:type="dxa"/>
            <w:shd w:val="clear" w:color="auto" w:fill="auto"/>
            <w:vAlign w:val="center"/>
          </w:tcPr>
          <w:p w14:paraId="0F9BC21C" w14:textId="1D4282D3"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Renta de espacio dentro de central</w:t>
            </w:r>
          </w:p>
        </w:tc>
        <w:tc>
          <w:tcPr>
            <w:tcW w:w="6379" w:type="dxa"/>
            <w:shd w:val="clear" w:color="auto" w:fill="auto"/>
            <w:vAlign w:val="center"/>
          </w:tcPr>
          <w:p w14:paraId="6FA6D6A8" w14:textId="265DDC0D"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 xml:space="preserve">Se afirma que se ajustaron los valores conforme a la </w:t>
            </w:r>
            <w:proofErr w:type="spellStart"/>
            <w:r w:rsidRPr="00662097">
              <w:rPr>
                <w:rFonts w:ascii="Arial" w:hAnsi="Arial" w:cs="Arial"/>
                <w:sz w:val="16"/>
                <w:szCs w:val="16"/>
                <w:lang w:eastAsia="es-MX"/>
              </w:rPr>
              <w:t>CTMyT</w:t>
            </w:r>
            <w:proofErr w:type="spellEnd"/>
            <w:r w:rsidRPr="00662097">
              <w:rPr>
                <w:rFonts w:ascii="Arial" w:hAnsi="Arial" w:cs="Arial"/>
                <w:sz w:val="16"/>
                <w:szCs w:val="16"/>
                <w:lang w:eastAsia="es-MX"/>
              </w:rPr>
              <w:t xml:space="preserve"> 2023, estableciéndose valores significativamente superiores al modelo de costos anterior. Nuevamente, aquí no hay ninguna consideración de eficiencia, se ajustan los valores en respuesta a las manifestaciones del AEP, siendo uno de sus principales quejas respecto a </w:t>
            </w:r>
            <w:proofErr w:type="spellStart"/>
            <w:r w:rsidRPr="00662097">
              <w:rPr>
                <w:rFonts w:ascii="Arial" w:hAnsi="Arial" w:cs="Arial"/>
                <w:sz w:val="16"/>
                <w:szCs w:val="16"/>
                <w:lang w:eastAsia="es-MX"/>
              </w:rPr>
              <w:t>CTMyT</w:t>
            </w:r>
            <w:proofErr w:type="spellEnd"/>
            <w:r w:rsidRPr="00662097">
              <w:rPr>
                <w:rFonts w:ascii="Arial" w:hAnsi="Arial" w:cs="Arial"/>
                <w:sz w:val="16"/>
                <w:szCs w:val="16"/>
                <w:lang w:eastAsia="es-MX"/>
              </w:rPr>
              <w:t xml:space="preserve"> anteriores el costo de </w:t>
            </w:r>
            <w:proofErr w:type="spellStart"/>
            <w:r w:rsidRPr="00662097">
              <w:rPr>
                <w:rFonts w:ascii="Arial" w:hAnsi="Arial" w:cs="Arial"/>
                <w:sz w:val="16"/>
                <w:szCs w:val="16"/>
                <w:lang w:eastAsia="es-MX"/>
              </w:rPr>
              <w:t>coubicación</w:t>
            </w:r>
            <w:proofErr w:type="spellEnd"/>
            <w:r w:rsidRPr="00662097">
              <w:rPr>
                <w:rFonts w:ascii="Arial" w:hAnsi="Arial" w:cs="Arial"/>
                <w:sz w:val="16"/>
                <w:szCs w:val="16"/>
                <w:lang w:eastAsia="es-MX"/>
              </w:rPr>
              <w:t xml:space="preserve"> en sus centrales. De hecho, aunque se aduce que la modificación es conforme al acuerdo de </w:t>
            </w:r>
            <w:proofErr w:type="spellStart"/>
            <w:r w:rsidRPr="00662097">
              <w:rPr>
                <w:rFonts w:ascii="Arial" w:hAnsi="Arial" w:cs="Arial"/>
                <w:sz w:val="16"/>
                <w:szCs w:val="16"/>
                <w:lang w:eastAsia="es-MX"/>
              </w:rPr>
              <w:t>CTMyT</w:t>
            </w:r>
            <w:proofErr w:type="spellEnd"/>
            <w:r w:rsidRPr="00662097">
              <w:rPr>
                <w:rFonts w:ascii="Arial" w:hAnsi="Arial" w:cs="Arial"/>
                <w:sz w:val="16"/>
                <w:szCs w:val="16"/>
                <w:lang w:eastAsia="es-MX"/>
              </w:rPr>
              <w:t xml:space="preserve"> 2023, el pie de la tabla refleja la realidad: corresponde a los datos aportados por el AEP (Fuente).</w:t>
            </w:r>
          </w:p>
          <w:p w14:paraId="6E85D3A1" w14:textId="77777777"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noProof/>
                <w:sz w:val="16"/>
                <w:szCs w:val="16"/>
                <w:lang w:eastAsia="es-MX"/>
              </w:rPr>
              <w:drawing>
                <wp:inline distT="0" distB="0" distL="0" distR="0" wp14:anchorId="77BF9274" wp14:editId="0B6257BE">
                  <wp:extent cx="357187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71875" cy="781050"/>
                          </a:xfrm>
                          <a:prstGeom prst="rect">
                            <a:avLst/>
                          </a:prstGeom>
                          <a:noFill/>
                          <a:ln>
                            <a:noFill/>
                          </a:ln>
                        </pic:spPr>
                      </pic:pic>
                    </a:graphicData>
                  </a:graphic>
                </wp:inline>
              </w:drawing>
            </w:r>
          </w:p>
          <w:p w14:paraId="4221E3C5" w14:textId="40F8B2F5"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Los incrementos en el costo por m2 por mes son respectivamente de 42% para centrales urbanas y 108% para centrales rurales. Cabe observar que, si las instalaciones son básicamente las mismas, no se observa un factor que de 2020 a 2023 pudiera justificar tales incrementos.</w:t>
            </w:r>
          </w:p>
        </w:tc>
        <w:tc>
          <w:tcPr>
            <w:tcW w:w="4536" w:type="dxa"/>
          </w:tcPr>
          <w:p w14:paraId="7DB04035" w14:textId="4DFF2013" w:rsidR="00AA0B19" w:rsidRPr="00662097" w:rsidRDefault="00AA0B1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 xml:space="preserve">Se </w:t>
            </w:r>
            <w:r w:rsidR="00BC2A86" w:rsidRPr="00662097">
              <w:rPr>
                <w:rFonts w:ascii="Arial" w:hAnsi="Arial" w:cs="Arial"/>
                <w:sz w:val="16"/>
                <w:szCs w:val="16"/>
                <w:lang w:eastAsia="es-MX"/>
              </w:rPr>
              <w:t>aclara que la fuente empleada es, según lo señalado en el Documento de Actualización</w:t>
            </w:r>
            <w:proofErr w:type="gramStart"/>
            <w:r w:rsidR="00BC2A86" w:rsidRPr="00662097">
              <w:rPr>
                <w:rFonts w:ascii="Arial" w:hAnsi="Arial" w:cs="Arial"/>
                <w:sz w:val="16"/>
                <w:szCs w:val="16"/>
                <w:lang w:eastAsia="es-MX"/>
              </w:rPr>
              <w:t>:</w:t>
            </w:r>
            <w:r w:rsidR="00CF035A" w:rsidRPr="00662097">
              <w:rPr>
                <w:rFonts w:ascii="Arial" w:hAnsi="Arial" w:cs="Arial"/>
                <w:sz w:val="16"/>
                <w:szCs w:val="16"/>
                <w:lang w:eastAsia="es-MX"/>
              </w:rPr>
              <w:t xml:space="preserve"> </w:t>
            </w:r>
            <w:r w:rsidR="00BC2A86" w:rsidRPr="00662097">
              <w:rPr>
                <w:rFonts w:ascii="Arial" w:hAnsi="Arial" w:cs="Arial"/>
                <w:i/>
                <w:iCs/>
                <w:sz w:val="16"/>
                <w:szCs w:val="16"/>
                <w:lang w:eastAsia="es-MX"/>
              </w:rPr>
              <w:t>”el</w:t>
            </w:r>
            <w:proofErr w:type="gramEnd"/>
            <w:r w:rsidR="00BC2A86" w:rsidRPr="00662097">
              <w:rPr>
                <w:rFonts w:ascii="Arial" w:hAnsi="Arial" w:cs="Arial"/>
                <w:i/>
                <w:iCs/>
                <w:sz w:val="16"/>
                <w:szCs w:val="16"/>
                <w:lang w:eastAsia="es-MX"/>
              </w:rPr>
              <w:t xml:space="preserve"> valor regulado en el acuerdo P/IFT/261022/533  en el que el Instituto establece las Condiciones Técnicas Mínimas para la interconexión entre concesionarios”. </w:t>
            </w:r>
            <w:r w:rsidR="00BC2A86" w:rsidRPr="00662097">
              <w:rPr>
                <w:rFonts w:ascii="Arial" w:hAnsi="Arial" w:cs="Arial"/>
                <w:sz w:val="16"/>
                <w:szCs w:val="16"/>
                <w:lang w:eastAsia="es-MX"/>
              </w:rPr>
              <w:t>Por tanto, se considera conveniente indicar que la fuente no es el AEP.</w:t>
            </w:r>
            <w:r w:rsidR="007D15E7" w:rsidRPr="00662097">
              <w:rPr>
                <w:rFonts w:ascii="Arial" w:hAnsi="Arial" w:cs="Arial"/>
                <w:sz w:val="16"/>
                <w:szCs w:val="16"/>
                <w:lang w:eastAsia="es-MX"/>
              </w:rPr>
              <w:t xml:space="preserve"> En cualquier caso, se proced</w:t>
            </w:r>
            <w:r w:rsidR="00F930DE" w:rsidRPr="00662097">
              <w:rPr>
                <w:rFonts w:ascii="Arial" w:hAnsi="Arial" w:cs="Arial"/>
                <w:sz w:val="16"/>
                <w:szCs w:val="16"/>
                <w:lang w:eastAsia="es-MX"/>
              </w:rPr>
              <w:t>e</w:t>
            </w:r>
            <w:r w:rsidR="007D15E7" w:rsidRPr="00662097">
              <w:rPr>
                <w:rFonts w:ascii="Arial" w:hAnsi="Arial" w:cs="Arial"/>
                <w:sz w:val="16"/>
                <w:szCs w:val="16"/>
                <w:lang w:eastAsia="es-MX"/>
              </w:rPr>
              <w:t xml:space="preserve"> a ajustar la fuente en la documentación para evitar confusión. </w:t>
            </w:r>
          </w:p>
          <w:p w14:paraId="15543DC3" w14:textId="04529930" w:rsidR="008A7949" w:rsidRPr="00662097" w:rsidRDefault="00BC2A86"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Con relación a la actualización, cabe señalar que dichos valores no habían sido actualizados desde el año 2018,</w:t>
            </w:r>
            <w:r w:rsidR="005D0228" w:rsidRPr="00662097">
              <w:rPr>
                <w:rFonts w:ascii="Arial" w:hAnsi="Arial" w:cs="Arial"/>
                <w:sz w:val="16"/>
                <w:szCs w:val="16"/>
                <w:lang w:eastAsia="es-MX"/>
              </w:rPr>
              <w:t xml:space="preserve"> cuando se desarrolló por primera vez el Modelo</w:t>
            </w:r>
            <w:r w:rsidR="0039788F" w:rsidRPr="00662097">
              <w:rPr>
                <w:rFonts w:ascii="Arial" w:hAnsi="Arial" w:cs="Arial"/>
                <w:sz w:val="16"/>
                <w:szCs w:val="16"/>
                <w:lang w:eastAsia="es-MX"/>
              </w:rPr>
              <w:t xml:space="preserve"> Integral</w:t>
            </w:r>
            <w:r w:rsidR="005D0228" w:rsidRPr="00662097">
              <w:rPr>
                <w:rFonts w:ascii="Arial" w:hAnsi="Arial" w:cs="Arial"/>
                <w:sz w:val="16"/>
                <w:szCs w:val="16"/>
                <w:lang w:eastAsia="es-MX"/>
              </w:rPr>
              <w:t>,</w:t>
            </w:r>
            <w:r w:rsidRPr="00662097">
              <w:rPr>
                <w:rFonts w:ascii="Arial" w:hAnsi="Arial" w:cs="Arial"/>
                <w:sz w:val="16"/>
                <w:szCs w:val="16"/>
                <w:lang w:eastAsia="es-MX"/>
              </w:rPr>
              <w:t xml:space="preserve"> y se considera por tanto que los nuevos valores reflejan de manera </w:t>
            </w:r>
            <w:r w:rsidR="00F930DE" w:rsidRPr="00662097">
              <w:rPr>
                <w:rFonts w:ascii="Arial" w:hAnsi="Arial" w:cs="Arial"/>
                <w:sz w:val="16"/>
                <w:szCs w:val="16"/>
                <w:lang w:eastAsia="es-MX"/>
              </w:rPr>
              <w:t xml:space="preserve">más apropiada </w:t>
            </w:r>
            <w:r w:rsidRPr="00662097">
              <w:rPr>
                <w:rFonts w:ascii="Arial" w:hAnsi="Arial" w:cs="Arial"/>
                <w:sz w:val="16"/>
                <w:szCs w:val="16"/>
                <w:lang w:eastAsia="es-MX"/>
              </w:rPr>
              <w:t xml:space="preserve">la operativa actual en México. </w:t>
            </w:r>
          </w:p>
        </w:tc>
      </w:tr>
      <w:tr w:rsidR="008A7949" w:rsidRPr="00662097" w14:paraId="27B555F1" w14:textId="110518B5" w:rsidTr="008F664E">
        <w:trPr>
          <w:trHeight w:val="20"/>
        </w:trPr>
        <w:tc>
          <w:tcPr>
            <w:tcW w:w="1271" w:type="dxa"/>
            <w:vAlign w:val="center"/>
          </w:tcPr>
          <w:p w14:paraId="036ED442" w14:textId="09773502"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Mega Cable</w:t>
            </w:r>
          </w:p>
        </w:tc>
        <w:tc>
          <w:tcPr>
            <w:tcW w:w="1843" w:type="dxa"/>
            <w:shd w:val="clear" w:color="auto" w:fill="auto"/>
            <w:vAlign w:val="center"/>
          </w:tcPr>
          <w:p w14:paraId="145C87F8" w14:textId="7415CD38" w:rsidR="008A7949" w:rsidRPr="00662097" w:rsidRDefault="008A794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Base total de costos</w:t>
            </w:r>
          </w:p>
        </w:tc>
        <w:tc>
          <w:tcPr>
            <w:tcW w:w="6379" w:type="dxa"/>
            <w:shd w:val="clear" w:color="auto" w:fill="auto"/>
            <w:vAlign w:val="center"/>
          </w:tcPr>
          <w:p w14:paraId="3CD8FB9A" w14:textId="77777777"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Se señala en el Documento Actualización que el Modelo Integral para 2024 calcula un CAPEX de $21 mil millones (véase tabla siguiente), dicha cifra luce excesiva dado que solamente se trata del CAPEX de la red acceso atribuible a los servicios de la ORCI y OREDA y que excluye el CAPEX de la red de transmisión, así como de los elementos de red utilizados para interconexión, enlaces dedicados y otros servicios.</w:t>
            </w:r>
          </w:p>
          <w:p w14:paraId="6B3919DC" w14:textId="77777777" w:rsidR="008A7949" w:rsidRPr="00662097" w:rsidRDefault="008A7949" w:rsidP="008A7949">
            <w:pPr>
              <w:autoSpaceDE w:val="0"/>
              <w:autoSpaceDN w:val="0"/>
              <w:adjustRightInd w:val="0"/>
              <w:spacing w:before="120" w:after="120" w:line="240" w:lineRule="auto"/>
              <w:jc w:val="center"/>
              <w:rPr>
                <w:rFonts w:ascii="Arial" w:hAnsi="Arial" w:cs="Arial"/>
                <w:sz w:val="16"/>
                <w:szCs w:val="16"/>
                <w:lang w:eastAsia="es-MX"/>
              </w:rPr>
            </w:pPr>
            <w:r w:rsidRPr="00662097">
              <w:rPr>
                <w:rFonts w:ascii="Arial" w:hAnsi="Arial" w:cs="Arial"/>
                <w:noProof/>
                <w:sz w:val="16"/>
                <w:szCs w:val="16"/>
                <w:lang w:eastAsia="es-MX"/>
              </w:rPr>
              <w:lastRenderedPageBreak/>
              <w:drawing>
                <wp:inline distT="0" distB="0" distL="0" distR="0" wp14:anchorId="56CCC134" wp14:editId="532B1AB3">
                  <wp:extent cx="3706846" cy="990600"/>
                  <wp:effectExtent l="0" t="0" r="8255" b="0"/>
                  <wp:docPr id="6" name="Picture 6"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A screenshot of a computer screen&#10;&#10;Description automatically generated"/>
                          <pic:cNvPicPr/>
                        </pic:nvPicPr>
                        <pic:blipFill>
                          <a:blip r:embed="rId19"/>
                          <a:stretch>
                            <a:fillRect/>
                          </a:stretch>
                        </pic:blipFill>
                        <pic:spPr>
                          <a:xfrm>
                            <a:off x="0" y="0"/>
                            <a:ext cx="3709544" cy="991321"/>
                          </a:xfrm>
                          <a:prstGeom prst="rect">
                            <a:avLst/>
                          </a:prstGeom>
                        </pic:spPr>
                      </pic:pic>
                    </a:graphicData>
                  </a:graphic>
                </wp:inline>
              </w:drawing>
            </w:r>
          </w:p>
          <w:p w14:paraId="65EF484B" w14:textId="5F5E95A2" w:rsidR="008A7949" w:rsidRPr="00662097" w:rsidRDefault="008A7949" w:rsidP="008A794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De hecho, tomando información del Reporte Anual de Telmex para 2022</w:t>
            </w:r>
            <w:r w:rsidRPr="00662097">
              <w:rPr>
                <w:rStyle w:val="Refdenotaalpie"/>
                <w:rFonts w:ascii="Arial" w:hAnsi="Arial" w:cs="Arial"/>
                <w:sz w:val="16"/>
                <w:szCs w:val="16"/>
                <w:lang w:eastAsia="es-MX"/>
              </w:rPr>
              <w:footnoteReference w:id="4"/>
            </w:r>
            <w:r w:rsidRPr="00662097">
              <w:rPr>
                <w:rFonts w:ascii="Arial" w:hAnsi="Arial" w:cs="Arial"/>
                <w:sz w:val="16"/>
                <w:szCs w:val="16"/>
                <w:lang w:eastAsia="es-MX"/>
              </w:rPr>
              <w:t xml:space="preserve">, se tiene que la inversión </w:t>
            </w:r>
            <w:r w:rsidRPr="00662097">
              <w:rPr>
                <w:rFonts w:ascii="Arial" w:hAnsi="Arial" w:cs="Arial"/>
                <w:b/>
                <w:sz w:val="16"/>
                <w:szCs w:val="16"/>
                <w:u w:val="single"/>
                <w:lang w:eastAsia="es-MX"/>
              </w:rPr>
              <w:t>total</w:t>
            </w:r>
            <w:r w:rsidRPr="00662097">
              <w:rPr>
                <w:rFonts w:ascii="Arial" w:hAnsi="Arial" w:cs="Arial"/>
                <w:sz w:val="16"/>
                <w:szCs w:val="16"/>
                <w:lang w:eastAsia="es-MX"/>
              </w:rPr>
              <w:t xml:space="preserve"> de CAPEX durante ese año fue de solo $6.9 mil millones de pesos (en 2021 fue de $7.4 mil millones de pesos). Así mismo, se observa una reducción para 2022 con respecto a 2021 de unos $6.8 mil millones de pesos en “Propiedades, planta y equipo, neto”, al pasar de $121.8 mil millones de pesos a $115.9 mil millones de pesos. Si bien dichas cifras corresponden a valores contables y no económicos, sugieren que el Modelo Integral, no obstante que tiene una alta dependencia en los datos del AEP, parece sobreestimar el CAPEX anual de su red de acceso y, por lo tanto, las tarifas de servicios mayoristas determinadas conforme a ese CAPEX también estarían sobreestimadas.</w:t>
            </w:r>
          </w:p>
        </w:tc>
        <w:tc>
          <w:tcPr>
            <w:tcW w:w="4536" w:type="dxa"/>
          </w:tcPr>
          <w:p w14:paraId="48AAB562" w14:textId="5E2D00C3" w:rsidR="00427A07" w:rsidRPr="00662097" w:rsidRDefault="00427A07" w:rsidP="00427A07">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lastRenderedPageBreak/>
              <w:t xml:space="preserve">Se hace notar que las cifras incluidas en la tabla señalada corresponden al costo anual del operador modelado, según lo indicado en el Documento de Actualización. En otras palabras, reflejan los valores resultantes de la anualización de la inversión completa necesaria para la red modelada. </w:t>
            </w:r>
          </w:p>
          <w:p w14:paraId="40959B6E" w14:textId="3058EA2D" w:rsidR="00EE191B" w:rsidRPr="00662097" w:rsidRDefault="00427A07" w:rsidP="00427A07">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Por tanto, dichas cifras difieren de los conceptos extraídos del Reporte Anual de Telmex,</w:t>
            </w:r>
            <w:r w:rsidR="00EE191B" w:rsidRPr="00662097">
              <w:rPr>
                <w:rFonts w:ascii="Arial" w:hAnsi="Arial" w:cs="Arial"/>
                <w:sz w:val="16"/>
                <w:szCs w:val="16"/>
                <w:lang w:eastAsia="es-MX"/>
              </w:rPr>
              <w:t xml:space="preserve"> por las siguientes razones: </w:t>
            </w:r>
          </w:p>
          <w:p w14:paraId="5C0C0537" w14:textId="4E52BA1E" w:rsidR="00EE191B" w:rsidRPr="00662097" w:rsidRDefault="00EE191B" w:rsidP="00570AFE">
            <w:pPr>
              <w:pStyle w:val="Prrafodelista"/>
              <w:numPr>
                <w:ilvl w:val="0"/>
                <w:numId w:val="23"/>
              </w:num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 xml:space="preserve">El concepto de inversión anual en el Reporte de Telmex únicamente refleja las nuevas inversiones </w:t>
            </w:r>
            <w:r w:rsidRPr="00662097">
              <w:rPr>
                <w:rFonts w:ascii="Arial" w:hAnsi="Arial" w:cs="Arial"/>
                <w:sz w:val="16"/>
                <w:szCs w:val="16"/>
                <w:lang w:eastAsia="es-MX"/>
              </w:rPr>
              <w:lastRenderedPageBreak/>
              <w:t>del año en particular (</w:t>
            </w:r>
            <w:r w:rsidR="00427A07" w:rsidRPr="00662097">
              <w:rPr>
                <w:rFonts w:ascii="Arial" w:hAnsi="Arial" w:cs="Arial"/>
                <w:sz w:val="16"/>
                <w:szCs w:val="16"/>
                <w:lang w:eastAsia="es-MX"/>
              </w:rPr>
              <w:t>2021 o 2022</w:t>
            </w:r>
            <w:r w:rsidRPr="00662097">
              <w:rPr>
                <w:rFonts w:ascii="Arial" w:hAnsi="Arial" w:cs="Arial"/>
                <w:sz w:val="16"/>
                <w:szCs w:val="16"/>
                <w:lang w:eastAsia="es-MX"/>
              </w:rPr>
              <w:t>)</w:t>
            </w:r>
            <w:r w:rsidR="00427A07" w:rsidRPr="00662097">
              <w:rPr>
                <w:rFonts w:ascii="Arial" w:hAnsi="Arial" w:cs="Arial"/>
                <w:sz w:val="16"/>
                <w:szCs w:val="16"/>
                <w:lang w:eastAsia="es-MX"/>
              </w:rPr>
              <w:t>,</w:t>
            </w:r>
            <w:r w:rsidRPr="00662097">
              <w:rPr>
                <w:rFonts w:ascii="Arial" w:hAnsi="Arial" w:cs="Arial"/>
                <w:sz w:val="16"/>
                <w:szCs w:val="16"/>
                <w:lang w:eastAsia="es-MX"/>
              </w:rPr>
              <w:t xml:space="preserve"> no englobando por tanto el total de inversión necesaria en la red.</w:t>
            </w:r>
          </w:p>
          <w:p w14:paraId="15727716" w14:textId="5E1C7BEA" w:rsidR="00A339AF" w:rsidRPr="00662097" w:rsidRDefault="00911C75" w:rsidP="00A339AF">
            <w:pPr>
              <w:pStyle w:val="Prrafodelista"/>
              <w:numPr>
                <w:ilvl w:val="0"/>
                <w:numId w:val="23"/>
              </w:num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 xml:space="preserve">Los valores del Reporte de Telmex </w:t>
            </w:r>
            <w:r w:rsidR="00EE191B" w:rsidRPr="00662097">
              <w:rPr>
                <w:rFonts w:ascii="Arial" w:hAnsi="Arial" w:cs="Arial"/>
                <w:sz w:val="16"/>
                <w:szCs w:val="16"/>
                <w:lang w:eastAsia="es-MX"/>
              </w:rPr>
              <w:t>no se encuentran anualizados, a diferencia de los valores de la tabla del Documento de Actualización</w:t>
            </w:r>
            <w:r w:rsidR="00200D2A" w:rsidRPr="00662097">
              <w:rPr>
                <w:rFonts w:ascii="Arial" w:hAnsi="Arial" w:cs="Arial"/>
                <w:sz w:val="16"/>
                <w:szCs w:val="16"/>
                <w:lang w:eastAsia="es-MX"/>
              </w:rPr>
              <w:t>, que sí lo están</w:t>
            </w:r>
            <w:r w:rsidR="00CF46F2" w:rsidRPr="00662097">
              <w:rPr>
                <w:rFonts w:ascii="Arial" w:hAnsi="Arial" w:cs="Arial"/>
                <w:sz w:val="16"/>
                <w:szCs w:val="16"/>
                <w:lang w:eastAsia="es-MX"/>
              </w:rPr>
              <w:t xml:space="preserve">. </w:t>
            </w:r>
          </w:p>
          <w:p w14:paraId="0B919BA4" w14:textId="35C33EFC" w:rsidR="00A339AF" w:rsidRPr="00662097" w:rsidRDefault="00C511C9" w:rsidP="0046724E">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t>De cualquier forma se destaca que se hará una revisión de</w:t>
            </w:r>
            <w:r w:rsidR="00690196" w:rsidRPr="00662097">
              <w:rPr>
                <w:rFonts w:ascii="Arial" w:hAnsi="Arial" w:cs="Arial"/>
                <w:sz w:val="16"/>
                <w:szCs w:val="16"/>
                <w:lang w:eastAsia="es-MX"/>
              </w:rPr>
              <w:t xml:space="preserve"> los costos </w:t>
            </w:r>
            <w:r w:rsidRPr="00662097">
              <w:rPr>
                <w:rFonts w:ascii="Arial" w:hAnsi="Arial" w:cs="Arial"/>
                <w:sz w:val="16"/>
                <w:szCs w:val="16"/>
                <w:lang w:eastAsia="es-MX"/>
              </w:rPr>
              <w:t>de CAPEX y también de niveles de OPEX que reflejen condiciones de eficiencia en la operación de la red modelada.</w:t>
            </w:r>
          </w:p>
        </w:tc>
      </w:tr>
      <w:tr w:rsidR="00C87409" w:rsidRPr="00662097" w14:paraId="1AF3E21B" w14:textId="77777777" w:rsidTr="008F664E">
        <w:trPr>
          <w:trHeight w:val="20"/>
        </w:trPr>
        <w:tc>
          <w:tcPr>
            <w:tcW w:w="1271" w:type="dxa"/>
            <w:vAlign w:val="center"/>
          </w:tcPr>
          <w:p w14:paraId="287753FB" w14:textId="2F688345" w:rsidR="00C87409" w:rsidRPr="00662097" w:rsidRDefault="00C87409" w:rsidP="00C8740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lastRenderedPageBreak/>
              <w:t>Mega Cable</w:t>
            </w:r>
          </w:p>
        </w:tc>
        <w:tc>
          <w:tcPr>
            <w:tcW w:w="1843" w:type="dxa"/>
            <w:shd w:val="clear" w:color="auto" w:fill="auto"/>
            <w:vAlign w:val="center"/>
          </w:tcPr>
          <w:p w14:paraId="04DD9842" w14:textId="1C68958F" w:rsidR="00C87409" w:rsidRPr="00662097" w:rsidRDefault="00C87409" w:rsidP="00C8740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Comentario general</w:t>
            </w:r>
          </w:p>
        </w:tc>
        <w:tc>
          <w:tcPr>
            <w:tcW w:w="6379" w:type="dxa"/>
            <w:shd w:val="clear" w:color="auto" w:fill="auto"/>
          </w:tcPr>
          <w:p w14:paraId="69D37991" w14:textId="77777777" w:rsidR="00C87409" w:rsidRPr="00662097" w:rsidRDefault="00C87409" w:rsidP="00C87409">
            <w:pPr>
              <w:spacing w:before="120" w:after="120" w:line="240" w:lineRule="auto"/>
              <w:rPr>
                <w:rFonts w:ascii="Arial" w:hAnsi="Arial" w:cs="Arial"/>
                <w:sz w:val="16"/>
                <w:szCs w:val="16"/>
              </w:rPr>
            </w:pPr>
            <w:r w:rsidRPr="00662097">
              <w:rPr>
                <w:rFonts w:ascii="Arial" w:hAnsi="Arial" w:cs="Arial"/>
                <w:sz w:val="16"/>
                <w:szCs w:val="16"/>
              </w:rPr>
              <w:t>El Modelo Integral (considerando el archivo de Excel que se publica en la consulta) debería contener una guía que explique detenidamente cada una de los módulos u hojas que lo conforman, con los supuestos, el diseño, el funcionamiento y sus principales características. Por el contrario, los dos documentos que acompañan la consulta pública, el Documento Metodológico y Documento Actualización, abordan algunos elementos generales, pero no se relacionan de manera suficientemente directa y clara con el Modelo Integral y con los cambios que tiene respecto a los modelos anteriores.</w:t>
            </w:r>
          </w:p>
          <w:p w14:paraId="70EBAA55" w14:textId="77777777" w:rsidR="00C87409" w:rsidRPr="00662097" w:rsidRDefault="00C87409" w:rsidP="00C87409">
            <w:pPr>
              <w:spacing w:before="120" w:after="120" w:line="240" w:lineRule="auto"/>
              <w:rPr>
                <w:rFonts w:ascii="Arial" w:hAnsi="Arial" w:cs="Arial"/>
                <w:sz w:val="16"/>
                <w:szCs w:val="16"/>
              </w:rPr>
            </w:pPr>
            <w:r w:rsidRPr="00662097">
              <w:rPr>
                <w:rFonts w:ascii="Arial" w:hAnsi="Arial" w:cs="Arial"/>
                <w:sz w:val="16"/>
                <w:szCs w:val="16"/>
                <w:lang w:val="es-ES_tradnl"/>
              </w:rPr>
              <w:t>Por otro lado, en el Documento Metodológico, se refiere repetidas veces a la regulación europea de los agentes económicos dominantes o con poder significativo de mercado. Debe tenerse cuidado con darle un peso excesivo a la experiencia europea, dado que en aquella jurisdicción la figura regulada con los modelos de costos es la de dominancia y no la de predominancia. La figura de AEP puede requerir un estándar superior, ya que refiere a un peso excesivo no sólo en un mercado relevante, sino en todo el sector de telecomunicaciones. Inclusive, el documento metodológico utiliza en varias partes de éste el concepto de “SMP” (peso significativo en el mercado) utilizado en los países de la Unión Europea como si fuera equivalente o similar al de AEP, que se insiste, no lo es.</w:t>
            </w:r>
          </w:p>
          <w:p w14:paraId="1BF265FC" w14:textId="77777777" w:rsidR="00C87409" w:rsidRPr="00662097" w:rsidRDefault="00C87409" w:rsidP="00C87409">
            <w:pPr>
              <w:spacing w:before="120" w:after="120" w:line="240" w:lineRule="auto"/>
              <w:rPr>
                <w:rFonts w:ascii="Arial" w:hAnsi="Arial" w:cs="Arial"/>
                <w:sz w:val="16"/>
                <w:szCs w:val="16"/>
              </w:rPr>
            </w:pPr>
            <w:r w:rsidRPr="00662097">
              <w:rPr>
                <w:rFonts w:ascii="Arial" w:hAnsi="Arial" w:cs="Arial"/>
                <w:sz w:val="16"/>
                <w:szCs w:val="16"/>
              </w:rPr>
              <w:t>Pareciese que el objetivo del Modelo Integral es más bien garantizar una recuperación de costos y un rendimiento considerable para el AEP en lugar de tener por objeto simular las tarifas que ofrecería un operador eficiente en condiciones de competencia, a fin de promover la competencia efectiva en las telecomunicaciones.</w:t>
            </w:r>
          </w:p>
          <w:p w14:paraId="4426C7CF" w14:textId="3D3F25A0" w:rsidR="00C87409" w:rsidRPr="00662097" w:rsidRDefault="00C87409" w:rsidP="00C8740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rPr>
              <w:t xml:space="preserve">Asimismo, debe recordarse que la red de acceso del AEP es un recurso esencial, tal y como como está establecido en la Constitución y en la propia Resolución de Preponderancia. Por lo cual lejos de reflejar las condiciones existentes en México y “las prácticas del AEP” el modelo debe privilegiar el promover una mayor competencia en el </w:t>
            </w:r>
            <w:r w:rsidRPr="00662097">
              <w:rPr>
                <w:rFonts w:ascii="Arial" w:hAnsi="Arial" w:cs="Arial"/>
                <w:sz w:val="16"/>
                <w:szCs w:val="16"/>
              </w:rPr>
              <w:lastRenderedPageBreak/>
              <w:t>mercado y la adopción de tecnologías más eficientes, a fin de evitar que se sigan compensando económicamente tecnologías históricas, cuya inversión ya ha sido totalmente recuperada por el AEP.</w:t>
            </w:r>
          </w:p>
        </w:tc>
        <w:tc>
          <w:tcPr>
            <w:tcW w:w="4536" w:type="dxa"/>
          </w:tcPr>
          <w:p w14:paraId="3B15AD3B" w14:textId="2A2F5C02" w:rsidR="00C87409" w:rsidRPr="00662097" w:rsidRDefault="0051207E" w:rsidP="00C87409">
            <w:pPr>
              <w:spacing w:before="120" w:after="120" w:line="240" w:lineRule="auto"/>
              <w:rPr>
                <w:rFonts w:ascii="Arial" w:hAnsi="Arial" w:cs="Arial"/>
                <w:sz w:val="16"/>
                <w:szCs w:val="16"/>
              </w:rPr>
            </w:pPr>
            <w:r w:rsidRPr="00662097">
              <w:rPr>
                <w:rFonts w:ascii="Arial" w:hAnsi="Arial" w:cs="Arial"/>
                <w:sz w:val="16"/>
                <w:szCs w:val="16"/>
              </w:rPr>
              <w:lastRenderedPageBreak/>
              <w:t xml:space="preserve">Se señala que el Documento de Metodología contiene la explicación de </w:t>
            </w:r>
            <w:r w:rsidR="00BD65FE" w:rsidRPr="00662097">
              <w:rPr>
                <w:rFonts w:ascii="Arial" w:hAnsi="Arial" w:cs="Arial"/>
                <w:sz w:val="16"/>
                <w:szCs w:val="16"/>
              </w:rPr>
              <w:t xml:space="preserve">la </w:t>
            </w:r>
            <w:r w:rsidRPr="00662097">
              <w:rPr>
                <w:rFonts w:ascii="Arial" w:hAnsi="Arial" w:cs="Arial"/>
                <w:sz w:val="16"/>
                <w:szCs w:val="16"/>
              </w:rPr>
              <w:t xml:space="preserve">estructura </w:t>
            </w:r>
            <w:r w:rsidR="00BD65FE" w:rsidRPr="00662097">
              <w:rPr>
                <w:rFonts w:ascii="Arial" w:hAnsi="Arial" w:cs="Arial"/>
                <w:sz w:val="16"/>
                <w:szCs w:val="16"/>
              </w:rPr>
              <w:t xml:space="preserve">del Modelo </w:t>
            </w:r>
            <w:r w:rsidRPr="00662097">
              <w:rPr>
                <w:rFonts w:ascii="Arial" w:hAnsi="Arial" w:cs="Arial"/>
                <w:sz w:val="16"/>
                <w:szCs w:val="16"/>
              </w:rPr>
              <w:t xml:space="preserve">y </w:t>
            </w:r>
            <w:r w:rsidR="00BD65FE" w:rsidRPr="00662097">
              <w:rPr>
                <w:rFonts w:ascii="Arial" w:hAnsi="Arial" w:cs="Arial"/>
                <w:sz w:val="16"/>
                <w:szCs w:val="16"/>
              </w:rPr>
              <w:t xml:space="preserve">las </w:t>
            </w:r>
            <w:r w:rsidRPr="00662097">
              <w:rPr>
                <w:rFonts w:ascii="Arial" w:hAnsi="Arial" w:cs="Arial"/>
                <w:sz w:val="16"/>
                <w:szCs w:val="16"/>
              </w:rPr>
              <w:t>hojas que lo conforman en la sección “3.1.3</w:t>
            </w:r>
            <w:r w:rsidR="00BD65FE" w:rsidRPr="00662097">
              <w:rPr>
                <w:rFonts w:ascii="Arial" w:hAnsi="Arial" w:cs="Arial"/>
                <w:sz w:val="16"/>
                <w:szCs w:val="16"/>
              </w:rPr>
              <w:t xml:space="preserve"> </w:t>
            </w:r>
            <w:r w:rsidRPr="00662097">
              <w:rPr>
                <w:rFonts w:ascii="Arial" w:hAnsi="Arial" w:cs="Arial"/>
                <w:sz w:val="16"/>
                <w:szCs w:val="16"/>
              </w:rPr>
              <w:t>Estructura del archivo de Microsoft Excel”. De igual forma, dicha documentación también incluye numerosas secciones donde se detalla la lógica de cálculo llevada a cabo por el Modelo. En el caso del Documento de Actualización</w:t>
            </w:r>
            <w:r w:rsidR="00397A6C" w:rsidRPr="00662097">
              <w:rPr>
                <w:rFonts w:ascii="Arial" w:hAnsi="Arial" w:cs="Arial"/>
                <w:sz w:val="16"/>
                <w:szCs w:val="16"/>
              </w:rPr>
              <w:t>, en los apartados del mismo</w:t>
            </w:r>
            <w:r w:rsidR="00E1797B" w:rsidRPr="00662097">
              <w:rPr>
                <w:rFonts w:ascii="Arial" w:hAnsi="Arial" w:cs="Arial"/>
                <w:sz w:val="16"/>
                <w:szCs w:val="16"/>
              </w:rPr>
              <w:t>,</w:t>
            </w:r>
            <w:r w:rsidR="00397A6C" w:rsidRPr="00662097">
              <w:rPr>
                <w:rFonts w:ascii="Arial" w:hAnsi="Arial" w:cs="Arial"/>
                <w:sz w:val="16"/>
                <w:szCs w:val="16"/>
              </w:rPr>
              <w:t xml:space="preserve"> </w:t>
            </w:r>
            <w:r w:rsidRPr="00662097">
              <w:rPr>
                <w:rFonts w:ascii="Arial" w:hAnsi="Arial" w:cs="Arial"/>
                <w:sz w:val="16"/>
                <w:szCs w:val="16"/>
              </w:rPr>
              <w:t>también se ha</w:t>
            </w:r>
            <w:r w:rsidR="00397A6C" w:rsidRPr="00662097">
              <w:rPr>
                <w:rFonts w:ascii="Arial" w:hAnsi="Arial" w:cs="Arial"/>
                <w:sz w:val="16"/>
                <w:szCs w:val="16"/>
              </w:rPr>
              <w:t>n</w:t>
            </w:r>
            <w:r w:rsidRPr="00662097">
              <w:rPr>
                <w:rFonts w:ascii="Arial" w:hAnsi="Arial" w:cs="Arial"/>
                <w:sz w:val="16"/>
                <w:szCs w:val="16"/>
              </w:rPr>
              <w:t xml:space="preserve"> señalado las hojas/pestañas del Modelo donde se sitúan los diferentes parámetros actualizados, precisamente con el objetivo de facilitar su identificación por parte de los operadores. </w:t>
            </w:r>
          </w:p>
          <w:p w14:paraId="1ECC3402" w14:textId="161592C0" w:rsidR="00C87409" w:rsidRPr="00662097" w:rsidRDefault="00756001" w:rsidP="0014764B">
            <w:pPr>
              <w:spacing w:before="120" w:after="120" w:line="240" w:lineRule="auto"/>
              <w:rPr>
                <w:rFonts w:ascii="Arial" w:hAnsi="Arial" w:cs="Arial"/>
                <w:sz w:val="16"/>
                <w:szCs w:val="16"/>
              </w:rPr>
            </w:pPr>
            <w:r w:rsidRPr="00662097">
              <w:rPr>
                <w:rFonts w:ascii="Arial" w:hAnsi="Arial" w:cs="Arial"/>
                <w:sz w:val="16"/>
                <w:szCs w:val="16"/>
              </w:rPr>
              <w:t>Con respecto a la</w:t>
            </w:r>
            <w:r w:rsidR="002F08BF" w:rsidRPr="00662097">
              <w:rPr>
                <w:rFonts w:ascii="Arial" w:hAnsi="Arial" w:cs="Arial"/>
                <w:sz w:val="16"/>
                <w:szCs w:val="16"/>
              </w:rPr>
              <w:t>s</w:t>
            </w:r>
            <w:r w:rsidRPr="00662097">
              <w:rPr>
                <w:rFonts w:ascii="Arial" w:hAnsi="Arial" w:cs="Arial"/>
                <w:sz w:val="16"/>
                <w:szCs w:val="16"/>
              </w:rPr>
              <w:t xml:space="preserve"> figura</w:t>
            </w:r>
            <w:r w:rsidR="00E75431" w:rsidRPr="00662097">
              <w:rPr>
                <w:rFonts w:ascii="Arial" w:hAnsi="Arial" w:cs="Arial"/>
                <w:sz w:val="16"/>
                <w:szCs w:val="16"/>
              </w:rPr>
              <w:t>s</w:t>
            </w:r>
            <w:r w:rsidRPr="00662097">
              <w:rPr>
                <w:rFonts w:ascii="Arial" w:hAnsi="Arial" w:cs="Arial"/>
                <w:sz w:val="16"/>
                <w:szCs w:val="16"/>
              </w:rPr>
              <w:t xml:space="preserve"> de predominancia</w:t>
            </w:r>
            <w:r w:rsidR="00E75431" w:rsidRPr="00662097">
              <w:rPr>
                <w:rFonts w:ascii="Arial" w:hAnsi="Arial" w:cs="Arial"/>
                <w:sz w:val="16"/>
                <w:szCs w:val="16"/>
              </w:rPr>
              <w:t xml:space="preserve"> y dominancia</w:t>
            </w:r>
            <w:r w:rsidRPr="00662097">
              <w:rPr>
                <w:rFonts w:ascii="Arial" w:hAnsi="Arial" w:cs="Arial"/>
                <w:sz w:val="16"/>
                <w:szCs w:val="16"/>
              </w:rPr>
              <w:t xml:space="preserve">, </w:t>
            </w:r>
            <w:r w:rsidR="006B112D">
              <w:rPr>
                <w:rFonts w:ascii="Arial" w:hAnsi="Arial" w:cs="Arial"/>
                <w:sz w:val="16"/>
                <w:szCs w:val="16"/>
              </w:rPr>
              <w:t>la UPR</w:t>
            </w:r>
            <w:r w:rsidRPr="00662097">
              <w:rPr>
                <w:rFonts w:ascii="Arial" w:hAnsi="Arial" w:cs="Arial"/>
                <w:sz w:val="16"/>
                <w:szCs w:val="16"/>
              </w:rPr>
              <w:t xml:space="preserve"> es plenamente consciente de </w:t>
            </w:r>
            <w:r w:rsidR="00F81720" w:rsidRPr="00662097">
              <w:rPr>
                <w:rFonts w:ascii="Arial" w:hAnsi="Arial" w:cs="Arial"/>
                <w:sz w:val="16"/>
                <w:szCs w:val="16"/>
              </w:rPr>
              <w:t>la diferencia existente entr</w:t>
            </w:r>
            <w:r w:rsidR="001179C4" w:rsidRPr="00662097">
              <w:rPr>
                <w:rFonts w:ascii="Arial" w:hAnsi="Arial" w:cs="Arial"/>
                <w:sz w:val="16"/>
                <w:szCs w:val="16"/>
              </w:rPr>
              <w:t>e</w:t>
            </w:r>
            <w:r w:rsidR="00F81720" w:rsidRPr="00662097">
              <w:rPr>
                <w:rFonts w:ascii="Arial" w:hAnsi="Arial" w:cs="Arial"/>
                <w:sz w:val="16"/>
                <w:szCs w:val="16"/>
              </w:rPr>
              <w:t xml:space="preserve"> las características particulares del mercado mexicano y la de los mercados europeos</w:t>
            </w:r>
            <w:r w:rsidR="00AF5A72" w:rsidRPr="00662097">
              <w:rPr>
                <w:rFonts w:ascii="Arial" w:hAnsi="Arial" w:cs="Arial"/>
                <w:sz w:val="16"/>
                <w:szCs w:val="16"/>
              </w:rPr>
              <w:t xml:space="preserve">, lo cual ya se viene transponiendo en </w:t>
            </w:r>
            <w:r w:rsidR="002F08BF" w:rsidRPr="00662097">
              <w:rPr>
                <w:rFonts w:ascii="Arial" w:hAnsi="Arial" w:cs="Arial"/>
                <w:sz w:val="16"/>
                <w:szCs w:val="16"/>
              </w:rPr>
              <w:t xml:space="preserve">diferentes </w:t>
            </w:r>
            <w:r w:rsidR="00AF5A72" w:rsidRPr="00662097">
              <w:rPr>
                <w:rFonts w:ascii="Arial" w:hAnsi="Arial" w:cs="Arial"/>
                <w:sz w:val="16"/>
                <w:szCs w:val="16"/>
              </w:rPr>
              <w:t>estructuras y medidas regulatorias</w:t>
            </w:r>
            <w:r w:rsidR="008A7FBD" w:rsidRPr="00662097">
              <w:rPr>
                <w:rFonts w:ascii="Arial" w:hAnsi="Arial" w:cs="Arial"/>
                <w:sz w:val="16"/>
                <w:szCs w:val="16"/>
              </w:rPr>
              <w:t xml:space="preserve"> a lo largo de los años</w:t>
            </w:r>
            <w:r w:rsidR="00687425" w:rsidRPr="00662097">
              <w:rPr>
                <w:rFonts w:ascii="Arial" w:hAnsi="Arial" w:cs="Arial"/>
                <w:sz w:val="16"/>
                <w:szCs w:val="16"/>
              </w:rPr>
              <w:t xml:space="preserve"> (como por ejemplo la implantación del esquema de separación funcional aplicable al AEP)</w:t>
            </w:r>
            <w:r w:rsidR="00AF5A72" w:rsidRPr="00662097">
              <w:rPr>
                <w:rFonts w:ascii="Arial" w:hAnsi="Arial" w:cs="Arial"/>
                <w:sz w:val="16"/>
                <w:szCs w:val="16"/>
              </w:rPr>
              <w:t>. No obstante, cuando se trata de</w:t>
            </w:r>
            <w:r w:rsidR="008C0A6E" w:rsidRPr="00662097">
              <w:rPr>
                <w:rFonts w:ascii="Arial" w:hAnsi="Arial" w:cs="Arial"/>
                <w:sz w:val="16"/>
                <w:szCs w:val="16"/>
              </w:rPr>
              <w:t xml:space="preserve"> un </w:t>
            </w:r>
            <w:r w:rsidR="00AF5A72" w:rsidRPr="00662097">
              <w:rPr>
                <w:rFonts w:ascii="Arial" w:hAnsi="Arial" w:cs="Arial"/>
                <w:sz w:val="16"/>
                <w:szCs w:val="16"/>
              </w:rPr>
              <w:t xml:space="preserve">campo </w:t>
            </w:r>
            <w:r w:rsidR="008C0A6E" w:rsidRPr="00662097">
              <w:rPr>
                <w:rFonts w:ascii="Arial" w:hAnsi="Arial" w:cs="Arial"/>
                <w:sz w:val="16"/>
                <w:szCs w:val="16"/>
              </w:rPr>
              <w:t xml:space="preserve">tan </w:t>
            </w:r>
            <w:r w:rsidR="00F5756A" w:rsidRPr="00662097">
              <w:rPr>
                <w:rFonts w:ascii="Arial" w:hAnsi="Arial" w:cs="Arial"/>
                <w:sz w:val="16"/>
                <w:szCs w:val="16"/>
              </w:rPr>
              <w:t xml:space="preserve">específico </w:t>
            </w:r>
            <w:r w:rsidR="008C0A6E" w:rsidRPr="00662097">
              <w:rPr>
                <w:rFonts w:ascii="Arial" w:hAnsi="Arial" w:cs="Arial"/>
                <w:sz w:val="16"/>
                <w:szCs w:val="16"/>
              </w:rPr>
              <w:t xml:space="preserve">como es la </w:t>
            </w:r>
            <w:r w:rsidR="00AF5A72" w:rsidRPr="00662097">
              <w:rPr>
                <w:rFonts w:ascii="Arial" w:hAnsi="Arial" w:cs="Arial"/>
                <w:sz w:val="16"/>
                <w:szCs w:val="16"/>
              </w:rPr>
              <w:t xml:space="preserve">modelación </w:t>
            </w:r>
            <w:r w:rsidR="00AF5A72" w:rsidRPr="00662097">
              <w:rPr>
                <w:rFonts w:ascii="Arial" w:hAnsi="Arial" w:cs="Arial"/>
                <w:i/>
                <w:sz w:val="16"/>
                <w:szCs w:val="16"/>
              </w:rPr>
              <w:t>bottom-up</w:t>
            </w:r>
            <w:r w:rsidR="00AF5A72" w:rsidRPr="00662097">
              <w:rPr>
                <w:rFonts w:ascii="Arial" w:hAnsi="Arial" w:cs="Arial"/>
                <w:sz w:val="16"/>
                <w:szCs w:val="16"/>
              </w:rPr>
              <w:t xml:space="preserve">, </w:t>
            </w:r>
            <w:r w:rsidR="00BA7B63" w:rsidRPr="00662097">
              <w:rPr>
                <w:rFonts w:ascii="Arial" w:hAnsi="Arial" w:cs="Arial"/>
                <w:sz w:val="16"/>
                <w:szCs w:val="16"/>
              </w:rPr>
              <w:t xml:space="preserve">lo anterior no </w:t>
            </w:r>
            <w:r w:rsidR="008C0A6E" w:rsidRPr="00662097">
              <w:rPr>
                <w:rFonts w:ascii="Arial" w:hAnsi="Arial" w:cs="Arial"/>
                <w:sz w:val="16"/>
                <w:szCs w:val="16"/>
              </w:rPr>
              <w:t xml:space="preserve">impide que se pueda tener en </w:t>
            </w:r>
            <w:r w:rsidR="00470444" w:rsidRPr="00662097">
              <w:rPr>
                <w:rFonts w:ascii="Arial" w:hAnsi="Arial" w:cs="Arial"/>
                <w:sz w:val="16"/>
                <w:szCs w:val="16"/>
              </w:rPr>
              <w:t xml:space="preserve">consideración y a modo de referencia </w:t>
            </w:r>
            <w:r w:rsidR="008C0A6E" w:rsidRPr="00662097">
              <w:rPr>
                <w:rFonts w:ascii="Arial" w:hAnsi="Arial" w:cs="Arial"/>
                <w:sz w:val="16"/>
                <w:szCs w:val="16"/>
              </w:rPr>
              <w:t>las prácticas adoptadas por otros reguladores, y especialmente las relativas a Europa</w:t>
            </w:r>
            <w:r w:rsidR="0014764B" w:rsidRPr="00662097">
              <w:rPr>
                <w:rFonts w:ascii="Arial" w:hAnsi="Arial" w:cs="Arial"/>
                <w:sz w:val="16"/>
                <w:szCs w:val="16"/>
              </w:rPr>
              <w:t xml:space="preserve">. De hecho, Europa </w:t>
            </w:r>
            <w:r w:rsidR="00470444" w:rsidRPr="00662097">
              <w:rPr>
                <w:rFonts w:ascii="Arial" w:hAnsi="Arial" w:cs="Arial"/>
                <w:sz w:val="16"/>
                <w:szCs w:val="16"/>
              </w:rPr>
              <w:t xml:space="preserve">es la región de referencia comúnmente reconocida </w:t>
            </w:r>
            <w:r w:rsidR="0014764B" w:rsidRPr="00662097">
              <w:rPr>
                <w:rFonts w:ascii="Arial" w:hAnsi="Arial" w:cs="Arial"/>
                <w:sz w:val="16"/>
                <w:szCs w:val="16"/>
              </w:rPr>
              <w:t xml:space="preserve">en el campo de modelación bottom-up a raíz de las directrices emitidas en el pasado por la Comisión Europea, las </w:t>
            </w:r>
            <w:r w:rsidR="0014764B" w:rsidRPr="00662097">
              <w:rPr>
                <w:rFonts w:ascii="Arial" w:hAnsi="Arial" w:cs="Arial"/>
                <w:sz w:val="16"/>
                <w:szCs w:val="16"/>
              </w:rPr>
              <w:lastRenderedPageBreak/>
              <w:t>cuales han venido influenciando no sólo los modelos de los reguladores europeos sino también los de todo el mundo.</w:t>
            </w:r>
          </w:p>
        </w:tc>
      </w:tr>
      <w:tr w:rsidR="00C87409" w:rsidRPr="00662097" w14:paraId="43E544C1" w14:textId="77777777" w:rsidTr="008F664E">
        <w:trPr>
          <w:trHeight w:val="20"/>
        </w:trPr>
        <w:tc>
          <w:tcPr>
            <w:tcW w:w="1271" w:type="dxa"/>
            <w:vAlign w:val="center"/>
          </w:tcPr>
          <w:p w14:paraId="50E517C4" w14:textId="5ED2C3F1" w:rsidR="00C87409" w:rsidRPr="00662097" w:rsidRDefault="00C87409" w:rsidP="00C87409">
            <w:pPr>
              <w:spacing w:after="0" w:line="240" w:lineRule="auto"/>
              <w:jc w:val="center"/>
              <w:rPr>
                <w:rFonts w:ascii="Arial" w:eastAsia="Times New Roman" w:hAnsi="Arial" w:cs="Arial"/>
                <w:color w:val="000000"/>
                <w:sz w:val="16"/>
                <w:szCs w:val="16"/>
                <w:lang w:eastAsia="es-MX"/>
              </w:rPr>
            </w:pPr>
            <w:r w:rsidRPr="00662097">
              <w:rPr>
                <w:rFonts w:ascii="Arial" w:hAnsi="Arial" w:cs="Arial"/>
                <w:sz w:val="16"/>
                <w:szCs w:val="16"/>
              </w:rPr>
              <w:lastRenderedPageBreak/>
              <w:t>CANIETI</w:t>
            </w:r>
          </w:p>
        </w:tc>
        <w:tc>
          <w:tcPr>
            <w:tcW w:w="1843" w:type="dxa"/>
            <w:shd w:val="clear" w:color="auto" w:fill="auto"/>
            <w:vAlign w:val="center"/>
          </w:tcPr>
          <w:p w14:paraId="7FCD8CFF" w14:textId="43C84E2C" w:rsidR="00C87409" w:rsidRPr="00662097" w:rsidRDefault="00C87409" w:rsidP="00C8740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Comentario general</w:t>
            </w:r>
          </w:p>
        </w:tc>
        <w:tc>
          <w:tcPr>
            <w:tcW w:w="6379" w:type="dxa"/>
            <w:shd w:val="clear" w:color="auto" w:fill="auto"/>
          </w:tcPr>
          <w:p w14:paraId="1F840D8E" w14:textId="77777777" w:rsidR="00C87409" w:rsidRPr="00662097" w:rsidRDefault="00C87409" w:rsidP="00C87409">
            <w:pPr>
              <w:spacing w:before="120" w:after="120" w:line="240" w:lineRule="auto"/>
              <w:rPr>
                <w:rFonts w:ascii="Arial" w:hAnsi="Arial" w:cs="Arial"/>
                <w:sz w:val="16"/>
                <w:szCs w:val="16"/>
              </w:rPr>
            </w:pPr>
            <w:r w:rsidRPr="00662097">
              <w:rPr>
                <w:rFonts w:ascii="Arial" w:hAnsi="Arial" w:cs="Arial"/>
                <w:sz w:val="16"/>
                <w:szCs w:val="16"/>
              </w:rPr>
              <w:t>El Modelo Integral (el archivo de Excel) debería contener una guía que explique detenidamente cada una de los módulos u hojas que lo conforman, con los supuestos, el diseño, el funcionamiento y sus principales características. Por el contrario, los dos documentos que acompañan la consulta pública, el Documento Metodológico y Documento Actualización, abordan algunos elementos generales, pero no se relacionan de manera suficientemente directa y clara con el Modelo Integral.</w:t>
            </w:r>
          </w:p>
          <w:p w14:paraId="2808CBE4" w14:textId="77777777" w:rsidR="00C87409" w:rsidRPr="00662097" w:rsidRDefault="00C87409" w:rsidP="00C87409">
            <w:pPr>
              <w:spacing w:before="120" w:after="120" w:line="240" w:lineRule="auto"/>
              <w:rPr>
                <w:rFonts w:ascii="Arial" w:hAnsi="Arial" w:cs="Arial"/>
                <w:sz w:val="16"/>
                <w:szCs w:val="16"/>
              </w:rPr>
            </w:pPr>
            <w:r w:rsidRPr="00662097">
              <w:rPr>
                <w:rFonts w:ascii="Arial" w:hAnsi="Arial" w:cs="Arial"/>
                <w:sz w:val="16"/>
                <w:szCs w:val="16"/>
              </w:rPr>
              <w:t>Por otro lado, en el Documento Metodológico, se refiere repetidas veces a la regulación europea de los agentes económicos dominantes o con poder significativo de mercado. Debería tenerse cuidado con darle un peso excesivo a la experiencia europea, dado que en aquella jurisdicción la figura regulada con los modelos de costos es la de dominancia y no la de predominancia. La figura de AEPT puede requerir un estándar superior, ya que refiere a un peso excesivo no sólo en un mercado relevante, sino en todo el sector de telecomunicaciones. Inclusive, el documento metodológico utiliza en varias partes de éste el concepto de “SMP” (peso significativo en el mercado) utilizado en los países de la Unión Europea, como si fuera equivalente o similar al de AEPT, que se insiste, no lo es.</w:t>
            </w:r>
          </w:p>
          <w:p w14:paraId="7482B25B" w14:textId="77777777" w:rsidR="00C87409" w:rsidRPr="00662097" w:rsidRDefault="00C87409" w:rsidP="00C87409">
            <w:pPr>
              <w:spacing w:before="120" w:after="120" w:line="240" w:lineRule="auto"/>
              <w:rPr>
                <w:rFonts w:ascii="Arial" w:hAnsi="Arial" w:cs="Arial"/>
                <w:sz w:val="16"/>
                <w:szCs w:val="16"/>
              </w:rPr>
            </w:pPr>
            <w:r w:rsidRPr="00662097">
              <w:rPr>
                <w:rFonts w:ascii="Arial" w:hAnsi="Arial" w:cs="Arial"/>
                <w:sz w:val="16"/>
                <w:szCs w:val="16"/>
              </w:rPr>
              <w:t>Pareciese que el objetivo del Modelo Integral es más bien garantizar una recuperación de costos y un rendimiento considerable para el AEPT, en lugar de tener por objeto simular las tarifas que ofrecería un operador eficiente en condiciones de competencia, a fin de promover la competencia efectiva en las telecomunicaciones.</w:t>
            </w:r>
          </w:p>
          <w:p w14:paraId="0BA707D4" w14:textId="550146AB" w:rsidR="00C87409" w:rsidRPr="00662097" w:rsidRDefault="00C87409" w:rsidP="00C8740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rPr>
              <w:t>Asimismo, debe recordarse que la red de acceso del AEPT es un recurso esencial, tal y como como está establecido en la Constitución y en la propia Resolución de Preponderancia. Por lo cual, lejos de reflejar las condiciones existentes en México y “las prácticas del AEPT”, el modelo debe privilegiar el promover una mayor competencia en el mercado y la adopción de tecnologías más eficientes, a fin de evitar que se sigan compensando económicamente tecnologías históricas, cuya inversión ya ha sido totalmente recuperada por el AEPT.</w:t>
            </w:r>
          </w:p>
        </w:tc>
        <w:tc>
          <w:tcPr>
            <w:tcW w:w="4536" w:type="dxa"/>
          </w:tcPr>
          <w:p w14:paraId="21E406CA" w14:textId="2D00E078" w:rsidR="00C87409" w:rsidRPr="00662097" w:rsidRDefault="00C87409" w:rsidP="00C87409">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rPr>
              <w:t>Ver respuesta al comentario anterior.</w:t>
            </w:r>
          </w:p>
        </w:tc>
      </w:tr>
      <w:tr w:rsidR="00853BD3" w:rsidRPr="00662097" w14:paraId="15C12F67" w14:textId="77777777" w:rsidTr="008F664E">
        <w:trPr>
          <w:trHeight w:val="20"/>
        </w:trPr>
        <w:tc>
          <w:tcPr>
            <w:tcW w:w="1271" w:type="dxa"/>
            <w:vAlign w:val="center"/>
          </w:tcPr>
          <w:p w14:paraId="51F05FD9" w14:textId="59D4EC4C" w:rsidR="00853BD3" w:rsidRPr="00662097" w:rsidRDefault="00A1748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Grupo Televisa</w:t>
            </w:r>
          </w:p>
        </w:tc>
        <w:tc>
          <w:tcPr>
            <w:tcW w:w="1843" w:type="dxa"/>
            <w:shd w:val="clear" w:color="auto" w:fill="auto"/>
            <w:vAlign w:val="center"/>
          </w:tcPr>
          <w:p w14:paraId="0D99E739" w14:textId="04E8D4A4" w:rsidR="00853BD3" w:rsidRPr="00662097" w:rsidRDefault="00A17489" w:rsidP="008A794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2.1. Características generales del Modelo Integral de Red de Acceso Fija</w:t>
            </w:r>
          </w:p>
        </w:tc>
        <w:tc>
          <w:tcPr>
            <w:tcW w:w="6379" w:type="dxa"/>
            <w:shd w:val="clear" w:color="auto" w:fill="auto"/>
            <w:vAlign w:val="center"/>
          </w:tcPr>
          <w:p w14:paraId="085E0AF7" w14:textId="3B61CAF9" w:rsidR="00A17489" w:rsidRPr="00662097" w:rsidRDefault="00A17489" w:rsidP="00A17489">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El modelo es anormalmente grande y lento de operar, lo que dificulta la ejecución del mismo de manera continuada para la revisión que hemos llevado a cabo. Creemos que el IFT debería desafiar a sus consultores para que entreguen una herramienta que sea adecuada para su propósito, ágil, manejable y fácilmente ejecutable.</w:t>
            </w:r>
          </w:p>
          <w:p w14:paraId="64482296" w14:textId="72B02FBC" w:rsidR="00853BD3" w:rsidRPr="00662097" w:rsidRDefault="00A17489" w:rsidP="00A17489">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El modelo proporcionado a consulta está "anonimizado", lo cual podemos llegar a entender como razonable en caso de que haya que proteger información verdaderamente confidencial. Sin embargo, el proceso de </w:t>
            </w:r>
            <w:proofErr w:type="spellStart"/>
            <w:r w:rsidRPr="00662097">
              <w:rPr>
                <w:rFonts w:ascii="Arial" w:eastAsia="Times New Roman" w:hAnsi="Arial" w:cs="Arial"/>
                <w:color w:val="000000"/>
                <w:sz w:val="16"/>
                <w:szCs w:val="16"/>
                <w:lang w:eastAsia="es-MX"/>
              </w:rPr>
              <w:t>anonimización</w:t>
            </w:r>
            <w:proofErr w:type="spellEnd"/>
            <w:r w:rsidRPr="00662097">
              <w:rPr>
                <w:rFonts w:ascii="Arial" w:eastAsia="Times New Roman" w:hAnsi="Arial" w:cs="Arial"/>
                <w:color w:val="000000"/>
                <w:sz w:val="16"/>
                <w:szCs w:val="16"/>
                <w:lang w:eastAsia="es-MX"/>
              </w:rPr>
              <w:t xml:space="preserve"> llevado a cabo y la modificación de parámetros no están claros en absoluto, lo cual no resulta nada útil a la hora de entender si el modelo está funcionando correctamente.</w:t>
            </w:r>
          </w:p>
        </w:tc>
        <w:tc>
          <w:tcPr>
            <w:tcW w:w="4536" w:type="dxa"/>
          </w:tcPr>
          <w:p w14:paraId="2A016208" w14:textId="26A448EC" w:rsidR="00752066" w:rsidRPr="00662097" w:rsidRDefault="006B112D" w:rsidP="0046724E">
            <w:pPr>
              <w:autoSpaceDE w:val="0"/>
              <w:autoSpaceDN w:val="0"/>
              <w:adjustRightInd w:val="0"/>
              <w:spacing w:before="120" w:after="120" w:line="240" w:lineRule="auto"/>
              <w:rPr>
                <w:rFonts w:ascii="Arial" w:hAnsi="Arial" w:cs="Arial"/>
                <w:sz w:val="16"/>
                <w:szCs w:val="16"/>
                <w:lang w:eastAsia="es-MX"/>
              </w:rPr>
            </w:pPr>
            <w:r>
              <w:rPr>
                <w:rFonts w:ascii="Arial" w:hAnsi="Arial" w:cs="Arial"/>
                <w:sz w:val="16"/>
                <w:szCs w:val="16"/>
                <w:lang w:eastAsia="es-MX"/>
              </w:rPr>
              <w:t>Se</w:t>
            </w:r>
            <w:r w:rsidR="00752066" w:rsidRPr="00662097">
              <w:rPr>
                <w:rFonts w:ascii="Arial" w:hAnsi="Arial" w:cs="Arial"/>
                <w:sz w:val="16"/>
                <w:szCs w:val="16"/>
                <w:lang w:eastAsia="es-MX"/>
              </w:rPr>
              <w:t xml:space="preserve"> recuerda que el Modelo Integral no es un modelo de </w:t>
            </w:r>
            <w:proofErr w:type="spellStart"/>
            <w:r w:rsidR="00752066" w:rsidRPr="00662097">
              <w:rPr>
                <w:rFonts w:ascii="Arial" w:hAnsi="Arial" w:cs="Arial"/>
                <w:sz w:val="16"/>
                <w:szCs w:val="16"/>
                <w:lang w:eastAsia="es-MX"/>
              </w:rPr>
              <w:t>geotipado</w:t>
            </w:r>
            <w:proofErr w:type="spellEnd"/>
            <w:r w:rsidR="00752066" w:rsidRPr="00662097">
              <w:rPr>
                <w:rFonts w:ascii="Arial" w:hAnsi="Arial" w:cs="Arial"/>
                <w:sz w:val="16"/>
                <w:szCs w:val="16"/>
                <w:lang w:eastAsia="es-MX"/>
              </w:rPr>
              <w:t xml:space="preserve"> sino una herramienta más precisa con resultados por centrales (en lo sucesivo “CO”). Por lo tanto, el modelo es necesariamente grande, pero su tamaño se considera razonable dado el nivel de detalle proporcionado.</w:t>
            </w:r>
          </w:p>
          <w:p w14:paraId="3E63CD21" w14:textId="7D73BEBE" w:rsidR="00752066" w:rsidRPr="00662097" w:rsidRDefault="00752066" w:rsidP="0046724E">
            <w:pPr>
              <w:autoSpaceDE w:val="0"/>
              <w:autoSpaceDN w:val="0"/>
              <w:adjustRightInd w:val="0"/>
              <w:spacing w:before="120" w:after="120" w:line="240" w:lineRule="auto"/>
              <w:rPr>
                <w:rFonts w:ascii="Arial" w:eastAsia="Times New Roman" w:hAnsi="Arial" w:cs="Arial"/>
                <w:i/>
                <w:iCs/>
                <w:color w:val="000000"/>
                <w:sz w:val="16"/>
                <w:szCs w:val="16"/>
                <w:lang w:eastAsia="es-MX"/>
              </w:rPr>
            </w:pPr>
            <w:r w:rsidRPr="00662097">
              <w:rPr>
                <w:rFonts w:ascii="Arial" w:hAnsi="Arial" w:cs="Arial"/>
                <w:sz w:val="16"/>
                <w:szCs w:val="16"/>
                <w:lang w:eastAsia="es-MX"/>
              </w:rPr>
              <w:t>El modelo publicado no fue anonimizado.</w:t>
            </w:r>
          </w:p>
        </w:tc>
      </w:tr>
      <w:tr w:rsidR="00A17489" w:rsidRPr="00662097" w14:paraId="39E4EFAC" w14:textId="77777777" w:rsidTr="008F664E">
        <w:trPr>
          <w:trHeight w:val="20"/>
        </w:trPr>
        <w:tc>
          <w:tcPr>
            <w:tcW w:w="1271" w:type="dxa"/>
            <w:vAlign w:val="center"/>
          </w:tcPr>
          <w:p w14:paraId="012B11C8" w14:textId="747A24B0" w:rsidR="00A17489" w:rsidRPr="00662097" w:rsidRDefault="00A17489" w:rsidP="00774642">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lastRenderedPageBreak/>
              <w:t>Grupo Televisa</w:t>
            </w:r>
          </w:p>
        </w:tc>
        <w:tc>
          <w:tcPr>
            <w:tcW w:w="1843" w:type="dxa"/>
            <w:shd w:val="clear" w:color="auto" w:fill="auto"/>
            <w:vAlign w:val="center"/>
          </w:tcPr>
          <w:p w14:paraId="6C55D708" w14:textId="00A27A65" w:rsidR="00A17489" w:rsidRPr="00662097" w:rsidRDefault="00621A5D" w:rsidP="00A1748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2.2. Elección de operador modelado y fuentes de información</w:t>
            </w:r>
          </w:p>
        </w:tc>
        <w:tc>
          <w:tcPr>
            <w:tcW w:w="6379" w:type="dxa"/>
            <w:shd w:val="clear" w:color="auto" w:fill="auto"/>
            <w:vAlign w:val="center"/>
          </w:tcPr>
          <w:p w14:paraId="2E12685F" w14:textId="77777777" w:rsidR="00621A5D" w:rsidRPr="00662097" w:rsidRDefault="00621A5D" w:rsidP="00621A5D">
            <w:pPr>
              <w:autoSpaceDE w:val="0"/>
              <w:autoSpaceDN w:val="0"/>
              <w:adjustRightInd w:val="0"/>
              <w:spacing w:before="120" w:after="120" w:line="240" w:lineRule="auto"/>
              <w:rPr>
                <w:rFonts w:ascii="Arial" w:eastAsia="Times New Roman" w:hAnsi="Arial" w:cs="Arial"/>
                <w:color w:val="000000"/>
                <w:sz w:val="16"/>
                <w:szCs w:val="16"/>
                <w:u w:val="single"/>
                <w:lang w:eastAsia="es-MX"/>
              </w:rPr>
            </w:pPr>
            <w:r w:rsidRPr="00662097">
              <w:rPr>
                <w:rFonts w:ascii="Arial" w:eastAsia="Times New Roman" w:hAnsi="Arial" w:cs="Arial"/>
                <w:color w:val="000000"/>
                <w:sz w:val="16"/>
                <w:szCs w:val="16"/>
                <w:u w:val="single"/>
                <w:lang w:eastAsia="es-MX"/>
              </w:rPr>
              <w:t>Contexto</w:t>
            </w:r>
          </w:p>
          <w:p w14:paraId="133AC82D" w14:textId="6AEC996A" w:rsidR="00621A5D" w:rsidRPr="00662097" w:rsidRDefault="00621A5D" w:rsidP="00621A5D">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El Documento Metodológico y Descriptivo del Modelo de Costos Integral de la Red de Acceso Fija indica en su sección 2.2. Operador Modelado como “Criterio 4: El operador modelado es un operador hipotético eficiente basado en el AEP”, sin embargo, se llega a dicha conclusión sin mayor análisis. Básicamente señala que “En teoría, el modelo de un operador hipotético eficiente basado en el enfoque del AEP refleja la red que dicho operador desplegaría en México dado que capturaría parte de la demanda pronosticada” </w:t>
            </w:r>
            <w:r w:rsidR="00167615" w:rsidRPr="00662097">
              <w:rPr>
                <w:rStyle w:val="Refdenotaalpie"/>
                <w:rFonts w:ascii="Arial" w:eastAsia="Times New Roman" w:hAnsi="Arial" w:cs="Arial"/>
                <w:color w:val="000000"/>
                <w:sz w:val="16"/>
                <w:szCs w:val="16"/>
                <w:lang w:eastAsia="es-MX"/>
              </w:rPr>
              <w:footnoteReference w:id="5"/>
            </w:r>
          </w:p>
          <w:p w14:paraId="0AF123E8" w14:textId="1B53DF32" w:rsidR="00621A5D" w:rsidRPr="00662097" w:rsidRDefault="00621A5D" w:rsidP="00621A5D">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En ese contexto, es </w:t>
            </w:r>
            <w:r w:rsidR="0053522A" w:rsidRPr="00662097">
              <w:rPr>
                <w:rFonts w:ascii="Arial" w:eastAsia="Times New Roman" w:hAnsi="Arial" w:cs="Arial"/>
                <w:color w:val="000000"/>
                <w:sz w:val="16"/>
                <w:szCs w:val="16"/>
                <w:lang w:eastAsia="es-MX"/>
              </w:rPr>
              <w:t>pertinente</w:t>
            </w:r>
            <w:r w:rsidRPr="00662097">
              <w:rPr>
                <w:rFonts w:ascii="Arial" w:eastAsia="Times New Roman" w:hAnsi="Arial" w:cs="Arial"/>
                <w:color w:val="000000"/>
                <w:sz w:val="16"/>
                <w:szCs w:val="16"/>
                <w:lang w:eastAsia="es-MX"/>
              </w:rPr>
              <w:t xml:space="preserve"> señalar que la revisión de los documentos metodológicos y del Excel que contiene el Modelo arroja que una gra</w:t>
            </w:r>
            <w:r w:rsidR="0053522A" w:rsidRPr="00662097">
              <w:rPr>
                <w:rFonts w:ascii="Arial" w:eastAsia="Times New Roman" w:hAnsi="Arial" w:cs="Arial"/>
                <w:color w:val="000000"/>
                <w:sz w:val="16"/>
                <w:szCs w:val="16"/>
                <w:lang w:eastAsia="es-MX"/>
              </w:rPr>
              <w:t>n</w:t>
            </w:r>
            <w:r w:rsidRPr="00662097">
              <w:rPr>
                <w:rFonts w:ascii="Arial" w:eastAsia="Times New Roman" w:hAnsi="Arial" w:cs="Arial"/>
                <w:color w:val="000000"/>
                <w:sz w:val="16"/>
                <w:szCs w:val="16"/>
                <w:lang w:eastAsia="es-MX"/>
              </w:rPr>
              <w:t xml:space="preserve"> cantidad de datos utilizados en la alimentación del mismo se realizó con datos que el IFT le solicitó al AEP mediante requerimientos y no provienen de los ejercicios de separación contable a los que está obligado el AEP. En ese sentido, si bien se señala en los mencionados documentos que el modelo </w:t>
            </w:r>
            <w:r w:rsidR="00BE393B" w:rsidRPr="00662097">
              <w:rPr>
                <w:rFonts w:ascii="Arial" w:eastAsia="Times New Roman" w:hAnsi="Arial" w:cs="Arial"/>
                <w:color w:val="000000"/>
                <w:sz w:val="16"/>
                <w:szCs w:val="16"/>
                <w:lang w:eastAsia="es-MX"/>
              </w:rPr>
              <w:t>corresponde</w:t>
            </w:r>
            <w:r w:rsidRPr="00662097">
              <w:rPr>
                <w:rFonts w:ascii="Arial" w:eastAsia="Times New Roman" w:hAnsi="Arial" w:cs="Arial"/>
                <w:color w:val="000000"/>
                <w:sz w:val="16"/>
                <w:szCs w:val="16"/>
                <w:lang w:eastAsia="es-MX"/>
              </w:rPr>
              <w:t xml:space="preserve"> a un operador hipotético eficiente basado en el enfoque del AEP, el uso en la mayor parte de los casos de información proporcionada por el AEP puede resultar en que las tarifas estimadas contengan y trasladen las ineficiencias de dicho operador a </w:t>
            </w:r>
            <w:r w:rsidR="0053522A" w:rsidRPr="00662097">
              <w:rPr>
                <w:rFonts w:ascii="Arial" w:eastAsia="Times New Roman" w:hAnsi="Arial" w:cs="Arial"/>
                <w:color w:val="000000"/>
                <w:sz w:val="16"/>
                <w:szCs w:val="16"/>
                <w:lang w:eastAsia="es-MX"/>
              </w:rPr>
              <w:t xml:space="preserve">los </w:t>
            </w:r>
            <w:r w:rsidRPr="00662097">
              <w:rPr>
                <w:rFonts w:ascii="Arial" w:eastAsia="Times New Roman" w:hAnsi="Arial" w:cs="Arial"/>
                <w:color w:val="000000"/>
                <w:sz w:val="16"/>
                <w:szCs w:val="16"/>
                <w:lang w:eastAsia="es-MX"/>
              </w:rPr>
              <w:t xml:space="preserve">concesionarios solicitantes que hagan uso de la infraestructura del AEP. </w:t>
            </w:r>
          </w:p>
          <w:p w14:paraId="412106F4" w14:textId="7BA63BE8" w:rsidR="00621A5D" w:rsidRPr="00662097" w:rsidRDefault="00621A5D" w:rsidP="00621A5D">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Si bien puede ser útil incluir la información proporcionada por el AEP en la calibración del modelo, pueden generarse importantes sesgos a favor de dicho operador utilizar los datos que proporcionó, así como las reglas de ingeniería sin considerar información de mercado. No está demás señalar que los modelos de costos incrementales tienen precisamente uno de sus principales objetivos</w:t>
            </w:r>
            <w:r w:rsidR="0053522A" w:rsidRPr="00662097">
              <w:rPr>
                <w:rFonts w:ascii="Arial" w:eastAsia="Times New Roman" w:hAnsi="Arial" w:cs="Arial"/>
                <w:color w:val="000000"/>
                <w:sz w:val="16"/>
                <w:szCs w:val="16"/>
                <w:lang w:eastAsia="es-MX"/>
              </w:rPr>
              <w:t xml:space="preserve"> </w:t>
            </w:r>
            <w:r w:rsidRPr="00662097">
              <w:rPr>
                <w:rFonts w:ascii="Arial" w:eastAsia="Times New Roman" w:hAnsi="Arial" w:cs="Arial"/>
                <w:color w:val="000000"/>
                <w:sz w:val="16"/>
                <w:szCs w:val="16"/>
                <w:lang w:eastAsia="es-MX"/>
              </w:rPr>
              <w:t>evitar que el propietario de la red transfiera sus ineficiencias a otros operadores.</w:t>
            </w:r>
          </w:p>
          <w:p w14:paraId="2B148A05" w14:textId="5EFF5F81" w:rsidR="00621A5D" w:rsidRPr="00662097" w:rsidRDefault="00621A5D" w:rsidP="00621A5D">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Al respecto, en el caso de la interconexión, ejemplo que es de igual utilidad aquí, la Comisión Europea ha señalado que lo ideal es establecer tarifas de interconexión orientadas a costos y en especial a los costos en los que incurría un operador eficiente y no uno real para no trasladar a los costos las ineficiencias en las que incurre el operador real, las cuales no son propias a los costos de los servicios de interconexión. Si los cargos de terminación se basan en los costos de algún operador real, no se generarían los incentivos adecuados para innovar e incrementar la eficiencia.</w:t>
            </w:r>
          </w:p>
          <w:p w14:paraId="398CD6DF" w14:textId="03D78302" w:rsidR="00621A5D" w:rsidRPr="00662097" w:rsidRDefault="00621A5D" w:rsidP="00621A5D">
            <w:pPr>
              <w:autoSpaceDE w:val="0"/>
              <w:autoSpaceDN w:val="0"/>
              <w:adjustRightInd w:val="0"/>
              <w:spacing w:before="120" w:after="120" w:line="240" w:lineRule="auto"/>
              <w:rPr>
                <w:rFonts w:ascii="Arial" w:eastAsia="Times New Roman" w:hAnsi="Arial" w:cs="Arial"/>
                <w:color w:val="000000"/>
                <w:sz w:val="16"/>
                <w:szCs w:val="16"/>
                <w:u w:val="single"/>
                <w:lang w:eastAsia="es-MX"/>
              </w:rPr>
            </w:pPr>
            <w:r w:rsidRPr="00662097">
              <w:rPr>
                <w:rFonts w:ascii="Arial" w:eastAsia="Times New Roman" w:hAnsi="Arial" w:cs="Arial"/>
                <w:color w:val="000000"/>
                <w:sz w:val="16"/>
                <w:szCs w:val="16"/>
                <w:u w:val="single"/>
                <w:lang w:eastAsia="es-MX"/>
              </w:rPr>
              <w:t>Conclusiones y sugerencias</w:t>
            </w:r>
          </w:p>
          <w:p w14:paraId="6B1BE9E6" w14:textId="443EB098" w:rsidR="00621A5D" w:rsidRPr="00662097" w:rsidRDefault="00621A5D" w:rsidP="00621A5D">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Por las razones expuestas y tras realizar un análisis de los documentos metodológicos y del modelo en Excel, al IFT que en la medida de la posible utilic</w:t>
            </w:r>
            <w:r w:rsidR="00A5295F" w:rsidRPr="00662097">
              <w:rPr>
                <w:rFonts w:ascii="Arial" w:eastAsia="Times New Roman" w:hAnsi="Arial" w:cs="Arial"/>
                <w:color w:val="000000"/>
                <w:sz w:val="16"/>
                <w:szCs w:val="16"/>
                <w:lang w:eastAsia="es-MX"/>
              </w:rPr>
              <w:t>e</w:t>
            </w:r>
            <w:r w:rsidRPr="00662097">
              <w:rPr>
                <w:rFonts w:ascii="Arial" w:eastAsia="Times New Roman" w:hAnsi="Arial" w:cs="Arial"/>
                <w:color w:val="000000"/>
                <w:sz w:val="16"/>
                <w:szCs w:val="16"/>
                <w:lang w:eastAsia="es-MX"/>
              </w:rPr>
              <w:t xml:space="preserve"> la menor cantidad de información del AEP, sobre todo si proviene de requerimientos y no de las obligaciones de separación contable. Asimismo, se solicita</w:t>
            </w:r>
            <w:r w:rsidR="00A5295F" w:rsidRPr="00662097">
              <w:rPr>
                <w:rFonts w:ascii="Arial" w:eastAsia="Times New Roman" w:hAnsi="Arial" w:cs="Arial"/>
                <w:color w:val="000000"/>
                <w:sz w:val="16"/>
                <w:szCs w:val="16"/>
                <w:lang w:eastAsia="es-MX"/>
              </w:rPr>
              <w:t xml:space="preserve"> </w:t>
            </w:r>
            <w:r w:rsidRPr="00662097">
              <w:rPr>
                <w:rFonts w:ascii="Arial" w:eastAsia="Times New Roman" w:hAnsi="Arial" w:cs="Arial"/>
                <w:color w:val="000000"/>
                <w:sz w:val="16"/>
                <w:szCs w:val="16"/>
                <w:lang w:eastAsia="es-MX"/>
              </w:rPr>
              <w:t xml:space="preserve">al IFT precisar las fuentes de información a mayor detalle. A lo largo de los documentos metodológicos y en el propio modelo, en varios casos se indica que la información tiene como fuente al AEP; no hay claridad información alguna sobre las fuentes y fechas de consulta de los parámetros, restándole transparencia al ejercicio. </w:t>
            </w:r>
          </w:p>
          <w:p w14:paraId="342742A6" w14:textId="14E448BA" w:rsidR="00A17489" w:rsidRPr="00662097" w:rsidRDefault="00621A5D" w:rsidP="00621A5D">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La mencionada aclaración no es menor porque tal como se ha señalado, si la información proviene de requerimientos y no del ejercicio de separación contable, el problema de </w:t>
            </w:r>
            <w:r w:rsidRPr="00662097">
              <w:rPr>
                <w:rFonts w:ascii="Arial" w:eastAsia="Times New Roman" w:hAnsi="Arial" w:cs="Arial"/>
                <w:color w:val="000000"/>
                <w:sz w:val="16"/>
                <w:szCs w:val="16"/>
                <w:lang w:eastAsia="es-MX"/>
              </w:rPr>
              <w:lastRenderedPageBreak/>
              <w:t>transferencia de ineficiencias del AEP a los CS, mediante las tarifas de lo</w:t>
            </w:r>
            <w:r w:rsidR="00B9030F" w:rsidRPr="00662097">
              <w:rPr>
                <w:rFonts w:ascii="Arial" w:eastAsia="Times New Roman" w:hAnsi="Arial" w:cs="Arial"/>
                <w:color w:val="000000"/>
                <w:sz w:val="16"/>
                <w:szCs w:val="16"/>
                <w:lang w:eastAsia="es-MX"/>
              </w:rPr>
              <w:t>s</w:t>
            </w:r>
            <w:r w:rsidRPr="00662097">
              <w:rPr>
                <w:rFonts w:ascii="Arial" w:eastAsia="Times New Roman" w:hAnsi="Arial" w:cs="Arial"/>
                <w:color w:val="000000"/>
                <w:sz w:val="16"/>
                <w:szCs w:val="16"/>
                <w:lang w:eastAsia="es-MX"/>
              </w:rPr>
              <w:t xml:space="preserve"> servicios mayoristas que se pretenden modelar, puede profundizarse. Adicionalmente se reitera que es necesario que se considere información del mercado a fin de alimentar el modelo con información realista, lo que permitirá lograr una representación más precisa de las dinámicas del mercado y proporcionará insumos y resultados claros y realistas de los modelos.</w:t>
            </w:r>
          </w:p>
        </w:tc>
        <w:tc>
          <w:tcPr>
            <w:tcW w:w="4536" w:type="dxa"/>
          </w:tcPr>
          <w:p w14:paraId="2FEC0C13" w14:textId="2A5BB42A" w:rsidR="00127213" w:rsidRPr="00662097" w:rsidRDefault="00341C54" w:rsidP="00127213">
            <w:pPr>
              <w:autoSpaceDE w:val="0"/>
              <w:autoSpaceDN w:val="0"/>
              <w:adjustRightInd w:val="0"/>
              <w:spacing w:before="120" w:after="120" w:line="240" w:lineRule="auto"/>
              <w:rPr>
                <w:rFonts w:ascii="Arial" w:hAnsi="Arial" w:cs="Arial"/>
                <w:sz w:val="16"/>
                <w:szCs w:val="16"/>
                <w:lang w:eastAsia="es-MX"/>
              </w:rPr>
            </w:pPr>
            <w:r w:rsidRPr="00662097">
              <w:rPr>
                <w:rFonts w:ascii="Arial" w:hAnsi="Arial" w:cs="Arial"/>
                <w:sz w:val="16"/>
                <w:szCs w:val="16"/>
                <w:lang w:eastAsia="es-MX"/>
              </w:rPr>
              <w:lastRenderedPageBreak/>
              <w:t>En primer lugar, s</w:t>
            </w:r>
            <w:r w:rsidR="00127213" w:rsidRPr="00662097">
              <w:rPr>
                <w:rFonts w:ascii="Arial" w:hAnsi="Arial" w:cs="Arial"/>
                <w:sz w:val="16"/>
                <w:szCs w:val="16"/>
                <w:lang w:eastAsia="es-MX"/>
              </w:rPr>
              <w:t xml:space="preserve">e señala que la información facilitada por parte del AEP ha sido revisada y comparada con datos de referencia internacionales para garantizar que la misma es apropiada y se encuentra alineada con valores de mercado. </w:t>
            </w:r>
          </w:p>
          <w:p w14:paraId="4C0A11B9" w14:textId="0EF243C6" w:rsidR="00127213" w:rsidRPr="00662097" w:rsidRDefault="00341C54" w:rsidP="00C071BB">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hAnsi="Arial" w:cs="Arial"/>
                <w:sz w:val="16"/>
                <w:szCs w:val="16"/>
                <w:lang w:eastAsia="es-MX"/>
              </w:rPr>
              <w:t xml:space="preserve">De manera adicional, cabe destacar que el uso de información proveniente del AEP </w:t>
            </w:r>
            <w:r w:rsidR="006E6F3C" w:rsidRPr="00662097">
              <w:rPr>
                <w:rFonts w:ascii="Arial" w:hAnsi="Arial" w:cs="Arial"/>
                <w:sz w:val="16"/>
                <w:szCs w:val="16"/>
                <w:lang w:eastAsia="es-MX"/>
              </w:rPr>
              <w:t xml:space="preserve">no </w:t>
            </w:r>
            <w:r w:rsidR="00C071BB" w:rsidRPr="00662097">
              <w:rPr>
                <w:rFonts w:ascii="Arial" w:hAnsi="Arial" w:cs="Arial"/>
                <w:sz w:val="16"/>
                <w:szCs w:val="16"/>
                <w:lang w:eastAsia="es-MX"/>
              </w:rPr>
              <w:t>entra en conflicto con la modelación bottom-up que se persigue,</w:t>
            </w:r>
            <w:r w:rsidR="00C071BB" w:rsidRPr="00662097">
              <w:rPr>
                <w:rFonts w:ascii="Arial" w:eastAsia="Times New Roman" w:hAnsi="Arial" w:cs="Arial"/>
                <w:color w:val="000000"/>
                <w:sz w:val="16"/>
                <w:szCs w:val="16"/>
                <w:lang w:eastAsia="es-MX"/>
              </w:rPr>
              <w:t xml:space="preserve"> </w:t>
            </w:r>
            <w:r w:rsidR="00127213" w:rsidRPr="00662097">
              <w:rPr>
                <w:rFonts w:ascii="Arial" w:eastAsia="Times New Roman" w:hAnsi="Arial" w:cs="Arial"/>
                <w:color w:val="000000"/>
                <w:sz w:val="16"/>
                <w:szCs w:val="16"/>
                <w:lang w:eastAsia="es-MX"/>
              </w:rPr>
              <w:t xml:space="preserve">siempre y cuando dichas características no contradigan el principio de eficiencia. </w:t>
            </w:r>
            <w:r w:rsidR="00C071BB" w:rsidRPr="00662097">
              <w:rPr>
                <w:rFonts w:ascii="Arial" w:eastAsia="Times New Roman" w:hAnsi="Arial" w:cs="Arial"/>
                <w:color w:val="000000"/>
                <w:sz w:val="16"/>
                <w:szCs w:val="16"/>
                <w:lang w:eastAsia="es-MX"/>
              </w:rPr>
              <w:t>En este sentido, se resalta que e</w:t>
            </w:r>
            <w:r w:rsidR="00127213" w:rsidRPr="00662097">
              <w:rPr>
                <w:rFonts w:ascii="Arial" w:eastAsia="Times New Roman" w:hAnsi="Arial" w:cs="Arial"/>
                <w:color w:val="000000"/>
                <w:sz w:val="16"/>
                <w:szCs w:val="16"/>
                <w:lang w:eastAsia="es-MX"/>
              </w:rPr>
              <w:t>l Modelo ya incorpora ajustes para aquellos aspectos que se consideran una ineficiencia del AEP como, por ejemplo, aquellos ajustes descritos en la sección “3.2. Análisis geomarketing” del Documento Metodológico.</w:t>
            </w:r>
          </w:p>
          <w:p w14:paraId="30CBBAF3" w14:textId="386508F2" w:rsidR="00BC1C20" w:rsidRPr="00662097" w:rsidRDefault="00BC1C20" w:rsidP="000A79EB">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Al respecto de la utilización de información proveniente del requerimiento </w:t>
            </w:r>
            <w:r w:rsidR="00A65DED" w:rsidRPr="00662097">
              <w:rPr>
                <w:rFonts w:ascii="Arial" w:eastAsia="Times New Roman" w:hAnsi="Arial" w:cs="Arial"/>
                <w:color w:val="000000"/>
                <w:sz w:val="16"/>
                <w:szCs w:val="16"/>
                <w:lang w:eastAsia="es-MX"/>
              </w:rPr>
              <w:t xml:space="preserve">dirigido al </w:t>
            </w:r>
            <w:r w:rsidRPr="00662097">
              <w:rPr>
                <w:rFonts w:ascii="Arial" w:eastAsia="Times New Roman" w:hAnsi="Arial" w:cs="Arial"/>
                <w:color w:val="000000"/>
                <w:sz w:val="16"/>
                <w:szCs w:val="16"/>
                <w:lang w:eastAsia="es-MX"/>
              </w:rPr>
              <w:t xml:space="preserve">AEP, se señala que, dada la naturaleza bottom-up del Modelo Integral, los datos </w:t>
            </w:r>
            <w:r w:rsidR="001F198F" w:rsidRPr="00662097">
              <w:rPr>
                <w:rFonts w:ascii="Arial" w:eastAsia="Times New Roman" w:hAnsi="Arial" w:cs="Arial"/>
                <w:color w:val="000000"/>
                <w:sz w:val="16"/>
                <w:szCs w:val="16"/>
                <w:lang w:eastAsia="es-MX"/>
              </w:rPr>
              <w:t xml:space="preserve">de entrada </w:t>
            </w:r>
            <w:r w:rsidRPr="00662097">
              <w:rPr>
                <w:rFonts w:ascii="Arial" w:eastAsia="Times New Roman" w:hAnsi="Arial" w:cs="Arial"/>
                <w:color w:val="000000"/>
                <w:sz w:val="16"/>
                <w:szCs w:val="16"/>
                <w:lang w:eastAsia="es-MX"/>
              </w:rPr>
              <w:t xml:space="preserve">necesarios para </w:t>
            </w:r>
            <w:r w:rsidR="00A65DED" w:rsidRPr="00662097">
              <w:rPr>
                <w:rFonts w:ascii="Arial" w:eastAsia="Times New Roman" w:hAnsi="Arial" w:cs="Arial"/>
                <w:color w:val="000000"/>
                <w:sz w:val="16"/>
                <w:szCs w:val="16"/>
                <w:lang w:eastAsia="es-MX"/>
              </w:rPr>
              <w:t xml:space="preserve">este tipo de </w:t>
            </w:r>
            <w:r w:rsidRPr="00662097">
              <w:rPr>
                <w:rFonts w:ascii="Arial" w:eastAsia="Times New Roman" w:hAnsi="Arial" w:cs="Arial"/>
                <w:color w:val="000000"/>
                <w:sz w:val="16"/>
                <w:szCs w:val="16"/>
                <w:lang w:eastAsia="es-MX"/>
              </w:rPr>
              <w:t xml:space="preserve">modelación a menudo difieren de los disponibles en la Separación Contable del AEP, al presentar </w:t>
            </w:r>
            <w:r w:rsidR="001F198F" w:rsidRPr="00662097">
              <w:rPr>
                <w:rFonts w:ascii="Arial" w:eastAsia="Times New Roman" w:hAnsi="Arial" w:cs="Arial"/>
                <w:color w:val="000000"/>
                <w:sz w:val="16"/>
                <w:szCs w:val="16"/>
                <w:lang w:eastAsia="es-MX"/>
              </w:rPr>
              <w:t xml:space="preserve">esta </w:t>
            </w:r>
            <w:r w:rsidRPr="00662097">
              <w:rPr>
                <w:rFonts w:ascii="Arial" w:eastAsia="Times New Roman" w:hAnsi="Arial" w:cs="Arial"/>
                <w:color w:val="000000"/>
                <w:sz w:val="16"/>
                <w:szCs w:val="16"/>
                <w:lang w:eastAsia="es-MX"/>
              </w:rPr>
              <w:t>últim</w:t>
            </w:r>
            <w:r w:rsidR="001F198F" w:rsidRPr="00662097">
              <w:rPr>
                <w:rFonts w:ascii="Arial" w:eastAsia="Times New Roman" w:hAnsi="Arial" w:cs="Arial"/>
                <w:color w:val="000000"/>
                <w:sz w:val="16"/>
                <w:szCs w:val="16"/>
                <w:lang w:eastAsia="es-MX"/>
              </w:rPr>
              <w:t>a</w:t>
            </w:r>
            <w:r w:rsidRPr="00662097">
              <w:rPr>
                <w:rFonts w:ascii="Arial" w:eastAsia="Times New Roman" w:hAnsi="Arial" w:cs="Arial"/>
                <w:color w:val="000000"/>
                <w:sz w:val="16"/>
                <w:szCs w:val="16"/>
                <w:lang w:eastAsia="es-MX"/>
              </w:rPr>
              <w:t xml:space="preserve"> una naturaleza top-</w:t>
            </w:r>
            <w:proofErr w:type="spellStart"/>
            <w:r w:rsidRPr="00662097">
              <w:rPr>
                <w:rFonts w:ascii="Arial" w:eastAsia="Times New Roman" w:hAnsi="Arial" w:cs="Arial"/>
                <w:color w:val="000000"/>
                <w:sz w:val="16"/>
                <w:szCs w:val="16"/>
                <w:lang w:eastAsia="es-MX"/>
              </w:rPr>
              <w:t>down</w:t>
            </w:r>
            <w:proofErr w:type="spellEnd"/>
            <w:r w:rsidR="00A65DED" w:rsidRPr="00662097">
              <w:rPr>
                <w:rFonts w:ascii="Arial" w:eastAsia="Times New Roman" w:hAnsi="Arial" w:cs="Arial"/>
                <w:color w:val="000000"/>
                <w:sz w:val="16"/>
                <w:szCs w:val="16"/>
                <w:lang w:eastAsia="es-MX"/>
              </w:rPr>
              <w:t xml:space="preserve">. </w:t>
            </w:r>
            <w:r w:rsidR="000A79EB" w:rsidRPr="00662097">
              <w:rPr>
                <w:rFonts w:ascii="Arial" w:eastAsia="Times New Roman" w:hAnsi="Arial" w:cs="Arial"/>
                <w:color w:val="000000"/>
                <w:sz w:val="16"/>
                <w:szCs w:val="16"/>
                <w:lang w:eastAsia="es-MX"/>
              </w:rPr>
              <w:t>Este es el motivo por el cual ha sido necesario un requerimiento específico para este proceso en particular.</w:t>
            </w:r>
          </w:p>
          <w:p w14:paraId="6A001A1F" w14:textId="5D8A0F0F" w:rsidR="008E1EEF" w:rsidRPr="00662097" w:rsidRDefault="008E1EEF" w:rsidP="000A79EB">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De cualquier manera, en atención a dicho comentario se hará una revisión detallada de aquellos insumos de </w:t>
            </w:r>
            <w:r w:rsidR="00172AE7" w:rsidRPr="00662097">
              <w:rPr>
                <w:rFonts w:ascii="Arial" w:eastAsia="Times New Roman" w:hAnsi="Arial" w:cs="Arial"/>
                <w:color w:val="000000"/>
                <w:sz w:val="16"/>
                <w:szCs w:val="16"/>
                <w:lang w:eastAsia="es-MX"/>
              </w:rPr>
              <w:t>costos de</w:t>
            </w:r>
            <w:r w:rsidRPr="00662097">
              <w:rPr>
                <w:rFonts w:ascii="Arial" w:eastAsia="Times New Roman" w:hAnsi="Arial" w:cs="Arial"/>
                <w:color w:val="000000"/>
                <w:sz w:val="16"/>
                <w:szCs w:val="16"/>
                <w:lang w:eastAsia="es-MX"/>
              </w:rPr>
              <w:t xml:space="preserve"> infraestructura pasiva a efecto de tener </w:t>
            </w:r>
            <w:r w:rsidRPr="00662097">
              <w:rPr>
                <w:rFonts w:ascii="Arial" w:hAnsi="Arial" w:cs="Arial"/>
                <w:sz w:val="16"/>
                <w:szCs w:val="16"/>
                <w:lang w:eastAsia="es-MX"/>
              </w:rPr>
              <w:t>costos unitarios que reflejan un valor de reposición acorde a la evolución de los precios y el progreso tecnológico</w:t>
            </w:r>
          </w:p>
          <w:p w14:paraId="3FFEBC6A" w14:textId="77777777" w:rsidR="008E1EEF" w:rsidRPr="00662097" w:rsidRDefault="008E1EEF" w:rsidP="000A79EB">
            <w:pPr>
              <w:autoSpaceDE w:val="0"/>
              <w:autoSpaceDN w:val="0"/>
              <w:adjustRightInd w:val="0"/>
              <w:spacing w:before="120" w:after="120" w:line="240" w:lineRule="auto"/>
              <w:rPr>
                <w:rFonts w:ascii="Arial" w:eastAsia="Times New Roman" w:hAnsi="Arial" w:cs="Arial"/>
                <w:color w:val="000000"/>
                <w:sz w:val="16"/>
                <w:szCs w:val="16"/>
                <w:lang w:eastAsia="es-MX"/>
              </w:rPr>
            </w:pPr>
          </w:p>
          <w:p w14:paraId="6134992B" w14:textId="14547C18" w:rsidR="00FE250A" w:rsidRPr="00662097" w:rsidRDefault="000A79EB" w:rsidP="00A8376E">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Por último, con relación a las fuentes de información, las mismas se</w:t>
            </w:r>
            <w:r w:rsidR="008E1EEF" w:rsidRPr="00662097">
              <w:rPr>
                <w:rFonts w:ascii="Arial" w:eastAsia="Times New Roman" w:hAnsi="Arial" w:cs="Arial"/>
                <w:color w:val="000000"/>
                <w:sz w:val="16"/>
                <w:szCs w:val="16"/>
                <w:lang w:eastAsia="es-MX"/>
              </w:rPr>
              <w:t>rán</w:t>
            </w:r>
            <w:r w:rsidR="001A4D9A" w:rsidRPr="00662097">
              <w:rPr>
                <w:rFonts w:ascii="Arial" w:eastAsia="Times New Roman" w:hAnsi="Arial" w:cs="Arial"/>
                <w:color w:val="000000"/>
                <w:sz w:val="16"/>
                <w:szCs w:val="16"/>
                <w:lang w:eastAsia="es-MX"/>
              </w:rPr>
              <w:t xml:space="preserve"> </w:t>
            </w:r>
            <w:r w:rsidRPr="00662097">
              <w:rPr>
                <w:rFonts w:ascii="Arial" w:eastAsia="Times New Roman" w:hAnsi="Arial" w:cs="Arial"/>
                <w:color w:val="000000"/>
                <w:sz w:val="16"/>
                <w:szCs w:val="16"/>
                <w:lang w:eastAsia="es-MX"/>
              </w:rPr>
              <w:t xml:space="preserve">detalladas en el propio </w:t>
            </w:r>
            <w:r w:rsidR="00A8376E" w:rsidRPr="00662097">
              <w:rPr>
                <w:rFonts w:ascii="Arial" w:eastAsia="Times New Roman" w:hAnsi="Arial" w:cs="Arial"/>
                <w:color w:val="000000"/>
                <w:sz w:val="16"/>
                <w:szCs w:val="16"/>
                <w:lang w:eastAsia="es-MX"/>
              </w:rPr>
              <w:t>M</w:t>
            </w:r>
            <w:r w:rsidRPr="00662097">
              <w:rPr>
                <w:rFonts w:ascii="Arial" w:eastAsia="Times New Roman" w:hAnsi="Arial" w:cs="Arial"/>
                <w:color w:val="000000"/>
                <w:sz w:val="16"/>
                <w:szCs w:val="16"/>
                <w:lang w:eastAsia="es-MX"/>
              </w:rPr>
              <w:t xml:space="preserve">odelo, así </w:t>
            </w:r>
            <w:r w:rsidR="00A8376E" w:rsidRPr="00662097">
              <w:rPr>
                <w:rFonts w:ascii="Arial" w:eastAsia="Times New Roman" w:hAnsi="Arial" w:cs="Arial"/>
                <w:color w:val="000000"/>
                <w:sz w:val="16"/>
                <w:szCs w:val="16"/>
                <w:lang w:eastAsia="es-MX"/>
              </w:rPr>
              <w:t>como en la documentación sometida a consulta. A modo de ejemplo, el Documento de Actualización describe los</w:t>
            </w:r>
            <w:r w:rsidR="001F198F" w:rsidRPr="00662097">
              <w:rPr>
                <w:rFonts w:ascii="Arial" w:eastAsia="Times New Roman" w:hAnsi="Arial" w:cs="Arial"/>
                <w:color w:val="000000"/>
                <w:sz w:val="16"/>
                <w:szCs w:val="16"/>
                <w:lang w:eastAsia="es-MX"/>
              </w:rPr>
              <w:t xml:space="preserve"> principales </w:t>
            </w:r>
            <w:r w:rsidR="00A8376E" w:rsidRPr="00662097">
              <w:rPr>
                <w:rFonts w:ascii="Arial" w:eastAsia="Times New Roman" w:hAnsi="Arial" w:cs="Arial"/>
                <w:color w:val="000000"/>
                <w:sz w:val="16"/>
                <w:szCs w:val="16"/>
                <w:lang w:eastAsia="es-MX"/>
              </w:rPr>
              <w:t xml:space="preserve">datos de entrada tanto el proceso como las fuentes empleadas durante la actualización. </w:t>
            </w:r>
          </w:p>
        </w:tc>
      </w:tr>
      <w:tr w:rsidR="00A17489" w:rsidRPr="00662097" w14:paraId="68ED4004" w14:textId="77777777" w:rsidTr="008F664E">
        <w:trPr>
          <w:trHeight w:val="20"/>
        </w:trPr>
        <w:tc>
          <w:tcPr>
            <w:tcW w:w="1271" w:type="dxa"/>
            <w:vAlign w:val="center"/>
          </w:tcPr>
          <w:p w14:paraId="6A567204" w14:textId="0CDE5F63" w:rsidR="00A17489" w:rsidRPr="00662097" w:rsidRDefault="00A17489" w:rsidP="00774642">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Grupo Televisa</w:t>
            </w:r>
          </w:p>
        </w:tc>
        <w:tc>
          <w:tcPr>
            <w:tcW w:w="1843" w:type="dxa"/>
            <w:shd w:val="clear" w:color="auto" w:fill="auto"/>
            <w:vAlign w:val="center"/>
          </w:tcPr>
          <w:p w14:paraId="1160E6E3" w14:textId="3058A69E" w:rsidR="00A17489" w:rsidRPr="00662097" w:rsidRDefault="00621A5D" w:rsidP="00A1748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2.3. </w:t>
            </w:r>
            <w:proofErr w:type="spellStart"/>
            <w:r w:rsidRPr="00662097">
              <w:rPr>
                <w:rFonts w:ascii="Arial" w:eastAsia="Times New Roman" w:hAnsi="Arial" w:cs="Arial"/>
                <w:color w:val="000000"/>
                <w:sz w:val="16"/>
                <w:szCs w:val="16"/>
                <w:lang w:eastAsia="es-MX"/>
              </w:rPr>
              <w:t>Sobrerecuperación</w:t>
            </w:r>
            <w:proofErr w:type="spellEnd"/>
            <w:r w:rsidRPr="00662097">
              <w:rPr>
                <w:rFonts w:ascii="Arial" w:eastAsia="Times New Roman" w:hAnsi="Arial" w:cs="Arial"/>
                <w:color w:val="000000"/>
                <w:sz w:val="16"/>
                <w:szCs w:val="16"/>
                <w:lang w:eastAsia="es-MX"/>
              </w:rPr>
              <w:t xml:space="preserve"> de costos</w:t>
            </w:r>
          </w:p>
        </w:tc>
        <w:tc>
          <w:tcPr>
            <w:tcW w:w="6379" w:type="dxa"/>
            <w:shd w:val="clear" w:color="auto" w:fill="auto"/>
            <w:vAlign w:val="center"/>
          </w:tcPr>
          <w:p w14:paraId="5DDE61F9" w14:textId="77777777" w:rsidR="003B4B85" w:rsidRPr="00662097" w:rsidRDefault="003B4B85" w:rsidP="003B4B85">
            <w:pPr>
              <w:autoSpaceDE w:val="0"/>
              <w:autoSpaceDN w:val="0"/>
              <w:adjustRightInd w:val="0"/>
              <w:spacing w:before="120" w:after="120" w:line="240" w:lineRule="auto"/>
              <w:rPr>
                <w:rFonts w:ascii="Arial" w:eastAsia="Times New Roman" w:hAnsi="Arial" w:cs="Arial"/>
                <w:color w:val="000000"/>
                <w:sz w:val="16"/>
                <w:szCs w:val="16"/>
                <w:u w:val="single"/>
                <w:lang w:val="es-ES_tradnl" w:eastAsia="es-MX"/>
              </w:rPr>
            </w:pPr>
            <w:r w:rsidRPr="00662097">
              <w:rPr>
                <w:rFonts w:ascii="Arial" w:eastAsia="Times New Roman" w:hAnsi="Arial" w:cs="Arial"/>
                <w:color w:val="000000"/>
                <w:sz w:val="16"/>
                <w:szCs w:val="16"/>
                <w:u w:val="single"/>
                <w:lang w:val="es-ES_tradnl" w:eastAsia="es-MX"/>
              </w:rPr>
              <w:t>Contexto</w:t>
            </w:r>
          </w:p>
          <w:p w14:paraId="2F79B823" w14:textId="77777777" w:rsidR="003B4B85" w:rsidRPr="00662097" w:rsidRDefault="003B4B85" w:rsidP="003B4B85">
            <w:pPr>
              <w:autoSpaceDE w:val="0"/>
              <w:autoSpaceDN w:val="0"/>
              <w:adjustRightInd w:val="0"/>
              <w:spacing w:before="120" w:after="120" w:line="240" w:lineRule="auto"/>
              <w:rPr>
                <w:rFonts w:ascii="Arial" w:eastAsia="Times New Roman" w:hAnsi="Arial" w:cs="Arial"/>
                <w:color w:val="000000"/>
                <w:sz w:val="16"/>
                <w:szCs w:val="16"/>
                <w:lang w:val="es-ES_tradnl" w:eastAsia="es-MX"/>
              </w:rPr>
            </w:pPr>
            <w:r w:rsidRPr="00662097">
              <w:rPr>
                <w:rFonts w:ascii="Arial" w:eastAsia="Times New Roman" w:hAnsi="Arial" w:cs="Arial"/>
                <w:color w:val="000000"/>
                <w:sz w:val="16"/>
                <w:szCs w:val="16"/>
                <w:lang w:val="es-ES_tradnl" w:eastAsia="es-MX"/>
              </w:rPr>
              <w:t>En cada escenario desarrollado en el modelo, para calcular las tarifas de cada servicio, se asignan los costos totales de despliegue a todos los servicios teniendo en cuenta la matriz de enrutamiento y los volúmenes de demanda de los servicios. Esto significa, por definición, que la suma de las tarifas multiplicada por el volumen de demanda es igual a los costos totales de servicio. En otras palabras, se asegura que todos los costos se recuperan dentro del alcance del modelo.</w:t>
            </w:r>
          </w:p>
          <w:p w14:paraId="07335CDD" w14:textId="33D8969A" w:rsidR="003B4B85" w:rsidRPr="00662097" w:rsidRDefault="003B4B85" w:rsidP="003B4B85">
            <w:pPr>
              <w:autoSpaceDE w:val="0"/>
              <w:autoSpaceDN w:val="0"/>
              <w:adjustRightInd w:val="0"/>
              <w:spacing w:before="120" w:after="120" w:line="240" w:lineRule="auto"/>
              <w:rPr>
                <w:rFonts w:ascii="Arial" w:eastAsia="Times New Roman" w:hAnsi="Arial" w:cs="Arial"/>
                <w:color w:val="000000"/>
                <w:sz w:val="16"/>
                <w:szCs w:val="16"/>
                <w:lang w:val="es-ES_tradnl" w:eastAsia="es-MX"/>
              </w:rPr>
            </w:pPr>
            <w:r w:rsidRPr="00662097">
              <w:rPr>
                <w:rFonts w:ascii="Arial" w:eastAsia="Times New Roman" w:hAnsi="Arial" w:cs="Arial"/>
                <w:color w:val="000000"/>
                <w:sz w:val="16"/>
                <w:szCs w:val="16"/>
                <w:lang w:val="es-ES_tradnl" w:eastAsia="es-MX"/>
              </w:rPr>
              <w:t>En un cálculo separado, se definen las tarifas para cada servicio de acceso a la infraestructura pasiva como el costo de los elementos usados por ese servicio</w:t>
            </w:r>
            <w:r w:rsidR="00167615" w:rsidRPr="00662097">
              <w:rPr>
                <w:rStyle w:val="Refdenotaalpie"/>
                <w:rFonts w:ascii="Arial" w:eastAsia="Times New Roman" w:hAnsi="Arial" w:cs="Arial"/>
                <w:color w:val="000000"/>
                <w:sz w:val="16"/>
                <w:szCs w:val="16"/>
                <w:lang w:val="es-ES_tradnl" w:eastAsia="es-MX"/>
              </w:rPr>
              <w:footnoteReference w:id="6"/>
            </w:r>
            <w:r w:rsidRPr="00662097">
              <w:rPr>
                <w:rFonts w:ascii="Arial" w:eastAsia="Times New Roman" w:hAnsi="Arial" w:cs="Arial"/>
                <w:color w:val="000000"/>
                <w:sz w:val="16"/>
                <w:szCs w:val="16"/>
                <w:lang w:val="es-ES_tradnl" w:eastAsia="es-MX"/>
              </w:rPr>
              <w:t xml:space="preserve"> dividido por los posibles volúmenes de ese servicio que podrían ser soportados por la red (p.ej. el volumen de cables que podrían estar desplegados en los postes). </w:t>
            </w:r>
            <w:r w:rsidRPr="00662097">
              <w:rPr>
                <w:rFonts w:ascii="Arial" w:eastAsia="Times New Roman" w:hAnsi="Arial" w:cs="Arial"/>
                <w:b/>
                <w:bCs/>
                <w:color w:val="000000"/>
                <w:sz w:val="16"/>
                <w:szCs w:val="16"/>
                <w:lang w:val="es-ES_tradnl" w:eastAsia="es-MX"/>
              </w:rPr>
              <w:t xml:space="preserve">Si el AEP genera ingresos por estos servicios, entonces los costos de los activos se </w:t>
            </w:r>
            <w:proofErr w:type="spellStart"/>
            <w:r w:rsidRPr="00662097">
              <w:rPr>
                <w:rFonts w:ascii="Arial" w:eastAsia="Times New Roman" w:hAnsi="Arial" w:cs="Arial"/>
                <w:b/>
                <w:bCs/>
                <w:color w:val="000000"/>
                <w:sz w:val="16"/>
                <w:szCs w:val="16"/>
                <w:lang w:val="es-ES_tradnl" w:eastAsia="es-MX"/>
              </w:rPr>
              <w:t>sobrerecuperan</w:t>
            </w:r>
            <w:proofErr w:type="spellEnd"/>
            <w:r w:rsidRPr="00662097">
              <w:rPr>
                <w:rFonts w:ascii="Arial" w:eastAsia="Times New Roman" w:hAnsi="Arial" w:cs="Arial"/>
                <w:b/>
                <w:bCs/>
                <w:color w:val="000000"/>
                <w:sz w:val="16"/>
                <w:szCs w:val="16"/>
                <w:lang w:val="es-ES_tradnl" w:eastAsia="es-MX"/>
              </w:rPr>
              <w:t xml:space="preserve"> porque los ingresos de los servicios de fibra más los provenientes de la prestación de los servicios de acceso a la infraestructura pasiva serían superiores a los costos modelados</w:t>
            </w:r>
            <w:r w:rsidRPr="00662097">
              <w:rPr>
                <w:rFonts w:ascii="Arial" w:eastAsia="Times New Roman" w:hAnsi="Arial" w:cs="Arial"/>
                <w:color w:val="000000"/>
                <w:sz w:val="16"/>
                <w:szCs w:val="16"/>
                <w:lang w:val="es-ES_tradnl" w:eastAsia="es-MX"/>
              </w:rPr>
              <w:t xml:space="preserve">. Ya se ha comentado sobre este problema de </w:t>
            </w:r>
            <w:proofErr w:type="spellStart"/>
            <w:r w:rsidRPr="00662097">
              <w:rPr>
                <w:rFonts w:ascii="Arial" w:eastAsia="Times New Roman" w:hAnsi="Arial" w:cs="Arial"/>
                <w:color w:val="000000"/>
                <w:sz w:val="16"/>
                <w:szCs w:val="16"/>
                <w:lang w:val="es-ES_tradnl" w:eastAsia="es-MX"/>
              </w:rPr>
              <w:t>sobrerecuperación</w:t>
            </w:r>
            <w:proofErr w:type="spellEnd"/>
            <w:r w:rsidRPr="00662097">
              <w:rPr>
                <w:rFonts w:ascii="Arial" w:eastAsia="Times New Roman" w:hAnsi="Arial" w:cs="Arial"/>
                <w:color w:val="000000"/>
                <w:sz w:val="16"/>
                <w:szCs w:val="16"/>
                <w:lang w:val="es-ES_tradnl" w:eastAsia="es-MX"/>
              </w:rPr>
              <w:t xml:space="preserve"> de costos desde nuestra revisión del modelo de acceso 2020.</w:t>
            </w:r>
            <w:r w:rsidR="00167615" w:rsidRPr="00662097">
              <w:rPr>
                <w:rStyle w:val="Refdenotaalpie"/>
                <w:rFonts w:ascii="Arial" w:eastAsia="Times New Roman" w:hAnsi="Arial" w:cs="Arial"/>
                <w:color w:val="000000"/>
                <w:sz w:val="16"/>
                <w:szCs w:val="16"/>
                <w:lang w:val="es-ES_tradnl" w:eastAsia="es-MX"/>
              </w:rPr>
              <w:footnoteReference w:id="7"/>
            </w:r>
          </w:p>
          <w:p w14:paraId="7D39BD56" w14:textId="77777777" w:rsidR="003B4B85" w:rsidRPr="00662097" w:rsidRDefault="003B4B85" w:rsidP="003B4B85">
            <w:pPr>
              <w:autoSpaceDE w:val="0"/>
              <w:autoSpaceDN w:val="0"/>
              <w:adjustRightInd w:val="0"/>
              <w:spacing w:before="120" w:after="120" w:line="240" w:lineRule="auto"/>
              <w:rPr>
                <w:rFonts w:ascii="Arial" w:eastAsia="Times New Roman" w:hAnsi="Arial" w:cs="Arial"/>
                <w:color w:val="000000"/>
                <w:sz w:val="16"/>
                <w:szCs w:val="16"/>
                <w:lang w:val="es-ES_tradnl" w:eastAsia="es-MX"/>
              </w:rPr>
            </w:pPr>
            <w:r w:rsidRPr="00662097">
              <w:rPr>
                <w:rFonts w:ascii="Arial" w:eastAsia="Times New Roman" w:hAnsi="Arial" w:cs="Arial"/>
                <w:color w:val="000000"/>
                <w:sz w:val="16"/>
                <w:szCs w:val="16"/>
                <w:lang w:val="es-ES_tradnl" w:eastAsia="es-MX"/>
              </w:rPr>
              <w:t xml:space="preserve">En cualquier caso, creemos que este enfoque por parte del IFT de cálculo de tarifas puede ser aceptable en este caso por las siguientes razones: </w:t>
            </w:r>
          </w:p>
          <w:p w14:paraId="2B21924A" w14:textId="5170114B" w:rsidR="003B4B85" w:rsidRPr="00662097" w:rsidRDefault="008E2592" w:rsidP="00570AFE">
            <w:pPr>
              <w:pStyle w:val="TableListBullet"/>
              <w:numPr>
                <w:ilvl w:val="0"/>
                <w:numId w:val="20"/>
              </w:numPr>
              <w:rPr>
                <w:rFonts w:ascii="Arial" w:hAnsi="Arial" w:cs="Arial"/>
                <w:lang w:val="es-ES_tradnl" w:eastAsia="es-MX"/>
              </w:rPr>
            </w:pPr>
            <w:r w:rsidRPr="00662097">
              <w:rPr>
                <w:rFonts w:ascii="Arial" w:hAnsi="Arial" w:cs="Arial"/>
                <w:lang w:val="es-ES_tradnl" w:eastAsia="es-MX"/>
              </w:rPr>
              <w:t>L</w:t>
            </w:r>
            <w:r w:rsidR="003B4B85" w:rsidRPr="00662097">
              <w:rPr>
                <w:rFonts w:ascii="Arial" w:hAnsi="Arial" w:cs="Arial"/>
                <w:lang w:val="es-ES_tradnl" w:eastAsia="es-MX"/>
              </w:rPr>
              <w:t>as dificultades de realizar proyecciones separadas del mercado de infraestructura pasiva y ajustar el modelo para reflejar esta demanda.</w:t>
            </w:r>
          </w:p>
          <w:p w14:paraId="41F5F913" w14:textId="53B8B81A" w:rsidR="003B4B85" w:rsidRPr="00662097" w:rsidRDefault="008E2592" w:rsidP="00570AFE">
            <w:pPr>
              <w:pStyle w:val="TableListBullet"/>
              <w:numPr>
                <w:ilvl w:val="0"/>
                <w:numId w:val="20"/>
              </w:numPr>
              <w:rPr>
                <w:rFonts w:ascii="Arial" w:hAnsi="Arial" w:cs="Arial"/>
                <w:lang w:val="es-ES_tradnl" w:eastAsia="es-MX"/>
              </w:rPr>
            </w:pPr>
            <w:r w:rsidRPr="00662097">
              <w:rPr>
                <w:rFonts w:ascii="Arial" w:hAnsi="Arial" w:cs="Arial"/>
                <w:lang w:val="es-ES_tradnl" w:eastAsia="es-MX"/>
              </w:rPr>
              <w:t>L</w:t>
            </w:r>
            <w:r w:rsidR="003B4B85" w:rsidRPr="00662097">
              <w:rPr>
                <w:rFonts w:ascii="Arial" w:hAnsi="Arial" w:cs="Arial"/>
                <w:lang w:val="es-ES_tradnl" w:eastAsia="es-MX"/>
              </w:rPr>
              <w:t>as tarifas de infraestructura pasiva son consistentes con el costo promedio de la infraestructura sobre la que se basa la prestación del servicio de desagregación.</w:t>
            </w:r>
          </w:p>
          <w:p w14:paraId="6D0AE388" w14:textId="77777777" w:rsidR="003B4B85" w:rsidRPr="00662097" w:rsidRDefault="003B4B85" w:rsidP="003B4B85">
            <w:pPr>
              <w:autoSpaceDE w:val="0"/>
              <w:autoSpaceDN w:val="0"/>
              <w:adjustRightInd w:val="0"/>
              <w:spacing w:before="120" w:after="120" w:line="240" w:lineRule="auto"/>
              <w:rPr>
                <w:rFonts w:ascii="Arial" w:eastAsia="Times New Roman" w:hAnsi="Arial" w:cs="Arial"/>
                <w:color w:val="000000"/>
                <w:sz w:val="16"/>
                <w:szCs w:val="16"/>
                <w:lang w:val="es-ES_tradnl" w:eastAsia="es-MX"/>
              </w:rPr>
            </w:pPr>
            <w:r w:rsidRPr="00662097">
              <w:rPr>
                <w:rFonts w:ascii="Arial" w:eastAsia="Times New Roman" w:hAnsi="Arial" w:cs="Arial"/>
                <w:color w:val="000000"/>
                <w:sz w:val="16"/>
                <w:szCs w:val="16"/>
                <w:lang w:val="es-ES_tradnl" w:eastAsia="es-MX"/>
              </w:rPr>
              <w:t xml:space="preserve">Sin embargo, creemos que </w:t>
            </w:r>
            <w:r w:rsidRPr="00662097">
              <w:rPr>
                <w:rFonts w:ascii="Arial" w:eastAsia="Times New Roman" w:hAnsi="Arial" w:cs="Arial"/>
                <w:b/>
                <w:bCs/>
                <w:color w:val="000000"/>
                <w:sz w:val="16"/>
                <w:szCs w:val="16"/>
                <w:lang w:val="es-ES_tradnl" w:eastAsia="es-MX"/>
              </w:rPr>
              <w:t>es necesario ajustar el modelo para evitar el problema del exceso en la recuperación de los costos</w:t>
            </w:r>
            <w:r w:rsidRPr="00662097">
              <w:rPr>
                <w:rFonts w:ascii="Arial" w:eastAsia="Times New Roman" w:hAnsi="Arial" w:cs="Arial"/>
                <w:color w:val="000000"/>
                <w:sz w:val="16"/>
                <w:szCs w:val="16"/>
                <w:lang w:val="es-ES_tradnl" w:eastAsia="es-MX"/>
              </w:rPr>
              <w:t xml:space="preserve">. Creemos que podría ser más sencillo (es decir, más práctico y con menor riesgo de errores) ajustar los ingresos de la infraestructura pasiva que adaptar el modelo para capturar de manera más precisa la utilización de la infraestructura pasiva. En este caso, los ingresos se pueden compensar contra los costos anualizados de los activos relevantes, llevando a un descuento justo que redujera la </w:t>
            </w:r>
            <w:proofErr w:type="spellStart"/>
            <w:r w:rsidRPr="00662097">
              <w:rPr>
                <w:rFonts w:ascii="Arial" w:eastAsia="Times New Roman" w:hAnsi="Arial" w:cs="Arial"/>
                <w:color w:val="000000"/>
                <w:sz w:val="16"/>
                <w:szCs w:val="16"/>
                <w:lang w:val="es-ES_tradnl" w:eastAsia="es-MX"/>
              </w:rPr>
              <w:t>sobrerecuperación</w:t>
            </w:r>
            <w:proofErr w:type="spellEnd"/>
            <w:r w:rsidRPr="00662097">
              <w:rPr>
                <w:rFonts w:ascii="Arial" w:eastAsia="Times New Roman" w:hAnsi="Arial" w:cs="Arial"/>
                <w:color w:val="000000"/>
                <w:sz w:val="16"/>
                <w:szCs w:val="16"/>
                <w:lang w:val="es-ES_tradnl" w:eastAsia="es-MX"/>
              </w:rPr>
              <w:t xml:space="preserve"> de costos por parte del AEP.</w:t>
            </w:r>
          </w:p>
          <w:p w14:paraId="6BD3ECC3" w14:textId="77777777" w:rsidR="003B4B85" w:rsidRPr="00662097" w:rsidRDefault="003B4B85" w:rsidP="003B4B85">
            <w:pPr>
              <w:autoSpaceDE w:val="0"/>
              <w:autoSpaceDN w:val="0"/>
              <w:adjustRightInd w:val="0"/>
              <w:spacing w:before="120" w:after="120" w:line="240" w:lineRule="auto"/>
              <w:rPr>
                <w:rFonts w:ascii="Arial" w:eastAsia="Times New Roman" w:hAnsi="Arial" w:cs="Arial"/>
                <w:color w:val="000000"/>
                <w:sz w:val="16"/>
                <w:szCs w:val="16"/>
                <w:u w:val="single"/>
                <w:lang w:val="es-ES_tradnl" w:eastAsia="es-MX"/>
              </w:rPr>
            </w:pPr>
            <w:r w:rsidRPr="00662097">
              <w:rPr>
                <w:rFonts w:ascii="Arial" w:eastAsia="Times New Roman" w:hAnsi="Arial" w:cs="Arial"/>
                <w:color w:val="000000"/>
                <w:sz w:val="16"/>
                <w:szCs w:val="16"/>
                <w:u w:val="single"/>
                <w:lang w:val="es-ES_tradnl" w:eastAsia="es-MX"/>
              </w:rPr>
              <w:t>Conclusiones y sugerencias</w:t>
            </w:r>
          </w:p>
          <w:p w14:paraId="4D86475D" w14:textId="3C2EEE13" w:rsidR="00A17489" w:rsidRPr="00662097" w:rsidRDefault="003B4B85" w:rsidP="003B4B85">
            <w:pPr>
              <w:autoSpaceDE w:val="0"/>
              <w:autoSpaceDN w:val="0"/>
              <w:adjustRightInd w:val="0"/>
              <w:spacing w:before="120" w:after="120" w:line="240" w:lineRule="auto"/>
              <w:rPr>
                <w:rFonts w:ascii="Arial" w:eastAsia="Times New Roman" w:hAnsi="Arial" w:cs="Arial"/>
                <w:color w:val="000000"/>
                <w:sz w:val="16"/>
                <w:szCs w:val="16"/>
                <w:lang w:val="es-ES_tradnl" w:eastAsia="es-MX"/>
              </w:rPr>
            </w:pPr>
            <w:r w:rsidRPr="00662097">
              <w:rPr>
                <w:rFonts w:ascii="Arial" w:eastAsia="Times New Roman" w:hAnsi="Arial" w:cs="Arial"/>
                <w:color w:val="000000"/>
                <w:sz w:val="16"/>
                <w:szCs w:val="16"/>
                <w:lang w:val="es-ES_tradnl" w:eastAsia="es-MX"/>
              </w:rPr>
              <w:lastRenderedPageBreak/>
              <w:t>Sugerimos que el IFT evalúe también el nivel de ingresos por estos servicios de infraestructura pasiva del AEP.</w:t>
            </w:r>
          </w:p>
        </w:tc>
        <w:tc>
          <w:tcPr>
            <w:tcW w:w="4536" w:type="dxa"/>
          </w:tcPr>
          <w:p w14:paraId="77993E6B" w14:textId="5F897C7E" w:rsidR="00A17489" w:rsidRPr="00662097" w:rsidRDefault="003E2E74" w:rsidP="0046724E">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lastRenderedPageBreak/>
              <w:t>E</w:t>
            </w:r>
            <w:r w:rsidR="00702600" w:rsidRPr="00662097">
              <w:rPr>
                <w:rFonts w:ascii="Arial" w:eastAsia="Times New Roman" w:hAnsi="Arial" w:cs="Arial"/>
                <w:color w:val="000000"/>
                <w:sz w:val="16"/>
                <w:szCs w:val="16"/>
                <w:lang w:eastAsia="es-MX"/>
              </w:rPr>
              <w:t xml:space="preserve">n la ausencia de acuerdos de </w:t>
            </w:r>
            <w:proofErr w:type="spellStart"/>
            <w:r w:rsidR="00702600" w:rsidRPr="00662097">
              <w:rPr>
                <w:rFonts w:ascii="Arial" w:eastAsia="Times New Roman" w:hAnsi="Arial" w:cs="Arial"/>
                <w:color w:val="000000"/>
                <w:sz w:val="16"/>
                <w:szCs w:val="16"/>
                <w:lang w:eastAsia="es-MX"/>
              </w:rPr>
              <w:t>co-inversión</w:t>
            </w:r>
            <w:proofErr w:type="spellEnd"/>
            <w:r w:rsidR="00702600" w:rsidRPr="00662097">
              <w:rPr>
                <w:rFonts w:ascii="Arial" w:eastAsia="Times New Roman" w:hAnsi="Arial" w:cs="Arial"/>
                <w:color w:val="000000"/>
                <w:sz w:val="16"/>
                <w:szCs w:val="16"/>
                <w:lang w:eastAsia="es-MX"/>
              </w:rPr>
              <w:t xml:space="preserve"> o de una porción reservada de conductos y postes para operadores alternativos, el AEP no puede basar su recuperación de costos en proyecciones inciertas de demanda potencial.</w:t>
            </w:r>
          </w:p>
          <w:p w14:paraId="5A080A6F" w14:textId="3879D241" w:rsidR="00172AE7" w:rsidRPr="00662097" w:rsidRDefault="002C5976" w:rsidP="002C5976">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iCs/>
                <w:color w:val="000000"/>
                <w:sz w:val="16"/>
                <w:szCs w:val="16"/>
                <w:lang w:eastAsia="es-MX"/>
              </w:rPr>
              <w:t xml:space="preserve">De cualquier forma </w:t>
            </w:r>
            <w:r w:rsidR="00172AE7" w:rsidRPr="00662097">
              <w:rPr>
                <w:rFonts w:ascii="Arial" w:eastAsia="Times New Roman" w:hAnsi="Arial" w:cs="Arial"/>
                <w:color w:val="000000"/>
                <w:sz w:val="16"/>
                <w:szCs w:val="16"/>
                <w:lang w:eastAsia="es-MX"/>
              </w:rPr>
              <w:t>se analizará dicho enfoque a la luz de la estructura de costos y tarifas mayoristas autorizados por el Instituto que aseguren la recuperación de costos de manera efectiva acorde con la red modelada.</w:t>
            </w:r>
          </w:p>
          <w:p w14:paraId="336C9DC4" w14:textId="3493F759" w:rsidR="00A17489" w:rsidRPr="00662097" w:rsidRDefault="00A17489" w:rsidP="005C2DA5">
            <w:pPr>
              <w:autoSpaceDE w:val="0"/>
              <w:autoSpaceDN w:val="0"/>
              <w:adjustRightInd w:val="0"/>
              <w:spacing w:before="120" w:after="120" w:line="240" w:lineRule="auto"/>
              <w:ind w:left="567"/>
              <w:rPr>
                <w:rFonts w:ascii="Arial" w:eastAsia="Times New Roman" w:hAnsi="Arial" w:cs="Arial"/>
                <w:color w:val="000000"/>
                <w:sz w:val="16"/>
                <w:szCs w:val="16"/>
                <w:lang w:eastAsia="es-MX"/>
              </w:rPr>
            </w:pPr>
          </w:p>
        </w:tc>
      </w:tr>
      <w:tr w:rsidR="00A17489" w:rsidRPr="00662097" w14:paraId="25BFF27F" w14:textId="77777777" w:rsidTr="008F664E">
        <w:trPr>
          <w:trHeight w:val="20"/>
        </w:trPr>
        <w:tc>
          <w:tcPr>
            <w:tcW w:w="1271" w:type="dxa"/>
            <w:vAlign w:val="center"/>
          </w:tcPr>
          <w:p w14:paraId="70BDD528" w14:textId="49FE1EB9" w:rsidR="00A17489" w:rsidRPr="00662097" w:rsidRDefault="00A17489" w:rsidP="00774642">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Grupo Televisa</w:t>
            </w:r>
          </w:p>
        </w:tc>
        <w:tc>
          <w:tcPr>
            <w:tcW w:w="1843" w:type="dxa"/>
            <w:shd w:val="clear" w:color="auto" w:fill="auto"/>
            <w:vAlign w:val="center"/>
          </w:tcPr>
          <w:p w14:paraId="3DA75B77" w14:textId="641C879E" w:rsidR="00A17489" w:rsidRPr="00662097" w:rsidRDefault="003B4B85" w:rsidP="00A1748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2.4 Gasto de fallas total</w:t>
            </w:r>
          </w:p>
        </w:tc>
        <w:tc>
          <w:tcPr>
            <w:tcW w:w="6379" w:type="dxa"/>
            <w:shd w:val="clear" w:color="auto" w:fill="auto"/>
            <w:vAlign w:val="center"/>
          </w:tcPr>
          <w:p w14:paraId="01296368" w14:textId="77777777" w:rsidR="003B4B85" w:rsidRPr="00662097" w:rsidRDefault="003B4B85" w:rsidP="003B4B85">
            <w:pPr>
              <w:autoSpaceDE w:val="0"/>
              <w:autoSpaceDN w:val="0"/>
              <w:adjustRightInd w:val="0"/>
              <w:spacing w:before="120" w:after="120" w:line="240" w:lineRule="auto"/>
              <w:rPr>
                <w:rFonts w:ascii="Arial" w:eastAsia="Times New Roman" w:hAnsi="Arial" w:cs="Arial"/>
                <w:color w:val="000000"/>
                <w:sz w:val="16"/>
                <w:szCs w:val="16"/>
                <w:u w:val="single"/>
                <w:lang w:eastAsia="es-MX"/>
              </w:rPr>
            </w:pPr>
            <w:r w:rsidRPr="00662097">
              <w:rPr>
                <w:rFonts w:ascii="Arial" w:eastAsia="Times New Roman" w:hAnsi="Arial" w:cs="Arial"/>
                <w:color w:val="000000"/>
                <w:sz w:val="16"/>
                <w:szCs w:val="16"/>
                <w:u w:val="single"/>
                <w:lang w:eastAsia="es-MX"/>
              </w:rPr>
              <w:t>Contexto</w:t>
            </w:r>
          </w:p>
          <w:p w14:paraId="79399322" w14:textId="77777777" w:rsidR="003B4B85" w:rsidRPr="00662097" w:rsidRDefault="003B4B85" w:rsidP="003B4B85">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Dentro de los gastos operativos de la red calculados en el modelo, hay una partida de gastos identificada por separado para la reparación de fallas en la línea de acceso. El volumen de fallas de la red se identifica mediante el parámetro LFI (de sus siglas en inglés Line </w:t>
            </w:r>
            <w:proofErr w:type="spellStart"/>
            <w:r w:rsidRPr="00662097">
              <w:rPr>
                <w:rFonts w:ascii="Arial" w:eastAsia="Times New Roman" w:hAnsi="Arial" w:cs="Arial"/>
                <w:color w:val="000000"/>
                <w:sz w:val="16"/>
                <w:szCs w:val="16"/>
                <w:lang w:eastAsia="es-MX"/>
              </w:rPr>
              <w:t>Fault</w:t>
            </w:r>
            <w:proofErr w:type="spellEnd"/>
            <w:r w:rsidRPr="00662097">
              <w:rPr>
                <w:rFonts w:ascii="Arial" w:eastAsia="Times New Roman" w:hAnsi="Arial" w:cs="Arial"/>
                <w:color w:val="000000"/>
                <w:sz w:val="16"/>
                <w:szCs w:val="16"/>
                <w:lang w:eastAsia="es-MX"/>
              </w:rPr>
              <w:t xml:space="preserve"> </w:t>
            </w:r>
            <w:proofErr w:type="spellStart"/>
            <w:r w:rsidRPr="00662097">
              <w:rPr>
                <w:rFonts w:ascii="Arial" w:eastAsia="Times New Roman" w:hAnsi="Arial" w:cs="Arial"/>
                <w:color w:val="000000"/>
                <w:sz w:val="16"/>
                <w:szCs w:val="16"/>
                <w:lang w:eastAsia="es-MX"/>
              </w:rPr>
              <w:t>Index</w:t>
            </w:r>
            <w:proofErr w:type="spellEnd"/>
            <w:r w:rsidRPr="00662097">
              <w:rPr>
                <w:rFonts w:ascii="Arial" w:eastAsia="Times New Roman" w:hAnsi="Arial" w:cs="Arial"/>
                <w:color w:val="000000"/>
                <w:sz w:val="16"/>
                <w:szCs w:val="16"/>
                <w:lang w:eastAsia="es-MX"/>
              </w:rPr>
              <w:t>), estimado a partir de los datos del AEP.</w:t>
            </w:r>
          </w:p>
          <w:p w14:paraId="7BBCDAEA" w14:textId="77777777" w:rsidR="003B4B85" w:rsidRPr="00662097" w:rsidRDefault="003B4B85" w:rsidP="003B4B85">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Existe un insumo de costo diferente para la reparación por falla, dependiendo del escenario modelado: cobre o fibra. Independientemente del escenario modelado, el modelo supone que el 5.52% de todas las líneas activas de cobre y el 4.39% para tecnología de fibra por central (CO, Central Office por sus siglas en inglés) y año incurrirán en gastos de reparación.</w:t>
            </w:r>
          </w:p>
          <w:p w14:paraId="5A470966" w14:textId="1BCBCCCD" w:rsidR="003B4B85" w:rsidRPr="00662097" w:rsidRDefault="003B4B85" w:rsidP="003B4B85">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Para la actualización del modelo, el IFT propone en el caso de las líneas con tecnología de cobre una reducción del 0.15%, mientras que para e</w:t>
            </w:r>
            <w:r w:rsidR="00A415FF" w:rsidRPr="00662097">
              <w:rPr>
                <w:rFonts w:ascii="Arial" w:eastAsia="Times New Roman" w:hAnsi="Arial" w:cs="Arial"/>
                <w:color w:val="000000"/>
                <w:sz w:val="16"/>
                <w:szCs w:val="16"/>
                <w:lang w:eastAsia="es-MX"/>
              </w:rPr>
              <w:t>l</w:t>
            </w:r>
            <w:r w:rsidRPr="00662097">
              <w:rPr>
                <w:rFonts w:ascii="Arial" w:eastAsia="Times New Roman" w:hAnsi="Arial" w:cs="Arial"/>
                <w:color w:val="000000"/>
                <w:sz w:val="16"/>
                <w:szCs w:val="16"/>
                <w:lang w:eastAsia="es-MX"/>
              </w:rPr>
              <w:t xml:space="preserve"> caso de fibra un incremento de 0.16%. Como puede verse en el caso de cobre la disminución, sin justificación alguna, es mínima respecto al modelo 2020, en tanto para el caso que para el caso de fibra el porcentaje aumento, lo quiere decir que el costo para la reparación de fallas es mayor, lo cual no hace sentido considerando que se supone una tecnología más confiable. </w:t>
            </w:r>
          </w:p>
          <w:p w14:paraId="2BB92F8C" w14:textId="70A00AAD" w:rsidR="003B4B85" w:rsidRPr="00662097" w:rsidRDefault="003B4B85" w:rsidP="003B4B85">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Las líneas de fibra son mucho más fiables en promedio que las líneas de cobre antiguas. Por lo que, es natural que el porcentaje de líneas en falla aplicadas al número total de líneas de fibra debe ser menor que el aplicado a las líneas activas de cobre totales. Sin embargo, la reducción en el número de intervenciones para reparar fallas es uno de los drivers operativos</w:t>
            </w:r>
            <w:r w:rsidR="00167615" w:rsidRPr="00662097">
              <w:rPr>
                <w:rStyle w:val="Refdenotaalpie"/>
                <w:rFonts w:ascii="Arial" w:eastAsia="Times New Roman" w:hAnsi="Arial" w:cs="Arial"/>
                <w:color w:val="000000"/>
                <w:sz w:val="16"/>
                <w:szCs w:val="16"/>
                <w:lang w:eastAsia="es-MX"/>
              </w:rPr>
              <w:footnoteReference w:id="8"/>
            </w:r>
            <w:r w:rsidRPr="00662097">
              <w:rPr>
                <w:rFonts w:ascii="Arial" w:eastAsia="Times New Roman" w:hAnsi="Arial" w:cs="Arial"/>
                <w:color w:val="000000"/>
                <w:sz w:val="16"/>
                <w:szCs w:val="16"/>
                <w:lang w:eastAsia="es-MX"/>
              </w:rPr>
              <w:t xml:space="preserve"> que a menudo se promociona como un beneficio de desplegar redes de fibra más allá de los beneficios de las mejores prestaciones de dichas redes no parece ser el caso en la actualización del modelo. Ya que como mencionamos se elevó el porcentaje de líneas de fibra con fallas de 4.23% a 4.39%, se reitera sin explicación alguna.</w:t>
            </w:r>
          </w:p>
          <w:p w14:paraId="157BF84F" w14:textId="77777777" w:rsidR="003B4B85" w:rsidRPr="00662097" w:rsidRDefault="003B4B85" w:rsidP="003B4B85">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En segundo lugar, no hemos identificado ninguna explicación acerca de cómo el IFT ha desagregado los costos de reparación de la línea de acceso de los gastos operativos generales de la red. </w:t>
            </w:r>
            <w:r w:rsidRPr="00662097">
              <w:rPr>
                <w:rFonts w:ascii="Arial" w:eastAsia="Times New Roman" w:hAnsi="Arial" w:cs="Arial"/>
                <w:b/>
                <w:bCs/>
                <w:color w:val="000000"/>
                <w:sz w:val="16"/>
                <w:szCs w:val="16"/>
                <w:lang w:eastAsia="es-MX"/>
              </w:rPr>
              <w:t xml:space="preserve">Solicitamos respetuosamente al IFT que se asegure de no estar contando dos veces este gasto de falla dentro de su otro cálculo de </w:t>
            </w:r>
            <w:proofErr w:type="spellStart"/>
            <w:r w:rsidRPr="00662097">
              <w:rPr>
                <w:rFonts w:ascii="Arial" w:eastAsia="Times New Roman" w:hAnsi="Arial" w:cs="Arial"/>
                <w:b/>
                <w:bCs/>
                <w:color w:val="000000"/>
                <w:sz w:val="16"/>
                <w:szCs w:val="16"/>
                <w:lang w:eastAsia="es-MX"/>
              </w:rPr>
              <w:t>opex</w:t>
            </w:r>
            <w:proofErr w:type="spellEnd"/>
            <w:r w:rsidRPr="00662097">
              <w:rPr>
                <w:rFonts w:ascii="Arial" w:eastAsia="Times New Roman" w:hAnsi="Arial" w:cs="Arial"/>
                <w:color w:val="000000"/>
                <w:sz w:val="16"/>
                <w:szCs w:val="16"/>
                <w:lang w:eastAsia="es-MX"/>
              </w:rPr>
              <w:t>.</w:t>
            </w:r>
          </w:p>
          <w:p w14:paraId="08093A6E" w14:textId="293B38CD" w:rsidR="003B4B85" w:rsidRPr="00662097" w:rsidRDefault="003B4B85" w:rsidP="003B4B85">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Adicionalmente, existe un costo de mantenimiento del 3.9% para fibra y 2.5% para cobre sobre el </w:t>
            </w:r>
            <w:proofErr w:type="spellStart"/>
            <w:r w:rsidRPr="00662097">
              <w:rPr>
                <w:rFonts w:ascii="Arial" w:eastAsia="Times New Roman" w:hAnsi="Arial" w:cs="Arial"/>
                <w:color w:val="000000"/>
                <w:sz w:val="16"/>
                <w:szCs w:val="16"/>
                <w:lang w:eastAsia="es-MX"/>
              </w:rPr>
              <w:t>capex</w:t>
            </w:r>
            <w:proofErr w:type="spellEnd"/>
            <w:r w:rsidRPr="00662097">
              <w:rPr>
                <w:rFonts w:ascii="Arial" w:eastAsia="Times New Roman" w:hAnsi="Arial" w:cs="Arial"/>
                <w:color w:val="000000"/>
                <w:sz w:val="16"/>
                <w:szCs w:val="16"/>
                <w:lang w:eastAsia="es-MX"/>
              </w:rPr>
              <w:t xml:space="preserve"> anual, lo que consideramos que se podría estar realizando un doble cargo del costo y </w:t>
            </w:r>
            <w:r w:rsidRPr="00662097">
              <w:rPr>
                <w:rFonts w:ascii="Arial" w:eastAsia="Times New Roman" w:hAnsi="Arial" w:cs="Arial"/>
                <w:b/>
                <w:bCs/>
                <w:color w:val="000000"/>
                <w:sz w:val="16"/>
                <w:szCs w:val="16"/>
                <w:lang w:eastAsia="es-MX"/>
              </w:rPr>
              <w:t>estar incluyendo el costo de reparación de fallas</w:t>
            </w:r>
            <w:r w:rsidRPr="00662097">
              <w:rPr>
                <w:rFonts w:ascii="Arial" w:eastAsia="Times New Roman" w:hAnsi="Arial" w:cs="Arial"/>
                <w:color w:val="000000"/>
                <w:sz w:val="16"/>
                <w:szCs w:val="16"/>
                <w:lang w:eastAsia="es-MX"/>
              </w:rPr>
              <w:t>. Si bien dichos porcentajes disminuyeron respecto al modelo anterior el cual era de 4.12%, es necesario que el IFT indique si en efecto no existe un doble cobro.</w:t>
            </w:r>
          </w:p>
          <w:p w14:paraId="3162D919" w14:textId="77777777" w:rsidR="003B4B85" w:rsidRPr="00662097" w:rsidRDefault="003B4B85" w:rsidP="003B4B85">
            <w:pPr>
              <w:autoSpaceDE w:val="0"/>
              <w:autoSpaceDN w:val="0"/>
              <w:adjustRightInd w:val="0"/>
              <w:spacing w:before="120" w:after="120" w:line="240" w:lineRule="auto"/>
              <w:rPr>
                <w:rFonts w:ascii="Arial" w:eastAsia="Times New Roman" w:hAnsi="Arial" w:cs="Arial"/>
                <w:color w:val="000000"/>
                <w:sz w:val="16"/>
                <w:szCs w:val="16"/>
                <w:u w:val="single"/>
                <w:lang w:eastAsia="es-MX"/>
              </w:rPr>
            </w:pPr>
            <w:r w:rsidRPr="00662097">
              <w:rPr>
                <w:rFonts w:ascii="Arial" w:eastAsia="Times New Roman" w:hAnsi="Arial" w:cs="Arial"/>
                <w:color w:val="000000"/>
                <w:sz w:val="16"/>
                <w:szCs w:val="16"/>
                <w:u w:val="single"/>
                <w:lang w:eastAsia="es-MX"/>
              </w:rPr>
              <w:t>Conclusiones y sugerencias</w:t>
            </w:r>
          </w:p>
          <w:p w14:paraId="0DBE523D" w14:textId="77777777" w:rsidR="003B4B85" w:rsidRPr="00662097" w:rsidRDefault="003B4B85" w:rsidP="003B4B85">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Consideramos que, como ya se mencionó en la consulta 2020, el porcentaje de fallas de red en el escenario de fibra óptica debería ser menor que 4% y el de cobre ser de 4% tal </w:t>
            </w:r>
            <w:r w:rsidRPr="00662097">
              <w:rPr>
                <w:rFonts w:ascii="Arial" w:eastAsia="Times New Roman" w:hAnsi="Arial" w:cs="Arial"/>
                <w:color w:val="000000"/>
                <w:sz w:val="16"/>
                <w:szCs w:val="16"/>
                <w:lang w:eastAsia="es-MX"/>
              </w:rPr>
              <w:lastRenderedPageBreak/>
              <w:t>como se hizo en el modelo 2018. Ya que si bien de acuerdo con el propio IFT este costo disminuyó, ello quiere decir que aún existe margen para una mayor disminución de costos.</w:t>
            </w:r>
          </w:p>
          <w:p w14:paraId="586CA87D" w14:textId="2BD6F1CD" w:rsidR="00A17489" w:rsidRPr="00662097" w:rsidRDefault="003B4B85" w:rsidP="003B4B85">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Adicionalmente, solicitamos respetuosamente al IFT que compruebe y confirme que de alguna manera se han podido desagregar los costos de reparación de fallas de los otros gastos de </w:t>
            </w:r>
            <w:proofErr w:type="spellStart"/>
            <w:r w:rsidRPr="00662097">
              <w:rPr>
                <w:rFonts w:ascii="Arial" w:eastAsia="Times New Roman" w:hAnsi="Arial" w:cs="Arial"/>
                <w:color w:val="000000"/>
                <w:sz w:val="16"/>
                <w:szCs w:val="16"/>
                <w:lang w:eastAsia="es-MX"/>
              </w:rPr>
              <w:t>opex</w:t>
            </w:r>
            <w:proofErr w:type="spellEnd"/>
            <w:r w:rsidRPr="00662097">
              <w:rPr>
                <w:rFonts w:ascii="Arial" w:eastAsia="Times New Roman" w:hAnsi="Arial" w:cs="Arial"/>
                <w:color w:val="000000"/>
                <w:sz w:val="16"/>
                <w:szCs w:val="16"/>
                <w:lang w:eastAsia="es-MX"/>
              </w:rPr>
              <w:t xml:space="preserve"> de la red dentro de sus ejercicios de calibración de manera correcta.</w:t>
            </w:r>
          </w:p>
        </w:tc>
        <w:tc>
          <w:tcPr>
            <w:tcW w:w="4536" w:type="dxa"/>
          </w:tcPr>
          <w:p w14:paraId="4617AB90" w14:textId="02D03554" w:rsidR="00ED4FF1" w:rsidRPr="00662097" w:rsidRDefault="0053599E" w:rsidP="00F53797">
            <w:pPr>
              <w:autoSpaceDE w:val="0"/>
              <w:autoSpaceDN w:val="0"/>
              <w:adjustRightInd w:val="0"/>
              <w:spacing w:before="120" w:after="120" w:line="240" w:lineRule="auto"/>
              <w:rPr>
                <w:rFonts w:ascii="Arial" w:hAnsi="Arial" w:cs="Arial"/>
                <w:sz w:val="16"/>
                <w:szCs w:val="16"/>
              </w:rPr>
            </w:pPr>
            <w:r w:rsidRPr="00662097">
              <w:rPr>
                <w:rFonts w:ascii="Arial" w:hAnsi="Arial" w:cs="Arial"/>
                <w:sz w:val="16"/>
                <w:szCs w:val="16"/>
              </w:rPr>
              <w:lastRenderedPageBreak/>
              <w:t>La UPR</w:t>
            </w:r>
            <w:r w:rsidR="00ED4FF1" w:rsidRPr="00662097">
              <w:rPr>
                <w:rFonts w:ascii="Arial" w:hAnsi="Arial" w:cs="Arial"/>
                <w:sz w:val="16"/>
                <w:szCs w:val="16"/>
              </w:rPr>
              <w:t xml:space="preserve"> revisó estos parámetros para acercarlos a la realidad operativa en México, lo que llevó estos dos parámetros a evolucionar en comparación con el modelo 2018.</w:t>
            </w:r>
          </w:p>
          <w:p w14:paraId="0AA1984E" w14:textId="2FF28ACD" w:rsidR="00ED4FF1" w:rsidRPr="00662097" w:rsidRDefault="009E6071" w:rsidP="00F53797">
            <w:pPr>
              <w:autoSpaceDE w:val="0"/>
              <w:autoSpaceDN w:val="0"/>
              <w:adjustRightInd w:val="0"/>
              <w:spacing w:before="120" w:after="120" w:line="240" w:lineRule="auto"/>
              <w:rPr>
                <w:rFonts w:ascii="Arial" w:hAnsi="Arial" w:cs="Arial"/>
                <w:sz w:val="16"/>
                <w:szCs w:val="16"/>
              </w:rPr>
            </w:pPr>
            <w:r w:rsidRPr="00662097">
              <w:rPr>
                <w:rFonts w:ascii="Arial" w:hAnsi="Arial" w:cs="Arial"/>
                <w:sz w:val="16"/>
                <w:szCs w:val="16"/>
              </w:rPr>
              <w:t xml:space="preserve">Adicionalmente, se </w:t>
            </w:r>
            <w:r w:rsidR="00ED4FF1" w:rsidRPr="00662097">
              <w:rPr>
                <w:rFonts w:ascii="Arial" w:hAnsi="Arial" w:cs="Arial"/>
                <w:sz w:val="16"/>
                <w:szCs w:val="16"/>
              </w:rPr>
              <w:t>señala que no hay doble recuento entre los gastos generales de la red y los OPEX de fallas</w:t>
            </w:r>
            <w:r w:rsidR="008312A8" w:rsidRPr="00662097">
              <w:rPr>
                <w:rFonts w:ascii="Arial" w:hAnsi="Arial" w:cs="Arial"/>
                <w:sz w:val="16"/>
                <w:szCs w:val="16"/>
              </w:rPr>
              <w:t>, dado especialmente la diferente naturaleza de los mismos</w:t>
            </w:r>
            <w:r w:rsidR="00ED4FF1" w:rsidRPr="00662097">
              <w:rPr>
                <w:rFonts w:ascii="Arial" w:hAnsi="Arial" w:cs="Arial"/>
                <w:sz w:val="16"/>
                <w:szCs w:val="16"/>
              </w:rPr>
              <w:t>.</w:t>
            </w:r>
          </w:p>
          <w:p w14:paraId="5B88AF75" w14:textId="77777777" w:rsidR="00A17489" w:rsidRPr="00662097" w:rsidRDefault="00A17489" w:rsidP="00A17489">
            <w:pPr>
              <w:autoSpaceDE w:val="0"/>
              <w:autoSpaceDN w:val="0"/>
              <w:adjustRightInd w:val="0"/>
              <w:spacing w:before="120" w:after="120" w:line="240" w:lineRule="auto"/>
              <w:rPr>
                <w:rFonts w:ascii="Arial" w:hAnsi="Arial" w:cs="Arial"/>
                <w:sz w:val="16"/>
                <w:szCs w:val="16"/>
              </w:rPr>
            </w:pPr>
          </w:p>
        </w:tc>
      </w:tr>
      <w:tr w:rsidR="00A17489" w:rsidRPr="00662097" w14:paraId="22E0C908" w14:textId="77777777" w:rsidTr="008F664E">
        <w:trPr>
          <w:trHeight w:val="20"/>
        </w:trPr>
        <w:tc>
          <w:tcPr>
            <w:tcW w:w="1271" w:type="dxa"/>
            <w:vAlign w:val="center"/>
          </w:tcPr>
          <w:p w14:paraId="4FC6C78E" w14:textId="34ED7D2B" w:rsidR="00A17489" w:rsidRPr="00662097" w:rsidRDefault="00A17489" w:rsidP="00774642">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Grupo Televisa</w:t>
            </w:r>
          </w:p>
        </w:tc>
        <w:tc>
          <w:tcPr>
            <w:tcW w:w="1843" w:type="dxa"/>
            <w:shd w:val="clear" w:color="auto" w:fill="auto"/>
            <w:vAlign w:val="center"/>
          </w:tcPr>
          <w:p w14:paraId="17E26F20" w14:textId="6CA48312" w:rsidR="00A17489" w:rsidRPr="00662097" w:rsidRDefault="003B4B85" w:rsidP="00A1748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2.5 Cálculo del Costo del Capital Promedio Ponderado (CCPP)</w:t>
            </w:r>
          </w:p>
        </w:tc>
        <w:tc>
          <w:tcPr>
            <w:tcW w:w="6379" w:type="dxa"/>
            <w:shd w:val="clear" w:color="auto" w:fill="auto"/>
            <w:vAlign w:val="center"/>
          </w:tcPr>
          <w:p w14:paraId="1893E1C7" w14:textId="77777777" w:rsidR="003B4B85" w:rsidRPr="00662097" w:rsidRDefault="003B4B85" w:rsidP="003B4B85">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Tal como se hizo para el modelo de costos de interconexión que se sometió a consulta pública este 2023, en la actualización del modelo de compartición se está empleado un CCPP para de 11.05%. En ese sentido, los comentarios vertidos en la consulta pública de modelo de interconexión son válidos para el presente caso. </w:t>
            </w:r>
          </w:p>
          <w:p w14:paraId="22AD0491" w14:textId="77777777" w:rsidR="003B4B85" w:rsidRPr="00662097" w:rsidRDefault="003B4B85" w:rsidP="003B4B85">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Hay algunos detalles que podrían robustecer la estimación y sustento del CCPP propuesto. En primera medida, si bien el Instituto, en el documento metodológico de soporte, sustentó apropiadamente la descomposición y metodología de cálculo (cuando aplica) de cada parámetro del CCPP, no presentó hay información alguna sobre las fuentes y fechas de consulta de los parámetros, restándole transparencia al ejercicio.</w:t>
            </w:r>
          </w:p>
          <w:p w14:paraId="075B2553" w14:textId="77777777" w:rsidR="003B4B85" w:rsidRPr="00662097" w:rsidRDefault="003B4B85" w:rsidP="003B4B85">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En segundo lugar, el CCPP estimado por el Instituto carece de prospección en sus elementos centrales, como lo son el costo de la deuda, el costo del </w:t>
            </w:r>
            <w:proofErr w:type="spellStart"/>
            <w:r w:rsidRPr="00662097">
              <w:rPr>
                <w:rFonts w:ascii="Arial" w:eastAsia="Times New Roman" w:hAnsi="Arial" w:cs="Arial"/>
                <w:color w:val="000000"/>
                <w:sz w:val="16"/>
                <w:szCs w:val="16"/>
                <w:lang w:eastAsia="es-MX"/>
              </w:rPr>
              <w:t>equity</w:t>
            </w:r>
            <w:proofErr w:type="spellEnd"/>
            <w:r w:rsidRPr="00662097">
              <w:rPr>
                <w:rFonts w:ascii="Arial" w:eastAsia="Times New Roman" w:hAnsi="Arial" w:cs="Arial"/>
                <w:color w:val="000000"/>
                <w:sz w:val="16"/>
                <w:szCs w:val="16"/>
                <w:lang w:eastAsia="es-MX"/>
              </w:rPr>
              <w:t xml:space="preserve"> y la inflación. Así, por ejemplo, a juicio del GTV y según las recomendaciones internacionales, variables como la inflación local e internacional deberían estar basadas en las expectativas de los agentes económicos a un horizonte de cinco años. </w:t>
            </w:r>
          </w:p>
          <w:p w14:paraId="58430E37" w14:textId="1355A7F5" w:rsidR="003B4B85" w:rsidRPr="00662097" w:rsidRDefault="003B4B85" w:rsidP="003B4B85">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En esa misma línea, los costos de la deuda y del </w:t>
            </w:r>
            <w:proofErr w:type="spellStart"/>
            <w:r w:rsidRPr="00662097">
              <w:rPr>
                <w:rFonts w:ascii="Arial" w:eastAsia="Times New Roman" w:hAnsi="Arial" w:cs="Arial"/>
                <w:color w:val="000000"/>
                <w:sz w:val="16"/>
                <w:szCs w:val="16"/>
                <w:lang w:eastAsia="es-MX"/>
              </w:rPr>
              <w:t>equity</w:t>
            </w:r>
            <w:proofErr w:type="spellEnd"/>
            <w:r w:rsidRPr="00662097">
              <w:rPr>
                <w:rFonts w:ascii="Arial" w:eastAsia="Times New Roman" w:hAnsi="Arial" w:cs="Arial"/>
                <w:color w:val="000000"/>
                <w:sz w:val="16"/>
                <w:szCs w:val="16"/>
                <w:lang w:eastAsia="es-MX"/>
              </w:rPr>
              <w:t xml:space="preserve"> para el periodo modelado no están teniendo en cuenta el advenimiento de un ciclo bajista en tasas de interés a nivel mundial. En efecto, los informes de la Reserva Federal de Estados Unidos y del Banco de México sugieren reducciones en las tasas de interés nominales para los próximos tres años hasta alcanzar los rangos neutrales</w:t>
            </w:r>
            <w:r w:rsidR="00896DDE" w:rsidRPr="00662097">
              <w:rPr>
                <w:rFonts w:ascii="Arial" w:eastAsia="Times New Roman" w:hAnsi="Arial" w:cs="Arial"/>
                <w:color w:val="000000"/>
                <w:sz w:val="16"/>
                <w:szCs w:val="16"/>
                <w:lang w:eastAsia="es-MX"/>
              </w:rPr>
              <w:t xml:space="preserve"> </w:t>
            </w:r>
            <w:r w:rsidRPr="00662097">
              <w:rPr>
                <w:rFonts w:ascii="Arial" w:eastAsia="Times New Roman" w:hAnsi="Arial" w:cs="Arial"/>
                <w:color w:val="000000"/>
                <w:sz w:val="16"/>
                <w:szCs w:val="16"/>
                <w:lang w:eastAsia="es-MX"/>
              </w:rPr>
              <w:t>(de largo plazo) del ~2.5% y del ~7.5%, respectivamente.</w:t>
            </w:r>
          </w:p>
          <w:p w14:paraId="530DA507" w14:textId="77777777" w:rsidR="003B4B85" w:rsidRPr="00662097" w:rsidRDefault="003B4B85" w:rsidP="003B4B85">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En vista de tales áreas de oportunidad, el GTV considera pertinente interiorizar esta prospectiva disminución del CCPP en el cálculo de la variable a ser imputada en los modelos. Esto se puede alcanzar mediante: i) la introducción de un CCPP móvil en el tiempo, que se ajuste año a año en función de las expectativas del costo de fondeo; o </w:t>
            </w:r>
            <w:proofErr w:type="spellStart"/>
            <w:r w:rsidRPr="00662097">
              <w:rPr>
                <w:rFonts w:ascii="Arial" w:eastAsia="Times New Roman" w:hAnsi="Arial" w:cs="Arial"/>
                <w:color w:val="000000"/>
                <w:sz w:val="16"/>
                <w:szCs w:val="16"/>
                <w:lang w:eastAsia="es-MX"/>
              </w:rPr>
              <w:t>ii</w:t>
            </w:r>
            <w:proofErr w:type="spellEnd"/>
            <w:r w:rsidRPr="00662097">
              <w:rPr>
                <w:rFonts w:ascii="Arial" w:eastAsia="Times New Roman" w:hAnsi="Arial" w:cs="Arial"/>
                <w:color w:val="000000"/>
                <w:sz w:val="16"/>
                <w:szCs w:val="16"/>
                <w:lang w:eastAsia="es-MX"/>
              </w:rPr>
              <w:t xml:space="preserve">) reduciendo el CCPP estático/único para incorporar las previsiones de disminución en el costo del </w:t>
            </w:r>
            <w:proofErr w:type="spellStart"/>
            <w:r w:rsidRPr="00662097">
              <w:rPr>
                <w:rFonts w:ascii="Arial" w:eastAsia="Times New Roman" w:hAnsi="Arial" w:cs="Arial"/>
                <w:color w:val="000000"/>
                <w:sz w:val="16"/>
                <w:szCs w:val="16"/>
                <w:lang w:eastAsia="es-MX"/>
              </w:rPr>
              <w:t>equity</w:t>
            </w:r>
            <w:proofErr w:type="spellEnd"/>
            <w:r w:rsidRPr="00662097">
              <w:rPr>
                <w:rFonts w:ascii="Arial" w:eastAsia="Times New Roman" w:hAnsi="Arial" w:cs="Arial"/>
                <w:color w:val="000000"/>
                <w:sz w:val="16"/>
                <w:szCs w:val="16"/>
                <w:lang w:eastAsia="es-MX"/>
              </w:rPr>
              <w:t xml:space="preserve"> y en el costo de la deuda.</w:t>
            </w:r>
          </w:p>
          <w:p w14:paraId="66E42D75" w14:textId="77777777" w:rsidR="003B4B85" w:rsidRPr="00662097" w:rsidRDefault="003B4B85" w:rsidP="003B4B85">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El GTV invita al IFT a introducir un CCPP móvil (o </w:t>
            </w:r>
            <w:proofErr w:type="spellStart"/>
            <w:r w:rsidRPr="00662097">
              <w:rPr>
                <w:rFonts w:ascii="Arial" w:eastAsia="Times New Roman" w:hAnsi="Arial" w:cs="Arial"/>
                <w:color w:val="000000"/>
                <w:sz w:val="16"/>
                <w:szCs w:val="16"/>
                <w:lang w:eastAsia="es-MX"/>
              </w:rPr>
              <w:t>rolling</w:t>
            </w:r>
            <w:proofErr w:type="spellEnd"/>
            <w:r w:rsidRPr="00662097">
              <w:rPr>
                <w:rFonts w:ascii="Arial" w:eastAsia="Times New Roman" w:hAnsi="Arial" w:cs="Arial"/>
                <w:color w:val="000000"/>
                <w:sz w:val="16"/>
                <w:szCs w:val="16"/>
                <w:lang w:eastAsia="es-MX"/>
              </w:rPr>
              <w:t xml:space="preserve"> WACC) para los modelos de costos, el cual capture las mejores condiciones de financiamiento, tanto vía </w:t>
            </w:r>
            <w:proofErr w:type="spellStart"/>
            <w:r w:rsidRPr="00662097">
              <w:rPr>
                <w:rFonts w:ascii="Arial" w:eastAsia="Times New Roman" w:hAnsi="Arial" w:cs="Arial"/>
                <w:color w:val="000000"/>
                <w:sz w:val="16"/>
                <w:szCs w:val="16"/>
                <w:lang w:eastAsia="es-MX"/>
              </w:rPr>
              <w:t>equity</w:t>
            </w:r>
            <w:proofErr w:type="spellEnd"/>
            <w:r w:rsidRPr="00662097">
              <w:rPr>
                <w:rFonts w:ascii="Arial" w:eastAsia="Times New Roman" w:hAnsi="Arial" w:cs="Arial"/>
                <w:color w:val="000000"/>
                <w:sz w:val="16"/>
                <w:szCs w:val="16"/>
                <w:lang w:eastAsia="es-MX"/>
              </w:rPr>
              <w:t xml:space="preserve"> como vía deuda, que se esperan para los años modelados. En su defecto, se solicita un ajuste a la baja en el CCPP estático que incorpore las reducciones esperadas en los costos de fondeo para los próximos años.</w:t>
            </w:r>
          </w:p>
          <w:p w14:paraId="64CDDE9D" w14:textId="71EF99AE" w:rsidR="00A17489" w:rsidRPr="00662097" w:rsidRDefault="003B4B85" w:rsidP="003B4B85">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Finalmente, no está demás señalar que el CCPP utilizado por el IFT es elevado, ello considerando que el AEP pertenece a un grupo de interés económico con acceso a mercados financieros en mercados financieros internacionales, lo que le permite negociar mejores condiciones de financiamiento.</w:t>
            </w:r>
          </w:p>
        </w:tc>
        <w:tc>
          <w:tcPr>
            <w:tcW w:w="4536" w:type="dxa"/>
          </w:tcPr>
          <w:p w14:paraId="48E20B85" w14:textId="79695F03" w:rsidR="00A17489" w:rsidRPr="00662097" w:rsidRDefault="00C56EF2" w:rsidP="00A17489">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hAnsi="Arial" w:cs="Arial"/>
                <w:sz w:val="16"/>
                <w:szCs w:val="16"/>
              </w:rPr>
              <w:t>Se refiere a Grupo Televisa a la posición del Instituto expresada en los procesos específicos donde se ha consultado el cálculo del CCPP.</w:t>
            </w:r>
          </w:p>
        </w:tc>
      </w:tr>
      <w:tr w:rsidR="00A17489" w:rsidRPr="00662097" w14:paraId="50E23DB2" w14:textId="77777777" w:rsidTr="008F664E">
        <w:trPr>
          <w:trHeight w:val="20"/>
        </w:trPr>
        <w:tc>
          <w:tcPr>
            <w:tcW w:w="1271" w:type="dxa"/>
            <w:vAlign w:val="center"/>
          </w:tcPr>
          <w:p w14:paraId="248CF7F9" w14:textId="15E7ABEC" w:rsidR="00A17489" w:rsidRPr="00662097" w:rsidRDefault="00A17489" w:rsidP="00774642">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lastRenderedPageBreak/>
              <w:t>Grupo Televisa</w:t>
            </w:r>
          </w:p>
        </w:tc>
        <w:tc>
          <w:tcPr>
            <w:tcW w:w="1843" w:type="dxa"/>
            <w:shd w:val="clear" w:color="auto" w:fill="auto"/>
            <w:vAlign w:val="center"/>
          </w:tcPr>
          <w:p w14:paraId="4F11CA8C" w14:textId="18775566" w:rsidR="00A17489" w:rsidRPr="00662097" w:rsidRDefault="003B4B85" w:rsidP="00A1748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2.6 Costos de diversos insumos</w:t>
            </w:r>
          </w:p>
        </w:tc>
        <w:tc>
          <w:tcPr>
            <w:tcW w:w="6379" w:type="dxa"/>
            <w:shd w:val="clear" w:color="auto" w:fill="auto"/>
            <w:vAlign w:val="center"/>
          </w:tcPr>
          <w:p w14:paraId="1393D82A" w14:textId="77777777" w:rsidR="003B4B85" w:rsidRPr="00662097" w:rsidRDefault="003B4B85" w:rsidP="00090FBE">
            <w:pPr>
              <w:spacing w:before="120" w:after="120" w:line="240" w:lineRule="auto"/>
              <w:rPr>
                <w:rFonts w:ascii="Arial" w:hAnsi="Arial" w:cs="Arial"/>
                <w:sz w:val="16"/>
                <w:szCs w:val="18"/>
                <w:u w:val="single"/>
                <w:lang w:val="es-ES_tradnl"/>
              </w:rPr>
            </w:pPr>
            <w:r w:rsidRPr="00662097">
              <w:rPr>
                <w:rFonts w:ascii="Arial" w:hAnsi="Arial" w:cs="Arial"/>
                <w:sz w:val="16"/>
                <w:szCs w:val="18"/>
                <w:u w:val="single"/>
                <w:lang w:val="es-ES_tradnl"/>
              </w:rPr>
              <w:t>Costos unitarios</w:t>
            </w:r>
          </w:p>
          <w:p w14:paraId="72C83F84" w14:textId="77777777" w:rsidR="003B4B85" w:rsidRPr="00662097" w:rsidRDefault="003B4B85" w:rsidP="00090FBE">
            <w:pPr>
              <w:spacing w:before="120" w:after="120" w:line="240" w:lineRule="auto"/>
              <w:rPr>
                <w:rFonts w:ascii="Arial" w:eastAsia="Times New Roman" w:hAnsi="Arial" w:cs="Arial"/>
                <w:color w:val="000000"/>
                <w:sz w:val="16"/>
                <w:szCs w:val="18"/>
                <w:lang w:val="es-MX" w:eastAsia="es-MX"/>
              </w:rPr>
            </w:pPr>
            <w:r w:rsidRPr="00662097">
              <w:rPr>
                <w:rFonts w:ascii="Arial" w:eastAsia="Times New Roman" w:hAnsi="Arial" w:cs="Arial"/>
                <w:color w:val="000000"/>
                <w:sz w:val="16"/>
                <w:szCs w:val="18"/>
                <w:lang w:val="es-MX" w:eastAsia="es-MX"/>
              </w:rPr>
              <w:t>En el numeral 3.3 del Documento Actualización se señala que para actualizar los costos unitarios:</w:t>
            </w:r>
          </w:p>
          <w:p w14:paraId="46B359F5" w14:textId="77777777" w:rsidR="003B4B85" w:rsidRPr="00662097" w:rsidRDefault="003B4B85" w:rsidP="00090FBE">
            <w:pPr>
              <w:autoSpaceDE w:val="0"/>
              <w:autoSpaceDN w:val="0"/>
              <w:adjustRightInd w:val="0"/>
              <w:spacing w:before="120" w:after="120" w:line="240" w:lineRule="auto"/>
              <w:ind w:left="709"/>
              <w:rPr>
                <w:rFonts w:ascii="Arial" w:hAnsi="Arial" w:cs="Arial"/>
                <w:sz w:val="16"/>
                <w:szCs w:val="18"/>
                <w:lang w:val="es-MX" w:eastAsia="es-MX"/>
              </w:rPr>
            </w:pPr>
            <w:r w:rsidRPr="00662097">
              <w:rPr>
                <w:rFonts w:ascii="Arial" w:hAnsi="Arial" w:cs="Arial"/>
                <w:sz w:val="16"/>
                <w:szCs w:val="18"/>
                <w:lang w:val="es-MX" w:eastAsia="es-MX"/>
              </w:rPr>
              <w:t xml:space="preserve">“Para la revisión de los costos unitarios, se ha solicitado información actualizada al AEP sobre los </w:t>
            </w:r>
            <w:r w:rsidRPr="00662097">
              <w:rPr>
                <w:rFonts w:ascii="Arial" w:hAnsi="Arial" w:cs="Arial"/>
                <w:b/>
                <w:sz w:val="16"/>
                <w:szCs w:val="18"/>
                <w:u w:val="single"/>
                <w:lang w:val="es-MX" w:eastAsia="es-MX"/>
              </w:rPr>
              <w:t>costos unitarios de la totalidad de los activos considerados</w:t>
            </w:r>
            <w:r w:rsidRPr="00662097">
              <w:rPr>
                <w:rFonts w:ascii="Arial" w:hAnsi="Arial" w:cs="Arial"/>
                <w:sz w:val="16"/>
                <w:szCs w:val="18"/>
                <w:lang w:val="es-MX" w:eastAsia="es-MX"/>
              </w:rPr>
              <w:t xml:space="preserve"> en el Modelo (canalizaciones, pozos, postes, cables de fibra y cobre, etc.), tomando como referencia el año de 2023.”</w:t>
            </w:r>
            <w:r w:rsidRPr="00662097">
              <w:rPr>
                <w:rStyle w:val="Refdenotaalpie"/>
                <w:rFonts w:ascii="Arial" w:hAnsi="Arial" w:cs="Arial"/>
                <w:sz w:val="16"/>
                <w:szCs w:val="18"/>
                <w:lang w:val="es-MX" w:eastAsia="es-MX"/>
              </w:rPr>
              <w:footnoteReference w:id="9"/>
            </w:r>
          </w:p>
          <w:p w14:paraId="27E3DA5C" w14:textId="26C9A1B3" w:rsidR="003B4B85" w:rsidRPr="00662097" w:rsidRDefault="003B4B85" w:rsidP="00090FBE">
            <w:pPr>
              <w:spacing w:before="120" w:after="120" w:line="240" w:lineRule="auto"/>
              <w:rPr>
                <w:rFonts w:ascii="Arial" w:eastAsia="Times New Roman" w:hAnsi="Arial" w:cs="Arial"/>
                <w:color w:val="000000"/>
                <w:sz w:val="16"/>
                <w:szCs w:val="18"/>
                <w:lang w:val="es-MX" w:eastAsia="es-MX"/>
              </w:rPr>
            </w:pPr>
            <w:r w:rsidRPr="00662097">
              <w:rPr>
                <w:rFonts w:ascii="Arial" w:eastAsia="Times New Roman" w:hAnsi="Arial" w:cs="Arial"/>
                <w:color w:val="000000"/>
                <w:sz w:val="16"/>
                <w:szCs w:val="18"/>
                <w:lang w:val="es-MX" w:eastAsia="es-MX"/>
              </w:rPr>
              <w:t>Lo anterior implica que se están considerando los costos reales del AEP, ello con el objetivo incluir en los costos unitarios su poder de negociación y los descuentos que le aplican los proveedores.</w:t>
            </w:r>
            <w:r w:rsidRPr="00662097">
              <w:rPr>
                <w:rStyle w:val="Refdenotaalpie"/>
                <w:rFonts w:ascii="Arial" w:eastAsia="Times New Roman" w:hAnsi="Arial" w:cs="Arial"/>
                <w:color w:val="000000"/>
                <w:sz w:val="16"/>
                <w:szCs w:val="18"/>
                <w:lang w:val="es-MX" w:eastAsia="es-MX"/>
              </w:rPr>
              <w:footnoteReference w:id="10"/>
            </w:r>
            <w:r w:rsidRPr="00662097">
              <w:rPr>
                <w:rFonts w:ascii="Arial" w:eastAsia="Times New Roman" w:hAnsi="Arial" w:cs="Arial"/>
                <w:color w:val="000000"/>
                <w:sz w:val="16"/>
                <w:szCs w:val="18"/>
                <w:lang w:val="es-MX" w:eastAsia="es-MX"/>
              </w:rPr>
              <w:t xml:space="preserve"> Tal intención, sin duda es correcta pero no </w:t>
            </w:r>
            <w:r w:rsidR="009B65A4" w:rsidRPr="00662097">
              <w:rPr>
                <w:rFonts w:ascii="Arial" w:eastAsia="Times New Roman" w:hAnsi="Arial" w:cs="Arial"/>
                <w:color w:val="000000"/>
                <w:sz w:val="16"/>
                <w:szCs w:val="18"/>
                <w:lang w:val="es-MX" w:eastAsia="es-MX"/>
              </w:rPr>
              <w:t xml:space="preserve">parece </w:t>
            </w:r>
            <w:r w:rsidRPr="00662097">
              <w:rPr>
                <w:rFonts w:ascii="Arial" w:eastAsia="Times New Roman" w:hAnsi="Arial" w:cs="Arial"/>
                <w:color w:val="000000"/>
                <w:sz w:val="16"/>
                <w:szCs w:val="18"/>
                <w:lang w:val="es-MX" w:eastAsia="es-MX"/>
              </w:rPr>
              <w:t>reflejarse adecuadamente en todo</w:t>
            </w:r>
            <w:r w:rsidR="00944CF2" w:rsidRPr="00662097">
              <w:rPr>
                <w:rFonts w:ascii="Arial" w:eastAsia="Times New Roman" w:hAnsi="Arial" w:cs="Arial"/>
                <w:color w:val="000000"/>
                <w:sz w:val="16"/>
                <w:szCs w:val="18"/>
                <w:lang w:val="es-MX" w:eastAsia="es-MX"/>
              </w:rPr>
              <w:t>s</w:t>
            </w:r>
            <w:r w:rsidRPr="00662097">
              <w:rPr>
                <w:rFonts w:ascii="Arial" w:eastAsia="Times New Roman" w:hAnsi="Arial" w:cs="Arial"/>
                <w:color w:val="000000"/>
                <w:sz w:val="16"/>
                <w:szCs w:val="18"/>
                <w:lang w:val="es-MX" w:eastAsia="es-MX"/>
              </w:rPr>
              <w:t xml:space="preserve"> los insumos</w:t>
            </w:r>
            <w:r w:rsidR="009B65A4" w:rsidRPr="00662097">
              <w:rPr>
                <w:rFonts w:ascii="Arial" w:eastAsia="Times New Roman" w:hAnsi="Arial" w:cs="Arial"/>
                <w:color w:val="000000"/>
                <w:sz w:val="16"/>
                <w:szCs w:val="18"/>
                <w:lang w:val="es-MX" w:eastAsia="es-MX"/>
              </w:rPr>
              <w:t xml:space="preserve"> </w:t>
            </w:r>
            <w:r w:rsidRPr="00662097">
              <w:rPr>
                <w:rFonts w:ascii="Arial" w:eastAsia="Times New Roman" w:hAnsi="Arial" w:cs="Arial"/>
                <w:color w:val="000000"/>
                <w:sz w:val="16"/>
                <w:szCs w:val="18"/>
                <w:lang w:val="es-MX" w:eastAsia="es-MX"/>
              </w:rPr>
              <w:t>incluidos en el modelo.</w:t>
            </w:r>
          </w:p>
          <w:p w14:paraId="176F6148" w14:textId="2AFF602E" w:rsidR="003B4B85" w:rsidRPr="00662097" w:rsidRDefault="003B4B85" w:rsidP="00090FBE">
            <w:pPr>
              <w:tabs>
                <w:tab w:val="left" w:pos="2304"/>
              </w:tabs>
              <w:spacing w:before="120" w:after="120" w:line="240" w:lineRule="auto"/>
              <w:rPr>
                <w:rFonts w:ascii="Arial" w:hAnsi="Arial" w:cs="Arial"/>
                <w:sz w:val="16"/>
                <w:szCs w:val="18"/>
                <w:lang w:val="es-ES_tradnl"/>
              </w:rPr>
            </w:pPr>
            <w:r w:rsidRPr="00662097">
              <w:rPr>
                <w:rFonts w:ascii="Arial" w:hAnsi="Arial" w:cs="Arial"/>
                <w:sz w:val="16"/>
                <w:szCs w:val="18"/>
                <w:lang w:val="es-ES_tradnl"/>
              </w:rPr>
              <w:t xml:space="preserve">Algunos costos unitarios presentados en el modelo no corresponden a la realidad del mercado ni de la red del AEP. Uno de los insumos proveídos por el AEP, que los CS casi no utilizan son los postes porque resultan mucho más costosos que los proveídos por la Comisión Federal de Electricidad. Y dado los valores asignados seguirán sin utilizarse, en el modelo de costos se asignan costos unitarios $2,603.12 pesos para un poste y de $3,597.25 pesos subida/aterrizaje de poste, costos que parecen muy elevados y no hace sentido si se considera que la mayor parte de los postes son de madera y no de concreto como los de la Comisión Federal de Electricidad. </w:t>
            </w:r>
          </w:p>
          <w:p w14:paraId="725F4716" w14:textId="67B21328" w:rsidR="003B4B85" w:rsidRPr="00662097" w:rsidRDefault="003B4B85" w:rsidP="00090FBE">
            <w:pPr>
              <w:autoSpaceDE w:val="0"/>
              <w:autoSpaceDN w:val="0"/>
              <w:adjustRightInd w:val="0"/>
              <w:spacing w:before="120" w:after="120" w:line="240" w:lineRule="auto"/>
              <w:rPr>
                <w:rFonts w:ascii="Arial" w:hAnsi="Arial" w:cs="Arial"/>
                <w:sz w:val="16"/>
                <w:szCs w:val="18"/>
                <w:lang w:val="es-MX"/>
              </w:rPr>
            </w:pPr>
            <w:r w:rsidRPr="00662097">
              <w:rPr>
                <w:rFonts w:ascii="Arial" w:hAnsi="Arial" w:cs="Arial"/>
                <w:sz w:val="16"/>
                <w:szCs w:val="18"/>
                <w:lang w:val="es-MX"/>
              </w:rPr>
              <w:t>En este caso, se solicita al IFT que lleve a cabo una revisión exhaustiva de los costos unitarios de inversión del modelo, para que los mismos estén alineados con los costos unitarios de otros modelos regulatorios y que reflejen el impacto de los avances tecnológicos en los costos a la baja.</w:t>
            </w:r>
          </w:p>
          <w:p w14:paraId="75F24865" w14:textId="77777777" w:rsidR="003B4B85" w:rsidRPr="00662097" w:rsidRDefault="003B4B85" w:rsidP="00090FBE">
            <w:pPr>
              <w:spacing w:before="120" w:after="120" w:line="240" w:lineRule="auto"/>
              <w:rPr>
                <w:rFonts w:ascii="Arial" w:hAnsi="Arial" w:cs="Arial"/>
                <w:sz w:val="16"/>
                <w:szCs w:val="18"/>
                <w:u w:val="single"/>
                <w:lang w:val="es-ES_tradnl"/>
              </w:rPr>
            </w:pPr>
            <w:r w:rsidRPr="00662097">
              <w:rPr>
                <w:rFonts w:ascii="Arial" w:hAnsi="Arial" w:cs="Arial"/>
                <w:sz w:val="16"/>
                <w:szCs w:val="18"/>
                <w:u w:val="single"/>
                <w:lang w:val="es-ES_tradnl"/>
              </w:rPr>
              <w:t>Costo de mano de obra y renta de espacio</w:t>
            </w:r>
          </w:p>
          <w:p w14:paraId="4EF59C68" w14:textId="08C281B1" w:rsidR="003B4B85" w:rsidRPr="00662097" w:rsidRDefault="003B4B85" w:rsidP="00090FBE">
            <w:pPr>
              <w:spacing w:before="120" w:after="120" w:line="240" w:lineRule="auto"/>
              <w:rPr>
                <w:rFonts w:ascii="Arial" w:hAnsi="Arial" w:cs="Arial"/>
                <w:sz w:val="16"/>
                <w:szCs w:val="18"/>
                <w:lang w:val="es-ES_tradnl"/>
              </w:rPr>
            </w:pPr>
            <w:r w:rsidRPr="00662097">
              <w:rPr>
                <w:rFonts w:ascii="Arial" w:hAnsi="Arial" w:cs="Arial"/>
                <w:sz w:val="16"/>
                <w:szCs w:val="18"/>
                <w:lang w:val="es-ES_tradnl"/>
              </w:rPr>
              <w:t xml:space="preserve">El en Documento Metodológico de Actualización del Modelo Integral de Red de Acceso Fija, sección 3.7 Otros parámetros se destaca el cambio de costos de insumos como la mano de obra y la renta de espacio en central, dichos cambios se ilustran a continuación: </w:t>
            </w:r>
          </w:p>
          <w:p w14:paraId="3F7E1AA6" w14:textId="77777777" w:rsidR="003B4B85" w:rsidRPr="00662097" w:rsidRDefault="003B4B85" w:rsidP="00090FBE">
            <w:pPr>
              <w:tabs>
                <w:tab w:val="left" w:pos="1741"/>
              </w:tabs>
              <w:spacing w:before="120" w:after="120" w:line="240" w:lineRule="auto"/>
              <w:jc w:val="center"/>
              <w:rPr>
                <w:rFonts w:ascii="Arial" w:hAnsi="Arial" w:cs="Arial"/>
                <w:sz w:val="16"/>
                <w:szCs w:val="18"/>
                <w:lang w:val="es-ES_tradnl"/>
              </w:rPr>
            </w:pPr>
            <w:r w:rsidRPr="00662097">
              <w:rPr>
                <w:rFonts w:ascii="Arial" w:hAnsi="Arial" w:cs="Arial"/>
                <w:noProof/>
                <w:sz w:val="16"/>
                <w:szCs w:val="18"/>
                <w:lang w:eastAsia="es-MX"/>
              </w:rPr>
              <w:drawing>
                <wp:inline distT="0" distB="0" distL="0" distR="0" wp14:anchorId="0B03D749" wp14:editId="7EDF984C">
                  <wp:extent cx="3673095" cy="609600"/>
                  <wp:effectExtent l="0" t="0" r="3810" b="0"/>
                  <wp:docPr id="1356411922" name="Picture 1356411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81122" cy="610932"/>
                          </a:xfrm>
                          <a:prstGeom prst="rect">
                            <a:avLst/>
                          </a:prstGeom>
                        </pic:spPr>
                      </pic:pic>
                    </a:graphicData>
                  </a:graphic>
                </wp:inline>
              </w:drawing>
            </w:r>
          </w:p>
          <w:p w14:paraId="674A3F22" w14:textId="77777777" w:rsidR="003B4B85" w:rsidRPr="00662097" w:rsidRDefault="003B4B85" w:rsidP="00090FBE">
            <w:pPr>
              <w:tabs>
                <w:tab w:val="left" w:pos="1741"/>
              </w:tabs>
              <w:spacing w:before="120" w:after="120" w:line="240" w:lineRule="auto"/>
              <w:jc w:val="center"/>
              <w:rPr>
                <w:rFonts w:ascii="Arial" w:hAnsi="Arial" w:cs="Arial"/>
                <w:sz w:val="16"/>
                <w:szCs w:val="18"/>
                <w:lang w:val="es-ES_tradnl"/>
              </w:rPr>
            </w:pPr>
            <w:r w:rsidRPr="00662097">
              <w:rPr>
                <w:rFonts w:ascii="Arial" w:hAnsi="Arial" w:cs="Arial"/>
                <w:noProof/>
                <w:sz w:val="16"/>
                <w:szCs w:val="18"/>
                <w:lang w:val="es-ES_tradnl"/>
              </w:rPr>
              <w:drawing>
                <wp:inline distT="0" distB="0" distL="0" distR="0" wp14:anchorId="5AE220FD" wp14:editId="126EF35C">
                  <wp:extent cx="3871919" cy="714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51923" cy="729136"/>
                          </a:xfrm>
                          <a:prstGeom prst="rect">
                            <a:avLst/>
                          </a:prstGeom>
                        </pic:spPr>
                      </pic:pic>
                    </a:graphicData>
                  </a:graphic>
                </wp:inline>
              </w:drawing>
            </w:r>
          </w:p>
          <w:p w14:paraId="089AE4B7" w14:textId="77777777" w:rsidR="003B4B85" w:rsidRPr="00662097" w:rsidRDefault="003B4B85" w:rsidP="00090FBE">
            <w:pPr>
              <w:autoSpaceDE w:val="0"/>
              <w:autoSpaceDN w:val="0"/>
              <w:adjustRightInd w:val="0"/>
              <w:spacing w:before="120" w:after="120" w:line="240" w:lineRule="auto"/>
              <w:rPr>
                <w:rFonts w:ascii="Arial" w:hAnsi="Arial" w:cs="Arial"/>
                <w:sz w:val="16"/>
                <w:szCs w:val="18"/>
                <w:lang w:val="es-MX" w:eastAsia="es-MX"/>
              </w:rPr>
            </w:pPr>
            <w:r w:rsidRPr="00662097">
              <w:rPr>
                <w:rFonts w:ascii="Arial" w:hAnsi="Arial" w:cs="Arial"/>
                <w:sz w:val="16"/>
                <w:szCs w:val="18"/>
                <w:lang w:val="es-MX" w:eastAsia="es-MX"/>
              </w:rPr>
              <w:lastRenderedPageBreak/>
              <w:t>En el primer caso, el IFT requirió al AEP el costo de la mano de obra, el valor de dicha variable aumentó en 10% respecto al valor utilizado en el modelo previo. En el caso de la renta de espacio el valor urbano aumentó en 40%, mientras que el valor rural lo hizo en casi 200%.</w:t>
            </w:r>
          </w:p>
          <w:p w14:paraId="232228C4" w14:textId="71F81D1D" w:rsidR="003B4B85" w:rsidRPr="00662097" w:rsidRDefault="003B4B85" w:rsidP="00090FBE">
            <w:pPr>
              <w:autoSpaceDE w:val="0"/>
              <w:autoSpaceDN w:val="0"/>
              <w:adjustRightInd w:val="0"/>
              <w:spacing w:before="120" w:after="120" w:line="240" w:lineRule="auto"/>
              <w:rPr>
                <w:rFonts w:ascii="Arial" w:hAnsi="Arial" w:cs="Arial"/>
                <w:sz w:val="16"/>
                <w:szCs w:val="18"/>
                <w:lang w:val="es-MX"/>
              </w:rPr>
            </w:pPr>
            <w:r w:rsidRPr="00662097">
              <w:rPr>
                <w:rFonts w:ascii="Arial" w:hAnsi="Arial" w:cs="Arial"/>
                <w:sz w:val="16"/>
                <w:szCs w:val="18"/>
                <w:lang w:val="es-MX"/>
              </w:rPr>
              <w:t xml:space="preserve">En este contexto, se solicita al IFT que al igual que en el caso de los costos unitarios, realice una revisión exhaustiva de los costos incluidos, dado que el aumento en los diversos costos que alimentan el modelo sin considerar si los mismos realmente reflejan la situación de mercado y no sólo las condiciones </w:t>
            </w:r>
            <w:r w:rsidR="009C5F3D" w:rsidRPr="00662097">
              <w:rPr>
                <w:rFonts w:ascii="Arial" w:hAnsi="Arial" w:cs="Arial"/>
                <w:sz w:val="16"/>
                <w:szCs w:val="18"/>
                <w:lang w:val="es-MX"/>
              </w:rPr>
              <w:t>específicas</w:t>
            </w:r>
            <w:r w:rsidRPr="00662097">
              <w:rPr>
                <w:rFonts w:ascii="Arial" w:hAnsi="Arial" w:cs="Arial"/>
                <w:sz w:val="16"/>
                <w:szCs w:val="18"/>
                <w:lang w:val="es-MX"/>
              </w:rPr>
              <w:t xml:space="preserve"> del AEP eliminan gran parte de los beneficios de los modelos de costos incrementales. </w:t>
            </w:r>
          </w:p>
          <w:p w14:paraId="78943473" w14:textId="5681D200" w:rsidR="00A17489" w:rsidRPr="00662097" w:rsidRDefault="003B4B85" w:rsidP="00090FBE">
            <w:pPr>
              <w:spacing w:before="120" w:after="120" w:line="240" w:lineRule="auto"/>
              <w:rPr>
                <w:rFonts w:ascii="Arial" w:hAnsi="Arial" w:cs="Arial"/>
                <w:sz w:val="16"/>
                <w:szCs w:val="18"/>
                <w:lang w:val="es-MX"/>
              </w:rPr>
            </w:pPr>
            <w:r w:rsidRPr="00662097">
              <w:rPr>
                <w:rFonts w:ascii="Arial" w:hAnsi="Arial" w:cs="Arial"/>
                <w:sz w:val="16"/>
                <w:szCs w:val="18"/>
                <w:lang w:val="es-MX"/>
              </w:rPr>
              <w:t>El incremento de varios de los insumos que alimentan el modelo sin considerar las eficiencias y ahorros generados por los avances tecnológicos sólo beneficia al AEP al permitirle transferir sus ineficiencias a los CS, mediante las tarifas de lo</w:t>
            </w:r>
            <w:r w:rsidR="009C5F3D" w:rsidRPr="00662097">
              <w:rPr>
                <w:rFonts w:ascii="Arial" w:hAnsi="Arial" w:cs="Arial"/>
                <w:sz w:val="16"/>
                <w:szCs w:val="18"/>
                <w:lang w:val="es-MX"/>
              </w:rPr>
              <w:t>s</w:t>
            </w:r>
            <w:r w:rsidRPr="00662097">
              <w:rPr>
                <w:rFonts w:ascii="Arial" w:hAnsi="Arial" w:cs="Arial"/>
                <w:sz w:val="16"/>
                <w:szCs w:val="18"/>
                <w:lang w:val="es-MX"/>
              </w:rPr>
              <w:t xml:space="preserve"> servicios mayoristas más elevadas. </w:t>
            </w:r>
          </w:p>
        </w:tc>
        <w:tc>
          <w:tcPr>
            <w:tcW w:w="4536" w:type="dxa"/>
          </w:tcPr>
          <w:p w14:paraId="79735339" w14:textId="77777777" w:rsidR="00A17489" w:rsidRPr="00662097" w:rsidRDefault="00DC6607" w:rsidP="00A17489">
            <w:pPr>
              <w:autoSpaceDE w:val="0"/>
              <w:autoSpaceDN w:val="0"/>
              <w:adjustRightInd w:val="0"/>
              <w:spacing w:before="120" w:after="120" w:line="240" w:lineRule="auto"/>
              <w:rPr>
                <w:rFonts w:ascii="Arial" w:eastAsia="Times New Roman" w:hAnsi="Arial" w:cs="Arial"/>
                <w:color w:val="000000"/>
                <w:sz w:val="16"/>
                <w:szCs w:val="16"/>
                <w:u w:val="single"/>
                <w:lang w:eastAsia="es-MX"/>
              </w:rPr>
            </w:pPr>
            <w:r w:rsidRPr="00662097">
              <w:rPr>
                <w:rFonts w:ascii="Arial" w:eastAsia="Times New Roman" w:hAnsi="Arial" w:cs="Arial"/>
                <w:color w:val="000000"/>
                <w:sz w:val="16"/>
                <w:szCs w:val="16"/>
                <w:u w:val="single"/>
                <w:lang w:eastAsia="es-MX"/>
              </w:rPr>
              <w:lastRenderedPageBreak/>
              <w:t>Costos unitarios</w:t>
            </w:r>
          </w:p>
          <w:p w14:paraId="75FD4EDF" w14:textId="78CEEE6A" w:rsidR="00553A2C" w:rsidRPr="00662097" w:rsidRDefault="00553A2C" w:rsidP="00553A2C">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Se señala que toda la información de CAPEX unitarios facilitada por parte del AEP ha sido revisada y comparada con datos de referencia internacionales para garantizar que la misma es apropiada y </w:t>
            </w:r>
            <w:r w:rsidR="0047641D" w:rsidRPr="00662097">
              <w:rPr>
                <w:rFonts w:ascii="Arial" w:eastAsia="Times New Roman" w:hAnsi="Arial" w:cs="Arial"/>
                <w:color w:val="000000"/>
                <w:sz w:val="16"/>
                <w:szCs w:val="16"/>
                <w:lang w:eastAsia="es-MX"/>
              </w:rPr>
              <w:t xml:space="preserve">que se </w:t>
            </w:r>
            <w:r w:rsidRPr="00662097">
              <w:rPr>
                <w:rFonts w:ascii="Arial" w:eastAsia="Times New Roman" w:hAnsi="Arial" w:cs="Arial"/>
                <w:color w:val="000000"/>
                <w:sz w:val="16"/>
                <w:szCs w:val="16"/>
                <w:lang w:eastAsia="es-MX"/>
              </w:rPr>
              <w:t>encuentr</w:t>
            </w:r>
            <w:r w:rsidR="0047641D" w:rsidRPr="00662097">
              <w:rPr>
                <w:rFonts w:ascii="Arial" w:eastAsia="Times New Roman" w:hAnsi="Arial" w:cs="Arial"/>
                <w:color w:val="000000"/>
                <w:sz w:val="16"/>
                <w:szCs w:val="16"/>
                <w:lang w:eastAsia="es-MX"/>
              </w:rPr>
              <w:t>e</w:t>
            </w:r>
            <w:r w:rsidRPr="00662097">
              <w:rPr>
                <w:rFonts w:ascii="Arial" w:eastAsia="Times New Roman" w:hAnsi="Arial" w:cs="Arial"/>
                <w:color w:val="000000"/>
                <w:sz w:val="16"/>
                <w:szCs w:val="16"/>
                <w:lang w:eastAsia="es-MX"/>
              </w:rPr>
              <w:t xml:space="preserve"> alineada con valores de mercado. </w:t>
            </w:r>
          </w:p>
          <w:p w14:paraId="359D3F63" w14:textId="0AE9ADE7" w:rsidR="00F53797" w:rsidRPr="00662097" w:rsidRDefault="00F53797" w:rsidP="00553A2C">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De manera complementaria, respecto a la comparativa del cálculo de tarifas de postes que se estiman para la Comisión Federal de Electricidad y para el AEP, resulta importante mencionar lo siguiente:</w:t>
            </w:r>
          </w:p>
          <w:p w14:paraId="1E5C66B8" w14:textId="586A8C09" w:rsidR="00F53797" w:rsidRPr="00662097" w:rsidRDefault="00F53797" w:rsidP="00F53797">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En el caso del </w:t>
            </w:r>
            <w:r w:rsidR="00BF5766" w:rsidRPr="00662097">
              <w:rPr>
                <w:rFonts w:ascii="Arial" w:eastAsia="Times New Roman" w:hAnsi="Arial" w:cs="Arial"/>
                <w:color w:val="000000"/>
                <w:sz w:val="16"/>
                <w:szCs w:val="16"/>
                <w:lang w:eastAsia="es-MX"/>
              </w:rPr>
              <w:t>AEP</w:t>
            </w:r>
            <w:r w:rsidRPr="00662097">
              <w:rPr>
                <w:rFonts w:ascii="Arial" w:eastAsia="Times New Roman" w:hAnsi="Arial" w:cs="Arial"/>
                <w:color w:val="000000"/>
                <w:sz w:val="16"/>
                <w:szCs w:val="16"/>
                <w:lang w:eastAsia="es-MX"/>
              </w:rPr>
              <w:t>, la tarifa se determina con base en costos incrementales promedio de largo plazo, en función de la capacidad de carga del poste medida en kilogramos-fuerza (tensión total soportada). Depende de los activos de remplazo para una red de telecomunicaciones.</w:t>
            </w:r>
          </w:p>
          <w:p w14:paraId="41C13F39" w14:textId="34FDD12A" w:rsidR="00F53797" w:rsidRPr="00662097" w:rsidRDefault="00F53797" w:rsidP="00F53797">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Por su parte, la tarifa de postes para la Comisión Federal de Electricidad determina la tarifa con base en un criterio de proporcionalidad del costo de un poste, en función del peso del cable (250 Kg / km como límite máximo). Depende de los activos de remplazo para una red eléctrica.</w:t>
            </w:r>
          </w:p>
          <w:p w14:paraId="084E12C6" w14:textId="479E70C3" w:rsidR="00BF5766" w:rsidRPr="00662097" w:rsidRDefault="00BF5766" w:rsidP="00F53797">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En efecto, </w:t>
            </w:r>
            <w:r w:rsidR="00926591" w:rsidRPr="00662097">
              <w:rPr>
                <w:rFonts w:ascii="Arial" w:eastAsia="Times New Roman" w:hAnsi="Arial" w:cs="Arial"/>
                <w:color w:val="000000"/>
                <w:sz w:val="16"/>
                <w:szCs w:val="16"/>
                <w:lang w:eastAsia="es-MX"/>
              </w:rPr>
              <w:t xml:space="preserve">en </w:t>
            </w:r>
            <w:r w:rsidRPr="00662097">
              <w:rPr>
                <w:rFonts w:ascii="Arial" w:eastAsia="Times New Roman" w:hAnsi="Arial" w:cs="Arial"/>
                <w:color w:val="000000"/>
                <w:sz w:val="16"/>
                <w:szCs w:val="16"/>
                <w:lang w:eastAsia="es-MX"/>
              </w:rPr>
              <w:t xml:space="preserve">la metodología del Instituto la variable principal que influye en la tarifa es el diámetro del cable, ya que se toma en consideración la presión </w:t>
            </w:r>
            <w:r w:rsidR="00926591" w:rsidRPr="00662097">
              <w:rPr>
                <w:rFonts w:ascii="Arial" w:eastAsia="Times New Roman" w:hAnsi="Arial" w:cs="Arial"/>
                <w:color w:val="000000"/>
                <w:sz w:val="16"/>
                <w:szCs w:val="16"/>
                <w:lang w:eastAsia="es-MX"/>
              </w:rPr>
              <w:t xml:space="preserve">que </w:t>
            </w:r>
            <w:r w:rsidRPr="00662097">
              <w:rPr>
                <w:rFonts w:ascii="Arial" w:eastAsia="Times New Roman" w:hAnsi="Arial" w:cs="Arial"/>
                <w:color w:val="000000"/>
                <w:sz w:val="16"/>
                <w:szCs w:val="16"/>
                <w:lang w:eastAsia="es-MX"/>
              </w:rPr>
              <w:t>ejerce el viento (que aumenta la tensión). En contraste, en la metodología para la Comisión Federal de Electricidad la variable fundamental en el pago por el acceso al poste es el peso bruto del cable.</w:t>
            </w:r>
          </w:p>
          <w:p w14:paraId="571D49D0" w14:textId="77777777" w:rsidR="00961422" w:rsidRPr="00662097" w:rsidRDefault="00961422" w:rsidP="00961422">
            <w:pPr>
              <w:autoSpaceDE w:val="0"/>
              <w:autoSpaceDN w:val="0"/>
              <w:adjustRightInd w:val="0"/>
              <w:spacing w:before="120" w:after="120" w:line="240" w:lineRule="auto"/>
              <w:rPr>
                <w:rFonts w:ascii="Arial" w:eastAsia="Times New Roman" w:hAnsi="Arial" w:cs="Arial"/>
                <w:color w:val="000000"/>
                <w:sz w:val="16"/>
                <w:szCs w:val="16"/>
                <w:u w:val="single"/>
                <w:lang w:eastAsia="es-MX"/>
              </w:rPr>
            </w:pPr>
            <w:r w:rsidRPr="00662097">
              <w:rPr>
                <w:rFonts w:ascii="Arial" w:eastAsia="Times New Roman" w:hAnsi="Arial" w:cs="Arial"/>
                <w:color w:val="000000"/>
                <w:sz w:val="16"/>
                <w:szCs w:val="16"/>
                <w:u w:val="single"/>
                <w:lang w:eastAsia="es-MX"/>
              </w:rPr>
              <w:t>Costo de mano de obra y renta de espacio</w:t>
            </w:r>
          </w:p>
          <w:p w14:paraId="66352789" w14:textId="182548D9" w:rsidR="009C5F3D" w:rsidRPr="00662097" w:rsidRDefault="009C5F3D" w:rsidP="009C5F3D">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En el caso de la variación del costo de la mano de obra, se ha considerado apropiado y conservador asumir un crecimiento cercano al 10%, dado que, si se compara con las estadísticas de salarios </w:t>
            </w:r>
            <w:r w:rsidR="0096600D" w:rsidRPr="00662097">
              <w:rPr>
                <w:rFonts w:ascii="Arial" w:eastAsia="Times New Roman" w:hAnsi="Arial" w:cs="Arial"/>
                <w:color w:val="000000"/>
                <w:sz w:val="16"/>
                <w:szCs w:val="16"/>
                <w:lang w:eastAsia="es-MX"/>
              </w:rPr>
              <w:t xml:space="preserve">en México </w:t>
            </w:r>
            <w:r w:rsidRPr="00662097">
              <w:rPr>
                <w:rFonts w:ascii="Arial" w:eastAsia="Times New Roman" w:hAnsi="Arial" w:cs="Arial"/>
                <w:color w:val="000000"/>
                <w:sz w:val="16"/>
                <w:szCs w:val="16"/>
                <w:lang w:eastAsia="es-MX"/>
              </w:rPr>
              <w:t xml:space="preserve">entre los años 2020 y 2023, los mismos han presentado incrementos cercanos al 20%, es decir, considerablemente </w:t>
            </w:r>
            <w:r w:rsidR="0096600D" w:rsidRPr="00662097">
              <w:rPr>
                <w:rFonts w:ascii="Arial" w:eastAsia="Times New Roman" w:hAnsi="Arial" w:cs="Arial"/>
                <w:color w:val="000000"/>
                <w:sz w:val="16"/>
                <w:szCs w:val="16"/>
                <w:lang w:eastAsia="es-MX"/>
              </w:rPr>
              <w:t xml:space="preserve">superiores </w:t>
            </w:r>
            <w:r w:rsidRPr="00662097">
              <w:rPr>
                <w:rFonts w:ascii="Arial" w:eastAsia="Times New Roman" w:hAnsi="Arial" w:cs="Arial"/>
                <w:color w:val="000000"/>
                <w:sz w:val="16"/>
                <w:szCs w:val="16"/>
                <w:lang w:eastAsia="es-MX"/>
              </w:rPr>
              <w:t>al del Modelo Integral. Esta variación puede comprobarse en la siguiente liga del Gobierno de México:</w:t>
            </w:r>
          </w:p>
          <w:p w14:paraId="2BF5AF36" w14:textId="47F01179" w:rsidR="009C5F3D" w:rsidRPr="00662097" w:rsidRDefault="00EA2F13" w:rsidP="009C5F3D">
            <w:pPr>
              <w:autoSpaceDE w:val="0"/>
              <w:autoSpaceDN w:val="0"/>
              <w:adjustRightInd w:val="0"/>
              <w:spacing w:before="120" w:after="120" w:line="240" w:lineRule="auto"/>
              <w:rPr>
                <w:rFonts w:ascii="Arial" w:eastAsia="Times New Roman" w:hAnsi="Arial" w:cs="Arial"/>
                <w:color w:val="000000"/>
                <w:sz w:val="16"/>
                <w:szCs w:val="16"/>
                <w:lang w:eastAsia="es-MX"/>
              </w:rPr>
            </w:pPr>
            <w:hyperlink r:id="rId21" w:history="1">
              <w:r w:rsidR="009C5F3D" w:rsidRPr="00662097">
                <w:rPr>
                  <w:rStyle w:val="Hipervnculo"/>
                  <w:rFonts w:ascii="Arial" w:eastAsia="Times New Roman" w:hAnsi="Arial" w:cs="Arial"/>
                  <w:sz w:val="16"/>
                  <w:szCs w:val="16"/>
                  <w:lang w:eastAsia="es-MX"/>
                </w:rPr>
                <w:t>https://www.economia.gob.mx/datamexico/es/profile/occupation/profesionistas-y-tecnicos?employSelector1=salaryOption&amp;typeJob1=totalOption</w:t>
              </w:r>
            </w:hyperlink>
          </w:p>
          <w:p w14:paraId="68AD0694" w14:textId="724CA9B6" w:rsidR="009C5F3D" w:rsidRPr="00662097" w:rsidRDefault="009C5F3D" w:rsidP="009C5F3D">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hAnsi="Arial" w:cs="Arial"/>
                <w:sz w:val="16"/>
                <w:szCs w:val="16"/>
                <w:lang w:eastAsia="es-MX"/>
              </w:rPr>
              <w:lastRenderedPageBreak/>
              <w:t xml:space="preserve">En el caso de la variación de los costos de renta de espacio, tal y como se señala en el Documento de Actualización, se ha considerado adecuado </w:t>
            </w:r>
            <w:proofErr w:type="gramStart"/>
            <w:r w:rsidRPr="00662097">
              <w:rPr>
                <w:rFonts w:ascii="Arial" w:hAnsi="Arial" w:cs="Arial"/>
                <w:sz w:val="16"/>
                <w:szCs w:val="16"/>
                <w:lang w:eastAsia="es-MX"/>
              </w:rPr>
              <w:t xml:space="preserve">emplear </w:t>
            </w:r>
            <w:r w:rsidRPr="00662097">
              <w:rPr>
                <w:rFonts w:ascii="Arial" w:hAnsi="Arial" w:cs="Arial"/>
                <w:i/>
                <w:iCs/>
                <w:sz w:val="16"/>
                <w:szCs w:val="16"/>
                <w:lang w:eastAsia="es-MX"/>
              </w:rPr>
              <w:t>”el</w:t>
            </w:r>
            <w:proofErr w:type="gramEnd"/>
            <w:r w:rsidRPr="00662097">
              <w:rPr>
                <w:rFonts w:ascii="Arial" w:hAnsi="Arial" w:cs="Arial"/>
                <w:i/>
                <w:iCs/>
                <w:sz w:val="16"/>
                <w:szCs w:val="16"/>
                <w:lang w:eastAsia="es-MX"/>
              </w:rPr>
              <w:t xml:space="preserve"> valor regulado en el acuerdo P/IFT/261022/533  en el que el Instituto establece las Condiciones Técnicas Mínimas para la interconexión entre concesionarios”.</w:t>
            </w:r>
            <w:r w:rsidRPr="00662097">
              <w:rPr>
                <w:rFonts w:ascii="Arial" w:hAnsi="Arial" w:cs="Arial"/>
                <w:sz w:val="16"/>
                <w:szCs w:val="16"/>
                <w:lang w:eastAsia="es-MX"/>
              </w:rPr>
              <w:t xml:space="preserve"> A este respecto, cabe señalar que dichos valores no habían sido actualizados desde el año 2018, cuando se desarrolló por primera vez el Modelo, y se considera por tanto que los nuevos valores reflejan de manera fiel la operativa actual de México. </w:t>
            </w:r>
          </w:p>
        </w:tc>
      </w:tr>
      <w:tr w:rsidR="00A17489" w:rsidRPr="00662097" w14:paraId="33A3A379" w14:textId="77777777" w:rsidTr="008F664E">
        <w:trPr>
          <w:trHeight w:val="20"/>
        </w:trPr>
        <w:tc>
          <w:tcPr>
            <w:tcW w:w="1271" w:type="dxa"/>
            <w:vAlign w:val="center"/>
          </w:tcPr>
          <w:p w14:paraId="1265BF04" w14:textId="73BB3348" w:rsidR="00A17489" w:rsidRPr="00662097" w:rsidRDefault="00A17489" w:rsidP="00774642">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lastRenderedPageBreak/>
              <w:t>Grupo Televisa</w:t>
            </w:r>
          </w:p>
        </w:tc>
        <w:tc>
          <w:tcPr>
            <w:tcW w:w="1843" w:type="dxa"/>
            <w:shd w:val="clear" w:color="auto" w:fill="auto"/>
            <w:vAlign w:val="center"/>
          </w:tcPr>
          <w:p w14:paraId="645DBEC3" w14:textId="45F84ED4" w:rsidR="00A17489" w:rsidRPr="00662097" w:rsidRDefault="008E2592" w:rsidP="00A1748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3.1 Insumos de postes</w:t>
            </w:r>
          </w:p>
        </w:tc>
        <w:tc>
          <w:tcPr>
            <w:tcW w:w="6379" w:type="dxa"/>
            <w:shd w:val="clear" w:color="auto" w:fill="auto"/>
            <w:vAlign w:val="center"/>
          </w:tcPr>
          <w:p w14:paraId="413BDE71" w14:textId="77777777" w:rsidR="008E2592" w:rsidRPr="00662097" w:rsidRDefault="008E2592" w:rsidP="00701A90">
            <w:pPr>
              <w:pStyle w:val="Ttulo4"/>
              <w:numPr>
                <w:ilvl w:val="0"/>
                <w:numId w:val="0"/>
              </w:numPr>
              <w:spacing w:before="120" w:after="120" w:line="240" w:lineRule="auto"/>
              <w:jc w:val="left"/>
              <w:rPr>
                <w:rFonts w:ascii="Arial" w:hAnsi="Arial" w:cs="Arial"/>
                <w:b w:val="0"/>
                <w:bCs/>
                <w:sz w:val="16"/>
                <w:szCs w:val="16"/>
                <w:u w:val="single"/>
                <w:lang w:val="es-ES_tradnl"/>
              </w:rPr>
            </w:pPr>
            <w:r w:rsidRPr="00662097">
              <w:rPr>
                <w:rFonts w:ascii="Arial" w:hAnsi="Arial" w:cs="Arial"/>
                <w:b w:val="0"/>
                <w:bCs/>
                <w:sz w:val="16"/>
                <w:szCs w:val="16"/>
                <w:u w:val="single"/>
                <w:lang w:val="es-ES_tradnl"/>
              </w:rPr>
              <w:t>Contexto</w:t>
            </w:r>
          </w:p>
          <w:p w14:paraId="30D17C9A" w14:textId="77777777" w:rsidR="008E2592" w:rsidRPr="00662097" w:rsidRDefault="008E2592" w:rsidP="00701A90">
            <w:pPr>
              <w:spacing w:before="120" w:after="120" w:line="240" w:lineRule="auto"/>
              <w:rPr>
                <w:rFonts w:ascii="Arial" w:hAnsi="Arial" w:cs="Arial"/>
                <w:sz w:val="16"/>
                <w:szCs w:val="16"/>
                <w:lang w:val="es-ES_tradnl"/>
              </w:rPr>
            </w:pPr>
            <w:r w:rsidRPr="00662097">
              <w:rPr>
                <w:rFonts w:ascii="Arial" w:hAnsi="Arial" w:cs="Arial"/>
                <w:sz w:val="16"/>
                <w:szCs w:val="16"/>
                <w:lang w:val="es-ES_tradnl"/>
              </w:rPr>
              <w:t>La tarifa de uso por kilogramo de fuerza ejercida en poste se calcula utilizando tres factores diferentes:</w:t>
            </w:r>
          </w:p>
          <w:p w14:paraId="6FA5FAD5" w14:textId="77777777" w:rsidR="008E2592" w:rsidRPr="00662097" w:rsidRDefault="008E2592" w:rsidP="00570AFE">
            <w:pPr>
              <w:pStyle w:val="TableListBullet"/>
              <w:numPr>
                <w:ilvl w:val="0"/>
                <w:numId w:val="21"/>
              </w:numPr>
              <w:rPr>
                <w:rFonts w:ascii="Arial" w:hAnsi="Arial" w:cs="Arial"/>
                <w:lang w:val="es-ES_tradnl"/>
              </w:rPr>
            </w:pPr>
            <w:r w:rsidRPr="00662097">
              <w:rPr>
                <w:rFonts w:ascii="Arial" w:hAnsi="Arial" w:cs="Arial"/>
                <w:lang w:val="es-ES_tradnl"/>
              </w:rPr>
              <w:t>La tensión máxima promedio por poste. Esta es estimada utilizando el promedio de los postes más comunes en la red del AEP (madera, acero y hormigón) según la ORCI.</w:t>
            </w:r>
          </w:p>
          <w:p w14:paraId="4D94A3E1" w14:textId="77777777" w:rsidR="008E2592" w:rsidRPr="00662097" w:rsidRDefault="008E2592" w:rsidP="00570AFE">
            <w:pPr>
              <w:pStyle w:val="TableListBullet"/>
              <w:numPr>
                <w:ilvl w:val="0"/>
                <w:numId w:val="21"/>
              </w:numPr>
              <w:rPr>
                <w:rFonts w:ascii="Arial" w:hAnsi="Arial" w:cs="Arial"/>
                <w:lang w:val="es-ES_tradnl"/>
              </w:rPr>
            </w:pPr>
            <w:r w:rsidRPr="00662097">
              <w:rPr>
                <w:rFonts w:ascii="Arial" w:hAnsi="Arial" w:cs="Arial"/>
                <w:lang w:val="es-ES_tradnl"/>
              </w:rPr>
              <w:t>Factor de utilización de postes. Este factor se ha reusado del modelo de acceso fijo anterior.</w:t>
            </w:r>
          </w:p>
          <w:p w14:paraId="5A5FDB29" w14:textId="77777777" w:rsidR="008E2592" w:rsidRPr="00662097" w:rsidRDefault="008E2592" w:rsidP="00570AFE">
            <w:pPr>
              <w:pStyle w:val="TableListBullet"/>
              <w:numPr>
                <w:ilvl w:val="0"/>
                <w:numId w:val="21"/>
              </w:numPr>
              <w:rPr>
                <w:rFonts w:ascii="Arial" w:hAnsi="Arial" w:cs="Arial"/>
                <w:lang w:val="es-ES_tradnl"/>
              </w:rPr>
            </w:pPr>
            <w:r w:rsidRPr="00662097">
              <w:rPr>
                <w:rFonts w:ascii="Arial" w:hAnsi="Arial" w:cs="Arial"/>
                <w:lang w:val="es-ES_tradnl"/>
              </w:rPr>
              <w:t>Factor de demanda de modelado.</w:t>
            </w:r>
          </w:p>
          <w:p w14:paraId="110AA63C" w14:textId="77777777" w:rsidR="008E2592" w:rsidRPr="00662097" w:rsidRDefault="008E2592" w:rsidP="00701A90">
            <w:pPr>
              <w:pStyle w:val="TableListBullet"/>
              <w:numPr>
                <w:ilvl w:val="0"/>
                <w:numId w:val="0"/>
              </w:numPr>
              <w:ind w:left="227"/>
              <w:rPr>
                <w:rFonts w:ascii="Arial" w:hAnsi="Arial" w:cs="Arial"/>
                <w:lang w:val="es-ES_tradnl"/>
              </w:rPr>
            </w:pPr>
          </w:p>
          <w:tbl>
            <w:tblPr>
              <w:tblStyle w:val="Sombreadomedio2-nfasis1"/>
              <w:tblW w:w="5332" w:type="dxa"/>
              <w:tblInd w:w="108" w:type="dxa"/>
              <w:tblBorders>
                <w:top w:val="none" w:sz="0" w:space="0" w:color="auto"/>
                <w:bottom w:val="none" w:sz="0" w:space="0" w:color="auto"/>
              </w:tblBorders>
              <w:tblLayout w:type="fixed"/>
              <w:tblLook w:val="0420" w:firstRow="1" w:lastRow="0" w:firstColumn="0" w:lastColumn="0" w:noHBand="0" w:noVBand="1"/>
            </w:tblPr>
            <w:tblGrid>
              <w:gridCol w:w="1333"/>
              <w:gridCol w:w="1333"/>
              <w:gridCol w:w="1333"/>
              <w:gridCol w:w="1333"/>
            </w:tblGrid>
            <w:tr w:rsidR="008E2592" w:rsidRPr="00662097" w14:paraId="6AFE26D1" w14:textId="77777777" w:rsidTr="00FD63CC">
              <w:trPr>
                <w:cnfStyle w:val="100000000000" w:firstRow="1" w:lastRow="0" w:firstColumn="0" w:lastColumn="0" w:oddVBand="0" w:evenVBand="0" w:oddHBand="0" w:evenHBand="0" w:firstRowFirstColumn="0" w:firstRowLastColumn="0" w:lastRowFirstColumn="0" w:lastRowLastColumn="0"/>
                <w:trHeight w:val="446"/>
              </w:trPr>
              <w:tc>
                <w:tcPr>
                  <w:tcW w:w="1333" w:type="dxa"/>
                  <w:tcBorders>
                    <w:top w:val="none" w:sz="0" w:space="0" w:color="auto"/>
                    <w:left w:val="none" w:sz="0" w:space="0" w:color="auto"/>
                    <w:bottom w:val="single" w:sz="2" w:space="0" w:color="B2C2E5"/>
                    <w:right w:val="none" w:sz="0" w:space="0" w:color="auto"/>
                  </w:tcBorders>
                  <w:shd w:val="solid" w:color="09325E" w:fill="09325E"/>
                </w:tcPr>
                <w:p w14:paraId="2A67875E" w14:textId="77777777" w:rsidR="008E2592" w:rsidRPr="00662097" w:rsidRDefault="008E2592" w:rsidP="00F04966">
                  <w:pPr>
                    <w:pStyle w:val="Tableheading0"/>
                    <w:framePr w:hSpace="141" w:wrap="around" w:vAnchor="text" w:hAnchor="text" w:xAlign="center" w:y="108"/>
                    <w:spacing w:before="20" w:after="20"/>
                    <w:jc w:val="both"/>
                    <w:rPr>
                      <w:rFonts w:ascii="Arial" w:hAnsi="Arial" w:cs="Arial"/>
                      <w:b/>
                      <w:sz w:val="14"/>
                      <w:szCs w:val="14"/>
                    </w:rPr>
                  </w:pPr>
                  <w:r w:rsidRPr="00662097">
                    <w:rPr>
                      <w:rFonts w:ascii="Arial" w:hAnsi="Arial" w:cs="Arial"/>
                      <w:b/>
                      <w:sz w:val="14"/>
                      <w:szCs w:val="14"/>
                    </w:rPr>
                    <w:t>Tensión máxima promedio por poste</w:t>
                  </w:r>
                </w:p>
              </w:tc>
              <w:tc>
                <w:tcPr>
                  <w:tcW w:w="1333" w:type="dxa"/>
                  <w:tcBorders>
                    <w:top w:val="none" w:sz="0" w:space="0" w:color="auto"/>
                    <w:left w:val="none" w:sz="0" w:space="0" w:color="auto"/>
                    <w:bottom w:val="single" w:sz="2" w:space="0" w:color="B2C2E5"/>
                    <w:right w:val="none" w:sz="0" w:space="0" w:color="auto"/>
                  </w:tcBorders>
                  <w:shd w:val="solid" w:color="09325E" w:fill="09325E"/>
                </w:tcPr>
                <w:p w14:paraId="60C0E1F6" w14:textId="77777777" w:rsidR="008E2592" w:rsidRPr="00662097" w:rsidRDefault="008E2592" w:rsidP="00F04966">
                  <w:pPr>
                    <w:pStyle w:val="Tableheading0"/>
                    <w:framePr w:hSpace="141" w:wrap="around" w:vAnchor="text" w:hAnchor="text" w:xAlign="center" w:y="108"/>
                    <w:spacing w:before="20" w:after="20"/>
                    <w:jc w:val="both"/>
                    <w:rPr>
                      <w:rFonts w:ascii="Arial" w:hAnsi="Arial" w:cs="Arial"/>
                      <w:b/>
                      <w:sz w:val="14"/>
                      <w:szCs w:val="14"/>
                    </w:rPr>
                  </w:pPr>
                  <w:r w:rsidRPr="00662097">
                    <w:rPr>
                      <w:rFonts w:ascii="Arial" w:hAnsi="Arial" w:cs="Arial"/>
                      <w:b/>
                      <w:sz w:val="14"/>
                      <w:szCs w:val="14"/>
                    </w:rPr>
                    <w:t>Factor de utilización de poste</w:t>
                  </w:r>
                </w:p>
              </w:tc>
              <w:tc>
                <w:tcPr>
                  <w:tcW w:w="1333" w:type="dxa"/>
                  <w:tcBorders>
                    <w:top w:val="none" w:sz="0" w:space="0" w:color="auto"/>
                    <w:left w:val="none" w:sz="0" w:space="0" w:color="auto"/>
                    <w:bottom w:val="single" w:sz="2" w:space="0" w:color="B2C2E5"/>
                    <w:right w:val="none" w:sz="0" w:space="0" w:color="auto"/>
                  </w:tcBorders>
                  <w:shd w:val="solid" w:color="09325E" w:fill="09325E"/>
                </w:tcPr>
                <w:p w14:paraId="62A978C6" w14:textId="77777777" w:rsidR="008E2592" w:rsidRPr="00662097" w:rsidRDefault="008E2592" w:rsidP="00F04966">
                  <w:pPr>
                    <w:pStyle w:val="Tableheading0"/>
                    <w:framePr w:hSpace="141" w:wrap="around" w:vAnchor="text" w:hAnchor="text" w:xAlign="center" w:y="108"/>
                    <w:spacing w:before="20" w:after="20"/>
                    <w:jc w:val="both"/>
                    <w:rPr>
                      <w:rFonts w:ascii="Arial" w:hAnsi="Arial" w:cs="Arial"/>
                      <w:b/>
                      <w:sz w:val="14"/>
                      <w:szCs w:val="14"/>
                    </w:rPr>
                  </w:pPr>
                  <w:r w:rsidRPr="00662097">
                    <w:rPr>
                      <w:rFonts w:ascii="Arial" w:hAnsi="Arial" w:cs="Arial"/>
                      <w:b/>
                      <w:sz w:val="14"/>
                      <w:szCs w:val="14"/>
                    </w:rPr>
                    <w:t>Factor de demanda modelado</w:t>
                  </w:r>
                </w:p>
              </w:tc>
              <w:tc>
                <w:tcPr>
                  <w:tcW w:w="1333" w:type="dxa"/>
                  <w:tcBorders>
                    <w:top w:val="none" w:sz="0" w:space="0" w:color="auto"/>
                    <w:left w:val="none" w:sz="0" w:space="0" w:color="auto"/>
                    <w:bottom w:val="single" w:sz="2" w:space="0" w:color="B2C2E5"/>
                    <w:right w:val="none" w:sz="0" w:space="0" w:color="auto"/>
                  </w:tcBorders>
                  <w:shd w:val="solid" w:color="09325E" w:fill="09325E"/>
                </w:tcPr>
                <w:p w14:paraId="1A8B3F0A" w14:textId="77777777" w:rsidR="008E2592" w:rsidRPr="00662097" w:rsidRDefault="008E2592" w:rsidP="00F04966">
                  <w:pPr>
                    <w:pStyle w:val="Tableheading0"/>
                    <w:framePr w:hSpace="141" w:wrap="around" w:vAnchor="text" w:hAnchor="text" w:xAlign="center" w:y="108"/>
                    <w:spacing w:before="20" w:after="20"/>
                    <w:jc w:val="both"/>
                    <w:rPr>
                      <w:rFonts w:ascii="Arial" w:hAnsi="Arial" w:cs="Arial"/>
                      <w:b/>
                      <w:sz w:val="14"/>
                      <w:szCs w:val="14"/>
                    </w:rPr>
                  </w:pPr>
                  <w:r w:rsidRPr="00662097">
                    <w:rPr>
                      <w:rFonts w:ascii="Arial" w:hAnsi="Arial" w:cs="Arial"/>
                      <w:b/>
                      <w:sz w:val="14"/>
                      <w:szCs w:val="14"/>
                    </w:rPr>
                    <w:t>Estimación de tensión por poste</w:t>
                  </w:r>
                </w:p>
              </w:tc>
            </w:tr>
            <w:tr w:rsidR="008E2592" w:rsidRPr="00662097" w14:paraId="3A3B9544" w14:textId="77777777" w:rsidTr="008E2592">
              <w:trPr>
                <w:cnfStyle w:val="000000100000" w:firstRow="0" w:lastRow="0" w:firstColumn="0" w:lastColumn="0" w:oddVBand="0" w:evenVBand="0" w:oddHBand="1" w:evenHBand="0" w:firstRowFirstColumn="0" w:firstRowLastColumn="0" w:lastRowFirstColumn="0" w:lastRowLastColumn="0"/>
                <w:trHeight w:val="275"/>
              </w:trPr>
              <w:tc>
                <w:tcPr>
                  <w:tcW w:w="1333" w:type="dxa"/>
                  <w:tcBorders>
                    <w:top w:val="single" w:sz="2" w:space="0" w:color="B2C2E5"/>
                    <w:left w:val="single" w:sz="2" w:space="0" w:color="B2C2E5"/>
                    <w:bottom w:val="single" w:sz="2" w:space="0" w:color="B2C2E5"/>
                    <w:right w:val="single" w:sz="2" w:space="0" w:color="B2C2E5"/>
                  </w:tcBorders>
                  <w:shd w:val="clear" w:color="auto" w:fill="FFFFFF"/>
                </w:tcPr>
                <w:p w14:paraId="33240501" w14:textId="77777777" w:rsidR="008E2592" w:rsidRPr="00662097" w:rsidRDefault="008E2592" w:rsidP="00F04966">
                  <w:pPr>
                    <w:pStyle w:val="Tablecells"/>
                    <w:keepNext/>
                    <w:keepLines/>
                    <w:framePr w:hSpace="141" w:wrap="around" w:vAnchor="text" w:hAnchor="text" w:xAlign="center" w:y="108"/>
                    <w:spacing w:before="20" w:after="20"/>
                    <w:jc w:val="both"/>
                    <w:rPr>
                      <w:rFonts w:ascii="Arial" w:hAnsi="Arial" w:cs="Arial"/>
                      <w:sz w:val="14"/>
                      <w:szCs w:val="14"/>
                      <w:lang w:val="es-ES_tradnl"/>
                    </w:rPr>
                  </w:pPr>
                  <w:r w:rsidRPr="00662097">
                    <w:rPr>
                      <w:rFonts w:ascii="Arial" w:hAnsi="Arial" w:cs="Arial"/>
                      <w:sz w:val="14"/>
                      <w:szCs w:val="14"/>
                      <w:lang w:val="es-ES_tradnl"/>
                    </w:rPr>
                    <w:t xml:space="preserve">488.00 </w:t>
                  </w:r>
                  <w:proofErr w:type="spellStart"/>
                  <w:r w:rsidRPr="00662097">
                    <w:rPr>
                      <w:rFonts w:ascii="Arial" w:hAnsi="Arial" w:cs="Arial"/>
                      <w:sz w:val="14"/>
                      <w:szCs w:val="14"/>
                      <w:lang w:val="es-ES_tradnl"/>
                    </w:rPr>
                    <w:t>Kgf</w:t>
                  </w:r>
                  <w:proofErr w:type="spellEnd"/>
                </w:p>
              </w:tc>
              <w:tc>
                <w:tcPr>
                  <w:tcW w:w="1333" w:type="dxa"/>
                  <w:tcBorders>
                    <w:top w:val="single" w:sz="2" w:space="0" w:color="B2C2E5"/>
                    <w:left w:val="single" w:sz="2" w:space="0" w:color="B2C2E5"/>
                    <w:bottom w:val="single" w:sz="2" w:space="0" w:color="B2C2E5"/>
                    <w:right w:val="single" w:sz="2" w:space="0" w:color="B2C2E5"/>
                  </w:tcBorders>
                  <w:shd w:val="clear" w:color="auto" w:fill="FFFFFF"/>
                </w:tcPr>
                <w:p w14:paraId="07E0D28E" w14:textId="77777777" w:rsidR="008E2592" w:rsidRPr="00662097" w:rsidRDefault="008E2592" w:rsidP="00F04966">
                  <w:pPr>
                    <w:pStyle w:val="Tablecells"/>
                    <w:keepNext/>
                    <w:keepLines/>
                    <w:framePr w:hSpace="141" w:wrap="around" w:vAnchor="text" w:hAnchor="text" w:xAlign="center" w:y="108"/>
                    <w:spacing w:before="20" w:after="20"/>
                    <w:jc w:val="both"/>
                    <w:rPr>
                      <w:rFonts w:ascii="Arial" w:hAnsi="Arial" w:cs="Arial"/>
                      <w:sz w:val="14"/>
                      <w:szCs w:val="14"/>
                      <w:lang w:val="es-ES_tradnl"/>
                    </w:rPr>
                  </w:pPr>
                  <w:r w:rsidRPr="00662097">
                    <w:rPr>
                      <w:rFonts w:ascii="Arial" w:hAnsi="Arial" w:cs="Arial"/>
                      <w:sz w:val="14"/>
                      <w:szCs w:val="14"/>
                      <w:lang w:val="es-ES_tradnl"/>
                    </w:rPr>
                    <w:t>70%</w:t>
                  </w:r>
                </w:p>
              </w:tc>
              <w:tc>
                <w:tcPr>
                  <w:tcW w:w="1333" w:type="dxa"/>
                  <w:tcBorders>
                    <w:top w:val="single" w:sz="2" w:space="0" w:color="B2C2E5"/>
                    <w:left w:val="single" w:sz="2" w:space="0" w:color="B2C2E5"/>
                    <w:bottom w:val="single" w:sz="2" w:space="0" w:color="B2C2E5"/>
                    <w:right w:val="single" w:sz="2" w:space="0" w:color="B2C2E5"/>
                  </w:tcBorders>
                  <w:shd w:val="clear" w:color="auto" w:fill="FFFFFF"/>
                </w:tcPr>
                <w:p w14:paraId="56FA473C" w14:textId="77777777" w:rsidR="008E2592" w:rsidRPr="00662097" w:rsidRDefault="008E2592" w:rsidP="00F04966">
                  <w:pPr>
                    <w:pStyle w:val="Tablecells"/>
                    <w:keepNext/>
                    <w:keepLines/>
                    <w:framePr w:hSpace="141" w:wrap="around" w:vAnchor="text" w:hAnchor="text" w:xAlign="center" w:y="108"/>
                    <w:spacing w:before="20" w:after="20"/>
                    <w:jc w:val="both"/>
                    <w:rPr>
                      <w:rFonts w:ascii="Arial" w:hAnsi="Arial" w:cs="Arial"/>
                      <w:sz w:val="14"/>
                      <w:szCs w:val="14"/>
                      <w:lang w:val="es-ES_tradnl"/>
                    </w:rPr>
                  </w:pPr>
                  <w:r w:rsidRPr="00662097">
                    <w:rPr>
                      <w:rFonts w:ascii="Arial" w:hAnsi="Arial" w:cs="Arial"/>
                      <w:sz w:val="14"/>
                      <w:szCs w:val="14"/>
                      <w:lang w:val="es-ES_tradnl"/>
                    </w:rPr>
                    <w:t>25.79%</w:t>
                  </w:r>
                </w:p>
              </w:tc>
              <w:tc>
                <w:tcPr>
                  <w:tcW w:w="1333" w:type="dxa"/>
                  <w:tcBorders>
                    <w:top w:val="single" w:sz="2" w:space="0" w:color="B2C2E5"/>
                    <w:left w:val="single" w:sz="2" w:space="0" w:color="B2C2E5"/>
                    <w:bottom w:val="single" w:sz="2" w:space="0" w:color="B2C2E5"/>
                    <w:right w:val="single" w:sz="2" w:space="0" w:color="B2C2E5"/>
                  </w:tcBorders>
                  <w:shd w:val="clear" w:color="auto" w:fill="FFFFFF"/>
                </w:tcPr>
                <w:p w14:paraId="5A8BA4BC" w14:textId="77777777" w:rsidR="008E2592" w:rsidRPr="00662097" w:rsidRDefault="008E2592" w:rsidP="00F04966">
                  <w:pPr>
                    <w:pStyle w:val="Tablecells"/>
                    <w:keepNext/>
                    <w:keepLines/>
                    <w:framePr w:hSpace="141" w:wrap="around" w:vAnchor="text" w:hAnchor="text" w:xAlign="center" w:y="108"/>
                    <w:spacing w:before="20" w:after="20"/>
                    <w:jc w:val="both"/>
                    <w:rPr>
                      <w:rFonts w:ascii="Arial" w:hAnsi="Arial" w:cs="Arial"/>
                      <w:sz w:val="14"/>
                      <w:szCs w:val="14"/>
                      <w:lang w:val="es-ES_tradnl"/>
                    </w:rPr>
                  </w:pPr>
                  <w:r w:rsidRPr="00662097">
                    <w:rPr>
                      <w:rFonts w:ascii="Arial" w:hAnsi="Arial" w:cs="Arial"/>
                      <w:sz w:val="14"/>
                      <w:szCs w:val="14"/>
                      <w:lang w:val="es-ES_tradnl"/>
                    </w:rPr>
                    <w:t xml:space="preserve">88.9 </w:t>
                  </w:r>
                  <w:proofErr w:type="spellStart"/>
                  <w:r w:rsidRPr="00662097">
                    <w:rPr>
                      <w:rFonts w:ascii="Arial" w:hAnsi="Arial" w:cs="Arial"/>
                      <w:sz w:val="14"/>
                      <w:szCs w:val="14"/>
                      <w:lang w:val="es-ES_tradnl"/>
                    </w:rPr>
                    <w:t>Kgf</w:t>
                  </w:r>
                  <w:proofErr w:type="spellEnd"/>
                </w:p>
              </w:tc>
            </w:tr>
          </w:tbl>
          <w:p w14:paraId="1ADA2ACC" w14:textId="7C9AAFC3" w:rsidR="008E2592" w:rsidRPr="00662097" w:rsidRDefault="008E2592" w:rsidP="00623786">
            <w:pPr>
              <w:pStyle w:val="Descripcin"/>
              <w:keepLines/>
              <w:spacing w:before="120" w:after="120" w:line="240" w:lineRule="auto"/>
              <w:rPr>
                <w:rFonts w:ascii="Arial" w:hAnsi="Arial" w:cs="Arial"/>
                <w:sz w:val="14"/>
                <w:szCs w:val="14"/>
                <w:lang w:val="es-ES_tradnl"/>
              </w:rPr>
            </w:pPr>
            <w:r w:rsidRPr="00662097">
              <w:rPr>
                <w:rFonts w:ascii="Arial" w:hAnsi="Arial" w:cs="Arial"/>
                <w:sz w:val="14"/>
                <w:szCs w:val="14"/>
                <w:lang w:val="es-ES_tradnl"/>
              </w:rPr>
              <w:t>Cálculo del factor de conversión para la tarifa de uso de postes. [Fuente: modelo de costos de acceso fijo del IFT, 2023]</w:t>
            </w:r>
          </w:p>
          <w:p w14:paraId="3EA88676" w14:textId="77777777" w:rsidR="008E2592" w:rsidRPr="00662097" w:rsidRDefault="008E2592" w:rsidP="00701A90">
            <w:pPr>
              <w:spacing w:before="120" w:after="120" w:line="240" w:lineRule="auto"/>
              <w:rPr>
                <w:rFonts w:ascii="Arial" w:hAnsi="Arial" w:cs="Arial"/>
                <w:sz w:val="16"/>
                <w:szCs w:val="16"/>
                <w:lang w:val="es-ES_tradnl"/>
              </w:rPr>
            </w:pPr>
            <w:r w:rsidRPr="00662097">
              <w:rPr>
                <w:rFonts w:ascii="Arial" w:hAnsi="Arial" w:cs="Arial"/>
                <w:sz w:val="16"/>
                <w:szCs w:val="16"/>
                <w:lang w:val="es-ES_tradnl"/>
              </w:rPr>
              <w:t xml:space="preserve">Estimamos que se ha de considerar, además, que este modelo de acceso fijo se ha construido para modelar por separado las dos tecnologías de acceso consideradas: </w:t>
            </w:r>
            <w:r w:rsidRPr="00662097">
              <w:rPr>
                <w:rFonts w:ascii="Arial" w:hAnsi="Arial" w:cs="Arial"/>
                <w:i/>
                <w:sz w:val="16"/>
                <w:szCs w:val="16"/>
                <w:lang w:val="es-ES_tradnl"/>
              </w:rPr>
              <w:t>cobre y fibra.</w:t>
            </w:r>
          </w:p>
          <w:p w14:paraId="623B391A" w14:textId="77777777" w:rsidR="008E2592" w:rsidRPr="00662097" w:rsidRDefault="008E2592" w:rsidP="00701A90">
            <w:pPr>
              <w:spacing w:before="120" w:after="120" w:line="240" w:lineRule="auto"/>
              <w:rPr>
                <w:rFonts w:ascii="Arial" w:hAnsi="Arial" w:cs="Arial"/>
                <w:sz w:val="16"/>
                <w:szCs w:val="16"/>
                <w:lang w:val="es-ES_tradnl"/>
              </w:rPr>
            </w:pPr>
            <w:r w:rsidRPr="00662097">
              <w:rPr>
                <w:rFonts w:ascii="Arial" w:hAnsi="Arial" w:cs="Arial"/>
                <w:sz w:val="16"/>
                <w:szCs w:val="16"/>
                <w:lang w:val="es-ES_tradnl"/>
              </w:rPr>
              <w:t xml:space="preserve">En realidad, y reflejando una posición económicamente racional, los cables de cobre y fibra se despliegan sobre los mismos postes siempre que esto sea posible. Por lo tanto, nos preocupa que el modelo no refleje esta realidad. </w:t>
            </w:r>
          </w:p>
          <w:p w14:paraId="150A8B4A" w14:textId="77777777" w:rsidR="008E2592" w:rsidRPr="00662097" w:rsidRDefault="008E2592" w:rsidP="00701A90">
            <w:pPr>
              <w:spacing w:before="120" w:after="120" w:line="240" w:lineRule="auto"/>
              <w:rPr>
                <w:rFonts w:ascii="Arial" w:hAnsi="Arial" w:cs="Arial"/>
                <w:sz w:val="16"/>
                <w:szCs w:val="16"/>
                <w:u w:val="single"/>
                <w:lang w:val="es-ES_tradnl"/>
              </w:rPr>
            </w:pPr>
            <w:r w:rsidRPr="00662097">
              <w:rPr>
                <w:rFonts w:ascii="Arial" w:hAnsi="Arial" w:cs="Arial"/>
                <w:sz w:val="16"/>
                <w:szCs w:val="16"/>
                <w:u w:val="single"/>
                <w:lang w:val="es-ES_tradnl"/>
              </w:rPr>
              <w:t>Conclusiones y sugerencias</w:t>
            </w:r>
          </w:p>
          <w:p w14:paraId="7B6C3586" w14:textId="3F57935E" w:rsidR="00A17489" w:rsidRPr="00662097" w:rsidRDefault="008E2592" w:rsidP="00701A90">
            <w:pPr>
              <w:spacing w:before="120" w:after="120" w:line="240" w:lineRule="auto"/>
              <w:rPr>
                <w:rFonts w:ascii="Arial" w:hAnsi="Arial" w:cs="Arial"/>
                <w:sz w:val="16"/>
                <w:szCs w:val="16"/>
                <w:lang w:val="es-ES_tradnl"/>
              </w:rPr>
            </w:pPr>
            <w:r w:rsidRPr="00662097">
              <w:rPr>
                <w:rFonts w:ascii="Arial" w:hAnsi="Arial" w:cs="Arial"/>
                <w:sz w:val="16"/>
                <w:szCs w:val="16"/>
                <w:lang w:val="es-ES_tradnl"/>
              </w:rPr>
              <w:t>Recomendamos que el IFT considere y compruebe si el modelo refleja que los postes del AEP soportan cables de cobre y de fibra en paralelo. También recomendamos que se vuelva a verificar si es tan bajo el valor del uso promedio de postes en la realidad.</w:t>
            </w:r>
          </w:p>
        </w:tc>
        <w:tc>
          <w:tcPr>
            <w:tcW w:w="4536" w:type="dxa"/>
          </w:tcPr>
          <w:p w14:paraId="14243428" w14:textId="05821F94" w:rsidR="00E20BBA" w:rsidRPr="00662097" w:rsidRDefault="00BF5766" w:rsidP="00BF5766">
            <w:pPr>
              <w:autoSpaceDE w:val="0"/>
              <w:autoSpaceDN w:val="0"/>
              <w:adjustRightInd w:val="0"/>
              <w:spacing w:before="120" w:after="120" w:line="240" w:lineRule="auto"/>
              <w:rPr>
                <w:rFonts w:ascii="Arial" w:eastAsia="Times New Roman" w:hAnsi="Arial" w:cs="Arial"/>
                <w:iCs/>
                <w:color w:val="000000"/>
                <w:sz w:val="16"/>
                <w:szCs w:val="16"/>
                <w:lang w:eastAsia="es-MX"/>
              </w:rPr>
            </w:pPr>
            <w:r w:rsidRPr="00662097">
              <w:rPr>
                <w:rFonts w:ascii="Arial" w:eastAsia="Times New Roman" w:hAnsi="Arial" w:cs="Arial"/>
                <w:iCs/>
                <w:color w:val="000000"/>
                <w:sz w:val="16"/>
                <w:szCs w:val="16"/>
                <w:lang w:eastAsia="es-MX"/>
              </w:rPr>
              <w:t xml:space="preserve">Al respecto, se </w:t>
            </w:r>
            <w:r w:rsidR="00E20BBA" w:rsidRPr="00662097">
              <w:rPr>
                <w:rFonts w:ascii="Arial" w:eastAsia="Times New Roman" w:hAnsi="Arial" w:cs="Arial"/>
                <w:iCs/>
                <w:color w:val="000000"/>
                <w:sz w:val="16"/>
                <w:szCs w:val="16"/>
                <w:lang w:eastAsia="es-MX"/>
              </w:rPr>
              <w:t>confirma que el Modelo Integral toma en cuenta la compartición de activos entre tecnologías. Respecto a los postes, el modelo considera que los activos de obra civil (incluidos los postes) se comparten entre cables de fibra y cobre.</w:t>
            </w:r>
          </w:p>
          <w:p w14:paraId="4BF1A5AB" w14:textId="3AD172E7" w:rsidR="00E20BBA" w:rsidRPr="00662097" w:rsidRDefault="00BF5766" w:rsidP="00BF5766">
            <w:pPr>
              <w:autoSpaceDE w:val="0"/>
              <w:autoSpaceDN w:val="0"/>
              <w:adjustRightInd w:val="0"/>
              <w:spacing w:before="120" w:after="120" w:line="240" w:lineRule="auto"/>
              <w:rPr>
                <w:rFonts w:ascii="Arial" w:eastAsia="Times New Roman" w:hAnsi="Arial" w:cs="Arial"/>
                <w:iCs/>
                <w:color w:val="000000"/>
                <w:sz w:val="16"/>
                <w:szCs w:val="16"/>
                <w:lang w:eastAsia="es-MX"/>
              </w:rPr>
            </w:pPr>
            <w:r w:rsidRPr="00662097">
              <w:rPr>
                <w:rFonts w:ascii="Arial" w:eastAsia="Times New Roman" w:hAnsi="Arial" w:cs="Arial"/>
                <w:iCs/>
                <w:color w:val="000000"/>
                <w:sz w:val="16"/>
                <w:szCs w:val="16"/>
                <w:lang w:eastAsia="es-MX"/>
              </w:rPr>
              <w:t>A este tenor</w:t>
            </w:r>
            <w:r w:rsidR="00E20BBA" w:rsidRPr="00662097">
              <w:rPr>
                <w:rFonts w:ascii="Arial" w:eastAsia="Times New Roman" w:hAnsi="Arial" w:cs="Arial"/>
                <w:iCs/>
                <w:color w:val="000000"/>
                <w:sz w:val="16"/>
                <w:szCs w:val="16"/>
                <w:lang w:eastAsia="es-MX"/>
              </w:rPr>
              <w:t>, para los postes, el modelo tiene en cuenta el uso compartido con la red de servicios públicos (CFE), lo que reduce significativamente el costo asociado con los postes.</w:t>
            </w:r>
          </w:p>
          <w:p w14:paraId="106D615F" w14:textId="30ADADB2" w:rsidR="00E20BBA" w:rsidRPr="00662097" w:rsidRDefault="00E20BBA" w:rsidP="00BF5766">
            <w:pPr>
              <w:autoSpaceDE w:val="0"/>
              <w:autoSpaceDN w:val="0"/>
              <w:adjustRightInd w:val="0"/>
              <w:spacing w:before="120" w:after="120" w:line="240" w:lineRule="auto"/>
              <w:rPr>
                <w:rFonts w:ascii="Arial" w:eastAsia="Times New Roman" w:hAnsi="Arial" w:cs="Arial"/>
                <w:iCs/>
                <w:color w:val="000000"/>
                <w:sz w:val="16"/>
                <w:szCs w:val="16"/>
                <w:lang w:eastAsia="es-MX"/>
              </w:rPr>
            </w:pPr>
            <w:r w:rsidRPr="00662097">
              <w:rPr>
                <w:rFonts w:ascii="Arial" w:eastAsia="Times New Roman" w:hAnsi="Arial" w:cs="Arial"/>
                <w:iCs/>
                <w:color w:val="000000"/>
                <w:sz w:val="16"/>
                <w:szCs w:val="16"/>
                <w:lang w:eastAsia="es-MX"/>
              </w:rPr>
              <w:t xml:space="preserve">Además de compartir parámetros, el Modelo Integral también considera la reutilización de activos de ingeniería civil (incluidos los </w:t>
            </w:r>
            <w:r w:rsidR="004113EA" w:rsidRPr="00662097">
              <w:rPr>
                <w:rFonts w:ascii="Arial" w:eastAsia="Times New Roman" w:hAnsi="Arial" w:cs="Arial"/>
                <w:iCs/>
                <w:color w:val="000000"/>
                <w:sz w:val="16"/>
                <w:szCs w:val="16"/>
                <w:lang w:eastAsia="es-MX"/>
              </w:rPr>
              <w:t>postes</w:t>
            </w:r>
            <w:r w:rsidRPr="00662097">
              <w:rPr>
                <w:rFonts w:ascii="Arial" w:eastAsia="Times New Roman" w:hAnsi="Arial" w:cs="Arial"/>
                <w:iCs/>
                <w:color w:val="000000"/>
                <w:sz w:val="16"/>
                <w:szCs w:val="16"/>
                <w:lang w:eastAsia="es-MX"/>
              </w:rPr>
              <w:t>) de manera consistente con las mejores prácticas internacionales (y con la recomendación de la Comisión Europea).</w:t>
            </w:r>
          </w:p>
          <w:p w14:paraId="3446357D" w14:textId="324CA47B" w:rsidR="00A451ED" w:rsidRPr="00662097" w:rsidRDefault="000665A3" w:rsidP="00A451ED">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Por último, con respecto a</w:t>
            </w:r>
            <w:r w:rsidR="00A451ED" w:rsidRPr="00662097">
              <w:rPr>
                <w:rFonts w:ascii="Arial" w:eastAsia="Times New Roman" w:hAnsi="Arial" w:cs="Arial"/>
                <w:color w:val="000000"/>
                <w:sz w:val="16"/>
                <w:szCs w:val="16"/>
                <w:lang w:eastAsia="es-MX"/>
              </w:rPr>
              <w:t>l factor de uso de poste, se considera que el mismo sigue siendo adecuado y coherente con las mejores prácticas internacionales de modelado.</w:t>
            </w:r>
          </w:p>
          <w:p w14:paraId="014E4B19" w14:textId="375AD116" w:rsidR="00E20BBA" w:rsidRPr="00662097" w:rsidRDefault="00E20BBA" w:rsidP="00E20BBA">
            <w:pPr>
              <w:autoSpaceDE w:val="0"/>
              <w:autoSpaceDN w:val="0"/>
              <w:adjustRightInd w:val="0"/>
              <w:spacing w:before="120" w:after="120" w:line="240" w:lineRule="auto"/>
              <w:ind w:left="567"/>
              <w:rPr>
                <w:rFonts w:ascii="Arial" w:eastAsia="Times New Roman" w:hAnsi="Arial" w:cs="Arial"/>
                <w:color w:val="000000"/>
                <w:sz w:val="16"/>
                <w:szCs w:val="16"/>
                <w:lang w:eastAsia="es-MX"/>
              </w:rPr>
            </w:pPr>
          </w:p>
        </w:tc>
      </w:tr>
      <w:tr w:rsidR="00A17489" w:rsidRPr="00662097" w14:paraId="5FA5BE06" w14:textId="77777777" w:rsidTr="008F664E">
        <w:trPr>
          <w:trHeight w:val="20"/>
        </w:trPr>
        <w:tc>
          <w:tcPr>
            <w:tcW w:w="1271" w:type="dxa"/>
            <w:vAlign w:val="center"/>
          </w:tcPr>
          <w:p w14:paraId="63411CA0" w14:textId="6FAB33FC" w:rsidR="00A17489" w:rsidRPr="00662097" w:rsidRDefault="00A17489" w:rsidP="00774642">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lastRenderedPageBreak/>
              <w:t>Grupo Televisa</w:t>
            </w:r>
          </w:p>
        </w:tc>
        <w:tc>
          <w:tcPr>
            <w:tcW w:w="1843" w:type="dxa"/>
            <w:shd w:val="clear" w:color="auto" w:fill="auto"/>
            <w:vAlign w:val="center"/>
          </w:tcPr>
          <w:p w14:paraId="53F4159E" w14:textId="68E2437F" w:rsidR="00A17489" w:rsidRPr="00662097" w:rsidRDefault="00774642" w:rsidP="00A1748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3.2 Soporte vertical</w:t>
            </w:r>
          </w:p>
        </w:tc>
        <w:tc>
          <w:tcPr>
            <w:tcW w:w="6379" w:type="dxa"/>
            <w:shd w:val="clear" w:color="auto" w:fill="auto"/>
            <w:vAlign w:val="center"/>
          </w:tcPr>
          <w:p w14:paraId="55EE3307" w14:textId="65565711" w:rsidR="00A17489" w:rsidRPr="00662097" w:rsidRDefault="00774642" w:rsidP="00A17489">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La tarifa unitaria del activo ‘Subida / aterrizaje de poste’ en el modelo tenía un valor de $216 pesos en el modelo y en el modelo 2023 de $3,597.25 pesos. Si bien el costo se ha modificado respecto al modelo 2020, consideramos que este valor es demasiado elevado. No esta demás mencionar, como ya se hizo en la consulta anterior, que la CFE no cobra por el servicio, por lo que creemos que esto demuestra que los costos de los activos involucrados en la prestación de los servicios no son tan significativos</w:t>
            </w:r>
            <w:r w:rsidR="006F305C" w:rsidRPr="00662097">
              <w:rPr>
                <w:rFonts w:ascii="Arial" w:eastAsia="Times New Roman" w:hAnsi="Arial" w:cs="Arial"/>
                <w:color w:val="000000"/>
                <w:sz w:val="16"/>
                <w:szCs w:val="16"/>
                <w:lang w:eastAsia="es-MX"/>
              </w:rPr>
              <w:t>.</w:t>
            </w:r>
          </w:p>
        </w:tc>
        <w:tc>
          <w:tcPr>
            <w:tcW w:w="4536" w:type="dxa"/>
          </w:tcPr>
          <w:p w14:paraId="2E286B36" w14:textId="10AE855E" w:rsidR="003B47E8" w:rsidRPr="00662097" w:rsidRDefault="00BF5766" w:rsidP="00BF5766">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iCs/>
                <w:color w:val="000000"/>
                <w:sz w:val="16"/>
                <w:szCs w:val="16"/>
                <w:lang w:eastAsia="es-MX"/>
              </w:rPr>
              <w:t>Al respecto, e</w:t>
            </w:r>
            <w:r w:rsidR="003B47E8" w:rsidRPr="00662097">
              <w:rPr>
                <w:rFonts w:ascii="Arial" w:eastAsia="Times New Roman" w:hAnsi="Arial" w:cs="Arial"/>
                <w:iCs/>
                <w:color w:val="000000"/>
                <w:sz w:val="16"/>
                <w:szCs w:val="16"/>
                <w:lang w:eastAsia="es-MX"/>
              </w:rPr>
              <w:t>l costo calculado por el Modelo Integral se basa en el mismo enfoque que el modelo 2018 y de acuerdo con los supuestos y datos actualizados utilizados en el modelo.</w:t>
            </w:r>
          </w:p>
        </w:tc>
      </w:tr>
      <w:tr w:rsidR="00A17489" w:rsidRPr="00662097" w14:paraId="6F7BFC3A" w14:textId="77777777" w:rsidTr="008F664E">
        <w:trPr>
          <w:trHeight w:val="20"/>
        </w:trPr>
        <w:tc>
          <w:tcPr>
            <w:tcW w:w="1271" w:type="dxa"/>
            <w:vAlign w:val="center"/>
          </w:tcPr>
          <w:p w14:paraId="7477C9FD" w14:textId="15F63ADE" w:rsidR="00A17489" w:rsidRPr="00662097" w:rsidRDefault="00A17489" w:rsidP="00774642">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Grupo Televisa</w:t>
            </w:r>
          </w:p>
        </w:tc>
        <w:tc>
          <w:tcPr>
            <w:tcW w:w="1843" w:type="dxa"/>
            <w:shd w:val="clear" w:color="auto" w:fill="auto"/>
            <w:vAlign w:val="center"/>
          </w:tcPr>
          <w:p w14:paraId="328CD8A3" w14:textId="767A4F74" w:rsidR="00A17489" w:rsidRPr="00662097" w:rsidRDefault="00774642" w:rsidP="00A1748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4.1 Servicio de mantenimiento de pozos</w:t>
            </w:r>
          </w:p>
        </w:tc>
        <w:tc>
          <w:tcPr>
            <w:tcW w:w="6379" w:type="dxa"/>
            <w:shd w:val="clear" w:color="auto" w:fill="auto"/>
            <w:vAlign w:val="center"/>
          </w:tcPr>
          <w:p w14:paraId="34D0875B" w14:textId="77777777" w:rsidR="00774642" w:rsidRPr="00662097" w:rsidRDefault="00774642" w:rsidP="00774642">
            <w:pPr>
              <w:autoSpaceDE w:val="0"/>
              <w:autoSpaceDN w:val="0"/>
              <w:adjustRightInd w:val="0"/>
              <w:spacing w:before="120" w:after="120" w:line="240" w:lineRule="auto"/>
              <w:rPr>
                <w:rFonts w:ascii="Arial" w:eastAsia="Times New Roman" w:hAnsi="Arial" w:cs="Arial"/>
                <w:color w:val="000000"/>
                <w:sz w:val="16"/>
                <w:szCs w:val="16"/>
                <w:u w:val="single"/>
                <w:lang w:eastAsia="es-MX"/>
              </w:rPr>
            </w:pPr>
            <w:r w:rsidRPr="00662097">
              <w:rPr>
                <w:rFonts w:ascii="Arial" w:eastAsia="Times New Roman" w:hAnsi="Arial" w:cs="Arial"/>
                <w:color w:val="000000"/>
                <w:sz w:val="16"/>
                <w:szCs w:val="16"/>
                <w:u w:val="single"/>
                <w:lang w:eastAsia="es-MX"/>
              </w:rPr>
              <w:t>Contexto</w:t>
            </w:r>
          </w:p>
          <w:p w14:paraId="3EE57C5C" w14:textId="56643CA5" w:rsidR="00774642" w:rsidRPr="00662097" w:rsidRDefault="00774642" w:rsidP="00774642">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El modelo utiliza un "servicio de mantenimiento" del 80%, el cual se aplica a las rutas de pozo. Este factor nos parece excesivo. Asumimos que este factor pretende representar la reserva de una ruta de repuesto para uso futuro o solo como espacio vacante. Este factor del 80% puede ser apropiado para pozos pequeños con 5 vías transversales. Sin embargo, para pozos más grandes, creemos que reservar tal capacidad no es realista.</w:t>
            </w:r>
          </w:p>
          <w:p w14:paraId="04E0A826" w14:textId="77777777" w:rsidR="00774642" w:rsidRPr="00662097" w:rsidRDefault="00774642" w:rsidP="00774642">
            <w:pPr>
              <w:autoSpaceDE w:val="0"/>
              <w:autoSpaceDN w:val="0"/>
              <w:adjustRightInd w:val="0"/>
              <w:spacing w:before="120" w:after="120" w:line="240" w:lineRule="auto"/>
              <w:rPr>
                <w:rFonts w:ascii="Arial" w:eastAsia="Times New Roman" w:hAnsi="Arial" w:cs="Arial"/>
                <w:color w:val="000000"/>
                <w:sz w:val="16"/>
                <w:szCs w:val="16"/>
                <w:u w:val="single"/>
                <w:lang w:eastAsia="es-MX"/>
              </w:rPr>
            </w:pPr>
            <w:r w:rsidRPr="00662097">
              <w:rPr>
                <w:rFonts w:ascii="Arial" w:eastAsia="Times New Roman" w:hAnsi="Arial" w:cs="Arial"/>
                <w:color w:val="000000"/>
                <w:sz w:val="16"/>
                <w:szCs w:val="16"/>
                <w:u w:val="single"/>
                <w:lang w:eastAsia="es-MX"/>
              </w:rPr>
              <w:t>Conclusiones y sugerencias</w:t>
            </w:r>
          </w:p>
          <w:p w14:paraId="605FA414" w14:textId="3C570776" w:rsidR="00A17489" w:rsidRPr="00662097" w:rsidRDefault="00774642" w:rsidP="00774642">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Recomendamos que, tal como se sugirió la consulta anterior, el IFT reexamine el problema de la capacidad excedentaria en los pozos. Creemos que el Instituto debe establecer factores de reserva racionales para cada tamaño de pozo y determinar un valor promedio ponderado con el número de pozos de cada tipo en el modelo</w:t>
            </w:r>
            <w:r w:rsidR="006F305C" w:rsidRPr="00662097">
              <w:rPr>
                <w:rFonts w:ascii="Arial" w:eastAsia="Times New Roman" w:hAnsi="Arial" w:cs="Arial"/>
                <w:color w:val="000000"/>
                <w:sz w:val="16"/>
                <w:szCs w:val="16"/>
                <w:lang w:eastAsia="es-MX"/>
              </w:rPr>
              <w:t>.</w:t>
            </w:r>
          </w:p>
        </w:tc>
        <w:tc>
          <w:tcPr>
            <w:tcW w:w="4536" w:type="dxa"/>
          </w:tcPr>
          <w:p w14:paraId="50267C50" w14:textId="06C3BA62" w:rsidR="00A17489" w:rsidRPr="00662097" w:rsidRDefault="006F305C" w:rsidP="00BF5766">
            <w:pPr>
              <w:autoSpaceDE w:val="0"/>
              <w:autoSpaceDN w:val="0"/>
              <w:adjustRightInd w:val="0"/>
              <w:spacing w:before="120" w:after="120" w:line="240" w:lineRule="auto"/>
              <w:rPr>
                <w:rFonts w:ascii="Arial" w:eastAsia="Times New Roman" w:hAnsi="Arial" w:cs="Arial"/>
                <w:iCs/>
                <w:color w:val="000000"/>
                <w:sz w:val="16"/>
                <w:szCs w:val="16"/>
                <w:lang w:eastAsia="es-MX"/>
              </w:rPr>
            </w:pPr>
            <w:r w:rsidRPr="00662097">
              <w:rPr>
                <w:rFonts w:ascii="Arial" w:eastAsia="Times New Roman" w:hAnsi="Arial" w:cs="Arial"/>
                <w:iCs/>
                <w:color w:val="000000"/>
                <w:sz w:val="16"/>
                <w:szCs w:val="16"/>
                <w:lang w:eastAsia="es-MX"/>
              </w:rPr>
              <w:t xml:space="preserve">Este parámetro no se ha actualizado como parte de esta actualización, ya que </w:t>
            </w:r>
            <w:r w:rsidR="00676E16" w:rsidRPr="00662097">
              <w:rPr>
                <w:rFonts w:ascii="Arial" w:eastAsia="Times New Roman" w:hAnsi="Arial" w:cs="Arial"/>
                <w:iCs/>
                <w:color w:val="000000"/>
                <w:sz w:val="16"/>
                <w:szCs w:val="16"/>
                <w:lang w:eastAsia="es-MX"/>
              </w:rPr>
              <w:t>resulta</w:t>
            </w:r>
            <w:r w:rsidRPr="00662097">
              <w:rPr>
                <w:rFonts w:ascii="Arial" w:eastAsia="Times New Roman" w:hAnsi="Arial" w:cs="Arial"/>
                <w:iCs/>
                <w:color w:val="000000"/>
                <w:sz w:val="16"/>
                <w:szCs w:val="16"/>
                <w:lang w:eastAsia="es-MX"/>
              </w:rPr>
              <w:t xml:space="preserve"> razonable y coherente con las mejores prácticas de modelado.</w:t>
            </w:r>
          </w:p>
        </w:tc>
      </w:tr>
      <w:tr w:rsidR="00A17489" w:rsidRPr="00662097" w14:paraId="0827778A" w14:textId="77777777" w:rsidTr="008F664E">
        <w:trPr>
          <w:trHeight w:val="20"/>
        </w:trPr>
        <w:tc>
          <w:tcPr>
            <w:tcW w:w="1271" w:type="dxa"/>
            <w:vAlign w:val="center"/>
          </w:tcPr>
          <w:p w14:paraId="02881DE2" w14:textId="223D14EA" w:rsidR="00A17489" w:rsidRPr="00662097" w:rsidRDefault="00A17489" w:rsidP="00774642">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Grupo Televisa</w:t>
            </w:r>
          </w:p>
        </w:tc>
        <w:tc>
          <w:tcPr>
            <w:tcW w:w="1843" w:type="dxa"/>
            <w:shd w:val="clear" w:color="auto" w:fill="auto"/>
            <w:vAlign w:val="center"/>
          </w:tcPr>
          <w:p w14:paraId="3AEF0E4A" w14:textId="0D8F6F26" w:rsidR="00A17489" w:rsidRPr="00662097" w:rsidRDefault="00774642" w:rsidP="00A17489">
            <w:pPr>
              <w:spacing w:after="0" w:line="240" w:lineRule="auto"/>
              <w:jc w:val="center"/>
              <w:rPr>
                <w:rFonts w:ascii="Arial" w:eastAsia="Times New Roman" w:hAnsi="Arial" w:cs="Arial"/>
                <w:color w:val="000000"/>
                <w:sz w:val="16"/>
                <w:szCs w:val="16"/>
                <w:lang w:val="es-ES_tradnl" w:eastAsia="es-MX"/>
              </w:rPr>
            </w:pPr>
            <w:r w:rsidRPr="00662097">
              <w:rPr>
                <w:rFonts w:ascii="Arial" w:eastAsia="Times New Roman" w:hAnsi="Arial" w:cs="Arial"/>
                <w:color w:val="000000"/>
                <w:sz w:val="16"/>
                <w:szCs w:val="16"/>
                <w:lang w:eastAsia="es-MX"/>
              </w:rPr>
              <w:t>4.2 Tamaño asumido de la sección transversal de las rutas a través de un pozo de acceso</w:t>
            </w:r>
          </w:p>
        </w:tc>
        <w:tc>
          <w:tcPr>
            <w:tcW w:w="6379" w:type="dxa"/>
            <w:shd w:val="clear" w:color="auto" w:fill="auto"/>
            <w:vAlign w:val="center"/>
          </w:tcPr>
          <w:p w14:paraId="135563DB" w14:textId="77777777" w:rsidR="00774642" w:rsidRPr="00662097" w:rsidRDefault="00774642" w:rsidP="00701A90">
            <w:pPr>
              <w:pStyle w:val="Ttulo4"/>
              <w:numPr>
                <w:ilvl w:val="0"/>
                <w:numId w:val="0"/>
              </w:numPr>
              <w:spacing w:before="120" w:after="120" w:line="240" w:lineRule="auto"/>
              <w:rPr>
                <w:rFonts w:ascii="Arial" w:hAnsi="Arial" w:cs="Arial"/>
                <w:b w:val="0"/>
                <w:bCs/>
                <w:sz w:val="16"/>
                <w:szCs w:val="18"/>
                <w:u w:val="single"/>
                <w:lang w:val="es-ES_tradnl"/>
              </w:rPr>
            </w:pPr>
            <w:r w:rsidRPr="00662097">
              <w:rPr>
                <w:rFonts w:ascii="Arial" w:hAnsi="Arial" w:cs="Arial"/>
                <w:b w:val="0"/>
                <w:bCs/>
                <w:sz w:val="16"/>
                <w:szCs w:val="18"/>
                <w:u w:val="single"/>
                <w:lang w:val="es-ES_tradnl"/>
              </w:rPr>
              <w:t>Contexto</w:t>
            </w:r>
          </w:p>
          <w:p w14:paraId="4DE47A16" w14:textId="77777777" w:rsidR="00774642" w:rsidRPr="00662097" w:rsidRDefault="00774642" w:rsidP="00701A90">
            <w:pPr>
              <w:spacing w:before="120" w:after="120" w:line="240" w:lineRule="auto"/>
              <w:rPr>
                <w:rFonts w:ascii="Arial" w:hAnsi="Arial" w:cs="Arial"/>
                <w:sz w:val="16"/>
                <w:szCs w:val="18"/>
                <w:lang w:val="es-ES_tradnl"/>
              </w:rPr>
            </w:pPr>
            <w:r w:rsidRPr="00662097">
              <w:rPr>
                <w:rFonts w:ascii="Arial" w:hAnsi="Arial" w:cs="Arial"/>
                <w:sz w:val="16"/>
                <w:szCs w:val="18"/>
                <w:lang w:val="es-ES_tradnl"/>
              </w:rPr>
              <w:t>Nos genera inquietud que el cálculo de la tarifa de una ruta a través de un pozo esté basado en un conducto completo y no refleje de manera adecuada que un CS desee y pueda utilizar subductos para ingresar sus cables en los pozos. Como la documentación no es lo suficientemente clara, nos preocupa que los supuestos para el número de rutas por pozo sean para ductos de tamaño estándar.</w:t>
            </w:r>
          </w:p>
          <w:p w14:paraId="512C7A4E" w14:textId="3A902136" w:rsidR="00774642" w:rsidRPr="00662097" w:rsidRDefault="00774642" w:rsidP="00701A90">
            <w:pPr>
              <w:spacing w:before="120" w:after="120" w:line="240" w:lineRule="auto"/>
              <w:rPr>
                <w:rFonts w:ascii="Arial" w:hAnsi="Arial" w:cs="Arial"/>
                <w:sz w:val="16"/>
                <w:szCs w:val="18"/>
                <w:lang w:val="es-ES_tradnl"/>
              </w:rPr>
            </w:pPr>
            <w:r w:rsidRPr="00662097">
              <w:rPr>
                <w:rFonts w:ascii="Arial" w:hAnsi="Arial" w:cs="Arial"/>
                <w:sz w:val="16"/>
                <w:szCs w:val="18"/>
                <w:lang w:val="es-ES_tradnl"/>
              </w:rPr>
              <w:t>Consideramos que el precio de acceso se ha de modificar para reflejar la posibilidad de que un CS utilice sólo parte de un ducto dejando espacio para que otros subductos puedan entrar en el pozo</w:t>
            </w:r>
            <w:r w:rsidR="00E14CF2" w:rsidRPr="00662097">
              <w:rPr>
                <w:rFonts w:ascii="Arial" w:hAnsi="Arial" w:cs="Arial"/>
                <w:sz w:val="16"/>
                <w:szCs w:val="18"/>
                <w:lang w:val="es-ES_tradnl"/>
              </w:rPr>
              <w:t>.</w:t>
            </w:r>
          </w:p>
          <w:p w14:paraId="325CD3C9" w14:textId="77777777" w:rsidR="00774642" w:rsidRPr="00662097" w:rsidRDefault="00774642" w:rsidP="00701A90">
            <w:pPr>
              <w:spacing w:before="120" w:after="120" w:line="240" w:lineRule="auto"/>
              <w:rPr>
                <w:rFonts w:ascii="Arial" w:hAnsi="Arial" w:cs="Arial"/>
                <w:sz w:val="16"/>
                <w:szCs w:val="18"/>
                <w:lang w:val="es-ES_tradnl"/>
              </w:rPr>
            </w:pPr>
            <w:r w:rsidRPr="00662097">
              <w:rPr>
                <w:rFonts w:ascii="Arial" w:hAnsi="Arial" w:cs="Arial"/>
                <w:sz w:val="16"/>
                <w:szCs w:val="18"/>
                <w:lang w:val="es-ES_tradnl"/>
              </w:rPr>
              <w:t xml:space="preserve">Puesto que el CS usará un </w:t>
            </w:r>
            <w:proofErr w:type="spellStart"/>
            <w:r w:rsidRPr="00662097">
              <w:rPr>
                <w:rFonts w:ascii="Arial" w:hAnsi="Arial" w:cs="Arial"/>
                <w:sz w:val="16"/>
                <w:szCs w:val="18"/>
                <w:lang w:val="es-ES_tradnl"/>
              </w:rPr>
              <w:t>subducto</w:t>
            </w:r>
            <w:proofErr w:type="spellEnd"/>
            <w:r w:rsidRPr="00662097">
              <w:rPr>
                <w:rFonts w:ascii="Arial" w:hAnsi="Arial" w:cs="Arial"/>
                <w:sz w:val="16"/>
                <w:szCs w:val="18"/>
                <w:lang w:val="es-ES_tradnl"/>
              </w:rPr>
              <w:t xml:space="preserve"> para acceder al pozo, utilizando solamente una parte del ducto, existirá la posibilidad de que otros subductos utilicen el ducto para acceder al pozo. Por ello consideramos que la tarifa se ha de modificar para poder reflejar esta casuística.</w:t>
            </w:r>
          </w:p>
          <w:p w14:paraId="2E358A81" w14:textId="77777777" w:rsidR="00774642" w:rsidRPr="00662097" w:rsidRDefault="00774642" w:rsidP="00701A90">
            <w:pPr>
              <w:spacing w:before="120" w:after="120" w:line="240" w:lineRule="auto"/>
              <w:rPr>
                <w:rFonts w:ascii="Arial" w:hAnsi="Arial" w:cs="Arial"/>
                <w:sz w:val="16"/>
                <w:szCs w:val="18"/>
                <w:u w:val="single"/>
                <w:lang w:val="es-ES_tradnl"/>
              </w:rPr>
            </w:pPr>
            <w:r w:rsidRPr="00662097">
              <w:rPr>
                <w:rFonts w:ascii="Arial" w:hAnsi="Arial" w:cs="Arial"/>
                <w:sz w:val="16"/>
                <w:szCs w:val="18"/>
                <w:u w:val="single"/>
                <w:lang w:val="es-ES_tradnl"/>
              </w:rPr>
              <w:t>Conclusiones y sugerencias</w:t>
            </w:r>
          </w:p>
          <w:p w14:paraId="000406A7" w14:textId="40596AB9" w:rsidR="00A17489" w:rsidRPr="00662097" w:rsidRDefault="00774642" w:rsidP="00701A90">
            <w:pPr>
              <w:spacing w:before="120" w:after="120" w:line="240" w:lineRule="auto"/>
              <w:rPr>
                <w:rFonts w:ascii="Arial" w:hAnsi="Arial" w:cs="Arial"/>
                <w:sz w:val="16"/>
                <w:szCs w:val="18"/>
                <w:lang w:val="es-ES_tradnl"/>
              </w:rPr>
            </w:pPr>
            <w:r w:rsidRPr="00662097">
              <w:rPr>
                <w:rFonts w:ascii="Arial" w:hAnsi="Arial" w:cs="Arial"/>
                <w:sz w:val="16"/>
                <w:szCs w:val="18"/>
                <w:lang w:val="es-ES_tradnl"/>
              </w:rPr>
              <w:t xml:space="preserve">Recomendamos que el IFT reconsidere este problema de tarifas e introduzca una opción de tarifas adicional que refleje el uso de solamente un </w:t>
            </w:r>
            <w:proofErr w:type="spellStart"/>
            <w:r w:rsidRPr="00662097">
              <w:rPr>
                <w:rFonts w:ascii="Arial" w:hAnsi="Arial" w:cs="Arial"/>
                <w:sz w:val="16"/>
                <w:szCs w:val="18"/>
                <w:lang w:val="es-ES_tradnl"/>
              </w:rPr>
              <w:t>subducto</w:t>
            </w:r>
            <w:proofErr w:type="spellEnd"/>
            <w:r w:rsidRPr="00662097">
              <w:rPr>
                <w:rFonts w:ascii="Arial" w:hAnsi="Arial" w:cs="Arial"/>
                <w:sz w:val="16"/>
                <w:szCs w:val="18"/>
                <w:lang w:val="es-ES_tradnl"/>
              </w:rPr>
              <w:t xml:space="preserve"> que entre o salga de un pozo de acceso.</w:t>
            </w:r>
          </w:p>
        </w:tc>
        <w:tc>
          <w:tcPr>
            <w:tcW w:w="4536" w:type="dxa"/>
          </w:tcPr>
          <w:p w14:paraId="1F49DDD9" w14:textId="1DD20843" w:rsidR="009D610B" w:rsidRPr="00662097" w:rsidRDefault="009D610B" w:rsidP="00A17489">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Se destaca que la estructura tarifa estima</w:t>
            </w:r>
            <w:r w:rsidR="0068400D" w:rsidRPr="00662097">
              <w:rPr>
                <w:rFonts w:ascii="Arial" w:eastAsia="Times New Roman" w:hAnsi="Arial" w:cs="Arial"/>
                <w:color w:val="000000"/>
                <w:sz w:val="16"/>
                <w:szCs w:val="16"/>
                <w:lang w:eastAsia="es-MX"/>
              </w:rPr>
              <w:t xml:space="preserve"> una</w:t>
            </w:r>
            <w:r w:rsidRPr="00662097">
              <w:rPr>
                <w:rFonts w:ascii="Arial" w:eastAsia="Times New Roman" w:hAnsi="Arial" w:cs="Arial"/>
                <w:color w:val="000000"/>
                <w:sz w:val="16"/>
                <w:szCs w:val="16"/>
                <w:lang w:eastAsia="es-MX"/>
              </w:rPr>
              <w:t xml:space="preserve"> contraprestación anual por entrada o salida del pozo, utilizando una vía para entrar al pozo o por una vía para salir del pozo.</w:t>
            </w:r>
            <w:r w:rsidR="00676E16" w:rsidRPr="00662097" w:rsidDel="00676E16">
              <w:rPr>
                <w:rFonts w:ascii="Arial" w:eastAsia="Times New Roman" w:hAnsi="Arial" w:cs="Arial"/>
                <w:color w:val="000000"/>
                <w:sz w:val="16"/>
                <w:szCs w:val="16"/>
                <w:lang w:eastAsia="es-MX"/>
              </w:rPr>
              <w:t xml:space="preserve"> </w:t>
            </w:r>
          </w:p>
          <w:p w14:paraId="357FF003" w14:textId="616BF4F2" w:rsidR="00A17489" w:rsidRPr="00662097" w:rsidRDefault="00036569" w:rsidP="00A17489">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 xml:space="preserve">Por otro lado, la estructura de precios actual por el uso de una vía para entrar o salir del pozo está alineada con la práctica internacional, tal como se evidencia en países como Reino Unido o Singapur que tampoco diferencian precios para subductos. Además, </w:t>
            </w:r>
            <w:r w:rsidR="00CA01D0" w:rsidRPr="00662097">
              <w:rPr>
                <w:rFonts w:ascii="Arial" w:eastAsia="Times New Roman" w:hAnsi="Arial" w:cs="Arial"/>
                <w:color w:val="000000"/>
                <w:sz w:val="16"/>
                <w:szCs w:val="16"/>
                <w:lang w:eastAsia="es-MX"/>
              </w:rPr>
              <w:t>Grupo</w:t>
            </w:r>
            <w:r w:rsidRPr="00662097">
              <w:rPr>
                <w:rFonts w:ascii="Arial" w:eastAsia="Times New Roman" w:hAnsi="Arial" w:cs="Arial"/>
                <w:color w:val="000000"/>
                <w:sz w:val="16"/>
                <w:szCs w:val="16"/>
                <w:lang w:eastAsia="es-MX"/>
              </w:rPr>
              <w:t xml:space="preserve"> Televisa es el único operador que ha expresado inconformidad con el proceso actual. Por lo tanto, </w:t>
            </w:r>
            <w:r w:rsidR="00CE4A8D">
              <w:rPr>
                <w:rFonts w:ascii="Arial" w:eastAsia="Times New Roman" w:hAnsi="Arial" w:cs="Arial"/>
                <w:color w:val="000000"/>
                <w:sz w:val="16"/>
                <w:szCs w:val="16"/>
                <w:lang w:eastAsia="es-MX"/>
              </w:rPr>
              <w:t>la UPR</w:t>
            </w:r>
            <w:r w:rsidRPr="00662097">
              <w:rPr>
                <w:rFonts w:ascii="Arial" w:eastAsia="Times New Roman" w:hAnsi="Arial" w:cs="Arial"/>
                <w:color w:val="000000"/>
                <w:sz w:val="16"/>
                <w:szCs w:val="16"/>
                <w:lang w:eastAsia="es-MX"/>
              </w:rPr>
              <w:t xml:space="preserve"> </w:t>
            </w:r>
            <w:r w:rsidR="00CE4A8D">
              <w:rPr>
                <w:rFonts w:ascii="Arial" w:eastAsia="Times New Roman" w:hAnsi="Arial" w:cs="Arial"/>
                <w:color w:val="000000"/>
                <w:sz w:val="16"/>
                <w:szCs w:val="16"/>
                <w:lang w:eastAsia="es-MX"/>
              </w:rPr>
              <w:t>considera</w:t>
            </w:r>
            <w:r w:rsidRPr="00662097">
              <w:rPr>
                <w:rFonts w:ascii="Arial" w:eastAsia="Times New Roman" w:hAnsi="Arial" w:cs="Arial"/>
                <w:color w:val="000000"/>
                <w:sz w:val="16"/>
                <w:szCs w:val="16"/>
                <w:lang w:eastAsia="es-MX"/>
              </w:rPr>
              <w:t xml:space="preserve"> mantener la estructura de precios actual por el uso de una vía para entrar o salir del pozo.</w:t>
            </w:r>
          </w:p>
        </w:tc>
      </w:tr>
      <w:tr w:rsidR="00A17489" w:rsidRPr="00662097" w14:paraId="0B730B20" w14:textId="77777777" w:rsidTr="008F664E">
        <w:trPr>
          <w:trHeight w:val="20"/>
        </w:trPr>
        <w:tc>
          <w:tcPr>
            <w:tcW w:w="1271" w:type="dxa"/>
            <w:vAlign w:val="center"/>
          </w:tcPr>
          <w:p w14:paraId="6D219F4E" w14:textId="1C582CAD" w:rsidR="00A17489" w:rsidRPr="00662097" w:rsidRDefault="00A17489" w:rsidP="00774642">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Grupo Televisa</w:t>
            </w:r>
          </w:p>
        </w:tc>
        <w:tc>
          <w:tcPr>
            <w:tcW w:w="1843" w:type="dxa"/>
            <w:shd w:val="clear" w:color="auto" w:fill="auto"/>
            <w:vAlign w:val="center"/>
          </w:tcPr>
          <w:p w14:paraId="3DE959B0" w14:textId="6A295D6B" w:rsidR="00A17489" w:rsidRPr="00662097" w:rsidRDefault="00774642" w:rsidP="00A17489">
            <w:pPr>
              <w:spacing w:after="0" w:line="240" w:lineRule="auto"/>
              <w:jc w:val="center"/>
              <w:rPr>
                <w:rFonts w:ascii="Arial" w:eastAsia="Times New Roman" w:hAnsi="Arial" w:cs="Arial"/>
                <w:color w:val="000000"/>
                <w:sz w:val="16"/>
                <w:szCs w:val="16"/>
                <w:lang w:val="es-ES_tradnl" w:eastAsia="es-MX"/>
              </w:rPr>
            </w:pPr>
            <w:r w:rsidRPr="00662097">
              <w:rPr>
                <w:rFonts w:ascii="Arial" w:eastAsia="Times New Roman" w:hAnsi="Arial" w:cs="Arial"/>
                <w:color w:val="000000"/>
                <w:sz w:val="16"/>
                <w:szCs w:val="16"/>
                <w:lang w:val="es-ES_tradnl" w:eastAsia="es-MX"/>
              </w:rPr>
              <w:t>4.3 Simplificación del precio de acceso a pozos</w:t>
            </w:r>
          </w:p>
        </w:tc>
        <w:tc>
          <w:tcPr>
            <w:tcW w:w="6379" w:type="dxa"/>
            <w:shd w:val="clear" w:color="auto" w:fill="auto"/>
            <w:vAlign w:val="center"/>
          </w:tcPr>
          <w:p w14:paraId="66411C15" w14:textId="77777777" w:rsidR="00774642" w:rsidRPr="00662097" w:rsidRDefault="00774642" w:rsidP="00701A90">
            <w:pPr>
              <w:pStyle w:val="Ttulo4"/>
              <w:numPr>
                <w:ilvl w:val="0"/>
                <w:numId w:val="0"/>
              </w:numPr>
              <w:spacing w:before="120" w:after="120" w:line="240" w:lineRule="auto"/>
              <w:rPr>
                <w:rFonts w:ascii="Arial" w:hAnsi="Arial" w:cs="Arial"/>
                <w:b w:val="0"/>
                <w:bCs/>
                <w:sz w:val="16"/>
                <w:szCs w:val="18"/>
                <w:u w:val="single"/>
                <w:lang w:val="es-ES_tradnl"/>
              </w:rPr>
            </w:pPr>
            <w:r w:rsidRPr="00662097">
              <w:rPr>
                <w:rFonts w:ascii="Arial" w:hAnsi="Arial" w:cs="Arial"/>
                <w:b w:val="0"/>
                <w:bCs/>
                <w:sz w:val="16"/>
                <w:szCs w:val="18"/>
                <w:u w:val="single"/>
                <w:lang w:val="es-ES_tradnl"/>
              </w:rPr>
              <w:t>Contexto</w:t>
            </w:r>
          </w:p>
          <w:p w14:paraId="6ADF3F19" w14:textId="77777777" w:rsidR="00774642" w:rsidRPr="00662097" w:rsidRDefault="00774642" w:rsidP="00701A90">
            <w:pPr>
              <w:spacing w:before="120" w:after="120" w:line="240" w:lineRule="auto"/>
              <w:rPr>
                <w:rFonts w:ascii="Arial" w:hAnsi="Arial" w:cs="Arial"/>
                <w:sz w:val="16"/>
                <w:szCs w:val="18"/>
                <w:lang w:val="es-ES_tradnl"/>
              </w:rPr>
            </w:pPr>
            <w:r w:rsidRPr="00662097">
              <w:rPr>
                <w:rFonts w:ascii="Arial" w:hAnsi="Arial" w:cs="Arial"/>
                <w:sz w:val="16"/>
                <w:szCs w:val="18"/>
                <w:lang w:val="es-ES_tradnl"/>
              </w:rPr>
              <w:t xml:space="preserve">Tal y como se comentó durante nuestra revisión de los modelos de acceso en 2015 y 2020, consideramos que un CS utilizaría infraestructura pasiva desde un punto A </w:t>
            </w:r>
            <w:proofErr w:type="spellStart"/>
            <w:r w:rsidRPr="00662097">
              <w:rPr>
                <w:rFonts w:ascii="Arial" w:hAnsi="Arial" w:cs="Arial"/>
                <w:sz w:val="16"/>
                <w:szCs w:val="18"/>
                <w:lang w:val="es-ES_tradnl"/>
              </w:rPr>
              <w:t>a</w:t>
            </w:r>
            <w:proofErr w:type="spellEnd"/>
            <w:r w:rsidRPr="00662097">
              <w:rPr>
                <w:rFonts w:ascii="Arial" w:hAnsi="Arial" w:cs="Arial"/>
                <w:sz w:val="16"/>
                <w:szCs w:val="18"/>
                <w:lang w:val="es-ES_tradnl"/>
              </w:rPr>
              <w:t xml:space="preserve"> un punto B de la red. A dicho CS no le interesa saber el tipo y tamaño de los pozos (p.ej. </w:t>
            </w:r>
            <w:r w:rsidRPr="00662097">
              <w:rPr>
                <w:rFonts w:ascii="Arial" w:hAnsi="Arial" w:cs="Arial"/>
                <w:sz w:val="16"/>
                <w:szCs w:val="18"/>
                <w:lang w:val="es-ES_tradnl"/>
              </w:rPr>
              <w:lastRenderedPageBreak/>
              <w:t>L1T, M2M, K2C, etc.) que atraviesa en la ruta de su elección y, de hecho, no tiene control sobre los mismos. Es muy posible que ni el propio AEP lo sepa en todos los casos y la única manera que tendría de descubrirlo es abriéndolos. Por lo tanto, se propone que se simplifique la estructura de precios de los pozos en rutas solicitadas a un solo precio, eliminando la diferenciación basada en precio. Esto nos llevaría a:</w:t>
            </w:r>
          </w:p>
          <w:p w14:paraId="11848A63" w14:textId="77777777" w:rsidR="00774642" w:rsidRPr="00662097" w:rsidRDefault="00774642" w:rsidP="00570AFE">
            <w:pPr>
              <w:pStyle w:val="TableListBullet"/>
              <w:numPr>
                <w:ilvl w:val="0"/>
                <w:numId w:val="22"/>
              </w:numPr>
              <w:rPr>
                <w:rFonts w:ascii="Arial" w:hAnsi="Arial" w:cs="Arial"/>
                <w:lang w:val="es-ES_tradnl"/>
              </w:rPr>
            </w:pPr>
            <w:r w:rsidRPr="00662097">
              <w:rPr>
                <w:rFonts w:ascii="Arial" w:hAnsi="Arial" w:cs="Arial"/>
                <w:lang w:val="es-ES_tradnl"/>
              </w:rPr>
              <w:t>Simplificar el proceso de solicitud de los pozos.</w:t>
            </w:r>
          </w:p>
          <w:p w14:paraId="24BDA573" w14:textId="77777777" w:rsidR="00774642" w:rsidRPr="00662097" w:rsidRDefault="00774642" w:rsidP="00570AFE">
            <w:pPr>
              <w:pStyle w:val="TableListBullet"/>
              <w:numPr>
                <w:ilvl w:val="0"/>
                <w:numId w:val="22"/>
              </w:numPr>
              <w:rPr>
                <w:rFonts w:ascii="Arial" w:hAnsi="Arial" w:cs="Arial"/>
                <w:lang w:val="es-ES_tradnl"/>
              </w:rPr>
            </w:pPr>
            <w:r w:rsidRPr="00662097">
              <w:rPr>
                <w:rFonts w:ascii="Arial" w:hAnsi="Arial" w:cs="Arial"/>
                <w:lang w:val="es-ES_tradnl"/>
              </w:rPr>
              <w:t>Evitar penalizar a los CS por pasar de manera inintencionada a través de pozos grandes.</w:t>
            </w:r>
          </w:p>
          <w:p w14:paraId="1A80EA12" w14:textId="77777777" w:rsidR="00774642" w:rsidRPr="00662097" w:rsidRDefault="00774642" w:rsidP="00570AFE">
            <w:pPr>
              <w:pStyle w:val="TableListBullet"/>
              <w:numPr>
                <w:ilvl w:val="0"/>
                <w:numId w:val="22"/>
              </w:numPr>
              <w:rPr>
                <w:rFonts w:ascii="Arial" w:hAnsi="Arial" w:cs="Arial"/>
                <w:lang w:val="es-ES_tradnl"/>
              </w:rPr>
            </w:pPr>
            <w:r w:rsidRPr="00662097">
              <w:rPr>
                <w:rFonts w:ascii="Arial" w:hAnsi="Arial" w:cs="Arial"/>
                <w:lang w:val="es-ES_tradnl"/>
              </w:rPr>
              <w:t>Permitir el modelado de una red eficiente, sin estar distorsionada por pozos innecesariamente grandes.</w:t>
            </w:r>
          </w:p>
          <w:p w14:paraId="5EA07E58" w14:textId="77777777" w:rsidR="00774642" w:rsidRPr="00662097" w:rsidRDefault="00774642" w:rsidP="00701A90">
            <w:pPr>
              <w:spacing w:before="120" w:after="120" w:line="240" w:lineRule="auto"/>
              <w:rPr>
                <w:rFonts w:ascii="Arial" w:hAnsi="Arial" w:cs="Arial"/>
                <w:sz w:val="16"/>
                <w:szCs w:val="18"/>
                <w:lang w:val="es-MX"/>
              </w:rPr>
            </w:pPr>
            <w:r w:rsidRPr="00662097">
              <w:rPr>
                <w:rFonts w:ascii="Arial" w:hAnsi="Arial" w:cs="Arial"/>
                <w:sz w:val="16"/>
                <w:szCs w:val="18"/>
                <w:lang w:val="es-ES_tradnl"/>
              </w:rPr>
              <w:t>Esta simplificación de precios también es consistente con proporcionar un precio de rutas por subductos identificado en el punto anterior.</w:t>
            </w:r>
            <w:r w:rsidRPr="00662097">
              <w:rPr>
                <w:rFonts w:ascii="Arial" w:hAnsi="Arial" w:cs="Arial"/>
                <w:sz w:val="16"/>
                <w:szCs w:val="18"/>
                <w:lang w:val="es-MX"/>
              </w:rPr>
              <w:t xml:space="preserve"> </w:t>
            </w:r>
          </w:p>
          <w:p w14:paraId="4E1BCC96" w14:textId="77777777" w:rsidR="00774642" w:rsidRPr="00662097" w:rsidRDefault="00774642" w:rsidP="00701A90">
            <w:pPr>
              <w:spacing w:before="120" w:after="120" w:line="240" w:lineRule="auto"/>
              <w:rPr>
                <w:rFonts w:ascii="Arial" w:hAnsi="Arial" w:cs="Arial"/>
                <w:sz w:val="16"/>
                <w:szCs w:val="18"/>
                <w:u w:val="single"/>
                <w:lang w:val="es-ES_tradnl"/>
              </w:rPr>
            </w:pPr>
            <w:r w:rsidRPr="00662097">
              <w:rPr>
                <w:rFonts w:ascii="Arial" w:hAnsi="Arial" w:cs="Arial"/>
                <w:sz w:val="16"/>
                <w:szCs w:val="18"/>
                <w:u w:val="single"/>
                <w:lang w:val="es-ES_tradnl"/>
              </w:rPr>
              <w:t>Conclusiones y sugerencias</w:t>
            </w:r>
          </w:p>
          <w:p w14:paraId="1B846F6F" w14:textId="77777777" w:rsidR="00774642" w:rsidRPr="00662097" w:rsidRDefault="00774642" w:rsidP="00701A90">
            <w:pPr>
              <w:spacing w:before="120" w:after="120" w:line="240" w:lineRule="auto"/>
              <w:rPr>
                <w:rFonts w:ascii="Arial" w:hAnsi="Arial" w:cs="Arial"/>
                <w:sz w:val="16"/>
                <w:szCs w:val="18"/>
                <w:lang w:val="es-ES_tradnl"/>
              </w:rPr>
            </w:pPr>
            <w:r w:rsidRPr="00662097">
              <w:rPr>
                <w:rFonts w:ascii="Arial" w:hAnsi="Arial" w:cs="Arial"/>
                <w:sz w:val="16"/>
                <w:szCs w:val="18"/>
                <w:lang w:val="es-ES_tradnl"/>
              </w:rPr>
              <w:t>Recomendamos al IFT que considere eliminar las variaciones de precio de los pozos en función del tipo de pozo atravesado.</w:t>
            </w:r>
          </w:p>
          <w:p w14:paraId="3C229393" w14:textId="461E33D5" w:rsidR="00A17489" w:rsidRPr="00662097" w:rsidRDefault="00774642" w:rsidP="00701A90">
            <w:pPr>
              <w:spacing w:before="120" w:after="120" w:line="240" w:lineRule="auto"/>
              <w:rPr>
                <w:rFonts w:ascii="Arial" w:hAnsi="Arial" w:cs="Arial"/>
                <w:sz w:val="16"/>
                <w:szCs w:val="18"/>
                <w:lang w:val="es-ES_tradnl"/>
              </w:rPr>
            </w:pPr>
            <w:r w:rsidRPr="00662097">
              <w:rPr>
                <w:rFonts w:ascii="Arial" w:hAnsi="Arial" w:cs="Arial"/>
                <w:sz w:val="16"/>
                <w:szCs w:val="18"/>
                <w:lang w:val="es-ES_tradnl"/>
              </w:rPr>
              <w:t xml:space="preserve">Aunando esta conclusión con la de la sección 4.2, consideramos que el precio del pozo debería variar en función del tamaño del ducto y </w:t>
            </w:r>
            <w:proofErr w:type="spellStart"/>
            <w:r w:rsidRPr="00662097">
              <w:rPr>
                <w:rFonts w:ascii="Arial" w:hAnsi="Arial" w:cs="Arial"/>
                <w:sz w:val="16"/>
                <w:szCs w:val="18"/>
                <w:lang w:val="es-ES_tradnl"/>
              </w:rPr>
              <w:t>subducto</w:t>
            </w:r>
            <w:proofErr w:type="spellEnd"/>
            <w:r w:rsidRPr="00662097">
              <w:rPr>
                <w:rFonts w:ascii="Arial" w:hAnsi="Arial" w:cs="Arial"/>
                <w:sz w:val="16"/>
                <w:szCs w:val="18"/>
                <w:lang w:val="es-ES_tradnl"/>
              </w:rPr>
              <w:t xml:space="preserve"> utilizado.</w:t>
            </w:r>
          </w:p>
        </w:tc>
        <w:tc>
          <w:tcPr>
            <w:tcW w:w="4536" w:type="dxa"/>
          </w:tcPr>
          <w:p w14:paraId="5ED1F8F6" w14:textId="2EE6141F" w:rsidR="00A17489" w:rsidRPr="00662097" w:rsidRDefault="00204D69" w:rsidP="00A17489">
            <w:pPr>
              <w:autoSpaceDE w:val="0"/>
              <w:autoSpaceDN w:val="0"/>
              <w:adjustRightInd w:val="0"/>
              <w:spacing w:before="120" w:after="120" w:line="240" w:lineRule="auto"/>
              <w:rPr>
                <w:rFonts w:ascii="Arial" w:eastAsia="Times New Roman" w:hAnsi="Arial" w:cs="Arial"/>
                <w:color w:val="000000"/>
                <w:sz w:val="16"/>
                <w:szCs w:val="16"/>
                <w:highlight w:val="yellow"/>
                <w:lang w:eastAsia="es-MX"/>
              </w:rPr>
            </w:pPr>
            <w:r w:rsidRPr="00662097">
              <w:rPr>
                <w:rFonts w:ascii="Arial" w:eastAsia="Times New Roman" w:hAnsi="Arial" w:cs="Arial"/>
                <w:color w:val="000000"/>
                <w:sz w:val="16"/>
                <w:szCs w:val="16"/>
                <w:lang w:eastAsia="es-MX"/>
              </w:rPr>
              <w:lastRenderedPageBreak/>
              <w:t xml:space="preserve">Se destaca que la estructura tarifaria, acorde con el tipo de pozo se encuentra acorde con el alcance de los servicios e infraestructura propuesta por el propio AEP. Por lo cual, resulta relevante reconocer las características de dichos elementos de infraestructura y determinar una tarifa acorde con dichas </w:t>
            </w:r>
            <w:r w:rsidRPr="00662097">
              <w:rPr>
                <w:rFonts w:ascii="Arial" w:eastAsia="Times New Roman" w:hAnsi="Arial" w:cs="Arial"/>
                <w:color w:val="000000"/>
                <w:sz w:val="16"/>
                <w:szCs w:val="16"/>
                <w:lang w:eastAsia="es-MX"/>
              </w:rPr>
              <w:lastRenderedPageBreak/>
              <w:t xml:space="preserve">disposiciones reconocidos en la propia oferta de referencia autorizada por el Instituto </w:t>
            </w:r>
          </w:p>
          <w:p w14:paraId="158431B1" w14:textId="3DE94B5F" w:rsidR="00A17489" w:rsidRPr="00662097" w:rsidRDefault="00172AE7" w:rsidP="00A17489">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Asimismo, de acuerdo con la propuesta tarifaria en la oferta de referencia</w:t>
            </w:r>
            <w:r w:rsidRPr="00662097">
              <w:rPr>
                <w:rStyle w:val="Refdenotaalpie"/>
                <w:rFonts w:ascii="Arial" w:eastAsia="Times New Roman" w:hAnsi="Arial" w:cs="Arial"/>
                <w:color w:val="000000"/>
                <w:sz w:val="16"/>
                <w:szCs w:val="16"/>
                <w:lang w:eastAsia="es-MX"/>
              </w:rPr>
              <w:footnoteReference w:id="11"/>
            </w:r>
            <w:r w:rsidRPr="00662097">
              <w:rPr>
                <w:rFonts w:ascii="Arial" w:eastAsia="Times New Roman" w:hAnsi="Arial" w:cs="Arial"/>
                <w:color w:val="000000"/>
                <w:sz w:val="16"/>
                <w:szCs w:val="16"/>
                <w:lang w:eastAsia="es-MX"/>
              </w:rPr>
              <w:t xml:space="preserve"> se identificó que </w:t>
            </w:r>
            <w:r w:rsidR="00204D69" w:rsidRPr="00662097">
              <w:rPr>
                <w:rFonts w:ascii="Arial" w:eastAsia="Times New Roman" w:hAnsi="Arial" w:cs="Arial"/>
                <w:color w:val="000000"/>
                <w:sz w:val="16"/>
                <w:szCs w:val="16"/>
                <w:lang w:eastAsia="es-MX"/>
              </w:rPr>
              <w:t xml:space="preserve">existe un </w:t>
            </w:r>
            <w:r w:rsidR="00C35BB4" w:rsidRPr="00662097">
              <w:rPr>
                <w:rFonts w:ascii="Arial" w:eastAsia="Times New Roman" w:hAnsi="Arial" w:cs="Arial"/>
                <w:color w:val="000000"/>
                <w:sz w:val="16"/>
                <w:szCs w:val="16"/>
                <w:lang w:eastAsia="es-MX"/>
              </w:rPr>
              <w:t xml:space="preserve">nuevo </w:t>
            </w:r>
            <w:r w:rsidR="00204D69" w:rsidRPr="00662097">
              <w:rPr>
                <w:rFonts w:ascii="Arial" w:eastAsia="Times New Roman" w:hAnsi="Arial" w:cs="Arial"/>
                <w:color w:val="000000"/>
                <w:sz w:val="16"/>
                <w:szCs w:val="16"/>
                <w:lang w:eastAsia="es-MX"/>
              </w:rPr>
              <w:t xml:space="preserve">pozo de tipo K1C, el cual será integrado en la modelación de los servicios de infraestructura acorde con las características técnicas y de costos </w:t>
            </w:r>
            <w:r w:rsidR="00C35BB4" w:rsidRPr="00662097">
              <w:rPr>
                <w:rFonts w:ascii="Arial" w:eastAsia="Times New Roman" w:hAnsi="Arial" w:cs="Arial"/>
                <w:color w:val="000000"/>
                <w:sz w:val="16"/>
                <w:szCs w:val="16"/>
                <w:lang w:eastAsia="es-MX"/>
              </w:rPr>
              <w:t>disponibles</w:t>
            </w:r>
            <w:r w:rsidR="00204D69" w:rsidRPr="00662097">
              <w:rPr>
                <w:rFonts w:ascii="Arial" w:eastAsia="Times New Roman" w:hAnsi="Arial" w:cs="Arial"/>
                <w:color w:val="000000"/>
                <w:sz w:val="16"/>
                <w:szCs w:val="16"/>
                <w:lang w:eastAsia="es-MX"/>
              </w:rPr>
              <w:t>.</w:t>
            </w:r>
          </w:p>
        </w:tc>
      </w:tr>
      <w:tr w:rsidR="00A17489" w:rsidRPr="00662097" w14:paraId="794087CE" w14:textId="77777777" w:rsidTr="008F664E">
        <w:trPr>
          <w:trHeight w:val="20"/>
        </w:trPr>
        <w:tc>
          <w:tcPr>
            <w:tcW w:w="1271" w:type="dxa"/>
            <w:vAlign w:val="center"/>
          </w:tcPr>
          <w:p w14:paraId="577E8A76" w14:textId="7DB6B040" w:rsidR="00A17489" w:rsidRPr="00662097" w:rsidRDefault="00A17489" w:rsidP="00774642">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lastRenderedPageBreak/>
              <w:t>Grupo Televisa</w:t>
            </w:r>
          </w:p>
        </w:tc>
        <w:tc>
          <w:tcPr>
            <w:tcW w:w="1843" w:type="dxa"/>
            <w:shd w:val="clear" w:color="auto" w:fill="auto"/>
            <w:vAlign w:val="center"/>
          </w:tcPr>
          <w:p w14:paraId="2C92C7C8" w14:textId="4876FF5D" w:rsidR="00A17489" w:rsidRPr="00662097" w:rsidRDefault="00774642" w:rsidP="00A1748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5.1 Parámetro de ducto útil</w:t>
            </w:r>
          </w:p>
        </w:tc>
        <w:tc>
          <w:tcPr>
            <w:tcW w:w="6379" w:type="dxa"/>
            <w:shd w:val="clear" w:color="auto" w:fill="auto"/>
            <w:vAlign w:val="center"/>
          </w:tcPr>
          <w:p w14:paraId="2CC2E829" w14:textId="77777777" w:rsidR="00774642" w:rsidRPr="00662097" w:rsidRDefault="00774642" w:rsidP="00701A90">
            <w:pPr>
              <w:pStyle w:val="Ttulo4"/>
              <w:numPr>
                <w:ilvl w:val="0"/>
                <w:numId w:val="0"/>
              </w:numPr>
              <w:spacing w:before="120" w:after="120" w:line="240" w:lineRule="auto"/>
              <w:rPr>
                <w:rFonts w:ascii="Arial" w:hAnsi="Arial" w:cs="Arial"/>
                <w:b w:val="0"/>
                <w:bCs/>
                <w:sz w:val="16"/>
                <w:szCs w:val="18"/>
                <w:u w:val="single"/>
                <w:lang w:val="es-ES_tradnl"/>
              </w:rPr>
            </w:pPr>
            <w:r w:rsidRPr="00662097">
              <w:rPr>
                <w:rFonts w:ascii="Arial" w:hAnsi="Arial" w:cs="Arial"/>
                <w:b w:val="0"/>
                <w:bCs/>
                <w:sz w:val="16"/>
                <w:szCs w:val="18"/>
                <w:u w:val="single"/>
                <w:lang w:val="es-ES_tradnl"/>
              </w:rPr>
              <w:t>Contexto</w:t>
            </w:r>
          </w:p>
          <w:p w14:paraId="4C513307" w14:textId="77777777" w:rsidR="00774642" w:rsidRPr="00662097" w:rsidRDefault="00774642" w:rsidP="00701A90">
            <w:pPr>
              <w:spacing w:before="120" w:after="120" w:line="240" w:lineRule="auto"/>
              <w:rPr>
                <w:rFonts w:ascii="Arial" w:hAnsi="Arial" w:cs="Arial"/>
                <w:sz w:val="16"/>
                <w:szCs w:val="18"/>
                <w:lang w:val="es-ES_tradnl"/>
              </w:rPr>
            </w:pPr>
            <w:r w:rsidRPr="00662097">
              <w:rPr>
                <w:rFonts w:ascii="Arial" w:hAnsi="Arial" w:cs="Arial"/>
                <w:sz w:val="16"/>
                <w:szCs w:val="18"/>
                <w:lang w:val="es-ES_tradnl"/>
              </w:rPr>
              <w:t>El modelo contiene un parámetro 'Área útil estimada como % del área del ducto' que reduce el volumen de servicio utilizado en el cálculo del precio. Este parámetro tiene un valor de 32% y no entendemos por qué es tan bajo.</w:t>
            </w:r>
          </w:p>
          <w:p w14:paraId="621F6DFB" w14:textId="77777777" w:rsidR="00774642" w:rsidRPr="00662097" w:rsidRDefault="00774642" w:rsidP="00701A90">
            <w:pPr>
              <w:spacing w:before="120" w:after="120" w:line="240" w:lineRule="auto"/>
              <w:rPr>
                <w:rFonts w:ascii="Arial" w:hAnsi="Arial" w:cs="Arial"/>
                <w:sz w:val="16"/>
                <w:szCs w:val="18"/>
                <w:lang w:val="es-ES_tradnl"/>
              </w:rPr>
            </w:pPr>
            <w:r w:rsidRPr="00662097">
              <w:rPr>
                <w:rFonts w:ascii="Arial" w:hAnsi="Arial" w:cs="Arial"/>
                <w:sz w:val="16"/>
                <w:szCs w:val="18"/>
                <w:lang w:val="es-ES_tradnl"/>
              </w:rPr>
              <w:t xml:space="preserve">En el escenario de cobre, el modelo despliega en promedio 5.46 ductos por metro de zanja. Al decir que solo se puede usar el 32% (1.75 ductos por metro de zanja), el modelo sobreestima el costo incremental de usar un ducto. Si la utilización es tan baja, entonces el modelo está </w:t>
            </w:r>
            <w:proofErr w:type="spellStart"/>
            <w:r w:rsidRPr="00662097">
              <w:rPr>
                <w:rFonts w:ascii="Arial" w:hAnsi="Arial" w:cs="Arial"/>
                <w:sz w:val="16"/>
                <w:szCs w:val="18"/>
                <w:lang w:val="es-ES_tradnl"/>
              </w:rPr>
              <w:t>sobreprovisionando</w:t>
            </w:r>
            <w:proofErr w:type="spellEnd"/>
            <w:r w:rsidRPr="00662097">
              <w:rPr>
                <w:rFonts w:ascii="Arial" w:hAnsi="Arial" w:cs="Arial"/>
                <w:sz w:val="16"/>
                <w:szCs w:val="18"/>
                <w:lang w:val="es-ES_tradnl"/>
              </w:rPr>
              <w:t xml:space="preserve"> el conducto y no se está implementando una red eficiente.</w:t>
            </w:r>
          </w:p>
          <w:p w14:paraId="6ACB193D" w14:textId="77777777" w:rsidR="00774642" w:rsidRPr="00662097" w:rsidRDefault="00774642" w:rsidP="00701A90">
            <w:pPr>
              <w:spacing w:before="120" w:after="120" w:line="240" w:lineRule="auto"/>
              <w:rPr>
                <w:rFonts w:ascii="Arial" w:hAnsi="Arial" w:cs="Arial"/>
                <w:sz w:val="16"/>
                <w:szCs w:val="18"/>
                <w:lang w:val="es-ES_tradnl"/>
              </w:rPr>
            </w:pPr>
            <w:r w:rsidRPr="00662097">
              <w:rPr>
                <w:rFonts w:ascii="Arial" w:hAnsi="Arial" w:cs="Arial"/>
                <w:sz w:val="16"/>
                <w:szCs w:val="18"/>
                <w:lang w:val="es-ES_tradnl"/>
              </w:rPr>
              <w:t>Podemos entender la necesidad, desde una perspectiva de ingeniería, en guardar un ducto como repuesto. Lo que sugeriría que una tasa de utilización del 82% ((5.46-1) /5.46) sería más razonable.</w:t>
            </w:r>
          </w:p>
          <w:p w14:paraId="0C9417F3" w14:textId="77777777" w:rsidR="00774642" w:rsidRPr="00662097" w:rsidRDefault="00774642" w:rsidP="00701A90">
            <w:pPr>
              <w:spacing w:before="120" w:after="120" w:line="240" w:lineRule="auto"/>
              <w:rPr>
                <w:rFonts w:ascii="Arial" w:hAnsi="Arial" w:cs="Arial"/>
                <w:i/>
                <w:iCs/>
                <w:sz w:val="16"/>
                <w:szCs w:val="18"/>
                <w:lang w:val="es-ES_tradnl"/>
              </w:rPr>
            </w:pPr>
            <w:r w:rsidRPr="00662097">
              <w:rPr>
                <w:rFonts w:ascii="Arial" w:hAnsi="Arial" w:cs="Arial"/>
                <w:i/>
                <w:iCs/>
                <w:sz w:val="16"/>
                <w:szCs w:val="18"/>
                <w:lang w:val="es-ES_tradnl"/>
              </w:rPr>
              <w:t>Conclusiones y sugerencias</w:t>
            </w:r>
          </w:p>
          <w:p w14:paraId="16070140" w14:textId="76B68DA7" w:rsidR="00A17489" w:rsidRPr="00662097" w:rsidRDefault="00774642" w:rsidP="00701A90">
            <w:pPr>
              <w:spacing w:before="120" w:after="120" w:line="240" w:lineRule="auto"/>
              <w:rPr>
                <w:rFonts w:ascii="Arial" w:hAnsi="Arial" w:cs="Arial"/>
                <w:sz w:val="16"/>
                <w:szCs w:val="18"/>
                <w:lang w:val="es-ES_tradnl"/>
              </w:rPr>
            </w:pPr>
            <w:r w:rsidRPr="00662097">
              <w:rPr>
                <w:rFonts w:ascii="Arial" w:hAnsi="Arial" w:cs="Arial"/>
                <w:sz w:val="16"/>
                <w:szCs w:val="18"/>
                <w:lang w:val="es-ES_tradnl"/>
              </w:rPr>
              <w:t>Recomendamos al IFT, como ya se hizo en la consulta 2020, que reevalúe su parámetro de utilización de ductos. Consideramos que el valor lógico, basado en el modelo, sería de un 82%.</w:t>
            </w:r>
          </w:p>
        </w:tc>
        <w:tc>
          <w:tcPr>
            <w:tcW w:w="4536" w:type="dxa"/>
          </w:tcPr>
          <w:p w14:paraId="55512BBC" w14:textId="77777777" w:rsidR="00EB4C45" w:rsidRPr="00662097" w:rsidRDefault="00EB4C45" w:rsidP="00F72652">
            <w:pPr>
              <w:autoSpaceDE w:val="0"/>
              <w:autoSpaceDN w:val="0"/>
              <w:adjustRightInd w:val="0"/>
              <w:spacing w:before="120" w:after="120" w:line="240" w:lineRule="auto"/>
              <w:rPr>
                <w:rFonts w:ascii="Arial" w:eastAsia="Times New Roman" w:hAnsi="Arial" w:cs="Arial"/>
                <w:iCs/>
                <w:color w:val="000000"/>
                <w:sz w:val="16"/>
                <w:szCs w:val="16"/>
                <w:lang w:eastAsia="es-MX"/>
              </w:rPr>
            </w:pPr>
            <w:r w:rsidRPr="00662097">
              <w:rPr>
                <w:rFonts w:ascii="Arial" w:eastAsia="Times New Roman" w:hAnsi="Arial" w:cs="Arial"/>
                <w:iCs/>
                <w:color w:val="000000"/>
                <w:sz w:val="16"/>
                <w:szCs w:val="16"/>
                <w:lang w:eastAsia="es-MX"/>
              </w:rPr>
              <w:t>El parámetro del 32% está en línea con las mejores prácticas internacionales y refleja el uso real de cada conducto considerando las limitaciones geométricas y operativas.</w:t>
            </w:r>
          </w:p>
          <w:p w14:paraId="2607AFED" w14:textId="174186FB" w:rsidR="00EB4C45" w:rsidRPr="00662097" w:rsidRDefault="008D3066" w:rsidP="008D3066">
            <w:pPr>
              <w:autoSpaceDE w:val="0"/>
              <w:autoSpaceDN w:val="0"/>
              <w:adjustRightInd w:val="0"/>
              <w:spacing w:before="120" w:after="120" w:line="240" w:lineRule="auto"/>
              <w:rPr>
                <w:rFonts w:ascii="Arial" w:eastAsia="Times New Roman" w:hAnsi="Arial" w:cs="Arial"/>
                <w:iCs/>
                <w:color w:val="000000"/>
                <w:sz w:val="16"/>
                <w:szCs w:val="16"/>
                <w:lang w:eastAsia="es-MX"/>
              </w:rPr>
            </w:pPr>
            <w:r w:rsidRPr="00662097">
              <w:rPr>
                <w:rFonts w:ascii="Arial" w:eastAsia="Times New Roman" w:hAnsi="Arial" w:cs="Arial"/>
                <w:iCs/>
                <w:color w:val="000000"/>
                <w:sz w:val="16"/>
                <w:szCs w:val="16"/>
                <w:lang w:eastAsia="es-MX"/>
              </w:rPr>
              <w:t>Al respecto, s</w:t>
            </w:r>
            <w:r w:rsidR="00EB4C45" w:rsidRPr="00662097">
              <w:rPr>
                <w:rFonts w:ascii="Arial" w:eastAsia="Times New Roman" w:hAnsi="Arial" w:cs="Arial"/>
                <w:iCs/>
                <w:color w:val="000000"/>
                <w:sz w:val="16"/>
                <w:szCs w:val="16"/>
                <w:lang w:eastAsia="es-MX"/>
              </w:rPr>
              <w:t>e calcula en base a la combinación de dos parámetros diferentes (i) la tasa útil de un conducto del 80% y (</w:t>
            </w:r>
            <w:proofErr w:type="spellStart"/>
            <w:r w:rsidR="00EB4C45" w:rsidRPr="00662097">
              <w:rPr>
                <w:rFonts w:ascii="Arial" w:eastAsia="Times New Roman" w:hAnsi="Arial" w:cs="Arial"/>
                <w:iCs/>
                <w:color w:val="000000"/>
                <w:sz w:val="16"/>
                <w:szCs w:val="16"/>
                <w:lang w:eastAsia="es-MX"/>
              </w:rPr>
              <w:t>ii</w:t>
            </w:r>
            <w:proofErr w:type="spellEnd"/>
            <w:r w:rsidR="00EB4C45" w:rsidRPr="00662097">
              <w:rPr>
                <w:rFonts w:ascii="Arial" w:eastAsia="Times New Roman" w:hAnsi="Arial" w:cs="Arial"/>
                <w:iCs/>
                <w:color w:val="000000"/>
                <w:sz w:val="16"/>
                <w:szCs w:val="16"/>
                <w:lang w:eastAsia="es-MX"/>
              </w:rPr>
              <w:t>) una tasa de llenado del 40% teniendo en cuenta el área de repuesto y del conducto dedicada al mantenimiento.</w:t>
            </w:r>
          </w:p>
          <w:p w14:paraId="10F87525" w14:textId="77777777" w:rsidR="00EB4C45" w:rsidRPr="00662097" w:rsidRDefault="00EB4C45" w:rsidP="008D3066">
            <w:pPr>
              <w:autoSpaceDE w:val="0"/>
              <w:autoSpaceDN w:val="0"/>
              <w:adjustRightInd w:val="0"/>
              <w:spacing w:before="120" w:after="120" w:line="240" w:lineRule="auto"/>
              <w:rPr>
                <w:rFonts w:ascii="Arial" w:eastAsia="Times New Roman" w:hAnsi="Arial" w:cs="Arial"/>
                <w:iCs/>
                <w:color w:val="000000"/>
                <w:sz w:val="16"/>
                <w:szCs w:val="16"/>
                <w:lang w:eastAsia="es-MX"/>
              </w:rPr>
            </w:pPr>
            <w:r w:rsidRPr="00662097">
              <w:rPr>
                <w:rFonts w:ascii="Arial" w:eastAsia="Times New Roman" w:hAnsi="Arial" w:cs="Arial"/>
                <w:iCs/>
                <w:color w:val="000000"/>
                <w:sz w:val="16"/>
                <w:szCs w:val="16"/>
                <w:lang w:eastAsia="es-MX"/>
              </w:rPr>
              <w:t>El 82% considerado es producto de estos dos parámetros.</w:t>
            </w:r>
          </w:p>
          <w:p w14:paraId="25C7B391" w14:textId="7124C87F" w:rsidR="00EB4C45" w:rsidRPr="00662097" w:rsidRDefault="007E1C97" w:rsidP="008D3066">
            <w:pPr>
              <w:autoSpaceDE w:val="0"/>
              <w:autoSpaceDN w:val="0"/>
              <w:adjustRightInd w:val="0"/>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Adicionalmente se destaca que</w:t>
            </w:r>
            <w:r w:rsidR="00204D69" w:rsidRPr="00662097">
              <w:rPr>
                <w:rFonts w:ascii="Arial" w:eastAsia="Times New Roman" w:hAnsi="Arial" w:cs="Arial"/>
                <w:color w:val="000000"/>
                <w:sz w:val="16"/>
                <w:szCs w:val="16"/>
                <w:lang w:eastAsia="es-MX"/>
              </w:rPr>
              <w:t xml:space="preserve"> </w:t>
            </w:r>
            <w:r w:rsidR="00C40BC2" w:rsidRPr="00662097">
              <w:rPr>
                <w:rFonts w:ascii="Arial" w:eastAsia="Times New Roman" w:hAnsi="Arial" w:cs="Arial"/>
                <w:color w:val="000000"/>
                <w:sz w:val="16"/>
                <w:szCs w:val="16"/>
                <w:lang w:eastAsia="es-MX"/>
              </w:rPr>
              <w:t xml:space="preserve">se </w:t>
            </w:r>
            <w:r w:rsidR="00204D69" w:rsidRPr="00662097">
              <w:rPr>
                <w:rFonts w:ascii="Arial" w:eastAsia="Times New Roman" w:hAnsi="Arial" w:cs="Arial"/>
                <w:color w:val="000000"/>
                <w:sz w:val="16"/>
                <w:szCs w:val="16"/>
                <w:lang w:eastAsia="es-MX"/>
              </w:rPr>
              <w:t xml:space="preserve">hará una revisión del cálculo de los ductos a efecto de reflejar en la tarificación las condiciones técnicas de ocupación del ducto respecto al 80% de </w:t>
            </w:r>
            <w:r w:rsidRPr="00662097">
              <w:rPr>
                <w:rFonts w:ascii="Arial" w:eastAsia="Times New Roman" w:hAnsi="Arial" w:cs="Arial"/>
                <w:color w:val="000000"/>
                <w:sz w:val="16"/>
                <w:szCs w:val="16"/>
                <w:lang w:eastAsia="es-MX"/>
              </w:rPr>
              <w:t>ocupación</w:t>
            </w:r>
            <w:r w:rsidR="00204D69" w:rsidRPr="00662097">
              <w:rPr>
                <w:rFonts w:ascii="Arial" w:eastAsia="Times New Roman" w:hAnsi="Arial" w:cs="Arial"/>
                <w:color w:val="000000"/>
                <w:sz w:val="16"/>
                <w:szCs w:val="16"/>
                <w:lang w:eastAsia="es-MX"/>
              </w:rPr>
              <w:t xml:space="preserve"> en el área interior del ducto</w:t>
            </w:r>
            <w:r w:rsidR="00C40BC2" w:rsidRPr="00662097">
              <w:rPr>
                <w:rFonts w:ascii="Arial" w:eastAsia="Times New Roman" w:hAnsi="Arial" w:cs="Arial"/>
                <w:color w:val="000000"/>
                <w:sz w:val="16"/>
                <w:szCs w:val="16"/>
                <w:lang w:eastAsia="es-MX"/>
              </w:rPr>
              <w:t>,</w:t>
            </w:r>
            <w:r w:rsidR="00204D69" w:rsidRPr="00662097">
              <w:rPr>
                <w:rFonts w:ascii="Arial" w:eastAsia="Times New Roman" w:hAnsi="Arial" w:cs="Arial"/>
                <w:color w:val="000000"/>
                <w:sz w:val="16"/>
                <w:szCs w:val="16"/>
                <w:lang w:eastAsia="es-MX"/>
              </w:rPr>
              <w:t xml:space="preserve"> establecidas en la normativa técnica autorizada por el Instituto en la oferta de referencia.</w:t>
            </w:r>
          </w:p>
        </w:tc>
      </w:tr>
      <w:tr w:rsidR="00A17489" w:rsidRPr="00662097" w14:paraId="460FF745" w14:textId="77777777" w:rsidTr="008F664E">
        <w:trPr>
          <w:trHeight w:val="20"/>
        </w:trPr>
        <w:tc>
          <w:tcPr>
            <w:tcW w:w="1271" w:type="dxa"/>
            <w:vAlign w:val="center"/>
          </w:tcPr>
          <w:p w14:paraId="6F84DD6A" w14:textId="64948B6C" w:rsidR="00A17489" w:rsidRPr="00662097" w:rsidRDefault="00A17489" w:rsidP="00774642">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Grupo Televisa</w:t>
            </w:r>
          </w:p>
        </w:tc>
        <w:tc>
          <w:tcPr>
            <w:tcW w:w="1843" w:type="dxa"/>
            <w:shd w:val="clear" w:color="auto" w:fill="auto"/>
            <w:vAlign w:val="center"/>
          </w:tcPr>
          <w:p w14:paraId="572F16BB" w14:textId="5D9E6795" w:rsidR="00A17489" w:rsidRPr="00662097" w:rsidRDefault="00774642" w:rsidP="00A17489">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6.1 Acometida – Fibra oscura</w:t>
            </w:r>
          </w:p>
        </w:tc>
        <w:tc>
          <w:tcPr>
            <w:tcW w:w="6379" w:type="dxa"/>
            <w:shd w:val="clear" w:color="auto" w:fill="auto"/>
            <w:vAlign w:val="center"/>
          </w:tcPr>
          <w:p w14:paraId="1BF5DA21" w14:textId="77777777" w:rsidR="00774642" w:rsidRPr="00662097" w:rsidRDefault="00774642" w:rsidP="00701A90">
            <w:pPr>
              <w:spacing w:before="120" w:after="120" w:line="240" w:lineRule="auto"/>
              <w:rPr>
                <w:rFonts w:ascii="Arial" w:hAnsi="Arial" w:cs="Arial"/>
                <w:sz w:val="16"/>
                <w:szCs w:val="18"/>
                <w:u w:val="single"/>
                <w:lang w:val="es-ES_tradnl"/>
              </w:rPr>
            </w:pPr>
            <w:r w:rsidRPr="00662097">
              <w:rPr>
                <w:rFonts w:ascii="Arial" w:hAnsi="Arial" w:cs="Arial"/>
                <w:sz w:val="16"/>
                <w:szCs w:val="18"/>
                <w:u w:val="single"/>
                <w:lang w:val="es-ES_tradnl"/>
              </w:rPr>
              <w:t>Contexto</w:t>
            </w:r>
          </w:p>
          <w:p w14:paraId="41BDEF97" w14:textId="77777777" w:rsidR="00774642" w:rsidRPr="00662097" w:rsidRDefault="00774642" w:rsidP="00701A90">
            <w:pPr>
              <w:spacing w:before="120" w:after="120" w:line="240" w:lineRule="auto"/>
              <w:rPr>
                <w:rFonts w:ascii="Arial" w:hAnsi="Arial" w:cs="Arial"/>
                <w:sz w:val="16"/>
                <w:szCs w:val="18"/>
                <w:lang w:val="es-ES_tradnl"/>
              </w:rPr>
            </w:pPr>
            <w:r w:rsidRPr="00662097">
              <w:rPr>
                <w:rFonts w:ascii="Arial" w:hAnsi="Arial" w:cs="Arial"/>
                <w:sz w:val="16"/>
                <w:szCs w:val="18"/>
                <w:lang w:val="es-ES_tradnl"/>
              </w:rPr>
              <w:lastRenderedPageBreak/>
              <w:t>La tarifa del servicio de fibra oscura se calcula en función de los costos de la red primaria y secundaria, pero no tiene en cuenta las secciones de la red de acometida. El volumen de la demanda es igual al número total de km de fibra</w:t>
            </w:r>
            <w:r w:rsidRPr="00662097">
              <w:rPr>
                <w:rStyle w:val="Refdenotaalpie"/>
                <w:rFonts w:ascii="Arial" w:hAnsi="Arial" w:cs="Arial"/>
                <w:sz w:val="16"/>
                <w:szCs w:val="18"/>
                <w:lang w:val="es-ES_tradnl"/>
              </w:rPr>
              <w:footnoteReference w:id="12"/>
            </w:r>
            <w:r w:rsidRPr="00662097">
              <w:rPr>
                <w:rFonts w:ascii="Arial" w:hAnsi="Arial" w:cs="Arial"/>
                <w:sz w:val="16"/>
                <w:szCs w:val="18"/>
                <w:lang w:val="es-ES_tradnl"/>
              </w:rPr>
              <w:t xml:space="preserve"> desplegados en la red primaria y secundaria.</w:t>
            </w:r>
          </w:p>
          <w:p w14:paraId="2E9D5843" w14:textId="77777777" w:rsidR="00774642" w:rsidRPr="00662097" w:rsidRDefault="00774642" w:rsidP="00701A90">
            <w:pPr>
              <w:spacing w:before="120" w:after="120" w:line="240" w:lineRule="auto"/>
              <w:rPr>
                <w:rFonts w:ascii="Arial" w:hAnsi="Arial" w:cs="Arial"/>
                <w:sz w:val="16"/>
                <w:szCs w:val="18"/>
                <w:lang w:val="es-ES_tradnl"/>
              </w:rPr>
            </w:pPr>
            <w:r w:rsidRPr="00662097">
              <w:rPr>
                <w:rFonts w:ascii="Arial" w:hAnsi="Arial" w:cs="Arial"/>
                <w:sz w:val="16"/>
                <w:szCs w:val="18"/>
                <w:lang w:val="es-ES_tradnl"/>
              </w:rPr>
              <w:t xml:space="preserve">Creemos que una conexión de fibra oscura, para estar completa, probablemente deberá incluir una porción de acometida para alcanzar su punto de conexión final. Por lo tanto, creemos que el cálculo de los costos del servicio de fibra oscura debe incluir algunos de los activos, costos y demanda de la red de acometida. </w:t>
            </w:r>
          </w:p>
          <w:p w14:paraId="654FC519" w14:textId="77777777" w:rsidR="00774642" w:rsidRPr="00662097" w:rsidRDefault="00774642" w:rsidP="00701A90">
            <w:pPr>
              <w:spacing w:before="120" w:after="120" w:line="240" w:lineRule="auto"/>
              <w:rPr>
                <w:rFonts w:ascii="Arial" w:hAnsi="Arial" w:cs="Arial"/>
                <w:sz w:val="16"/>
                <w:szCs w:val="18"/>
                <w:lang w:val="es-ES_tradnl"/>
              </w:rPr>
            </w:pPr>
            <w:r w:rsidRPr="00662097">
              <w:rPr>
                <w:rFonts w:ascii="Arial" w:hAnsi="Arial" w:cs="Arial"/>
                <w:sz w:val="16"/>
                <w:szCs w:val="18"/>
                <w:lang w:val="es-ES_tradnl"/>
              </w:rPr>
              <w:t>También queremos hacer notar que el servicio de fibra oscura no tiene referencia ni texto descriptivo dentro de la documentación del modelo, lo cual hace especialmente complicada su revisión.</w:t>
            </w:r>
          </w:p>
          <w:p w14:paraId="40494A37" w14:textId="77777777" w:rsidR="00774642" w:rsidRPr="00662097" w:rsidRDefault="00774642" w:rsidP="00701A90">
            <w:pPr>
              <w:spacing w:before="120" w:after="120" w:line="240" w:lineRule="auto"/>
              <w:rPr>
                <w:rFonts w:ascii="Arial" w:hAnsi="Arial" w:cs="Arial"/>
                <w:sz w:val="16"/>
                <w:szCs w:val="18"/>
                <w:u w:val="single"/>
                <w:lang w:val="es-ES_tradnl"/>
              </w:rPr>
            </w:pPr>
            <w:r w:rsidRPr="00662097">
              <w:rPr>
                <w:rFonts w:ascii="Arial" w:hAnsi="Arial" w:cs="Arial"/>
                <w:sz w:val="16"/>
                <w:szCs w:val="18"/>
                <w:u w:val="single"/>
                <w:lang w:val="es-ES_tradnl"/>
              </w:rPr>
              <w:t>Conclusiones y sugerencias</w:t>
            </w:r>
          </w:p>
          <w:p w14:paraId="56B0FCAA" w14:textId="77777777" w:rsidR="00774642" w:rsidRPr="00662097" w:rsidRDefault="00774642" w:rsidP="00701A90">
            <w:pPr>
              <w:spacing w:before="120" w:after="120" w:line="240" w:lineRule="auto"/>
              <w:rPr>
                <w:rFonts w:ascii="Arial" w:hAnsi="Arial" w:cs="Arial"/>
                <w:sz w:val="16"/>
                <w:szCs w:val="18"/>
                <w:lang w:val="es-ES_tradnl"/>
              </w:rPr>
            </w:pPr>
            <w:r w:rsidRPr="00662097">
              <w:rPr>
                <w:rFonts w:ascii="Arial" w:hAnsi="Arial" w:cs="Arial"/>
                <w:sz w:val="16"/>
                <w:szCs w:val="18"/>
                <w:lang w:val="es-ES_tradnl"/>
              </w:rPr>
              <w:t xml:space="preserve">Recomendamos que, como se hizo en la consulta pasada, el IFT reconsidere la inclusión de la demanda y el costo de la red de acometida en el </w:t>
            </w:r>
            <w:proofErr w:type="spellStart"/>
            <w:r w:rsidRPr="00662097">
              <w:rPr>
                <w:rFonts w:ascii="Arial" w:hAnsi="Arial" w:cs="Arial"/>
                <w:sz w:val="16"/>
                <w:szCs w:val="18"/>
                <w:lang w:val="es-ES_tradnl"/>
              </w:rPr>
              <w:t>costeo</w:t>
            </w:r>
            <w:proofErr w:type="spellEnd"/>
            <w:r w:rsidRPr="00662097">
              <w:rPr>
                <w:rFonts w:ascii="Arial" w:hAnsi="Arial" w:cs="Arial"/>
                <w:sz w:val="16"/>
                <w:szCs w:val="18"/>
                <w:lang w:val="es-ES_tradnl"/>
              </w:rPr>
              <w:t xml:space="preserve"> de los servicios de fibra oscura. La matriz de enrutamiento debe incluir el costo de todos los activos de red involucrados en la conexión punto a punto en un servicio de fibra oscura.</w:t>
            </w:r>
          </w:p>
          <w:p w14:paraId="4487DB13" w14:textId="0FDFD7B9" w:rsidR="00A17489" w:rsidRPr="00662097" w:rsidRDefault="00774642" w:rsidP="00701A90">
            <w:pPr>
              <w:spacing w:before="120" w:after="120" w:line="240" w:lineRule="auto"/>
              <w:rPr>
                <w:rFonts w:ascii="Arial" w:hAnsi="Arial" w:cs="Arial"/>
                <w:lang w:val="es-ES_tradnl"/>
              </w:rPr>
            </w:pPr>
            <w:r w:rsidRPr="00662097">
              <w:rPr>
                <w:rFonts w:ascii="Arial" w:hAnsi="Arial" w:cs="Arial"/>
                <w:sz w:val="16"/>
                <w:szCs w:val="18"/>
                <w:lang w:val="es-ES_tradnl"/>
              </w:rPr>
              <w:t>También nos gustaría tener información sobre el servicio de fibra oscura dentro de la documentación del modelo, lo cual ayudaría a mejorar nuestra visión del servicio y a facilitar al IFT los resultados de una revisión más útil.</w:t>
            </w:r>
          </w:p>
        </w:tc>
        <w:tc>
          <w:tcPr>
            <w:tcW w:w="4536" w:type="dxa"/>
          </w:tcPr>
          <w:p w14:paraId="4F3A9D8D" w14:textId="374E667B" w:rsidR="00D3721F" w:rsidRPr="00662097" w:rsidRDefault="00D3721F" w:rsidP="00D3721F">
            <w:pPr>
              <w:autoSpaceDE w:val="0"/>
              <w:autoSpaceDN w:val="0"/>
              <w:adjustRightInd w:val="0"/>
              <w:spacing w:before="120" w:after="120" w:line="240" w:lineRule="auto"/>
              <w:rPr>
                <w:rFonts w:ascii="Arial" w:eastAsia="Times New Roman" w:hAnsi="Arial" w:cs="Arial"/>
                <w:color w:val="000000"/>
                <w:sz w:val="16"/>
                <w:szCs w:val="16"/>
                <w:lang w:eastAsia="es-MX"/>
              </w:rPr>
            </w:pPr>
          </w:p>
          <w:p w14:paraId="2AEC4B42" w14:textId="3F71CACD" w:rsidR="00A17489" w:rsidRPr="00662097" w:rsidRDefault="00D3721F" w:rsidP="008D3066">
            <w:pPr>
              <w:autoSpaceDE w:val="0"/>
              <w:autoSpaceDN w:val="0"/>
              <w:adjustRightInd w:val="0"/>
              <w:spacing w:before="120" w:after="120" w:line="240" w:lineRule="auto"/>
              <w:rPr>
                <w:rFonts w:ascii="Arial" w:eastAsia="Times New Roman" w:hAnsi="Arial" w:cs="Arial"/>
                <w:iCs/>
                <w:color w:val="000000"/>
                <w:sz w:val="16"/>
                <w:szCs w:val="16"/>
                <w:lang w:eastAsia="es-MX"/>
              </w:rPr>
            </w:pPr>
            <w:r w:rsidRPr="00662097">
              <w:rPr>
                <w:rFonts w:ascii="Arial" w:eastAsia="Times New Roman" w:hAnsi="Arial" w:cs="Arial"/>
                <w:iCs/>
                <w:color w:val="000000"/>
                <w:sz w:val="16"/>
                <w:szCs w:val="16"/>
                <w:lang w:eastAsia="es-MX"/>
              </w:rPr>
              <w:lastRenderedPageBreak/>
              <w:t>La acometida ha sido incluida en el alcance del servicio de Renta de fibra oscura.</w:t>
            </w:r>
          </w:p>
        </w:tc>
      </w:tr>
      <w:tr w:rsidR="00A80BCF" w:rsidRPr="00662097" w14:paraId="5F9A712D" w14:textId="77777777" w:rsidTr="008F664E">
        <w:trPr>
          <w:trHeight w:val="20"/>
        </w:trPr>
        <w:tc>
          <w:tcPr>
            <w:tcW w:w="1271" w:type="dxa"/>
            <w:vAlign w:val="center"/>
          </w:tcPr>
          <w:p w14:paraId="6D8DF92A" w14:textId="31B597F6" w:rsidR="00A80BCF" w:rsidRPr="00662097" w:rsidRDefault="00A80BCF" w:rsidP="00A80BCF">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lastRenderedPageBreak/>
              <w:t>Grupo Televisa</w:t>
            </w:r>
          </w:p>
        </w:tc>
        <w:tc>
          <w:tcPr>
            <w:tcW w:w="1843" w:type="dxa"/>
            <w:shd w:val="clear" w:color="auto" w:fill="auto"/>
            <w:vAlign w:val="center"/>
          </w:tcPr>
          <w:p w14:paraId="7A9CBE0F" w14:textId="6CEEF27C" w:rsidR="00A80BCF" w:rsidRPr="00662097" w:rsidRDefault="00A80BCF" w:rsidP="00A80BCF">
            <w:pPr>
              <w:spacing w:after="0" w:line="240" w:lineRule="auto"/>
              <w:jc w:val="center"/>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7. Observaciones sobre resultados del modelo</w:t>
            </w:r>
          </w:p>
        </w:tc>
        <w:tc>
          <w:tcPr>
            <w:tcW w:w="6379" w:type="dxa"/>
            <w:shd w:val="clear" w:color="auto" w:fill="auto"/>
            <w:vAlign w:val="center"/>
          </w:tcPr>
          <w:p w14:paraId="4C7980BA" w14:textId="7A37BDF8" w:rsidR="00A80BCF" w:rsidRPr="00662097" w:rsidRDefault="00A80BCF" w:rsidP="00A80BCF">
            <w:pPr>
              <w:spacing w:before="120" w:after="120" w:line="240" w:lineRule="auto"/>
              <w:rPr>
                <w:rFonts w:ascii="Arial" w:hAnsi="Arial" w:cs="Arial"/>
                <w:sz w:val="16"/>
                <w:szCs w:val="18"/>
                <w:lang w:val="es-ES_tradnl"/>
              </w:rPr>
            </w:pPr>
            <w:r w:rsidRPr="00662097">
              <w:rPr>
                <w:rFonts w:ascii="Arial" w:hAnsi="Arial" w:cs="Arial"/>
                <w:sz w:val="16"/>
                <w:szCs w:val="18"/>
                <w:lang w:val="es-ES_tradnl"/>
              </w:rPr>
              <w:t xml:space="preserve">El modelo de costos incluye una hoja (P de los Servicios), con los resultados. Para el caso de la infraestructura pasiva, los resultados pueden verse con el título “valor” (Columna G) y su respectivo equivalente del modelo anterior con el título “viejo modelo” (Columna H). </w:t>
            </w:r>
          </w:p>
          <w:p w14:paraId="6C4C2BB2" w14:textId="77777777" w:rsidR="00A80BCF" w:rsidRPr="00662097" w:rsidRDefault="00A80BCF" w:rsidP="00A80BCF">
            <w:pPr>
              <w:spacing w:before="120" w:after="120" w:line="240" w:lineRule="auto"/>
              <w:rPr>
                <w:rFonts w:ascii="Arial" w:hAnsi="Arial" w:cs="Arial"/>
                <w:sz w:val="16"/>
                <w:szCs w:val="18"/>
                <w:lang w:val="es-ES_tradnl"/>
              </w:rPr>
            </w:pPr>
            <w:r w:rsidRPr="00662097">
              <w:rPr>
                <w:rFonts w:ascii="Arial" w:hAnsi="Arial" w:cs="Arial"/>
                <w:sz w:val="16"/>
                <w:szCs w:val="18"/>
                <w:lang w:val="es-ES_tradnl"/>
              </w:rPr>
              <w:t>La revisión de las tarifas estimadas en el modelo actualizado muestra que prácticamente todos los precios de los servicios mayoristas de compartición de infraestructura aumentaron. Los precios de los ductos, pozos y renta de fibra obscura presentan incrementos sustanciales, de mantenerse tales resultados se esperaría que en los próximos años tales servicios serán más costosos. La posible consecuencia de un aumento sustancial de los precios de infraestructura pasiva abonará a que la demanda de tales elementos se mantenga muy baja, tal como hoy acontece.</w:t>
            </w:r>
          </w:p>
          <w:p w14:paraId="6A3444C0" w14:textId="21138D00" w:rsidR="00A80BCF" w:rsidRPr="00662097" w:rsidRDefault="00A80BCF" w:rsidP="00A80BCF">
            <w:pPr>
              <w:spacing w:before="120" w:after="120" w:line="240" w:lineRule="auto"/>
              <w:rPr>
                <w:rFonts w:ascii="Arial" w:hAnsi="Arial" w:cs="Arial"/>
                <w:sz w:val="16"/>
                <w:szCs w:val="18"/>
                <w:lang w:val="es-ES_tradnl"/>
              </w:rPr>
            </w:pPr>
            <w:r w:rsidRPr="00662097">
              <w:rPr>
                <w:rFonts w:ascii="Arial" w:hAnsi="Arial" w:cs="Arial"/>
                <w:sz w:val="16"/>
                <w:szCs w:val="18"/>
                <w:lang w:val="es-ES_tradnl"/>
              </w:rPr>
              <w:t>En vista de los resultados del modelo, se solicita al IFT revisar no sólo los supuestos y parámetros utilizados, sino también la información proporcionada por el AEP. El incremento de los precios es consecuencia del aumento en los costos unitarios y costos de insumos que alimentan el modelo, tal información fue proporcionada por el AEP, por lo que ante ello, no es ocioso pedir al IFT que realmente considere un operador eficiente y que utilicé lo menos posible la información del AEP, ello con un doble propósito, por un lado, evitar la transferencia de ineficiencias del AEP a los CS y, por otro lado, que la regulación asimétrica verdaderamente cumpla su propósito de fomentar la competencia efectiva en el sector de telecomunicaciones.</w:t>
            </w:r>
          </w:p>
        </w:tc>
        <w:tc>
          <w:tcPr>
            <w:tcW w:w="4536" w:type="dxa"/>
          </w:tcPr>
          <w:p w14:paraId="0BAE7449" w14:textId="137F4039" w:rsidR="00A80BCF" w:rsidRPr="00662097" w:rsidRDefault="00CE4A8D" w:rsidP="00A80BCF">
            <w:pPr>
              <w:spacing w:before="120" w:after="12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La UPR</w:t>
            </w:r>
            <w:r w:rsidR="00A80BCF" w:rsidRPr="00662097">
              <w:rPr>
                <w:rFonts w:ascii="Arial" w:eastAsia="Times New Roman" w:hAnsi="Arial" w:cs="Arial"/>
                <w:color w:val="000000"/>
                <w:sz w:val="16"/>
                <w:szCs w:val="16"/>
                <w:lang w:eastAsia="es-MX"/>
              </w:rPr>
              <w:t xml:space="preserve"> es consciente de las evoluciones que han presentado los costos unitarios de los servicios a raíz de la actualización y de los ajustes introducidos en la última versión del Modelo Integral sometida a consulta pública.</w:t>
            </w:r>
          </w:p>
          <w:p w14:paraId="3EAFBAF5" w14:textId="089D2B3F" w:rsidR="00A80BCF" w:rsidRPr="00662097" w:rsidRDefault="00CE4A8D" w:rsidP="00A80BCF">
            <w:pPr>
              <w:spacing w:before="120" w:after="12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Se</w:t>
            </w:r>
            <w:r w:rsidR="00BC5532" w:rsidRPr="00662097">
              <w:rPr>
                <w:rFonts w:ascii="Arial" w:eastAsia="Times New Roman" w:hAnsi="Arial" w:cs="Arial"/>
                <w:color w:val="000000"/>
                <w:sz w:val="16"/>
                <w:szCs w:val="16"/>
                <w:lang w:eastAsia="es-MX"/>
              </w:rPr>
              <w:t xml:space="preserve"> realizará una valoración integral de todos los comentarios vertidos en las manifestaciones de la Consulta Pública a la luz de su procedencia conceptual y metodológica.</w:t>
            </w:r>
          </w:p>
          <w:p w14:paraId="76A429CF" w14:textId="1BBECB6E" w:rsidR="00A80BCF" w:rsidRPr="00662097" w:rsidRDefault="00A80BCF" w:rsidP="00A80BCF">
            <w:pPr>
              <w:spacing w:before="120" w:after="120" w:line="240" w:lineRule="auto"/>
              <w:rPr>
                <w:rFonts w:ascii="Arial" w:eastAsia="Times New Roman" w:hAnsi="Arial" w:cs="Arial"/>
                <w:color w:val="000000"/>
                <w:sz w:val="16"/>
                <w:szCs w:val="16"/>
                <w:lang w:eastAsia="es-MX"/>
              </w:rPr>
            </w:pPr>
            <w:r w:rsidRPr="00662097">
              <w:rPr>
                <w:rFonts w:ascii="Arial" w:eastAsia="Times New Roman" w:hAnsi="Arial" w:cs="Arial"/>
                <w:color w:val="000000"/>
                <w:sz w:val="16"/>
                <w:szCs w:val="16"/>
                <w:lang w:eastAsia="es-MX"/>
              </w:rPr>
              <w:t>Con relación a</w:t>
            </w:r>
            <w:r w:rsidR="006E2E9A" w:rsidRPr="00662097">
              <w:rPr>
                <w:rFonts w:ascii="Arial" w:eastAsia="Times New Roman" w:hAnsi="Arial" w:cs="Arial"/>
                <w:color w:val="000000"/>
                <w:sz w:val="16"/>
                <w:szCs w:val="16"/>
                <w:lang w:eastAsia="es-MX"/>
              </w:rPr>
              <w:t xml:space="preserve"> los comentarios </w:t>
            </w:r>
            <w:r w:rsidRPr="00662097">
              <w:rPr>
                <w:rFonts w:ascii="Arial" w:eastAsia="Times New Roman" w:hAnsi="Arial" w:cs="Arial"/>
                <w:color w:val="000000"/>
                <w:sz w:val="16"/>
                <w:szCs w:val="16"/>
                <w:lang w:eastAsia="es-MX"/>
              </w:rPr>
              <w:t>sobre eficiencia</w:t>
            </w:r>
            <w:r w:rsidR="006E2E9A" w:rsidRPr="00662097">
              <w:rPr>
                <w:rFonts w:ascii="Arial" w:eastAsia="Times New Roman" w:hAnsi="Arial" w:cs="Arial"/>
                <w:color w:val="000000"/>
                <w:sz w:val="16"/>
                <w:szCs w:val="16"/>
                <w:lang w:eastAsia="es-MX"/>
              </w:rPr>
              <w:t xml:space="preserve"> y costos unitarios</w:t>
            </w:r>
            <w:r w:rsidRPr="00662097">
              <w:rPr>
                <w:rFonts w:ascii="Arial" w:eastAsia="Times New Roman" w:hAnsi="Arial" w:cs="Arial"/>
                <w:color w:val="000000"/>
                <w:sz w:val="16"/>
                <w:szCs w:val="16"/>
                <w:lang w:eastAsia="es-MX"/>
              </w:rPr>
              <w:t xml:space="preserve">, se refiere a </w:t>
            </w:r>
            <w:r w:rsidR="006E2E9A" w:rsidRPr="00662097">
              <w:rPr>
                <w:rFonts w:ascii="Arial" w:eastAsia="Times New Roman" w:hAnsi="Arial" w:cs="Arial"/>
                <w:color w:val="000000"/>
                <w:sz w:val="16"/>
                <w:szCs w:val="16"/>
                <w:lang w:eastAsia="es-MX"/>
              </w:rPr>
              <w:t xml:space="preserve">Grupo Televisa </w:t>
            </w:r>
            <w:r w:rsidRPr="00662097">
              <w:rPr>
                <w:rFonts w:ascii="Arial" w:eastAsia="Times New Roman" w:hAnsi="Arial" w:cs="Arial"/>
                <w:color w:val="000000"/>
                <w:sz w:val="16"/>
                <w:szCs w:val="16"/>
                <w:lang w:eastAsia="es-MX"/>
              </w:rPr>
              <w:t xml:space="preserve">a la posición expresada previamente por </w:t>
            </w:r>
            <w:r w:rsidR="00CE4A8D">
              <w:rPr>
                <w:rFonts w:ascii="Arial" w:eastAsia="Times New Roman" w:hAnsi="Arial" w:cs="Arial"/>
                <w:color w:val="000000"/>
                <w:sz w:val="16"/>
                <w:szCs w:val="16"/>
                <w:lang w:eastAsia="es-MX"/>
              </w:rPr>
              <w:t>la UPR</w:t>
            </w:r>
            <w:r w:rsidRPr="00662097">
              <w:rPr>
                <w:rFonts w:ascii="Arial" w:eastAsia="Times New Roman" w:hAnsi="Arial" w:cs="Arial"/>
                <w:color w:val="000000"/>
                <w:sz w:val="16"/>
                <w:szCs w:val="16"/>
                <w:lang w:eastAsia="es-MX"/>
              </w:rPr>
              <w:t xml:space="preserve"> a ese respecto.</w:t>
            </w:r>
          </w:p>
          <w:p w14:paraId="723E6AF7" w14:textId="77777777" w:rsidR="00A80BCF" w:rsidRPr="00662097" w:rsidRDefault="00A80BCF" w:rsidP="00A80BCF">
            <w:pPr>
              <w:autoSpaceDE w:val="0"/>
              <w:autoSpaceDN w:val="0"/>
              <w:adjustRightInd w:val="0"/>
              <w:spacing w:before="120" w:after="120" w:line="240" w:lineRule="auto"/>
              <w:rPr>
                <w:rFonts w:ascii="Arial" w:eastAsia="Times New Roman" w:hAnsi="Arial" w:cs="Arial"/>
                <w:color w:val="000000"/>
                <w:sz w:val="16"/>
                <w:szCs w:val="16"/>
                <w:lang w:eastAsia="es-MX"/>
              </w:rPr>
            </w:pPr>
          </w:p>
        </w:tc>
      </w:tr>
      <w:bookmarkEnd w:id="0"/>
      <w:bookmarkEnd w:id="1"/>
      <w:bookmarkEnd w:id="2"/>
      <w:bookmarkEnd w:id="3"/>
      <w:bookmarkEnd w:id="4"/>
      <w:bookmarkEnd w:id="5"/>
      <w:bookmarkEnd w:id="6"/>
      <w:bookmarkEnd w:id="7"/>
      <w:bookmarkEnd w:id="8"/>
    </w:tbl>
    <w:p w14:paraId="12B6DB51" w14:textId="77777777" w:rsidR="0041535D" w:rsidRPr="00662097" w:rsidRDefault="0041535D" w:rsidP="00C87409">
      <w:pPr>
        <w:spacing w:after="0"/>
        <w:rPr>
          <w:rFonts w:ascii="Arial" w:hAnsi="Arial" w:cs="Arial"/>
          <w:sz w:val="12"/>
        </w:rPr>
      </w:pPr>
    </w:p>
    <w:sectPr w:rsidR="0041535D" w:rsidRPr="00662097" w:rsidSect="002C3A48">
      <w:pgSz w:w="16838" w:h="11906" w:orient="landscape" w:code="9"/>
      <w:pgMar w:top="1418" w:right="1418" w:bottom="1418" w:left="1418"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17727" w14:textId="77777777" w:rsidR="00EA2F13" w:rsidRDefault="00EA2F13" w:rsidP="00E7637B">
      <w:pPr>
        <w:spacing w:before="0" w:after="0" w:line="240" w:lineRule="auto"/>
      </w:pPr>
      <w:r>
        <w:separator/>
      </w:r>
    </w:p>
  </w:endnote>
  <w:endnote w:type="continuationSeparator" w:id="0">
    <w:p w14:paraId="205F4613" w14:textId="77777777" w:rsidR="00EA2F13" w:rsidRDefault="00EA2F13" w:rsidP="00E7637B">
      <w:pPr>
        <w:spacing w:before="0" w:after="0" w:line="240" w:lineRule="auto"/>
      </w:pPr>
      <w:r>
        <w:continuationSeparator/>
      </w:r>
    </w:p>
  </w:endnote>
  <w:endnote w:type="continuationNotice" w:id="1">
    <w:p w14:paraId="3ACE63DC" w14:textId="77777777" w:rsidR="00EA2F13" w:rsidRDefault="00EA2F1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6" w:space="0" w:color="0C2749" w:themeColor="text1"/>
      </w:tblBorders>
      <w:tblCellMar>
        <w:top w:w="170" w:type="dxa"/>
        <w:left w:w="0" w:type="dxa"/>
        <w:right w:w="0" w:type="dxa"/>
      </w:tblCellMar>
      <w:tblLook w:val="04A0" w:firstRow="1" w:lastRow="0" w:firstColumn="1" w:lastColumn="0" w:noHBand="0" w:noVBand="1"/>
    </w:tblPr>
    <w:tblGrid>
      <w:gridCol w:w="3024"/>
      <w:gridCol w:w="3024"/>
      <w:gridCol w:w="3022"/>
    </w:tblGrid>
    <w:tr w:rsidR="00662097" w14:paraId="747A5EF6" w14:textId="77777777" w:rsidTr="00DB2216">
      <w:tc>
        <w:tcPr>
          <w:tcW w:w="1667" w:type="pct"/>
          <w:vAlign w:val="center"/>
        </w:tcPr>
        <w:p w14:paraId="4B6E4B2D" w14:textId="7D506A6A" w:rsidR="00662097" w:rsidRPr="00690F0A" w:rsidRDefault="00662097" w:rsidP="00204AF3">
          <w:pPr>
            <w:pStyle w:val="Piedepgina"/>
            <w:jc w:val="center"/>
            <w:rPr>
              <w:szCs w:val="20"/>
            </w:rPr>
          </w:pPr>
        </w:p>
      </w:tc>
      <w:tc>
        <w:tcPr>
          <w:tcW w:w="1667" w:type="pct"/>
          <w:vAlign w:val="center"/>
        </w:tcPr>
        <w:p w14:paraId="6146D0BE" w14:textId="1C347B01" w:rsidR="00662097" w:rsidRPr="00690F0A" w:rsidRDefault="00662097" w:rsidP="00204AF3">
          <w:pPr>
            <w:pStyle w:val="Piedepgina"/>
            <w:jc w:val="center"/>
            <w:rPr>
              <w:szCs w:val="20"/>
            </w:rPr>
          </w:pPr>
          <w:r w:rsidRPr="00690F0A">
            <w:rPr>
              <w:rFonts w:eastAsia="Verdana" w:cs="Verdana"/>
              <w:szCs w:val="20"/>
              <w:lang w:val="pt-BR"/>
            </w:rPr>
            <w:fldChar w:fldCharType="begin"/>
          </w:r>
          <w:r w:rsidRPr="00690F0A">
            <w:rPr>
              <w:rFonts w:eastAsia="Verdana" w:cs="Verdana"/>
              <w:szCs w:val="20"/>
              <w:lang w:val="pt-BR"/>
            </w:rPr>
            <w:instrText xml:space="preserve"> DATE  \@ "yyyy"  \* MERGEFORMAT </w:instrText>
          </w:r>
          <w:r w:rsidRPr="00690F0A">
            <w:rPr>
              <w:rFonts w:eastAsia="Verdana" w:cs="Verdana"/>
              <w:szCs w:val="20"/>
              <w:lang w:val="pt-BR"/>
            </w:rPr>
            <w:fldChar w:fldCharType="separate"/>
          </w:r>
          <w:r w:rsidR="00D34FF2">
            <w:rPr>
              <w:rFonts w:eastAsia="Verdana" w:cs="Verdana"/>
              <w:noProof/>
              <w:szCs w:val="20"/>
              <w:lang w:val="pt-BR"/>
            </w:rPr>
            <w:t>2023</w:t>
          </w:r>
          <w:r w:rsidRPr="00690F0A">
            <w:rPr>
              <w:rFonts w:eastAsia="Verdana" w:cs="Verdana"/>
              <w:szCs w:val="20"/>
              <w:lang w:val="pt-BR"/>
            </w:rPr>
            <w:fldChar w:fldCharType="end"/>
          </w:r>
        </w:p>
      </w:tc>
      <w:tc>
        <w:tcPr>
          <w:tcW w:w="1666" w:type="pct"/>
          <w:vAlign w:val="center"/>
        </w:tcPr>
        <w:sdt>
          <w:sdtPr>
            <w:rPr>
              <w:szCs w:val="20"/>
            </w:rPr>
            <w:id w:val="-719597597"/>
            <w:docPartObj>
              <w:docPartGallery w:val="Page Numbers (Bottom of Page)"/>
              <w:docPartUnique/>
            </w:docPartObj>
          </w:sdtPr>
          <w:sdtEndPr>
            <w:rPr>
              <w:noProof/>
            </w:rPr>
          </w:sdtEndPr>
          <w:sdtContent>
            <w:p w14:paraId="74C2E93A" w14:textId="77777777" w:rsidR="00662097" w:rsidRPr="00690F0A" w:rsidRDefault="00662097" w:rsidP="00204AF3">
              <w:pPr>
                <w:pStyle w:val="Piedepgina"/>
                <w:jc w:val="right"/>
                <w:rPr>
                  <w:szCs w:val="20"/>
                </w:rPr>
              </w:pPr>
              <w:r w:rsidRPr="00690F0A">
                <w:rPr>
                  <w:szCs w:val="20"/>
                </w:rPr>
                <w:fldChar w:fldCharType="begin"/>
              </w:r>
              <w:r w:rsidRPr="00690F0A">
                <w:rPr>
                  <w:szCs w:val="20"/>
                </w:rPr>
                <w:instrText xml:space="preserve"> PAGE   \* MERGEFORMAT </w:instrText>
              </w:r>
              <w:r w:rsidRPr="00690F0A">
                <w:rPr>
                  <w:szCs w:val="20"/>
                </w:rPr>
                <w:fldChar w:fldCharType="separate"/>
              </w:r>
              <w:r w:rsidRPr="00690F0A">
                <w:rPr>
                  <w:szCs w:val="20"/>
                </w:rPr>
                <w:t>3</w:t>
              </w:r>
              <w:r w:rsidRPr="00690F0A">
                <w:rPr>
                  <w:noProof/>
                  <w:szCs w:val="20"/>
                </w:rPr>
                <w:fldChar w:fldCharType="end"/>
              </w:r>
            </w:p>
          </w:sdtContent>
        </w:sdt>
      </w:tc>
    </w:tr>
  </w:tbl>
  <w:p w14:paraId="1599FE2D" w14:textId="77777777" w:rsidR="00662097" w:rsidRDefault="006620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D192A" w14:textId="77777777" w:rsidR="00EA2F13" w:rsidRDefault="00EA2F13" w:rsidP="00E7637B">
      <w:pPr>
        <w:spacing w:before="0" w:after="0" w:line="240" w:lineRule="auto"/>
      </w:pPr>
      <w:r>
        <w:separator/>
      </w:r>
    </w:p>
  </w:footnote>
  <w:footnote w:type="continuationSeparator" w:id="0">
    <w:p w14:paraId="063C9E9F" w14:textId="77777777" w:rsidR="00EA2F13" w:rsidRDefault="00EA2F13" w:rsidP="00E7637B">
      <w:pPr>
        <w:spacing w:before="0" w:after="0" w:line="240" w:lineRule="auto"/>
      </w:pPr>
      <w:r>
        <w:continuationSeparator/>
      </w:r>
    </w:p>
  </w:footnote>
  <w:footnote w:type="continuationNotice" w:id="1">
    <w:p w14:paraId="690DEC93" w14:textId="77777777" w:rsidR="00EA2F13" w:rsidRDefault="00EA2F13">
      <w:pPr>
        <w:spacing w:before="0" w:after="0" w:line="240" w:lineRule="auto"/>
      </w:pPr>
    </w:p>
  </w:footnote>
  <w:footnote w:id="2">
    <w:p w14:paraId="0040D034" w14:textId="5BC59176" w:rsidR="00662097" w:rsidRPr="00FF1D65" w:rsidRDefault="00662097" w:rsidP="00895777">
      <w:pPr>
        <w:pStyle w:val="Textonotapie"/>
        <w:rPr>
          <w:rFonts w:ascii="Arial" w:hAnsi="Arial" w:cs="Arial"/>
          <w:sz w:val="14"/>
        </w:rPr>
      </w:pPr>
      <w:r w:rsidRPr="00FF1D65">
        <w:rPr>
          <w:rStyle w:val="Refdenotaalpie"/>
          <w:rFonts w:ascii="Arial" w:hAnsi="Arial" w:cs="Arial"/>
          <w:sz w:val="14"/>
        </w:rPr>
        <w:footnoteRef/>
      </w:r>
      <w:r w:rsidRPr="00FF1D65">
        <w:rPr>
          <w:rFonts w:ascii="Arial" w:hAnsi="Arial" w:cs="Arial"/>
          <w:sz w:val="14"/>
        </w:rPr>
        <w:t xml:space="preserve"> </w:t>
      </w:r>
      <w:hyperlink r:id="rId1" w:history="1">
        <w:r w:rsidRPr="00FF1D65">
          <w:rPr>
            <w:rStyle w:val="Hipervnculo"/>
            <w:rFonts w:ascii="Arial" w:hAnsi="Arial" w:cs="Arial"/>
            <w:sz w:val="14"/>
          </w:rPr>
          <w:t>https://www.ift.org.mx/industria/consultas-publicas/consulta-publica-sobre-las-actualizaciones-al-modelo-integral-de-red-de-acceso-fija-para-determinar</w:t>
        </w:r>
      </w:hyperlink>
    </w:p>
    <w:p w14:paraId="59102899" w14:textId="77777777" w:rsidR="00662097" w:rsidRDefault="00662097" w:rsidP="00895777">
      <w:pPr>
        <w:pStyle w:val="Textonotapie"/>
      </w:pPr>
    </w:p>
  </w:footnote>
  <w:footnote w:id="3">
    <w:p w14:paraId="554BF18F" w14:textId="77777777" w:rsidR="00662097" w:rsidRPr="00FF1D65" w:rsidRDefault="00662097" w:rsidP="00895777">
      <w:pPr>
        <w:pStyle w:val="Textonotapie"/>
        <w:rPr>
          <w:rFonts w:ascii="Arial" w:hAnsi="Arial" w:cs="Arial"/>
          <w:sz w:val="14"/>
          <w:szCs w:val="14"/>
        </w:rPr>
      </w:pPr>
      <w:r w:rsidRPr="00FF1D65">
        <w:rPr>
          <w:rStyle w:val="Refdenotaalpie"/>
          <w:rFonts w:ascii="Arial" w:hAnsi="Arial" w:cs="Arial"/>
          <w:sz w:val="14"/>
          <w:szCs w:val="14"/>
        </w:rPr>
        <w:footnoteRef/>
      </w:r>
      <w:r w:rsidRPr="00FF1D65">
        <w:rPr>
          <w:rFonts w:ascii="Arial" w:hAnsi="Arial" w:cs="Arial"/>
          <w:sz w:val="14"/>
          <w:szCs w:val="14"/>
        </w:rPr>
        <w:t xml:space="preserve"> CNMC (2020). Documentación auxiliar del modelo de costes bottom-up para la red de acceso (infraestructuras pasivas)</w:t>
      </w:r>
    </w:p>
  </w:footnote>
  <w:footnote w:id="4">
    <w:p w14:paraId="5D7ED011" w14:textId="20ED30FA" w:rsidR="00662097" w:rsidRPr="00FF1D65" w:rsidRDefault="00662097" w:rsidP="00895777">
      <w:pPr>
        <w:pStyle w:val="Textonotapie"/>
        <w:rPr>
          <w:rFonts w:ascii="Arial" w:hAnsi="Arial" w:cs="Arial"/>
          <w:sz w:val="14"/>
          <w:szCs w:val="14"/>
        </w:rPr>
      </w:pPr>
      <w:r w:rsidRPr="00FF1D65">
        <w:rPr>
          <w:rStyle w:val="Refdenotaalpie"/>
          <w:rFonts w:ascii="Arial" w:hAnsi="Arial" w:cs="Arial"/>
          <w:sz w:val="14"/>
          <w:szCs w:val="14"/>
        </w:rPr>
        <w:footnoteRef/>
      </w:r>
      <w:r w:rsidRPr="00FF1D65">
        <w:rPr>
          <w:rFonts w:ascii="Arial" w:hAnsi="Arial" w:cs="Arial"/>
          <w:sz w:val="14"/>
          <w:szCs w:val="14"/>
        </w:rPr>
        <w:t xml:space="preserve"> Teléfonos de México, S.A.B. de C.V. y Subsidiarias. Estados financieros consolidados. Al 31 de diciembre de 2022, 2021 y 2020 con Informe de los auditores independientes. Estados Consolidados de Flujos de Efectivo.</w:t>
      </w:r>
    </w:p>
  </w:footnote>
  <w:footnote w:id="5">
    <w:p w14:paraId="7091699A" w14:textId="501706A6" w:rsidR="00662097" w:rsidRPr="00FF1D65" w:rsidRDefault="00662097" w:rsidP="00895777">
      <w:pPr>
        <w:pStyle w:val="Textonotapie"/>
        <w:rPr>
          <w:rFonts w:ascii="Arial" w:hAnsi="Arial" w:cs="Arial"/>
          <w:sz w:val="14"/>
          <w:szCs w:val="14"/>
        </w:rPr>
      </w:pPr>
      <w:r w:rsidRPr="00FF1D65">
        <w:rPr>
          <w:rStyle w:val="Refdenotaalpie"/>
          <w:rFonts w:ascii="Arial" w:hAnsi="Arial" w:cs="Arial"/>
          <w:sz w:val="14"/>
          <w:szCs w:val="14"/>
        </w:rPr>
        <w:footnoteRef/>
      </w:r>
      <w:r w:rsidRPr="00FF1D65">
        <w:rPr>
          <w:rFonts w:ascii="Arial" w:hAnsi="Arial" w:cs="Arial"/>
          <w:sz w:val="14"/>
          <w:szCs w:val="14"/>
        </w:rPr>
        <w:t xml:space="preserve"> Documento Metodológico de Actualización del Modelo Integral de Red de Acceso Fija.</w:t>
      </w:r>
    </w:p>
  </w:footnote>
  <w:footnote w:id="6">
    <w:p w14:paraId="64FE746D" w14:textId="69513311" w:rsidR="00662097" w:rsidRPr="00FF1D65" w:rsidRDefault="00662097" w:rsidP="00895777">
      <w:pPr>
        <w:pStyle w:val="Textonotapie"/>
        <w:rPr>
          <w:rFonts w:ascii="Arial" w:hAnsi="Arial" w:cs="Arial"/>
          <w:sz w:val="14"/>
          <w:szCs w:val="14"/>
        </w:rPr>
      </w:pPr>
      <w:r w:rsidRPr="00FF1D65">
        <w:rPr>
          <w:rStyle w:val="Refdenotaalpie"/>
          <w:rFonts w:ascii="Arial" w:hAnsi="Arial" w:cs="Arial"/>
          <w:sz w:val="14"/>
          <w:szCs w:val="14"/>
        </w:rPr>
        <w:footnoteRef/>
      </w:r>
      <w:r w:rsidRPr="00FF1D65">
        <w:rPr>
          <w:rFonts w:ascii="Arial" w:hAnsi="Arial" w:cs="Arial"/>
          <w:sz w:val="14"/>
          <w:szCs w:val="14"/>
        </w:rPr>
        <w:t xml:space="preserve"> De manera separada, nos preocupa que el modelo subestime los volúmenes de servicios de la infraestructura pasiva. Por ejemplo, los volúmenes de demanda asumidos para los postes son muy bajos debido a que se aplica un factor de utilización del 21.46%.</w:t>
      </w:r>
    </w:p>
  </w:footnote>
  <w:footnote w:id="7">
    <w:p w14:paraId="35A83096" w14:textId="168E33A0" w:rsidR="00662097" w:rsidRDefault="00662097" w:rsidP="00895777">
      <w:pPr>
        <w:pStyle w:val="Textonotapie"/>
      </w:pPr>
      <w:r w:rsidRPr="00FF1D65">
        <w:rPr>
          <w:rStyle w:val="Refdenotaalpie"/>
          <w:rFonts w:ascii="Arial" w:hAnsi="Arial" w:cs="Arial"/>
          <w:sz w:val="14"/>
          <w:szCs w:val="14"/>
        </w:rPr>
        <w:footnoteRef/>
      </w:r>
      <w:r w:rsidRPr="00FF1D65">
        <w:rPr>
          <w:rFonts w:ascii="Arial" w:hAnsi="Arial" w:cs="Arial"/>
          <w:sz w:val="14"/>
          <w:szCs w:val="14"/>
        </w:rPr>
        <w:t xml:space="preserve"> </w:t>
      </w:r>
      <w:r w:rsidRPr="00FF1D65">
        <w:rPr>
          <w:rFonts w:ascii="Arial" w:hAnsi="Arial" w:cs="Arial"/>
          <w:sz w:val="14"/>
          <w:szCs w:val="14"/>
          <w:lang w:val="es-ES_tradnl"/>
        </w:rPr>
        <w:t>https://www.ift.org.mx/industria/consultas-publicas/consulta-publica-sobre-las-actualizaciones-al-modelo-de-costos-evitados-y-modelo-de-costos-integral</w:t>
      </w:r>
    </w:p>
  </w:footnote>
  <w:footnote w:id="8">
    <w:p w14:paraId="46C68F93" w14:textId="6A934152" w:rsidR="00662097" w:rsidRPr="00FF1D65" w:rsidRDefault="00662097" w:rsidP="00895777">
      <w:pPr>
        <w:pStyle w:val="Textonotapie"/>
        <w:rPr>
          <w:rFonts w:ascii="Arial" w:hAnsi="Arial" w:cs="Arial"/>
          <w:sz w:val="14"/>
          <w:szCs w:val="14"/>
          <w:lang w:val="es-ES_tradnl"/>
        </w:rPr>
      </w:pPr>
      <w:r w:rsidRPr="00FF1D65">
        <w:rPr>
          <w:rStyle w:val="Refdenotaalpie"/>
          <w:rFonts w:ascii="Arial" w:hAnsi="Arial" w:cs="Arial"/>
          <w:sz w:val="14"/>
          <w:szCs w:val="14"/>
        </w:rPr>
        <w:footnoteRef/>
      </w:r>
      <w:r w:rsidRPr="00FF1D65">
        <w:rPr>
          <w:rFonts w:ascii="Arial" w:hAnsi="Arial" w:cs="Arial"/>
          <w:sz w:val="14"/>
          <w:szCs w:val="14"/>
        </w:rPr>
        <w:t xml:space="preserve"> </w:t>
      </w:r>
      <w:r w:rsidRPr="00FF1D65">
        <w:rPr>
          <w:rFonts w:ascii="Arial" w:hAnsi="Arial" w:cs="Arial"/>
          <w:sz w:val="14"/>
          <w:szCs w:val="14"/>
          <w:lang w:val="es-ES_tradnl"/>
        </w:rPr>
        <w:t>Verizon, un importante operador de Estados Unidos con una gran red de FTTH, informó que la red de fibra es entre un 70%-90% más fiable que la de cobre. Lo cual les resultó en un ahorro del 60% en los costos de mantenimiento. Verizon también observó ahorros de 60% en energía y entre un 60%-80% en bienes inmobiliarios.</w:t>
      </w:r>
      <w:r w:rsidRPr="00FF1D65">
        <w:rPr>
          <w:rFonts w:ascii="Arial" w:hAnsi="Arial" w:cs="Arial"/>
          <w:color w:val="000000"/>
          <w:sz w:val="14"/>
          <w:szCs w:val="14"/>
          <w:shd w:val="clear" w:color="auto" w:fill="FFFFFF"/>
          <w:lang w:val="es-ES_tradnl"/>
        </w:rPr>
        <w:t xml:space="preserve"> [https://www.lightreading.com/ethernet-ip/new-ip/verizon-saves-60--swapping-copper-for-fiber/d/d-id/715826]</w:t>
      </w:r>
    </w:p>
  </w:footnote>
  <w:footnote w:id="9">
    <w:p w14:paraId="32477377" w14:textId="77777777" w:rsidR="00662097" w:rsidRPr="00FF1D65" w:rsidRDefault="00662097" w:rsidP="00895777">
      <w:pPr>
        <w:pStyle w:val="Textonotapie"/>
        <w:rPr>
          <w:rFonts w:ascii="Arial" w:hAnsi="Arial" w:cs="Arial"/>
          <w:sz w:val="14"/>
          <w:szCs w:val="14"/>
          <w:lang w:val="es-MX"/>
        </w:rPr>
      </w:pPr>
      <w:r w:rsidRPr="00FF1D65">
        <w:rPr>
          <w:rStyle w:val="Refdenotaalpie"/>
          <w:rFonts w:ascii="Arial" w:hAnsi="Arial" w:cs="Arial"/>
          <w:sz w:val="14"/>
          <w:szCs w:val="14"/>
        </w:rPr>
        <w:footnoteRef/>
      </w:r>
      <w:r w:rsidRPr="00FF1D65">
        <w:rPr>
          <w:rFonts w:ascii="Arial" w:hAnsi="Arial" w:cs="Arial"/>
          <w:sz w:val="14"/>
          <w:szCs w:val="14"/>
          <w:lang w:val="es-MX"/>
        </w:rPr>
        <w:t xml:space="preserve"> Documento Metodológico de Actualización del Modelo Integral de Red de Acceso Fija, sección 3.3 Costos unitarios.</w:t>
      </w:r>
    </w:p>
  </w:footnote>
  <w:footnote w:id="10">
    <w:p w14:paraId="7A257CE2" w14:textId="77777777" w:rsidR="00662097" w:rsidRPr="00851928" w:rsidRDefault="00662097" w:rsidP="00895777">
      <w:pPr>
        <w:pStyle w:val="Textonotapie"/>
      </w:pPr>
      <w:r w:rsidRPr="00FF1D65">
        <w:rPr>
          <w:rStyle w:val="Refdenotaalpie"/>
          <w:rFonts w:ascii="Arial" w:hAnsi="Arial" w:cs="Arial"/>
          <w:sz w:val="14"/>
          <w:szCs w:val="14"/>
        </w:rPr>
        <w:footnoteRef/>
      </w:r>
      <w:r w:rsidRPr="00FF1D65">
        <w:rPr>
          <w:rFonts w:ascii="Arial" w:hAnsi="Arial" w:cs="Arial"/>
          <w:sz w:val="14"/>
          <w:szCs w:val="14"/>
          <w:lang w:val="es-MX"/>
        </w:rPr>
        <w:t xml:space="preserve"> </w:t>
      </w:r>
      <w:r w:rsidRPr="00FF1D65">
        <w:rPr>
          <w:rFonts w:ascii="Arial" w:hAnsi="Arial" w:cs="Arial"/>
          <w:sz w:val="14"/>
          <w:szCs w:val="14"/>
          <w:lang w:val="es-MX" w:eastAsia="es-MX"/>
        </w:rPr>
        <w:t>Documento Metodológico y Descriptivo del Modelo de Costos Integral de la Red de Acceso Fija, sección 3.4.1 Insumos de costos unitarios.</w:t>
      </w:r>
    </w:p>
  </w:footnote>
  <w:footnote w:id="11">
    <w:p w14:paraId="4A95C504" w14:textId="0A40E90D" w:rsidR="00662097" w:rsidRPr="00FF1D65" w:rsidRDefault="00662097">
      <w:pPr>
        <w:pStyle w:val="Textonotapie"/>
        <w:rPr>
          <w:rFonts w:ascii="Arial" w:hAnsi="Arial" w:cs="Arial"/>
          <w:lang w:val="es-MX"/>
        </w:rPr>
      </w:pPr>
      <w:r w:rsidRPr="00FF1D65">
        <w:rPr>
          <w:rStyle w:val="Refdenotaalpie"/>
          <w:rFonts w:ascii="Arial" w:hAnsi="Arial" w:cs="Arial"/>
          <w:sz w:val="14"/>
        </w:rPr>
        <w:footnoteRef/>
      </w:r>
      <w:r w:rsidRPr="00FF1D65">
        <w:rPr>
          <w:rFonts w:ascii="Arial" w:hAnsi="Arial" w:cs="Arial"/>
          <w:sz w:val="14"/>
        </w:rPr>
        <w:t xml:space="preserve"> </w:t>
      </w:r>
      <w:r w:rsidRPr="00FF1D65">
        <w:rPr>
          <w:rFonts w:ascii="Arial" w:hAnsi="Arial" w:cs="Arial"/>
          <w:sz w:val="14"/>
          <w:lang w:val="es-MX"/>
        </w:rPr>
        <w:t xml:space="preserve">Disponible en la siguiente liga electrónica: </w:t>
      </w:r>
      <w:hyperlink r:id="rId2" w:history="1">
        <w:r w:rsidRPr="00FF1D65">
          <w:rPr>
            <w:rStyle w:val="Hipervnculo"/>
            <w:rFonts w:ascii="Arial" w:hAnsi="Arial" w:cs="Arial"/>
            <w:sz w:val="14"/>
            <w:lang w:val="es-MX"/>
          </w:rPr>
          <w:t>https://www.ift.org.mx/industria/consultas-publicas/consulta-publica-sobre-las-propuestas-de-ofertas-de-referencia-de-comparticion-de-infraestructura-y-2</w:t>
        </w:r>
      </w:hyperlink>
      <w:r w:rsidRPr="00FF1D65">
        <w:rPr>
          <w:rFonts w:ascii="Arial" w:hAnsi="Arial" w:cs="Arial"/>
          <w:sz w:val="14"/>
          <w:lang w:val="es-MX"/>
        </w:rPr>
        <w:t xml:space="preserve"> </w:t>
      </w:r>
    </w:p>
  </w:footnote>
  <w:footnote w:id="12">
    <w:p w14:paraId="6B5A7499" w14:textId="6699E367" w:rsidR="00662097" w:rsidRPr="00FF1D65" w:rsidRDefault="00662097" w:rsidP="00895777">
      <w:pPr>
        <w:pStyle w:val="Textonotapie"/>
        <w:rPr>
          <w:rFonts w:ascii="Arial" w:hAnsi="Arial" w:cs="Arial"/>
          <w:lang w:val="es-ES_tradnl"/>
        </w:rPr>
      </w:pPr>
      <w:r w:rsidRPr="00FF1D65">
        <w:rPr>
          <w:rStyle w:val="Refdenotaalpie"/>
          <w:rFonts w:ascii="Arial" w:hAnsi="Arial" w:cs="Arial"/>
        </w:rPr>
        <w:footnoteRef/>
      </w:r>
      <w:r w:rsidRPr="00FF1D65">
        <w:rPr>
          <w:rFonts w:ascii="Arial" w:hAnsi="Arial" w:cs="Arial"/>
          <w:lang w:val="es-ES_tradnl"/>
        </w:rPr>
        <w:t xml:space="preserve"> ‘km de fibra’: un solo cable de fibra óptica, que contenga 10 fibras, de 1 km de longitud tendrá un valor de 10 km de fibras.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6" w:space="0" w:color="0C2749" w:themeColor="text1"/>
      </w:tblBorders>
      <w:tblCellMar>
        <w:left w:w="0" w:type="dxa"/>
        <w:bottom w:w="113" w:type="dxa"/>
        <w:right w:w="0" w:type="dxa"/>
      </w:tblCellMar>
      <w:tblLook w:val="04A0" w:firstRow="1" w:lastRow="0" w:firstColumn="1" w:lastColumn="0" w:noHBand="0" w:noVBand="1"/>
    </w:tblPr>
    <w:tblGrid>
      <w:gridCol w:w="8470"/>
      <w:gridCol w:w="600"/>
    </w:tblGrid>
    <w:tr w:rsidR="00662097" w14:paraId="2A3A1EEC" w14:textId="77777777" w:rsidTr="00DB2216">
      <w:trPr>
        <w:trHeight w:val="426"/>
      </w:trPr>
      <w:tc>
        <w:tcPr>
          <w:tcW w:w="4669" w:type="pct"/>
          <w:vAlign w:val="bottom"/>
        </w:tcPr>
        <w:p w14:paraId="027A8E42" w14:textId="2672E84A" w:rsidR="00662097" w:rsidRPr="00662097" w:rsidRDefault="00662097" w:rsidP="00B47C58">
          <w:pPr>
            <w:pStyle w:val="Encabezado"/>
            <w:rPr>
              <w:rFonts w:ascii="Arial" w:hAnsi="Arial" w:cs="Arial"/>
            </w:rPr>
          </w:pPr>
          <w:r w:rsidRPr="00662097">
            <w:rPr>
              <w:rFonts w:ascii="Arial" w:hAnsi="Arial" w:cs="Arial"/>
              <w:color w:val="auto"/>
            </w:rPr>
            <w:t>Informe de consideraciones sobre la “Consulta Pública sobre las Actualizaciones al Modelo Integral de Red de Acceso Fija para determinar tarifas de servicios de compartición de infraestructura pasiva y de desagregación del AEP en telecomunicaciones</w:t>
          </w:r>
          <w:r>
            <w:rPr>
              <w:rFonts w:ascii="Arial" w:hAnsi="Arial" w:cs="Arial"/>
            </w:rPr>
            <w:t>”</w:t>
          </w:r>
        </w:p>
      </w:tc>
      <w:tc>
        <w:tcPr>
          <w:tcW w:w="331" w:type="pct"/>
          <w:vAlign w:val="center"/>
        </w:tcPr>
        <w:p w14:paraId="32B022F7" w14:textId="5DF7C815" w:rsidR="00662097" w:rsidRPr="00690F0A" w:rsidRDefault="00662097" w:rsidP="005302FB">
          <w:pPr>
            <w:pStyle w:val="Piedepgina"/>
            <w:jc w:val="right"/>
            <w:rPr>
              <w:szCs w:val="20"/>
            </w:rPr>
          </w:pPr>
        </w:p>
      </w:tc>
    </w:tr>
  </w:tbl>
  <w:p w14:paraId="12C10F44" w14:textId="77777777" w:rsidR="00662097" w:rsidRDefault="006620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3BE2716"/>
    <w:lvl w:ilvl="0">
      <w:start w:val="1"/>
      <w:numFmt w:val="decimal"/>
      <w:pStyle w:val="Listaconnmeros"/>
      <w:lvlText w:val="%1."/>
      <w:lvlJc w:val="left"/>
      <w:pPr>
        <w:ind w:left="425" w:hanging="425"/>
      </w:pPr>
      <w:rPr>
        <w:rFonts w:hint="default"/>
        <w:i w:val="0"/>
        <w:iCs w:val="0"/>
        <w:color w:val="FFC000" w:themeColor="accent3"/>
        <w:sz w:val="20"/>
      </w:rPr>
    </w:lvl>
  </w:abstractNum>
  <w:abstractNum w:abstractNumId="1" w15:restartNumberingAfterBreak="0">
    <w:nsid w:val="FFFFFF89"/>
    <w:multiLevelType w:val="singleLevel"/>
    <w:tmpl w:val="0D745BE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9F07D02"/>
    <w:multiLevelType w:val="hybridMultilevel"/>
    <w:tmpl w:val="B3A076FC"/>
    <w:lvl w:ilvl="0" w:tplc="03204B84">
      <w:start w:val="1"/>
      <w:numFmt w:val="bullet"/>
      <w:lvlText w:val=""/>
      <w:lvlJc w:val="left"/>
      <w:pPr>
        <w:ind w:left="1077" w:hanging="360"/>
      </w:pPr>
      <w:rPr>
        <w:rFonts w:ascii="Wingdings 3" w:hAnsi="Wingdings 3" w:hint="default"/>
        <w:color w:val="FFC000" w:themeColor="accent3"/>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A2D1A75"/>
    <w:multiLevelType w:val="hybridMultilevel"/>
    <w:tmpl w:val="5858C02E"/>
    <w:lvl w:ilvl="0" w:tplc="42B46AD2">
      <w:start w:val="1"/>
      <w:numFmt w:val="bullet"/>
      <w:pStyle w:val="Bullet1"/>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F85392"/>
    <w:multiLevelType w:val="hybridMultilevel"/>
    <w:tmpl w:val="A9720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D516D"/>
    <w:multiLevelType w:val="multilevel"/>
    <w:tmpl w:val="15E0B018"/>
    <w:lvl w:ilvl="0">
      <w:start w:val="1"/>
      <w:numFmt w:val="bullet"/>
      <w:lvlText w:val=""/>
      <w:lvlJc w:val="left"/>
      <w:pPr>
        <w:ind w:left="425" w:hanging="425"/>
      </w:pPr>
      <w:rPr>
        <w:rFonts w:ascii="Wingdings 3" w:hAnsi="Wingdings 3" w:hint="default"/>
        <w:color w:val="FFC000" w:themeColor="accent3"/>
      </w:rPr>
    </w:lvl>
    <w:lvl w:ilvl="1">
      <w:start w:val="1"/>
      <w:numFmt w:val="bullet"/>
      <w:pStyle w:val="Listaconvietas2"/>
      <w:lvlText w:val=""/>
      <w:lvlJc w:val="left"/>
      <w:pPr>
        <w:ind w:left="851" w:hanging="426"/>
      </w:pPr>
      <w:rPr>
        <w:rFonts w:ascii="Wingdings 2" w:hAnsi="Wingdings 2" w:hint="default"/>
        <w:color w:val="FFC000"/>
      </w:rPr>
    </w:lvl>
    <w:lvl w:ilvl="2">
      <w:start w:val="1"/>
      <w:numFmt w:val="bullet"/>
      <w:pStyle w:val="Listaconvietas3"/>
      <w:lvlText w:val=""/>
      <w:lvlJc w:val="left"/>
      <w:pPr>
        <w:ind w:left="1276" w:hanging="425"/>
      </w:pPr>
      <w:rPr>
        <w:rFonts w:ascii="Symbol" w:hAnsi="Symbol" w:hint="default"/>
        <w:color w:val="FFC00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D471F0"/>
    <w:multiLevelType w:val="hybridMultilevel"/>
    <w:tmpl w:val="8520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02484"/>
    <w:multiLevelType w:val="hybridMultilevel"/>
    <w:tmpl w:val="192C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05BEA"/>
    <w:multiLevelType w:val="hybridMultilevel"/>
    <w:tmpl w:val="860C1118"/>
    <w:lvl w:ilvl="0" w:tplc="1ED069C4">
      <w:start w:val="1"/>
      <w:numFmt w:val="bullet"/>
      <w:pStyle w:val="Indentado2"/>
      <w:lvlText w:val="v"/>
      <w:lvlJc w:val="left"/>
      <w:pPr>
        <w:ind w:left="1176" w:hanging="360"/>
      </w:pPr>
      <w:rPr>
        <w:rFonts w:ascii="Wingdings" w:hAnsi="Wingdings" w:hint="default"/>
        <w:color w:val="0C2749" w:themeColor="accent1"/>
        <w:lang w:val="es-ES"/>
      </w:rPr>
    </w:lvl>
    <w:lvl w:ilvl="1" w:tplc="040A0003">
      <w:start w:val="1"/>
      <w:numFmt w:val="bullet"/>
      <w:lvlText w:val="o"/>
      <w:lvlJc w:val="left"/>
      <w:pPr>
        <w:ind w:left="2214" w:hanging="360"/>
      </w:pPr>
      <w:rPr>
        <w:rFonts w:ascii="Courier New" w:hAnsi="Courier New" w:cs="Courier New" w:hint="default"/>
      </w:rPr>
    </w:lvl>
    <w:lvl w:ilvl="2" w:tplc="040A0005">
      <w:start w:val="1"/>
      <w:numFmt w:val="bullet"/>
      <w:lvlText w:val=""/>
      <w:lvlJc w:val="left"/>
      <w:pPr>
        <w:ind w:left="2934" w:hanging="360"/>
      </w:pPr>
      <w:rPr>
        <w:rFonts w:ascii="Wingdings" w:hAnsi="Wingdings" w:hint="default"/>
      </w:rPr>
    </w:lvl>
    <w:lvl w:ilvl="3" w:tplc="040A0001">
      <w:start w:val="1"/>
      <w:numFmt w:val="bullet"/>
      <w:lvlText w:val=""/>
      <w:lvlJc w:val="left"/>
      <w:pPr>
        <w:ind w:left="3654" w:hanging="360"/>
      </w:pPr>
      <w:rPr>
        <w:rFonts w:ascii="Symbol" w:hAnsi="Symbol" w:hint="default"/>
      </w:rPr>
    </w:lvl>
    <w:lvl w:ilvl="4" w:tplc="040A0003" w:tentative="1">
      <w:start w:val="1"/>
      <w:numFmt w:val="bullet"/>
      <w:lvlText w:val="o"/>
      <w:lvlJc w:val="left"/>
      <w:pPr>
        <w:ind w:left="4374" w:hanging="360"/>
      </w:pPr>
      <w:rPr>
        <w:rFonts w:ascii="Courier New" w:hAnsi="Courier New" w:cs="Courier New" w:hint="default"/>
      </w:rPr>
    </w:lvl>
    <w:lvl w:ilvl="5" w:tplc="040A0005" w:tentative="1">
      <w:start w:val="1"/>
      <w:numFmt w:val="bullet"/>
      <w:lvlText w:val=""/>
      <w:lvlJc w:val="left"/>
      <w:pPr>
        <w:ind w:left="5094" w:hanging="360"/>
      </w:pPr>
      <w:rPr>
        <w:rFonts w:ascii="Wingdings" w:hAnsi="Wingdings" w:hint="default"/>
      </w:rPr>
    </w:lvl>
    <w:lvl w:ilvl="6" w:tplc="040A0001" w:tentative="1">
      <w:start w:val="1"/>
      <w:numFmt w:val="bullet"/>
      <w:lvlText w:val=""/>
      <w:lvlJc w:val="left"/>
      <w:pPr>
        <w:ind w:left="5814" w:hanging="360"/>
      </w:pPr>
      <w:rPr>
        <w:rFonts w:ascii="Symbol" w:hAnsi="Symbol" w:hint="default"/>
      </w:rPr>
    </w:lvl>
    <w:lvl w:ilvl="7" w:tplc="040A0003" w:tentative="1">
      <w:start w:val="1"/>
      <w:numFmt w:val="bullet"/>
      <w:lvlText w:val="o"/>
      <w:lvlJc w:val="left"/>
      <w:pPr>
        <w:ind w:left="6534" w:hanging="360"/>
      </w:pPr>
      <w:rPr>
        <w:rFonts w:ascii="Courier New" w:hAnsi="Courier New" w:cs="Courier New" w:hint="default"/>
      </w:rPr>
    </w:lvl>
    <w:lvl w:ilvl="8" w:tplc="040A0005" w:tentative="1">
      <w:start w:val="1"/>
      <w:numFmt w:val="bullet"/>
      <w:lvlText w:val=""/>
      <w:lvlJc w:val="left"/>
      <w:pPr>
        <w:ind w:left="7254" w:hanging="360"/>
      </w:pPr>
      <w:rPr>
        <w:rFonts w:ascii="Wingdings" w:hAnsi="Wingdings" w:hint="default"/>
      </w:rPr>
    </w:lvl>
  </w:abstractNum>
  <w:abstractNum w:abstractNumId="9" w15:restartNumberingAfterBreak="0">
    <w:nsid w:val="367F51FD"/>
    <w:multiLevelType w:val="multilevel"/>
    <w:tmpl w:val="07942532"/>
    <w:lvl w:ilvl="0">
      <w:start w:val="1"/>
      <w:numFmt w:val="upperLetter"/>
      <w:pStyle w:val="Annex1"/>
      <w:lvlText w:val="Annex %1."/>
      <w:lvlJc w:val="left"/>
      <w:pPr>
        <w:ind w:left="2160" w:hanging="360"/>
      </w:pPr>
      <w:rPr>
        <w:rFonts w:hint="default"/>
      </w:rPr>
    </w:lvl>
    <w:lvl w:ilvl="1">
      <w:start w:val="1"/>
      <w:numFmt w:val="decimal"/>
      <w:pStyle w:val="Annex2"/>
      <w:lvlText w:val="%1.%2."/>
      <w:lvlJc w:val="left"/>
      <w:pPr>
        <w:ind w:left="2880" w:hanging="360"/>
      </w:pPr>
      <w:rPr>
        <w:rFonts w:hint="default"/>
      </w:rPr>
    </w:lvl>
    <w:lvl w:ilvl="2">
      <w:start w:val="1"/>
      <w:numFmt w:val="decimal"/>
      <w:pStyle w:val="Annex3"/>
      <w:lvlText w:val="%1.%2.%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0" w15:restartNumberingAfterBreak="0">
    <w:nsid w:val="42B14F74"/>
    <w:multiLevelType w:val="multilevel"/>
    <w:tmpl w:val="0B506B26"/>
    <w:lvl w:ilvl="0">
      <w:start w:val="1"/>
      <w:numFmt w:val="decimal"/>
      <w:pStyle w:val="Update"/>
      <w:suff w:val="space"/>
      <w:lvlText w:val="Actualización %1."/>
      <w:lvlJc w:val="left"/>
      <w:pPr>
        <w:ind w:left="0" w:firstLine="0"/>
      </w:pPr>
      <w:rPr>
        <w:rFonts w:hint="default"/>
        <w:b/>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4DC956E6"/>
    <w:multiLevelType w:val="hybridMultilevel"/>
    <w:tmpl w:val="12F0C15E"/>
    <w:lvl w:ilvl="0" w:tplc="4C82B0D2">
      <w:start w:val="1"/>
      <w:numFmt w:val="decimal"/>
      <w:pStyle w:val="NumberedParagraph"/>
      <w:lvlText w:val="%1."/>
      <w:lvlJc w:val="right"/>
      <w:pPr>
        <w:ind w:left="0"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7D24D7"/>
    <w:multiLevelType w:val="hybridMultilevel"/>
    <w:tmpl w:val="98265A30"/>
    <w:lvl w:ilvl="0" w:tplc="6F22F026">
      <w:start w:val="1"/>
      <w:numFmt w:val="lowerLetter"/>
      <w:pStyle w:val="ListAlphabet"/>
      <w:lvlText w:val="%1)"/>
      <w:lvlJc w:val="left"/>
      <w:pPr>
        <w:ind w:left="425" w:hanging="425"/>
      </w:pPr>
      <w:rPr>
        <w:rFonts w:hint="default"/>
        <w:color w:val="FFC000"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010E74"/>
    <w:multiLevelType w:val="hybridMultilevel"/>
    <w:tmpl w:val="4BF669C2"/>
    <w:lvl w:ilvl="0" w:tplc="B4CEC150">
      <w:start w:val="1"/>
      <w:numFmt w:val="bullet"/>
      <w:pStyle w:val="Indentado1"/>
      <w:lvlText w:val=""/>
      <w:lvlJc w:val="left"/>
      <w:pPr>
        <w:ind w:left="360" w:hanging="360"/>
      </w:pPr>
      <w:rPr>
        <w:rFonts w:ascii="Wingdings 3" w:hAnsi="Wingdings 3" w:hint="default"/>
        <w:color w:val="0C2749" w:themeColor="accent1"/>
        <w:lang w:val="es-ES"/>
      </w:rPr>
    </w:lvl>
    <w:lvl w:ilvl="1" w:tplc="0C0A0009">
      <w:start w:val="1"/>
      <w:numFmt w:val="bullet"/>
      <w:lvlText w:val=""/>
      <w:lvlJc w:val="left"/>
      <w:pPr>
        <w:ind w:left="-3740" w:hanging="360"/>
      </w:pPr>
      <w:rPr>
        <w:rFonts w:ascii="Wingdings" w:hAnsi="Wingdings" w:hint="default"/>
        <w:color w:val="0C2749" w:themeColor="accent1"/>
      </w:rPr>
    </w:lvl>
    <w:lvl w:ilvl="2" w:tplc="040A0005">
      <w:start w:val="1"/>
      <w:numFmt w:val="bullet"/>
      <w:lvlText w:val=""/>
      <w:lvlJc w:val="left"/>
      <w:pPr>
        <w:ind w:left="-3020" w:hanging="360"/>
      </w:pPr>
      <w:rPr>
        <w:rFonts w:ascii="Wingdings" w:hAnsi="Wingdings" w:hint="default"/>
      </w:rPr>
    </w:lvl>
    <w:lvl w:ilvl="3" w:tplc="040A0001">
      <w:start w:val="1"/>
      <w:numFmt w:val="bullet"/>
      <w:lvlText w:val=""/>
      <w:lvlJc w:val="left"/>
      <w:pPr>
        <w:ind w:left="-2300" w:hanging="360"/>
      </w:pPr>
      <w:rPr>
        <w:rFonts w:ascii="Symbol" w:hAnsi="Symbol" w:hint="default"/>
      </w:rPr>
    </w:lvl>
    <w:lvl w:ilvl="4" w:tplc="2E12CAFE">
      <w:numFmt w:val="bullet"/>
      <w:lvlText w:val="•"/>
      <w:lvlJc w:val="left"/>
      <w:pPr>
        <w:ind w:left="-1580" w:hanging="360"/>
      </w:pPr>
      <w:rPr>
        <w:rFonts w:ascii="Verdana" w:eastAsia="Times New Roman" w:hAnsi="Verdana" w:cs="Times New Roman" w:hint="default"/>
      </w:rPr>
    </w:lvl>
    <w:lvl w:ilvl="5" w:tplc="040A0005">
      <w:start w:val="1"/>
      <w:numFmt w:val="bullet"/>
      <w:lvlText w:val=""/>
      <w:lvlJc w:val="left"/>
      <w:pPr>
        <w:ind w:left="-860" w:hanging="360"/>
      </w:pPr>
      <w:rPr>
        <w:rFonts w:ascii="Wingdings" w:hAnsi="Wingdings" w:hint="default"/>
      </w:rPr>
    </w:lvl>
    <w:lvl w:ilvl="6" w:tplc="040A0001">
      <w:start w:val="1"/>
      <w:numFmt w:val="bullet"/>
      <w:lvlText w:val=""/>
      <w:lvlJc w:val="left"/>
      <w:pPr>
        <w:ind w:left="-140" w:hanging="360"/>
      </w:pPr>
      <w:rPr>
        <w:rFonts w:ascii="Symbol" w:hAnsi="Symbol" w:hint="default"/>
      </w:rPr>
    </w:lvl>
    <w:lvl w:ilvl="7" w:tplc="040A0003">
      <w:start w:val="1"/>
      <w:numFmt w:val="bullet"/>
      <w:lvlText w:val="o"/>
      <w:lvlJc w:val="left"/>
      <w:pPr>
        <w:ind w:left="580" w:hanging="360"/>
      </w:pPr>
      <w:rPr>
        <w:rFonts w:ascii="Courier New" w:hAnsi="Courier New" w:cs="Courier New" w:hint="default"/>
      </w:rPr>
    </w:lvl>
    <w:lvl w:ilvl="8" w:tplc="040A0005">
      <w:start w:val="1"/>
      <w:numFmt w:val="bullet"/>
      <w:lvlText w:val=""/>
      <w:lvlJc w:val="left"/>
      <w:pPr>
        <w:ind w:left="1300" w:hanging="360"/>
      </w:pPr>
      <w:rPr>
        <w:rFonts w:ascii="Wingdings" w:hAnsi="Wingdings" w:hint="default"/>
      </w:rPr>
    </w:lvl>
  </w:abstractNum>
  <w:abstractNum w:abstractNumId="14" w15:restartNumberingAfterBreak="0">
    <w:nsid w:val="53B3538D"/>
    <w:multiLevelType w:val="hybridMultilevel"/>
    <w:tmpl w:val="2A36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40303F"/>
    <w:multiLevelType w:val="multilevel"/>
    <w:tmpl w:val="6DF262E6"/>
    <w:styleLink w:val="Estilo1"/>
    <w:lvl w:ilvl="0">
      <w:start w:val="1"/>
      <w:numFmt w:val="decimal"/>
      <w:lvlText w:val="%1"/>
      <w:lvlJc w:val="left"/>
      <w:pPr>
        <w:ind w:left="0" w:hanging="499"/>
      </w:pPr>
      <w:rPr>
        <w:rFonts w:ascii="Arial" w:hAnsi="Arial" w:cs="Arial" w:hint="default"/>
        <w:b/>
        <w:bCs/>
        <w:i w:val="0"/>
        <w:sz w:val="24"/>
        <w:szCs w:val="24"/>
      </w:rPr>
    </w:lvl>
    <w:lvl w:ilvl="1">
      <w:start w:val="1"/>
      <w:numFmt w:val="decimal"/>
      <w:lvlRestart w:val="0"/>
      <w:lvlText w:val="%2"/>
      <w:lvlJc w:val="left"/>
      <w:pPr>
        <w:ind w:left="0" w:hanging="499"/>
      </w:pPr>
      <w:rPr>
        <w:rFonts w:ascii="Arial" w:hAnsi="Arial" w:hint="default"/>
        <w:b/>
        <w:i w:val="0"/>
        <w:sz w:val="24"/>
      </w:rPr>
    </w:lvl>
    <w:lvl w:ilvl="2">
      <w:start w:val="1"/>
      <w:numFmt w:val="decimal"/>
      <w:lvlText w:val="%2.%3"/>
      <w:lvlJc w:val="left"/>
      <w:pPr>
        <w:ind w:left="0" w:hanging="499"/>
      </w:pPr>
    </w:lvl>
    <w:lvl w:ilvl="3">
      <w:start w:val="1"/>
      <w:numFmt w:val="none"/>
      <w:lvlRestart w:val="0"/>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16" w15:restartNumberingAfterBreak="0">
    <w:nsid w:val="58950928"/>
    <w:multiLevelType w:val="hybridMultilevel"/>
    <w:tmpl w:val="4720FDF6"/>
    <w:lvl w:ilvl="0" w:tplc="3D88E568">
      <w:start w:val="1"/>
      <w:numFmt w:val="bullet"/>
      <w:lvlText w:val=""/>
      <w:lvlJc w:val="left"/>
      <w:pPr>
        <w:ind w:left="170" w:hanging="170"/>
      </w:pPr>
      <w:rPr>
        <w:rFonts w:ascii="Symbol" w:hAnsi="Symbol" w:cs="Symbol" w:hint="default"/>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3405A36"/>
    <w:multiLevelType w:val="hybridMultilevel"/>
    <w:tmpl w:val="1E947A70"/>
    <w:lvl w:ilvl="0" w:tplc="5FD629C8">
      <w:start w:val="1"/>
      <w:numFmt w:val="lowerRoman"/>
      <w:pStyle w:val="ListRomans"/>
      <w:lvlText w:val="%1."/>
      <w:lvlJc w:val="left"/>
      <w:pPr>
        <w:ind w:left="851" w:hanging="426"/>
      </w:pPr>
      <w:rPr>
        <w:rFonts w:hint="default"/>
        <w:b w:val="0"/>
        <w:bCs w:val="0"/>
        <w:i w:val="0"/>
        <w:iCs w:val="0"/>
        <w:color w:val="FFC000" w:themeColor="accent3"/>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18091B"/>
    <w:multiLevelType w:val="hybridMultilevel"/>
    <w:tmpl w:val="6E80ADAA"/>
    <w:lvl w:ilvl="0" w:tplc="3D88E568">
      <w:start w:val="1"/>
      <w:numFmt w:val="bullet"/>
      <w:lvlText w:val=""/>
      <w:lvlJc w:val="left"/>
      <w:pPr>
        <w:ind w:left="170" w:hanging="170"/>
      </w:pPr>
      <w:rPr>
        <w:rFonts w:ascii="Symbol" w:hAnsi="Symbol" w:cs="Symbol" w:hint="default"/>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7113390"/>
    <w:multiLevelType w:val="hybridMultilevel"/>
    <w:tmpl w:val="9DBE268C"/>
    <w:lvl w:ilvl="0" w:tplc="392CBDE6">
      <w:start w:val="1"/>
      <w:numFmt w:val="bullet"/>
      <w:pStyle w:val="TableListBullet"/>
      <w:lvlText w:val=""/>
      <w:lvlJc w:val="left"/>
      <w:pPr>
        <w:ind w:left="170" w:hanging="170"/>
      </w:pPr>
      <w:rPr>
        <w:rFonts w:ascii="Wingdings 3" w:hAnsi="Wingdings 3" w:hint="default"/>
        <w:color w:val="FFC000" w:themeColor="accent3"/>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729237F"/>
    <w:multiLevelType w:val="hybridMultilevel"/>
    <w:tmpl w:val="0CF43AC4"/>
    <w:lvl w:ilvl="0" w:tplc="3D88E568">
      <w:start w:val="1"/>
      <w:numFmt w:val="bullet"/>
      <w:lvlText w:val=""/>
      <w:lvlJc w:val="left"/>
      <w:pPr>
        <w:ind w:left="720" w:hanging="360"/>
      </w:pPr>
      <w:rPr>
        <w:rFonts w:ascii="Symbol" w:hAnsi="Symbol" w:cs="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2F4159"/>
    <w:multiLevelType w:val="hybridMultilevel"/>
    <w:tmpl w:val="5B44B466"/>
    <w:lvl w:ilvl="0" w:tplc="3D88E568">
      <w:start w:val="1"/>
      <w:numFmt w:val="bullet"/>
      <w:lvlText w:val=""/>
      <w:lvlJc w:val="left"/>
      <w:pPr>
        <w:ind w:left="170" w:hanging="170"/>
      </w:pPr>
      <w:rPr>
        <w:rFonts w:ascii="Symbol" w:hAnsi="Symbol" w:cs="Symbol" w:hint="default"/>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EE72706"/>
    <w:multiLevelType w:val="multilevel"/>
    <w:tmpl w:val="3DE4A966"/>
    <w:lvl w:ilvl="0">
      <w:start w:val="1"/>
      <w:numFmt w:val="decimal"/>
      <w:pStyle w:val="Ttulo1"/>
      <w:lvlText w:val="%1."/>
      <w:lvlJc w:val="left"/>
      <w:pPr>
        <w:ind w:left="0" w:firstLine="0"/>
      </w:pPr>
      <w:rPr>
        <w:rFonts w:hint="default"/>
      </w:rPr>
    </w:lvl>
    <w:lvl w:ilvl="1">
      <w:start w:val="1"/>
      <w:numFmt w:val="decimal"/>
      <w:pStyle w:val="Ttulo2"/>
      <w:lvlText w:val="%1.%2."/>
      <w:lvlJc w:val="left"/>
      <w:pPr>
        <w:ind w:left="0" w:firstLine="0"/>
      </w:pPr>
      <w:rPr>
        <w:rFonts w:hint="default"/>
      </w:rPr>
    </w:lvl>
    <w:lvl w:ilvl="2">
      <w:start w:val="1"/>
      <w:numFmt w:val="decimal"/>
      <w:pStyle w:val="Ttulo3"/>
      <w:lvlText w:val="%1.%2.%3."/>
      <w:lvlJc w:val="left"/>
      <w:pPr>
        <w:ind w:left="0" w:firstLine="0"/>
      </w:pPr>
      <w:rPr>
        <w:rFonts w:hint="default"/>
      </w:rPr>
    </w:lvl>
    <w:lvl w:ilvl="3">
      <w:start w:val="1"/>
      <w:numFmt w:val="none"/>
      <w:pStyle w:val="Ttulo4"/>
      <w:lvlText w:val=""/>
      <w:lvlJc w:val="left"/>
      <w:pPr>
        <w:ind w:left="0" w:firstLine="0"/>
      </w:pPr>
      <w:rPr>
        <w:rFonts w:hint="default"/>
      </w:rPr>
    </w:lvl>
    <w:lvl w:ilvl="4">
      <w:start w:val="1"/>
      <w:numFmt w:val="none"/>
      <w:pStyle w:val="Ttulo5"/>
      <w:lvlText w:val=""/>
      <w:lvlJc w:val="left"/>
      <w:pPr>
        <w:ind w:left="0" w:firstLine="0"/>
      </w:pPr>
      <w:rPr>
        <w:rFonts w:hint="default"/>
      </w:rPr>
    </w:lvl>
    <w:lvl w:ilvl="5">
      <w:start w:val="1"/>
      <w:numFmt w:val="none"/>
      <w:pStyle w:val="Ttulo6"/>
      <w:lvlText w:val=""/>
      <w:lvlJc w:val="left"/>
      <w:pPr>
        <w:ind w:left="1152" w:hanging="1152"/>
      </w:pPr>
      <w:rPr>
        <w:rFonts w:hint="default"/>
      </w:rPr>
    </w:lvl>
    <w:lvl w:ilvl="6">
      <w:start w:val="1"/>
      <w:numFmt w:val="none"/>
      <w:pStyle w:val="Ttulo7"/>
      <w:lvlText w:val=""/>
      <w:lvlJc w:val="left"/>
      <w:pPr>
        <w:ind w:left="1296" w:hanging="1296"/>
      </w:pPr>
      <w:rPr>
        <w:rFonts w:hint="default"/>
      </w:rPr>
    </w:lvl>
    <w:lvl w:ilvl="7">
      <w:start w:val="1"/>
      <w:numFmt w:val="none"/>
      <w:pStyle w:val="Ttulo8"/>
      <w:lvlText w:val=""/>
      <w:lvlJc w:val="left"/>
      <w:pPr>
        <w:ind w:left="1440" w:hanging="1440"/>
      </w:pPr>
      <w:rPr>
        <w:rFonts w:hint="default"/>
      </w:rPr>
    </w:lvl>
    <w:lvl w:ilvl="8">
      <w:start w:val="1"/>
      <w:numFmt w:val="none"/>
      <w:pStyle w:val="Ttulo9"/>
      <w:lvlText w:val=""/>
      <w:lvlJc w:val="left"/>
      <w:pPr>
        <w:ind w:left="1584" w:hanging="1584"/>
      </w:pPr>
      <w:rPr>
        <w:rFonts w:hint="default"/>
      </w:rPr>
    </w:lvl>
  </w:abstractNum>
  <w:num w:numId="1">
    <w:abstractNumId w:val="11"/>
  </w:num>
  <w:num w:numId="2">
    <w:abstractNumId w:val="22"/>
  </w:num>
  <w:num w:numId="3">
    <w:abstractNumId w:val="0"/>
  </w:num>
  <w:num w:numId="4">
    <w:abstractNumId w:val="5"/>
  </w:num>
  <w:num w:numId="5">
    <w:abstractNumId w:val="19"/>
  </w:num>
  <w:num w:numId="6">
    <w:abstractNumId w:val="17"/>
  </w:num>
  <w:num w:numId="7">
    <w:abstractNumId w:val="12"/>
  </w:num>
  <w:num w:numId="8">
    <w:abstractNumId w:val="9"/>
    <w:lvlOverride w:ilvl="0">
      <w:lvl w:ilvl="0">
        <w:start w:val="1"/>
        <w:numFmt w:val="upperLetter"/>
        <w:pStyle w:val="Annex1"/>
        <w:lvlText w:val="Annex %1."/>
        <w:lvlJc w:val="left"/>
        <w:pPr>
          <w:ind w:left="2160" w:hanging="360"/>
        </w:pPr>
        <w:rPr>
          <w:rFonts w:hint="default"/>
        </w:rPr>
      </w:lvl>
    </w:lvlOverride>
    <w:lvlOverride w:ilvl="1">
      <w:lvl w:ilvl="1">
        <w:start w:val="1"/>
        <w:numFmt w:val="decimal"/>
        <w:pStyle w:val="Annex2"/>
        <w:lvlText w:val="%1.%2."/>
        <w:lvlJc w:val="left"/>
        <w:pPr>
          <w:ind w:left="2880" w:hanging="360"/>
        </w:pPr>
        <w:rPr>
          <w:rFonts w:hint="default"/>
        </w:rPr>
      </w:lvl>
    </w:lvlOverride>
    <w:lvlOverride w:ilvl="2">
      <w:lvl w:ilvl="2">
        <w:start w:val="1"/>
        <w:numFmt w:val="decimal"/>
        <w:pStyle w:val="Annex3"/>
        <w:lvlText w:val="%1.%2.%3."/>
        <w:lvlJc w:val="lef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9">
    <w:abstractNumId w:val="9"/>
    <w:lvlOverride w:ilvl="0">
      <w:lvl w:ilvl="0">
        <w:start w:val="1"/>
        <w:numFmt w:val="upperLetter"/>
        <w:pStyle w:val="Annex1"/>
        <w:lvlText w:val="Annex %1."/>
        <w:lvlJc w:val="left"/>
        <w:pPr>
          <w:ind w:left="0" w:firstLine="0"/>
        </w:pPr>
        <w:rPr>
          <w:rFonts w:hint="default"/>
        </w:rPr>
      </w:lvl>
    </w:lvlOverride>
    <w:lvlOverride w:ilvl="1">
      <w:lvl w:ilvl="1">
        <w:start w:val="1"/>
        <w:numFmt w:val="decimal"/>
        <w:pStyle w:val="Annex2"/>
        <w:lvlText w:val="%1.%2."/>
        <w:lvlJc w:val="left"/>
        <w:pPr>
          <w:ind w:left="0" w:firstLine="0"/>
        </w:pPr>
        <w:rPr>
          <w:rFonts w:hint="default"/>
        </w:rPr>
      </w:lvl>
    </w:lvlOverride>
    <w:lvlOverride w:ilvl="2">
      <w:lvl w:ilvl="2">
        <w:start w:val="1"/>
        <w:numFmt w:val="decimal"/>
        <w:pStyle w:val="Annex3"/>
        <w:lvlText w:val="%1.%2.%3."/>
        <w:lvlJc w:val="left"/>
        <w:pPr>
          <w:ind w:left="0" w:firstLine="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0">
    <w:abstractNumId w:val="8"/>
  </w:num>
  <w:num w:numId="11">
    <w:abstractNumId w:val="13"/>
  </w:num>
  <w:num w:numId="12">
    <w:abstractNumId w:val="10"/>
  </w:num>
  <w:num w:numId="13">
    <w:abstractNumId w:val="2"/>
  </w:num>
  <w:num w:numId="14">
    <w:abstractNumId w:val="3"/>
  </w:num>
  <w:num w:numId="15">
    <w:abstractNumId w:val="14"/>
  </w:num>
  <w:num w:numId="16">
    <w:abstractNumId w:val="4"/>
  </w:num>
  <w:num w:numId="17">
    <w:abstractNumId w:val="7"/>
  </w:num>
  <w:num w:numId="18">
    <w:abstractNumId w:val="1"/>
  </w:num>
  <w:num w:numId="19">
    <w:abstractNumId w:val="15"/>
  </w:num>
  <w:num w:numId="20">
    <w:abstractNumId w:val="16"/>
  </w:num>
  <w:num w:numId="21">
    <w:abstractNumId w:val="21"/>
  </w:num>
  <w:num w:numId="22">
    <w:abstractNumId w:val="18"/>
  </w:num>
  <w:num w:numId="23">
    <w:abstractNumId w:val="20"/>
  </w:num>
  <w:num w:numId="24">
    <w:abstractNumId w:val="6"/>
  </w:num>
  <w:num w:numId="25">
    <w:abstractNumId w:val="22"/>
  </w:num>
  <w:num w:numId="26">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3MDU1MTa3MDExNTNX0lEKTi0uzszPAymwqAUApWzDRSwAAAA="/>
  </w:docVars>
  <w:rsids>
    <w:rsidRoot w:val="00E92D59"/>
    <w:rsid w:val="000000B0"/>
    <w:rsid w:val="00000BFB"/>
    <w:rsid w:val="00000E83"/>
    <w:rsid w:val="00000FCA"/>
    <w:rsid w:val="00001156"/>
    <w:rsid w:val="0000115B"/>
    <w:rsid w:val="000015A6"/>
    <w:rsid w:val="00001604"/>
    <w:rsid w:val="0000192C"/>
    <w:rsid w:val="00001CE7"/>
    <w:rsid w:val="000027AC"/>
    <w:rsid w:val="00003291"/>
    <w:rsid w:val="0000361B"/>
    <w:rsid w:val="0000396C"/>
    <w:rsid w:val="00004081"/>
    <w:rsid w:val="00004B9E"/>
    <w:rsid w:val="00004E67"/>
    <w:rsid w:val="00005168"/>
    <w:rsid w:val="00005595"/>
    <w:rsid w:val="000059E4"/>
    <w:rsid w:val="000062AE"/>
    <w:rsid w:val="00006DEA"/>
    <w:rsid w:val="00006F17"/>
    <w:rsid w:val="000071CB"/>
    <w:rsid w:val="00007A2A"/>
    <w:rsid w:val="00007AF6"/>
    <w:rsid w:val="000103B4"/>
    <w:rsid w:val="0001046D"/>
    <w:rsid w:val="00010DA8"/>
    <w:rsid w:val="00010E50"/>
    <w:rsid w:val="00011BA5"/>
    <w:rsid w:val="00011DF7"/>
    <w:rsid w:val="00011E78"/>
    <w:rsid w:val="00011F40"/>
    <w:rsid w:val="00011FD3"/>
    <w:rsid w:val="0001208B"/>
    <w:rsid w:val="0001245B"/>
    <w:rsid w:val="00013734"/>
    <w:rsid w:val="00013954"/>
    <w:rsid w:val="00013CAC"/>
    <w:rsid w:val="00013FA0"/>
    <w:rsid w:val="00014B3E"/>
    <w:rsid w:val="00014D76"/>
    <w:rsid w:val="00014E04"/>
    <w:rsid w:val="00014F2A"/>
    <w:rsid w:val="0001566A"/>
    <w:rsid w:val="000158EA"/>
    <w:rsid w:val="00015DD4"/>
    <w:rsid w:val="00015F08"/>
    <w:rsid w:val="00016101"/>
    <w:rsid w:val="00016244"/>
    <w:rsid w:val="00016806"/>
    <w:rsid w:val="000169C4"/>
    <w:rsid w:val="0001793A"/>
    <w:rsid w:val="00020B29"/>
    <w:rsid w:val="0002104D"/>
    <w:rsid w:val="0002121F"/>
    <w:rsid w:val="0002147E"/>
    <w:rsid w:val="00021F3B"/>
    <w:rsid w:val="000220AF"/>
    <w:rsid w:val="000221EF"/>
    <w:rsid w:val="00022333"/>
    <w:rsid w:val="000224A2"/>
    <w:rsid w:val="0002255B"/>
    <w:rsid w:val="00022D58"/>
    <w:rsid w:val="00023360"/>
    <w:rsid w:val="0002360A"/>
    <w:rsid w:val="0002383A"/>
    <w:rsid w:val="00024065"/>
    <w:rsid w:val="00024826"/>
    <w:rsid w:val="00024AA7"/>
    <w:rsid w:val="00025319"/>
    <w:rsid w:val="000253B4"/>
    <w:rsid w:val="00025D94"/>
    <w:rsid w:val="00026020"/>
    <w:rsid w:val="0002622B"/>
    <w:rsid w:val="000262DC"/>
    <w:rsid w:val="00026AAA"/>
    <w:rsid w:val="00026EE0"/>
    <w:rsid w:val="00027780"/>
    <w:rsid w:val="000277FA"/>
    <w:rsid w:val="00027D0D"/>
    <w:rsid w:val="00030A5F"/>
    <w:rsid w:val="00030EC9"/>
    <w:rsid w:val="0003109E"/>
    <w:rsid w:val="0003140E"/>
    <w:rsid w:val="000314AE"/>
    <w:rsid w:val="0003189A"/>
    <w:rsid w:val="00031B1C"/>
    <w:rsid w:val="0003243E"/>
    <w:rsid w:val="00032444"/>
    <w:rsid w:val="000324E3"/>
    <w:rsid w:val="000328EA"/>
    <w:rsid w:val="000334EE"/>
    <w:rsid w:val="00033727"/>
    <w:rsid w:val="000339A2"/>
    <w:rsid w:val="00033A4C"/>
    <w:rsid w:val="00033D2F"/>
    <w:rsid w:val="00034202"/>
    <w:rsid w:val="000342AE"/>
    <w:rsid w:val="000349A1"/>
    <w:rsid w:val="00034B1F"/>
    <w:rsid w:val="00034F09"/>
    <w:rsid w:val="00035B93"/>
    <w:rsid w:val="000360B5"/>
    <w:rsid w:val="00036339"/>
    <w:rsid w:val="00036569"/>
    <w:rsid w:val="00036CFE"/>
    <w:rsid w:val="00036D3B"/>
    <w:rsid w:val="00037799"/>
    <w:rsid w:val="00037B73"/>
    <w:rsid w:val="00037F3C"/>
    <w:rsid w:val="000403D2"/>
    <w:rsid w:val="00040986"/>
    <w:rsid w:val="00040AB8"/>
    <w:rsid w:val="00040CE0"/>
    <w:rsid w:val="00041345"/>
    <w:rsid w:val="000414D7"/>
    <w:rsid w:val="00041F9C"/>
    <w:rsid w:val="000423B8"/>
    <w:rsid w:val="00042F4E"/>
    <w:rsid w:val="0004321E"/>
    <w:rsid w:val="000445C8"/>
    <w:rsid w:val="0004506A"/>
    <w:rsid w:val="0004560F"/>
    <w:rsid w:val="0004561A"/>
    <w:rsid w:val="00045B89"/>
    <w:rsid w:val="00046286"/>
    <w:rsid w:val="00046A14"/>
    <w:rsid w:val="00046BED"/>
    <w:rsid w:val="00047125"/>
    <w:rsid w:val="000471E9"/>
    <w:rsid w:val="00047A8A"/>
    <w:rsid w:val="00047C52"/>
    <w:rsid w:val="00050027"/>
    <w:rsid w:val="000501F7"/>
    <w:rsid w:val="0005034B"/>
    <w:rsid w:val="0005043F"/>
    <w:rsid w:val="0005089F"/>
    <w:rsid w:val="00052B14"/>
    <w:rsid w:val="000530C4"/>
    <w:rsid w:val="00053D69"/>
    <w:rsid w:val="0005427F"/>
    <w:rsid w:val="00054DCE"/>
    <w:rsid w:val="00055907"/>
    <w:rsid w:val="0005596C"/>
    <w:rsid w:val="00055F6F"/>
    <w:rsid w:val="00056AEC"/>
    <w:rsid w:val="00056C2B"/>
    <w:rsid w:val="000574CD"/>
    <w:rsid w:val="00057939"/>
    <w:rsid w:val="00057BB3"/>
    <w:rsid w:val="00057D25"/>
    <w:rsid w:val="00060012"/>
    <w:rsid w:val="0006019E"/>
    <w:rsid w:val="00060438"/>
    <w:rsid w:val="000605BB"/>
    <w:rsid w:val="000606CA"/>
    <w:rsid w:val="00060F74"/>
    <w:rsid w:val="0006123C"/>
    <w:rsid w:val="000614EB"/>
    <w:rsid w:val="00061523"/>
    <w:rsid w:val="0006190D"/>
    <w:rsid w:val="000621C8"/>
    <w:rsid w:val="00062264"/>
    <w:rsid w:val="00062E42"/>
    <w:rsid w:val="0006376C"/>
    <w:rsid w:val="00063C48"/>
    <w:rsid w:val="0006401D"/>
    <w:rsid w:val="00064727"/>
    <w:rsid w:val="000648CA"/>
    <w:rsid w:val="00064E3D"/>
    <w:rsid w:val="00064E75"/>
    <w:rsid w:val="000665A3"/>
    <w:rsid w:val="000679AA"/>
    <w:rsid w:val="00067E70"/>
    <w:rsid w:val="00067F51"/>
    <w:rsid w:val="000704C0"/>
    <w:rsid w:val="00070559"/>
    <w:rsid w:val="000706FB"/>
    <w:rsid w:val="000709D3"/>
    <w:rsid w:val="00070D77"/>
    <w:rsid w:val="00070F2F"/>
    <w:rsid w:val="0007110F"/>
    <w:rsid w:val="0007210A"/>
    <w:rsid w:val="0007216C"/>
    <w:rsid w:val="0007318D"/>
    <w:rsid w:val="000735B3"/>
    <w:rsid w:val="00073A47"/>
    <w:rsid w:val="00074759"/>
    <w:rsid w:val="0007520C"/>
    <w:rsid w:val="00075CE2"/>
    <w:rsid w:val="000764A2"/>
    <w:rsid w:val="00076ADE"/>
    <w:rsid w:val="00076B57"/>
    <w:rsid w:val="00076C4E"/>
    <w:rsid w:val="00077A07"/>
    <w:rsid w:val="0008061B"/>
    <w:rsid w:val="00080ED2"/>
    <w:rsid w:val="0008136B"/>
    <w:rsid w:val="000817FC"/>
    <w:rsid w:val="00081B19"/>
    <w:rsid w:val="00081CEB"/>
    <w:rsid w:val="00081E61"/>
    <w:rsid w:val="00082B98"/>
    <w:rsid w:val="00082D69"/>
    <w:rsid w:val="0008347F"/>
    <w:rsid w:val="0008525F"/>
    <w:rsid w:val="000863E0"/>
    <w:rsid w:val="000865BE"/>
    <w:rsid w:val="00086660"/>
    <w:rsid w:val="00086C13"/>
    <w:rsid w:val="00087379"/>
    <w:rsid w:val="000873CA"/>
    <w:rsid w:val="00087E56"/>
    <w:rsid w:val="000901F7"/>
    <w:rsid w:val="000902B4"/>
    <w:rsid w:val="00090576"/>
    <w:rsid w:val="00090725"/>
    <w:rsid w:val="00090BF7"/>
    <w:rsid w:val="00090FBE"/>
    <w:rsid w:val="0009248B"/>
    <w:rsid w:val="00092DEF"/>
    <w:rsid w:val="00092FAD"/>
    <w:rsid w:val="00093190"/>
    <w:rsid w:val="00093C47"/>
    <w:rsid w:val="00093D97"/>
    <w:rsid w:val="00093E6E"/>
    <w:rsid w:val="00093ECA"/>
    <w:rsid w:val="00093FFC"/>
    <w:rsid w:val="00094530"/>
    <w:rsid w:val="0009495A"/>
    <w:rsid w:val="00094DD2"/>
    <w:rsid w:val="00094FCD"/>
    <w:rsid w:val="00095D93"/>
    <w:rsid w:val="00095E26"/>
    <w:rsid w:val="00096271"/>
    <w:rsid w:val="0009638D"/>
    <w:rsid w:val="00096AF0"/>
    <w:rsid w:val="00096C5D"/>
    <w:rsid w:val="0009734E"/>
    <w:rsid w:val="000A026B"/>
    <w:rsid w:val="000A0FCB"/>
    <w:rsid w:val="000A106F"/>
    <w:rsid w:val="000A12D7"/>
    <w:rsid w:val="000A1479"/>
    <w:rsid w:val="000A279E"/>
    <w:rsid w:val="000A28F8"/>
    <w:rsid w:val="000A347C"/>
    <w:rsid w:val="000A3E0F"/>
    <w:rsid w:val="000A440E"/>
    <w:rsid w:val="000A4DD6"/>
    <w:rsid w:val="000A57C3"/>
    <w:rsid w:val="000A5801"/>
    <w:rsid w:val="000A60CA"/>
    <w:rsid w:val="000A6822"/>
    <w:rsid w:val="000A72E2"/>
    <w:rsid w:val="000A79EB"/>
    <w:rsid w:val="000A7B57"/>
    <w:rsid w:val="000B015C"/>
    <w:rsid w:val="000B03D7"/>
    <w:rsid w:val="000B04D8"/>
    <w:rsid w:val="000B0832"/>
    <w:rsid w:val="000B14D9"/>
    <w:rsid w:val="000B18F8"/>
    <w:rsid w:val="000B193F"/>
    <w:rsid w:val="000B1A8A"/>
    <w:rsid w:val="000B20ED"/>
    <w:rsid w:val="000B2612"/>
    <w:rsid w:val="000B2770"/>
    <w:rsid w:val="000B27CC"/>
    <w:rsid w:val="000B28E0"/>
    <w:rsid w:val="000B2A6E"/>
    <w:rsid w:val="000B394C"/>
    <w:rsid w:val="000B3D17"/>
    <w:rsid w:val="000B4B27"/>
    <w:rsid w:val="000B4B4D"/>
    <w:rsid w:val="000B4F3E"/>
    <w:rsid w:val="000B4F6F"/>
    <w:rsid w:val="000B522D"/>
    <w:rsid w:val="000B53B5"/>
    <w:rsid w:val="000B59E7"/>
    <w:rsid w:val="000B5E0A"/>
    <w:rsid w:val="000B5E83"/>
    <w:rsid w:val="000B6739"/>
    <w:rsid w:val="000B6AB5"/>
    <w:rsid w:val="000B6D5D"/>
    <w:rsid w:val="000B6DA4"/>
    <w:rsid w:val="000B71F4"/>
    <w:rsid w:val="000B7946"/>
    <w:rsid w:val="000B7AA7"/>
    <w:rsid w:val="000C03F8"/>
    <w:rsid w:val="000C0B87"/>
    <w:rsid w:val="000C1058"/>
    <w:rsid w:val="000C1406"/>
    <w:rsid w:val="000C1CDC"/>
    <w:rsid w:val="000C20CF"/>
    <w:rsid w:val="000C21B2"/>
    <w:rsid w:val="000C28F0"/>
    <w:rsid w:val="000C2B23"/>
    <w:rsid w:val="000C2B84"/>
    <w:rsid w:val="000C2BCC"/>
    <w:rsid w:val="000C2C1A"/>
    <w:rsid w:val="000C2EDF"/>
    <w:rsid w:val="000C3A50"/>
    <w:rsid w:val="000C3E29"/>
    <w:rsid w:val="000C4F22"/>
    <w:rsid w:val="000C56FE"/>
    <w:rsid w:val="000C5CE1"/>
    <w:rsid w:val="000C5FC9"/>
    <w:rsid w:val="000C6234"/>
    <w:rsid w:val="000C632E"/>
    <w:rsid w:val="000C63FA"/>
    <w:rsid w:val="000C6805"/>
    <w:rsid w:val="000C6B63"/>
    <w:rsid w:val="000C6CE1"/>
    <w:rsid w:val="000C6ECB"/>
    <w:rsid w:val="000C70D7"/>
    <w:rsid w:val="000C7137"/>
    <w:rsid w:val="000C7EF0"/>
    <w:rsid w:val="000D0084"/>
    <w:rsid w:val="000D0086"/>
    <w:rsid w:val="000D0747"/>
    <w:rsid w:val="000D0B21"/>
    <w:rsid w:val="000D101B"/>
    <w:rsid w:val="000D13FE"/>
    <w:rsid w:val="000D1553"/>
    <w:rsid w:val="000D1E03"/>
    <w:rsid w:val="000D240A"/>
    <w:rsid w:val="000D2D53"/>
    <w:rsid w:val="000D2EB2"/>
    <w:rsid w:val="000D2ECE"/>
    <w:rsid w:val="000D3848"/>
    <w:rsid w:val="000D38DB"/>
    <w:rsid w:val="000D3EA4"/>
    <w:rsid w:val="000D4343"/>
    <w:rsid w:val="000D55A8"/>
    <w:rsid w:val="000D5D59"/>
    <w:rsid w:val="000D5DA9"/>
    <w:rsid w:val="000D69CA"/>
    <w:rsid w:val="000D6FC3"/>
    <w:rsid w:val="000D715E"/>
    <w:rsid w:val="000D744B"/>
    <w:rsid w:val="000D785F"/>
    <w:rsid w:val="000D7A60"/>
    <w:rsid w:val="000E08D4"/>
    <w:rsid w:val="000E0B4B"/>
    <w:rsid w:val="000E15B7"/>
    <w:rsid w:val="000E1A65"/>
    <w:rsid w:val="000E1C70"/>
    <w:rsid w:val="000E1D1D"/>
    <w:rsid w:val="000E28EC"/>
    <w:rsid w:val="000E2B87"/>
    <w:rsid w:val="000E2C9D"/>
    <w:rsid w:val="000E2D5D"/>
    <w:rsid w:val="000E3538"/>
    <w:rsid w:val="000E40CB"/>
    <w:rsid w:val="000E441A"/>
    <w:rsid w:val="000E44E2"/>
    <w:rsid w:val="000E4A21"/>
    <w:rsid w:val="000E4A86"/>
    <w:rsid w:val="000E66A6"/>
    <w:rsid w:val="000E6B3B"/>
    <w:rsid w:val="000E6C8A"/>
    <w:rsid w:val="000E7090"/>
    <w:rsid w:val="000E71E1"/>
    <w:rsid w:val="000E7C39"/>
    <w:rsid w:val="000F03C4"/>
    <w:rsid w:val="000F0504"/>
    <w:rsid w:val="000F112E"/>
    <w:rsid w:val="000F185D"/>
    <w:rsid w:val="000F3387"/>
    <w:rsid w:val="000F3777"/>
    <w:rsid w:val="000F3C30"/>
    <w:rsid w:val="000F487D"/>
    <w:rsid w:val="000F4922"/>
    <w:rsid w:val="000F5093"/>
    <w:rsid w:val="000F5978"/>
    <w:rsid w:val="000F5AB0"/>
    <w:rsid w:val="000F6978"/>
    <w:rsid w:val="000F6BBF"/>
    <w:rsid w:val="000F6BD9"/>
    <w:rsid w:val="000F726B"/>
    <w:rsid w:val="000F76CB"/>
    <w:rsid w:val="000F76CE"/>
    <w:rsid w:val="000F7735"/>
    <w:rsid w:val="000F77D2"/>
    <w:rsid w:val="000F7B7A"/>
    <w:rsid w:val="000F7ECF"/>
    <w:rsid w:val="000F7FAB"/>
    <w:rsid w:val="001007A2"/>
    <w:rsid w:val="00100E54"/>
    <w:rsid w:val="00100FCF"/>
    <w:rsid w:val="00101954"/>
    <w:rsid w:val="00103077"/>
    <w:rsid w:val="001031B2"/>
    <w:rsid w:val="00103C8E"/>
    <w:rsid w:val="00104479"/>
    <w:rsid w:val="001046FA"/>
    <w:rsid w:val="00104BF0"/>
    <w:rsid w:val="0010665A"/>
    <w:rsid w:val="001066FF"/>
    <w:rsid w:val="00106997"/>
    <w:rsid w:val="00106BD5"/>
    <w:rsid w:val="00106F60"/>
    <w:rsid w:val="0010729C"/>
    <w:rsid w:val="001072C8"/>
    <w:rsid w:val="00110AE0"/>
    <w:rsid w:val="00110B36"/>
    <w:rsid w:val="00110DF3"/>
    <w:rsid w:val="00110FAE"/>
    <w:rsid w:val="00111324"/>
    <w:rsid w:val="001118AF"/>
    <w:rsid w:val="001118DB"/>
    <w:rsid w:val="00111B75"/>
    <w:rsid w:val="00111D2A"/>
    <w:rsid w:val="00111F8C"/>
    <w:rsid w:val="0011291A"/>
    <w:rsid w:val="00112C5A"/>
    <w:rsid w:val="0011351B"/>
    <w:rsid w:val="00113C0E"/>
    <w:rsid w:val="00113F30"/>
    <w:rsid w:val="00114101"/>
    <w:rsid w:val="00114F4D"/>
    <w:rsid w:val="00114F53"/>
    <w:rsid w:val="00115168"/>
    <w:rsid w:val="00115683"/>
    <w:rsid w:val="00115705"/>
    <w:rsid w:val="00115EFC"/>
    <w:rsid w:val="001161E7"/>
    <w:rsid w:val="00116C4B"/>
    <w:rsid w:val="00116E90"/>
    <w:rsid w:val="001179C4"/>
    <w:rsid w:val="00117AA4"/>
    <w:rsid w:val="001203D7"/>
    <w:rsid w:val="00121105"/>
    <w:rsid w:val="0012233B"/>
    <w:rsid w:val="00122CEC"/>
    <w:rsid w:val="00122D52"/>
    <w:rsid w:val="0012322F"/>
    <w:rsid w:val="001234BA"/>
    <w:rsid w:val="00123C6E"/>
    <w:rsid w:val="001244F6"/>
    <w:rsid w:val="00124B79"/>
    <w:rsid w:val="00124E5F"/>
    <w:rsid w:val="00125024"/>
    <w:rsid w:val="0012502E"/>
    <w:rsid w:val="00126D94"/>
    <w:rsid w:val="00127213"/>
    <w:rsid w:val="001273A1"/>
    <w:rsid w:val="00127708"/>
    <w:rsid w:val="00130933"/>
    <w:rsid w:val="00130EA9"/>
    <w:rsid w:val="001318DA"/>
    <w:rsid w:val="00131AF0"/>
    <w:rsid w:val="00132209"/>
    <w:rsid w:val="0013290D"/>
    <w:rsid w:val="00132E4A"/>
    <w:rsid w:val="00133B4F"/>
    <w:rsid w:val="00134375"/>
    <w:rsid w:val="0013465E"/>
    <w:rsid w:val="00135725"/>
    <w:rsid w:val="0013573F"/>
    <w:rsid w:val="001357FF"/>
    <w:rsid w:val="00136A30"/>
    <w:rsid w:val="00137B5E"/>
    <w:rsid w:val="00140D95"/>
    <w:rsid w:val="00141B43"/>
    <w:rsid w:val="00141C43"/>
    <w:rsid w:val="00142356"/>
    <w:rsid w:val="001425BC"/>
    <w:rsid w:val="00142915"/>
    <w:rsid w:val="00142BC1"/>
    <w:rsid w:val="0014323F"/>
    <w:rsid w:val="00143FD6"/>
    <w:rsid w:val="00144201"/>
    <w:rsid w:val="00144455"/>
    <w:rsid w:val="00144B24"/>
    <w:rsid w:val="0014519F"/>
    <w:rsid w:val="00145201"/>
    <w:rsid w:val="00145B5F"/>
    <w:rsid w:val="00145C80"/>
    <w:rsid w:val="001460E1"/>
    <w:rsid w:val="001462F1"/>
    <w:rsid w:val="00146547"/>
    <w:rsid w:val="00146EB7"/>
    <w:rsid w:val="001472BB"/>
    <w:rsid w:val="0014764B"/>
    <w:rsid w:val="00147B57"/>
    <w:rsid w:val="00151014"/>
    <w:rsid w:val="001510E8"/>
    <w:rsid w:val="0015175B"/>
    <w:rsid w:val="001523C9"/>
    <w:rsid w:val="00152683"/>
    <w:rsid w:val="00152AF6"/>
    <w:rsid w:val="00152B5C"/>
    <w:rsid w:val="001532A0"/>
    <w:rsid w:val="00153462"/>
    <w:rsid w:val="00153932"/>
    <w:rsid w:val="00153AAD"/>
    <w:rsid w:val="00153F46"/>
    <w:rsid w:val="001541A7"/>
    <w:rsid w:val="00154680"/>
    <w:rsid w:val="001547A0"/>
    <w:rsid w:val="001555CC"/>
    <w:rsid w:val="0015679D"/>
    <w:rsid w:val="00156B5D"/>
    <w:rsid w:val="0015706F"/>
    <w:rsid w:val="001571C2"/>
    <w:rsid w:val="001575BE"/>
    <w:rsid w:val="00160004"/>
    <w:rsid w:val="0016000F"/>
    <w:rsid w:val="00160268"/>
    <w:rsid w:val="00160529"/>
    <w:rsid w:val="00160D20"/>
    <w:rsid w:val="00160FE4"/>
    <w:rsid w:val="00161208"/>
    <w:rsid w:val="001612DA"/>
    <w:rsid w:val="001621D6"/>
    <w:rsid w:val="00162AD8"/>
    <w:rsid w:val="00162B58"/>
    <w:rsid w:val="00162BBF"/>
    <w:rsid w:val="00163263"/>
    <w:rsid w:val="001636B3"/>
    <w:rsid w:val="00163BA9"/>
    <w:rsid w:val="00163D6F"/>
    <w:rsid w:val="0016400A"/>
    <w:rsid w:val="001648A5"/>
    <w:rsid w:val="00164F5B"/>
    <w:rsid w:val="00166B52"/>
    <w:rsid w:val="00166B8F"/>
    <w:rsid w:val="00166F6C"/>
    <w:rsid w:val="00167100"/>
    <w:rsid w:val="0016713B"/>
    <w:rsid w:val="00167615"/>
    <w:rsid w:val="00167705"/>
    <w:rsid w:val="00167B3E"/>
    <w:rsid w:val="00170645"/>
    <w:rsid w:val="00170852"/>
    <w:rsid w:val="00170D4F"/>
    <w:rsid w:val="00171B79"/>
    <w:rsid w:val="00171BCE"/>
    <w:rsid w:val="0017203C"/>
    <w:rsid w:val="00172A9E"/>
    <w:rsid w:val="00172AE7"/>
    <w:rsid w:val="00172B3A"/>
    <w:rsid w:val="00173211"/>
    <w:rsid w:val="00173883"/>
    <w:rsid w:val="00173B4C"/>
    <w:rsid w:val="00173C35"/>
    <w:rsid w:val="0017527C"/>
    <w:rsid w:val="00175F3F"/>
    <w:rsid w:val="00176440"/>
    <w:rsid w:val="0017696D"/>
    <w:rsid w:val="00180001"/>
    <w:rsid w:val="00180028"/>
    <w:rsid w:val="00180412"/>
    <w:rsid w:val="00180618"/>
    <w:rsid w:val="00180771"/>
    <w:rsid w:val="001807CB"/>
    <w:rsid w:val="00180EA8"/>
    <w:rsid w:val="00180FCD"/>
    <w:rsid w:val="0018105F"/>
    <w:rsid w:val="00181088"/>
    <w:rsid w:val="00181734"/>
    <w:rsid w:val="00181CD3"/>
    <w:rsid w:val="00182545"/>
    <w:rsid w:val="001825EE"/>
    <w:rsid w:val="001825FA"/>
    <w:rsid w:val="00182605"/>
    <w:rsid w:val="0018293A"/>
    <w:rsid w:val="001829F5"/>
    <w:rsid w:val="00183247"/>
    <w:rsid w:val="00184693"/>
    <w:rsid w:val="00184756"/>
    <w:rsid w:val="00184FC6"/>
    <w:rsid w:val="00185272"/>
    <w:rsid w:val="001865BB"/>
    <w:rsid w:val="0018665B"/>
    <w:rsid w:val="00186702"/>
    <w:rsid w:val="00186A0F"/>
    <w:rsid w:val="00186A33"/>
    <w:rsid w:val="00186E18"/>
    <w:rsid w:val="00187E19"/>
    <w:rsid w:val="0019034C"/>
    <w:rsid w:val="00191DFE"/>
    <w:rsid w:val="00191E47"/>
    <w:rsid w:val="00191FB4"/>
    <w:rsid w:val="0019213C"/>
    <w:rsid w:val="00193213"/>
    <w:rsid w:val="00193323"/>
    <w:rsid w:val="001937AE"/>
    <w:rsid w:val="00193CB7"/>
    <w:rsid w:val="001942A2"/>
    <w:rsid w:val="0019436D"/>
    <w:rsid w:val="00194ABD"/>
    <w:rsid w:val="00195571"/>
    <w:rsid w:val="00195580"/>
    <w:rsid w:val="0019580D"/>
    <w:rsid w:val="0019609F"/>
    <w:rsid w:val="001960E2"/>
    <w:rsid w:val="00196975"/>
    <w:rsid w:val="00196A1D"/>
    <w:rsid w:val="00196A79"/>
    <w:rsid w:val="0019703D"/>
    <w:rsid w:val="001977D4"/>
    <w:rsid w:val="00197CC4"/>
    <w:rsid w:val="001A05D4"/>
    <w:rsid w:val="001A073F"/>
    <w:rsid w:val="001A240C"/>
    <w:rsid w:val="001A26B1"/>
    <w:rsid w:val="001A3008"/>
    <w:rsid w:val="001A40D1"/>
    <w:rsid w:val="001A4821"/>
    <w:rsid w:val="001A48CF"/>
    <w:rsid w:val="001A4BF6"/>
    <w:rsid w:val="001A4D9A"/>
    <w:rsid w:val="001A4FD0"/>
    <w:rsid w:val="001A59A8"/>
    <w:rsid w:val="001A59C3"/>
    <w:rsid w:val="001A5DA0"/>
    <w:rsid w:val="001A5F5C"/>
    <w:rsid w:val="001A613A"/>
    <w:rsid w:val="001A64D3"/>
    <w:rsid w:val="001A692D"/>
    <w:rsid w:val="001A77CD"/>
    <w:rsid w:val="001B02FE"/>
    <w:rsid w:val="001B0307"/>
    <w:rsid w:val="001B04E6"/>
    <w:rsid w:val="001B152A"/>
    <w:rsid w:val="001B2B4D"/>
    <w:rsid w:val="001B2C29"/>
    <w:rsid w:val="001B2E94"/>
    <w:rsid w:val="001B2FB1"/>
    <w:rsid w:val="001B3B24"/>
    <w:rsid w:val="001B3B6F"/>
    <w:rsid w:val="001B3C07"/>
    <w:rsid w:val="001B3EEC"/>
    <w:rsid w:val="001B418B"/>
    <w:rsid w:val="001B43F6"/>
    <w:rsid w:val="001B4BDD"/>
    <w:rsid w:val="001B5235"/>
    <w:rsid w:val="001B58AC"/>
    <w:rsid w:val="001B6EB5"/>
    <w:rsid w:val="001B7BF8"/>
    <w:rsid w:val="001C006E"/>
    <w:rsid w:val="001C0957"/>
    <w:rsid w:val="001C16B7"/>
    <w:rsid w:val="001C175D"/>
    <w:rsid w:val="001C2C3D"/>
    <w:rsid w:val="001C2D37"/>
    <w:rsid w:val="001C3903"/>
    <w:rsid w:val="001C399E"/>
    <w:rsid w:val="001C477B"/>
    <w:rsid w:val="001C5122"/>
    <w:rsid w:val="001C6B17"/>
    <w:rsid w:val="001C72DA"/>
    <w:rsid w:val="001C77D1"/>
    <w:rsid w:val="001C796F"/>
    <w:rsid w:val="001D02B6"/>
    <w:rsid w:val="001D09C8"/>
    <w:rsid w:val="001D1A79"/>
    <w:rsid w:val="001D3332"/>
    <w:rsid w:val="001D380B"/>
    <w:rsid w:val="001D38C2"/>
    <w:rsid w:val="001D419F"/>
    <w:rsid w:val="001D4B95"/>
    <w:rsid w:val="001D4E0F"/>
    <w:rsid w:val="001D52B5"/>
    <w:rsid w:val="001D5598"/>
    <w:rsid w:val="001D58C4"/>
    <w:rsid w:val="001D5965"/>
    <w:rsid w:val="001D5B07"/>
    <w:rsid w:val="001D5F9C"/>
    <w:rsid w:val="001D60C6"/>
    <w:rsid w:val="001D67EE"/>
    <w:rsid w:val="001D6895"/>
    <w:rsid w:val="001D72A7"/>
    <w:rsid w:val="001D737C"/>
    <w:rsid w:val="001D75EC"/>
    <w:rsid w:val="001E0063"/>
    <w:rsid w:val="001E06A9"/>
    <w:rsid w:val="001E08BD"/>
    <w:rsid w:val="001E0903"/>
    <w:rsid w:val="001E0CD7"/>
    <w:rsid w:val="001E15E2"/>
    <w:rsid w:val="001E1829"/>
    <w:rsid w:val="001E1998"/>
    <w:rsid w:val="001E1A50"/>
    <w:rsid w:val="001E1A7E"/>
    <w:rsid w:val="001E25C2"/>
    <w:rsid w:val="001E2783"/>
    <w:rsid w:val="001E2B45"/>
    <w:rsid w:val="001E3A31"/>
    <w:rsid w:val="001E4332"/>
    <w:rsid w:val="001E44A1"/>
    <w:rsid w:val="001E4760"/>
    <w:rsid w:val="001E4855"/>
    <w:rsid w:val="001E4C04"/>
    <w:rsid w:val="001E4CEE"/>
    <w:rsid w:val="001E5CB9"/>
    <w:rsid w:val="001E6411"/>
    <w:rsid w:val="001E6473"/>
    <w:rsid w:val="001E7031"/>
    <w:rsid w:val="001E737E"/>
    <w:rsid w:val="001E7B29"/>
    <w:rsid w:val="001E7CAF"/>
    <w:rsid w:val="001F05F3"/>
    <w:rsid w:val="001F0795"/>
    <w:rsid w:val="001F0A3C"/>
    <w:rsid w:val="001F11C9"/>
    <w:rsid w:val="001F198F"/>
    <w:rsid w:val="001F1C60"/>
    <w:rsid w:val="001F2046"/>
    <w:rsid w:val="001F218F"/>
    <w:rsid w:val="001F2A31"/>
    <w:rsid w:val="001F2A5D"/>
    <w:rsid w:val="001F302E"/>
    <w:rsid w:val="001F3B5E"/>
    <w:rsid w:val="001F4077"/>
    <w:rsid w:val="001F455B"/>
    <w:rsid w:val="001F486A"/>
    <w:rsid w:val="001F49FA"/>
    <w:rsid w:val="001F4B68"/>
    <w:rsid w:val="001F53D3"/>
    <w:rsid w:val="001F53E3"/>
    <w:rsid w:val="001F63B7"/>
    <w:rsid w:val="001F640D"/>
    <w:rsid w:val="001F67F6"/>
    <w:rsid w:val="001F761F"/>
    <w:rsid w:val="001F767E"/>
    <w:rsid w:val="001F77A9"/>
    <w:rsid w:val="001F79EC"/>
    <w:rsid w:val="0020047E"/>
    <w:rsid w:val="0020072D"/>
    <w:rsid w:val="00200D2A"/>
    <w:rsid w:val="00200F76"/>
    <w:rsid w:val="0020171B"/>
    <w:rsid w:val="00202640"/>
    <w:rsid w:val="00202CF9"/>
    <w:rsid w:val="00203CB8"/>
    <w:rsid w:val="0020479C"/>
    <w:rsid w:val="002048BA"/>
    <w:rsid w:val="00204A67"/>
    <w:rsid w:val="00204AF3"/>
    <w:rsid w:val="00204D69"/>
    <w:rsid w:val="00204F5F"/>
    <w:rsid w:val="00205246"/>
    <w:rsid w:val="002058F2"/>
    <w:rsid w:val="00206588"/>
    <w:rsid w:val="00206650"/>
    <w:rsid w:val="00206836"/>
    <w:rsid w:val="002068E3"/>
    <w:rsid w:val="00206EEC"/>
    <w:rsid w:val="00206F66"/>
    <w:rsid w:val="0020744E"/>
    <w:rsid w:val="0021020F"/>
    <w:rsid w:val="002103AF"/>
    <w:rsid w:val="0021099C"/>
    <w:rsid w:val="0021213E"/>
    <w:rsid w:val="002124FF"/>
    <w:rsid w:val="002135E7"/>
    <w:rsid w:val="00213D47"/>
    <w:rsid w:val="00213E1F"/>
    <w:rsid w:val="002145B3"/>
    <w:rsid w:val="00214D60"/>
    <w:rsid w:val="002150F5"/>
    <w:rsid w:val="00215474"/>
    <w:rsid w:val="00215565"/>
    <w:rsid w:val="002156CF"/>
    <w:rsid w:val="00215980"/>
    <w:rsid w:val="00215F71"/>
    <w:rsid w:val="002162BC"/>
    <w:rsid w:val="00216857"/>
    <w:rsid w:val="00216D59"/>
    <w:rsid w:val="002177F2"/>
    <w:rsid w:val="00217971"/>
    <w:rsid w:val="00217A03"/>
    <w:rsid w:val="00217A1E"/>
    <w:rsid w:val="00217D36"/>
    <w:rsid w:val="00220081"/>
    <w:rsid w:val="002203A6"/>
    <w:rsid w:val="00220539"/>
    <w:rsid w:val="002206E4"/>
    <w:rsid w:val="002214FE"/>
    <w:rsid w:val="00221C37"/>
    <w:rsid w:val="00221F42"/>
    <w:rsid w:val="00221FC1"/>
    <w:rsid w:val="00222436"/>
    <w:rsid w:val="002229B2"/>
    <w:rsid w:val="002235EB"/>
    <w:rsid w:val="00224F2E"/>
    <w:rsid w:val="002250DC"/>
    <w:rsid w:val="00225241"/>
    <w:rsid w:val="002255A1"/>
    <w:rsid w:val="00226D33"/>
    <w:rsid w:val="00227B14"/>
    <w:rsid w:val="00227C81"/>
    <w:rsid w:val="00230178"/>
    <w:rsid w:val="002301E4"/>
    <w:rsid w:val="002311C8"/>
    <w:rsid w:val="00231547"/>
    <w:rsid w:val="00231878"/>
    <w:rsid w:val="0023217C"/>
    <w:rsid w:val="002323E3"/>
    <w:rsid w:val="00232EDF"/>
    <w:rsid w:val="00233DB5"/>
    <w:rsid w:val="00233EF8"/>
    <w:rsid w:val="00234FF4"/>
    <w:rsid w:val="0023534F"/>
    <w:rsid w:val="00235ADD"/>
    <w:rsid w:val="00236096"/>
    <w:rsid w:val="00236B40"/>
    <w:rsid w:val="002373B2"/>
    <w:rsid w:val="00237D21"/>
    <w:rsid w:val="00237E72"/>
    <w:rsid w:val="0024024F"/>
    <w:rsid w:val="00240FCB"/>
    <w:rsid w:val="00240FEA"/>
    <w:rsid w:val="002413D6"/>
    <w:rsid w:val="002417BB"/>
    <w:rsid w:val="00241E6D"/>
    <w:rsid w:val="0024237B"/>
    <w:rsid w:val="00242467"/>
    <w:rsid w:val="0024252D"/>
    <w:rsid w:val="00242779"/>
    <w:rsid w:val="00242B64"/>
    <w:rsid w:val="002437FE"/>
    <w:rsid w:val="00244B9D"/>
    <w:rsid w:val="00244D18"/>
    <w:rsid w:val="00244D94"/>
    <w:rsid w:val="002454D7"/>
    <w:rsid w:val="00246046"/>
    <w:rsid w:val="002463EC"/>
    <w:rsid w:val="002467B3"/>
    <w:rsid w:val="00246AFD"/>
    <w:rsid w:val="0024781A"/>
    <w:rsid w:val="002501FA"/>
    <w:rsid w:val="00250437"/>
    <w:rsid w:val="00250AA4"/>
    <w:rsid w:val="00250F5E"/>
    <w:rsid w:val="00251A35"/>
    <w:rsid w:val="00251CBC"/>
    <w:rsid w:val="0025295A"/>
    <w:rsid w:val="00253400"/>
    <w:rsid w:val="00253525"/>
    <w:rsid w:val="00254C44"/>
    <w:rsid w:val="0025662A"/>
    <w:rsid w:val="00256710"/>
    <w:rsid w:val="00256E45"/>
    <w:rsid w:val="00257B0F"/>
    <w:rsid w:val="00257DBE"/>
    <w:rsid w:val="00257F7C"/>
    <w:rsid w:val="00260621"/>
    <w:rsid w:val="00261A5C"/>
    <w:rsid w:val="0026223C"/>
    <w:rsid w:val="00263277"/>
    <w:rsid w:val="00263A08"/>
    <w:rsid w:val="00263C0E"/>
    <w:rsid w:val="00263F38"/>
    <w:rsid w:val="00264E96"/>
    <w:rsid w:val="00264F50"/>
    <w:rsid w:val="0026500D"/>
    <w:rsid w:val="00265285"/>
    <w:rsid w:val="002653E6"/>
    <w:rsid w:val="00265500"/>
    <w:rsid w:val="00265BCD"/>
    <w:rsid w:val="00265CDE"/>
    <w:rsid w:val="00265D4F"/>
    <w:rsid w:val="00265EC1"/>
    <w:rsid w:val="00266AAD"/>
    <w:rsid w:val="00266C48"/>
    <w:rsid w:val="0026709F"/>
    <w:rsid w:val="002670F2"/>
    <w:rsid w:val="0026775A"/>
    <w:rsid w:val="00267D4C"/>
    <w:rsid w:val="00267FCF"/>
    <w:rsid w:val="00270A45"/>
    <w:rsid w:val="00271108"/>
    <w:rsid w:val="0027110C"/>
    <w:rsid w:val="0027114F"/>
    <w:rsid w:val="0027149F"/>
    <w:rsid w:val="002714B9"/>
    <w:rsid w:val="00272506"/>
    <w:rsid w:val="00272960"/>
    <w:rsid w:val="0027325A"/>
    <w:rsid w:val="00273311"/>
    <w:rsid w:val="00273BD6"/>
    <w:rsid w:val="00273CC6"/>
    <w:rsid w:val="00274155"/>
    <w:rsid w:val="00274410"/>
    <w:rsid w:val="00274A86"/>
    <w:rsid w:val="002752AB"/>
    <w:rsid w:val="00275361"/>
    <w:rsid w:val="0027583B"/>
    <w:rsid w:val="0027668D"/>
    <w:rsid w:val="00276945"/>
    <w:rsid w:val="002769DE"/>
    <w:rsid w:val="00276A42"/>
    <w:rsid w:val="00276EA2"/>
    <w:rsid w:val="00277465"/>
    <w:rsid w:val="00277E6F"/>
    <w:rsid w:val="00280150"/>
    <w:rsid w:val="002808F0"/>
    <w:rsid w:val="00280AEC"/>
    <w:rsid w:val="00280D48"/>
    <w:rsid w:val="0028279E"/>
    <w:rsid w:val="002828A1"/>
    <w:rsid w:val="00283AA2"/>
    <w:rsid w:val="00283C05"/>
    <w:rsid w:val="00283C0C"/>
    <w:rsid w:val="0028465E"/>
    <w:rsid w:val="00284E38"/>
    <w:rsid w:val="00285024"/>
    <w:rsid w:val="00285A49"/>
    <w:rsid w:val="002879DB"/>
    <w:rsid w:val="00287BD5"/>
    <w:rsid w:val="00287FB4"/>
    <w:rsid w:val="00290266"/>
    <w:rsid w:val="00291934"/>
    <w:rsid w:val="002924D2"/>
    <w:rsid w:val="0029251A"/>
    <w:rsid w:val="00292D1D"/>
    <w:rsid w:val="00292F28"/>
    <w:rsid w:val="0029388E"/>
    <w:rsid w:val="00293CB9"/>
    <w:rsid w:val="0029423E"/>
    <w:rsid w:val="00294DFA"/>
    <w:rsid w:val="002951C6"/>
    <w:rsid w:val="002951FF"/>
    <w:rsid w:val="00295228"/>
    <w:rsid w:val="002957B5"/>
    <w:rsid w:val="002963D1"/>
    <w:rsid w:val="0029668E"/>
    <w:rsid w:val="002969ED"/>
    <w:rsid w:val="00296B2E"/>
    <w:rsid w:val="0029764D"/>
    <w:rsid w:val="002A0DFF"/>
    <w:rsid w:val="002A107E"/>
    <w:rsid w:val="002A11CA"/>
    <w:rsid w:val="002A1697"/>
    <w:rsid w:val="002A1F58"/>
    <w:rsid w:val="002A2273"/>
    <w:rsid w:val="002A2C48"/>
    <w:rsid w:val="002A32B8"/>
    <w:rsid w:val="002A37B7"/>
    <w:rsid w:val="002A3AE2"/>
    <w:rsid w:val="002A3BDB"/>
    <w:rsid w:val="002A409A"/>
    <w:rsid w:val="002A414C"/>
    <w:rsid w:val="002A42FD"/>
    <w:rsid w:val="002A4ADB"/>
    <w:rsid w:val="002A4E08"/>
    <w:rsid w:val="002A5045"/>
    <w:rsid w:val="002A6407"/>
    <w:rsid w:val="002A66C3"/>
    <w:rsid w:val="002A7552"/>
    <w:rsid w:val="002A7742"/>
    <w:rsid w:val="002A77BB"/>
    <w:rsid w:val="002A7A60"/>
    <w:rsid w:val="002A7E0D"/>
    <w:rsid w:val="002B0435"/>
    <w:rsid w:val="002B142A"/>
    <w:rsid w:val="002B1FB9"/>
    <w:rsid w:val="002B2092"/>
    <w:rsid w:val="002B3369"/>
    <w:rsid w:val="002B3758"/>
    <w:rsid w:val="002B42E7"/>
    <w:rsid w:val="002B46C6"/>
    <w:rsid w:val="002B4EC1"/>
    <w:rsid w:val="002B5108"/>
    <w:rsid w:val="002B54CD"/>
    <w:rsid w:val="002B5A17"/>
    <w:rsid w:val="002B6FCD"/>
    <w:rsid w:val="002B7B33"/>
    <w:rsid w:val="002B7F4B"/>
    <w:rsid w:val="002C0825"/>
    <w:rsid w:val="002C0948"/>
    <w:rsid w:val="002C09AE"/>
    <w:rsid w:val="002C0F35"/>
    <w:rsid w:val="002C1854"/>
    <w:rsid w:val="002C18BC"/>
    <w:rsid w:val="002C1AFC"/>
    <w:rsid w:val="002C27AF"/>
    <w:rsid w:val="002C29A2"/>
    <w:rsid w:val="002C3011"/>
    <w:rsid w:val="002C3145"/>
    <w:rsid w:val="002C3A48"/>
    <w:rsid w:val="002C4D65"/>
    <w:rsid w:val="002C4FFD"/>
    <w:rsid w:val="002C5931"/>
    <w:rsid w:val="002C5976"/>
    <w:rsid w:val="002C6018"/>
    <w:rsid w:val="002C6A33"/>
    <w:rsid w:val="002C6B2E"/>
    <w:rsid w:val="002C7247"/>
    <w:rsid w:val="002C7369"/>
    <w:rsid w:val="002C78EB"/>
    <w:rsid w:val="002C7FE5"/>
    <w:rsid w:val="002D0849"/>
    <w:rsid w:val="002D0BB8"/>
    <w:rsid w:val="002D1318"/>
    <w:rsid w:val="002D144C"/>
    <w:rsid w:val="002D1502"/>
    <w:rsid w:val="002D346D"/>
    <w:rsid w:val="002D3FBB"/>
    <w:rsid w:val="002D4604"/>
    <w:rsid w:val="002D4CC6"/>
    <w:rsid w:val="002D5203"/>
    <w:rsid w:val="002D54BD"/>
    <w:rsid w:val="002D5557"/>
    <w:rsid w:val="002D5CBF"/>
    <w:rsid w:val="002D69E2"/>
    <w:rsid w:val="002D72D4"/>
    <w:rsid w:val="002D733B"/>
    <w:rsid w:val="002D7579"/>
    <w:rsid w:val="002D762C"/>
    <w:rsid w:val="002D7884"/>
    <w:rsid w:val="002E01BB"/>
    <w:rsid w:val="002E059C"/>
    <w:rsid w:val="002E0739"/>
    <w:rsid w:val="002E14CA"/>
    <w:rsid w:val="002E1B17"/>
    <w:rsid w:val="002E27DF"/>
    <w:rsid w:val="002E2890"/>
    <w:rsid w:val="002E314E"/>
    <w:rsid w:val="002E3883"/>
    <w:rsid w:val="002E3ADD"/>
    <w:rsid w:val="002E3BB4"/>
    <w:rsid w:val="002E448C"/>
    <w:rsid w:val="002E45C8"/>
    <w:rsid w:val="002E4745"/>
    <w:rsid w:val="002E47CC"/>
    <w:rsid w:val="002E5055"/>
    <w:rsid w:val="002E5199"/>
    <w:rsid w:val="002E567A"/>
    <w:rsid w:val="002E620B"/>
    <w:rsid w:val="002E6348"/>
    <w:rsid w:val="002E6D40"/>
    <w:rsid w:val="002E7A00"/>
    <w:rsid w:val="002F0855"/>
    <w:rsid w:val="002F08BF"/>
    <w:rsid w:val="002F0A2C"/>
    <w:rsid w:val="002F0BE6"/>
    <w:rsid w:val="002F0FBF"/>
    <w:rsid w:val="002F1607"/>
    <w:rsid w:val="002F1AFA"/>
    <w:rsid w:val="002F25DD"/>
    <w:rsid w:val="002F2B56"/>
    <w:rsid w:val="002F36EF"/>
    <w:rsid w:val="002F3835"/>
    <w:rsid w:val="002F39ED"/>
    <w:rsid w:val="002F477D"/>
    <w:rsid w:val="002F48B8"/>
    <w:rsid w:val="002F543F"/>
    <w:rsid w:val="002F564A"/>
    <w:rsid w:val="002F57BE"/>
    <w:rsid w:val="002F649F"/>
    <w:rsid w:val="002F6CCE"/>
    <w:rsid w:val="002F6F1B"/>
    <w:rsid w:val="003002E6"/>
    <w:rsid w:val="003008F3"/>
    <w:rsid w:val="0030095B"/>
    <w:rsid w:val="00300B62"/>
    <w:rsid w:val="00303477"/>
    <w:rsid w:val="00303768"/>
    <w:rsid w:val="0030482D"/>
    <w:rsid w:val="00304CE9"/>
    <w:rsid w:val="003055DD"/>
    <w:rsid w:val="0030585D"/>
    <w:rsid w:val="00305A29"/>
    <w:rsid w:val="00305D0D"/>
    <w:rsid w:val="00305F05"/>
    <w:rsid w:val="00306043"/>
    <w:rsid w:val="00306045"/>
    <w:rsid w:val="003060A6"/>
    <w:rsid w:val="00306595"/>
    <w:rsid w:val="00306816"/>
    <w:rsid w:val="00306CCF"/>
    <w:rsid w:val="00306E6E"/>
    <w:rsid w:val="0030702B"/>
    <w:rsid w:val="00307123"/>
    <w:rsid w:val="0030760C"/>
    <w:rsid w:val="00307B73"/>
    <w:rsid w:val="00310646"/>
    <w:rsid w:val="00310C27"/>
    <w:rsid w:val="00310E04"/>
    <w:rsid w:val="00310E44"/>
    <w:rsid w:val="00311225"/>
    <w:rsid w:val="003112C7"/>
    <w:rsid w:val="00311868"/>
    <w:rsid w:val="00311B84"/>
    <w:rsid w:val="003124DE"/>
    <w:rsid w:val="003125FD"/>
    <w:rsid w:val="0031294B"/>
    <w:rsid w:val="00312DA2"/>
    <w:rsid w:val="00312EAD"/>
    <w:rsid w:val="00313C81"/>
    <w:rsid w:val="0031479D"/>
    <w:rsid w:val="00314907"/>
    <w:rsid w:val="00314A8B"/>
    <w:rsid w:val="00314C9E"/>
    <w:rsid w:val="00314CFC"/>
    <w:rsid w:val="003159BE"/>
    <w:rsid w:val="00315D32"/>
    <w:rsid w:val="00316236"/>
    <w:rsid w:val="0031739B"/>
    <w:rsid w:val="003176C4"/>
    <w:rsid w:val="0032036B"/>
    <w:rsid w:val="003205F6"/>
    <w:rsid w:val="00320714"/>
    <w:rsid w:val="00320C1A"/>
    <w:rsid w:val="00320CEB"/>
    <w:rsid w:val="00320F09"/>
    <w:rsid w:val="0032122D"/>
    <w:rsid w:val="003219CC"/>
    <w:rsid w:val="00321FD5"/>
    <w:rsid w:val="00322624"/>
    <w:rsid w:val="00322713"/>
    <w:rsid w:val="00322B0A"/>
    <w:rsid w:val="00322BEF"/>
    <w:rsid w:val="00322CB6"/>
    <w:rsid w:val="00322E76"/>
    <w:rsid w:val="00323646"/>
    <w:rsid w:val="00323D6B"/>
    <w:rsid w:val="0032468C"/>
    <w:rsid w:val="00324E65"/>
    <w:rsid w:val="00324EFB"/>
    <w:rsid w:val="0032532B"/>
    <w:rsid w:val="00325D3F"/>
    <w:rsid w:val="00326646"/>
    <w:rsid w:val="00326726"/>
    <w:rsid w:val="0032758B"/>
    <w:rsid w:val="003276BD"/>
    <w:rsid w:val="00327878"/>
    <w:rsid w:val="00330378"/>
    <w:rsid w:val="00330548"/>
    <w:rsid w:val="00330A99"/>
    <w:rsid w:val="00330F47"/>
    <w:rsid w:val="0033136C"/>
    <w:rsid w:val="00332547"/>
    <w:rsid w:val="00332BCD"/>
    <w:rsid w:val="003330A0"/>
    <w:rsid w:val="003336C1"/>
    <w:rsid w:val="0033377A"/>
    <w:rsid w:val="00333BD9"/>
    <w:rsid w:val="0033403A"/>
    <w:rsid w:val="00334C0C"/>
    <w:rsid w:val="00334C7E"/>
    <w:rsid w:val="00335246"/>
    <w:rsid w:val="003352DF"/>
    <w:rsid w:val="003354BA"/>
    <w:rsid w:val="003367DE"/>
    <w:rsid w:val="00336933"/>
    <w:rsid w:val="003371E9"/>
    <w:rsid w:val="00337472"/>
    <w:rsid w:val="00337715"/>
    <w:rsid w:val="00337A4F"/>
    <w:rsid w:val="003403B7"/>
    <w:rsid w:val="003409A9"/>
    <w:rsid w:val="00340E26"/>
    <w:rsid w:val="003410AE"/>
    <w:rsid w:val="00341477"/>
    <w:rsid w:val="00341A53"/>
    <w:rsid w:val="00341C54"/>
    <w:rsid w:val="00341C5C"/>
    <w:rsid w:val="0034200D"/>
    <w:rsid w:val="00342789"/>
    <w:rsid w:val="00342BEC"/>
    <w:rsid w:val="003434E9"/>
    <w:rsid w:val="0034356C"/>
    <w:rsid w:val="00343602"/>
    <w:rsid w:val="00343C1B"/>
    <w:rsid w:val="0034410F"/>
    <w:rsid w:val="003442DF"/>
    <w:rsid w:val="00344522"/>
    <w:rsid w:val="0034483A"/>
    <w:rsid w:val="003448DE"/>
    <w:rsid w:val="0034522A"/>
    <w:rsid w:val="003466F3"/>
    <w:rsid w:val="00347C61"/>
    <w:rsid w:val="00347CAE"/>
    <w:rsid w:val="0035022F"/>
    <w:rsid w:val="0035056F"/>
    <w:rsid w:val="003508C7"/>
    <w:rsid w:val="00351314"/>
    <w:rsid w:val="00351FF3"/>
    <w:rsid w:val="003520A7"/>
    <w:rsid w:val="003524DC"/>
    <w:rsid w:val="0035258B"/>
    <w:rsid w:val="0035272F"/>
    <w:rsid w:val="00353598"/>
    <w:rsid w:val="003536FC"/>
    <w:rsid w:val="00353DFA"/>
    <w:rsid w:val="00354078"/>
    <w:rsid w:val="003540FB"/>
    <w:rsid w:val="003545A5"/>
    <w:rsid w:val="00354625"/>
    <w:rsid w:val="003550C5"/>
    <w:rsid w:val="00355A3B"/>
    <w:rsid w:val="00355BB7"/>
    <w:rsid w:val="00355BC2"/>
    <w:rsid w:val="0035641D"/>
    <w:rsid w:val="003565C0"/>
    <w:rsid w:val="00356850"/>
    <w:rsid w:val="00357568"/>
    <w:rsid w:val="003601C3"/>
    <w:rsid w:val="00361779"/>
    <w:rsid w:val="00361B66"/>
    <w:rsid w:val="00361C49"/>
    <w:rsid w:val="003622A8"/>
    <w:rsid w:val="00362476"/>
    <w:rsid w:val="003625A5"/>
    <w:rsid w:val="00362FB5"/>
    <w:rsid w:val="003631D8"/>
    <w:rsid w:val="0036466B"/>
    <w:rsid w:val="00365378"/>
    <w:rsid w:val="00366110"/>
    <w:rsid w:val="00367BEF"/>
    <w:rsid w:val="00367CDC"/>
    <w:rsid w:val="003711FF"/>
    <w:rsid w:val="0037137C"/>
    <w:rsid w:val="00371479"/>
    <w:rsid w:val="0037156A"/>
    <w:rsid w:val="003715A2"/>
    <w:rsid w:val="0037163D"/>
    <w:rsid w:val="003721D1"/>
    <w:rsid w:val="00372600"/>
    <w:rsid w:val="00372684"/>
    <w:rsid w:val="0037297A"/>
    <w:rsid w:val="00372AF3"/>
    <w:rsid w:val="00372B39"/>
    <w:rsid w:val="00372BA1"/>
    <w:rsid w:val="003730B0"/>
    <w:rsid w:val="0037376E"/>
    <w:rsid w:val="00373EAE"/>
    <w:rsid w:val="0037405F"/>
    <w:rsid w:val="0037419E"/>
    <w:rsid w:val="00374682"/>
    <w:rsid w:val="00374C74"/>
    <w:rsid w:val="00374D96"/>
    <w:rsid w:val="00374F8F"/>
    <w:rsid w:val="00375591"/>
    <w:rsid w:val="00375594"/>
    <w:rsid w:val="003757F4"/>
    <w:rsid w:val="00375AA2"/>
    <w:rsid w:val="003761FF"/>
    <w:rsid w:val="0037635E"/>
    <w:rsid w:val="00376560"/>
    <w:rsid w:val="00377251"/>
    <w:rsid w:val="00377491"/>
    <w:rsid w:val="00377EA4"/>
    <w:rsid w:val="00380665"/>
    <w:rsid w:val="003809B5"/>
    <w:rsid w:val="00380FA6"/>
    <w:rsid w:val="0038147D"/>
    <w:rsid w:val="00381D3E"/>
    <w:rsid w:val="003821B8"/>
    <w:rsid w:val="003822F7"/>
    <w:rsid w:val="00382349"/>
    <w:rsid w:val="003825B9"/>
    <w:rsid w:val="003831C6"/>
    <w:rsid w:val="0038324F"/>
    <w:rsid w:val="00383832"/>
    <w:rsid w:val="00383A40"/>
    <w:rsid w:val="00384504"/>
    <w:rsid w:val="00384680"/>
    <w:rsid w:val="0038493A"/>
    <w:rsid w:val="00385887"/>
    <w:rsid w:val="003864EA"/>
    <w:rsid w:val="003866A4"/>
    <w:rsid w:val="00386753"/>
    <w:rsid w:val="00386ABB"/>
    <w:rsid w:val="003874F2"/>
    <w:rsid w:val="00387A3A"/>
    <w:rsid w:val="00387A53"/>
    <w:rsid w:val="003900D6"/>
    <w:rsid w:val="00390866"/>
    <w:rsid w:val="00391034"/>
    <w:rsid w:val="003910D0"/>
    <w:rsid w:val="00391ABA"/>
    <w:rsid w:val="00391EF3"/>
    <w:rsid w:val="00391F73"/>
    <w:rsid w:val="003925B5"/>
    <w:rsid w:val="003926DA"/>
    <w:rsid w:val="00392747"/>
    <w:rsid w:val="00392760"/>
    <w:rsid w:val="00392DF8"/>
    <w:rsid w:val="003935AB"/>
    <w:rsid w:val="00393706"/>
    <w:rsid w:val="00393BAB"/>
    <w:rsid w:val="003941AB"/>
    <w:rsid w:val="003941EA"/>
    <w:rsid w:val="003945ED"/>
    <w:rsid w:val="00394866"/>
    <w:rsid w:val="00394D3B"/>
    <w:rsid w:val="00395182"/>
    <w:rsid w:val="0039528B"/>
    <w:rsid w:val="00395621"/>
    <w:rsid w:val="00395636"/>
    <w:rsid w:val="00396674"/>
    <w:rsid w:val="003968FB"/>
    <w:rsid w:val="003974DB"/>
    <w:rsid w:val="0039788F"/>
    <w:rsid w:val="00397A6C"/>
    <w:rsid w:val="00397B0B"/>
    <w:rsid w:val="003A086E"/>
    <w:rsid w:val="003A0B32"/>
    <w:rsid w:val="003A0EDD"/>
    <w:rsid w:val="003A1504"/>
    <w:rsid w:val="003A1D62"/>
    <w:rsid w:val="003A1EA4"/>
    <w:rsid w:val="003A2A12"/>
    <w:rsid w:val="003A2B0B"/>
    <w:rsid w:val="003A2BA7"/>
    <w:rsid w:val="003A329B"/>
    <w:rsid w:val="003A37CC"/>
    <w:rsid w:val="003A3C1F"/>
    <w:rsid w:val="003A3CB8"/>
    <w:rsid w:val="003A42ED"/>
    <w:rsid w:val="003A4639"/>
    <w:rsid w:val="003A4805"/>
    <w:rsid w:val="003A4C7A"/>
    <w:rsid w:val="003A5217"/>
    <w:rsid w:val="003A5330"/>
    <w:rsid w:val="003A6202"/>
    <w:rsid w:val="003A64F3"/>
    <w:rsid w:val="003A6553"/>
    <w:rsid w:val="003A6618"/>
    <w:rsid w:val="003A6C9A"/>
    <w:rsid w:val="003A70D8"/>
    <w:rsid w:val="003A7125"/>
    <w:rsid w:val="003B0005"/>
    <w:rsid w:val="003B009C"/>
    <w:rsid w:val="003B01FF"/>
    <w:rsid w:val="003B0B6C"/>
    <w:rsid w:val="003B0BFA"/>
    <w:rsid w:val="003B1203"/>
    <w:rsid w:val="003B18E5"/>
    <w:rsid w:val="003B1D77"/>
    <w:rsid w:val="003B2815"/>
    <w:rsid w:val="003B3279"/>
    <w:rsid w:val="003B328E"/>
    <w:rsid w:val="003B3B6A"/>
    <w:rsid w:val="003B47E8"/>
    <w:rsid w:val="003B4B85"/>
    <w:rsid w:val="003B4FF2"/>
    <w:rsid w:val="003B53FE"/>
    <w:rsid w:val="003B5CBA"/>
    <w:rsid w:val="003B5DD1"/>
    <w:rsid w:val="003B6253"/>
    <w:rsid w:val="003B64A5"/>
    <w:rsid w:val="003B66CB"/>
    <w:rsid w:val="003B6DF7"/>
    <w:rsid w:val="003B7774"/>
    <w:rsid w:val="003B7A7E"/>
    <w:rsid w:val="003B7ACE"/>
    <w:rsid w:val="003B7D53"/>
    <w:rsid w:val="003B7DC5"/>
    <w:rsid w:val="003C04F9"/>
    <w:rsid w:val="003C0C35"/>
    <w:rsid w:val="003C0D4D"/>
    <w:rsid w:val="003C12F8"/>
    <w:rsid w:val="003C1930"/>
    <w:rsid w:val="003C1BE6"/>
    <w:rsid w:val="003C1C74"/>
    <w:rsid w:val="003C1C84"/>
    <w:rsid w:val="003C206E"/>
    <w:rsid w:val="003C25DC"/>
    <w:rsid w:val="003C2FDC"/>
    <w:rsid w:val="003C35D6"/>
    <w:rsid w:val="003C4F95"/>
    <w:rsid w:val="003C5CDD"/>
    <w:rsid w:val="003C67B9"/>
    <w:rsid w:val="003C6D39"/>
    <w:rsid w:val="003C7592"/>
    <w:rsid w:val="003C7DE6"/>
    <w:rsid w:val="003C7DF5"/>
    <w:rsid w:val="003C7E27"/>
    <w:rsid w:val="003C7F5C"/>
    <w:rsid w:val="003D0524"/>
    <w:rsid w:val="003D0B83"/>
    <w:rsid w:val="003D105B"/>
    <w:rsid w:val="003D1400"/>
    <w:rsid w:val="003D21FD"/>
    <w:rsid w:val="003D2438"/>
    <w:rsid w:val="003D2D78"/>
    <w:rsid w:val="003D3755"/>
    <w:rsid w:val="003D3D80"/>
    <w:rsid w:val="003D4164"/>
    <w:rsid w:val="003D4ADB"/>
    <w:rsid w:val="003D4C7E"/>
    <w:rsid w:val="003D4D1F"/>
    <w:rsid w:val="003D4FDE"/>
    <w:rsid w:val="003D51A6"/>
    <w:rsid w:val="003D5754"/>
    <w:rsid w:val="003D66C2"/>
    <w:rsid w:val="003E059D"/>
    <w:rsid w:val="003E17AA"/>
    <w:rsid w:val="003E1A11"/>
    <w:rsid w:val="003E1FF8"/>
    <w:rsid w:val="003E2C80"/>
    <w:rsid w:val="003E2E74"/>
    <w:rsid w:val="003E3693"/>
    <w:rsid w:val="003E3A3D"/>
    <w:rsid w:val="003E3EC1"/>
    <w:rsid w:val="003E400C"/>
    <w:rsid w:val="003E4DA8"/>
    <w:rsid w:val="003E508E"/>
    <w:rsid w:val="003E5593"/>
    <w:rsid w:val="003E63BA"/>
    <w:rsid w:val="003E6897"/>
    <w:rsid w:val="003E6A73"/>
    <w:rsid w:val="003E6DD5"/>
    <w:rsid w:val="003E79AD"/>
    <w:rsid w:val="003F007B"/>
    <w:rsid w:val="003F02FC"/>
    <w:rsid w:val="003F03B5"/>
    <w:rsid w:val="003F03D6"/>
    <w:rsid w:val="003F0829"/>
    <w:rsid w:val="003F0A03"/>
    <w:rsid w:val="003F10FA"/>
    <w:rsid w:val="003F110B"/>
    <w:rsid w:val="003F1240"/>
    <w:rsid w:val="003F164F"/>
    <w:rsid w:val="003F2348"/>
    <w:rsid w:val="003F2C03"/>
    <w:rsid w:val="003F30CC"/>
    <w:rsid w:val="003F31CA"/>
    <w:rsid w:val="003F3B0C"/>
    <w:rsid w:val="003F4078"/>
    <w:rsid w:val="003F449A"/>
    <w:rsid w:val="003F4994"/>
    <w:rsid w:val="003F5023"/>
    <w:rsid w:val="003F50DE"/>
    <w:rsid w:val="003F6AB3"/>
    <w:rsid w:val="003F716F"/>
    <w:rsid w:val="003F73B9"/>
    <w:rsid w:val="004000A4"/>
    <w:rsid w:val="00400459"/>
    <w:rsid w:val="004012D1"/>
    <w:rsid w:val="00401933"/>
    <w:rsid w:val="0040274F"/>
    <w:rsid w:val="00403C6E"/>
    <w:rsid w:val="00403E44"/>
    <w:rsid w:val="00403E53"/>
    <w:rsid w:val="004044D0"/>
    <w:rsid w:val="00404596"/>
    <w:rsid w:val="00404A18"/>
    <w:rsid w:val="0040506B"/>
    <w:rsid w:val="0040525D"/>
    <w:rsid w:val="004052C6"/>
    <w:rsid w:val="00405581"/>
    <w:rsid w:val="004056B1"/>
    <w:rsid w:val="00405772"/>
    <w:rsid w:val="00405D70"/>
    <w:rsid w:val="00406D27"/>
    <w:rsid w:val="00407025"/>
    <w:rsid w:val="004079B6"/>
    <w:rsid w:val="00407BD5"/>
    <w:rsid w:val="00407C23"/>
    <w:rsid w:val="00407F04"/>
    <w:rsid w:val="004100EF"/>
    <w:rsid w:val="00410355"/>
    <w:rsid w:val="004106C1"/>
    <w:rsid w:val="00410767"/>
    <w:rsid w:val="00410D10"/>
    <w:rsid w:val="004110BF"/>
    <w:rsid w:val="00411148"/>
    <w:rsid w:val="00411152"/>
    <w:rsid w:val="00411349"/>
    <w:rsid w:val="004113EA"/>
    <w:rsid w:val="0041156A"/>
    <w:rsid w:val="00411643"/>
    <w:rsid w:val="004118AE"/>
    <w:rsid w:val="004120B0"/>
    <w:rsid w:val="0041218C"/>
    <w:rsid w:val="00412550"/>
    <w:rsid w:val="00413433"/>
    <w:rsid w:val="00413C09"/>
    <w:rsid w:val="00413F92"/>
    <w:rsid w:val="0041436B"/>
    <w:rsid w:val="00414D79"/>
    <w:rsid w:val="00414FEA"/>
    <w:rsid w:val="00415165"/>
    <w:rsid w:val="0041535D"/>
    <w:rsid w:val="0041537A"/>
    <w:rsid w:val="004154FC"/>
    <w:rsid w:val="0041589E"/>
    <w:rsid w:val="00415B06"/>
    <w:rsid w:val="00416673"/>
    <w:rsid w:val="00416DED"/>
    <w:rsid w:val="004170A5"/>
    <w:rsid w:val="00417314"/>
    <w:rsid w:val="0041789E"/>
    <w:rsid w:val="00417A71"/>
    <w:rsid w:val="00420360"/>
    <w:rsid w:val="004204FA"/>
    <w:rsid w:val="00420578"/>
    <w:rsid w:val="004208B5"/>
    <w:rsid w:val="00420EC7"/>
    <w:rsid w:val="00420FAA"/>
    <w:rsid w:val="0042127F"/>
    <w:rsid w:val="0042259E"/>
    <w:rsid w:val="004225EA"/>
    <w:rsid w:val="0042312C"/>
    <w:rsid w:val="004232C3"/>
    <w:rsid w:val="004236F5"/>
    <w:rsid w:val="00423810"/>
    <w:rsid w:val="00423A15"/>
    <w:rsid w:val="00423BE9"/>
    <w:rsid w:val="00423F7E"/>
    <w:rsid w:val="00424046"/>
    <w:rsid w:val="0042409E"/>
    <w:rsid w:val="00424432"/>
    <w:rsid w:val="004247D6"/>
    <w:rsid w:val="00424FF6"/>
    <w:rsid w:val="00425681"/>
    <w:rsid w:val="0042593F"/>
    <w:rsid w:val="00426B03"/>
    <w:rsid w:val="00426CCD"/>
    <w:rsid w:val="00426CEB"/>
    <w:rsid w:val="00426DCB"/>
    <w:rsid w:val="00427081"/>
    <w:rsid w:val="004273FC"/>
    <w:rsid w:val="00427A07"/>
    <w:rsid w:val="00430F2C"/>
    <w:rsid w:val="0043125C"/>
    <w:rsid w:val="0043177C"/>
    <w:rsid w:val="00432289"/>
    <w:rsid w:val="00432379"/>
    <w:rsid w:val="00432718"/>
    <w:rsid w:val="00432A4A"/>
    <w:rsid w:val="00433078"/>
    <w:rsid w:val="004342A7"/>
    <w:rsid w:val="004344D1"/>
    <w:rsid w:val="00434608"/>
    <w:rsid w:val="004347D4"/>
    <w:rsid w:val="00435263"/>
    <w:rsid w:val="0043629F"/>
    <w:rsid w:val="00437187"/>
    <w:rsid w:val="00437350"/>
    <w:rsid w:val="00437BA5"/>
    <w:rsid w:val="00437C39"/>
    <w:rsid w:val="00440463"/>
    <w:rsid w:val="00440959"/>
    <w:rsid w:val="004409F6"/>
    <w:rsid w:val="00440E24"/>
    <w:rsid w:val="00441C89"/>
    <w:rsid w:val="0044213F"/>
    <w:rsid w:val="00442175"/>
    <w:rsid w:val="004422D8"/>
    <w:rsid w:val="004425C6"/>
    <w:rsid w:val="004433E3"/>
    <w:rsid w:val="004437C3"/>
    <w:rsid w:val="004438B7"/>
    <w:rsid w:val="00443C8A"/>
    <w:rsid w:val="00443DF5"/>
    <w:rsid w:val="00444253"/>
    <w:rsid w:val="004446F7"/>
    <w:rsid w:val="00444C76"/>
    <w:rsid w:val="004451B6"/>
    <w:rsid w:val="00445DF2"/>
    <w:rsid w:val="00445FA1"/>
    <w:rsid w:val="004461FA"/>
    <w:rsid w:val="00446677"/>
    <w:rsid w:val="00446937"/>
    <w:rsid w:val="004471B4"/>
    <w:rsid w:val="0045042F"/>
    <w:rsid w:val="0045052D"/>
    <w:rsid w:val="0045056E"/>
    <w:rsid w:val="00450678"/>
    <w:rsid w:val="00450871"/>
    <w:rsid w:val="00450E71"/>
    <w:rsid w:val="00450F28"/>
    <w:rsid w:val="00450F7A"/>
    <w:rsid w:val="00451626"/>
    <w:rsid w:val="00451645"/>
    <w:rsid w:val="00451E73"/>
    <w:rsid w:val="0045217C"/>
    <w:rsid w:val="004522DD"/>
    <w:rsid w:val="00452590"/>
    <w:rsid w:val="004529F0"/>
    <w:rsid w:val="00452FDB"/>
    <w:rsid w:val="00453206"/>
    <w:rsid w:val="004532CA"/>
    <w:rsid w:val="004533D8"/>
    <w:rsid w:val="00453672"/>
    <w:rsid w:val="00453890"/>
    <w:rsid w:val="004541D0"/>
    <w:rsid w:val="0045523B"/>
    <w:rsid w:val="00455CE2"/>
    <w:rsid w:val="00455D90"/>
    <w:rsid w:val="00456278"/>
    <w:rsid w:val="004565E5"/>
    <w:rsid w:val="004570D7"/>
    <w:rsid w:val="00457240"/>
    <w:rsid w:val="004573B1"/>
    <w:rsid w:val="00460B3F"/>
    <w:rsid w:val="004610A3"/>
    <w:rsid w:val="00461A40"/>
    <w:rsid w:val="00461C24"/>
    <w:rsid w:val="004620EA"/>
    <w:rsid w:val="00462117"/>
    <w:rsid w:val="004621C1"/>
    <w:rsid w:val="00462FED"/>
    <w:rsid w:val="00463B9A"/>
    <w:rsid w:val="00463F0C"/>
    <w:rsid w:val="00464115"/>
    <w:rsid w:val="004645C9"/>
    <w:rsid w:val="00464880"/>
    <w:rsid w:val="00464D58"/>
    <w:rsid w:val="00464DB1"/>
    <w:rsid w:val="00465015"/>
    <w:rsid w:val="0046578E"/>
    <w:rsid w:val="00466005"/>
    <w:rsid w:val="004660B1"/>
    <w:rsid w:val="00466DC4"/>
    <w:rsid w:val="0046724E"/>
    <w:rsid w:val="0046738B"/>
    <w:rsid w:val="00467D13"/>
    <w:rsid w:val="00470444"/>
    <w:rsid w:val="00470465"/>
    <w:rsid w:val="004709C6"/>
    <w:rsid w:val="00470D42"/>
    <w:rsid w:val="00470FDF"/>
    <w:rsid w:val="004713CB"/>
    <w:rsid w:val="004714EF"/>
    <w:rsid w:val="00471785"/>
    <w:rsid w:val="00472025"/>
    <w:rsid w:val="004727A6"/>
    <w:rsid w:val="00472DCF"/>
    <w:rsid w:val="00473B79"/>
    <w:rsid w:val="004742CE"/>
    <w:rsid w:val="0047446E"/>
    <w:rsid w:val="00474A86"/>
    <w:rsid w:val="00475456"/>
    <w:rsid w:val="004758C1"/>
    <w:rsid w:val="004758C9"/>
    <w:rsid w:val="00475E8A"/>
    <w:rsid w:val="00475F38"/>
    <w:rsid w:val="0047641D"/>
    <w:rsid w:val="00476474"/>
    <w:rsid w:val="004767B8"/>
    <w:rsid w:val="00476A47"/>
    <w:rsid w:val="00476B1B"/>
    <w:rsid w:val="00476CC6"/>
    <w:rsid w:val="00477325"/>
    <w:rsid w:val="00477535"/>
    <w:rsid w:val="004775D6"/>
    <w:rsid w:val="00480119"/>
    <w:rsid w:val="004802FE"/>
    <w:rsid w:val="004803FD"/>
    <w:rsid w:val="00480573"/>
    <w:rsid w:val="00482537"/>
    <w:rsid w:val="004827EB"/>
    <w:rsid w:val="00482BE9"/>
    <w:rsid w:val="00482E74"/>
    <w:rsid w:val="00482FE6"/>
    <w:rsid w:val="0048343E"/>
    <w:rsid w:val="00483489"/>
    <w:rsid w:val="0048399B"/>
    <w:rsid w:val="00484468"/>
    <w:rsid w:val="00484639"/>
    <w:rsid w:val="00484AEC"/>
    <w:rsid w:val="00484EBE"/>
    <w:rsid w:val="00485503"/>
    <w:rsid w:val="00485CBA"/>
    <w:rsid w:val="0048604E"/>
    <w:rsid w:val="00486436"/>
    <w:rsid w:val="00486561"/>
    <w:rsid w:val="0048734B"/>
    <w:rsid w:val="004878BA"/>
    <w:rsid w:val="0049000A"/>
    <w:rsid w:val="00491162"/>
    <w:rsid w:val="00491194"/>
    <w:rsid w:val="004919ED"/>
    <w:rsid w:val="00491EB8"/>
    <w:rsid w:val="00493AE8"/>
    <w:rsid w:val="00494849"/>
    <w:rsid w:val="00494E76"/>
    <w:rsid w:val="0049530C"/>
    <w:rsid w:val="004963FE"/>
    <w:rsid w:val="004969B9"/>
    <w:rsid w:val="0049782A"/>
    <w:rsid w:val="00497B1E"/>
    <w:rsid w:val="004A024D"/>
    <w:rsid w:val="004A0323"/>
    <w:rsid w:val="004A0837"/>
    <w:rsid w:val="004A0C48"/>
    <w:rsid w:val="004A0E63"/>
    <w:rsid w:val="004A10DF"/>
    <w:rsid w:val="004A13E3"/>
    <w:rsid w:val="004A160C"/>
    <w:rsid w:val="004A17AE"/>
    <w:rsid w:val="004A1A74"/>
    <w:rsid w:val="004A230C"/>
    <w:rsid w:val="004A292B"/>
    <w:rsid w:val="004A2C3C"/>
    <w:rsid w:val="004A312D"/>
    <w:rsid w:val="004A3320"/>
    <w:rsid w:val="004A36E3"/>
    <w:rsid w:val="004A4C68"/>
    <w:rsid w:val="004A6562"/>
    <w:rsid w:val="004A6683"/>
    <w:rsid w:val="004A69E5"/>
    <w:rsid w:val="004A6BFD"/>
    <w:rsid w:val="004A6E74"/>
    <w:rsid w:val="004A710F"/>
    <w:rsid w:val="004A790E"/>
    <w:rsid w:val="004B0EF6"/>
    <w:rsid w:val="004B1721"/>
    <w:rsid w:val="004B1A7D"/>
    <w:rsid w:val="004B227E"/>
    <w:rsid w:val="004B261F"/>
    <w:rsid w:val="004B37F8"/>
    <w:rsid w:val="004B3D0E"/>
    <w:rsid w:val="004B3F1F"/>
    <w:rsid w:val="004B4310"/>
    <w:rsid w:val="004B4AEC"/>
    <w:rsid w:val="004B4BCC"/>
    <w:rsid w:val="004B5E16"/>
    <w:rsid w:val="004B64E8"/>
    <w:rsid w:val="004B6524"/>
    <w:rsid w:val="004B7131"/>
    <w:rsid w:val="004B7787"/>
    <w:rsid w:val="004B7C74"/>
    <w:rsid w:val="004B7D21"/>
    <w:rsid w:val="004B7EE5"/>
    <w:rsid w:val="004C114E"/>
    <w:rsid w:val="004C1613"/>
    <w:rsid w:val="004C16DD"/>
    <w:rsid w:val="004C1EF2"/>
    <w:rsid w:val="004C24B2"/>
    <w:rsid w:val="004C24F6"/>
    <w:rsid w:val="004C29EC"/>
    <w:rsid w:val="004C2EF3"/>
    <w:rsid w:val="004C354C"/>
    <w:rsid w:val="004C3780"/>
    <w:rsid w:val="004C3A5D"/>
    <w:rsid w:val="004C3D32"/>
    <w:rsid w:val="004C3DBE"/>
    <w:rsid w:val="004C41AE"/>
    <w:rsid w:val="004C4216"/>
    <w:rsid w:val="004C459D"/>
    <w:rsid w:val="004C4A36"/>
    <w:rsid w:val="004C55CB"/>
    <w:rsid w:val="004C5952"/>
    <w:rsid w:val="004C59BA"/>
    <w:rsid w:val="004C647F"/>
    <w:rsid w:val="004C6854"/>
    <w:rsid w:val="004C6924"/>
    <w:rsid w:val="004C69D7"/>
    <w:rsid w:val="004C74A4"/>
    <w:rsid w:val="004D07AF"/>
    <w:rsid w:val="004D0B49"/>
    <w:rsid w:val="004D14DD"/>
    <w:rsid w:val="004D1DFE"/>
    <w:rsid w:val="004D1FE7"/>
    <w:rsid w:val="004D336F"/>
    <w:rsid w:val="004D3409"/>
    <w:rsid w:val="004D34A1"/>
    <w:rsid w:val="004D34CF"/>
    <w:rsid w:val="004D369B"/>
    <w:rsid w:val="004D39E6"/>
    <w:rsid w:val="004D3F51"/>
    <w:rsid w:val="004D421A"/>
    <w:rsid w:val="004D4349"/>
    <w:rsid w:val="004D484F"/>
    <w:rsid w:val="004D4B19"/>
    <w:rsid w:val="004D4C53"/>
    <w:rsid w:val="004D4FC4"/>
    <w:rsid w:val="004D54EB"/>
    <w:rsid w:val="004D5697"/>
    <w:rsid w:val="004D63D2"/>
    <w:rsid w:val="004D668C"/>
    <w:rsid w:val="004D7850"/>
    <w:rsid w:val="004E0C92"/>
    <w:rsid w:val="004E0EDC"/>
    <w:rsid w:val="004E10E6"/>
    <w:rsid w:val="004E1145"/>
    <w:rsid w:val="004E1869"/>
    <w:rsid w:val="004E198E"/>
    <w:rsid w:val="004E2244"/>
    <w:rsid w:val="004E3B77"/>
    <w:rsid w:val="004E4215"/>
    <w:rsid w:val="004E45C6"/>
    <w:rsid w:val="004E4913"/>
    <w:rsid w:val="004E5302"/>
    <w:rsid w:val="004E53DA"/>
    <w:rsid w:val="004E55FF"/>
    <w:rsid w:val="004E568D"/>
    <w:rsid w:val="004E5972"/>
    <w:rsid w:val="004E5AD1"/>
    <w:rsid w:val="004E64C5"/>
    <w:rsid w:val="004E6508"/>
    <w:rsid w:val="004E65BB"/>
    <w:rsid w:val="004E6DFF"/>
    <w:rsid w:val="004E7B45"/>
    <w:rsid w:val="004E7FE8"/>
    <w:rsid w:val="004F027A"/>
    <w:rsid w:val="004F04DE"/>
    <w:rsid w:val="004F0BDA"/>
    <w:rsid w:val="004F0C59"/>
    <w:rsid w:val="004F142E"/>
    <w:rsid w:val="004F178B"/>
    <w:rsid w:val="004F212C"/>
    <w:rsid w:val="004F3350"/>
    <w:rsid w:val="004F357C"/>
    <w:rsid w:val="004F3BF2"/>
    <w:rsid w:val="004F3FC5"/>
    <w:rsid w:val="004F51FD"/>
    <w:rsid w:val="004F5223"/>
    <w:rsid w:val="004F54FA"/>
    <w:rsid w:val="004F55AE"/>
    <w:rsid w:val="004F5EE3"/>
    <w:rsid w:val="004F622A"/>
    <w:rsid w:val="004F652C"/>
    <w:rsid w:val="004F6B2D"/>
    <w:rsid w:val="004F780E"/>
    <w:rsid w:val="0050003A"/>
    <w:rsid w:val="005000C2"/>
    <w:rsid w:val="005009DA"/>
    <w:rsid w:val="00500B19"/>
    <w:rsid w:val="005011D9"/>
    <w:rsid w:val="005015D4"/>
    <w:rsid w:val="00502009"/>
    <w:rsid w:val="00502D20"/>
    <w:rsid w:val="00502EB3"/>
    <w:rsid w:val="00503842"/>
    <w:rsid w:val="0050387D"/>
    <w:rsid w:val="00503BBB"/>
    <w:rsid w:val="00504C36"/>
    <w:rsid w:val="00504CAA"/>
    <w:rsid w:val="005050EF"/>
    <w:rsid w:val="005062C6"/>
    <w:rsid w:val="005066C4"/>
    <w:rsid w:val="00506715"/>
    <w:rsid w:val="00506C6F"/>
    <w:rsid w:val="00506EFF"/>
    <w:rsid w:val="00506FCB"/>
    <w:rsid w:val="00507D1B"/>
    <w:rsid w:val="005100D6"/>
    <w:rsid w:val="0051091B"/>
    <w:rsid w:val="0051097F"/>
    <w:rsid w:val="00510B24"/>
    <w:rsid w:val="00510C8D"/>
    <w:rsid w:val="0051165E"/>
    <w:rsid w:val="0051207E"/>
    <w:rsid w:val="00512180"/>
    <w:rsid w:val="00512728"/>
    <w:rsid w:val="00513908"/>
    <w:rsid w:val="005144B7"/>
    <w:rsid w:val="0051527A"/>
    <w:rsid w:val="005152E1"/>
    <w:rsid w:val="005152F2"/>
    <w:rsid w:val="005155C9"/>
    <w:rsid w:val="0051587F"/>
    <w:rsid w:val="00516464"/>
    <w:rsid w:val="00516B75"/>
    <w:rsid w:val="00516F81"/>
    <w:rsid w:val="00517E0A"/>
    <w:rsid w:val="00517F61"/>
    <w:rsid w:val="00520678"/>
    <w:rsid w:val="0052102A"/>
    <w:rsid w:val="00521466"/>
    <w:rsid w:val="005218A8"/>
    <w:rsid w:val="00521A41"/>
    <w:rsid w:val="0052208A"/>
    <w:rsid w:val="0052309E"/>
    <w:rsid w:val="00523179"/>
    <w:rsid w:val="005236FB"/>
    <w:rsid w:val="0052419F"/>
    <w:rsid w:val="005248C8"/>
    <w:rsid w:val="00524E90"/>
    <w:rsid w:val="00524F9A"/>
    <w:rsid w:val="00524FC9"/>
    <w:rsid w:val="00525415"/>
    <w:rsid w:val="00526A5F"/>
    <w:rsid w:val="0052794D"/>
    <w:rsid w:val="00527C96"/>
    <w:rsid w:val="00527F31"/>
    <w:rsid w:val="00530145"/>
    <w:rsid w:val="005302FB"/>
    <w:rsid w:val="005305EA"/>
    <w:rsid w:val="00530CD0"/>
    <w:rsid w:val="00530D50"/>
    <w:rsid w:val="00530E14"/>
    <w:rsid w:val="00530F92"/>
    <w:rsid w:val="0053143C"/>
    <w:rsid w:val="00533E2A"/>
    <w:rsid w:val="005341E0"/>
    <w:rsid w:val="005343BF"/>
    <w:rsid w:val="0053486C"/>
    <w:rsid w:val="0053522A"/>
    <w:rsid w:val="0053599E"/>
    <w:rsid w:val="00535E0A"/>
    <w:rsid w:val="00536962"/>
    <w:rsid w:val="00536A85"/>
    <w:rsid w:val="00536EF0"/>
    <w:rsid w:val="00536EF1"/>
    <w:rsid w:val="00536FE6"/>
    <w:rsid w:val="00537961"/>
    <w:rsid w:val="005409F4"/>
    <w:rsid w:val="00540F0D"/>
    <w:rsid w:val="00540FB0"/>
    <w:rsid w:val="005414FA"/>
    <w:rsid w:val="005426ED"/>
    <w:rsid w:val="00542718"/>
    <w:rsid w:val="00543A74"/>
    <w:rsid w:val="005451EF"/>
    <w:rsid w:val="0054522D"/>
    <w:rsid w:val="0054587D"/>
    <w:rsid w:val="0054588D"/>
    <w:rsid w:val="00546885"/>
    <w:rsid w:val="005469B6"/>
    <w:rsid w:val="00546FA7"/>
    <w:rsid w:val="005472D1"/>
    <w:rsid w:val="005473C2"/>
    <w:rsid w:val="00547CAD"/>
    <w:rsid w:val="00547D79"/>
    <w:rsid w:val="00547E8C"/>
    <w:rsid w:val="0055008F"/>
    <w:rsid w:val="005506D6"/>
    <w:rsid w:val="00550B18"/>
    <w:rsid w:val="00550BD3"/>
    <w:rsid w:val="00550D0B"/>
    <w:rsid w:val="005511D1"/>
    <w:rsid w:val="00551BC9"/>
    <w:rsid w:val="005521D4"/>
    <w:rsid w:val="00552536"/>
    <w:rsid w:val="00552A4A"/>
    <w:rsid w:val="00552EDC"/>
    <w:rsid w:val="005531D0"/>
    <w:rsid w:val="00553928"/>
    <w:rsid w:val="00553A2C"/>
    <w:rsid w:val="00553CEB"/>
    <w:rsid w:val="005541F3"/>
    <w:rsid w:val="005548C5"/>
    <w:rsid w:val="00555A6A"/>
    <w:rsid w:val="00555D70"/>
    <w:rsid w:val="0055699B"/>
    <w:rsid w:val="00557903"/>
    <w:rsid w:val="005579A1"/>
    <w:rsid w:val="00557A09"/>
    <w:rsid w:val="00557CBC"/>
    <w:rsid w:val="00560370"/>
    <w:rsid w:val="005606FF"/>
    <w:rsid w:val="005610F6"/>
    <w:rsid w:val="00562170"/>
    <w:rsid w:val="00562452"/>
    <w:rsid w:val="00562AEE"/>
    <w:rsid w:val="00562FBC"/>
    <w:rsid w:val="00563275"/>
    <w:rsid w:val="0056366C"/>
    <w:rsid w:val="00563990"/>
    <w:rsid w:val="005640D9"/>
    <w:rsid w:val="005642FC"/>
    <w:rsid w:val="00565038"/>
    <w:rsid w:val="0056517C"/>
    <w:rsid w:val="005656E4"/>
    <w:rsid w:val="005658C3"/>
    <w:rsid w:val="00565941"/>
    <w:rsid w:val="00565BA6"/>
    <w:rsid w:val="00565E19"/>
    <w:rsid w:val="00566955"/>
    <w:rsid w:val="0056747E"/>
    <w:rsid w:val="00567C58"/>
    <w:rsid w:val="005706E3"/>
    <w:rsid w:val="00570AFE"/>
    <w:rsid w:val="005716CD"/>
    <w:rsid w:val="00571B12"/>
    <w:rsid w:val="00571B57"/>
    <w:rsid w:val="00572AE3"/>
    <w:rsid w:val="00572E77"/>
    <w:rsid w:val="00572F45"/>
    <w:rsid w:val="00572F7A"/>
    <w:rsid w:val="00573387"/>
    <w:rsid w:val="00573C67"/>
    <w:rsid w:val="00574C20"/>
    <w:rsid w:val="00574E72"/>
    <w:rsid w:val="00574F0E"/>
    <w:rsid w:val="0057598B"/>
    <w:rsid w:val="00576661"/>
    <w:rsid w:val="00576B33"/>
    <w:rsid w:val="00576B5B"/>
    <w:rsid w:val="00576E29"/>
    <w:rsid w:val="005772BB"/>
    <w:rsid w:val="00577602"/>
    <w:rsid w:val="0057764A"/>
    <w:rsid w:val="00577C11"/>
    <w:rsid w:val="00577C8B"/>
    <w:rsid w:val="00577FCC"/>
    <w:rsid w:val="00580130"/>
    <w:rsid w:val="005808E9"/>
    <w:rsid w:val="005816EB"/>
    <w:rsid w:val="005817E0"/>
    <w:rsid w:val="0058194D"/>
    <w:rsid w:val="00582AE6"/>
    <w:rsid w:val="0058307F"/>
    <w:rsid w:val="005833C7"/>
    <w:rsid w:val="00583679"/>
    <w:rsid w:val="00583A77"/>
    <w:rsid w:val="00583ED2"/>
    <w:rsid w:val="0058483C"/>
    <w:rsid w:val="00584F4B"/>
    <w:rsid w:val="0058556D"/>
    <w:rsid w:val="005858BA"/>
    <w:rsid w:val="00585B32"/>
    <w:rsid w:val="0058648A"/>
    <w:rsid w:val="005865FE"/>
    <w:rsid w:val="00587681"/>
    <w:rsid w:val="00587930"/>
    <w:rsid w:val="00587BED"/>
    <w:rsid w:val="00587C27"/>
    <w:rsid w:val="00587DB2"/>
    <w:rsid w:val="005906E4"/>
    <w:rsid w:val="0059087A"/>
    <w:rsid w:val="00590BB7"/>
    <w:rsid w:val="00591460"/>
    <w:rsid w:val="00591FB3"/>
    <w:rsid w:val="0059264F"/>
    <w:rsid w:val="00592A69"/>
    <w:rsid w:val="00592F49"/>
    <w:rsid w:val="00592F4A"/>
    <w:rsid w:val="00592F8C"/>
    <w:rsid w:val="00593157"/>
    <w:rsid w:val="00593CE4"/>
    <w:rsid w:val="005940A8"/>
    <w:rsid w:val="005943B7"/>
    <w:rsid w:val="00594C7A"/>
    <w:rsid w:val="00595631"/>
    <w:rsid w:val="00596378"/>
    <w:rsid w:val="005967AE"/>
    <w:rsid w:val="00596E14"/>
    <w:rsid w:val="005A091A"/>
    <w:rsid w:val="005A12A7"/>
    <w:rsid w:val="005A187B"/>
    <w:rsid w:val="005A1885"/>
    <w:rsid w:val="005A1AFB"/>
    <w:rsid w:val="005A2B00"/>
    <w:rsid w:val="005A2B08"/>
    <w:rsid w:val="005A3065"/>
    <w:rsid w:val="005A4071"/>
    <w:rsid w:val="005A4762"/>
    <w:rsid w:val="005A6BAD"/>
    <w:rsid w:val="005A6EBB"/>
    <w:rsid w:val="005A7564"/>
    <w:rsid w:val="005A77D2"/>
    <w:rsid w:val="005B028A"/>
    <w:rsid w:val="005B0576"/>
    <w:rsid w:val="005B0FF4"/>
    <w:rsid w:val="005B1DB4"/>
    <w:rsid w:val="005B1F4C"/>
    <w:rsid w:val="005B25F4"/>
    <w:rsid w:val="005B2CF3"/>
    <w:rsid w:val="005B355C"/>
    <w:rsid w:val="005B37EF"/>
    <w:rsid w:val="005B42C4"/>
    <w:rsid w:val="005B43C9"/>
    <w:rsid w:val="005B4ACE"/>
    <w:rsid w:val="005B4C9B"/>
    <w:rsid w:val="005B4FFC"/>
    <w:rsid w:val="005B53A0"/>
    <w:rsid w:val="005B583F"/>
    <w:rsid w:val="005B5B3F"/>
    <w:rsid w:val="005B5C93"/>
    <w:rsid w:val="005B5F0A"/>
    <w:rsid w:val="005B6363"/>
    <w:rsid w:val="005B6E83"/>
    <w:rsid w:val="005B6EB4"/>
    <w:rsid w:val="005B6F51"/>
    <w:rsid w:val="005B732E"/>
    <w:rsid w:val="005B7F08"/>
    <w:rsid w:val="005C0387"/>
    <w:rsid w:val="005C0568"/>
    <w:rsid w:val="005C099B"/>
    <w:rsid w:val="005C0EAE"/>
    <w:rsid w:val="005C0F01"/>
    <w:rsid w:val="005C12D6"/>
    <w:rsid w:val="005C164C"/>
    <w:rsid w:val="005C1818"/>
    <w:rsid w:val="005C1DF9"/>
    <w:rsid w:val="005C2DA5"/>
    <w:rsid w:val="005C35EC"/>
    <w:rsid w:val="005C436A"/>
    <w:rsid w:val="005C537C"/>
    <w:rsid w:val="005C56FB"/>
    <w:rsid w:val="005C5841"/>
    <w:rsid w:val="005C5CB0"/>
    <w:rsid w:val="005C5DD3"/>
    <w:rsid w:val="005C5FA3"/>
    <w:rsid w:val="005C67A9"/>
    <w:rsid w:val="005C6A65"/>
    <w:rsid w:val="005C72DD"/>
    <w:rsid w:val="005C7C09"/>
    <w:rsid w:val="005C7D64"/>
    <w:rsid w:val="005C7D81"/>
    <w:rsid w:val="005C7FD2"/>
    <w:rsid w:val="005D0228"/>
    <w:rsid w:val="005D0AA9"/>
    <w:rsid w:val="005D0D95"/>
    <w:rsid w:val="005D1722"/>
    <w:rsid w:val="005D176A"/>
    <w:rsid w:val="005D1BA5"/>
    <w:rsid w:val="005D1C8B"/>
    <w:rsid w:val="005D1FCF"/>
    <w:rsid w:val="005D41FF"/>
    <w:rsid w:val="005D43E2"/>
    <w:rsid w:val="005D47DC"/>
    <w:rsid w:val="005D48E7"/>
    <w:rsid w:val="005D5BE2"/>
    <w:rsid w:val="005D5F55"/>
    <w:rsid w:val="005D6550"/>
    <w:rsid w:val="005D6B72"/>
    <w:rsid w:val="005D7626"/>
    <w:rsid w:val="005D7AE0"/>
    <w:rsid w:val="005E004E"/>
    <w:rsid w:val="005E0147"/>
    <w:rsid w:val="005E11B3"/>
    <w:rsid w:val="005E1D69"/>
    <w:rsid w:val="005E1D7E"/>
    <w:rsid w:val="005E2C16"/>
    <w:rsid w:val="005E2DAC"/>
    <w:rsid w:val="005E375A"/>
    <w:rsid w:val="005E3C5D"/>
    <w:rsid w:val="005E467D"/>
    <w:rsid w:val="005E47CF"/>
    <w:rsid w:val="005E4819"/>
    <w:rsid w:val="005E498A"/>
    <w:rsid w:val="005E57B5"/>
    <w:rsid w:val="005E5A1F"/>
    <w:rsid w:val="005E5E08"/>
    <w:rsid w:val="005E73D1"/>
    <w:rsid w:val="005E74B5"/>
    <w:rsid w:val="005E78E7"/>
    <w:rsid w:val="005F016A"/>
    <w:rsid w:val="005F01E5"/>
    <w:rsid w:val="005F0226"/>
    <w:rsid w:val="005F0540"/>
    <w:rsid w:val="005F068F"/>
    <w:rsid w:val="005F0A77"/>
    <w:rsid w:val="005F0F93"/>
    <w:rsid w:val="005F1040"/>
    <w:rsid w:val="005F158C"/>
    <w:rsid w:val="005F17F8"/>
    <w:rsid w:val="005F19EE"/>
    <w:rsid w:val="005F1BC7"/>
    <w:rsid w:val="005F1D0D"/>
    <w:rsid w:val="005F256E"/>
    <w:rsid w:val="005F286B"/>
    <w:rsid w:val="005F2BEE"/>
    <w:rsid w:val="005F3099"/>
    <w:rsid w:val="005F3112"/>
    <w:rsid w:val="005F3A7B"/>
    <w:rsid w:val="005F3DDA"/>
    <w:rsid w:val="005F3F2F"/>
    <w:rsid w:val="005F4A0A"/>
    <w:rsid w:val="005F4D17"/>
    <w:rsid w:val="005F4F7D"/>
    <w:rsid w:val="005F5343"/>
    <w:rsid w:val="005F5710"/>
    <w:rsid w:val="005F5791"/>
    <w:rsid w:val="005F6414"/>
    <w:rsid w:val="005F646A"/>
    <w:rsid w:val="005F76C6"/>
    <w:rsid w:val="005F7DD7"/>
    <w:rsid w:val="00600478"/>
    <w:rsid w:val="006008FA"/>
    <w:rsid w:val="00600965"/>
    <w:rsid w:val="00600D00"/>
    <w:rsid w:val="00600ECD"/>
    <w:rsid w:val="00600FAF"/>
    <w:rsid w:val="00601080"/>
    <w:rsid w:val="0060109F"/>
    <w:rsid w:val="00601220"/>
    <w:rsid w:val="006012D2"/>
    <w:rsid w:val="00601854"/>
    <w:rsid w:val="00601AAA"/>
    <w:rsid w:val="006029F1"/>
    <w:rsid w:val="00602B3F"/>
    <w:rsid w:val="00603BFE"/>
    <w:rsid w:val="00603E63"/>
    <w:rsid w:val="0060428F"/>
    <w:rsid w:val="00604A5A"/>
    <w:rsid w:val="006056E6"/>
    <w:rsid w:val="0060611E"/>
    <w:rsid w:val="0060678D"/>
    <w:rsid w:val="00606A2A"/>
    <w:rsid w:val="00606A2D"/>
    <w:rsid w:val="00607849"/>
    <w:rsid w:val="00607DE8"/>
    <w:rsid w:val="00607F93"/>
    <w:rsid w:val="00610A9E"/>
    <w:rsid w:val="00611202"/>
    <w:rsid w:val="006116A6"/>
    <w:rsid w:val="006121C2"/>
    <w:rsid w:val="00612C9F"/>
    <w:rsid w:val="00612F8F"/>
    <w:rsid w:val="006131B7"/>
    <w:rsid w:val="006133E7"/>
    <w:rsid w:val="006138B3"/>
    <w:rsid w:val="00613CBA"/>
    <w:rsid w:val="0061418E"/>
    <w:rsid w:val="00614434"/>
    <w:rsid w:val="00614804"/>
    <w:rsid w:val="00614B55"/>
    <w:rsid w:val="00615110"/>
    <w:rsid w:val="0061582B"/>
    <w:rsid w:val="00615A55"/>
    <w:rsid w:val="00615F1F"/>
    <w:rsid w:val="006164F9"/>
    <w:rsid w:val="0061701D"/>
    <w:rsid w:val="00620B5A"/>
    <w:rsid w:val="006214E2"/>
    <w:rsid w:val="00621A5D"/>
    <w:rsid w:val="00621CD7"/>
    <w:rsid w:val="00622085"/>
    <w:rsid w:val="00622111"/>
    <w:rsid w:val="00622D87"/>
    <w:rsid w:val="006234A7"/>
    <w:rsid w:val="00623786"/>
    <w:rsid w:val="0062391F"/>
    <w:rsid w:val="00623A2D"/>
    <w:rsid w:val="006244EE"/>
    <w:rsid w:val="00625645"/>
    <w:rsid w:val="00626C98"/>
    <w:rsid w:val="006272CF"/>
    <w:rsid w:val="00627709"/>
    <w:rsid w:val="0062797A"/>
    <w:rsid w:val="00627CB8"/>
    <w:rsid w:val="00627E1E"/>
    <w:rsid w:val="00630023"/>
    <w:rsid w:val="006314AF"/>
    <w:rsid w:val="00631E8A"/>
    <w:rsid w:val="00632429"/>
    <w:rsid w:val="00632811"/>
    <w:rsid w:val="00633A38"/>
    <w:rsid w:val="00633C8B"/>
    <w:rsid w:val="006343D4"/>
    <w:rsid w:val="0063454D"/>
    <w:rsid w:val="0063458E"/>
    <w:rsid w:val="006348F6"/>
    <w:rsid w:val="0063543C"/>
    <w:rsid w:val="0063555E"/>
    <w:rsid w:val="00635E7F"/>
    <w:rsid w:val="0063614D"/>
    <w:rsid w:val="006361D2"/>
    <w:rsid w:val="00637050"/>
    <w:rsid w:val="0063725E"/>
    <w:rsid w:val="006372F1"/>
    <w:rsid w:val="00637C64"/>
    <w:rsid w:val="0064043B"/>
    <w:rsid w:val="0064187B"/>
    <w:rsid w:val="0064199C"/>
    <w:rsid w:val="00641BDB"/>
    <w:rsid w:val="00642407"/>
    <w:rsid w:val="00642AF1"/>
    <w:rsid w:val="0064301E"/>
    <w:rsid w:val="006433B6"/>
    <w:rsid w:val="00643B23"/>
    <w:rsid w:val="0064405D"/>
    <w:rsid w:val="00644B2A"/>
    <w:rsid w:val="0064554D"/>
    <w:rsid w:val="00645CA8"/>
    <w:rsid w:val="00645F9B"/>
    <w:rsid w:val="00647151"/>
    <w:rsid w:val="006471B5"/>
    <w:rsid w:val="00650623"/>
    <w:rsid w:val="00650C84"/>
    <w:rsid w:val="0065107F"/>
    <w:rsid w:val="006510A7"/>
    <w:rsid w:val="0065137D"/>
    <w:rsid w:val="006527B1"/>
    <w:rsid w:val="006529BA"/>
    <w:rsid w:val="00652DE8"/>
    <w:rsid w:val="00653358"/>
    <w:rsid w:val="0065397F"/>
    <w:rsid w:val="00653D4D"/>
    <w:rsid w:val="00653F86"/>
    <w:rsid w:val="006551A1"/>
    <w:rsid w:val="0065524B"/>
    <w:rsid w:val="006555AE"/>
    <w:rsid w:val="00655E8B"/>
    <w:rsid w:val="006566C3"/>
    <w:rsid w:val="00656788"/>
    <w:rsid w:val="00656B6D"/>
    <w:rsid w:val="00656E3C"/>
    <w:rsid w:val="00656E55"/>
    <w:rsid w:val="006572D0"/>
    <w:rsid w:val="00657492"/>
    <w:rsid w:val="00657557"/>
    <w:rsid w:val="00657F6B"/>
    <w:rsid w:val="00660756"/>
    <w:rsid w:val="00660C11"/>
    <w:rsid w:val="006611A9"/>
    <w:rsid w:val="006611C6"/>
    <w:rsid w:val="00661B46"/>
    <w:rsid w:val="00661B89"/>
    <w:rsid w:val="00662097"/>
    <w:rsid w:val="0066250F"/>
    <w:rsid w:val="00662811"/>
    <w:rsid w:val="00663C31"/>
    <w:rsid w:val="00663EC8"/>
    <w:rsid w:val="0066405C"/>
    <w:rsid w:val="006643D1"/>
    <w:rsid w:val="00664591"/>
    <w:rsid w:val="006649EF"/>
    <w:rsid w:val="006654D8"/>
    <w:rsid w:val="00665A1F"/>
    <w:rsid w:val="0066615A"/>
    <w:rsid w:val="00666DA4"/>
    <w:rsid w:val="0066723E"/>
    <w:rsid w:val="0066761B"/>
    <w:rsid w:val="006678AC"/>
    <w:rsid w:val="00670706"/>
    <w:rsid w:val="00670712"/>
    <w:rsid w:val="00671258"/>
    <w:rsid w:val="00671575"/>
    <w:rsid w:val="00672362"/>
    <w:rsid w:val="006723BE"/>
    <w:rsid w:val="00672975"/>
    <w:rsid w:val="00672A56"/>
    <w:rsid w:val="00672AAD"/>
    <w:rsid w:val="00672F94"/>
    <w:rsid w:val="006739A0"/>
    <w:rsid w:val="00673F0A"/>
    <w:rsid w:val="00674046"/>
    <w:rsid w:val="0067421F"/>
    <w:rsid w:val="00674C00"/>
    <w:rsid w:val="00674CEF"/>
    <w:rsid w:val="00674DCD"/>
    <w:rsid w:val="00674F0C"/>
    <w:rsid w:val="00674FEA"/>
    <w:rsid w:val="00675E8B"/>
    <w:rsid w:val="00675EDF"/>
    <w:rsid w:val="00676733"/>
    <w:rsid w:val="00676A44"/>
    <w:rsid w:val="00676E16"/>
    <w:rsid w:val="0067729E"/>
    <w:rsid w:val="006777AA"/>
    <w:rsid w:val="0068018D"/>
    <w:rsid w:val="00680778"/>
    <w:rsid w:val="006809D6"/>
    <w:rsid w:val="0068101C"/>
    <w:rsid w:val="0068141B"/>
    <w:rsid w:val="00681632"/>
    <w:rsid w:val="00681FE7"/>
    <w:rsid w:val="0068293F"/>
    <w:rsid w:val="00683039"/>
    <w:rsid w:val="006834B4"/>
    <w:rsid w:val="006834CC"/>
    <w:rsid w:val="0068400D"/>
    <w:rsid w:val="006842CE"/>
    <w:rsid w:val="0068432E"/>
    <w:rsid w:val="00684613"/>
    <w:rsid w:val="0068645C"/>
    <w:rsid w:val="00686894"/>
    <w:rsid w:val="00687425"/>
    <w:rsid w:val="00687D88"/>
    <w:rsid w:val="00687EFC"/>
    <w:rsid w:val="00690037"/>
    <w:rsid w:val="006900FE"/>
    <w:rsid w:val="00690196"/>
    <w:rsid w:val="00690F0A"/>
    <w:rsid w:val="00691198"/>
    <w:rsid w:val="0069138B"/>
    <w:rsid w:val="006917F2"/>
    <w:rsid w:val="00692B7C"/>
    <w:rsid w:val="00693082"/>
    <w:rsid w:val="00693524"/>
    <w:rsid w:val="00693733"/>
    <w:rsid w:val="00693AA3"/>
    <w:rsid w:val="00693F3C"/>
    <w:rsid w:val="00693FA7"/>
    <w:rsid w:val="00693FF3"/>
    <w:rsid w:val="00694A98"/>
    <w:rsid w:val="00695B26"/>
    <w:rsid w:val="00696587"/>
    <w:rsid w:val="006966B5"/>
    <w:rsid w:val="00696B9A"/>
    <w:rsid w:val="00696E33"/>
    <w:rsid w:val="006972D8"/>
    <w:rsid w:val="0069739E"/>
    <w:rsid w:val="006974E9"/>
    <w:rsid w:val="0069758C"/>
    <w:rsid w:val="00697C91"/>
    <w:rsid w:val="006A0BAA"/>
    <w:rsid w:val="006A0D86"/>
    <w:rsid w:val="006A1748"/>
    <w:rsid w:val="006A197E"/>
    <w:rsid w:val="006A1AEA"/>
    <w:rsid w:val="006A1E16"/>
    <w:rsid w:val="006A1E1A"/>
    <w:rsid w:val="006A20DB"/>
    <w:rsid w:val="006A25D5"/>
    <w:rsid w:val="006A2EE6"/>
    <w:rsid w:val="006A3DF6"/>
    <w:rsid w:val="006A3FFE"/>
    <w:rsid w:val="006A4AAC"/>
    <w:rsid w:val="006A5103"/>
    <w:rsid w:val="006A5A07"/>
    <w:rsid w:val="006A5EBC"/>
    <w:rsid w:val="006A696D"/>
    <w:rsid w:val="006A6E6C"/>
    <w:rsid w:val="006A7599"/>
    <w:rsid w:val="006A78AE"/>
    <w:rsid w:val="006B02EA"/>
    <w:rsid w:val="006B112D"/>
    <w:rsid w:val="006B161D"/>
    <w:rsid w:val="006B1B4F"/>
    <w:rsid w:val="006B1E6E"/>
    <w:rsid w:val="006B26AC"/>
    <w:rsid w:val="006B2CC2"/>
    <w:rsid w:val="006B3385"/>
    <w:rsid w:val="006B3E2F"/>
    <w:rsid w:val="006B41AD"/>
    <w:rsid w:val="006B42CE"/>
    <w:rsid w:val="006B45A3"/>
    <w:rsid w:val="006B4A4D"/>
    <w:rsid w:val="006B4D55"/>
    <w:rsid w:val="006B4E5D"/>
    <w:rsid w:val="006B542C"/>
    <w:rsid w:val="006B5B52"/>
    <w:rsid w:val="006B5B9A"/>
    <w:rsid w:val="006B5BB9"/>
    <w:rsid w:val="006B5D23"/>
    <w:rsid w:val="006B5F4C"/>
    <w:rsid w:val="006B6205"/>
    <w:rsid w:val="006B6DFB"/>
    <w:rsid w:val="006B6EEA"/>
    <w:rsid w:val="006B72A3"/>
    <w:rsid w:val="006B7552"/>
    <w:rsid w:val="006B776A"/>
    <w:rsid w:val="006B7FB1"/>
    <w:rsid w:val="006C0C22"/>
    <w:rsid w:val="006C0E19"/>
    <w:rsid w:val="006C110D"/>
    <w:rsid w:val="006C1D33"/>
    <w:rsid w:val="006C1EE3"/>
    <w:rsid w:val="006C205F"/>
    <w:rsid w:val="006C3D5D"/>
    <w:rsid w:val="006C412F"/>
    <w:rsid w:val="006C4588"/>
    <w:rsid w:val="006C46D8"/>
    <w:rsid w:val="006C49A1"/>
    <w:rsid w:val="006C4B95"/>
    <w:rsid w:val="006C4BEF"/>
    <w:rsid w:val="006C5378"/>
    <w:rsid w:val="006C5658"/>
    <w:rsid w:val="006C58E2"/>
    <w:rsid w:val="006C5B41"/>
    <w:rsid w:val="006C63ED"/>
    <w:rsid w:val="006C6631"/>
    <w:rsid w:val="006D0C0A"/>
    <w:rsid w:val="006D0D9C"/>
    <w:rsid w:val="006D0E12"/>
    <w:rsid w:val="006D15E5"/>
    <w:rsid w:val="006D174F"/>
    <w:rsid w:val="006D1C0A"/>
    <w:rsid w:val="006D1CF2"/>
    <w:rsid w:val="006D1FF7"/>
    <w:rsid w:val="006D225C"/>
    <w:rsid w:val="006D2265"/>
    <w:rsid w:val="006D2EE1"/>
    <w:rsid w:val="006D35B1"/>
    <w:rsid w:val="006D36D5"/>
    <w:rsid w:val="006D38F3"/>
    <w:rsid w:val="006D3AF3"/>
    <w:rsid w:val="006D471E"/>
    <w:rsid w:val="006D48DE"/>
    <w:rsid w:val="006D52F4"/>
    <w:rsid w:val="006D5A05"/>
    <w:rsid w:val="006D5A25"/>
    <w:rsid w:val="006D5DE3"/>
    <w:rsid w:val="006D6003"/>
    <w:rsid w:val="006D7040"/>
    <w:rsid w:val="006D72B1"/>
    <w:rsid w:val="006D757E"/>
    <w:rsid w:val="006E00CE"/>
    <w:rsid w:val="006E0734"/>
    <w:rsid w:val="006E0AD4"/>
    <w:rsid w:val="006E0DC0"/>
    <w:rsid w:val="006E1822"/>
    <w:rsid w:val="006E1CBA"/>
    <w:rsid w:val="006E2203"/>
    <w:rsid w:val="006E29CB"/>
    <w:rsid w:val="006E2E55"/>
    <w:rsid w:val="006E2E9A"/>
    <w:rsid w:val="006E300C"/>
    <w:rsid w:val="006E3354"/>
    <w:rsid w:val="006E38FB"/>
    <w:rsid w:val="006E3AAB"/>
    <w:rsid w:val="006E4033"/>
    <w:rsid w:val="006E69EB"/>
    <w:rsid w:val="006E6F3C"/>
    <w:rsid w:val="006E722A"/>
    <w:rsid w:val="006E77B5"/>
    <w:rsid w:val="006E7A9C"/>
    <w:rsid w:val="006F05E0"/>
    <w:rsid w:val="006F0645"/>
    <w:rsid w:val="006F0838"/>
    <w:rsid w:val="006F08B5"/>
    <w:rsid w:val="006F0B2C"/>
    <w:rsid w:val="006F0B50"/>
    <w:rsid w:val="006F0ED9"/>
    <w:rsid w:val="006F0FE9"/>
    <w:rsid w:val="006F130D"/>
    <w:rsid w:val="006F135E"/>
    <w:rsid w:val="006F16F3"/>
    <w:rsid w:val="006F197F"/>
    <w:rsid w:val="006F2282"/>
    <w:rsid w:val="006F22AE"/>
    <w:rsid w:val="006F3040"/>
    <w:rsid w:val="006F3043"/>
    <w:rsid w:val="006F305C"/>
    <w:rsid w:val="006F3343"/>
    <w:rsid w:val="006F36CC"/>
    <w:rsid w:val="006F49AB"/>
    <w:rsid w:val="006F4A0E"/>
    <w:rsid w:val="006F5915"/>
    <w:rsid w:val="006F624E"/>
    <w:rsid w:val="006F6B14"/>
    <w:rsid w:val="006F71C6"/>
    <w:rsid w:val="006F7424"/>
    <w:rsid w:val="006F7D7B"/>
    <w:rsid w:val="007000ED"/>
    <w:rsid w:val="007003C7"/>
    <w:rsid w:val="007005C6"/>
    <w:rsid w:val="007009EC"/>
    <w:rsid w:val="00701277"/>
    <w:rsid w:val="00701340"/>
    <w:rsid w:val="00701A90"/>
    <w:rsid w:val="00701E0B"/>
    <w:rsid w:val="00702074"/>
    <w:rsid w:val="00702204"/>
    <w:rsid w:val="00702306"/>
    <w:rsid w:val="00702478"/>
    <w:rsid w:val="00702600"/>
    <w:rsid w:val="00702DFC"/>
    <w:rsid w:val="0070306D"/>
    <w:rsid w:val="007031A8"/>
    <w:rsid w:val="00703441"/>
    <w:rsid w:val="0070365A"/>
    <w:rsid w:val="00703A91"/>
    <w:rsid w:val="00703B8F"/>
    <w:rsid w:val="00704440"/>
    <w:rsid w:val="00705A69"/>
    <w:rsid w:val="00705CC5"/>
    <w:rsid w:val="00705F33"/>
    <w:rsid w:val="00706203"/>
    <w:rsid w:val="00706342"/>
    <w:rsid w:val="007069A0"/>
    <w:rsid w:val="00706AE9"/>
    <w:rsid w:val="007072F7"/>
    <w:rsid w:val="00707F64"/>
    <w:rsid w:val="00710845"/>
    <w:rsid w:val="00710C75"/>
    <w:rsid w:val="00711538"/>
    <w:rsid w:val="007118B9"/>
    <w:rsid w:val="007127CC"/>
    <w:rsid w:val="0071369D"/>
    <w:rsid w:val="00713B10"/>
    <w:rsid w:val="0071405C"/>
    <w:rsid w:val="007143C0"/>
    <w:rsid w:val="007148B7"/>
    <w:rsid w:val="00714ED7"/>
    <w:rsid w:val="00714EFA"/>
    <w:rsid w:val="00715C72"/>
    <w:rsid w:val="0071655B"/>
    <w:rsid w:val="00716BF7"/>
    <w:rsid w:val="007170F8"/>
    <w:rsid w:val="0071714A"/>
    <w:rsid w:val="00717323"/>
    <w:rsid w:val="00717E0E"/>
    <w:rsid w:val="00717F45"/>
    <w:rsid w:val="0072082D"/>
    <w:rsid w:val="00720A0D"/>
    <w:rsid w:val="00720C78"/>
    <w:rsid w:val="00720CA0"/>
    <w:rsid w:val="00720E23"/>
    <w:rsid w:val="00720FE2"/>
    <w:rsid w:val="0072120E"/>
    <w:rsid w:val="0072132F"/>
    <w:rsid w:val="00721519"/>
    <w:rsid w:val="00721EA7"/>
    <w:rsid w:val="007220F0"/>
    <w:rsid w:val="00723460"/>
    <w:rsid w:val="007237DC"/>
    <w:rsid w:val="00723901"/>
    <w:rsid w:val="00723B12"/>
    <w:rsid w:val="00723B20"/>
    <w:rsid w:val="00723B67"/>
    <w:rsid w:val="00723C37"/>
    <w:rsid w:val="00723EA3"/>
    <w:rsid w:val="0072415D"/>
    <w:rsid w:val="0072465F"/>
    <w:rsid w:val="0072564B"/>
    <w:rsid w:val="00725E22"/>
    <w:rsid w:val="007260C0"/>
    <w:rsid w:val="00726254"/>
    <w:rsid w:val="0072684C"/>
    <w:rsid w:val="00726FEF"/>
    <w:rsid w:val="00727569"/>
    <w:rsid w:val="007307D9"/>
    <w:rsid w:val="00730C32"/>
    <w:rsid w:val="00730DEB"/>
    <w:rsid w:val="00731376"/>
    <w:rsid w:val="0073183D"/>
    <w:rsid w:val="00731881"/>
    <w:rsid w:val="00731901"/>
    <w:rsid w:val="00731A33"/>
    <w:rsid w:val="007328D9"/>
    <w:rsid w:val="00732F4B"/>
    <w:rsid w:val="0073341C"/>
    <w:rsid w:val="0073367F"/>
    <w:rsid w:val="00733C4C"/>
    <w:rsid w:val="007344F3"/>
    <w:rsid w:val="00734E27"/>
    <w:rsid w:val="00735140"/>
    <w:rsid w:val="007361D1"/>
    <w:rsid w:val="0073631D"/>
    <w:rsid w:val="0073711B"/>
    <w:rsid w:val="00737590"/>
    <w:rsid w:val="0074035D"/>
    <w:rsid w:val="0074063E"/>
    <w:rsid w:val="007411CB"/>
    <w:rsid w:val="00741719"/>
    <w:rsid w:val="007425E1"/>
    <w:rsid w:val="0074269F"/>
    <w:rsid w:val="00742DF6"/>
    <w:rsid w:val="007441FD"/>
    <w:rsid w:val="00744276"/>
    <w:rsid w:val="00744305"/>
    <w:rsid w:val="0074495D"/>
    <w:rsid w:val="00744C3D"/>
    <w:rsid w:val="00745004"/>
    <w:rsid w:val="0074582E"/>
    <w:rsid w:val="00745976"/>
    <w:rsid w:val="00745E25"/>
    <w:rsid w:val="0074622C"/>
    <w:rsid w:val="007462BB"/>
    <w:rsid w:val="00746514"/>
    <w:rsid w:val="00746620"/>
    <w:rsid w:val="007467D9"/>
    <w:rsid w:val="00746AF8"/>
    <w:rsid w:val="00746ED0"/>
    <w:rsid w:val="00747836"/>
    <w:rsid w:val="007479E5"/>
    <w:rsid w:val="007506EB"/>
    <w:rsid w:val="007509A3"/>
    <w:rsid w:val="00750EB3"/>
    <w:rsid w:val="007514CD"/>
    <w:rsid w:val="00751C7A"/>
    <w:rsid w:val="00751CE1"/>
    <w:rsid w:val="00752066"/>
    <w:rsid w:val="00752511"/>
    <w:rsid w:val="0075262C"/>
    <w:rsid w:val="00752AB1"/>
    <w:rsid w:val="00752D66"/>
    <w:rsid w:val="00753EE7"/>
    <w:rsid w:val="00754126"/>
    <w:rsid w:val="00754744"/>
    <w:rsid w:val="0075569B"/>
    <w:rsid w:val="00756001"/>
    <w:rsid w:val="00756B8C"/>
    <w:rsid w:val="00756EF2"/>
    <w:rsid w:val="0075737F"/>
    <w:rsid w:val="00757A35"/>
    <w:rsid w:val="00757AC7"/>
    <w:rsid w:val="007610E8"/>
    <w:rsid w:val="0076196D"/>
    <w:rsid w:val="00761B1F"/>
    <w:rsid w:val="00761BD9"/>
    <w:rsid w:val="00761E11"/>
    <w:rsid w:val="007621E9"/>
    <w:rsid w:val="00762A5C"/>
    <w:rsid w:val="00763E02"/>
    <w:rsid w:val="00764498"/>
    <w:rsid w:val="007646F9"/>
    <w:rsid w:val="0076567B"/>
    <w:rsid w:val="00766011"/>
    <w:rsid w:val="00766549"/>
    <w:rsid w:val="00767336"/>
    <w:rsid w:val="00767E86"/>
    <w:rsid w:val="007708FF"/>
    <w:rsid w:val="00770983"/>
    <w:rsid w:val="00771228"/>
    <w:rsid w:val="0077176B"/>
    <w:rsid w:val="007717A5"/>
    <w:rsid w:val="007718F8"/>
    <w:rsid w:val="0077197A"/>
    <w:rsid w:val="00772554"/>
    <w:rsid w:val="00772642"/>
    <w:rsid w:val="00772D15"/>
    <w:rsid w:val="0077394C"/>
    <w:rsid w:val="00773A19"/>
    <w:rsid w:val="0077415D"/>
    <w:rsid w:val="0077446E"/>
    <w:rsid w:val="00774642"/>
    <w:rsid w:val="007746F6"/>
    <w:rsid w:val="00775307"/>
    <w:rsid w:val="007754F9"/>
    <w:rsid w:val="007755BB"/>
    <w:rsid w:val="00775603"/>
    <w:rsid w:val="007756FC"/>
    <w:rsid w:val="00775B55"/>
    <w:rsid w:val="0077600E"/>
    <w:rsid w:val="007765CB"/>
    <w:rsid w:val="00777175"/>
    <w:rsid w:val="00777D77"/>
    <w:rsid w:val="00780131"/>
    <w:rsid w:val="00780647"/>
    <w:rsid w:val="007811F2"/>
    <w:rsid w:val="007812B3"/>
    <w:rsid w:val="00781F61"/>
    <w:rsid w:val="00782654"/>
    <w:rsid w:val="007827A4"/>
    <w:rsid w:val="007828F7"/>
    <w:rsid w:val="00782BD4"/>
    <w:rsid w:val="00782CF7"/>
    <w:rsid w:val="0078317F"/>
    <w:rsid w:val="0078331C"/>
    <w:rsid w:val="00783377"/>
    <w:rsid w:val="0078346F"/>
    <w:rsid w:val="00783D61"/>
    <w:rsid w:val="00783F1A"/>
    <w:rsid w:val="00784319"/>
    <w:rsid w:val="00784590"/>
    <w:rsid w:val="0078503E"/>
    <w:rsid w:val="00785332"/>
    <w:rsid w:val="0078551C"/>
    <w:rsid w:val="00785C11"/>
    <w:rsid w:val="00786067"/>
    <w:rsid w:val="007867CA"/>
    <w:rsid w:val="00786CA9"/>
    <w:rsid w:val="00787072"/>
    <w:rsid w:val="00787797"/>
    <w:rsid w:val="0079119D"/>
    <w:rsid w:val="0079138B"/>
    <w:rsid w:val="0079177A"/>
    <w:rsid w:val="007917E7"/>
    <w:rsid w:val="00791DF5"/>
    <w:rsid w:val="00791EE6"/>
    <w:rsid w:val="0079222E"/>
    <w:rsid w:val="0079228B"/>
    <w:rsid w:val="00793192"/>
    <w:rsid w:val="007932E7"/>
    <w:rsid w:val="0079338E"/>
    <w:rsid w:val="00793CB0"/>
    <w:rsid w:val="00793EFA"/>
    <w:rsid w:val="00794170"/>
    <w:rsid w:val="007942DD"/>
    <w:rsid w:val="0079485C"/>
    <w:rsid w:val="00794B18"/>
    <w:rsid w:val="00795205"/>
    <w:rsid w:val="0079560D"/>
    <w:rsid w:val="00795BEF"/>
    <w:rsid w:val="00795C21"/>
    <w:rsid w:val="007969B2"/>
    <w:rsid w:val="00796BEB"/>
    <w:rsid w:val="007970C2"/>
    <w:rsid w:val="00797588"/>
    <w:rsid w:val="007A0016"/>
    <w:rsid w:val="007A037B"/>
    <w:rsid w:val="007A13A2"/>
    <w:rsid w:val="007A180A"/>
    <w:rsid w:val="007A2DEA"/>
    <w:rsid w:val="007A3F20"/>
    <w:rsid w:val="007A4206"/>
    <w:rsid w:val="007A44E0"/>
    <w:rsid w:val="007A50D4"/>
    <w:rsid w:val="007A6A20"/>
    <w:rsid w:val="007A6D27"/>
    <w:rsid w:val="007A6DA9"/>
    <w:rsid w:val="007A710A"/>
    <w:rsid w:val="007A7665"/>
    <w:rsid w:val="007A7AA1"/>
    <w:rsid w:val="007A7B61"/>
    <w:rsid w:val="007A7DA6"/>
    <w:rsid w:val="007B0053"/>
    <w:rsid w:val="007B072B"/>
    <w:rsid w:val="007B09A3"/>
    <w:rsid w:val="007B0F90"/>
    <w:rsid w:val="007B15E8"/>
    <w:rsid w:val="007B19F1"/>
    <w:rsid w:val="007B2F35"/>
    <w:rsid w:val="007B332E"/>
    <w:rsid w:val="007B3F60"/>
    <w:rsid w:val="007B4335"/>
    <w:rsid w:val="007B473C"/>
    <w:rsid w:val="007B48DB"/>
    <w:rsid w:val="007B49B0"/>
    <w:rsid w:val="007B5059"/>
    <w:rsid w:val="007B5292"/>
    <w:rsid w:val="007B551E"/>
    <w:rsid w:val="007B57E8"/>
    <w:rsid w:val="007B6099"/>
    <w:rsid w:val="007B6438"/>
    <w:rsid w:val="007B65C4"/>
    <w:rsid w:val="007B6B76"/>
    <w:rsid w:val="007B7144"/>
    <w:rsid w:val="007B7660"/>
    <w:rsid w:val="007B7682"/>
    <w:rsid w:val="007B7AE5"/>
    <w:rsid w:val="007B7E42"/>
    <w:rsid w:val="007C0E60"/>
    <w:rsid w:val="007C13B8"/>
    <w:rsid w:val="007C18BD"/>
    <w:rsid w:val="007C257F"/>
    <w:rsid w:val="007C2CDF"/>
    <w:rsid w:val="007C3B80"/>
    <w:rsid w:val="007C3C63"/>
    <w:rsid w:val="007C45F6"/>
    <w:rsid w:val="007C590F"/>
    <w:rsid w:val="007C5B26"/>
    <w:rsid w:val="007C5E09"/>
    <w:rsid w:val="007C62C7"/>
    <w:rsid w:val="007C6430"/>
    <w:rsid w:val="007C6F08"/>
    <w:rsid w:val="007C77E6"/>
    <w:rsid w:val="007C7936"/>
    <w:rsid w:val="007D011F"/>
    <w:rsid w:val="007D058A"/>
    <w:rsid w:val="007D0BDE"/>
    <w:rsid w:val="007D0C8B"/>
    <w:rsid w:val="007D13F8"/>
    <w:rsid w:val="007D15E7"/>
    <w:rsid w:val="007D1C5A"/>
    <w:rsid w:val="007D1CAA"/>
    <w:rsid w:val="007D1E62"/>
    <w:rsid w:val="007D204B"/>
    <w:rsid w:val="007D20DB"/>
    <w:rsid w:val="007D2733"/>
    <w:rsid w:val="007D3298"/>
    <w:rsid w:val="007D3934"/>
    <w:rsid w:val="007D3975"/>
    <w:rsid w:val="007D46CC"/>
    <w:rsid w:val="007D5681"/>
    <w:rsid w:val="007D5B8C"/>
    <w:rsid w:val="007D5BA8"/>
    <w:rsid w:val="007D5CEF"/>
    <w:rsid w:val="007D6A24"/>
    <w:rsid w:val="007D6C55"/>
    <w:rsid w:val="007D7D62"/>
    <w:rsid w:val="007D7FA2"/>
    <w:rsid w:val="007E04B6"/>
    <w:rsid w:val="007E06E5"/>
    <w:rsid w:val="007E0B43"/>
    <w:rsid w:val="007E139A"/>
    <w:rsid w:val="007E1A3E"/>
    <w:rsid w:val="007E1C47"/>
    <w:rsid w:val="007E1C97"/>
    <w:rsid w:val="007E224E"/>
    <w:rsid w:val="007E26B7"/>
    <w:rsid w:val="007E2C4F"/>
    <w:rsid w:val="007E2E30"/>
    <w:rsid w:val="007E305C"/>
    <w:rsid w:val="007E30E0"/>
    <w:rsid w:val="007E428D"/>
    <w:rsid w:val="007E4A65"/>
    <w:rsid w:val="007E4B12"/>
    <w:rsid w:val="007E517A"/>
    <w:rsid w:val="007E5C10"/>
    <w:rsid w:val="007E5D09"/>
    <w:rsid w:val="007E5FD8"/>
    <w:rsid w:val="007E617B"/>
    <w:rsid w:val="007E6296"/>
    <w:rsid w:val="007E664C"/>
    <w:rsid w:val="007E6717"/>
    <w:rsid w:val="007E69A5"/>
    <w:rsid w:val="007E6B31"/>
    <w:rsid w:val="007E7374"/>
    <w:rsid w:val="007E791F"/>
    <w:rsid w:val="007E7CC3"/>
    <w:rsid w:val="007F01C9"/>
    <w:rsid w:val="007F0415"/>
    <w:rsid w:val="007F0896"/>
    <w:rsid w:val="007F0D12"/>
    <w:rsid w:val="007F0D9E"/>
    <w:rsid w:val="007F162F"/>
    <w:rsid w:val="007F203C"/>
    <w:rsid w:val="007F21A3"/>
    <w:rsid w:val="007F2511"/>
    <w:rsid w:val="007F267D"/>
    <w:rsid w:val="007F270A"/>
    <w:rsid w:val="007F2CBB"/>
    <w:rsid w:val="007F5200"/>
    <w:rsid w:val="007F595A"/>
    <w:rsid w:val="007F5E4D"/>
    <w:rsid w:val="007F65D4"/>
    <w:rsid w:val="007F7200"/>
    <w:rsid w:val="007F73F4"/>
    <w:rsid w:val="007F7985"/>
    <w:rsid w:val="007F7BBC"/>
    <w:rsid w:val="008001CE"/>
    <w:rsid w:val="008004C4"/>
    <w:rsid w:val="008005A8"/>
    <w:rsid w:val="0080103C"/>
    <w:rsid w:val="0080137F"/>
    <w:rsid w:val="00801C4D"/>
    <w:rsid w:val="00802174"/>
    <w:rsid w:val="0080307F"/>
    <w:rsid w:val="00803B88"/>
    <w:rsid w:val="0080410A"/>
    <w:rsid w:val="00804998"/>
    <w:rsid w:val="008049BF"/>
    <w:rsid w:val="008049FF"/>
    <w:rsid w:val="00804EAB"/>
    <w:rsid w:val="008050D0"/>
    <w:rsid w:val="00805238"/>
    <w:rsid w:val="00805408"/>
    <w:rsid w:val="00805712"/>
    <w:rsid w:val="00805B11"/>
    <w:rsid w:val="00805EC8"/>
    <w:rsid w:val="00806090"/>
    <w:rsid w:val="008075C6"/>
    <w:rsid w:val="0080767D"/>
    <w:rsid w:val="00807BB9"/>
    <w:rsid w:val="00807C7D"/>
    <w:rsid w:val="00810107"/>
    <w:rsid w:val="008101FB"/>
    <w:rsid w:val="00810693"/>
    <w:rsid w:val="008127E5"/>
    <w:rsid w:val="00812927"/>
    <w:rsid w:val="00812B71"/>
    <w:rsid w:val="00812E0B"/>
    <w:rsid w:val="00813135"/>
    <w:rsid w:val="00813303"/>
    <w:rsid w:val="00813449"/>
    <w:rsid w:val="00813A04"/>
    <w:rsid w:val="008141B1"/>
    <w:rsid w:val="0081460E"/>
    <w:rsid w:val="008146D2"/>
    <w:rsid w:val="00814824"/>
    <w:rsid w:val="008152DB"/>
    <w:rsid w:val="00815327"/>
    <w:rsid w:val="0081553E"/>
    <w:rsid w:val="0081631E"/>
    <w:rsid w:val="008165E9"/>
    <w:rsid w:val="00816A62"/>
    <w:rsid w:val="00817065"/>
    <w:rsid w:val="00817D2F"/>
    <w:rsid w:val="00817F2C"/>
    <w:rsid w:val="008205E2"/>
    <w:rsid w:val="008207D2"/>
    <w:rsid w:val="00820E1D"/>
    <w:rsid w:val="00820E21"/>
    <w:rsid w:val="00821620"/>
    <w:rsid w:val="008221F1"/>
    <w:rsid w:val="00822993"/>
    <w:rsid w:val="00823497"/>
    <w:rsid w:val="00823B7D"/>
    <w:rsid w:val="0082422E"/>
    <w:rsid w:val="008242B5"/>
    <w:rsid w:val="00824E90"/>
    <w:rsid w:val="00825965"/>
    <w:rsid w:val="008266CA"/>
    <w:rsid w:val="008269F7"/>
    <w:rsid w:val="00826A47"/>
    <w:rsid w:val="00826D3B"/>
    <w:rsid w:val="008270A2"/>
    <w:rsid w:val="008277CB"/>
    <w:rsid w:val="00827FD6"/>
    <w:rsid w:val="00830591"/>
    <w:rsid w:val="008308A6"/>
    <w:rsid w:val="008312A8"/>
    <w:rsid w:val="0083138C"/>
    <w:rsid w:val="00831455"/>
    <w:rsid w:val="00831B4F"/>
    <w:rsid w:val="00831C87"/>
    <w:rsid w:val="008328D7"/>
    <w:rsid w:val="00833C59"/>
    <w:rsid w:val="00834032"/>
    <w:rsid w:val="0083479C"/>
    <w:rsid w:val="0083547E"/>
    <w:rsid w:val="00835731"/>
    <w:rsid w:val="00835946"/>
    <w:rsid w:val="00835D19"/>
    <w:rsid w:val="008362EA"/>
    <w:rsid w:val="008370FB"/>
    <w:rsid w:val="00837225"/>
    <w:rsid w:val="00837394"/>
    <w:rsid w:val="00841E51"/>
    <w:rsid w:val="00842B9A"/>
    <w:rsid w:val="00842D47"/>
    <w:rsid w:val="00842D8A"/>
    <w:rsid w:val="00843089"/>
    <w:rsid w:val="00843152"/>
    <w:rsid w:val="00843266"/>
    <w:rsid w:val="00844324"/>
    <w:rsid w:val="0084490C"/>
    <w:rsid w:val="00844B05"/>
    <w:rsid w:val="00844E5B"/>
    <w:rsid w:val="00845530"/>
    <w:rsid w:val="0084611C"/>
    <w:rsid w:val="008461AD"/>
    <w:rsid w:val="008475E0"/>
    <w:rsid w:val="00847641"/>
    <w:rsid w:val="008476BB"/>
    <w:rsid w:val="00847E36"/>
    <w:rsid w:val="00847E74"/>
    <w:rsid w:val="00850743"/>
    <w:rsid w:val="008507BC"/>
    <w:rsid w:val="00850A17"/>
    <w:rsid w:val="00850BD5"/>
    <w:rsid w:val="00850EA8"/>
    <w:rsid w:val="0085141A"/>
    <w:rsid w:val="00851683"/>
    <w:rsid w:val="00851A48"/>
    <w:rsid w:val="00851F38"/>
    <w:rsid w:val="008522F4"/>
    <w:rsid w:val="00852F79"/>
    <w:rsid w:val="00853435"/>
    <w:rsid w:val="0085353D"/>
    <w:rsid w:val="008535F5"/>
    <w:rsid w:val="008538D8"/>
    <w:rsid w:val="008539AE"/>
    <w:rsid w:val="00853BD3"/>
    <w:rsid w:val="008542C7"/>
    <w:rsid w:val="00854361"/>
    <w:rsid w:val="008549EC"/>
    <w:rsid w:val="00855BAB"/>
    <w:rsid w:val="00855D79"/>
    <w:rsid w:val="00855F67"/>
    <w:rsid w:val="008564B0"/>
    <w:rsid w:val="00856505"/>
    <w:rsid w:val="008568C0"/>
    <w:rsid w:val="008578B4"/>
    <w:rsid w:val="008606A0"/>
    <w:rsid w:val="00860718"/>
    <w:rsid w:val="00861D65"/>
    <w:rsid w:val="00861F0E"/>
    <w:rsid w:val="008620EE"/>
    <w:rsid w:val="00862D2A"/>
    <w:rsid w:val="00863382"/>
    <w:rsid w:val="00863AF0"/>
    <w:rsid w:val="00863B7E"/>
    <w:rsid w:val="00863E86"/>
    <w:rsid w:val="008640BE"/>
    <w:rsid w:val="008641FF"/>
    <w:rsid w:val="008647EE"/>
    <w:rsid w:val="00864850"/>
    <w:rsid w:val="008649B4"/>
    <w:rsid w:val="00864DDB"/>
    <w:rsid w:val="0086533D"/>
    <w:rsid w:val="00865B92"/>
    <w:rsid w:val="00865DB9"/>
    <w:rsid w:val="0086605E"/>
    <w:rsid w:val="00866063"/>
    <w:rsid w:val="008660F3"/>
    <w:rsid w:val="0086614A"/>
    <w:rsid w:val="00866403"/>
    <w:rsid w:val="00866481"/>
    <w:rsid w:val="00866D24"/>
    <w:rsid w:val="008670E3"/>
    <w:rsid w:val="00867C1C"/>
    <w:rsid w:val="00867D8B"/>
    <w:rsid w:val="00867EB8"/>
    <w:rsid w:val="008710B6"/>
    <w:rsid w:val="00871150"/>
    <w:rsid w:val="00871870"/>
    <w:rsid w:val="00871EE2"/>
    <w:rsid w:val="00871F39"/>
    <w:rsid w:val="008737FA"/>
    <w:rsid w:val="00873A72"/>
    <w:rsid w:val="00873C21"/>
    <w:rsid w:val="00874AC4"/>
    <w:rsid w:val="00874D95"/>
    <w:rsid w:val="0087586B"/>
    <w:rsid w:val="00875BBB"/>
    <w:rsid w:val="00875E45"/>
    <w:rsid w:val="00876D2B"/>
    <w:rsid w:val="00877665"/>
    <w:rsid w:val="00877AEC"/>
    <w:rsid w:val="00880377"/>
    <w:rsid w:val="00880C86"/>
    <w:rsid w:val="0088158A"/>
    <w:rsid w:val="00881977"/>
    <w:rsid w:val="00881A99"/>
    <w:rsid w:val="00881BAA"/>
    <w:rsid w:val="00882121"/>
    <w:rsid w:val="0088383E"/>
    <w:rsid w:val="008838F1"/>
    <w:rsid w:val="008854F0"/>
    <w:rsid w:val="00885710"/>
    <w:rsid w:val="008864EE"/>
    <w:rsid w:val="008865F0"/>
    <w:rsid w:val="008865F6"/>
    <w:rsid w:val="00886F3A"/>
    <w:rsid w:val="00887393"/>
    <w:rsid w:val="008878CF"/>
    <w:rsid w:val="00887D29"/>
    <w:rsid w:val="0089102F"/>
    <w:rsid w:val="008914ED"/>
    <w:rsid w:val="0089152E"/>
    <w:rsid w:val="00891B90"/>
    <w:rsid w:val="00892415"/>
    <w:rsid w:val="008924D9"/>
    <w:rsid w:val="00892910"/>
    <w:rsid w:val="00892FEA"/>
    <w:rsid w:val="00893447"/>
    <w:rsid w:val="00893598"/>
    <w:rsid w:val="00893C76"/>
    <w:rsid w:val="00893E3C"/>
    <w:rsid w:val="00893FB2"/>
    <w:rsid w:val="00894030"/>
    <w:rsid w:val="008940F8"/>
    <w:rsid w:val="00894126"/>
    <w:rsid w:val="00895777"/>
    <w:rsid w:val="00896C87"/>
    <w:rsid w:val="00896DDE"/>
    <w:rsid w:val="00897183"/>
    <w:rsid w:val="008974F0"/>
    <w:rsid w:val="00897575"/>
    <w:rsid w:val="008976CD"/>
    <w:rsid w:val="0089792E"/>
    <w:rsid w:val="008A0686"/>
    <w:rsid w:val="008A106D"/>
    <w:rsid w:val="008A10B8"/>
    <w:rsid w:val="008A1BEC"/>
    <w:rsid w:val="008A2012"/>
    <w:rsid w:val="008A20D5"/>
    <w:rsid w:val="008A26C3"/>
    <w:rsid w:val="008A2B20"/>
    <w:rsid w:val="008A3A78"/>
    <w:rsid w:val="008A3CDB"/>
    <w:rsid w:val="008A3CDD"/>
    <w:rsid w:val="008A41BD"/>
    <w:rsid w:val="008A497A"/>
    <w:rsid w:val="008A51B7"/>
    <w:rsid w:val="008A57BC"/>
    <w:rsid w:val="008A65DB"/>
    <w:rsid w:val="008A6B08"/>
    <w:rsid w:val="008A6C34"/>
    <w:rsid w:val="008A7833"/>
    <w:rsid w:val="008A7949"/>
    <w:rsid w:val="008A7AB8"/>
    <w:rsid w:val="008A7FBD"/>
    <w:rsid w:val="008B0469"/>
    <w:rsid w:val="008B0F20"/>
    <w:rsid w:val="008B3602"/>
    <w:rsid w:val="008B3D09"/>
    <w:rsid w:val="008B3D52"/>
    <w:rsid w:val="008B3FAE"/>
    <w:rsid w:val="008B4242"/>
    <w:rsid w:val="008B437B"/>
    <w:rsid w:val="008B4F41"/>
    <w:rsid w:val="008B5B2A"/>
    <w:rsid w:val="008B62C8"/>
    <w:rsid w:val="008B6748"/>
    <w:rsid w:val="008B6A48"/>
    <w:rsid w:val="008B6ED5"/>
    <w:rsid w:val="008B7747"/>
    <w:rsid w:val="008B7CC1"/>
    <w:rsid w:val="008C05E0"/>
    <w:rsid w:val="008C0A6E"/>
    <w:rsid w:val="008C0C84"/>
    <w:rsid w:val="008C1289"/>
    <w:rsid w:val="008C24B3"/>
    <w:rsid w:val="008C3143"/>
    <w:rsid w:val="008C3624"/>
    <w:rsid w:val="008C4096"/>
    <w:rsid w:val="008C4426"/>
    <w:rsid w:val="008C4972"/>
    <w:rsid w:val="008C4A3C"/>
    <w:rsid w:val="008C590E"/>
    <w:rsid w:val="008C6025"/>
    <w:rsid w:val="008C6EF0"/>
    <w:rsid w:val="008C6FDA"/>
    <w:rsid w:val="008C71AC"/>
    <w:rsid w:val="008C7BFF"/>
    <w:rsid w:val="008D0291"/>
    <w:rsid w:val="008D1650"/>
    <w:rsid w:val="008D1854"/>
    <w:rsid w:val="008D1B5D"/>
    <w:rsid w:val="008D1E53"/>
    <w:rsid w:val="008D2122"/>
    <w:rsid w:val="008D2877"/>
    <w:rsid w:val="008D29FB"/>
    <w:rsid w:val="008D2A3C"/>
    <w:rsid w:val="008D2F8C"/>
    <w:rsid w:val="008D3066"/>
    <w:rsid w:val="008D3212"/>
    <w:rsid w:val="008D32C6"/>
    <w:rsid w:val="008D3853"/>
    <w:rsid w:val="008D39A4"/>
    <w:rsid w:val="008D3ACB"/>
    <w:rsid w:val="008D410A"/>
    <w:rsid w:val="008D41A7"/>
    <w:rsid w:val="008D4DD6"/>
    <w:rsid w:val="008D541D"/>
    <w:rsid w:val="008D6163"/>
    <w:rsid w:val="008D6641"/>
    <w:rsid w:val="008D6AD2"/>
    <w:rsid w:val="008D7197"/>
    <w:rsid w:val="008D7C50"/>
    <w:rsid w:val="008E1085"/>
    <w:rsid w:val="008E140E"/>
    <w:rsid w:val="008E1EEF"/>
    <w:rsid w:val="008E206C"/>
    <w:rsid w:val="008E20B4"/>
    <w:rsid w:val="008E229F"/>
    <w:rsid w:val="008E2592"/>
    <w:rsid w:val="008E2BE8"/>
    <w:rsid w:val="008E36A8"/>
    <w:rsid w:val="008E3804"/>
    <w:rsid w:val="008E3834"/>
    <w:rsid w:val="008E3E0A"/>
    <w:rsid w:val="008E4034"/>
    <w:rsid w:val="008E40B2"/>
    <w:rsid w:val="008E44F0"/>
    <w:rsid w:val="008E4552"/>
    <w:rsid w:val="008E4AD0"/>
    <w:rsid w:val="008E4BCD"/>
    <w:rsid w:val="008E5048"/>
    <w:rsid w:val="008E526D"/>
    <w:rsid w:val="008E52E0"/>
    <w:rsid w:val="008E5F3B"/>
    <w:rsid w:val="008E6399"/>
    <w:rsid w:val="008E6D34"/>
    <w:rsid w:val="008E6FD6"/>
    <w:rsid w:val="008E7901"/>
    <w:rsid w:val="008E7909"/>
    <w:rsid w:val="008E7D0D"/>
    <w:rsid w:val="008E7EBC"/>
    <w:rsid w:val="008F052C"/>
    <w:rsid w:val="008F0C57"/>
    <w:rsid w:val="008F111E"/>
    <w:rsid w:val="008F1710"/>
    <w:rsid w:val="008F1A3F"/>
    <w:rsid w:val="008F1A43"/>
    <w:rsid w:val="008F1BD8"/>
    <w:rsid w:val="008F24DD"/>
    <w:rsid w:val="008F2D3E"/>
    <w:rsid w:val="008F2FFE"/>
    <w:rsid w:val="008F301A"/>
    <w:rsid w:val="008F3CA7"/>
    <w:rsid w:val="008F3F66"/>
    <w:rsid w:val="008F4042"/>
    <w:rsid w:val="008F4104"/>
    <w:rsid w:val="008F4378"/>
    <w:rsid w:val="008F4609"/>
    <w:rsid w:val="008F4807"/>
    <w:rsid w:val="008F52FA"/>
    <w:rsid w:val="008F5758"/>
    <w:rsid w:val="008F58C1"/>
    <w:rsid w:val="008F5D04"/>
    <w:rsid w:val="008F6270"/>
    <w:rsid w:val="008F664E"/>
    <w:rsid w:val="008F6D8F"/>
    <w:rsid w:val="008F7DB1"/>
    <w:rsid w:val="0090148D"/>
    <w:rsid w:val="009014D9"/>
    <w:rsid w:val="00901845"/>
    <w:rsid w:val="009025E4"/>
    <w:rsid w:val="0090283E"/>
    <w:rsid w:val="009028E2"/>
    <w:rsid w:val="009036B1"/>
    <w:rsid w:val="00904F7B"/>
    <w:rsid w:val="00905031"/>
    <w:rsid w:val="00905AAE"/>
    <w:rsid w:val="0090665F"/>
    <w:rsid w:val="009068A2"/>
    <w:rsid w:val="009069B6"/>
    <w:rsid w:val="00907042"/>
    <w:rsid w:val="009076E9"/>
    <w:rsid w:val="009116AD"/>
    <w:rsid w:val="0091179D"/>
    <w:rsid w:val="00911C75"/>
    <w:rsid w:val="009120D8"/>
    <w:rsid w:val="009132D4"/>
    <w:rsid w:val="00913E41"/>
    <w:rsid w:val="00916FBF"/>
    <w:rsid w:val="00917C5B"/>
    <w:rsid w:val="009207EC"/>
    <w:rsid w:val="00920B43"/>
    <w:rsid w:val="00920B91"/>
    <w:rsid w:val="00921041"/>
    <w:rsid w:val="009215DA"/>
    <w:rsid w:val="00921D87"/>
    <w:rsid w:val="00921F48"/>
    <w:rsid w:val="00923B42"/>
    <w:rsid w:val="00923D63"/>
    <w:rsid w:val="00925057"/>
    <w:rsid w:val="009256BD"/>
    <w:rsid w:val="00925DF0"/>
    <w:rsid w:val="0092616D"/>
    <w:rsid w:val="009261E4"/>
    <w:rsid w:val="00926591"/>
    <w:rsid w:val="009268FD"/>
    <w:rsid w:val="009274D8"/>
    <w:rsid w:val="00927BDE"/>
    <w:rsid w:val="009308D2"/>
    <w:rsid w:val="009309DB"/>
    <w:rsid w:val="00930CD3"/>
    <w:rsid w:val="00930D54"/>
    <w:rsid w:val="009317FE"/>
    <w:rsid w:val="009322B3"/>
    <w:rsid w:val="00932F73"/>
    <w:rsid w:val="009331D9"/>
    <w:rsid w:val="009348A5"/>
    <w:rsid w:val="0093520C"/>
    <w:rsid w:val="00935408"/>
    <w:rsid w:val="009354C7"/>
    <w:rsid w:val="00935F84"/>
    <w:rsid w:val="00936091"/>
    <w:rsid w:val="00936E7D"/>
    <w:rsid w:val="00936EF1"/>
    <w:rsid w:val="009373B3"/>
    <w:rsid w:val="009376F2"/>
    <w:rsid w:val="009405EC"/>
    <w:rsid w:val="009408AD"/>
    <w:rsid w:val="009409A3"/>
    <w:rsid w:val="00940A55"/>
    <w:rsid w:val="00941E82"/>
    <w:rsid w:val="00942184"/>
    <w:rsid w:val="00942729"/>
    <w:rsid w:val="00942D47"/>
    <w:rsid w:val="00943387"/>
    <w:rsid w:val="00943524"/>
    <w:rsid w:val="0094387F"/>
    <w:rsid w:val="00944080"/>
    <w:rsid w:val="00944332"/>
    <w:rsid w:val="00944CF2"/>
    <w:rsid w:val="00945344"/>
    <w:rsid w:val="009453F6"/>
    <w:rsid w:val="009457B6"/>
    <w:rsid w:val="00945BDB"/>
    <w:rsid w:val="00946353"/>
    <w:rsid w:val="009463E1"/>
    <w:rsid w:val="00946D4E"/>
    <w:rsid w:val="00946DBF"/>
    <w:rsid w:val="00947161"/>
    <w:rsid w:val="009472EA"/>
    <w:rsid w:val="00947334"/>
    <w:rsid w:val="0094771C"/>
    <w:rsid w:val="0094777C"/>
    <w:rsid w:val="00947CA3"/>
    <w:rsid w:val="00950451"/>
    <w:rsid w:val="00950DC9"/>
    <w:rsid w:val="009511AA"/>
    <w:rsid w:val="009511D7"/>
    <w:rsid w:val="00951A7F"/>
    <w:rsid w:val="00951A8C"/>
    <w:rsid w:val="00951D31"/>
    <w:rsid w:val="0095230B"/>
    <w:rsid w:val="00952379"/>
    <w:rsid w:val="00952901"/>
    <w:rsid w:val="009532D4"/>
    <w:rsid w:val="00953620"/>
    <w:rsid w:val="00953DBA"/>
    <w:rsid w:val="0095461E"/>
    <w:rsid w:val="00954981"/>
    <w:rsid w:val="00955E72"/>
    <w:rsid w:val="009560CE"/>
    <w:rsid w:val="00956B1F"/>
    <w:rsid w:val="00960270"/>
    <w:rsid w:val="00960354"/>
    <w:rsid w:val="00960CD8"/>
    <w:rsid w:val="00960D6C"/>
    <w:rsid w:val="00961005"/>
    <w:rsid w:val="009611B6"/>
    <w:rsid w:val="00961422"/>
    <w:rsid w:val="00962240"/>
    <w:rsid w:val="00962923"/>
    <w:rsid w:val="00962D7C"/>
    <w:rsid w:val="00963828"/>
    <w:rsid w:val="00963A3B"/>
    <w:rsid w:val="00963BD4"/>
    <w:rsid w:val="00963BF9"/>
    <w:rsid w:val="00963CE7"/>
    <w:rsid w:val="00964545"/>
    <w:rsid w:val="0096492D"/>
    <w:rsid w:val="00964E3C"/>
    <w:rsid w:val="00964F8D"/>
    <w:rsid w:val="00964FE8"/>
    <w:rsid w:val="00965289"/>
    <w:rsid w:val="009656CF"/>
    <w:rsid w:val="009657B8"/>
    <w:rsid w:val="00965E75"/>
    <w:rsid w:val="0096600D"/>
    <w:rsid w:val="00966485"/>
    <w:rsid w:val="009667E7"/>
    <w:rsid w:val="00967B06"/>
    <w:rsid w:val="00967EE6"/>
    <w:rsid w:val="00970315"/>
    <w:rsid w:val="00970D58"/>
    <w:rsid w:val="00971787"/>
    <w:rsid w:val="009718FC"/>
    <w:rsid w:val="009719CA"/>
    <w:rsid w:val="00972503"/>
    <w:rsid w:val="00972766"/>
    <w:rsid w:val="00972CBF"/>
    <w:rsid w:val="00973669"/>
    <w:rsid w:val="0097408E"/>
    <w:rsid w:val="009740AD"/>
    <w:rsid w:val="00974A8C"/>
    <w:rsid w:val="00975ADA"/>
    <w:rsid w:val="00975EB6"/>
    <w:rsid w:val="0097668C"/>
    <w:rsid w:val="0097789C"/>
    <w:rsid w:val="00977DB3"/>
    <w:rsid w:val="0098045C"/>
    <w:rsid w:val="00980681"/>
    <w:rsid w:val="00980908"/>
    <w:rsid w:val="009809E2"/>
    <w:rsid w:val="00980C1D"/>
    <w:rsid w:val="00980E6D"/>
    <w:rsid w:val="009821D0"/>
    <w:rsid w:val="00983132"/>
    <w:rsid w:val="00983513"/>
    <w:rsid w:val="00983A5E"/>
    <w:rsid w:val="009846E9"/>
    <w:rsid w:val="009849EE"/>
    <w:rsid w:val="00984DDD"/>
    <w:rsid w:val="00984DEE"/>
    <w:rsid w:val="00985938"/>
    <w:rsid w:val="009868B3"/>
    <w:rsid w:val="00987019"/>
    <w:rsid w:val="00987051"/>
    <w:rsid w:val="009879E9"/>
    <w:rsid w:val="00987E82"/>
    <w:rsid w:val="00987EF9"/>
    <w:rsid w:val="00990240"/>
    <w:rsid w:val="009902D7"/>
    <w:rsid w:val="009903D2"/>
    <w:rsid w:val="00990F5B"/>
    <w:rsid w:val="0099184F"/>
    <w:rsid w:val="00991D12"/>
    <w:rsid w:val="00991D5C"/>
    <w:rsid w:val="00991EDC"/>
    <w:rsid w:val="00992475"/>
    <w:rsid w:val="009928B0"/>
    <w:rsid w:val="0099321A"/>
    <w:rsid w:val="009932E3"/>
    <w:rsid w:val="009933C4"/>
    <w:rsid w:val="009934D2"/>
    <w:rsid w:val="009942C1"/>
    <w:rsid w:val="0099432D"/>
    <w:rsid w:val="009947C5"/>
    <w:rsid w:val="00995C88"/>
    <w:rsid w:val="00996BCA"/>
    <w:rsid w:val="009975C0"/>
    <w:rsid w:val="00997CE8"/>
    <w:rsid w:val="009A189E"/>
    <w:rsid w:val="009A1BE4"/>
    <w:rsid w:val="009A1D4B"/>
    <w:rsid w:val="009A2A19"/>
    <w:rsid w:val="009A2E1C"/>
    <w:rsid w:val="009A32C1"/>
    <w:rsid w:val="009A33AA"/>
    <w:rsid w:val="009A350E"/>
    <w:rsid w:val="009A362F"/>
    <w:rsid w:val="009A3A30"/>
    <w:rsid w:val="009A3D04"/>
    <w:rsid w:val="009A3D08"/>
    <w:rsid w:val="009A4D66"/>
    <w:rsid w:val="009A4DDA"/>
    <w:rsid w:val="009A58B2"/>
    <w:rsid w:val="009A5CDA"/>
    <w:rsid w:val="009A5F95"/>
    <w:rsid w:val="009A6E2C"/>
    <w:rsid w:val="009A7063"/>
    <w:rsid w:val="009A7296"/>
    <w:rsid w:val="009A75E9"/>
    <w:rsid w:val="009A7A32"/>
    <w:rsid w:val="009B0669"/>
    <w:rsid w:val="009B06BE"/>
    <w:rsid w:val="009B0FC9"/>
    <w:rsid w:val="009B0FD7"/>
    <w:rsid w:val="009B0FD9"/>
    <w:rsid w:val="009B1409"/>
    <w:rsid w:val="009B14CF"/>
    <w:rsid w:val="009B2F58"/>
    <w:rsid w:val="009B3615"/>
    <w:rsid w:val="009B3668"/>
    <w:rsid w:val="009B37BD"/>
    <w:rsid w:val="009B3F86"/>
    <w:rsid w:val="009B410E"/>
    <w:rsid w:val="009B462D"/>
    <w:rsid w:val="009B50DC"/>
    <w:rsid w:val="009B55CE"/>
    <w:rsid w:val="009B63CE"/>
    <w:rsid w:val="009B65A4"/>
    <w:rsid w:val="009B67A4"/>
    <w:rsid w:val="009B6A86"/>
    <w:rsid w:val="009B77F7"/>
    <w:rsid w:val="009B79A8"/>
    <w:rsid w:val="009B7A49"/>
    <w:rsid w:val="009C0575"/>
    <w:rsid w:val="009C199F"/>
    <w:rsid w:val="009C20F0"/>
    <w:rsid w:val="009C2156"/>
    <w:rsid w:val="009C296A"/>
    <w:rsid w:val="009C2C8F"/>
    <w:rsid w:val="009C312D"/>
    <w:rsid w:val="009C3435"/>
    <w:rsid w:val="009C37AC"/>
    <w:rsid w:val="009C38CE"/>
    <w:rsid w:val="009C3CA0"/>
    <w:rsid w:val="009C4191"/>
    <w:rsid w:val="009C4321"/>
    <w:rsid w:val="009C4AC8"/>
    <w:rsid w:val="009C5E11"/>
    <w:rsid w:val="009C5F3D"/>
    <w:rsid w:val="009C6026"/>
    <w:rsid w:val="009C6246"/>
    <w:rsid w:val="009C6A66"/>
    <w:rsid w:val="009C6C33"/>
    <w:rsid w:val="009C6C9A"/>
    <w:rsid w:val="009C6DAB"/>
    <w:rsid w:val="009C7234"/>
    <w:rsid w:val="009C76CF"/>
    <w:rsid w:val="009C7CB9"/>
    <w:rsid w:val="009D02DE"/>
    <w:rsid w:val="009D05F0"/>
    <w:rsid w:val="009D05FB"/>
    <w:rsid w:val="009D086A"/>
    <w:rsid w:val="009D0BF8"/>
    <w:rsid w:val="009D0DEC"/>
    <w:rsid w:val="009D10C9"/>
    <w:rsid w:val="009D14F5"/>
    <w:rsid w:val="009D1F36"/>
    <w:rsid w:val="009D2A64"/>
    <w:rsid w:val="009D2CE3"/>
    <w:rsid w:val="009D31CE"/>
    <w:rsid w:val="009D3365"/>
    <w:rsid w:val="009D3462"/>
    <w:rsid w:val="009D3509"/>
    <w:rsid w:val="009D3B3D"/>
    <w:rsid w:val="009D4234"/>
    <w:rsid w:val="009D47AA"/>
    <w:rsid w:val="009D51E8"/>
    <w:rsid w:val="009D56D0"/>
    <w:rsid w:val="009D60FF"/>
    <w:rsid w:val="009D610B"/>
    <w:rsid w:val="009D655C"/>
    <w:rsid w:val="009D655D"/>
    <w:rsid w:val="009D6A51"/>
    <w:rsid w:val="009D713B"/>
    <w:rsid w:val="009D7707"/>
    <w:rsid w:val="009E191B"/>
    <w:rsid w:val="009E1F64"/>
    <w:rsid w:val="009E2640"/>
    <w:rsid w:val="009E31CC"/>
    <w:rsid w:val="009E3357"/>
    <w:rsid w:val="009E5532"/>
    <w:rsid w:val="009E5702"/>
    <w:rsid w:val="009E5C55"/>
    <w:rsid w:val="009E5C62"/>
    <w:rsid w:val="009E5FE4"/>
    <w:rsid w:val="009E6071"/>
    <w:rsid w:val="009E6928"/>
    <w:rsid w:val="009E6D20"/>
    <w:rsid w:val="009E7CFB"/>
    <w:rsid w:val="009F01DC"/>
    <w:rsid w:val="009F05F4"/>
    <w:rsid w:val="009F0A43"/>
    <w:rsid w:val="009F0D14"/>
    <w:rsid w:val="009F0DD7"/>
    <w:rsid w:val="009F4326"/>
    <w:rsid w:val="009F592D"/>
    <w:rsid w:val="009F5ED0"/>
    <w:rsid w:val="009F5F7C"/>
    <w:rsid w:val="009F6264"/>
    <w:rsid w:val="009F6CB2"/>
    <w:rsid w:val="009F756F"/>
    <w:rsid w:val="009F77D1"/>
    <w:rsid w:val="009F7A76"/>
    <w:rsid w:val="009F7E15"/>
    <w:rsid w:val="00A0069B"/>
    <w:rsid w:val="00A0170F"/>
    <w:rsid w:val="00A01A39"/>
    <w:rsid w:val="00A01BB2"/>
    <w:rsid w:val="00A02393"/>
    <w:rsid w:val="00A02E82"/>
    <w:rsid w:val="00A03EA4"/>
    <w:rsid w:val="00A03FBB"/>
    <w:rsid w:val="00A041DF"/>
    <w:rsid w:val="00A04CD0"/>
    <w:rsid w:val="00A04F35"/>
    <w:rsid w:val="00A04FB0"/>
    <w:rsid w:val="00A054B3"/>
    <w:rsid w:val="00A061EE"/>
    <w:rsid w:val="00A064A7"/>
    <w:rsid w:val="00A0654E"/>
    <w:rsid w:val="00A06E44"/>
    <w:rsid w:val="00A07721"/>
    <w:rsid w:val="00A07885"/>
    <w:rsid w:val="00A07B09"/>
    <w:rsid w:val="00A07FD4"/>
    <w:rsid w:val="00A11ACF"/>
    <w:rsid w:val="00A12086"/>
    <w:rsid w:val="00A12586"/>
    <w:rsid w:val="00A133E7"/>
    <w:rsid w:val="00A139E2"/>
    <w:rsid w:val="00A14394"/>
    <w:rsid w:val="00A1441A"/>
    <w:rsid w:val="00A14F12"/>
    <w:rsid w:val="00A14F39"/>
    <w:rsid w:val="00A15D0B"/>
    <w:rsid w:val="00A15FAB"/>
    <w:rsid w:val="00A161A0"/>
    <w:rsid w:val="00A16486"/>
    <w:rsid w:val="00A16625"/>
    <w:rsid w:val="00A1684E"/>
    <w:rsid w:val="00A16FC3"/>
    <w:rsid w:val="00A172FF"/>
    <w:rsid w:val="00A17489"/>
    <w:rsid w:val="00A20277"/>
    <w:rsid w:val="00A207DE"/>
    <w:rsid w:val="00A20840"/>
    <w:rsid w:val="00A20892"/>
    <w:rsid w:val="00A214A1"/>
    <w:rsid w:val="00A2189D"/>
    <w:rsid w:val="00A21D72"/>
    <w:rsid w:val="00A2226C"/>
    <w:rsid w:val="00A22306"/>
    <w:rsid w:val="00A224B3"/>
    <w:rsid w:val="00A227CF"/>
    <w:rsid w:val="00A229E8"/>
    <w:rsid w:val="00A22B8B"/>
    <w:rsid w:val="00A22F54"/>
    <w:rsid w:val="00A231AF"/>
    <w:rsid w:val="00A232AB"/>
    <w:rsid w:val="00A23816"/>
    <w:rsid w:val="00A23F12"/>
    <w:rsid w:val="00A2449B"/>
    <w:rsid w:val="00A24963"/>
    <w:rsid w:val="00A24C45"/>
    <w:rsid w:val="00A25313"/>
    <w:rsid w:val="00A257F2"/>
    <w:rsid w:val="00A25DBA"/>
    <w:rsid w:val="00A25E76"/>
    <w:rsid w:val="00A260EF"/>
    <w:rsid w:val="00A26957"/>
    <w:rsid w:val="00A27760"/>
    <w:rsid w:val="00A27840"/>
    <w:rsid w:val="00A27B13"/>
    <w:rsid w:val="00A27BC0"/>
    <w:rsid w:val="00A27BE9"/>
    <w:rsid w:val="00A302F6"/>
    <w:rsid w:val="00A309C1"/>
    <w:rsid w:val="00A30EBB"/>
    <w:rsid w:val="00A31594"/>
    <w:rsid w:val="00A31A34"/>
    <w:rsid w:val="00A31EEE"/>
    <w:rsid w:val="00A32347"/>
    <w:rsid w:val="00A3258A"/>
    <w:rsid w:val="00A325B7"/>
    <w:rsid w:val="00A33191"/>
    <w:rsid w:val="00A335C1"/>
    <w:rsid w:val="00A3366B"/>
    <w:rsid w:val="00A339AF"/>
    <w:rsid w:val="00A34835"/>
    <w:rsid w:val="00A34976"/>
    <w:rsid w:val="00A34F1A"/>
    <w:rsid w:val="00A35273"/>
    <w:rsid w:val="00A352C1"/>
    <w:rsid w:val="00A357B5"/>
    <w:rsid w:val="00A35FB1"/>
    <w:rsid w:val="00A36F20"/>
    <w:rsid w:val="00A408BF"/>
    <w:rsid w:val="00A408E1"/>
    <w:rsid w:val="00A40B0B"/>
    <w:rsid w:val="00A40F72"/>
    <w:rsid w:val="00A414A6"/>
    <w:rsid w:val="00A415CF"/>
    <w:rsid w:val="00A415FF"/>
    <w:rsid w:val="00A42188"/>
    <w:rsid w:val="00A42269"/>
    <w:rsid w:val="00A42418"/>
    <w:rsid w:val="00A428E5"/>
    <w:rsid w:val="00A431BF"/>
    <w:rsid w:val="00A43AA5"/>
    <w:rsid w:val="00A440F8"/>
    <w:rsid w:val="00A443EC"/>
    <w:rsid w:val="00A44527"/>
    <w:rsid w:val="00A451ED"/>
    <w:rsid w:val="00A4532E"/>
    <w:rsid w:val="00A45E3E"/>
    <w:rsid w:val="00A46927"/>
    <w:rsid w:val="00A5014A"/>
    <w:rsid w:val="00A5128B"/>
    <w:rsid w:val="00A515A1"/>
    <w:rsid w:val="00A51C2C"/>
    <w:rsid w:val="00A51F3F"/>
    <w:rsid w:val="00A5295F"/>
    <w:rsid w:val="00A52EB0"/>
    <w:rsid w:val="00A537D2"/>
    <w:rsid w:val="00A53858"/>
    <w:rsid w:val="00A538E8"/>
    <w:rsid w:val="00A54210"/>
    <w:rsid w:val="00A54384"/>
    <w:rsid w:val="00A54B45"/>
    <w:rsid w:val="00A54CBE"/>
    <w:rsid w:val="00A55796"/>
    <w:rsid w:val="00A55BEB"/>
    <w:rsid w:val="00A560D2"/>
    <w:rsid w:val="00A56783"/>
    <w:rsid w:val="00A56B72"/>
    <w:rsid w:val="00A56E1B"/>
    <w:rsid w:val="00A576F4"/>
    <w:rsid w:val="00A57811"/>
    <w:rsid w:val="00A5793E"/>
    <w:rsid w:val="00A57AC3"/>
    <w:rsid w:val="00A57EB5"/>
    <w:rsid w:val="00A60336"/>
    <w:rsid w:val="00A60AB2"/>
    <w:rsid w:val="00A6172A"/>
    <w:rsid w:val="00A618AF"/>
    <w:rsid w:val="00A623B0"/>
    <w:rsid w:val="00A62F57"/>
    <w:rsid w:val="00A636BC"/>
    <w:rsid w:val="00A63BEB"/>
    <w:rsid w:val="00A63F74"/>
    <w:rsid w:val="00A641BE"/>
    <w:rsid w:val="00A64325"/>
    <w:rsid w:val="00A65DED"/>
    <w:rsid w:val="00A66381"/>
    <w:rsid w:val="00A67041"/>
    <w:rsid w:val="00A67205"/>
    <w:rsid w:val="00A6722B"/>
    <w:rsid w:val="00A6742A"/>
    <w:rsid w:val="00A67827"/>
    <w:rsid w:val="00A70567"/>
    <w:rsid w:val="00A70B98"/>
    <w:rsid w:val="00A70C68"/>
    <w:rsid w:val="00A70CA7"/>
    <w:rsid w:val="00A7131A"/>
    <w:rsid w:val="00A7156D"/>
    <w:rsid w:val="00A723BD"/>
    <w:rsid w:val="00A72F61"/>
    <w:rsid w:val="00A73310"/>
    <w:rsid w:val="00A746C7"/>
    <w:rsid w:val="00A74E83"/>
    <w:rsid w:val="00A75305"/>
    <w:rsid w:val="00A753E4"/>
    <w:rsid w:val="00A75702"/>
    <w:rsid w:val="00A75A62"/>
    <w:rsid w:val="00A75B37"/>
    <w:rsid w:val="00A75BCA"/>
    <w:rsid w:val="00A760F7"/>
    <w:rsid w:val="00A76105"/>
    <w:rsid w:val="00A7664E"/>
    <w:rsid w:val="00A7693A"/>
    <w:rsid w:val="00A76D4C"/>
    <w:rsid w:val="00A7751F"/>
    <w:rsid w:val="00A777BD"/>
    <w:rsid w:val="00A80494"/>
    <w:rsid w:val="00A80786"/>
    <w:rsid w:val="00A80A01"/>
    <w:rsid w:val="00A80BCF"/>
    <w:rsid w:val="00A8110A"/>
    <w:rsid w:val="00A81A43"/>
    <w:rsid w:val="00A82719"/>
    <w:rsid w:val="00A82845"/>
    <w:rsid w:val="00A82BF4"/>
    <w:rsid w:val="00A833EA"/>
    <w:rsid w:val="00A835D4"/>
    <w:rsid w:val="00A8376E"/>
    <w:rsid w:val="00A83B98"/>
    <w:rsid w:val="00A845A2"/>
    <w:rsid w:val="00A8484C"/>
    <w:rsid w:val="00A849F2"/>
    <w:rsid w:val="00A85720"/>
    <w:rsid w:val="00A8591D"/>
    <w:rsid w:val="00A85A54"/>
    <w:rsid w:val="00A85AE2"/>
    <w:rsid w:val="00A862C9"/>
    <w:rsid w:val="00A862E5"/>
    <w:rsid w:val="00A86485"/>
    <w:rsid w:val="00A86863"/>
    <w:rsid w:val="00A86879"/>
    <w:rsid w:val="00A868DC"/>
    <w:rsid w:val="00A87B39"/>
    <w:rsid w:val="00A87BD8"/>
    <w:rsid w:val="00A87E5D"/>
    <w:rsid w:val="00A91083"/>
    <w:rsid w:val="00A910EE"/>
    <w:rsid w:val="00A9153B"/>
    <w:rsid w:val="00A91656"/>
    <w:rsid w:val="00A919EA"/>
    <w:rsid w:val="00A91DBA"/>
    <w:rsid w:val="00A922AA"/>
    <w:rsid w:val="00A9265B"/>
    <w:rsid w:val="00A926B5"/>
    <w:rsid w:val="00A92C8B"/>
    <w:rsid w:val="00A92D82"/>
    <w:rsid w:val="00A93009"/>
    <w:rsid w:val="00A9331A"/>
    <w:rsid w:val="00A9353C"/>
    <w:rsid w:val="00A937CC"/>
    <w:rsid w:val="00A94329"/>
    <w:rsid w:val="00A94A2F"/>
    <w:rsid w:val="00A95130"/>
    <w:rsid w:val="00A951D6"/>
    <w:rsid w:val="00A95632"/>
    <w:rsid w:val="00A95D4A"/>
    <w:rsid w:val="00A95E5F"/>
    <w:rsid w:val="00A95EA9"/>
    <w:rsid w:val="00A95F5A"/>
    <w:rsid w:val="00A9670F"/>
    <w:rsid w:val="00A96F39"/>
    <w:rsid w:val="00A97298"/>
    <w:rsid w:val="00A9760B"/>
    <w:rsid w:val="00A97A23"/>
    <w:rsid w:val="00A97F66"/>
    <w:rsid w:val="00AA01B7"/>
    <w:rsid w:val="00AA0294"/>
    <w:rsid w:val="00AA0B19"/>
    <w:rsid w:val="00AA0E92"/>
    <w:rsid w:val="00AA1246"/>
    <w:rsid w:val="00AA1533"/>
    <w:rsid w:val="00AA15ED"/>
    <w:rsid w:val="00AA17DF"/>
    <w:rsid w:val="00AA1BCE"/>
    <w:rsid w:val="00AA3A2A"/>
    <w:rsid w:val="00AA3A78"/>
    <w:rsid w:val="00AA41B5"/>
    <w:rsid w:val="00AA47B3"/>
    <w:rsid w:val="00AA5BA8"/>
    <w:rsid w:val="00AA6D1A"/>
    <w:rsid w:val="00AA721B"/>
    <w:rsid w:val="00AB0318"/>
    <w:rsid w:val="00AB070B"/>
    <w:rsid w:val="00AB0899"/>
    <w:rsid w:val="00AB08AB"/>
    <w:rsid w:val="00AB1051"/>
    <w:rsid w:val="00AB1557"/>
    <w:rsid w:val="00AB1788"/>
    <w:rsid w:val="00AB19E9"/>
    <w:rsid w:val="00AB1D10"/>
    <w:rsid w:val="00AB28DA"/>
    <w:rsid w:val="00AB298F"/>
    <w:rsid w:val="00AB2AA6"/>
    <w:rsid w:val="00AB37F7"/>
    <w:rsid w:val="00AB3ACA"/>
    <w:rsid w:val="00AB4215"/>
    <w:rsid w:val="00AB4534"/>
    <w:rsid w:val="00AB45C3"/>
    <w:rsid w:val="00AB4C0A"/>
    <w:rsid w:val="00AB5B54"/>
    <w:rsid w:val="00AB651B"/>
    <w:rsid w:val="00AB6776"/>
    <w:rsid w:val="00AB6D4B"/>
    <w:rsid w:val="00AB6F00"/>
    <w:rsid w:val="00AB7468"/>
    <w:rsid w:val="00AB7BDD"/>
    <w:rsid w:val="00AB7BFB"/>
    <w:rsid w:val="00AB7C26"/>
    <w:rsid w:val="00AC0557"/>
    <w:rsid w:val="00AC0674"/>
    <w:rsid w:val="00AC085A"/>
    <w:rsid w:val="00AC13C8"/>
    <w:rsid w:val="00AC19F9"/>
    <w:rsid w:val="00AC1C62"/>
    <w:rsid w:val="00AC1E24"/>
    <w:rsid w:val="00AC1FC5"/>
    <w:rsid w:val="00AC2772"/>
    <w:rsid w:val="00AC2A80"/>
    <w:rsid w:val="00AC2D60"/>
    <w:rsid w:val="00AC3614"/>
    <w:rsid w:val="00AC456A"/>
    <w:rsid w:val="00AC45AF"/>
    <w:rsid w:val="00AC4805"/>
    <w:rsid w:val="00AC49EA"/>
    <w:rsid w:val="00AC4CD3"/>
    <w:rsid w:val="00AC4E13"/>
    <w:rsid w:val="00AC56E3"/>
    <w:rsid w:val="00AC5ABB"/>
    <w:rsid w:val="00AC5DFC"/>
    <w:rsid w:val="00AC6066"/>
    <w:rsid w:val="00AC6085"/>
    <w:rsid w:val="00AC6860"/>
    <w:rsid w:val="00AC7BF3"/>
    <w:rsid w:val="00AD0662"/>
    <w:rsid w:val="00AD1415"/>
    <w:rsid w:val="00AD18E7"/>
    <w:rsid w:val="00AD192B"/>
    <w:rsid w:val="00AD22A4"/>
    <w:rsid w:val="00AD247F"/>
    <w:rsid w:val="00AD28B0"/>
    <w:rsid w:val="00AD2AF4"/>
    <w:rsid w:val="00AD3260"/>
    <w:rsid w:val="00AD33F9"/>
    <w:rsid w:val="00AD3453"/>
    <w:rsid w:val="00AD3BBE"/>
    <w:rsid w:val="00AD3DBB"/>
    <w:rsid w:val="00AD43DB"/>
    <w:rsid w:val="00AD44C4"/>
    <w:rsid w:val="00AD5065"/>
    <w:rsid w:val="00AD587F"/>
    <w:rsid w:val="00AD59D2"/>
    <w:rsid w:val="00AD6C8E"/>
    <w:rsid w:val="00AD7750"/>
    <w:rsid w:val="00AD7993"/>
    <w:rsid w:val="00AD7C04"/>
    <w:rsid w:val="00AD7F1F"/>
    <w:rsid w:val="00AE068D"/>
    <w:rsid w:val="00AE12EA"/>
    <w:rsid w:val="00AE16A9"/>
    <w:rsid w:val="00AE177C"/>
    <w:rsid w:val="00AE2229"/>
    <w:rsid w:val="00AE2460"/>
    <w:rsid w:val="00AE2BF0"/>
    <w:rsid w:val="00AE2CB0"/>
    <w:rsid w:val="00AE348E"/>
    <w:rsid w:val="00AE35C5"/>
    <w:rsid w:val="00AE374A"/>
    <w:rsid w:val="00AE37F4"/>
    <w:rsid w:val="00AE3A9B"/>
    <w:rsid w:val="00AE45CF"/>
    <w:rsid w:val="00AE46A4"/>
    <w:rsid w:val="00AE4A59"/>
    <w:rsid w:val="00AE4F32"/>
    <w:rsid w:val="00AE5018"/>
    <w:rsid w:val="00AE57C5"/>
    <w:rsid w:val="00AE5FC8"/>
    <w:rsid w:val="00AE69FC"/>
    <w:rsid w:val="00AE6AD0"/>
    <w:rsid w:val="00AE73A6"/>
    <w:rsid w:val="00AE7413"/>
    <w:rsid w:val="00AE74A3"/>
    <w:rsid w:val="00AE752D"/>
    <w:rsid w:val="00AE7C63"/>
    <w:rsid w:val="00AF0188"/>
    <w:rsid w:val="00AF02DC"/>
    <w:rsid w:val="00AF0607"/>
    <w:rsid w:val="00AF0B07"/>
    <w:rsid w:val="00AF0B3D"/>
    <w:rsid w:val="00AF114F"/>
    <w:rsid w:val="00AF1184"/>
    <w:rsid w:val="00AF11FC"/>
    <w:rsid w:val="00AF133C"/>
    <w:rsid w:val="00AF16DF"/>
    <w:rsid w:val="00AF1CF4"/>
    <w:rsid w:val="00AF2A11"/>
    <w:rsid w:val="00AF2C86"/>
    <w:rsid w:val="00AF2DAA"/>
    <w:rsid w:val="00AF348F"/>
    <w:rsid w:val="00AF35A2"/>
    <w:rsid w:val="00AF3F47"/>
    <w:rsid w:val="00AF4167"/>
    <w:rsid w:val="00AF46C2"/>
    <w:rsid w:val="00AF4896"/>
    <w:rsid w:val="00AF497D"/>
    <w:rsid w:val="00AF4D4E"/>
    <w:rsid w:val="00AF5051"/>
    <w:rsid w:val="00AF5A58"/>
    <w:rsid w:val="00AF5A72"/>
    <w:rsid w:val="00AF6681"/>
    <w:rsid w:val="00AF66DA"/>
    <w:rsid w:val="00AF6786"/>
    <w:rsid w:val="00AF68BB"/>
    <w:rsid w:val="00AF6A33"/>
    <w:rsid w:val="00AF6EEE"/>
    <w:rsid w:val="00B00C40"/>
    <w:rsid w:val="00B00F87"/>
    <w:rsid w:val="00B012F3"/>
    <w:rsid w:val="00B01B70"/>
    <w:rsid w:val="00B01C6E"/>
    <w:rsid w:val="00B01E37"/>
    <w:rsid w:val="00B020F4"/>
    <w:rsid w:val="00B022F0"/>
    <w:rsid w:val="00B027D5"/>
    <w:rsid w:val="00B02A2A"/>
    <w:rsid w:val="00B02AC8"/>
    <w:rsid w:val="00B0325A"/>
    <w:rsid w:val="00B03399"/>
    <w:rsid w:val="00B03698"/>
    <w:rsid w:val="00B03DD7"/>
    <w:rsid w:val="00B04438"/>
    <w:rsid w:val="00B0484A"/>
    <w:rsid w:val="00B04E2D"/>
    <w:rsid w:val="00B05658"/>
    <w:rsid w:val="00B05CF3"/>
    <w:rsid w:val="00B05F2E"/>
    <w:rsid w:val="00B06154"/>
    <w:rsid w:val="00B06856"/>
    <w:rsid w:val="00B07541"/>
    <w:rsid w:val="00B07EB4"/>
    <w:rsid w:val="00B10166"/>
    <w:rsid w:val="00B10172"/>
    <w:rsid w:val="00B106AD"/>
    <w:rsid w:val="00B1071D"/>
    <w:rsid w:val="00B1086C"/>
    <w:rsid w:val="00B10B89"/>
    <w:rsid w:val="00B10BD6"/>
    <w:rsid w:val="00B112AD"/>
    <w:rsid w:val="00B1171C"/>
    <w:rsid w:val="00B1180D"/>
    <w:rsid w:val="00B11BBA"/>
    <w:rsid w:val="00B12295"/>
    <w:rsid w:val="00B12672"/>
    <w:rsid w:val="00B12A1A"/>
    <w:rsid w:val="00B12EA0"/>
    <w:rsid w:val="00B13670"/>
    <w:rsid w:val="00B13C64"/>
    <w:rsid w:val="00B14572"/>
    <w:rsid w:val="00B15080"/>
    <w:rsid w:val="00B154BE"/>
    <w:rsid w:val="00B15537"/>
    <w:rsid w:val="00B16752"/>
    <w:rsid w:val="00B169A2"/>
    <w:rsid w:val="00B16ACD"/>
    <w:rsid w:val="00B16F69"/>
    <w:rsid w:val="00B1792D"/>
    <w:rsid w:val="00B2050C"/>
    <w:rsid w:val="00B22091"/>
    <w:rsid w:val="00B22421"/>
    <w:rsid w:val="00B22475"/>
    <w:rsid w:val="00B227A2"/>
    <w:rsid w:val="00B22909"/>
    <w:rsid w:val="00B22AA7"/>
    <w:rsid w:val="00B23BE8"/>
    <w:rsid w:val="00B2449C"/>
    <w:rsid w:val="00B25070"/>
    <w:rsid w:val="00B25786"/>
    <w:rsid w:val="00B2580A"/>
    <w:rsid w:val="00B25D9A"/>
    <w:rsid w:val="00B26017"/>
    <w:rsid w:val="00B26E6C"/>
    <w:rsid w:val="00B27517"/>
    <w:rsid w:val="00B27548"/>
    <w:rsid w:val="00B27965"/>
    <w:rsid w:val="00B27B29"/>
    <w:rsid w:val="00B304B0"/>
    <w:rsid w:val="00B311E5"/>
    <w:rsid w:val="00B3192C"/>
    <w:rsid w:val="00B32521"/>
    <w:rsid w:val="00B3296A"/>
    <w:rsid w:val="00B32B9C"/>
    <w:rsid w:val="00B33503"/>
    <w:rsid w:val="00B34C11"/>
    <w:rsid w:val="00B34D56"/>
    <w:rsid w:val="00B35420"/>
    <w:rsid w:val="00B357C4"/>
    <w:rsid w:val="00B35DDF"/>
    <w:rsid w:val="00B36363"/>
    <w:rsid w:val="00B36A74"/>
    <w:rsid w:val="00B36DF7"/>
    <w:rsid w:val="00B37232"/>
    <w:rsid w:val="00B372F4"/>
    <w:rsid w:val="00B374A3"/>
    <w:rsid w:val="00B379CB"/>
    <w:rsid w:val="00B37F9F"/>
    <w:rsid w:val="00B37FA1"/>
    <w:rsid w:val="00B40B64"/>
    <w:rsid w:val="00B40D52"/>
    <w:rsid w:val="00B41364"/>
    <w:rsid w:val="00B425EF"/>
    <w:rsid w:val="00B426DB"/>
    <w:rsid w:val="00B43BF0"/>
    <w:rsid w:val="00B43DBE"/>
    <w:rsid w:val="00B43F18"/>
    <w:rsid w:val="00B441C6"/>
    <w:rsid w:val="00B44CEC"/>
    <w:rsid w:val="00B45006"/>
    <w:rsid w:val="00B45635"/>
    <w:rsid w:val="00B45EFF"/>
    <w:rsid w:val="00B46153"/>
    <w:rsid w:val="00B46980"/>
    <w:rsid w:val="00B47C58"/>
    <w:rsid w:val="00B47F54"/>
    <w:rsid w:val="00B50989"/>
    <w:rsid w:val="00B50A85"/>
    <w:rsid w:val="00B530AE"/>
    <w:rsid w:val="00B53DCB"/>
    <w:rsid w:val="00B5494C"/>
    <w:rsid w:val="00B54D7F"/>
    <w:rsid w:val="00B552DC"/>
    <w:rsid w:val="00B55335"/>
    <w:rsid w:val="00B559EA"/>
    <w:rsid w:val="00B55D46"/>
    <w:rsid w:val="00B56093"/>
    <w:rsid w:val="00B56D05"/>
    <w:rsid w:val="00B57E21"/>
    <w:rsid w:val="00B6017A"/>
    <w:rsid w:val="00B60A5F"/>
    <w:rsid w:val="00B60BF1"/>
    <w:rsid w:val="00B615C4"/>
    <w:rsid w:val="00B615CC"/>
    <w:rsid w:val="00B61C1B"/>
    <w:rsid w:val="00B62642"/>
    <w:rsid w:val="00B62A9E"/>
    <w:rsid w:val="00B62BF1"/>
    <w:rsid w:val="00B631AE"/>
    <w:rsid w:val="00B63CA0"/>
    <w:rsid w:val="00B63DD5"/>
    <w:rsid w:val="00B646E0"/>
    <w:rsid w:val="00B647A8"/>
    <w:rsid w:val="00B64DD2"/>
    <w:rsid w:val="00B64F47"/>
    <w:rsid w:val="00B6522C"/>
    <w:rsid w:val="00B65675"/>
    <w:rsid w:val="00B65769"/>
    <w:rsid w:val="00B65ABB"/>
    <w:rsid w:val="00B66619"/>
    <w:rsid w:val="00B66A18"/>
    <w:rsid w:val="00B6706F"/>
    <w:rsid w:val="00B67D9E"/>
    <w:rsid w:val="00B70189"/>
    <w:rsid w:val="00B7049C"/>
    <w:rsid w:val="00B70EF5"/>
    <w:rsid w:val="00B71890"/>
    <w:rsid w:val="00B71B88"/>
    <w:rsid w:val="00B71DCB"/>
    <w:rsid w:val="00B72274"/>
    <w:rsid w:val="00B7253A"/>
    <w:rsid w:val="00B7290B"/>
    <w:rsid w:val="00B72A1A"/>
    <w:rsid w:val="00B72E37"/>
    <w:rsid w:val="00B72E5E"/>
    <w:rsid w:val="00B73448"/>
    <w:rsid w:val="00B74192"/>
    <w:rsid w:val="00B743E2"/>
    <w:rsid w:val="00B747B6"/>
    <w:rsid w:val="00B74DEC"/>
    <w:rsid w:val="00B75455"/>
    <w:rsid w:val="00B75746"/>
    <w:rsid w:val="00B75ED0"/>
    <w:rsid w:val="00B76201"/>
    <w:rsid w:val="00B76727"/>
    <w:rsid w:val="00B76FC2"/>
    <w:rsid w:val="00B774C7"/>
    <w:rsid w:val="00B77602"/>
    <w:rsid w:val="00B7773D"/>
    <w:rsid w:val="00B77BD4"/>
    <w:rsid w:val="00B77D89"/>
    <w:rsid w:val="00B805D9"/>
    <w:rsid w:val="00B8142F"/>
    <w:rsid w:val="00B81930"/>
    <w:rsid w:val="00B81B24"/>
    <w:rsid w:val="00B81BFB"/>
    <w:rsid w:val="00B826FE"/>
    <w:rsid w:val="00B82DD1"/>
    <w:rsid w:val="00B832F6"/>
    <w:rsid w:val="00B835E4"/>
    <w:rsid w:val="00B8368D"/>
    <w:rsid w:val="00B837BE"/>
    <w:rsid w:val="00B83939"/>
    <w:rsid w:val="00B84F0B"/>
    <w:rsid w:val="00B85231"/>
    <w:rsid w:val="00B859AB"/>
    <w:rsid w:val="00B873ED"/>
    <w:rsid w:val="00B87A0A"/>
    <w:rsid w:val="00B90179"/>
    <w:rsid w:val="00B9030F"/>
    <w:rsid w:val="00B909D5"/>
    <w:rsid w:val="00B90B9F"/>
    <w:rsid w:val="00B91C13"/>
    <w:rsid w:val="00B923B8"/>
    <w:rsid w:val="00B92A39"/>
    <w:rsid w:val="00B92C26"/>
    <w:rsid w:val="00B92EA4"/>
    <w:rsid w:val="00B93B0B"/>
    <w:rsid w:val="00B93B64"/>
    <w:rsid w:val="00B94C9A"/>
    <w:rsid w:val="00B94DDF"/>
    <w:rsid w:val="00B94ECE"/>
    <w:rsid w:val="00B953AE"/>
    <w:rsid w:val="00B9550F"/>
    <w:rsid w:val="00B95554"/>
    <w:rsid w:val="00B95679"/>
    <w:rsid w:val="00B9592C"/>
    <w:rsid w:val="00B963EF"/>
    <w:rsid w:val="00B96475"/>
    <w:rsid w:val="00B9698C"/>
    <w:rsid w:val="00B96BA3"/>
    <w:rsid w:val="00B97370"/>
    <w:rsid w:val="00B97656"/>
    <w:rsid w:val="00B97795"/>
    <w:rsid w:val="00B979E0"/>
    <w:rsid w:val="00B97CC6"/>
    <w:rsid w:val="00BA0075"/>
    <w:rsid w:val="00BA0656"/>
    <w:rsid w:val="00BA08C8"/>
    <w:rsid w:val="00BA0A9C"/>
    <w:rsid w:val="00BA0E45"/>
    <w:rsid w:val="00BA124C"/>
    <w:rsid w:val="00BA187F"/>
    <w:rsid w:val="00BA1BF8"/>
    <w:rsid w:val="00BA1C78"/>
    <w:rsid w:val="00BA1F20"/>
    <w:rsid w:val="00BA214E"/>
    <w:rsid w:val="00BA249E"/>
    <w:rsid w:val="00BA2994"/>
    <w:rsid w:val="00BA33E7"/>
    <w:rsid w:val="00BA36DC"/>
    <w:rsid w:val="00BA4188"/>
    <w:rsid w:val="00BA4328"/>
    <w:rsid w:val="00BA445D"/>
    <w:rsid w:val="00BA512F"/>
    <w:rsid w:val="00BA548E"/>
    <w:rsid w:val="00BA646A"/>
    <w:rsid w:val="00BA657D"/>
    <w:rsid w:val="00BA7338"/>
    <w:rsid w:val="00BA73DC"/>
    <w:rsid w:val="00BA73FA"/>
    <w:rsid w:val="00BA766E"/>
    <w:rsid w:val="00BA7B32"/>
    <w:rsid w:val="00BA7B63"/>
    <w:rsid w:val="00BB007D"/>
    <w:rsid w:val="00BB0EE1"/>
    <w:rsid w:val="00BB10C9"/>
    <w:rsid w:val="00BB1857"/>
    <w:rsid w:val="00BB1D93"/>
    <w:rsid w:val="00BB1E58"/>
    <w:rsid w:val="00BB22A8"/>
    <w:rsid w:val="00BB29CC"/>
    <w:rsid w:val="00BB2AC9"/>
    <w:rsid w:val="00BB2E94"/>
    <w:rsid w:val="00BB44E0"/>
    <w:rsid w:val="00BB4832"/>
    <w:rsid w:val="00BB5683"/>
    <w:rsid w:val="00BB5762"/>
    <w:rsid w:val="00BB59BA"/>
    <w:rsid w:val="00BB5A8E"/>
    <w:rsid w:val="00BB5EA0"/>
    <w:rsid w:val="00BB6146"/>
    <w:rsid w:val="00BB67B9"/>
    <w:rsid w:val="00BB6D52"/>
    <w:rsid w:val="00BB7267"/>
    <w:rsid w:val="00BB766B"/>
    <w:rsid w:val="00BB7AED"/>
    <w:rsid w:val="00BB7F04"/>
    <w:rsid w:val="00BC05F4"/>
    <w:rsid w:val="00BC0ADD"/>
    <w:rsid w:val="00BC14B1"/>
    <w:rsid w:val="00BC1948"/>
    <w:rsid w:val="00BC1B53"/>
    <w:rsid w:val="00BC1C20"/>
    <w:rsid w:val="00BC1D85"/>
    <w:rsid w:val="00BC1F1E"/>
    <w:rsid w:val="00BC224C"/>
    <w:rsid w:val="00BC29A7"/>
    <w:rsid w:val="00BC2A86"/>
    <w:rsid w:val="00BC2F41"/>
    <w:rsid w:val="00BC2F47"/>
    <w:rsid w:val="00BC2F65"/>
    <w:rsid w:val="00BC3B15"/>
    <w:rsid w:val="00BC476A"/>
    <w:rsid w:val="00BC4DCA"/>
    <w:rsid w:val="00BC5532"/>
    <w:rsid w:val="00BC5847"/>
    <w:rsid w:val="00BC58EB"/>
    <w:rsid w:val="00BC5A2C"/>
    <w:rsid w:val="00BC60CE"/>
    <w:rsid w:val="00BC689C"/>
    <w:rsid w:val="00BC6EF0"/>
    <w:rsid w:val="00BC7531"/>
    <w:rsid w:val="00BD0CFC"/>
    <w:rsid w:val="00BD17A4"/>
    <w:rsid w:val="00BD1D7A"/>
    <w:rsid w:val="00BD1F9C"/>
    <w:rsid w:val="00BD226D"/>
    <w:rsid w:val="00BD2BC0"/>
    <w:rsid w:val="00BD2D34"/>
    <w:rsid w:val="00BD2D72"/>
    <w:rsid w:val="00BD2F05"/>
    <w:rsid w:val="00BD34C6"/>
    <w:rsid w:val="00BD36C0"/>
    <w:rsid w:val="00BD3CCF"/>
    <w:rsid w:val="00BD3DF3"/>
    <w:rsid w:val="00BD56C7"/>
    <w:rsid w:val="00BD61DC"/>
    <w:rsid w:val="00BD65FE"/>
    <w:rsid w:val="00BD6697"/>
    <w:rsid w:val="00BD7200"/>
    <w:rsid w:val="00BD731E"/>
    <w:rsid w:val="00BD77F9"/>
    <w:rsid w:val="00BD7C9F"/>
    <w:rsid w:val="00BD7E60"/>
    <w:rsid w:val="00BE07CB"/>
    <w:rsid w:val="00BE07DF"/>
    <w:rsid w:val="00BE0EBB"/>
    <w:rsid w:val="00BE1365"/>
    <w:rsid w:val="00BE1883"/>
    <w:rsid w:val="00BE2529"/>
    <w:rsid w:val="00BE2612"/>
    <w:rsid w:val="00BE2DD0"/>
    <w:rsid w:val="00BE2EC6"/>
    <w:rsid w:val="00BE2ECE"/>
    <w:rsid w:val="00BE2F7D"/>
    <w:rsid w:val="00BE33AC"/>
    <w:rsid w:val="00BE371F"/>
    <w:rsid w:val="00BE3887"/>
    <w:rsid w:val="00BE393B"/>
    <w:rsid w:val="00BE3FF0"/>
    <w:rsid w:val="00BE4A4F"/>
    <w:rsid w:val="00BE4EC8"/>
    <w:rsid w:val="00BE5A64"/>
    <w:rsid w:val="00BE7157"/>
    <w:rsid w:val="00BE7230"/>
    <w:rsid w:val="00BE72DB"/>
    <w:rsid w:val="00BE7617"/>
    <w:rsid w:val="00BE7678"/>
    <w:rsid w:val="00BE7832"/>
    <w:rsid w:val="00BE795B"/>
    <w:rsid w:val="00BE7FDB"/>
    <w:rsid w:val="00BF0A05"/>
    <w:rsid w:val="00BF14B1"/>
    <w:rsid w:val="00BF14DD"/>
    <w:rsid w:val="00BF1FEF"/>
    <w:rsid w:val="00BF21DD"/>
    <w:rsid w:val="00BF2674"/>
    <w:rsid w:val="00BF2B73"/>
    <w:rsid w:val="00BF3533"/>
    <w:rsid w:val="00BF3E45"/>
    <w:rsid w:val="00BF419E"/>
    <w:rsid w:val="00BF4727"/>
    <w:rsid w:val="00BF51FA"/>
    <w:rsid w:val="00BF5766"/>
    <w:rsid w:val="00BF5767"/>
    <w:rsid w:val="00BF5776"/>
    <w:rsid w:val="00BF5C0D"/>
    <w:rsid w:val="00BF79C6"/>
    <w:rsid w:val="00BF7EB1"/>
    <w:rsid w:val="00C003DE"/>
    <w:rsid w:val="00C0132D"/>
    <w:rsid w:val="00C014D9"/>
    <w:rsid w:val="00C01684"/>
    <w:rsid w:val="00C02FBB"/>
    <w:rsid w:val="00C030C9"/>
    <w:rsid w:val="00C0375B"/>
    <w:rsid w:val="00C03F2B"/>
    <w:rsid w:val="00C04289"/>
    <w:rsid w:val="00C04484"/>
    <w:rsid w:val="00C051D3"/>
    <w:rsid w:val="00C054B8"/>
    <w:rsid w:val="00C05543"/>
    <w:rsid w:val="00C05981"/>
    <w:rsid w:val="00C06566"/>
    <w:rsid w:val="00C06836"/>
    <w:rsid w:val="00C06A0B"/>
    <w:rsid w:val="00C071BB"/>
    <w:rsid w:val="00C0767C"/>
    <w:rsid w:val="00C10A33"/>
    <w:rsid w:val="00C10B45"/>
    <w:rsid w:val="00C11014"/>
    <w:rsid w:val="00C11077"/>
    <w:rsid w:val="00C11966"/>
    <w:rsid w:val="00C11D36"/>
    <w:rsid w:val="00C11FCE"/>
    <w:rsid w:val="00C125C0"/>
    <w:rsid w:val="00C129FE"/>
    <w:rsid w:val="00C12B44"/>
    <w:rsid w:val="00C12DC2"/>
    <w:rsid w:val="00C12FF3"/>
    <w:rsid w:val="00C13822"/>
    <w:rsid w:val="00C13DB2"/>
    <w:rsid w:val="00C13E14"/>
    <w:rsid w:val="00C144B0"/>
    <w:rsid w:val="00C14869"/>
    <w:rsid w:val="00C15318"/>
    <w:rsid w:val="00C15419"/>
    <w:rsid w:val="00C15601"/>
    <w:rsid w:val="00C15658"/>
    <w:rsid w:val="00C15BC8"/>
    <w:rsid w:val="00C15D55"/>
    <w:rsid w:val="00C16100"/>
    <w:rsid w:val="00C179A1"/>
    <w:rsid w:val="00C17E76"/>
    <w:rsid w:val="00C20479"/>
    <w:rsid w:val="00C204DA"/>
    <w:rsid w:val="00C20910"/>
    <w:rsid w:val="00C2124C"/>
    <w:rsid w:val="00C22514"/>
    <w:rsid w:val="00C2293B"/>
    <w:rsid w:val="00C23EBD"/>
    <w:rsid w:val="00C23FE4"/>
    <w:rsid w:val="00C24730"/>
    <w:rsid w:val="00C24AD3"/>
    <w:rsid w:val="00C25489"/>
    <w:rsid w:val="00C254D8"/>
    <w:rsid w:val="00C25F39"/>
    <w:rsid w:val="00C2604B"/>
    <w:rsid w:val="00C267AC"/>
    <w:rsid w:val="00C269BB"/>
    <w:rsid w:val="00C26F93"/>
    <w:rsid w:val="00C276DE"/>
    <w:rsid w:val="00C279B4"/>
    <w:rsid w:val="00C302FA"/>
    <w:rsid w:val="00C30637"/>
    <w:rsid w:val="00C307F0"/>
    <w:rsid w:val="00C30B43"/>
    <w:rsid w:val="00C30DC5"/>
    <w:rsid w:val="00C30FF6"/>
    <w:rsid w:val="00C3112F"/>
    <w:rsid w:val="00C31215"/>
    <w:rsid w:val="00C32AC8"/>
    <w:rsid w:val="00C32CE0"/>
    <w:rsid w:val="00C33267"/>
    <w:rsid w:val="00C3356D"/>
    <w:rsid w:val="00C33D9C"/>
    <w:rsid w:val="00C34290"/>
    <w:rsid w:val="00C3441D"/>
    <w:rsid w:val="00C349A4"/>
    <w:rsid w:val="00C34A4D"/>
    <w:rsid w:val="00C34BB4"/>
    <w:rsid w:val="00C3542A"/>
    <w:rsid w:val="00C35530"/>
    <w:rsid w:val="00C35BB4"/>
    <w:rsid w:val="00C35D88"/>
    <w:rsid w:val="00C36265"/>
    <w:rsid w:val="00C36BAA"/>
    <w:rsid w:val="00C36CD5"/>
    <w:rsid w:val="00C36FFA"/>
    <w:rsid w:val="00C37275"/>
    <w:rsid w:val="00C37ED8"/>
    <w:rsid w:val="00C37EE6"/>
    <w:rsid w:val="00C4094E"/>
    <w:rsid w:val="00C40BC2"/>
    <w:rsid w:val="00C4124B"/>
    <w:rsid w:val="00C41988"/>
    <w:rsid w:val="00C424EB"/>
    <w:rsid w:val="00C42D62"/>
    <w:rsid w:val="00C42E5C"/>
    <w:rsid w:val="00C436F3"/>
    <w:rsid w:val="00C43F3B"/>
    <w:rsid w:val="00C442AB"/>
    <w:rsid w:val="00C44617"/>
    <w:rsid w:val="00C44A76"/>
    <w:rsid w:val="00C44B09"/>
    <w:rsid w:val="00C45A39"/>
    <w:rsid w:val="00C46150"/>
    <w:rsid w:val="00C463B6"/>
    <w:rsid w:val="00C46767"/>
    <w:rsid w:val="00C470AB"/>
    <w:rsid w:val="00C47971"/>
    <w:rsid w:val="00C506CC"/>
    <w:rsid w:val="00C50BBD"/>
    <w:rsid w:val="00C50EEA"/>
    <w:rsid w:val="00C511C9"/>
    <w:rsid w:val="00C5127A"/>
    <w:rsid w:val="00C51A51"/>
    <w:rsid w:val="00C51CF7"/>
    <w:rsid w:val="00C521C2"/>
    <w:rsid w:val="00C533FB"/>
    <w:rsid w:val="00C534F5"/>
    <w:rsid w:val="00C535C9"/>
    <w:rsid w:val="00C537D9"/>
    <w:rsid w:val="00C5399E"/>
    <w:rsid w:val="00C53D8D"/>
    <w:rsid w:val="00C5437B"/>
    <w:rsid w:val="00C543C8"/>
    <w:rsid w:val="00C54EB3"/>
    <w:rsid w:val="00C5503B"/>
    <w:rsid w:val="00C5513D"/>
    <w:rsid w:val="00C555B8"/>
    <w:rsid w:val="00C55660"/>
    <w:rsid w:val="00C559CC"/>
    <w:rsid w:val="00C55C66"/>
    <w:rsid w:val="00C56B63"/>
    <w:rsid w:val="00C56BF7"/>
    <w:rsid w:val="00C56E7F"/>
    <w:rsid w:val="00C56EF2"/>
    <w:rsid w:val="00C572C7"/>
    <w:rsid w:val="00C5781A"/>
    <w:rsid w:val="00C57E19"/>
    <w:rsid w:val="00C602CA"/>
    <w:rsid w:val="00C606B3"/>
    <w:rsid w:val="00C608F3"/>
    <w:rsid w:val="00C60C56"/>
    <w:rsid w:val="00C60FBA"/>
    <w:rsid w:val="00C61948"/>
    <w:rsid w:val="00C61CF7"/>
    <w:rsid w:val="00C623D6"/>
    <w:rsid w:val="00C626F7"/>
    <w:rsid w:val="00C62ADA"/>
    <w:rsid w:val="00C636C3"/>
    <w:rsid w:val="00C63AA5"/>
    <w:rsid w:val="00C63E3D"/>
    <w:rsid w:val="00C64519"/>
    <w:rsid w:val="00C646F2"/>
    <w:rsid w:val="00C64BBE"/>
    <w:rsid w:val="00C64F4B"/>
    <w:rsid w:val="00C65272"/>
    <w:rsid w:val="00C65353"/>
    <w:rsid w:val="00C657B6"/>
    <w:rsid w:val="00C658D3"/>
    <w:rsid w:val="00C66027"/>
    <w:rsid w:val="00C667FB"/>
    <w:rsid w:val="00C66D53"/>
    <w:rsid w:val="00C66DBE"/>
    <w:rsid w:val="00C67533"/>
    <w:rsid w:val="00C67624"/>
    <w:rsid w:val="00C67F85"/>
    <w:rsid w:val="00C70505"/>
    <w:rsid w:val="00C7084F"/>
    <w:rsid w:val="00C70B75"/>
    <w:rsid w:val="00C70E06"/>
    <w:rsid w:val="00C718FE"/>
    <w:rsid w:val="00C71E7B"/>
    <w:rsid w:val="00C721CF"/>
    <w:rsid w:val="00C721D2"/>
    <w:rsid w:val="00C72874"/>
    <w:rsid w:val="00C73787"/>
    <w:rsid w:val="00C73EBB"/>
    <w:rsid w:val="00C743EF"/>
    <w:rsid w:val="00C74BEA"/>
    <w:rsid w:val="00C74E27"/>
    <w:rsid w:val="00C74F9A"/>
    <w:rsid w:val="00C751E0"/>
    <w:rsid w:val="00C755ED"/>
    <w:rsid w:val="00C75BC1"/>
    <w:rsid w:val="00C76098"/>
    <w:rsid w:val="00C762A7"/>
    <w:rsid w:val="00C762BE"/>
    <w:rsid w:val="00C767AC"/>
    <w:rsid w:val="00C76874"/>
    <w:rsid w:val="00C77320"/>
    <w:rsid w:val="00C77418"/>
    <w:rsid w:val="00C77428"/>
    <w:rsid w:val="00C805F9"/>
    <w:rsid w:val="00C808E2"/>
    <w:rsid w:val="00C81F89"/>
    <w:rsid w:val="00C82805"/>
    <w:rsid w:val="00C8291D"/>
    <w:rsid w:val="00C830FA"/>
    <w:rsid w:val="00C83551"/>
    <w:rsid w:val="00C839B7"/>
    <w:rsid w:val="00C83A5F"/>
    <w:rsid w:val="00C83CFA"/>
    <w:rsid w:val="00C83D6F"/>
    <w:rsid w:val="00C83F89"/>
    <w:rsid w:val="00C84334"/>
    <w:rsid w:val="00C84987"/>
    <w:rsid w:val="00C86389"/>
    <w:rsid w:val="00C86750"/>
    <w:rsid w:val="00C87409"/>
    <w:rsid w:val="00C8766A"/>
    <w:rsid w:val="00C87FDD"/>
    <w:rsid w:val="00C90A36"/>
    <w:rsid w:val="00C90D82"/>
    <w:rsid w:val="00C90D8D"/>
    <w:rsid w:val="00C90ECD"/>
    <w:rsid w:val="00C91351"/>
    <w:rsid w:val="00C92496"/>
    <w:rsid w:val="00C92D43"/>
    <w:rsid w:val="00C92D5E"/>
    <w:rsid w:val="00C93314"/>
    <w:rsid w:val="00C934EA"/>
    <w:rsid w:val="00C94292"/>
    <w:rsid w:val="00C94357"/>
    <w:rsid w:val="00C94720"/>
    <w:rsid w:val="00C94B95"/>
    <w:rsid w:val="00C952FD"/>
    <w:rsid w:val="00C953AE"/>
    <w:rsid w:val="00C95703"/>
    <w:rsid w:val="00C95999"/>
    <w:rsid w:val="00C95C2C"/>
    <w:rsid w:val="00C96152"/>
    <w:rsid w:val="00C96379"/>
    <w:rsid w:val="00C9661D"/>
    <w:rsid w:val="00C96A6A"/>
    <w:rsid w:val="00C9771E"/>
    <w:rsid w:val="00C97815"/>
    <w:rsid w:val="00C978F1"/>
    <w:rsid w:val="00CA01D0"/>
    <w:rsid w:val="00CA1298"/>
    <w:rsid w:val="00CA1BDB"/>
    <w:rsid w:val="00CA1CB3"/>
    <w:rsid w:val="00CA21A2"/>
    <w:rsid w:val="00CA3A45"/>
    <w:rsid w:val="00CA3A59"/>
    <w:rsid w:val="00CA3A7A"/>
    <w:rsid w:val="00CA4830"/>
    <w:rsid w:val="00CA4E31"/>
    <w:rsid w:val="00CA4F12"/>
    <w:rsid w:val="00CA4FB2"/>
    <w:rsid w:val="00CA564F"/>
    <w:rsid w:val="00CA5CFC"/>
    <w:rsid w:val="00CA68C5"/>
    <w:rsid w:val="00CB0F12"/>
    <w:rsid w:val="00CB13A5"/>
    <w:rsid w:val="00CB13EA"/>
    <w:rsid w:val="00CB19FF"/>
    <w:rsid w:val="00CB1EC4"/>
    <w:rsid w:val="00CB219D"/>
    <w:rsid w:val="00CB21AE"/>
    <w:rsid w:val="00CB2294"/>
    <w:rsid w:val="00CB2661"/>
    <w:rsid w:val="00CB2F83"/>
    <w:rsid w:val="00CB330B"/>
    <w:rsid w:val="00CB3B0F"/>
    <w:rsid w:val="00CB4412"/>
    <w:rsid w:val="00CB48EF"/>
    <w:rsid w:val="00CB4EBC"/>
    <w:rsid w:val="00CB5027"/>
    <w:rsid w:val="00CB52C4"/>
    <w:rsid w:val="00CB5E61"/>
    <w:rsid w:val="00CB5EB9"/>
    <w:rsid w:val="00CB6730"/>
    <w:rsid w:val="00CB6816"/>
    <w:rsid w:val="00CB6B73"/>
    <w:rsid w:val="00CB6F3A"/>
    <w:rsid w:val="00CB7776"/>
    <w:rsid w:val="00CB7924"/>
    <w:rsid w:val="00CB7A50"/>
    <w:rsid w:val="00CB7BAC"/>
    <w:rsid w:val="00CC0071"/>
    <w:rsid w:val="00CC07E2"/>
    <w:rsid w:val="00CC10F3"/>
    <w:rsid w:val="00CC1A78"/>
    <w:rsid w:val="00CC1C1D"/>
    <w:rsid w:val="00CC1EEA"/>
    <w:rsid w:val="00CC2749"/>
    <w:rsid w:val="00CC291B"/>
    <w:rsid w:val="00CC2988"/>
    <w:rsid w:val="00CC2BDB"/>
    <w:rsid w:val="00CC3498"/>
    <w:rsid w:val="00CC392E"/>
    <w:rsid w:val="00CC395C"/>
    <w:rsid w:val="00CC426C"/>
    <w:rsid w:val="00CC5455"/>
    <w:rsid w:val="00CC5B71"/>
    <w:rsid w:val="00CC5DDC"/>
    <w:rsid w:val="00CC5EE3"/>
    <w:rsid w:val="00CC643B"/>
    <w:rsid w:val="00CC68E5"/>
    <w:rsid w:val="00CC6938"/>
    <w:rsid w:val="00CC7193"/>
    <w:rsid w:val="00CC789B"/>
    <w:rsid w:val="00CC7AC5"/>
    <w:rsid w:val="00CD0484"/>
    <w:rsid w:val="00CD0CE4"/>
    <w:rsid w:val="00CD13DB"/>
    <w:rsid w:val="00CD16C9"/>
    <w:rsid w:val="00CD1F70"/>
    <w:rsid w:val="00CD2052"/>
    <w:rsid w:val="00CD220F"/>
    <w:rsid w:val="00CD2375"/>
    <w:rsid w:val="00CD3316"/>
    <w:rsid w:val="00CD33F8"/>
    <w:rsid w:val="00CD3406"/>
    <w:rsid w:val="00CD3476"/>
    <w:rsid w:val="00CD35BF"/>
    <w:rsid w:val="00CD4AB4"/>
    <w:rsid w:val="00CD50DB"/>
    <w:rsid w:val="00CD5769"/>
    <w:rsid w:val="00CD6339"/>
    <w:rsid w:val="00CD66E2"/>
    <w:rsid w:val="00CD75E9"/>
    <w:rsid w:val="00CD7930"/>
    <w:rsid w:val="00CE007F"/>
    <w:rsid w:val="00CE053B"/>
    <w:rsid w:val="00CE0772"/>
    <w:rsid w:val="00CE0812"/>
    <w:rsid w:val="00CE08A7"/>
    <w:rsid w:val="00CE0904"/>
    <w:rsid w:val="00CE0A64"/>
    <w:rsid w:val="00CE0CCD"/>
    <w:rsid w:val="00CE1008"/>
    <w:rsid w:val="00CE1062"/>
    <w:rsid w:val="00CE1ACE"/>
    <w:rsid w:val="00CE2375"/>
    <w:rsid w:val="00CE23D9"/>
    <w:rsid w:val="00CE2823"/>
    <w:rsid w:val="00CE2B3D"/>
    <w:rsid w:val="00CE308E"/>
    <w:rsid w:val="00CE3430"/>
    <w:rsid w:val="00CE3ADD"/>
    <w:rsid w:val="00CE4276"/>
    <w:rsid w:val="00CE4812"/>
    <w:rsid w:val="00CE4A8D"/>
    <w:rsid w:val="00CE4E1B"/>
    <w:rsid w:val="00CE55AA"/>
    <w:rsid w:val="00CE58C0"/>
    <w:rsid w:val="00CE5907"/>
    <w:rsid w:val="00CE5E2B"/>
    <w:rsid w:val="00CE5E60"/>
    <w:rsid w:val="00CE5F4C"/>
    <w:rsid w:val="00CE6143"/>
    <w:rsid w:val="00CE7594"/>
    <w:rsid w:val="00CE79CB"/>
    <w:rsid w:val="00CF0023"/>
    <w:rsid w:val="00CF035A"/>
    <w:rsid w:val="00CF0AA7"/>
    <w:rsid w:val="00CF0F04"/>
    <w:rsid w:val="00CF1417"/>
    <w:rsid w:val="00CF1C21"/>
    <w:rsid w:val="00CF2F8E"/>
    <w:rsid w:val="00CF3684"/>
    <w:rsid w:val="00CF3B24"/>
    <w:rsid w:val="00CF3BE8"/>
    <w:rsid w:val="00CF3DBD"/>
    <w:rsid w:val="00CF4382"/>
    <w:rsid w:val="00CF46F2"/>
    <w:rsid w:val="00CF7246"/>
    <w:rsid w:val="00CF76CE"/>
    <w:rsid w:val="00CF7773"/>
    <w:rsid w:val="00CF7B03"/>
    <w:rsid w:val="00D0010B"/>
    <w:rsid w:val="00D00956"/>
    <w:rsid w:val="00D00AB1"/>
    <w:rsid w:val="00D00EA3"/>
    <w:rsid w:val="00D00F8F"/>
    <w:rsid w:val="00D01731"/>
    <w:rsid w:val="00D019B7"/>
    <w:rsid w:val="00D022B6"/>
    <w:rsid w:val="00D02480"/>
    <w:rsid w:val="00D02AA6"/>
    <w:rsid w:val="00D02C2E"/>
    <w:rsid w:val="00D030D9"/>
    <w:rsid w:val="00D03180"/>
    <w:rsid w:val="00D032D6"/>
    <w:rsid w:val="00D034A0"/>
    <w:rsid w:val="00D0363E"/>
    <w:rsid w:val="00D038E8"/>
    <w:rsid w:val="00D03D1C"/>
    <w:rsid w:val="00D04899"/>
    <w:rsid w:val="00D05A53"/>
    <w:rsid w:val="00D05B0A"/>
    <w:rsid w:val="00D05D62"/>
    <w:rsid w:val="00D05D98"/>
    <w:rsid w:val="00D05E2E"/>
    <w:rsid w:val="00D05F13"/>
    <w:rsid w:val="00D061C3"/>
    <w:rsid w:val="00D06210"/>
    <w:rsid w:val="00D0672F"/>
    <w:rsid w:val="00D067EA"/>
    <w:rsid w:val="00D069B4"/>
    <w:rsid w:val="00D074A6"/>
    <w:rsid w:val="00D109CD"/>
    <w:rsid w:val="00D11106"/>
    <w:rsid w:val="00D11839"/>
    <w:rsid w:val="00D12016"/>
    <w:rsid w:val="00D12672"/>
    <w:rsid w:val="00D1275D"/>
    <w:rsid w:val="00D1284F"/>
    <w:rsid w:val="00D12F1D"/>
    <w:rsid w:val="00D134EF"/>
    <w:rsid w:val="00D13822"/>
    <w:rsid w:val="00D14640"/>
    <w:rsid w:val="00D14AD6"/>
    <w:rsid w:val="00D14F78"/>
    <w:rsid w:val="00D151B5"/>
    <w:rsid w:val="00D152F4"/>
    <w:rsid w:val="00D157DF"/>
    <w:rsid w:val="00D15DAD"/>
    <w:rsid w:val="00D16051"/>
    <w:rsid w:val="00D161FF"/>
    <w:rsid w:val="00D16E27"/>
    <w:rsid w:val="00D16FD2"/>
    <w:rsid w:val="00D1771F"/>
    <w:rsid w:val="00D17C13"/>
    <w:rsid w:val="00D17FB9"/>
    <w:rsid w:val="00D2087E"/>
    <w:rsid w:val="00D20C9E"/>
    <w:rsid w:val="00D2111D"/>
    <w:rsid w:val="00D211B3"/>
    <w:rsid w:val="00D217C1"/>
    <w:rsid w:val="00D218DE"/>
    <w:rsid w:val="00D22A25"/>
    <w:rsid w:val="00D22CF0"/>
    <w:rsid w:val="00D2389C"/>
    <w:rsid w:val="00D23D47"/>
    <w:rsid w:val="00D2475B"/>
    <w:rsid w:val="00D24C34"/>
    <w:rsid w:val="00D2523C"/>
    <w:rsid w:val="00D25708"/>
    <w:rsid w:val="00D25AAD"/>
    <w:rsid w:val="00D25F90"/>
    <w:rsid w:val="00D2645D"/>
    <w:rsid w:val="00D264E8"/>
    <w:rsid w:val="00D26D11"/>
    <w:rsid w:val="00D277EB"/>
    <w:rsid w:val="00D30054"/>
    <w:rsid w:val="00D30B73"/>
    <w:rsid w:val="00D30BED"/>
    <w:rsid w:val="00D30F4E"/>
    <w:rsid w:val="00D31552"/>
    <w:rsid w:val="00D31988"/>
    <w:rsid w:val="00D32D34"/>
    <w:rsid w:val="00D32F32"/>
    <w:rsid w:val="00D333D6"/>
    <w:rsid w:val="00D3341A"/>
    <w:rsid w:val="00D3484E"/>
    <w:rsid w:val="00D3494C"/>
    <w:rsid w:val="00D34ABF"/>
    <w:rsid w:val="00D34E46"/>
    <w:rsid w:val="00D34FF2"/>
    <w:rsid w:val="00D3504C"/>
    <w:rsid w:val="00D350D2"/>
    <w:rsid w:val="00D356EA"/>
    <w:rsid w:val="00D3721E"/>
    <w:rsid w:val="00D3721F"/>
    <w:rsid w:val="00D375C9"/>
    <w:rsid w:val="00D37F5E"/>
    <w:rsid w:val="00D4028F"/>
    <w:rsid w:val="00D40B1A"/>
    <w:rsid w:val="00D40CE5"/>
    <w:rsid w:val="00D410AB"/>
    <w:rsid w:val="00D410C4"/>
    <w:rsid w:val="00D411C8"/>
    <w:rsid w:val="00D416B3"/>
    <w:rsid w:val="00D418B3"/>
    <w:rsid w:val="00D42F10"/>
    <w:rsid w:val="00D4305F"/>
    <w:rsid w:val="00D431E3"/>
    <w:rsid w:val="00D432C3"/>
    <w:rsid w:val="00D43524"/>
    <w:rsid w:val="00D43F6A"/>
    <w:rsid w:val="00D4462C"/>
    <w:rsid w:val="00D44969"/>
    <w:rsid w:val="00D44A92"/>
    <w:rsid w:val="00D44D58"/>
    <w:rsid w:val="00D4544D"/>
    <w:rsid w:val="00D4632B"/>
    <w:rsid w:val="00D46A21"/>
    <w:rsid w:val="00D47A94"/>
    <w:rsid w:val="00D50020"/>
    <w:rsid w:val="00D5013C"/>
    <w:rsid w:val="00D503DA"/>
    <w:rsid w:val="00D50466"/>
    <w:rsid w:val="00D50EBE"/>
    <w:rsid w:val="00D513C8"/>
    <w:rsid w:val="00D51AFB"/>
    <w:rsid w:val="00D520E6"/>
    <w:rsid w:val="00D52153"/>
    <w:rsid w:val="00D52378"/>
    <w:rsid w:val="00D523F2"/>
    <w:rsid w:val="00D52A7D"/>
    <w:rsid w:val="00D530EC"/>
    <w:rsid w:val="00D53175"/>
    <w:rsid w:val="00D53540"/>
    <w:rsid w:val="00D53E8D"/>
    <w:rsid w:val="00D547E7"/>
    <w:rsid w:val="00D54C3B"/>
    <w:rsid w:val="00D54C8D"/>
    <w:rsid w:val="00D561F6"/>
    <w:rsid w:val="00D56BC8"/>
    <w:rsid w:val="00D56E59"/>
    <w:rsid w:val="00D56FEC"/>
    <w:rsid w:val="00D572DE"/>
    <w:rsid w:val="00D576F2"/>
    <w:rsid w:val="00D57A62"/>
    <w:rsid w:val="00D601E1"/>
    <w:rsid w:val="00D607C1"/>
    <w:rsid w:val="00D61408"/>
    <w:rsid w:val="00D61504"/>
    <w:rsid w:val="00D61D48"/>
    <w:rsid w:val="00D61E3D"/>
    <w:rsid w:val="00D620D8"/>
    <w:rsid w:val="00D622D7"/>
    <w:rsid w:val="00D62E38"/>
    <w:rsid w:val="00D62E4C"/>
    <w:rsid w:val="00D630A7"/>
    <w:rsid w:val="00D633D6"/>
    <w:rsid w:val="00D633DA"/>
    <w:rsid w:val="00D64868"/>
    <w:rsid w:val="00D649E4"/>
    <w:rsid w:val="00D65560"/>
    <w:rsid w:val="00D65573"/>
    <w:rsid w:val="00D65E0C"/>
    <w:rsid w:val="00D65E86"/>
    <w:rsid w:val="00D65E8B"/>
    <w:rsid w:val="00D66798"/>
    <w:rsid w:val="00D66AE4"/>
    <w:rsid w:val="00D66B75"/>
    <w:rsid w:val="00D66F93"/>
    <w:rsid w:val="00D66FC2"/>
    <w:rsid w:val="00D679CD"/>
    <w:rsid w:val="00D67E77"/>
    <w:rsid w:val="00D70286"/>
    <w:rsid w:val="00D70A3D"/>
    <w:rsid w:val="00D70F01"/>
    <w:rsid w:val="00D71083"/>
    <w:rsid w:val="00D71E52"/>
    <w:rsid w:val="00D71E84"/>
    <w:rsid w:val="00D735E9"/>
    <w:rsid w:val="00D739BC"/>
    <w:rsid w:val="00D7402D"/>
    <w:rsid w:val="00D741F6"/>
    <w:rsid w:val="00D742E7"/>
    <w:rsid w:val="00D74A2D"/>
    <w:rsid w:val="00D74F1E"/>
    <w:rsid w:val="00D75483"/>
    <w:rsid w:val="00D765DE"/>
    <w:rsid w:val="00D7663E"/>
    <w:rsid w:val="00D76CE6"/>
    <w:rsid w:val="00D77CDF"/>
    <w:rsid w:val="00D77FAF"/>
    <w:rsid w:val="00D80AD1"/>
    <w:rsid w:val="00D8131E"/>
    <w:rsid w:val="00D81CFD"/>
    <w:rsid w:val="00D82336"/>
    <w:rsid w:val="00D825B9"/>
    <w:rsid w:val="00D827D2"/>
    <w:rsid w:val="00D82899"/>
    <w:rsid w:val="00D830B0"/>
    <w:rsid w:val="00D83640"/>
    <w:rsid w:val="00D83741"/>
    <w:rsid w:val="00D8397F"/>
    <w:rsid w:val="00D83EC2"/>
    <w:rsid w:val="00D8423E"/>
    <w:rsid w:val="00D849D8"/>
    <w:rsid w:val="00D85529"/>
    <w:rsid w:val="00D859AC"/>
    <w:rsid w:val="00D85CC5"/>
    <w:rsid w:val="00D85CDB"/>
    <w:rsid w:val="00D86512"/>
    <w:rsid w:val="00D8663C"/>
    <w:rsid w:val="00D86849"/>
    <w:rsid w:val="00D87496"/>
    <w:rsid w:val="00D874BA"/>
    <w:rsid w:val="00D8797F"/>
    <w:rsid w:val="00D87AD6"/>
    <w:rsid w:val="00D90492"/>
    <w:rsid w:val="00D911B7"/>
    <w:rsid w:val="00D911ED"/>
    <w:rsid w:val="00D91A33"/>
    <w:rsid w:val="00D91CF5"/>
    <w:rsid w:val="00D9201E"/>
    <w:rsid w:val="00D9291D"/>
    <w:rsid w:val="00D93562"/>
    <w:rsid w:val="00D9374A"/>
    <w:rsid w:val="00D94709"/>
    <w:rsid w:val="00D94C3B"/>
    <w:rsid w:val="00D94CEC"/>
    <w:rsid w:val="00D95255"/>
    <w:rsid w:val="00D9546D"/>
    <w:rsid w:val="00D95A3C"/>
    <w:rsid w:val="00D960BC"/>
    <w:rsid w:val="00D96396"/>
    <w:rsid w:val="00D96409"/>
    <w:rsid w:val="00D96B2C"/>
    <w:rsid w:val="00D96CB5"/>
    <w:rsid w:val="00D9741D"/>
    <w:rsid w:val="00D97F7D"/>
    <w:rsid w:val="00DA0100"/>
    <w:rsid w:val="00DA0266"/>
    <w:rsid w:val="00DA04E7"/>
    <w:rsid w:val="00DA0639"/>
    <w:rsid w:val="00DA069E"/>
    <w:rsid w:val="00DA0C05"/>
    <w:rsid w:val="00DA0DE6"/>
    <w:rsid w:val="00DA0E71"/>
    <w:rsid w:val="00DA0F02"/>
    <w:rsid w:val="00DA1338"/>
    <w:rsid w:val="00DA13D2"/>
    <w:rsid w:val="00DA13EC"/>
    <w:rsid w:val="00DA15AA"/>
    <w:rsid w:val="00DA18F9"/>
    <w:rsid w:val="00DA19B0"/>
    <w:rsid w:val="00DA1AB8"/>
    <w:rsid w:val="00DA1D59"/>
    <w:rsid w:val="00DA1DC0"/>
    <w:rsid w:val="00DA1F0B"/>
    <w:rsid w:val="00DA24AB"/>
    <w:rsid w:val="00DA2CF4"/>
    <w:rsid w:val="00DA3023"/>
    <w:rsid w:val="00DA36C2"/>
    <w:rsid w:val="00DA3BB7"/>
    <w:rsid w:val="00DA4C50"/>
    <w:rsid w:val="00DA5C5D"/>
    <w:rsid w:val="00DA5E70"/>
    <w:rsid w:val="00DA63CF"/>
    <w:rsid w:val="00DA6496"/>
    <w:rsid w:val="00DA6E1B"/>
    <w:rsid w:val="00DA757D"/>
    <w:rsid w:val="00DA76BC"/>
    <w:rsid w:val="00DA7A30"/>
    <w:rsid w:val="00DB0A49"/>
    <w:rsid w:val="00DB17FC"/>
    <w:rsid w:val="00DB1D78"/>
    <w:rsid w:val="00DB2216"/>
    <w:rsid w:val="00DB3005"/>
    <w:rsid w:val="00DB3B85"/>
    <w:rsid w:val="00DB3E3B"/>
    <w:rsid w:val="00DB3E8F"/>
    <w:rsid w:val="00DB48F7"/>
    <w:rsid w:val="00DB4D89"/>
    <w:rsid w:val="00DB587F"/>
    <w:rsid w:val="00DB59F9"/>
    <w:rsid w:val="00DB5C0B"/>
    <w:rsid w:val="00DB61CE"/>
    <w:rsid w:val="00DB71F7"/>
    <w:rsid w:val="00DB76E7"/>
    <w:rsid w:val="00DB7CB9"/>
    <w:rsid w:val="00DC01AA"/>
    <w:rsid w:val="00DC09B5"/>
    <w:rsid w:val="00DC13E4"/>
    <w:rsid w:val="00DC191E"/>
    <w:rsid w:val="00DC2D95"/>
    <w:rsid w:val="00DC3072"/>
    <w:rsid w:val="00DC398C"/>
    <w:rsid w:val="00DC44F1"/>
    <w:rsid w:val="00DC46F5"/>
    <w:rsid w:val="00DC4D06"/>
    <w:rsid w:val="00DC50E4"/>
    <w:rsid w:val="00DC58C5"/>
    <w:rsid w:val="00DC58D3"/>
    <w:rsid w:val="00DC6607"/>
    <w:rsid w:val="00DC6672"/>
    <w:rsid w:val="00DC777B"/>
    <w:rsid w:val="00DC7EA8"/>
    <w:rsid w:val="00DD08A7"/>
    <w:rsid w:val="00DD0B39"/>
    <w:rsid w:val="00DD125E"/>
    <w:rsid w:val="00DD12CF"/>
    <w:rsid w:val="00DD18F9"/>
    <w:rsid w:val="00DD1B74"/>
    <w:rsid w:val="00DD2057"/>
    <w:rsid w:val="00DD21FE"/>
    <w:rsid w:val="00DD29AB"/>
    <w:rsid w:val="00DD2C39"/>
    <w:rsid w:val="00DD3454"/>
    <w:rsid w:val="00DD35B3"/>
    <w:rsid w:val="00DD3CF1"/>
    <w:rsid w:val="00DD4114"/>
    <w:rsid w:val="00DD439B"/>
    <w:rsid w:val="00DD4E13"/>
    <w:rsid w:val="00DD5AC1"/>
    <w:rsid w:val="00DD63B9"/>
    <w:rsid w:val="00DD75AC"/>
    <w:rsid w:val="00DD7718"/>
    <w:rsid w:val="00DD7C69"/>
    <w:rsid w:val="00DE0380"/>
    <w:rsid w:val="00DE0784"/>
    <w:rsid w:val="00DE1897"/>
    <w:rsid w:val="00DE1BEE"/>
    <w:rsid w:val="00DE1CE4"/>
    <w:rsid w:val="00DE1E63"/>
    <w:rsid w:val="00DE253D"/>
    <w:rsid w:val="00DE2A1B"/>
    <w:rsid w:val="00DE2DF4"/>
    <w:rsid w:val="00DE2EB3"/>
    <w:rsid w:val="00DE340C"/>
    <w:rsid w:val="00DE3782"/>
    <w:rsid w:val="00DE37F2"/>
    <w:rsid w:val="00DE39A7"/>
    <w:rsid w:val="00DE4295"/>
    <w:rsid w:val="00DE4340"/>
    <w:rsid w:val="00DE4F3F"/>
    <w:rsid w:val="00DE6156"/>
    <w:rsid w:val="00DE61A0"/>
    <w:rsid w:val="00DE62C0"/>
    <w:rsid w:val="00DE6804"/>
    <w:rsid w:val="00DE6AE8"/>
    <w:rsid w:val="00DE6F58"/>
    <w:rsid w:val="00DE70CB"/>
    <w:rsid w:val="00DE7CCE"/>
    <w:rsid w:val="00DE7E17"/>
    <w:rsid w:val="00DF017F"/>
    <w:rsid w:val="00DF0333"/>
    <w:rsid w:val="00DF061E"/>
    <w:rsid w:val="00DF0D0F"/>
    <w:rsid w:val="00DF165B"/>
    <w:rsid w:val="00DF17B1"/>
    <w:rsid w:val="00DF17ED"/>
    <w:rsid w:val="00DF195B"/>
    <w:rsid w:val="00DF25CB"/>
    <w:rsid w:val="00DF26B6"/>
    <w:rsid w:val="00DF2B16"/>
    <w:rsid w:val="00DF3835"/>
    <w:rsid w:val="00DF385E"/>
    <w:rsid w:val="00DF38CE"/>
    <w:rsid w:val="00DF3C4B"/>
    <w:rsid w:val="00DF3DD1"/>
    <w:rsid w:val="00DF42CA"/>
    <w:rsid w:val="00DF4912"/>
    <w:rsid w:val="00DF545F"/>
    <w:rsid w:val="00DF5AC2"/>
    <w:rsid w:val="00DF5D2B"/>
    <w:rsid w:val="00DF6162"/>
    <w:rsid w:val="00DF6652"/>
    <w:rsid w:val="00DF7312"/>
    <w:rsid w:val="00E00670"/>
    <w:rsid w:val="00E00993"/>
    <w:rsid w:val="00E00B73"/>
    <w:rsid w:val="00E013E0"/>
    <w:rsid w:val="00E01E4C"/>
    <w:rsid w:val="00E023B4"/>
    <w:rsid w:val="00E02A0B"/>
    <w:rsid w:val="00E03316"/>
    <w:rsid w:val="00E03436"/>
    <w:rsid w:val="00E0349F"/>
    <w:rsid w:val="00E03F96"/>
    <w:rsid w:val="00E04110"/>
    <w:rsid w:val="00E04823"/>
    <w:rsid w:val="00E04900"/>
    <w:rsid w:val="00E04FFF"/>
    <w:rsid w:val="00E0582B"/>
    <w:rsid w:val="00E05CC7"/>
    <w:rsid w:val="00E05D4C"/>
    <w:rsid w:val="00E061F2"/>
    <w:rsid w:val="00E064FE"/>
    <w:rsid w:val="00E07134"/>
    <w:rsid w:val="00E0721C"/>
    <w:rsid w:val="00E07775"/>
    <w:rsid w:val="00E07E36"/>
    <w:rsid w:val="00E07EFD"/>
    <w:rsid w:val="00E101E1"/>
    <w:rsid w:val="00E10673"/>
    <w:rsid w:val="00E11B4A"/>
    <w:rsid w:val="00E1369D"/>
    <w:rsid w:val="00E139A6"/>
    <w:rsid w:val="00E13D25"/>
    <w:rsid w:val="00E13FF1"/>
    <w:rsid w:val="00E1411C"/>
    <w:rsid w:val="00E1471D"/>
    <w:rsid w:val="00E14CF2"/>
    <w:rsid w:val="00E14FD2"/>
    <w:rsid w:val="00E151B8"/>
    <w:rsid w:val="00E157EC"/>
    <w:rsid w:val="00E15946"/>
    <w:rsid w:val="00E15AA2"/>
    <w:rsid w:val="00E1615F"/>
    <w:rsid w:val="00E166CA"/>
    <w:rsid w:val="00E16A08"/>
    <w:rsid w:val="00E16F1E"/>
    <w:rsid w:val="00E17185"/>
    <w:rsid w:val="00E17384"/>
    <w:rsid w:val="00E1749C"/>
    <w:rsid w:val="00E1797B"/>
    <w:rsid w:val="00E17C4B"/>
    <w:rsid w:val="00E17E3D"/>
    <w:rsid w:val="00E2000B"/>
    <w:rsid w:val="00E20224"/>
    <w:rsid w:val="00E20BBA"/>
    <w:rsid w:val="00E21C24"/>
    <w:rsid w:val="00E221A5"/>
    <w:rsid w:val="00E22433"/>
    <w:rsid w:val="00E22566"/>
    <w:rsid w:val="00E22704"/>
    <w:rsid w:val="00E22753"/>
    <w:rsid w:val="00E2318F"/>
    <w:rsid w:val="00E23591"/>
    <w:rsid w:val="00E23F70"/>
    <w:rsid w:val="00E240AF"/>
    <w:rsid w:val="00E2428D"/>
    <w:rsid w:val="00E24756"/>
    <w:rsid w:val="00E249C1"/>
    <w:rsid w:val="00E24B6F"/>
    <w:rsid w:val="00E255E2"/>
    <w:rsid w:val="00E25791"/>
    <w:rsid w:val="00E25954"/>
    <w:rsid w:val="00E25B50"/>
    <w:rsid w:val="00E26BD2"/>
    <w:rsid w:val="00E27EA1"/>
    <w:rsid w:val="00E303F9"/>
    <w:rsid w:val="00E30680"/>
    <w:rsid w:val="00E30942"/>
    <w:rsid w:val="00E30CFD"/>
    <w:rsid w:val="00E30D14"/>
    <w:rsid w:val="00E310D5"/>
    <w:rsid w:val="00E32790"/>
    <w:rsid w:val="00E32AD9"/>
    <w:rsid w:val="00E33A3D"/>
    <w:rsid w:val="00E33A6A"/>
    <w:rsid w:val="00E33E7B"/>
    <w:rsid w:val="00E342E8"/>
    <w:rsid w:val="00E34FB3"/>
    <w:rsid w:val="00E355CB"/>
    <w:rsid w:val="00E35DCF"/>
    <w:rsid w:val="00E3669B"/>
    <w:rsid w:val="00E36B11"/>
    <w:rsid w:val="00E40176"/>
    <w:rsid w:val="00E40554"/>
    <w:rsid w:val="00E40A8B"/>
    <w:rsid w:val="00E417BA"/>
    <w:rsid w:val="00E4197F"/>
    <w:rsid w:val="00E41CA8"/>
    <w:rsid w:val="00E41DF8"/>
    <w:rsid w:val="00E41EFA"/>
    <w:rsid w:val="00E420B5"/>
    <w:rsid w:val="00E421E8"/>
    <w:rsid w:val="00E4285B"/>
    <w:rsid w:val="00E428EB"/>
    <w:rsid w:val="00E42BBF"/>
    <w:rsid w:val="00E433E1"/>
    <w:rsid w:val="00E435D9"/>
    <w:rsid w:val="00E44275"/>
    <w:rsid w:val="00E44380"/>
    <w:rsid w:val="00E44537"/>
    <w:rsid w:val="00E462DC"/>
    <w:rsid w:val="00E46474"/>
    <w:rsid w:val="00E47E2E"/>
    <w:rsid w:val="00E50027"/>
    <w:rsid w:val="00E50124"/>
    <w:rsid w:val="00E508C6"/>
    <w:rsid w:val="00E50C33"/>
    <w:rsid w:val="00E5116E"/>
    <w:rsid w:val="00E5192C"/>
    <w:rsid w:val="00E51BDB"/>
    <w:rsid w:val="00E51BE3"/>
    <w:rsid w:val="00E52567"/>
    <w:rsid w:val="00E52D63"/>
    <w:rsid w:val="00E53644"/>
    <w:rsid w:val="00E53981"/>
    <w:rsid w:val="00E5465C"/>
    <w:rsid w:val="00E54AF3"/>
    <w:rsid w:val="00E54FDE"/>
    <w:rsid w:val="00E557AF"/>
    <w:rsid w:val="00E558D4"/>
    <w:rsid w:val="00E55E1E"/>
    <w:rsid w:val="00E5620C"/>
    <w:rsid w:val="00E564B1"/>
    <w:rsid w:val="00E56884"/>
    <w:rsid w:val="00E6011E"/>
    <w:rsid w:val="00E601DB"/>
    <w:rsid w:val="00E60382"/>
    <w:rsid w:val="00E606D0"/>
    <w:rsid w:val="00E60950"/>
    <w:rsid w:val="00E60B0F"/>
    <w:rsid w:val="00E61A59"/>
    <w:rsid w:val="00E6208E"/>
    <w:rsid w:val="00E6220F"/>
    <w:rsid w:val="00E62489"/>
    <w:rsid w:val="00E6282F"/>
    <w:rsid w:val="00E62AB2"/>
    <w:rsid w:val="00E6371E"/>
    <w:rsid w:val="00E63C9E"/>
    <w:rsid w:val="00E65D68"/>
    <w:rsid w:val="00E65F7D"/>
    <w:rsid w:val="00E667F8"/>
    <w:rsid w:val="00E66D17"/>
    <w:rsid w:val="00E67AB4"/>
    <w:rsid w:val="00E7055C"/>
    <w:rsid w:val="00E70640"/>
    <w:rsid w:val="00E707FD"/>
    <w:rsid w:val="00E71162"/>
    <w:rsid w:val="00E71350"/>
    <w:rsid w:val="00E71B2E"/>
    <w:rsid w:val="00E7238B"/>
    <w:rsid w:val="00E72489"/>
    <w:rsid w:val="00E724CE"/>
    <w:rsid w:val="00E729AF"/>
    <w:rsid w:val="00E72A24"/>
    <w:rsid w:val="00E72CA7"/>
    <w:rsid w:val="00E73F7F"/>
    <w:rsid w:val="00E75431"/>
    <w:rsid w:val="00E754A5"/>
    <w:rsid w:val="00E75CD3"/>
    <w:rsid w:val="00E760B3"/>
    <w:rsid w:val="00E7621E"/>
    <w:rsid w:val="00E7637B"/>
    <w:rsid w:val="00E76946"/>
    <w:rsid w:val="00E76A15"/>
    <w:rsid w:val="00E76D54"/>
    <w:rsid w:val="00E770F3"/>
    <w:rsid w:val="00E773C7"/>
    <w:rsid w:val="00E77EB7"/>
    <w:rsid w:val="00E804F2"/>
    <w:rsid w:val="00E80516"/>
    <w:rsid w:val="00E80832"/>
    <w:rsid w:val="00E81055"/>
    <w:rsid w:val="00E8117E"/>
    <w:rsid w:val="00E813F5"/>
    <w:rsid w:val="00E81955"/>
    <w:rsid w:val="00E819A6"/>
    <w:rsid w:val="00E81E54"/>
    <w:rsid w:val="00E81F7C"/>
    <w:rsid w:val="00E8253D"/>
    <w:rsid w:val="00E8277F"/>
    <w:rsid w:val="00E82A96"/>
    <w:rsid w:val="00E82FC5"/>
    <w:rsid w:val="00E8389C"/>
    <w:rsid w:val="00E83DF3"/>
    <w:rsid w:val="00E840CF"/>
    <w:rsid w:val="00E84352"/>
    <w:rsid w:val="00E846AD"/>
    <w:rsid w:val="00E84986"/>
    <w:rsid w:val="00E84E23"/>
    <w:rsid w:val="00E84FE4"/>
    <w:rsid w:val="00E85265"/>
    <w:rsid w:val="00E8577E"/>
    <w:rsid w:val="00E85A0B"/>
    <w:rsid w:val="00E8695E"/>
    <w:rsid w:val="00E86CB3"/>
    <w:rsid w:val="00E86D40"/>
    <w:rsid w:val="00E8772C"/>
    <w:rsid w:val="00E87786"/>
    <w:rsid w:val="00E87B65"/>
    <w:rsid w:val="00E90DC9"/>
    <w:rsid w:val="00E910EF"/>
    <w:rsid w:val="00E91EA8"/>
    <w:rsid w:val="00E92CB4"/>
    <w:rsid w:val="00E92D59"/>
    <w:rsid w:val="00E933C7"/>
    <w:rsid w:val="00E93900"/>
    <w:rsid w:val="00E93C1F"/>
    <w:rsid w:val="00E93DE8"/>
    <w:rsid w:val="00E941CC"/>
    <w:rsid w:val="00E946AB"/>
    <w:rsid w:val="00E954E7"/>
    <w:rsid w:val="00E95615"/>
    <w:rsid w:val="00E95FF7"/>
    <w:rsid w:val="00E960A2"/>
    <w:rsid w:val="00E96150"/>
    <w:rsid w:val="00E962B4"/>
    <w:rsid w:val="00E966A9"/>
    <w:rsid w:val="00E96A52"/>
    <w:rsid w:val="00E96B4E"/>
    <w:rsid w:val="00E972B1"/>
    <w:rsid w:val="00E978D1"/>
    <w:rsid w:val="00E97EA3"/>
    <w:rsid w:val="00EA08B4"/>
    <w:rsid w:val="00EA1471"/>
    <w:rsid w:val="00EA260D"/>
    <w:rsid w:val="00EA2870"/>
    <w:rsid w:val="00EA2E15"/>
    <w:rsid w:val="00EA2F13"/>
    <w:rsid w:val="00EA3C50"/>
    <w:rsid w:val="00EA42E9"/>
    <w:rsid w:val="00EA4D1A"/>
    <w:rsid w:val="00EA5F5D"/>
    <w:rsid w:val="00EA6210"/>
    <w:rsid w:val="00EA7099"/>
    <w:rsid w:val="00EA7148"/>
    <w:rsid w:val="00EB02BD"/>
    <w:rsid w:val="00EB087F"/>
    <w:rsid w:val="00EB133E"/>
    <w:rsid w:val="00EB144D"/>
    <w:rsid w:val="00EB151C"/>
    <w:rsid w:val="00EB2292"/>
    <w:rsid w:val="00EB24A9"/>
    <w:rsid w:val="00EB2C2E"/>
    <w:rsid w:val="00EB2F3F"/>
    <w:rsid w:val="00EB2F60"/>
    <w:rsid w:val="00EB334F"/>
    <w:rsid w:val="00EB335E"/>
    <w:rsid w:val="00EB35C6"/>
    <w:rsid w:val="00EB40D8"/>
    <w:rsid w:val="00EB49C8"/>
    <w:rsid w:val="00EB4A00"/>
    <w:rsid w:val="00EB4A0D"/>
    <w:rsid w:val="00EB4C45"/>
    <w:rsid w:val="00EB7338"/>
    <w:rsid w:val="00EB757E"/>
    <w:rsid w:val="00EC0378"/>
    <w:rsid w:val="00EC0FA7"/>
    <w:rsid w:val="00EC1C08"/>
    <w:rsid w:val="00EC1F3A"/>
    <w:rsid w:val="00EC2521"/>
    <w:rsid w:val="00EC29EA"/>
    <w:rsid w:val="00EC30A2"/>
    <w:rsid w:val="00EC3CFE"/>
    <w:rsid w:val="00EC53A6"/>
    <w:rsid w:val="00EC598B"/>
    <w:rsid w:val="00EC5F71"/>
    <w:rsid w:val="00EC61EE"/>
    <w:rsid w:val="00EC679B"/>
    <w:rsid w:val="00EC6D11"/>
    <w:rsid w:val="00EC6E7E"/>
    <w:rsid w:val="00EC708A"/>
    <w:rsid w:val="00EC72B4"/>
    <w:rsid w:val="00EC784A"/>
    <w:rsid w:val="00EC7937"/>
    <w:rsid w:val="00EC7A10"/>
    <w:rsid w:val="00ED0016"/>
    <w:rsid w:val="00ED1488"/>
    <w:rsid w:val="00ED1A49"/>
    <w:rsid w:val="00ED1FF1"/>
    <w:rsid w:val="00ED2587"/>
    <w:rsid w:val="00ED2941"/>
    <w:rsid w:val="00ED2D1B"/>
    <w:rsid w:val="00ED368B"/>
    <w:rsid w:val="00ED3DCD"/>
    <w:rsid w:val="00ED44F0"/>
    <w:rsid w:val="00ED457E"/>
    <w:rsid w:val="00ED4DA9"/>
    <w:rsid w:val="00ED4FF1"/>
    <w:rsid w:val="00ED5233"/>
    <w:rsid w:val="00ED5D28"/>
    <w:rsid w:val="00ED5D5B"/>
    <w:rsid w:val="00ED62D0"/>
    <w:rsid w:val="00ED646C"/>
    <w:rsid w:val="00ED6D53"/>
    <w:rsid w:val="00ED6E1C"/>
    <w:rsid w:val="00ED7046"/>
    <w:rsid w:val="00ED71F7"/>
    <w:rsid w:val="00ED72C5"/>
    <w:rsid w:val="00ED72CD"/>
    <w:rsid w:val="00ED7E2C"/>
    <w:rsid w:val="00ED7EBA"/>
    <w:rsid w:val="00EE04EE"/>
    <w:rsid w:val="00EE07D1"/>
    <w:rsid w:val="00EE0E23"/>
    <w:rsid w:val="00EE10C4"/>
    <w:rsid w:val="00EE14FA"/>
    <w:rsid w:val="00EE187A"/>
    <w:rsid w:val="00EE191B"/>
    <w:rsid w:val="00EE1AB3"/>
    <w:rsid w:val="00EE1CF5"/>
    <w:rsid w:val="00EE233D"/>
    <w:rsid w:val="00EE2361"/>
    <w:rsid w:val="00EE2379"/>
    <w:rsid w:val="00EE290B"/>
    <w:rsid w:val="00EE2E61"/>
    <w:rsid w:val="00EE3148"/>
    <w:rsid w:val="00EE328F"/>
    <w:rsid w:val="00EE375E"/>
    <w:rsid w:val="00EE50A8"/>
    <w:rsid w:val="00EE5166"/>
    <w:rsid w:val="00EE51EE"/>
    <w:rsid w:val="00EE57A3"/>
    <w:rsid w:val="00EE5BBE"/>
    <w:rsid w:val="00EE60B8"/>
    <w:rsid w:val="00EE65F8"/>
    <w:rsid w:val="00EE69C9"/>
    <w:rsid w:val="00EE6EE5"/>
    <w:rsid w:val="00EE702A"/>
    <w:rsid w:val="00EE7873"/>
    <w:rsid w:val="00EF0659"/>
    <w:rsid w:val="00EF0893"/>
    <w:rsid w:val="00EF0CFD"/>
    <w:rsid w:val="00EF0DF3"/>
    <w:rsid w:val="00EF1228"/>
    <w:rsid w:val="00EF1D9B"/>
    <w:rsid w:val="00EF23BB"/>
    <w:rsid w:val="00EF23EA"/>
    <w:rsid w:val="00EF2689"/>
    <w:rsid w:val="00EF29C3"/>
    <w:rsid w:val="00EF2AE3"/>
    <w:rsid w:val="00EF3731"/>
    <w:rsid w:val="00EF3A5E"/>
    <w:rsid w:val="00EF421B"/>
    <w:rsid w:val="00EF4333"/>
    <w:rsid w:val="00EF4BA6"/>
    <w:rsid w:val="00EF5638"/>
    <w:rsid w:val="00EF57F2"/>
    <w:rsid w:val="00EF60E5"/>
    <w:rsid w:val="00EF63A8"/>
    <w:rsid w:val="00EF64F3"/>
    <w:rsid w:val="00EF6F0F"/>
    <w:rsid w:val="00EF7381"/>
    <w:rsid w:val="00EF7760"/>
    <w:rsid w:val="00EF77BF"/>
    <w:rsid w:val="00F000C5"/>
    <w:rsid w:val="00F005DF"/>
    <w:rsid w:val="00F0180F"/>
    <w:rsid w:val="00F01BBF"/>
    <w:rsid w:val="00F02621"/>
    <w:rsid w:val="00F029B7"/>
    <w:rsid w:val="00F02B22"/>
    <w:rsid w:val="00F02B29"/>
    <w:rsid w:val="00F02B64"/>
    <w:rsid w:val="00F0376A"/>
    <w:rsid w:val="00F038B5"/>
    <w:rsid w:val="00F03CEB"/>
    <w:rsid w:val="00F03EA3"/>
    <w:rsid w:val="00F04966"/>
    <w:rsid w:val="00F04A2B"/>
    <w:rsid w:val="00F0502F"/>
    <w:rsid w:val="00F05230"/>
    <w:rsid w:val="00F053F2"/>
    <w:rsid w:val="00F055F6"/>
    <w:rsid w:val="00F05B1E"/>
    <w:rsid w:val="00F05BFC"/>
    <w:rsid w:val="00F05FFA"/>
    <w:rsid w:val="00F060F4"/>
    <w:rsid w:val="00F06309"/>
    <w:rsid w:val="00F067BB"/>
    <w:rsid w:val="00F07219"/>
    <w:rsid w:val="00F07A6A"/>
    <w:rsid w:val="00F07C9A"/>
    <w:rsid w:val="00F104AA"/>
    <w:rsid w:val="00F10BD6"/>
    <w:rsid w:val="00F112FA"/>
    <w:rsid w:val="00F11643"/>
    <w:rsid w:val="00F11D8D"/>
    <w:rsid w:val="00F11E0E"/>
    <w:rsid w:val="00F1242E"/>
    <w:rsid w:val="00F12690"/>
    <w:rsid w:val="00F128DB"/>
    <w:rsid w:val="00F12C1B"/>
    <w:rsid w:val="00F12F80"/>
    <w:rsid w:val="00F13204"/>
    <w:rsid w:val="00F134E6"/>
    <w:rsid w:val="00F1368F"/>
    <w:rsid w:val="00F13BC7"/>
    <w:rsid w:val="00F13CAE"/>
    <w:rsid w:val="00F13DB2"/>
    <w:rsid w:val="00F13ECF"/>
    <w:rsid w:val="00F13F05"/>
    <w:rsid w:val="00F1477E"/>
    <w:rsid w:val="00F14856"/>
    <w:rsid w:val="00F14BA2"/>
    <w:rsid w:val="00F15270"/>
    <w:rsid w:val="00F15AA8"/>
    <w:rsid w:val="00F15BFE"/>
    <w:rsid w:val="00F16FD5"/>
    <w:rsid w:val="00F17594"/>
    <w:rsid w:val="00F175F9"/>
    <w:rsid w:val="00F17E24"/>
    <w:rsid w:val="00F17F67"/>
    <w:rsid w:val="00F200D2"/>
    <w:rsid w:val="00F20321"/>
    <w:rsid w:val="00F20656"/>
    <w:rsid w:val="00F20AC3"/>
    <w:rsid w:val="00F2100C"/>
    <w:rsid w:val="00F21B6E"/>
    <w:rsid w:val="00F23309"/>
    <w:rsid w:val="00F2374B"/>
    <w:rsid w:val="00F23998"/>
    <w:rsid w:val="00F2506A"/>
    <w:rsid w:val="00F256EF"/>
    <w:rsid w:val="00F2594C"/>
    <w:rsid w:val="00F25F96"/>
    <w:rsid w:val="00F266ED"/>
    <w:rsid w:val="00F26C32"/>
    <w:rsid w:val="00F26C74"/>
    <w:rsid w:val="00F271E4"/>
    <w:rsid w:val="00F279DA"/>
    <w:rsid w:val="00F27F1A"/>
    <w:rsid w:val="00F27FF1"/>
    <w:rsid w:val="00F30E1E"/>
    <w:rsid w:val="00F311D3"/>
    <w:rsid w:val="00F31C7E"/>
    <w:rsid w:val="00F31DF4"/>
    <w:rsid w:val="00F32CC1"/>
    <w:rsid w:val="00F3370D"/>
    <w:rsid w:val="00F33A45"/>
    <w:rsid w:val="00F33B21"/>
    <w:rsid w:val="00F33FED"/>
    <w:rsid w:val="00F34892"/>
    <w:rsid w:val="00F348E2"/>
    <w:rsid w:val="00F34C7A"/>
    <w:rsid w:val="00F35920"/>
    <w:rsid w:val="00F35AB8"/>
    <w:rsid w:val="00F36024"/>
    <w:rsid w:val="00F3654C"/>
    <w:rsid w:val="00F369C7"/>
    <w:rsid w:val="00F37438"/>
    <w:rsid w:val="00F37A52"/>
    <w:rsid w:val="00F402ED"/>
    <w:rsid w:val="00F403FC"/>
    <w:rsid w:val="00F404AF"/>
    <w:rsid w:val="00F4092C"/>
    <w:rsid w:val="00F41102"/>
    <w:rsid w:val="00F41C84"/>
    <w:rsid w:val="00F421DE"/>
    <w:rsid w:val="00F426E5"/>
    <w:rsid w:val="00F42ACA"/>
    <w:rsid w:val="00F42AEF"/>
    <w:rsid w:val="00F43182"/>
    <w:rsid w:val="00F4399B"/>
    <w:rsid w:val="00F43D3A"/>
    <w:rsid w:val="00F4418C"/>
    <w:rsid w:val="00F442D6"/>
    <w:rsid w:val="00F44A15"/>
    <w:rsid w:val="00F44C34"/>
    <w:rsid w:val="00F45275"/>
    <w:rsid w:val="00F45491"/>
    <w:rsid w:val="00F467E1"/>
    <w:rsid w:val="00F4712D"/>
    <w:rsid w:val="00F501F1"/>
    <w:rsid w:val="00F506C2"/>
    <w:rsid w:val="00F50785"/>
    <w:rsid w:val="00F50824"/>
    <w:rsid w:val="00F50C23"/>
    <w:rsid w:val="00F51099"/>
    <w:rsid w:val="00F51524"/>
    <w:rsid w:val="00F51539"/>
    <w:rsid w:val="00F51E02"/>
    <w:rsid w:val="00F52261"/>
    <w:rsid w:val="00F522F4"/>
    <w:rsid w:val="00F528CD"/>
    <w:rsid w:val="00F52C97"/>
    <w:rsid w:val="00F5362C"/>
    <w:rsid w:val="00F53797"/>
    <w:rsid w:val="00F53AD3"/>
    <w:rsid w:val="00F53F84"/>
    <w:rsid w:val="00F54834"/>
    <w:rsid w:val="00F54956"/>
    <w:rsid w:val="00F549B4"/>
    <w:rsid w:val="00F54C73"/>
    <w:rsid w:val="00F54F6F"/>
    <w:rsid w:val="00F55054"/>
    <w:rsid w:val="00F550CC"/>
    <w:rsid w:val="00F5514D"/>
    <w:rsid w:val="00F560E4"/>
    <w:rsid w:val="00F565E3"/>
    <w:rsid w:val="00F566FA"/>
    <w:rsid w:val="00F56B35"/>
    <w:rsid w:val="00F56DF8"/>
    <w:rsid w:val="00F571CC"/>
    <w:rsid w:val="00F5756A"/>
    <w:rsid w:val="00F60232"/>
    <w:rsid w:val="00F6033A"/>
    <w:rsid w:val="00F61BD6"/>
    <w:rsid w:val="00F63738"/>
    <w:rsid w:val="00F63838"/>
    <w:rsid w:val="00F63A38"/>
    <w:rsid w:val="00F6409A"/>
    <w:rsid w:val="00F643D0"/>
    <w:rsid w:val="00F648A0"/>
    <w:rsid w:val="00F64BA6"/>
    <w:rsid w:val="00F650FD"/>
    <w:rsid w:val="00F6630F"/>
    <w:rsid w:val="00F66408"/>
    <w:rsid w:val="00F66B70"/>
    <w:rsid w:val="00F672E7"/>
    <w:rsid w:val="00F70020"/>
    <w:rsid w:val="00F711FA"/>
    <w:rsid w:val="00F71890"/>
    <w:rsid w:val="00F71911"/>
    <w:rsid w:val="00F71E4C"/>
    <w:rsid w:val="00F7250F"/>
    <w:rsid w:val="00F72652"/>
    <w:rsid w:val="00F729C5"/>
    <w:rsid w:val="00F732B0"/>
    <w:rsid w:val="00F733AF"/>
    <w:rsid w:val="00F735F9"/>
    <w:rsid w:val="00F737D8"/>
    <w:rsid w:val="00F73E25"/>
    <w:rsid w:val="00F73EAA"/>
    <w:rsid w:val="00F73F6D"/>
    <w:rsid w:val="00F74B15"/>
    <w:rsid w:val="00F751D0"/>
    <w:rsid w:val="00F752B9"/>
    <w:rsid w:val="00F752BB"/>
    <w:rsid w:val="00F7553E"/>
    <w:rsid w:val="00F75BCD"/>
    <w:rsid w:val="00F75F32"/>
    <w:rsid w:val="00F76176"/>
    <w:rsid w:val="00F76790"/>
    <w:rsid w:val="00F76E0F"/>
    <w:rsid w:val="00F76F16"/>
    <w:rsid w:val="00F77617"/>
    <w:rsid w:val="00F777D8"/>
    <w:rsid w:val="00F77988"/>
    <w:rsid w:val="00F77A1B"/>
    <w:rsid w:val="00F801B8"/>
    <w:rsid w:val="00F80646"/>
    <w:rsid w:val="00F808B4"/>
    <w:rsid w:val="00F80C55"/>
    <w:rsid w:val="00F80F9B"/>
    <w:rsid w:val="00F81133"/>
    <w:rsid w:val="00F81452"/>
    <w:rsid w:val="00F81720"/>
    <w:rsid w:val="00F81B9F"/>
    <w:rsid w:val="00F82002"/>
    <w:rsid w:val="00F8252F"/>
    <w:rsid w:val="00F83899"/>
    <w:rsid w:val="00F83B6F"/>
    <w:rsid w:val="00F848AB"/>
    <w:rsid w:val="00F84A5B"/>
    <w:rsid w:val="00F85176"/>
    <w:rsid w:val="00F856E3"/>
    <w:rsid w:val="00F85F69"/>
    <w:rsid w:val="00F860F1"/>
    <w:rsid w:val="00F86BC2"/>
    <w:rsid w:val="00F876D5"/>
    <w:rsid w:val="00F876F2"/>
    <w:rsid w:val="00F902DD"/>
    <w:rsid w:val="00F9041B"/>
    <w:rsid w:val="00F908AF"/>
    <w:rsid w:val="00F90D84"/>
    <w:rsid w:val="00F90E61"/>
    <w:rsid w:val="00F91184"/>
    <w:rsid w:val="00F914F9"/>
    <w:rsid w:val="00F916FA"/>
    <w:rsid w:val="00F91A2D"/>
    <w:rsid w:val="00F91B75"/>
    <w:rsid w:val="00F91D41"/>
    <w:rsid w:val="00F91EF5"/>
    <w:rsid w:val="00F928C2"/>
    <w:rsid w:val="00F92AF1"/>
    <w:rsid w:val="00F92D50"/>
    <w:rsid w:val="00F92ED5"/>
    <w:rsid w:val="00F92FC1"/>
    <w:rsid w:val="00F930DE"/>
    <w:rsid w:val="00F93307"/>
    <w:rsid w:val="00F93DEE"/>
    <w:rsid w:val="00F9498C"/>
    <w:rsid w:val="00F94993"/>
    <w:rsid w:val="00F94BCE"/>
    <w:rsid w:val="00F94BDF"/>
    <w:rsid w:val="00F94CC7"/>
    <w:rsid w:val="00F94E45"/>
    <w:rsid w:val="00F95BF1"/>
    <w:rsid w:val="00F95E70"/>
    <w:rsid w:val="00F96361"/>
    <w:rsid w:val="00F969E5"/>
    <w:rsid w:val="00F96FB4"/>
    <w:rsid w:val="00F9748C"/>
    <w:rsid w:val="00F9769E"/>
    <w:rsid w:val="00F978BE"/>
    <w:rsid w:val="00F97E89"/>
    <w:rsid w:val="00FA027C"/>
    <w:rsid w:val="00FA068C"/>
    <w:rsid w:val="00FA0C73"/>
    <w:rsid w:val="00FA2CB3"/>
    <w:rsid w:val="00FA37AD"/>
    <w:rsid w:val="00FA3A15"/>
    <w:rsid w:val="00FA40E5"/>
    <w:rsid w:val="00FA45AA"/>
    <w:rsid w:val="00FA48EA"/>
    <w:rsid w:val="00FA4AD9"/>
    <w:rsid w:val="00FA4F72"/>
    <w:rsid w:val="00FA4FAF"/>
    <w:rsid w:val="00FA529C"/>
    <w:rsid w:val="00FA5DFC"/>
    <w:rsid w:val="00FA6080"/>
    <w:rsid w:val="00FA6EF9"/>
    <w:rsid w:val="00FA70C3"/>
    <w:rsid w:val="00FA753E"/>
    <w:rsid w:val="00FB0C7D"/>
    <w:rsid w:val="00FB0E18"/>
    <w:rsid w:val="00FB11DA"/>
    <w:rsid w:val="00FB2BD9"/>
    <w:rsid w:val="00FB2FD0"/>
    <w:rsid w:val="00FB30BB"/>
    <w:rsid w:val="00FB4355"/>
    <w:rsid w:val="00FB4A5D"/>
    <w:rsid w:val="00FB4DAD"/>
    <w:rsid w:val="00FB50BE"/>
    <w:rsid w:val="00FB52A8"/>
    <w:rsid w:val="00FB54B7"/>
    <w:rsid w:val="00FB5631"/>
    <w:rsid w:val="00FB73FE"/>
    <w:rsid w:val="00FB74E5"/>
    <w:rsid w:val="00FB7B85"/>
    <w:rsid w:val="00FB7EDE"/>
    <w:rsid w:val="00FC00F4"/>
    <w:rsid w:val="00FC0182"/>
    <w:rsid w:val="00FC08CD"/>
    <w:rsid w:val="00FC08D1"/>
    <w:rsid w:val="00FC1367"/>
    <w:rsid w:val="00FC14D2"/>
    <w:rsid w:val="00FC1601"/>
    <w:rsid w:val="00FC16C0"/>
    <w:rsid w:val="00FC34B6"/>
    <w:rsid w:val="00FC3D4E"/>
    <w:rsid w:val="00FC4839"/>
    <w:rsid w:val="00FC4CB5"/>
    <w:rsid w:val="00FC51A5"/>
    <w:rsid w:val="00FC5203"/>
    <w:rsid w:val="00FC573B"/>
    <w:rsid w:val="00FC589C"/>
    <w:rsid w:val="00FC629D"/>
    <w:rsid w:val="00FC6FFA"/>
    <w:rsid w:val="00FC707C"/>
    <w:rsid w:val="00FC793B"/>
    <w:rsid w:val="00FC7A11"/>
    <w:rsid w:val="00FD069E"/>
    <w:rsid w:val="00FD1119"/>
    <w:rsid w:val="00FD117A"/>
    <w:rsid w:val="00FD1216"/>
    <w:rsid w:val="00FD1434"/>
    <w:rsid w:val="00FD1542"/>
    <w:rsid w:val="00FD1977"/>
    <w:rsid w:val="00FD1D01"/>
    <w:rsid w:val="00FD2279"/>
    <w:rsid w:val="00FD2E49"/>
    <w:rsid w:val="00FD2F07"/>
    <w:rsid w:val="00FD3270"/>
    <w:rsid w:val="00FD3695"/>
    <w:rsid w:val="00FD369D"/>
    <w:rsid w:val="00FD3A5F"/>
    <w:rsid w:val="00FD3C3E"/>
    <w:rsid w:val="00FD4678"/>
    <w:rsid w:val="00FD46D6"/>
    <w:rsid w:val="00FD4A99"/>
    <w:rsid w:val="00FD4D0E"/>
    <w:rsid w:val="00FD4EC4"/>
    <w:rsid w:val="00FD540B"/>
    <w:rsid w:val="00FD5478"/>
    <w:rsid w:val="00FD5772"/>
    <w:rsid w:val="00FD62A1"/>
    <w:rsid w:val="00FD63CC"/>
    <w:rsid w:val="00FD687A"/>
    <w:rsid w:val="00FD6B26"/>
    <w:rsid w:val="00FD6B34"/>
    <w:rsid w:val="00FD6DEB"/>
    <w:rsid w:val="00FD71BF"/>
    <w:rsid w:val="00FD72A5"/>
    <w:rsid w:val="00FD7589"/>
    <w:rsid w:val="00FD7E84"/>
    <w:rsid w:val="00FE01D7"/>
    <w:rsid w:val="00FE0C92"/>
    <w:rsid w:val="00FE1258"/>
    <w:rsid w:val="00FE1792"/>
    <w:rsid w:val="00FE1C0C"/>
    <w:rsid w:val="00FE223F"/>
    <w:rsid w:val="00FE2466"/>
    <w:rsid w:val="00FE250A"/>
    <w:rsid w:val="00FE2BF2"/>
    <w:rsid w:val="00FE3033"/>
    <w:rsid w:val="00FE3175"/>
    <w:rsid w:val="00FE31F1"/>
    <w:rsid w:val="00FE3B68"/>
    <w:rsid w:val="00FE479B"/>
    <w:rsid w:val="00FE4981"/>
    <w:rsid w:val="00FE4E87"/>
    <w:rsid w:val="00FE50D7"/>
    <w:rsid w:val="00FE51EE"/>
    <w:rsid w:val="00FE5E54"/>
    <w:rsid w:val="00FE5E6A"/>
    <w:rsid w:val="00FE6712"/>
    <w:rsid w:val="00FE6BDC"/>
    <w:rsid w:val="00FE6E50"/>
    <w:rsid w:val="00FF039E"/>
    <w:rsid w:val="00FF05CD"/>
    <w:rsid w:val="00FF0FCB"/>
    <w:rsid w:val="00FF1612"/>
    <w:rsid w:val="00FF1D65"/>
    <w:rsid w:val="00FF2030"/>
    <w:rsid w:val="00FF3089"/>
    <w:rsid w:val="00FF3313"/>
    <w:rsid w:val="00FF33F1"/>
    <w:rsid w:val="00FF382B"/>
    <w:rsid w:val="00FF3A26"/>
    <w:rsid w:val="00FF3A40"/>
    <w:rsid w:val="00FF3B5F"/>
    <w:rsid w:val="00FF3CC3"/>
    <w:rsid w:val="00FF3EDA"/>
    <w:rsid w:val="00FF4978"/>
    <w:rsid w:val="00FF4D23"/>
    <w:rsid w:val="00FF59F2"/>
    <w:rsid w:val="00FF5AA3"/>
    <w:rsid w:val="00FF5E72"/>
    <w:rsid w:val="00FF5EE8"/>
    <w:rsid w:val="00FF5F84"/>
    <w:rsid w:val="00FF637A"/>
    <w:rsid w:val="00FF6952"/>
    <w:rsid w:val="00FF6B99"/>
    <w:rsid w:val="00FF6BDC"/>
    <w:rsid w:val="00FF6F8B"/>
    <w:rsid w:val="00FF7290"/>
    <w:rsid w:val="00FF7B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BC998"/>
  <w15:chartTrackingRefBased/>
  <w15:docId w15:val="{9A6CB059-8797-4810-8426-BEF52710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2D59"/>
    <w:pPr>
      <w:spacing w:before="240" w:after="240" w:line="360" w:lineRule="auto"/>
      <w:jc w:val="both"/>
    </w:pPr>
    <w:rPr>
      <w:sz w:val="20"/>
      <w:lang w:val="es-ES"/>
    </w:rPr>
  </w:style>
  <w:style w:type="paragraph" w:styleId="Ttulo1">
    <w:name w:val="heading 1"/>
    <w:aliases w:val="1,H1,l1,level 1 heading,Título1"/>
    <w:basedOn w:val="Normal"/>
    <w:next w:val="Normal"/>
    <w:link w:val="Ttulo1Car"/>
    <w:qFormat/>
    <w:rsid w:val="00E92D59"/>
    <w:pPr>
      <w:keepNext/>
      <w:keepLines/>
      <w:pageBreakBefore/>
      <w:numPr>
        <w:numId w:val="2"/>
      </w:numPr>
      <w:outlineLvl w:val="0"/>
    </w:pPr>
    <w:rPr>
      <w:rFonts w:asciiTheme="majorHAnsi" w:eastAsiaTheme="majorEastAsia" w:hAnsiTheme="majorHAnsi" w:cstheme="majorBidi"/>
      <w:b/>
      <w:color w:val="0C2749" w:themeColor="text1"/>
      <w:sz w:val="36"/>
      <w:szCs w:val="32"/>
    </w:rPr>
  </w:style>
  <w:style w:type="paragraph" w:styleId="Ttulo2">
    <w:name w:val="heading 2"/>
    <w:aliases w:val="2,KJL:1st Level,l2,level 2 heading"/>
    <w:basedOn w:val="Normal"/>
    <w:next w:val="Normal"/>
    <w:link w:val="Ttulo2Car"/>
    <w:unhideWhenUsed/>
    <w:qFormat/>
    <w:rsid w:val="00E92D59"/>
    <w:pPr>
      <w:keepNext/>
      <w:keepLines/>
      <w:numPr>
        <w:ilvl w:val="1"/>
        <w:numId w:val="2"/>
      </w:numPr>
      <w:outlineLvl w:val="1"/>
    </w:pPr>
    <w:rPr>
      <w:rFonts w:asciiTheme="majorHAnsi" w:eastAsiaTheme="majorEastAsia" w:hAnsiTheme="majorHAnsi" w:cstheme="majorBidi"/>
      <w:b/>
      <w:color w:val="0C2749" w:themeColor="text1"/>
      <w:sz w:val="28"/>
      <w:szCs w:val="26"/>
    </w:rPr>
  </w:style>
  <w:style w:type="paragraph" w:styleId="Ttulo3">
    <w:name w:val="heading 3"/>
    <w:aliases w:val="3"/>
    <w:basedOn w:val="Normal"/>
    <w:next w:val="Normal"/>
    <w:link w:val="Ttulo3Car"/>
    <w:unhideWhenUsed/>
    <w:qFormat/>
    <w:rsid w:val="00E92D59"/>
    <w:pPr>
      <w:keepNext/>
      <w:keepLines/>
      <w:numPr>
        <w:ilvl w:val="2"/>
        <w:numId w:val="2"/>
      </w:numPr>
      <w:outlineLvl w:val="2"/>
    </w:pPr>
    <w:rPr>
      <w:rFonts w:asciiTheme="majorHAnsi" w:eastAsiaTheme="majorEastAsia" w:hAnsiTheme="majorHAnsi" w:cstheme="majorBidi"/>
      <w:b/>
      <w:color w:val="0C2749" w:themeColor="text1"/>
      <w:sz w:val="24"/>
      <w:szCs w:val="24"/>
    </w:rPr>
  </w:style>
  <w:style w:type="paragraph" w:styleId="Ttulo4">
    <w:name w:val="heading 4"/>
    <w:basedOn w:val="Normal"/>
    <w:next w:val="Normal"/>
    <w:link w:val="Ttulo4Car"/>
    <w:unhideWhenUsed/>
    <w:qFormat/>
    <w:rsid w:val="004C6924"/>
    <w:pPr>
      <w:keepNext/>
      <w:keepLines/>
      <w:numPr>
        <w:ilvl w:val="3"/>
        <w:numId w:val="2"/>
      </w:numPr>
      <w:outlineLvl w:val="3"/>
    </w:pPr>
    <w:rPr>
      <w:rFonts w:asciiTheme="majorHAnsi" w:eastAsiaTheme="majorEastAsia" w:hAnsiTheme="majorHAnsi" w:cstheme="majorBidi"/>
      <w:b/>
      <w:iCs/>
      <w:color w:val="091D36" w:themeColor="accent1" w:themeShade="BF"/>
    </w:rPr>
  </w:style>
  <w:style w:type="paragraph" w:styleId="Ttulo5">
    <w:name w:val="heading 5"/>
    <w:basedOn w:val="Normal"/>
    <w:next w:val="Normal"/>
    <w:link w:val="Ttulo5Car"/>
    <w:unhideWhenUsed/>
    <w:qFormat/>
    <w:rsid w:val="00432289"/>
    <w:pPr>
      <w:keepNext/>
      <w:keepLines/>
      <w:numPr>
        <w:ilvl w:val="4"/>
        <w:numId w:val="2"/>
      </w:numPr>
      <w:outlineLvl w:val="4"/>
    </w:pPr>
    <w:rPr>
      <w:rFonts w:asciiTheme="majorHAnsi" w:eastAsiaTheme="majorEastAsia" w:hAnsiTheme="majorHAnsi" w:cstheme="majorBidi"/>
      <w:i/>
      <w:color w:val="0C2749" w:themeColor="text1"/>
      <w:u w:val="single"/>
    </w:rPr>
  </w:style>
  <w:style w:type="paragraph" w:styleId="Ttulo6">
    <w:name w:val="heading 6"/>
    <w:basedOn w:val="Normal"/>
    <w:next w:val="Normal"/>
    <w:link w:val="Ttulo6Car"/>
    <w:uiPriority w:val="9"/>
    <w:semiHidden/>
    <w:unhideWhenUsed/>
    <w:rsid w:val="00432289"/>
    <w:pPr>
      <w:keepNext/>
      <w:keepLines/>
      <w:numPr>
        <w:ilvl w:val="5"/>
        <w:numId w:val="2"/>
      </w:numPr>
      <w:spacing w:before="40" w:after="0"/>
      <w:outlineLvl w:val="5"/>
    </w:pPr>
    <w:rPr>
      <w:rFonts w:asciiTheme="majorHAnsi" w:eastAsiaTheme="majorEastAsia" w:hAnsiTheme="majorHAnsi" w:cstheme="majorBidi"/>
      <w:color w:val="061324" w:themeColor="accent1" w:themeShade="7F"/>
    </w:rPr>
  </w:style>
  <w:style w:type="paragraph" w:styleId="Ttulo7">
    <w:name w:val="heading 7"/>
    <w:basedOn w:val="Normal"/>
    <w:next w:val="Normal"/>
    <w:link w:val="Ttulo7Car"/>
    <w:uiPriority w:val="9"/>
    <w:semiHidden/>
    <w:unhideWhenUsed/>
    <w:qFormat/>
    <w:rsid w:val="00432289"/>
    <w:pPr>
      <w:keepNext/>
      <w:keepLines/>
      <w:numPr>
        <w:ilvl w:val="6"/>
        <w:numId w:val="2"/>
      </w:numPr>
      <w:spacing w:before="40" w:after="0"/>
      <w:outlineLvl w:val="6"/>
    </w:pPr>
    <w:rPr>
      <w:rFonts w:asciiTheme="majorHAnsi" w:eastAsiaTheme="majorEastAsia" w:hAnsiTheme="majorHAnsi" w:cstheme="majorBidi"/>
      <w:i/>
      <w:iCs/>
      <w:color w:val="061324" w:themeColor="accent1" w:themeShade="7F"/>
    </w:rPr>
  </w:style>
  <w:style w:type="paragraph" w:styleId="Ttulo8">
    <w:name w:val="heading 8"/>
    <w:basedOn w:val="Normal"/>
    <w:next w:val="Normal"/>
    <w:link w:val="Ttulo8Car"/>
    <w:uiPriority w:val="9"/>
    <w:semiHidden/>
    <w:unhideWhenUsed/>
    <w:qFormat/>
    <w:rsid w:val="00432289"/>
    <w:pPr>
      <w:keepNext/>
      <w:keepLines/>
      <w:numPr>
        <w:ilvl w:val="7"/>
        <w:numId w:val="2"/>
      </w:numPr>
      <w:spacing w:before="40" w:after="0"/>
      <w:outlineLvl w:val="7"/>
    </w:pPr>
    <w:rPr>
      <w:rFonts w:asciiTheme="majorHAnsi" w:eastAsiaTheme="majorEastAsia" w:hAnsiTheme="majorHAnsi" w:cstheme="majorBidi"/>
      <w:color w:val="154480" w:themeColor="text1" w:themeTint="D8"/>
      <w:sz w:val="21"/>
      <w:szCs w:val="21"/>
    </w:rPr>
  </w:style>
  <w:style w:type="paragraph" w:styleId="Ttulo9">
    <w:name w:val="heading 9"/>
    <w:basedOn w:val="Normal"/>
    <w:next w:val="Normal"/>
    <w:link w:val="Ttulo9Car"/>
    <w:uiPriority w:val="9"/>
    <w:semiHidden/>
    <w:unhideWhenUsed/>
    <w:qFormat/>
    <w:rsid w:val="00432289"/>
    <w:pPr>
      <w:keepNext/>
      <w:keepLines/>
      <w:numPr>
        <w:ilvl w:val="8"/>
        <w:numId w:val="2"/>
      </w:numPr>
      <w:spacing w:before="40" w:after="0"/>
      <w:outlineLvl w:val="8"/>
    </w:pPr>
    <w:rPr>
      <w:rFonts w:asciiTheme="majorHAnsi" w:eastAsiaTheme="majorEastAsia" w:hAnsiTheme="majorHAnsi" w:cstheme="majorBidi"/>
      <w:i/>
      <w:iCs/>
      <w:color w:val="154480"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Car,H1 Car,l1 Car,level 1 heading Car,Título1 Car"/>
    <w:basedOn w:val="Fuentedeprrafopredeter"/>
    <w:link w:val="Ttulo1"/>
    <w:rsid w:val="00E92D59"/>
    <w:rPr>
      <w:rFonts w:asciiTheme="majorHAnsi" w:eastAsiaTheme="majorEastAsia" w:hAnsiTheme="majorHAnsi" w:cstheme="majorBidi"/>
      <w:b/>
      <w:color w:val="0C2749" w:themeColor="text1"/>
      <w:sz w:val="36"/>
      <w:szCs w:val="32"/>
      <w:lang w:val="es-ES"/>
    </w:rPr>
  </w:style>
  <w:style w:type="paragraph" w:styleId="TDC1">
    <w:name w:val="toc 1"/>
    <w:basedOn w:val="Normal"/>
    <w:next w:val="Normal"/>
    <w:autoRedefine/>
    <w:uiPriority w:val="39"/>
    <w:unhideWhenUsed/>
    <w:rsid w:val="00224F2E"/>
    <w:pPr>
      <w:spacing w:after="100"/>
    </w:pPr>
    <w:rPr>
      <w:b/>
      <w:smallCaps/>
    </w:rPr>
  </w:style>
  <w:style w:type="character" w:styleId="Hipervnculo">
    <w:name w:val="Hyperlink"/>
    <w:basedOn w:val="Fuentedeprrafopredeter"/>
    <w:uiPriority w:val="99"/>
    <w:unhideWhenUsed/>
    <w:rsid w:val="00432289"/>
    <w:rPr>
      <w:color w:val="0000FF" w:themeColor="hyperlink"/>
      <w:u w:val="single"/>
    </w:rPr>
  </w:style>
  <w:style w:type="character" w:customStyle="1" w:styleId="Ttulo2Car">
    <w:name w:val="Título 2 Car"/>
    <w:aliases w:val="2 Car,KJL:1st Level Car,l2 Car,level 2 heading Car"/>
    <w:basedOn w:val="Fuentedeprrafopredeter"/>
    <w:link w:val="Ttulo2"/>
    <w:rsid w:val="00E92D59"/>
    <w:rPr>
      <w:rFonts w:asciiTheme="majorHAnsi" w:eastAsiaTheme="majorEastAsia" w:hAnsiTheme="majorHAnsi" w:cstheme="majorBidi"/>
      <w:b/>
      <w:color w:val="0C2749" w:themeColor="text1"/>
      <w:sz w:val="28"/>
      <w:szCs w:val="26"/>
      <w:lang w:val="es-ES"/>
    </w:rPr>
  </w:style>
  <w:style w:type="character" w:customStyle="1" w:styleId="Ttulo3Car">
    <w:name w:val="Título 3 Car"/>
    <w:aliases w:val="3 Car"/>
    <w:basedOn w:val="Fuentedeprrafopredeter"/>
    <w:link w:val="Ttulo3"/>
    <w:rsid w:val="00E92D59"/>
    <w:rPr>
      <w:rFonts w:asciiTheme="majorHAnsi" w:eastAsiaTheme="majorEastAsia" w:hAnsiTheme="majorHAnsi" w:cstheme="majorBidi"/>
      <w:b/>
      <w:color w:val="0C2749" w:themeColor="text1"/>
      <w:sz w:val="24"/>
      <w:szCs w:val="24"/>
      <w:lang w:val="es-ES"/>
    </w:rPr>
  </w:style>
  <w:style w:type="character" w:customStyle="1" w:styleId="Ttulo4Car">
    <w:name w:val="Título 4 Car"/>
    <w:basedOn w:val="Fuentedeprrafopredeter"/>
    <w:link w:val="Ttulo4"/>
    <w:rsid w:val="004C6924"/>
    <w:rPr>
      <w:rFonts w:asciiTheme="majorHAnsi" w:eastAsiaTheme="majorEastAsia" w:hAnsiTheme="majorHAnsi" w:cstheme="majorBidi"/>
      <w:b/>
      <w:iCs/>
      <w:color w:val="091D36" w:themeColor="accent1" w:themeShade="BF"/>
      <w:sz w:val="20"/>
      <w:lang w:val="es-ES"/>
    </w:rPr>
  </w:style>
  <w:style w:type="character" w:customStyle="1" w:styleId="Ttulo5Car">
    <w:name w:val="Título 5 Car"/>
    <w:basedOn w:val="Fuentedeprrafopredeter"/>
    <w:link w:val="Ttulo5"/>
    <w:rsid w:val="00432289"/>
    <w:rPr>
      <w:rFonts w:asciiTheme="majorHAnsi" w:eastAsiaTheme="majorEastAsia" w:hAnsiTheme="majorHAnsi" w:cstheme="majorBidi"/>
      <w:i/>
      <w:color w:val="0C2749" w:themeColor="text1"/>
      <w:sz w:val="20"/>
      <w:u w:val="single"/>
      <w:lang w:val="es-ES"/>
    </w:rPr>
  </w:style>
  <w:style w:type="character" w:customStyle="1" w:styleId="Ttulo6Car">
    <w:name w:val="Título 6 Car"/>
    <w:basedOn w:val="Fuentedeprrafopredeter"/>
    <w:link w:val="Ttulo6"/>
    <w:uiPriority w:val="9"/>
    <w:semiHidden/>
    <w:rsid w:val="00432289"/>
    <w:rPr>
      <w:rFonts w:asciiTheme="majorHAnsi" w:eastAsiaTheme="majorEastAsia" w:hAnsiTheme="majorHAnsi" w:cstheme="majorBidi"/>
      <w:color w:val="061324" w:themeColor="accent1" w:themeShade="7F"/>
      <w:sz w:val="20"/>
      <w:lang w:val="es-ES"/>
    </w:rPr>
  </w:style>
  <w:style w:type="character" w:customStyle="1" w:styleId="Ttulo7Car">
    <w:name w:val="Título 7 Car"/>
    <w:basedOn w:val="Fuentedeprrafopredeter"/>
    <w:link w:val="Ttulo7"/>
    <w:uiPriority w:val="9"/>
    <w:semiHidden/>
    <w:rsid w:val="00432289"/>
    <w:rPr>
      <w:rFonts w:asciiTheme="majorHAnsi" w:eastAsiaTheme="majorEastAsia" w:hAnsiTheme="majorHAnsi" w:cstheme="majorBidi"/>
      <w:i/>
      <w:iCs/>
      <w:color w:val="061324" w:themeColor="accent1" w:themeShade="7F"/>
      <w:sz w:val="20"/>
      <w:lang w:val="es-ES"/>
    </w:rPr>
  </w:style>
  <w:style w:type="character" w:customStyle="1" w:styleId="Ttulo8Car">
    <w:name w:val="Título 8 Car"/>
    <w:basedOn w:val="Fuentedeprrafopredeter"/>
    <w:link w:val="Ttulo8"/>
    <w:uiPriority w:val="9"/>
    <w:semiHidden/>
    <w:rsid w:val="00432289"/>
    <w:rPr>
      <w:rFonts w:asciiTheme="majorHAnsi" w:eastAsiaTheme="majorEastAsia" w:hAnsiTheme="majorHAnsi" w:cstheme="majorBidi"/>
      <w:color w:val="154480" w:themeColor="text1" w:themeTint="D8"/>
      <w:sz w:val="21"/>
      <w:szCs w:val="21"/>
      <w:lang w:val="es-ES"/>
    </w:rPr>
  </w:style>
  <w:style w:type="character" w:customStyle="1" w:styleId="Ttulo9Car">
    <w:name w:val="Título 9 Car"/>
    <w:basedOn w:val="Fuentedeprrafopredeter"/>
    <w:link w:val="Ttulo9"/>
    <w:uiPriority w:val="9"/>
    <w:semiHidden/>
    <w:rsid w:val="00432289"/>
    <w:rPr>
      <w:rFonts w:asciiTheme="majorHAnsi" w:eastAsiaTheme="majorEastAsia" w:hAnsiTheme="majorHAnsi" w:cstheme="majorBidi"/>
      <w:i/>
      <w:iCs/>
      <w:color w:val="154480" w:themeColor="text1" w:themeTint="D8"/>
      <w:sz w:val="21"/>
      <w:szCs w:val="21"/>
      <w:lang w:val="es-ES"/>
    </w:rPr>
  </w:style>
  <w:style w:type="paragraph" w:styleId="Encabezado">
    <w:name w:val="header"/>
    <w:basedOn w:val="Normal"/>
    <w:link w:val="EncabezadoCar"/>
    <w:uiPriority w:val="99"/>
    <w:unhideWhenUsed/>
    <w:rsid w:val="00432289"/>
    <w:pPr>
      <w:tabs>
        <w:tab w:val="center" w:pos="4513"/>
        <w:tab w:val="right" w:pos="9026"/>
      </w:tabs>
      <w:spacing w:before="0" w:after="0" w:line="240" w:lineRule="auto"/>
    </w:pPr>
    <w:rPr>
      <w:i/>
      <w:color w:val="0C2749" w:themeColor="text1"/>
      <w:sz w:val="18"/>
    </w:rPr>
  </w:style>
  <w:style w:type="character" w:customStyle="1" w:styleId="EncabezadoCar">
    <w:name w:val="Encabezado Car"/>
    <w:basedOn w:val="Fuentedeprrafopredeter"/>
    <w:link w:val="Encabezado"/>
    <w:uiPriority w:val="99"/>
    <w:rsid w:val="00432289"/>
    <w:rPr>
      <w:i/>
      <w:color w:val="0C2749" w:themeColor="text1"/>
      <w:sz w:val="18"/>
    </w:rPr>
  </w:style>
  <w:style w:type="paragraph" w:styleId="Piedepgina">
    <w:name w:val="footer"/>
    <w:basedOn w:val="Normal"/>
    <w:link w:val="PiedepginaCar"/>
    <w:uiPriority w:val="99"/>
    <w:unhideWhenUsed/>
    <w:rsid w:val="00432289"/>
    <w:pPr>
      <w:tabs>
        <w:tab w:val="center" w:pos="4513"/>
        <w:tab w:val="right" w:pos="9026"/>
      </w:tabs>
      <w:spacing w:before="0" w:after="0" w:line="240" w:lineRule="auto"/>
    </w:pPr>
    <w:rPr>
      <w:sz w:val="18"/>
    </w:rPr>
  </w:style>
  <w:style w:type="character" w:customStyle="1" w:styleId="PiedepginaCar">
    <w:name w:val="Pie de página Car"/>
    <w:basedOn w:val="Fuentedeprrafopredeter"/>
    <w:link w:val="Piedepgina"/>
    <w:uiPriority w:val="99"/>
    <w:rsid w:val="00432289"/>
    <w:rPr>
      <w:sz w:val="18"/>
    </w:rPr>
  </w:style>
  <w:style w:type="table" w:styleId="Tablaconcuadrcula">
    <w:name w:val="Table Grid"/>
    <w:basedOn w:val="Tablanormal"/>
    <w:rsid w:val="00432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432289"/>
    <w:pPr>
      <w:spacing w:before="120" w:after="120"/>
    </w:pPr>
  </w:style>
  <w:style w:type="paragraph" w:styleId="TDC3">
    <w:name w:val="toc 3"/>
    <w:basedOn w:val="Normal"/>
    <w:next w:val="Normal"/>
    <w:autoRedefine/>
    <w:uiPriority w:val="39"/>
    <w:unhideWhenUsed/>
    <w:rsid w:val="00631E8A"/>
    <w:pPr>
      <w:tabs>
        <w:tab w:val="left" w:pos="880"/>
        <w:tab w:val="right" w:leader="dot" w:pos="9060"/>
      </w:tabs>
      <w:spacing w:before="120" w:after="120"/>
      <w:ind w:firstLine="170"/>
    </w:pPr>
  </w:style>
  <w:style w:type="paragraph" w:styleId="Descripcin">
    <w:name w:val="caption"/>
    <w:aliases w:val="Gráfico,Tabla1,Tabla1+verde azulado,Epígrafe1"/>
    <w:basedOn w:val="Normal"/>
    <w:next w:val="Normal"/>
    <w:link w:val="DescripcinCar"/>
    <w:uiPriority w:val="35"/>
    <w:unhideWhenUsed/>
    <w:qFormat/>
    <w:rsid w:val="00432289"/>
    <w:pPr>
      <w:spacing w:before="60"/>
      <w:jc w:val="center"/>
    </w:pPr>
    <w:rPr>
      <w:b/>
      <w:iCs/>
      <w:sz w:val="16"/>
      <w:szCs w:val="18"/>
    </w:rPr>
  </w:style>
  <w:style w:type="table" w:styleId="Tablanormal3">
    <w:name w:val="Plain Table 3"/>
    <w:basedOn w:val="Tablanormal"/>
    <w:uiPriority w:val="43"/>
    <w:rsid w:val="00432289"/>
    <w:pPr>
      <w:spacing w:after="0" w:line="240" w:lineRule="auto"/>
    </w:pPr>
    <w:tblPr>
      <w:tblStyleRowBandSize w:val="1"/>
      <w:tblStyleColBandSize w:val="1"/>
    </w:tblPr>
    <w:tblStylePr w:type="firstRow">
      <w:rPr>
        <w:b/>
        <w:bCs/>
        <w:caps/>
      </w:rPr>
      <w:tblPr/>
      <w:tcPr>
        <w:tcBorders>
          <w:bottom w:val="single" w:sz="4" w:space="0" w:color="478BE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478BE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1clara">
    <w:name w:val="Grid Table 1 Light"/>
    <w:basedOn w:val="Tablanormal"/>
    <w:uiPriority w:val="46"/>
    <w:rsid w:val="00432289"/>
    <w:pPr>
      <w:spacing w:after="0" w:line="240" w:lineRule="auto"/>
    </w:pPr>
    <w:tblPr>
      <w:tblStyleRowBandSize w:val="1"/>
      <w:tblStyleColBandSize w:val="1"/>
      <w:tblBorders>
        <w:top w:val="single" w:sz="4" w:space="0" w:color="6DA2E7" w:themeColor="text1" w:themeTint="66"/>
        <w:left w:val="single" w:sz="4" w:space="0" w:color="6DA2E7" w:themeColor="text1" w:themeTint="66"/>
        <w:bottom w:val="single" w:sz="4" w:space="0" w:color="6DA2E7" w:themeColor="text1" w:themeTint="66"/>
        <w:right w:val="single" w:sz="4" w:space="0" w:color="6DA2E7" w:themeColor="text1" w:themeTint="66"/>
        <w:insideH w:val="single" w:sz="4" w:space="0" w:color="6DA2E7" w:themeColor="text1" w:themeTint="66"/>
        <w:insideV w:val="single" w:sz="4" w:space="0" w:color="6DA2E7" w:themeColor="text1" w:themeTint="66"/>
      </w:tblBorders>
    </w:tblPr>
    <w:tblStylePr w:type="firstRow">
      <w:rPr>
        <w:b/>
        <w:bCs/>
      </w:rPr>
      <w:tblPr/>
      <w:tcPr>
        <w:tcBorders>
          <w:bottom w:val="single" w:sz="12" w:space="0" w:color="2474DB" w:themeColor="text1" w:themeTint="99"/>
        </w:tcBorders>
      </w:tcPr>
    </w:tblStylePr>
    <w:tblStylePr w:type="lastRow">
      <w:rPr>
        <w:b/>
        <w:bCs/>
      </w:rPr>
      <w:tblPr/>
      <w:tcPr>
        <w:tcBorders>
          <w:top w:val="double" w:sz="2" w:space="0" w:color="2474DB" w:themeColor="text1" w:themeTint="99"/>
        </w:tcBorders>
      </w:tcPr>
    </w:tblStylePr>
    <w:tblStylePr w:type="firstCol">
      <w:rPr>
        <w:b/>
        <w:bCs/>
      </w:rPr>
    </w:tblStylePr>
    <w:tblStylePr w:type="lastCol">
      <w:rPr>
        <w:b/>
        <w:bCs/>
      </w:rPr>
    </w:tblStylePr>
  </w:style>
  <w:style w:type="character" w:customStyle="1" w:styleId="Bullet1Char">
    <w:name w:val="Bullet 1 Char"/>
    <w:basedOn w:val="Fuentedeprrafopredeter"/>
    <w:link w:val="Bullet1"/>
    <w:locked/>
    <w:rsid w:val="00A01A39"/>
    <w:rPr>
      <w:sz w:val="20"/>
      <w:lang w:val="es-ES"/>
    </w:rPr>
  </w:style>
  <w:style w:type="paragraph" w:styleId="Listaconvietas2">
    <w:name w:val="List Bullet 2"/>
    <w:aliases w:val="Bullet 2,B_Bullet 2"/>
    <w:basedOn w:val="Normal"/>
    <w:unhideWhenUsed/>
    <w:qFormat/>
    <w:rsid w:val="00432289"/>
    <w:pPr>
      <w:numPr>
        <w:ilvl w:val="1"/>
        <w:numId w:val="4"/>
      </w:numPr>
      <w:spacing w:before="0" w:after="120"/>
    </w:pPr>
  </w:style>
  <w:style w:type="paragraph" w:styleId="Listaconvietas3">
    <w:name w:val="List Bullet 3"/>
    <w:aliases w:val="Bullet 3,B_Bullet 3"/>
    <w:basedOn w:val="Normal"/>
    <w:unhideWhenUsed/>
    <w:qFormat/>
    <w:rsid w:val="00432289"/>
    <w:pPr>
      <w:numPr>
        <w:ilvl w:val="2"/>
        <w:numId w:val="4"/>
      </w:numPr>
      <w:spacing w:before="0" w:after="120"/>
    </w:pPr>
  </w:style>
  <w:style w:type="paragraph" w:styleId="Textonotapie">
    <w:name w:val="footnote text"/>
    <w:aliases w:val="Footnote,Fußnote,FN,fn Car,footnote text Car,Footnotes Car,Footnote ak Car,Texto nota pie Car1,Texto nota pie Car2 Car Car,Texto nota pie Car Car1 Car Car,Texto nota pie Car Car Car Car Car Car Car Car1 Car Car,Footnote referenc,fn,f,Car"/>
    <w:basedOn w:val="Normal"/>
    <w:link w:val="TextonotapieCar"/>
    <w:uiPriority w:val="99"/>
    <w:unhideWhenUsed/>
    <w:qFormat/>
    <w:rsid w:val="00895777"/>
    <w:pPr>
      <w:spacing w:before="0" w:after="0" w:line="240" w:lineRule="auto"/>
    </w:pPr>
    <w:rPr>
      <w:sz w:val="16"/>
      <w:szCs w:val="20"/>
    </w:rPr>
  </w:style>
  <w:style w:type="character" w:customStyle="1" w:styleId="TextonotapieCar">
    <w:name w:val="Texto nota pie Car"/>
    <w:aliases w:val="Footnote Car,Fußnote Car,FN Car,fn Car Car,footnote text Car Car,Footnotes Car Car,Footnote ak Car Car,Texto nota pie Car1 Car,Texto nota pie Car2 Car Car Car,Texto nota pie Car Car1 Car Car Car,Footnote referenc Car,fn Car1,f Car"/>
    <w:basedOn w:val="Fuentedeprrafopredeter"/>
    <w:link w:val="Textonotapie"/>
    <w:uiPriority w:val="99"/>
    <w:rsid w:val="00895777"/>
    <w:rPr>
      <w:sz w:val="16"/>
      <w:szCs w:val="20"/>
      <w:lang w:val="es-ES"/>
    </w:rPr>
  </w:style>
  <w:style w:type="character" w:styleId="Refdenotaalpie">
    <w:name w:val="footnote reference"/>
    <w:aliases w:val="Footnote Reference Superscript,Ref,de nota al pie,FC,Appel note de bas de p,referencia nota al pie,Footnote symbol,Texto de nota al pie,Footnotes refss,Appel note de bas de page,fr,o,Style 6,Style 12,(NECG) Footnote Reference,Nota,FR"/>
    <w:basedOn w:val="Fuentedeprrafopredeter"/>
    <w:uiPriority w:val="99"/>
    <w:unhideWhenUsed/>
    <w:qFormat/>
    <w:rsid w:val="00432289"/>
    <w:rPr>
      <w:vertAlign w:val="superscript"/>
    </w:rPr>
  </w:style>
  <w:style w:type="paragraph" w:styleId="Continuarlista">
    <w:name w:val="List Continue"/>
    <w:basedOn w:val="Normal"/>
    <w:uiPriority w:val="99"/>
    <w:unhideWhenUsed/>
    <w:rsid w:val="00432289"/>
    <w:pPr>
      <w:spacing w:after="120"/>
      <w:ind w:left="283"/>
      <w:contextualSpacing/>
    </w:pPr>
  </w:style>
  <w:style w:type="paragraph" w:styleId="Lista">
    <w:name w:val="List"/>
    <w:basedOn w:val="Normal"/>
    <w:uiPriority w:val="99"/>
    <w:unhideWhenUsed/>
    <w:rsid w:val="00432289"/>
    <w:pPr>
      <w:ind w:left="283" w:hanging="283"/>
      <w:contextualSpacing/>
    </w:pPr>
  </w:style>
  <w:style w:type="paragraph" w:styleId="Listaconnmeros">
    <w:name w:val="List Number"/>
    <w:basedOn w:val="Normal"/>
    <w:link w:val="ListaconnmerosCar"/>
    <w:uiPriority w:val="4"/>
    <w:unhideWhenUsed/>
    <w:qFormat/>
    <w:rsid w:val="00432289"/>
    <w:pPr>
      <w:numPr>
        <w:numId w:val="3"/>
      </w:numPr>
      <w:spacing w:before="120" w:after="120"/>
    </w:pPr>
  </w:style>
  <w:style w:type="table" w:styleId="Tablaconlista1">
    <w:name w:val="Table List 1"/>
    <w:basedOn w:val="Tablanormal"/>
    <w:uiPriority w:val="99"/>
    <w:unhideWhenUsed/>
    <w:rsid w:val="00432289"/>
    <w:pPr>
      <w:spacing w:before="240" w:after="240"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unhideWhenUsed/>
    <w:rsid w:val="00432289"/>
    <w:rPr>
      <w:sz w:val="16"/>
      <w:szCs w:val="16"/>
    </w:rPr>
  </w:style>
  <w:style w:type="paragraph" w:styleId="Textocomentario">
    <w:name w:val="annotation text"/>
    <w:basedOn w:val="Normal"/>
    <w:link w:val="TextocomentarioCar"/>
    <w:uiPriority w:val="99"/>
    <w:unhideWhenUsed/>
    <w:rsid w:val="00432289"/>
    <w:pPr>
      <w:spacing w:line="240" w:lineRule="auto"/>
    </w:pPr>
    <w:rPr>
      <w:szCs w:val="20"/>
    </w:rPr>
  </w:style>
  <w:style w:type="character" w:customStyle="1" w:styleId="TextocomentarioCar">
    <w:name w:val="Texto comentario Car"/>
    <w:basedOn w:val="Fuentedeprrafopredeter"/>
    <w:link w:val="Textocomentario"/>
    <w:uiPriority w:val="99"/>
    <w:rsid w:val="00432289"/>
    <w:rPr>
      <w:sz w:val="20"/>
      <w:szCs w:val="20"/>
    </w:rPr>
  </w:style>
  <w:style w:type="paragraph" w:styleId="Asuntodelcomentario">
    <w:name w:val="annotation subject"/>
    <w:basedOn w:val="Textocomentario"/>
    <w:next w:val="Textocomentario"/>
    <w:link w:val="AsuntodelcomentarioCar"/>
    <w:uiPriority w:val="99"/>
    <w:semiHidden/>
    <w:unhideWhenUsed/>
    <w:rsid w:val="00432289"/>
    <w:rPr>
      <w:b/>
      <w:bCs/>
    </w:rPr>
  </w:style>
  <w:style w:type="character" w:customStyle="1" w:styleId="AsuntodelcomentarioCar">
    <w:name w:val="Asunto del comentario Car"/>
    <w:basedOn w:val="TextocomentarioCar"/>
    <w:link w:val="Asuntodelcomentario"/>
    <w:uiPriority w:val="99"/>
    <w:semiHidden/>
    <w:rsid w:val="00432289"/>
    <w:rPr>
      <w:b/>
      <w:bCs/>
      <w:sz w:val="20"/>
      <w:szCs w:val="20"/>
    </w:rPr>
  </w:style>
  <w:style w:type="paragraph" w:styleId="Prrafodelista">
    <w:name w:val="List Paragraph"/>
    <w:basedOn w:val="Normal"/>
    <w:link w:val="PrrafodelistaCar"/>
    <w:uiPriority w:val="34"/>
    <w:rsid w:val="00432289"/>
    <w:pPr>
      <w:spacing w:line="336" w:lineRule="auto"/>
      <w:ind w:left="720"/>
      <w:contextualSpacing/>
    </w:pPr>
    <w:rPr>
      <w:rFonts w:ascii="Verdana" w:eastAsia="Times New Roman" w:hAnsi="Verdana" w:cs="Times New Roman"/>
      <w:szCs w:val="24"/>
      <w:lang w:eastAsia="es-ES"/>
    </w:rPr>
  </w:style>
  <w:style w:type="character" w:customStyle="1" w:styleId="PrrafodelistaCar">
    <w:name w:val="Párrafo de lista Car"/>
    <w:link w:val="Prrafodelista"/>
    <w:uiPriority w:val="34"/>
    <w:locked/>
    <w:rsid w:val="00432289"/>
    <w:rPr>
      <w:rFonts w:ascii="Verdana" w:eastAsia="Times New Roman" w:hAnsi="Verdana" w:cs="Times New Roman"/>
      <w:sz w:val="20"/>
      <w:szCs w:val="24"/>
      <w:lang w:eastAsia="es-ES"/>
    </w:rPr>
  </w:style>
  <w:style w:type="paragraph" w:customStyle="1" w:styleId="TableListBullet">
    <w:name w:val="Table List Bullet"/>
    <w:basedOn w:val="Normal"/>
    <w:link w:val="TableListBulletChar"/>
    <w:uiPriority w:val="6"/>
    <w:qFormat/>
    <w:rsid w:val="00C125C0"/>
    <w:pPr>
      <w:numPr>
        <w:numId w:val="5"/>
      </w:numPr>
      <w:tabs>
        <w:tab w:val="left" w:pos="284"/>
      </w:tabs>
      <w:spacing w:before="40" w:after="40" w:line="240" w:lineRule="auto"/>
      <w:ind w:left="227" w:right="227" w:hanging="227"/>
      <w:jc w:val="left"/>
    </w:pPr>
    <w:rPr>
      <w:sz w:val="16"/>
      <w:szCs w:val="16"/>
    </w:rPr>
  </w:style>
  <w:style w:type="paragraph" w:customStyle="1" w:styleId="TableHeading">
    <w:name w:val="Table Heading"/>
    <w:basedOn w:val="Normal"/>
    <w:uiPriority w:val="5"/>
    <w:qFormat/>
    <w:rsid w:val="00432289"/>
    <w:pPr>
      <w:spacing w:before="60" w:after="60" w:line="240" w:lineRule="auto"/>
      <w:jc w:val="center"/>
    </w:pPr>
    <w:rPr>
      <w:bCs/>
      <w:color w:val="FFFFFF"/>
      <w:sz w:val="18"/>
      <w:szCs w:val="16"/>
    </w:rPr>
  </w:style>
  <w:style w:type="paragraph" w:customStyle="1" w:styleId="TableParagraph">
    <w:name w:val="Table Paragraph"/>
    <w:basedOn w:val="Normal"/>
    <w:uiPriority w:val="5"/>
    <w:qFormat/>
    <w:rsid w:val="00432289"/>
    <w:pPr>
      <w:spacing w:before="60" w:after="60" w:line="240" w:lineRule="auto"/>
      <w:jc w:val="left"/>
    </w:pPr>
    <w:rPr>
      <w:color w:val="000000"/>
      <w:sz w:val="18"/>
      <w:szCs w:val="16"/>
    </w:rPr>
  </w:style>
  <w:style w:type="character" w:styleId="Textodelmarcadordeposicin">
    <w:name w:val="Placeholder Text"/>
    <w:basedOn w:val="Fuentedeprrafopredeter"/>
    <w:uiPriority w:val="99"/>
    <w:semiHidden/>
    <w:rsid w:val="00432289"/>
    <w:rPr>
      <w:color w:val="808080"/>
    </w:rPr>
  </w:style>
  <w:style w:type="paragraph" w:customStyle="1" w:styleId="NumberedParagraph">
    <w:name w:val="Numbered Paragraph"/>
    <w:basedOn w:val="Normal"/>
    <w:link w:val="NumberedParagraphChar"/>
    <w:uiPriority w:val="1"/>
    <w:rsid w:val="00F902DD"/>
    <w:pPr>
      <w:numPr>
        <w:numId w:val="1"/>
      </w:numPr>
    </w:pPr>
  </w:style>
  <w:style w:type="character" w:customStyle="1" w:styleId="ListaconnmerosCar">
    <w:name w:val="Lista con números Car"/>
    <w:basedOn w:val="Fuentedeprrafopredeter"/>
    <w:link w:val="Listaconnmeros"/>
    <w:uiPriority w:val="4"/>
    <w:rsid w:val="00432289"/>
    <w:rPr>
      <w:sz w:val="20"/>
      <w:lang w:val="es-ES"/>
    </w:rPr>
  </w:style>
  <w:style w:type="character" w:customStyle="1" w:styleId="NumberedParagraphChar">
    <w:name w:val="Numbered Paragraph Char"/>
    <w:basedOn w:val="Fuentedeprrafopredeter"/>
    <w:link w:val="NumberedParagraph"/>
    <w:uiPriority w:val="1"/>
    <w:rsid w:val="00F902DD"/>
    <w:rPr>
      <w:sz w:val="20"/>
      <w:lang w:val="es-ES"/>
    </w:rPr>
  </w:style>
  <w:style w:type="table" w:customStyle="1" w:styleId="Axon">
    <w:name w:val="Axon"/>
    <w:basedOn w:val="Tablanormal"/>
    <w:uiPriority w:val="99"/>
    <w:rsid w:val="0006401D"/>
    <w:pPr>
      <w:spacing w:after="0" w:line="240" w:lineRule="auto"/>
    </w:pPr>
    <w:rPr>
      <w:rFonts w:eastAsia="Calibri" w:cs="Times New Roman"/>
      <w:sz w:val="20"/>
      <w:szCs w:val="20"/>
      <w:lang w:val="en-US"/>
    </w:rPr>
    <w:tblPr>
      <w:tblBorders>
        <w:bottom w:val="single" w:sz="4" w:space="0" w:color="0C2749" w:themeColor="text1"/>
        <w:insideH w:val="single" w:sz="4" w:space="0" w:color="0C2749" w:themeColor="text1"/>
      </w:tblBorders>
    </w:tblPr>
    <w:trPr>
      <w:cantSplit/>
    </w:trPr>
    <w:tcPr>
      <w:vAlign w:val="center"/>
    </w:tcPr>
    <w:tblStylePr w:type="firstRow">
      <w:pPr>
        <w:pageBreakBefore w:val="0"/>
        <w:wordWrap/>
        <w:spacing w:beforeLines="0" w:before="0" w:beforeAutospacing="0" w:afterLines="0" w:after="0" w:afterAutospacing="0" w:line="240" w:lineRule="auto"/>
        <w:jc w:val="left"/>
      </w:pPr>
      <w:rPr>
        <w:rFonts w:asciiTheme="minorHAnsi" w:hAnsiTheme="minorHAnsi"/>
        <w:b/>
        <w:sz w:val="20"/>
      </w:rPr>
      <w:tblPr/>
      <w:tcPr>
        <w:tcBorders>
          <w:insideH w:val="single" w:sz="4" w:space="0" w:color="FFFFFF" w:themeColor="background1"/>
          <w:insideV w:val="single" w:sz="4" w:space="0" w:color="FFFFFF" w:themeColor="background1"/>
        </w:tcBorders>
        <w:shd w:val="clear" w:color="auto" w:fill="0C2749" w:themeFill="text1"/>
      </w:tcPr>
    </w:tblStylePr>
    <w:tblStylePr w:type="lastRow">
      <w:rPr>
        <w:b/>
      </w:rPr>
      <w:tblPr/>
      <w:tcPr>
        <w:tcBorders>
          <w:top w:val="double" w:sz="4" w:space="0" w:color="0C2749" w:themeColor="text1"/>
        </w:tcBorders>
      </w:tcPr>
    </w:tblStylePr>
    <w:tblStylePr w:type="firstCol">
      <w:rPr>
        <w:rFonts w:asciiTheme="minorHAnsi" w:hAnsiTheme="minorHAnsi"/>
        <w:sz w:val="18"/>
      </w:rPr>
    </w:tblStylePr>
    <w:tblStylePr w:type="lastCol">
      <w:rPr>
        <w:rFonts w:asciiTheme="minorHAnsi" w:hAnsiTheme="minorHAnsi"/>
        <w:sz w:val="20"/>
      </w:rPr>
    </w:tblStylePr>
  </w:style>
  <w:style w:type="paragraph" w:customStyle="1" w:styleId="ListRomans">
    <w:name w:val="List Romans"/>
    <w:basedOn w:val="Normal"/>
    <w:link w:val="ListRomansChar"/>
    <w:uiPriority w:val="5"/>
    <w:qFormat/>
    <w:rsid w:val="00432289"/>
    <w:pPr>
      <w:numPr>
        <w:numId w:val="6"/>
      </w:numPr>
      <w:spacing w:before="120" w:after="120"/>
    </w:pPr>
  </w:style>
  <w:style w:type="paragraph" w:customStyle="1" w:styleId="ListAlphabet">
    <w:name w:val="List Alphabet"/>
    <w:basedOn w:val="Normal"/>
    <w:link w:val="ListAlphabetChar"/>
    <w:uiPriority w:val="5"/>
    <w:qFormat/>
    <w:rsid w:val="002E7A00"/>
    <w:pPr>
      <w:numPr>
        <w:numId w:val="7"/>
      </w:numPr>
      <w:spacing w:before="120" w:after="120"/>
    </w:pPr>
  </w:style>
  <w:style w:type="character" w:customStyle="1" w:styleId="ListRomansChar">
    <w:name w:val="List Romans Char"/>
    <w:basedOn w:val="Fuentedeprrafopredeter"/>
    <w:link w:val="ListRomans"/>
    <w:uiPriority w:val="5"/>
    <w:rsid w:val="00432289"/>
    <w:rPr>
      <w:sz w:val="20"/>
      <w:lang w:val="es-ES"/>
    </w:rPr>
  </w:style>
  <w:style w:type="character" w:customStyle="1" w:styleId="ListAlphabetChar">
    <w:name w:val="List Alphabet Char"/>
    <w:basedOn w:val="Fuentedeprrafopredeter"/>
    <w:link w:val="ListAlphabet"/>
    <w:uiPriority w:val="5"/>
    <w:rsid w:val="002E7A00"/>
    <w:rPr>
      <w:sz w:val="20"/>
      <w:lang w:val="es-ES"/>
    </w:rPr>
  </w:style>
  <w:style w:type="character" w:styleId="Nmerodelnea">
    <w:name w:val="line number"/>
    <w:basedOn w:val="Fuentedeprrafopredeter"/>
    <w:uiPriority w:val="99"/>
    <w:semiHidden/>
    <w:unhideWhenUsed/>
    <w:rsid w:val="00432289"/>
  </w:style>
  <w:style w:type="paragraph" w:customStyle="1" w:styleId="Annex1">
    <w:name w:val="Annex 1"/>
    <w:basedOn w:val="Ttulo1"/>
    <w:next w:val="Normal"/>
    <w:link w:val="Annex1Char"/>
    <w:uiPriority w:val="99"/>
    <w:qFormat/>
    <w:rsid w:val="007F162F"/>
    <w:pPr>
      <w:numPr>
        <w:numId w:val="9"/>
      </w:numPr>
    </w:pPr>
  </w:style>
  <w:style w:type="paragraph" w:customStyle="1" w:styleId="Annex2">
    <w:name w:val="Annex 2"/>
    <w:basedOn w:val="Annex1"/>
    <w:next w:val="Normal"/>
    <w:link w:val="Annex2Char"/>
    <w:uiPriority w:val="99"/>
    <w:qFormat/>
    <w:rsid w:val="007F162F"/>
    <w:pPr>
      <w:pageBreakBefore w:val="0"/>
      <w:numPr>
        <w:ilvl w:val="1"/>
      </w:numPr>
    </w:pPr>
    <w:rPr>
      <w:sz w:val="28"/>
    </w:rPr>
  </w:style>
  <w:style w:type="character" w:customStyle="1" w:styleId="Annex1Char">
    <w:name w:val="Annex 1 Char"/>
    <w:basedOn w:val="Ttulo1Car"/>
    <w:link w:val="Annex1"/>
    <w:uiPriority w:val="99"/>
    <w:rsid w:val="007F162F"/>
    <w:rPr>
      <w:rFonts w:asciiTheme="majorHAnsi" w:eastAsiaTheme="majorEastAsia" w:hAnsiTheme="majorHAnsi" w:cstheme="majorBidi"/>
      <w:b/>
      <w:color w:val="0C2749" w:themeColor="text1"/>
      <w:sz w:val="36"/>
      <w:szCs w:val="32"/>
      <w:lang w:val="es-ES"/>
    </w:rPr>
  </w:style>
  <w:style w:type="character" w:customStyle="1" w:styleId="Annex2Char">
    <w:name w:val="Annex 2 Char"/>
    <w:basedOn w:val="Annex1Char"/>
    <w:link w:val="Annex2"/>
    <w:uiPriority w:val="99"/>
    <w:rsid w:val="007F162F"/>
    <w:rPr>
      <w:rFonts w:asciiTheme="majorHAnsi" w:eastAsiaTheme="majorEastAsia" w:hAnsiTheme="majorHAnsi" w:cstheme="majorBidi"/>
      <w:b/>
      <w:color w:val="0C2749" w:themeColor="text1"/>
      <w:sz w:val="28"/>
      <w:szCs w:val="32"/>
      <w:lang w:val="es-ES"/>
    </w:rPr>
  </w:style>
  <w:style w:type="paragraph" w:customStyle="1" w:styleId="Annex3">
    <w:name w:val="Annex 3"/>
    <w:basedOn w:val="Annex2"/>
    <w:next w:val="Normal"/>
    <w:link w:val="Annex3Char"/>
    <w:uiPriority w:val="99"/>
    <w:qFormat/>
    <w:rsid w:val="007F162F"/>
    <w:pPr>
      <w:numPr>
        <w:ilvl w:val="2"/>
        <w:numId w:val="8"/>
      </w:numPr>
      <w:ind w:left="0" w:firstLine="0"/>
      <w:jc w:val="left"/>
    </w:pPr>
    <w:rPr>
      <w:sz w:val="24"/>
    </w:rPr>
  </w:style>
  <w:style w:type="character" w:customStyle="1" w:styleId="Annex3Char">
    <w:name w:val="Annex 3 Char"/>
    <w:basedOn w:val="Annex2Char"/>
    <w:link w:val="Annex3"/>
    <w:uiPriority w:val="99"/>
    <w:rsid w:val="007F162F"/>
    <w:rPr>
      <w:rFonts w:asciiTheme="majorHAnsi" w:eastAsiaTheme="majorEastAsia" w:hAnsiTheme="majorHAnsi" w:cstheme="majorBidi"/>
      <w:b/>
      <w:color w:val="0C2749" w:themeColor="text1"/>
      <w:sz w:val="24"/>
      <w:szCs w:val="32"/>
      <w:lang w:val="es-ES"/>
    </w:rPr>
  </w:style>
  <w:style w:type="table" w:styleId="Tablanormal2">
    <w:name w:val="Plain Table 2"/>
    <w:basedOn w:val="Tablanormal"/>
    <w:uiPriority w:val="42"/>
    <w:rsid w:val="00432289"/>
    <w:pPr>
      <w:spacing w:after="0" w:line="240" w:lineRule="auto"/>
    </w:pPr>
    <w:tblPr>
      <w:tblStyleRowBandSize w:val="1"/>
      <w:tblStyleColBandSize w:val="1"/>
      <w:tblBorders>
        <w:top w:val="single" w:sz="4" w:space="0" w:color="478BE1" w:themeColor="text1" w:themeTint="80"/>
        <w:bottom w:val="single" w:sz="4" w:space="0" w:color="478BE1" w:themeColor="text1" w:themeTint="80"/>
      </w:tblBorders>
    </w:tblPr>
    <w:tblStylePr w:type="firstRow">
      <w:rPr>
        <w:b/>
        <w:bCs/>
      </w:rPr>
      <w:tblPr/>
      <w:tcPr>
        <w:tcBorders>
          <w:bottom w:val="single" w:sz="4" w:space="0" w:color="478BE1" w:themeColor="text1" w:themeTint="80"/>
        </w:tcBorders>
      </w:tcPr>
    </w:tblStylePr>
    <w:tblStylePr w:type="lastRow">
      <w:rPr>
        <w:b/>
        <w:bCs/>
      </w:rPr>
      <w:tblPr/>
      <w:tcPr>
        <w:tcBorders>
          <w:top w:val="single" w:sz="4" w:space="0" w:color="478BE1" w:themeColor="text1" w:themeTint="80"/>
        </w:tcBorders>
      </w:tcPr>
    </w:tblStylePr>
    <w:tblStylePr w:type="firstCol">
      <w:rPr>
        <w:b/>
        <w:bCs/>
      </w:rPr>
    </w:tblStylePr>
    <w:tblStylePr w:type="lastCol">
      <w:rPr>
        <w:b/>
        <w:bCs/>
      </w:rPr>
    </w:tblStylePr>
    <w:tblStylePr w:type="band1Vert">
      <w:tblPr/>
      <w:tcPr>
        <w:tcBorders>
          <w:left w:val="single" w:sz="4" w:space="0" w:color="478BE1" w:themeColor="text1" w:themeTint="80"/>
          <w:right w:val="single" w:sz="4" w:space="0" w:color="478BE1" w:themeColor="text1" w:themeTint="80"/>
        </w:tcBorders>
      </w:tcPr>
    </w:tblStylePr>
    <w:tblStylePr w:type="band2Vert">
      <w:tblPr/>
      <w:tcPr>
        <w:tcBorders>
          <w:left w:val="single" w:sz="4" w:space="0" w:color="478BE1" w:themeColor="text1" w:themeTint="80"/>
          <w:right w:val="single" w:sz="4" w:space="0" w:color="478BE1" w:themeColor="text1" w:themeTint="80"/>
        </w:tcBorders>
      </w:tcPr>
    </w:tblStylePr>
    <w:tblStylePr w:type="band1Horz">
      <w:tblPr/>
      <w:tcPr>
        <w:tcBorders>
          <w:top w:val="single" w:sz="4" w:space="0" w:color="478BE1" w:themeColor="text1" w:themeTint="80"/>
          <w:bottom w:val="single" w:sz="4" w:space="0" w:color="478BE1" w:themeColor="text1" w:themeTint="80"/>
        </w:tcBorders>
      </w:tcPr>
    </w:tblStylePr>
  </w:style>
  <w:style w:type="character" w:customStyle="1" w:styleId="TableListBulletChar">
    <w:name w:val="Table List Bullet Char"/>
    <w:basedOn w:val="Fuentedeprrafopredeter"/>
    <w:link w:val="TableListBullet"/>
    <w:uiPriority w:val="6"/>
    <w:rsid w:val="00C125C0"/>
    <w:rPr>
      <w:sz w:val="16"/>
      <w:szCs w:val="16"/>
      <w:lang w:val="es-ES"/>
    </w:rPr>
  </w:style>
  <w:style w:type="character" w:customStyle="1" w:styleId="DescripcinCar">
    <w:name w:val="Descripción Car"/>
    <w:aliases w:val="Gráfico Car,Tabla1 Car,Tabla1+verde azulado Car,Epígrafe1 Car"/>
    <w:basedOn w:val="Fuentedeprrafopredeter"/>
    <w:link w:val="Descripcin"/>
    <w:uiPriority w:val="35"/>
    <w:rsid w:val="00E92D59"/>
    <w:rPr>
      <w:b/>
      <w:iCs/>
      <w:sz w:val="16"/>
      <w:szCs w:val="18"/>
    </w:rPr>
  </w:style>
  <w:style w:type="paragraph" w:customStyle="1" w:styleId="Tableheading0">
    <w:name w:val="Table: heading"/>
    <w:basedOn w:val="Normal"/>
    <w:qFormat/>
    <w:rsid w:val="00E92D59"/>
    <w:pPr>
      <w:spacing w:before="60" w:after="60" w:line="240" w:lineRule="auto"/>
      <w:jc w:val="center"/>
    </w:pPr>
    <w:rPr>
      <w:rFonts w:ascii="Verdana" w:eastAsia="Times New Roman" w:hAnsi="Verdana" w:cs="Times New Roman"/>
      <w:b/>
      <w:color w:val="FFFFFF" w:themeColor="background1"/>
      <w:sz w:val="16"/>
      <w:szCs w:val="24"/>
      <w:lang w:val="es-ES_tradnl" w:eastAsia="es-ES"/>
    </w:rPr>
  </w:style>
  <w:style w:type="paragraph" w:customStyle="1" w:styleId="Indentado2">
    <w:name w:val="Indentado 2"/>
    <w:basedOn w:val="Normal"/>
    <w:uiPriority w:val="99"/>
    <w:rsid w:val="00E92D59"/>
    <w:pPr>
      <w:numPr>
        <w:numId w:val="10"/>
      </w:numPr>
      <w:spacing w:before="0" w:after="0" w:line="336" w:lineRule="auto"/>
    </w:pPr>
    <w:rPr>
      <w:rFonts w:ascii="Verdana" w:eastAsia="Times New Roman" w:hAnsi="Verdana" w:cs="Times New Roman"/>
      <w:szCs w:val="24"/>
      <w:lang w:val="es-ES_tradnl" w:eastAsia="es-ES"/>
    </w:rPr>
  </w:style>
  <w:style w:type="paragraph" w:customStyle="1" w:styleId="Indentado1">
    <w:name w:val="Indentado 1"/>
    <w:basedOn w:val="Normal"/>
    <w:link w:val="Indentado1Car"/>
    <w:autoRedefine/>
    <w:rsid w:val="00E92D59"/>
    <w:pPr>
      <w:numPr>
        <w:numId w:val="11"/>
      </w:numPr>
      <w:spacing w:before="0" w:after="60" w:line="336" w:lineRule="auto"/>
      <w:ind w:left="709"/>
    </w:pPr>
    <w:rPr>
      <w:rFonts w:ascii="Verdana" w:eastAsia="Times New Roman" w:hAnsi="Verdana" w:cs="Times New Roman"/>
      <w:szCs w:val="24"/>
      <w:lang w:val="es-ES_tradnl" w:eastAsia="es-ES"/>
    </w:rPr>
  </w:style>
  <w:style w:type="paragraph" w:customStyle="1" w:styleId="Bullet1">
    <w:name w:val="Bullet 1"/>
    <w:basedOn w:val="Indentado1"/>
    <w:link w:val="Bullet1Char"/>
    <w:autoRedefine/>
    <w:qFormat/>
    <w:rsid w:val="00A01A39"/>
    <w:pPr>
      <w:numPr>
        <w:numId w:val="14"/>
      </w:numPr>
      <w:tabs>
        <w:tab w:val="left" w:pos="3686"/>
      </w:tabs>
      <w:spacing w:after="120" w:line="360" w:lineRule="auto"/>
    </w:pPr>
    <w:rPr>
      <w:rFonts w:asciiTheme="minorHAnsi" w:eastAsiaTheme="minorHAnsi" w:hAnsiTheme="minorHAnsi" w:cstheme="minorBidi"/>
      <w:szCs w:val="22"/>
      <w:lang w:val="es-ES" w:eastAsia="en-US"/>
    </w:rPr>
  </w:style>
  <w:style w:type="paragraph" w:customStyle="1" w:styleId="Tablecells">
    <w:name w:val="Table: cells"/>
    <w:qFormat/>
    <w:rsid w:val="00E92D59"/>
    <w:pPr>
      <w:spacing w:before="40" w:after="40" w:line="240" w:lineRule="auto"/>
      <w:jc w:val="center"/>
    </w:pPr>
    <w:rPr>
      <w:sz w:val="16"/>
      <w:lang w:val="es-ES"/>
    </w:rPr>
  </w:style>
  <w:style w:type="paragraph" w:customStyle="1" w:styleId="Bullet4">
    <w:name w:val="Bullet 4"/>
    <w:basedOn w:val="Listaconvietas3"/>
    <w:rsid w:val="00E92D59"/>
    <w:pPr>
      <w:numPr>
        <w:ilvl w:val="0"/>
        <w:numId w:val="0"/>
      </w:numPr>
      <w:spacing w:after="60" w:line="336" w:lineRule="auto"/>
      <w:ind w:left="1474" w:hanging="453"/>
      <w:contextualSpacing/>
    </w:pPr>
    <w:rPr>
      <w:rFonts w:ascii="Verdana" w:eastAsia="Calibri" w:hAnsi="Verdana" w:cs="Times New Roman"/>
      <w:szCs w:val="32"/>
      <w:lang w:eastAsia="es-ES"/>
    </w:rPr>
  </w:style>
  <w:style w:type="character" w:styleId="Mencionar">
    <w:name w:val="Mention"/>
    <w:basedOn w:val="Fuentedeprrafopredeter"/>
    <w:uiPriority w:val="99"/>
    <w:unhideWhenUsed/>
    <w:rsid w:val="00E92D59"/>
    <w:rPr>
      <w:color w:val="2B579A"/>
      <w:shd w:val="clear" w:color="auto" w:fill="E1DFDD"/>
    </w:rPr>
  </w:style>
  <w:style w:type="paragraph" w:styleId="NormalWeb">
    <w:name w:val="Normal (Web)"/>
    <w:basedOn w:val="Normal"/>
    <w:uiPriority w:val="99"/>
    <w:unhideWhenUsed/>
    <w:rsid w:val="00F5514D"/>
    <w:pPr>
      <w:spacing w:before="100" w:beforeAutospacing="1" w:after="100" w:afterAutospacing="1" w:line="240" w:lineRule="auto"/>
      <w:jc w:val="left"/>
    </w:pPr>
    <w:rPr>
      <w:rFonts w:ascii="Times New Roman" w:eastAsia="Times New Roman" w:hAnsi="Times New Roman" w:cs="Times New Roman"/>
      <w:sz w:val="24"/>
      <w:szCs w:val="24"/>
      <w:lang w:val="es-ES_tradnl" w:eastAsia="es-ES_tradnl"/>
    </w:rPr>
  </w:style>
  <w:style w:type="character" w:customStyle="1" w:styleId="Indentado1Car">
    <w:name w:val="Indentado 1 Car"/>
    <w:link w:val="Indentado1"/>
    <w:rsid w:val="003B7DC5"/>
    <w:rPr>
      <w:rFonts w:ascii="Verdana" w:eastAsia="Times New Roman" w:hAnsi="Verdana" w:cs="Times New Roman"/>
      <w:sz w:val="20"/>
      <w:szCs w:val="24"/>
      <w:lang w:val="es-ES_tradnl" w:eastAsia="es-ES"/>
    </w:rPr>
  </w:style>
  <w:style w:type="paragraph" w:customStyle="1" w:styleId="Update">
    <w:name w:val="Update"/>
    <w:basedOn w:val="Normal"/>
    <w:link w:val="UpdateChar"/>
    <w:qFormat/>
    <w:rsid w:val="00637050"/>
    <w:pPr>
      <w:numPr>
        <w:numId w:val="12"/>
      </w:numPr>
      <w:pBdr>
        <w:top w:val="double" w:sz="4" w:space="1" w:color="0C2749" w:themeColor="accent1"/>
        <w:left w:val="double" w:sz="4" w:space="4" w:color="0C2749" w:themeColor="accent1"/>
        <w:bottom w:val="double" w:sz="4" w:space="0" w:color="0C2749" w:themeColor="accent1"/>
        <w:right w:val="double" w:sz="4" w:space="4" w:color="0C2749" w:themeColor="accent1"/>
      </w:pBdr>
      <w:spacing w:line="336" w:lineRule="auto"/>
    </w:pPr>
    <w:rPr>
      <w:rFonts w:ascii="Verdana" w:eastAsia="Times New Roman" w:hAnsi="Verdana" w:cs="Times New Roman"/>
      <w:b/>
      <w:color w:val="0C2749" w:themeColor="accent1"/>
      <w:szCs w:val="24"/>
      <w:lang w:val="en-GB" w:eastAsia="es-ES"/>
    </w:rPr>
  </w:style>
  <w:style w:type="character" w:customStyle="1" w:styleId="UpdateChar">
    <w:name w:val="Update Char"/>
    <w:basedOn w:val="Fuentedeprrafopredeter"/>
    <w:link w:val="Update"/>
    <w:rsid w:val="00637050"/>
    <w:rPr>
      <w:rFonts w:ascii="Verdana" w:eastAsia="Times New Roman" w:hAnsi="Verdana" w:cs="Times New Roman"/>
      <w:b/>
      <w:color w:val="0C2749" w:themeColor="accent1"/>
      <w:sz w:val="20"/>
      <w:szCs w:val="24"/>
      <w:lang w:eastAsia="es-ES"/>
    </w:rPr>
  </w:style>
  <w:style w:type="paragraph" w:styleId="Revisin">
    <w:name w:val="Revision"/>
    <w:hidden/>
    <w:uiPriority w:val="99"/>
    <w:semiHidden/>
    <w:rsid w:val="00FC6FFA"/>
    <w:pPr>
      <w:spacing w:after="0" w:line="240" w:lineRule="auto"/>
    </w:pPr>
    <w:rPr>
      <w:sz w:val="20"/>
      <w:lang w:val="es-ES"/>
    </w:rPr>
  </w:style>
  <w:style w:type="character" w:styleId="Hipervnculovisitado">
    <w:name w:val="FollowedHyperlink"/>
    <w:basedOn w:val="Fuentedeprrafopredeter"/>
    <w:uiPriority w:val="99"/>
    <w:semiHidden/>
    <w:unhideWhenUsed/>
    <w:rsid w:val="004F178B"/>
    <w:rPr>
      <w:color w:val="800080" w:themeColor="followedHyperlink"/>
      <w:u w:val="single"/>
    </w:rPr>
  </w:style>
  <w:style w:type="paragraph" w:styleId="Textodeglobo">
    <w:name w:val="Balloon Text"/>
    <w:basedOn w:val="Normal"/>
    <w:link w:val="TextodegloboCar"/>
    <w:uiPriority w:val="99"/>
    <w:semiHidden/>
    <w:unhideWhenUsed/>
    <w:rsid w:val="00574F0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4F0E"/>
    <w:rPr>
      <w:rFonts w:ascii="Segoe UI" w:hAnsi="Segoe UI" w:cs="Segoe UI"/>
      <w:sz w:val="18"/>
      <w:szCs w:val="18"/>
      <w:lang w:val="es-ES"/>
    </w:rPr>
  </w:style>
  <w:style w:type="character" w:styleId="Mencinsinresolver">
    <w:name w:val="Unresolved Mention"/>
    <w:basedOn w:val="Fuentedeprrafopredeter"/>
    <w:uiPriority w:val="99"/>
    <w:semiHidden/>
    <w:unhideWhenUsed/>
    <w:rsid w:val="00484468"/>
    <w:rPr>
      <w:color w:val="605E5C"/>
      <w:shd w:val="clear" w:color="auto" w:fill="E1DFDD"/>
    </w:rPr>
  </w:style>
  <w:style w:type="paragraph" w:customStyle="1" w:styleId="Recommendation">
    <w:name w:val="Recommendation"/>
    <w:basedOn w:val="Normal"/>
    <w:link w:val="RecommendationChar"/>
    <w:qFormat/>
    <w:rsid w:val="000B0832"/>
    <w:pPr>
      <w:pBdr>
        <w:top w:val="double" w:sz="4" w:space="1" w:color="0C2749" w:themeColor="accent1"/>
        <w:left w:val="double" w:sz="4" w:space="4" w:color="0C2749" w:themeColor="accent1"/>
        <w:bottom w:val="double" w:sz="4" w:space="0" w:color="0C2749" w:themeColor="accent1"/>
        <w:right w:val="double" w:sz="4" w:space="4" w:color="0C2749" w:themeColor="accent1"/>
      </w:pBdr>
      <w:spacing w:line="336" w:lineRule="auto"/>
    </w:pPr>
    <w:rPr>
      <w:rFonts w:ascii="Verdana" w:eastAsia="Times New Roman" w:hAnsi="Verdana" w:cs="Times New Roman"/>
      <w:b/>
      <w:color w:val="0C2749" w:themeColor="accent1"/>
      <w:szCs w:val="24"/>
      <w:lang w:val="en-GB" w:eastAsia="es-ES"/>
    </w:rPr>
  </w:style>
  <w:style w:type="character" w:customStyle="1" w:styleId="RecommendationChar">
    <w:name w:val="Recommendation Char"/>
    <w:basedOn w:val="Fuentedeprrafopredeter"/>
    <w:link w:val="Recommendation"/>
    <w:rsid w:val="000B0832"/>
    <w:rPr>
      <w:rFonts w:ascii="Verdana" w:eastAsia="Times New Roman" w:hAnsi="Verdana" w:cs="Times New Roman"/>
      <w:b/>
      <w:color w:val="0C2749" w:themeColor="accent1"/>
      <w:sz w:val="20"/>
      <w:szCs w:val="24"/>
      <w:lang w:eastAsia="es-ES"/>
    </w:rPr>
  </w:style>
  <w:style w:type="table" w:styleId="Tablanormal1">
    <w:name w:val="Plain Table 1"/>
    <w:basedOn w:val="Tablanormal"/>
    <w:uiPriority w:val="41"/>
    <w:rsid w:val="006712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avistosa-nfasis11">
    <w:name w:val="Lista vistosa - Énfasis 11"/>
    <w:basedOn w:val="Normal"/>
    <w:uiPriority w:val="34"/>
    <w:qFormat/>
    <w:rsid w:val="005521D4"/>
    <w:pPr>
      <w:spacing w:before="0" w:after="160" w:line="259" w:lineRule="auto"/>
      <w:ind w:left="720"/>
      <w:contextualSpacing/>
      <w:jc w:val="left"/>
    </w:pPr>
    <w:rPr>
      <w:rFonts w:ascii="Calibri" w:eastAsia="Calibri" w:hAnsi="Calibri" w:cs="Times New Roman"/>
      <w:sz w:val="22"/>
      <w:lang w:val="es-MX"/>
    </w:rPr>
  </w:style>
  <w:style w:type="paragraph" w:customStyle="1" w:styleId="Default">
    <w:name w:val="Default"/>
    <w:rsid w:val="005521D4"/>
    <w:pPr>
      <w:autoSpaceDE w:val="0"/>
      <w:autoSpaceDN w:val="0"/>
      <w:adjustRightInd w:val="0"/>
      <w:spacing w:after="0" w:line="240" w:lineRule="auto"/>
    </w:pPr>
    <w:rPr>
      <w:rFonts w:ascii="Times New Roman" w:eastAsia="Calibri" w:hAnsi="Times New Roman" w:cs="Times New Roman"/>
      <w:color w:val="000000"/>
      <w:sz w:val="24"/>
      <w:szCs w:val="24"/>
      <w:lang w:val="es-MX" w:eastAsia="es-MX"/>
    </w:rPr>
  </w:style>
  <w:style w:type="paragraph" w:styleId="Listaconvietas">
    <w:name w:val="List Bullet"/>
    <w:basedOn w:val="Normal"/>
    <w:semiHidden/>
    <w:unhideWhenUsed/>
    <w:qFormat/>
    <w:rsid w:val="00621A5D"/>
    <w:pPr>
      <w:numPr>
        <w:numId w:val="18"/>
      </w:numPr>
      <w:contextualSpacing/>
    </w:pPr>
  </w:style>
  <w:style w:type="table" w:styleId="Sombreadomedio2-nfasis1">
    <w:name w:val="Medium Shading 2 Accent 1"/>
    <w:basedOn w:val="Tablanormal"/>
    <w:uiPriority w:val="64"/>
    <w:rsid w:val="008E259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C27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C2749" w:themeFill="accent1"/>
      </w:tcPr>
    </w:tblStylePr>
    <w:tblStylePr w:type="lastCol">
      <w:rPr>
        <w:b/>
        <w:bCs/>
        <w:color w:val="FFFFFF" w:themeColor="background1"/>
      </w:rPr>
      <w:tblPr/>
      <w:tcPr>
        <w:tcBorders>
          <w:left w:val="nil"/>
          <w:right w:val="nil"/>
          <w:insideH w:val="nil"/>
          <w:insideV w:val="nil"/>
        </w:tcBorders>
        <w:shd w:val="clear" w:color="auto" w:fill="0C27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Estilo1">
    <w:name w:val="Estilo1"/>
    <w:uiPriority w:val="99"/>
    <w:rsid w:val="008E2592"/>
    <w:pPr>
      <w:numPr>
        <w:numId w:val="19"/>
      </w:numPr>
    </w:pPr>
  </w:style>
  <w:style w:type="paragraph" w:customStyle="1" w:styleId="TableH1">
    <w:name w:val="TableH1"/>
    <w:basedOn w:val="Normal"/>
    <w:link w:val="TableH1Char"/>
    <w:qFormat/>
    <w:rsid w:val="008D1854"/>
    <w:pPr>
      <w:spacing w:before="40" w:after="40" w:line="288" w:lineRule="auto"/>
      <w:jc w:val="center"/>
    </w:pPr>
    <w:rPr>
      <w:rFonts w:ascii="Arial" w:eastAsia="PMingLiU" w:hAnsi="Arial" w:cs="Arial"/>
      <w:b/>
      <w:bCs/>
      <w:color w:val="FFFFFF" w:themeColor="background1"/>
      <w:sz w:val="16"/>
      <w:szCs w:val="16"/>
      <w:lang w:val="en-GB" w:eastAsia="zh-TW"/>
    </w:rPr>
  </w:style>
  <w:style w:type="paragraph" w:customStyle="1" w:styleId="Tabletext">
    <w:name w:val="Table text"/>
    <w:basedOn w:val="Normal"/>
    <w:link w:val="TabletextChar"/>
    <w:qFormat/>
    <w:rsid w:val="008D1854"/>
    <w:pPr>
      <w:spacing w:before="40" w:after="40" w:line="288" w:lineRule="auto"/>
      <w:jc w:val="left"/>
    </w:pPr>
    <w:rPr>
      <w:rFonts w:ascii="Arial" w:eastAsia="PMingLiU" w:hAnsi="Arial" w:cs="Arial"/>
      <w:sz w:val="16"/>
      <w:szCs w:val="16"/>
      <w:lang w:val="en-GB" w:eastAsia="zh-TW"/>
    </w:rPr>
  </w:style>
  <w:style w:type="character" w:customStyle="1" w:styleId="TableH1Char">
    <w:name w:val="TableH1 Char"/>
    <w:basedOn w:val="Fuentedeprrafopredeter"/>
    <w:link w:val="TableH1"/>
    <w:rsid w:val="008D1854"/>
    <w:rPr>
      <w:rFonts w:ascii="Arial" w:eastAsia="PMingLiU" w:hAnsi="Arial" w:cs="Arial"/>
      <w:b/>
      <w:bCs/>
      <w:color w:val="FFFFFF" w:themeColor="background1"/>
      <w:sz w:val="16"/>
      <w:szCs w:val="16"/>
      <w:lang w:eastAsia="zh-TW"/>
    </w:rPr>
  </w:style>
  <w:style w:type="character" w:customStyle="1" w:styleId="TabletextChar">
    <w:name w:val="Table text Char"/>
    <w:basedOn w:val="Fuentedeprrafopredeter"/>
    <w:link w:val="Tabletext"/>
    <w:rsid w:val="008D1854"/>
    <w:rPr>
      <w:rFonts w:ascii="Arial" w:eastAsia="PMingLiU" w:hAnsi="Arial" w:cs="Arial"/>
      <w:sz w:val="16"/>
      <w:szCs w:val="16"/>
      <w:lang w:eastAsia="zh-TW"/>
    </w:rPr>
  </w:style>
  <w:style w:type="paragraph" w:customStyle="1" w:styleId="TableH2">
    <w:name w:val="TableH2"/>
    <w:basedOn w:val="TableH1"/>
    <w:link w:val="TableH2Char"/>
    <w:qFormat/>
    <w:rsid w:val="008D1854"/>
  </w:style>
  <w:style w:type="character" w:customStyle="1" w:styleId="TableH2Char">
    <w:name w:val="TableH2 Char"/>
    <w:basedOn w:val="TableH1Char"/>
    <w:link w:val="TableH2"/>
    <w:rsid w:val="008D1854"/>
    <w:rPr>
      <w:rFonts w:ascii="Arial" w:eastAsia="PMingLiU" w:hAnsi="Arial" w:cs="Arial"/>
      <w:b/>
      <w:bCs/>
      <w:color w:val="FFFFFF" w:themeColor="background1"/>
      <w:sz w:val="16"/>
      <w:szCs w:val="16"/>
      <w:lang w:eastAsia="zh-TW"/>
    </w:rPr>
  </w:style>
  <w:style w:type="table" w:styleId="Tablaconcuadrcula5oscura-nfasis5">
    <w:name w:val="Grid Table 5 Dark Accent 5"/>
    <w:basedOn w:val="Tablanormal"/>
    <w:uiPriority w:val="50"/>
    <w:rsid w:val="008D1854"/>
    <w:pPr>
      <w:spacing w:after="0" w:line="240" w:lineRule="auto"/>
    </w:pPr>
    <w:rPr>
      <w:lang w:val="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C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A0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A0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A0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A08F" w:themeFill="accent5"/>
      </w:tcPr>
    </w:tblStylePr>
    <w:tblStylePr w:type="band1Vert">
      <w:tblPr/>
      <w:tcPr>
        <w:shd w:val="clear" w:color="auto" w:fill="B9DAD2" w:themeFill="accent5" w:themeFillTint="66"/>
      </w:tcPr>
    </w:tblStylePr>
    <w:tblStylePr w:type="band1Horz">
      <w:tblPr/>
      <w:tcPr>
        <w:shd w:val="clear" w:color="auto" w:fill="B9DAD2"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13806">
      <w:bodyDiv w:val="1"/>
      <w:marLeft w:val="0"/>
      <w:marRight w:val="0"/>
      <w:marTop w:val="0"/>
      <w:marBottom w:val="0"/>
      <w:divBdr>
        <w:top w:val="none" w:sz="0" w:space="0" w:color="auto"/>
        <w:left w:val="none" w:sz="0" w:space="0" w:color="auto"/>
        <w:bottom w:val="none" w:sz="0" w:space="0" w:color="auto"/>
        <w:right w:val="none" w:sz="0" w:space="0" w:color="auto"/>
      </w:divBdr>
    </w:div>
    <w:div w:id="201599718">
      <w:bodyDiv w:val="1"/>
      <w:marLeft w:val="0"/>
      <w:marRight w:val="0"/>
      <w:marTop w:val="0"/>
      <w:marBottom w:val="0"/>
      <w:divBdr>
        <w:top w:val="none" w:sz="0" w:space="0" w:color="auto"/>
        <w:left w:val="none" w:sz="0" w:space="0" w:color="auto"/>
        <w:bottom w:val="none" w:sz="0" w:space="0" w:color="auto"/>
        <w:right w:val="none" w:sz="0" w:space="0" w:color="auto"/>
      </w:divBdr>
    </w:div>
    <w:div w:id="278420115">
      <w:bodyDiv w:val="1"/>
      <w:marLeft w:val="0"/>
      <w:marRight w:val="0"/>
      <w:marTop w:val="0"/>
      <w:marBottom w:val="0"/>
      <w:divBdr>
        <w:top w:val="none" w:sz="0" w:space="0" w:color="auto"/>
        <w:left w:val="none" w:sz="0" w:space="0" w:color="auto"/>
        <w:bottom w:val="none" w:sz="0" w:space="0" w:color="auto"/>
        <w:right w:val="none" w:sz="0" w:space="0" w:color="auto"/>
      </w:divBdr>
    </w:div>
    <w:div w:id="477840342">
      <w:bodyDiv w:val="1"/>
      <w:marLeft w:val="0"/>
      <w:marRight w:val="0"/>
      <w:marTop w:val="0"/>
      <w:marBottom w:val="0"/>
      <w:divBdr>
        <w:top w:val="none" w:sz="0" w:space="0" w:color="auto"/>
        <w:left w:val="none" w:sz="0" w:space="0" w:color="auto"/>
        <w:bottom w:val="none" w:sz="0" w:space="0" w:color="auto"/>
        <w:right w:val="none" w:sz="0" w:space="0" w:color="auto"/>
      </w:divBdr>
    </w:div>
    <w:div w:id="539784228">
      <w:bodyDiv w:val="1"/>
      <w:marLeft w:val="0"/>
      <w:marRight w:val="0"/>
      <w:marTop w:val="0"/>
      <w:marBottom w:val="0"/>
      <w:divBdr>
        <w:top w:val="none" w:sz="0" w:space="0" w:color="auto"/>
        <w:left w:val="none" w:sz="0" w:space="0" w:color="auto"/>
        <w:bottom w:val="none" w:sz="0" w:space="0" w:color="auto"/>
        <w:right w:val="none" w:sz="0" w:space="0" w:color="auto"/>
      </w:divBdr>
    </w:div>
    <w:div w:id="600452703">
      <w:bodyDiv w:val="1"/>
      <w:marLeft w:val="0"/>
      <w:marRight w:val="0"/>
      <w:marTop w:val="0"/>
      <w:marBottom w:val="0"/>
      <w:divBdr>
        <w:top w:val="none" w:sz="0" w:space="0" w:color="auto"/>
        <w:left w:val="none" w:sz="0" w:space="0" w:color="auto"/>
        <w:bottom w:val="none" w:sz="0" w:space="0" w:color="auto"/>
        <w:right w:val="none" w:sz="0" w:space="0" w:color="auto"/>
      </w:divBdr>
    </w:div>
    <w:div w:id="705367986">
      <w:bodyDiv w:val="1"/>
      <w:marLeft w:val="0"/>
      <w:marRight w:val="0"/>
      <w:marTop w:val="0"/>
      <w:marBottom w:val="0"/>
      <w:divBdr>
        <w:top w:val="none" w:sz="0" w:space="0" w:color="auto"/>
        <w:left w:val="none" w:sz="0" w:space="0" w:color="auto"/>
        <w:bottom w:val="none" w:sz="0" w:space="0" w:color="auto"/>
        <w:right w:val="none" w:sz="0" w:space="0" w:color="auto"/>
      </w:divBdr>
    </w:div>
    <w:div w:id="843519718">
      <w:bodyDiv w:val="1"/>
      <w:marLeft w:val="0"/>
      <w:marRight w:val="0"/>
      <w:marTop w:val="0"/>
      <w:marBottom w:val="0"/>
      <w:divBdr>
        <w:top w:val="none" w:sz="0" w:space="0" w:color="auto"/>
        <w:left w:val="none" w:sz="0" w:space="0" w:color="auto"/>
        <w:bottom w:val="none" w:sz="0" w:space="0" w:color="auto"/>
        <w:right w:val="none" w:sz="0" w:space="0" w:color="auto"/>
      </w:divBdr>
    </w:div>
    <w:div w:id="846100081">
      <w:bodyDiv w:val="1"/>
      <w:marLeft w:val="0"/>
      <w:marRight w:val="0"/>
      <w:marTop w:val="0"/>
      <w:marBottom w:val="0"/>
      <w:divBdr>
        <w:top w:val="none" w:sz="0" w:space="0" w:color="auto"/>
        <w:left w:val="none" w:sz="0" w:space="0" w:color="auto"/>
        <w:bottom w:val="none" w:sz="0" w:space="0" w:color="auto"/>
        <w:right w:val="none" w:sz="0" w:space="0" w:color="auto"/>
      </w:divBdr>
    </w:div>
    <w:div w:id="925576825">
      <w:bodyDiv w:val="1"/>
      <w:marLeft w:val="0"/>
      <w:marRight w:val="0"/>
      <w:marTop w:val="0"/>
      <w:marBottom w:val="0"/>
      <w:divBdr>
        <w:top w:val="none" w:sz="0" w:space="0" w:color="auto"/>
        <w:left w:val="none" w:sz="0" w:space="0" w:color="auto"/>
        <w:bottom w:val="none" w:sz="0" w:space="0" w:color="auto"/>
        <w:right w:val="none" w:sz="0" w:space="0" w:color="auto"/>
      </w:divBdr>
    </w:div>
    <w:div w:id="1026370013">
      <w:bodyDiv w:val="1"/>
      <w:marLeft w:val="0"/>
      <w:marRight w:val="0"/>
      <w:marTop w:val="0"/>
      <w:marBottom w:val="0"/>
      <w:divBdr>
        <w:top w:val="none" w:sz="0" w:space="0" w:color="auto"/>
        <w:left w:val="none" w:sz="0" w:space="0" w:color="auto"/>
        <w:bottom w:val="none" w:sz="0" w:space="0" w:color="auto"/>
        <w:right w:val="none" w:sz="0" w:space="0" w:color="auto"/>
      </w:divBdr>
    </w:div>
    <w:div w:id="1064327651">
      <w:bodyDiv w:val="1"/>
      <w:marLeft w:val="0"/>
      <w:marRight w:val="0"/>
      <w:marTop w:val="0"/>
      <w:marBottom w:val="0"/>
      <w:divBdr>
        <w:top w:val="none" w:sz="0" w:space="0" w:color="auto"/>
        <w:left w:val="none" w:sz="0" w:space="0" w:color="auto"/>
        <w:bottom w:val="none" w:sz="0" w:space="0" w:color="auto"/>
        <w:right w:val="none" w:sz="0" w:space="0" w:color="auto"/>
      </w:divBdr>
      <w:divsChild>
        <w:div w:id="1750342557">
          <w:marLeft w:val="0"/>
          <w:marRight w:val="0"/>
          <w:marTop w:val="0"/>
          <w:marBottom w:val="0"/>
          <w:divBdr>
            <w:top w:val="single" w:sz="2" w:space="0" w:color="D9D9E3"/>
            <w:left w:val="single" w:sz="2" w:space="0" w:color="D9D9E3"/>
            <w:bottom w:val="single" w:sz="2" w:space="0" w:color="D9D9E3"/>
            <w:right w:val="single" w:sz="2" w:space="0" w:color="D9D9E3"/>
          </w:divBdr>
          <w:divsChild>
            <w:div w:id="1512646388">
              <w:marLeft w:val="0"/>
              <w:marRight w:val="0"/>
              <w:marTop w:val="0"/>
              <w:marBottom w:val="0"/>
              <w:divBdr>
                <w:top w:val="single" w:sz="2" w:space="0" w:color="D9D9E3"/>
                <w:left w:val="single" w:sz="2" w:space="0" w:color="D9D9E3"/>
                <w:bottom w:val="single" w:sz="2" w:space="0" w:color="D9D9E3"/>
                <w:right w:val="single" w:sz="2" w:space="0" w:color="D9D9E3"/>
              </w:divBdr>
              <w:divsChild>
                <w:div w:id="1432583286">
                  <w:marLeft w:val="0"/>
                  <w:marRight w:val="0"/>
                  <w:marTop w:val="0"/>
                  <w:marBottom w:val="0"/>
                  <w:divBdr>
                    <w:top w:val="single" w:sz="2" w:space="0" w:color="D9D9E3"/>
                    <w:left w:val="single" w:sz="2" w:space="0" w:color="D9D9E3"/>
                    <w:bottom w:val="single" w:sz="2" w:space="0" w:color="D9D9E3"/>
                    <w:right w:val="single" w:sz="2" w:space="0" w:color="D9D9E3"/>
                  </w:divBdr>
                  <w:divsChild>
                    <w:div w:id="178398456">
                      <w:marLeft w:val="0"/>
                      <w:marRight w:val="0"/>
                      <w:marTop w:val="0"/>
                      <w:marBottom w:val="0"/>
                      <w:divBdr>
                        <w:top w:val="single" w:sz="2" w:space="0" w:color="D9D9E3"/>
                        <w:left w:val="single" w:sz="2" w:space="0" w:color="D9D9E3"/>
                        <w:bottom w:val="single" w:sz="2" w:space="0" w:color="D9D9E3"/>
                        <w:right w:val="single" w:sz="2" w:space="0" w:color="D9D9E3"/>
                      </w:divBdr>
                      <w:divsChild>
                        <w:div w:id="1473325439">
                          <w:marLeft w:val="0"/>
                          <w:marRight w:val="0"/>
                          <w:marTop w:val="0"/>
                          <w:marBottom w:val="0"/>
                          <w:divBdr>
                            <w:top w:val="single" w:sz="2" w:space="0" w:color="auto"/>
                            <w:left w:val="single" w:sz="2" w:space="0" w:color="auto"/>
                            <w:bottom w:val="single" w:sz="6" w:space="0" w:color="auto"/>
                            <w:right w:val="single" w:sz="2" w:space="0" w:color="auto"/>
                          </w:divBdr>
                          <w:divsChild>
                            <w:div w:id="1474249224">
                              <w:marLeft w:val="0"/>
                              <w:marRight w:val="0"/>
                              <w:marTop w:val="100"/>
                              <w:marBottom w:val="100"/>
                              <w:divBdr>
                                <w:top w:val="single" w:sz="2" w:space="0" w:color="D9D9E3"/>
                                <w:left w:val="single" w:sz="2" w:space="0" w:color="D9D9E3"/>
                                <w:bottom w:val="single" w:sz="2" w:space="0" w:color="D9D9E3"/>
                                <w:right w:val="single" w:sz="2" w:space="0" w:color="D9D9E3"/>
                              </w:divBdr>
                              <w:divsChild>
                                <w:div w:id="487601748">
                                  <w:marLeft w:val="0"/>
                                  <w:marRight w:val="0"/>
                                  <w:marTop w:val="0"/>
                                  <w:marBottom w:val="0"/>
                                  <w:divBdr>
                                    <w:top w:val="single" w:sz="2" w:space="0" w:color="D9D9E3"/>
                                    <w:left w:val="single" w:sz="2" w:space="0" w:color="D9D9E3"/>
                                    <w:bottom w:val="single" w:sz="2" w:space="0" w:color="D9D9E3"/>
                                    <w:right w:val="single" w:sz="2" w:space="0" w:color="D9D9E3"/>
                                  </w:divBdr>
                                  <w:divsChild>
                                    <w:div w:id="1845709006">
                                      <w:marLeft w:val="0"/>
                                      <w:marRight w:val="0"/>
                                      <w:marTop w:val="0"/>
                                      <w:marBottom w:val="0"/>
                                      <w:divBdr>
                                        <w:top w:val="single" w:sz="2" w:space="0" w:color="D9D9E3"/>
                                        <w:left w:val="single" w:sz="2" w:space="0" w:color="D9D9E3"/>
                                        <w:bottom w:val="single" w:sz="2" w:space="0" w:color="D9D9E3"/>
                                        <w:right w:val="single" w:sz="2" w:space="0" w:color="D9D9E3"/>
                                      </w:divBdr>
                                      <w:divsChild>
                                        <w:div w:id="1910114651">
                                          <w:marLeft w:val="0"/>
                                          <w:marRight w:val="0"/>
                                          <w:marTop w:val="0"/>
                                          <w:marBottom w:val="0"/>
                                          <w:divBdr>
                                            <w:top w:val="single" w:sz="2" w:space="0" w:color="D9D9E3"/>
                                            <w:left w:val="single" w:sz="2" w:space="0" w:color="D9D9E3"/>
                                            <w:bottom w:val="single" w:sz="2" w:space="0" w:color="D9D9E3"/>
                                            <w:right w:val="single" w:sz="2" w:space="0" w:color="D9D9E3"/>
                                          </w:divBdr>
                                          <w:divsChild>
                                            <w:div w:id="389350203">
                                              <w:marLeft w:val="0"/>
                                              <w:marRight w:val="0"/>
                                              <w:marTop w:val="0"/>
                                              <w:marBottom w:val="0"/>
                                              <w:divBdr>
                                                <w:top w:val="single" w:sz="2" w:space="0" w:color="D9D9E3"/>
                                                <w:left w:val="single" w:sz="2" w:space="0" w:color="D9D9E3"/>
                                                <w:bottom w:val="single" w:sz="2" w:space="0" w:color="D9D9E3"/>
                                                <w:right w:val="single" w:sz="2" w:space="0" w:color="D9D9E3"/>
                                              </w:divBdr>
                                              <w:divsChild>
                                                <w:div w:id="19105299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89097196">
          <w:marLeft w:val="0"/>
          <w:marRight w:val="0"/>
          <w:marTop w:val="0"/>
          <w:marBottom w:val="0"/>
          <w:divBdr>
            <w:top w:val="none" w:sz="0" w:space="0" w:color="auto"/>
            <w:left w:val="none" w:sz="0" w:space="0" w:color="auto"/>
            <w:bottom w:val="none" w:sz="0" w:space="0" w:color="auto"/>
            <w:right w:val="none" w:sz="0" w:space="0" w:color="auto"/>
          </w:divBdr>
        </w:div>
      </w:divsChild>
    </w:div>
    <w:div w:id="1075978067">
      <w:bodyDiv w:val="1"/>
      <w:marLeft w:val="0"/>
      <w:marRight w:val="0"/>
      <w:marTop w:val="0"/>
      <w:marBottom w:val="0"/>
      <w:divBdr>
        <w:top w:val="none" w:sz="0" w:space="0" w:color="auto"/>
        <w:left w:val="none" w:sz="0" w:space="0" w:color="auto"/>
        <w:bottom w:val="none" w:sz="0" w:space="0" w:color="auto"/>
        <w:right w:val="none" w:sz="0" w:space="0" w:color="auto"/>
      </w:divBdr>
    </w:div>
    <w:div w:id="1307322402">
      <w:bodyDiv w:val="1"/>
      <w:marLeft w:val="0"/>
      <w:marRight w:val="0"/>
      <w:marTop w:val="0"/>
      <w:marBottom w:val="0"/>
      <w:divBdr>
        <w:top w:val="none" w:sz="0" w:space="0" w:color="auto"/>
        <w:left w:val="none" w:sz="0" w:space="0" w:color="auto"/>
        <w:bottom w:val="none" w:sz="0" w:space="0" w:color="auto"/>
        <w:right w:val="none" w:sz="0" w:space="0" w:color="auto"/>
      </w:divBdr>
    </w:div>
    <w:div w:id="1492791508">
      <w:bodyDiv w:val="1"/>
      <w:marLeft w:val="0"/>
      <w:marRight w:val="0"/>
      <w:marTop w:val="0"/>
      <w:marBottom w:val="0"/>
      <w:divBdr>
        <w:top w:val="none" w:sz="0" w:space="0" w:color="auto"/>
        <w:left w:val="none" w:sz="0" w:space="0" w:color="auto"/>
        <w:bottom w:val="none" w:sz="0" w:space="0" w:color="auto"/>
        <w:right w:val="none" w:sz="0" w:space="0" w:color="auto"/>
      </w:divBdr>
    </w:div>
    <w:div w:id="1539967796">
      <w:bodyDiv w:val="1"/>
      <w:marLeft w:val="0"/>
      <w:marRight w:val="0"/>
      <w:marTop w:val="0"/>
      <w:marBottom w:val="0"/>
      <w:divBdr>
        <w:top w:val="none" w:sz="0" w:space="0" w:color="auto"/>
        <w:left w:val="none" w:sz="0" w:space="0" w:color="auto"/>
        <w:bottom w:val="none" w:sz="0" w:space="0" w:color="auto"/>
        <w:right w:val="none" w:sz="0" w:space="0" w:color="auto"/>
      </w:divBdr>
    </w:div>
    <w:div w:id="1798520683">
      <w:bodyDiv w:val="1"/>
      <w:marLeft w:val="0"/>
      <w:marRight w:val="0"/>
      <w:marTop w:val="0"/>
      <w:marBottom w:val="0"/>
      <w:divBdr>
        <w:top w:val="none" w:sz="0" w:space="0" w:color="auto"/>
        <w:left w:val="none" w:sz="0" w:space="0" w:color="auto"/>
        <w:bottom w:val="none" w:sz="0" w:space="0" w:color="auto"/>
        <w:right w:val="none" w:sz="0" w:space="0" w:color="auto"/>
      </w:divBdr>
    </w:div>
    <w:div w:id="2054885239">
      <w:bodyDiv w:val="1"/>
      <w:marLeft w:val="0"/>
      <w:marRight w:val="0"/>
      <w:marTop w:val="0"/>
      <w:marBottom w:val="0"/>
      <w:divBdr>
        <w:top w:val="none" w:sz="0" w:space="0" w:color="auto"/>
        <w:left w:val="none" w:sz="0" w:space="0" w:color="auto"/>
        <w:bottom w:val="none" w:sz="0" w:space="0" w:color="auto"/>
        <w:right w:val="none" w:sz="0" w:space="0" w:color="auto"/>
      </w:divBdr>
    </w:div>
    <w:div w:id="2092966953">
      <w:bodyDiv w:val="1"/>
      <w:marLeft w:val="0"/>
      <w:marRight w:val="0"/>
      <w:marTop w:val="0"/>
      <w:marBottom w:val="0"/>
      <w:divBdr>
        <w:top w:val="none" w:sz="0" w:space="0" w:color="auto"/>
        <w:left w:val="none" w:sz="0" w:space="0" w:color="auto"/>
        <w:bottom w:val="none" w:sz="0" w:space="0" w:color="auto"/>
        <w:right w:val="none" w:sz="0" w:space="0" w:color="auto"/>
      </w:divBdr>
    </w:div>
    <w:div w:id="213505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s://www.economia.gob.mx/datamexico/es/profile/occupation/profesionistas-y-tecnicos?employSelector1=salaryOption&amp;typeJob1=totalOption" TargetMode="External"/><Relationship Id="rId7" Type="http://schemas.openxmlformats.org/officeDocument/2006/relationships/settings" Target="settings.xml"/><Relationship Id="rId12" Type="http://schemas.openxmlformats.org/officeDocument/2006/relationships/hyperlink" Target="https://www.ift.org.mx/industria/consultas-publicas/consulta-publica-sobre-las-actualizaciones-al-modelo-integral-de-red-de-acceso-fija-para-determinar" TargetMode="External"/><Relationship Id="rId17" Type="http://schemas.openxmlformats.org/officeDocument/2006/relationships/hyperlink" Target="https://www.economia.gob.mx/datamexico/es/profile/occupation/profesionistas-y-tecnicos?employSelector1=salaryOption&amp;typeJob1=totalOption"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elos.dgci@ift.org.mx"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ft.org.mx/industria/consultas-publicas/consulta-publica-sobre-las-propuestas-de-ofertas-de-referencia-de-comparticion-de-infraestructura-y-2" TargetMode="External"/><Relationship Id="rId1" Type="http://schemas.openxmlformats.org/officeDocument/2006/relationships/hyperlink" Target="https://www.ift.org.mx/industria/consultas-publicas/consulta-publica-sobre-las-actualizaciones-al-modelo-integral-de-red-de-acceso-fija-para-determin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g\OneDrive%20-%20Axon%20Partners%20Group\Documentos\Custom%20Office%20Templates\Axon_Report.dotm" TargetMode="External"/></Relationships>
</file>

<file path=word/theme/theme1.xml><?xml version="1.0" encoding="utf-8"?>
<a:theme xmlns:a="http://schemas.openxmlformats.org/drawingml/2006/main" name="officeNewAxonPPTTheme">
  <a:themeElements>
    <a:clrScheme name="Axon">
      <a:dk1>
        <a:srgbClr val="0C2749"/>
      </a:dk1>
      <a:lt1>
        <a:sysClr val="window" lastClr="FFFFFF"/>
      </a:lt1>
      <a:dk2>
        <a:srgbClr val="0C2749"/>
      </a:dk2>
      <a:lt2>
        <a:srgbClr val="D0CECE"/>
      </a:lt2>
      <a:accent1>
        <a:srgbClr val="0C2749"/>
      </a:accent1>
      <a:accent2>
        <a:srgbClr val="D0CECE"/>
      </a:accent2>
      <a:accent3>
        <a:srgbClr val="FFC000"/>
      </a:accent3>
      <a:accent4>
        <a:srgbClr val="6AB1E3"/>
      </a:accent4>
      <a:accent5>
        <a:srgbClr val="54A08F"/>
      </a:accent5>
      <a:accent6>
        <a:srgbClr val="4F629B"/>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tlCol="0" anchor="ctr"/>
      <a:lstStyle>
        <a:defPPr algn="ctr">
          <a:defRPr sz="12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chor="ctr">
        <a:noAutofit/>
      </a:bodyPr>
      <a:lstStyle>
        <a:defPPr algn="l">
          <a:lnSpc>
            <a:spcPct val="150000"/>
          </a:lnSpc>
          <a:defRPr sz="1200" dirty="0" err="1" smtClean="0"/>
        </a:defPPr>
      </a:lstStyle>
    </a:txDef>
  </a:objectDefaults>
  <a:extraClrSchemeLst/>
  <a:extLst>
    <a:ext uri="{05A4C25C-085E-4340-85A3-A5531E510DB2}">
      <thm15:themeFamily xmlns:thm15="http://schemas.microsoft.com/office/thememl/2012/main" name="officeNewAxonPPTTheme" id="{1C190AD0-1196-476F-99C6-9497F1947B81}" vid="{52165DE7-0353-47F9-AA0B-543F359603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7623759B9FF541BE82F474C680BACE" ma:contentTypeVersion="20" ma:contentTypeDescription="Create a new document." ma:contentTypeScope="" ma:versionID="14ce5be187462c4a371355afd040684f">
  <xsd:schema xmlns:xsd="http://www.w3.org/2001/XMLSchema" xmlns:xs="http://www.w3.org/2001/XMLSchema" xmlns:p="http://schemas.microsoft.com/office/2006/metadata/properties" xmlns:ns2="0982e5c8-bccb-4584-9f6e-05bf2d5c7ac0" xmlns:ns3="10cd3db0-7369-4da5-b0d1-37a276ff6ad7" targetNamespace="http://schemas.microsoft.com/office/2006/metadata/properties" ma:root="true" ma:fieldsID="4b3c6704d94745d496beeb3aec61eb9e" ns2:_="" ns3:_="">
    <xsd:import namespace="0982e5c8-bccb-4584-9f6e-05bf2d5c7ac0"/>
    <xsd:import namespace="10cd3db0-7369-4da5-b0d1-37a276ff6ad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yea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2e5c8-bccb-4584-9f6e-05bf2d5c7a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b3cd9010-6714-45fc-b2b1-2f73a9d736a9}" ma:internalName="TaxCatchAll" ma:showField="CatchAllData" ma:web="0982e5c8-bccb-4584-9f6e-05bf2d5c7a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cd3db0-7369-4da5-b0d1-37a276ff6ad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year" ma:index="18" nillable="true" ma:displayName="year" ma:format="Dropdown" ma:indexed="true" ma:internalName="year">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enumeration value="2031"/>
          <xsd:enumeration value="2032"/>
          <xsd:enumeration value="2033"/>
          <xsd:enumeration value="2034"/>
          <xsd:enumeration value="2035"/>
          <xsd:enumeration value="2036"/>
          <xsd:enumeration value="2037"/>
          <xsd:enumeration value="2038"/>
          <xsd:enumeration value="2039"/>
          <xsd:enumeration value="2040"/>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9d5cf25-4fd6-428e-ba9b-d3b66677f5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10cd3db0-7369-4da5-b0d1-37a276ff6ad7" xsi:nil="true"/>
    <lcf76f155ced4ddcb4097134ff3c332f xmlns="10cd3db0-7369-4da5-b0d1-37a276ff6ad7">
      <Terms xmlns="http://schemas.microsoft.com/office/infopath/2007/PartnerControls"/>
    </lcf76f155ced4ddcb4097134ff3c332f>
    <TaxCatchAll xmlns="0982e5c8-bccb-4584-9f6e-05bf2d5c7ac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AB1CA-A45A-436C-B516-8FB6DD5BF151}">
  <ds:schemaRefs>
    <ds:schemaRef ds:uri="http://schemas.microsoft.com/sharepoint/v3/contenttype/forms"/>
  </ds:schemaRefs>
</ds:datastoreItem>
</file>

<file path=customXml/itemProps2.xml><?xml version="1.0" encoding="utf-8"?>
<ds:datastoreItem xmlns:ds="http://schemas.openxmlformats.org/officeDocument/2006/customXml" ds:itemID="{77AF2B9B-BD17-4481-8FCB-920A0249E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2e5c8-bccb-4584-9f6e-05bf2d5c7ac0"/>
    <ds:schemaRef ds:uri="10cd3db0-7369-4da5-b0d1-37a276ff6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CCA86-0685-41A4-905C-A8E70DD95B22}">
  <ds:schemaRefs>
    <ds:schemaRef ds:uri="http://schemas.microsoft.com/office/2006/metadata/properties"/>
    <ds:schemaRef ds:uri="http://schemas.microsoft.com/office/infopath/2007/PartnerControls"/>
    <ds:schemaRef ds:uri="10cd3db0-7369-4da5-b0d1-37a276ff6ad7"/>
    <ds:schemaRef ds:uri="0982e5c8-bccb-4584-9f6e-05bf2d5c7ac0"/>
  </ds:schemaRefs>
</ds:datastoreItem>
</file>

<file path=customXml/itemProps4.xml><?xml version="1.0" encoding="utf-8"?>
<ds:datastoreItem xmlns:ds="http://schemas.openxmlformats.org/officeDocument/2006/customXml" ds:itemID="{F258FF80-365A-4D48-B3D5-747B7982A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Axon_Report</Template>
  <TotalTime>3</TotalTime>
  <Pages>1</Pages>
  <Words>16435</Words>
  <Characters>90393</Characters>
  <Application>Microsoft Office Word</Application>
  <DocSecurity>0</DocSecurity>
  <Lines>753</Lines>
  <Paragraphs>213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106615</CharactersWithSpaces>
  <SharedDoc>false</SharedDoc>
  <HLinks>
    <vt:vector size="132" baseType="variant">
      <vt:variant>
        <vt:i4>1638454</vt:i4>
      </vt:variant>
      <vt:variant>
        <vt:i4>128</vt:i4>
      </vt:variant>
      <vt:variant>
        <vt:i4>0</vt:i4>
      </vt:variant>
      <vt:variant>
        <vt:i4>5</vt:i4>
      </vt:variant>
      <vt:variant>
        <vt:lpwstr/>
      </vt:variant>
      <vt:variant>
        <vt:lpwstr>_Toc137738327</vt:lpwstr>
      </vt:variant>
      <vt:variant>
        <vt:i4>1638454</vt:i4>
      </vt:variant>
      <vt:variant>
        <vt:i4>122</vt:i4>
      </vt:variant>
      <vt:variant>
        <vt:i4>0</vt:i4>
      </vt:variant>
      <vt:variant>
        <vt:i4>5</vt:i4>
      </vt:variant>
      <vt:variant>
        <vt:lpwstr/>
      </vt:variant>
      <vt:variant>
        <vt:lpwstr>_Toc137738326</vt:lpwstr>
      </vt:variant>
      <vt:variant>
        <vt:i4>1638454</vt:i4>
      </vt:variant>
      <vt:variant>
        <vt:i4>116</vt:i4>
      </vt:variant>
      <vt:variant>
        <vt:i4>0</vt:i4>
      </vt:variant>
      <vt:variant>
        <vt:i4>5</vt:i4>
      </vt:variant>
      <vt:variant>
        <vt:lpwstr/>
      </vt:variant>
      <vt:variant>
        <vt:lpwstr>_Toc137738325</vt:lpwstr>
      </vt:variant>
      <vt:variant>
        <vt:i4>1638454</vt:i4>
      </vt:variant>
      <vt:variant>
        <vt:i4>110</vt:i4>
      </vt:variant>
      <vt:variant>
        <vt:i4>0</vt:i4>
      </vt:variant>
      <vt:variant>
        <vt:i4>5</vt:i4>
      </vt:variant>
      <vt:variant>
        <vt:lpwstr/>
      </vt:variant>
      <vt:variant>
        <vt:lpwstr>_Toc137738324</vt:lpwstr>
      </vt:variant>
      <vt:variant>
        <vt:i4>1638454</vt:i4>
      </vt:variant>
      <vt:variant>
        <vt:i4>104</vt:i4>
      </vt:variant>
      <vt:variant>
        <vt:i4>0</vt:i4>
      </vt:variant>
      <vt:variant>
        <vt:i4>5</vt:i4>
      </vt:variant>
      <vt:variant>
        <vt:lpwstr/>
      </vt:variant>
      <vt:variant>
        <vt:lpwstr>_Toc137738323</vt:lpwstr>
      </vt:variant>
      <vt:variant>
        <vt:i4>1638454</vt:i4>
      </vt:variant>
      <vt:variant>
        <vt:i4>98</vt:i4>
      </vt:variant>
      <vt:variant>
        <vt:i4>0</vt:i4>
      </vt:variant>
      <vt:variant>
        <vt:i4>5</vt:i4>
      </vt:variant>
      <vt:variant>
        <vt:lpwstr/>
      </vt:variant>
      <vt:variant>
        <vt:lpwstr>_Toc137738322</vt:lpwstr>
      </vt:variant>
      <vt:variant>
        <vt:i4>1638454</vt:i4>
      </vt:variant>
      <vt:variant>
        <vt:i4>92</vt:i4>
      </vt:variant>
      <vt:variant>
        <vt:i4>0</vt:i4>
      </vt:variant>
      <vt:variant>
        <vt:i4>5</vt:i4>
      </vt:variant>
      <vt:variant>
        <vt:lpwstr/>
      </vt:variant>
      <vt:variant>
        <vt:lpwstr>_Toc137738321</vt:lpwstr>
      </vt:variant>
      <vt:variant>
        <vt:i4>1638454</vt:i4>
      </vt:variant>
      <vt:variant>
        <vt:i4>86</vt:i4>
      </vt:variant>
      <vt:variant>
        <vt:i4>0</vt:i4>
      </vt:variant>
      <vt:variant>
        <vt:i4>5</vt:i4>
      </vt:variant>
      <vt:variant>
        <vt:lpwstr/>
      </vt:variant>
      <vt:variant>
        <vt:lpwstr>_Toc137738320</vt:lpwstr>
      </vt:variant>
      <vt:variant>
        <vt:i4>1703990</vt:i4>
      </vt:variant>
      <vt:variant>
        <vt:i4>80</vt:i4>
      </vt:variant>
      <vt:variant>
        <vt:i4>0</vt:i4>
      </vt:variant>
      <vt:variant>
        <vt:i4>5</vt:i4>
      </vt:variant>
      <vt:variant>
        <vt:lpwstr/>
      </vt:variant>
      <vt:variant>
        <vt:lpwstr>_Toc137738319</vt:lpwstr>
      </vt:variant>
      <vt:variant>
        <vt:i4>1703990</vt:i4>
      </vt:variant>
      <vt:variant>
        <vt:i4>74</vt:i4>
      </vt:variant>
      <vt:variant>
        <vt:i4>0</vt:i4>
      </vt:variant>
      <vt:variant>
        <vt:i4>5</vt:i4>
      </vt:variant>
      <vt:variant>
        <vt:lpwstr/>
      </vt:variant>
      <vt:variant>
        <vt:lpwstr>_Toc137738318</vt:lpwstr>
      </vt:variant>
      <vt:variant>
        <vt:i4>1703990</vt:i4>
      </vt:variant>
      <vt:variant>
        <vt:i4>68</vt:i4>
      </vt:variant>
      <vt:variant>
        <vt:i4>0</vt:i4>
      </vt:variant>
      <vt:variant>
        <vt:i4>5</vt:i4>
      </vt:variant>
      <vt:variant>
        <vt:lpwstr/>
      </vt:variant>
      <vt:variant>
        <vt:lpwstr>_Toc137738317</vt:lpwstr>
      </vt:variant>
      <vt:variant>
        <vt:i4>1703990</vt:i4>
      </vt:variant>
      <vt:variant>
        <vt:i4>62</vt:i4>
      </vt:variant>
      <vt:variant>
        <vt:i4>0</vt:i4>
      </vt:variant>
      <vt:variant>
        <vt:i4>5</vt:i4>
      </vt:variant>
      <vt:variant>
        <vt:lpwstr/>
      </vt:variant>
      <vt:variant>
        <vt:lpwstr>_Toc137738316</vt:lpwstr>
      </vt:variant>
      <vt:variant>
        <vt:i4>1703990</vt:i4>
      </vt:variant>
      <vt:variant>
        <vt:i4>56</vt:i4>
      </vt:variant>
      <vt:variant>
        <vt:i4>0</vt:i4>
      </vt:variant>
      <vt:variant>
        <vt:i4>5</vt:i4>
      </vt:variant>
      <vt:variant>
        <vt:lpwstr/>
      </vt:variant>
      <vt:variant>
        <vt:lpwstr>_Toc137738315</vt:lpwstr>
      </vt:variant>
      <vt:variant>
        <vt:i4>1703990</vt:i4>
      </vt:variant>
      <vt:variant>
        <vt:i4>50</vt:i4>
      </vt:variant>
      <vt:variant>
        <vt:i4>0</vt:i4>
      </vt:variant>
      <vt:variant>
        <vt:i4>5</vt:i4>
      </vt:variant>
      <vt:variant>
        <vt:lpwstr/>
      </vt:variant>
      <vt:variant>
        <vt:lpwstr>_Toc137738314</vt:lpwstr>
      </vt:variant>
      <vt:variant>
        <vt:i4>1703990</vt:i4>
      </vt:variant>
      <vt:variant>
        <vt:i4>44</vt:i4>
      </vt:variant>
      <vt:variant>
        <vt:i4>0</vt:i4>
      </vt:variant>
      <vt:variant>
        <vt:i4>5</vt:i4>
      </vt:variant>
      <vt:variant>
        <vt:lpwstr/>
      </vt:variant>
      <vt:variant>
        <vt:lpwstr>_Toc137738313</vt:lpwstr>
      </vt:variant>
      <vt:variant>
        <vt:i4>1703990</vt:i4>
      </vt:variant>
      <vt:variant>
        <vt:i4>38</vt:i4>
      </vt:variant>
      <vt:variant>
        <vt:i4>0</vt:i4>
      </vt:variant>
      <vt:variant>
        <vt:i4>5</vt:i4>
      </vt:variant>
      <vt:variant>
        <vt:lpwstr/>
      </vt:variant>
      <vt:variant>
        <vt:lpwstr>_Toc137738312</vt:lpwstr>
      </vt:variant>
      <vt:variant>
        <vt:i4>1703990</vt:i4>
      </vt:variant>
      <vt:variant>
        <vt:i4>32</vt:i4>
      </vt:variant>
      <vt:variant>
        <vt:i4>0</vt:i4>
      </vt:variant>
      <vt:variant>
        <vt:i4>5</vt:i4>
      </vt:variant>
      <vt:variant>
        <vt:lpwstr/>
      </vt:variant>
      <vt:variant>
        <vt:lpwstr>_Toc137738311</vt:lpwstr>
      </vt:variant>
      <vt:variant>
        <vt:i4>1703990</vt:i4>
      </vt:variant>
      <vt:variant>
        <vt:i4>26</vt:i4>
      </vt:variant>
      <vt:variant>
        <vt:i4>0</vt:i4>
      </vt:variant>
      <vt:variant>
        <vt:i4>5</vt:i4>
      </vt:variant>
      <vt:variant>
        <vt:lpwstr/>
      </vt:variant>
      <vt:variant>
        <vt:lpwstr>_Toc137738310</vt:lpwstr>
      </vt:variant>
      <vt:variant>
        <vt:i4>1769526</vt:i4>
      </vt:variant>
      <vt:variant>
        <vt:i4>20</vt:i4>
      </vt:variant>
      <vt:variant>
        <vt:i4>0</vt:i4>
      </vt:variant>
      <vt:variant>
        <vt:i4>5</vt:i4>
      </vt:variant>
      <vt:variant>
        <vt:lpwstr/>
      </vt:variant>
      <vt:variant>
        <vt:lpwstr>_Toc137738309</vt:lpwstr>
      </vt:variant>
      <vt:variant>
        <vt:i4>1769526</vt:i4>
      </vt:variant>
      <vt:variant>
        <vt:i4>14</vt:i4>
      </vt:variant>
      <vt:variant>
        <vt:i4>0</vt:i4>
      </vt:variant>
      <vt:variant>
        <vt:i4>5</vt:i4>
      </vt:variant>
      <vt:variant>
        <vt:lpwstr/>
      </vt:variant>
      <vt:variant>
        <vt:lpwstr>_Toc137738308</vt:lpwstr>
      </vt:variant>
      <vt:variant>
        <vt:i4>1769526</vt:i4>
      </vt:variant>
      <vt:variant>
        <vt:i4>8</vt:i4>
      </vt:variant>
      <vt:variant>
        <vt:i4>0</vt:i4>
      </vt:variant>
      <vt:variant>
        <vt:i4>5</vt:i4>
      </vt:variant>
      <vt:variant>
        <vt:lpwstr/>
      </vt:variant>
      <vt:variant>
        <vt:lpwstr>_Toc137738307</vt:lpwstr>
      </vt:variant>
      <vt:variant>
        <vt:i4>1769526</vt:i4>
      </vt:variant>
      <vt:variant>
        <vt:i4>2</vt:i4>
      </vt:variant>
      <vt:variant>
        <vt:i4>0</vt:i4>
      </vt:variant>
      <vt:variant>
        <vt:i4>5</vt:i4>
      </vt:variant>
      <vt:variant>
        <vt:lpwstr/>
      </vt:variant>
      <vt:variant>
        <vt:lpwstr>_Toc137738306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Axon</dc:creator>
  <cp:keywords/>
  <dc:description/>
  <cp:lastModifiedBy>Primitivo Ortiz Maldonado</cp:lastModifiedBy>
  <cp:revision>4</cp:revision>
  <cp:lastPrinted>2023-12-14T19:05:00Z</cp:lastPrinted>
  <dcterms:created xsi:type="dcterms:W3CDTF">2023-12-14T19:04:00Z</dcterms:created>
  <dcterms:modified xsi:type="dcterms:W3CDTF">2023-12-14T19:07:00Z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0x010100ECEEB889474DA94B9F68B747786921B0</vt:lpwstr>
  </property>
</Properties>
</file>