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8B7D5" w14:textId="7159A1AA" w:rsidR="00120392" w:rsidRPr="00284847" w:rsidRDefault="00293912" w:rsidP="00F77AAA">
      <w:pPr>
        <w:spacing w:after="0"/>
        <w:jc w:val="both"/>
        <w:rPr>
          <w:rFonts w:ascii="ITC Avant Garde" w:eastAsia="ITC Avant Garde" w:hAnsi="ITC Avant Garde" w:cs="ITC Avant Garde"/>
          <w:color w:val="000000"/>
          <w:sz w:val="20"/>
          <w:szCs w:val="20"/>
          <w:lang w:eastAsia="es-MX"/>
        </w:rPr>
      </w:pPr>
      <w:r w:rsidRPr="00284847">
        <w:rPr>
          <w:rFonts w:ascii="ITC Avant Garde" w:eastAsia="ITC Avant Garde" w:hAnsi="ITC Avant Garde" w:cs="ITC Avant Garde"/>
          <w:color w:val="000000"/>
          <w:sz w:val="20"/>
          <w:szCs w:val="20"/>
          <w:lang w:val="es-ES_tradnl" w:eastAsia="es-MX"/>
        </w:rPr>
        <w:t xml:space="preserve">RESPUESTAS GENERALES QUE PROPORCIONA EL INSTITUTO FEDERAL DE TELECOMUNICACIONES A LAS MANIFESTACIONES, OPINIONES, COMENTARIOS Y PROPUESTAS PRESENTADAS DURANTE </w:t>
      </w:r>
      <w:r w:rsidR="00120392" w:rsidRPr="00284847">
        <w:rPr>
          <w:rFonts w:ascii="ITC Avant Garde" w:eastAsia="ITC Avant Garde" w:hAnsi="ITC Avant Garde" w:cs="ITC Avant Garde"/>
          <w:color w:val="000000"/>
          <w:sz w:val="20"/>
          <w:szCs w:val="20"/>
          <w:lang w:val="es-ES_tradnl" w:eastAsia="es-MX"/>
        </w:rPr>
        <w:t xml:space="preserve">CONSULTA PÚBLICA DEL </w:t>
      </w:r>
      <w:r w:rsidR="00120392" w:rsidRPr="00284847">
        <w:rPr>
          <w:rFonts w:ascii="ITC Avant Garde" w:eastAsia="ITC Avant Garde" w:hAnsi="ITC Avant Garde" w:cs="ITC Avant Garde"/>
          <w:b/>
          <w:bCs/>
          <w:color w:val="000000"/>
          <w:sz w:val="20"/>
          <w:szCs w:val="20"/>
          <w:lang w:val="es-ES_tradnl" w:eastAsia="es-MX"/>
        </w:rPr>
        <w:t>“</w:t>
      </w:r>
      <w:r w:rsidR="00F77AAA" w:rsidRPr="00284847">
        <w:rPr>
          <w:rFonts w:ascii="ITC Avant Garde" w:eastAsia="ITC Avant Garde" w:hAnsi="ITC Avant Garde" w:cs="ITC Avant Garde"/>
          <w:b/>
          <w:bCs/>
          <w:color w:val="000000"/>
          <w:sz w:val="20"/>
          <w:szCs w:val="20"/>
          <w:lang w:val="es-ES_tradnl" w:eastAsia="es-MX"/>
        </w:rPr>
        <w:t>ANTEPROYECTO DE MODIFICACIÓN A LA DT IFT-011-2022: ESPECIFICACIONES TÉCNICAS DE LOS EQUIPOS TERMINALES MÓVILES. PARTE 3. SERVICIO DE RADIODIFUSIÓN CELULAR PARA LA NOTIFICACIÓN POR RIESGO O SITUACIONES DE EMERGENCIA</w:t>
      </w:r>
      <w:r w:rsidR="00120392" w:rsidRPr="00284847">
        <w:rPr>
          <w:rFonts w:ascii="ITC Avant Garde" w:eastAsia="ITC Avant Garde" w:hAnsi="ITC Avant Garde" w:cs="ITC Avant Garde"/>
          <w:b/>
          <w:bCs/>
          <w:color w:val="000000"/>
          <w:sz w:val="20"/>
          <w:szCs w:val="20"/>
          <w:lang w:val="es-ES_tradnl" w:eastAsia="es-MX"/>
        </w:rPr>
        <w:t>”</w:t>
      </w:r>
    </w:p>
    <w:p w14:paraId="30D5826F" w14:textId="77777777" w:rsidR="00120392" w:rsidRPr="00284847" w:rsidRDefault="00120392" w:rsidP="00293912">
      <w:pPr>
        <w:spacing w:after="0"/>
        <w:jc w:val="both"/>
        <w:rPr>
          <w:rFonts w:ascii="ITC Avant Garde" w:eastAsia="ITC Avant Garde" w:hAnsi="ITC Avant Garde" w:cs="ITC Avant Garde"/>
          <w:color w:val="000000"/>
          <w:sz w:val="20"/>
          <w:szCs w:val="20"/>
          <w:lang w:val="es-ES_tradnl" w:eastAsia="es-MX"/>
        </w:rPr>
      </w:pPr>
    </w:p>
    <w:p w14:paraId="42FD1CC8" w14:textId="77777777" w:rsidR="00293912" w:rsidRPr="00284847" w:rsidRDefault="00293912" w:rsidP="00293912">
      <w:pPr>
        <w:spacing w:after="0"/>
        <w:jc w:val="both"/>
        <w:rPr>
          <w:rFonts w:ascii="ITC Avant Garde" w:eastAsia="ITC Avant Garde" w:hAnsi="ITC Avant Garde" w:cs="ITC Avant Garde"/>
          <w:b/>
          <w:bCs/>
          <w:sz w:val="20"/>
          <w:szCs w:val="20"/>
          <w:lang w:val="es-ES_tradnl" w:eastAsia="es-MX"/>
        </w:rPr>
      </w:pPr>
      <w:r w:rsidRPr="00284847">
        <w:rPr>
          <w:rFonts w:ascii="ITC Avant Garde" w:eastAsia="ITC Avant Garde" w:hAnsi="ITC Avant Garde" w:cs="ITC Avant Garde"/>
          <w:b/>
          <w:bCs/>
          <w:sz w:val="20"/>
          <w:szCs w:val="20"/>
          <w:lang w:val="es-ES_tradnl" w:eastAsia="es-MX"/>
        </w:rPr>
        <w:t>DESCRIPCIÓN DE LA CONSULTA PÚBLICA</w:t>
      </w:r>
    </w:p>
    <w:p w14:paraId="0345F489" w14:textId="578856D3" w:rsidR="00293912" w:rsidRPr="00284847" w:rsidRDefault="00293912" w:rsidP="00293912">
      <w:pPr>
        <w:spacing w:after="0"/>
        <w:jc w:val="both"/>
        <w:rPr>
          <w:rFonts w:ascii="ITC Avant Garde" w:eastAsia="ITC Avant Garde" w:hAnsi="ITC Avant Garde" w:cs="ITC Avant Garde"/>
          <w:bCs/>
          <w:sz w:val="20"/>
          <w:szCs w:val="20"/>
          <w:lang w:val="es-ES_tradnl" w:eastAsia="es-MX"/>
        </w:rPr>
      </w:pPr>
    </w:p>
    <w:p w14:paraId="2DC2D103" w14:textId="6579E74F" w:rsidR="00293912" w:rsidRPr="00284847" w:rsidRDefault="00F77AAA" w:rsidP="00293912">
      <w:pPr>
        <w:spacing w:after="0"/>
        <w:jc w:val="both"/>
        <w:rPr>
          <w:rFonts w:ascii="ITC Avant Garde" w:eastAsia="ITC Avant Garde" w:hAnsi="ITC Avant Garde" w:cs="ITC Avant Garde"/>
          <w:sz w:val="20"/>
          <w:szCs w:val="20"/>
          <w:lang w:val="es-ES_tradnl" w:eastAsia="es-MX"/>
        </w:rPr>
      </w:pPr>
      <w:r w:rsidRPr="00284847">
        <w:rPr>
          <w:rFonts w:ascii="ITC Avant Garde" w:eastAsia="ITC Avant Garde" w:hAnsi="ITC Avant Garde" w:cs="ITC Avant Garde"/>
          <w:sz w:val="20"/>
          <w:szCs w:val="20"/>
          <w:lang w:val="es-ES_tradnl" w:eastAsia="es-MX"/>
        </w:rPr>
        <w:t>El objetivo principal del Anteproyecto consiste en adecuar las especificaciones técnicas, así como los métodos de prueba previstos en este, en relación con las funcionalidades actuales de los Equipos Terminales Móviles a efecto de que la mayor cantidad de dichos equipos, sean capaces de recibir, procesar y visualizar mensajes de alerta por riesgo o situaciones de emergencia.</w:t>
      </w:r>
    </w:p>
    <w:p w14:paraId="1D11C898" w14:textId="77777777" w:rsidR="006E3471" w:rsidRPr="00284847" w:rsidRDefault="006E3471" w:rsidP="00293912">
      <w:pPr>
        <w:spacing w:after="0"/>
        <w:jc w:val="both"/>
        <w:rPr>
          <w:rFonts w:ascii="ITC Avant Garde" w:eastAsia="ITC Avant Garde" w:hAnsi="ITC Avant Garde" w:cs="ITC Avant Garde"/>
          <w:b/>
          <w:bCs/>
          <w:sz w:val="20"/>
          <w:szCs w:val="20"/>
          <w:lang w:val="es-ES_tradnl" w:eastAsia="es-MX"/>
        </w:rPr>
      </w:pPr>
    </w:p>
    <w:p w14:paraId="25D91E22" w14:textId="77777777" w:rsidR="00293912" w:rsidRPr="00284847" w:rsidRDefault="00293912" w:rsidP="00293912">
      <w:pPr>
        <w:spacing w:after="0"/>
        <w:jc w:val="both"/>
        <w:rPr>
          <w:rFonts w:ascii="ITC Avant Garde" w:eastAsia="ITC Avant Garde" w:hAnsi="ITC Avant Garde" w:cs="ITC Avant Garde"/>
          <w:b/>
          <w:bCs/>
          <w:sz w:val="20"/>
          <w:szCs w:val="20"/>
          <w:lang w:val="es-ES_tradnl" w:eastAsia="es-MX"/>
        </w:rPr>
      </w:pPr>
      <w:r w:rsidRPr="00284847">
        <w:rPr>
          <w:rFonts w:ascii="ITC Avant Garde" w:eastAsia="ITC Avant Garde" w:hAnsi="ITC Avant Garde" w:cs="ITC Avant Garde"/>
          <w:b/>
          <w:bCs/>
          <w:sz w:val="20"/>
          <w:szCs w:val="20"/>
          <w:lang w:val="es-ES_tradnl" w:eastAsia="es-MX"/>
        </w:rPr>
        <w:t>OBJETIVOS DE LA CONSULTA PÚBLICA</w:t>
      </w:r>
    </w:p>
    <w:p w14:paraId="1565D81E" w14:textId="77777777" w:rsidR="00293912" w:rsidRPr="00284847" w:rsidRDefault="00293912" w:rsidP="00293912">
      <w:pPr>
        <w:spacing w:after="0"/>
        <w:jc w:val="both"/>
        <w:rPr>
          <w:rFonts w:ascii="ITC Avant Garde" w:eastAsia="ITC Avant Garde" w:hAnsi="ITC Avant Garde" w:cs="ITC Avant Garde"/>
          <w:color w:val="000000" w:themeColor="text1"/>
          <w:sz w:val="20"/>
          <w:szCs w:val="20"/>
          <w:lang w:val="es-ES" w:eastAsia="es-MX"/>
        </w:rPr>
      </w:pPr>
    </w:p>
    <w:p w14:paraId="26B00E75" w14:textId="15B2E98F" w:rsidR="00293912" w:rsidRPr="00284847" w:rsidRDefault="00293912" w:rsidP="00293912">
      <w:pPr>
        <w:spacing w:after="0"/>
        <w:jc w:val="both"/>
        <w:rPr>
          <w:rFonts w:ascii="ITC Avant Garde" w:eastAsia="ITC Avant Garde" w:hAnsi="ITC Avant Garde" w:cs="ITC Avant Garde"/>
          <w:color w:val="000000" w:themeColor="text1"/>
          <w:sz w:val="20"/>
          <w:szCs w:val="20"/>
          <w:lang w:val="es-ES" w:eastAsia="es-MX"/>
        </w:rPr>
      </w:pPr>
      <w:r w:rsidRPr="00284847">
        <w:rPr>
          <w:rFonts w:ascii="ITC Avant Garde" w:eastAsia="ITC Avant Garde" w:hAnsi="ITC Avant Garde" w:cs="ITC Avant Garde"/>
          <w:color w:val="000000" w:themeColor="text1"/>
          <w:sz w:val="20"/>
          <w:szCs w:val="20"/>
          <w:lang w:val="es-ES" w:eastAsia="es-MX"/>
        </w:rPr>
        <w:t xml:space="preserve">Transparentar y dar a conocer la propuesta de regulación </w:t>
      </w:r>
      <w:r w:rsidR="00F77AAA" w:rsidRPr="00284847">
        <w:rPr>
          <w:rFonts w:ascii="ITC Avant Garde" w:eastAsia="ITC Avant Garde" w:hAnsi="ITC Avant Garde" w:cs="ITC Avant Garde"/>
          <w:color w:val="000000" w:themeColor="text1"/>
          <w:sz w:val="20"/>
          <w:szCs w:val="20"/>
          <w:lang w:val="es-ES" w:eastAsia="es-MX"/>
        </w:rPr>
        <w:t>y su Análisis de Nulo Impacto Regulatorio a efecto de que las personas interesadas en la misma, puedan tener un mayor entendimiento sobre las medidas y términos propuestos por el Instituto y, a partir de ello, formular a este órgano regulador sus comentarios, opiniones o aportaciones que permitan fortalecer dicha propuesta normativa, así como para afinar con mayor precisión los posibles impactos que se desprendan a razón de su posible entrada en vigor.</w:t>
      </w:r>
    </w:p>
    <w:p w14:paraId="01C3E8C9" w14:textId="77777777" w:rsidR="00F77AAA" w:rsidRPr="00284847" w:rsidRDefault="00F77AAA" w:rsidP="00293912">
      <w:pPr>
        <w:spacing w:after="0"/>
        <w:jc w:val="both"/>
        <w:rPr>
          <w:rFonts w:ascii="ITC Avant Garde" w:eastAsia="ITC Avant Garde" w:hAnsi="ITC Avant Garde" w:cs="ITC Avant Garde"/>
          <w:color w:val="000000" w:themeColor="text1"/>
          <w:sz w:val="20"/>
          <w:szCs w:val="20"/>
          <w:lang w:val="es-ES" w:eastAsia="es-MX"/>
        </w:rPr>
      </w:pPr>
    </w:p>
    <w:p w14:paraId="4B276C5B" w14:textId="77777777" w:rsidR="00293912" w:rsidRPr="00284847" w:rsidRDefault="00293912" w:rsidP="00293912">
      <w:pPr>
        <w:spacing w:after="0"/>
        <w:jc w:val="both"/>
        <w:rPr>
          <w:rFonts w:ascii="ITC Avant Garde" w:eastAsia="ITC Avant Garde" w:hAnsi="ITC Avant Garde" w:cs="ITC Avant Garde"/>
          <w:b/>
          <w:color w:val="000000" w:themeColor="text1"/>
          <w:sz w:val="20"/>
          <w:szCs w:val="20"/>
          <w:lang w:val="es-ES" w:eastAsia="es-MX"/>
        </w:rPr>
      </w:pPr>
      <w:r w:rsidRPr="00284847">
        <w:rPr>
          <w:rFonts w:ascii="ITC Avant Garde" w:eastAsia="ITC Avant Garde" w:hAnsi="ITC Avant Garde" w:cs="ITC Avant Garde"/>
          <w:b/>
          <w:color w:val="000000" w:themeColor="text1"/>
          <w:sz w:val="20"/>
          <w:szCs w:val="20"/>
          <w:lang w:val="es-ES" w:eastAsia="es-MX"/>
        </w:rPr>
        <w:t xml:space="preserve">UNIDAD RESPONSABLE DE LA CONSULTA PÚBLICA: </w:t>
      </w:r>
    </w:p>
    <w:p w14:paraId="4274AE55" w14:textId="77777777" w:rsidR="00293912" w:rsidRPr="00284847" w:rsidRDefault="00293912" w:rsidP="00293912">
      <w:pPr>
        <w:spacing w:after="0"/>
        <w:jc w:val="both"/>
        <w:rPr>
          <w:rFonts w:ascii="ITC Avant Garde" w:eastAsia="ITC Avant Garde" w:hAnsi="ITC Avant Garde" w:cs="ITC Avant Garde"/>
          <w:color w:val="000000" w:themeColor="text1"/>
          <w:sz w:val="20"/>
          <w:szCs w:val="20"/>
          <w:lang w:val="es-ES" w:eastAsia="es-MX"/>
        </w:rPr>
      </w:pPr>
    </w:p>
    <w:p w14:paraId="1150D377" w14:textId="77777777" w:rsidR="00293912" w:rsidRPr="00284847" w:rsidRDefault="00293912" w:rsidP="00293912">
      <w:pPr>
        <w:spacing w:after="0"/>
        <w:jc w:val="both"/>
        <w:rPr>
          <w:rFonts w:ascii="ITC Avant Garde" w:eastAsia="ITC Avant Garde" w:hAnsi="ITC Avant Garde" w:cs="ITC Avant Garde"/>
          <w:color w:val="000000" w:themeColor="text1"/>
          <w:sz w:val="20"/>
          <w:szCs w:val="20"/>
          <w:lang w:val="es-ES" w:eastAsia="es-MX"/>
        </w:rPr>
      </w:pPr>
      <w:r w:rsidRPr="00284847">
        <w:rPr>
          <w:rFonts w:ascii="ITC Avant Garde" w:eastAsia="ITC Avant Garde" w:hAnsi="ITC Avant Garde" w:cs="ITC Avant Garde"/>
          <w:color w:val="000000" w:themeColor="text1"/>
          <w:sz w:val="20"/>
          <w:szCs w:val="20"/>
          <w:lang w:val="es-ES" w:eastAsia="es-MX"/>
        </w:rPr>
        <w:t>UNIDAD DE POLÍTICA REGULATORIA</w:t>
      </w:r>
    </w:p>
    <w:p w14:paraId="64CD34E0" w14:textId="77777777" w:rsidR="00293912" w:rsidRPr="00284847" w:rsidRDefault="00293912" w:rsidP="00293912">
      <w:pPr>
        <w:spacing w:after="0"/>
        <w:jc w:val="both"/>
        <w:rPr>
          <w:rFonts w:ascii="ITC Avant Garde" w:eastAsia="ITC Avant Garde" w:hAnsi="ITC Avant Garde" w:cs="ITC Avant Garde"/>
          <w:b/>
          <w:color w:val="000000" w:themeColor="text1"/>
          <w:sz w:val="20"/>
          <w:szCs w:val="20"/>
          <w:lang w:val="es-ES" w:eastAsia="es-MX"/>
        </w:rPr>
      </w:pPr>
    </w:p>
    <w:p w14:paraId="2F725B81" w14:textId="77777777" w:rsidR="00293912" w:rsidRPr="00284847" w:rsidRDefault="00293912" w:rsidP="00293912">
      <w:pPr>
        <w:spacing w:after="0"/>
        <w:jc w:val="both"/>
        <w:rPr>
          <w:rFonts w:ascii="ITC Avant Garde" w:eastAsia="ITC Avant Garde" w:hAnsi="ITC Avant Garde" w:cs="ITC Avant Garde"/>
          <w:b/>
          <w:color w:val="000000" w:themeColor="text1"/>
          <w:sz w:val="20"/>
          <w:szCs w:val="20"/>
          <w:lang w:val="es-ES" w:eastAsia="es-MX"/>
        </w:rPr>
      </w:pPr>
      <w:r w:rsidRPr="00284847">
        <w:rPr>
          <w:rFonts w:ascii="ITC Avant Garde" w:eastAsia="ITC Avant Garde" w:hAnsi="ITC Avant Garde" w:cs="ITC Avant Garde"/>
          <w:b/>
          <w:color w:val="000000" w:themeColor="text1"/>
          <w:sz w:val="20"/>
          <w:szCs w:val="20"/>
          <w:lang w:val="es-ES" w:eastAsia="es-MX"/>
        </w:rPr>
        <w:t>DESCRIPCIÓN DE LOS PARTICIPANTES:</w:t>
      </w:r>
    </w:p>
    <w:p w14:paraId="512D2D71" w14:textId="77777777" w:rsidR="00293912" w:rsidRPr="00284847" w:rsidRDefault="00293912" w:rsidP="00293912">
      <w:pPr>
        <w:spacing w:after="0"/>
        <w:jc w:val="both"/>
        <w:rPr>
          <w:rFonts w:ascii="ITC Avant Garde" w:eastAsia="ITC Avant Garde" w:hAnsi="ITC Avant Garde" w:cs="ITC Avant Garde"/>
          <w:color w:val="000000" w:themeColor="text1"/>
          <w:sz w:val="20"/>
          <w:szCs w:val="20"/>
          <w:lang w:val="es-ES" w:eastAsia="es-MX"/>
        </w:rPr>
      </w:pPr>
    </w:p>
    <w:p w14:paraId="066A14BC" w14:textId="77777777" w:rsidR="00293912" w:rsidRPr="00284847" w:rsidRDefault="00293912" w:rsidP="00293912">
      <w:pPr>
        <w:spacing w:after="0"/>
        <w:jc w:val="both"/>
        <w:rPr>
          <w:rFonts w:ascii="ITC Avant Garde" w:eastAsia="ITC Avant Garde" w:hAnsi="ITC Avant Garde" w:cs="ITC Avant Garde"/>
          <w:b/>
          <w:color w:val="000000"/>
          <w:sz w:val="20"/>
          <w:szCs w:val="20"/>
          <w:lang w:val="es-ES_tradnl" w:eastAsia="es-MX"/>
        </w:rPr>
      </w:pPr>
      <w:r w:rsidRPr="00284847">
        <w:rPr>
          <w:rFonts w:ascii="ITC Avant Garde" w:eastAsia="ITC Avant Garde" w:hAnsi="ITC Avant Garde" w:cs="ITC Avant Garde"/>
          <w:b/>
          <w:color w:val="000000"/>
          <w:sz w:val="20"/>
          <w:szCs w:val="20"/>
          <w:lang w:val="es-ES_tradnl" w:eastAsia="es-MX"/>
        </w:rPr>
        <w:t>Personas morales:</w:t>
      </w:r>
    </w:p>
    <w:p w14:paraId="428BDD7C" w14:textId="40FE810D" w:rsidR="0075794E" w:rsidRPr="00226FE9" w:rsidRDefault="0075794E" w:rsidP="00293912">
      <w:pPr>
        <w:pStyle w:val="Prrafodelista"/>
        <w:numPr>
          <w:ilvl w:val="0"/>
          <w:numId w:val="2"/>
        </w:numPr>
        <w:spacing w:after="0" w:line="240" w:lineRule="auto"/>
        <w:jc w:val="both"/>
        <w:rPr>
          <w:rFonts w:ascii="ITC Avant Garde" w:hAnsi="ITC Avant Garde"/>
          <w:sz w:val="20"/>
          <w:szCs w:val="20"/>
        </w:rPr>
      </w:pPr>
      <w:r w:rsidRPr="00284847">
        <w:rPr>
          <w:rFonts w:ascii="ITC Avant Garde" w:hAnsi="ITC Avant Garde"/>
          <w:color w:val="000000"/>
          <w:sz w:val="20"/>
          <w:szCs w:val="20"/>
        </w:rPr>
        <w:t>Cámara Nacional de la Industria Electrónica, de Telecomunicaciones y Tecnologías de la Información (“CANIETI”);</w:t>
      </w:r>
    </w:p>
    <w:p w14:paraId="633AE2EE" w14:textId="154A7864" w:rsidR="00AD1F3A" w:rsidRPr="00226FE9" w:rsidRDefault="00AD1F3A" w:rsidP="00AD1F3A">
      <w:pPr>
        <w:pStyle w:val="Prrafodelista"/>
        <w:numPr>
          <w:ilvl w:val="0"/>
          <w:numId w:val="2"/>
        </w:numPr>
        <w:spacing w:after="0" w:line="240" w:lineRule="auto"/>
        <w:jc w:val="both"/>
        <w:rPr>
          <w:rFonts w:ascii="ITC Avant Garde" w:hAnsi="ITC Avant Garde"/>
          <w:sz w:val="20"/>
          <w:szCs w:val="20"/>
          <w:lang w:val="en-US"/>
        </w:rPr>
      </w:pPr>
      <w:r w:rsidRPr="00226FE9">
        <w:rPr>
          <w:rFonts w:ascii="ITC Avant Garde" w:hAnsi="ITC Avant Garde"/>
          <w:sz w:val="20"/>
          <w:szCs w:val="20"/>
          <w:lang w:val="en-US"/>
        </w:rPr>
        <w:t>Advance Wire &amp; Wireless Laboratorios, S.C. (“Advance”);</w:t>
      </w:r>
      <w:r w:rsidR="00D80FC5" w:rsidRPr="00226FE9">
        <w:rPr>
          <w:rFonts w:ascii="ITC Avant Garde" w:hAnsi="ITC Avant Garde"/>
          <w:sz w:val="20"/>
          <w:szCs w:val="20"/>
          <w:lang w:val="en-US"/>
        </w:rPr>
        <w:t xml:space="preserve"> y</w:t>
      </w:r>
    </w:p>
    <w:p w14:paraId="5B7B9D6F" w14:textId="34E64247" w:rsidR="00AD1F3A" w:rsidRPr="00226FE9" w:rsidRDefault="00AD1F3A" w:rsidP="00AD1F3A">
      <w:pPr>
        <w:pStyle w:val="Prrafodelista"/>
        <w:numPr>
          <w:ilvl w:val="0"/>
          <w:numId w:val="2"/>
        </w:numPr>
        <w:spacing w:after="0" w:line="240" w:lineRule="auto"/>
        <w:jc w:val="both"/>
        <w:rPr>
          <w:rFonts w:ascii="ITC Avant Garde" w:hAnsi="ITC Avant Garde"/>
          <w:sz w:val="20"/>
          <w:szCs w:val="20"/>
        </w:rPr>
      </w:pPr>
      <w:r w:rsidRPr="00226FE9">
        <w:rPr>
          <w:rFonts w:ascii="ITC Avant Garde" w:hAnsi="ITC Avant Garde"/>
          <w:sz w:val="20"/>
          <w:szCs w:val="20"/>
        </w:rPr>
        <w:t>Asociación Nacional de Telecomunicaciones (“ANATEL”).</w:t>
      </w:r>
    </w:p>
    <w:p w14:paraId="75E53511" w14:textId="77777777" w:rsidR="00293912" w:rsidRPr="00284847" w:rsidRDefault="00293912" w:rsidP="00293912">
      <w:pPr>
        <w:spacing w:after="0"/>
        <w:jc w:val="both"/>
        <w:rPr>
          <w:rFonts w:ascii="ITC Avant Garde" w:eastAsia="ITC Avant Garde" w:hAnsi="ITC Avant Garde" w:cs="ITC Avant Garde"/>
          <w:b/>
          <w:color w:val="000000" w:themeColor="text1"/>
          <w:sz w:val="20"/>
          <w:szCs w:val="20"/>
          <w:lang w:val="es-ES" w:eastAsia="es-MX"/>
        </w:rPr>
      </w:pPr>
    </w:p>
    <w:p w14:paraId="7531B2B3" w14:textId="77777777" w:rsidR="00293912" w:rsidRPr="00284847" w:rsidRDefault="00293912" w:rsidP="00293912">
      <w:pPr>
        <w:spacing w:after="0"/>
        <w:jc w:val="both"/>
        <w:rPr>
          <w:rFonts w:ascii="ITC Avant Garde" w:eastAsia="ITC Avant Garde" w:hAnsi="ITC Avant Garde" w:cs="ITC Avant Garde"/>
          <w:b/>
          <w:color w:val="000000" w:themeColor="text1"/>
          <w:sz w:val="20"/>
          <w:szCs w:val="20"/>
          <w:lang w:val="es-ES" w:eastAsia="es-MX"/>
        </w:rPr>
      </w:pPr>
      <w:r w:rsidRPr="00284847">
        <w:rPr>
          <w:rFonts w:ascii="ITC Avant Garde" w:eastAsia="ITC Avant Garde" w:hAnsi="ITC Avant Garde" w:cs="ITC Avant Garde"/>
          <w:b/>
          <w:color w:val="000000" w:themeColor="text1"/>
          <w:sz w:val="20"/>
          <w:szCs w:val="20"/>
          <w:lang w:val="es-ES" w:eastAsia="es-MX"/>
        </w:rPr>
        <w:t>RESPUESTAS O POSICIONAMIENTOS DEL INSTITUTO</w:t>
      </w:r>
    </w:p>
    <w:p w14:paraId="0EA18207" w14:textId="77777777" w:rsidR="00293912" w:rsidRPr="00284847" w:rsidRDefault="00293912" w:rsidP="00293912">
      <w:pPr>
        <w:spacing w:after="0"/>
        <w:jc w:val="both"/>
        <w:rPr>
          <w:rFonts w:ascii="ITC Avant Garde" w:eastAsia="ITC Avant Garde" w:hAnsi="ITC Avant Garde" w:cs="ITC Avant Garde"/>
          <w:b/>
          <w:color w:val="000000" w:themeColor="text1"/>
          <w:sz w:val="20"/>
          <w:szCs w:val="20"/>
          <w:lang w:val="es-ES" w:eastAsia="es-MX"/>
        </w:rPr>
      </w:pPr>
    </w:p>
    <w:p w14:paraId="650609E7" w14:textId="7F933DC0" w:rsidR="00293912" w:rsidRPr="00284847" w:rsidRDefault="00293912" w:rsidP="00293912">
      <w:pPr>
        <w:spacing w:after="0"/>
        <w:jc w:val="both"/>
        <w:rPr>
          <w:rFonts w:ascii="ITC Avant Garde" w:eastAsia="ITC Avant Garde" w:hAnsi="ITC Avant Garde" w:cs="ITC Avant Garde"/>
          <w:color w:val="000000" w:themeColor="text1"/>
          <w:sz w:val="20"/>
          <w:szCs w:val="20"/>
          <w:lang w:val="es-ES" w:eastAsia="es-MX"/>
        </w:rPr>
      </w:pPr>
      <w:r w:rsidRPr="00284847">
        <w:rPr>
          <w:rFonts w:ascii="ITC Avant Garde" w:eastAsia="ITC Avant Garde" w:hAnsi="ITC Avant Garde" w:cs="ITC Avant Garde"/>
          <w:color w:val="000000" w:themeColor="text1"/>
          <w:sz w:val="20"/>
          <w:szCs w:val="20"/>
          <w:lang w:val="es-ES" w:eastAsia="es-MX"/>
        </w:rPr>
        <w:lastRenderedPageBreak/>
        <w:t xml:space="preserve">En relación a los comentarios, opiniones y propuestas concretas recibidas durante el periodo comprendido del </w:t>
      </w:r>
      <w:r w:rsidR="00FC15B0" w:rsidRPr="00284847">
        <w:rPr>
          <w:rFonts w:ascii="ITC Avant Garde" w:eastAsia="ITC Avant Garde" w:hAnsi="ITC Avant Garde" w:cs="ITC Avant Garde"/>
          <w:color w:val="000000" w:themeColor="text1"/>
          <w:sz w:val="20"/>
          <w:szCs w:val="20"/>
          <w:lang w:val="es-ES" w:eastAsia="es-MX"/>
        </w:rPr>
        <w:t>23</w:t>
      </w:r>
      <w:r w:rsidRPr="00284847">
        <w:rPr>
          <w:rFonts w:ascii="ITC Avant Garde" w:eastAsia="ITC Avant Garde" w:hAnsi="ITC Avant Garde" w:cs="ITC Avant Garde"/>
          <w:color w:val="000000" w:themeColor="text1"/>
          <w:sz w:val="20"/>
          <w:szCs w:val="20"/>
          <w:lang w:val="es-ES" w:eastAsia="es-MX"/>
        </w:rPr>
        <w:t xml:space="preserve"> de </w:t>
      </w:r>
      <w:r w:rsidR="00FC15B0" w:rsidRPr="00284847">
        <w:rPr>
          <w:rFonts w:ascii="ITC Avant Garde" w:eastAsia="ITC Avant Garde" w:hAnsi="ITC Avant Garde" w:cs="ITC Avant Garde"/>
          <w:color w:val="000000" w:themeColor="text1"/>
          <w:sz w:val="20"/>
          <w:szCs w:val="20"/>
          <w:lang w:val="es-ES" w:eastAsia="es-MX"/>
        </w:rPr>
        <w:t>junio</w:t>
      </w:r>
      <w:r w:rsidRPr="00284847">
        <w:rPr>
          <w:rFonts w:ascii="ITC Avant Garde" w:eastAsia="ITC Avant Garde" w:hAnsi="ITC Avant Garde" w:cs="ITC Avant Garde"/>
          <w:color w:val="000000" w:themeColor="text1"/>
          <w:sz w:val="20"/>
          <w:szCs w:val="20"/>
          <w:lang w:val="es-ES" w:eastAsia="es-MX"/>
        </w:rPr>
        <w:t xml:space="preserve"> </w:t>
      </w:r>
      <w:r w:rsidR="00502BB5" w:rsidRPr="00284847">
        <w:rPr>
          <w:rFonts w:ascii="ITC Avant Garde" w:eastAsia="ITC Avant Garde" w:hAnsi="ITC Avant Garde" w:cs="ITC Avant Garde"/>
          <w:color w:val="000000" w:themeColor="text1"/>
          <w:sz w:val="20"/>
          <w:szCs w:val="20"/>
          <w:lang w:val="es-ES" w:eastAsia="es-MX"/>
        </w:rPr>
        <w:t xml:space="preserve">al </w:t>
      </w:r>
      <w:r w:rsidR="00FC15B0" w:rsidRPr="00284847">
        <w:rPr>
          <w:rFonts w:ascii="ITC Avant Garde" w:eastAsia="ITC Avant Garde" w:hAnsi="ITC Avant Garde" w:cs="ITC Avant Garde"/>
          <w:color w:val="000000" w:themeColor="text1"/>
          <w:sz w:val="20"/>
          <w:szCs w:val="20"/>
          <w:lang w:val="es-ES" w:eastAsia="es-MX"/>
        </w:rPr>
        <w:t>6</w:t>
      </w:r>
      <w:r w:rsidRPr="00284847">
        <w:rPr>
          <w:rFonts w:ascii="ITC Avant Garde" w:eastAsia="ITC Avant Garde" w:hAnsi="ITC Avant Garde" w:cs="ITC Avant Garde"/>
          <w:color w:val="000000" w:themeColor="text1"/>
          <w:sz w:val="20"/>
          <w:szCs w:val="20"/>
          <w:lang w:val="es-ES" w:eastAsia="es-MX"/>
        </w:rPr>
        <w:t xml:space="preserve"> de </w:t>
      </w:r>
      <w:r w:rsidR="00FC15B0" w:rsidRPr="00284847">
        <w:rPr>
          <w:rFonts w:ascii="ITC Avant Garde" w:eastAsia="ITC Avant Garde" w:hAnsi="ITC Avant Garde" w:cs="ITC Avant Garde"/>
          <w:color w:val="000000" w:themeColor="text1"/>
          <w:sz w:val="20"/>
          <w:szCs w:val="20"/>
          <w:lang w:val="es-ES" w:eastAsia="es-MX"/>
        </w:rPr>
        <w:t>julio</w:t>
      </w:r>
      <w:r w:rsidRPr="00284847">
        <w:rPr>
          <w:rFonts w:ascii="ITC Avant Garde" w:eastAsia="ITC Avant Garde" w:hAnsi="ITC Avant Garde" w:cs="ITC Avant Garde"/>
          <w:color w:val="000000" w:themeColor="text1"/>
          <w:sz w:val="20"/>
          <w:szCs w:val="20"/>
          <w:lang w:val="es-ES" w:eastAsia="es-MX"/>
        </w:rPr>
        <w:t xml:space="preserve"> de 202</w:t>
      </w:r>
      <w:r w:rsidR="00FC15B0" w:rsidRPr="00284847">
        <w:rPr>
          <w:rFonts w:ascii="ITC Avant Garde" w:eastAsia="ITC Avant Garde" w:hAnsi="ITC Avant Garde" w:cs="ITC Avant Garde"/>
          <w:color w:val="000000" w:themeColor="text1"/>
          <w:sz w:val="20"/>
          <w:szCs w:val="20"/>
          <w:lang w:val="es-ES" w:eastAsia="es-MX"/>
        </w:rPr>
        <w:t>3</w:t>
      </w:r>
      <w:r w:rsidRPr="00284847">
        <w:rPr>
          <w:rFonts w:ascii="ITC Avant Garde" w:eastAsia="ITC Avant Garde" w:hAnsi="ITC Avant Garde" w:cs="ITC Avant Garde"/>
          <w:color w:val="000000" w:themeColor="text1"/>
          <w:sz w:val="20"/>
          <w:szCs w:val="20"/>
          <w:lang w:val="es-ES" w:eastAsia="es-MX"/>
        </w:rPr>
        <w:t>, respecto al Anteproyecto materia de la consulta pública de mérito, se informa que el Instituto Federal de Telecomunicaciones (Instituto) identificó diversos temas, mismos que han sido agrupados de manera genérica para su mejor referencia y atención. No obstante, las opiniones y pronunciamientos recibidos se encuentran disponibles para su consulta en el portal de Internet del Instituto.</w:t>
      </w:r>
    </w:p>
    <w:p w14:paraId="33B6C812" w14:textId="77777777" w:rsidR="00293912" w:rsidRPr="00284847" w:rsidRDefault="00293912" w:rsidP="00293912">
      <w:pPr>
        <w:spacing w:after="0"/>
        <w:jc w:val="both"/>
        <w:rPr>
          <w:rFonts w:ascii="ITC Avant Garde" w:eastAsia="ITC Avant Garde" w:hAnsi="ITC Avant Garde" w:cs="ITC Avant Garde"/>
          <w:color w:val="000000" w:themeColor="text1"/>
          <w:sz w:val="20"/>
          <w:szCs w:val="20"/>
          <w:lang w:val="es-ES" w:eastAsia="es-MX"/>
        </w:rPr>
      </w:pPr>
    </w:p>
    <w:p w14:paraId="06263CA0" w14:textId="77777777" w:rsidR="00293912" w:rsidRPr="00284847" w:rsidRDefault="00293912" w:rsidP="00293912">
      <w:pPr>
        <w:spacing w:after="0"/>
        <w:jc w:val="both"/>
        <w:rPr>
          <w:rFonts w:ascii="ITC Avant Garde" w:eastAsia="ITC Avant Garde" w:hAnsi="ITC Avant Garde" w:cs="ITC Avant Garde"/>
          <w:color w:val="000000" w:themeColor="text1"/>
          <w:sz w:val="20"/>
          <w:szCs w:val="20"/>
          <w:lang w:val="es-ES" w:eastAsia="es-MX"/>
        </w:rPr>
      </w:pPr>
      <w:r w:rsidRPr="00284847">
        <w:rPr>
          <w:rFonts w:ascii="ITC Avant Garde" w:eastAsia="ITC Avant Garde" w:hAnsi="ITC Avant Garde" w:cs="ITC Avant Garde"/>
          <w:color w:val="000000" w:themeColor="text1"/>
          <w:sz w:val="20"/>
          <w:szCs w:val="20"/>
          <w:lang w:val="es-ES" w:eastAsia="es-MX"/>
        </w:rPr>
        <w:t>Lo contenido en las presentes respuestas generales atiende únicamente lo relacionado con los comentarios realizados por los participantes en la consulta pública.</w:t>
      </w:r>
    </w:p>
    <w:p w14:paraId="03F070B0" w14:textId="77777777" w:rsidR="00293912" w:rsidRPr="00284847" w:rsidRDefault="00293912" w:rsidP="00293912">
      <w:pPr>
        <w:spacing w:after="0"/>
        <w:jc w:val="both"/>
        <w:rPr>
          <w:rFonts w:ascii="ITC Avant Garde" w:eastAsia="ITC Avant Garde" w:hAnsi="ITC Avant Garde" w:cs="ITC Avant Garde"/>
          <w:color w:val="000000" w:themeColor="text1"/>
          <w:sz w:val="20"/>
          <w:szCs w:val="20"/>
          <w:lang w:val="es-ES" w:eastAsia="es-MX"/>
        </w:rPr>
      </w:pPr>
    </w:p>
    <w:p w14:paraId="3A1FCA02" w14:textId="23119F45" w:rsidR="00293912" w:rsidRPr="00284847" w:rsidRDefault="00293912" w:rsidP="00293912">
      <w:pPr>
        <w:spacing w:after="0"/>
        <w:jc w:val="both"/>
        <w:rPr>
          <w:rFonts w:ascii="ITC Avant Garde" w:eastAsia="ITC Avant Garde" w:hAnsi="ITC Avant Garde" w:cs="ITC Avant Garde"/>
          <w:color w:val="000000" w:themeColor="text1"/>
          <w:sz w:val="20"/>
          <w:szCs w:val="20"/>
          <w:lang w:val="es-ES" w:eastAsia="es-MX"/>
        </w:rPr>
      </w:pPr>
      <w:r w:rsidRPr="00284847">
        <w:rPr>
          <w:rFonts w:ascii="ITC Avant Garde" w:eastAsia="ITC Avant Garde" w:hAnsi="ITC Avant Garde" w:cs="ITC Avant Garde"/>
          <w:color w:val="000000" w:themeColor="text1"/>
          <w:sz w:val="20"/>
          <w:szCs w:val="20"/>
          <w:lang w:val="es-ES" w:eastAsia="es-MX"/>
        </w:rPr>
        <w:t>Una vez concluido el plazo de consulta, se publicaron en el portal de Internet del Instituto todos y cada uno de los comentarios, opiniones y propuestas concretas recibidas respecto del</w:t>
      </w:r>
      <w:r w:rsidR="00B57514" w:rsidRPr="00284847">
        <w:rPr>
          <w:rFonts w:ascii="ITC Avant Garde" w:eastAsia="ITC Avant Garde" w:hAnsi="ITC Avant Garde" w:cs="ITC Avant Garde"/>
          <w:color w:val="000000" w:themeColor="text1"/>
          <w:sz w:val="20"/>
          <w:szCs w:val="20"/>
          <w:lang w:val="es-ES" w:eastAsia="es-MX"/>
        </w:rPr>
        <w:t xml:space="preserve"> A</w:t>
      </w:r>
      <w:r w:rsidRPr="00284847">
        <w:rPr>
          <w:rFonts w:ascii="ITC Avant Garde" w:eastAsia="ITC Avant Garde" w:hAnsi="ITC Avant Garde" w:cs="ITC Avant Garde"/>
          <w:color w:val="000000" w:themeColor="text1"/>
          <w:sz w:val="20"/>
          <w:szCs w:val="20"/>
          <w:lang w:val="es-ES" w:eastAsia="es-MX"/>
        </w:rPr>
        <w:t xml:space="preserve">nteproyecto materia de dicha consulta pública. </w:t>
      </w:r>
    </w:p>
    <w:p w14:paraId="70957FCC" w14:textId="77777777" w:rsidR="00293912" w:rsidRPr="00284847" w:rsidRDefault="00293912" w:rsidP="00293912">
      <w:pPr>
        <w:spacing w:after="0"/>
        <w:jc w:val="both"/>
        <w:rPr>
          <w:rFonts w:ascii="ITC Avant Garde" w:eastAsia="ITC Avant Garde" w:hAnsi="ITC Avant Garde" w:cs="ITC Avant Garde"/>
          <w:color w:val="000000" w:themeColor="text1"/>
          <w:sz w:val="20"/>
          <w:szCs w:val="20"/>
          <w:lang w:val="es-ES" w:eastAsia="es-MX"/>
        </w:rPr>
      </w:pPr>
    </w:p>
    <w:p w14:paraId="74106E96" w14:textId="2878E79B" w:rsidR="009C0941" w:rsidRDefault="00293912" w:rsidP="00D90266">
      <w:pPr>
        <w:spacing w:after="0"/>
        <w:jc w:val="both"/>
        <w:rPr>
          <w:rFonts w:ascii="ITC Avant Garde" w:eastAsia="ITC Avant Garde" w:hAnsi="ITC Avant Garde" w:cs="ITC Avant Garde"/>
          <w:color w:val="000000"/>
          <w:sz w:val="20"/>
          <w:szCs w:val="20"/>
          <w:lang w:val="es-ES_tradnl" w:eastAsia="es-MX"/>
        </w:rPr>
      </w:pPr>
      <w:r w:rsidRPr="00284847">
        <w:rPr>
          <w:rFonts w:ascii="ITC Avant Garde" w:eastAsia="ITC Avant Garde" w:hAnsi="ITC Avant Garde" w:cs="ITC Avant Garde"/>
          <w:color w:val="000000"/>
          <w:sz w:val="20"/>
          <w:szCs w:val="20"/>
          <w:lang w:val="es-ES_tradnl" w:eastAsia="es-MX"/>
        </w:rPr>
        <w:t xml:space="preserve">A continuación, se hará referencia a los comentarios que los participantes hicieron por </w:t>
      </w:r>
      <w:r w:rsidR="00FE7564" w:rsidRPr="00284847">
        <w:rPr>
          <w:rFonts w:ascii="ITC Avant Garde" w:eastAsia="ITC Avant Garde" w:hAnsi="ITC Avant Garde" w:cs="ITC Avant Garde"/>
          <w:color w:val="000000"/>
          <w:sz w:val="20"/>
          <w:szCs w:val="20"/>
          <w:lang w:val="es-ES_tradnl" w:eastAsia="es-MX"/>
        </w:rPr>
        <w:t xml:space="preserve">apartado </w:t>
      </w:r>
      <w:r w:rsidRPr="00284847">
        <w:rPr>
          <w:rFonts w:ascii="ITC Avant Garde" w:eastAsia="ITC Avant Garde" w:hAnsi="ITC Avant Garde" w:cs="ITC Avant Garde"/>
          <w:color w:val="000000"/>
          <w:sz w:val="20"/>
          <w:szCs w:val="20"/>
          <w:lang w:val="es-ES_tradnl" w:eastAsia="es-MX"/>
        </w:rPr>
        <w:t>en la consulta pública.</w:t>
      </w:r>
    </w:p>
    <w:p w14:paraId="2FD2BDB3" w14:textId="77777777" w:rsidR="00D90266" w:rsidRPr="00284847" w:rsidRDefault="00D90266" w:rsidP="00D90266">
      <w:pPr>
        <w:spacing w:after="0"/>
        <w:jc w:val="both"/>
        <w:rPr>
          <w:rFonts w:ascii="ITC Avant Garde" w:eastAsia="ITC Avant Garde" w:hAnsi="ITC Avant Garde" w:cs="ITC Avant Garde"/>
          <w:color w:val="000000"/>
          <w:sz w:val="20"/>
          <w:szCs w:val="20"/>
          <w:lang w:val="es-ES_tradnl" w:eastAsia="es-MX"/>
        </w:rPr>
      </w:pPr>
    </w:p>
    <w:p w14:paraId="713B8A9B" w14:textId="42063C20" w:rsidR="00772FF9" w:rsidRPr="00284847" w:rsidRDefault="00E03EE1" w:rsidP="00E03EE1">
      <w:pPr>
        <w:pStyle w:val="Textocomentario"/>
        <w:jc w:val="center"/>
        <w:rPr>
          <w:rFonts w:ascii="ITC Avant Garde" w:hAnsi="ITC Avant Garde"/>
          <w:b/>
          <w:bCs/>
          <w:u w:val="single"/>
        </w:rPr>
      </w:pPr>
      <w:r w:rsidRPr="00284847">
        <w:rPr>
          <w:rFonts w:ascii="ITC Avant Garde" w:hAnsi="ITC Avant Garde"/>
          <w:b/>
          <w:bCs/>
          <w:u w:val="single"/>
        </w:rPr>
        <w:t xml:space="preserve">4. </w:t>
      </w:r>
      <w:r w:rsidR="00E601EF" w:rsidRPr="00284847">
        <w:rPr>
          <w:rFonts w:ascii="ITC Avant Garde" w:hAnsi="ITC Avant Garde"/>
          <w:b/>
          <w:bCs/>
          <w:u w:val="single"/>
        </w:rPr>
        <w:t>ESPECIFICACIONES TÉCNICAS.</w:t>
      </w:r>
    </w:p>
    <w:p w14:paraId="65ECB403" w14:textId="75734747" w:rsidR="00E03EE1" w:rsidRPr="00284847" w:rsidRDefault="00E03EE1" w:rsidP="00E03EE1">
      <w:pPr>
        <w:pStyle w:val="Textocomentario"/>
        <w:rPr>
          <w:rFonts w:ascii="ITC Avant Garde" w:hAnsi="ITC Avant Garde"/>
          <w:b/>
          <w:bCs/>
          <w:u w:val="single"/>
        </w:rPr>
      </w:pPr>
    </w:p>
    <w:p w14:paraId="337F0F92" w14:textId="3A629EC8" w:rsidR="00DB035F" w:rsidRPr="00284847" w:rsidRDefault="00DB035F" w:rsidP="00DB035F">
      <w:pPr>
        <w:pStyle w:val="Textocomentario"/>
        <w:jc w:val="both"/>
        <w:rPr>
          <w:rFonts w:ascii="ITC Avant Garde" w:hAnsi="ITC Avant Garde"/>
          <w:b/>
          <w:bCs/>
        </w:rPr>
      </w:pPr>
      <w:r w:rsidRPr="00284847">
        <w:rPr>
          <w:rFonts w:ascii="ITC Avant Garde" w:hAnsi="ITC Avant Garde"/>
          <w:b/>
          <w:bCs/>
          <w:u w:val="single"/>
        </w:rPr>
        <w:t>4.4. Señal Audible y cadencia de vibración del Mensaje de Alerta en el Equipo Terminal Móvil.</w:t>
      </w:r>
    </w:p>
    <w:p w14:paraId="160E0914" w14:textId="5D1F0F9C" w:rsidR="00DB035F" w:rsidRPr="00284847" w:rsidRDefault="00DB035F" w:rsidP="00C8087C">
      <w:pPr>
        <w:pStyle w:val="Textocomentario"/>
        <w:jc w:val="both"/>
        <w:rPr>
          <w:rFonts w:ascii="ITC Avant Garde" w:hAnsi="ITC Avant Garde"/>
        </w:rPr>
      </w:pPr>
    </w:p>
    <w:p w14:paraId="154CC167" w14:textId="77777777" w:rsidR="00DB035F" w:rsidRPr="00284847" w:rsidRDefault="00DB035F" w:rsidP="00DB035F">
      <w:pPr>
        <w:pStyle w:val="Textocomentario"/>
        <w:jc w:val="both"/>
        <w:rPr>
          <w:rFonts w:ascii="ITC Avant Garde" w:hAnsi="ITC Avant Garde"/>
          <w:b/>
          <w:bCs/>
        </w:rPr>
      </w:pPr>
      <w:r w:rsidRPr="00284847">
        <w:rPr>
          <w:rFonts w:ascii="ITC Avant Garde" w:hAnsi="ITC Avant Garde"/>
          <w:b/>
          <w:bCs/>
        </w:rPr>
        <w:t>Participantes:</w:t>
      </w:r>
    </w:p>
    <w:p w14:paraId="04004832" w14:textId="41032C4E" w:rsidR="00DB035F" w:rsidRPr="00284847" w:rsidRDefault="00D80FC5" w:rsidP="00C8087C">
      <w:pPr>
        <w:pStyle w:val="Textocomentario"/>
        <w:jc w:val="both"/>
        <w:rPr>
          <w:rFonts w:ascii="ITC Avant Garde" w:hAnsi="ITC Avant Garde"/>
        </w:rPr>
      </w:pPr>
      <w:r w:rsidRPr="00284847">
        <w:rPr>
          <w:rFonts w:ascii="ITC Avant Garde" w:hAnsi="ITC Avant Garde"/>
        </w:rPr>
        <w:t>Advance.</w:t>
      </w:r>
    </w:p>
    <w:p w14:paraId="20C5FF85" w14:textId="66E84D2F" w:rsidR="00DB035F" w:rsidRPr="00284847" w:rsidRDefault="00DB035F" w:rsidP="00C8087C">
      <w:pPr>
        <w:pStyle w:val="Textocomentario"/>
        <w:jc w:val="both"/>
        <w:rPr>
          <w:rFonts w:ascii="ITC Avant Garde" w:hAnsi="ITC Avant Garde"/>
        </w:rPr>
      </w:pPr>
    </w:p>
    <w:p w14:paraId="78E5E2EE" w14:textId="47BFC6E7" w:rsidR="00DB035F" w:rsidRPr="00284847" w:rsidRDefault="00DB035F" w:rsidP="00C8087C">
      <w:pPr>
        <w:pStyle w:val="Textocomentario"/>
        <w:jc w:val="both"/>
        <w:rPr>
          <w:rFonts w:ascii="ITC Avant Garde" w:hAnsi="ITC Avant Garde"/>
          <w:b/>
          <w:bCs/>
        </w:rPr>
      </w:pPr>
      <w:r w:rsidRPr="00284847">
        <w:rPr>
          <w:rFonts w:ascii="ITC Avant Garde" w:hAnsi="ITC Avant Garde"/>
          <w:b/>
          <w:bCs/>
        </w:rPr>
        <w:t>Propuesta:</w:t>
      </w:r>
    </w:p>
    <w:p w14:paraId="2CA43113" w14:textId="77777777" w:rsidR="005F6498" w:rsidRDefault="00667F19" w:rsidP="00D80FC5">
      <w:pPr>
        <w:pStyle w:val="Textocomentario"/>
        <w:jc w:val="both"/>
        <w:rPr>
          <w:rFonts w:ascii="ITC Avant Garde" w:hAnsi="ITC Avant Garde"/>
        </w:rPr>
      </w:pPr>
      <w:r w:rsidRPr="00284847">
        <w:rPr>
          <w:rFonts w:ascii="ITC Avant Garde" w:hAnsi="ITC Avant Garde"/>
        </w:rPr>
        <w:t xml:space="preserve">El participante </w:t>
      </w:r>
      <w:r w:rsidR="00D80FC5" w:rsidRPr="00284847">
        <w:rPr>
          <w:rFonts w:ascii="ITC Avant Garde" w:hAnsi="ITC Avant Garde"/>
        </w:rPr>
        <w:t>indicó</w:t>
      </w:r>
      <w:r w:rsidR="005F6498">
        <w:rPr>
          <w:rFonts w:ascii="ITC Avant Garde" w:hAnsi="ITC Avant Garde"/>
        </w:rPr>
        <w:t xml:space="preserve"> lo siguiente:</w:t>
      </w:r>
    </w:p>
    <w:p w14:paraId="52E6BAEF" w14:textId="77777777" w:rsidR="005F6498" w:rsidRDefault="005F6498" w:rsidP="00D80FC5">
      <w:pPr>
        <w:pStyle w:val="Textocomentario"/>
        <w:jc w:val="both"/>
        <w:rPr>
          <w:rFonts w:ascii="ITC Avant Garde" w:hAnsi="ITC Avant Garde"/>
        </w:rPr>
      </w:pPr>
    </w:p>
    <w:p w14:paraId="757E5635" w14:textId="34870742" w:rsidR="00D80FC5" w:rsidRPr="00226FE9" w:rsidRDefault="005F6498" w:rsidP="00D80FC5">
      <w:pPr>
        <w:pStyle w:val="Textocomentario"/>
        <w:jc w:val="both"/>
        <w:rPr>
          <w:rFonts w:ascii="ITC Avant Garde" w:hAnsi="ITC Avant Garde"/>
          <w:i/>
          <w:iCs/>
        </w:rPr>
      </w:pPr>
      <w:r w:rsidRPr="00226FE9">
        <w:rPr>
          <w:rFonts w:ascii="ITC Avant Garde" w:hAnsi="ITC Avant Garde"/>
          <w:i/>
          <w:iCs/>
        </w:rPr>
        <w:t>“En el</w:t>
      </w:r>
      <w:r w:rsidR="00D80FC5" w:rsidRPr="00226FE9">
        <w:rPr>
          <w:rFonts w:ascii="ITC Avant Garde" w:hAnsi="ITC Avant Garde"/>
          <w:i/>
          <w:iCs/>
        </w:rPr>
        <w:t xml:space="preserve"> </w:t>
      </w:r>
      <w:r w:rsidR="00D80FC5" w:rsidRPr="00226FE9">
        <w:rPr>
          <w:rFonts w:ascii="ITC Avant Garde" w:hAnsi="ITC Avant Garde"/>
          <w:b/>
          <w:bCs/>
          <w:i/>
          <w:iCs/>
        </w:rPr>
        <w:t>Numeral 4.4</w:t>
      </w:r>
      <w:r w:rsidR="00D80FC5" w:rsidRPr="00226FE9">
        <w:rPr>
          <w:rFonts w:ascii="ITC Avant Garde" w:hAnsi="ITC Avant Garde"/>
          <w:i/>
          <w:iCs/>
        </w:rPr>
        <w:t xml:space="preserve">, se muestra la </w:t>
      </w:r>
      <w:r w:rsidR="00D80FC5" w:rsidRPr="00226FE9">
        <w:rPr>
          <w:rFonts w:ascii="ITC Avant Garde" w:hAnsi="ITC Avant Garde"/>
          <w:b/>
          <w:bCs/>
          <w:i/>
          <w:iCs/>
        </w:rPr>
        <w:t>Figura 1. Secuencia de la Señal Audible del Mensaje de Alerta</w:t>
      </w:r>
      <w:r w:rsidR="00D80FC5" w:rsidRPr="00226FE9">
        <w:rPr>
          <w:rFonts w:ascii="ITC Avant Garde" w:hAnsi="ITC Avant Garde"/>
          <w:i/>
          <w:iCs/>
        </w:rPr>
        <w:t xml:space="preserve"> y dentro de esta figura se puede observar la especificación del tiempo de duración de cada tono, así como la duración total de la señal audible, sin embargo </w:t>
      </w:r>
      <w:r w:rsidR="00084F7E" w:rsidRPr="00226FE9">
        <w:rPr>
          <w:rFonts w:ascii="ITC Avant Garde" w:hAnsi="ITC Avant Garde"/>
          <w:i/>
          <w:iCs/>
        </w:rPr>
        <w:t xml:space="preserve">señaló que </w:t>
      </w:r>
      <w:r w:rsidR="00D80FC5" w:rsidRPr="00226FE9">
        <w:rPr>
          <w:rFonts w:ascii="ITC Avant Garde" w:hAnsi="ITC Avant Garde"/>
          <w:i/>
          <w:iCs/>
        </w:rPr>
        <w:t>no se establece una tolerancia en tiempo dentro de la especificación tanto para la duración de cada tono como para la duración total de la señal audible, por lo que una “cierta variación” puede no ser clara para el organismo de certificación que tiene que decidir si un equipo cumple o no, en este caso si el parámetro puede aceptar</w:t>
      </w:r>
      <w:r w:rsidR="00D53659" w:rsidRPr="00226FE9">
        <w:rPr>
          <w:rFonts w:ascii="ITC Avant Garde" w:hAnsi="ITC Avant Garde"/>
          <w:i/>
          <w:iCs/>
        </w:rPr>
        <w:t>se</w:t>
      </w:r>
      <w:r w:rsidR="00D80FC5" w:rsidRPr="00226FE9">
        <w:rPr>
          <w:rFonts w:ascii="ITC Avant Garde" w:hAnsi="ITC Avant Garde"/>
          <w:i/>
          <w:iCs/>
        </w:rPr>
        <w:t xml:space="preserve"> una variabilidad amplia </w:t>
      </w:r>
      <w:r w:rsidR="00C2600D" w:rsidRPr="00226FE9">
        <w:rPr>
          <w:rFonts w:ascii="ITC Avant Garde" w:hAnsi="ITC Avant Garde"/>
          <w:i/>
          <w:iCs/>
        </w:rPr>
        <w:t>sug</w:t>
      </w:r>
      <w:r w:rsidR="00D53659" w:rsidRPr="00226FE9">
        <w:rPr>
          <w:rFonts w:ascii="ITC Avant Garde" w:hAnsi="ITC Avant Garde"/>
          <w:i/>
          <w:iCs/>
        </w:rPr>
        <w:t>erimos</w:t>
      </w:r>
      <w:r w:rsidR="00D80FC5" w:rsidRPr="00226FE9">
        <w:rPr>
          <w:rFonts w:ascii="ITC Avant Garde" w:hAnsi="ITC Avant Garde"/>
          <w:i/>
          <w:iCs/>
        </w:rPr>
        <w:t xml:space="preserve"> determinar como valor específico 8 segundos ±2</w:t>
      </w:r>
      <w:r w:rsidR="00D53659" w:rsidRPr="00226FE9">
        <w:rPr>
          <w:rFonts w:ascii="ITC Avant Garde" w:hAnsi="ITC Avant Garde"/>
          <w:i/>
          <w:iCs/>
        </w:rPr>
        <w:t>. Dicha</w:t>
      </w:r>
      <w:r w:rsidR="00D80FC5" w:rsidRPr="00226FE9">
        <w:rPr>
          <w:rFonts w:ascii="ITC Avant Garde" w:hAnsi="ITC Avant Garde"/>
          <w:i/>
          <w:iCs/>
        </w:rPr>
        <w:t xml:space="preserve"> variabilidad queda suficientemente holgada, pero a su vez, no lo deja a “criterio” de quien evalúa. </w:t>
      </w:r>
    </w:p>
    <w:p w14:paraId="0ABE15D6" w14:textId="77777777" w:rsidR="00D80FC5" w:rsidRPr="00226FE9" w:rsidRDefault="00D80FC5" w:rsidP="00D80FC5">
      <w:pPr>
        <w:pStyle w:val="Textocomentario"/>
        <w:jc w:val="both"/>
        <w:rPr>
          <w:rFonts w:ascii="ITC Avant Garde" w:hAnsi="ITC Avant Garde"/>
          <w:i/>
          <w:iCs/>
        </w:rPr>
      </w:pPr>
    </w:p>
    <w:p w14:paraId="3958597B" w14:textId="412755BD" w:rsidR="00D80FC5" w:rsidRPr="00226FE9" w:rsidRDefault="00D53659" w:rsidP="00D80FC5">
      <w:pPr>
        <w:pStyle w:val="Textocomentario"/>
        <w:jc w:val="both"/>
        <w:rPr>
          <w:rFonts w:ascii="ITC Avant Garde" w:hAnsi="ITC Avant Garde"/>
          <w:i/>
          <w:iCs/>
        </w:rPr>
      </w:pPr>
      <w:r w:rsidRPr="00226FE9">
        <w:rPr>
          <w:rFonts w:ascii="ITC Avant Garde" w:hAnsi="ITC Avant Garde"/>
          <w:i/>
          <w:iCs/>
        </w:rPr>
        <w:t>P</w:t>
      </w:r>
      <w:r w:rsidR="00D80FC5" w:rsidRPr="00226FE9">
        <w:rPr>
          <w:rFonts w:ascii="ITC Avant Garde" w:hAnsi="ITC Avant Garde"/>
          <w:i/>
          <w:iCs/>
        </w:rPr>
        <w:t xml:space="preserve">ara mejor explicación de la problemática </w:t>
      </w:r>
      <w:r w:rsidRPr="00226FE9">
        <w:rPr>
          <w:rFonts w:ascii="ITC Avant Garde" w:hAnsi="ITC Avant Garde"/>
          <w:i/>
          <w:iCs/>
        </w:rPr>
        <w:t>les exponemos que</w:t>
      </w:r>
      <w:r w:rsidR="00D80FC5" w:rsidRPr="00226FE9">
        <w:rPr>
          <w:rFonts w:ascii="ITC Avant Garde" w:hAnsi="ITC Avant Garde"/>
          <w:i/>
          <w:iCs/>
        </w:rPr>
        <w:t xml:space="preserve"> de 20 equipos probados arrojaron tiempo promedio de duración de 7.6 ±0.3 segundos, por lo que quedará a criterio del organismo definir si se cumple o no la especificación, además de que se requiere definir el método de medición. </w:t>
      </w:r>
    </w:p>
    <w:p w14:paraId="0D6D9A01" w14:textId="77777777" w:rsidR="00D80FC5" w:rsidRPr="00226FE9" w:rsidRDefault="00D80FC5" w:rsidP="00D80FC5">
      <w:pPr>
        <w:pStyle w:val="Textocomentario"/>
        <w:jc w:val="both"/>
        <w:rPr>
          <w:rFonts w:ascii="ITC Avant Garde" w:hAnsi="ITC Avant Garde"/>
          <w:i/>
          <w:iCs/>
        </w:rPr>
      </w:pPr>
    </w:p>
    <w:p w14:paraId="792F20E2" w14:textId="0D6E1A9A" w:rsidR="00D80FC5" w:rsidRPr="00226FE9" w:rsidRDefault="00D53659" w:rsidP="00D80FC5">
      <w:pPr>
        <w:pStyle w:val="Textocomentario"/>
        <w:jc w:val="both"/>
        <w:rPr>
          <w:rFonts w:ascii="ITC Avant Garde" w:hAnsi="ITC Avant Garde"/>
          <w:b/>
          <w:bCs/>
          <w:i/>
          <w:iCs/>
        </w:rPr>
      </w:pPr>
      <w:r w:rsidRPr="00226FE9">
        <w:rPr>
          <w:rFonts w:ascii="ITC Avant Garde" w:hAnsi="ITC Avant Garde"/>
          <w:i/>
          <w:iCs/>
        </w:rPr>
        <w:t>E</w:t>
      </w:r>
      <w:r w:rsidR="00D80FC5" w:rsidRPr="00226FE9">
        <w:rPr>
          <w:rFonts w:ascii="ITC Avant Garde" w:hAnsi="ITC Avant Garde"/>
          <w:i/>
          <w:iCs/>
        </w:rPr>
        <w:t xml:space="preserve">n el </w:t>
      </w:r>
      <w:r w:rsidR="00D80FC5" w:rsidRPr="00226FE9">
        <w:rPr>
          <w:rFonts w:ascii="ITC Avant Garde" w:hAnsi="ITC Avant Garde"/>
          <w:b/>
          <w:bCs/>
          <w:i/>
          <w:iCs/>
        </w:rPr>
        <w:t>Numeral 4.4</w:t>
      </w:r>
      <w:r w:rsidR="00D80FC5" w:rsidRPr="00226FE9">
        <w:rPr>
          <w:rFonts w:ascii="ITC Avant Garde" w:hAnsi="ITC Avant Garde"/>
          <w:i/>
          <w:iCs/>
        </w:rPr>
        <w:t xml:space="preserve">, se muestra la </w:t>
      </w:r>
      <w:r w:rsidR="00D80FC5" w:rsidRPr="00226FE9">
        <w:rPr>
          <w:rFonts w:ascii="ITC Avant Garde" w:hAnsi="ITC Avant Garde"/>
          <w:b/>
          <w:bCs/>
          <w:i/>
          <w:iCs/>
        </w:rPr>
        <w:t>Figura 2. Cadencia de vibración del Mensaje de Alerta (duración 8 segundos)</w:t>
      </w:r>
      <w:r w:rsidRPr="00226FE9">
        <w:rPr>
          <w:rFonts w:ascii="ITC Avant Garde" w:hAnsi="ITC Avant Garde"/>
          <w:b/>
          <w:bCs/>
          <w:i/>
          <w:iCs/>
        </w:rPr>
        <w:t xml:space="preserve">. </w:t>
      </w:r>
      <w:r w:rsidRPr="00226FE9">
        <w:rPr>
          <w:rFonts w:ascii="ITC Avant Garde" w:hAnsi="ITC Avant Garde"/>
          <w:i/>
          <w:iCs/>
        </w:rPr>
        <w:t>Así mismo</w:t>
      </w:r>
      <w:r w:rsidR="00C2600D" w:rsidRPr="00226FE9">
        <w:rPr>
          <w:rFonts w:ascii="ITC Avant Garde" w:hAnsi="ITC Avant Garde"/>
          <w:i/>
          <w:iCs/>
        </w:rPr>
        <w:t xml:space="preserve"> </w:t>
      </w:r>
      <w:r w:rsidR="00D80FC5" w:rsidRPr="00226FE9">
        <w:rPr>
          <w:rFonts w:ascii="ITC Avant Garde" w:hAnsi="ITC Avant Garde"/>
          <w:i/>
          <w:iCs/>
        </w:rPr>
        <w:t>se especifica la duración de cada estado de vibración, para lo cual sug</w:t>
      </w:r>
      <w:r w:rsidRPr="00226FE9">
        <w:rPr>
          <w:rFonts w:ascii="ITC Avant Garde" w:hAnsi="ITC Avant Garde"/>
          <w:i/>
          <w:iCs/>
        </w:rPr>
        <w:t>erimos</w:t>
      </w:r>
      <w:r w:rsidR="00D80FC5" w:rsidRPr="00226FE9">
        <w:rPr>
          <w:rFonts w:ascii="ITC Avant Garde" w:hAnsi="ITC Avant Garde"/>
          <w:i/>
          <w:iCs/>
        </w:rPr>
        <w:t xml:space="preserve"> de manera similar la tolerancia </w:t>
      </w:r>
      <w:r w:rsidR="00C2600D" w:rsidRPr="00226FE9">
        <w:rPr>
          <w:rFonts w:ascii="ITC Avant Garde" w:hAnsi="ITC Avant Garde"/>
          <w:i/>
          <w:iCs/>
        </w:rPr>
        <w:t>e</w:t>
      </w:r>
      <w:r w:rsidRPr="00226FE9">
        <w:rPr>
          <w:rFonts w:ascii="ITC Avant Garde" w:hAnsi="ITC Avant Garde"/>
          <w:i/>
          <w:iCs/>
        </w:rPr>
        <w:t>n</w:t>
      </w:r>
      <w:r w:rsidR="00D80FC5" w:rsidRPr="00226FE9">
        <w:rPr>
          <w:rFonts w:ascii="ITC Avant Garde" w:hAnsi="ITC Avant Garde"/>
          <w:i/>
          <w:iCs/>
        </w:rPr>
        <w:t xml:space="preserve"> tiempo de dicha especificación sea de </w:t>
      </w:r>
      <w:r w:rsidR="00D80FC5" w:rsidRPr="00226FE9">
        <w:rPr>
          <w:rFonts w:ascii="ITC Avant Garde" w:hAnsi="ITC Avant Garde"/>
          <w:b/>
          <w:bCs/>
          <w:i/>
          <w:iCs/>
        </w:rPr>
        <w:t>±2 segundos</w:t>
      </w:r>
      <w:r w:rsidR="005F6498" w:rsidRPr="00226FE9">
        <w:rPr>
          <w:rFonts w:ascii="ITC Avant Garde" w:hAnsi="ITC Avant Garde"/>
          <w:b/>
          <w:bCs/>
          <w:i/>
          <w:iCs/>
        </w:rPr>
        <w:t>.</w:t>
      </w:r>
    </w:p>
    <w:p w14:paraId="1B02C411" w14:textId="77777777" w:rsidR="005F6498" w:rsidRPr="00226FE9" w:rsidRDefault="005F6498" w:rsidP="00D80FC5">
      <w:pPr>
        <w:pStyle w:val="Textocomentario"/>
        <w:jc w:val="both"/>
        <w:rPr>
          <w:rFonts w:ascii="ITC Avant Garde" w:hAnsi="ITC Avant Garde"/>
          <w:i/>
          <w:iCs/>
        </w:rPr>
      </w:pPr>
    </w:p>
    <w:p w14:paraId="36C816D4" w14:textId="66FBE27C" w:rsidR="00D53659" w:rsidRPr="00226FE9" w:rsidRDefault="00D53659" w:rsidP="00D80FC5">
      <w:pPr>
        <w:pStyle w:val="Textocomentario"/>
        <w:jc w:val="both"/>
        <w:rPr>
          <w:rFonts w:ascii="ITC Avant Garde" w:hAnsi="ITC Avant Garde"/>
          <w:i/>
          <w:iCs/>
        </w:rPr>
      </w:pPr>
      <w:r w:rsidRPr="00226FE9">
        <w:rPr>
          <w:rFonts w:ascii="ITC Avant Garde" w:hAnsi="ITC Avant Garde"/>
          <w:i/>
          <w:iCs/>
        </w:rPr>
        <w:t>Complementar el método de medición propuesto como sigue:</w:t>
      </w:r>
    </w:p>
    <w:p w14:paraId="77A1162D" w14:textId="3754B790" w:rsidR="005F6498" w:rsidRPr="00226FE9" w:rsidRDefault="005F6498" w:rsidP="005F6498">
      <w:pPr>
        <w:pStyle w:val="Textocomentario"/>
        <w:jc w:val="both"/>
        <w:rPr>
          <w:rFonts w:ascii="ITC Avant Garde" w:hAnsi="ITC Avant Garde"/>
          <w:i/>
          <w:iCs/>
        </w:rPr>
      </w:pPr>
      <w:r w:rsidRPr="00284847">
        <w:rPr>
          <w:rFonts w:ascii="ITC Avant Garde" w:hAnsi="ITC Avant Garde"/>
        </w:rPr>
        <w:t xml:space="preserve"> </w:t>
      </w:r>
    </w:p>
    <w:p w14:paraId="79DCB355" w14:textId="77777777" w:rsidR="005F6498" w:rsidRPr="00226FE9" w:rsidRDefault="005F6498" w:rsidP="005F6498">
      <w:pPr>
        <w:pStyle w:val="Textocomentario"/>
        <w:numPr>
          <w:ilvl w:val="0"/>
          <w:numId w:val="12"/>
        </w:numPr>
        <w:jc w:val="both"/>
        <w:rPr>
          <w:rFonts w:ascii="ITC Avant Garde" w:hAnsi="ITC Avant Garde"/>
          <w:i/>
          <w:iCs/>
        </w:rPr>
      </w:pPr>
      <w:r w:rsidRPr="00226FE9">
        <w:rPr>
          <w:rFonts w:ascii="ITC Avant Garde" w:hAnsi="ITC Avant Garde"/>
          <w:i/>
          <w:iCs/>
        </w:rPr>
        <w:t xml:space="preserve">El </w:t>
      </w:r>
      <w:r w:rsidRPr="00226FE9">
        <w:rPr>
          <w:rFonts w:ascii="ITC Avant Garde" w:hAnsi="ITC Avant Garde"/>
          <w:b/>
          <w:bCs/>
          <w:i/>
          <w:iCs/>
        </w:rPr>
        <w:t>inciso 5.6</w:t>
      </w:r>
      <w:r w:rsidRPr="00226FE9">
        <w:rPr>
          <w:rFonts w:ascii="ITC Avant Garde" w:hAnsi="ITC Avant Garde"/>
          <w:i/>
          <w:iCs/>
        </w:rPr>
        <w:t xml:space="preserve"> indica lo siguiente: “La Señal Audible y la cadencia de vibración establecidas en el numeral 4.4 del presente ordenamiento y reproducidas en el EBP una vez recibido el Mensaje de Alerta, se constatan conforme a lo siguiente: </w:t>
      </w:r>
    </w:p>
    <w:p w14:paraId="22D8AECE" w14:textId="77777777" w:rsidR="005F6498" w:rsidRPr="00226FE9" w:rsidRDefault="005F6498" w:rsidP="005F6498">
      <w:pPr>
        <w:pStyle w:val="Textocomentario"/>
        <w:ind w:left="720"/>
        <w:jc w:val="both"/>
        <w:rPr>
          <w:rFonts w:ascii="ITC Avant Garde" w:hAnsi="ITC Avant Garde"/>
          <w:i/>
          <w:iCs/>
        </w:rPr>
      </w:pPr>
      <w:r w:rsidRPr="00226FE9">
        <w:rPr>
          <w:rFonts w:ascii="ITC Avant Garde" w:hAnsi="ITC Avant Garde"/>
          <w:i/>
          <w:iCs/>
        </w:rPr>
        <w:t xml:space="preserve">… </w:t>
      </w:r>
    </w:p>
    <w:p w14:paraId="6DB6D01A" w14:textId="77777777" w:rsidR="005F6498" w:rsidRPr="00226FE9" w:rsidRDefault="005F6498" w:rsidP="005F6498">
      <w:pPr>
        <w:pStyle w:val="Textocomentario"/>
        <w:ind w:left="720"/>
        <w:jc w:val="both"/>
        <w:rPr>
          <w:rFonts w:ascii="ITC Avant Garde" w:hAnsi="ITC Avant Garde"/>
          <w:i/>
          <w:iCs/>
        </w:rPr>
      </w:pPr>
      <w:r w:rsidRPr="00226FE9">
        <w:rPr>
          <w:rFonts w:ascii="ITC Avant Garde" w:hAnsi="ITC Avant Garde"/>
          <w:i/>
          <w:iCs/>
        </w:rPr>
        <w:t xml:space="preserve">V. Mediante la función de marcador o cursor, constatar que la duración total de la Señal Audible (tonos 1 y 2) sea de 8 </w:t>
      </w:r>
      <w:r w:rsidRPr="00226FE9">
        <w:rPr>
          <w:rFonts w:ascii="ITC Avant Garde" w:hAnsi="ITC Avant Garde"/>
          <w:b/>
          <w:bCs/>
          <w:i/>
          <w:iCs/>
        </w:rPr>
        <w:t>±2 segundos</w:t>
      </w:r>
      <w:r w:rsidRPr="00226FE9">
        <w:rPr>
          <w:rFonts w:ascii="ITC Avant Garde" w:hAnsi="ITC Avant Garde"/>
          <w:i/>
          <w:iCs/>
        </w:rPr>
        <w:t xml:space="preserve">; </w:t>
      </w:r>
    </w:p>
    <w:p w14:paraId="195A694A" w14:textId="77777777" w:rsidR="005F6498" w:rsidRPr="00226FE9" w:rsidRDefault="005F6498" w:rsidP="005F6498">
      <w:pPr>
        <w:pStyle w:val="Textocomentario"/>
        <w:ind w:left="720"/>
        <w:jc w:val="both"/>
        <w:rPr>
          <w:rFonts w:ascii="ITC Avant Garde" w:hAnsi="ITC Avant Garde"/>
          <w:i/>
          <w:iCs/>
        </w:rPr>
      </w:pPr>
    </w:p>
    <w:p w14:paraId="3C85E877" w14:textId="77777777" w:rsidR="005F6498" w:rsidRPr="00226FE9" w:rsidRDefault="005F6498" w:rsidP="005F6498">
      <w:pPr>
        <w:pStyle w:val="Textocomentario"/>
        <w:ind w:left="720"/>
        <w:jc w:val="both"/>
        <w:rPr>
          <w:rFonts w:ascii="ITC Avant Garde" w:hAnsi="ITC Avant Garde"/>
          <w:i/>
          <w:iCs/>
        </w:rPr>
      </w:pPr>
      <w:r w:rsidRPr="00226FE9">
        <w:rPr>
          <w:rFonts w:ascii="ITC Avant Garde" w:hAnsi="ITC Avant Garde"/>
          <w:i/>
          <w:iCs/>
        </w:rPr>
        <w:t xml:space="preserve">VI. Verificar que la medición de la cadencia de vibración reproducida en el EBP tenga una duración de 8 </w:t>
      </w:r>
      <w:r w:rsidRPr="00226FE9">
        <w:rPr>
          <w:rFonts w:ascii="ITC Avant Garde" w:hAnsi="ITC Avant Garde"/>
          <w:b/>
          <w:bCs/>
          <w:i/>
          <w:iCs/>
        </w:rPr>
        <w:t>±2</w:t>
      </w:r>
      <w:r w:rsidRPr="00226FE9">
        <w:rPr>
          <w:rFonts w:ascii="ITC Avant Garde" w:hAnsi="ITC Avant Garde"/>
          <w:i/>
          <w:iCs/>
        </w:rPr>
        <w:t xml:space="preserve"> segundos y cumpla con el patrón de 0.5 </w:t>
      </w:r>
      <w:r w:rsidRPr="00226FE9">
        <w:rPr>
          <w:rFonts w:ascii="ITC Avant Garde" w:hAnsi="ITC Avant Garde"/>
          <w:b/>
          <w:bCs/>
          <w:i/>
          <w:iCs/>
        </w:rPr>
        <w:t>±0.125</w:t>
      </w:r>
      <w:r w:rsidRPr="00226FE9">
        <w:rPr>
          <w:rFonts w:ascii="ITC Avant Garde" w:hAnsi="ITC Avant Garde"/>
          <w:i/>
          <w:iCs/>
        </w:rPr>
        <w:t xml:space="preserve"> segundos activa y 0.5 </w:t>
      </w:r>
      <w:r w:rsidRPr="00226FE9">
        <w:rPr>
          <w:rFonts w:ascii="ITC Avant Garde" w:hAnsi="ITC Avant Garde"/>
          <w:b/>
          <w:bCs/>
          <w:i/>
          <w:iCs/>
        </w:rPr>
        <w:t>±0.125</w:t>
      </w:r>
      <w:r w:rsidRPr="00226FE9">
        <w:rPr>
          <w:rFonts w:ascii="ITC Avant Garde" w:hAnsi="ITC Avant Garde"/>
          <w:i/>
          <w:iCs/>
        </w:rPr>
        <w:t xml:space="preserve"> segundos inactiva, es decir, que sea alternada de conformidad con lo establecido en la Tabla 6 del numeral 4.4 del presente ordenamiento….; </w:t>
      </w:r>
    </w:p>
    <w:p w14:paraId="7833F9FD" w14:textId="77777777" w:rsidR="005F6498" w:rsidRPr="00226FE9" w:rsidRDefault="005F6498" w:rsidP="005F6498">
      <w:pPr>
        <w:pStyle w:val="Textocomentario"/>
        <w:ind w:left="720"/>
        <w:jc w:val="both"/>
        <w:rPr>
          <w:rFonts w:ascii="ITC Avant Garde" w:hAnsi="ITC Avant Garde"/>
          <w:i/>
          <w:iCs/>
        </w:rPr>
      </w:pPr>
    </w:p>
    <w:p w14:paraId="7D0A5A2A" w14:textId="77777777" w:rsidR="005F6498" w:rsidRPr="00226FE9" w:rsidRDefault="005F6498" w:rsidP="005F6498">
      <w:pPr>
        <w:pStyle w:val="Textocomentario"/>
        <w:numPr>
          <w:ilvl w:val="0"/>
          <w:numId w:val="12"/>
        </w:numPr>
        <w:jc w:val="both"/>
        <w:rPr>
          <w:rFonts w:ascii="ITC Avant Garde" w:hAnsi="ITC Avant Garde"/>
          <w:i/>
          <w:iCs/>
        </w:rPr>
      </w:pPr>
      <w:r w:rsidRPr="00226FE9">
        <w:rPr>
          <w:rFonts w:ascii="ITC Avant Garde" w:hAnsi="ITC Avant Garde"/>
          <w:i/>
          <w:iCs/>
        </w:rPr>
        <w:t>En el inciso 5.6 se sugiere el siguiente complemento: Verificar la duración de la cadencia de vibración mediante un sensor piezo eléctrico de 35mm (completar el listado de equipamiento) con su respectiva alimentación y el uso del mismo osciloscopio para verificar la duración del patrón de vibración. Completar el inciso 5.6 para indicar que se registren las duraciones de la señal audible y la cadencia de vibración, como se ilustra en la siguiente Figura:</w:t>
      </w:r>
    </w:p>
    <w:p w14:paraId="1131F5D2" w14:textId="77777777" w:rsidR="005F6498" w:rsidRPr="00226FE9" w:rsidRDefault="005F6498" w:rsidP="005F6498">
      <w:pPr>
        <w:pStyle w:val="Textocomentario"/>
        <w:jc w:val="both"/>
        <w:rPr>
          <w:rFonts w:ascii="ITC Avant Garde" w:hAnsi="ITC Avant Garde"/>
          <w:i/>
          <w:iCs/>
        </w:rPr>
      </w:pPr>
    </w:p>
    <w:p w14:paraId="44B036CE" w14:textId="77777777" w:rsidR="005F6498" w:rsidRPr="00226FE9" w:rsidRDefault="005F6498" w:rsidP="005F6498">
      <w:pPr>
        <w:pStyle w:val="Textocomentario"/>
        <w:jc w:val="center"/>
        <w:rPr>
          <w:rFonts w:ascii="ITC Avant Garde" w:hAnsi="ITC Avant Garde"/>
          <w:i/>
          <w:iCs/>
        </w:rPr>
      </w:pPr>
      <w:r w:rsidRPr="00226FE9">
        <w:rPr>
          <w:rFonts w:ascii="ITC Avant Garde" w:hAnsi="ITC Avant Garde"/>
          <w:i/>
          <w:iCs/>
          <w:noProof/>
        </w:rPr>
        <w:drawing>
          <wp:inline distT="0" distB="0" distL="0" distR="0" wp14:anchorId="2015369A" wp14:editId="68DC7228">
            <wp:extent cx="4375150" cy="2077853"/>
            <wp:effectExtent l="0" t="0" r="6350" b="0"/>
            <wp:docPr id="3" name="Imagen 3"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Diagrama&#10;&#10;Descripción generada automáticamente"/>
                    <pic:cNvPicPr/>
                  </pic:nvPicPr>
                  <pic:blipFill>
                    <a:blip r:embed="rId11"/>
                    <a:stretch>
                      <a:fillRect/>
                    </a:stretch>
                  </pic:blipFill>
                  <pic:spPr>
                    <a:xfrm>
                      <a:off x="0" y="0"/>
                      <a:ext cx="4384845" cy="2082457"/>
                    </a:xfrm>
                    <a:prstGeom prst="rect">
                      <a:avLst/>
                    </a:prstGeom>
                  </pic:spPr>
                </pic:pic>
              </a:graphicData>
            </a:graphic>
          </wp:inline>
        </w:drawing>
      </w:r>
    </w:p>
    <w:p w14:paraId="37335B8C" w14:textId="79744478" w:rsidR="005F6498" w:rsidRPr="00226FE9" w:rsidRDefault="005F6498" w:rsidP="005F6498">
      <w:pPr>
        <w:pStyle w:val="Textocomentario"/>
        <w:rPr>
          <w:rFonts w:ascii="ITC Avant Garde" w:hAnsi="ITC Avant Garde"/>
          <w:i/>
          <w:iCs/>
        </w:rPr>
      </w:pPr>
      <w:r w:rsidRPr="00226FE9">
        <w:rPr>
          <w:rFonts w:ascii="ITC Avant Garde" w:hAnsi="ITC Avant Garde"/>
          <w:i/>
          <w:iCs/>
        </w:rPr>
        <w:t>…”</w:t>
      </w:r>
      <w:r w:rsidR="00D53659">
        <w:rPr>
          <w:rFonts w:ascii="ITC Avant Garde" w:hAnsi="ITC Avant Garde"/>
          <w:i/>
          <w:iCs/>
        </w:rPr>
        <w:t xml:space="preserve"> </w:t>
      </w:r>
      <w:r w:rsidR="00D53659" w:rsidRPr="00D53659">
        <w:rPr>
          <w:rFonts w:ascii="ITC Avant Garde" w:hAnsi="ITC Avant Garde"/>
          <w:i/>
          <w:iCs/>
        </w:rPr>
        <w:t>(sic)</w:t>
      </w:r>
    </w:p>
    <w:p w14:paraId="6B5D3D93" w14:textId="484BD41D" w:rsidR="005F6498" w:rsidRPr="00284847" w:rsidRDefault="005F6498" w:rsidP="00D80FC5">
      <w:pPr>
        <w:pStyle w:val="Textocomentario"/>
        <w:jc w:val="both"/>
        <w:rPr>
          <w:rFonts w:ascii="ITC Avant Garde" w:hAnsi="ITC Avant Garde"/>
        </w:rPr>
      </w:pPr>
    </w:p>
    <w:p w14:paraId="3ED145B0" w14:textId="77777777" w:rsidR="00D80FC5" w:rsidRPr="00284847" w:rsidRDefault="00D80FC5" w:rsidP="00D80FC5">
      <w:pPr>
        <w:pStyle w:val="Textocomentario"/>
        <w:jc w:val="both"/>
        <w:rPr>
          <w:rFonts w:ascii="ITC Avant Garde" w:hAnsi="ITC Avant Garde"/>
          <w:b/>
          <w:bCs/>
        </w:rPr>
      </w:pPr>
    </w:p>
    <w:p w14:paraId="43FAB79A" w14:textId="008A52A2" w:rsidR="00DB035F" w:rsidRPr="00284847" w:rsidRDefault="00DB035F" w:rsidP="00C8087C">
      <w:pPr>
        <w:pStyle w:val="Textocomentario"/>
        <w:jc w:val="both"/>
        <w:rPr>
          <w:rFonts w:ascii="ITC Avant Garde" w:hAnsi="ITC Avant Garde"/>
          <w:b/>
          <w:bCs/>
        </w:rPr>
      </w:pPr>
      <w:r w:rsidRPr="00284847">
        <w:rPr>
          <w:rFonts w:ascii="ITC Avant Garde" w:hAnsi="ITC Avant Garde"/>
          <w:b/>
          <w:bCs/>
        </w:rPr>
        <w:t>Respuesta</w:t>
      </w:r>
      <w:r w:rsidR="0009739D" w:rsidRPr="00284847">
        <w:rPr>
          <w:rFonts w:ascii="ITC Avant Garde" w:hAnsi="ITC Avant Garde"/>
          <w:b/>
          <w:bCs/>
        </w:rPr>
        <w:t>:</w:t>
      </w:r>
    </w:p>
    <w:p w14:paraId="1997D8EC" w14:textId="095F69DB" w:rsidR="0076791A" w:rsidRPr="00284847" w:rsidRDefault="0076791A" w:rsidP="0076791A">
      <w:pPr>
        <w:pStyle w:val="Textocomentario"/>
        <w:jc w:val="both"/>
        <w:rPr>
          <w:rFonts w:ascii="ITC Avant Garde" w:hAnsi="ITC Avant Garde"/>
        </w:rPr>
      </w:pPr>
      <w:r w:rsidRPr="00284847">
        <w:rPr>
          <w:rFonts w:ascii="ITC Avant Garde" w:hAnsi="ITC Avant Garde"/>
        </w:rPr>
        <w:lastRenderedPageBreak/>
        <w:t>Respecto a incorporar una tolerancia para la duración de cada tono, así como para la secuencia completa de la señal audible del mensaje de alerta, se informa que la Comisión Federal de Comunicaciones de Estados Unidos de América en el Título 47, Capítulo 1, parte 10 denominada “</w:t>
      </w:r>
      <w:r w:rsidRPr="00284847">
        <w:rPr>
          <w:rFonts w:ascii="ITC Avant Garde" w:hAnsi="ITC Avant Garde"/>
          <w:i/>
          <w:iCs/>
        </w:rPr>
        <w:t xml:space="preserve">Wireless Emergency </w:t>
      </w:r>
      <w:proofErr w:type="spellStart"/>
      <w:r w:rsidRPr="00284847">
        <w:rPr>
          <w:rFonts w:ascii="ITC Avant Garde" w:hAnsi="ITC Avant Garde"/>
          <w:i/>
          <w:iCs/>
        </w:rPr>
        <w:t>Alerts</w:t>
      </w:r>
      <w:proofErr w:type="spellEnd"/>
      <w:r w:rsidRPr="00284847">
        <w:rPr>
          <w:rFonts w:ascii="ITC Avant Garde" w:hAnsi="ITC Avant Garde"/>
        </w:rPr>
        <w:t>”</w:t>
      </w:r>
      <w:r w:rsidRPr="00284847">
        <w:rPr>
          <w:rStyle w:val="Refdenotaalpie"/>
          <w:rFonts w:ascii="ITC Avant Garde" w:hAnsi="ITC Avant Garde"/>
        </w:rPr>
        <w:footnoteReference w:id="1"/>
      </w:r>
      <w:r w:rsidRPr="00284847">
        <w:rPr>
          <w:rFonts w:ascii="ITC Avant Garde" w:hAnsi="ITC Avant Garde"/>
        </w:rPr>
        <w:t xml:space="preserve">, establece la secuencia temporal de los tonos que debe reproducir la señal audible; así como las frecuencias fundamentales que integran dicha señal, sin considerar tolerancias. </w:t>
      </w:r>
    </w:p>
    <w:p w14:paraId="7169A3BB" w14:textId="77777777" w:rsidR="0076791A" w:rsidRPr="00284847" w:rsidRDefault="0076791A" w:rsidP="0076791A">
      <w:pPr>
        <w:pStyle w:val="Textocomentario"/>
        <w:jc w:val="both"/>
        <w:rPr>
          <w:rFonts w:ascii="ITC Avant Garde" w:hAnsi="ITC Avant Garde"/>
        </w:rPr>
      </w:pPr>
    </w:p>
    <w:p w14:paraId="7CBB4081" w14:textId="2951DA1E" w:rsidR="0076791A" w:rsidRPr="00284847" w:rsidRDefault="0076791A" w:rsidP="0076791A">
      <w:pPr>
        <w:pStyle w:val="Textocomentario"/>
        <w:jc w:val="both"/>
        <w:rPr>
          <w:rFonts w:ascii="ITC Avant Garde" w:hAnsi="ITC Avant Garde"/>
        </w:rPr>
      </w:pPr>
      <w:r w:rsidRPr="00284847">
        <w:rPr>
          <w:rFonts w:ascii="ITC Avant Garde" w:hAnsi="ITC Avant Garde"/>
        </w:rPr>
        <w:t>Por su parte, el Gobierno de Canadá a través del documento denominado “</w:t>
      </w:r>
      <w:r w:rsidRPr="00284847">
        <w:rPr>
          <w:rFonts w:ascii="ITC Avant Garde" w:hAnsi="ITC Avant Garde"/>
          <w:i/>
          <w:iCs/>
        </w:rPr>
        <w:t>National Public Alerting System: Common Look and Feel Guidance</w:t>
      </w:r>
      <w:r w:rsidRPr="00284847">
        <w:rPr>
          <w:rFonts w:ascii="ITC Avant Garde" w:hAnsi="ITC Avant Garde"/>
        </w:rPr>
        <w:t>”</w:t>
      </w:r>
      <w:r w:rsidRPr="00284847">
        <w:rPr>
          <w:rStyle w:val="Refdenotaalpie"/>
          <w:rFonts w:ascii="ITC Avant Garde" w:hAnsi="ITC Avant Garde"/>
        </w:rPr>
        <w:footnoteReference w:id="2"/>
      </w:r>
      <w:r w:rsidRPr="00284847">
        <w:rPr>
          <w:rFonts w:ascii="ITC Avant Garde" w:hAnsi="ITC Avant Garde"/>
        </w:rPr>
        <w:t xml:space="preserve">, establece la secuencia temporal de los tonos que deberá reproducir la señal audible y las frecuencias fundamentales que integran dicha señal, sin considerar tolerancias. </w:t>
      </w:r>
    </w:p>
    <w:p w14:paraId="36A69391" w14:textId="77777777" w:rsidR="0076791A" w:rsidRPr="00284847" w:rsidRDefault="0076791A" w:rsidP="0076791A">
      <w:pPr>
        <w:pStyle w:val="Textocomentario"/>
        <w:jc w:val="both"/>
        <w:rPr>
          <w:rFonts w:ascii="ITC Avant Garde" w:hAnsi="ITC Avant Garde"/>
        </w:rPr>
      </w:pPr>
    </w:p>
    <w:p w14:paraId="2F780183" w14:textId="60CCF121" w:rsidR="0076791A" w:rsidRPr="00284847" w:rsidRDefault="0076791A" w:rsidP="0076791A">
      <w:pPr>
        <w:pStyle w:val="Textocomentario"/>
        <w:jc w:val="both"/>
        <w:rPr>
          <w:rFonts w:ascii="ITC Avant Garde" w:hAnsi="ITC Avant Garde"/>
        </w:rPr>
      </w:pPr>
      <w:r w:rsidRPr="00284847">
        <w:rPr>
          <w:rFonts w:ascii="ITC Avant Garde" w:hAnsi="ITC Avant Garde"/>
        </w:rPr>
        <w:t>Por otro lado, la “</w:t>
      </w:r>
      <w:r w:rsidRPr="00226FE9">
        <w:rPr>
          <w:rFonts w:ascii="ITC Avant Garde" w:hAnsi="ITC Avant Garde"/>
          <w:i/>
          <w:iCs/>
        </w:rPr>
        <w:t>GUÍA PARA ESTIMAR LA INCERTIDUMBRE DE LA MEDICIÓN</w:t>
      </w:r>
      <w:r w:rsidRPr="00284847">
        <w:rPr>
          <w:rFonts w:ascii="ITC Avant Garde" w:hAnsi="ITC Avant Garde"/>
        </w:rPr>
        <w:t>”</w:t>
      </w:r>
      <w:r w:rsidR="00046AC2" w:rsidRPr="00284847">
        <w:rPr>
          <w:rFonts w:ascii="ITC Avant Garde" w:hAnsi="ITC Avant Garde"/>
        </w:rPr>
        <w:t xml:space="preserve"> (Guía) </w:t>
      </w:r>
      <w:r w:rsidRPr="00284847">
        <w:rPr>
          <w:rFonts w:ascii="ITC Avant Garde" w:hAnsi="ITC Avant Garde"/>
        </w:rPr>
        <w:t>publicada por el Centro Nacional de Metrología (CENAM)</w:t>
      </w:r>
      <w:r w:rsidRPr="00284847">
        <w:rPr>
          <w:rStyle w:val="Refdenotaalpie"/>
          <w:rFonts w:ascii="ITC Avant Garde" w:hAnsi="ITC Avant Garde"/>
        </w:rPr>
        <w:footnoteReference w:id="3"/>
      </w:r>
      <w:r w:rsidR="00436199" w:rsidRPr="00284847">
        <w:rPr>
          <w:rFonts w:ascii="ITC Avant Garde" w:hAnsi="ITC Avant Garde"/>
        </w:rPr>
        <w:t>,</w:t>
      </w:r>
      <w:r w:rsidRPr="00284847">
        <w:rPr>
          <w:rFonts w:ascii="ITC Avant Garde" w:hAnsi="ITC Avant Garde"/>
        </w:rPr>
        <w:t xml:space="preserve"> señala que el propósito de una medición es determinar el valor de una magnitud, conocida como mensurando, el cual es el atributo sujeto a medición de un fenómeno, cuerpo o sustancia que puede ser distinguido cualitativamente y determinado cuantitativamente.  </w:t>
      </w:r>
    </w:p>
    <w:p w14:paraId="29DEBE48" w14:textId="77777777" w:rsidR="0076791A" w:rsidRPr="00284847" w:rsidRDefault="0076791A" w:rsidP="0076791A">
      <w:pPr>
        <w:pStyle w:val="Textocomentario"/>
        <w:jc w:val="both"/>
        <w:rPr>
          <w:rFonts w:ascii="ITC Avant Garde" w:hAnsi="ITC Avant Garde"/>
        </w:rPr>
      </w:pPr>
    </w:p>
    <w:p w14:paraId="613692C4" w14:textId="77777777" w:rsidR="0076791A" w:rsidRPr="00284847" w:rsidRDefault="0076791A" w:rsidP="0076791A">
      <w:pPr>
        <w:pStyle w:val="Textocomentario"/>
        <w:jc w:val="both"/>
        <w:rPr>
          <w:rFonts w:ascii="ITC Avant Garde" w:hAnsi="ITC Avant Garde"/>
        </w:rPr>
      </w:pPr>
      <w:r w:rsidRPr="00284847">
        <w:rPr>
          <w:rFonts w:ascii="ITC Avant Garde" w:hAnsi="ITC Avant Garde"/>
        </w:rPr>
        <w:t xml:space="preserve">Asimismo, menciona que dentro de las mediciones existe una imperfección natural en su realización, lo que hace imposible conocer con certeza absoluta el valor verdadero de una magnitud. Toda medición lleva implícita una incertidumbre, la cual es un parámetro que caracteriza la dispersión de los valores que pueden ser atribuidos razonablemente al mensurando, el cual debe incluir especificaciones de las magnitudes de entrada relevantes. </w:t>
      </w:r>
    </w:p>
    <w:p w14:paraId="05A95567" w14:textId="77777777" w:rsidR="0076791A" w:rsidRPr="00284847" w:rsidRDefault="0076791A" w:rsidP="0076791A">
      <w:pPr>
        <w:pStyle w:val="Textocomentario"/>
        <w:jc w:val="both"/>
        <w:rPr>
          <w:rFonts w:ascii="ITC Avant Garde" w:hAnsi="ITC Avant Garde"/>
        </w:rPr>
      </w:pPr>
    </w:p>
    <w:p w14:paraId="4C3E0EFC" w14:textId="77777777" w:rsidR="0076791A" w:rsidRPr="00284847" w:rsidRDefault="0076791A" w:rsidP="0076791A">
      <w:pPr>
        <w:pStyle w:val="Textocomentario"/>
        <w:jc w:val="both"/>
        <w:rPr>
          <w:rFonts w:ascii="ITC Avant Garde" w:hAnsi="ITC Avant Garde"/>
        </w:rPr>
      </w:pPr>
      <w:r w:rsidRPr="00284847">
        <w:rPr>
          <w:rFonts w:ascii="ITC Avant Garde" w:hAnsi="ITC Avant Garde"/>
        </w:rPr>
        <w:t>El mismo instrumento en el capítulo 5 “</w:t>
      </w:r>
      <w:r w:rsidRPr="00226FE9">
        <w:rPr>
          <w:rFonts w:ascii="ITC Avant Garde" w:hAnsi="ITC Avant Garde"/>
          <w:i/>
          <w:iCs/>
        </w:rPr>
        <w:t>Identificación de las fuentes de incertidumbre</w:t>
      </w:r>
      <w:r w:rsidRPr="00284847">
        <w:rPr>
          <w:rFonts w:ascii="ITC Avant Garde" w:hAnsi="ITC Avant Garde"/>
        </w:rPr>
        <w:t>” señala que una fuente de incertidumbre es la definición del propio mensurado.</w:t>
      </w:r>
    </w:p>
    <w:p w14:paraId="03D1A6BA" w14:textId="77777777" w:rsidR="0076791A" w:rsidRPr="00284847" w:rsidRDefault="0076791A" w:rsidP="0076791A">
      <w:pPr>
        <w:pStyle w:val="Textocomentario"/>
        <w:jc w:val="both"/>
        <w:rPr>
          <w:rFonts w:ascii="ITC Avant Garde" w:hAnsi="ITC Avant Garde"/>
        </w:rPr>
      </w:pPr>
    </w:p>
    <w:p w14:paraId="0EA32245" w14:textId="66D5EC71" w:rsidR="0076791A" w:rsidRPr="00284847" w:rsidRDefault="0076791A" w:rsidP="0076791A">
      <w:pPr>
        <w:pStyle w:val="Textocomentario"/>
        <w:jc w:val="both"/>
        <w:rPr>
          <w:rFonts w:ascii="ITC Avant Garde" w:hAnsi="ITC Avant Garde"/>
        </w:rPr>
      </w:pPr>
      <w:r w:rsidRPr="00226FE9">
        <w:rPr>
          <w:rFonts w:ascii="ITC Avant Garde" w:hAnsi="ITC Avant Garde"/>
        </w:rPr>
        <w:t>Ahora bien, considerando el factor de cobertura y nivel de confianza de la Guía para estimar la incertidumbre de la medición del CENAM</w:t>
      </w:r>
      <w:r w:rsidR="00E12B67" w:rsidRPr="00226FE9">
        <w:rPr>
          <w:rFonts w:ascii="ITC Avant Garde" w:hAnsi="ITC Avant Garde"/>
        </w:rPr>
        <w:t xml:space="preserve">, </w:t>
      </w:r>
      <w:r w:rsidR="00046AC2" w:rsidRPr="00226FE9">
        <w:rPr>
          <w:rFonts w:ascii="ITC Avant Garde" w:hAnsi="ITC Avant Garde"/>
        </w:rPr>
        <w:t xml:space="preserve">el resultado </w:t>
      </w:r>
      <w:r w:rsidR="00E12B67" w:rsidRPr="00226FE9">
        <w:rPr>
          <w:rFonts w:ascii="ITC Avant Garde" w:hAnsi="ITC Avant Garde"/>
        </w:rPr>
        <w:t>e</w:t>
      </w:r>
      <w:r w:rsidRPr="00226FE9">
        <w:rPr>
          <w:rFonts w:ascii="ITC Avant Garde" w:hAnsi="ITC Avant Garde"/>
        </w:rPr>
        <w:t>stadísticamente obtenido con las mediciones, cercano a 8 segundos, realizadas en un laboratorio de pruebas y considerando la incertidumbre propia de la medición, con un nivel de confianza aproximado del 95% que regularmente se determina con un factor de cobertura k=2 permitiría obtener valores convencionalmente verdaderos que dieran cumplimiento con la especificación.</w:t>
      </w:r>
    </w:p>
    <w:p w14:paraId="19138DD8" w14:textId="77777777" w:rsidR="00B320AB" w:rsidRPr="00284847" w:rsidRDefault="00B320AB" w:rsidP="00B320AB">
      <w:pPr>
        <w:pStyle w:val="Textocomentario"/>
        <w:jc w:val="both"/>
        <w:rPr>
          <w:rFonts w:ascii="ITC Avant Garde" w:hAnsi="ITC Avant Garde"/>
        </w:rPr>
      </w:pPr>
    </w:p>
    <w:p w14:paraId="753B652E" w14:textId="1599503B" w:rsidR="00436199" w:rsidRPr="00284847" w:rsidRDefault="00436199" w:rsidP="00436199">
      <w:pPr>
        <w:pStyle w:val="Textocomentario"/>
        <w:jc w:val="both"/>
        <w:rPr>
          <w:rFonts w:ascii="ITC Avant Garde" w:hAnsi="ITC Avant Garde"/>
        </w:rPr>
      </w:pPr>
      <w:r w:rsidRPr="00284847">
        <w:rPr>
          <w:rFonts w:ascii="ITC Avant Garde" w:hAnsi="ITC Avant Garde"/>
        </w:rPr>
        <w:t xml:space="preserve">No se omite mencionar que, el comentario enviado </w:t>
      </w:r>
      <w:r w:rsidR="00046AC2" w:rsidRPr="00284847">
        <w:rPr>
          <w:rFonts w:ascii="ITC Avant Garde" w:hAnsi="ITC Avant Garde"/>
        </w:rPr>
        <w:t xml:space="preserve">por Advance </w:t>
      </w:r>
      <w:r w:rsidRPr="00284847">
        <w:rPr>
          <w:rFonts w:ascii="ITC Avant Garde" w:hAnsi="ITC Avant Garde"/>
        </w:rPr>
        <w:t xml:space="preserve">no corresponde al tema sometido a la participación ciudadana en el proceso de modificación de la disposición técnica que nos ocupa; </w:t>
      </w:r>
      <w:r w:rsidRPr="00284847">
        <w:rPr>
          <w:rFonts w:ascii="ITC Avant Garde" w:hAnsi="ITC Avant Garde"/>
        </w:rPr>
        <w:lastRenderedPageBreak/>
        <w:t>por lo anterior, no se estaría observando el principio de transparencia y participación previsto en los “</w:t>
      </w:r>
      <w:r w:rsidRPr="00284847">
        <w:rPr>
          <w:rFonts w:ascii="ITC Avant Garde" w:hAnsi="ITC Avant Garde"/>
          <w:i/>
          <w:iCs/>
        </w:rPr>
        <w:t>LINEAMIENTOS DE CONSULTA PÚBLICA Y ANÁLISIS DE IMPACTO REGULATORIO DEL INSTITUTO FEDERAL DE TELECOMUNICACIONES”.</w:t>
      </w:r>
    </w:p>
    <w:p w14:paraId="16AC90CA" w14:textId="77777777" w:rsidR="00436199" w:rsidRPr="00284847" w:rsidRDefault="00436199" w:rsidP="00B320AB">
      <w:pPr>
        <w:pStyle w:val="Textocomentario"/>
        <w:jc w:val="both"/>
        <w:rPr>
          <w:rFonts w:ascii="ITC Avant Garde" w:hAnsi="ITC Avant Garde"/>
        </w:rPr>
      </w:pPr>
    </w:p>
    <w:p w14:paraId="1E354F25" w14:textId="77777777" w:rsidR="00B320AB" w:rsidRPr="00284847" w:rsidRDefault="00B320AB" w:rsidP="00B320AB">
      <w:pPr>
        <w:pStyle w:val="Textocomentario"/>
        <w:jc w:val="both"/>
        <w:rPr>
          <w:rFonts w:ascii="ITC Avant Garde" w:hAnsi="ITC Avant Garde"/>
        </w:rPr>
      </w:pPr>
      <w:r w:rsidRPr="00284847">
        <w:rPr>
          <w:rFonts w:ascii="ITC Avant Garde" w:hAnsi="ITC Avant Garde"/>
        </w:rPr>
        <w:t>Consecuentemente, al no contar con un sustento o evidencia internacional, como es el caso de los reglamentos técnicos en la materia que identifiquen tolerancias para la secuencia de la señal audible y la cadencia de vibración, y considerando que toda medición lleva implícita una incertidumbre, se considera inviable incorporar la propuesta realizada.</w:t>
      </w:r>
    </w:p>
    <w:p w14:paraId="7E4194B9" w14:textId="77777777" w:rsidR="0052517C" w:rsidRPr="00226FE9" w:rsidRDefault="0052517C" w:rsidP="00667F19">
      <w:pPr>
        <w:pStyle w:val="Textocomentario"/>
        <w:rPr>
          <w:rFonts w:ascii="ITC Avant Garde" w:hAnsi="ITC Avant Garde"/>
        </w:rPr>
      </w:pPr>
    </w:p>
    <w:p w14:paraId="0478E804" w14:textId="2D6986B2" w:rsidR="00C33180" w:rsidRPr="00284847" w:rsidRDefault="00C33180" w:rsidP="00C33180">
      <w:pPr>
        <w:pStyle w:val="Textocomentario"/>
        <w:rPr>
          <w:rFonts w:ascii="ITC Avant Garde" w:hAnsi="ITC Avant Garde"/>
        </w:rPr>
      </w:pPr>
    </w:p>
    <w:p w14:paraId="4B2AFC0C" w14:textId="77777777" w:rsidR="00046AC2" w:rsidRPr="00284847" w:rsidRDefault="00046AC2" w:rsidP="00C33180">
      <w:pPr>
        <w:pStyle w:val="Textocomentario"/>
        <w:rPr>
          <w:rFonts w:ascii="ITC Avant Garde" w:hAnsi="ITC Avant Garde"/>
        </w:rPr>
      </w:pPr>
    </w:p>
    <w:p w14:paraId="446118B4" w14:textId="26861307" w:rsidR="00C33180" w:rsidRPr="00284847" w:rsidRDefault="00C33180" w:rsidP="00C33180">
      <w:pPr>
        <w:pStyle w:val="Textocomentario"/>
        <w:jc w:val="center"/>
        <w:rPr>
          <w:rFonts w:ascii="ITC Avant Garde" w:hAnsi="ITC Avant Garde"/>
          <w:b/>
          <w:bCs/>
        </w:rPr>
      </w:pPr>
      <w:r w:rsidRPr="00284847">
        <w:rPr>
          <w:rFonts w:ascii="ITC Avant Garde" w:hAnsi="ITC Avant Garde"/>
          <w:b/>
          <w:bCs/>
        </w:rPr>
        <w:t>TRANSITORIOS</w:t>
      </w:r>
    </w:p>
    <w:p w14:paraId="0397AC27" w14:textId="21FCE4B7" w:rsidR="006340FD" w:rsidRPr="00284847" w:rsidRDefault="006340FD" w:rsidP="006340FD">
      <w:pPr>
        <w:pStyle w:val="Textocomentario"/>
        <w:rPr>
          <w:rFonts w:ascii="ITC Avant Garde" w:hAnsi="ITC Avant Garde"/>
          <w:b/>
          <w:bCs/>
          <w:u w:val="single"/>
        </w:rPr>
      </w:pPr>
      <w:r w:rsidRPr="00284847">
        <w:rPr>
          <w:rFonts w:ascii="ITC Avant Garde" w:hAnsi="ITC Avant Garde"/>
          <w:b/>
          <w:bCs/>
          <w:u w:val="single"/>
        </w:rPr>
        <w:t>Segundo</w:t>
      </w:r>
    </w:p>
    <w:p w14:paraId="46955F86" w14:textId="5721D10B" w:rsidR="00C33180" w:rsidRPr="00284847" w:rsidRDefault="006340FD" w:rsidP="00C33180">
      <w:pPr>
        <w:pStyle w:val="Textocomentario"/>
        <w:rPr>
          <w:rFonts w:ascii="ITC Avant Garde" w:hAnsi="ITC Avant Garde"/>
        </w:rPr>
      </w:pPr>
      <w:r w:rsidRPr="00284847">
        <w:rPr>
          <w:rFonts w:ascii="ITC Avant Garde" w:hAnsi="ITC Avant Garde"/>
        </w:rPr>
        <w:t>ANATEL.</w:t>
      </w:r>
    </w:p>
    <w:p w14:paraId="03F637DD" w14:textId="77777777" w:rsidR="006340FD" w:rsidRPr="00284847" w:rsidRDefault="006340FD" w:rsidP="00C33180">
      <w:pPr>
        <w:pStyle w:val="Textocomentario"/>
        <w:rPr>
          <w:rFonts w:ascii="ITC Avant Garde" w:hAnsi="ITC Avant Garde"/>
        </w:rPr>
      </w:pPr>
    </w:p>
    <w:p w14:paraId="13C081A7" w14:textId="77777777" w:rsidR="006340FD" w:rsidRPr="00284847" w:rsidRDefault="006340FD" w:rsidP="006340FD">
      <w:pPr>
        <w:pStyle w:val="Textocomentario"/>
        <w:jc w:val="both"/>
        <w:rPr>
          <w:rFonts w:ascii="ITC Avant Garde" w:hAnsi="ITC Avant Garde"/>
          <w:b/>
          <w:bCs/>
        </w:rPr>
      </w:pPr>
      <w:r w:rsidRPr="00284847">
        <w:rPr>
          <w:rFonts w:ascii="ITC Avant Garde" w:hAnsi="ITC Avant Garde"/>
          <w:b/>
          <w:bCs/>
        </w:rPr>
        <w:t>Propuestas:</w:t>
      </w:r>
    </w:p>
    <w:p w14:paraId="5B3A9F62" w14:textId="0610A87E" w:rsidR="006340FD" w:rsidRPr="00284847" w:rsidRDefault="006340FD" w:rsidP="006340FD">
      <w:pPr>
        <w:pStyle w:val="Textocomentario"/>
        <w:jc w:val="both"/>
        <w:rPr>
          <w:rFonts w:ascii="ITC Avant Garde" w:hAnsi="ITC Avant Garde"/>
        </w:rPr>
      </w:pPr>
      <w:r w:rsidRPr="00284847">
        <w:rPr>
          <w:rFonts w:ascii="ITC Avant Garde" w:hAnsi="ITC Avant Garde"/>
        </w:rPr>
        <w:t>El participante señaló que actualmente no es posible realizar las homologaciones correspondientes a los equipos, deteniendo su entrada al mercado, por lo que sugirieron al Instituto tomar las medidas necesarias para que los tiempos de acreditación y la correspondiente autorización de los laboratorios de prueba permitan realizar los procesos con los cambios propuestos, previo a la entrada en vigor de la Disposición Técnica.</w:t>
      </w:r>
    </w:p>
    <w:p w14:paraId="730169E2" w14:textId="77777777" w:rsidR="006340FD" w:rsidRPr="00284847" w:rsidRDefault="006340FD" w:rsidP="006340FD">
      <w:pPr>
        <w:pStyle w:val="Textocomentario"/>
        <w:jc w:val="both"/>
        <w:rPr>
          <w:rFonts w:ascii="ITC Avant Garde" w:hAnsi="ITC Avant Garde"/>
          <w:b/>
          <w:bCs/>
        </w:rPr>
      </w:pPr>
    </w:p>
    <w:p w14:paraId="184809E6" w14:textId="77777777" w:rsidR="006340FD" w:rsidRPr="00284847" w:rsidRDefault="006340FD" w:rsidP="006340FD">
      <w:pPr>
        <w:pStyle w:val="Textocomentario"/>
        <w:jc w:val="both"/>
        <w:rPr>
          <w:rFonts w:ascii="ITC Avant Garde" w:hAnsi="ITC Avant Garde"/>
          <w:b/>
          <w:bCs/>
        </w:rPr>
      </w:pPr>
      <w:r w:rsidRPr="00284847">
        <w:rPr>
          <w:rFonts w:ascii="ITC Avant Garde" w:hAnsi="ITC Avant Garde"/>
          <w:b/>
          <w:bCs/>
        </w:rPr>
        <w:t>Respuesta:</w:t>
      </w:r>
    </w:p>
    <w:p w14:paraId="655F8C84" w14:textId="672105D3" w:rsidR="006340FD" w:rsidRPr="00284847" w:rsidRDefault="006340FD" w:rsidP="006340FD">
      <w:pPr>
        <w:pStyle w:val="Textocomentario"/>
        <w:rPr>
          <w:rFonts w:ascii="ITC Avant Garde" w:hAnsi="ITC Avant Garde"/>
        </w:rPr>
      </w:pPr>
      <w:r w:rsidRPr="00284847">
        <w:rPr>
          <w:rFonts w:ascii="ITC Avant Garde" w:hAnsi="ITC Avant Garde"/>
        </w:rPr>
        <w:t>Se considera.</w:t>
      </w:r>
    </w:p>
    <w:p w14:paraId="47CA38D8" w14:textId="77777777" w:rsidR="001F5FF7" w:rsidRPr="00284847" w:rsidRDefault="001F5FF7" w:rsidP="006340FD">
      <w:pPr>
        <w:pStyle w:val="Textocomentario"/>
        <w:rPr>
          <w:rFonts w:ascii="ITC Avant Garde" w:hAnsi="ITC Avant Garde"/>
        </w:rPr>
      </w:pPr>
    </w:p>
    <w:p w14:paraId="4010B601" w14:textId="25C223EA" w:rsidR="00907EC1" w:rsidRDefault="006340FD" w:rsidP="001F5FF7">
      <w:pPr>
        <w:pStyle w:val="Textocomentario"/>
        <w:jc w:val="both"/>
        <w:rPr>
          <w:rFonts w:ascii="ITC Avant Garde" w:hAnsi="ITC Avant Garde"/>
        </w:rPr>
      </w:pPr>
      <w:r w:rsidRPr="00284847">
        <w:rPr>
          <w:rFonts w:ascii="ITC Avant Garde" w:hAnsi="ITC Avant Garde"/>
        </w:rPr>
        <w:t xml:space="preserve">Se </w:t>
      </w:r>
      <w:r w:rsidR="00C2600D">
        <w:rPr>
          <w:rFonts w:ascii="ITC Avant Garde" w:hAnsi="ITC Avant Garde"/>
        </w:rPr>
        <w:t xml:space="preserve">modifica el artículo </w:t>
      </w:r>
      <w:r w:rsidR="00226FE9">
        <w:rPr>
          <w:rFonts w:ascii="ITC Avant Garde" w:hAnsi="ITC Avant Garde"/>
        </w:rPr>
        <w:t>quinto</w:t>
      </w:r>
      <w:r w:rsidR="00C2600D">
        <w:rPr>
          <w:rFonts w:ascii="ITC Avant Garde" w:hAnsi="ITC Avant Garde"/>
        </w:rPr>
        <w:t xml:space="preserve"> transitorio a efecto de indicar que durante un periodo no mayor a ciento veinte días naturales posteriores a la entrada en vigor de las modificaciones propuestas los Laboratorios de Pruebas y Organismos de Certificación podrán continuar </w:t>
      </w:r>
      <w:r w:rsidR="00907EC1">
        <w:rPr>
          <w:rFonts w:ascii="ITC Avant Garde" w:hAnsi="ITC Avant Garde"/>
        </w:rPr>
        <w:t>emitiendo los Reportes de Prueba y Certificados de Conformidad de acuerdo con la “</w:t>
      </w:r>
      <w:r w:rsidR="00907EC1" w:rsidRPr="00226FE9">
        <w:rPr>
          <w:rFonts w:ascii="ITC Avant Garde" w:hAnsi="ITC Avant Garde"/>
        </w:rPr>
        <w:t>Disposición Técnica IFT-011-2022: Especificaciones Técnicas de los Equipos Terminales Móviles que puedan hacer uso del espectro radioeléctrico o ser conectados a redes de telecomunicaciones. Parte 3. Servicio de Radiodifusión Celular para la notificación por Riesgo o situaciones de Emergencia”, publicada en el Diario Oficial de la Federación el 13 de septiembre de 2022</w:t>
      </w:r>
      <w:r w:rsidR="00907EC1">
        <w:rPr>
          <w:rFonts w:ascii="ITC Avant Garde" w:hAnsi="ITC Avant Garde"/>
        </w:rPr>
        <w:t>.</w:t>
      </w:r>
    </w:p>
    <w:p w14:paraId="6837B547" w14:textId="77777777" w:rsidR="00907EC1" w:rsidRDefault="00907EC1" w:rsidP="001F5FF7">
      <w:pPr>
        <w:pStyle w:val="Textocomentario"/>
        <w:jc w:val="both"/>
        <w:rPr>
          <w:rFonts w:ascii="ITC Avant Garde" w:hAnsi="ITC Avant Garde"/>
        </w:rPr>
      </w:pPr>
    </w:p>
    <w:p w14:paraId="18B96905" w14:textId="6399EDA2" w:rsidR="006340FD" w:rsidRPr="00284847" w:rsidRDefault="00907EC1" w:rsidP="001F5FF7">
      <w:pPr>
        <w:pStyle w:val="Textocomentario"/>
        <w:jc w:val="both"/>
        <w:rPr>
          <w:rFonts w:ascii="ITC Avant Garde" w:hAnsi="ITC Avant Garde"/>
        </w:rPr>
      </w:pPr>
      <w:r>
        <w:rPr>
          <w:rFonts w:ascii="ITC Avant Garde" w:hAnsi="ITC Avant Garde"/>
        </w:rPr>
        <w:t xml:space="preserve">Asimismo, </w:t>
      </w:r>
      <w:r w:rsidR="00C2600D">
        <w:rPr>
          <w:rFonts w:ascii="ITC Avant Garde" w:hAnsi="ITC Avant Garde"/>
        </w:rPr>
        <w:t xml:space="preserve">se añade el artículo </w:t>
      </w:r>
      <w:r w:rsidR="00226FE9">
        <w:rPr>
          <w:rFonts w:ascii="ITC Avant Garde" w:hAnsi="ITC Avant Garde"/>
        </w:rPr>
        <w:t>sexto</w:t>
      </w:r>
      <w:r w:rsidR="00C2600D">
        <w:rPr>
          <w:rFonts w:ascii="ITC Avant Garde" w:hAnsi="ITC Avant Garde"/>
        </w:rPr>
        <w:t xml:space="preserve"> transitorio </w:t>
      </w:r>
      <w:r>
        <w:rPr>
          <w:rFonts w:ascii="ITC Avant Garde" w:hAnsi="ITC Avant Garde"/>
        </w:rPr>
        <w:t>el cual indica que a partir de la entrada en vigor de las modificaciones propuestas, los Laboratorios de Pruebas y Organismos de Certificación deberán obtener la ampliación del alcance de su acreditación respecto a la “</w:t>
      </w:r>
      <w:r w:rsidRPr="002C0EBF">
        <w:rPr>
          <w:rFonts w:ascii="ITC Avant Garde" w:hAnsi="ITC Avant Garde"/>
        </w:rPr>
        <w:t>Disposición Técnica IFT-011-2022: Especificaciones Técnicas de los Equipos Terminales Móviles que puedan hacer uso del espectro radioeléctrico o ser conectados a redes de telecomunicaciones. Parte 3. Servicio de Radiodifusión Celular para la notificación por Riesgo o situaciones de Emergencia</w:t>
      </w:r>
      <w:r>
        <w:rPr>
          <w:rFonts w:ascii="ITC Avant Garde" w:hAnsi="ITC Avant Garde"/>
        </w:rPr>
        <w:t>”.</w:t>
      </w:r>
      <w:r w:rsidR="006340FD" w:rsidRPr="00284847">
        <w:rPr>
          <w:rFonts w:ascii="ITC Avant Garde" w:hAnsi="ITC Avant Garde"/>
        </w:rPr>
        <w:t>.</w:t>
      </w:r>
    </w:p>
    <w:p w14:paraId="0F6733CB" w14:textId="77777777" w:rsidR="006340FD" w:rsidRPr="00284847" w:rsidRDefault="006340FD" w:rsidP="00C33180">
      <w:pPr>
        <w:pStyle w:val="Textocomentario"/>
        <w:rPr>
          <w:rFonts w:ascii="ITC Avant Garde" w:hAnsi="ITC Avant Garde"/>
          <w:b/>
          <w:bCs/>
          <w:u w:val="single"/>
        </w:rPr>
      </w:pPr>
    </w:p>
    <w:p w14:paraId="2C7FD31D" w14:textId="0183F49C" w:rsidR="00353452" w:rsidRPr="00284847" w:rsidRDefault="00353452" w:rsidP="00353452">
      <w:pPr>
        <w:pStyle w:val="Textocomentario"/>
        <w:rPr>
          <w:rFonts w:ascii="ITC Avant Garde" w:hAnsi="ITC Avant Garde"/>
          <w:b/>
          <w:bCs/>
          <w:u w:val="single"/>
        </w:rPr>
      </w:pPr>
      <w:r w:rsidRPr="00284847">
        <w:rPr>
          <w:rFonts w:ascii="ITC Avant Garde" w:hAnsi="ITC Avant Garde"/>
          <w:b/>
          <w:bCs/>
          <w:u w:val="single"/>
        </w:rPr>
        <w:t>Cuarto</w:t>
      </w:r>
    </w:p>
    <w:p w14:paraId="399E2D7D" w14:textId="77777777" w:rsidR="00B519CF" w:rsidRPr="00284847" w:rsidRDefault="00B519CF" w:rsidP="00353452">
      <w:pPr>
        <w:pStyle w:val="Textocomentario"/>
        <w:jc w:val="both"/>
        <w:rPr>
          <w:rFonts w:ascii="ITC Avant Garde" w:hAnsi="ITC Avant Garde"/>
        </w:rPr>
      </w:pPr>
    </w:p>
    <w:p w14:paraId="3A380008" w14:textId="22C849DA" w:rsidR="00B519CF" w:rsidRPr="00284847" w:rsidRDefault="00B519CF" w:rsidP="00353452">
      <w:pPr>
        <w:pStyle w:val="Textocomentario"/>
        <w:jc w:val="both"/>
        <w:rPr>
          <w:rFonts w:ascii="ITC Avant Garde" w:hAnsi="ITC Avant Garde"/>
          <w:b/>
          <w:bCs/>
        </w:rPr>
      </w:pPr>
      <w:r w:rsidRPr="00284847">
        <w:rPr>
          <w:rFonts w:ascii="ITC Avant Garde" w:hAnsi="ITC Avant Garde"/>
          <w:b/>
          <w:bCs/>
        </w:rPr>
        <w:t>Participantes:</w:t>
      </w:r>
    </w:p>
    <w:p w14:paraId="38911911" w14:textId="78E96501" w:rsidR="00353452" w:rsidRPr="00284847" w:rsidRDefault="0026113C" w:rsidP="00353452">
      <w:pPr>
        <w:pStyle w:val="Textocomentario"/>
        <w:jc w:val="both"/>
        <w:rPr>
          <w:rFonts w:ascii="ITC Avant Garde" w:hAnsi="ITC Avant Garde"/>
        </w:rPr>
      </w:pPr>
      <w:r w:rsidRPr="00284847">
        <w:rPr>
          <w:rFonts w:ascii="ITC Avant Garde" w:hAnsi="ITC Avant Garde"/>
        </w:rPr>
        <w:t>CANIETI</w:t>
      </w:r>
      <w:r w:rsidR="006340FD" w:rsidRPr="00284847">
        <w:rPr>
          <w:rFonts w:ascii="ITC Avant Garde" w:hAnsi="ITC Avant Garde"/>
        </w:rPr>
        <w:t>.</w:t>
      </w:r>
    </w:p>
    <w:p w14:paraId="317B765F" w14:textId="77777777" w:rsidR="00353452" w:rsidRPr="00284847" w:rsidRDefault="00353452" w:rsidP="00353452">
      <w:pPr>
        <w:pStyle w:val="Textocomentario"/>
        <w:jc w:val="both"/>
        <w:rPr>
          <w:rFonts w:ascii="ITC Avant Garde" w:hAnsi="ITC Avant Garde"/>
          <w:b/>
          <w:bCs/>
        </w:rPr>
      </w:pPr>
    </w:p>
    <w:p w14:paraId="6878E224" w14:textId="77777777" w:rsidR="00353452" w:rsidRPr="00284847" w:rsidRDefault="00353452" w:rsidP="00353452">
      <w:pPr>
        <w:pStyle w:val="Textocomentario"/>
        <w:jc w:val="both"/>
        <w:rPr>
          <w:rFonts w:ascii="ITC Avant Garde" w:hAnsi="ITC Avant Garde"/>
          <w:b/>
          <w:bCs/>
        </w:rPr>
      </w:pPr>
      <w:r w:rsidRPr="00284847">
        <w:rPr>
          <w:rFonts w:ascii="ITC Avant Garde" w:hAnsi="ITC Avant Garde"/>
          <w:b/>
          <w:bCs/>
        </w:rPr>
        <w:t>Propuestas:</w:t>
      </w:r>
    </w:p>
    <w:p w14:paraId="648DB7A5" w14:textId="6A31ADAE" w:rsidR="0052517C" w:rsidRPr="00284847" w:rsidRDefault="006340FD" w:rsidP="00AB7BD9">
      <w:pPr>
        <w:pStyle w:val="Textocomentario"/>
        <w:jc w:val="both"/>
        <w:rPr>
          <w:rFonts w:ascii="ITC Avant Garde" w:hAnsi="ITC Avant Garde"/>
        </w:rPr>
      </w:pPr>
      <w:r w:rsidRPr="00284847">
        <w:rPr>
          <w:rFonts w:ascii="ITC Avant Garde" w:hAnsi="ITC Avant Garde"/>
        </w:rPr>
        <w:t>El participante propuso que se adicionara al</w:t>
      </w:r>
      <w:r w:rsidR="0002058E" w:rsidRPr="00284847">
        <w:rPr>
          <w:rFonts w:ascii="ITC Avant Garde" w:hAnsi="ITC Avant Garde"/>
        </w:rPr>
        <w:t xml:space="preserve"> final del</w:t>
      </w:r>
      <w:r w:rsidRPr="00284847">
        <w:rPr>
          <w:rFonts w:ascii="ITC Avant Garde" w:hAnsi="ITC Avant Garde"/>
        </w:rPr>
        <w:t xml:space="preserve"> Transitorio Cuarto </w:t>
      </w:r>
      <w:r w:rsidR="001F5FF7" w:rsidRPr="00284847">
        <w:rPr>
          <w:rFonts w:ascii="ITC Avant Garde" w:hAnsi="ITC Avant Garde"/>
        </w:rPr>
        <w:t xml:space="preserve">el siguiente texto: </w:t>
      </w:r>
      <w:r w:rsidRPr="00284847">
        <w:rPr>
          <w:rFonts w:ascii="ITC Avant Garde" w:hAnsi="ITC Avant Garde"/>
        </w:rPr>
        <w:t>“</w:t>
      </w:r>
      <w:r w:rsidRPr="00284847">
        <w:rPr>
          <w:rFonts w:ascii="ITC Avant Garde" w:hAnsi="ITC Avant Garde"/>
          <w:i/>
          <w:iCs/>
        </w:rPr>
        <w:t>con los mismos alcances en los que fueron aprobados</w:t>
      </w:r>
      <w:r w:rsidRPr="00284847">
        <w:rPr>
          <w:rFonts w:ascii="ITC Avant Garde" w:hAnsi="ITC Avant Garde"/>
        </w:rPr>
        <w:t>”.</w:t>
      </w:r>
    </w:p>
    <w:p w14:paraId="654BCC1D" w14:textId="77777777" w:rsidR="006340FD" w:rsidRPr="00284847" w:rsidRDefault="006340FD" w:rsidP="00AB7BD9">
      <w:pPr>
        <w:pStyle w:val="Textocomentario"/>
        <w:jc w:val="both"/>
        <w:rPr>
          <w:rFonts w:ascii="ITC Avant Garde" w:hAnsi="ITC Avant Garde"/>
        </w:rPr>
      </w:pPr>
    </w:p>
    <w:p w14:paraId="7C4DDC2C" w14:textId="2F0E8CEC" w:rsidR="007E7A96" w:rsidRPr="00284847" w:rsidRDefault="00AB7BD9" w:rsidP="007E7A96">
      <w:pPr>
        <w:pStyle w:val="Textocomentario"/>
        <w:rPr>
          <w:rFonts w:ascii="ITC Avant Garde" w:hAnsi="ITC Avant Garde"/>
          <w:b/>
          <w:bCs/>
        </w:rPr>
      </w:pPr>
      <w:r w:rsidRPr="00284847">
        <w:rPr>
          <w:rFonts w:ascii="ITC Avant Garde" w:hAnsi="ITC Avant Garde"/>
          <w:b/>
          <w:bCs/>
        </w:rPr>
        <w:t>Respuesta:</w:t>
      </w:r>
    </w:p>
    <w:p w14:paraId="298FD6D6" w14:textId="77777777" w:rsidR="006340FD" w:rsidRPr="00284847" w:rsidRDefault="006340FD" w:rsidP="006340FD">
      <w:pPr>
        <w:pStyle w:val="Textocomentario"/>
        <w:rPr>
          <w:rFonts w:ascii="ITC Avant Garde" w:hAnsi="ITC Avant Garde"/>
        </w:rPr>
      </w:pPr>
      <w:r w:rsidRPr="00284847">
        <w:rPr>
          <w:rFonts w:ascii="ITC Avant Garde" w:hAnsi="ITC Avant Garde"/>
        </w:rPr>
        <w:t>Se considera.</w:t>
      </w:r>
    </w:p>
    <w:p w14:paraId="0E31AA09" w14:textId="77777777" w:rsidR="006340FD" w:rsidRPr="00284847" w:rsidRDefault="006340FD" w:rsidP="006340FD">
      <w:pPr>
        <w:pStyle w:val="Textocomentario"/>
        <w:rPr>
          <w:rFonts w:ascii="ITC Avant Garde" w:hAnsi="ITC Avant Garde"/>
        </w:rPr>
      </w:pPr>
    </w:p>
    <w:p w14:paraId="040EB7AD" w14:textId="2254CA07" w:rsidR="008547BE" w:rsidRPr="00284847" w:rsidRDefault="006340FD" w:rsidP="006340FD">
      <w:pPr>
        <w:pStyle w:val="Textocomentario"/>
        <w:rPr>
          <w:rFonts w:ascii="ITC Avant Garde" w:hAnsi="ITC Avant Garde"/>
        </w:rPr>
      </w:pPr>
      <w:r w:rsidRPr="00284847">
        <w:rPr>
          <w:rFonts w:ascii="ITC Avant Garde" w:hAnsi="ITC Avant Garde"/>
        </w:rPr>
        <w:t>Se ajusta el texto.</w:t>
      </w:r>
    </w:p>
    <w:p w14:paraId="2AA0A232" w14:textId="77777777" w:rsidR="0052517C" w:rsidRPr="00284847" w:rsidRDefault="0052517C" w:rsidP="008547BE">
      <w:pPr>
        <w:pStyle w:val="Textocomentario"/>
        <w:rPr>
          <w:rFonts w:ascii="ITC Avant Garde" w:hAnsi="ITC Avant Garde"/>
        </w:rPr>
      </w:pPr>
    </w:p>
    <w:p w14:paraId="44DBE5FB" w14:textId="77777777" w:rsidR="00453C7F" w:rsidRPr="00284847" w:rsidRDefault="00453C7F" w:rsidP="00033D4B">
      <w:pPr>
        <w:pStyle w:val="Textocomentario"/>
        <w:rPr>
          <w:rFonts w:ascii="ITC Avant Garde" w:hAnsi="ITC Avant Garde"/>
          <w:b/>
          <w:bCs/>
        </w:rPr>
      </w:pPr>
    </w:p>
    <w:p w14:paraId="37F296D8" w14:textId="77777777" w:rsidR="006236F1" w:rsidRPr="00284847" w:rsidRDefault="006236F1" w:rsidP="006236F1">
      <w:pPr>
        <w:pStyle w:val="Textocomentario"/>
        <w:jc w:val="center"/>
        <w:rPr>
          <w:rFonts w:ascii="ITC Avant Garde" w:hAnsi="ITC Avant Garde"/>
          <w:b/>
          <w:bCs/>
          <w:u w:val="single"/>
        </w:rPr>
      </w:pPr>
      <w:r w:rsidRPr="00284847">
        <w:rPr>
          <w:rFonts w:ascii="ITC Avant Garde" w:hAnsi="ITC Avant Garde"/>
          <w:b/>
          <w:bCs/>
          <w:u w:val="single"/>
        </w:rPr>
        <w:t>Comentarios, opiniones y aportaciones generales de la persona</w:t>
      </w:r>
    </w:p>
    <w:p w14:paraId="0C82132E" w14:textId="2A2F9B70" w:rsidR="00FD62B1" w:rsidRPr="00284847" w:rsidRDefault="006236F1" w:rsidP="006236F1">
      <w:pPr>
        <w:pStyle w:val="Textocomentario"/>
        <w:jc w:val="center"/>
        <w:rPr>
          <w:rFonts w:ascii="ITC Avant Garde" w:hAnsi="ITC Avant Garde"/>
          <w:b/>
          <w:bCs/>
          <w:u w:val="single"/>
        </w:rPr>
      </w:pPr>
      <w:r w:rsidRPr="00284847">
        <w:rPr>
          <w:rFonts w:ascii="ITC Avant Garde" w:hAnsi="ITC Avant Garde"/>
          <w:b/>
          <w:bCs/>
          <w:u w:val="single"/>
        </w:rPr>
        <w:t>participante sobre el asunto en consulta pública</w:t>
      </w:r>
      <w:r w:rsidR="0041485C" w:rsidRPr="00284847">
        <w:rPr>
          <w:rFonts w:ascii="ITC Avant Garde" w:hAnsi="ITC Avant Garde"/>
          <w:b/>
          <w:bCs/>
          <w:u w:val="single"/>
        </w:rPr>
        <w:t>.</w:t>
      </w:r>
    </w:p>
    <w:p w14:paraId="2DC3D613" w14:textId="0092045C" w:rsidR="006236F1" w:rsidRPr="00284847" w:rsidRDefault="006236F1" w:rsidP="006236F1">
      <w:pPr>
        <w:pStyle w:val="Textocomentario"/>
        <w:rPr>
          <w:rFonts w:ascii="ITC Avant Garde" w:hAnsi="ITC Avant Garde"/>
          <w:b/>
          <w:bCs/>
          <w:u w:val="single"/>
        </w:rPr>
      </w:pPr>
    </w:p>
    <w:p w14:paraId="7CBDDC10" w14:textId="121B0243" w:rsidR="006236F1" w:rsidRPr="00284847" w:rsidRDefault="006236F1" w:rsidP="006236F1">
      <w:pPr>
        <w:pStyle w:val="Textocomentario"/>
        <w:rPr>
          <w:rFonts w:ascii="ITC Avant Garde" w:hAnsi="ITC Avant Garde"/>
          <w:b/>
          <w:bCs/>
        </w:rPr>
      </w:pPr>
      <w:r w:rsidRPr="00284847">
        <w:rPr>
          <w:rFonts w:ascii="ITC Avant Garde" w:hAnsi="ITC Avant Garde"/>
          <w:b/>
          <w:bCs/>
        </w:rPr>
        <w:t>Participantes:</w:t>
      </w:r>
    </w:p>
    <w:p w14:paraId="6D9FD30B" w14:textId="4A3A7ECF" w:rsidR="006236F1" w:rsidRPr="00284847" w:rsidRDefault="006340FD" w:rsidP="006236F1">
      <w:pPr>
        <w:pStyle w:val="Textocomentario"/>
        <w:rPr>
          <w:rFonts w:ascii="ITC Avant Garde" w:hAnsi="ITC Avant Garde"/>
        </w:rPr>
      </w:pPr>
      <w:r w:rsidRPr="00284847">
        <w:rPr>
          <w:rFonts w:ascii="ITC Avant Garde" w:hAnsi="ITC Avant Garde"/>
        </w:rPr>
        <w:t>CANIETI</w:t>
      </w:r>
      <w:r w:rsidR="00CC7595" w:rsidRPr="00284847">
        <w:rPr>
          <w:rFonts w:ascii="ITC Avant Garde" w:hAnsi="ITC Avant Garde"/>
        </w:rPr>
        <w:t>.</w:t>
      </w:r>
    </w:p>
    <w:p w14:paraId="194E9ADD" w14:textId="77777777" w:rsidR="006236F1" w:rsidRPr="00284847" w:rsidRDefault="006236F1" w:rsidP="006236F1">
      <w:pPr>
        <w:pStyle w:val="Textocomentario"/>
        <w:rPr>
          <w:rFonts w:ascii="ITC Avant Garde" w:hAnsi="ITC Avant Garde"/>
          <w:b/>
          <w:bCs/>
        </w:rPr>
      </w:pPr>
    </w:p>
    <w:p w14:paraId="2278E873" w14:textId="4F518130" w:rsidR="006236F1" w:rsidRPr="00284847" w:rsidRDefault="006236F1" w:rsidP="006236F1">
      <w:pPr>
        <w:pStyle w:val="Textocomentario"/>
        <w:rPr>
          <w:rFonts w:ascii="ITC Avant Garde" w:hAnsi="ITC Avant Garde"/>
          <w:b/>
          <w:bCs/>
        </w:rPr>
      </w:pPr>
      <w:r w:rsidRPr="00284847">
        <w:rPr>
          <w:rFonts w:ascii="ITC Avant Garde" w:hAnsi="ITC Avant Garde"/>
          <w:b/>
          <w:bCs/>
        </w:rPr>
        <w:t>Propuestas:</w:t>
      </w:r>
    </w:p>
    <w:p w14:paraId="1C267096" w14:textId="77777777" w:rsidR="00B81D88" w:rsidRPr="00284847" w:rsidRDefault="00B81D88" w:rsidP="006236F1">
      <w:pPr>
        <w:pStyle w:val="Textocomentario"/>
        <w:rPr>
          <w:rFonts w:ascii="ITC Avant Garde" w:hAnsi="ITC Avant Garde"/>
          <w:b/>
          <w:bCs/>
        </w:rPr>
      </w:pPr>
    </w:p>
    <w:p w14:paraId="5807F817" w14:textId="5FA6FBEE" w:rsidR="00ED5B54" w:rsidRPr="00284847" w:rsidRDefault="00ED5B54" w:rsidP="006236F1">
      <w:pPr>
        <w:pStyle w:val="Textocomentario"/>
        <w:rPr>
          <w:rFonts w:ascii="ITC Avant Garde" w:hAnsi="ITC Avant Garde"/>
        </w:rPr>
      </w:pPr>
      <w:r w:rsidRPr="00284847">
        <w:rPr>
          <w:rFonts w:ascii="ITC Avant Garde" w:hAnsi="ITC Avant Garde"/>
        </w:rPr>
        <w:t>CANIETI propuso adicionar el siguiente Transitorio:</w:t>
      </w:r>
    </w:p>
    <w:p w14:paraId="581EA719" w14:textId="77777777" w:rsidR="00ED5B54" w:rsidRPr="00284847" w:rsidRDefault="00ED5B54" w:rsidP="006236F1">
      <w:pPr>
        <w:pStyle w:val="Textocomentario"/>
        <w:rPr>
          <w:rFonts w:ascii="ITC Avant Garde" w:hAnsi="ITC Avant Garde"/>
        </w:rPr>
      </w:pPr>
    </w:p>
    <w:p w14:paraId="51C19F4B" w14:textId="10A991C8" w:rsidR="00ED5B54" w:rsidRPr="00284847" w:rsidRDefault="00ED5B54" w:rsidP="00ED5B54">
      <w:pPr>
        <w:pStyle w:val="Textocomentario"/>
        <w:jc w:val="both"/>
        <w:rPr>
          <w:rFonts w:ascii="ITC Avant Garde" w:hAnsi="ITC Avant Garde"/>
        </w:rPr>
      </w:pPr>
      <w:r w:rsidRPr="00284847">
        <w:rPr>
          <w:rFonts w:ascii="ITC Avant Garde" w:hAnsi="ITC Avant Garde"/>
        </w:rPr>
        <w:t>“</w:t>
      </w:r>
      <w:r w:rsidRPr="00284847">
        <w:rPr>
          <w:rFonts w:ascii="ITC Avant Garde" w:hAnsi="ITC Avant Garde"/>
          <w:i/>
          <w:iCs/>
        </w:rPr>
        <w:t>Quinto. - Los Organismos de Certificación y Laboratorios de Prueba que se encuentren acreditados y autorizados podrán llevar a cabo la evaluación de la conformidad conforme a lo dispuesto en el presente Acuerdo, sin requerir de la actualización de la acreditación respectiva por un Organismo de Acreditación autorizado por el Instituto y de la autorización respectiva del mismo a partir de la publicación en el Diario Oficial de la Federación del presente Acuerdo.</w:t>
      </w:r>
      <w:r w:rsidRPr="00284847">
        <w:rPr>
          <w:rFonts w:ascii="ITC Avant Garde" w:hAnsi="ITC Avant Garde"/>
        </w:rPr>
        <w:t>”</w:t>
      </w:r>
    </w:p>
    <w:p w14:paraId="3B7E08AF" w14:textId="77777777" w:rsidR="00ED5B54" w:rsidRPr="00284847" w:rsidRDefault="00ED5B54" w:rsidP="006236F1">
      <w:pPr>
        <w:pStyle w:val="Textocomentario"/>
        <w:rPr>
          <w:rFonts w:ascii="ITC Avant Garde" w:hAnsi="ITC Avant Garde"/>
        </w:rPr>
      </w:pPr>
    </w:p>
    <w:p w14:paraId="7EE5E436" w14:textId="6B79D1B9" w:rsidR="00ED5B54" w:rsidRDefault="00ED5B54" w:rsidP="00ED5B54">
      <w:pPr>
        <w:pStyle w:val="Textocomentario"/>
        <w:jc w:val="both"/>
        <w:rPr>
          <w:rFonts w:ascii="ITC Avant Garde" w:hAnsi="ITC Avant Garde"/>
        </w:rPr>
      </w:pPr>
      <w:r w:rsidRPr="00284847">
        <w:rPr>
          <w:rFonts w:ascii="ITC Avant Garde" w:hAnsi="ITC Avant Garde"/>
        </w:rPr>
        <w:t>Lo anterior, con la justificación de que los cambios propuestos en la regulación no imponen requerimientos adicionales, al contrario, reducen y se proponen alternativas a los mismos situación que se celebra. Así, y para ser armónicos con la disposición técnica, solicitaron considerar el transitorio propuesto, para evitar demoras en el proceso de homologación a la entrada en vigor de dichas modificaciones y no retrasar la rápida entrada de nuevos dispositivos al mercado.</w:t>
      </w:r>
    </w:p>
    <w:p w14:paraId="215DBAE0" w14:textId="77777777" w:rsidR="00226FE9" w:rsidRPr="00284847" w:rsidRDefault="00226FE9" w:rsidP="00ED5B54">
      <w:pPr>
        <w:pStyle w:val="Textocomentario"/>
        <w:jc w:val="both"/>
        <w:rPr>
          <w:rFonts w:ascii="ITC Avant Garde" w:hAnsi="ITC Avant Garde"/>
        </w:rPr>
      </w:pPr>
    </w:p>
    <w:p w14:paraId="3D7D4216" w14:textId="2B732287" w:rsidR="0002058E" w:rsidRPr="00284847" w:rsidRDefault="0002058E" w:rsidP="0002058E">
      <w:pPr>
        <w:pStyle w:val="Textocomentario"/>
        <w:jc w:val="both"/>
        <w:rPr>
          <w:rFonts w:ascii="ITC Avant Garde" w:hAnsi="ITC Avant Garde"/>
        </w:rPr>
      </w:pPr>
      <w:r w:rsidRPr="00226FE9">
        <w:rPr>
          <w:rFonts w:ascii="ITC Avant Garde" w:hAnsi="ITC Avant Garde"/>
        </w:rPr>
        <w:t>Por otro lado, CANIETI solicitó considerar los tiempos que implica la actualización de la acreditación y la correspondiente autorización por parte de Instituto. Por los procesos involucrados, dichos tiempos impactarían negativamente la entrada al mercado de nuevos productos.</w:t>
      </w:r>
    </w:p>
    <w:p w14:paraId="366E22B7" w14:textId="7E89A198" w:rsidR="00ED5B54" w:rsidRPr="00284847" w:rsidRDefault="00ED5B54" w:rsidP="0002058E">
      <w:pPr>
        <w:pStyle w:val="Textocomentario"/>
        <w:jc w:val="both"/>
        <w:rPr>
          <w:rFonts w:ascii="ITC Avant Garde" w:hAnsi="ITC Avant Garde"/>
        </w:rPr>
      </w:pPr>
    </w:p>
    <w:p w14:paraId="7F448818" w14:textId="4598C135" w:rsidR="006236F1" w:rsidRPr="00284847" w:rsidRDefault="006236F1" w:rsidP="006236F1">
      <w:pPr>
        <w:pStyle w:val="Textocomentario"/>
        <w:rPr>
          <w:rFonts w:ascii="ITC Avant Garde" w:hAnsi="ITC Avant Garde"/>
          <w:b/>
          <w:bCs/>
        </w:rPr>
      </w:pPr>
      <w:r w:rsidRPr="00284847">
        <w:rPr>
          <w:rFonts w:ascii="ITC Avant Garde" w:hAnsi="ITC Avant Garde"/>
          <w:b/>
          <w:bCs/>
        </w:rPr>
        <w:t>Respuesta:</w:t>
      </w:r>
    </w:p>
    <w:p w14:paraId="23B14F28" w14:textId="77777777" w:rsidR="00ED5B54" w:rsidRPr="00284847" w:rsidRDefault="00ED5B54" w:rsidP="00ED5B54">
      <w:pPr>
        <w:pStyle w:val="Textocomentario"/>
        <w:rPr>
          <w:rFonts w:ascii="ITC Avant Garde" w:hAnsi="ITC Avant Garde"/>
          <w:u w:val="single"/>
        </w:rPr>
      </w:pPr>
    </w:p>
    <w:p w14:paraId="516F0E50" w14:textId="77777777" w:rsidR="00ED5B54" w:rsidRPr="00284847" w:rsidRDefault="00ED5B54" w:rsidP="00ED5B54">
      <w:pPr>
        <w:pStyle w:val="Textoindependiente"/>
        <w:ind w:right="133"/>
        <w:jc w:val="both"/>
        <w:rPr>
          <w:rFonts w:ascii="ITC Avant Garde" w:hAnsi="ITC Avant Garde"/>
          <w:sz w:val="20"/>
          <w:szCs w:val="20"/>
        </w:rPr>
      </w:pPr>
      <w:r w:rsidRPr="00284847">
        <w:rPr>
          <w:rFonts w:ascii="ITC Avant Garde" w:hAnsi="ITC Avant Garde"/>
          <w:sz w:val="20"/>
          <w:szCs w:val="20"/>
        </w:rPr>
        <w:lastRenderedPageBreak/>
        <w:t>Se considera.</w:t>
      </w:r>
    </w:p>
    <w:p w14:paraId="2C84FEA9" w14:textId="77777777" w:rsidR="00ED5B54" w:rsidRPr="00284847" w:rsidRDefault="00ED5B54" w:rsidP="00ED5B54">
      <w:pPr>
        <w:pStyle w:val="Textoindependiente"/>
        <w:ind w:right="133"/>
        <w:jc w:val="both"/>
        <w:rPr>
          <w:rFonts w:ascii="ITC Avant Garde" w:hAnsi="ITC Avant Garde"/>
          <w:sz w:val="20"/>
          <w:szCs w:val="20"/>
        </w:rPr>
      </w:pPr>
    </w:p>
    <w:p w14:paraId="75031A8F" w14:textId="608575C9" w:rsidR="00624840" w:rsidRPr="00284847" w:rsidRDefault="00ED5B54" w:rsidP="00624840">
      <w:pPr>
        <w:pStyle w:val="Textoindependiente"/>
        <w:ind w:right="133"/>
        <w:jc w:val="both"/>
        <w:rPr>
          <w:rFonts w:ascii="ITC Avant Garde" w:hAnsi="ITC Avant Garde"/>
          <w:sz w:val="20"/>
          <w:szCs w:val="20"/>
        </w:rPr>
      </w:pPr>
      <w:r w:rsidRPr="00284847">
        <w:rPr>
          <w:rFonts w:ascii="ITC Avant Garde" w:hAnsi="ITC Avant Garde"/>
          <w:sz w:val="20"/>
          <w:szCs w:val="20"/>
        </w:rPr>
        <w:t xml:space="preserve">Se </w:t>
      </w:r>
      <w:r w:rsidR="00624840" w:rsidRPr="00284847">
        <w:rPr>
          <w:rFonts w:ascii="ITC Avant Garde" w:hAnsi="ITC Avant Garde"/>
          <w:sz w:val="20"/>
          <w:szCs w:val="20"/>
        </w:rPr>
        <w:t xml:space="preserve">incorpora </w:t>
      </w:r>
      <w:r w:rsidR="009045CE">
        <w:rPr>
          <w:rFonts w:ascii="ITC Avant Garde" w:hAnsi="ITC Avant Garde"/>
          <w:sz w:val="20"/>
          <w:szCs w:val="20"/>
        </w:rPr>
        <w:t>el</w:t>
      </w:r>
      <w:r w:rsidR="009045CE" w:rsidRPr="00284847">
        <w:rPr>
          <w:rFonts w:ascii="ITC Avant Garde" w:hAnsi="ITC Avant Garde"/>
          <w:sz w:val="20"/>
          <w:szCs w:val="20"/>
        </w:rPr>
        <w:t xml:space="preserve"> </w:t>
      </w:r>
      <w:r w:rsidR="00624840" w:rsidRPr="00284847">
        <w:rPr>
          <w:rFonts w:ascii="ITC Avant Garde" w:hAnsi="ITC Avant Garde"/>
          <w:sz w:val="20"/>
          <w:szCs w:val="20"/>
        </w:rPr>
        <w:t>artículo</w:t>
      </w:r>
      <w:r w:rsidRPr="00284847">
        <w:rPr>
          <w:rFonts w:ascii="ITC Avant Garde" w:hAnsi="ITC Avant Garde"/>
          <w:sz w:val="20"/>
          <w:szCs w:val="20"/>
        </w:rPr>
        <w:t xml:space="preserve"> transitorio </w:t>
      </w:r>
      <w:r w:rsidR="009045CE">
        <w:rPr>
          <w:rFonts w:ascii="ITC Avant Garde" w:hAnsi="ITC Avant Garde"/>
          <w:sz w:val="20"/>
          <w:szCs w:val="20"/>
        </w:rPr>
        <w:t xml:space="preserve">quinto </w:t>
      </w:r>
      <w:r w:rsidR="00624840" w:rsidRPr="00284847">
        <w:rPr>
          <w:rFonts w:ascii="ITC Avant Garde" w:hAnsi="ITC Avant Garde"/>
          <w:sz w:val="20"/>
          <w:szCs w:val="20"/>
        </w:rPr>
        <w:t>que establece que a partir de la entrada en vigor de las presentes modificaciones y durante un periodo no mayor a ciento veinte días naturales posteriores a la entrada en vigor de éste, los Laboratorios de Pruebas y Organismos de Certificación, podrán continuar emitiendo los Reportes de Pruebas y Certificados de Conformidad de acuerdo con la “Disposición Técnica IFT-011-2022: Especificaciones Técnicas de los Equipos Terminales Móviles que puedan hacer uso del espectro radioeléctrico o ser conectados a redes de telecomunicaciones. Parte 3. Servicio de Radiodifusión Celular para la notificación por Riesgo o situaciones de Emergencia”, publicada en el Diario Oficial de la Federación el 13 de septiembre de 2022.</w:t>
      </w:r>
    </w:p>
    <w:p w14:paraId="18E0A8DB" w14:textId="18E39223" w:rsidR="000D3683" w:rsidRPr="00284847" w:rsidRDefault="000D3683" w:rsidP="00ED5B54">
      <w:pPr>
        <w:pStyle w:val="Textoindependiente"/>
        <w:spacing w:line="276" w:lineRule="auto"/>
        <w:ind w:right="133"/>
        <w:jc w:val="both"/>
        <w:rPr>
          <w:rFonts w:ascii="ITC Avant Garde" w:hAnsi="ITC Avant Garde"/>
          <w:sz w:val="20"/>
          <w:szCs w:val="20"/>
        </w:rPr>
      </w:pPr>
    </w:p>
    <w:sectPr w:rsidR="000D3683" w:rsidRPr="00284847" w:rsidSect="00DD6C21">
      <w:headerReference w:type="even" r:id="rId12"/>
      <w:headerReference w:type="default" r:id="rId13"/>
      <w:headerReference w:type="first" r:id="rId14"/>
      <w:pgSz w:w="12240" w:h="15840"/>
      <w:pgMar w:top="3119" w:right="1134" w:bottom="198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406D4C" w14:textId="77777777" w:rsidR="00006426" w:rsidRDefault="00006426" w:rsidP="00406DF7">
      <w:pPr>
        <w:spacing w:after="0" w:line="240" w:lineRule="auto"/>
      </w:pPr>
      <w:r>
        <w:separator/>
      </w:r>
    </w:p>
  </w:endnote>
  <w:endnote w:type="continuationSeparator" w:id="0">
    <w:p w14:paraId="060E5FAF" w14:textId="77777777" w:rsidR="00006426" w:rsidRDefault="00006426" w:rsidP="00406D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48ED2A" w14:textId="77777777" w:rsidR="00006426" w:rsidRDefault="00006426" w:rsidP="00406DF7">
      <w:pPr>
        <w:spacing w:after="0" w:line="240" w:lineRule="auto"/>
      </w:pPr>
      <w:r>
        <w:separator/>
      </w:r>
    </w:p>
  </w:footnote>
  <w:footnote w:type="continuationSeparator" w:id="0">
    <w:p w14:paraId="7E58A1BA" w14:textId="77777777" w:rsidR="00006426" w:rsidRDefault="00006426" w:rsidP="00406DF7">
      <w:pPr>
        <w:spacing w:after="0" w:line="240" w:lineRule="auto"/>
      </w:pPr>
      <w:r>
        <w:continuationSeparator/>
      </w:r>
    </w:p>
  </w:footnote>
  <w:footnote w:id="1">
    <w:p w14:paraId="2C6CB7AC" w14:textId="02CF9AAF" w:rsidR="0076791A" w:rsidRDefault="0076791A">
      <w:pPr>
        <w:pStyle w:val="Textonotapie"/>
      </w:pPr>
      <w:r>
        <w:rPr>
          <w:rStyle w:val="Refdenotaalpie"/>
        </w:rPr>
        <w:footnoteRef/>
      </w:r>
      <w:r>
        <w:t xml:space="preserve"> </w:t>
      </w:r>
      <w:hyperlink r:id="rId1" w:history="1">
        <w:r>
          <w:rPr>
            <w:rStyle w:val="Hipervnculo"/>
            <w:rFonts w:ascii="ITC Avant Garde" w:hAnsi="ITC Avant Garde"/>
            <w:sz w:val="16"/>
            <w:szCs w:val="16"/>
          </w:rPr>
          <w:t>https://www.ecfr.gov/current/title-47/chapter-I/subchapter-A/part-10</w:t>
        </w:r>
      </w:hyperlink>
      <w:r>
        <w:rPr>
          <w:rFonts w:ascii="ITC Avant Garde" w:hAnsi="ITC Avant Garde"/>
          <w:sz w:val="16"/>
          <w:szCs w:val="16"/>
        </w:rPr>
        <w:t xml:space="preserve"> </w:t>
      </w:r>
      <w:r>
        <w:rPr>
          <w:rStyle w:val="Hipervnculo"/>
          <w:rFonts w:ascii="ITC Avant Garde" w:hAnsi="ITC Avant Garde"/>
          <w:sz w:val="16"/>
          <w:szCs w:val="16"/>
        </w:rPr>
        <w:t>https://www.ecfr.gov/current/title-47/chapter-I/subchapter-A/part-10</w:t>
      </w:r>
    </w:p>
  </w:footnote>
  <w:footnote w:id="2">
    <w:p w14:paraId="3CFC30B8" w14:textId="77777777" w:rsidR="0076791A" w:rsidRDefault="0076791A" w:rsidP="0076791A">
      <w:pPr>
        <w:pStyle w:val="Textonotapie"/>
      </w:pPr>
      <w:r>
        <w:rPr>
          <w:rStyle w:val="Refdenotaalpie"/>
        </w:rPr>
        <w:footnoteRef/>
      </w:r>
      <w:r>
        <w:t xml:space="preserve"> </w:t>
      </w:r>
      <w:hyperlink r:id="rId2" w:history="1">
        <w:r>
          <w:rPr>
            <w:rStyle w:val="Hipervnculo"/>
            <w:rFonts w:ascii="ITC Avant Garde" w:hAnsi="ITC Avant Garde"/>
            <w:sz w:val="16"/>
            <w:szCs w:val="16"/>
          </w:rPr>
          <w:t>https://www.publicsafety.gc.ca/cnt/mrgnc-mngmnt/mrgnc-prprdnss/npas/clf-lng-20-en.aspx</w:t>
        </w:r>
      </w:hyperlink>
    </w:p>
    <w:p w14:paraId="442975D5" w14:textId="31E5E60D" w:rsidR="0076791A" w:rsidRDefault="0076791A">
      <w:pPr>
        <w:pStyle w:val="Textonotapie"/>
      </w:pPr>
    </w:p>
  </w:footnote>
  <w:footnote w:id="3">
    <w:p w14:paraId="68BA5043" w14:textId="2AD36CE7" w:rsidR="0076791A" w:rsidRDefault="0076791A">
      <w:pPr>
        <w:pStyle w:val="Textonotapie"/>
      </w:pPr>
      <w:r>
        <w:rPr>
          <w:rStyle w:val="Refdenotaalpie"/>
        </w:rPr>
        <w:footnoteRef/>
      </w:r>
      <w:r>
        <w:t xml:space="preserve"> </w:t>
      </w:r>
      <w:hyperlink r:id="rId3" w:history="1">
        <w:r w:rsidRPr="00F97A26">
          <w:rPr>
            <w:rStyle w:val="Hipervnculo"/>
            <w:rFonts w:ascii="ITC Avant Garde" w:hAnsi="ITC Avant Garde"/>
            <w:sz w:val="16"/>
            <w:szCs w:val="16"/>
          </w:rPr>
          <w:t>http://www.ingenieroambiental.com/4014/medicion.pdf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6656F" w14:textId="13D2AA91" w:rsidR="00115B88" w:rsidRDefault="00000000">
    <w:pPr>
      <w:pStyle w:val="Encabezado"/>
    </w:pPr>
    <w:r>
      <w:rPr>
        <w:noProof/>
        <w:lang w:eastAsia="es-MX"/>
      </w:rPr>
      <w:pict w14:anchorId="1DEB04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7781735" o:spid="_x0000_s1080" type="#_x0000_t75" style="position:absolute;margin-left:0;margin-top:0;width:612pt;height:11in;z-index:-251655168;mso-position-horizontal:center;mso-position-horizontal-relative:margin;mso-position-vertical:center;mso-position-vertical-relative:margin" o:allowincell="f">
          <v:imagedata r:id="rId1" o:title="Hoja mem 2021 VA_bostón"/>
          <w10:wrap anchorx="margin" anchory="margin"/>
        </v:shape>
      </w:pict>
    </w:r>
    <w:r w:rsidR="00115B88">
      <w:rPr>
        <w:noProof/>
        <w:lang w:eastAsia="es-MX"/>
      </w:rPr>
      <w:drawing>
        <wp:anchor distT="0" distB="0" distL="114300" distR="114300" simplePos="0" relativeHeight="251659264" behindDoc="1" locked="0" layoutInCell="0" allowOverlap="1" wp14:anchorId="354BFCFF" wp14:editId="13AAA041">
          <wp:simplePos x="0" y="0"/>
          <wp:positionH relativeFrom="margin">
            <wp:align>center</wp:align>
          </wp:positionH>
          <wp:positionV relativeFrom="margin">
            <wp:align>center</wp:align>
          </wp:positionV>
          <wp:extent cx="5269865" cy="6817360"/>
          <wp:effectExtent l="0" t="0" r="6985" b="254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269865" cy="681736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AAC0A" w14:textId="77777777" w:rsidR="009A585D" w:rsidRDefault="009A585D" w:rsidP="00294E86">
    <w:pPr>
      <w:pStyle w:val="Encabezado"/>
      <w:jc w:val="right"/>
    </w:pPr>
  </w:p>
  <w:p w14:paraId="4C4058A8" w14:textId="77777777" w:rsidR="009A585D" w:rsidRDefault="009A585D" w:rsidP="00294E86">
    <w:pPr>
      <w:pStyle w:val="Encabezado"/>
      <w:jc w:val="right"/>
    </w:pPr>
  </w:p>
  <w:p w14:paraId="24E64098" w14:textId="77777777" w:rsidR="009A585D" w:rsidRDefault="009A585D" w:rsidP="00294E86">
    <w:pPr>
      <w:pStyle w:val="Encabezado"/>
      <w:jc w:val="right"/>
    </w:pPr>
  </w:p>
  <w:p w14:paraId="764535C0" w14:textId="77777777" w:rsidR="009A585D" w:rsidRDefault="009A585D" w:rsidP="00294E86">
    <w:pPr>
      <w:pStyle w:val="Encabezado"/>
      <w:jc w:val="right"/>
    </w:pPr>
  </w:p>
  <w:p w14:paraId="2833DD15" w14:textId="77777777" w:rsidR="009A585D" w:rsidRDefault="009A585D" w:rsidP="00294E86">
    <w:pPr>
      <w:pStyle w:val="Encabezado"/>
      <w:jc w:val="right"/>
    </w:pPr>
  </w:p>
  <w:p w14:paraId="0A48BC32" w14:textId="77777777" w:rsidR="009A585D" w:rsidRDefault="009A585D" w:rsidP="00294E86">
    <w:pPr>
      <w:pStyle w:val="Encabezado"/>
      <w:jc w:val="right"/>
    </w:pPr>
  </w:p>
  <w:p w14:paraId="7C8318E8" w14:textId="77777777" w:rsidR="009A585D" w:rsidRDefault="009A585D" w:rsidP="00294E86">
    <w:pPr>
      <w:pStyle w:val="Encabezado"/>
      <w:jc w:val="right"/>
    </w:pPr>
  </w:p>
  <w:p w14:paraId="5462967A" w14:textId="0978069C" w:rsidR="009A585D" w:rsidRPr="00923DBC" w:rsidRDefault="00923DBC" w:rsidP="00294E86">
    <w:pPr>
      <w:pStyle w:val="Encabezado"/>
      <w:jc w:val="right"/>
      <w:rPr>
        <w:i/>
        <w:iCs/>
        <w:sz w:val="20"/>
        <w:szCs w:val="20"/>
      </w:rPr>
    </w:pPr>
    <w:r w:rsidRPr="00923DBC">
      <w:rPr>
        <w:i/>
        <w:iCs/>
        <w:sz w:val="20"/>
        <w:szCs w:val="20"/>
      </w:rPr>
      <w:t>Fecha de elaboración 2</w:t>
    </w:r>
    <w:r w:rsidRPr="00923DBC">
      <w:rPr>
        <w:i/>
        <w:iCs/>
        <w:sz w:val="20"/>
        <w:szCs w:val="20"/>
      </w:rPr>
      <w:t>9</w:t>
    </w:r>
    <w:r w:rsidRPr="00923DBC">
      <w:rPr>
        <w:i/>
        <w:iCs/>
        <w:sz w:val="20"/>
        <w:szCs w:val="20"/>
      </w:rPr>
      <w:t xml:space="preserve"> de agosto 202</w:t>
    </w:r>
    <w:r w:rsidRPr="00923DBC">
      <w:rPr>
        <w:i/>
        <w:iCs/>
        <w:sz w:val="20"/>
        <w:szCs w:val="20"/>
      </w:rPr>
      <w:t>3</w:t>
    </w:r>
    <w:r w:rsidRPr="00923DBC">
      <w:rPr>
        <w:i/>
        <w:iCs/>
        <w:sz w:val="20"/>
        <w:szCs w:val="20"/>
      </w:rPr>
      <w:cr/>
    </w:r>
  </w:p>
  <w:p w14:paraId="5B8A5207" w14:textId="169E5D00" w:rsidR="00115B88" w:rsidRDefault="00000000" w:rsidP="00294E86">
    <w:pPr>
      <w:pStyle w:val="Encabezado"/>
      <w:jc w:val="right"/>
    </w:pPr>
    <w:r>
      <w:rPr>
        <w:i/>
        <w:iCs/>
        <w:noProof/>
      </w:rPr>
      <w:pict w14:anchorId="135F6E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7781736" o:spid="_x0000_s1081" type="#_x0000_t75" style="position:absolute;left:0;text-align:left;margin-left:-56.7pt;margin-top:-155.95pt;width:612pt;height:11in;z-index:-251654144;mso-position-horizontal-relative:margin;mso-position-vertical-relative:margin" o:allowincell="f">
          <v:imagedata r:id="rId1" o:title="Hoja mem 2021 VA_bostó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DC99D" w14:textId="68CAD104" w:rsidR="00115B88" w:rsidRDefault="00000000">
    <w:pPr>
      <w:pStyle w:val="Encabezado"/>
    </w:pPr>
    <w:r>
      <w:rPr>
        <w:noProof/>
      </w:rPr>
      <w:pict w14:anchorId="47C16C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7781734" o:spid="_x0000_s1079" type="#_x0000_t75" style="position:absolute;margin-left:0;margin-top:0;width:612pt;height:11in;z-index:-251656192;mso-position-horizontal:center;mso-position-horizontal-relative:margin;mso-position-vertical:center;mso-position-vertical-relative:margin" o:allowincell="f">
          <v:imagedata r:id="rId1" o:title="Hoja mem 2021 VA_bostó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D021A"/>
    <w:multiLevelType w:val="hybridMultilevel"/>
    <w:tmpl w:val="CE924AC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37C4851"/>
    <w:multiLevelType w:val="hybridMultilevel"/>
    <w:tmpl w:val="CED424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DAE6617"/>
    <w:multiLevelType w:val="hybridMultilevel"/>
    <w:tmpl w:val="BD10CA1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F775D52"/>
    <w:multiLevelType w:val="hybridMultilevel"/>
    <w:tmpl w:val="5290BE96"/>
    <w:lvl w:ilvl="0" w:tplc="7ED074D4">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4" w15:restartNumberingAfterBreak="0">
    <w:nsid w:val="1FDD1988"/>
    <w:multiLevelType w:val="hybridMultilevel"/>
    <w:tmpl w:val="7EF29868"/>
    <w:lvl w:ilvl="0" w:tplc="979A934E">
      <w:start w:val="1"/>
      <w:numFmt w:val="decimal"/>
      <w:lvlText w:val="%1."/>
      <w:lvlJc w:val="left"/>
      <w:pPr>
        <w:ind w:left="578" w:hanging="360"/>
      </w:pPr>
      <w:rPr>
        <w:rFonts w:hint="default"/>
      </w:rPr>
    </w:lvl>
    <w:lvl w:ilvl="1" w:tplc="080A0019" w:tentative="1">
      <w:start w:val="1"/>
      <w:numFmt w:val="lowerLetter"/>
      <w:lvlText w:val="%2."/>
      <w:lvlJc w:val="left"/>
      <w:pPr>
        <w:ind w:left="1298" w:hanging="360"/>
      </w:pPr>
    </w:lvl>
    <w:lvl w:ilvl="2" w:tplc="080A001B" w:tentative="1">
      <w:start w:val="1"/>
      <w:numFmt w:val="lowerRoman"/>
      <w:lvlText w:val="%3."/>
      <w:lvlJc w:val="right"/>
      <w:pPr>
        <w:ind w:left="2018" w:hanging="180"/>
      </w:pPr>
    </w:lvl>
    <w:lvl w:ilvl="3" w:tplc="080A000F" w:tentative="1">
      <w:start w:val="1"/>
      <w:numFmt w:val="decimal"/>
      <w:lvlText w:val="%4."/>
      <w:lvlJc w:val="left"/>
      <w:pPr>
        <w:ind w:left="2738" w:hanging="360"/>
      </w:pPr>
    </w:lvl>
    <w:lvl w:ilvl="4" w:tplc="080A0019" w:tentative="1">
      <w:start w:val="1"/>
      <w:numFmt w:val="lowerLetter"/>
      <w:lvlText w:val="%5."/>
      <w:lvlJc w:val="left"/>
      <w:pPr>
        <w:ind w:left="3458" w:hanging="360"/>
      </w:pPr>
    </w:lvl>
    <w:lvl w:ilvl="5" w:tplc="080A001B" w:tentative="1">
      <w:start w:val="1"/>
      <w:numFmt w:val="lowerRoman"/>
      <w:lvlText w:val="%6."/>
      <w:lvlJc w:val="right"/>
      <w:pPr>
        <w:ind w:left="4178" w:hanging="180"/>
      </w:pPr>
    </w:lvl>
    <w:lvl w:ilvl="6" w:tplc="080A000F" w:tentative="1">
      <w:start w:val="1"/>
      <w:numFmt w:val="decimal"/>
      <w:lvlText w:val="%7."/>
      <w:lvlJc w:val="left"/>
      <w:pPr>
        <w:ind w:left="4898" w:hanging="360"/>
      </w:pPr>
    </w:lvl>
    <w:lvl w:ilvl="7" w:tplc="080A0019" w:tentative="1">
      <w:start w:val="1"/>
      <w:numFmt w:val="lowerLetter"/>
      <w:lvlText w:val="%8."/>
      <w:lvlJc w:val="left"/>
      <w:pPr>
        <w:ind w:left="5618" w:hanging="360"/>
      </w:pPr>
    </w:lvl>
    <w:lvl w:ilvl="8" w:tplc="080A001B" w:tentative="1">
      <w:start w:val="1"/>
      <w:numFmt w:val="lowerRoman"/>
      <w:lvlText w:val="%9."/>
      <w:lvlJc w:val="right"/>
      <w:pPr>
        <w:ind w:left="6338" w:hanging="180"/>
      </w:pPr>
    </w:lvl>
  </w:abstractNum>
  <w:abstractNum w:abstractNumId="5" w15:restartNumberingAfterBreak="0">
    <w:nsid w:val="1FE545E3"/>
    <w:multiLevelType w:val="hybridMultilevel"/>
    <w:tmpl w:val="B7C6955A"/>
    <w:lvl w:ilvl="0" w:tplc="18582932">
      <w:start w:val="1"/>
      <w:numFmt w:val="upperRoman"/>
      <w:lvlText w:val="%1."/>
      <w:lvlJc w:val="left"/>
      <w:pPr>
        <w:ind w:left="1287" w:hanging="720"/>
      </w:pPr>
      <w:rPr>
        <w:rFonts w:hint="default"/>
      </w:rPr>
    </w:lvl>
    <w:lvl w:ilvl="1" w:tplc="080A0019">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6" w15:restartNumberingAfterBreak="0">
    <w:nsid w:val="34F257C3"/>
    <w:multiLevelType w:val="hybridMultilevel"/>
    <w:tmpl w:val="148809E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97034DD"/>
    <w:multiLevelType w:val="hybridMultilevel"/>
    <w:tmpl w:val="A852CCBA"/>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7A54E6C"/>
    <w:multiLevelType w:val="hybridMultilevel"/>
    <w:tmpl w:val="148809E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69F702B2"/>
    <w:multiLevelType w:val="hybridMultilevel"/>
    <w:tmpl w:val="409CFB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7C3674F8"/>
    <w:multiLevelType w:val="hybridMultilevel"/>
    <w:tmpl w:val="15A0F8A0"/>
    <w:lvl w:ilvl="0" w:tplc="DA2A251C">
      <w:start w:val="1"/>
      <w:numFmt w:val="upperRoman"/>
      <w:lvlText w:val="%1."/>
      <w:lvlJc w:val="left"/>
      <w:pPr>
        <w:ind w:left="2160" w:hanging="720"/>
      </w:pPr>
      <w:rPr>
        <w:rFonts w:hint="default"/>
      </w:rPr>
    </w:lvl>
    <w:lvl w:ilvl="1" w:tplc="080A0019">
      <w:start w:val="1"/>
      <w:numFmt w:val="lowerLetter"/>
      <w:lvlText w:val="%2."/>
      <w:lvlJc w:val="left"/>
      <w:pPr>
        <w:ind w:left="2520" w:hanging="360"/>
      </w:pPr>
    </w:lvl>
    <w:lvl w:ilvl="2" w:tplc="080A001B">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1" w15:restartNumberingAfterBreak="0">
    <w:nsid w:val="7DB26262"/>
    <w:multiLevelType w:val="hybridMultilevel"/>
    <w:tmpl w:val="CE924AC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804346812">
    <w:abstractNumId w:val="2"/>
  </w:num>
  <w:num w:numId="2" w16cid:durableId="95373123">
    <w:abstractNumId w:val="0"/>
  </w:num>
  <w:num w:numId="3" w16cid:durableId="1297878570">
    <w:abstractNumId w:val="7"/>
  </w:num>
  <w:num w:numId="4" w16cid:durableId="1676418176">
    <w:abstractNumId w:val="9"/>
  </w:num>
  <w:num w:numId="5" w16cid:durableId="818350760">
    <w:abstractNumId w:val="6"/>
  </w:num>
  <w:num w:numId="6" w16cid:durableId="47998228">
    <w:abstractNumId w:val="10"/>
  </w:num>
  <w:num w:numId="7" w16cid:durableId="602495933">
    <w:abstractNumId w:val="3"/>
  </w:num>
  <w:num w:numId="8" w16cid:durableId="1527409151">
    <w:abstractNumId w:val="4"/>
  </w:num>
  <w:num w:numId="9" w16cid:durableId="653414722">
    <w:abstractNumId w:val="8"/>
  </w:num>
  <w:num w:numId="10" w16cid:durableId="167211241">
    <w:abstractNumId w:val="5"/>
  </w:num>
  <w:num w:numId="11" w16cid:durableId="1352219238">
    <w:abstractNumId w:val="11"/>
  </w:num>
  <w:num w:numId="12" w16cid:durableId="10317593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trackRevisions/>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6DF7"/>
    <w:rsid w:val="00004C88"/>
    <w:rsid w:val="00006426"/>
    <w:rsid w:val="000074BC"/>
    <w:rsid w:val="00011591"/>
    <w:rsid w:val="00011B4A"/>
    <w:rsid w:val="000174F9"/>
    <w:rsid w:val="00017918"/>
    <w:rsid w:val="0002058E"/>
    <w:rsid w:val="00020FC6"/>
    <w:rsid w:val="00022076"/>
    <w:rsid w:val="000302FC"/>
    <w:rsid w:val="00033D4B"/>
    <w:rsid w:val="00040172"/>
    <w:rsid w:val="00044C16"/>
    <w:rsid w:val="00045007"/>
    <w:rsid w:val="00046AC2"/>
    <w:rsid w:val="000508CC"/>
    <w:rsid w:val="00060DE1"/>
    <w:rsid w:val="00065767"/>
    <w:rsid w:val="000708FF"/>
    <w:rsid w:val="00084F7E"/>
    <w:rsid w:val="0009739D"/>
    <w:rsid w:val="000B2C9F"/>
    <w:rsid w:val="000B3191"/>
    <w:rsid w:val="000C007D"/>
    <w:rsid w:val="000C31F6"/>
    <w:rsid w:val="000C38AC"/>
    <w:rsid w:val="000D3683"/>
    <w:rsid w:val="000E3A95"/>
    <w:rsid w:val="00105818"/>
    <w:rsid w:val="00115B88"/>
    <w:rsid w:val="00120392"/>
    <w:rsid w:val="00153B11"/>
    <w:rsid w:val="00153BA9"/>
    <w:rsid w:val="001572CA"/>
    <w:rsid w:val="0016461A"/>
    <w:rsid w:val="001658B1"/>
    <w:rsid w:val="00174A34"/>
    <w:rsid w:val="00174D4D"/>
    <w:rsid w:val="00182A35"/>
    <w:rsid w:val="001852B8"/>
    <w:rsid w:val="00196E4E"/>
    <w:rsid w:val="00197D24"/>
    <w:rsid w:val="001A4263"/>
    <w:rsid w:val="001B76FD"/>
    <w:rsid w:val="001C1C34"/>
    <w:rsid w:val="001C30A4"/>
    <w:rsid w:val="001C6F5D"/>
    <w:rsid w:val="001D67F9"/>
    <w:rsid w:val="001E33EB"/>
    <w:rsid w:val="001E6830"/>
    <w:rsid w:val="001E78B9"/>
    <w:rsid w:val="001F036A"/>
    <w:rsid w:val="001F2AB4"/>
    <w:rsid w:val="001F5FF7"/>
    <w:rsid w:val="001F7452"/>
    <w:rsid w:val="00210393"/>
    <w:rsid w:val="00212D36"/>
    <w:rsid w:val="00216AEE"/>
    <w:rsid w:val="00223AC8"/>
    <w:rsid w:val="00226FE9"/>
    <w:rsid w:val="00231DFF"/>
    <w:rsid w:val="002334DA"/>
    <w:rsid w:val="00234A80"/>
    <w:rsid w:val="00237E76"/>
    <w:rsid w:val="00242265"/>
    <w:rsid w:val="002434CF"/>
    <w:rsid w:val="0026113C"/>
    <w:rsid w:val="002709B4"/>
    <w:rsid w:val="002726A7"/>
    <w:rsid w:val="00284847"/>
    <w:rsid w:val="00286725"/>
    <w:rsid w:val="00291A12"/>
    <w:rsid w:val="00293912"/>
    <w:rsid w:val="00294E86"/>
    <w:rsid w:val="002A0951"/>
    <w:rsid w:val="002A2F9F"/>
    <w:rsid w:val="002B2B96"/>
    <w:rsid w:val="002B7C0D"/>
    <w:rsid w:val="002D2956"/>
    <w:rsid w:val="002E3F7B"/>
    <w:rsid w:val="002E6ED4"/>
    <w:rsid w:val="002F1C4F"/>
    <w:rsid w:val="002F2766"/>
    <w:rsid w:val="00325B2C"/>
    <w:rsid w:val="00342D9B"/>
    <w:rsid w:val="00350F48"/>
    <w:rsid w:val="00353452"/>
    <w:rsid w:val="0036431E"/>
    <w:rsid w:val="00372F99"/>
    <w:rsid w:val="00377069"/>
    <w:rsid w:val="00380505"/>
    <w:rsid w:val="0038100F"/>
    <w:rsid w:val="00392983"/>
    <w:rsid w:val="003A026C"/>
    <w:rsid w:val="003B5AD3"/>
    <w:rsid w:val="003E5673"/>
    <w:rsid w:val="003E5B18"/>
    <w:rsid w:val="0040202A"/>
    <w:rsid w:val="004051B7"/>
    <w:rsid w:val="00406DF7"/>
    <w:rsid w:val="0041485C"/>
    <w:rsid w:val="0042017B"/>
    <w:rsid w:val="00436199"/>
    <w:rsid w:val="00437502"/>
    <w:rsid w:val="00453C7F"/>
    <w:rsid w:val="00455028"/>
    <w:rsid w:val="00462546"/>
    <w:rsid w:val="004724DB"/>
    <w:rsid w:val="0047771D"/>
    <w:rsid w:val="00480B39"/>
    <w:rsid w:val="0048180C"/>
    <w:rsid w:val="00481855"/>
    <w:rsid w:val="00490838"/>
    <w:rsid w:val="004920C6"/>
    <w:rsid w:val="004B0032"/>
    <w:rsid w:val="004B014E"/>
    <w:rsid w:val="004B5753"/>
    <w:rsid w:val="004C0460"/>
    <w:rsid w:val="004D0400"/>
    <w:rsid w:val="004D11D1"/>
    <w:rsid w:val="004D60C0"/>
    <w:rsid w:val="004D6CE2"/>
    <w:rsid w:val="004F67EA"/>
    <w:rsid w:val="00500879"/>
    <w:rsid w:val="00502BB5"/>
    <w:rsid w:val="0052517C"/>
    <w:rsid w:val="00525E89"/>
    <w:rsid w:val="0054407E"/>
    <w:rsid w:val="00544576"/>
    <w:rsid w:val="0055041C"/>
    <w:rsid w:val="00553225"/>
    <w:rsid w:val="005640C0"/>
    <w:rsid w:val="00566CD0"/>
    <w:rsid w:val="00573021"/>
    <w:rsid w:val="00584234"/>
    <w:rsid w:val="00584B22"/>
    <w:rsid w:val="005B754C"/>
    <w:rsid w:val="005D015A"/>
    <w:rsid w:val="005F2B49"/>
    <w:rsid w:val="005F6498"/>
    <w:rsid w:val="006236F1"/>
    <w:rsid w:val="00624840"/>
    <w:rsid w:val="00627874"/>
    <w:rsid w:val="006340FD"/>
    <w:rsid w:val="00667F19"/>
    <w:rsid w:val="006910A3"/>
    <w:rsid w:val="00691651"/>
    <w:rsid w:val="00693162"/>
    <w:rsid w:val="006950C0"/>
    <w:rsid w:val="006B3004"/>
    <w:rsid w:val="006B3352"/>
    <w:rsid w:val="006B7D5A"/>
    <w:rsid w:val="006C2F00"/>
    <w:rsid w:val="006D3D76"/>
    <w:rsid w:val="006D4483"/>
    <w:rsid w:val="006E3471"/>
    <w:rsid w:val="006E44BB"/>
    <w:rsid w:val="006E6632"/>
    <w:rsid w:val="006F1FD5"/>
    <w:rsid w:val="006F681D"/>
    <w:rsid w:val="00706437"/>
    <w:rsid w:val="00711E83"/>
    <w:rsid w:val="00712012"/>
    <w:rsid w:val="00716EFD"/>
    <w:rsid w:val="00723DD2"/>
    <w:rsid w:val="007242CB"/>
    <w:rsid w:val="00751019"/>
    <w:rsid w:val="0075794E"/>
    <w:rsid w:val="0076227F"/>
    <w:rsid w:val="007623DE"/>
    <w:rsid w:val="0076791A"/>
    <w:rsid w:val="00771357"/>
    <w:rsid w:val="00772FF9"/>
    <w:rsid w:val="00780C8B"/>
    <w:rsid w:val="007963D2"/>
    <w:rsid w:val="007A78DF"/>
    <w:rsid w:val="007B6AC0"/>
    <w:rsid w:val="007C25BB"/>
    <w:rsid w:val="007C6846"/>
    <w:rsid w:val="007E7A96"/>
    <w:rsid w:val="00801F47"/>
    <w:rsid w:val="00804BA9"/>
    <w:rsid w:val="00810DA5"/>
    <w:rsid w:val="00812BFD"/>
    <w:rsid w:val="00817731"/>
    <w:rsid w:val="00820F3D"/>
    <w:rsid w:val="0082254F"/>
    <w:rsid w:val="008231A2"/>
    <w:rsid w:val="0084015E"/>
    <w:rsid w:val="00847DB3"/>
    <w:rsid w:val="00847FF0"/>
    <w:rsid w:val="008547BE"/>
    <w:rsid w:val="00872710"/>
    <w:rsid w:val="00880898"/>
    <w:rsid w:val="00886549"/>
    <w:rsid w:val="00886F5E"/>
    <w:rsid w:val="00897BFC"/>
    <w:rsid w:val="008B1CBA"/>
    <w:rsid w:val="008C0B9B"/>
    <w:rsid w:val="008C2B12"/>
    <w:rsid w:val="008D15D0"/>
    <w:rsid w:val="008E3B0D"/>
    <w:rsid w:val="008E6750"/>
    <w:rsid w:val="008E77AE"/>
    <w:rsid w:val="008F30CF"/>
    <w:rsid w:val="009020AC"/>
    <w:rsid w:val="009045CE"/>
    <w:rsid w:val="00907EC1"/>
    <w:rsid w:val="00911A2E"/>
    <w:rsid w:val="00920C31"/>
    <w:rsid w:val="00923DBC"/>
    <w:rsid w:val="00934674"/>
    <w:rsid w:val="009422C1"/>
    <w:rsid w:val="00986E74"/>
    <w:rsid w:val="00997FC0"/>
    <w:rsid w:val="009A30CE"/>
    <w:rsid w:val="009A4EB7"/>
    <w:rsid w:val="009A585D"/>
    <w:rsid w:val="009C0941"/>
    <w:rsid w:val="009E04DD"/>
    <w:rsid w:val="009E180B"/>
    <w:rsid w:val="009E451F"/>
    <w:rsid w:val="009E50AB"/>
    <w:rsid w:val="00A02D10"/>
    <w:rsid w:val="00A06F5E"/>
    <w:rsid w:val="00A0771D"/>
    <w:rsid w:val="00A077B1"/>
    <w:rsid w:val="00A12939"/>
    <w:rsid w:val="00A15C2E"/>
    <w:rsid w:val="00A16DCB"/>
    <w:rsid w:val="00A3533C"/>
    <w:rsid w:val="00A4718D"/>
    <w:rsid w:val="00A52C39"/>
    <w:rsid w:val="00A62055"/>
    <w:rsid w:val="00A675AB"/>
    <w:rsid w:val="00A72149"/>
    <w:rsid w:val="00A96F75"/>
    <w:rsid w:val="00AA642D"/>
    <w:rsid w:val="00AB7BD9"/>
    <w:rsid w:val="00AC02B6"/>
    <w:rsid w:val="00AC2CE2"/>
    <w:rsid w:val="00AD1F3A"/>
    <w:rsid w:val="00AE25D0"/>
    <w:rsid w:val="00AE2D8D"/>
    <w:rsid w:val="00AE71BE"/>
    <w:rsid w:val="00AF041C"/>
    <w:rsid w:val="00AF5100"/>
    <w:rsid w:val="00AF7DE1"/>
    <w:rsid w:val="00B00BB3"/>
    <w:rsid w:val="00B02040"/>
    <w:rsid w:val="00B17BB6"/>
    <w:rsid w:val="00B21EC4"/>
    <w:rsid w:val="00B222F4"/>
    <w:rsid w:val="00B2314A"/>
    <w:rsid w:val="00B23430"/>
    <w:rsid w:val="00B24B07"/>
    <w:rsid w:val="00B320AB"/>
    <w:rsid w:val="00B355BC"/>
    <w:rsid w:val="00B3654B"/>
    <w:rsid w:val="00B431A1"/>
    <w:rsid w:val="00B43C2C"/>
    <w:rsid w:val="00B519CF"/>
    <w:rsid w:val="00B57514"/>
    <w:rsid w:val="00B623EB"/>
    <w:rsid w:val="00B658C5"/>
    <w:rsid w:val="00B666BD"/>
    <w:rsid w:val="00B73776"/>
    <w:rsid w:val="00B73C5C"/>
    <w:rsid w:val="00B73D75"/>
    <w:rsid w:val="00B81D88"/>
    <w:rsid w:val="00B9585B"/>
    <w:rsid w:val="00BA19CA"/>
    <w:rsid w:val="00BB22C6"/>
    <w:rsid w:val="00BF63DD"/>
    <w:rsid w:val="00BF792B"/>
    <w:rsid w:val="00C0015F"/>
    <w:rsid w:val="00C03EEC"/>
    <w:rsid w:val="00C04EE0"/>
    <w:rsid w:val="00C06E32"/>
    <w:rsid w:val="00C2600D"/>
    <w:rsid w:val="00C27CCC"/>
    <w:rsid w:val="00C31794"/>
    <w:rsid w:val="00C32C9E"/>
    <w:rsid w:val="00C33180"/>
    <w:rsid w:val="00C56A48"/>
    <w:rsid w:val="00C63CD2"/>
    <w:rsid w:val="00C73DF4"/>
    <w:rsid w:val="00C8087C"/>
    <w:rsid w:val="00C86B82"/>
    <w:rsid w:val="00C87813"/>
    <w:rsid w:val="00CA17C7"/>
    <w:rsid w:val="00CA5BB0"/>
    <w:rsid w:val="00CB74AB"/>
    <w:rsid w:val="00CB7F32"/>
    <w:rsid w:val="00CC18FC"/>
    <w:rsid w:val="00CC56D6"/>
    <w:rsid w:val="00CC729D"/>
    <w:rsid w:val="00CC7595"/>
    <w:rsid w:val="00CC7DEF"/>
    <w:rsid w:val="00CD0AF8"/>
    <w:rsid w:val="00CF1F1A"/>
    <w:rsid w:val="00CF4CC0"/>
    <w:rsid w:val="00D05B40"/>
    <w:rsid w:val="00D06441"/>
    <w:rsid w:val="00D1005E"/>
    <w:rsid w:val="00D102FC"/>
    <w:rsid w:val="00D324B1"/>
    <w:rsid w:val="00D36EFA"/>
    <w:rsid w:val="00D51B8E"/>
    <w:rsid w:val="00D52572"/>
    <w:rsid w:val="00D53659"/>
    <w:rsid w:val="00D56397"/>
    <w:rsid w:val="00D62238"/>
    <w:rsid w:val="00D659DC"/>
    <w:rsid w:val="00D7060F"/>
    <w:rsid w:val="00D711C4"/>
    <w:rsid w:val="00D73F37"/>
    <w:rsid w:val="00D748E0"/>
    <w:rsid w:val="00D80FC5"/>
    <w:rsid w:val="00D81BCB"/>
    <w:rsid w:val="00D85AEC"/>
    <w:rsid w:val="00D85B6D"/>
    <w:rsid w:val="00D90266"/>
    <w:rsid w:val="00D93589"/>
    <w:rsid w:val="00D9759D"/>
    <w:rsid w:val="00DA776A"/>
    <w:rsid w:val="00DB035F"/>
    <w:rsid w:val="00DB1264"/>
    <w:rsid w:val="00DB31CA"/>
    <w:rsid w:val="00DB4708"/>
    <w:rsid w:val="00DB5EA8"/>
    <w:rsid w:val="00DC44C3"/>
    <w:rsid w:val="00DC45E1"/>
    <w:rsid w:val="00DC78CE"/>
    <w:rsid w:val="00DC7FCA"/>
    <w:rsid w:val="00DD0BF3"/>
    <w:rsid w:val="00DD3D8B"/>
    <w:rsid w:val="00DD6C21"/>
    <w:rsid w:val="00DD7659"/>
    <w:rsid w:val="00DE0930"/>
    <w:rsid w:val="00DE09C3"/>
    <w:rsid w:val="00E02CC7"/>
    <w:rsid w:val="00E03EE1"/>
    <w:rsid w:val="00E12B67"/>
    <w:rsid w:val="00E16803"/>
    <w:rsid w:val="00E26B68"/>
    <w:rsid w:val="00E3377E"/>
    <w:rsid w:val="00E40353"/>
    <w:rsid w:val="00E55505"/>
    <w:rsid w:val="00E601EF"/>
    <w:rsid w:val="00E63D36"/>
    <w:rsid w:val="00E65432"/>
    <w:rsid w:val="00E75B09"/>
    <w:rsid w:val="00E75E83"/>
    <w:rsid w:val="00E81F03"/>
    <w:rsid w:val="00E919D1"/>
    <w:rsid w:val="00E94F9B"/>
    <w:rsid w:val="00EA143E"/>
    <w:rsid w:val="00EA47C1"/>
    <w:rsid w:val="00EB4E6C"/>
    <w:rsid w:val="00EC0A38"/>
    <w:rsid w:val="00ED5B54"/>
    <w:rsid w:val="00EE3806"/>
    <w:rsid w:val="00EE6720"/>
    <w:rsid w:val="00EE6BCC"/>
    <w:rsid w:val="00EE6D77"/>
    <w:rsid w:val="00EE7405"/>
    <w:rsid w:val="00EE7C64"/>
    <w:rsid w:val="00F1132A"/>
    <w:rsid w:val="00F1771C"/>
    <w:rsid w:val="00F21690"/>
    <w:rsid w:val="00F23D03"/>
    <w:rsid w:val="00F3365C"/>
    <w:rsid w:val="00F46713"/>
    <w:rsid w:val="00F55FCA"/>
    <w:rsid w:val="00F70DCE"/>
    <w:rsid w:val="00F71224"/>
    <w:rsid w:val="00F7240F"/>
    <w:rsid w:val="00F7287F"/>
    <w:rsid w:val="00F732CE"/>
    <w:rsid w:val="00F77AAA"/>
    <w:rsid w:val="00F973E5"/>
    <w:rsid w:val="00FA563F"/>
    <w:rsid w:val="00FA5B03"/>
    <w:rsid w:val="00FC15B0"/>
    <w:rsid w:val="00FC7196"/>
    <w:rsid w:val="00FD20E1"/>
    <w:rsid w:val="00FD62B1"/>
    <w:rsid w:val="00FE10F2"/>
    <w:rsid w:val="00FE229D"/>
    <w:rsid w:val="00FE6EA6"/>
    <w:rsid w:val="00FE705C"/>
    <w:rsid w:val="00FE756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38D510"/>
  <w15:docId w15:val="{F3A09F68-B314-426D-A493-B1CC724A6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0D3683"/>
    <w:pPr>
      <w:widowControl w:val="0"/>
      <w:autoSpaceDE w:val="0"/>
      <w:autoSpaceDN w:val="0"/>
      <w:spacing w:after="0" w:line="240" w:lineRule="auto"/>
      <w:ind w:left="506" w:hanging="289"/>
      <w:outlineLvl w:val="0"/>
    </w:pPr>
    <w:rPr>
      <w:rFonts w:ascii="Arial" w:eastAsia="Arial" w:hAnsi="Arial" w:cs="Arial"/>
      <w:b/>
      <w:bCs/>
      <w:sz w:val="26"/>
      <w:szCs w:val="26"/>
    </w:rPr>
  </w:style>
  <w:style w:type="paragraph" w:styleId="Ttulo2">
    <w:name w:val="heading 2"/>
    <w:basedOn w:val="Normal"/>
    <w:next w:val="Normal"/>
    <w:link w:val="Ttulo2Car"/>
    <w:uiPriority w:val="9"/>
    <w:semiHidden/>
    <w:unhideWhenUsed/>
    <w:qFormat/>
    <w:rsid w:val="0012039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06DF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06DF7"/>
  </w:style>
  <w:style w:type="paragraph" w:styleId="Piedepgina">
    <w:name w:val="footer"/>
    <w:basedOn w:val="Normal"/>
    <w:link w:val="PiedepginaCar"/>
    <w:uiPriority w:val="99"/>
    <w:unhideWhenUsed/>
    <w:rsid w:val="00406DF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06DF7"/>
  </w:style>
  <w:style w:type="paragraph" w:styleId="Prrafodelista">
    <w:name w:val="List Paragraph"/>
    <w:aliases w:val="prueba1,4 Viñ 1nivel,Numeración 1,Cuadrícula media 1 - Énfasis 21"/>
    <w:basedOn w:val="Normal"/>
    <w:link w:val="PrrafodelistaCar"/>
    <w:uiPriority w:val="34"/>
    <w:qFormat/>
    <w:rsid w:val="00293912"/>
    <w:pPr>
      <w:spacing w:after="160" w:line="259" w:lineRule="auto"/>
      <w:ind w:left="720"/>
      <w:contextualSpacing/>
    </w:pPr>
  </w:style>
  <w:style w:type="paragraph" w:styleId="Textonotapie">
    <w:name w:val="footnote text"/>
    <w:basedOn w:val="Normal"/>
    <w:link w:val="TextonotapieCar"/>
    <w:uiPriority w:val="99"/>
    <w:semiHidden/>
    <w:unhideWhenUsed/>
    <w:rsid w:val="0029391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93912"/>
    <w:rPr>
      <w:sz w:val="20"/>
      <w:szCs w:val="20"/>
    </w:rPr>
  </w:style>
  <w:style w:type="character" w:styleId="Refdenotaalpie">
    <w:name w:val="footnote reference"/>
    <w:basedOn w:val="Fuentedeprrafopredeter"/>
    <w:uiPriority w:val="99"/>
    <w:semiHidden/>
    <w:unhideWhenUsed/>
    <w:rsid w:val="00293912"/>
    <w:rPr>
      <w:vertAlign w:val="superscript"/>
    </w:rPr>
  </w:style>
  <w:style w:type="character" w:customStyle="1" w:styleId="PrrafodelistaCar">
    <w:name w:val="Párrafo de lista Car"/>
    <w:aliases w:val="prueba1 Car,4 Viñ 1nivel Car,Numeración 1 Car,Cuadrícula media 1 - Énfasis 21 Car"/>
    <w:link w:val="Prrafodelista"/>
    <w:uiPriority w:val="34"/>
    <w:qFormat/>
    <w:rsid w:val="00293912"/>
  </w:style>
  <w:style w:type="paragraph" w:styleId="Textodeglobo">
    <w:name w:val="Balloon Text"/>
    <w:basedOn w:val="Normal"/>
    <w:link w:val="TextodegloboCar"/>
    <w:uiPriority w:val="99"/>
    <w:semiHidden/>
    <w:unhideWhenUsed/>
    <w:rsid w:val="001E78B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E78B9"/>
    <w:rPr>
      <w:rFonts w:ascii="Segoe UI" w:hAnsi="Segoe UI" w:cs="Segoe UI"/>
      <w:sz w:val="18"/>
      <w:szCs w:val="18"/>
    </w:rPr>
  </w:style>
  <w:style w:type="paragraph" w:styleId="Textocomentario">
    <w:name w:val="annotation text"/>
    <w:basedOn w:val="Normal"/>
    <w:link w:val="TextocomentarioCar"/>
    <w:uiPriority w:val="99"/>
    <w:unhideWhenUsed/>
    <w:rsid w:val="001E78B9"/>
    <w:pPr>
      <w:widowControl w:val="0"/>
      <w:autoSpaceDE w:val="0"/>
      <w:autoSpaceDN w:val="0"/>
      <w:spacing w:after="0" w:line="240" w:lineRule="auto"/>
    </w:pPr>
    <w:rPr>
      <w:rFonts w:ascii="Arial" w:eastAsia="Arial" w:hAnsi="Arial" w:cs="Arial"/>
      <w:sz w:val="20"/>
      <w:szCs w:val="20"/>
    </w:rPr>
  </w:style>
  <w:style w:type="character" w:customStyle="1" w:styleId="TextocomentarioCar">
    <w:name w:val="Texto comentario Car"/>
    <w:basedOn w:val="Fuentedeprrafopredeter"/>
    <w:link w:val="Textocomentario"/>
    <w:uiPriority w:val="99"/>
    <w:rsid w:val="001E78B9"/>
    <w:rPr>
      <w:rFonts w:ascii="Arial" w:eastAsia="Arial" w:hAnsi="Arial" w:cs="Arial"/>
      <w:sz w:val="20"/>
      <w:szCs w:val="20"/>
    </w:rPr>
  </w:style>
  <w:style w:type="character" w:styleId="Refdecomentario">
    <w:name w:val="annotation reference"/>
    <w:basedOn w:val="Fuentedeprrafopredeter"/>
    <w:uiPriority w:val="99"/>
    <w:semiHidden/>
    <w:unhideWhenUsed/>
    <w:rsid w:val="00174A34"/>
    <w:rPr>
      <w:sz w:val="16"/>
      <w:szCs w:val="16"/>
    </w:rPr>
  </w:style>
  <w:style w:type="table" w:customStyle="1" w:styleId="TableNormal">
    <w:name w:val="Table Normal"/>
    <w:uiPriority w:val="2"/>
    <w:semiHidden/>
    <w:unhideWhenUsed/>
    <w:qFormat/>
    <w:rsid w:val="00886F5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86F5E"/>
    <w:pPr>
      <w:widowControl w:val="0"/>
      <w:autoSpaceDE w:val="0"/>
      <w:autoSpaceDN w:val="0"/>
      <w:spacing w:after="0" w:line="240" w:lineRule="auto"/>
    </w:pPr>
    <w:rPr>
      <w:rFonts w:ascii="Arial" w:eastAsia="Arial" w:hAnsi="Arial" w:cs="Arial"/>
    </w:rPr>
  </w:style>
  <w:style w:type="character" w:styleId="Hipervnculo">
    <w:name w:val="Hyperlink"/>
    <w:basedOn w:val="Fuentedeprrafopredeter"/>
    <w:uiPriority w:val="99"/>
    <w:unhideWhenUsed/>
    <w:rsid w:val="00EE6720"/>
    <w:rPr>
      <w:color w:val="0000FF" w:themeColor="hyperlink"/>
      <w:u w:val="single"/>
    </w:rPr>
  </w:style>
  <w:style w:type="character" w:customStyle="1" w:styleId="Ttulo1Car">
    <w:name w:val="Título 1 Car"/>
    <w:basedOn w:val="Fuentedeprrafopredeter"/>
    <w:link w:val="Ttulo1"/>
    <w:uiPriority w:val="9"/>
    <w:rsid w:val="000D3683"/>
    <w:rPr>
      <w:rFonts w:ascii="Arial" w:eastAsia="Arial" w:hAnsi="Arial" w:cs="Arial"/>
      <w:b/>
      <w:bCs/>
      <w:sz w:val="26"/>
      <w:szCs w:val="26"/>
    </w:rPr>
  </w:style>
  <w:style w:type="paragraph" w:styleId="Textoindependiente">
    <w:name w:val="Body Text"/>
    <w:basedOn w:val="Normal"/>
    <w:link w:val="TextoindependienteCar"/>
    <w:uiPriority w:val="1"/>
    <w:qFormat/>
    <w:rsid w:val="0084015E"/>
    <w:pPr>
      <w:widowControl w:val="0"/>
      <w:autoSpaceDE w:val="0"/>
      <w:autoSpaceDN w:val="0"/>
      <w:spacing w:after="0" w:line="240" w:lineRule="auto"/>
    </w:pPr>
    <w:rPr>
      <w:rFonts w:ascii="Arial" w:eastAsia="Arial" w:hAnsi="Arial" w:cs="Arial"/>
    </w:rPr>
  </w:style>
  <w:style w:type="character" w:customStyle="1" w:styleId="TextoindependienteCar">
    <w:name w:val="Texto independiente Car"/>
    <w:basedOn w:val="Fuentedeprrafopredeter"/>
    <w:link w:val="Textoindependiente"/>
    <w:uiPriority w:val="1"/>
    <w:rsid w:val="0084015E"/>
    <w:rPr>
      <w:rFonts w:ascii="Arial" w:eastAsia="Arial" w:hAnsi="Arial" w:cs="Arial"/>
    </w:rPr>
  </w:style>
  <w:style w:type="paragraph" w:styleId="Revisin">
    <w:name w:val="Revision"/>
    <w:hidden/>
    <w:uiPriority w:val="99"/>
    <w:semiHidden/>
    <w:rsid w:val="00FE7564"/>
    <w:pPr>
      <w:spacing w:after="0" w:line="240" w:lineRule="auto"/>
    </w:pPr>
  </w:style>
  <w:style w:type="paragraph" w:styleId="Asuntodelcomentario">
    <w:name w:val="annotation subject"/>
    <w:basedOn w:val="Textocomentario"/>
    <w:next w:val="Textocomentario"/>
    <w:link w:val="AsuntodelcomentarioCar"/>
    <w:uiPriority w:val="99"/>
    <w:semiHidden/>
    <w:unhideWhenUsed/>
    <w:rsid w:val="00F71224"/>
    <w:pPr>
      <w:widowControl/>
      <w:autoSpaceDE/>
      <w:autoSpaceDN/>
      <w:spacing w:after="200"/>
    </w:pPr>
    <w:rPr>
      <w:rFonts w:asciiTheme="minorHAnsi" w:eastAsiaTheme="minorHAnsi" w:hAnsiTheme="minorHAnsi" w:cstheme="minorBidi"/>
      <w:b/>
      <w:bCs/>
    </w:rPr>
  </w:style>
  <w:style w:type="character" w:customStyle="1" w:styleId="AsuntodelcomentarioCar">
    <w:name w:val="Asunto del comentario Car"/>
    <w:basedOn w:val="TextocomentarioCar"/>
    <w:link w:val="Asuntodelcomentario"/>
    <w:uiPriority w:val="99"/>
    <w:semiHidden/>
    <w:rsid w:val="00F71224"/>
    <w:rPr>
      <w:rFonts w:ascii="Arial" w:eastAsia="Arial" w:hAnsi="Arial" w:cs="Arial"/>
      <w:b/>
      <w:bCs/>
      <w:sz w:val="20"/>
      <w:szCs w:val="20"/>
    </w:rPr>
  </w:style>
  <w:style w:type="character" w:customStyle="1" w:styleId="Ttulo2Car">
    <w:name w:val="Título 2 Car"/>
    <w:basedOn w:val="Fuentedeprrafopredeter"/>
    <w:link w:val="Ttulo2"/>
    <w:uiPriority w:val="9"/>
    <w:semiHidden/>
    <w:rsid w:val="00120392"/>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744872">
      <w:bodyDiv w:val="1"/>
      <w:marLeft w:val="0"/>
      <w:marRight w:val="0"/>
      <w:marTop w:val="0"/>
      <w:marBottom w:val="0"/>
      <w:divBdr>
        <w:top w:val="none" w:sz="0" w:space="0" w:color="auto"/>
        <w:left w:val="none" w:sz="0" w:space="0" w:color="auto"/>
        <w:bottom w:val="none" w:sz="0" w:space="0" w:color="auto"/>
        <w:right w:val="none" w:sz="0" w:space="0" w:color="auto"/>
      </w:divBdr>
    </w:div>
    <w:div w:id="1120876251">
      <w:bodyDiv w:val="1"/>
      <w:marLeft w:val="0"/>
      <w:marRight w:val="0"/>
      <w:marTop w:val="0"/>
      <w:marBottom w:val="0"/>
      <w:divBdr>
        <w:top w:val="none" w:sz="0" w:space="0" w:color="auto"/>
        <w:left w:val="none" w:sz="0" w:space="0" w:color="auto"/>
        <w:bottom w:val="none" w:sz="0" w:space="0" w:color="auto"/>
        <w:right w:val="none" w:sz="0" w:space="0" w:color="auto"/>
      </w:divBdr>
    </w:div>
    <w:div w:id="1571190125">
      <w:bodyDiv w:val="1"/>
      <w:marLeft w:val="0"/>
      <w:marRight w:val="0"/>
      <w:marTop w:val="0"/>
      <w:marBottom w:val="0"/>
      <w:divBdr>
        <w:top w:val="none" w:sz="0" w:space="0" w:color="auto"/>
        <w:left w:val="none" w:sz="0" w:space="0" w:color="auto"/>
        <w:bottom w:val="none" w:sz="0" w:space="0" w:color="auto"/>
        <w:right w:val="none" w:sz="0" w:space="0" w:color="auto"/>
      </w:divBdr>
    </w:div>
    <w:div w:id="1927152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www.ingenieroambiental.com/4014/medicion.pdf" TargetMode="External"/><Relationship Id="rId2" Type="http://schemas.openxmlformats.org/officeDocument/2006/relationships/hyperlink" Target="https://www.publicsafety.gc.ca/cnt/mrgnc-mngmnt/mrgnc-prprdnss/npas/clf-lng-20-en.aspx" TargetMode="External"/><Relationship Id="rId1" Type="http://schemas.openxmlformats.org/officeDocument/2006/relationships/hyperlink" Target="https://www.ecfr.gov/current/title-47/chapter-I/subchapter-A/part-10"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9ED51BD983D0114196D69B9E3EBD4D55" ma:contentTypeVersion="0" ma:contentTypeDescription="Crear nuevo documento." ma:contentTypeScope="" ma:versionID="e9cea931f3266a458e3e58db88711702">
  <xsd:schema xmlns:xsd="http://www.w3.org/2001/XMLSchema" xmlns:xs="http://www.w3.org/2001/XMLSchema" xmlns:p="http://schemas.microsoft.com/office/2006/metadata/properties" targetNamespace="http://schemas.microsoft.com/office/2006/metadata/properties" ma:root="true" ma:fieldsID="7b4afbcb2487568e4ac3f4426186394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899931-EA8E-4AF4-90EE-D3A75361841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F0FF93F-5D10-4161-ADFD-B123D208C818}">
  <ds:schemaRefs>
    <ds:schemaRef ds:uri="http://schemas.microsoft.com/sharepoint/v3/contenttype/forms"/>
  </ds:schemaRefs>
</ds:datastoreItem>
</file>

<file path=customXml/itemProps3.xml><?xml version="1.0" encoding="utf-8"?>
<ds:datastoreItem xmlns:ds="http://schemas.openxmlformats.org/officeDocument/2006/customXml" ds:itemID="{2F88A9FF-C043-4A25-AF38-03C0C68AA9DE}">
  <ds:schemaRefs>
    <ds:schemaRef ds:uri="http://schemas.openxmlformats.org/officeDocument/2006/bibliography"/>
  </ds:schemaRefs>
</ds:datastoreItem>
</file>

<file path=customXml/itemProps4.xml><?xml version="1.0" encoding="utf-8"?>
<ds:datastoreItem xmlns:ds="http://schemas.openxmlformats.org/officeDocument/2006/customXml" ds:itemID="{A79B6D5F-2704-4111-8132-E326A2C822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1993</Words>
  <Characters>10963</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Vicente Alejandro Patiño Ascencio</dc:creator>
  <cp:lastModifiedBy>DDPTR</cp:lastModifiedBy>
  <cp:revision>3</cp:revision>
  <dcterms:created xsi:type="dcterms:W3CDTF">2023-08-29T18:24:00Z</dcterms:created>
  <dcterms:modified xsi:type="dcterms:W3CDTF">2023-08-29T22:11:00Z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0x0101009ED51BD983D0114196D69B9E3EBD4D55</vt:lpwstr>
  </property>
</Properties>
</file>