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946F" w14:textId="3F8C3534" w:rsidR="00AE7499" w:rsidRPr="00087DB0" w:rsidRDefault="00AE7499" w:rsidP="00430267">
      <w:pPr>
        <w:spacing w:after="0" w:line="276" w:lineRule="auto"/>
        <w:rPr>
          <w:rFonts w:ascii="ITC Avant Garde" w:eastAsia="Times New Roman" w:hAnsi="ITC Avant Garde"/>
          <w:b/>
          <w:i/>
          <w:sz w:val="24"/>
          <w:szCs w:val="24"/>
        </w:rPr>
      </w:pPr>
      <w:r w:rsidRPr="00087DB0">
        <w:rPr>
          <w:rFonts w:ascii="ITC Avant Garde" w:hAnsi="ITC Avant Garde"/>
          <w:b/>
          <w:sz w:val="24"/>
          <w:szCs w:val="24"/>
        </w:rPr>
        <w:t xml:space="preserve">RESPUESTAS GENERALES QUE BRINDA EL INSTITUTO FEDERAL DE TELECOMUNICACIONES A LAS MANIFESTACIONES, OPINIONES, COMENTARIOS Y PROPUESTAS CONCRETAS, PRESENTADAS DURANTE LA CONSULTA PÚBLICA </w:t>
      </w:r>
      <w:r w:rsidR="009319E6" w:rsidRPr="00087DB0">
        <w:rPr>
          <w:rFonts w:ascii="ITC Avant Garde" w:hAnsi="ITC Avant Garde"/>
          <w:b/>
          <w:sz w:val="24"/>
          <w:szCs w:val="24"/>
        </w:rPr>
        <w:t>SOBRE LAS</w:t>
      </w:r>
      <w:r w:rsidRPr="00087DB0">
        <w:rPr>
          <w:rFonts w:ascii="ITC Avant Garde" w:hAnsi="ITC Avant Garde"/>
          <w:b/>
          <w:sz w:val="24"/>
          <w:szCs w:val="24"/>
        </w:rPr>
        <w:t xml:space="preserve"> “</w:t>
      </w:r>
      <w:r w:rsidRPr="00087DB0">
        <w:rPr>
          <w:rFonts w:ascii="ITC Avant Garde" w:eastAsia="Times New Roman" w:hAnsi="ITC Avant Garde"/>
          <w:b/>
          <w:i/>
          <w:sz w:val="24"/>
          <w:szCs w:val="24"/>
        </w:rPr>
        <w:t>PROPUESTAS DE CONVENIO</w:t>
      </w:r>
      <w:r w:rsidR="006F127B" w:rsidRPr="00087DB0">
        <w:rPr>
          <w:rFonts w:ascii="ITC Avant Garde" w:eastAsia="Times New Roman" w:hAnsi="ITC Avant Garde"/>
          <w:b/>
          <w:i/>
          <w:sz w:val="24"/>
          <w:szCs w:val="24"/>
        </w:rPr>
        <w:t>S</w:t>
      </w:r>
      <w:r w:rsidRPr="00087DB0">
        <w:rPr>
          <w:rFonts w:ascii="ITC Avant Garde" w:eastAsia="Times New Roman" w:hAnsi="ITC Avant Garde"/>
          <w:b/>
          <w:i/>
          <w:sz w:val="24"/>
          <w:szCs w:val="24"/>
        </w:rPr>
        <w:t xml:space="preserve"> MARCO DE INTERCONEXIÓN PRESENTADO</w:t>
      </w:r>
      <w:r w:rsidR="006F127B" w:rsidRPr="00087DB0">
        <w:rPr>
          <w:rFonts w:ascii="ITC Avant Garde" w:eastAsia="Times New Roman" w:hAnsi="ITC Avant Garde"/>
          <w:b/>
          <w:i/>
          <w:sz w:val="24"/>
          <w:szCs w:val="24"/>
        </w:rPr>
        <w:t>S</w:t>
      </w:r>
      <w:r w:rsidRPr="00087DB0">
        <w:rPr>
          <w:rFonts w:ascii="ITC Avant Garde" w:eastAsia="Times New Roman" w:hAnsi="ITC Avant Garde"/>
          <w:b/>
          <w:i/>
          <w:sz w:val="24"/>
          <w:szCs w:val="24"/>
        </w:rPr>
        <w:t xml:space="preserve"> POR EL AGENTE ECONÓMICO PREPONDERANTE EN EL SECTOR DE LAS TELECOMUN</w:t>
      </w:r>
      <w:r w:rsidR="00433FB8" w:rsidRPr="00087DB0">
        <w:rPr>
          <w:rFonts w:ascii="ITC Avant Garde" w:eastAsia="Times New Roman" w:hAnsi="ITC Avant Garde"/>
          <w:b/>
          <w:i/>
          <w:sz w:val="24"/>
          <w:szCs w:val="24"/>
        </w:rPr>
        <w:t xml:space="preserve">ICACIONES APLICABLES AL AÑO </w:t>
      </w:r>
      <w:r w:rsidR="00B6478B" w:rsidRPr="007C3E3B">
        <w:rPr>
          <w:rFonts w:ascii="ITC Avant Garde" w:eastAsia="Times New Roman" w:hAnsi="ITC Avant Garde"/>
          <w:b/>
          <w:i/>
          <w:sz w:val="24"/>
          <w:szCs w:val="24"/>
        </w:rPr>
        <w:t>2024</w:t>
      </w:r>
      <w:r w:rsidRPr="00087DB0">
        <w:rPr>
          <w:rFonts w:ascii="ITC Avant Garde" w:eastAsia="Times New Roman" w:hAnsi="ITC Avant Garde"/>
          <w:b/>
          <w:i/>
          <w:sz w:val="24"/>
          <w:szCs w:val="24"/>
        </w:rPr>
        <w:t>”.</w:t>
      </w:r>
    </w:p>
    <w:p w14:paraId="0140C4CF" w14:textId="77777777" w:rsidR="00E53C1B" w:rsidRPr="00087DB0" w:rsidRDefault="00E53C1B" w:rsidP="00430267">
      <w:pPr>
        <w:spacing w:after="0" w:line="276" w:lineRule="auto"/>
        <w:rPr>
          <w:rFonts w:ascii="ITC Avant Garde" w:eastAsia="Times New Roman" w:hAnsi="ITC Avant Garde"/>
          <w:b/>
          <w:i/>
          <w:sz w:val="24"/>
          <w:szCs w:val="24"/>
        </w:rPr>
      </w:pPr>
    </w:p>
    <w:p w14:paraId="35DE78F8" w14:textId="10233F55" w:rsidR="00C41FE0" w:rsidRPr="00087DB0" w:rsidRDefault="00C41FE0" w:rsidP="00430267">
      <w:pPr>
        <w:spacing w:after="0" w:line="276" w:lineRule="auto"/>
        <w:ind w:left="-6" w:hanging="11"/>
        <w:rPr>
          <w:rFonts w:ascii="ITC Avant Garde" w:hAnsi="ITC Avant Garde" w:cs="ITC Avant Garde"/>
          <w:b/>
          <w:color w:val="000000"/>
        </w:rPr>
      </w:pPr>
      <w:r w:rsidRPr="00087DB0">
        <w:rPr>
          <w:rFonts w:ascii="ITC Avant Garde" w:hAnsi="ITC Avant Garde" w:cs="ITC Avant Garde"/>
          <w:b/>
          <w:color w:val="000000"/>
        </w:rPr>
        <w:t xml:space="preserve">Fecha de Elaboración del Informe de Consideraciones sobre los comentarios, opiniones y </w:t>
      </w:r>
      <w:r w:rsidR="00E92CFC" w:rsidRPr="00087DB0">
        <w:rPr>
          <w:rFonts w:ascii="ITC Avant Garde" w:hAnsi="ITC Avant Garde" w:cs="ITC Avant Garde"/>
          <w:b/>
          <w:color w:val="000000"/>
        </w:rPr>
        <w:t xml:space="preserve">aportaciones recibidos en relación </w:t>
      </w:r>
      <w:r w:rsidR="00EE2A86" w:rsidRPr="00087DB0">
        <w:rPr>
          <w:rFonts w:ascii="ITC Avant Garde" w:hAnsi="ITC Avant Garde" w:cs="ITC Avant Garde"/>
          <w:b/>
          <w:color w:val="000000"/>
        </w:rPr>
        <w:t xml:space="preserve">con </w:t>
      </w:r>
      <w:r w:rsidR="00E92CFC" w:rsidRPr="00087DB0">
        <w:rPr>
          <w:rFonts w:ascii="ITC Avant Garde" w:hAnsi="ITC Avant Garde" w:cs="ITC Avant Garde"/>
          <w:b/>
          <w:color w:val="000000"/>
        </w:rPr>
        <w:t xml:space="preserve">la presente Consulta Pública: </w:t>
      </w:r>
      <w:r w:rsidR="00E43C89">
        <w:rPr>
          <w:rFonts w:ascii="ITC Avant Garde" w:hAnsi="ITC Avant Garde" w:cs="ITC Avant Garde"/>
          <w:b/>
          <w:color w:val="000000"/>
        </w:rPr>
        <w:t>1</w:t>
      </w:r>
      <w:r w:rsidR="00E43C89" w:rsidRPr="00087DB0">
        <w:rPr>
          <w:rFonts w:ascii="ITC Avant Garde" w:hAnsi="ITC Avant Garde" w:cs="ITC Avant Garde"/>
          <w:b/>
          <w:color w:val="000000"/>
        </w:rPr>
        <w:t xml:space="preserve"> </w:t>
      </w:r>
      <w:r w:rsidR="005477FD" w:rsidRPr="00087DB0">
        <w:rPr>
          <w:rFonts w:ascii="ITC Avant Garde" w:hAnsi="ITC Avant Garde" w:cs="ITC Avant Garde"/>
          <w:b/>
          <w:color w:val="000000"/>
        </w:rPr>
        <w:t xml:space="preserve">de </w:t>
      </w:r>
      <w:r w:rsidR="00E43C89">
        <w:rPr>
          <w:rFonts w:ascii="ITC Avant Garde" w:hAnsi="ITC Avant Garde" w:cs="ITC Avant Garde"/>
          <w:b/>
          <w:color w:val="000000"/>
        </w:rPr>
        <w:t>marzo</w:t>
      </w:r>
      <w:r w:rsidR="00E43C89" w:rsidRPr="00087DB0">
        <w:rPr>
          <w:rFonts w:ascii="ITC Avant Garde" w:hAnsi="ITC Avant Garde" w:cs="ITC Avant Garde"/>
          <w:b/>
          <w:color w:val="000000"/>
        </w:rPr>
        <w:t xml:space="preserve"> </w:t>
      </w:r>
      <w:r w:rsidR="005477FD" w:rsidRPr="00087DB0">
        <w:rPr>
          <w:rFonts w:ascii="ITC Avant Garde" w:hAnsi="ITC Avant Garde" w:cs="ITC Avant Garde"/>
          <w:b/>
          <w:color w:val="000000"/>
        </w:rPr>
        <w:t xml:space="preserve">de </w:t>
      </w:r>
      <w:r w:rsidR="00E43C89" w:rsidRPr="00087DB0">
        <w:rPr>
          <w:rFonts w:ascii="ITC Avant Garde" w:hAnsi="ITC Avant Garde" w:cs="ITC Avant Garde"/>
          <w:b/>
          <w:color w:val="000000"/>
        </w:rPr>
        <w:t>20</w:t>
      </w:r>
      <w:r w:rsidR="00E43C89">
        <w:rPr>
          <w:rFonts w:ascii="ITC Avant Garde" w:hAnsi="ITC Avant Garde" w:cs="ITC Avant Garde"/>
          <w:b/>
          <w:color w:val="000000"/>
        </w:rPr>
        <w:t>24</w:t>
      </w:r>
      <w:r w:rsidR="00E92CFC" w:rsidRPr="00087DB0">
        <w:rPr>
          <w:rFonts w:ascii="ITC Avant Garde" w:hAnsi="ITC Avant Garde" w:cs="ITC Avant Garde"/>
          <w:b/>
          <w:color w:val="000000"/>
        </w:rPr>
        <w:t>.</w:t>
      </w:r>
    </w:p>
    <w:p w14:paraId="0003393B" w14:textId="77777777" w:rsidR="00E53C1B" w:rsidRPr="00087DB0" w:rsidRDefault="00E53C1B" w:rsidP="00430267">
      <w:pPr>
        <w:spacing w:after="0" w:line="276" w:lineRule="auto"/>
        <w:ind w:left="-6" w:hanging="11"/>
        <w:rPr>
          <w:rFonts w:ascii="ITC Avant Garde" w:hAnsi="ITC Avant Garde" w:cs="ITC Avant Garde"/>
          <w:color w:val="000000"/>
        </w:rPr>
      </w:pPr>
    </w:p>
    <w:p w14:paraId="0BF0C212" w14:textId="32D3859B" w:rsidR="0093058C" w:rsidRPr="00087DB0" w:rsidRDefault="0093058C" w:rsidP="00430267">
      <w:pPr>
        <w:spacing w:after="0" w:line="276" w:lineRule="auto"/>
        <w:ind w:left="-6" w:hanging="11"/>
        <w:rPr>
          <w:rFonts w:ascii="ITC Avant Garde" w:hAnsi="ITC Avant Garde" w:cs="ITC Avant Garde"/>
          <w:b/>
          <w:color w:val="000000"/>
        </w:rPr>
      </w:pPr>
      <w:r w:rsidRPr="00087DB0">
        <w:rPr>
          <w:rFonts w:ascii="ITC Avant Garde" w:hAnsi="ITC Avant Garde" w:cs="ITC Avant Garde"/>
          <w:b/>
          <w:color w:val="000000"/>
        </w:rPr>
        <w:t>Descripción de la Consulta Pública:</w:t>
      </w:r>
    </w:p>
    <w:p w14:paraId="07193D11" w14:textId="59B23411" w:rsidR="00AE7499" w:rsidRPr="00087DB0" w:rsidRDefault="007A5D7A" w:rsidP="00430267">
      <w:pPr>
        <w:spacing w:after="0" w:line="276" w:lineRule="auto"/>
        <w:ind w:left="-6" w:hanging="11"/>
        <w:rPr>
          <w:rFonts w:ascii="ITC Avant Garde" w:hAnsi="ITC Avant Garde" w:cs="ITC Avant Garde"/>
          <w:color w:val="000000"/>
        </w:rPr>
      </w:pPr>
      <w:r w:rsidRPr="00087DB0">
        <w:rPr>
          <w:rFonts w:ascii="ITC Avant Garde" w:hAnsi="ITC Avant Garde" w:cs="ITC Avant Garde"/>
          <w:color w:val="000000"/>
        </w:rPr>
        <w:t xml:space="preserve">El Instituto recibió los comentarios, opiniones y aportaciones que se tuvieron con relación al contenido de la </w:t>
      </w:r>
      <w:r w:rsidRPr="00087DB0">
        <w:rPr>
          <w:rFonts w:ascii="ITC Avant Garde" w:hAnsi="ITC Avant Garde" w:cs="ITC Avant Garde"/>
          <w:i/>
          <w:color w:val="000000"/>
        </w:rPr>
        <w:t>“</w:t>
      </w:r>
      <w:r w:rsidR="00AE7499" w:rsidRPr="00087DB0">
        <w:rPr>
          <w:rFonts w:ascii="ITC Avant Garde" w:hAnsi="ITC Avant Garde" w:cs="ITC Avant Garde"/>
          <w:b/>
          <w:bCs/>
          <w:i/>
          <w:color w:val="000000"/>
        </w:rPr>
        <w:t>Propuesta de Convenio Marco de Interconexión presentado por el Agente Económico Preponderante en el Sector de las Telecomun</w:t>
      </w:r>
      <w:r w:rsidR="001A7275" w:rsidRPr="00087DB0">
        <w:rPr>
          <w:rFonts w:ascii="ITC Avant Garde" w:hAnsi="ITC Avant Garde" w:cs="ITC Avant Garde"/>
          <w:b/>
          <w:bCs/>
          <w:i/>
          <w:color w:val="000000"/>
        </w:rPr>
        <w:t xml:space="preserve">icaciones </w:t>
      </w:r>
      <w:r w:rsidR="003E745D" w:rsidRPr="00087DB0">
        <w:rPr>
          <w:rFonts w:ascii="ITC Avant Garde" w:hAnsi="ITC Avant Garde" w:cs="ITC Avant Garde"/>
          <w:b/>
          <w:bCs/>
          <w:i/>
          <w:color w:val="000000"/>
        </w:rPr>
        <w:t>a</w:t>
      </w:r>
      <w:r w:rsidR="001A7275" w:rsidRPr="00087DB0">
        <w:rPr>
          <w:rFonts w:ascii="ITC Avant Garde" w:hAnsi="ITC Avant Garde" w:cs="ITC Avant Garde"/>
          <w:b/>
          <w:bCs/>
          <w:i/>
          <w:color w:val="000000"/>
        </w:rPr>
        <w:t xml:space="preserve">plicables al </w:t>
      </w:r>
      <w:r w:rsidR="003E745D" w:rsidRPr="00087DB0">
        <w:rPr>
          <w:rFonts w:ascii="ITC Avant Garde" w:hAnsi="ITC Avant Garde" w:cs="ITC Avant Garde"/>
          <w:b/>
          <w:bCs/>
          <w:i/>
          <w:color w:val="000000"/>
        </w:rPr>
        <w:t>a</w:t>
      </w:r>
      <w:r w:rsidR="001A7275" w:rsidRPr="00087DB0">
        <w:rPr>
          <w:rFonts w:ascii="ITC Avant Garde" w:hAnsi="ITC Avant Garde" w:cs="ITC Avant Garde"/>
          <w:b/>
          <w:bCs/>
          <w:i/>
          <w:color w:val="000000"/>
        </w:rPr>
        <w:t xml:space="preserve">ño </w:t>
      </w:r>
      <w:r w:rsidR="005477FD" w:rsidRPr="00087DB0">
        <w:rPr>
          <w:rFonts w:ascii="ITC Avant Garde" w:hAnsi="ITC Avant Garde" w:cs="ITC Avant Garde"/>
          <w:b/>
          <w:bCs/>
          <w:i/>
          <w:color w:val="000000"/>
        </w:rPr>
        <w:t>2024</w:t>
      </w:r>
      <w:r w:rsidRPr="00087DB0">
        <w:rPr>
          <w:rFonts w:ascii="ITC Avant Garde" w:hAnsi="ITC Avant Garde" w:cs="ITC Avant Garde"/>
          <w:b/>
          <w:bCs/>
          <w:i/>
          <w:color w:val="000000"/>
        </w:rPr>
        <w:t>”</w:t>
      </w:r>
      <w:r w:rsidR="00AE7499" w:rsidRPr="00087DB0">
        <w:rPr>
          <w:rFonts w:ascii="ITC Avant Garde" w:hAnsi="ITC Avant Garde" w:cs="ITC Avant Garde"/>
          <w:b/>
          <w:bCs/>
          <w:color w:val="000000"/>
        </w:rPr>
        <w:t xml:space="preserve"> </w:t>
      </w:r>
      <w:r w:rsidR="00AF3E32" w:rsidRPr="00087DB0">
        <w:rPr>
          <w:rFonts w:ascii="ITC Avant Garde" w:hAnsi="ITC Avant Garde" w:cs="ITC Avant Garde"/>
          <w:bCs/>
          <w:color w:val="000000"/>
        </w:rPr>
        <w:t>(en lo sucesivo,</w:t>
      </w:r>
      <w:r w:rsidR="00AE7499" w:rsidRPr="00087DB0">
        <w:rPr>
          <w:rFonts w:ascii="ITC Avant Garde" w:hAnsi="ITC Avant Garde" w:cs="ITC Avant Garde"/>
          <w:bCs/>
          <w:color w:val="000000"/>
        </w:rPr>
        <w:t xml:space="preserve"> </w:t>
      </w:r>
      <w:r w:rsidR="00A93783" w:rsidRPr="00087DB0">
        <w:rPr>
          <w:rFonts w:ascii="ITC Avant Garde" w:hAnsi="ITC Avant Garde" w:cs="ITC Avant Garde"/>
          <w:bCs/>
          <w:color w:val="000000"/>
        </w:rPr>
        <w:t>la</w:t>
      </w:r>
      <w:r w:rsidR="00F633CD" w:rsidRPr="00087DB0">
        <w:rPr>
          <w:rFonts w:ascii="ITC Avant Garde" w:hAnsi="ITC Avant Garde" w:cs="ITC Avant Garde"/>
          <w:bCs/>
          <w:color w:val="000000"/>
        </w:rPr>
        <w:t xml:space="preserve"> “</w:t>
      </w:r>
      <w:r w:rsidR="00A93783" w:rsidRPr="00087DB0">
        <w:rPr>
          <w:rFonts w:ascii="ITC Avant Garde" w:eastAsia="Avant Garde" w:hAnsi="ITC Avant Garde" w:cs="Avant Garde"/>
          <w:color w:val="000000"/>
          <w:lang w:eastAsia="es-MX"/>
        </w:rPr>
        <w:t>Propuesta de CMI</w:t>
      </w:r>
      <w:r w:rsidR="00AE7499" w:rsidRPr="00087DB0">
        <w:rPr>
          <w:rFonts w:ascii="ITC Avant Garde" w:hAnsi="ITC Avant Garde" w:cs="ITC Avant Garde"/>
          <w:bCs/>
          <w:color w:val="000000"/>
        </w:rPr>
        <w:t xml:space="preserve">”) </w:t>
      </w:r>
      <w:r w:rsidR="00AE7499" w:rsidRPr="00087DB0">
        <w:rPr>
          <w:rFonts w:ascii="ITC Avant Garde" w:hAnsi="ITC Avant Garde" w:cs="ITC Avant Garde"/>
          <w:color w:val="000000"/>
        </w:rPr>
        <w:t xml:space="preserve">presentada por </w:t>
      </w:r>
      <w:r w:rsidR="007A4E05" w:rsidRPr="00087DB0">
        <w:rPr>
          <w:rFonts w:ascii="ITC Avant Garde" w:hAnsi="ITC Avant Garde" w:cs="ITC Avant Garde"/>
          <w:color w:val="000000"/>
        </w:rPr>
        <w:t>Teléfonos de México</w:t>
      </w:r>
      <w:r w:rsidR="00AE7499" w:rsidRPr="00087DB0">
        <w:rPr>
          <w:rFonts w:ascii="ITC Avant Garde" w:hAnsi="ITC Avant Garde" w:cs="ITC Avant Garde"/>
          <w:color w:val="000000"/>
        </w:rPr>
        <w:t>, S.A.</w:t>
      </w:r>
      <w:r w:rsidR="007A4E05" w:rsidRPr="00087DB0">
        <w:rPr>
          <w:rFonts w:ascii="ITC Avant Garde" w:hAnsi="ITC Avant Garde" w:cs="ITC Avant Garde"/>
          <w:color w:val="000000"/>
        </w:rPr>
        <w:t>B.</w:t>
      </w:r>
      <w:r w:rsidR="00AE7499" w:rsidRPr="00087DB0">
        <w:rPr>
          <w:rFonts w:ascii="ITC Avant Garde" w:hAnsi="ITC Avant Garde" w:cs="ITC Avant Garde"/>
          <w:color w:val="000000"/>
        </w:rPr>
        <w:t xml:space="preserve"> de C.V.</w:t>
      </w:r>
      <w:r w:rsidR="007A4E05" w:rsidRPr="00087DB0">
        <w:rPr>
          <w:rFonts w:ascii="ITC Avant Garde" w:hAnsi="ITC Avant Garde" w:cs="ITC Avant Garde"/>
          <w:color w:val="000000"/>
        </w:rPr>
        <w:t xml:space="preserve"> y Teléfonos del Noroeste, S.A. de C.V.</w:t>
      </w:r>
      <w:r w:rsidR="00AE7499" w:rsidRPr="00087DB0">
        <w:rPr>
          <w:rFonts w:ascii="ITC Avant Garde" w:hAnsi="ITC Avant Garde" w:cs="ITC Avant Garde"/>
          <w:color w:val="000000"/>
        </w:rPr>
        <w:t xml:space="preserve"> (en </w:t>
      </w:r>
      <w:r w:rsidR="007A4E05" w:rsidRPr="00087DB0">
        <w:rPr>
          <w:rFonts w:ascii="ITC Avant Garde" w:hAnsi="ITC Avant Garde" w:cs="ITC Avant Garde"/>
          <w:color w:val="000000"/>
        </w:rPr>
        <w:t>lo sucesivo</w:t>
      </w:r>
      <w:r w:rsidR="00AE7499" w:rsidRPr="00087DB0">
        <w:rPr>
          <w:rFonts w:ascii="ITC Avant Garde" w:hAnsi="ITC Avant Garde" w:cs="ITC Avant Garde"/>
          <w:color w:val="000000"/>
        </w:rPr>
        <w:t>,</w:t>
      </w:r>
      <w:r w:rsidR="007A4E05" w:rsidRPr="00087DB0">
        <w:rPr>
          <w:rFonts w:ascii="ITC Avant Garde" w:hAnsi="ITC Avant Garde" w:cs="ITC Avant Garde"/>
          <w:color w:val="000000"/>
        </w:rPr>
        <w:t xml:space="preserve"> conjuntamente</w:t>
      </w:r>
      <w:r w:rsidR="00AE7499" w:rsidRPr="00087DB0">
        <w:rPr>
          <w:rFonts w:ascii="ITC Avant Garde" w:hAnsi="ITC Avant Garde" w:cs="ITC Avant Garde"/>
          <w:color w:val="000000"/>
        </w:rPr>
        <w:t xml:space="preserve"> “Tel</w:t>
      </w:r>
      <w:r w:rsidR="007A4E05" w:rsidRPr="00087DB0">
        <w:rPr>
          <w:rFonts w:ascii="ITC Avant Garde" w:hAnsi="ITC Avant Garde" w:cs="ITC Avant Garde"/>
          <w:color w:val="000000"/>
        </w:rPr>
        <w:t>mex/Telnor</w:t>
      </w:r>
      <w:r w:rsidR="00AE7499" w:rsidRPr="00087DB0">
        <w:rPr>
          <w:rFonts w:ascii="ITC Avant Garde" w:hAnsi="ITC Avant Garde" w:cs="ITC Avant Garde"/>
          <w:color w:val="000000"/>
        </w:rPr>
        <w:t xml:space="preserve">”) materia de la consulta pública de mérito, recibidas durante el periodo </w:t>
      </w:r>
      <w:r w:rsidR="00E514A3" w:rsidRPr="00087DB0">
        <w:rPr>
          <w:rFonts w:ascii="ITC Avant Garde" w:hAnsi="ITC Avant Garde" w:cs="ITC Avant Garde"/>
          <w:color w:val="000000"/>
        </w:rPr>
        <w:t xml:space="preserve">comprendido del </w:t>
      </w:r>
      <w:r w:rsidR="005477FD" w:rsidRPr="00087DB0">
        <w:rPr>
          <w:rFonts w:ascii="ITC Avant Garde" w:hAnsi="ITC Avant Garde" w:cs="ITC Avant Garde"/>
          <w:color w:val="000000"/>
        </w:rPr>
        <w:t>9 de mayo al 7 de junio de 2023</w:t>
      </w:r>
      <w:r w:rsidR="00124FE9" w:rsidRPr="00087DB0">
        <w:rPr>
          <w:rFonts w:ascii="ITC Avant Garde" w:hAnsi="ITC Avant Garde" w:cs="ITC Avant Garde"/>
          <w:color w:val="000000"/>
        </w:rPr>
        <w:t xml:space="preserve"> </w:t>
      </w:r>
      <w:r w:rsidR="0093058C" w:rsidRPr="00087DB0">
        <w:rPr>
          <w:rFonts w:ascii="ITC Avant Garde" w:hAnsi="ITC Avant Garde" w:cs="ITC Avant Garde"/>
          <w:color w:val="000000"/>
        </w:rPr>
        <w:t>a través de la</w:t>
      </w:r>
      <w:r w:rsidR="00124FE9" w:rsidRPr="00087DB0">
        <w:rPr>
          <w:rFonts w:ascii="ITC Avant Garde" w:hAnsi="ITC Avant Garde" w:cs="ITC Avant Garde"/>
          <w:color w:val="000000"/>
        </w:rPr>
        <w:t xml:space="preserve"> dirección de correo electrónico </w:t>
      </w:r>
      <w:hyperlink r:id="rId8" w:tgtFrame="_blank" w:tooltip="Envío de correo" w:history="1">
        <w:r w:rsidR="00124FE9" w:rsidRPr="00087DB0">
          <w:rPr>
            <w:rFonts w:ascii="ITC Avant Garde" w:hAnsi="ITC Avant Garde" w:cs="ITC Avant Garde"/>
            <w:color w:val="000000"/>
          </w:rPr>
          <w:t>cmi@ift.org.mx</w:t>
        </w:r>
      </w:hyperlink>
      <w:r w:rsidR="00A8247B" w:rsidRPr="00087DB0">
        <w:rPr>
          <w:rFonts w:ascii="ITC Avant Garde" w:hAnsi="ITC Avant Garde" w:cs="ITC Avant Garde"/>
          <w:color w:val="000000"/>
        </w:rPr>
        <w:t xml:space="preserve"> </w:t>
      </w:r>
      <w:r w:rsidR="00124FE9" w:rsidRPr="00087DB0">
        <w:rPr>
          <w:rFonts w:ascii="ITC Avant Garde" w:hAnsi="ITC Avant Garde" w:cs="ITC Avant Garde"/>
          <w:color w:val="000000"/>
        </w:rPr>
        <w:t>o bien, mediante escrito presentado en la Oficialía de Partes Común del Instituto ubicada en Insurgentes Sur 1143</w:t>
      </w:r>
      <w:r w:rsidR="005506E0" w:rsidRPr="00087DB0">
        <w:rPr>
          <w:rFonts w:ascii="ITC Avant Garde" w:hAnsi="ITC Avant Garde" w:cs="ITC Avant Garde"/>
          <w:color w:val="000000"/>
        </w:rPr>
        <w:t>, colonia Nochebuena, Demarcación</w:t>
      </w:r>
      <w:r w:rsidR="00124FE9" w:rsidRPr="00087DB0">
        <w:rPr>
          <w:rFonts w:ascii="ITC Avant Garde" w:hAnsi="ITC Avant Garde" w:cs="ITC Avant Garde"/>
          <w:color w:val="000000"/>
        </w:rPr>
        <w:t xml:space="preserve"> Benito Juárez, C.P. 03720, Ciudad de Méxic</w:t>
      </w:r>
      <w:r w:rsidR="00E53C1B" w:rsidRPr="00087DB0">
        <w:rPr>
          <w:rFonts w:ascii="ITC Avant Garde" w:hAnsi="ITC Avant Garde" w:cs="ITC Avant Garde"/>
          <w:color w:val="000000"/>
        </w:rPr>
        <w:t>o.</w:t>
      </w:r>
    </w:p>
    <w:p w14:paraId="7FD1AAA6" w14:textId="77777777" w:rsidR="00E53C1B" w:rsidRPr="00087DB0" w:rsidRDefault="00E53C1B" w:rsidP="00430267">
      <w:pPr>
        <w:spacing w:after="0" w:line="276" w:lineRule="auto"/>
        <w:ind w:left="-6" w:hanging="11"/>
        <w:rPr>
          <w:rFonts w:ascii="ITC Avant Garde" w:hAnsi="ITC Avant Garde" w:cs="ITC Avant Garde"/>
          <w:color w:val="000000"/>
        </w:rPr>
      </w:pPr>
    </w:p>
    <w:p w14:paraId="573BAA7E" w14:textId="45485BF3" w:rsidR="003B63F4" w:rsidRPr="00087DB0" w:rsidRDefault="003B63F4" w:rsidP="00430267">
      <w:pPr>
        <w:spacing w:after="0" w:line="276" w:lineRule="auto"/>
        <w:ind w:left="-5" w:hanging="10"/>
        <w:rPr>
          <w:rFonts w:ascii="ITC Avant Garde" w:hAnsi="ITC Avant Garde" w:cs="ITC Avant Garde"/>
          <w:b/>
          <w:color w:val="000000"/>
        </w:rPr>
      </w:pPr>
      <w:r w:rsidRPr="00087DB0">
        <w:rPr>
          <w:rFonts w:ascii="ITC Avant Garde" w:hAnsi="ITC Avant Garde" w:cs="ITC Avant Garde"/>
          <w:b/>
          <w:color w:val="000000"/>
        </w:rPr>
        <w:t>Objetivo</w:t>
      </w:r>
      <w:r w:rsidR="0027548E" w:rsidRPr="00087DB0">
        <w:rPr>
          <w:rFonts w:ascii="ITC Avant Garde" w:hAnsi="ITC Avant Garde" w:cs="ITC Avant Garde"/>
          <w:b/>
          <w:color w:val="000000"/>
        </w:rPr>
        <w:t xml:space="preserve"> de la Consulta Pública</w:t>
      </w:r>
      <w:r w:rsidRPr="00087DB0">
        <w:rPr>
          <w:rFonts w:ascii="ITC Avant Garde" w:hAnsi="ITC Avant Garde" w:cs="ITC Avant Garde"/>
          <w:b/>
          <w:color w:val="000000"/>
        </w:rPr>
        <w:t>:</w:t>
      </w:r>
    </w:p>
    <w:p w14:paraId="03FC633B" w14:textId="77777777" w:rsidR="003E745D" w:rsidRPr="00087DB0" w:rsidRDefault="003E745D" w:rsidP="00430267">
      <w:pPr>
        <w:spacing w:after="0" w:line="276" w:lineRule="auto"/>
        <w:ind w:left="-5" w:hanging="10"/>
        <w:rPr>
          <w:rFonts w:ascii="ITC Avant Garde" w:hAnsi="ITC Avant Garde" w:cs="ITC Avant Garde"/>
          <w:b/>
          <w:color w:val="000000"/>
        </w:rPr>
      </w:pPr>
    </w:p>
    <w:p w14:paraId="12B057A9" w14:textId="5B24C703" w:rsidR="003B63F4" w:rsidRPr="00087DB0" w:rsidRDefault="003B63F4" w:rsidP="00430267">
      <w:pPr>
        <w:spacing w:after="0" w:line="276" w:lineRule="auto"/>
        <w:ind w:left="-6" w:hanging="11"/>
        <w:rPr>
          <w:rFonts w:ascii="ITC Avant Garde" w:hAnsi="ITC Avant Garde" w:cs="ITC Avant Garde"/>
          <w:color w:val="000000"/>
        </w:rPr>
      </w:pPr>
      <w:r w:rsidRPr="00087DB0">
        <w:rPr>
          <w:rFonts w:ascii="ITC Avant Garde" w:hAnsi="ITC Avant Garde" w:cs="ITC Avant Garde"/>
          <w:color w:val="000000"/>
        </w:rPr>
        <w:t xml:space="preserve">El Instituto convencido de la importancia y relevancia de transparentar su proceso de elaboración de nuevas regulaciones, recibió los comentarios, opiniones y aportaciones de cualquier interesado a propósito de la </w:t>
      </w:r>
      <w:r w:rsidR="006F7ACA" w:rsidRPr="00087DB0">
        <w:rPr>
          <w:rFonts w:ascii="ITC Avant Garde" w:hAnsi="ITC Avant Garde" w:cs="ITC Avant Garde"/>
          <w:bCs/>
          <w:color w:val="000000"/>
        </w:rPr>
        <w:t>Propuesta de CMI</w:t>
      </w:r>
      <w:r w:rsidRPr="00087DB0">
        <w:rPr>
          <w:rFonts w:ascii="ITC Avant Garde" w:hAnsi="ITC Avant Garde" w:cs="ITC Avant Garde"/>
          <w:bCs/>
        </w:rPr>
        <w:t>.</w:t>
      </w:r>
      <w:r w:rsidR="00024950" w:rsidRPr="00087DB0">
        <w:rPr>
          <w:rFonts w:ascii="ITC Avant Garde" w:hAnsi="ITC Avant Garde" w:cs="ITC Avant Garde"/>
          <w:b/>
          <w:bCs/>
        </w:rPr>
        <w:t xml:space="preserve"> </w:t>
      </w:r>
      <w:r w:rsidR="009F297B" w:rsidRPr="00087DB0">
        <w:rPr>
          <w:rFonts w:ascii="ITC Avant Garde" w:hAnsi="ITC Avant Garde" w:cs="ITC Avant Garde"/>
          <w:color w:val="000000"/>
        </w:rPr>
        <w:t xml:space="preserve">Dicha propuesta se </w:t>
      </w:r>
      <w:r w:rsidR="00E43C89" w:rsidRPr="00087DB0">
        <w:rPr>
          <w:rFonts w:ascii="ITC Avant Garde" w:hAnsi="ITC Avant Garde" w:cs="ITC Avant Garde"/>
          <w:color w:val="000000"/>
        </w:rPr>
        <w:t>someti</w:t>
      </w:r>
      <w:r w:rsidR="00E43C89">
        <w:rPr>
          <w:rFonts w:ascii="ITC Avant Garde" w:hAnsi="ITC Avant Garde" w:cs="ITC Avant Garde"/>
          <w:color w:val="000000"/>
        </w:rPr>
        <w:t>ó</w:t>
      </w:r>
      <w:r w:rsidR="00E43C89" w:rsidRPr="00087DB0">
        <w:rPr>
          <w:rFonts w:ascii="ITC Avant Garde" w:hAnsi="ITC Avant Garde" w:cs="ITC Avant Garde"/>
          <w:color w:val="000000"/>
        </w:rPr>
        <w:t xml:space="preserve"> </w:t>
      </w:r>
      <w:r w:rsidRPr="00087DB0">
        <w:rPr>
          <w:rFonts w:ascii="ITC Avant Garde" w:hAnsi="ITC Avant Garde" w:cs="ITC Avant Garde"/>
          <w:color w:val="000000"/>
        </w:rPr>
        <w:t>a consulta pública con base en lo establecido en</w:t>
      </w:r>
      <w:r w:rsidR="001A4EA4" w:rsidRPr="00087DB0">
        <w:rPr>
          <w:rFonts w:ascii="ITC Avant Garde" w:hAnsi="ITC Avant Garde" w:cs="ITC Avant Garde"/>
          <w:color w:val="000000"/>
        </w:rPr>
        <w:t xml:space="preserve"> los artículos 1, 2, 7, 15, fracciones XL y LXIII, 51, </w:t>
      </w:r>
      <w:r w:rsidR="003E745D" w:rsidRPr="00087DB0">
        <w:rPr>
          <w:rFonts w:ascii="ITC Avant Garde" w:hAnsi="ITC Avant Garde" w:cs="ITC Avant Garde"/>
          <w:color w:val="000000"/>
        </w:rPr>
        <w:t xml:space="preserve">138, fracción II, </w:t>
      </w:r>
      <w:r w:rsidR="001A4EA4" w:rsidRPr="00087DB0">
        <w:rPr>
          <w:rFonts w:ascii="ITC Avant Garde" w:hAnsi="ITC Avant Garde" w:cs="ITC Avant Garde"/>
          <w:color w:val="000000"/>
        </w:rPr>
        <w:t xml:space="preserve">267, fracción I y 268 de la Ley Federal de Telecomunicaciones y Radiodifusión (en lo sucesivo, la “LFTR”); así como 1, 4, fracción I, 6, fracción XXXVIII y 25, fracción XI del Estatuto Orgánico del Instituto Federal de Telecomunicaciones </w:t>
      </w:r>
      <w:r w:rsidRPr="00087DB0">
        <w:rPr>
          <w:rFonts w:ascii="ITC Avant Garde" w:hAnsi="ITC Avant Garde" w:cs="ITC Avant Garde"/>
          <w:color w:val="000000"/>
        </w:rPr>
        <w:t xml:space="preserve">y de conformidad con la </w:t>
      </w:r>
      <w:r w:rsidRPr="00087DB0">
        <w:rPr>
          <w:rFonts w:ascii="ITC Avant Garde" w:hAnsi="ITC Avant Garde" w:cs="ITC Avant Garde"/>
          <w:i/>
          <w:color w:val="000000"/>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w:t>
      </w:r>
      <w:r w:rsidRPr="00087DB0">
        <w:rPr>
          <w:rFonts w:ascii="ITC Avant Garde" w:hAnsi="ITC Avant Garde" w:cs="ITC Avant Garde"/>
          <w:i/>
          <w:color w:val="000000"/>
        </w:rPr>
        <w:lastRenderedPageBreak/>
        <w:t>telecomunicaciones y le impone las medidas necesarias para evitar que se afecte la competencia y la libre concurrencia”</w:t>
      </w:r>
      <w:r w:rsidRPr="00087DB0">
        <w:rPr>
          <w:rFonts w:ascii="ITC Avant Garde" w:hAnsi="ITC Avant Garde" w:cs="ITC Avant Garde"/>
          <w:color w:val="000000"/>
        </w:rPr>
        <w:t xml:space="preserve">, aprobada mediante acuerdo P/IFT/EXT/060314/76; así como por lo establecido en </w:t>
      </w:r>
      <w:r w:rsidR="00EE2A86" w:rsidRPr="00087DB0">
        <w:rPr>
          <w:rFonts w:ascii="ITC Avant Garde" w:hAnsi="ITC Avant Garde" w:cs="ITC Avant Garde"/>
          <w:color w:val="000000"/>
        </w:rPr>
        <w:t>la “</w:t>
      </w:r>
      <w:r w:rsidR="00EE2A86" w:rsidRPr="00087DB0">
        <w:rPr>
          <w:rFonts w:ascii="ITC Avant Garde" w:hAnsi="ITC Avant Garde" w:cs="ITC Avant Garde"/>
          <w:i/>
          <w:iCs/>
          <w:color w:val="000000"/>
        </w:rPr>
        <w:t>Resolución mediante la cual el Pleno del instituto Federal de Telecomunicaciones suprime, modifica y adiciona las medidas impuestas al agente económico preponderante en telecomunicaciones mediante Acuerdos P/IFT/EXT/060314 y P/IFT/EXT/270217/119</w:t>
      </w:r>
      <w:r w:rsidR="00EE2A86" w:rsidRPr="00087DB0">
        <w:rPr>
          <w:rFonts w:ascii="ITC Avant Garde" w:hAnsi="ITC Avant Garde" w:cs="ITC Avant Garde"/>
          <w:color w:val="000000"/>
        </w:rPr>
        <w:t>”, aprobada mediante acuerdo P/IFT/</w:t>
      </w:r>
      <w:r w:rsidR="00141141" w:rsidRPr="00087DB0">
        <w:rPr>
          <w:rFonts w:ascii="ITC Avant Garde" w:hAnsi="ITC Avant Garde" w:cs="ITC Avant Garde"/>
          <w:color w:val="000000"/>
        </w:rPr>
        <w:t>021220/488</w:t>
      </w:r>
      <w:r w:rsidR="000E4FAB" w:rsidRPr="00087DB0">
        <w:rPr>
          <w:rFonts w:ascii="ITC Avant Garde" w:hAnsi="ITC Avant Garde" w:cs="ITC Avant Garde"/>
          <w:color w:val="000000"/>
        </w:rPr>
        <w:t>.</w:t>
      </w:r>
    </w:p>
    <w:p w14:paraId="13FDFE7F" w14:textId="77777777" w:rsidR="00E53C1B" w:rsidRPr="00087DB0" w:rsidRDefault="00E53C1B" w:rsidP="00430267">
      <w:pPr>
        <w:spacing w:after="0" w:line="276" w:lineRule="auto"/>
        <w:ind w:left="-6" w:hanging="11"/>
        <w:rPr>
          <w:rFonts w:ascii="ITC Avant Garde" w:hAnsi="ITC Avant Garde" w:cs="ITC Avant Garde"/>
          <w:color w:val="000000"/>
        </w:rPr>
      </w:pPr>
    </w:p>
    <w:p w14:paraId="4B4A11B6" w14:textId="2C9CCFE6" w:rsidR="002173A0" w:rsidRPr="00087DB0" w:rsidRDefault="00C27606" w:rsidP="00430267">
      <w:pPr>
        <w:spacing w:after="0" w:line="276" w:lineRule="auto"/>
        <w:ind w:left="-6" w:hanging="11"/>
        <w:rPr>
          <w:rFonts w:ascii="ITC Avant Garde" w:hAnsi="ITC Avant Garde" w:cs="ITC Avant Garde"/>
          <w:color w:val="000000"/>
        </w:rPr>
      </w:pPr>
      <w:r w:rsidRPr="00087DB0">
        <w:rPr>
          <w:rFonts w:ascii="ITC Avant Garde" w:hAnsi="ITC Avant Garde" w:cs="ITC Avant Garde"/>
          <w:color w:val="000000"/>
        </w:rPr>
        <w:t xml:space="preserve">En virtud de lo anterior, la consulta pública tiene el objetivo de contar con mayores elementos que le permitan al Instituto determinar las condiciones bajo las cuales se deberá aprobar </w:t>
      </w:r>
      <w:r w:rsidR="00E43C89">
        <w:rPr>
          <w:rFonts w:ascii="ITC Avant Garde" w:hAnsi="ITC Avant Garde" w:cs="ITC Avant Garde"/>
          <w:color w:val="000000"/>
        </w:rPr>
        <w:t>el</w:t>
      </w:r>
      <w:r w:rsidR="00E43C89" w:rsidRPr="00087DB0">
        <w:rPr>
          <w:rFonts w:ascii="ITC Avant Garde" w:hAnsi="ITC Avant Garde" w:cs="ITC Avant Garde"/>
          <w:color w:val="000000"/>
        </w:rPr>
        <w:t xml:space="preserve"> </w:t>
      </w:r>
      <w:r w:rsidRPr="00C30138">
        <w:rPr>
          <w:rFonts w:ascii="ITC Avant Garde" w:hAnsi="ITC Avant Garde" w:cs="ITC Avant Garde"/>
          <w:b/>
          <w:bCs/>
          <w:color w:val="000000"/>
        </w:rPr>
        <w:t>Convenio Marco de Interconexión</w:t>
      </w:r>
      <w:r w:rsidR="00E43C89">
        <w:rPr>
          <w:rFonts w:ascii="ITC Avant Garde" w:hAnsi="ITC Avant Garde" w:cs="ITC Avant Garde"/>
          <w:color w:val="000000"/>
        </w:rPr>
        <w:t xml:space="preserve"> (en lo sucesivo, el “CMI”)</w:t>
      </w:r>
      <w:r w:rsidRPr="00087DB0">
        <w:rPr>
          <w:rFonts w:ascii="ITC Avant Garde" w:hAnsi="ITC Avant Garde" w:cs="ITC Avant Garde"/>
          <w:color w:val="000000"/>
        </w:rPr>
        <w:t xml:space="preserve"> de</w:t>
      </w:r>
      <w:r w:rsidR="00E43C89">
        <w:rPr>
          <w:rFonts w:ascii="ITC Avant Garde" w:hAnsi="ITC Avant Garde" w:cs="ITC Avant Garde"/>
          <w:color w:val="000000"/>
        </w:rPr>
        <w:t xml:space="preserve"> </w:t>
      </w:r>
      <w:r w:rsidR="00E43C89" w:rsidRPr="00C30138">
        <w:rPr>
          <w:rFonts w:ascii="ITC Avant Garde" w:hAnsi="ITC Avant Garde" w:cs="ITC Avant Garde"/>
          <w:b/>
          <w:bCs/>
          <w:color w:val="000000"/>
        </w:rPr>
        <w:t xml:space="preserve">Telmex/Telnor </w:t>
      </w:r>
      <w:r w:rsidR="009A615A" w:rsidRPr="00C30138">
        <w:rPr>
          <w:rFonts w:ascii="ITC Avant Garde" w:hAnsi="ITC Avant Garde" w:cs="ITC Avant Garde"/>
          <w:b/>
          <w:bCs/>
          <w:color w:val="000000"/>
        </w:rPr>
        <w:t xml:space="preserve">aplicable durante el año </w:t>
      </w:r>
      <w:r w:rsidR="005477FD" w:rsidRPr="00C30138">
        <w:rPr>
          <w:rFonts w:ascii="ITC Avant Garde" w:hAnsi="ITC Avant Garde" w:cs="ITC Avant Garde"/>
          <w:b/>
          <w:bCs/>
          <w:color w:val="000000"/>
        </w:rPr>
        <w:t>2024</w:t>
      </w:r>
      <w:r w:rsidRPr="00087DB0">
        <w:rPr>
          <w:rFonts w:ascii="ITC Avant Garde" w:hAnsi="ITC Avant Garde" w:cs="ITC Avant Garde"/>
          <w:color w:val="000000"/>
        </w:rPr>
        <w:t>,</w:t>
      </w:r>
      <w:r w:rsidR="002173A0" w:rsidRPr="00087DB0">
        <w:rPr>
          <w:rFonts w:ascii="ITC Avant Garde" w:hAnsi="ITC Avant Garde" w:cs="ITC Avant Garde"/>
          <w:color w:val="000000"/>
        </w:rPr>
        <w:t xml:space="preserve"> así como</w:t>
      </w:r>
      <w:r w:rsidRPr="00087DB0">
        <w:rPr>
          <w:rFonts w:ascii="ITC Avant Garde" w:hAnsi="ITC Avant Garde" w:cs="ITC Avant Garde"/>
          <w:color w:val="000000"/>
        </w:rPr>
        <w:t xml:space="preserve"> </w:t>
      </w:r>
      <w:r w:rsidR="002173A0" w:rsidRPr="00087DB0">
        <w:rPr>
          <w:rFonts w:ascii="ITC Avant Garde" w:hAnsi="ITC Avant Garde" w:cs="ITC Avant Garde"/>
          <w:color w:val="000000"/>
        </w:rPr>
        <w:t xml:space="preserve">favorecer la transparencia y participación ciudadana con el fin de recibir los comentarios y opiniones de regulados, cámaras, usuarios y audiencias sobre </w:t>
      </w:r>
      <w:r w:rsidR="00E43C89">
        <w:rPr>
          <w:rFonts w:ascii="ITC Avant Garde" w:hAnsi="ITC Avant Garde" w:cs="ITC Avant Garde"/>
          <w:color w:val="000000"/>
        </w:rPr>
        <w:t>el CMI;</w:t>
      </w:r>
      <w:r w:rsidR="002173A0" w:rsidRPr="00087DB0">
        <w:rPr>
          <w:rFonts w:ascii="ITC Avant Garde" w:hAnsi="ITC Avant Garde" w:cs="ITC Avant Garde"/>
          <w:color w:val="000000"/>
        </w:rPr>
        <w:t xml:space="preserve"> y establecer las bases para aprobar o modificar </w:t>
      </w:r>
      <w:r w:rsidR="00E43C89">
        <w:rPr>
          <w:rFonts w:ascii="ITC Avant Garde" w:hAnsi="ITC Avant Garde" w:cs="ITC Avant Garde"/>
          <w:color w:val="000000"/>
        </w:rPr>
        <w:t xml:space="preserve">el </w:t>
      </w:r>
      <w:r w:rsidR="002173A0" w:rsidRPr="00087DB0">
        <w:rPr>
          <w:rFonts w:ascii="ITC Avant Garde" w:hAnsi="ITC Avant Garde" w:cs="ITC Avant Garde"/>
          <w:color w:val="000000"/>
        </w:rPr>
        <w:t>mismo.</w:t>
      </w:r>
    </w:p>
    <w:p w14:paraId="64685551" w14:textId="77777777" w:rsidR="00E53C1B" w:rsidRPr="00087DB0" w:rsidRDefault="00E53C1B" w:rsidP="00430267">
      <w:pPr>
        <w:spacing w:after="0" w:line="276" w:lineRule="auto"/>
        <w:ind w:left="-6" w:hanging="11"/>
        <w:rPr>
          <w:rFonts w:ascii="ITC Avant Garde" w:hAnsi="ITC Avant Garde" w:cs="ITC Avant Garde"/>
          <w:color w:val="000000"/>
        </w:rPr>
      </w:pPr>
    </w:p>
    <w:p w14:paraId="48712C73" w14:textId="2B426BA4" w:rsidR="00024950" w:rsidRPr="00087DB0" w:rsidRDefault="00024950" w:rsidP="00430267">
      <w:pPr>
        <w:spacing w:after="0" w:line="276" w:lineRule="auto"/>
        <w:ind w:left="-5" w:hanging="10"/>
        <w:rPr>
          <w:rFonts w:ascii="ITC Avant Garde" w:hAnsi="ITC Avant Garde" w:cs="ITC Avant Garde"/>
          <w:color w:val="000000"/>
        </w:rPr>
      </w:pPr>
      <w:r w:rsidRPr="00087DB0">
        <w:rPr>
          <w:rFonts w:ascii="ITC Avant Garde" w:hAnsi="ITC Avant Garde" w:cs="ITC Avant Garde"/>
          <w:b/>
          <w:color w:val="000000"/>
        </w:rPr>
        <w:t>Unidad Administrativa que promueve el proyecto:</w:t>
      </w:r>
      <w:r w:rsidR="00F7338C" w:rsidRPr="00087DB0">
        <w:rPr>
          <w:rFonts w:ascii="ITC Avant Garde" w:hAnsi="ITC Avant Garde" w:cs="ITC Avant Garde"/>
          <w:b/>
          <w:color w:val="000000"/>
        </w:rPr>
        <w:t xml:space="preserve"> </w:t>
      </w:r>
      <w:r w:rsidR="00F7338C" w:rsidRPr="00087DB0">
        <w:rPr>
          <w:rFonts w:ascii="ITC Avant Garde" w:hAnsi="ITC Avant Garde" w:cs="ITC Avant Garde"/>
          <w:color w:val="000000"/>
        </w:rPr>
        <w:t>Unidad de Política Regulatoria.</w:t>
      </w:r>
    </w:p>
    <w:p w14:paraId="2E284B72" w14:textId="77777777" w:rsidR="005506E0" w:rsidRPr="00087DB0" w:rsidRDefault="005506E0" w:rsidP="00430267">
      <w:pPr>
        <w:spacing w:after="0" w:line="276" w:lineRule="auto"/>
        <w:ind w:left="-5" w:hanging="10"/>
        <w:rPr>
          <w:rFonts w:ascii="ITC Avant Garde" w:hAnsi="ITC Avant Garde" w:cs="ITC Avant Garde"/>
          <w:b/>
          <w:color w:val="000000"/>
        </w:rPr>
      </w:pPr>
    </w:p>
    <w:p w14:paraId="4F12B402" w14:textId="119DF7D2" w:rsidR="003B63F4" w:rsidRPr="00087DB0" w:rsidRDefault="007A7B89" w:rsidP="00430267">
      <w:pPr>
        <w:spacing w:after="0" w:line="276" w:lineRule="auto"/>
        <w:ind w:left="-6" w:hanging="11"/>
        <w:rPr>
          <w:rFonts w:ascii="ITC Avant Garde" w:hAnsi="ITC Avant Garde" w:cs="ITC Avant Garde"/>
          <w:b/>
          <w:color w:val="000000"/>
        </w:rPr>
      </w:pPr>
      <w:r w:rsidRPr="00087DB0">
        <w:rPr>
          <w:rFonts w:ascii="ITC Avant Garde" w:hAnsi="ITC Avant Garde" w:cs="ITC Avant Garde"/>
          <w:b/>
          <w:color w:val="000000"/>
        </w:rPr>
        <w:t>Participantes de la Consulta Pública:</w:t>
      </w:r>
    </w:p>
    <w:p w14:paraId="6BE93492" w14:textId="037AA7DA" w:rsidR="00AE7499" w:rsidRPr="00087DB0" w:rsidRDefault="00AE7499" w:rsidP="00430267">
      <w:pPr>
        <w:spacing w:after="0" w:line="276" w:lineRule="auto"/>
        <w:ind w:left="-5" w:hanging="10"/>
        <w:rPr>
          <w:rFonts w:ascii="ITC Avant Garde" w:hAnsi="ITC Avant Garde" w:cs="ITC Avant Garde"/>
          <w:color w:val="000000"/>
        </w:rPr>
      </w:pPr>
      <w:r w:rsidRPr="00087DB0">
        <w:rPr>
          <w:rFonts w:ascii="ITC Avant Garde" w:hAnsi="ITC Avant Garde" w:cs="ITC Avant Garde"/>
          <w:color w:val="000000"/>
        </w:rPr>
        <w:t>Durante el periodo de la consulta pú</w:t>
      </w:r>
      <w:r w:rsidR="00F333DA" w:rsidRPr="00087DB0">
        <w:rPr>
          <w:rFonts w:ascii="ITC Avant Garde" w:hAnsi="ITC Avant Garde" w:cs="ITC Avant Garde"/>
          <w:color w:val="000000"/>
        </w:rPr>
        <w:t xml:space="preserve">blica de mérito, se recibieron </w:t>
      </w:r>
      <w:r w:rsidR="001C0FB1" w:rsidRPr="00087DB0">
        <w:rPr>
          <w:rFonts w:ascii="ITC Avant Garde" w:hAnsi="ITC Avant Garde" w:cs="ITC Avant Garde"/>
          <w:color w:val="000000"/>
        </w:rPr>
        <w:t>5</w:t>
      </w:r>
      <w:r w:rsidR="00141141" w:rsidRPr="00087DB0">
        <w:rPr>
          <w:rFonts w:ascii="ITC Avant Garde" w:hAnsi="ITC Avant Garde" w:cs="ITC Avant Garde"/>
          <w:color w:val="000000"/>
        </w:rPr>
        <w:t xml:space="preserve"> </w:t>
      </w:r>
      <w:r w:rsidRPr="00087DB0">
        <w:rPr>
          <w:rFonts w:ascii="ITC Avant Garde" w:hAnsi="ITC Avant Garde" w:cs="ITC Avant Garde"/>
          <w:color w:val="000000"/>
        </w:rPr>
        <w:t>participaciones, por parte de las siguientes personas morales:</w:t>
      </w:r>
    </w:p>
    <w:p w14:paraId="4A9A8839" w14:textId="77777777" w:rsidR="00E53C1B" w:rsidRPr="00087DB0" w:rsidRDefault="00E53C1B" w:rsidP="00430267">
      <w:pPr>
        <w:spacing w:after="0" w:line="276" w:lineRule="auto"/>
        <w:ind w:left="-5" w:hanging="10"/>
        <w:rPr>
          <w:rFonts w:ascii="ITC Avant Garde" w:hAnsi="ITC Avant Garde" w:cs="ITC Avant Garde"/>
          <w:color w:val="000000"/>
        </w:rPr>
      </w:pPr>
    </w:p>
    <w:p w14:paraId="51222142" w14:textId="68F7382F" w:rsidR="00AE7499" w:rsidRPr="00087DB0" w:rsidRDefault="00215955" w:rsidP="00430267">
      <w:pPr>
        <w:pStyle w:val="ListBulletCompact"/>
        <w:numPr>
          <w:ilvl w:val="0"/>
          <w:numId w:val="12"/>
        </w:numPr>
        <w:spacing w:line="276" w:lineRule="auto"/>
        <w:rPr>
          <w:rFonts w:ascii="ITC Avant Garde" w:hAnsi="ITC Avant Garde" w:cs="ITC Avant Garde"/>
        </w:rPr>
      </w:pPr>
      <w:r w:rsidRPr="00087DB0">
        <w:rPr>
          <w:rFonts w:ascii="ITC Avant Garde" w:hAnsi="ITC Avant Garde" w:cs="ITC Avant Garde"/>
        </w:rPr>
        <w:t xml:space="preserve">AT&amp;T Comunicaciones Digitales, S. de R.L. de C.V., Grupo AT&amp;T </w:t>
      </w:r>
      <w:proofErr w:type="spellStart"/>
      <w:r w:rsidRPr="00087DB0">
        <w:rPr>
          <w:rFonts w:ascii="ITC Avant Garde" w:hAnsi="ITC Avant Garde" w:cs="ITC Avant Garde"/>
        </w:rPr>
        <w:t>Celullar</w:t>
      </w:r>
      <w:proofErr w:type="spellEnd"/>
      <w:r w:rsidRPr="00087DB0">
        <w:rPr>
          <w:rFonts w:ascii="ITC Avant Garde" w:hAnsi="ITC Avant Garde" w:cs="ITC Avant Garde"/>
        </w:rPr>
        <w:t>, S. de R.L. de C.V.</w:t>
      </w:r>
      <w:r w:rsidR="00F3565A" w:rsidRPr="00087DB0">
        <w:rPr>
          <w:rFonts w:ascii="ITC Avant Garde" w:hAnsi="ITC Avant Garde" w:cs="ITC Avant Garde"/>
        </w:rPr>
        <w:t xml:space="preserve"> y</w:t>
      </w:r>
      <w:r w:rsidRPr="00087DB0">
        <w:rPr>
          <w:rFonts w:ascii="ITC Avant Garde" w:hAnsi="ITC Avant Garde" w:cs="ITC Avant Garde"/>
        </w:rPr>
        <w:t xml:space="preserve"> AT&amp;T Comercialización Móvil, S. de R.L. de C.V. (en lo sucesivo conjuntamente, “AT&amp;T”)</w:t>
      </w:r>
    </w:p>
    <w:p w14:paraId="6F33582F" w14:textId="7E620231" w:rsidR="00303CFD" w:rsidRPr="00087DB0" w:rsidRDefault="00303CFD" w:rsidP="00430267">
      <w:pPr>
        <w:pStyle w:val="ListBulletCompact"/>
        <w:numPr>
          <w:ilvl w:val="0"/>
          <w:numId w:val="12"/>
        </w:numPr>
        <w:spacing w:line="276" w:lineRule="auto"/>
        <w:rPr>
          <w:rFonts w:ascii="ITC Avant Garde" w:hAnsi="ITC Avant Garde"/>
        </w:rPr>
      </w:pPr>
      <w:r w:rsidRPr="00087DB0">
        <w:rPr>
          <w:rFonts w:ascii="ITC Avant Garde" w:hAnsi="ITC Avant Garde" w:cs="ITC Avant Garde"/>
        </w:rPr>
        <w:t xml:space="preserve">Cablevisión, S.A. de C.V., </w:t>
      </w:r>
      <w:proofErr w:type="spellStart"/>
      <w:r w:rsidRPr="00087DB0">
        <w:rPr>
          <w:rFonts w:ascii="ITC Avant Garde" w:hAnsi="ITC Avant Garde" w:cs="ITC Avant Garde"/>
        </w:rPr>
        <w:t>Operbes</w:t>
      </w:r>
      <w:proofErr w:type="spellEnd"/>
      <w:r w:rsidRPr="00087DB0">
        <w:rPr>
          <w:rFonts w:ascii="ITC Avant Garde" w:hAnsi="ITC Avant Garde" w:cs="ITC Avant Garde"/>
        </w:rPr>
        <w:t>, S.A. de C.V., Cablemás Telecomunicaciones, S.A. de C.V., México Red de Telecomunicaciones, S. de R.L. de C.V., Televisión Internacional, S.A. de C.V., Cablevisión Red, S.A. de C.V., y TV Cable de Oriente, S.A. de C.V. (en lo sucesivo, “Grupo Televisa”)</w:t>
      </w:r>
    </w:p>
    <w:p w14:paraId="59B0DE0F" w14:textId="5C607EBA" w:rsidR="00AE7499" w:rsidRPr="00087DB0" w:rsidRDefault="00215955" w:rsidP="00430267">
      <w:pPr>
        <w:pStyle w:val="Listaconvietas"/>
        <w:numPr>
          <w:ilvl w:val="0"/>
          <w:numId w:val="12"/>
        </w:numPr>
        <w:autoSpaceDE w:val="0"/>
        <w:autoSpaceDN w:val="0"/>
        <w:adjustRightInd w:val="0"/>
        <w:spacing w:after="0" w:line="276" w:lineRule="auto"/>
        <w:rPr>
          <w:rFonts w:ascii="ITC Avant Garde" w:hAnsi="ITC Avant Garde" w:cs="ITC Avant Garde"/>
        </w:rPr>
      </w:pPr>
      <w:r w:rsidRPr="00087DB0">
        <w:rPr>
          <w:rFonts w:ascii="ITC Avant Garde" w:hAnsi="ITC Avant Garde" w:cs="Times New Roman"/>
        </w:rPr>
        <w:t>Cámara Nacional de la Industria Electrónica, de Telecomunicaciones y Tecnologías de la Información (en lo sucesivo, “CANIETI”)</w:t>
      </w:r>
    </w:p>
    <w:p w14:paraId="51922E96" w14:textId="119E4147" w:rsidR="00AE7499" w:rsidRPr="00087DB0" w:rsidRDefault="00215955" w:rsidP="00430267">
      <w:pPr>
        <w:pStyle w:val="Listaconvietas"/>
        <w:numPr>
          <w:ilvl w:val="0"/>
          <w:numId w:val="12"/>
        </w:numPr>
        <w:autoSpaceDE w:val="0"/>
        <w:autoSpaceDN w:val="0"/>
        <w:adjustRightInd w:val="0"/>
        <w:spacing w:after="0" w:line="276" w:lineRule="auto"/>
        <w:rPr>
          <w:rFonts w:ascii="ITC Avant Garde" w:hAnsi="ITC Avant Garde" w:cs="ITC Avant Garde"/>
        </w:rPr>
      </w:pPr>
      <w:r w:rsidRPr="00087DB0">
        <w:rPr>
          <w:rFonts w:ascii="ITC Avant Garde" w:hAnsi="ITC Avant Garde"/>
        </w:rPr>
        <w:t>Mega Cable, S.A. de C.V. (en lo sucesivo, “Megacable”)</w:t>
      </w:r>
    </w:p>
    <w:p w14:paraId="01D0C414" w14:textId="309D41C5" w:rsidR="00215955" w:rsidRPr="00087DB0" w:rsidRDefault="00215955" w:rsidP="00430267">
      <w:pPr>
        <w:pStyle w:val="Listaconvietas"/>
        <w:numPr>
          <w:ilvl w:val="0"/>
          <w:numId w:val="12"/>
        </w:numPr>
        <w:autoSpaceDE w:val="0"/>
        <w:autoSpaceDN w:val="0"/>
        <w:adjustRightInd w:val="0"/>
        <w:spacing w:after="0" w:line="276" w:lineRule="auto"/>
        <w:rPr>
          <w:rFonts w:ascii="ITC Avant Garde" w:hAnsi="ITC Avant Garde"/>
        </w:rPr>
      </w:pPr>
      <w:r w:rsidRPr="00087DB0">
        <w:rPr>
          <w:rFonts w:ascii="ITC Avant Garde" w:hAnsi="ITC Avant Garde"/>
        </w:rPr>
        <w:t>Pegaso PCS, S.A. de C.V. (en lo sucesivo, “Telefónica”)</w:t>
      </w:r>
    </w:p>
    <w:p w14:paraId="7EBBB534" w14:textId="50451699" w:rsidR="00AE7499" w:rsidRPr="00087DB0" w:rsidRDefault="00AE7499" w:rsidP="00430267">
      <w:pPr>
        <w:autoSpaceDE w:val="0"/>
        <w:autoSpaceDN w:val="0"/>
        <w:adjustRightInd w:val="0"/>
        <w:spacing w:after="0" w:line="276" w:lineRule="auto"/>
        <w:ind w:left="360"/>
        <w:rPr>
          <w:rFonts w:ascii="ITC Avant Garde" w:hAnsi="ITC Avant Garde" w:cs="ITC Avant Garde"/>
        </w:rPr>
      </w:pPr>
    </w:p>
    <w:p w14:paraId="260490B2" w14:textId="2C13363C" w:rsidR="00502BF7" w:rsidRPr="00087DB0" w:rsidRDefault="00502BF7" w:rsidP="00430267">
      <w:pPr>
        <w:spacing w:after="0" w:line="276" w:lineRule="auto"/>
        <w:ind w:left="-6" w:hanging="11"/>
        <w:rPr>
          <w:rFonts w:ascii="ITC Avant Garde" w:hAnsi="ITC Avant Garde" w:cs="ITC Avant Garde"/>
          <w:color w:val="000000"/>
        </w:rPr>
      </w:pPr>
      <w:r w:rsidRPr="00087DB0">
        <w:rPr>
          <w:rFonts w:ascii="ITC Avant Garde" w:hAnsi="ITC Avant Garde" w:cs="ITC Avant Garde"/>
          <w:b/>
          <w:color w:val="000000"/>
        </w:rPr>
        <w:t>Respuestas y posicionamientos por parte del Instituto:</w:t>
      </w:r>
    </w:p>
    <w:p w14:paraId="53D6C85D" w14:textId="02288341" w:rsidR="00E43C89" w:rsidRPr="00F73FAF" w:rsidRDefault="00E43C89" w:rsidP="00430267">
      <w:pPr>
        <w:spacing w:after="0" w:line="276" w:lineRule="auto"/>
        <w:rPr>
          <w:rFonts w:ascii="ITC Avant Garde" w:hAnsi="ITC Avant Garde" w:cs="ITC Avant Garde"/>
        </w:rPr>
      </w:pPr>
      <w:r w:rsidRPr="00F73FAF">
        <w:rPr>
          <w:rFonts w:ascii="ITC Avant Garde" w:hAnsi="ITC Avant Garde" w:cs="ITC Avant Garde"/>
        </w:rPr>
        <w:t xml:space="preserve">Se señala que el orden en el que son abordados cada uno de los temas y numerales mencionados, obedece primordialmente al orden en que cada uno de éstos aparecen en </w:t>
      </w:r>
      <w:r>
        <w:rPr>
          <w:rFonts w:ascii="ITC Avant Garde" w:hAnsi="ITC Avant Garde" w:cs="ITC Avant Garde"/>
        </w:rPr>
        <w:t>el</w:t>
      </w:r>
      <w:r w:rsidRPr="00D25034">
        <w:rPr>
          <w:rFonts w:ascii="ITC Avant Garde" w:hAnsi="ITC Avant Garde" w:cs="ITC Avant Garde"/>
          <w:b/>
          <w:bCs/>
        </w:rPr>
        <w:t xml:space="preserve"> </w:t>
      </w:r>
      <w:r w:rsidRPr="009226A4">
        <w:rPr>
          <w:rFonts w:ascii="ITC Avant Garde" w:hAnsi="ITC Avant Garde" w:cs="ITC Avant Garde"/>
          <w:b/>
          <w:bCs/>
        </w:rPr>
        <w:t xml:space="preserve">CMI de </w:t>
      </w:r>
      <w:r w:rsidRPr="009226A4">
        <w:rPr>
          <w:rFonts w:ascii="ITC Avant Garde" w:hAnsi="ITC Avant Garde" w:cs="ITC Avant Garde"/>
          <w:b/>
          <w:bCs/>
          <w:color w:val="000000"/>
        </w:rPr>
        <w:t>Telmex/Telnor</w:t>
      </w:r>
      <w:r>
        <w:rPr>
          <w:rFonts w:ascii="ITC Avant Garde" w:hAnsi="ITC Avant Garde" w:cs="ITC Avant Garde"/>
        </w:rPr>
        <w:t>,</w:t>
      </w:r>
      <w:r w:rsidRPr="00820CF7">
        <w:rPr>
          <w:rFonts w:ascii="ITC Avant Garde" w:hAnsi="ITC Avant Garde" w:cs="ITC Avant Garde"/>
        </w:rPr>
        <w:t xml:space="preserve"> integrante</w:t>
      </w:r>
      <w:r>
        <w:rPr>
          <w:rFonts w:ascii="ITC Avant Garde" w:hAnsi="ITC Avant Garde" w:cs="ITC Avant Garde"/>
        </w:rPr>
        <w:t>s</w:t>
      </w:r>
      <w:r w:rsidRPr="00F73FAF">
        <w:rPr>
          <w:rFonts w:ascii="ITC Avant Garde" w:hAnsi="ITC Avant Garde" w:cs="ITC Avant Garde"/>
        </w:rPr>
        <w:t xml:space="preserve"> del Agente Económico Preponderante (en lo sucesivo, el “AEP”) en el Sector de las Telecomunicaciones</w:t>
      </w:r>
      <w:r>
        <w:rPr>
          <w:rFonts w:ascii="ITC Avant Garde" w:hAnsi="ITC Avant Garde" w:cs="ITC Avant Garde"/>
        </w:rPr>
        <w:t>.</w:t>
      </w:r>
    </w:p>
    <w:p w14:paraId="3C485B77" w14:textId="77777777" w:rsidR="00AE7499" w:rsidRPr="00087DB0" w:rsidRDefault="00AE7499" w:rsidP="00430267">
      <w:pPr>
        <w:spacing w:after="0" w:line="276" w:lineRule="auto"/>
        <w:ind w:left="10"/>
        <w:rPr>
          <w:rFonts w:ascii="ITC Avant Garde" w:hAnsi="ITC Avant Garde"/>
        </w:rPr>
      </w:pPr>
    </w:p>
    <w:p w14:paraId="3EE9AA5D" w14:textId="1CEB9206" w:rsidR="00AE7499" w:rsidRPr="00087DB0" w:rsidRDefault="00AE7499" w:rsidP="00430267">
      <w:pPr>
        <w:spacing w:after="0" w:line="276" w:lineRule="auto"/>
        <w:ind w:left="-5"/>
        <w:rPr>
          <w:rFonts w:ascii="ITC Avant Garde" w:eastAsia="Avant Garde" w:hAnsi="ITC Avant Garde" w:cs="Avant Garde"/>
          <w:color w:val="000000"/>
          <w:lang w:eastAsia="es-MX"/>
        </w:rPr>
      </w:pPr>
      <w:r w:rsidRPr="00087DB0">
        <w:rPr>
          <w:rFonts w:ascii="ITC Avant Garde" w:eastAsia="Avant Garde" w:hAnsi="ITC Avant Garde" w:cs="Avant Garde"/>
          <w:color w:val="000000"/>
          <w:lang w:eastAsia="es-MX"/>
        </w:rPr>
        <w:lastRenderedPageBreak/>
        <w:t xml:space="preserve">Por lo anterior, el Instituto emite las siguientes respuestas y consideraciones para cada una de las participaciones recibidas:  </w:t>
      </w:r>
    </w:p>
    <w:p w14:paraId="1A071634" w14:textId="77777777" w:rsidR="00962266" w:rsidRPr="00087DB0" w:rsidRDefault="00962266" w:rsidP="00430267">
      <w:pPr>
        <w:spacing w:after="0" w:line="276" w:lineRule="auto"/>
        <w:ind w:left="-5"/>
        <w:rPr>
          <w:rFonts w:ascii="ITC Avant Garde" w:eastAsia="Avant Garde" w:hAnsi="ITC Avant Garde" w:cs="Avant Garde"/>
          <w:color w:val="000000"/>
          <w:lang w:eastAsia="es-MX"/>
        </w:rPr>
      </w:pPr>
    </w:p>
    <w:p w14:paraId="35C4BA21" w14:textId="77777777" w:rsidR="002E3B5D" w:rsidRPr="00430267" w:rsidRDefault="002E3B5D" w:rsidP="00430267">
      <w:pPr>
        <w:spacing w:after="0" w:line="276" w:lineRule="auto"/>
        <w:rPr>
          <w:rFonts w:ascii="ITC Avant Garde" w:hAnsi="ITC Avant Garde"/>
          <w:b/>
          <w:szCs w:val="20"/>
        </w:rPr>
      </w:pPr>
      <w:r w:rsidRPr="00430267">
        <w:rPr>
          <w:rFonts w:ascii="ITC Avant Garde" w:hAnsi="ITC Avant Garde"/>
          <w:b/>
          <w:szCs w:val="20"/>
        </w:rPr>
        <w:t>Convenio Marco de Interconexión</w:t>
      </w:r>
    </w:p>
    <w:p w14:paraId="7114FB44" w14:textId="77777777" w:rsidR="005409CB" w:rsidRPr="00430267" w:rsidRDefault="005409CB" w:rsidP="00430267">
      <w:pPr>
        <w:spacing w:after="0" w:line="276" w:lineRule="auto"/>
        <w:rPr>
          <w:rFonts w:ascii="ITC Avant Garde" w:hAnsi="ITC Avant Garde"/>
          <w:b/>
        </w:rPr>
      </w:pPr>
    </w:p>
    <w:p w14:paraId="43428009" w14:textId="4BA81ACA" w:rsidR="005409CB" w:rsidRPr="00430267" w:rsidRDefault="002E3B5D" w:rsidP="00430267">
      <w:pPr>
        <w:spacing w:after="0" w:line="276" w:lineRule="auto"/>
        <w:rPr>
          <w:rFonts w:ascii="ITC Avant Garde" w:hAnsi="ITC Avant Garde"/>
          <w:b/>
        </w:rPr>
      </w:pPr>
      <w:r w:rsidRPr="00430267">
        <w:rPr>
          <w:rFonts w:ascii="ITC Avant Garde" w:hAnsi="ITC Avant Garde"/>
          <w:b/>
        </w:rPr>
        <w:t>Cláusula Primera. Definiciones.</w:t>
      </w:r>
    </w:p>
    <w:p w14:paraId="601DCF61" w14:textId="1AD0470D" w:rsidR="00AE7499" w:rsidRPr="00087DB0" w:rsidRDefault="005409CB" w:rsidP="00430267">
      <w:pPr>
        <w:spacing w:after="0" w:line="276" w:lineRule="auto"/>
        <w:rPr>
          <w:rFonts w:ascii="ITC Avant Garde" w:hAnsi="ITC Avant Garde"/>
          <w:b/>
          <w:u w:val="single"/>
        </w:rPr>
      </w:pPr>
      <w:r w:rsidRPr="00087DB0">
        <w:rPr>
          <w:rFonts w:ascii="ITC Avant Garde" w:hAnsi="ITC Avant Garde"/>
          <w:b/>
          <w:u w:val="single"/>
        </w:rPr>
        <w:t xml:space="preserve"> </w:t>
      </w:r>
    </w:p>
    <w:p w14:paraId="75F4E744" w14:textId="77777777" w:rsidR="0042541E" w:rsidRPr="00087DB0" w:rsidRDefault="0042541E" w:rsidP="00430267">
      <w:pPr>
        <w:spacing w:after="0" w:line="276" w:lineRule="auto"/>
        <w:rPr>
          <w:rFonts w:ascii="ITC Avant Garde" w:hAnsi="ITC Avant Garde"/>
          <w:b/>
        </w:rPr>
      </w:pPr>
      <w:r w:rsidRPr="00087DB0">
        <w:rPr>
          <w:rFonts w:ascii="ITC Avant Garde" w:hAnsi="ITC Avant Garde"/>
          <w:b/>
        </w:rPr>
        <w:t xml:space="preserve">AT&amp;T, CANIETI, Grupo Televisa y Telefónica </w:t>
      </w:r>
    </w:p>
    <w:p w14:paraId="624ECB72" w14:textId="1AB26DCD" w:rsidR="0042541E" w:rsidRPr="00087DB0" w:rsidRDefault="0042541E" w:rsidP="00430267">
      <w:pPr>
        <w:spacing w:after="0" w:line="276" w:lineRule="auto"/>
        <w:rPr>
          <w:rFonts w:ascii="ITC Avant Garde" w:hAnsi="ITC Avant Garde"/>
          <w:i/>
          <w:sz w:val="18"/>
          <w:szCs w:val="18"/>
        </w:rPr>
      </w:pPr>
      <w:r w:rsidRPr="00087DB0">
        <w:rPr>
          <w:rFonts w:ascii="ITC Avant Garde" w:hAnsi="ITC Avant Garde"/>
        </w:rPr>
        <w:t xml:space="preserve">Solicitan mantener el término “virtual” en las definiciones de “Interconexión” y “Punto de Interconexión”, de acuerdo con lo establecido en la </w:t>
      </w:r>
      <w:r w:rsidR="001A377F">
        <w:rPr>
          <w:rFonts w:ascii="ITC Avant Garde" w:hAnsi="ITC Avant Garde"/>
        </w:rPr>
        <w:t>L</w:t>
      </w:r>
      <w:r w:rsidRPr="00087DB0">
        <w:rPr>
          <w:rFonts w:ascii="ITC Avant Garde" w:hAnsi="ITC Avant Garde"/>
        </w:rPr>
        <w:t>FTR</w:t>
      </w:r>
      <w:r w:rsidR="001C0FB1" w:rsidRPr="00087DB0">
        <w:rPr>
          <w:rFonts w:ascii="ITC Avant Garde" w:hAnsi="ITC Avant Garde"/>
        </w:rPr>
        <w:t xml:space="preserve"> y en</w:t>
      </w:r>
      <w:r w:rsidRPr="00087DB0">
        <w:rPr>
          <w:rFonts w:ascii="ITC Avant Garde" w:hAnsi="ITC Avant Garde"/>
        </w:rPr>
        <w:t xml:space="preserve"> el Plan Técnico Fundamental de Interconexión e Interoperabilidad (en lo sucesivo, el “Plan de Interconexión”).</w:t>
      </w:r>
    </w:p>
    <w:p w14:paraId="03DFBA19" w14:textId="77777777" w:rsidR="0042541E" w:rsidRPr="00087DB0" w:rsidRDefault="0042541E" w:rsidP="00430267">
      <w:pPr>
        <w:spacing w:after="0" w:line="276" w:lineRule="auto"/>
        <w:ind w:right="49"/>
        <w:rPr>
          <w:rFonts w:ascii="ITC Avant Garde" w:hAnsi="ITC Avant Garde" w:cs="Arial"/>
          <w:lang w:eastAsia="es-MX"/>
        </w:rPr>
      </w:pPr>
    </w:p>
    <w:p w14:paraId="6CA9CC99" w14:textId="00FE9226" w:rsidR="0042541E" w:rsidRPr="00087DB0" w:rsidRDefault="0042541E" w:rsidP="00430267">
      <w:pPr>
        <w:spacing w:after="0" w:line="276" w:lineRule="auto"/>
        <w:rPr>
          <w:rFonts w:ascii="ITC Avant Garde" w:hAnsi="ITC Avant Garde"/>
          <w:b/>
        </w:rPr>
      </w:pPr>
      <w:r w:rsidRPr="00087DB0">
        <w:rPr>
          <w:rFonts w:ascii="ITC Avant Garde" w:hAnsi="ITC Avant Garde"/>
          <w:b/>
        </w:rPr>
        <w:t>AT&amp;T</w:t>
      </w:r>
      <w:r w:rsidR="005477FD" w:rsidRPr="00087DB0">
        <w:rPr>
          <w:rFonts w:ascii="ITC Avant Garde" w:hAnsi="ITC Avant Garde"/>
          <w:b/>
        </w:rPr>
        <w:t>, CANIETI y Grupo Televisa</w:t>
      </w:r>
      <w:r w:rsidRPr="00087DB0">
        <w:rPr>
          <w:rFonts w:ascii="ITC Avant Garde" w:hAnsi="ITC Avant Garde"/>
          <w:b/>
        </w:rPr>
        <w:t xml:space="preserve"> </w:t>
      </w:r>
    </w:p>
    <w:p w14:paraId="491B0C8E" w14:textId="3330AFBA" w:rsidR="0042541E" w:rsidRPr="00087DB0" w:rsidRDefault="0042541E" w:rsidP="00430267">
      <w:pPr>
        <w:spacing w:after="0" w:line="276" w:lineRule="auto"/>
        <w:rPr>
          <w:rFonts w:ascii="ITC Avant Garde" w:hAnsi="ITC Avant Garde"/>
        </w:rPr>
      </w:pPr>
      <w:r w:rsidRPr="00087DB0">
        <w:rPr>
          <w:rFonts w:ascii="ITC Avant Garde" w:hAnsi="ITC Avant Garde"/>
        </w:rPr>
        <w:t>Solicitan mantener el término “proveedor” en la definición de “Servicios Auxiliares Conexos”, pues el término “concesionario” limita las funcionalidades a que solo sean provistos por un concesionario y dejarían fuera muchas funcionalidades importantes que pudieran estar subcontratadas con un proveedor que no fuera concesionario.</w:t>
      </w:r>
    </w:p>
    <w:p w14:paraId="6DD23089" w14:textId="77777777" w:rsidR="00D63EA6" w:rsidRPr="00087DB0" w:rsidRDefault="00D63EA6" w:rsidP="00430267">
      <w:pPr>
        <w:spacing w:after="0" w:line="276" w:lineRule="auto"/>
        <w:rPr>
          <w:rFonts w:ascii="ITC Avant Garde" w:hAnsi="ITC Avant Garde"/>
          <w:i/>
          <w:sz w:val="18"/>
          <w:szCs w:val="18"/>
        </w:rPr>
      </w:pPr>
    </w:p>
    <w:p w14:paraId="3C12C271" w14:textId="7039431B" w:rsidR="00745554" w:rsidRPr="00087DB0" w:rsidRDefault="00167C47"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rPr>
        <w:t xml:space="preserve">AT&amp;T, CANIETI y </w:t>
      </w:r>
      <w:r w:rsidR="00745554" w:rsidRPr="00087DB0">
        <w:rPr>
          <w:rFonts w:ascii="ITC Avant Garde" w:hAnsi="ITC Avant Garde"/>
          <w:b/>
          <w:bCs/>
        </w:rPr>
        <w:t>Grupo Televisa</w:t>
      </w:r>
    </w:p>
    <w:p w14:paraId="11556BEE" w14:textId="4E0F768D" w:rsidR="00745554" w:rsidRPr="00087DB0" w:rsidRDefault="00745554" w:rsidP="00430267">
      <w:pPr>
        <w:spacing w:after="0" w:line="276" w:lineRule="auto"/>
        <w:rPr>
          <w:rFonts w:ascii="ITC Avant Garde" w:hAnsi="ITC Avant Garde"/>
        </w:rPr>
      </w:pPr>
      <w:r w:rsidRPr="00087DB0">
        <w:rPr>
          <w:rFonts w:ascii="ITC Avant Garde" w:hAnsi="ITC Avant Garde"/>
        </w:rPr>
        <w:t>Solicita eliminar el texto adicionado en la definición de “Uso Compartido de Infraestructura” respecto a que ello será en tondo resulte técnicamente factible.</w:t>
      </w:r>
    </w:p>
    <w:p w14:paraId="2DBD90E8" w14:textId="77777777" w:rsidR="0042541E" w:rsidRDefault="0042541E" w:rsidP="00430267">
      <w:pPr>
        <w:spacing w:after="0" w:line="276" w:lineRule="auto"/>
        <w:ind w:right="49"/>
        <w:rPr>
          <w:rFonts w:ascii="ITC Avant Garde" w:hAnsi="ITC Avant Garde" w:cs="Arial"/>
          <w:lang w:eastAsia="es-MX"/>
        </w:rPr>
      </w:pPr>
    </w:p>
    <w:p w14:paraId="704B6BA8" w14:textId="77777777" w:rsidR="00E57088" w:rsidRPr="00087DB0" w:rsidRDefault="00E57088" w:rsidP="00430267">
      <w:pPr>
        <w:spacing w:after="0" w:line="276" w:lineRule="auto"/>
        <w:ind w:right="49"/>
        <w:rPr>
          <w:rFonts w:ascii="ITC Avant Garde" w:hAnsi="ITC Avant Garde" w:cs="Arial"/>
          <w:lang w:eastAsia="es-MX"/>
        </w:rPr>
      </w:pPr>
      <w:r w:rsidRPr="00087DB0">
        <w:rPr>
          <w:rFonts w:ascii="ITC Avant Garde" w:hAnsi="ITC Avant Garde"/>
          <w:b/>
        </w:rPr>
        <w:t>Telefónica</w:t>
      </w:r>
    </w:p>
    <w:p w14:paraId="186E0F29" w14:textId="4A2B0B9E" w:rsidR="00E57088" w:rsidRPr="00087DB0" w:rsidRDefault="00E57088" w:rsidP="00430267">
      <w:pPr>
        <w:spacing w:after="0" w:line="276" w:lineRule="auto"/>
        <w:ind w:right="49"/>
        <w:rPr>
          <w:rFonts w:ascii="ITC Avant Garde" w:hAnsi="ITC Avant Garde" w:cs="Arial"/>
          <w:lang w:eastAsia="es-MX"/>
        </w:rPr>
      </w:pPr>
      <w:r w:rsidRPr="00087DB0">
        <w:rPr>
          <w:rFonts w:ascii="ITC Avant Garde" w:hAnsi="ITC Avant Garde" w:cs="Arial"/>
          <w:lang w:eastAsia="es-MX"/>
        </w:rPr>
        <w:t xml:space="preserve">Solicitan que la redacción del concepto de “Servicios de Señalización” </w:t>
      </w:r>
      <w:r w:rsidR="00423330">
        <w:rPr>
          <w:rFonts w:ascii="ITC Avant Garde" w:hAnsi="ITC Avant Garde" w:cs="Arial"/>
          <w:lang w:eastAsia="es-MX"/>
        </w:rPr>
        <w:t>sea</w:t>
      </w:r>
      <w:r w:rsidRPr="00087DB0">
        <w:rPr>
          <w:rFonts w:ascii="ITC Avant Garde" w:hAnsi="ITC Avant Garde" w:cs="Arial"/>
          <w:lang w:eastAsia="es-MX"/>
        </w:rPr>
        <w:t xml:space="preserve"> acorde con las definiciones de la LFTR, pues la señalización forma parte de los servicios de interconexión, conforme a los artículos 3, fracción LXIII y 127 de la mencionada Ley.</w:t>
      </w:r>
    </w:p>
    <w:p w14:paraId="51484693" w14:textId="77777777" w:rsidR="00E57088" w:rsidRPr="00087DB0" w:rsidRDefault="00E57088" w:rsidP="00430267">
      <w:pPr>
        <w:spacing w:after="0" w:line="276" w:lineRule="auto"/>
        <w:rPr>
          <w:rFonts w:ascii="ITC Avant Garde" w:hAnsi="ITC Avant Garde"/>
          <w:b/>
          <w:bCs/>
        </w:rPr>
      </w:pPr>
    </w:p>
    <w:p w14:paraId="614B0719" w14:textId="77777777" w:rsidR="0042541E" w:rsidRPr="00087DB0" w:rsidRDefault="0042541E" w:rsidP="00430267">
      <w:pPr>
        <w:spacing w:after="0" w:line="276" w:lineRule="auto"/>
        <w:rPr>
          <w:rFonts w:ascii="ITC Avant Garde" w:hAnsi="ITC Avant Garde"/>
          <w:b/>
        </w:rPr>
      </w:pPr>
      <w:r w:rsidRPr="00087DB0">
        <w:rPr>
          <w:rFonts w:ascii="ITC Avant Garde" w:hAnsi="ITC Avant Garde"/>
          <w:b/>
        </w:rPr>
        <w:t xml:space="preserve">Consideraciones del Instituto </w:t>
      </w:r>
    </w:p>
    <w:p w14:paraId="165C38C1" w14:textId="1B0AA6F0" w:rsidR="0042541E" w:rsidRPr="00087DB0" w:rsidRDefault="00095E48" w:rsidP="00430267">
      <w:pPr>
        <w:spacing w:after="0" w:line="276" w:lineRule="auto"/>
        <w:rPr>
          <w:rFonts w:ascii="ITC Avant Garde" w:hAnsi="ITC Avant Garde"/>
        </w:rPr>
      </w:pPr>
      <w:r w:rsidRPr="00087DB0">
        <w:rPr>
          <w:rFonts w:ascii="ITC Avant Garde" w:hAnsi="ITC Avant Garde"/>
        </w:rPr>
        <w:t>Se modifican l</w:t>
      </w:r>
      <w:r w:rsidR="0042541E" w:rsidRPr="00087DB0">
        <w:rPr>
          <w:rFonts w:ascii="ITC Avant Garde" w:hAnsi="ITC Avant Garde"/>
        </w:rPr>
        <w:t>as definiciones de “Interconexión”, “Punto de Interconexión”</w:t>
      </w:r>
      <w:r w:rsidR="00D63EA6" w:rsidRPr="00087DB0">
        <w:rPr>
          <w:rFonts w:ascii="ITC Avant Garde" w:hAnsi="ITC Avant Garde"/>
        </w:rPr>
        <w:t>,</w:t>
      </w:r>
      <w:r w:rsidR="0042541E" w:rsidRPr="00087DB0">
        <w:rPr>
          <w:rFonts w:ascii="ITC Avant Garde" w:hAnsi="ITC Avant Garde"/>
        </w:rPr>
        <w:t xml:space="preserve"> “Servicios Auxiliares Conexos”</w:t>
      </w:r>
      <w:r w:rsidR="00745554" w:rsidRPr="00087DB0">
        <w:rPr>
          <w:rFonts w:ascii="ITC Avant Garde" w:hAnsi="ITC Avant Garde"/>
        </w:rPr>
        <w:t xml:space="preserve"> y “Uso Compartido de Infraestructura”</w:t>
      </w:r>
      <w:r w:rsidR="00D63EA6" w:rsidRPr="00087DB0">
        <w:rPr>
          <w:rFonts w:ascii="ITC Avant Garde" w:hAnsi="ITC Avant Garde"/>
        </w:rPr>
        <w:t xml:space="preserve"> </w:t>
      </w:r>
      <w:r w:rsidRPr="00087DB0">
        <w:rPr>
          <w:rFonts w:ascii="ITC Avant Garde" w:hAnsi="ITC Avant Garde"/>
        </w:rPr>
        <w:t xml:space="preserve">conforme al </w:t>
      </w:r>
      <w:r w:rsidR="0042541E" w:rsidRPr="00087DB0">
        <w:rPr>
          <w:rFonts w:ascii="ITC Avant Garde" w:hAnsi="ITC Avant Garde"/>
        </w:rPr>
        <w:t>marco regulatorio vigente y las obligaciones del Agente Económico Preponderante están establecidas en la LFTR y las medidas correspondientes</w:t>
      </w:r>
      <w:r w:rsidR="00E57088">
        <w:rPr>
          <w:rFonts w:ascii="ITC Avant Garde" w:hAnsi="ITC Avant Garde"/>
        </w:rPr>
        <w:t>, y se adiciona la definición de “Servicios de Señalización”, ya que la prestación del servicio de señalización es obligatoria para los concesionarios que operen redes públicas de telecomunicaciones</w:t>
      </w:r>
      <w:r w:rsidRPr="00087DB0">
        <w:rPr>
          <w:rFonts w:ascii="ITC Avant Garde" w:hAnsi="ITC Avant Garde"/>
        </w:rPr>
        <w:t>.</w:t>
      </w:r>
    </w:p>
    <w:p w14:paraId="3DEF59F2" w14:textId="04811176" w:rsidR="00311FAA" w:rsidRPr="00087DB0" w:rsidRDefault="00311FAA" w:rsidP="00430267">
      <w:pPr>
        <w:spacing w:after="0" w:line="276" w:lineRule="auto"/>
        <w:rPr>
          <w:rFonts w:ascii="ITC Avant Garde" w:hAnsi="ITC Avant Garde"/>
          <w:b/>
          <w:bCs/>
        </w:rPr>
      </w:pPr>
    </w:p>
    <w:p w14:paraId="21A5ACC7" w14:textId="77777777" w:rsidR="005477FD" w:rsidRPr="00087DB0" w:rsidRDefault="005477FD" w:rsidP="00430267">
      <w:pPr>
        <w:spacing w:after="0" w:line="276" w:lineRule="auto"/>
        <w:ind w:right="49"/>
        <w:rPr>
          <w:rFonts w:ascii="ITC Avant Garde" w:hAnsi="ITC Avant Garde" w:cs="Arial"/>
          <w:lang w:eastAsia="es-MX"/>
        </w:rPr>
      </w:pPr>
      <w:r w:rsidRPr="00087DB0">
        <w:rPr>
          <w:rFonts w:ascii="ITC Avant Garde" w:hAnsi="ITC Avant Garde"/>
          <w:b/>
        </w:rPr>
        <w:t>AT&amp;T y Grupo Televisa</w:t>
      </w:r>
    </w:p>
    <w:p w14:paraId="6BE20CAB" w14:textId="02B30E8C" w:rsidR="005477FD" w:rsidRPr="00087DB0" w:rsidRDefault="005477FD" w:rsidP="00430267">
      <w:pPr>
        <w:spacing w:after="0" w:line="276" w:lineRule="auto"/>
        <w:ind w:right="49"/>
        <w:rPr>
          <w:rFonts w:ascii="ITC Avant Garde" w:hAnsi="ITC Avant Garde" w:cs="Arial"/>
          <w:lang w:eastAsia="es-MX"/>
        </w:rPr>
      </w:pPr>
      <w:r w:rsidRPr="00087DB0">
        <w:rPr>
          <w:rFonts w:ascii="ITC Avant Garde" w:hAnsi="ITC Avant Garde" w:cs="Arial"/>
          <w:lang w:eastAsia="es-MX"/>
        </w:rPr>
        <w:t xml:space="preserve">Solicitan eliminar el concepto de NIR, considerando que en virtud de que el Plan Técnico Fundamental de Numeración establece que a partir del 1 de diciembre </w:t>
      </w:r>
      <w:r w:rsidRPr="00087DB0">
        <w:rPr>
          <w:rFonts w:ascii="ITC Avant Garde" w:hAnsi="ITC Avant Garde" w:cs="Arial"/>
          <w:lang w:eastAsia="es-MX"/>
        </w:rPr>
        <w:lastRenderedPageBreak/>
        <w:t xml:space="preserve">de 2023 se realizará la agrupación de todos los NIR que comiencen con el mismo </w:t>
      </w:r>
      <w:r w:rsidR="00423330" w:rsidRPr="00087DB0">
        <w:rPr>
          <w:rFonts w:ascii="ITC Avant Garde" w:hAnsi="ITC Avant Garde" w:cs="Arial"/>
          <w:lang w:eastAsia="es-MX"/>
        </w:rPr>
        <w:t>d</w:t>
      </w:r>
      <w:r w:rsidR="00423330">
        <w:rPr>
          <w:rFonts w:ascii="ITC Avant Garde" w:hAnsi="ITC Avant Garde" w:cs="Arial"/>
          <w:lang w:eastAsia="es-MX"/>
        </w:rPr>
        <w:t>í</w:t>
      </w:r>
      <w:r w:rsidR="00423330" w:rsidRPr="00087DB0">
        <w:rPr>
          <w:rFonts w:ascii="ITC Avant Garde" w:hAnsi="ITC Avant Garde" w:cs="Arial"/>
          <w:lang w:eastAsia="es-MX"/>
        </w:rPr>
        <w:t>gito</w:t>
      </w:r>
      <w:r w:rsidRPr="00087DB0">
        <w:rPr>
          <w:rFonts w:ascii="ITC Avant Garde" w:hAnsi="ITC Avant Garde" w:cs="Arial"/>
          <w:lang w:eastAsia="es-MX"/>
        </w:rPr>
        <w:t xml:space="preserve"> a fin de crear 8 zonas a nivel nacional.</w:t>
      </w:r>
    </w:p>
    <w:p w14:paraId="5A0CF16C" w14:textId="77777777" w:rsidR="005477FD" w:rsidRPr="00087DB0" w:rsidRDefault="005477FD" w:rsidP="00430267">
      <w:pPr>
        <w:spacing w:after="0" w:line="276" w:lineRule="auto"/>
        <w:rPr>
          <w:rFonts w:ascii="ITC Avant Garde" w:hAnsi="ITC Avant Garde"/>
          <w:b/>
          <w:bCs/>
        </w:rPr>
      </w:pPr>
    </w:p>
    <w:p w14:paraId="3D9690AE" w14:textId="77777777" w:rsidR="005477FD" w:rsidRPr="00087DB0" w:rsidRDefault="005477FD" w:rsidP="00430267">
      <w:pPr>
        <w:spacing w:after="0" w:line="276" w:lineRule="auto"/>
        <w:rPr>
          <w:rFonts w:ascii="ITC Avant Garde" w:hAnsi="ITC Avant Garde"/>
          <w:b/>
        </w:rPr>
      </w:pPr>
      <w:r w:rsidRPr="00087DB0">
        <w:rPr>
          <w:rFonts w:ascii="ITC Avant Garde" w:hAnsi="ITC Avant Garde"/>
          <w:b/>
        </w:rPr>
        <w:t xml:space="preserve">Consideraciones del Instituto </w:t>
      </w:r>
    </w:p>
    <w:p w14:paraId="4B41B7B4" w14:textId="77777777" w:rsidR="00423330" w:rsidRDefault="00423330" w:rsidP="0043026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w:t>
      </w:r>
      <w:r w:rsidRPr="00625F54">
        <w:rPr>
          <w:rFonts w:ascii="ITC Avant Garde" w:eastAsia="Avant Garde" w:hAnsi="ITC Avant Garde" w:cs="Avant Garde"/>
          <w:color w:val="000000"/>
          <w:lang w:eastAsia="es-MX"/>
        </w:rPr>
        <w:t xml:space="preserve">ado que los cambios al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implican modificaciones a los sistemas de facturación de todos los concesionarios, y no solamente del AEP, se debe establecer un mecanismo que permita realizar dichos cambios en coordinación con todos los integrantes de la industria a efecto de revisar y acordar formatos de facturación de interconexión y de aclaración de consumos no reconocidos que serán utilizados a nivel industria. </w:t>
      </w:r>
    </w:p>
    <w:p w14:paraId="3331538D" w14:textId="77777777" w:rsidR="00423330" w:rsidRPr="00625F54" w:rsidRDefault="00423330" w:rsidP="00430267">
      <w:pPr>
        <w:spacing w:after="0" w:line="276" w:lineRule="auto"/>
        <w:rPr>
          <w:rFonts w:ascii="ITC Avant Garde" w:eastAsia="Avant Garde" w:hAnsi="ITC Avant Garde" w:cs="Avant Garde"/>
          <w:color w:val="000000"/>
          <w:lang w:eastAsia="es-MX"/>
        </w:rPr>
      </w:pPr>
    </w:p>
    <w:p w14:paraId="065F15ED" w14:textId="2318DAC5" w:rsidR="00423330" w:rsidRDefault="00423330" w:rsidP="00430267">
      <w:pPr>
        <w:spacing w:after="0" w:line="276" w:lineRule="auto"/>
        <w:rPr>
          <w:rFonts w:ascii="ITC Avant Garde" w:eastAsia="Avant Garde" w:hAnsi="ITC Avant Garde" w:cs="Avant Garde"/>
          <w:color w:val="000000"/>
          <w:lang w:eastAsia="es-MX"/>
        </w:rPr>
      </w:pPr>
      <w:r w:rsidRPr="00625F54">
        <w:rPr>
          <w:rFonts w:ascii="ITC Avant Garde" w:eastAsia="Avant Garde" w:hAnsi="ITC Avant Garde" w:cs="Avant Garde"/>
          <w:color w:val="000000"/>
          <w:lang w:eastAsia="es-MX"/>
        </w:rPr>
        <w:t xml:space="preserve">En tal sentido, el Instituto ha llevado a cabo diversas reuniones de trabajo con los concesionarios de redes públicas de telecomunicaciones con el propósito de coordinar la actualización de los formatos de facturación de acuerdo </w:t>
      </w:r>
      <w:r w:rsidR="006A1812">
        <w:rPr>
          <w:rFonts w:ascii="ITC Avant Garde" w:eastAsia="Avant Garde" w:hAnsi="ITC Avant Garde" w:cs="Avant Garde"/>
          <w:color w:val="000000"/>
          <w:lang w:eastAsia="es-MX"/>
        </w:rPr>
        <w:t>con</w:t>
      </w:r>
      <w:r w:rsidRPr="00625F54">
        <w:rPr>
          <w:rFonts w:ascii="ITC Avant Garde" w:eastAsia="Avant Garde" w:hAnsi="ITC Avant Garde" w:cs="Avant Garde"/>
          <w:color w:val="000000"/>
          <w:lang w:eastAsia="es-MX"/>
        </w:rPr>
        <w:t xml:space="preserve"> lo establecido en el Plan Técnico Fundamental de Numeración y Señalización (en adelante,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w:t>
      </w:r>
      <w:r>
        <w:rPr>
          <w:rStyle w:val="Refdenotaalpie"/>
          <w:rFonts w:ascii="ITC Avant Garde" w:eastAsia="Avant Garde" w:hAnsi="ITC Avant Garde" w:cs="Avant Garde"/>
          <w:color w:val="000000"/>
          <w:lang w:eastAsia="es-MX"/>
        </w:rPr>
        <w:footnoteReference w:id="1"/>
      </w:r>
      <w:r w:rsidRPr="00625F54">
        <w:rPr>
          <w:rFonts w:ascii="ITC Avant Garde" w:eastAsia="Avant Garde" w:hAnsi="ITC Avant Garde" w:cs="Avant Garde"/>
          <w:color w:val="000000"/>
          <w:lang w:eastAsia="es-MX"/>
        </w:rPr>
        <w:t xml:space="preserve">, y en las que se han acordado modificaciones a los formatos de facturación, por lo que se considera adecuado mantener los formatos de facturación del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en los mismos términos aprobados en el CMI 2023</w:t>
      </w:r>
      <w:r>
        <w:rPr>
          <w:rFonts w:ascii="ITC Avant Garde" w:eastAsia="Avant Garde" w:hAnsi="ITC Avant Garde" w:cs="Avant Garde"/>
          <w:color w:val="000000"/>
          <w:lang w:eastAsia="es-MX"/>
        </w:rPr>
        <w:t>.</w:t>
      </w:r>
      <w:r w:rsidRPr="00625F54">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N</w:t>
      </w:r>
      <w:r w:rsidRPr="00625F54">
        <w:rPr>
          <w:rFonts w:ascii="ITC Avant Garde" w:eastAsia="Avant Garde" w:hAnsi="ITC Avant Garde" w:cs="Avant Garde"/>
          <w:color w:val="000000"/>
          <w:lang w:eastAsia="es-MX"/>
        </w:rPr>
        <w:t>o obsta</w:t>
      </w:r>
      <w:r>
        <w:rPr>
          <w:rFonts w:ascii="ITC Avant Garde" w:eastAsia="Avant Garde" w:hAnsi="ITC Avant Garde" w:cs="Avant Garde"/>
          <w:color w:val="000000"/>
          <w:lang w:eastAsia="es-MX"/>
        </w:rPr>
        <w:t>nte,</w:t>
      </w:r>
      <w:r w:rsidRPr="00625F54">
        <w:rPr>
          <w:rFonts w:ascii="ITC Avant Garde" w:eastAsia="Avant Garde" w:hAnsi="ITC Avant Garde" w:cs="Avant Garde"/>
          <w:color w:val="000000"/>
          <w:lang w:eastAsia="es-MX"/>
        </w:rPr>
        <w:t xml:space="preserve"> a efecto de señalar que estos se actualizarán conforme a los acuerdos que se establezcan a nivel industria y conforme a lo dispuesto en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 se adiciona la nota siguiente:</w:t>
      </w:r>
    </w:p>
    <w:p w14:paraId="08D8E670" w14:textId="77777777" w:rsidR="00423330" w:rsidRDefault="00423330" w:rsidP="00430267">
      <w:pPr>
        <w:spacing w:after="0" w:line="276" w:lineRule="auto"/>
        <w:rPr>
          <w:rFonts w:ascii="ITC Avant Garde" w:eastAsia="Avant Garde" w:hAnsi="ITC Avant Garde" w:cs="Avant Garde"/>
          <w:color w:val="000000"/>
          <w:lang w:eastAsia="es-MX"/>
        </w:rPr>
      </w:pPr>
    </w:p>
    <w:p w14:paraId="040D1927" w14:textId="77777777" w:rsidR="00423330" w:rsidRPr="001A78E9" w:rsidRDefault="00423330" w:rsidP="00430267">
      <w:pPr>
        <w:tabs>
          <w:tab w:val="left" w:pos="426"/>
        </w:tabs>
        <w:spacing w:after="0"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“ANEXO “D”</w:t>
      </w:r>
    </w:p>
    <w:p w14:paraId="058AA512" w14:textId="77777777" w:rsidR="00423330" w:rsidRPr="001A78E9" w:rsidRDefault="00423330" w:rsidP="00430267">
      <w:pPr>
        <w:tabs>
          <w:tab w:val="left" w:pos="426"/>
        </w:tabs>
        <w:spacing w:after="0"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FORMATO DE FACTURACIÓN</w:t>
      </w:r>
      <w:r w:rsidRPr="001A78E9">
        <w:rPr>
          <w:rFonts w:ascii="ITC Avant Garde" w:hAnsi="ITC Avant Garde" w:cs="Arial"/>
          <w:bCs/>
          <w:i/>
          <w:iCs/>
          <w:sz w:val="18"/>
          <w:szCs w:val="18"/>
          <w:vertAlign w:val="superscript"/>
          <w:lang w:val="es-ES"/>
        </w:rPr>
        <w:t>1</w:t>
      </w:r>
    </w:p>
    <w:p w14:paraId="32EB43FC" w14:textId="77777777" w:rsidR="00423330" w:rsidRPr="001A78E9" w:rsidRDefault="00423330" w:rsidP="00430267">
      <w:pPr>
        <w:tabs>
          <w:tab w:val="left" w:pos="426"/>
        </w:tabs>
        <w:spacing w:after="0"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lang w:val="es-ES"/>
        </w:rPr>
        <w:t xml:space="preserve">(…) </w:t>
      </w:r>
    </w:p>
    <w:p w14:paraId="069BE6FA" w14:textId="77777777" w:rsidR="00423330" w:rsidRDefault="00423330" w:rsidP="00430267">
      <w:pPr>
        <w:tabs>
          <w:tab w:val="left" w:pos="426"/>
        </w:tabs>
        <w:spacing w:after="0"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vertAlign w:val="superscript"/>
          <w:lang w:val="es-ES"/>
        </w:rPr>
        <w:t>1</w:t>
      </w:r>
      <w:r w:rsidRPr="001A78E9">
        <w:rPr>
          <w:rFonts w:ascii="ITC Avant Garde" w:hAnsi="ITC Avant Garde" w:cs="Arial"/>
          <w:bCs/>
          <w:i/>
          <w:iCs/>
          <w:sz w:val="18"/>
          <w:szCs w:val="18"/>
          <w:u w:val="single"/>
          <w:lang w:val="es-ES"/>
        </w:rPr>
        <w:t xml:space="preserve">Los formatos de facturación del Anexo D y </w:t>
      </w:r>
      <w:proofErr w:type="spellStart"/>
      <w:r w:rsidRPr="001A78E9">
        <w:rPr>
          <w:rFonts w:ascii="ITC Avant Garde" w:hAnsi="ITC Avant Garde" w:cs="Arial"/>
          <w:bCs/>
          <w:i/>
          <w:iCs/>
          <w:sz w:val="18"/>
          <w:szCs w:val="18"/>
          <w:u w:val="single"/>
          <w:lang w:val="es-ES"/>
        </w:rPr>
        <w:t>Subanexo</w:t>
      </w:r>
      <w:proofErr w:type="spellEnd"/>
      <w:r w:rsidRPr="001A78E9">
        <w:rPr>
          <w:rFonts w:ascii="ITC Avant Garde" w:hAnsi="ITC Avant Garde" w:cs="Arial"/>
          <w:bCs/>
          <w:i/>
          <w:iCs/>
          <w:sz w:val="18"/>
          <w:szCs w:val="18"/>
          <w:u w:val="single"/>
          <w:lang w:val="es-ES"/>
        </w:rPr>
        <w:t xml:space="preserve"> D se actualizarán conforme a los campos que autorice el IFT a través de la coordinación de grupos de trabajo con la industria y a lo dispuesto en los Planes Técnicos Fundamentales de Numeración y Señalización, así como aquellas disposiciones que los modifiquen o sustituyan.</w:t>
      </w:r>
      <w:r w:rsidRPr="001A78E9">
        <w:rPr>
          <w:rFonts w:ascii="ITC Avant Garde" w:hAnsi="ITC Avant Garde" w:cs="Arial"/>
          <w:bCs/>
          <w:i/>
          <w:iCs/>
          <w:sz w:val="18"/>
          <w:szCs w:val="18"/>
          <w:lang w:val="es-ES"/>
        </w:rPr>
        <w:t>”</w:t>
      </w:r>
    </w:p>
    <w:p w14:paraId="25F8C2CA" w14:textId="77777777" w:rsidR="00423330" w:rsidRDefault="00423330" w:rsidP="00430267">
      <w:pPr>
        <w:tabs>
          <w:tab w:val="left" w:pos="426"/>
        </w:tabs>
        <w:spacing w:after="0" w:line="276" w:lineRule="auto"/>
        <w:ind w:left="567" w:right="616"/>
        <w:jc w:val="right"/>
        <w:rPr>
          <w:rFonts w:ascii="ITC Avant Garde" w:hAnsi="ITC Avant Garde" w:cs="Arial"/>
          <w:bCs/>
          <w:iCs/>
          <w:sz w:val="18"/>
          <w:szCs w:val="18"/>
        </w:rPr>
      </w:pPr>
      <w:r w:rsidRPr="00130ED7">
        <w:rPr>
          <w:rFonts w:ascii="ITC Avant Garde" w:hAnsi="ITC Avant Garde" w:cs="Arial"/>
          <w:bCs/>
          <w:iCs/>
          <w:sz w:val="18"/>
          <w:szCs w:val="18"/>
        </w:rPr>
        <w:t>(Énfasis añadido)</w:t>
      </w:r>
    </w:p>
    <w:p w14:paraId="0D3B489D" w14:textId="77777777" w:rsidR="00430267" w:rsidRDefault="00430267" w:rsidP="00430267">
      <w:pPr>
        <w:spacing w:after="0" w:line="276" w:lineRule="auto"/>
        <w:rPr>
          <w:rFonts w:ascii="ITC Avant Garde" w:hAnsi="ITC Avant Garde"/>
          <w:b/>
        </w:rPr>
      </w:pPr>
    </w:p>
    <w:p w14:paraId="56D68B47" w14:textId="1BE72320" w:rsidR="00D63EA6" w:rsidRPr="00087DB0" w:rsidRDefault="00D63EA6" w:rsidP="00430267">
      <w:pPr>
        <w:spacing w:after="0" w:line="276" w:lineRule="auto"/>
        <w:rPr>
          <w:rFonts w:ascii="ITC Avant Garde" w:hAnsi="ITC Avant Garde"/>
          <w:b/>
        </w:rPr>
      </w:pPr>
      <w:r w:rsidRPr="00087DB0">
        <w:rPr>
          <w:rFonts w:ascii="ITC Avant Garde" w:hAnsi="ITC Avant Garde"/>
          <w:b/>
        </w:rPr>
        <w:t xml:space="preserve">CANIETI, Grupo Televisa y Telefónica </w:t>
      </w:r>
    </w:p>
    <w:p w14:paraId="66879D21" w14:textId="53B2EDC0" w:rsidR="0042541E" w:rsidRPr="00087DB0" w:rsidRDefault="00D63EA6" w:rsidP="00430267">
      <w:pPr>
        <w:spacing w:after="0" w:line="276" w:lineRule="auto"/>
        <w:rPr>
          <w:rFonts w:ascii="ITC Avant Garde" w:hAnsi="ITC Avant Garde"/>
        </w:rPr>
      </w:pPr>
      <w:r w:rsidRPr="00087DB0">
        <w:rPr>
          <w:rFonts w:ascii="ITC Avant Garde" w:hAnsi="ITC Avant Garde"/>
        </w:rPr>
        <w:t>Solicitan adicionar, en la definición de “Servicios de Interconexión”, un párrafo relacionado con la obligación de la prestación de los servicios de interconexión por parte del Agente Económico Preponderante (en adelante, el “AEP”).</w:t>
      </w:r>
    </w:p>
    <w:p w14:paraId="1257BDE9" w14:textId="30BBF90A" w:rsidR="00D63EA6" w:rsidRPr="00087DB0" w:rsidRDefault="00D63EA6" w:rsidP="00430267">
      <w:pPr>
        <w:spacing w:after="0" w:line="276" w:lineRule="auto"/>
        <w:rPr>
          <w:rFonts w:ascii="ITC Avant Garde" w:hAnsi="ITC Avant Garde"/>
        </w:rPr>
      </w:pPr>
    </w:p>
    <w:p w14:paraId="4BF225B5" w14:textId="77777777" w:rsidR="00D63EA6" w:rsidRPr="00087DB0" w:rsidRDefault="00D63EA6" w:rsidP="00430267">
      <w:pPr>
        <w:spacing w:after="0" w:line="276" w:lineRule="auto"/>
        <w:rPr>
          <w:rFonts w:ascii="ITC Avant Garde" w:hAnsi="ITC Avant Garde"/>
          <w:b/>
        </w:rPr>
      </w:pPr>
      <w:r w:rsidRPr="00087DB0">
        <w:rPr>
          <w:rFonts w:ascii="ITC Avant Garde" w:hAnsi="ITC Avant Garde"/>
          <w:b/>
        </w:rPr>
        <w:t xml:space="preserve">Consideraciones del Instituto </w:t>
      </w:r>
    </w:p>
    <w:p w14:paraId="364DD345" w14:textId="5B49F026" w:rsidR="00D63EA6" w:rsidRPr="00087DB0" w:rsidRDefault="00D63EA6" w:rsidP="00430267">
      <w:pPr>
        <w:spacing w:after="0" w:line="276" w:lineRule="auto"/>
        <w:rPr>
          <w:rFonts w:ascii="ITC Avant Garde" w:hAnsi="ITC Avant Garde"/>
        </w:rPr>
      </w:pPr>
      <w:r w:rsidRPr="00087DB0">
        <w:rPr>
          <w:rFonts w:ascii="ITC Avant Garde" w:hAnsi="ITC Avant Garde"/>
        </w:rPr>
        <w:lastRenderedPageBreak/>
        <w:t xml:space="preserve">La redacción actual enlista todos los servicios de interconexión provistos por el AEP de conformidad con el artículo 127 de la LFTR, por lo que no se estima necesario adicionar lo solicitado. </w:t>
      </w:r>
    </w:p>
    <w:p w14:paraId="3E8EC59C" w14:textId="5233E168" w:rsidR="00D63EA6" w:rsidRPr="00087DB0" w:rsidRDefault="00D63EA6" w:rsidP="00430267">
      <w:pPr>
        <w:spacing w:after="0" w:line="276" w:lineRule="auto"/>
        <w:rPr>
          <w:rFonts w:ascii="ITC Avant Garde" w:hAnsi="ITC Avant Garde"/>
        </w:rPr>
      </w:pPr>
    </w:p>
    <w:p w14:paraId="0581240A" w14:textId="5C8C019D" w:rsidR="00D63EA6" w:rsidRPr="00087DB0" w:rsidRDefault="00CB3A04" w:rsidP="00430267">
      <w:pPr>
        <w:autoSpaceDE w:val="0"/>
        <w:autoSpaceDN w:val="0"/>
        <w:adjustRightInd w:val="0"/>
        <w:spacing w:after="0" w:line="276" w:lineRule="auto"/>
        <w:rPr>
          <w:rFonts w:ascii="ITC Avant Garde" w:hAnsi="ITC Avant Garde"/>
          <w:b/>
          <w:u w:val="single"/>
        </w:rPr>
      </w:pPr>
      <w:r w:rsidRPr="00087DB0">
        <w:rPr>
          <w:rFonts w:ascii="ITC Avant Garde" w:hAnsi="ITC Avant Garde"/>
          <w:b/>
          <w:u w:val="single"/>
        </w:rPr>
        <w:t>Cláusula Segunda</w:t>
      </w:r>
    </w:p>
    <w:p w14:paraId="3003A158" w14:textId="77777777" w:rsidR="00D63EA6" w:rsidRPr="00087DB0" w:rsidRDefault="00D63EA6" w:rsidP="00430267">
      <w:pPr>
        <w:spacing w:after="0" w:line="276" w:lineRule="auto"/>
        <w:rPr>
          <w:rFonts w:ascii="ITC Avant Garde" w:hAnsi="ITC Avant Garde"/>
        </w:rPr>
      </w:pPr>
    </w:p>
    <w:p w14:paraId="5AB7AEFC" w14:textId="528ADFE0" w:rsidR="00423FA7" w:rsidRPr="00087DB0" w:rsidRDefault="00423FA7" w:rsidP="00430267">
      <w:pPr>
        <w:spacing w:after="0" w:line="276" w:lineRule="auto"/>
        <w:ind w:right="49"/>
        <w:rPr>
          <w:rFonts w:ascii="ITC Avant Garde" w:hAnsi="ITC Avant Garde" w:cs="Arial"/>
          <w:lang w:eastAsia="es-MX"/>
        </w:rPr>
      </w:pPr>
      <w:r w:rsidRPr="00087DB0">
        <w:rPr>
          <w:rFonts w:ascii="ITC Avant Garde" w:hAnsi="ITC Avant Garde"/>
          <w:b/>
        </w:rPr>
        <w:t>CANIETI y Grupo Televisa</w:t>
      </w:r>
    </w:p>
    <w:p w14:paraId="53C0CF57" w14:textId="24AA73EC" w:rsidR="00423FA7" w:rsidRPr="00087DB0" w:rsidRDefault="00423FA7" w:rsidP="00430267">
      <w:pPr>
        <w:spacing w:after="0" w:line="276" w:lineRule="auto"/>
        <w:ind w:right="49"/>
        <w:rPr>
          <w:rFonts w:ascii="ITC Avant Garde" w:hAnsi="ITC Avant Garde" w:cs="Arial"/>
        </w:rPr>
      </w:pPr>
      <w:r w:rsidRPr="00087DB0">
        <w:rPr>
          <w:rFonts w:ascii="ITC Avant Garde" w:hAnsi="ITC Avant Garde" w:cs="Arial"/>
          <w:lang w:eastAsia="es-MX"/>
        </w:rPr>
        <w:t xml:space="preserve">Consideran que Telmex/Telnor limitan la prestación de servicios de interconexión a los operadores móviles virtuales (en adelante, los “OMV”) al establecer que el intercambio de tráfico entre Telcel y un OMV que sea titular de una concesión debe ser únicamente para el servicio local fijo del concesionario, además de distorsionar lo establecido en el artículo </w:t>
      </w:r>
      <w:r w:rsidR="0001734C" w:rsidRPr="00087DB0">
        <w:rPr>
          <w:rFonts w:ascii="ITC Avant Garde" w:hAnsi="ITC Avant Garde" w:cs="Arial"/>
          <w:lang w:eastAsia="es-MX"/>
        </w:rPr>
        <w:t>15</w:t>
      </w:r>
      <w:r w:rsidRPr="00087DB0">
        <w:rPr>
          <w:rFonts w:ascii="ITC Avant Garde" w:hAnsi="ITC Avant Garde" w:cs="Arial"/>
          <w:lang w:eastAsia="es-MX"/>
        </w:rPr>
        <w:t xml:space="preserve"> de los </w:t>
      </w:r>
      <w:r w:rsidR="0001734C" w:rsidRPr="00087DB0">
        <w:rPr>
          <w:rFonts w:ascii="ITC Avant Garde" w:hAnsi="ITC Avant Garde" w:cs="Arial"/>
        </w:rPr>
        <w:t>Lineamientos</w:t>
      </w:r>
      <w:r w:rsidR="002C7BE3">
        <w:rPr>
          <w:rFonts w:ascii="ITC Avant Garde" w:hAnsi="ITC Avant Garde" w:cs="Arial"/>
        </w:rPr>
        <w:t xml:space="preserve"> de</w:t>
      </w:r>
      <w:r w:rsidR="0001734C" w:rsidRPr="00087DB0">
        <w:rPr>
          <w:rFonts w:ascii="ITC Avant Garde" w:hAnsi="ITC Avant Garde" w:cs="Arial"/>
        </w:rPr>
        <w:t xml:space="preserve"> OMV</w:t>
      </w:r>
      <w:r w:rsidR="0001734C" w:rsidRPr="00087DB0">
        <w:rPr>
          <w:rStyle w:val="Refdenotaalpie"/>
          <w:rFonts w:ascii="ITC Avant Garde" w:hAnsi="ITC Avant Garde" w:cs="Arial"/>
        </w:rPr>
        <w:footnoteReference w:id="2"/>
      </w:r>
      <w:r w:rsidR="0001734C" w:rsidRPr="00087DB0">
        <w:rPr>
          <w:rFonts w:ascii="ITC Avant Garde" w:hAnsi="ITC Avant Garde" w:cs="Arial"/>
        </w:rPr>
        <w:t>, por lo que, en caso de incluirse el 4 párrafo propuesto por Telmex/Telnor en el numeral 2.1, proponen la siguiente redacción:</w:t>
      </w:r>
    </w:p>
    <w:p w14:paraId="2D921B96" w14:textId="77777777" w:rsidR="0001734C" w:rsidRPr="00087DB0" w:rsidRDefault="0001734C" w:rsidP="00430267">
      <w:pPr>
        <w:spacing w:after="0" w:line="276" w:lineRule="auto"/>
        <w:ind w:right="49"/>
        <w:rPr>
          <w:rFonts w:ascii="ITC Avant Garde" w:hAnsi="ITC Avant Garde" w:cs="Arial"/>
        </w:rPr>
      </w:pPr>
    </w:p>
    <w:p w14:paraId="1A81AAB1" w14:textId="561C86A5" w:rsidR="0001734C" w:rsidRPr="00087DB0" w:rsidRDefault="0001734C" w:rsidP="00430267">
      <w:pPr>
        <w:spacing w:after="0" w:line="276" w:lineRule="auto"/>
        <w:ind w:left="567" w:right="616"/>
        <w:rPr>
          <w:rFonts w:ascii="ITC Avant Garde" w:hAnsi="ITC Avant Garde" w:cs="Arial"/>
          <w:i/>
          <w:iCs/>
          <w:sz w:val="18"/>
          <w:szCs w:val="18"/>
        </w:rPr>
      </w:pPr>
      <w:r w:rsidRPr="00775D28">
        <w:rPr>
          <w:rFonts w:ascii="ITC Avant Garde" w:hAnsi="ITC Avant Garde" w:cs="Arial"/>
          <w:i/>
          <w:iCs/>
          <w:sz w:val="18"/>
          <w:szCs w:val="18"/>
        </w:rPr>
        <w:t xml:space="preserve">“Los Operadores Móviles Virtuales que </w:t>
      </w:r>
      <w:r w:rsidRPr="00775D28">
        <w:rPr>
          <w:rFonts w:ascii="ITC Avant Garde" w:hAnsi="ITC Avant Garde" w:cs="Arial"/>
          <w:i/>
          <w:iCs/>
          <w:strike/>
          <w:sz w:val="18"/>
          <w:szCs w:val="18"/>
        </w:rPr>
        <w:t>a la vez</w:t>
      </w:r>
      <w:r w:rsidRPr="00775D28">
        <w:rPr>
          <w:rFonts w:ascii="ITC Avant Garde" w:hAnsi="ITC Avant Garde" w:cs="Arial"/>
          <w:i/>
          <w:iCs/>
          <w:sz w:val="18"/>
          <w:szCs w:val="18"/>
        </w:rPr>
        <w:t xml:space="preserve"> sean titulares de una Concesión </w:t>
      </w:r>
      <w:r w:rsidRPr="00775D28">
        <w:rPr>
          <w:rFonts w:ascii="ITC Avant Garde" w:hAnsi="ITC Avant Garde" w:cs="Arial"/>
          <w:i/>
          <w:iCs/>
          <w:strike/>
          <w:sz w:val="18"/>
          <w:szCs w:val="18"/>
        </w:rPr>
        <w:t>para la prestación del Servicio Local Fijo</w:t>
      </w:r>
      <w:r w:rsidRPr="00775D28">
        <w:rPr>
          <w:rFonts w:ascii="ITC Avant Garde" w:hAnsi="ITC Avant Garde" w:cs="Arial"/>
          <w:i/>
          <w:iCs/>
          <w:sz w:val="18"/>
          <w:szCs w:val="18"/>
        </w:rPr>
        <w:t xml:space="preserve"> </w:t>
      </w:r>
      <w:r w:rsidRPr="00775D28">
        <w:rPr>
          <w:rFonts w:ascii="ITC Avant Garde" w:hAnsi="ITC Avant Garde" w:cs="Arial"/>
          <w:i/>
          <w:iCs/>
          <w:sz w:val="18"/>
          <w:szCs w:val="18"/>
          <w:u w:val="single"/>
        </w:rPr>
        <w:t>y operen una red pública de telecomunicaciones</w:t>
      </w:r>
      <w:r w:rsidRPr="00775D28">
        <w:rPr>
          <w:rFonts w:ascii="ITC Avant Garde" w:hAnsi="ITC Avant Garde" w:cs="Arial"/>
          <w:i/>
          <w:iCs/>
          <w:sz w:val="18"/>
          <w:szCs w:val="18"/>
        </w:rPr>
        <w:t xml:space="preserve">, podrán celebrar el presente Convenio con Telmex-Telnor para el intercambio de tráfico </w:t>
      </w:r>
      <w:r w:rsidRPr="00775D28">
        <w:rPr>
          <w:rFonts w:ascii="ITC Avant Garde" w:hAnsi="ITC Avant Garde" w:cs="Arial"/>
          <w:i/>
          <w:iCs/>
          <w:strike/>
          <w:sz w:val="18"/>
          <w:szCs w:val="18"/>
        </w:rPr>
        <w:t>entre la red de Servicio Local fijo de Telmex/Telnor y la red de Servicio Local Fijo de dicho Concesionario</w:t>
      </w:r>
      <w:r w:rsidRPr="00775D28">
        <w:rPr>
          <w:rFonts w:ascii="ITC Avant Garde" w:hAnsi="ITC Avant Garde" w:cs="Arial"/>
          <w:i/>
          <w:iCs/>
          <w:sz w:val="18"/>
          <w:szCs w:val="18"/>
        </w:rPr>
        <w:t>.”</w:t>
      </w:r>
    </w:p>
    <w:p w14:paraId="50AE152A" w14:textId="57EDE56E" w:rsidR="005F71B3" w:rsidRPr="00087DB0" w:rsidRDefault="005F71B3" w:rsidP="00430267">
      <w:pPr>
        <w:spacing w:after="0" w:line="276" w:lineRule="auto"/>
        <w:ind w:left="567" w:right="616"/>
        <w:jc w:val="right"/>
        <w:rPr>
          <w:rFonts w:ascii="ITC Avant Garde" w:hAnsi="ITC Avant Garde" w:cs="Arial"/>
          <w:lang w:eastAsia="es-MX"/>
        </w:rPr>
      </w:pPr>
      <w:r w:rsidRPr="00087DB0">
        <w:rPr>
          <w:rFonts w:ascii="ITC Avant Garde" w:hAnsi="ITC Avant Garde" w:cs="Arial"/>
          <w:sz w:val="18"/>
          <w:szCs w:val="18"/>
        </w:rPr>
        <w:t>Énfasis añadido</w:t>
      </w:r>
    </w:p>
    <w:p w14:paraId="26DF159F" w14:textId="77777777" w:rsidR="00423FA7" w:rsidRPr="00087DB0" w:rsidRDefault="00423FA7" w:rsidP="00430267">
      <w:pPr>
        <w:spacing w:after="0" w:line="276" w:lineRule="auto"/>
        <w:rPr>
          <w:rFonts w:ascii="ITC Avant Garde" w:hAnsi="ITC Avant Garde"/>
          <w:b/>
          <w:bCs/>
        </w:rPr>
      </w:pPr>
    </w:p>
    <w:p w14:paraId="574D4682" w14:textId="77777777" w:rsidR="00423FA7" w:rsidRDefault="00423FA7" w:rsidP="00430267">
      <w:pPr>
        <w:spacing w:after="0" w:line="276" w:lineRule="auto"/>
        <w:rPr>
          <w:rFonts w:ascii="ITC Avant Garde" w:hAnsi="ITC Avant Garde"/>
          <w:b/>
        </w:rPr>
      </w:pPr>
      <w:r w:rsidRPr="00087DB0">
        <w:rPr>
          <w:rFonts w:ascii="ITC Avant Garde" w:hAnsi="ITC Avant Garde"/>
          <w:b/>
        </w:rPr>
        <w:t xml:space="preserve">Consideraciones del Instituto </w:t>
      </w:r>
    </w:p>
    <w:p w14:paraId="1A75745C" w14:textId="18B80A02" w:rsidR="000B7C21" w:rsidRDefault="000B7C21" w:rsidP="00430267">
      <w:pPr>
        <w:spacing w:after="0" w:line="276" w:lineRule="auto"/>
        <w:rPr>
          <w:rFonts w:ascii="ITC Avant Garde" w:eastAsia="Avant Garde" w:hAnsi="ITC Avant Garde" w:cs="Avant Garde"/>
          <w:color w:val="000000"/>
          <w:lang w:eastAsia="es-MX"/>
        </w:rPr>
      </w:pPr>
      <w:r w:rsidRPr="00106D55">
        <w:rPr>
          <w:rFonts w:ascii="ITC Avant Garde" w:eastAsia="Avant Garde" w:hAnsi="ITC Avant Garde" w:cs="Avant Garde"/>
          <w:color w:val="000000"/>
          <w:lang w:eastAsia="es-MX"/>
        </w:rPr>
        <w:t xml:space="preserve">De conformidad a los Lineamientos de OMV, aquellos operadores móviles virtuales que sean concesionarios y operen una red pública de telecomunicaciones podrán solicitar sus propios acuerdos de interconexión con otros concesionarios. Por lo anterior, se eliminó </w:t>
      </w:r>
      <w:r>
        <w:rPr>
          <w:rFonts w:ascii="ITC Avant Garde" w:eastAsia="Avant Garde" w:hAnsi="ITC Avant Garde" w:cs="Avant Garde"/>
          <w:color w:val="000000"/>
          <w:lang w:eastAsia="es-MX"/>
        </w:rPr>
        <w:t>l</w:t>
      </w:r>
      <w:r w:rsidRPr="00106D55">
        <w:rPr>
          <w:rFonts w:ascii="ITC Avant Garde" w:eastAsia="Avant Garde" w:hAnsi="ITC Avant Garde" w:cs="Avant Garde"/>
          <w:color w:val="000000"/>
          <w:lang w:eastAsia="es-MX"/>
        </w:rPr>
        <w:t>a precisión realizada por Tel</w:t>
      </w:r>
      <w:r>
        <w:rPr>
          <w:rFonts w:ascii="ITC Avant Garde" w:eastAsia="Avant Garde" w:hAnsi="ITC Avant Garde" w:cs="Avant Garde"/>
          <w:color w:val="000000"/>
          <w:lang w:eastAsia="es-MX"/>
        </w:rPr>
        <w:t xml:space="preserve">mex/Telnor </w:t>
      </w:r>
      <w:r w:rsidRPr="00106D55">
        <w:rPr>
          <w:rFonts w:ascii="ITC Avant Garde" w:eastAsia="Avant Garde" w:hAnsi="ITC Avant Garde" w:cs="Avant Garde"/>
          <w:color w:val="000000"/>
          <w:lang w:eastAsia="es-MX"/>
        </w:rPr>
        <w:t xml:space="preserve">en la </w:t>
      </w:r>
      <w:r>
        <w:rPr>
          <w:rFonts w:ascii="ITC Avant Garde" w:eastAsia="Avant Garde" w:hAnsi="ITC Avant Garde" w:cs="Avant Garde"/>
          <w:color w:val="000000"/>
          <w:lang w:eastAsia="es-MX"/>
        </w:rPr>
        <w:t>C</w:t>
      </w:r>
      <w:r w:rsidRPr="00106D55">
        <w:rPr>
          <w:rFonts w:ascii="ITC Avant Garde" w:eastAsia="Avant Garde" w:hAnsi="ITC Avant Garde" w:cs="Avant Garde"/>
          <w:color w:val="000000"/>
          <w:lang w:eastAsia="es-MX"/>
        </w:rPr>
        <w:t xml:space="preserve">láusula </w:t>
      </w:r>
      <w:r>
        <w:rPr>
          <w:rFonts w:ascii="ITC Avant Garde" w:eastAsia="Avant Garde" w:hAnsi="ITC Avant Garde" w:cs="Avant Garde"/>
          <w:color w:val="000000"/>
          <w:lang w:eastAsia="es-MX"/>
        </w:rPr>
        <w:t>Segunda</w:t>
      </w:r>
      <w:r w:rsidRPr="00106D55">
        <w:rPr>
          <w:rFonts w:ascii="ITC Avant Garde" w:eastAsia="Avant Garde" w:hAnsi="ITC Avant Garde" w:cs="Avant Garde"/>
          <w:color w:val="000000"/>
          <w:lang w:eastAsia="es-MX"/>
        </w:rPr>
        <w:t xml:space="preserve"> referente a los Operadores Móviles Virtuales que podrán suscribir el </w:t>
      </w:r>
      <w:r w:rsidR="00B47BFA">
        <w:rPr>
          <w:rFonts w:ascii="ITC Avant Garde" w:eastAsia="Avant Garde" w:hAnsi="ITC Avant Garde" w:cs="Avant Garde"/>
          <w:color w:val="000000"/>
          <w:lang w:eastAsia="es-MX"/>
        </w:rPr>
        <w:t>CMI</w:t>
      </w:r>
      <w:r w:rsidRPr="00106D55">
        <w:rPr>
          <w:rFonts w:ascii="ITC Avant Garde" w:eastAsia="Avant Garde" w:hAnsi="ITC Avant Garde" w:cs="Avant Garde"/>
          <w:color w:val="000000"/>
          <w:lang w:eastAsia="es-MX"/>
        </w:rPr>
        <w:t>, ya que</w:t>
      </w:r>
      <w:r w:rsidRPr="00106D55">
        <w:rPr>
          <w:rFonts w:ascii="ITC Avant Garde" w:hAnsi="ITC Avant Garde"/>
          <w:b/>
          <w:sz w:val="20"/>
          <w:szCs w:val="20"/>
        </w:rPr>
        <w:t xml:space="preserve"> </w:t>
      </w:r>
      <w:r w:rsidRPr="00106D55">
        <w:rPr>
          <w:rFonts w:ascii="ITC Avant Garde" w:eastAsia="Avant Garde" w:hAnsi="ITC Avant Garde" w:cs="Avant Garde"/>
          <w:color w:val="000000"/>
          <w:lang w:eastAsia="es-MX"/>
        </w:rPr>
        <w:t xml:space="preserve">cualquier concesionario que opere una red pública de telecomunicaciones podrá suscribir el </w:t>
      </w:r>
      <w:r w:rsidR="001A377F">
        <w:rPr>
          <w:rFonts w:ascii="ITC Avant Garde" w:eastAsia="Avant Garde" w:hAnsi="ITC Avant Garde" w:cs="Avant Garde"/>
          <w:color w:val="000000"/>
          <w:lang w:eastAsia="es-MX"/>
        </w:rPr>
        <w:t>CMI</w:t>
      </w:r>
      <w:r w:rsidRPr="00106D55">
        <w:rPr>
          <w:rFonts w:ascii="ITC Avant Garde" w:eastAsia="Avant Garde" w:hAnsi="ITC Avant Garde" w:cs="Avant Garde"/>
          <w:color w:val="000000"/>
          <w:lang w:eastAsia="es-MX"/>
        </w:rPr>
        <w:t xml:space="preserve">. </w:t>
      </w:r>
    </w:p>
    <w:p w14:paraId="5C8E8DB6" w14:textId="77777777" w:rsidR="00423FA7" w:rsidRPr="00087DB0" w:rsidRDefault="00423FA7" w:rsidP="00430267">
      <w:pPr>
        <w:spacing w:after="0" w:line="276" w:lineRule="auto"/>
        <w:rPr>
          <w:rFonts w:ascii="ITC Avant Garde" w:hAnsi="ITC Avant Garde"/>
        </w:rPr>
      </w:pPr>
    </w:p>
    <w:p w14:paraId="30071354" w14:textId="0EA84081" w:rsidR="00745554" w:rsidRPr="00087DB0" w:rsidRDefault="00745554"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CANIETI, Grupo Televisa</w:t>
      </w:r>
    </w:p>
    <w:p w14:paraId="1A7D3916" w14:textId="7660BA58" w:rsidR="00745554" w:rsidRPr="00087DB0" w:rsidRDefault="00745554"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Señalan que la redacción del numeral 2.3 SERVICIOS DE INTERCONEXIÓN debe mantenerse como se encuentra en el CMI vigente.</w:t>
      </w:r>
    </w:p>
    <w:p w14:paraId="5103C3FA" w14:textId="77777777" w:rsidR="00745554" w:rsidRPr="00087DB0" w:rsidRDefault="00745554" w:rsidP="00430267">
      <w:pPr>
        <w:autoSpaceDE w:val="0"/>
        <w:autoSpaceDN w:val="0"/>
        <w:adjustRightInd w:val="0"/>
        <w:spacing w:after="0" w:line="276" w:lineRule="auto"/>
        <w:ind w:right="49"/>
        <w:rPr>
          <w:rFonts w:ascii="ITC Avant Garde" w:hAnsi="ITC Avant Garde"/>
        </w:rPr>
      </w:pPr>
    </w:p>
    <w:p w14:paraId="1882367F" w14:textId="77777777" w:rsidR="00745554" w:rsidRPr="00087DB0" w:rsidRDefault="00745554" w:rsidP="00430267">
      <w:pPr>
        <w:spacing w:after="0" w:line="276" w:lineRule="auto"/>
        <w:rPr>
          <w:rFonts w:ascii="ITC Avant Garde" w:hAnsi="ITC Avant Garde"/>
          <w:b/>
        </w:rPr>
      </w:pPr>
      <w:r w:rsidRPr="00087DB0">
        <w:rPr>
          <w:rFonts w:ascii="ITC Avant Garde" w:hAnsi="ITC Avant Garde"/>
          <w:b/>
        </w:rPr>
        <w:t xml:space="preserve">Consideraciones del Instituto </w:t>
      </w:r>
    </w:p>
    <w:p w14:paraId="59DA5BEA" w14:textId="77777777" w:rsidR="00745554" w:rsidRPr="00087DB0" w:rsidRDefault="00745554"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Se modificó el CMI para enlistar los servicios de interconexión conforme al marco regulatorio vigente.</w:t>
      </w:r>
    </w:p>
    <w:p w14:paraId="6DF8F0E0" w14:textId="633A5746" w:rsidR="00D63EA6" w:rsidRPr="00087DB0" w:rsidRDefault="00D63EA6" w:rsidP="00430267">
      <w:pPr>
        <w:spacing w:after="0" w:line="276" w:lineRule="auto"/>
        <w:rPr>
          <w:rFonts w:ascii="ITC Avant Garde" w:hAnsi="ITC Avant Garde"/>
          <w:b/>
          <w:bCs/>
        </w:rPr>
      </w:pPr>
    </w:p>
    <w:p w14:paraId="206E3898" w14:textId="31A35BD9" w:rsidR="00B42203" w:rsidRPr="00087DB0" w:rsidRDefault="005F71B3"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lastRenderedPageBreak/>
        <w:t xml:space="preserve">CANIETI y </w:t>
      </w:r>
      <w:r w:rsidR="00B42203" w:rsidRPr="00087DB0">
        <w:rPr>
          <w:rFonts w:ascii="ITC Avant Garde" w:hAnsi="ITC Avant Garde"/>
          <w:b/>
          <w:bCs/>
        </w:rPr>
        <w:t>AT&amp;T</w:t>
      </w:r>
    </w:p>
    <w:p w14:paraId="3F7DE726" w14:textId="77777777" w:rsidR="00B42203" w:rsidRPr="00087DB0" w:rsidRDefault="00B42203"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Señala que cuando existe redundancia, la capacidad máxima de los enlaces no debe rebasar del 40%, de modo que si existe una afectación el enlace redundante pueda absorber el tráfico de ambos, por lo que sugiere la siguiente redacción:</w:t>
      </w:r>
    </w:p>
    <w:p w14:paraId="5C198507" w14:textId="77777777" w:rsidR="00B42203" w:rsidRPr="00087DB0" w:rsidRDefault="00B42203" w:rsidP="00430267">
      <w:pPr>
        <w:autoSpaceDE w:val="0"/>
        <w:autoSpaceDN w:val="0"/>
        <w:adjustRightInd w:val="0"/>
        <w:spacing w:after="0" w:line="276" w:lineRule="auto"/>
        <w:ind w:right="49"/>
        <w:rPr>
          <w:rFonts w:ascii="ITC Avant Garde" w:hAnsi="ITC Avant Garde"/>
        </w:rPr>
      </w:pPr>
    </w:p>
    <w:p w14:paraId="5A1150C8" w14:textId="77777777" w:rsidR="00B42203" w:rsidRPr="00087DB0" w:rsidRDefault="00B42203" w:rsidP="00430267">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r w:rsidRPr="00087DB0">
        <w:rPr>
          <w:rFonts w:ascii="ITC Avant Garde" w:eastAsia="Avant Garde" w:hAnsi="ITC Avant Garde" w:cs="Avant Garde"/>
          <w:i/>
          <w:iCs/>
          <w:color w:val="000000"/>
          <w:sz w:val="18"/>
          <w:szCs w:val="18"/>
          <w:lang w:eastAsia="es-MX"/>
        </w:rPr>
        <w:t>“Los enlaces por sitio deberán estar dimensionados para soportar en la hora pico un máximo de 85% (ochenta y cinco por ciento) de carga cuando se trate de un solo enlace sin redundancia; cuando exista redundancia (más de un enlace) todos deben operar al 40% (cuarenta por ciento) de ocupación, siendo éste el parámetro determinante para realizar el crecimiento de los servicios. Con lo anterior, en caso de falla de uno de los sitios, el tráfico se enrutará al o los enlaces que no estuvieran afectados, previniendo la afectación del servicio.”</w:t>
      </w:r>
    </w:p>
    <w:p w14:paraId="6554F06E" w14:textId="77777777" w:rsidR="00B42203" w:rsidRPr="00087DB0" w:rsidRDefault="00B42203" w:rsidP="00430267">
      <w:pPr>
        <w:autoSpaceDE w:val="0"/>
        <w:autoSpaceDN w:val="0"/>
        <w:adjustRightInd w:val="0"/>
        <w:spacing w:after="0" w:line="276" w:lineRule="auto"/>
        <w:ind w:right="49"/>
        <w:rPr>
          <w:rFonts w:ascii="ITC Avant Garde" w:hAnsi="ITC Avant Garde"/>
        </w:rPr>
      </w:pPr>
    </w:p>
    <w:p w14:paraId="064A93A9" w14:textId="37A905ED" w:rsidR="00D63EA6" w:rsidRPr="00087DB0" w:rsidRDefault="00B42203" w:rsidP="00430267">
      <w:pPr>
        <w:spacing w:after="0" w:line="276" w:lineRule="auto"/>
        <w:rPr>
          <w:rFonts w:ascii="ITC Avant Garde" w:hAnsi="ITC Avant Garde"/>
        </w:rPr>
      </w:pPr>
      <w:r w:rsidRPr="00087DB0">
        <w:rPr>
          <w:rFonts w:ascii="ITC Avant Garde" w:hAnsi="ITC Avant Garde"/>
        </w:rPr>
        <w:t>Lo anterior, dado que pretender que todos los enlaces operen al 85% deja sin efecto el propósito de tener redundancia.</w:t>
      </w:r>
    </w:p>
    <w:p w14:paraId="6A5529D7" w14:textId="77777777" w:rsidR="00B42203" w:rsidRPr="00087DB0" w:rsidRDefault="00B42203" w:rsidP="00430267">
      <w:pPr>
        <w:spacing w:after="0" w:line="276" w:lineRule="auto"/>
        <w:rPr>
          <w:rFonts w:ascii="ITC Avant Garde" w:hAnsi="ITC Avant Garde"/>
        </w:rPr>
      </w:pPr>
    </w:p>
    <w:p w14:paraId="777A4D37" w14:textId="77777777" w:rsidR="00B42203" w:rsidRPr="00087DB0" w:rsidRDefault="00B42203"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Telefónica</w:t>
      </w:r>
    </w:p>
    <w:p w14:paraId="29F12DE5" w14:textId="77777777" w:rsidR="00B42203" w:rsidRPr="00087DB0" w:rsidRDefault="00B42203"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Señala que los enlaces por sitio deberán estar dimensionados para soportar en hora pico un máximo de 50% de carga, siendo éste el parámetro determinante para realizar el crecimiento de los servicios, por lo que, en caso de falla de uno de los sitios, el tráfico se enrutará al enlace en servicio, previniendo afectaciones al servicio. </w:t>
      </w:r>
    </w:p>
    <w:p w14:paraId="247A67DC" w14:textId="77777777" w:rsidR="00B42203" w:rsidRPr="00087DB0" w:rsidRDefault="00B42203" w:rsidP="00430267">
      <w:pPr>
        <w:autoSpaceDE w:val="0"/>
        <w:autoSpaceDN w:val="0"/>
        <w:adjustRightInd w:val="0"/>
        <w:spacing w:after="0" w:line="276" w:lineRule="auto"/>
        <w:ind w:right="49"/>
        <w:rPr>
          <w:rFonts w:ascii="ITC Avant Garde" w:hAnsi="ITC Avant Garde"/>
          <w:b/>
          <w:bCs/>
        </w:rPr>
      </w:pPr>
    </w:p>
    <w:p w14:paraId="06EF2935" w14:textId="77777777" w:rsidR="00B42203" w:rsidRDefault="00B42203"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 xml:space="preserve">Consideraciones del Instituto </w:t>
      </w:r>
    </w:p>
    <w:p w14:paraId="1299244C" w14:textId="77777777" w:rsidR="00EB3BA5" w:rsidRDefault="00EB3BA5" w:rsidP="00430267">
      <w:pPr>
        <w:spacing w:after="0" w:line="276" w:lineRule="auto"/>
        <w:rPr>
          <w:rFonts w:ascii="ITC Avant Garde" w:hAnsi="ITC Avant Garde"/>
        </w:rPr>
      </w:pPr>
      <w:r>
        <w:rPr>
          <w:rFonts w:ascii="ITC Avant Garde" w:hAnsi="ITC Avant Garde"/>
        </w:rPr>
        <w:t>Al respecto, se señala que e</w:t>
      </w:r>
      <w:r w:rsidRPr="005D5E5D">
        <w:rPr>
          <w:rFonts w:ascii="ITC Avant Garde" w:hAnsi="ITC Avant Garde"/>
        </w:rPr>
        <w:t>s importante considerar que una falla puede presentarse en la hora de mayor demanda o en una hora con baja utilización de la red, es así que el esquema de redundancia y capacidad con la que deben contar los enlaces de interconexión a efecto de generar la menor</w:t>
      </w:r>
      <w:r>
        <w:rPr>
          <w:rFonts w:ascii="ITC Avant Garde" w:hAnsi="ITC Avant Garde"/>
        </w:rPr>
        <w:t xml:space="preserve"> </w:t>
      </w:r>
      <w:r w:rsidRPr="005D5E5D">
        <w:rPr>
          <w:rFonts w:ascii="ITC Avant Garde" w:hAnsi="ITC Avant Garde"/>
        </w:rPr>
        <w:t>afectación posible en caso de falla, deben lograr un equilibrio entre la capacidad sin utilizar y disponible todo el tiempo (ociosa), y la capacidad que permita atender la mayor cantidad de tráfico en el peor escenario de falla (la hora pico), a través de un uso eficiente de los recursos de red.</w:t>
      </w:r>
    </w:p>
    <w:p w14:paraId="18122445" w14:textId="77777777" w:rsidR="00EB3BA5" w:rsidRDefault="00EB3BA5" w:rsidP="00430267">
      <w:pPr>
        <w:spacing w:after="0" w:line="276" w:lineRule="auto"/>
        <w:rPr>
          <w:rFonts w:ascii="ITC Avant Garde" w:hAnsi="ITC Avant Garde"/>
        </w:rPr>
      </w:pPr>
    </w:p>
    <w:p w14:paraId="0B062870" w14:textId="0BD03540" w:rsidR="00EB3BA5" w:rsidRDefault="00EB3BA5" w:rsidP="00430267">
      <w:pPr>
        <w:spacing w:after="0" w:line="276" w:lineRule="auto"/>
        <w:rPr>
          <w:rFonts w:ascii="ITC Avant Garde" w:hAnsi="ITC Avant Garde"/>
        </w:rPr>
      </w:pPr>
      <w:r w:rsidRPr="005D5E5D">
        <w:rPr>
          <w:rFonts w:ascii="ITC Avant Garde" w:hAnsi="ITC Avant Garde"/>
        </w:rPr>
        <w:t xml:space="preserve">En este sentido, el numeral 2.4 </w:t>
      </w:r>
      <w:r>
        <w:rPr>
          <w:rFonts w:ascii="ITC Avant Garde" w:hAnsi="ITC Avant Garde"/>
        </w:rPr>
        <w:t>Solicitudes de Servicio</w:t>
      </w:r>
      <w:r w:rsidRPr="005D5E5D">
        <w:rPr>
          <w:rFonts w:ascii="ITC Avant Garde" w:hAnsi="ITC Avant Garde"/>
        </w:rPr>
        <w:t xml:space="preserve">, establece que las partes implementarán servicios de interconexión directa en al menos dos </w:t>
      </w:r>
      <w:proofErr w:type="spellStart"/>
      <w:r w:rsidRPr="005D5E5D">
        <w:rPr>
          <w:rFonts w:ascii="ITC Avant Garde" w:hAnsi="ITC Avant Garde"/>
        </w:rPr>
        <w:t>PDICs</w:t>
      </w:r>
      <w:proofErr w:type="spellEnd"/>
      <w:r w:rsidRPr="005D5E5D">
        <w:rPr>
          <w:rFonts w:ascii="ITC Avant Garde" w:hAnsi="ITC Avant Garde"/>
        </w:rPr>
        <w:t xml:space="preserve"> por cada parte, para efectos de redundancia, además de habilitar balanceo de tráfico entre los concesionarios interconectados. </w:t>
      </w:r>
    </w:p>
    <w:p w14:paraId="0649FB1A" w14:textId="77777777" w:rsidR="00EB3BA5" w:rsidRPr="005D5E5D" w:rsidRDefault="00EB3BA5" w:rsidP="00430267">
      <w:pPr>
        <w:spacing w:after="0" w:line="276" w:lineRule="auto"/>
        <w:rPr>
          <w:rFonts w:ascii="ITC Avant Garde" w:hAnsi="ITC Avant Garde"/>
        </w:rPr>
      </w:pPr>
    </w:p>
    <w:p w14:paraId="5F32C094" w14:textId="77777777" w:rsidR="00EB3BA5" w:rsidRDefault="00EB3BA5" w:rsidP="00430267">
      <w:pPr>
        <w:spacing w:after="0" w:line="276" w:lineRule="auto"/>
        <w:rPr>
          <w:rFonts w:ascii="ITC Avant Garde" w:hAnsi="ITC Avant Garde"/>
        </w:rPr>
      </w:pPr>
      <w:r w:rsidRPr="005D5E5D">
        <w:rPr>
          <w:rFonts w:ascii="ITC Avant Garde" w:hAnsi="ITC Avant Garde"/>
        </w:rPr>
        <w:t xml:space="preserve">Este esquema simultáneo de redundancia y balanceo permite que los Concesionarios, de acuerdo con su arquitectura, puedan realizar una distribución del tráfico entre tantos puntos de interconexión y enlaces decidan implementar, </w:t>
      </w:r>
      <w:r w:rsidRPr="005D5E5D">
        <w:rPr>
          <w:rFonts w:ascii="ITC Avant Garde" w:hAnsi="ITC Avant Garde"/>
        </w:rPr>
        <w:lastRenderedPageBreak/>
        <w:t xml:space="preserve">donde el mínimo son dos </w:t>
      </w:r>
      <w:proofErr w:type="spellStart"/>
      <w:r w:rsidRPr="005D5E5D">
        <w:rPr>
          <w:rFonts w:ascii="ITC Avant Garde" w:hAnsi="ITC Avant Garde"/>
        </w:rPr>
        <w:t>PDICs</w:t>
      </w:r>
      <w:proofErr w:type="spellEnd"/>
      <w:r w:rsidRPr="005D5E5D">
        <w:rPr>
          <w:rFonts w:ascii="ITC Avant Garde" w:hAnsi="ITC Avant Garde"/>
        </w:rPr>
        <w:t>, pero pudiendo asemejar una estructura en forma de malla.</w:t>
      </w:r>
    </w:p>
    <w:p w14:paraId="3912C715" w14:textId="77777777" w:rsidR="00EB3BA5" w:rsidRDefault="00EB3BA5" w:rsidP="00430267">
      <w:pPr>
        <w:spacing w:after="0" w:line="276" w:lineRule="auto"/>
        <w:rPr>
          <w:rFonts w:ascii="ITC Avant Garde" w:hAnsi="ITC Avant Garde"/>
        </w:rPr>
      </w:pPr>
    </w:p>
    <w:p w14:paraId="206C37E3" w14:textId="77777777" w:rsidR="00EB3BA5" w:rsidRDefault="00EB3BA5" w:rsidP="00430267">
      <w:pPr>
        <w:spacing w:after="0" w:line="276" w:lineRule="auto"/>
        <w:rPr>
          <w:rFonts w:ascii="ITC Avant Garde" w:hAnsi="ITC Avant Garde"/>
        </w:rPr>
      </w:pPr>
      <w:r w:rsidRPr="004B6F1A">
        <w:rPr>
          <w:rFonts w:ascii="ITC Avant Garde" w:hAnsi="ITC Avant Garde"/>
        </w:rPr>
        <w:t xml:space="preserve">Además, también debe considerarse el carácter aleatorio y temporal de una falla, y que, bajo el escenario mínimo establecido en el CMI, dos </w:t>
      </w:r>
      <w:proofErr w:type="spellStart"/>
      <w:r w:rsidRPr="004B6F1A">
        <w:rPr>
          <w:rFonts w:ascii="ITC Avant Garde" w:hAnsi="ITC Avant Garde"/>
        </w:rPr>
        <w:t>PDICs</w:t>
      </w:r>
      <w:proofErr w:type="spellEnd"/>
      <w:r w:rsidRPr="004B6F1A">
        <w:rPr>
          <w:rFonts w:ascii="ITC Avant Garde" w:hAnsi="ITC Avant Garde"/>
        </w:rPr>
        <w:t xml:space="preserve"> por cada parte, el único escenario en el que un punto de interconexión no tenga la capacidad de recibir la totalidad de tráfico del punto con falla sería durante la hora de mayor tráfico (hora pico) y que aún bajo este escenario, el enlace redundante podrá tomar un 15% de tráfico adicional, considerando que los enlaces y puertos deberán estar dimensionados para soportar en la hora pico un máximo de 85% .</w:t>
      </w:r>
    </w:p>
    <w:p w14:paraId="72A8CF56" w14:textId="77777777" w:rsidR="00EB3BA5" w:rsidRDefault="00EB3BA5" w:rsidP="00430267">
      <w:pPr>
        <w:spacing w:after="0" w:line="276" w:lineRule="auto"/>
        <w:rPr>
          <w:rFonts w:ascii="ITC Avant Garde" w:hAnsi="ITC Avant Garde"/>
        </w:rPr>
      </w:pPr>
    </w:p>
    <w:p w14:paraId="51270835" w14:textId="0E8CA998" w:rsidR="00EB3BA5" w:rsidRDefault="00EB3BA5" w:rsidP="00430267">
      <w:pPr>
        <w:spacing w:after="0" w:line="276" w:lineRule="auto"/>
        <w:rPr>
          <w:rFonts w:ascii="ITC Avant Garde" w:hAnsi="ITC Avant Garde"/>
        </w:rPr>
      </w:pPr>
      <w:r w:rsidRPr="004B6F1A">
        <w:rPr>
          <w:rFonts w:ascii="ITC Avant Garde" w:hAnsi="ITC Avant Garde"/>
        </w:rPr>
        <w:t xml:space="preserve">Por lo anterior, </w:t>
      </w:r>
      <w:r>
        <w:rPr>
          <w:rFonts w:ascii="ITC Avant Garde" w:hAnsi="ITC Avant Garde"/>
        </w:rPr>
        <w:t>se modifica el</w:t>
      </w:r>
      <w:r w:rsidRPr="004B6F1A">
        <w:rPr>
          <w:rFonts w:ascii="ITC Avant Garde" w:hAnsi="ITC Avant Garde"/>
        </w:rPr>
        <w:t xml:space="preserve"> numeral</w:t>
      </w:r>
      <w:r>
        <w:rPr>
          <w:rFonts w:ascii="ITC Avant Garde" w:hAnsi="ITC Avant Garde"/>
        </w:rPr>
        <w:t xml:space="preserve"> </w:t>
      </w:r>
      <w:r w:rsidRPr="004B6F1A">
        <w:rPr>
          <w:rFonts w:ascii="ITC Avant Garde" w:hAnsi="ITC Avant Garde"/>
        </w:rPr>
        <w:t>2.4 en los siguientes</w:t>
      </w:r>
      <w:r>
        <w:rPr>
          <w:rFonts w:ascii="ITC Avant Garde" w:hAnsi="ITC Avant Garde"/>
        </w:rPr>
        <w:t xml:space="preserve"> términos</w:t>
      </w:r>
      <w:r w:rsidRPr="004B6F1A">
        <w:rPr>
          <w:rFonts w:ascii="ITC Avant Garde" w:hAnsi="ITC Avant Garde"/>
        </w:rPr>
        <w:t>:</w:t>
      </w:r>
    </w:p>
    <w:p w14:paraId="47ED8DFC" w14:textId="77777777" w:rsidR="00EB3BA5" w:rsidRDefault="00EB3BA5" w:rsidP="00430267">
      <w:pPr>
        <w:autoSpaceDE w:val="0"/>
        <w:autoSpaceDN w:val="0"/>
        <w:adjustRightInd w:val="0"/>
        <w:spacing w:after="0" w:line="276" w:lineRule="auto"/>
        <w:ind w:right="49"/>
        <w:rPr>
          <w:rFonts w:ascii="ITC Avant Garde" w:hAnsi="ITC Avant Garde"/>
          <w:b/>
          <w:bCs/>
        </w:rPr>
      </w:pPr>
    </w:p>
    <w:p w14:paraId="2962D5F6" w14:textId="77777777" w:rsidR="00EB3BA5" w:rsidRPr="00430267" w:rsidRDefault="00EB3BA5" w:rsidP="00430267">
      <w:pPr>
        <w:autoSpaceDE w:val="0"/>
        <w:autoSpaceDN w:val="0"/>
        <w:adjustRightInd w:val="0"/>
        <w:spacing w:after="0" w:line="276" w:lineRule="auto"/>
        <w:ind w:left="567"/>
        <w:rPr>
          <w:rFonts w:ascii="ITC Avant Garde" w:hAnsi="ITC Avant Garde" w:cs="Arial"/>
          <w:bCs/>
          <w:i/>
          <w:iCs/>
          <w:sz w:val="18"/>
          <w:szCs w:val="18"/>
        </w:rPr>
      </w:pPr>
      <w:r w:rsidRPr="00430267">
        <w:rPr>
          <w:rFonts w:ascii="ITC Avant Garde" w:hAnsi="ITC Avant Garde" w:cs="Arial"/>
          <w:bCs/>
          <w:i/>
          <w:iCs/>
          <w:sz w:val="18"/>
          <w:szCs w:val="18"/>
        </w:rPr>
        <w:t>“</w:t>
      </w:r>
      <w:r w:rsidRPr="00430267">
        <w:rPr>
          <w:rFonts w:ascii="ITC Avant Garde" w:hAnsi="ITC Avant Garde" w:cs="Arial"/>
          <w:b/>
          <w:i/>
          <w:iCs/>
          <w:sz w:val="18"/>
          <w:szCs w:val="18"/>
        </w:rPr>
        <w:t>2.4. SOLICITUDES DE SERVICIO.</w:t>
      </w:r>
    </w:p>
    <w:p w14:paraId="4FB7058C"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w:t>
      </w:r>
    </w:p>
    <w:p w14:paraId="3B5CBB21"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Redundancia y balanceo de Tráfico.</w:t>
      </w:r>
    </w:p>
    <w:p w14:paraId="6F83B0B6" w14:textId="77777777" w:rsidR="00EB3BA5" w:rsidRPr="00430267" w:rsidRDefault="00EB3BA5" w:rsidP="00430267">
      <w:pPr>
        <w:spacing w:after="0" w:line="276" w:lineRule="auto"/>
        <w:ind w:left="567" w:right="615"/>
        <w:rPr>
          <w:rFonts w:ascii="ITC Avant Garde" w:hAnsi="ITC Avant Garde" w:cs="Arial"/>
          <w:bCs/>
          <w:i/>
          <w:iCs/>
          <w:sz w:val="18"/>
          <w:szCs w:val="18"/>
        </w:rPr>
      </w:pPr>
    </w:p>
    <w:p w14:paraId="2A1F1A26"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 xml:space="preserve">Las Partes están de acuerdo en implementar Servicios de Interconexión directa en al menos 2 (dos) </w:t>
      </w:r>
      <w:proofErr w:type="spellStart"/>
      <w:r w:rsidRPr="00430267">
        <w:rPr>
          <w:rFonts w:ascii="ITC Avant Garde" w:hAnsi="ITC Avant Garde" w:cs="Arial"/>
          <w:bCs/>
          <w:i/>
          <w:iCs/>
          <w:sz w:val="18"/>
          <w:szCs w:val="18"/>
        </w:rPr>
        <w:t>PDICs</w:t>
      </w:r>
      <w:proofErr w:type="spellEnd"/>
      <w:r w:rsidRPr="00430267">
        <w:rPr>
          <w:rFonts w:ascii="ITC Avant Garde" w:hAnsi="ITC Avant Garde" w:cs="Arial"/>
          <w:bCs/>
          <w:i/>
          <w:iCs/>
          <w:sz w:val="18"/>
          <w:szCs w:val="18"/>
        </w:rPr>
        <w:t xml:space="preserve"> por cada Parte, para efectos de redundancia. </w:t>
      </w:r>
    </w:p>
    <w:p w14:paraId="063AEA2B" w14:textId="77777777" w:rsidR="00EB3BA5" w:rsidRPr="00430267" w:rsidRDefault="00EB3BA5" w:rsidP="00430267">
      <w:pPr>
        <w:spacing w:after="0" w:line="276" w:lineRule="auto"/>
        <w:ind w:left="567" w:right="615"/>
        <w:rPr>
          <w:rFonts w:ascii="ITC Avant Garde" w:hAnsi="ITC Avant Garde" w:cs="Arial"/>
          <w:bCs/>
          <w:i/>
          <w:iCs/>
          <w:sz w:val="18"/>
          <w:szCs w:val="18"/>
        </w:rPr>
      </w:pPr>
    </w:p>
    <w:p w14:paraId="1D36163E"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 xml:space="preserve">Para efectos de redundancia local (misma ciudad) o geográfica (distinta ciudad), las partes están de acuerdo en implementar Servicios de Interconexión directa </w:t>
      </w:r>
      <w:proofErr w:type="spellStart"/>
      <w:r w:rsidRPr="00430267">
        <w:rPr>
          <w:rFonts w:ascii="ITC Avant Garde" w:hAnsi="ITC Avant Garde" w:cs="Arial"/>
          <w:bCs/>
          <w:i/>
          <w:iCs/>
          <w:strike/>
          <w:sz w:val="18"/>
          <w:szCs w:val="18"/>
        </w:rPr>
        <w:t>entre</w:t>
      </w:r>
      <w:r w:rsidRPr="00430267">
        <w:rPr>
          <w:rFonts w:ascii="ITC Avant Garde" w:hAnsi="ITC Avant Garde" w:cs="Arial"/>
          <w:bCs/>
          <w:i/>
          <w:iCs/>
          <w:sz w:val="18"/>
          <w:szCs w:val="18"/>
          <w:u w:val="single"/>
        </w:rPr>
        <w:t>en</w:t>
      </w:r>
      <w:proofErr w:type="spellEnd"/>
      <w:r w:rsidRPr="00430267">
        <w:rPr>
          <w:rFonts w:ascii="ITC Avant Garde" w:hAnsi="ITC Avant Garde" w:cs="Arial"/>
          <w:bCs/>
          <w:i/>
          <w:iCs/>
          <w:sz w:val="18"/>
          <w:szCs w:val="18"/>
          <w:u w:val="single"/>
        </w:rPr>
        <w:t xml:space="preserve"> al menos</w:t>
      </w:r>
      <w:r w:rsidRPr="00430267">
        <w:rPr>
          <w:rFonts w:ascii="ITC Avant Garde" w:hAnsi="ITC Avant Garde" w:cs="Arial"/>
          <w:bCs/>
          <w:i/>
          <w:iCs/>
          <w:sz w:val="18"/>
          <w:szCs w:val="18"/>
        </w:rPr>
        <w:t xml:space="preserve"> 2 sitios distintos, de modo que entre dichos sitios siempre se habilitará un balanceo de tráfico entre TELMEX/TELNOR y el CONCESIONARIO. Dicho balanceo permitirá realizar el desborde sobre el sitio redundante disminuyendo la afectación a los servicios cursantes.</w:t>
      </w:r>
    </w:p>
    <w:p w14:paraId="3EFFF8DA" w14:textId="77777777" w:rsidR="00EB3BA5" w:rsidRPr="00430267" w:rsidRDefault="00EB3BA5" w:rsidP="00430267">
      <w:pPr>
        <w:spacing w:after="0" w:line="276" w:lineRule="auto"/>
        <w:ind w:left="567" w:right="615"/>
        <w:rPr>
          <w:rFonts w:ascii="ITC Avant Garde" w:hAnsi="ITC Avant Garde" w:cs="Arial"/>
          <w:bCs/>
          <w:i/>
          <w:iCs/>
          <w:sz w:val="18"/>
          <w:szCs w:val="18"/>
        </w:rPr>
      </w:pPr>
    </w:p>
    <w:p w14:paraId="7CFAA31A"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 xml:space="preserve">De tal manera, de presentarse fallas en los Servicios de Interconexión en uno de los </w:t>
      </w:r>
      <w:proofErr w:type="spellStart"/>
      <w:r w:rsidRPr="00430267">
        <w:rPr>
          <w:rFonts w:ascii="ITC Avant Garde" w:hAnsi="ITC Avant Garde" w:cs="Arial"/>
          <w:bCs/>
          <w:i/>
          <w:iCs/>
          <w:sz w:val="18"/>
          <w:szCs w:val="18"/>
        </w:rPr>
        <w:t>PDICs</w:t>
      </w:r>
      <w:proofErr w:type="spellEnd"/>
      <w:r w:rsidRPr="00430267">
        <w:rPr>
          <w:rFonts w:ascii="ITC Avant Garde" w:hAnsi="ITC Avant Garde" w:cs="Arial"/>
          <w:bCs/>
          <w:i/>
          <w:iCs/>
          <w:sz w:val="18"/>
          <w:szCs w:val="18"/>
        </w:rPr>
        <w:t xml:space="preserve">, que pudieren ocasionar mala calidad u otras afectaciones en la Terminación de Tráfico, las Partes deberán enrutar dicho Tráfico de manera temporal hacia </w:t>
      </w:r>
      <w:r w:rsidRPr="00430267">
        <w:rPr>
          <w:rFonts w:ascii="ITC Avant Garde" w:hAnsi="ITC Avant Garde" w:cs="Arial"/>
          <w:bCs/>
          <w:i/>
          <w:iCs/>
          <w:strike/>
          <w:sz w:val="18"/>
          <w:szCs w:val="18"/>
        </w:rPr>
        <w:t xml:space="preserve">el </w:t>
      </w:r>
      <w:proofErr w:type="spellStart"/>
      <w:r w:rsidRPr="00430267">
        <w:rPr>
          <w:rFonts w:ascii="ITC Avant Garde" w:hAnsi="ITC Avant Garde" w:cs="Arial"/>
          <w:bCs/>
          <w:i/>
          <w:iCs/>
          <w:strike/>
          <w:sz w:val="18"/>
          <w:szCs w:val="18"/>
        </w:rPr>
        <w:t>otro</w:t>
      </w:r>
      <w:r w:rsidRPr="00430267">
        <w:rPr>
          <w:rFonts w:ascii="ITC Avant Garde" w:hAnsi="ITC Avant Garde" w:cs="Arial"/>
          <w:bCs/>
          <w:i/>
          <w:iCs/>
          <w:sz w:val="18"/>
          <w:szCs w:val="18"/>
          <w:u w:val="single"/>
        </w:rPr>
        <w:t>los</w:t>
      </w:r>
      <w:proofErr w:type="spellEnd"/>
      <w:r w:rsidRPr="00430267">
        <w:rPr>
          <w:rFonts w:ascii="ITC Avant Garde" w:hAnsi="ITC Avant Garde" w:cs="Arial"/>
          <w:bCs/>
          <w:i/>
          <w:iCs/>
          <w:sz w:val="18"/>
          <w:szCs w:val="18"/>
        </w:rPr>
        <w:t xml:space="preserve"> </w:t>
      </w:r>
      <w:proofErr w:type="spellStart"/>
      <w:r w:rsidRPr="00430267">
        <w:rPr>
          <w:rFonts w:ascii="ITC Avant Garde" w:hAnsi="ITC Avant Garde" w:cs="Arial"/>
          <w:bCs/>
          <w:i/>
          <w:iCs/>
          <w:sz w:val="18"/>
          <w:szCs w:val="18"/>
        </w:rPr>
        <w:t>PDIC</w:t>
      </w:r>
      <w:r w:rsidRPr="00430267">
        <w:rPr>
          <w:rFonts w:ascii="ITC Avant Garde" w:hAnsi="ITC Avant Garde" w:cs="Arial"/>
          <w:bCs/>
          <w:i/>
          <w:iCs/>
          <w:sz w:val="18"/>
          <w:szCs w:val="18"/>
          <w:u w:val="single"/>
        </w:rPr>
        <w:t>s</w:t>
      </w:r>
      <w:proofErr w:type="spellEnd"/>
      <w:r w:rsidRPr="00430267">
        <w:rPr>
          <w:rFonts w:ascii="ITC Avant Garde" w:hAnsi="ITC Avant Garde" w:cs="Arial"/>
          <w:bCs/>
          <w:i/>
          <w:iCs/>
          <w:sz w:val="18"/>
          <w:szCs w:val="18"/>
          <w:u w:val="single"/>
        </w:rPr>
        <w:t xml:space="preserve"> </w:t>
      </w:r>
      <w:r w:rsidRPr="00430267">
        <w:rPr>
          <w:rFonts w:ascii="ITC Avant Garde" w:hAnsi="ITC Avant Garde" w:cs="Arial"/>
          <w:bCs/>
          <w:i/>
          <w:iCs/>
          <w:sz w:val="18"/>
          <w:szCs w:val="18"/>
        </w:rPr>
        <w:t>que se encuentre</w:t>
      </w:r>
      <w:r w:rsidRPr="00430267">
        <w:rPr>
          <w:rFonts w:ascii="ITC Avant Garde" w:hAnsi="ITC Avant Garde" w:cs="Arial"/>
          <w:bCs/>
          <w:i/>
          <w:iCs/>
          <w:sz w:val="18"/>
          <w:szCs w:val="18"/>
          <w:u w:val="single"/>
        </w:rPr>
        <w:t>n</w:t>
      </w:r>
      <w:r w:rsidRPr="00430267">
        <w:rPr>
          <w:rFonts w:ascii="ITC Avant Garde" w:hAnsi="ITC Avant Garde" w:cs="Arial"/>
          <w:bCs/>
          <w:i/>
          <w:iCs/>
          <w:sz w:val="18"/>
          <w:szCs w:val="18"/>
        </w:rPr>
        <w:t xml:space="preserve"> en servicio. </w:t>
      </w:r>
    </w:p>
    <w:p w14:paraId="36500978" w14:textId="77777777" w:rsidR="00EB3BA5" w:rsidRPr="00430267" w:rsidRDefault="00EB3BA5" w:rsidP="00430267">
      <w:pPr>
        <w:spacing w:after="0" w:line="276" w:lineRule="auto"/>
        <w:ind w:left="567" w:right="615"/>
        <w:rPr>
          <w:rFonts w:ascii="ITC Avant Garde" w:hAnsi="ITC Avant Garde" w:cs="Arial"/>
          <w:bCs/>
          <w:i/>
          <w:iCs/>
          <w:sz w:val="18"/>
          <w:szCs w:val="18"/>
        </w:rPr>
      </w:pPr>
    </w:p>
    <w:p w14:paraId="3787FF29"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 xml:space="preserve">Una vez reestablecida la conectividad en el PDIC afectado, el Tráfico se deberá balancear nuevamente sobre los </w:t>
      </w:r>
      <w:proofErr w:type="spellStart"/>
      <w:r w:rsidRPr="00430267">
        <w:rPr>
          <w:rFonts w:ascii="ITC Avant Garde" w:hAnsi="ITC Avant Garde" w:cs="Arial"/>
          <w:bCs/>
          <w:i/>
          <w:iCs/>
          <w:sz w:val="18"/>
          <w:szCs w:val="18"/>
        </w:rPr>
        <w:t>PDICs</w:t>
      </w:r>
      <w:proofErr w:type="spellEnd"/>
      <w:r w:rsidRPr="00430267">
        <w:rPr>
          <w:rFonts w:ascii="ITC Avant Garde" w:hAnsi="ITC Avant Garde" w:cs="Arial"/>
          <w:bCs/>
          <w:i/>
          <w:iCs/>
          <w:sz w:val="18"/>
          <w:szCs w:val="18"/>
        </w:rPr>
        <w:t xml:space="preserve"> entre los que se establece la interconexión.</w:t>
      </w:r>
    </w:p>
    <w:p w14:paraId="77549511"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w:t>
      </w:r>
    </w:p>
    <w:p w14:paraId="02E7B0D4" w14:textId="77777777" w:rsidR="00EB3BA5" w:rsidRPr="00430267" w:rsidRDefault="00EB3BA5" w:rsidP="00430267">
      <w:pPr>
        <w:spacing w:after="0" w:line="276" w:lineRule="auto"/>
        <w:ind w:left="567" w:right="615"/>
        <w:rPr>
          <w:rFonts w:ascii="ITC Avant Garde" w:hAnsi="ITC Avant Garde" w:cs="Arial"/>
          <w:bCs/>
          <w:i/>
          <w:iCs/>
          <w:sz w:val="18"/>
          <w:szCs w:val="18"/>
        </w:rPr>
      </w:pPr>
      <w:r w:rsidRPr="00430267">
        <w:rPr>
          <w:rFonts w:ascii="ITC Avant Garde" w:hAnsi="ITC Avant Garde" w:cs="Arial"/>
          <w:bCs/>
          <w:i/>
          <w:iCs/>
          <w:sz w:val="18"/>
          <w:szCs w:val="18"/>
        </w:rPr>
        <w:t xml:space="preserve">Los enlaces y puertos asociados por sitio deberán estar dimensionados para soportar en la hora pico un máximo de 85% (ochenta y cinco por ciento) de carga, </w:t>
      </w:r>
      <w:proofErr w:type="spellStart"/>
      <w:r w:rsidRPr="00430267">
        <w:rPr>
          <w:rFonts w:ascii="ITC Avant Garde" w:hAnsi="ITC Avant Garde" w:cs="Arial"/>
          <w:bCs/>
          <w:i/>
          <w:iCs/>
          <w:strike/>
          <w:sz w:val="18"/>
          <w:szCs w:val="18"/>
        </w:rPr>
        <w:t>en</w:t>
      </w:r>
      <w:r w:rsidRPr="00430267">
        <w:rPr>
          <w:rFonts w:ascii="ITC Avant Garde" w:hAnsi="ITC Avant Garde" w:cs="Arial"/>
          <w:bCs/>
          <w:i/>
          <w:iCs/>
          <w:sz w:val="18"/>
          <w:szCs w:val="18"/>
          <w:u w:val="single"/>
        </w:rPr>
        <w:t>siendo</w:t>
      </w:r>
      <w:proofErr w:type="spellEnd"/>
      <w:r w:rsidRPr="00430267">
        <w:rPr>
          <w:rFonts w:ascii="ITC Avant Garde" w:hAnsi="ITC Avant Garde" w:cs="Arial"/>
          <w:bCs/>
          <w:i/>
          <w:iCs/>
          <w:sz w:val="18"/>
          <w:szCs w:val="18"/>
          <w:u w:val="single"/>
        </w:rPr>
        <w:t xml:space="preserve"> éste </w:t>
      </w:r>
      <w:r w:rsidRPr="00430267">
        <w:rPr>
          <w:rFonts w:ascii="ITC Avant Garde" w:hAnsi="ITC Avant Garde" w:cs="Arial"/>
          <w:bCs/>
          <w:i/>
          <w:iCs/>
          <w:sz w:val="18"/>
          <w:szCs w:val="18"/>
        </w:rPr>
        <w:t xml:space="preserve">el </w:t>
      </w:r>
      <w:r w:rsidRPr="00430267">
        <w:rPr>
          <w:rFonts w:ascii="ITC Avant Garde" w:hAnsi="ITC Avant Garde" w:cs="Arial"/>
          <w:bCs/>
          <w:i/>
          <w:iCs/>
          <w:strike/>
          <w:sz w:val="18"/>
          <w:szCs w:val="18"/>
        </w:rPr>
        <w:t xml:space="preserve">caso de requerirse crecimiento de servicios de interconexión, el porcentaje de ocupación referido (85%) deberá ser constante en un periodo de 2 </w:t>
      </w:r>
      <w:proofErr w:type="spellStart"/>
      <w:r w:rsidRPr="00430267">
        <w:rPr>
          <w:rFonts w:ascii="ITC Avant Garde" w:hAnsi="ITC Avant Garde" w:cs="Arial"/>
          <w:bCs/>
          <w:i/>
          <w:iCs/>
          <w:strike/>
          <w:sz w:val="18"/>
          <w:szCs w:val="18"/>
        </w:rPr>
        <w:t>meses</w:t>
      </w:r>
      <w:r w:rsidRPr="00430267">
        <w:rPr>
          <w:rFonts w:ascii="ITC Avant Garde" w:hAnsi="ITC Avant Garde" w:cs="Arial"/>
          <w:bCs/>
          <w:i/>
          <w:iCs/>
          <w:sz w:val="18"/>
          <w:szCs w:val="18"/>
          <w:u w:val="single"/>
        </w:rPr>
        <w:t>parámetro</w:t>
      </w:r>
      <w:proofErr w:type="spellEnd"/>
      <w:r w:rsidRPr="00430267">
        <w:rPr>
          <w:rFonts w:ascii="ITC Avant Garde" w:hAnsi="ITC Avant Garde" w:cs="Arial"/>
          <w:bCs/>
          <w:i/>
          <w:iCs/>
          <w:sz w:val="18"/>
          <w:szCs w:val="18"/>
          <w:u w:val="single"/>
        </w:rPr>
        <w:t xml:space="preserve"> determinante </w:t>
      </w:r>
      <w:r w:rsidRPr="00430267">
        <w:rPr>
          <w:rFonts w:ascii="ITC Avant Garde" w:hAnsi="ITC Avant Garde" w:cs="Arial"/>
          <w:bCs/>
          <w:i/>
          <w:iCs/>
          <w:sz w:val="18"/>
          <w:szCs w:val="18"/>
        </w:rPr>
        <w:t xml:space="preserve">para </w:t>
      </w:r>
      <w:r w:rsidRPr="00430267">
        <w:rPr>
          <w:rFonts w:ascii="ITC Avant Garde" w:hAnsi="ITC Avant Garde" w:cs="Arial"/>
          <w:bCs/>
          <w:i/>
          <w:iCs/>
          <w:strike/>
          <w:sz w:val="18"/>
          <w:szCs w:val="18"/>
        </w:rPr>
        <w:t xml:space="preserve">considerar </w:t>
      </w:r>
      <w:r w:rsidRPr="00430267">
        <w:rPr>
          <w:rFonts w:ascii="ITC Avant Garde" w:hAnsi="ITC Avant Garde" w:cs="Arial"/>
          <w:bCs/>
          <w:i/>
          <w:iCs/>
          <w:sz w:val="18"/>
          <w:szCs w:val="18"/>
        </w:rPr>
        <w:t>realizar el crecimiento de los servicios. Con lo anterior, en caso de falla de uno de los sitios, el tráfico se enrutará al enlace en servicio, previniendo la afectación del servicio.”</w:t>
      </w:r>
    </w:p>
    <w:p w14:paraId="0D776E0A" w14:textId="77777777" w:rsidR="00EB3BA5" w:rsidRPr="00430267" w:rsidRDefault="00EB3BA5" w:rsidP="00430267">
      <w:pPr>
        <w:spacing w:after="0" w:line="276" w:lineRule="auto"/>
        <w:ind w:left="567" w:right="615"/>
        <w:jc w:val="right"/>
        <w:rPr>
          <w:rFonts w:ascii="ITC Avant Garde" w:hAnsi="ITC Avant Garde" w:cs="Arial"/>
          <w:bCs/>
          <w:sz w:val="18"/>
          <w:szCs w:val="18"/>
        </w:rPr>
      </w:pPr>
      <w:r w:rsidRPr="00430267">
        <w:rPr>
          <w:rFonts w:ascii="ITC Avant Garde" w:hAnsi="ITC Avant Garde" w:cs="Arial"/>
          <w:bCs/>
          <w:sz w:val="18"/>
          <w:szCs w:val="18"/>
        </w:rPr>
        <w:t>Énfasis añadido</w:t>
      </w:r>
    </w:p>
    <w:p w14:paraId="07EA7C34" w14:textId="77777777" w:rsidR="00EB3BA5" w:rsidRPr="00087DB0" w:rsidRDefault="00EB3BA5" w:rsidP="00430267">
      <w:pPr>
        <w:autoSpaceDE w:val="0"/>
        <w:autoSpaceDN w:val="0"/>
        <w:adjustRightInd w:val="0"/>
        <w:spacing w:after="0" w:line="276" w:lineRule="auto"/>
        <w:ind w:right="49"/>
        <w:rPr>
          <w:rFonts w:ascii="ITC Avant Garde" w:hAnsi="ITC Avant Garde"/>
          <w:b/>
          <w:bCs/>
        </w:rPr>
      </w:pPr>
    </w:p>
    <w:p w14:paraId="50330D64" w14:textId="6D4204D9" w:rsidR="00D63EA6" w:rsidRPr="00087DB0" w:rsidRDefault="00D63EA6" w:rsidP="00430267">
      <w:pPr>
        <w:spacing w:after="0" w:line="276" w:lineRule="auto"/>
        <w:rPr>
          <w:rFonts w:ascii="ITC Avant Garde" w:hAnsi="ITC Avant Garde"/>
          <w:b/>
          <w:bCs/>
        </w:rPr>
      </w:pPr>
    </w:p>
    <w:p w14:paraId="28814395" w14:textId="2CC03B02" w:rsidR="00B42203" w:rsidRPr="00087DB0" w:rsidRDefault="005F71B3"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 xml:space="preserve">CANIETI y </w:t>
      </w:r>
      <w:r w:rsidR="00B42203" w:rsidRPr="00087DB0">
        <w:rPr>
          <w:rFonts w:ascii="ITC Avant Garde" w:hAnsi="ITC Avant Garde"/>
          <w:b/>
          <w:bCs/>
        </w:rPr>
        <w:t>AT&amp;T</w:t>
      </w:r>
    </w:p>
    <w:p w14:paraId="1ABC9128" w14:textId="1E51F94B" w:rsidR="00D63EA6" w:rsidRPr="00087DB0" w:rsidRDefault="00B42203" w:rsidP="00430267">
      <w:pPr>
        <w:spacing w:after="0" w:line="276" w:lineRule="auto"/>
        <w:rPr>
          <w:rFonts w:ascii="ITC Avant Garde" w:hAnsi="ITC Avant Garde"/>
        </w:rPr>
      </w:pPr>
      <w:r w:rsidRPr="00087DB0">
        <w:rPr>
          <w:rFonts w:ascii="ITC Avant Garde" w:hAnsi="ITC Avant Garde"/>
        </w:rPr>
        <w:lastRenderedPageBreak/>
        <w:t>Sugiere eliminar la obligación de entrega de pronósticos en la interconexión puesto que existe un mecanismo establecido para definir cuándo se debe incrementar la capacidad. Asimismo, señala que ningún concesionario solicita estimaciones de tráfico en las interconexiones y nunca han existido problemáticas relacionadas con las mismas.</w:t>
      </w:r>
    </w:p>
    <w:p w14:paraId="49D579F4" w14:textId="77777777" w:rsidR="00B42203" w:rsidRPr="00087DB0" w:rsidRDefault="00B42203" w:rsidP="00430267">
      <w:pPr>
        <w:spacing w:after="0" w:line="276" w:lineRule="auto"/>
        <w:rPr>
          <w:rFonts w:ascii="ITC Avant Garde" w:hAnsi="ITC Avant Garde"/>
        </w:rPr>
      </w:pPr>
    </w:p>
    <w:p w14:paraId="3F1DE84B" w14:textId="77777777" w:rsidR="00B42203" w:rsidRPr="00087DB0" w:rsidRDefault="00B42203"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 xml:space="preserve">Consideraciones del Instituto </w:t>
      </w:r>
    </w:p>
    <w:p w14:paraId="79656886" w14:textId="254EF86A" w:rsidR="00B42203" w:rsidRPr="00087DB0" w:rsidRDefault="00B42203"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No se considera la propuesta de eliminación de las referencias al intercambio de pronósticos dado que los requerimientos de capacidad y la proyección de demanda de capacidad se encuentran considerados dentro de las condiciones técnicas del CMI conforme a la fracción I, inciso d) de la medida Duodécima de las Medidas Fijas</w:t>
      </w:r>
      <w:r w:rsidR="00C130AB" w:rsidRPr="00F50512">
        <w:rPr>
          <w:rStyle w:val="Refdenotaalpie"/>
          <w:rFonts w:ascii="ITC Avant Garde" w:hAnsi="ITC Avant Garde" w:cs="Arial"/>
        </w:rPr>
        <w:footnoteReference w:id="3"/>
      </w:r>
      <w:r w:rsidRPr="00087DB0">
        <w:rPr>
          <w:rFonts w:ascii="ITC Avant Garde" w:hAnsi="ITC Avant Garde"/>
        </w:rPr>
        <w:t>.</w:t>
      </w:r>
    </w:p>
    <w:p w14:paraId="18C0FB6F" w14:textId="5A42E3CC" w:rsidR="00D63EA6" w:rsidRPr="00087DB0" w:rsidRDefault="00D63EA6" w:rsidP="00430267">
      <w:pPr>
        <w:spacing w:after="0" w:line="276" w:lineRule="auto"/>
        <w:rPr>
          <w:rFonts w:ascii="ITC Avant Garde" w:hAnsi="ITC Avant Garde"/>
          <w:b/>
          <w:bCs/>
        </w:rPr>
      </w:pPr>
    </w:p>
    <w:p w14:paraId="0A87AF44" w14:textId="74DF5171" w:rsidR="0019659A" w:rsidRPr="00087DB0" w:rsidRDefault="00CB3A04" w:rsidP="00430267">
      <w:pPr>
        <w:autoSpaceDE w:val="0"/>
        <w:autoSpaceDN w:val="0"/>
        <w:adjustRightInd w:val="0"/>
        <w:spacing w:after="0" w:line="276" w:lineRule="auto"/>
        <w:ind w:right="49"/>
        <w:rPr>
          <w:rFonts w:ascii="ITC Avant Garde" w:hAnsi="ITC Avant Garde"/>
          <w:b/>
          <w:bCs/>
          <w:u w:val="single"/>
        </w:rPr>
      </w:pPr>
      <w:r w:rsidRPr="00087DB0">
        <w:rPr>
          <w:rFonts w:ascii="ITC Avant Garde" w:hAnsi="ITC Avant Garde"/>
          <w:b/>
          <w:bCs/>
          <w:u w:val="single"/>
        </w:rPr>
        <w:t>Cláusula Cuarta. Contraprestaciones</w:t>
      </w:r>
    </w:p>
    <w:p w14:paraId="125B6AE5" w14:textId="77777777" w:rsidR="0019659A" w:rsidRPr="00087DB0" w:rsidRDefault="0019659A" w:rsidP="00430267">
      <w:pPr>
        <w:autoSpaceDE w:val="0"/>
        <w:autoSpaceDN w:val="0"/>
        <w:adjustRightInd w:val="0"/>
        <w:spacing w:after="0" w:line="276" w:lineRule="auto"/>
        <w:ind w:right="49"/>
        <w:rPr>
          <w:rFonts w:ascii="ITC Avant Garde" w:hAnsi="ITC Avant Garde"/>
          <w:b/>
          <w:bCs/>
        </w:rPr>
      </w:pPr>
    </w:p>
    <w:p w14:paraId="7CA33590" w14:textId="0E6DC42C" w:rsidR="005F71B3" w:rsidRPr="00087DB0" w:rsidRDefault="00CB3A04" w:rsidP="00430267">
      <w:pPr>
        <w:autoSpaceDE w:val="0"/>
        <w:autoSpaceDN w:val="0"/>
        <w:adjustRightInd w:val="0"/>
        <w:spacing w:after="0" w:line="276" w:lineRule="auto"/>
        <w:ind w:right="49"/>
        <w:rPr>
          <w:rFonts w:ascii="ITC Avant Garde" w:hAnsi="ITC Avant Garde"/>
          <w:b/>
          <w:bCs/>
          <w:u w:val="single"/>
        </w:rPr>
      </w:pPr>
      <w:r w:rsidRPr="00087DB0">
        <w:rPr>
          <w:rFonts w:ascii="ITC Avant Garde" w:hAnsi="ITC Avant Garde"/>
          <w:b/>
          <w:bCs/>
          <w:u w:val="single"/>
        </w:rPr>
        <w:t xml:space="preserve">4.4.2 Época </w:t>
      </w:r>
      <w:r>
        <w:rPr>
          <w:rFonts w:ascii="ITC Avant Garde" w:hAnsi="ITC Avant Garde"/>
          <w:b/>
          <w:bCs/>
          <w:u w:val="single"/>
        </w:rPr>
        <w:t>y</w:t>
      </w:r>
      <w:r w:rsidRPr="00087DB0">
        <w:rPr>
          <w:rFonts w:ascii="ITC Avant Garde" w:hAnsi="ITC Avant Garde"/>
          <w:b/>
          <w:bCs/>
          <w:u w:val="single"/>
        </w:rPr>
        <w:t xml:space="preserve"> Forma </w:t>
      </w:r>
      <w:r>
        <w:rPr>
          <w:rFonts w:ascii="ITC Avant Garde" w:hAnsi="ITC Avant Garde"/>
          <w:b/>
          <w:bCs/>
          <w:u w:val="single"/>
        </w:rPr>
        <w:t>d</w:t>
      </w:r>
      <w:r w:rsidRPr="00087DB0">
        <w:rPr>
          <w:rFonts w:ascii="ITC Avant Garde" w:hAnsi="ITC Avant Garde"/>
          <w:b/>
          <w:bCs/>
          <w:u w:val="single"/>
        </w:rPr>
        <w:t>e Pago</w:t>
      </w:r>
    </w:p>
    <w:p w14:paraId="1C4AC93B" w14:textId="77777777" w:rsidR="005F71B3" w:rsidRPr="00087DB0" w:rsidRDefault="005F71B3" w:rsidP="00430267">
      <w:pPr>
        <w:autoSpaceDE w:val="0"/>
        <w:autoSpaceDN w:val="0"/>
        <w:adjustRightInd w:val="0"/>
        <w:spacing w:after="0" w:line="276" w:lineRule="auto"/>
        <w:ind w:right="49"/>
        <w:rPr>
          <w:rFonts w:ascii="ITC Avant Garde" w:hAnsi="ITC Avant Garde"/>
          <w:b/>
          <w:bCs/>
          <w:u w:val="single"/>
        </w:rPr>
      </w:pPr>
    </w:p>
    <w:p w14:paraId="7C168FE8" w14:textId="06D55FF4" w:rsidR="005F71B3" w:rsidRPr="00087DB0" w:rsidRDefault="005F71B3"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CANIETI y AT&amp;T</w:t>
      </w:r>
    </w:p>
    <w:p w14:paraId="5FD4CFD6" w14:textId="77777777" w:rsidR="005F71B3" w:rsidRPr="00087DB0" w:rsidRDefault="005F71B3"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Proponen modificar la redacción del segundo párrafo del numeral 4.4.2, para </w:t>
      </w:r>
      <w:proofErr w:type="spellStart"/>
      <w:r w:rsidRPr="00087DB0">
        <w:rPr>
          <w:rFonts w:ascii="ITC Avant Garde" w:hAnsi="ITC Avant Garde"/>
        </w:rPr>
        <w:t>reiretar</w:t>
      </w:r>
      <w:proofErr w:type="spellEnd"/>
      <w:r w:rsidRPr="00087DB0">
        <w:rPr>
          <w:rFonts w:ascii="ITC Avant Garde" w:hAnsi="ITC Avant Garde"/>
        </w:rPr>
        <w:t xml:space="preserve"> el plazo de 18 días para objeciones:</w:t>
      </w:r>
    </w:p>
    <w:p w14:paraId="3724225F" w14:textId="77777777" w:rsidR="005F71B3" w:rsidRPr="00087DB0" w:rsidRDefault="005F71B3" w:rsidP="00430267">
      <w:pPr>
        <w:autoSpaceDE w:val="0"/>
        <w:autoSpaceDN w:val="0"/>
        <w:adjustRightInd w:val="0"/>
        <w:spacing w:after="0" w:line="276" w:lineRule="auto"/>
        <w:ind w:right="49"/>
        <w:rPr>
          <w:rFonts w:ascii="ITC Avant Garde" w:hAnsi="ITC Avant Garde"/>
        </w:rPr>
      </w:pPr>
    </w:p>
    <w:p w14:paraId="089BAF52" w14:textId="4ADE2408" w:rsidR="005F71B3" w:rsidRPr="00087DB0" w:rsidRDefault="005F71B3" w:rsidP="00430267">
      <w:pPr>
        <w:autoSpaceDE w:val="0"/>
        <w:autoSpaceDN w:val="0"/>
        <w:adjustRightInd w:val="0"/>
        <w:spacing w:after="0" w:line="276" w:lineRule="auto"/>
        <w:ind w:left="567" w:right="616"/>
        <w:rPr>
          <w:rFonts w:ascii="ITC Avant Garde" w:hAnsi="ITC Avant Garde"/>
          <w:i/>
          <w:iCs/>
          <w:sz w:val="18"/>
          <w:szCs w:val="18"/>
        </w:rPr>
      </w:pPr>
      <w:r w:rsidRPr="00775D28">
        <w:rPr>
          <w:rFonts w:ascii="ITC Avant Garde" w:hAnsi="ITC Avant Garde"/>
          <w:i/>
          <w:iCs/>
          <w:sz w:val="18"/>
          <w:szCs w:val="18"/>
        </w:rPr>
        <w:t xml:space="preserve">“Los pagos de las contraprestaciones no objetadas y, en su caso, los realizados bajo protesta, deberán efectuarse </w:t>
      </w:r>
      <w:r w:rsidRPr="00775D28">
        <w:rPr>
          <w:rFonts w:ascii="ITC Avant Garde" w:hAnsi="ITC Avant Garde"/>
          <w:i/>
          <w:iCs/>
          <w:sz w:val="18"/>
          <w:szCs w:val="18"/>
          <w:u w:val="single"/>
        </w:rPr>
        <w:t>dentro de los 18 (dieciocho) días naturales siguientes a la fecha de que se haya recibido la factura correspondiente, adjuntando a los mismos un documento que contenga una relación desglosada de los importes correspondientes</w:t>
      </w:r>
      <w:r w:rsidRPr="00775D28">
        <w:rPr>
          <w:rFonts w:ascii="ITC Avant Garde" w:hAnsi="ITC Avant Garde"/>
          <w:i/>
          <w:iCs/>
          <w:sz w:val="18"/>
          <w:szCs w:val="18"/>
        </w:rPr>
        <w:t xml:space="preserve"> a cada uno de los servicios a que dichas contraprestaciones se refieran. A falta de dicha relación, la parte acreedora aplicará, a su discreción, el pago recibido a las contraprestaciones no objetadas y, en su caso, a aquellas pagadas bajo protesta, según corresponda.” </w:t>
      </w:r>
    </w:p>
    <w:p w14:paraId="5354904B" w14:textId="01AD5D7A" w:rsidR="005F71B3" w:rsidRPr="00087DB0" w:rsidRDefault="005F71B3" w:rsidP="00430267">
      <w:pPr>
        <w:autoSpaceDE w:val="0"/>
        <w:autoSpaceDN w:val="0"/>
        <w:adjustRightInd w:val="0"/>
        <w:spacing w:after="0" w:line="276" w:lineRule="auto"/>
        <w:ind w:left="567" w:right="616"/>
        <w:jc w:val="right"/>
        <w:rPr>
          <w:rFonts w:ascii="ITC Avant Garde" w:hAnsi="ITC Avant Garde"/>
        </w:rPr>
      </w:pPr>
      <w:r w:rsidRPr="00087DB0">
        <w:rPr>
          <w:rFonts w:ascii="ITC Avant Garde" w:hAnsi="ITC Avant Garde"/>
          <w:sz w:val="18"/>
          <w:szCs w:val="18"/>
        </w:rPr>
        <w:t>Énfasis añadido</w:t>
      </w:r>
    </w:p>
    <w:p w14:paraId="57A18FF7" w14:textId="77777777" w:rsidR="005F71B3" w:rsidRPr="00087DB0" w:rsidRDefault="005F71B3" w:rsidP="00430267">
      <w:pPr>
        <w:autoSpaceDE w:val="0"/>
        <w:autoSpaceDN w:val="0"/>
        <w:adjustRightInd w:val="0"/>
        <w:spacing w:after="0" w:line="276" w:lineRule="auto"/>
        <w:ind w:right="49"/>
        <w:rPr>
          <w:rFonts w:ascii="ITC Avant Garde" w:hAnsi="ITC Avant Garde"/>
        </w:rPr>
      </w:pPr>
    </w:p>
    <w:p w14:paraId="6C1CD2E4" w14:textId="77777777" w:rsidR="005F71B3" w:rsidRPr="00087DB0" w:rsidRDefault="005F71B3"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79074926" w14:textId="571E285D" w:rsidR="005F71B3" w:rsidRPr="00087DB0" w:rsidRDefault="00FD7219" w:rsidP="00430267">
      <w:pPr>
        <w:autoSpaceDE w:val="0"/>
        <w:autoSpaceDN w:val="0"/>
        <w:adjustRightInd w:val="0"/>
        <w:spacing w:after="0" w:line="276" w:lineRule="auto"/>
        <w:ind w:right="49"/>
        <w:rPr>
          <w:rFonts w:ascii="ITC Avant Garde" w:hAnsi="ITC Avant Garde"/>
          <w:b/>
          <w:bCs/>
        </w:rPr>
      </w:pPr>
      <w:r>
        <w:rPr>
          <w:rFonts w:ascii="ITC Avant Garde" w:hAnsi="ITC Avant Garde"/>
        </w:rPr>
        <w:t xml:space="preserve">En la redacción del primer párrafo del numeral 4.4.2 ya se encuentra establecido el plazo de 18 días naturales para el pago de facturas no objetadas, </w:t>
      </w:r>
      <w:r w:rsidRPr="00087DB0">
        <w:rPr>
          <w:rFonts w:ascii="ITC Avant Garde" w:hAnsi="ITC Avant Garde"/>
        </w:rPr>
        <w:t>por lo que no se estima necesario adicionar lo solicitado.</w:t>
      </w:r>
    </w:p>
    <w:p w14:paraId="089B670B" w14:textId="77777777" w:rsidR="005F71B3" w:rsidRPr="00087DB0" w:rsidRDefault="005F71B3" w:rsidP="00430267">
      <w:pPr>
        <w:autoSpaceDE w:val="0"/>
        <w:autoSpaceDN w:val="0"/>
        <w:adjustRightInd w:val="0"/>
        <w:spacing w:after="0" w:line="276" w:lineRule="auto"/>
        <w:ind w:right="49"/>
        <w:rPr>
          <w:rFonts w:ascii="ITC Avant Garde" w:hAnsi="ITC Avant Garde"/>
          <w:b/>
          <w:bCs/>
        </w:rPr>
      </w:pPr>
    </w:p>
    <w:p w14:paraId="68FE6E46" w14:textId="0796C710" w:rsidR="0019659A" w:rsidRPr="00087DB0" w:rsidRDefault="00CB3A04" w:rsidP="00430267">
      <w:pPr>
        <w:autoSpaceDE w:val="0"/>
        <w:autoSpaceDN w:val="0"/>
        <w:adjustRightInd w:val="0"/>
        <w:spacing w:after="0" w:line="276" w:lineRule="auto"/>
        <w:ind w:right="49"/>
        <w:rPr>
          <w:rFonts w:ascii="ITC Avant Garde" w:hAnsi="ITC Avant Garde"/>
          <w:b/>
          <w:bCs/>
          <w:u w:val="single"/>
        </w:rPr>
      </w:pPr>
      <w:r w:rsidRPr="00087DB0">
        <w:rPr>
          <w:rFonts w:ascii="ITC Avant Garde" w:hAnsi="ITC Avant Garde"/>
          <w:b/>
          <w:bCs/>
          <w:u w:val="single"/>
        </w:rPr>
        <w:t>4.4.3 Facturas Objetadas</w:t>
      </w:r>
    </w:p>
    <w:p w14:paraId="03D9500C" w14:textId="77777777" w:rsidR="0019659A" w:rsidRPr="00087DB0" w:rsidRDefault="0019659A" w:rsidP="00430267">
      <w:pPr>
        <w:autoSpaceDE w:val="0"/>
        <w:autoSpaceDN w:val="0"/>
        <w:adjustRightInd w:val="0"/>
        <w:spacing w:after="0" w:line="276" w:lineRule="auto"/>
        <w:ind w:right="49"/>
        <w:rPr>
          <w:rFonts w:ascii="ITC Avant Garde" w:hAnsi="ITC Avant Garde"/>
          <w:b/>
          <w:bCs/>
          <w:u w:val="single"/>
        </w:rPr>
      </w:pPr>
    </w:p>
    <w:p w14:paraId="42E07CF4" w14:textId="77777777" w:rsidR="0019659A" w:rsidRPr="00087DB0" w:rsidRDefault="0019659A"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 xml:space="preserve">Telefónica </w:t>
      </w:r>
    </w:p>
    <w:p w14:paraId="39267701" w14:textId="77777777" w:rsidR="0019659A" w:rsidRPr="00087DB0" w:rsidRDefault="0019659A"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lastRenderedPageBreak/>
        <w:t xml:space="preserve">Solicitan que en la sección de Facturas Objetadas se agregue un interés base y un interés alternativo con el fin de tener un tiempo de respuesta para la resolución de objeción. </w:t>
      </w:r>
    </w:p>
    <w:p w14:paraId="13B03D74" w14:textId="77777777" w:rsidR="0019659A" w:rsidRPr="00087DB0" w:rsidRDefault="0019659A" w:rsidP="00430267">
      <w:pPr>
        <w:autoSpaceDE w:val="0"/>
        <w:autoSpaceDN w:val="0"/>
        <w:adjustRightInd w:val="0"/>
        <w:spacing w:after="0" w:line="276" w:lineRule="auto"/>
        <w:ind w:right="49"/>
        <w:rPr>
          <w:rFonts w:ascii="ITC Avant Garde" w:hAnsi="ITC Avant Garde"/>
        </w:rPr>
      </w:pPr>
    </w:p>
    <w:p w14:paraId="6B3247AE" w14:textId="77777777" w:rsidR="0019659A" w:rsidRPr="00087DB0" w:rsidRDefault="0019659A"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02F4D56D" w14:textId="77777777" w:rsidR="0019659A" w:rsidRPr="00087DB0" w:rsidRDefault="0019659A"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En el CMI vigente no existe el pago por facturas objetadas en el que se agregue el interés base e interés alternativo, ya que en dicho procedimiento no se considera aplicable el pago de intereses generados, dada la naturaleza recíproca de los servicios de interconexión y en virtud de que el procedimiento por facturas objetadas no deriva de la falta o negativa de pago por la prestación de los servicios, sino de la inconformidad en los consumos que se registraron en la facturación correspondiente.</w:t>
      </w:r>
    </w:p>
    <w:p w14:paraId="05AC69C7" w14:textId="77777777" w:rsidR="0019659A" w:rsidRPr="00087DB0" w:rsidRDefault="0019659A" w:rsidP="00430267">
      <w:pPr>
        <w:autoSpaceDE w:val="0"/>
        <w:autoSpaceDN w:val="0"/>
        <w:adjustRightInd w:val="0"/>
        <w:spacing w:after="0" w:line="276" w:lineRule="auto"/>
        <w:ind w:right="49"/>
        <w:rPr>
          <w:rFonts w:ascii="ITC Avant Garde" w:hAnsi="ITC Avant Garde"/>
        </w:rPr>
      </w:pPr>
    </w:p>
    <w:p w14:paraId="4262AD18" w14:textId="77777777" w:rsidR="0019659A" w:rsidRPr="00087DB0" w:rsidRDefault="0019659A"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Es así </w:t>
      </w:r>
      <w:proofErr w:type="gramStart"/>
      <w:r w:rsidRPr="00087DB0">
        <w:rPr>
          <w:rFonts w:ascii="ITC Avant Garde" w:hAnsi="ITC Avant Garde"/>
        </w:rPr>
        <w:t>que</w:t>
      </w:r>
      <w:proofErr w:type="gramEnd"/>
      <w:r w:rsidRPr="00087DB0">
        <w:rPr>
          <w:rFonts w:ascii="ITC Avant Garde" w:hAnsi="ITC Avant Garde"/>
        </w:rPr>
        <w:t xml:space="preserve"> el CMI prevé, que la falta de pago de aquellas Facturas Objetadas en proceso de resolución no será considerada como incumplimiento a la obligación del pago de las contraprestaciones correspondientes, hasta en tanto se agote el procedimiento de conciliación de facturas establecido en el CMI, por tal motivo no resulta procedente establecer el pago de Interés base e interés alternativo al caso de facturas objetadas.</w:t>
      </w:r>
    </w:p>
    <w:p w14:paraId="6864380E" w14:textId="1C3A70F3" w:rsidR="00D63EA6" w:rsidRPr="00087DB0" w:rsidRDefault="00D63EA6" w:rsidP="00430267">
      <w:pPr>
        <w:spacing w:after="0" w:line="276" w:lineRule="auto"/>
        <w:rPr>
          <w:rFonts w:ascii="ITC Avant Garde" w:hAnsi="ITC Avant Garde"/>
          <w:b/>
          <w:bCs/>
        </w:rPr>
      </w:pPr>
    </w:p>
    <w:p w14:paraId="4F2AE6AB" w14:textId="77777777" w:rsidR="0019659A" w:rsidRPr="00087DB0" w:rsidRDefault="0019659A"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Telefónica</w:t>
      </w:r>
    </w:p>
    <w:p w14:paraId="3BE01CA4" w14:textId="77777777" w:rsidR="0019659A" w:rsidRPr="00087DB0" w:rsidRDefault="0019659A"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Solicita la eliminación del párrafo donde se establece que transcurridos los 60 días naturales sin que exista respuesta de la parte receptora, se entenderán como aceptados los términos de la objeción presentada pues, en la mayoría de las ocasiones debido al volumen de la información se requiere un mayor tiempo de análisis. </w:t>
      </w:r>
    </w:p>
    <w:p w14:paraId="1FB79659" w14:textId="77777777" w:rsidR="0019659A" w:rsidRPr="00087DB0" w:rsidRDefault="0019659A" w:rsidP="00430267">
      <w:pPr>
        <w:autoSpaceDE w:val="0"/>
        <w:autoSpaceDN w:val="0"/>
        <w:adjustRightInd w:val="0"/>
        <w:spacing w:after="0" w:line="276" w:lineRule="auto"/>
        <w:ind w:right="49"/>
        <w:rPr>
          <w:rFonts w:ascii="ITC Avant Garde" w:hAnsi="ITC Avant Garde"/>
        </w:rPr>
      </w:pPr>
    </w:p>
    <w:p w14:paraId="610F94D8" w14:textId="77777777" w:rsidR="0019659A" w:rsidRPr="00087DB0" w:rsidRDefault="0019659A"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2DCE0B5F" w14:textId="77777777" w:rsidR="0019659A" w:rsidRPr="00087DB0" w:rsidRDefault="0019659A"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Dicho párrafo se establece como un incentivo para cumplir con los plazos de revisión de facturas objetadas, de no contar con dicho incentivo para el cumplimiento de los plazos, el procedimiento de revisión de facturas objetadas se extendería indefinidamente generando incertidumbre al concesionario que objetó la factura. </w:t>
      </w:r>
    </w:p>
    <w:p w14:paraId="0309D754" w14:textId="77777777" w:rsidR="00087DB0" w:rsidRPr="00087DB0" w:rsidRDefault="00087DB0" w:rsidP="00430267">
      <w:pPr>
        <w:autoSpaceDE w:val="0"/>
        <w:autoSpaceDN w:val="0"/>
        <w:adjustRightInd w:val="0"/>
        <w:spacing w:after="0" w:line="276" w:lineRule="auto"/>
        <w:ind w:right="49"/>
        <w:rPr>
          <w:rFonts w:ascii="ITC Avant Garde" w:hAnsi="ITC Avant Garde"/>
        </w:rPr>
      </w:pPr>
    </w:p>
    <w:p w14:paraId="58F53A1D" w14:textId="240B8B73" w:rsidR="00087DB0" w:rsidRPr="00087DB0" w:rsidRDefault="00CB3A04" w:rsidP="00430267">
      <w:pPr>
        <w:autoSpaceDE w:val="0"/>
        <w:autoSpaceDN w:val="0"/>
        <w:adjustRightInd w:val="0"/>
        <w:spacing w:after="0" w:line="276" w:lineRule="auto"/>
        <w:ind w:right="49"/>
        <w:rPr>
          <w:rFonts w:ascii="ITC Avant Garde" w:hAnsi="ITC Avant Garde"/>
          <w:b/>
          <w:bCs/>
          <w:u w:val="single"/>
        </w:rPr>
      </w:pPr>
      <w:r w:rsidRPr="00087DB0">
        <w:rPr>
          <w:rFonts w:ascii="ITC Avant Garde" w:hAnsi="ITC Avant Garde"/>
          <w:b/>
          <w:bCs/>
          <w:u w:val="single"/>
        </w:rPr>
        <w:t>4.4.5 Re</w:t>
      </w:r>
      <w:r w:rsidRPr="00775D28">
        <w:rPr>
          <w:rFonts w:ascii="ITC Avant Garde" w:hAnsi="ITC Avant Garde"/>
          <w:b/>
          <w:bCs/>
          <w:u w:val="single"/>
        </w:rPr>
        <w:t xml:space="preserve">facturación </w:t>
      </w:r>
      <w:r>
        <w:rPr>
          <w:rFonts w:ascii="ITC Avant Garde" w:hAnsi="ITC Avant Garde"/>
          <w:b/>
          <w:bCs/>
          <w:u w:val="single"/>
        </w:rPr>
        <w:t>y</w:t>
      </w:r>
      <w:r w:rsidRPr="00775D28">
        <w:rPr>
          <w:rFonts w:ascii="ITC Avant Garde" w:hAnsi="ITC Avant Garde"/>
          <w:b/>
          <w:bCs/>
          <w:u w:val="single"/>
        </w:rPr>
        <w:t xml:space="preserve"> Ajustes</w:t>
      </w:r>
    </w:p>
    <w:p w14:paraId="38EA06A0" w14:textId="77777777" w:rsidR="00087DB0" w:rsidRPr="00087DB0" w:rsidRDefault="00087DB0" w:rsidP="00430267">
      <w:pPr>
        <w:autoSpaceDE w:val="0"/>
        <w:autoSpaceDN w:val="0"/>
        <w:adjustRightInd w:val="0"/>
        <w:spacing w:after="0" w:line="276" w:lineRule="auto"/>
        <w:ind w:right="49"/>
        <w:rPr>
          <w:rFonts w:ascii="ITC Avant Garde" w:hAnsi="ITC Avant Garde"/>
          <w:b/>
          <w:bCs/>
        </w:rPr>
      </w:pPr>
    </w:p>
    <w:p w14:paraId="441555B2" w14:textId="023B52F4" w:rsidR="00087DB0" w:rsidRPr="00087DB0" w:rsidRDefault="00087DB0"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CANIETI y AT&amp;T</w:t>
      </w:r>
    </w:p>
    <w:p w14:paraId="7F548E34" w14:textId="0C467314" w:rsidR="00087DB0" w:rsidRDefault="00087DB0"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Proponen </w:t>
      </w:r>
      <w:r>
        <w:rPr>
          <w:rFonts w:ascii="ITC Avant Garde" w:hAnsi="ITC Avant Garde"/>
        </w:rPr>
        <w:t>modificar el plazo para</w:t>
      </w:r>
      <w:r w:rsidR="007D49B6">
        <w:rPr>
          <w:rFonts w:ascii="ITC Avant Garde" w:hAnsi="ITC Avant Garde"/>
        </w:rPr>
        <w:t xml:space="preserve"> reclamar la devolución de cantidades pagadas en exceso por causa de facturación indebida </w:t>
      </w:r>
      <w:r>
        <w:rPr>
          <w:rFonts w:ascii="ITC Avant Garde" w:hAnsi="ITC Avant Garde"/>
        </w:rPr>
        <w:t>de 60 (sesenta) a 120 (ciento veinte) días naturales</w:t>
      </w:r>
      <w:r w:rsidR="00ED02B6">
        <w:rPr>
          <w:rFonts w:ascii="ITC Avant Garde" w:hAnsi="ITC Avant Garde"/>
        </w:rPr>
        <w:t xml:space="preserve"> después de la conclusión del ciclo mensual de facturación </w:t>
      </w:r>
      <w:r w:rsidR="00ED02B6">
        <w:rPr>
          <w:rFonts w:ascii="ITC Avant Garde" w:hAnsi="ITC Avant Garde"/>
        </w:rPr>
        <w:lastRenderedPageBreak/>
        <w:t>correspondiente, indicando que es conveniente que el plazo para presentar facturas complementarias y solicitar devoluciones sea el mismo</w:t>
      </w:r>
      <w:r>
        <w:rPr>
          <w:rFonts w:ascii="ITC Avant Garde" w:hAnsi="ITC Avant Garde"/>
        </w:rPr>
        <w:t>.</w:t>
      </w:r>
    </w:p>
    <w:p w14:paraId="69E069EF" w14:textId="77777777" w:rsidR="00087DB0" w:rsidRPr="00087DB0" w:rsidRDefault="00087DB0" w:rsidP="00430267">
      <w:pPr>
        <w:autoSpaceDE w:val="0"/>
        <w:autoSpaceDN w:val="0"/>
        <w:adjustRightInd w:val="0"/>
        <w:spacing w:after="0" w:line="276" w:lineRule="auto"/>
        <w:ind w:right="49"/>
        <w:rPr>
          <w:rFonts w:ascii="ITC Avant Garde" w:hAnsi="ITC Avant Garde"/>
        </w:rPr>
      </w:pPr>
    </w:p>
    <w:p w14:paraId="614CD834" w14:textId="77777777" w:rsidR="00087DB0" w:rsidRPr="00087DB0" w:rsidRDefault="00087DB0"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5C0F2FAF" w14:textId="2EF85A71" w:rsidR="00087DB0" w:rsidRPr="00087DB0" w:rsidRDefault="007D49B6" w:rsidP="00430267">
      <w:pPr>
        <w:autoSpaceDE w:val="0"/>
        <w:autoSpaceDN w:val="0"/>
        <w:adjustRightInd w:val="0"/>
        <w:spacing w:after="0" w:line="276" w:lineRule="auto"/>
        <w:ind w:right="49"/>
        <w:rPr>
          <w:rFonts w:ascii="ITC Avant Garde" w:hAnsi="ITC Avant Garde"/>
          <w:b/>
          <w:bCs/>
        </w:rPr>
      </w:pPr>
      <w:r>
        <w:rPr>
          <w:rFonts w:ascii="ITC Avant Garde" w:hAnsi="ITC Avant Garde"/>
        </w:rPr>
        <w:t xml:space="preserve">No se observa una justificación por la cual sea necesario modificar el plazo para reclamar la devolución de cantidades pagadas en exceso por causa de facturación indebida, </w:t>
      </w:r>
      <w:r w:rsidRPr="00087DB0">
        <w:rPr>
          <w:rFonts w:ascii="ITC Avant Garde" w:hAnsi="ITC Avant Garde"/>
        </w:rPr>
        <w:t xml:space="preserve">por lo que no se estima necesario </w:t>
      </w:r>
      <w:r>
        <w:rPr>
          <w:rFonts w:ascii="ITC Avant Garde" w:hAnsi="ITC Avant Garde"/>
        </w:rPr>
        <w:t>realizar la modificación</w:t>
      </w:r>
      <w:r w:rsidRPr="00087DB0">
        <w:rPr>
          <w:rFonts w:ascii="ITC Avant Garde" w:hAnsi="ITC Avant Garde"/>
        </w:rPr>
        <w:t xml:space="preserve"> solicitad</w:t>
      </w:r>
      <w:r>
        <w:rPr>
          <w:rFonts w:ascii="ITC Avant Garde" w:hAnsi="ITC Avant Garde"/>
        </w:rPr>
        <w:t>a</w:t>
      </w:r>
      <w:r w:rsidRPr="00087DB0">
        <w:rPr>
          <w:rFonts w:ascii="ITC Avant Garde" w:hAnsi="ITC Avant Garde"/>
        </w:rPr>
        <w:t>.</w:t>
      </w:r>
      <w:r>
        <w:rPr>
          <w:rFonts w:ascii="ITC Avant Garde" w:hAnsi="ITC Avant Garde"/>
        </w:rPr>
        <w:t xml:space="preserve"> </w:t>
      </w:r>
    </w:p>
    <w:p w14:paraId="090BD28D" w14:textId="4FAFBF73" w:rsidR="00D63EA6" w:rsidRPr="00087DB0" w:rsidRDefault="00D63EA6" w:rsidP="00430267">
      <w:pPr>
        <w:spacing w:after="0" w:line="276" w:lineRule="auto"/>
        <w:rPr>
          <w:rFonts w:ascii="ITC Avant Garde" w:hAnsi="ITC Avant Garde"/>
          <w:b/>
          <w:bCs/>
        </w:rPr>
      </w:pPr>
    </w:p>
    <w:p w14:paraId="51048B9F" w14:textId="550278B2" w:rsidR="0019659A" w:rsidRPr="00087DB0" w:rsidRDefault="00CB3A04" w:rsidP="00430267">
      <w:pPr>
        <w:spacing w:after="0" w:line="276" w:lineRule="auto"/>
        <w:rPr>
          <w:rFonts w:ascii="ITC Avant Garde" w:hAnsi="ITC Avant Garde"/>
          <w:b/>
          <w:bCs/>
          <w:u w:val="single"/>
        </w:rPr>
      </w:pPr>
      <w:r w:rsidRPr="00087DB0">
        <w:rPr>
          <w:rFonts w:ascii="ITC Avant Garde" w:hAnsi="ITC Avant Garde"/>
          <w:b/>
          <w:bCs/>
          <w:u w:val="single"/>
        </w:rPr>
        <w:t>Cláusula Quinta. Aspectos Técnicos.</w:t>
      </w:r>
    </w:p>
    <w:p w14:paraId="245080A3" w14:textId="678A2339" w:rsidR="0019659A" w:rsidRPr="00087DB0" w:rsidRDefault="0019659A" w:rsidP="00430267">
      <w:pPr>
        <w:spacing w:after="0" w:line="276" w:lineRule="auto"/>
        <w:rPr>
          <w:rFonts w:ascii="ITC Avant Garde" w:hAnsi="ITC Avant Garde"/>
          <w:b/>
          <w:bCs/>
        </w:rPr>
      </w:pPr>
    </w:p>
    <w:p w14:paraId="39762643" w14:textId="05B96E48" w:rsidR="002F3EAB" w:rsidRPr="00087DB0" w:rsidRDefault="00CB3A04" w:rsidP="00430267">
      <w:pPr>
        <w:spacing w:after="0" w:line="276" w:lineRule="auto"/>
        <w:rPr>
          <w:rFonts w:ascii="ITC Avant Garde" w:hAnsi="ITC Avant Garde"/>
          <w:b/>
          <w:bCs/>
          <w:u w:val="single"/>
        </w:rPr>
      </w:pPr>
      <w:r w:rsidRPr="00087DB0">
        <w:rPr>
          <w:rFonts w:ascii="ITC Avant Garde" w:hAnsi="ITC Avant Garde"/>
          <w:b/>
          <w:bCs/>
          <w:u w:val="single"/>
        </w:rPr>
        <w:t xml:space="preserve">5.4 Puertos </w:t>
      </w:r>
      <w:r>
        <w:rPr>
          <w:rFonts w:ascii="ITC Avant Garde" w:hAnsi="ITC Avant Garde"/>
          <w:b/>
          <w:bCs/>
          <w:u w:val="single"/>
        </w:rPr>
        <w:t>d</w:t>
      </w:r>
      <w:r w:rsidRPr="00087DB0">
        <w:rPr>
          <w:rFonts w:ascii="ITC Avant Garde" w:hAnsi="ITC Avant Garde"/>
          <w:b/>
          <w:bCs/>
          <w:u w:val="single"/>
        </w:rPr>
        <w:t>e Acceso</w:t>
      </w:r>
    </w:p>
    <w:p w14:paraId="35129295" w14:textId="77777777" w:rsidR="002F3EAB" w:rsidRPr="00087DB0" w:rsidRDefault="002F3EAB" w:rsidP="00430267">
      <w:pPr>
        <w:spacing w:after="0" w:line="276" w:lineRule="auto"/>
        <w:rPr>
          <w:rFonts w:ascii="ITC Avant Garde" w:hAnsi="ITC Avant Garde"/>
          <w:b/>
          <w:bCs/>
        </w:rPr>
      </w:pPr>
    </w:p>
    <w:p w14:paraId="3DBED9D0" w14:textId="77777777" w:rsidR="00F31F8C" w:rsidRPr="00087DB0" w:rsidRDefault="00F31F8C"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Telefónica</w:t>
      </w:r>
    </w:p>
    <w:p w14:paraId="5DB6DCB9" w14:textId="77777777" w:rsidR="00F31F8C" w:rsidRPr="00087DB0" w:rsidRDefault="00F31F8C"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Solicita que el primer párrafo del numeral 5.4 se modifique, ya que no es claro. Por lo cual propone la siguiente redacción:</w:t>
      </w:r>
    </w:p>
    <w:p w14:paraId="4B3E8F15" w14:textId="77777777" w:rsidR="00F31F8C" w:rsidRPr="00087DB0" w:rsidRDefault="00F31F8C" w:rsidP="00430267">
      <w:pPr>
        <w:autoSpaceDE w:val="0"/>
        <w:autoSpaceDN w:val="0"/>
        <w:adjustRightInd w:val="0"/>
        <w:spacing w:after="0" w:line="276" w:lineRule="auto"/>
        <w:ind w:right="49"/>
        <w:rPr>
          <w:rFonts w:ascii="ITC Avant Garde" w:hAnsi="ITC Avant Garde"/>
        </w:rPr>
      </w:pPr>
    </w:p>
    <w:p w14:paraId="3A03E55B" w14:textId="77777777" w:rsidR="00F31F8C" w:rsidRPr="00087DB0" w:rsidRDefault="00F31F8C" w:rsidP="00430267">
      <w:pPr>
        <w:autoSpaceDE w:val="0"/>
        <w:autoSpaceDN w:val="0"/>
        <w:adjustRightInd w:val="0"/>
        <w:spacing w:after="0" w:line="276" w:lineRule="auto"/>
        <w:ind w:left="567" w:right="616"/>
        <w:rPr>
          <w:rFonts w:ascii="ITC Avant Garde" w:hAnsi="ITC Avant Garde"/>
          <w:i/>
          <w:iCs/>
          <w:sz w:val="18"/>
          <w:szCs w:val="18"/>
        </w:rPr>
      </w:pPr>
      <w:r w:rsidRPr="00087DB0">
        <w:rPr>
          <w:rFonts w:ascii="ITC Avant Garde" w:hAnsi="ITC Avant Garde"/>
          <w:i/>
          <w:iCs/>
          <w:sz w:val="18"/>
          <w:szCs w:val="18"/>
        </w:rPr>
        <w:t xml:space="preserve">“…Los Puertos de Acceso que debe proporcionar Telmex/Telnor deberán permitir la entrega de Tráfico de cualquier origen, de cualquier tipo (nacional, tránsito, móvil y fijo) y con terminación en cualquier destino nacional, incluyendo el tráfico que termine </w:t>
      </w:r>
      <w:r w:rsidRPr="00087DB0">
        <w:rPr>
          <w:rFonts w:ascii="ITC Avant Garde" w:hAnsi="ITC Avant Garde"/>
          <w:i/>
          <w:iCs/>
          <w:sz w:val="18"/>
          <w:szCs w:val="18"/>
          <w:u w:val="single"/>
        </w:rPr>
        <w:t>y/o el Servicio de Tránsito con destino</w:t>
      </w:r>
      <w:r w:rsidRPr="00087DB0">
        <w:rPr>
          <w:rFonts w:ascii="ITC Avant Garde" w:hAnsi="ITC Avant Garde"/>
          <w:i/>
          <w:iCs/>
          <w:sz w:val="18"/>
          <w:szCs w:val="18"/>
        </w:rPr>
        <w:t xml:space="preserve"> en la red de Teléfonos del Noroeste, S.A. de C.V. Para clientes diferentes de Telnor la entrega se realizará mediante el Servicio de Tránsito para redes fijas y móviles…” </w:t>
      </w:r>
    </w:p>
    <w:p w14:paraId="4282ADE6" w14:textId="77777777" w:rsidR="00F31F8C" w:rsidRPr="00087DB0" w:rsidRDefault="00F31F8C" w:rsidP="00430267">
      <w:pPr>
        <w:autoSpaceDE w:val="0"/>
        <w:autoSpaceDN w:val="0"/>
        <w:adjustRightInd w:val="0"/>
        <w:spacing w:after="0" w:line="276" w:lineRule="auto"/>
        <w:ind w:right="49"/>
        <w:rPr>
          <w:rFonts w:ascii="ITC Avant Garde" w:hAnsi="ITC Avant Garde"/>
        </w:rPr>
      </w:pPr>
    </w:p>
    <w:p w14:paraId="2A56223A" w14:textId="77777777" w:rsidR="00F31F8C" w:rsidRPr="00087DB0" w:rsidRDefault="00F31F8C"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57285117" w14:textId="2CD1498D" w:rsidR="00F31F8C" w:rsidRPr="00087DB0" w:rsidRDefault="00F31F8C"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Telmex y Telnor, como integrantes del AEP, se encuentran obligados a prestar el servicio de tránsito a los concesionarios que así lo soliciten. Sin embargo, no se entiende la pretensión de Telefónica con la precisión propuesta pues Telmex debe prestar el servicio de tránsito para la terminación de tráfico en la red de Telnor, tal como se encuentra señalado en el numeral en comento.</w:t>
      </w:r>
    </w:p>
    <w:p w14:paraId="6CC3FD81" w14:textId="7A1C9402" w:rsidR="00D63EA6" w:rsidRPr="00087DB0" w:rsidRDefault="00D63EA6" w:rsidP="00430267">
      <w:pPr>
        <w:spacing w:after="0" w:line="276" w:lineRule="auto"/>
        <w:rPr>
          <w:rFonts w:ascii="ITC Avant Garde" w:hAnsi="ITC Avant Garde"/>
          <w:b/>
          <w:bCs/>
        </w:rPr>
      </w:pPr>
    </w:p>
    <w:p w14:paraId="312C7D02" w14:textId="37CEA0D3" w:rsidR="008C272C" w:rsidRPr="00087DB0" w:rsidRDefault="00CB3A04" w:rsidP="00430267">
      <w:pPr>
        <w:spacing w:after="0" w:line="276" w:lineRule="auto"/>
        <w:rPr>
          <w:rFonts w:ascii="ITC Avant Garde" w:hAnsi="ITC Avant Garde"/>
          <w:b/>
          <w:bCs/>
          <w:u w:val="single"/>
        </w:rPr>
      </w:pPr>
      <w:r w:rsidRPr="00087DB0">
        <w:rPr>
          <w:rFonts w:ascii="ITC Avant Garde" w:hAnsi="ITC Avant Garde"/>
          <w:b/>
          <w:bCs/>
          <w:u w:val="single"/>
        </w:rPr>
        <w:t>Cláusula Sexta. Responsabilidades.</w:t>
      </w:r>
    </w:p>
    <w:p w14:paraId="12C47AF7" w14:textId="77777777" w:rsidR="008C272C" w:rsidRPr="00087DB0" w:rsidRDefault="008C272C" w:rsidP="00430267">
      <w:pPr>
        <w:spacing w:after="0" w:line="276" w:lineRule="auto"/>
        <w:rPr>
          <w:rFonts w:ascii="ITC Avant Garde" w:hAnsi="ITC Avant Garde"/>
          <w:b/>
          <w:bCs/>
        </w:rPr>
      </w:pPr>
    </w:p>
    <w:p w14:paraId="16AE02EA" w14:textId="20E71D4A" w:rsidR="008C272C" w:rsidRPr="00087DB0" w:rsidRDefault="00CB3A04" w:rsidP="00430267">
      <w:pPr>
        <w:spacing w:after="0" w:line="276" w:lineRule="auto"/>
        <w:rPr>
          <w:rFonts w:ascii="ITC Avant Garde" w:hAnsi="ITC Avant Garde"/>
          <w:b/>
          <w:bCs/>
          <w:u w:val="single"/>
        </w:rPr>
      </w:pPr>
      <w:r w:rsidRPr="00087DB0">
        <w:rPr>
          <w:rFonts w:ascii="ITC Avant Garde" w:hAnsi="ITC Avant Garde"/>
          <w:b/>
          <w:bCs/>
          <w:u w:val="single"/>
        </w:rPr>
        <w:t xml:space="preserve">6.2 Calidad </w:t>
      </w:r>
      <w:r>
        <w:rPr>
          <w:rFonts w:ascii="ITC Avant Garde" w:hAnsi="ITC Avant Garde"/>
          <w:b/>
          <w:bCs/>
          <w:u w:val="single"/>
        </w:rPr>
        <w:t>d</w:t>
      </w:r>
      <w:r w:rsidRPr="00087DB0">
        <w:rPr>
          <w:rFonts w:ascii="ITC Avant Garde" w:hAnsi="ITC Avant Garde"/>
          <w:b/>
          <w:bCs/>
          <w:u w:val="single"/>
        </w:rPr>
        <w:t xml:space="preserve">e </w:t>
      </w:r>
      <w:r>
        <w:rPr>
          <w:rFonts w:ascii="ITC Avant Garde" w:hAnsi="ITC Avant Garde"/>
          <w:b/>
          <w:bCs/>
          <w:u w:val="single"/>
        </w:rPr>
        <w:t>l</w:t>
      </w:r>
      <w:r w:rsidRPr="00087DB0">
        <w:rPr>
          <w:rFonts w:ascii="ITC Avant Garde" w:hAnsi="ITC Avant Garde"/>
          <w:b/>
          <w:bCs/>
          <w:u w:val="single"/>
        </w:rPr>
        <w:t xml:space="preserve">os Servicios </w:t>
      </w:r>
      <w:r>
        <w:rPr>
          <w:rFonts w:ascii="ITC Avant Garde" w:hAnsi="ITC Avant Garde"/>
          <w:b/>
          <w:bCs/>
          <w:u w:val="single"/>
        </w:rPr>
        <w:t>d</w:t>
      </w:r>
      <w:r w:rsidRPr="00087DB0">
        <w:rPr>
          <w:rFonts w:ascii="ITC Avant Garde" w:hAnsi="ITC Avant Garde"/>
          <w:b/>
          <w:bCs/>
          <w:u w:val="single"/>
        </w:rPr>
        <w:t>e Interconexión</w:t>
      </w:r>
    </w:p>
    <w:p w14:paraId="4163B91A" w14:textId="77777777" w:rsidR="00F31F8C" w:rsidRPr="00087DB0" w:rsidRDefault="00F31F8C" w:rsidP="00430267">
      <w:pPr>
        <w:spacing w:after="0" w:line="276" w:lineRule="auto"/>
        <w:rPr>
          <w:rFonts w:ascii="ITC Avant Garde" w:hAnsi="ITC Avant Garde"/>
          <w:b/>
          <w:bCs/>
        </w:rPr>
      </w:pPr>
    </w:p>
    <w:p w14:paraId="0672D9D4" w14:textId="77777777" w:rsidR="00F31F8C" w:rsidRPr="00087DB0" w:rsidRDefault="00F31F8C"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Telefónica</w:t>
      </w:r>
    </w:p>
    <w:p w14:paraId="7F1B4B51" w14:textId="77777777" w:rsidR="00F31F8C" w:rsidRPr="00087DB0" w:rsidRDefault="00F31F8C"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Solicita modificar la redacción del numeral para establecer la obligación de Telmex/Telnor de incrementar la capacidad requerida por el servicio interconexión una vez que alcance el 50% de ocupación en hora pico, ya que ha sucedido que cuando hay una falla en un enlace y se requiere re enrutar el tráfico, no existe la capacidad suficiente en los enlaces para hacerlo.</w:t>
      </w:r>
    </w:p>
    <w:p w14:paraId="55255032" w14:textId="77777777" w:rsidR="00F31F8C" w:rsidRPr="00087DB0" w:rsidRDefault="00F31F8C" w:rsidP="00430267">
      <w:pPr>
        <w:autoSpaceDE w:val="0"/>
        <w:autoSpaceDN w:val="0"/>
        <w:adjustRightInd w:val="0"/>
        <w:spacing w:after="0" w:line="276" w:lineRule="auto"/>
        <w:ind w:right="49"/>
        <w:rPr>
          <w:rFonts w:ascii="ITC Avant Garde" w:hAnsi="ITC Avant Garde"/>
        </w:rPr>
      </w:pPr>
    </w:p>
    <w:p w14:paraId="13826C0D" w14:textId="77777777" w:rsidR="00F31F8C" w:rsidRPr="00087DB0" w:rsidRDefault="00F31F8C"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lastRenderedPageBreak/>
        <w:t>Consideraciones del Instituto</w:t>
      </w:r>
    </w:p>
    <w:p w14:paraId="0D77F90E" w14:textId="77777777" w:rsidR="00F31F8C" w:rsidRPr="00087DB0" w:rsidRDefault="00F31F8C"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Se considera que el parámetro para disparar el crecimiento de los servicios debe ser la ocupación del 85% en hora pico de la capacidad de los enlaces por sitio, toda vez que en caso de falla dicho umbral de capacidad permitirá que se curse la totalidad del tráfico durante la hora de mayor demanda y un margen del 15% de capacidad disponible, con la que se podrá cursar 15% más de tráfico. Lo anterior, dado el carácter temporal y aleatorio de una falla, pues de mantener los enlaces con redundancia al 40% o 50% de su capacidad redunda en capacidad que no se utilizará la mayor parte del tiempo, solo en caso de presentarse una falla.</w:t>
      </w:r>
    </w:p>
    <w:p w14:paraId="0108120E" w14:textId="77777777" w:rsidR="008C272C" w:rsidRDefault="008C272C" w:rsidP="00430267">
      <w:pPr>
        <w:spacing w:after="0" w:line="276" w:lineRule="auto"/>
        <w:rPr>
          <w:rFonts w:ascii="ITC Avant Garde" w:hAnsi="ITC Avant Garde"/>
          <w:b/>
          <w:u w:val="single"/>
        </w:rPr>
      </w:pPr>
    </w:p>
    <w:p w14:paraId="7F1B50A3" w14:textId="5D5B6D5B" w:rsidR="00EF05AA" w:rsidRPr="00087DB0" w:rsidRDefault="00CB3A04" w:rsidP="00430267">
      <w:pPr>
        <w:spacing w:after="0" w:line="276" w:lineRule="auto"/>
        <w:rPr>
          <w:rFonts w:ascii="ITC Avant Garde" w:hAnsi="ITC Avant Garde"/>
          <w:b/>
          <w:u w:val="single"/>
        </w:rPr>
      </w:pPr>
      <w:r w:rsidRPr="00087DB0">
        <w:rPr>
          <w:rFonts w:ascii="ITC Avant Garde" w:hAnsi="ITC Avant Garde"/>
          <w:b/>
          <w:u w:val="single"/>
        </w:rPr>
        <w:t xml:space="preserve">Cláusula </w:t>
      </w:r>
      <w:r>
        <w:rPr>
          <w:rFonts w:ascii="ITC Avant Garde" w:hAnsi="ITC Avant Garde"/>
          <w:b/>
          <w:u w:val="single"/>
        </w:rPr>
        <w:t>Novena</w:t>
      </w:r>
      <w:r w:rsidRPr="00087DB0">
        <w:rPr>
          <w:rFonts w:ascii="ITC Avant Garde" w:hAnsi="ITC Avant Garde"/>
          <w:b/>
          <w:u w:val="single"/>
        </w:rPr>
        <w:t>.</w:t>
      </w:r>
      <w:r>
        <w:rPr>
          <w:rFonts w:ascii="ITC Avant Garde" w:hAnsi="ITC Avant Garde"/>
          <w:b/>
          <w:u w:val="single"/>
        </w:rPr>
        <w:t xml:space="preserve"> Garantías </w:t>
      </w:r>
      <w:r w:rsidR="001A377F">
        <w:rPr>
          <w:rFonts w:ascii="ITC Avant Garde" w:hAnsi="ITC Avant Garde"/>
          <w:b/>
          <w:u w:val="single"/>
        </w:rPr>
        <w:t>d</w:t>
      </w:r>
      <w:r>
        <w:rPr>
          <w:rFonts w:ascii="ITC Avant Garde" w:hAnsi="ITC Avant Garde"/>
          <w:b/>
          <w:u w:val="single"/>
        </w:rPr>
        <w:t>el Convenio.</w:t>
      </w:r>
    </w:p>
    <w:p w14:paraId="55F16A29" w14:textId="77777777" w:rsidR="00EF05AA" w:rsidRPr="00087DB0" w:rsidRDefault="00EF05AA" w:rsidP="00430267">
      <w:pPr>
        <w:spacing w:after="0" w:line="276" w:lineRule="auto"/>
        <w:rPr>
          <w:rFonts w:ascii="ITC Avant Garde" w:hAnsi="ITC Avant Garde"/>
          <w:b/>
          <w:u w:val="single"/>
        </w:rPr>
      </w:pPr>
    </w:p>
    <w:p w14:paraId="1E01965D" w14:textId="4E42A188" w:rsidR="00EF05AA" w:rsidRPr="00CA36C7" w:rsidRDefault="00EF05AA" w:rsidP="00430267">
      <w:pPr>
        <w:autoSpaceDE w:val="0"/>
        <w:autoSpaceDN w:val="0"/>
        <w:adjustRightInd w:val="0"/>
        <w:spacing w:after="0" w:line="276" w:lineRule="auto"/>
        <w:ind w:right="49"/>
        <w:rPr>
          <w:rFonts w:ascii="ITC Avant Garde" w:hAnsi="ITC Avant Garde"/>
          <w:b/>
          <w:bCs/>
        </w:rPr>
      </w:pPr>
      <w:r>
        <w:rPr>
          <w:rFonts w:ascii="ITC Avant Garde" w:hAnsi="ITC Avant Garde"/>
          <w:b/>
          <w:bCs/>
        </w:rPr>
        <w:t xml:space="preserve">CANIETI, Grupo Televisa y </w:t>
      </w:r>
      <w:r w:rsidRPr="00CA36C7">
        <w:rPr>
          <w:rFonts w:ascii="ITC Avant Garde" w:hAnsi="ITC Avant Garde"/>
          <w:b/>
          <w:bCs/>
        </w:rPr>
        <w:t xml:space="preserve">Mega Cable </w:t>
      </w:r>
    </w:p>
    <w:p w14:paraId="05363640" w14:textId="6193B7F7" w:rsidR="00EF05AA" w:rsidRDefault="00EF05AA" w:rsidP="00430267">
      <w:pPr>
        <w:spacing w:after="0" w:line="276" w:lineRule="auto"/>
        <w:rPr>
          <w:rFonts w:ascii="ITC Avant Garde" w:hAnsi="ITC Avant Garde"/>
        </w:rPr>
      </w:pPr>
      <w:r>
        <w:rPr>
          <w:rFonts w:ascii="ITC Avant Garde" w:hAnsi="ITC Avant Garde"/>
        </w:rPr>
        <w:t>Consideran que la propuesta de Telmex/Telnor de establecer la obligación de presentar una póliza de garantía resulta improcedente por los siguientes motivos:</w:t>
      </w:r>
    </w:p>
    <w:p w14:paraId="49B89347" w14:textId="77777777" w:rsidR="00EF05AA" w:rsidRDefault="00EF05AA" w:rsidP="00430267">
      <w:pPr>
        <w:spacing w:after="0" w:line="276" w:lineRule="auto"/>
        <w:rPr>
          <w:rFonts w:ascii="ITC Avant Garde" w:hAnsi="ITC Avant Garde"/>
        </w:rPr>
      </w:pPr>
    </w:p>
    <w:p w14:paraId="7CB937AE" w14:textId="17B194E3" w:rsidR="00EF05AA" w:rsidRDefault="00EF05AA" w:rsidP="00430267">
      <w:pPr>
        <w:pStyle w:val="Prrafodelista"/>
        <w:numPr>
          <w:ilvl w:val="0"/>
          <w:numId w:val="13"/>
        </w:numPr>
        <w:spacing w:after="0" w:line="276" w:lineRule="auto"/>
        <w:rPr>
          <w:rFonts w:ascii="ITC Avant Garde" w:hAnsi="ITC Avant Garde"/>
        </w:rPr>
      </w:pPr>
      <w:r>
        <w:rPr>
          <w:rFonts w:ascii="ITC Avant Garde" w:hAnsi="ITC Avant Garde"/>
        </w:rPr>
        <w:t>Es una obligación unilateral que impacta solamente a los concesionarios solicitantes.</w:t>
      </w:r>
    </w:p>
    <w:p w14:paraId="20B476E7" w14:textId="6C918F97" w:rsidR="00EF05AA" w:rsidRDefault="00EF05AA" w:rsidP="00430267">
      <w:pPr>
        <w:pStyle w:val="Prrafodelista"/>
        <w:numPr>
          <w:ilvl w:val="0"/>
          <w:numId w:val="13"/>
        </w:numPr>
        <w:spacing w:after="0" w:line="276" w:lineRule="auto"/>
        <w:rPr>
          <w:rFonts w:ascii="ITC Avant Garde" w:hAnsi="ITC Avant Garde"/>
        </w:rPr>
      </w:pPr>
      <w:r>
        <w:rPr>
          <w:rFonts w:ascii="ITC Avant Garde" w:hAnsi="ITC Avant Garde"/>
        </w:rPr>
        <w:t>Es innecesaria en la medida que las tarifas y términos de la interconexión están determinados por el Instituto en sus resoluciones.</w:t>
      </w:r>
    </w:p>
    <w:p w14:paraId="4CA852B6" w14:textId="56ACDF84" w:rsidR="00EF05AA" w:rsidRDefault="00EF05AA" w:rsidP="00430267">
      <w:pPr>
        <w:pStyle w:val="Prrafodelista"/>
        <w:numPr>
          <w:ilvl w:val="0"/>
          <w:numId w:val="13"/>
        </w:numPr>
        <w:spacing w:after="0" w:line="276" w:lineRule="auto"/>
        <w:rPr>
          <w:rFonts w:ascii="ITC Avant Garde" w:hAnsi="ITC Avant Garde"/>
        </w:rPr>
      </w:pPr>
      <w:r>
        <w:rPr>
          <w:rFonts w:ascii="ITC Avant Garde" w:hAnsi="ITC Avant Garde"/>
        </w:rPr>
        <w:t>Eleva los cotos de las empresas por concepto de interconexión, así como la carga administrativa al tener que realizar nuevos tramites. Indican que el aumento en los costos provocado por la inclusión de una fianza no se encuentra justificado por ningún tipo de beneficio para las empresas o usuarios finales, y el encarecimiento de los costos puede afectar a los usuarios finales por el encarecimiento de los servicios.</w:t>
      </w:r>
    </w:p>
    <w:p w14:paraId="06F9022A" w14:textId="77777777" w:rsidR="00EF05AA" w:rsidRDefault="00EF05AA" w:rsidP="00430267">
      <w:pPr>
        <w:spacing w:after="0" w:line="276" w:lineRule="auto"/>
        <w:rPr>
          <w:rFonts w:ascii="ITC Avant Garde" w:hAnsi="ITC Avant Garde"/>
        </w:rPr>
      </w:pPr>
    </w:p>
    <w:p w14:paraId="0A96489B" w14:textId="37367783" w:rsidR="00EF05AA" w:rsidRPr="00775D28" w:rsidRDefault="00EF05AA" w:rsidP="00430267">
      <w:pPr>
        <w:spacing w:after="0" w:line="276" w:lineRule="auto"/>
        <w:rPr>
          <w:rFonts w:ascii="ITC Avant Garde" w:hAnsi="ITC Avant Garde"/>
        </w:rPr>
      </w:pPr>
      <w:r>
        <w:rPr>
          <w:rFonts w:ascii="ITC Avant Garde" w:hAnsi="ITC Avant Garde"/>
        </w:rPr>
        <w:t>Señalan que presentar una póliza de garantía no tiene precedentes y la industria no encuentra la necesidad de establecer la obligación</w:t>
      </w:r>
      <w:r w:rsidR="00775D28">
        <w:rPr>
          <w:rFonts w:ascii="ITC Avant Garde" w:hAnsi="ITC Avant Garde"/>
        </w:rPr>
        <w:t>.</w:t>
      </w:r>
    </w:p>
    <w:p w14:paraId="0CCA6F62" w14:textId="77777777" w:rsidR="00EF05AA" w:rsidRDefault="00EF05AA" w:rsidP="00430267">
      <w:pPr>
        <w:spacing w:after="0" w:line="276" w:lineRule="auto"/>
        <w:rPr>
          <w:rFonts w:ascii="ITC Avant Garde" w:hAnsi="ITC Avant Garde"/>
        </w:rPr>
      </w:pPr>
    </w:p>
    <w:p w14:paraId="7E01CA4B" w14:textId="67C17D75" w:rsidR="00EF05AA" w:rsidRPr="00CA36C7" w:rsidRDefault="00EF05AA" w:rsidP="00430267">
      <w:pPr>
        <w:autoSpaceDE w:val="0"/>
        <w:autoSpaceDN w:val="0"/>
        <w:adjustRightInd w:val="0"/>
        <w:spacing w:after="0" w:line="276" w:lineRule="auto"/>
        <w:ind w:right="49"/>
        <w:rPr>
          <w:rFonts w:ascii="ITC Avant Garde" w:hAnsi="ITC Avant Garde"/>
          <w:b/>
          <w:bCs/>
        </w:rPr>
      </w:pPr>
      <w:r>
        <w:rPr>
          <w:rFonts w:ascii="ITC Avant Garde" w:hAnsi="ITC Avant Garde"/>
          <w:b/>
          <w:bCs/>
        </w:rPr>
        <w:t>Telefónica</w:t>
      </w:r>
    </w:p>
    <w:p w14:paraId="60CCCB2B" w14:textId="6F25F53A" w:rsidR="00EF05AA" w:rsidRDefault="00AE6ACA" w:rsidP="00430267">
      <w:pPr>
        <w:spacing w:after="0" w:line="276" w:lineRule="auto"/>
        <w:rPr>
          <w:rFonts w:ascii="ITC Avant Garde" w:hAnsi="ITC Avant Garde"/>
        </w:rPr>
      </w:pPr>
      <w:r>
        <w:rPr>
          <w:rFonts w:ascii="ITC Avant Garde" w:hAnsi="ITC Avant Garde"/>
        </w:rPr>
        <w:t xml:space="preserve">Indica que </w:t>
      </w:r>
      <w:r w:rsidR="00EF05AA">
        <w:rPr>
          <w:rFonts w:ascii="ITC Avant Garde" w:hAnsi="ITC Avant Garde"/>
        </w:rPr>
        <w:t>si bien, de manera general, es conveniente la existencia de mecanismos para garantizar el cumplimiento de las obligaciones del contrato</w:t>
      </w:r>
      <w:r>
        <w:rPr>
          <w:rFonts w:ascii="ITC Avant Garde" w:hAnsi="ITC Avant Garde"/>
        </w:rPr>
        <w:t xml:space="preserve">, considera innecesaria la propuesta dado que: i) no existe trámite actualmente; </w:t>
      </w:r>
      <w:proofErr w:type="spellStart"/>
      <w:r>
        <w:rPr>
          <w:rFonts w:ascii="ITC Avant Garde" w:hAnsi="ITC Avant Garde"/>
        </w:rPr>
        <w:t>ii</w:t>
      </w:r>
      <w:proofErr w:type="spellEnd"/>
      <w:r>
        <w:rPr>
          <w:rFonts w:ascii="ITC Avant Garde" w:hAnsi="ITC Avant Garde"/>
        </w:rPr>
        <w:t xml:space="preserve">) incrementaría los costos para la provisión de los servicios de interconexión para todos los operadores; </w:t>
      </w:r>
      <w:proofErr w:type="spellStart"/>
      <w:r>
        <w:rPr>
          <w:rFonts w:ascii="ITC Avant Garde" w:hAnsi="ITC Avant Garde"/>
        </w:rPr>
        <w:t>iii</w:t>
      </w:r>
      <w:proofErr w:type="spellEnd"/>
      <w:r>
        <w:rPr>
          <w:rFonts w:ascii="ITC Avant Garde" w:hAnsi="ITC Avant Garde"/>
        </w:rPr>
        <w:t>) la propuesta impone una obligación unilateral.</w:t>
      </w:r>
    </w:p>
    <w:p w14:paraId="1738DFD5" w14:textId="77777777" w:rsidR="00EF05AA" w:rsidRDefault="00EF05AA" w:rsidP="00430267">
      <w:pPr>
        <w:spacing w:after="0" w:line="276" w:lineRule="auto"/>
        <w:rPr>
          <w:rFonts w:ascii="ITC Avant Garde" w:hAnsi="ITC Avant Garde"/>
        </w:rPr>
      </w:pPr>
    </w:p>
    <w:p w14:paraId="17E251F0" w14:textId="470AE204" w:rsidR="00C24713" w:rsidRPr="00CA36C7" w:rsidRDefault="00C24713" w:rsidP="00430267">
      <w:pPr>
        <w:autoSpaceDE w:val="0"/>
        <w:autoSpaceDN w:val="0"/>
        <w:adjustRightInd w:val="0"/>
        <w:spacing w:after="0" w:line="276" w:lineRule="auto"/>
        <w:ind w:right="49"/>
        <w:rPr>
          <w:rFonts w:ascii="ITC Avant Garde" w:hAnsi="ITC Avant Garde"/>
          <w:b/>
          <w:bCs/>
        </w:rPr>
      </w:pPr>
      <w:r>
        <w:rPr>
          <w:rFonts w:ascii="ITC Avant Garde" w:hAnsi="ITC Avant Garde"/>
          <w:b/>
          <w:bCs/>
        </w:rPr>
        <w:t>AT&amp;T</w:t>
      </w:r>
    </w:p>
    <w:p w14:paraId="73D83460" w14:textId="68616E5F" w:rsidR="00C24713" w:rsidRDefault="00C24713" w:rsidP="00430267">
      <w:pPr>
        <w:spacing w:after="0" w:line="276" w:lineRule="auto"/>
        <w:rPr>
          <w:rFonts w:ascii="ITC Avant Garde" w:hAnsi="ITC Avant Garde"/>
        </w:rPr>
      </w:pPr>
      <w:r>
        <w:rPr>
          <w:rFonts w:ascii="ITC Avant Garde" w:hAnsi="ITC Avant Garde"/>
        </w:rPr>
        <w:t xml:space="preserve">Indica que es conveniente que existan fianzas para los pagos de interconexión, sin embargo, no encuentra razón para que sea unidireccional solo en favor de </w:t>
      </w:r>
      <w:r>
        <w:rPr>
          <w:rFonts w:ascii="ITC Avant Garde" w:hAnsi="ITC Avant Garde"/>
        </w:rPr>
        <w:lastRenderedPageBreak/>
        <w:t>Telmex/Telnor, por lo que propone que la redacción involucre montos de fianza en favor del solicitante.</w:t>
      </w:r>
    </w:p>
    <w:p w14:paraId="5A9B6739" w14:textId="77777777" w:rsidR="00C24713" w:rsidRDefault="00C24713" w:rsidP="00430267">
      <w:pPr>
        <w:spacing w:after="0" w:line="276" w:lineRule="auto"/>
        <w:rPr>
          <w:rFonts w:ascii="ITC Avant Garde" w:hAnsi="ITC Avant Garde"/>
        </w:rPr>
      </w:pPr>
    </w:p>
    <w:p w14:paraId="799B1BDE" w14:textId="77777777" w:rsidR="00EF05AA" w:rsidRPr="00087DB0" w:rsidRDefault="00EF05AA"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31A30FC6" w14:textId="177F3538" w:rsidR="00EF05AA" w:rsidRDefault="00C130AB" w:rsidP="00430267">
      <w:pPr>
        <w:spacing w:after="0" w:line="276" w:lineRule="auto"/>
        <w:rPr>
          <w:rFonts w:ascii="ITC Avant Garde" w:hAnsi="ITC Avant Garde"/>
        </w:rPr>
      </w:pPr>
      <w:r>
        <w:rPr>
          <w:rFonts w:ascii="ITC Avant Garde" w:hAnsi="ITC Avant Garde"/>
        </w:rPr>
        <w:t xml:space="preserve">De acuerdo con el inciso d), fracción II de la Medida Duodécima de las Medidas Fijas, la propuesta de </w:t>
      </w:r>
      <w:r w:rsidR="001A377F">
        <w:rPr>
          <w:rFonts w:ascii="ITC Avant Garde" w:hAnsi="ITC Avant Garde"/>
        </w:rPr>
        <w:t>CMI</w:t>
      </w:r>
      <w:r>
        <w:rPr>
          <w:rFonts w:ascii="ITC Avant Garde" w:hAnsi="ITC Avant Garde"/>
        </w:rPr>
        <w:t xml:space="preserve"> que el AEP presente para autorización del Instituto deberá contar con garantías como condiciones económicas.</w:t>
      </w:r>
    </w:p>
    <w:p w14:paraId="11EEAD0E" w14:textId="77777777" w:rsidR="00C130AB" w:rsidRDefault="00C130AB" w:rsidP="00430267">
      <w:pPr>
        <w:spacing w:after="0" w:line="276" w:lineRule="auto"/>
        <w:rPr>
          <w:rFonts w:ascii="ITC Avant Garde" w:hAnsi="ITC Avant Garde"/>
        </w:rPr>
      </w:pPr>
    </w:p>
    <w:p w14:paraId="3F81ABC6" w14:textId="24BAC002" w:rsidR="00C130AB" w:rsidRDefault="00C130AB" w:rsidP="00430267">
      <w:pPr>
        <w:spacing w:after="0" w:line="276" w:lineRule="auto"/>
        <w:rPr>
          <w:rFonts w:ascii="ITC Avant Garde" w:hAnsi="ITC Avant Garde"/>
        </w:rPr>
      </w:pPr>
      <w:r>
        <w:rPr>
          <w:rFonts w:ascii="ITC Avant Garde" w:hAnsi="ITC Avant Garde"/>
        </w:rPr>
        <w:t xml:space="preserve">Asimismo, del análisis realizado a las diferentes ofertas de referencias presentadas por el AEP que han sido aprobadas por el Instituto, se observa que se han aprobado cláusulas relativas a las garantías de los convenios entre las partes con apartados relativos a las fianzas para el pago de contraprestaciones en las que el Instituto, al momento de su revisión requirió al AEP no establecer un monto fijo como fianza o carta de crédito inicial. </w:t>
      </w:r>
    </w:p>
    <w:p w14:paraId="08ECAB67" w14:textId="6C67DD30" w:rsidR="00C130AB" w:rsidRDefault="00C130AB" w:rsidP="00430267">
      <w:pPr>
        <w:spacing w:after="0" w:line="276" w:lineRule="auto"/>
        <w:rPr>
          <w:rFonts w:ascii="ITC Avant Garde" w:hAnsi="ITC Avant Garde"/>
        </w:rPr>
      </w:pPr>
    </w:p>
    <w:p w14:paraId="4CC6B1E3" w14:textId="5475FF71" w:rsidR="00F16135" w:rsidRPr="00430267" w:rsidRDefault="00F16135" w:rsidP="00430267">
      <w:pPr>
        <w:spacing w:after="0" w:line="276" w:lineRule="auto"/>
        <w:rPr>
          <w:rFonts w:ascii="ITC Avant Garde" w:hAnsi="ITC Avant Garde"/>
        </w:rPr>
      </w:pPr>
      <w:r w:rsidRPr="00430267">
        <w:rPr>
          <w:rFonts w:ascii="ITC Avant Garde" w:hAnsi="ITC Avant Garde"/>
        </w:rPr>
        <w:t xml:space="preserve">En tal sentido, se determina la incorporación de la Cláusula Novena Garantías en los siguientes términos: </w:t>
      </w:r>
    </w:p>
    <w:p w14:paraId="3E89A6DC" w14:textId="77777777" w:rsidR="00F16135" w:rsidRPr="00AF0989" w:rsidRDefault="00F16135" w:rsidP="00430267">
      <w:pPr>
        <w:spacing w:after="0" w:line="276" w:lineRule="auto"/>
        <w:rPr>
          <w:rFonts w:ascii="ITC Avant Garde" w:hAnsi="ITC Avant Garde"/>
        </w:rPr>
      </w:pPr>
    </w:p>
    <w:p w14:paraId="76DA74C4" w14:textId="1DF10F72" w:rsidR="00F16135" w:rsidRPr="00AF0989" w:rsidRDefault="00AF0989" w:rsidP="00430267">
      <w:pPr>
        <w:spacing w:after="0" w:line="276" w:lineRule="auto"/>
        <w:ind w:left="567" w:right="615"/>
        <w:jc w:val="center"/>
        <w:rPr>
          <w:rFonts w:ascii="ITC Avant Garde" w:eastAsia="Times New Roman" w:hAnsi="ITC Avant Garde" w:cs="Arial"/>
          <w:i/>
          <w:iCs/>
          <w:sz w:val="18"/>
          <w:szCs w:val="18"/>
          <w:lang w:eastAsia="es-MX"/>
        </w:rPr>
      </w:pPr>
      <w:r>
        <w:rPr>
          <w:rFonts w:ascii="ITC Avant Garde" w:eastAsia="Times New Roman" w:hAnsi="ITC Avant Garde" w:cs="Arial"/>
          <w:b/>
          <w:bCs/>
          <w:i/>
          <w:iCs/>
          <w:sz w:val="18"/>
          <w:szCs w:val="18"/>
          <w:lang w:eastAsia="es-MX"/>
        </w:rPr>
        <w:t>“</w:t>
      </w:r>
      <w:r w:rsidR="00F16135" w:rsidRPr="00AF0989">
        <w:rPr>
          <w:rFonts w:ascii="ITC Avant Garde" w:eastAsia="Times New Roman" w:hAnsi="ITC Avant Garde" w:cs="Arial"/>
          <w:b/>
          <w:bCs/>
          <w:i/>
          <w:iCs/>
          <w:sz w:val="18"/>
          <w:szCs w:val="18"/>
          <w:lang w:eastAsia="es-MX"/>
        </w:rPr>
        <w:t>CLAUSULA NOVENA.</w:t>
      </w:r>
    </w:p>
    <w:p w14:paraId="35BE79D1"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p>
    <w:p w14:paraId="67540F14" w14:textId="77777777" w:rsidR="00F16135" w:rsidRPr="00AF0989" w:rsidRDefault="00F16135" w:rsidP="00430267">
      <w:pPr>
        <w:spacing w:after="0" w:line="276" w:lineRule="auto"/>
        <w:ind w:left="567" w:right="615"/>
        <w:rPr>
          <w:rFonts w:ascii="ITC Avant Garde" w:eastAsia="Times New Roman" w:hAnsi="ITC Avant Garde" w:cs="Arial"/>
          <w:b/>
          <w:bCs/>
          <w:i/>
          <w:iCs/>
          <w:sz w:val="18"/>
          <w:szCs w:val="18"/>
          <w:lang w:eastAsia="es-MX"/>
        </w:rPr>
      </w:pPr>
      <w:r w:rsidRPr="00AF0989">
        <w:rPr>
          <w:rFonts w:ascii="ITC Avant Garde" w:eastAsia="Times New Roman" w:hAnsi="ITC Avant Garde" w:cs="Arial"/>
          <w:b/>
          <w:bCs/>
          <w:i/>
          <w:iCs/>
          <w:sz w:val="18"/>
          <w:szCs w:val="18"/>
          <w:lang w:eastAsia="es-MX"/>
        </w:rPr>
        <w:t>GARANTÍAS DEL CONVENIO</w:t>
      </w:r>
    </w:p>
    <w:p w14:paraId="1ED36F66"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 xml:space="preserve"> </w:t>
      </w:r>
    </w:p>
    <w:p w14:paraId="30655C92"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b/>
          <w:bCs/>
          <w:i/>
          <w:iCs/>
          <w:sz w:val="18"/>
          <w:szCs w:val="18"/>
          <w:lang w:eastAsia="es-MX"/>
        </w:rPr>
        <w:t>9.1 FIANZA PARA EL PAGO DE LAS CONTRAPRESTACIONES.</w:t>
      </w:r>
      <w:r w:rsidRPr="00AF0989">
        <w:rPr>
          <w:rFonts w:ascii="ITC Avant Garde" w:eastAsia="Times New Roman" w:hAnsi="ITC Avant Garde" w:cs="Arial"/>
          <w:i/>
          <w:iCs/>
          <w:sz w:val="18"/>
          <w:szCs w:val="18"/>
          <w:lang w:eastAsia="es-MX"/>
        </w:rPr>
        <w:t xml:space="preserve"> Mientras esté vigente este CONVENIO, las PARTES mantendrá constituida una fianza o carta de crédito, a su elección, en garantía del pago de las contraprestaciones a su cargo en los términos de este CONVENIO, por un monto que cubra por lo menos un promedio de contraprestaciones equivalente a (2) dos meses, incluyendo accesorios y cualquier otro cargo para Concesionarios interconectados. </w:t>
      </w:r>
    </w:p>
    <w:p w14:paraId="3B9D0F93"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p>
    <w:p w14:paraId="136B5FA2"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Para el caso de Concesionarios nuevos la fianza que deberá exhibir será la que se acuerde según la capacidad requerida y sujetándose a la siguiente tabla:</w:t>
      </w:r>
    </w:p>
    <w:p w14:paraId="19408C8A"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4186"/>
      </w:tblGrid>
      <w:tr w:rsidR="00F16135" w:rsidRPr="00AF0989" w14:paraId="0648B9C8" w14:textId="77777777" w:rsidTr="00E6764B">
        <w:tc>
          <w:tcPr>
            <w:tcW w:w="4697" w:type="dxa"/>
          </w:tcPr>
          <w:p w14:paraId="5C5C56EF"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Ancho de banda inicial</w:t>
            </w:r>
          </w:p>
          <w:p w14:paraId="5D7FEFA1"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(Mbps)</w:t>
            </w:r>
          </w:p>
        </w:tc>
        <w:tc>
          <w:tcPr>
            <w:tcW w:w="4697" w:type="dxa"/>
          </w:tcPr>
          <w:p w14:paraId="1018E768"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Valor de la fianza</w:t>
            </w:r>
          </w:p>
          <w:p w14:paraId="2672342F"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M.N.</w:t>
            </w:r>
          </w:p>
        </w:tc>
      </w:tr>
      <w:tr w:rsidR="00F16135" w:rsidRPr="00AF0989" w14:paraId="4936AF36" w14:textId="77777777" w:rsidTr="00E6764B">
        <w:tc>
          <w:tcPr>
            <w:tcW w:w="4697" w:type="dxa"/>
          </w:tcPr>
          <w:p w14:paraId="2F0BE4CE"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1-10</w:t>
            </w:r>
          </w:p>
        </w:tc>
        <w:tc>
          <w:tcPr>
            <w:tcW w:w="4697" w:type="dxa"/>
          </w:tcPr>
          <w:p w14:paraId="765580AF"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Máximo $300,000.00</w:t>
            </w:r>
          </w:p>
        </w:tc>
      </w:tr>
      <w:tr w:rsidR="00F16135" w:rsidRPr="00AF0989" w14:paraId="03EBFBAF" w14:textId="77777777" w:rsidTr="00E6764B">
        <w:tc>
          <w:tcPr>
            <w:tcW w:w="4697" w:type="dxa"/>
          </w:tcPr>
          <w:p w14:paraId="51EC8B59"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11-100</w:t>
            </w:r>
          </w:p>
        </w:tc>
        <w:tc>
          <w:tcPr>
            <w:tcW w:w="4697" w:type="dxa"/>
          </w:tcPr>
          <w:p w14:paraId="7AAAC246"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Máximo $700,000.00</w:t>
            </w:r>
          </w:p>
        </w:tc>
      </w:tr>
      <w:tr w:rsidR="00F16135" w:rsidRPr="00AF0989" w14:paraId="1624F69B" w14:textId="77777777" w:rsidTr="00E6764B">
        <w:tc>
          <w:tcPr>
            <w:tcW w:w="4697" w:type="dxa"/>
          </w:tcPr>
          <w:p w14:paraId="0F230C9E"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101-500</w:t>
            </w:r>
          </w:p>
        </w:tc>
        <w:tc>
          <w:tcPr>
            <w:tcW w:w="4697" w:type="dxa"/>
          </w:tcPr>
          <w:p w14:paraId="4EA7CB09" w14:textId="77777777" w:rsidR="00F16135" w:rsidRPr="00AF0989" w:rsidRDefault="00F16135" w:rsidP="00430267">
            <w:pPr>
              <w:spacing w:after="0" w:line="276" w:lineRule="auto"/>
              <w:ind w:right="615"/>
              <w:jc w:val="center"/>
              <w:rPr>
                <w:rFonts w:ascii="ITC Avant Garde" w:eastAsia="Times New Roman" w:hAnsi="ITC Avant Garde" w:cs="Arial"/>
                <w:i/>
                <w:iCs/>
                <w:sz w:val="18"/>
                <w:szCs w:val="18"/>
              </w:rPr>
            </w:pPr>
            <w:r w:rsidRPr="00AF0989">
              <w:rPr>
                <w:rFonts w:ascii="ITC Avant Garde" w:eastAsia="Times New Roman" w:hAnsi="ITC Avant Garde" w:cs="Arial"/>
                <w:i/>
                <w:iCs/>
                <w:sz w:val="18"/>
                <w:szCs w:val="18"/>
              </w:rPr>
              <w:t>Máximo $1,000,000.00</w:t>
            </w:r>
          </w:p>
        </w:tc>
      </w:tr>
    </w:tbl>
    <w:p w14:paraId="23156616"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p>
    <w:p w14:paraId="06FA224D"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 xml:space="preserve">En este acto, las PARTES convienen que las fianzas que deberán exhibir serán por las cantidades de $XXXXXXXXXXX (XXXXXXXXXXXXX 00/100 M.N.) a favor de TELMEX/TELNOR y, $XXXXXXXXXXX (XXXXXXXXXXXXX 00/100 M.N.) a favor de [            </w:t>
      </w:r>
      <w:proofErr w:type="gramStart"/>
      <w:r w:rsidRPr="00AF0989">
        <w:rPr>
          <w:rFonts w:ascii="ITC Avant Garde" w:eastAsia="Times New Roman" w:hAnsi="ITC Avant Garde" w:cs="Arial"/>
          <w:i/>
          <w:iCs/>
          <w:sz w:val="18"/>
          <w:szCs w:val="18"/>
          <w:lang w:eastAsia="es-MX"/>
        </w:rPr>
        <w:t xml:space="preserve">  ]</w:t>
      </w:r>
      <w:proofErr w:type="gramEnd"/>
      <w:r w:rsidRPr="00AF0989">
        <w:rPr>
          <w:rFonts w:ascii="ITC Avant Garde" w:eastAsia="Times New Roman" w:hAnsi="ITC Avant Garde" w:cs="Arial"/>
          <w:i/>
          <w:iCs/>
          <w:sz w:val="18"/>
          <w:szCs w:val="18"/>
          <w:lang w:eastAsia="es-MX"/>
        </w:rPr>
        <w:t xml:space="preserve">, mismas que deberán ser expedidas por una Institución de Fianzas o una Institución Bancaria, según sea el caso, de los Estados Unidos Mexicanos. Las fianzas o cartas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w:t>
      </w:r>
      <w:r w:rsidRPr="00AF0989">
        <w:rPr>
          <w:rFonts w:ascii="ITC Avant Garde" w:eastAsia="Times New Roman" w:hAnsi="ITC Avant Garde" w:cs="Arial"/>
          <w:i/>
          <w:iCs/>
          <w:sz w:val="18"/>
          <w:szCs w:val="18"/>
          <w:lang w:eastAsia="es-MX"/>
        </w:rPr>
        <w:lastRenderedPageBreak/>
        <w:t>a cargo de las PARTES, y todos y cada uno de los gastos en que incurra la Parte reclamante al exigir dicho derecho conforme a este CONVENIO.</w:t>
      </w:r>
    </w:p>
    <w:p w14:paraId="4502A250"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p>
    <w:p w14:paraId="1119B5B3"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b/>
          <w:bCs/>
          <w:lang w:eastAsia="es-MX"/>
        </w:rPr>
        <w:t> </w:t>
      </w:r>
      <w:r w:rsidRPr="00AF0989">
        <w:rPr>
          <w:rFonts w:ascii="ITC Avant Garde" w:eastAsia="Times New Roman" w:hAnsi="ITC Avant Garde" w:cs="Arial"/>
          <w:i/>
          <w:iCs/>
          <w:sz w:val="18"/>
          <w:szCs w:val="18"/>
          <w:lang w:eastAsia="es-MX"/>
        </w:rPr>
        <w:t>9.2 En todo caso, la fianza deberá cumplir con los siguientes requisitos y estipulaciones mínimas:</w:t>
      </w:r>
    </w:p>
    <w:p w14:paraId="225C5751"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 </w:t>
      </w:r>
    </w:p>
    <w:p w14:paraId="4B8E763F"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9.2.1 Deberá ser otorgada por una Institución de Fianzas Mexicana de reconocido prestigio que no pertenezca al mismo grupo corporativo o de interés del fiado y que esté debidamente autorizada por la Secretaría de Hacienda y Crédito Público.</w:t>
      </w:r>
    </w:p>
    <w:p w14:paraId="335B3517"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 </w:t>
      </w:r>
    </w:p>
    <w:p w14:paraId="4D1083E7"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9.2.2 Deberá señalar que la Institución de Fianzas acepta someterse al procedimiento establecido en los artículos 93, 118 Bis y demás relativos de la Ley Federal de Instituciones de Fianzas.</w:t>
      </w:r>
    </w:p>
    <w:p w14:paraId="0DA118E0"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 </w:t>
      </w:r>
    </w:p>
    <w:p w14:paraId="784408B0"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9.2.3 Para cancelar la fianza, será requisito que el fiado presente a la Institución de Fianzas la autorización por escrito de la contraparte.</w:t>
      </w:r>
    </w:p>
    <w:p w14:paraId="650E346F"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 </w:t>
      </w:r>
    </w:p>
    <w:p w14:paraId="6CFE60C3"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r w:rsidRPr="00AF0989">
        <w:rPr>
          <w:rFonts w:ascii="ITC Avant Garde" w:eastAsia="Times New Roman" w:hAnsi="ITC Avant Garde" w:cs="Arial"/>
          <w:i/>
          <w:iCs/>
          <w:sz w:val="18"/>
          <w:szCs w:val="18"/>
          <w:lang w:eastAsia="es-MX"/>
        </w:rPr>
        <w:t>Se otorgará una nueva garantía anualmente por una cantidad equivalente al 100% del importe total de los SERVICIOS objeto de este CONVENIO facturados por la contraparte durante 2 (dos) meses del año calendario inmediato anterior o el estimado de SERVICIOS correspondientes a 2 (dos) meses del siguiente año, el monto que resulte mayor.”</w:t>
      </w:r>
    </w:p>
    <w:p w14:paraId="75D2FBE4" w14:textId="77777777" w:rsidR="00F16135" w:rsidRPr="00AF0989" w:rsidRDefault="00F16135" w:rsidP="00430267">
      <w:pPr>
        <w:spacing w:after="0" w:line="276" w:lineRule="auto"/>
        <w:ind w:left="567" w:right="615"/>
        <w:rPr>
          <w:rFonts w:ascii="ITC Avant Garde" w:eastAsia="Times New Roman" w:hAnsi="ITC Avant Garde" w:cs="Arial"/>
          <w:i/>
          <w:iCs/>
          <w:sz w:val="18"/>
          <w:szCs w:val="18"/>
          <w:lang w:eastAsia="es-MX"/>
        </w:rPr>
      </w:pPr>
    </w:p>
    <w:p w14:paraId="73DC8617" w14:textId="77777777" w:rsidR="00AF0989" w:rsidRDefault="00AF0989" w:rsidP="00430267">
      <w:pPr>
        <w:spacing w:after="0" w:line="276" w:lineRule="auto"/>
        <w:rPr>
          <w:rFonts w:ascii="ITC Avant Garde" w:hAnsi="ITC Avant Garde"/>
          <w:b/>
          <w:u w:val="single"/>
        </w:rPr>
      </w:pPr>
    </w:p>
    <w:p w14:paraId="4B59D10F" w14:textId="36444374" w:rsidR="008C272C" w:rsidRPr="00087DB0" w:rsidRDefault="00CB3A04" w:rsidP="00430267">
      <w:pPr>
        <w:spacing w:after="0" w:line="276" w:lineRule="auto"/>
        <w:rPr>
          <w:rFonts w:ascii="ITC Avant Garde" w:hAnsi="ITC Avant Garde"/>
          <w:b/>
          <w:u w:val="single"/>
        </w:rPr>
      </w:pPr>
      <w:r w:rsidRPr="00087DB0">
        <w:rPr>
          <w:rFonts w:ascii="ITC Avant Garde" w:hAnsi="ITC Avant Garde"/>
          <w:b/>
          <w:u w:val="single"/>
        </w:rPr>
        <w:t xml:space="preserve">Cláusula </w:t>
      </w:r>
      <w:r>
        <w:rPr>
          <w:rFonts w:ascii="ITC Avant Garde" w:hAnsi="ITC Avant Garde"/>
          <w:b/>
          <w:u w:val="single"/>
        </w:rPr>
        <w:t>Vigésima</w:t>
      </w:r>
      <w:r w:rsidRPr="00087DB0">
        <w:rPr>
          <w:rFonts w:ascii="ITC Avant Garde" w:hAnsi="ITC Avant Garde"/>
          <w:b/>
          <w:u w:val="single"/>
        </w:rPr>
        <w:t>. Condiciones Resolutorias</w:t>
      </w:r>
    </w:p>
    <w:p w14:paraId="431AAA3B" w14:textId="77777777" w:rsidR="008C272C" w:rsidRPr="00087DB0" w:rsidRDefault="008C272C" w:rsidP="00430267">
      <w:pPr>
        <w:spacing w:after="0" w:line="276" w:lineRule="auto"/>
        <w:rPr>
          <w:rFonts w:ascii="ITC Avant Garde" w:hAnsi="ITC Avant Garde"/>
          <w:b/>
          <w:bCs/>
        </w:rPr>
      </w:pPr>
    </w:p>
    <w:p w14:paraId="1C2BD38E" w14:textId="43DA1C8C" w:rsidR="008C272C" w:rsidRPr="00775D28" w:rsidRDefault="008C272C" w:rsidP="00430267">
      <w:pPr>
        <w:autoSpaceDE w:val="0"/>
        <w:autoSpaceDN w:val="0"/>
        <w:adjustRightInd w:val="0"/>
        <w:spacing w:after="0" w:line="276" w:lineRule="auto"/>
        <w:ind w:right="49"/>
        <w:rPr>
          <w:rFonts w:ascii="ITC Avant Garde" w:hAnsi="ITC Avant Garde"/>
          <w:b/>
          <w:bCs/>
        </w:rPr>
      </w:pPr>
      <w:r w:rsidRPr="00775D28">
        <w:rPr>
          <w:rFonts w:ascii="ITC Avant Garde" w:hAnsi="ITC Avant Garde"/>
          <w:b/>
          <w:bCs/>
        </w:rPr>
        <w:t>Grupo Televisa</w:t>
      </w:r>
    </w:p>
    <w:p w14:paraId="585FA2D9" w14:textId="35F3A00E" w:rsidR="008C272C" w:rsidRPr="00775D28" w:rsidRDefault="008C272C" w:rsidP="00430267">
      <w:pPr>
        <w:autoSpaceDE w:val="0"/>
        <w:autoSpaceDN w:val="0"/>
        <w:adjustRightInd w:val="0"/>
        <w:spacing w:after="0" w:line="276" w:lineRule="auto"/>
        <w:ind w:right="49"/>
        <w:rPr>
          <w:rFonts w:ascii="ITC Avant Garde" w:hAnsi="ITC Avant Garde"/>
        </w:rPr>
      </w:pPr>
      <w:r w:rsidRPr="00775D28">
        <w:rPr>
          <w:rFonts w:ascii="ITC Avant Garde" w:hAnsi="ITC Avant Garde"/>
        </w:rPr>
        <w:t xml:space="preserve">Solicitaron eliminar la Cláusula </w:t>
      </w:r>
      <w:r w:rsidR="00C24713">
        <w:rPr>
          <w:rFonts w:ascii="ITC Avant Garde" w:hAnsi="ITC Avant Garde"/>
        </w:rPr>
        <w:t>Vigésima</w:t>
      </w:r>
      <w:r w:rsidR="00C24713" w:rsidRPr="00775D28">
        <w:rPr>
          <w:rFonts w:ascii="ITC Avant Garde" w:hAnsi="ITC Avant Garde"/>
        </w:rPr>
        <w:t xml:space="preserve"> </w:t>
      </w:r>
      <w:r w:rsidRPr="00775D28">
        <w:rPr>
          <w:rFonts w:ascii="ITC Avant Garde" w:hAnsi="ITC Avant Garde"/>
        </w:rPr>
        <w:t xml:space="preserve">y toda referencia dentro del texto en el </w:t>
      </w:r>
      <w:r w:rsidR="00ED02B6">
        <w:rPr>
          <w:rFonts w:ascii="ITC Avant Garde" w:hAnsi="ITC Avant Garde"/>
        </w:rPr>
        <w:t>CMI</w:t>
      </w:r>
      <w:r w:rsidR="00ED02B6" w:rsidRPr="00775D28">
        <w:rPr>
          <w:rFonts w:ascii="ITC Avant Garde" w:hAnsi="ITC Avant Garde"/>
        </w:rPr>
        <w:t xml:space="preserve"> </w:t>
      </w:r>
      <w:r w:rsidRPr="00775D28">
        <w:rPr>
          <w:rFonts w:ascii="ITC Avant Garde" w:hAnsi="ITC Avant Garde"/>
        </w:rPr>
        <w:t>donde se mencione que, en caso de que el AEP dejará de serlo, el Instituto impondrá un plan de transición, con sus correspondientes características técnicas y comerciales, en el que se garantice que se tienen en cuenta las inversiones realizadas y su plazo de recuperación, la existencia de alternativas a la infraestructura del AEP, y la continuidad en la prestación de los servicios a los usuarios finales.</w:t>
      </w:r>
    </w:p>
    <w:p w14:paraId="67F74020" w14:textId="77777777" w:rsidR="008C272C" w:rsidRPr="00775D28" w:rsidRDefault="008C272C" w:rsidP="00430267">
      <w:pPr>
        <w:autoSpaceDE w:val="0"/>
        <w:autoSpaceDN w:val="0"/>
        <w:adjustRightInd w:val="0"/>
        <w:spacing w:after="0" w:line="276" w:lineRule="auto"/>
        <w:ind w:right="49"/>
        <w:rPr>
          <w:rFonts w:ascii="ITC Avant Garde" w:hAnsi="ITC Avant Garde"/>
        </w:rPr>
      </w:pPr>
    </w:p>
    <w:p w14:paraId="1363F354" w14:textId="77777777" w:rsidR="008C272C" w:rsidRPr="00775D28" w:rsidRDefault="008C272C" w:rsidP="00430267">
      <w:pPr>
        <w:autoSpaceDE w:val="0"/>
        <w:autoSpaceDN w:val="0"/>
        <w:adjustRightInd w:val="0"/>
        <w:spacing w:after="0" w:line="276" w:lineRule="auto"/>
        <w:ind w:right="49"/>
        <w:rPr>
          <w:rFonts w:ascii="ITC Avant Garde" w:hAnsi="ITC Avant Garde"/>
          <w:b/>
          <w:bCs/>
        </w:rPr>
      </w:pPr>
      <w:r w:rsidRPr="00775D28">
        <w:rPr>
          <w:rFonts w:ascii="ITC Avant Garde" w:hAnsi="ITC Avant Garde"/>
          <w:b/>
          <w:bCs/>
        </w:rPr>
        <w:t>Consideraciones del Instituto</w:t>
      </w:r>
    </w:p>
    <w:p w14:paraId="7C7A9FF9" w14:textId="03C7FA5C" w:rsidR="008C272C" w:rsidRPr="00775D28" w:rsidRDefault="008C272C" w:rsidP="00430267">
      <w:pPr>
        <w:spacing w:after="0" w:line="276" w:lineRule="auto"/>
        <w:rPr>
          <w:rFonts w:ascii="ITC Avant Garde" w:hAnsi="ITC Avant Garde"/>
        </w:rPr>
      </w:pPr>
      <w:r w:rsidRPr="00775D28">
        <w:rPr>
          <w:rFonts w:ascii="ITC Avant Garde" w:hAnsi="ITC Avant Garde"/>
        </w:rPr>
        <w:t xml:space="preserve">La Cláusula </w:t>
      </w:r>
      <w:r w:rsidR="00C24713">
        <w:rPr>
          <w:rFonts w:ascii="ITC Avant Garde" w:hAnsi="ITC Avant Garde"/>
        </w:rPr>
        <w:t>Vigésima</w:t>
      </w:r>
      <w:r w:rsidRPr="00775D28">
        <w:rPr>
          <w:rFonts w:ascii="ITC Avant Garde" w:hAnsi="ITC Avant Garde"/>
        </w:rPr>
        <w:t xml:space="preserve"> establece que las partes negociarán las nuevas condiciones, términos y tarifas de conformidad con lo dispuesto en el artículo 129 de la LFTR, y a su vez las partes se obligan a negociar los términos, condiciones y tarifas que modificarán</w:t>
      </w:r>
      <w:r w:rsidRPr="00775D28" w:rsidDel="00AD30E2">
        <w:rPr>
          <w:rFonts w:ascii="ITC Avant Garde" w:hAnsi="ITC Avant Garde"/>
        </w:rPr>
        <w:t xml:space="preserve"> </w:t>
      </w:r>
      <w:r w:rsidRPr="00775D28">
        <w:rPr>
          <w:rFonts w:ascii="ITC Avant Garde" w:hAnsi="ITC Avant Garde"/>
        </w:rPr>
        <w:t>el presente Convenio en todo lo que sea necesario, dentro de los 120 (ciento veinte) días naturales siguientes a la notificación de que el AEP deje tener dicho carácter, obligándose a aplicar, las últimas tarifas, términos y demás condiciones suscritos entre las Partes, por lo que el esquema de transición ya se encuentra definido y se garantiza la continuidad en la prestación de los servicios a los usuarios finales.</w:t>
      </w:r>
    </w:p>
    <w:p w14:paraId="07360966" w14:textId="5BF103EB" w:rsidR="00D63EA6" w:rsidRPr="00087DB0" w:rsidRDefault="00D63EA6" w:rsidP="00430267">
      <w:pPr>
        <w:spacing w:after="0" w:line="276" w:lineRule="auto"/>
        <w:rPr>
          <w:rFonts w:ascii="ITC Avant Garde" w:hAnsi="ITC Avant Garde"/>
          <w:b/>
          <w:bCs/>
        </w:rPr>
      </w:pPr>
    </w:p>
    <w:p w14:paraId="482D0861" w14:textId="5E50048A" w:rsidR="00CE264B" w:rsidRPr="00087DB0" w:rsidRDefault="00CB3A04" w:rsidP="00430267">
      <w:pPr>
        <w:autoSpaceDE w:val="0"/>
        <w:autoSpaceDN w:val="0"/>
        <w:adjustRightInd w:val="0"/>
        <w:spacing w:after="0" w:line="276" w:lineRule="auto"/>
        <w:ind w:right="49"/>
        <w:rPr>
          <w:rFonts w:ascii="ITC Avant Garde" w:hAnsi="ITC Avant Garde"/>
          <w:b/>
          <w:bCs/>
          <w:u w:val="single"/>
        </w:rPr>
      </w:pPr>
      <w:r w:rsidRPr="00087DB0">
        <w:rPr>
          <w:rFonts w:ascii="ITC Avant Garde" w:hAnsi="ITC Avant Garde"/>
          <w:b/>
          <w:bCs/>
          <w:u w:val="single"/>
        </w:rPr>
        <w:lastRenderedPageBreak/>
        <w:t xml:space="preserve">Anexo B. Precios </w:t>
      </w:r>
      <w:r>
        <w:rPr>
          <w:rFonts w:ascii="ITC Avant Garde" w:hAnsi="ITC Avant Garde"/>
          <w:b/>
          <w:bCs/>
          <w:u w:val="single"/>
        </w:rPr>
        <w:t>y</w:t>
      </w:r>
      <w:r w:rsidRPr="00087DB0">
        <w:rPr>
          <w:rFonts w:ascii="ITC Avant Garde" w:hAnsi="ITC Avant Garde"/>
          <w:b/>
          <w:bCs/>
          <w:u w:val="single"/>
        </w:rPr>
        <w:t xml:space="preserve"> Tarifas.</w:t>
      </w:r>
    </w:p>
    <w:p w14:paraId="04CB679C" w14:textId="77777777" w:rsidR="00CE264B" w:rsidRPr="00087DB0" w:rsidRDefault="00CE264B" w:rsidP="00430267">
      <w:pPr>
        <w:spacing w:after="0" w:line="276" w:lineRule="auto"/>
        <w:rPr>
          <w:rFonts w:ascii="ITC Avant Garde" w:hAnsi="ITC Avant Garde"/>
          <w:b/>
          <w:bCs/>
        </w:rPr>
      </w:pPr>
    </w:p>
    <w:p w14:paraId="46CA798A" w14:textId="21E473F0" w:rsidR="00CE264B" w:rsidRPr="00087DB0" w:rsidRDefault="00CE264B" w:rsidP="00430267">
      <w:pPr>
        <w:spacing w:after="0" w:line="276" w:lineRule="auto"/>
        <w:rPr>
          <w:rFonts w:ascii="ITC Avant Garde" w:hAnsi="ITC Avant Garde"/>
          <w:b/>
          <w:u w:val="single"/>
        </w:rPr>
      </w:pPr>
      <w:r w:rsidRPr="00087DB0">
        <w:rPr>
          <w:rFonts w:ascii="ITC Avant Garde" w:hAnsi="ITC Avant Garde"/>
          <w:b/>
          <w:u w:val="single"/>
        </w:rPr>
        <w:t xml:space="preserve">Numeral </w:t>
      </w:r>
      <w:r w:rsidR="00436523">
        <w:rPr>
          <w:rFonts w:ascii="ITC Avant Garde" w:hAnsi="ITC Avant Garde"/>
          <w:b/>
          <w:u w:val="single"/>
        </w:rPr>
        <w:t>7</w:t>
      </w:r>
    </w:p>
    <w:p w14:paraId="296051A9" w14:textId="77777777" w:rsidR="00436523" w:rsidRDefault="00436523" w:rsidP="00430267">
      <w:pPr>
        <w:autoSpaceDE w:val="0"/>
        <w:autoSpaceDN w:val="0"/>
        <w:adjustRightInd w:val="0"/>
        <w:spacing w:after="0" w:line="276" w:lineRule="auto"/>
        <w:ind w:right="49"/>
        <w:rPr>
          <w:rFonts w:ascii="ITC Avant Garde" w:hAnsi="ITC Avant Garde"/>
          <w:b/>
          <w:bCs/>
        </w:rPr>
      </w:pPr>
    </w:p>
    <w:p w14:paraId="60A5739B" w14:textId="1BB27C89" w:rsidR="00CE264B" w:rsidRPr="00087DB0" w:rsidRDefault="00CE264B"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Telefónica</w:t>
      </w:r>
    </w:p>
    <w:p w14:paraId="4650DE4B" w14:textId="77777777" w:rsidR="00CE264B" w:rsidRPr="00087DB0" w:rsidRDefault="00CE264B"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Sugiere que se encuentre establecido todo lo necesario para poder operar los equipos de telecomunicaciones o bien, se especifique qué tipo de capacidades se considerarán como adicional y cuál será su forma de cobro, en caso contrario, se abre la puerta a interpretaciones a discreción del AEP, dado que el presente numeral solamente contempla tarifas para capacidades adicionales de Corriente Directa, Corriente Alterna o Clima en la </w:t>
      </w:r>
      <w:proofErr w:type="spellStart"/>
      <w:r w:rsidRPr="00087DB0">
        <w:rPr>
          <w:rFonts w:ascii="ITC Avant Garde" w:hAnsi="ITC Avant Garde"/>
        </w:rPr>
        <w:t>Coubicación</w:t>
      </w:r>
      <w:proofErr w:type="spellEnd"/>
      <w:r w:rsidRPr="00087DB0">
        <w:rPr>
          <w:rFonts w:ascii="ITC Avant Garde" w:hAnsi="ITC Avant Garde"/>
        </w:rPr>
        <w:t>. No obstante, no establece qué tipos de servicios, capacidades, voltajes, entre otros, serán contemplados en las capacidades que no sean adicionales.</w:t>
      </w:r>
    </w:p>
    <w:p w14:paraId="276CCD0C" w14:textId="77777777" w:rsidR="00CE264B" w:rsidRPr="00087DB0" w:rsidRDefault="00CE264B" w:rsidP="00430267">
      <w:pPr>
        <w:autoSpaceDE w:val="0"/>
        <w:autoSpaceDN w:val="0"/>
        <w:adjustRightInd w:val="0"/>
        <w:spacing w:after="0" w:line="276" w:lineRule="auto"/>
        <w:ind w:right="49"/>
        <w:rPr>
          <w:rFonts w:ascii="ITC Avant Garde" w:hAnsi="ITC Avant Garde"/>
        </w:rPr>
      </w:pPr>
    </w:p>
    <w:p w14:paraId="14030B1F" w14:textId="77777777" w:rsidR="00CE264B" w:rsidRPr="00087DB0" w:rsidRDefault="00CE264B" w:rsidP="00430267">
      <w:pPr>
        <w:spacing w:after="0" w:line="276" w:lineRule="auto"/>
        <w:rPr>
          <w:rFonts w:ascii="ITC Avant Garde" w:hAnsi="ITC Avant Garde"/>
          <w:b/>
        </w:rPr>
      </w:pPr>
      <w:r w:rsidRPr="00087DB0">
        <w:rPr>
          <w:rFonts w:ascii="ITC Avant Garde" w:hAnsi="ITC Avant Garde"/>
          <w:b/>
        </w:rPr>
        <w:t>Consideraciones del Instituto</w:t>
      </w:r>
    </w:p>
    <w:p w14:paraId="53CE5BDC" w14:textId="77777777" w:rsidR="00CE264B" w:rsidRPr="00087DB0" w:rsidRDefault="00CE264B" w:rsidP="00430267">
      <w:pPr>
        <w:spacing w:after="0" w:line="276" w:lineRule="auto"/>
        <w:rPr>
          <w:rFonts w:ascii="ITC Avant Garde" w:hAnsi="ITC Avant Garde"/>
        </w:rPr>
      </w:pPr>
      <w:r w:rsidRPr="00087DB0">
        <w:rPr>
          <w:rFonts w:ascii="ITC Avant Garde" w:hAnsi="ITC Avant Garde"/>
        </w:rPr>
        <w:t>Los servicios considerados dentro del servicio de interconexión se establecen en el Anexo A Tema 6 “</w:t>
      </w:r>
      <w:proofErr w:type="spellStart"/>
      <w:r w:rsidRPr="00087DB0">
        <w:rPr>
          <w:rFonts w:ascii="ITC Avant Garde" w:hAnsi="ITC Avant Garde"/>
        </w:rPr>
        <w:t>Coubicaciones</w:t>
      </w:r>
      <w:proofErr w:type="spellEnd"/>
      <w:r w:rsidRPr="00087DB0">
        <w:rPr>
          <w:rFonts w:ascii="ITC Avant Garde" w:hAnsi="ITC Avant Garde"/>
        </w:rPr>
        <w:t xml:space="preserve">” en los cuales se mencionan las especificaciones con las que deben de contar cada espacio de </w:t>
      </w:r>
      <w:proofErr w:type="spellStart"/>
      <w:r w:rsidRPr="00087DB0">
        <w:rPr>
          <w:rFonts w:ascii="ITC Avant Garde" w:hAnsi="ITC Avant Garde"/>
        </w:rPr>
        <w:t>Coubicación</w:t>
      </w:r>
      <w:proofErr w:type="spellEnd"/>
      <w:r w:rsidRPr="00087DB0">
        <w:rPr>
          <w:rFonts w:ascii="ITC Avant Garde" w:hAnsi="ITC Avant Garde"/>
        </w:rPr>
        <w:t xml:space="preserve"> del AEP. </w:t>
      </w:r>
    </w:p>
    <w:p w14:paraId="2EA6D838" w14:textId="77777777" w:rsidR="00CE264B" w:rsidRPr="00087DB0" w:rsidRDefault="00CE264B" w:rsidP="00430267">
      <w:pPr>
        <w:spacing w:after="0" w:line="276" w:lineRule="auto"/>
        <w:rPr>
          <w:rFonts w:ascii="ITC Avant Garde" w:hAnsi="ITC Avant Garde"/>
        </w:rPr>
      </w:pPr>
    </w:p>
    <w:p w14:paraId="51C1B941" w14:textId="77777777" w:rsidR="00CE264B" w:rsidRPr="00087DB0" w:rsidRDefault="00CE264B" w:rsidP="00430267">
      <w:pPr>
        <w:spacing w:after="0" w:line="276" w:lineRule="auto"/>
        <w:rPr>
          <w:rFonts w:ascii="ITC Avant Garde" w:hAnsi="ITC Avant Garde"/>
        </w:rPr>
      </w:pPr>
      <w:r w:rsidRPr="00087DB0">
        <w:rPr>
          <w:rFonts w:ascii="ITC Avant Garde" w:hAnsi="ITC Avant Garde"/>
        </w:rPr>
        <w:t>Cabe señalar, que las tarifas de capacidades adicionales podrán ser acordadas libremente por las partes de conformidad con lo establecido en la LFTR, y en caso de existir desacuerdo se podrá solicitar al Instituto se resuelvan las tarifas no acordadas.</w:t>
      </w:r>
    </w:p>
    <w:p w14:paraId="4A673C2C" w14:textId="42E00F26" w:rsidR="00D63EA6" w:rsidRDefault="00D63EA6" w:rsidP="00430267">
      <w:pPr>
        <w:spacing w:after="0" w:line="276" w:lineRule="auto"/>
        <w:rPr>
          <w:rFonts w:ascii="ITC Avant Garde" w:hAnsi="ITC Avant Garde"/>
          <w:b/>
          <w:bCs/>
        </w:rPr>
      </w:pPr>
    </w:p>
    <w:p w14:paraId="506B7ACF" w14:textId="1326117F" w:rsidR="00EC6B08" w:rsidRPr="00087DB0" w:rsidRDefault="00CB3A04" w:rsidP="00430267">
      <w:pPr>
        <w:spacing w:after="0" w:line="276" w:lineRule="auto"/>
        <w:rPr>
          <w:rFonts w:ascii="ITC Avant Garde" w:hAnsi="ITC Avant Garde"/>
          <w:b/>
          <w:bCs/>
          <w:u w:val="single"/>
        </w:rPr>
      </w:pPr>
      <w:r w:rsidRPr="00087DB0">
        <w:rPr>
          <w:rFonts w:ascii="ITC Avant Garde" w:hAnsi="ITC Avant Garde"/>
          <w:b/>
          <w:bCs/>
          <w:u w:val="single"/>
        </w:rPr>
        <w:t xml:space="preserve">Anexo </w:t>
      </w:r>
      <w:r>
        <w:rPr>
          <w:rFonts w:ascii="ITC Avant Garde" w:hAnsi="ITC Avant Garde"/>
          <w:b/>
          <w:bCs/>
          <w:u w:val="single"/>
        </w:rPr>
        <w:t>D</w:t>
      </w:r>
      <w:r w:rsidRPr="00087DB0">
        <w:rPr>
          <w:rFonts w:ascii="ITC Avant Garde" w:hAnsi="ITC Avant Garde"/>
          <w:b/>
          <w:bCs/>
          <w:u w:val="single"/>
        </w:rPr>
        <w:t>.</w:t>
      </w:r>
    </w:p>
    <w:p w14:paraId="35460557" w14:textId="77777777" w:rsidR="00EC6B08" w:rsidRDefault="00EC6B08" w:rsidP="00430267">
      <w:pPr>
        <w:spacing w:after="0" w:line="276" w:lineRule="auto"/>
        <w:rPr>
          <w:rFonts w:ascii="ITC Avant Garde" w:hAnsi="ITC Avant Garde"/>
          <w:b/>
          <w:bCs/>
        </w:rPr>
      </w:pPr>
    </w:p>
    <w:p w14:paraId="2A965FCB" w14:textId="77777777" w:rsidR="00EC6B08" w:rsidRPr="00087DB0" w:rsidRDefault="00EC6B08" w:rsidP="00430267">
      <w:pPr>
        <w:spacing w:after="0" w:line="276" w:lineRule="auto"/>
        <w:rPr>
          <w:rFonts w:ascii="ITC Avant Garde" w:hAnsi="ITC Avant Garde"/>
          <w:b/>
        </w:rPr>
      </w:pPr>
      <w:r w:rsidRPr="00087DB0">
        <w:rPr>
          <w:rFonts w:ascii="ITC Avant Garde" w:hAnsi="ITC Avant Garde"/>
          <w:b/>
        </w:rPr>
        <w:t>AT&amp;T</w:t>
      </w:r>
    </w:p>
    <w:p w14:paraId="27F304CA" w14:textId="456A4A9A" w:rsidR="00EC6B08" w:rsidRDefault="00EC6B08" w:rsidP="00430267">
      <w:pPr>
        <w:spacing w:after="0" w:line="276" w:lineRule="auto"/>
        <w:rPr>
          <w:rFonts w:ascii="ITC Avant Garde" w:hAnsi="ITC Avant Garde"/>
        </w:rPr>
      </w:pPr>
      <w:r>
        <w:rPr>
          <w:rFonts w:ascii="ITC Avant Garde" w:hAnsi="ITC Avant Garde"/>
        </w:rPr>
        <w:t>Solicita modificar el Anexo D, pues está vinculado a un cambio en el Plan Técnico Fundamental de Numeración respecto a la desaparición del concepto de NIR y el manejo por zonas. Indica que este tema debe acordarse con los operadores para modificar dicho anexo antes de realizar el cambio.</w:t>
      </w:r>
    </w:p>
    <w:p w14:paraId="0C22938C" w14:textId="77777777" w:rsidR="00EC6B08" w:rsidRDefault="00EC6B08" w:rsidP="00430267">
      <w:pPr>
        <w:spacing w:after="0" w:line="276" w:lineRule="auto"/>
        <w:rPr>
          <w:rFonts w:ascii="ITC Avant Garde" w:hAnsi="ITC Avant Garde"/>
        </w:rPr>
      </w:pPr>
    </w:p>
    <w:p w14:paraId="00DE61B4" w14:textId="270579C1" w:rsidR="00EC6B08" w:rsidRDefault="00EC6B08" w:rsidP="00430267">
      <w:pPr>
        <w:spacing w:after="0" w:line="276" w:lineRule="auto"/>
        <w:rPr>
          <w:rFonts w:ascii="ITC Avant Garde" w:hAnsi="ITC Avant Garde"/>
          <w:b/>
          <w:bCs/>
        </w:rPr>
      </w:pPr>
      <w:r>
        <w:rPr>
          <w:rFonts w:ascii="ITC Avant Garde" w:hAnsi="ITC Avant Garde"/>
          <w:b/>
          <w:bCs/>
        </w:rPr>
        <w:t>AT&amp;T</w:t>
      </w:r>
    </w:p>
    <w:p w14:paraId="22026875" w14:textId="3ECAF89A" w:rsidR="00EC6B08" w:rsidRDefault="00EC6B08" w:rsidP="00430267">
      <w:pPr>
        <w:spacing w:after="0" w:line="276" w:lineRule="auto"/>
        <w:rPr>
          <w:rFonts w:ascii="ITC Avant Garde" w:hAnsi="ITC Avant Garde"/>
        </w:rPr>
      </w:pPr>
      <w:r>
        <w:rPr>
          <w:rFonts w:ascii="ITC Avant Garde" w:hAnsi="ITC Avant Garde"/>
        </w:rPr>
        <w:t>Considera que se debe incluir como concepto la “</w:t>
      </w:r>
      <w:r w:rsidR="00AA7F6C">
        <w:rPr>
          <w:rFonts w:ascii="ITC Avant Garde" w:hAnsi="ITC Avant Garde"/>
        </w:rPr>
        <w:t>T</w:t>
      </w:r>
      <w:r>
        <w:rPr>
          <w:rFonts w:ascii="ITC Avant Garde" w:hAnsi="ITC Avant Garde"/>
        </w:rPr>
        <w:t>erminación por EQLLP”, como parte de las leyendas definidas para presentar las facturas que el Operador facturará a Telmex.</w:t>
      </w:r>
    </w:p>
    <w:p w14:paraId="7F9A47BC" w14:textId="77777777" w:rsidR="00EC6B08" w:rsidRDefault="00EC6B08" w:rsidP="00430267">
      <w:pPr>
        <w:spacing w:after="0" w:line="276" w:lineRule="auto"/>
        <w:rPr>
          <w:rFonts w:ascii="ITC Avant Garde" w:hAnsi="ITC Avant Garde"/>
        </w:rPr>
      </w:pPr>
    </w:p>
    <w:p w14:paraId="63D95FA8" w14:textId="47AED2C1" w:rsidR="00EC6B08" w:rsidRDefault="00EC6B08" w:rsidP="00430267">
      <w:pPr>
        <w:spacing w:after="0" w:line="276" w:lineRule="auto"/>
        <w:rPr>
          <w:rFonts w:ascii="ITC Avant Garde" w:hAnsi="ITC Avant Garde"/>
          <w:b/>
          <w:bCs/>
        </w:rPr>
      </w:pPr>
      <w:r>
        <w:rPr>
          <w:rFonts w:ascii="ITC Avant Garde" w:hAnsi="ITC Avant Garde"/>
          <w:b/>
          <w:bCs/>
        </w:rPr>
        <w:t>AT&amp;T y Grupo Televisa</w:t>
      </w:r>
    </w:p>
    <w:p w14:paraId="4133E244" w14:textId="3949831A" w:rsidR="00EC6B08" w:rsidRDefault="00EC6B08" w:rsidP="00430267">
      <w:pPr>
        <w:spacing w:after="0" w:line="276" w:lineRule="auto"/>
        <w:rPr>
          <w:rFonts w:ascii="ITC Avant Garde" w:hAnsi="ITC Avant Garde"/>
        </w:rPr>
      </w:pPr>
      <w:r>
        <w:rPr>
          <w:rFonts w:ascii="ITC Avant Garde" w:hAnsi="ITC Avant Garde"/>
        </w:rPr>
        <w:t xml:space="preserve">Consideran que los Registros de Detalle y Layout donde se contempla el concepto de ASL debería ser opcional. Por su parte, Grupo Televisa señala que el campo 2 </w:t>
      </w:r>
      <w:r>
        <w:rPr>
          <w:rFonts w:ascii="ITC Avant Garde" w:hAnsi="ITC Avant Garde"/>
        </w:rPr>
        <w:lastRenderedPageBreak/>
        <w:t>del Layout “Registro Detalle” deberá dejarse en ceros y sustituir “Área de Servicio Local (en caso de aplicar)” por “En caso de no usarse se llenará con ceros”.</w:t>
      </w:r>
    </w:p>
    <w:p w14:paraId="6AC11996" w14:textId="77777777" w:rsidR="00EC6B08" w:rsidRDefault="00EC6B08" w:rsidP="00430267">
      <w:pPr>
        <w:spacing w:after="0" w:line="276" w:lineRule="auto"/>
        <w:rPr>
          <w:rFonts w:ascii="ITC Avant Garde" w:hAnsi="ITC Avant Garde"/>
        </w:rPr>
      </w:pPr>
    </w:p>
    <w:p w14:paraId="66DEEA37" w14:textId="77777777" w:rsidR="00EC6B08" w:rsidRDefault="00EC6B08" w:rsidP="00430267">
      <w:pPr>
        <w:spacing w:after="0" w:line="276" w:lineRule="auto"/>
        <w:rPr>
          <w:rFonts w:ascii="ITC Avant Garde" w:hAnsi="ITC Avant Garde"/>
          <w:b/>
          <w:bCs/>
        </w:rPr>
      </w:pPr>
      <w:r>
        <w:rPr>
          <w:rFonts w:ascii="ITC Avant Garde" w:hAnsi="ITC Avant Garde"/>
          <w:b/>
          <w:bCs/>
        </w:rPr>
        <w:t>AT&amp;T</w:t>
      </w:r>
    </w:p>
    <w:p w14:paraId="1F97B3DF" w14:textId="77777777" w:rsidR="009F7F8A" w:rsidRDefault="00EC6B08" w:rsidP="00430267">
      <w:pPr>
        <w:spacing w:after="0" w:line="276" w:lineRule="auto"/>
        <w:rPr>
          <w:rFonts w:ascii="ITC Avant Garde" w:hAnsi="ITC Avant Garde"/>
        </w:rPr>
      </w:pPr>
      <w:r>
        <w:rPr>
          <w:rFonts w:ascii="ITC Avant Garde" w:hAnsi="ITC Avant Garde"/>
        </w:rPr>
        <w:t>Propone</w:t>
      </w:r>
      <w:r w:rsidR="009F7F8A">
        <w:rPr>
          <w:rFonts w:ascii="ITC Avant Garde" w:hAnsi="ITC Avant Garde"/>
        </w:rPr>
        <w:t xml:space="preserve"> las siguientes modificaciones a los formatos de facturación del Anexo D:</w:t>
      </w:r>
      <w:r>
        <w:rPr>
          <w:rFonts w:ascii="ITC Avant Garde" w:hAnsi="ITC Avant Garde"/>
        </w:rPr>
        <w:t xml:space="preserve"> </w:t>
      </w:r>
    </w:p>
    <w:p w14:paraId="2E41004F" w14:textId="77777777" w:rsidR="009F7F8A" w:rsidRDefault="009F7F8A" w:rsidP="00430267">
      <w:pPr>
        <w:spacing w:after="0" w:line="276" w:lineRule="auto"/>
        <w:rPr>
          <w:rFonts w:ascii="ITC Avant Garde" w:hAnsi="ITC Avant Garde"/>
        </w:rPr>
      </w:pPr>
    </w:p>
    <w:p w14:paraId="01802041" w14:textId="0BAFF6F4" w:rsidR="00EC6B08" w:rsidRPr="00430267" w:rsidRDefault="009F7F8A" w:rsidP="00430267">
      <w:pPr>
        <w:pStyle w:val="Prrafodelista"/>
        <w:numPr>
          <w:ilvl w:val="0"/>
          <w:numId w:val="14"/>
        </w:numPr>
        <w:spacing w:after="0" w:line="276" w:lineRule="auto"/>
        <w:rPr>
          <w:rFonts w:ascii="ITC Avant Garde" w:hAnsi="ITC Avant Garde"/>
        </w:rPr>
      </w:pPr>
      <w:r w:rsidRPr="00430267">
        <w:rPr>
          <w:rFonts w:ascii="ITC Avant Garde" w:hAnsi="ITC Avant Garde"/>
        </w:rPr>
        <w:t>M</w:t>
      </w:r>
      <w:r w:rsidR="00EC6B08" w:rsidRPr="00430267">
        <w:rPr>
          <w:rFonts w:ascii="ITC Avant Garde" w:hAnsi="ITC Avant Garde"/>
        </w:rPr>
        <w:t>anejar la serie destino a 6 dígitos en lugar de 7 dígitos para reducir la cantidad de archivos propios (de números no portados).</w:t>
      </w:r>
    </w:p>
    <w:p w14:paraId="53C34685" w14:textId="77777777" w:rsidR="009F7F8A" w:rsidRDefault="009F7F8A" w:rsidP="00430267">
      <w:pPr>
        <w:spacing w:after="0" w:line="276" w:lineRule="auto"/>
        <w:rPr>
          <w:rFonts w:ascii="ITC Avant Garde" w:hAnsi="ITC Avant Garde"/>
        </w:rPr>
      </w:pPr>
    </w:p>
    <w:p w14:paraId="1834B0E5" w14:textId="6ACF9656" w:rsidR="00EC6B08" w:rsidRPr="00430267" w:rsidRDefault="009F7F8A" w:rsidP="00430267">
      <w:pPr>
        <w:pStyle w:val="Prrafodelista"/>
        <w:numPr>
          <w:ilvl w:val="0"/>
          <w:numId w:val="14"/>
        </w:numPr>
        <w:spacing w:after="0" w:line="276" w:lineRule="auto"/>
        <w:rPr>
          <w:rFonts w:ascii="ITC Avant Garde" w:hAnsi="ITC Avant Garde"/>
        </w:rPr>
      </w:pPr>
      <w:r w:rsidRPr="00430267">
        <w:rPr>
          <w:rFonts w:ascii="ITC Avant Garde" w:hAnsi="ITC Avant Garde"/>
        </w:rPr>
        <w:t>I</w:t>
      </w:r>
      <w:r w:rsidR="00EC6B08" w:rsidRPr="00430267">
        <w:rPr>
          <w:rFonts w:ascii="ITC Avant Garde" w:hAnsi="ITC Avant Garde"/>
        </w:rPr>
        <w:t>ndicar en el campo TARIFA que el punto es flotante y se ajusta a los valores de la tarifa, en este caso 6 dígitos decimales.</w:t>
      </w:r>
    </w:p>
    <w:p w14:paraId="0A7B0872" w14:textId="77777777" w:rsidR="00EC6B08" w:rsidRDefault="00EC6B08" w:rsidP="00430267">
      <w:pPr>
        <w:spacing w:after="0" w:line="276" w:lineRule="auto"/>
        <w:rPr>
          <w:rFonts w:ascii="ITC Avant Garde" w:hAnsi="ITC Avant Garde"/>
        </w:rPr>
      </w:pPr>
    </w:p>
    <w:p w14:paraId="68A9FB61" w14:textId="5A60765F" w:rsidR="00EC6B08" w:rsidRPr="00430267" w:rsidRDefault="009F7F8A" w:rsidP="00430267">
      <w:pPr>
        <w:pStyle w:val="Prrafodelista"/>
        <w:numPr>
          <w:ilvl w:val="0"/>
          <w:numId w:val="14"/>
        </w:numPr>
        <w:spacing w:after="0" w:line="276" w:lineRule="auto"/>
        <w:rPr>
          <w:rFonts w:ascii="ITC Avant Garde" w:hAnsi="ITC Avant Garde"/>
        </w:rPr>
      </w:pPr>
      <w:r w:rsidRPr="00430267">
        <w:rPr>
          <w:rFonts w:ascii="ITC Avant Garde" w:hAnsi="ITC Avant Garde"/>
        </w:rPr>
        <w:t>Ag</w:t>
      </w:r>
      <w:r w:rsidR="00EC6B08" w:rsidRPr="00430267">
        <w:rPr>
          <w:rFonts w:ascii="ITC Avant Garde" w:hAnsi="ITC Avant Garde"/>
        </w:rPr>
        <w:t>rupar los números de portados a 6 dígitos (igual que en series propias) con el objeto de simplificar la solución de objeciones. En lugar de “Los números portados serán facturados en la serie 0000000 según corresponda en “Serie Origen” o “Serie Destino””.</w:t>
      </w:r>
    </w:p>
    <w:p w14:paraId="5FD787D9" w14:textId="77777777" w:rsidR="00EC6B08" w:rsidRDefault="00EC6B08" w:rsidP="00430267">
      <w:pPr>
        <w:spacing w:after="0" w:line="276" w:lineRule="auto"/>
        <w:rPr>
          <w:rFonts w:ascii="ITC Avant Garde" w:hAnsi="ITC Avant Garde"/>
        </w:rPr>
      </w:pPr>
    </w:p>
    <w:p w14:paraId="06AF2AA9" w14:textId="1DAE5E24" w:rsidR="00EC6B08" w:rsidRPr="00430267" w:rsidRDefault="009F7F8A" w:rsidP="00430267">
      <w:pPr>
        <w:pStyle w:val="Prrafodelista"/>
        <w:numPr>
          <w:ilvl w:val="0"/>
          <w:numId w:val="14"/>
        </w:numPr>
        <w:spacing w:after="0" w:line="276" w:lineRule="auto"/>
        <w:rPr>
          <w:rFonts w:ascii="ITC Avant Garde" w:hAnsi="ITC Avant Garde"/>
        </w:rPr>
      </w:pPr>
      <w:r w:rsidRPr="00430267">
        <w:rPr>
          <w:rFonts w:ascii="ITC Avant Garde" w:hAnsi="ITC Avant Garde"/>
        </w:rPr>
        <w:t>I</w:t>
      </w:r>
      <w:r w:rsidR="00EC6B08" w:rsidRPr="00430267">
        <w:rPr>
          <w:rFonts w:ascii="ITC Avant Garde" w:hAnsi="ITC Avant Garde"/>
        </w:rPr>
        <w:t>ndicar en el campo de TARIFA FACTURADA y TARIFA RECONOCIDA que el punto es flotante y se ajusta a los valores de la tarifa, en este caso 6 dígitos decimales.</w:t>
      </w:r>
    </w:p>
    <w:p w14:paraId="5EB3333F" w14:textId="77777777" w:rsidR="00EC6B08" w:rsidRDefault="00EC6B08" w:rsidP="00430267">
      <w:pPr>
        <w:spacing w:after="0" w:line="276" w:lineRule="auto"/>
        <w:rPr>
          <w:rFonts w:ascii="ITC Avant Garde" w:hAnsi="ITC Avant Garde"/>
        </w:rPr>
      </w:pPr>
    </w:p>
    <w:p w14:paraId="6A210B5A" w14:textId="77777777" w:rsidR="00EC6B08" w:rsidRPr="00087DB0" w:rsidRDefault="00EC6B08" w:rsidP="00430267">
      <w:pPr>
        <w:spacing w:after="0" w:line="276" w:lineRule="auto"/>
        <w:rPr>
          <w:rFonts w:ascii="ITC Avant Garde" w:hAnsi="ITC Avant Garde"/>
          <w:b/>
        </w:rPr>
      </w:pPr>
      <w:r w:rsidRPr="00087DB0">
        <w:rPr>
          <w:rFonts w:ascii="ITC Avant Garde" w:hAnsi="ITC Avant Garde"/>
          <w:b/>
        </w:rPr>
        <w:t>Consideraciones del Instituto</w:t>
      </w:r>
    </w:p>
    <w:p w14:paraId="53D44A1B" w14:textId="77777777" w:rsidR="00AA7F6C" w:rsidRDefault="00AA7F6C" w:rsidP="00430267">
      <w:pPr>
        <w:spacing w:after="0" w:line="276" w:lineRule="auto"/>
        <w:rPr>
          <w:rFonts w:ascii="ITC Avant Garde" w:eastAsia="Avant Garde" w:hAnsi="ITC Avant Garde" w:cs="Avant Garde"/>
          <w:color w:val="000000"/>
          <w:lang w:eastAsia="es-MX"/>
        </w:rPr>
      </w:pPr>
      <w:r>
        <w:rPr>
          <w:rFonts w:ascii="ITC Avant Garde" w:eastAsia="Avant Garde" w:hAnsi="ITC Avant Garde" w:cs="Avant Garde"/>
          <w:color w:val="000000"/>
          <w:lang w:eastAsia="es-MX"/>
        </w:rPr>
        <w:t>D</w:t>
      </w:r>
      <w:r w:rsidRPr="00625F54">
        <w:rPr>
          <w:rFonts w:ascii="ITC Avant Garde" w:eastAsia="Avant Garde" w:hAnsi="ITC Avant Garde" w:cs="Avant Garde"/>
          <w:color w:val="000000"/>
          <w:lang w:eastAsia="es-MX"/>
        </w:rPr>
        <w:t xml:space="preserve">ado que los cambios al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implican modificaciones a los sistemas de facturación de todos los concesionarios, y no solamente del AEP, se debe establecer un mecanismo que permita realizar dichos cambios en coordinación con todos los integrantes de la industria a efecto de revisar y acordar formatos de facturación de interconexión y de aclaración de consumos no reconocidos que serán utilizados a nivel industria. </w:t>
      </w:r>
    </w:p>
    <w:p w14:paraId="122BCF98" w14:textId="77777777" w:rsidR="00AA7F6C" w:rsidRPr="00625F54" w:rsidRDefault="00AA7F6C" w:rsidP="00430267">
      <w:pPr>
        <w:spacing w:after="0" w:line="276" w:lineRule="auto"/>
        <w:rPr>
          <w:rFonts w:ascii="ITC Avant Garde" w:eastAsia="Avant Garde" w:hAnsi="ITC Avant Garde" w:cs="Avant Garde"/>
          <w:color w:val="000000"/>
          <w:lang w:eastAsia="es-MX"/>
        </w:rPr>
      </w:pPr>
    </w:p>
    <w:p w14:paraId="35C7AF45" w14:textId="62DBAFAE" w:rsidR="00AA7F6C" w:rsidRDefault="00AA7F6C" w:rsidP="00430267">
      <w:pPr>
        <w:spacing w:after="0" w:line="276" w:lineRule="auto"/>
        <w:rPr>
          <w:rFonts w:ascii="ITC Avant Garde" w:eastAsia="Avant Garde" w:hAnsi="ITC Avant Garde" w:cs="Avant Garde"/>
          <w:color w:val="000000"/>
          <w:lang w:eastAsia="es-MX"/>
        </w:rPr>
      </w:pPr>
      <w:r w:rsidRPr="00625F54">
        <w:rPr>
          <w:rFonts w:ascii="ITC Avant Garde" w:eastAsia="Avant Garde" w:hAnsi="ITC Avant Garde" w:cs="Avant Garde"/>
          <w:color w:val="000000"/>
          <w:lang w:eastAsia="es-MX"/>
        </w:rPr>
        <w:t xml:space="preserve">En tal sentido, el Instituto ha llevado a cabo diversas reuniones de trabajo con los concesionarios de redes públicas de telecomunicaciones con el propósito de coordinar la actualización de los formatos de facturación </w:t>
      </w:r>
      <w:r w:rsidR="003024BD" w:rsidRPr="00625F54">
        <w:rPr>
          <w:rFonts w:ascii="ITC Avant Garde" w:eastAsia="Avant Garde" w:hAnsi="ITC Avant Garde" w:cs="Avant Garde"/>
          <w:color w:val="000000"/>
          <w:lang w:eastAsia="es-MX"/>
        </w:rPr>
        <w:t>de acuerdo con</w:t>
      </w:r>
      <w:r w:rsidRPr="00625F54">
        <w:rPr>
          <w:rFonts w:ascii="ITC Avant Garde" w:eastAsia="Avant Garde" w:hAnsi="ITC Avant Garde" w:cs="Avant Garde"/>
          <w:color w:val="000000"/>
          <w:lang w:eastAsia="es-MX"/>
        </w:rPr>
        <w:t xml:space="preserve"> lo establecido en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 xml:space="preserve">, y en las que se han acordado modificaciones a los formatos de facturación, por lo que se considera adecuado mantener los formatos de facturación del Anexo D y </w:t>
      </w:r>
      <w:proofErr w:type="spellStart"/>
      <w:r w:rsidRPr="00625F54">
        <w:rPr>
          <w:rFonts w:ascii="ITC Avant Garde" w:eastAsia="Avant Garde" w:hAnsi="ITC Avant Garde" w:cs="Avant Garde"/>
          <w:color w:val="000000"/>
          <w:lang w:eastAsia="es-MX"/>
        </w:rPr>
        <w:t>Subanexo</w:t>
      </w:r>
      <w:proofErr w:type="spellEnd"/>
      <w:r w:rsidRPr="00625F54">
        <w:rPr>
          <w:rFonts w:ascii="ITC Avant Garde" w:eastAsia="Avant Garde" w:hAnsi="ITC Avant Garde" w:cs="Avant Garde"/>
          <w:color w:val="000000"/>
          <w:lang w:eastAsia="es-MX"/>
        </w:rPr>
        <w:t xml:space="preserve"> D en los mismos términos aprobados en el CMI 2023</w:t>
      </w:r>
      <w:r>
        <w:rPr>
          <w:rFonts w:ascii="ITC Avant Garde" w:eastAsia="Avant Garde" w:hAnsi="ITC Avant Garde" w:cs="Avant Garde"/>
          <w:color w:val="000000"/>
          <w:lang w:eastAsia="es-MX"/>
        </w:rPr>
        <w:t>.</w:t>
      </w:r>
      <w:r w:rsidRPr="00625F54">
        <w:rPr>
          <w:rFonts w:ascii="ITC Avant Garde" w:eastAsia="Avant Garde" w:hAnsi="ITC Avant Garde" w:cs="Avant Garde"/>
          <w:color w:val="000000"/>
          <w:lang w:eastAsia="es-MX"/>
        </w:rPr>
        <w:t xml:space="preserve"> </w:t>
      </w:r>
      <w:r>
        <w:rPr>
          <w:rFonts w:ascii="ITC Avant Garde" w:eastAsia="Avant Garde" w:hAnsi="ITC Avant Garde" w:cs="Avant Garde"/>
          <w:color w:val="000000"/>
          <w:lang w:eastAsia="es-MX"/>
        </w:rPr>
        <w:t>N</w:t>
      </w:r>
      <w:r w:rsidRPr="00625F54">
        <w:rPr>
          <w:rFonts w:ascii="ITC Avant Garde" w:eastAsia="Avant Garde" w:hAnsi="ITC Avant Garde" w:cs="Avant Garde"/>
          <w:color w:val="000000"/>
          <w:lang w:eastAsia="es-MX"/>
        </w:rPr>
        <w:t>o obsta</w:t>
      </w:r>
      <w:r>
        <w:rPr>
          <w:rFonts w:ascii="ITC Avant Garde" w:eastAsia="Avant Garde" w:hAnsi="ITC Avant Garde" w:cs="Avant Garde"/>
          <w:color w:val="000000"/>
          <w:lang w:eastAsia="es-MX"/>
        </w:rPr>
        <w:t>nte,</w:t>
      </w:r>
      <w:r w:rsidRPr="00625F54">
        <w:rPr>
          <w:rFonts w:ascii="ITC Avant Garde" w:eastAsia="Avant Garde" w:hAnsi="ITC Avant Garde" w:cs="Avant Garde"/>
          <w:color w:val="000000"/>
          <w:lang w:eastAsia="es-MX"/>
        </w:rPr>
        <w:t xml:space="preserve"> a efecto de señalar que estos se actualizarán conforme a los acuerdos que se establezcan a nivel industria y conforme a lo dispuesto en el </w:t>
      </w:r>
      <w:proofErr w:type="spellStart"/>
      <w:r w:rsidRPr="00625F54">
        <w:rPr>
          <w:rFonts w:ascii="ITC Avant Garde" w:eastAsia="Avant Garde" w:hAnsi="ITC Avant Garde" w:cs="Avant Garde"/>
          <w:color w:val="000000"/>
          <w:lang w:eastAsia="es-MX"/>
        </w:rPr>
        <w:t>PTFNyS</w:t>
      </w:r>
      <w:proofErr w:type="spellEnd"/>
      <w:r w:rsidRPr="00625F54">
        <w:rPr>
          <w:rFonts w:ascii="ITC Avant Garde" w:eastAsia="Avant Garde" w:hAnsi="ITC Avant Garde" w:cs="Avant Garde"/>
          <w:color w:val="000000"/>
          <w:lang w:eastAsia="es-MX"/>
        </w:rPr>
        <w:t>, se adiciona la nota siguiente:</w:t>
      </w:r>
    </w:p>
    <w:p w14:paraId="489BB49F" w14:textId="77777777" w:rsidR="00AA7F6C" w:rsidRDefault="00AA7F6C" w:rsidP="00430267">
      <w:pPr>
        <w:spacing w:after="0" w:line="276" w:lineRule="auto"/>
        <w:rPr>
          <w:rFonts w:ascii="ITC Avant Garde" w:eastAsia="Avant Garde" w:hAnsi="ITC Avant Garde" w:cs="Avant Garde"/>
          <w:color w:val="000000"/>
          <w:lang w:eastAsia="es-MX"/>
        </w:rPr>
      </w:pPr>
    </w:p>
    <w:p w14:paraId="186D0757" w14:textId="77777777" w:rsidR="00AA7F6C" w:rsidRPr="001A78E9" w:rsidRDefault="00AA7F6C" w:rsidP="00430267">
      <w:pPr>
        <w:tabs>
          <w:tab w:val="left" w:pos="426"/>
        </w:tabs>
        <w:spacing w:after="0"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“ANEXO “D”</w:t>
      </w:r>
    </w:p>
    <w:p w14:paraId="29BF4456" w14:textId="77777777" w:rsidR="00AA7F6C" w:rsidRPr="001A78E9" w:rsidRDefault="00AA7F6C" w:rsidP="00430267">
      <w:pPr>
        <w:tabs>
          <w:tab w:val="left" w:pos="426"/>
        </w:tabs>
        <w:spacing w:after="0" w:line="276" w:lineRule="auto"/>
        <w:ind w:left="567" w:right="616"/>
        <w:jc w:val="center"/>
        <w:rPr>
          <w:rFonts w:ascii="ITC Avant Garde" w:hAnsi="ITC Avant Garde" w:cs="Arial"/>
          <w:bCs/>
          <w:i/>
          <w:iCs/>
          <w:sz w:val="18"/>
          <w:szCs w:val="18"/>
          <w:lang w:val="es-ES"/>
        </w:rPr>
      </w:pPr>
      <w:r w:rsidRPr="001A78E9">
        <w:rPr>
          <w:rFonts w:ascii="ITC Avant Garde" w:hAnsi="ITC Avant Garde" w:cs="Arial"/>
          <w:bCs/>
          <w:i/>
          <w:iCs/>
          <w:sz w:val="18"/>
          <w:szCs w:val="18"/>
          <w:lang w:val="es-ES"/>
        </w:rPr>
        <w:t>FORMATO DE FACTURACIÓN</w:t>
      </w:r>
      <w:r w:rsidRPr="001A78E9">
        <w:rPr>
          <w:rFonts w:ascii="ITC Avant Garde" w:hAnsi="ITC Avant Garde" w:cs="Arial"/>
          <w:bCs/>
          <w:i/>
          <w:iCs/>
          <w:sz w:val="18"/>
          <w:szCs w:val="18"/>
          <w:vertAlign w:val="superscript"/>
          <w:lang w:val="es-ES"/>
        </w:rPr>
        <w:t>1</w:t>
      </w:r>
    </w:p>
    <w:p w14:paraId="29AD65C5" w14:textId="77777777" w:rsidR="00AA7F6C" w:rsidRPr="001A78E9" w:rsidRDefault="00AA7F6C" w:rsidP="00430267">
      <w:pPr>
        <w:tabs>
          <w:tab w:val="left" w:pos="426"/>
        </w:tabs>
        <w:spacing w:after="0"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lang w:val="es-ES"/>
        </w:rPr>
        <w:t xml:space="preserve">(…) </w:t>
      </w:r>
    </w:p>
    <w:p w14:paraId="7C25F7D3" w14:textId="77777777" w:rsidR="00AA7F6C" w:rsidRDefault="00AA7F6C" w:rsidP="00430267">
      <w:pPr>
        <w:tabs>
          <w:tab w:val="left" w:pos="426"/>
        </w:tabs>
        <w:spacing w:after="0" w:line="276" w:lineRule="auto"/>
        <w:ind w:left="567" w:right="616"/>
        <w:rPr>
          <w:rFonts w:ascii="ITC Avant Garde" w:hAnsi="ITC Avant Garde" w:cs="Arial"/>
          <w:bCs/>
          <w:i/>
          <w:iCs/>
          <w:sz w:val="18"/>
          <w:szCs w:val="18"/>
          <w:lang w:val="es-ES"/>
        </w:rPr>
      </w:pPr>
      <w:r w:rsidRPr="001A78E9">
        <w:rPr>
          <w:rFonts w:ascii="ITC Avant Garde" w:hAnsi="ITC Avant Garde" w:cs="Arial"/>
          <w:bCs/>
          <w:i/>
          <w:iCs/>
          <w:sz w:val="18"/>
          <w:szCs w:val="18"/>
          <w:vertAlign w:val="superscript"/>
          <w:lang w:val="es-ES"/>
        </w:rPr>
        <w:lastRenderedPageBreak/>
        <w:t>1</w:t>
      </w:r>
      <w:r w:rsidRPr="001A78E9">
        <w:rPr>
          <w:rFonts w:ascii="ITC Avant Garde" w:hAnsi="ITC Avant Garde" w:cs="Arial"/>
          <w:bCs/>
          <w:i/>
          <w:iCs/>
          <w:sz w:val="18"/>
          <w:szCs w:val="18"/>
          <w:u w:val="single"/>
          <w:lang w:val="es-ES"/>
        </w:rPr>
        <w:t xml:space="preserve">Los formatos de facturación del Anexo D y </w:t>
      </w:r>
      <w:proofErr w:type="spellStart"/>
      <w:r w:rsidRPr="001A78E9">
        <w:rPr>
          <w:rFonts w:ascii="ITC Avant Garde" w:hAnsi="ITC Avant Garde" w:cs="Arial"/>
          <w:bCs/>
          <w:i/>
          <w:iCs/>
          <w:sz w:val="18"/>
          <w:szCs w:val="18"/>
          <w:u w:val="single"/>
          <w:lang w:val="es-ES"/>
        </w:rPr>
        <w:t>Subanexo</w:t>
      </w:r>
      <w:proofErr w:type="spellEnd"/>
      <w:r w:rsidRPr="001A78E9">
        <w:rPr>
          <w:rFonts w:ascii="ITC Avant Garde" w:hAnsi="ITC Avant Garde" w:cs="Arial"/>
          <w:bCs/>
          <w:i/>
          <w:iCs/>
          <w:sz w:val="18"/>
          <w:szCs w:val="18"/>
          <w:u w:val="single"/>
          <w:lang w:val="es-ES"/>
        </w:rPr>
        <w:t xml:space="preserve"> D se actualizarán conforme a los campos que autorice el IFT a través de la coordinación de grupos de trabajo con la industria y a lo dispuesto en los Planes Técnicos Fundamentales de Numeración y Señalización, así como aquellas disposiciones que los modifiquen o sustituyan.</w:t>
      </w:r>
      <w:r w:rsidRPr="001A78E9">
        <w:rPr>
          <w:rFonts w:ascii="ITC Avant Garde" w:hAnsi="ITC Avant Garde" w:cs="Arial"/>
          <w:bCs/>
          <w:i/>
          <w:iCs/>
          <w:sz w:val="18"/>
          <w:szCs w:val="18"/>
          <w:lang w:val="es-ES"/>
        </w:rPr>
        <w:t>”</w:t>
      </w:r>
    </w:p>
    <w:p w14:paraId="57A161DF" w14:textId="77777777" w:rsidR="00AA7F6C" w:rsidRDefault="00AA7F6C" w:rsidP="00430267">
      <w:pPr>
        <w:tabs>
          <w:tab w:val="left" w:pos="426"/>
        </w:tabs>
        <w:spacing w:after="0" w:line="276" w:lineRule="auto"/>
        <w:ind w:left="567" w:right="616"/>
        <w:jc w:val="right"/>
        <w:rPr>
          <w:rFonts w:ascii="ITC Avant Garde" w:hAnsi="ITC Avant Garde" w:cs="Arial"/>
          <w:bCs/>
          <w:iCs/>
          <w:sz w:val="18"/>
          <w:szCs w:val="18"/>
        </w:rPr>
      </w:pPr>
      <w:r w:rsidRPr="00130ED7">
        <w:rPr>
          <w:rFonts w:ascii="ITC Avant Garde" w:hAnsi="ITC Avant Garde" w:cs="Arial"/>
          <w:bCs/>
          <w:iCs/>
          <w:sz w:val="18"/>
          <w:szCs w:val="18"/>
        </w:rPr>
        <w:t>(Énfasis añadido)</w:t>
      </w:r>
    </w:p>
    <w:p w14:paraId="433BCBE0" w14:textId="77777777" w:rsidR="00A44C02" w:rsidRPr="00087DB0" w:rsidRDefault="00A44C02" w:rsidP="00430267">
      <w:pPr>
        <w:spacing w:after="0" w:line="276" w:lineRule="auto"/>
        <w:rPr>
          <w:rFonts w:ascii="ITC Avant Garde" w:hAnsi="ITC Avant Garde"/>
          <w:b/>
          <w:bCs/>
        </w:rPr>
      </w:pPr>
    </w:p>
    <w:p w14:paraId="28B208E9" w14:textId="58A89CB1" w:rsidR="00CE264B" w:rsidRPr="00087DB0" w:rsidRDefault="00CE264B" w:rsidP="00430267">
      <w:pPr>
        <w:spacing w:after="0" w:line="276" w:lineRule="auto"/>
        <w:rPr>
          <w:rFonts w:ascii="ITC Avant Garde" w:hAnsi="ITC Avant Garde"/>
          <w:b/>
          <w:bCs/>
          <w:u w:val="single"/>
        </w:rPr>
      </w:pPr>
      <w:r w:rsidRPr="00087DB0">
        <w:rPr>
          <w:rFonts w:ascii="ITC Avant Garde" w:hAnsi="ITC Avant Garde"/>
          <w:b/>
          <w:bCs/>
          <w:u w:val="single"/>
        </w:rPr>
        <w:t>ANEXO E. CALIDAD.</w:t>
      </w:r>
    </w:p>
    <w:p w14:paraId="57901A9A" w14:textId="77777777" w:rsidR="00CE264B" w:rsidRPr="00087DB0" w:rsidRDefault="00CE264B" w:rsidP="00430267">
      <w:pPr>
        <w:spacing w:after="0" w:line="276" w:lineRule="auto"/>
        <w:rPr>
          <w:rFonts w:ascii="ITC Avant Garde" w:hAnsi="ITC Avant Garde"/>
          <w:b/>
          <w:bCs/>
        </w:rPr>
      </w:pPr>
    </w:p>
    <w:p w14:paraId="3915C845" w14:textId="77777777" w:rsidR="00CE264B" w:rsidRPr="00087DB0" w:rsidRDefault="00CE264B" w:rsidP="00430267">
      <w:pPr>
        <w:autoSpaceDE w:val="0"/>
        <w:autoSpaceDN w:val="0"/>
        <w:adjustRightInd w:val="0"/>
        <w:spacing w:after="0" w:line="276" w:lineRule="auto"/>
        <w:ind w:right="49"/>
        <w:rPr>
          <w:rFonts w:ascii="ITC Avant Garde" w:hAnsi="ITC Avant Garde"/>
          <w:b/>
          <w:bCs/>
          <w:u w:val="single"/>
        </w:rPr>
      </w:pPr>
      <w:r w:rsidRPr="00087DB0">
        <w:rPr>
          <w:rFonts w:ascii="ITC Avant Garde" w:hAnsi="ITC Avant Garde"/>
          <w:b/>
          <w:bCs/>
          <w:u w:val="single"/>
        </w:rPr>
        <w:t>3. Fallas, mantenimiento y reparaciones.</w:t>
      </w:r>
    </w:p>
    <w:p w14:paraId="13B0D71C" w14:textId="77777777" w:rsidR="00CE264B" w:rsidRPr="00087DB0" w:rsidRDefault="00CE264B" w:rsidP="00430267">
      <w:pPr>
        <w:autoSpaceDE w:val="0"/>
        <w:autoSpaceDN w:val="0"/>
        <w:adjustRightInd w:val="0"/>
        <w:spacing w:after="0" w:line="276" w:lineRule="auto"/>
        <w:ind w:right="49"/>
        <w:rPr>
          <w:rFonts w:ascii="ITC Avant Garde" w:hAnsi="ITC Avant Garde"/>
          <w:b/>
          <w:bCs/>
          <w:u w:val="single"/>
        </w:rPr>
      </w:pPr>
    </w:p>
    <w:p w14:paraId="02391110" w14:textId="77777777" w:rsidR="00CE264B" w:rsidRPr="00087DB0" w:rsidRDefault="00CE264B" w:rsidP="00430267">
      <w:pPr>
        <w:autoSpaceDE w:val="0"/>
        <w:autoSpaceDN w:val="0"/>
        <w:adjustRightInd w:val="0"/>
        <w:spacing w:after="0" w:line="276" w:lineRule="auto"/>
        <w:ind w:right="49"/>
        <w:rPr>
          <w:rFonts w:ascii="ITC Avant Garde" w:hAnsi="ITC Avant Garde"/>
          <w:b/>
          <w:bCs/>
          <w:u w:val="single"/>
        </w:rPr>
      </w:pPr>
      <w:r w:rsidRPr="00087DB0">
        <w:rPr>
          <w:rFonts w:ascii="ITC Avant Garde" w:hAnsi="ITC Avant Garde"/>
          <w:b/>
          <w:bCs/>
          <w:u w:val="single"/>
        </w:rPr>
        <w:t>3.2 Plazos máximos para la solución de fallas</w:t>
      </w:r>
    </w:p>
    <w:p w14:paraId="625035A7" w14:textId="77777777" w:rsidR="00CE264B" w:rsidRPr="00087DB0" w:rsidRDefault="00CE264B" w:rsidP="00430267">
      <w:pPr>
        <w:autoSpaceDE w:val="0"/>
        <w:autoSpaceDN w:val="0"/>
        <w:adjustRightInd w:val="0"/>
        <w:spacing w:after="0" w:line="276" w:lineRule="auto"/>
        <w:ind w:right="49"/>
        <w:rPr>
          <w:rFonts w:ascii="ITC Avant Garde" w:hAnsi="ITC Avant Garde"/>
        </w:rPr>
      </w:pPr>
    </w:p>
    <w:p w14:paraId="3A273345" w14:textId="2B336C09" w:rsidR="00CE264B" w:rsidRPr="00087DB0" w:rsidRDefault="00CE264B"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AT&amp;T, CANIETI, Grupo Televisa, Telefónica</w:t>
      </w:r>
    </w:p>
    <w:p w14:paraId="0CE6A241" w14:textId="4343E1EC" w:rsidR="00CE264B" w:rsidRPr="00087DB0" w:rsidRDefault="00CE264B" w:rsidP="00430267">
      <w:pPr>
        <w:autoSpaceDE w:val="0"/>
        <w:autoSpaceDN w:val="0"/>
        <w:adjustRightInd w:val="0"/>
        <w:spacing w:after="0" w:line="276" w:lineRule="auto"/>
        <w:ind w:right="49"/>
        <w:rPr>
          <w:rFonts w:ascii="ITC Avant Garde" w:hAnsi="ITC Avant Garde"/>
        </w:rPr>
      </w:pPr>
      <w:r w:rsidRPr="00087DB0">
        <w:rPr>
          <w:rFonts w:ascii="ITC Avant Garde" w:hAnsi="ITC Avant Garde"/>
        </w:rPr>
        <w:t xml:space="preserve">Solicitan que los plazos máximos para la atención de fallas se mantengan conforme a lo establecido en el CMI </w:t>
      </w:r>
      <w:r w:rsidR="00495D9E">
        <w:rPr>
          <w:rFonts w:ascii="ITC Avant Garde" w:hAnsi="ITC Avant Garde"/>
        </w:rPr>
        <w:t>2023</w:t>
      </w:r>
      <w:r w:rsidRPr="00087DB0">
        <w:rPr>
          <w:rFonts w:ascii="ITC Avant Garde" w:hAnsi="ITC Avant Garde"/>
        </w:rPr>
        <w:t>.</w:t>
      </w:r>
      <w:r w:rsidRPr="00087DB0">
        <w:t xml:space="preserve"> </w:t>
      </w:r>
      <w:r w:rsidR="00495D9E">
        <w:rPr>
          <w:rFonts w:ascii="ITC Avant Garde" w:hAnsi="ITC Avant Garde"/>
        </w:rPr>
        <w:t>Indican</w:t>
      </w:r>
      <w:r w:rsidRPr="00087DB0">
        <w:rPr>
          <w:rFonts w:ascii="ITC Avant Garde" w:hAnsi="ITC Avant Garde"/>
        </w:rPr>
        <w:t xml:space="preserve"> que los plazos de solución de fallas no son acordes con las Medidas de Preponderancia y con el CMI vigente.</w:t>
      </w:r>
    </w:p>
    <w:p w14:paraId="06EB5655" w14:textId="77777777" w:rsidR="00CE264B" w:rsidRPr="00087DB0" w:rsidRDefault="00CE264B" w:rsidP="00430267">
      <w:pPr>
        <w:autoSpaceDE w:val="0"/>
        <w:autoSpaceDN w:val="0"/>
        <w:adjustRightInd w:val="0"/>
        <w:spacing w:after="0" w:line="276" w:lineRule="auto"/>
        <w:ind w:right="49"/>
        <w:rPr>
          <w:rFonts w:ascii="ITC Avant Garde" w:hAnsi="ITC Avant Garde"/>
          <w:b/>
          <w:bCs/>
        </w:rPr>
      </w:pPr>
    </w:p>
    <w:p w14:paraId="0D5BAFA2" w14:textId="77777777" w:rsidR="00CE264B" w:rsidRPr="00087DB0" w:rsidRDefault="00CE264B"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321BA977" w14:textId="77777777" w:rsidR="00CE264B" w:rsidRPr="00087DB0" w:rsidRDefault="00CE264B" w:rsidP="00430267">
      <w:pPr>
        <w:spacing w:after="0" w:line="276" w:lineRule="auto"/>
        <w:ind w:right="567"/>
        <w:rPr>
          <w:rFonts w:ascii="ITC Avant Garde" w:hAnsi="ITC Avant Garde"/>
        </w:rPr>
      </w:pPr>
      <w:r w:rsidRPr="00087DB0">
        <w:rPr>
          <w:rFonts w:ascii="ITC Avant Garde" w:hAnsi="ITC Avant Garde"/>
        </w:rPr>
        <w:t>Se modificó el CMI en los términos siguientes:</w:t>
      </w:r>
    </w:p>
    <w:p w14:paraId="6A410ED2" w14:textId="77777777" w:rsidR="00CE264B" w:rsidRPr="00087DB0" w:rsidRDefault="00CE264B" w:rsidP="00430267">
      <w:pPr>
        <w:spacing w:after="0" w:line="276" w:lineRule="auto"/>
        <w:ind w:right="567"/>
        <w:rPr>
          <w:rFonts w:ascii="ITC Avant Garde" w:hAnsi="ITC Avant Garde"/>
        </w:rPr>
      </w:pPr>
      <w:r w:rsidRPr="00087DB0">
        <w:rPr>
          <w:rFonts w:ascii="ITC Avant Garde" w:hAnsi="ITC Avant Garde"/>
        </w:rPr>
        <w:t xml:space="preserve"> </w:t>
      </w:r>
    </w:p>
    <w:p w14:paraId="5CE29143" w14:textId="77777777" w:rsidR="00CE264B" w:rsidRPr="00087DB0" w:rsidRDefault="00CE264B" w:rsidP="00430267">
      <w:pPr>
        <w:spacing w:after="0" w:line="276" w:lineRule="auto"/>
        <w:ind w:left="567" w:right="567"/>
        <w:rPr>
          <w:rFonts w:ascii="ITC Avant Garde" w:hAnsi="ITC Avant Garde" w:cs="Arial"/>
          <w:i/>
          <w:sz w:val="18"/>
          <w:szCs w:val="18"/>
        </w:rPr>
      </w:pPr>
      <w:r w:rsidRPr="00087DB0">
        <w:rPr>
          <w:rFonts w:ascii="ITC Avant Garde" w:hAnsi="ITC Avant Garde" w:cs="Arial"/>
          <w:i/>
          <w:sz w:val="18"/>
          <w:szCs w:val="18"/>
        </w:rPr>
        <w:t xml:space="preserve">“3.2 Plazos máximos para la solución de fallas. </w:t>
      </w:r>
    </w:p>
    <w:p w14:paraId="7AEBA4A8" w14:textId="77777777" w:rsidR="00CE264B" w:rsidRPr="00087DB0" w:rsidRDefault="00CE264B" w:rsidP="00430267">
      <w:pPr>
        <w:spacing w:after="0" w:line="276" w:lineRule="auto"/>
        <w:ind w:left="709" w:right="567"/>
        <w:rPr>
          <w:rFonts w:ascii="ITC Avant Garde" w:hAnsi="ITC Avant Garde" w:cs="Arial"/>
          <w:i/>
          <w:sz w:val="18"/>
          <w:szCs w:val="18"/>
        </w:rPr>
      </w:pPr>
    </w:p>
    <w:p w14:paraId="3D18C1C2" w14:textId="77777777" w:rsidR="00CE264B" w:rsidRPr="00087DB0" w:rsidRDefault="00CE264B" w:rsidP="00430267">
      <w:pPr>
        <w:spacing w:after="0" w:line="276" w:lineRule="auto"/>
        <w:ind w:left="567" w:right="567"/>
        <w:rPr>
          <w:rFonts w:ascii="ITC Avant Garde" w:hAnsi="ITC Avant Garde" w:cs="Arial"/>
          <w:i/>
          <w:sz w:val="18"/>
          <w:szCs w:val="18"/>
        </w:rPr>
      </w:pPr>
      <w:r w:rsidRPr="00087DB0">
        <w:rPr>
          <w:rFonts w:ascii="ITC Avant Garde" w:hAnsi="ITC Avant Garde" w:cs="Arial"/>
          <w:i/>
          <w:sz w:val="18"/>
          <w:szCs w:val="18"/>
        </w:rPr>
        <w:t>Telmex debe solucionar las fallas reportadas en los plazos máximos de reparación siguientes:</w:t>
      </w:r>
    </w:p>
    <w:p w14:paraId="79CE0BB6" w14:textId="77777777" w:rsidR="00CE264B" w:rsidRPr="00087DB0" w:rsidRDefault="00CE264B" w:rsidP="00430267">
      <w:pPr>
        <w:spacing w:after="0" w:line="276" w:lineRule="auto"/>
        <w:ind w:left="709" w:right="567"/>
        <w:rPr>
          <w:rFonts w:ascii="ITC Avant Garde" w:hAnsi="ITC Avant Garde" w:cs="Arial"/>
          <w:i/>
          <w:sz w:val="18"/>
          <w:szCs w:val="1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980"/>
        <w:gridCol w:w="1890"/>
        <w:gridCol w:w="1228"/>
      </w:tblGrid>
      <w:tr w:rsidR="00CE264B" w:rsidRPr="00087DB0" w14:paraId="57A7784B" w14:textId="77777777" w:rsidTr="00DB02C6">
        <w:tc>
          <w:tcPr>
            <w:tcW w:w="1620" w:type="dxa"/>
          </w:tcPr>
          <w:p w14:paraId="70A435F5" w14:textId="77777777" w:rsidR="00CE264B" w:rsidRPr="00087DB0" w:rsidRDefault="00CE264B" w:rsidP="00430267">
            <w:pPr>
              <w:pStyle w:val="Textoindependiente3"/>
              <w:spacing w:after="0" w:line="276" w:lineRule="auto"/>
              <w:rPr>
                <w:rStyle w:val="Textoennegrita"/>
                <w:rFonts w:ascii="ITC Avant Garde" w:eastAsia="Calibri" w:hAnsi="ITC Avant Garde" w:cs="Arial"/>
                <w:b w:val="0"/>
                <w:bCs w:val="0"/>
                <w:i/>
                <w:sz w:val="18"/>
                <w:szCs w:val="18"/>
              </w:rPr>
            </w:pPr>
            <w:r w:rsidRPr="00087DB0">
              <w:rPr>
                <w:rStyle w:val="Textoennegrita"/>
                <w:rFonts w:ascii="ITC Avant Garde" w:hAnsi="ITC Avant Garde" w:cs="Arial"/>
                <w:b w:val="0"/>
                <w:bCs w:val="0"/>
                <w:i/>
                <w:sz w:val="18"/>
                <w:szCs w:val="18"/>
              </w:rPr>
              <w:t>Tipo de Servicio</w:t>
            </w:r>
          </w:p>
        </w:tc>
        <w:tc>
          <w:tcPr>
            <w:tcW w:w="1980" w:type="dxa"/>
          </w:tcPr>
          <w:p w14:paraId="66B6E71F" w14:textId="77777777" w:rsidR="00CE264B" w:rsidRPr="00087DB0" w:rsidRDefault="00CE264B" w:rsidP="00430267">
            <w:pPr>
              <w:pStyle w:val="Textoindependiente3"/>
              <w:spacing w:after="0" w:line="276" w:lineRule="auto"/>
              <w:rPr>
                <w:rStyle w:val="Textoennegrita"/>
                <w:rFonts w:ascii="ITC Avant Garde" w:hAnsi="ITC Avant Garde" w:cs="Arial"/>
                <w:b w:val="0"/>
                <w:bCs w:val="0"/>
                <w:i/>
                <w:sz w:val="18"/>
                <w:szCs w:val="18"/>
              </w:rPr>
            </w:pPr>
            <w:r w:rsidRPr="00087DB0">
              <w:rPr>
                <w:rStyle w:val="Textoennegrita"/>
                <w:rFonts w:ascii="ITC Avant Garde" w:hAnsi="ITC Avant Garde" w:cs="Arial"/>
                <w:b w:val="0"/>
                <w:bCs w:val="0"/>
                <w:i/>
                <w:sz w:val="18"/>
                <w:szCs w:val="18"/>
              </w:rPr>
              <w:t>Prioridad 1</w:t>
            </w:r>
            <w:r w:rsidRPr="00087DB0">
              <w:rPr>
                <w:rStyle w:val="Textoennegrita"/>
                <w:rFonts w:ascii="ITC Avant Garde" w:hAnsi="ITC Avant Garde" w:cs="Arial"/>
                <w:b w:val="0"/>
                <w:bCs w:val="0"/>
                <w:i/>
                <w:sz w:val="18"/>
                <w:szCs w:val="18"/>
              </w:rPr>
              <w:br/>
              <w:t>(Servicio Totalmente Afectado)</w:t>
            </w:r>
          </w:p>
        </w:tc>
        <w:tc>
          <w:tcPr>
            <w:tcW w:w="1890" w:type="dxa"/>
          </w:tcPr>
          <w:p w14:paraId="11CD787D" w14:textId="77777777" w:rsidR="00CE264B" w:rsidRPr="00087DB0" w:rsidRDefault="00CE264B" w:rsidP="00430267">
            <w:pPr>
              <w:pStyle w:val="Textoindependiente3"/>
              <w:spacing w:after="0" w:line="276" w:lineRule="auto"/>
              <w:rPr>
                <w:rStyle w:val="Textoennegrita"/>
                <w:rFonts w:ascii="ITC Avant Garde" w:hAnsi="ITC Avant Garde" w:cs="Arial"/>
                <w:b w:val="0"/>
                <w:bCs w:val="0"/>
                <w:i/>
                <w:sz w:val="18"/>
                <w:szCs w:val="18"/>
              </w:rPr>
            </w:pPr>
            <w:r w:rsidRPr="00087DB0">
              <w:rPr>
                <w:rStyle w:val="Textoennegrita"/>
                <w:rFonts w:ascii="ITC Avant Garde" w:hAnsi="ITC Avant Garde" w:cs="Arial"/>
                <w:b w:val="0"/>
                <w:bCs w:val="0"/>
                <w:i/>
                <w:sz w:val="18"/>
                <w:szCs w:val="18"/>
              </w:rPr>
              <w:t>Prioridad 2 (Afectación Parcial)</w:t>
            </w:r>
          </w:p>
        </w:tc>
        <w:tc>
          <w:tcPr>
            <w:tcW w:w="1228" w:type="dxa"/>
          </w:tcPr>
          <w:p w14:paraId="1294204A" w14:textId="77777777" w:rsidR="00CE264B" w:rsidRPr="00087DB0" w:rsidRDefault="00CE264B" w:rsidP="00430267">
            <w:pPr>
              <w:pStyle w:val="Textoindependiente3"/>
              <w:spacing w:after="0" w:line="276" w:lineRule="auto"/>
              <w:rPr>
                <w:rStyle w:val="Textoennegrita"/>
                <w:rFonts w:ascii="ITC Avant Garde" w:hAnsi="ITC Avant Garde" w:cs="Arial"/>
                <w:b w:val="0"/>
                <w:bCs w:val="0"/>
                <w:i/>
                <w:sz w:val="18"/>
                <w:szCs w:val="18"/>
              </w:rPr>
            </w:pPr>
            <w:r w:rsidRPr="00087DB0">
              <w:rPr>
                <w:rStyle w:val="Textoennegrita"/>
                <w:rFonts w:ascii="ITC Avant Garde" w:hAnsi="ITC Avant Garde" w:cs="Arial"/>
                <w:b w:val="0"/>
                <w:bCs w:val="0"/>
                <w:i/>
                <w:sz w:val="18"/>
                <w:szCs w:val="18"/>
              </w:rPr>
              <w:t>Prioridad 3</w:t>
            </w:r>
          </w:p>
        </w:tc>
      </w:tr>
      <w:tr w:rsidR="00CE264B" w:rsidRPr="00087DB0" w14:paraId="364998C7" w14:textId="77777777" w:rsidTr="00DB02C6">
        <w:tc>
          <w:tcPr>
            <w:tcW w:w="1620" w:type="dxa"/>
          </w:tcPr>
          <w:p w14:paraId="4EBEC50A" w14:textId="77777777" w:rsidR="00CE264B" w:rsidRPr="00087DB0" w:rsidRDefault="00CE264B" w:rsidP="00430267">
            <w:pPr>
              <w:pStyle w:val="Textoindependiente3"/>
              <w:spacing w:after="0" w:line="276" w:lineRule="auto"/>
              <w:rPr>
                <w:rStyle w:val="Textoennegrita"/>
                <w:rFonts w:ascii="ITC Avant Garde" w:hAnsi="ITC Avant Garde" w:cs="Arial"/>
                <w:b w:val="0"/>
                <w:bCs w:val="0"/>
                <w:i/>
                <w:sz w:val="18"/>
                <w:szCs w:val="18"/>
              </w:rPr>
            </w:pPr>
            <w:r w:rsidRPr="00087DB0">
              <w:rPr>
                <w:rStyle w:val="Textoennegrita"/>
                <w:rFonts w:ascii="ITC Avant Garde" w:hAnsi="ITC Avant Garde" w:cs="Arial"/>
                <w:b w:val="0"/>
                <w:bCs w:val="0"/>
                <w:i/>
                <w:sz w:val="18"/>
                <w:szCs w:val="18"/>
              </w:rPr>
              <w:t>Interconexión</w:t>
            </w:r>
          </w:p>
        </w:tc>
        <w:tc>
          <w:tcPr>
            <w:tcW w:w="1980" w:type="dxa"/>
          </w:tcPr>
          <w:p w14:paraId="0799EAC6" w14:textId="77777777" w:rsidR="00CE264B" w:rsidRPr="00087DB0" w:rsidRDefault="00CE264B" w:rsidP="00430267">
            <w:pPr>
              <w:pStyle w:val="Textoindependiente3"/>
              <w:spacing w:after="0" w:line="276" w:lineRule="auto"/>
              <w:rPr>
                <w:rStyle w:val="Textoennegrita"/>
                <w:rFonts w:ascii="ITC Avant Garde" w:hAnsi="ITC Avant Garde" w:cs="Arial"/>
                <w:b w:val="0"/>
                <w:bCs w:val="0"/>
                <w:i/>
                <w:sz w:val="18"/>
                <w:szCs w:val="18"/>
              </w:rPr>
            </w:pPr>
            <w:r w:rsidRPr="00087DB0">
              <w:rPr>
                <w:rStyle w:val="Textoennegrita"/>
                <w:rFonts w:ascii="ITC Avant Garde" w:hAnsi="ITC Avant Garde" w:cs="Arial"/>
                <w:b w:val="0"/>
                <w:bCs w:val="0"/>
                <w:i/>
                <w:sz w:val="18"/>
                <w:szCs w:val="18"/>
              </w:rPr>
              <w:t xml:space="preserve"> </w:t>
            </w:r>
            <w:r w:rsidRPr="00087DB0">
              <w:rPr>
                <w:rStyle w:val="Textoennegrita"/>
                <w:rFonts w:ascii="ITC Avant Garde" w:hAnsi="ITC Avant Garde" w:cs="Arial"/>
                <w:b w:val="0"/>
                <w:bCs w:val="0"/>
                <w:i/>
                <w:strike/>
                <w:sz w:val="18"/>
                <w:szCs w:val="18"/>
              </w:rPr>
              <w:t>3</w:t>
            </w:r>
            <w:r w:rsidRPr="00087DB0">
              <w:rPr>
                <w:rStyle w:val="Textoennegrita"/>
                <w:rFonts w:ascii="ITC Avant Garde" w:hAnsi="ITC Avant Garde" w:cs="Arial"/>
                <w:b w:val="0"/>
                <w:bCs w:val="0"/>
                <w:i/>
                <w:sz w:val="18"/>
                <w:szCs w:val="18"/>
              </w:rPr>
              <w:t xml:space="preserve"> </w:t>
            </w:r>
            <w:r w:rsidRPr="00087DB0">
              <w:rPr>
                <w:rStyle w:val="Textoennegrita"/>
                <w:rFonts w:ascii="ITC Avant Garde" w:hAnsi="ITC Avant Garde" w:cs="Arial"/>
                <w:b w:val="0"/>
                <w:bCs w:val="0"/>
                <w:i/>
                <w:sz w:val="18"/>
                <w:szCs w:val="18"/>
                <w:u w:val="single"/>
              </w:rPr>
              <w:t>1</w:t>
            </w:r>
            <w:r w:rsidRPr="00087DB0">
              <w:rPr>
                <w:rStyle w:val="Textoennegrita"/>
                <w:rFonts w:ascii="ITC Avant Garde" w:hAnsi="ITC Avant Garde" w:cs="Arial"/>
                <w:b w:val="0"/>
                <w:bCs w:val="0"/>
                <w:i/>
                <w:sz w:val="18"/>
                <w:szCs w:val="18"/>
              </w:rPr>
              <w:t xml:space="preserve"> </w:t>
            </w:r>
            <w:proofErr w:type="spellStart"/>
            <w:r w:rsidRPr="00087DB0">
              <w:rPr>
                <w:rStyle w:val="Textoennegrita"/>
                <w:rFonts w:ascii="ITC Avant Garde" w:hAnsi="ITC Avant Garde" w:cs="Arial"/>
                <w:b w:val="0"/>
                <w:bCs w:val="0"/>
                <w:i/>
                <w:sz w:val="18"/>
                <w:szCs w:val="18"/>
              </w:rPr>
              <w:t>Hr</w:t>
            </w:r>
            <w:proofErr w:type="spellEnd"/>
          </w:p>
        </w:tc>
        <w:tc>
          <w:tcPr>
            <w:tcW w:w="1890" w:type="dxa"/>
          </w:tcPr>
          <w:p w14:paraId="36D0751D" w14:textId="77777777" w:rsidR="00CE264B" w:rsidRPr="00087DB0" w:rsidRDefault="00CE264B" w:rsidP="00430267">
            <w:pPr>
              <w:pStyle w:val="Textoindependiente3"/>
              <w:spacing w:after="0" w:line="276" w:lineRule="auto"/>
              <w:rPr>
                <w:rStyle w:val="Textoennegrita"/>
                <w:rFonts w:ascii="ITC Avant Garde" w:hAnsi="ITC Avant Garde" w:cs="Arial"/>
                <w:b w:val="0"/>
                <w:bCs w:val="0"/>
                <w:i/>
                <w:sz w:val="18"/>
                <w:szCs w:val="18"/>
              </w:rPr>
            </w:pPr>
            <w:r w:rsidRPr="00087DB0">
              <w:rPr>
                <w:rStyle w:val="Textoennegrita"/>
                <w:rFonts w:ascii="ITC Avant Garde" w:hAnsi="ITC Avant Garde" w:cs="Arial"/>
                <w:b w:val="0"/>
                <w:bCs w:val="0"/>
                <w:i/>
                <w:strike/>
                <w:sz w:val="18"/>
                <w:szCs w:val="18"/>
              </w:rPr>
              <w:t xml:space="preserve"> 4 </w:t>
            </w:r>
            <w:r w:rsidRPr="00087DB0">
              <w:rPr>
                <w:rStyle w:val="Textoennegrita"/>
                <w:rFonts w:ascii="ITC Avant Garde" w:hAnsi="ITC Avant Garde" w:cs="Arial"/>
                <w:b w:val="0"/>
                <w:bCs w:val="0"/>
                <w:i/>
                <w:sz w:val="18"/>
                <w:szCs w:val="18"/>
                <w:u w:val="single"/>
              </w:rPr>
              <w:t>2</w:t>
            </w:r>
            <w:r w:rsidRPr="00087DB0">
              <w:rPr>
                <w:rStyle w:val="Textoennegrita"/>
                <w:rFonts w:ascii="ITC Avant Garde" w:hAnsi="ITC Avant Garde" w:cs="Arial"/>
                <w:b w:val="0"/>
                <w:bCs w:val="0"/>
                <w:i/>
                <w:sz w:val="18"/>
                <w:szCs w:val="18"/>
              </w:rPr>
              <w:t xml:space="preserve"> </w:t>
            </w:r>
            <w:proofErr w:type="spellStart"/>
            <w:r w:rsidRPr="00087DB0">
              <w:rPr>
                <w:rStyle w:val="Textoennegrita"/>
                <w:rFonts w:ascii="ITC Avant Garde" w:hAnsi="ITC Avant Garde" w:cs="Arial"/>
                <w:b w:val="0"/>
                <w:bCs w:val="0"/>
                <w:i/>
                <w:sz w:val="18"/>
                <w:szCs w:val="18"/>
              </w:rPr>
              <w:t>Hrs</w:t>
            </w:r>
            <w:proofErr w:type="spellEnd"/>
            <w:r w:rsidRPr="00087DB0">
              <w:rPr>
                <w:rStyle w:val="Textoennegrita"/>
                <w:rFonts w:ascii="ITC Avant Garde" w:hAnsi="ITC Avant Garde" w:cs="Arial"/>
                <w:b w:val="0"/>
                <w:bCs w:val="0"/>
                <w:i/>
                <w:sz w:val="18"/>
                <w:szCs w:val="18"/>
              </w:rPr>
              <w:t xml:space="preserve"> </w:t>
            </w:r>
          </w:p>
        </w:tc>
        <w:tc>
          <w:tcPr>
            <w:tcW w:w="1228" w:type="dxa"/>
          </w:tcPr>
          <w:p w14:paraId="7629A270" w14:textId="77777777" w:rsidR="00CE264B" w:rsidRPr="00087DB0" w:rsidRDefault="00CE264B" w:rsidP="00430267">
            <w:pPr>
              <w:pStyle w:val="Textoindependiente3"/>
              <w:spacing w:after="0" w:line="276" w:lineRule="auto"/>
              <w:rPr>
                <w:rStyle w:val="Textoennegrita"/>
                <w:rFonts w:ascii="ITC Avant Garde" w:hAnsi="ITC Avant Garde" w:cs="Arial"/>
                <w:b w:val="0"/>
                <w:bCs w:val="0"/>
                <w:i/>
                <w:sz w:val="18"/>
                <w:szCs w:val="18"/>
              </w:rPr>
            </w:pPr>
            <w:r w:rsidRPr="00087DB0">
              <w:rPr>
                <w:rStyle w:val="Textoennegrita"/>
                <w:rFonts w:ascii="ITC Avant Garde" w:hAnsi="ITC Avant Garde" w:cs="Arial"/>
                <w:b w:val="0"/>
                <w:bCs w:val="0"/>
                <w:i/>
                <w:strike/>
                <w:sz w:val="18"/>
                <w:szCs w:val="18"/>
              </w:rPr>
              <w:t>6</w:t>
            </w:r>
            <w:r w:rsidRPr="00087DB0">
              <w:rPr>
                <w:rStyle w:val="Textoennegrita"/>
                <w:rFonts w:ascii="ITC Avant Garde" w:hAnsi="ITC Avant Garde" w:cs="Arial"/>
                <w:b w:val="0"/>
                <w:bCs w:val="0"/>
                <w:i/>
                <w:sz w:val="18"/>
                <w:szCs w:val="18"/>
              </w:rPr>
              <w:t xml:space="preserve"> </w:t>
            </w:r>
            <w:r w:rsidRPr="00087DB0">
              <w:rPr>
                <w:rStyle w:val="Textoennegrita"/>
                <w:rFonts w:ascii="ITC Avant Garde" w:hAnsi="ITC Avant Garde" w:cs="Arial"/>
                <w:b w:val="0"/>
                <w:bCs w:val="0"/>
                <w:i/>
                <w:sz w:val="18"/>
                <w:szCs w:val="18"/>
                <w:u w:val="single"/>
              </w:rPr>
              <w:t>5</w:t>
            </w:r>
            <w:r w:rsidRPr="00087DB0">
              <w:rPr>
                <w:rStyle w:val="Textoennegrita"/>
                <w:rFonts w:ascii="ITC Avant Garde" w:hAnsi="ITC Avant Garde" w:cs="Arial"/>
                <w:b w:val="0"/>
                <w:bCs w:val="0"/>
                <w:i/>
                <w:sz w:val="18"/>
                <w:szCs w:val="18"/>
              </w:rPr>
              <w:t xml:space="preserve"> </w:t>
            </w:r>
            <w:proofErr w:type="spellStart"/>
            <w:r w:rsidRPr="00087DB0">
              <w:rPr>
                <w:rStyle w:val="Textoennegrita"/>
                <w:rFonts w:ascii="ITC Avant Garde" w:hAnsi="ITC Avant Garde" w:cs="Arial"/>
                <w:b w:val="0"/>
                <w:bCs w:val="0"/>
                <w:i/>
                <w:sz w:val="18"/>
                <w:szCs w:val="18"/>
              </w:rPr>
              <w:t>Hrs</w:t>
            </w:r>
            <w:proofErr w:type="spellEnd"/>
          </w:p>
        </w:tc>
      </w:tr>
    </w:tbl>
    <w:p w14:paraId="4076C7F6" w14:textId="77777777" w:rsidR="00CE264B" w:rsidRPr="00087DB0" w:rsidRDefault="00CE264B" w:rsidP="00430267">
      <w:pPr>
        <w:spacing w:after="0" w:line="276" w:lineRule="auto"/>
        <w:ind w:left="709" w:right="567"/>
        <w:rPr>
          <w:rFonts w:ascii="ITC Avant Garde" w:hAnsi="ITC Avant Garde" w:cs="Arial"/>
          <w:i/>
          <w:sz w:val="18"/>
          <w:szCs w:val="18"/>
        </w:rPr>
      </w:pPr>
    </w:p>
    <w:p w14:paraId="27E1EEA7" w14:textId="77777777" w:rsidR="00CE264B" w:rsidRPr="00087DB0" w:rsidRDefault="00CE264B" w:rsidP="00430267">
      <w:pPr>
        <w:spacing w:after="0" w:line="276" w:lineRule="auto"/>
        <w:ind w:left="567" w:right="707"/>
        <w:rPr>
          <w:rFonts w:ascii="ITC Avant Garde" w:hAnsi="ITC Avant Garde" w:cs="Arial"/>
          <w:i/>
          <w:sz w:val="18"/>
          <w:szCs w:val="18"/>
        </w:rPr>
      </w:pPr>
      <w:r w:rsidRPr="00087DB0">
        <w:rPr>
          <w:rFonts w:ascii="ITC Avant Garde" w:hAnsi="ITC Avant Garde" w:cs="Arial"/>
          <w:i/>
          <w:sz w:val="18"/>
          <w:szCs w:val="18"/>
        </w:rPr>
        <w:t>(…)”</w:t>
      </w:r>
    </w:p>
    <w:p w14:paraId="218D3EAF" w14:textId="79A43C47" w:rsidR="00CE264B" w:rsidRPr="00087DB0" w:rsidRDefault="00CE264B" w:rsidP="00430267">
      <w:pPr>
        <w:pStyle w:val="IFT1"/>
        <w:spacing w:after="0"/>
        <w:ind w:right="567"/>
        <w:jc w:val="right"/>
        <w:rPr>
          <w:rFonts w:cs="Arial"/>
          <w:iCs w:val="0"/>
          <w:sz w:val="18"/>
          <w:szCs w:val="18"/>
        </w:rPr>
      </w:pPr>
      <w:r w:rsidRPr="00087DB0">
        <w:rPr>
          <w:rFonts w:cs="Arial"/>
          <w:iCs w:val="0"/>
          <w:sz w:val="18"/>
          <w:szCs w:val="18"/>
        </w:rPr>
        <w:t>Énfasis añadido</w:t>
      </w:r>
    </w:p>
    <w:p w14:paraId="32A842B8" w14:textId="77777777" w:rsidR="00CE264B" w:rsidRPr="00087DB0" w:rsidRDefault="00CE264B" w:rsidP="00430267">
      <w:pPr>
        <w:autoSpaceDE w:val="0"/>
        <w:autoSpaceDN w:val="0"/>
        <w:adjustRightInd w:val="0"/>
        <w:spacing w:after="0" w:line="276" w:lineRule="auto"/>
        <w:ind w:right="49"/>
        <w:rPr>
          <w:rFonts w:ascii="ITC Avant Garde" w:hAnsi="ITC Avant Garde"/>
          <w:b/>
          <w:bCs/>
          <w:u w:val="single"/>
        </w:rPr>
      </w:pPr>
    </w:p>
    <w:p w14:paraId="10989273" w14:textId="7FFC555E" w:rsidR="00D63EA6" w:rsidRPr="00430267" w:rsidRDefault="00CB3A04" w:rsidP="00430267">
      <w:pPr>
        <w:spacing w:after="0" w:line="276" w:lineRule="auto"/>
        <w:rPr>
          <w:rFonts w:ascii="ITC Avant Garde" w:hAnsi="ITC Avant Garde"/>
          <w:b/>
          <w:bCs/>
          <w:u w:val="single"/>
        </w:rPr>
      </w:pPr>
      <w:r w:rsidRPr="00CB3A04">
        <w:rPr>
          <w:rFonts w:ascii="ITC Avant Garde" w:hAnsi="ITC Avant Garde"/>
          <w:b/>
          <w:bCs/>
          <w:u w:val="single"/>
        </w:rPr>
        <w:t>Comentarios Generales</w:t>
      </w:r>
    </w:p>
    <w:p w14:paraId="6E3326A4" w14:textId="77777777" w:rsidR="00495D9E" w:rsidRDefault="00495D9E" w:rsidP="00430267">
      <w:pPr>
        <w:spacing w:after="0" w:line="276" w:lineRule="auto"/>
        <w:rPr>
          <w:rFonts w:ascii="ITC Avant Garde" w:hAnsi="ITC Avant Garde"/>
          <w:b/>
          <w:bCs/>
        </w:rPr>
      </w:pPr>
    </w:p>
    <w:p w14:paraId="75103F6F" w14:textId="1407BA65" w:rsidR="00495D9E" w:rsidRDefault="00495D9E" w:rsidP="00430267">
      <w:pPr>
        <w:spacing w:after="0" w:line="276" w:lineRule="auto"/>
        <w:rPr>
          <w:rFonts w:ascii="ITC Avant Garde" w:hAnsi="ITC Avant Garde"/>
          <w:b/>
          <w:bCs/>
        </w:rPr>
      </w:pPr>
      <w:r>
        <w:rPr>
          <w:rFonts w:ascii="ITC Avant Garde" w:hAnsi="ITC Avant Garde"/>
          <w:b/>
          <w:bCs/>
        </w:rPr>
        <w:t>Mega Cable</w:t>
      </w:r>
    </w:p>
    <w:p w14:paraId="2186374C" w14:textId="21E67A0C" w:rsidR="00495D9E" w:rsidRDefault="00495D9E" w:rsidP="00430267">
      <w:pPr>
        <w:spacing w:after="0" w:line="276" w:lineRule="auto"/>
        <w:rPr>
          <w:rFonts w:ascii="ITC Avant Garde" w:hAnsi="ITC Avant Garde"/>
        </w:rPr>
      </w:pPr>
      <w:r>
        <w:rPr>
          <w:rFonts w:ascii="ITC Avant Garde" w:hAnsi="ITC Avant Garde"/>
        </w:rPr>
        <w:t>Indica que debido a que la figura preponderante está anunciando dos tarifas de tránsito (siendo la tarifa de tránsito por la red móvil más económica que en la red fija), solicita que se tenga acceso a la tarifa de tránsito má</w:t>
      </w:r>
      <w:r w:rsidR="00A44C84">
        <w:rPr>
          <w:rFonts w:ascii="ITC Avant Garde" w:hAnsi="ITC Avant Garde"/>
        </w:rPr>
        <w:t>s</w:t>
      </w:r>
      <w:r>
        <w:rPr>
          <w:rFonts w:ascii="ITC Avant Garde" w:hAnsi="ITC Avant Garde"/>
        </w:rPr>
        <w:t xml:space="preserve"> económica mediante la red fija preponderante, debido a que, por la red móvil se tiene una limitante de no reunir las condiciones de red bidireccional.</w:t>
      </w:r>
    </w:p>
    <w:p w14:paraId="75069A86" w14:textId="77777777" w:rsidR="00495D9E" w:rsidRDefault="00495D9E" w:rsidP="00430267">
      <w:pPr>
        <w:spacing w:after="0" w:line="276" w:lineRule="auto"/>
        <w:rPr>
          <w:rFonts w:ascii="ITC Avant Garde" w:hAnsi="ITC Avant Garde"/>
        </w:rPr>
      </w:pPr>
    </w:p>
    <w:p w14:paraId="4C496B69" w14:textId="77777777" w:rsidR="00495D9E" w:rsidRPr="00087DB0" w:rsidRDefault="00495D9E" w:rsidP="00430267">
      <w:pPr>
        <w:autoSpaceDE w:val="0"/>
        <w:autoSpaceDN w:val="0"/>
        <w:adjustRightInd w:val="0"/>
        <w:spacing w:after="0" w:line="276" w:lineRule="auto"/>
        <w:ind w:right="49"/>
        <w:rPr>
          <w:rFonts w:ascii="ITC Avant Garde" w:hAnsi="ITC Avant Garde"/>
          <w:b/>
          <w:bCs/>
        </w:rPr>
      </w:pPr>
      <w:r w:rsidRPr="00087DB0">
        <w:rPr>
          <w:rFonts w:ascii="ITC Avant Garde" w:hAnsi="ITC Avant Garde"/>
          <w:b/>
          <w:bCs/>
        </w:rPr>
        <w:t>Consideraciones del Instituto</w:t>
      </w:r>
    </w:p>
    <w:p w14:paraId="0DFB4F4A" w14:textId="7DE78978" w:rsidR="00495D9E" w:rsidRPr="00775D28" w:rsidRDefault="008B2716" w:rsidP="00430267">
      <w:pPr>
        <w:spacing w:after="0" w:line="276" w:lineRule="auto"/>
        <w:rPr>
          <w:rFonts w:ascii="ITC Avant Garde" w:hAnsi="ITC Avant Garde"/>
        </w:rPr>
      </w:pPr>
      <w:r>
        <w:rPr>
          <w:rFonts w:ascii="ITC Avant Garde" w:hAnsi="ITC Avant Garde"/>
        </w:rPr>
        <w:lastRenderedPageBreak/>
        <w:t>No se considera adecuada la solicitud, pues las tarifas de tránsito para la red móvil y para la red fija se determinan mediante un modelo de costos de forma independiente, por lo que el convenio que se establezca para la interconexión con la red fija del AEP deberá reflejar los costos asociados a dicha red, es decir, el costo asociado a la prestación del servicio de tránsito mediante la red fija de Telmex/Telnor.</w:t>
      </w:r>
    </w:p>
    <w:sectPr w:rsidR="00495D9E" w:rsidRPr="00775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47DC3" w14:textId="77777777" w:rsidR="00D7369C" w:rsidRDefault="00D7369C" w:rsidP="004F6497">
      <w:pPr>
        <w:spacing w:after="0" w:line="240" w:lineRule="auto"/>
      </w:pPr>
      <w:r>
        <w:separator/>
      </w:r>
    </w:p>
  </w:endnote>
  <w:endnote w:type="continuationSeparator" w:id="0">
    <w:p w14:paraId="183C3488" w14:textId="77777777" w:rsidR="00D7369C" w:rsidRDefault="00D7369C"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FAD6" w14:textId="77777777" w:rsidR="00D7369C" w:rsidRDefault="00D7369C" w:rsidP="004F6497">
      <w:pPr>
        <w:spacing w:after="0" w:line="240" w:lineRule="auto"/>
      </w:pPr>
      <w:r>
        <w:separator/>
      </w:r>
    </w:p>
  </w:footnote>
  <w:footnote w:type="continuationSeparator" w:id="0">
    <w:p w14:paraId="7E2920B3" w14:textId="77777777" w:rsidR="00D7369C" w:rsidRDefault="00D7369C" w:rsidP="004F6497">
      <w:pPr>
        <w:spacing w:after="0" w:line="240" w:lineRule="auto"/>
      </w:pPr>
      <w:r>
        <w:continuationSeparator/>
      </w:r>
    </w:p>
  </w:footnote>
  <w:footnote w:id="1">
    <w:p w14:paraId="53557B2D" w14:textId="77777777" w:rsidR="00423330" w:rsidRDefault="00423330" w:rsidP="00423330">
      <w:pPr>
        <w:pStyle w:val="Textonotapie"/>
      </w:pPr>
      <w:r>
        <w:rPr>
          <w:rStyle w:val="Refdenotaalpie"/>
        </w:rPr>
        <w:footnoteRef/>
      </w:r>
      <w:r>
        <w:t xml:space="preserve"> </w:t>
      </w:r>
      <w:r w:rsidRPr="00D53DA0">
        <w:rPr>
          <w:rFonts w:ascii="ITC Avant Garde" w:hAnsi="ITC Avant Garde" w:cs="ArialMT"/>
          <w:i/>
          <w:color w:val="2F2F2F"/>
          <w:sz w:val="18"/>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 Publicado en el Diario Oficial de la Federación el 11 de mayo de 2018.</w:t>
      </w:r>
      <w:r>
        <w:rPr>
          <w:sz w:val="14"/>
          <w:szCs w:val="14"/>
        </w:rPr>
        <w:t xml:space="preserve"> </w:t>
      </w:r>
      <w:r>
        <w:t xml:space="preserve"> </w:t>
      </w:r>
    </w:p>
  </w:footnote>
  <w:footnote w:id="2">
    <w:p w14:paraId="7CDCE540" w14:textId="77777777" w:rsidR="0001734C" w:rsidRPr="00C130AB" w:rsidRDefault="0001734C" w:rsidP="0001734C">
      <w:pPr>
        <w:pStyle w:val="Textonotapie"/>
        <w:rPr>
          <w:rFonts w:ascii="ITC Avant Garde" w:hAnsi="ITC Avant Garde"/>
          <w:sz w:val="16"/>
          <w:szCs w:val="16"/>
        </w:rPr>
      </w:pPr>
      <w:r w:rsidRPr="00C130AB">
        <w:rPr>
          <w:rStyle w:val="Refdenotaalpie"/>
          <w:rFonts w:ascii="ITC Avant Garde" w:hAnsi="ITC Avant Garde"/>
          <w:sz w:val="16"/>
          <w:szCs w:val="16"/>
        </w:rPr>
        <w:footnoteRef/>
      </w:r>
      <w:r w:rsidRPr="00C130AB">
        <w:rPr>
          <w:rFonts w:ascii="ITC Avant Garde" w:hAnsi="ITC Avant Garde"/>
          <w:sz w:val="16"/>
          <w:szCs w:val="16"/>
        </w:rPr>
        <w:t xml:space="preserve"> “ACUERDO MEDIANTE EL CUAL EL PLENO DEL INSTITUTO FEDERAL DE TELECOMUNICACIONES EMITE LOS LINEAMIENTOS PARA LA COMERCIALIZACIÓN DE SERVICIOS MÓVILES POR PARTE DE OPERADORES MÓVILES VIRTUALES.”, publicado en el DOF el 9 de marzo de 2016. </w:t>
      </w:r>
      <w:hyperlink r:id="rId1" w:history="1">
        <w:r w:rsidRPr="00C130AB">
          <w:rPr>
            <w:rStyle w:val="Hipervnculo"/>
            <w:rFonts w:ascii="ITC Avant Garde" w:hAnsi="ITC Avant Garde"/>
            <w:sz w:val="16"/>
            <w:szCs w:val="16"/>
          </w:rPr>
          <w:t>http://www.dof.gob.mx/nota_detalle.php?codigo=5429202&amp;fecha=09/03/2016</w:t>
        </w:r>
      </w:hyperlink>
      <w:r w:rsidRPr="00C130AB">
        <w:rPr>
          <w:rFonts w:ascii="ITC Avant Garde" w:hAnsi="ITC Avant Garde"/>
          <w:sz w:val="16"/>
          <w:szCs w:val="16"/>
        </w:rPr>
        <w:t xml:space="preserve"> </w:t>
      </w:r>
    </w:p>
  </w:footnote>
  <w:footnote w:id="3">
    <w:p w14:paraId="619CC655" w14:textId="18199867" w:rsidR="00C130AB" w:rsidRPr="00C130AB" w:rsidRDefault="00C130AB" w:rsidP="00C130AB">
      <w:pPr>
        <w:pStyle w:val="Textonotapie"/>
        <w:rPr>
          <w:rFonts w:ascii="ITC Avant Garde" w:hAnsi="ITC Avant Garde"/>
          <w:sz w:val="16"/>
          <w:szCs w:val="16"/>
        </w:rPr>
      </w:pPr>
      <w:r w:rsidRPr="00C130AB">
        <w:rPr>
          <w:rStyle w:val="Refdenotaalpie"/>
          <w:rFonts w:ascii="ITC Avant Garde" w:hAnsi="ITC Avant Garde"/>
          <w:sz w:val="16"/>
          <w:szCs w:val="16"/>
        </w:rPr>
        <w:footnoteRef/>
      </w:r>
      <w:r w:rsidRPr="00C130AB">
        <w:rPr>
          <w:rFonts w:ascii="ITC Avant Garde" w:hAnsi="ITC Avant Garde"/>
          <w:sz w:val="16"/>
          <w:szCs w:val="16"/>
        </w:rPr>
        <w:t xml:space="preserve"> “ANEXO 2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Disponible en https://www.ift.org.mx/sites/default/files/anexo_2_12.pdf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5" w15:restartNumberingAfterBreak="0">
    <w:nsid w:val="1CAA6956"/>
    <w:multiLevelType w:val="hybridMultilevel"/>
    <w:tmpl w:val="3E6E8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13179"/>
    <w:multiLevelType w:val="hybridMultilevel"/>
    <w:tmpl w:val="D53AC158"/>
    <w:lvl w:ilvl="0" w:tplc="EE62DF94">
      <w:start w:val="1"/>
      <w:numFmt w:val="decimal"/>
      <w:lvlText w:val="%1."/>
      <w:lvlJc w:val="left"/>
      <w:pPr>
        <w:ind w:left="1417" w:hanging="85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C3C2286"/>
    <w:multiLevelType w:val="hybridMultilevel"/>
    <w:tmpl w:val="7FFEAF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DF403E"/>
    <w:multiLevelType w:val="hybridMultilevel"/>
    <w:tmpl w:val="ABB4B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CA350CB"/>
    <w:multiLevelType w:val="hybridMultilevel"/>
    <w:tmpl w:val="928A2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35E0F98"/>
    <w:multiLevelType w:val="hybridMultilevel"/>
    <w:tmpl w:val="102CCC18"/>
    <w:lvl w:ilvl="0" w:tplc="69F07FD2">
      <w:start w:val="4"/>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9124C12"/>
    <w:multiLevelType w:val="hybridMultilevel"/>
    <w:tmpl w:val="F9222D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29634880">
    <w:abstractNumId w:val="13"/>
  </w:num>
  <w:num w:numId="2" w16cid:durableId="1317106969">
    <w:abstractNumId w:val="2"/>
  </w:num>
  <w:num w:numId="3" w16cid:durableId="1957298249">
    <w:abstractNumId w:val="4"/>
  </w:num>
  <w:num w:numId="4" w16cid:durableId="710616334">
    <w:abstractNumId w:val="1"/>
  </w:num>
  <w:num w:numId="5" w16cid:durableId="1898273281">
    <w:abstractNumId w:val="3"/>
  </w:num>
  <w:num w:numId="6" w16cid:durableId="307367830">
    <w:abstractNumId w:val="0"/>
  </w:num>
  <w:num w:numId="7" w16cid:durableId="1349216101">
    <w:abstractNumId w:val="6"/>
  </w:num>
  <w:num w:numId="8" w16cid:durableId="427627681">
    <w:abstractNumId w:val="10"/>
  </w:num>
  <w:num w:numId="9" w16cid:durableId="1935240986">
    <w:abstractNumId w:val="7"/>
  </w:num>
  <w:num w:numId="10" w16cid:durableId="1100756462">
    <w:abstractNumId w:val="8"/>
  </w:num>
  <w:num w:numId="11" w16cid:durableId="1712992398">
    <w:abstractNumId w:val="9"/>
  </w:num>
  <w:num w:numId="12" w16cid:durableId="1682971870">
    <w:abstractNumId w:val="5"/>
  </w:num>
  <w:num w:numId="13" w16cid:durableId="680666999">
    <w:abstractNumId w:val="12"/>
  </w:num>
  <w:num w:numId="14" w16cid:durableId="622418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9"/>
    <w:rsid w:val="00003891"/>
    <w:rsid w:val="00007436"/>
    <w:rsid w:val="00007B1B"/>
    <w:rsid w:val="000109AC"/>
    <w:rsid w:val="00010B41"/>
    <w:rsid w:val="00011E52"/>
    <w:rsid w:val="00011FF8"/>
    <w:rsid w:val="000121AD"/>
    <w:rsid w:val="00016AFE"/>
    <w:rsid w:val="0001734C"/>
    <w:rsid w:val="0002123D"/>
    <w:rsid w:val="00024950"/>
    <w:rsid w:val="00025974"/>
    <w:rsid w:val="00027E9F"/>
    <w:rsid w:val="00030226"/>
    <w:rsid w:val="00031C76"/>
    <w:rsid w:val="00033305"/>
    <w:rsid w:val="000371C6"/>
    <w:rsid w:val="000405EE"/>
    <w:rsid w:val="00040E16"/>
    <w:rsid w:val="0004334E"/>
    <w:rsid w:val="00044380"/>
    <w:rsid w:val="00046359"/>
    <w:rsid w:val="00050AA4"/>
    <w:rsid w:val="00054DA1"/>
    <w:rsid w:val="00055608"/>
    <w:rsid w:val="000632C6"/>
    <w:rsid w:val="000666CC"/>
    <w:rsid w:val="00070FCB"/>
    <w:rsid w:val="00072762"/>
    <w:rsid w:val="00073E55"/>
    <w:rsid w:val="000755FD"/>
    <w:rsid w:val="00077D8A"/>
    <w:rsid w:val="00085622"/>
    <w:rsid w:val="00087A87"/>
    <w:rsid w:val="00087C65"/>
    <w:rsid w:val="00087DB0"/>
    <w:rsid w:val="00087E37"/>
    <w:rsid w:val="000906EE"/>
    <w:rsid w:val="00095A2C"/>
    <w:rsid w:val="00095A53"/>
    <w:rsid w:val="00095E48"/>
    <w:rsid w:val="00096169"/>
    <w:rsid w:val="000A0428"/>
    <w:rsid w:val="000A1D96"/>
    <w:rsid w:val="000A4698"/>
    <w:rsid w:val="000A693B"/>
    <w:rsid w:val="000B17A2"/>
    <w:rsid w:val="000B226B"/>
    <w:rsid w:val="000B27A3"/>
    <w:rsid w:val="000B4D25"/>
    <w:rsid w:val="000B4E10"/>
    <w:rsid w:val="000B557A"/>
    <w:rsid w:val="000B59EC"/>
    <w:rsid w:val="000B6DC4"/>
    <w:rsid w:val="000B7C21"/>
    <w:rsid w:val="000C06F8"/>
    <w:rsid w:val="000C2042"/>
    <w:rsid w:val="000C25F5"/>
    <w:rsid w:val="000C373D"/>
    <w:rsid w:val="000C6BA1"/>
    <w:rsid w:val="000D002F"/>
    <w:rsid w:val="000D07DD"/>
    <w:rsid w:val="000D08AC"/>
    <w:rsid w:val="000D240B"/>
    <w:rsid w:val="000D5474"/>
    <w:rsid w:val="000E1588"/>
    <w:rsid w:val="000E19E5"/>
    <w:rsid w:val="000E4FAB"/>
    <w:rsid w:val="000E741B"/>
    <w:rsid w:val="000F063E"/>
    <w:rsid w:val="000F2110"/>
    <w:rsid w:val="000F73E4"/>
    <w:rsid w:val="00104AEE"/>
    <w:rsid w:val="00106D55"/>
    <w:rsid w:val="00110696"/>
    <w:rsid w:val="00111259"/>
    <w:rsid w:val="0011236E"/>
    <w:rsid w:val="0011727C"/>
    <w:rsid w:val="00120B97"/>
    <w:rsid w:val="00122273"/>
    <w:rsid w:val="0012361B"/>
    <w:rsid w:val="001243E7"/>
    <w:rsid w:val="00124FE9"/>
    <w:rsid w:val="00130D66"/>
    <w:rsid w:val="00131122"/>
    <w:rsid w:val="00137421"/>
    <w:rsid w:val="00137A46"/>
    <w:rsid w:val="00141141"/>
    <w:rsid w:val="001422A0"/>
    <w:rsid w:val="0014683C"/>
    <w:rsid w:val="00150B62"/>
    <w:rsid w:val="0015131A"/>
    <w:rsid w:val="00155359"/>
    <w:rsid w:val="001570E0"/>
    <w:rsid w:val="00160642"/>
    <w:rsid w:val="00160D5F"/>
    <w:rsid w:val="001610C4"/>
    <w:rsid w:val="00162601"/>
    <w:rsid w:val="00162715"/>
    <w:rsid w:val="00165E48"/>
    <w:rsid w:val="00167C47"/>
    <w:rsid w:val="00167ED9"/>
    <w:rsid w:val="00173DF5"/>
    <w:rsid w:val="001750FB"/>
    <w:rsid w:val="00175648"/>
    <w:rsid w:val="0017788E"/>
    <w:rsid w:val="0018327F"/>
    <w:rsid w:val="001852DD"/>
    <w:rsid w:val="0018725C"/>
    <w:rsid w:val="001907D9"/>
    <w:rsid w:val="00190825"/>
    <w:rsid w:val="001920F7"/>
    <w:rsid w:val="00192CF2"/>
    <w:rsid w:val="00194294"/>
    <w:rsid w:val="001951DF"/>
    <w:rsid w:val="0019659A"/>
    <w:rsid w:val="001A1F48"/>
    <w:rsid w:val="001A2A6B"/>
    <w:rsid w:val="001A377F"/>
    <w:rsid w:val="001A3B0C"/>
    <w:rsid w:val="001A451B"/>
    <w:rsid w:val="001A4DE5"/>
    <w:rsid w:val="001A4EA4"/>
    <w:rsid w:val="001A6F48"/>
    <w:rsid w:val="001A7275"/>
    <w:rsid w:val="001B0C1E"/>
    <w:rsid w:val="001B68D8"/>
    <w:rsid w:val="001C0FB1"/>
    <w:rsid w:val="001C1DBC"/>
    <w:rsid w:val="001D046B"/>
    <w:rsid w:val="001D0AA1"/>
    <w:rsid w:val="001D5251"/>
    <w:rsid w:val="001D685A"/>
    <w:rsid w:val="001D7B77"/>
    <w:rsid w:val="001E15F4"/>
    <w:rsid w:val="001E52EC"/>
    <w:rsid w:val="001F0252"/>
    <w:rsid w:val="001F131C"/>
    <w:rsid w:val="001F269F"/>
    <w:rsid w:val="001F41C1"/>
    <w:rsid w:val="001F43E3"/>
    <w:rsid w:val="001F6C76"/>
    <w:rsid w:val="002008DD"/>
    <w:rsid w:val="00200D3A"/>
    <w:rsid w:val="00202A99"/>
    <w:rsid w:val="00203837"/>
    <w:rsid w:val="00204FBA"/>
    <w:rsid w:val="00212AF0"/>
    <w:rsid w:val="002150D7"/>
    <w:rsid w:val="00215955"/>
    <w:rsid w:val="002173A0"/>
    <w:rsid w:val="00220A24"/>
    <w:rsid w:val="0022157B"/>
    <w:rsid w:val="00223DD0"/>
    <w:rsid w:val="002241D2"/>
    <w:rsid w:val="002244A8"/>
    <w:rsid w:val="0022620D"/>
    <w:rsid w:val="00227CEE"/>
    <w:rsid w:val="00234B57"/>
    <w:rsid w:val="002359B0"/>
    <w:rsid w:val="002419CB"/>
    <w:rsid w:val="002425B5"/>
    <w:rsid w:val="002427FE"/>
    <w:rsid w:val="00242F91"/>
    <w:rsid w:val="0024324F"/>
    <w:rsid w:val="002453BA"/>
    <w:rsid w:val="00246C05"/>
    <w:rsid w:val="00250EFA"/>
    <w:rsid w:val="002532EE"/>
    <w:rsid w:val="0025641D"/>
    <w:rsid w:val="00260020"/>
    <w:rsid w:val="00261D61"/>
    <w:rsid w:val="0026209F"/>
    <w:rsid w:val="00262696"/>
    <w:rsid w:val="002676C9"/>
    <w:rsid w:val="0027212B"/>
    <w:rsid w:val="00273245"/>
    <w:rsid w:val="0027446C"/>
    <w:rsid w:val="00274978"/>
    <w:rsid w:val="0027548E"/>
    <w:rsid w:val="002754BE"/>
    <w:rsid w:val="00277CBB"/>
    <w:rsid w:val="00277E97"/>
    <w:rsid w:val="00280C78"/>
    <w:rsid w:val="002814F6"/>
    <w:rsid w:val="002870CC"/>
    <w:rsid w:val="00291A08"/>
    <w:rsid w:val="00292B53"/>
    <w:rsid w:val="0029455B"/>
    <w:rsid w:val="002A0A4E"/>
    <w:rsid w:val="002A0B24"/>
    <w:rsid w:val="002A1E28"/>
    <w:rsid w:val="002A5B47"/>
    <w:rsid w:val="002A74E1"/>
    <w:rsid w:val="002A7B20"/>
    <w:rsid w:val="002B0C6B"/>
    <w:rsid w:val="002B0E57"/>
    <w:rsid w:val="002B1A2A"/>
    <w:rsid w:val="002B339C"/>
    <w:rsid w:val="002B47E7"/>
    <w:rsid w:val="002C4823"/>
    <w:rsid w:val="002C5C6A"/>
    <w:rsid w:val="002C7BE3"/>
    <w:rsid w:val="002D4ECF"/>
    <w:rsid w:val="002D60DA"/>
    <w:rsid w:val="002D726A"/>
    <w:rsid w:val="002D7D99"/>
    <w:rsid w:val="002E01B9"/>
    <w:rsid w:val="002E33F5"/>
    <w:rsid w:val="002E3B5D"/>
    <w:rsid w:val="002E403D"/>
    <w:rsid w:val="002E5D10"/>
    <w:rsid w:val="002F0022"/>
    <w:rsid w:val="002F0919"/>
    <w:rsid w:val="002F100B"/>
    <w:rsid w:val="002F10E1"/>
    <w:rsid w:val="002F2A6B"/>
    <w:rsid w:val="002F3EAB"/>
    <w:rsid w:val="002F4AEC"/>
    <w:rsid w:val="00300EA5"/>
    <w:rsid w:val="0030107D"/>
    <w:rsid w:val="0030185B"/>
    <w:rsid w:val="003024BD"/>
    <w:rsid w:val="003039C2"/>
    <w:rsid w:val="00303CFD"/>
    <w:rsid w:val="003045C3"/>
    <w:rsid w:val="00306C97"/>
    <w:rsid w:val="00307331"/>
    <w:rsid w:val="00307B57"/>
    <w:rsid w:val="00311FAA"/>
    <w:rsid w:val="0031246C"/>
    <w:rsid w:val="00312724"/>
    <w:rsid w:val="00317E53"/>
    <w:rsid w:val="00320377"/>
    <w:rsid w:val="0032397E"/>
    <w:rsid w:val="00324B6C"/>
    <w:rsid w:val="003275DB"/>
    <w:rsid w:val="00327D97"/>
    <w:rsid w:val="00330547"/>
    <w:rsid w:val="00331E75"/>
    <w:rsid w:val="00332E2F"/>
    <w:rsid w:val="00334332"/>
    <w:rsid w:val="00335EE9"/>
    <w:rsid w:val="00336B92"/>
    <w:rsid w:val="00336F2A"/>
    <w:rsid w:val="003442C3"/>
    <w:rsid w:val="00345258"/>
    <w:rsid w:val="00352500"/>
    <w:rsid w:val="003533ED"/>
    <w:rsid w:val="00353893"/>
    <w:rsid w:val="00355535"/>
    <w:rsid w:val="00356052"/>
    <w:rsid w:val="00361118"/>
    <w:rsid w:val="003624AA"/>
    <w:rsid w:val="00362954"/>
    <w:rsid w:val="003651AD"/>
    <w:rsid w:val="003676A8"/>
    <w:rsid w:val="003700E4"/>
    <w:rsid w:val="00370BFE"/>
    <w:rsid w:val="00376D51"/>
    <w:rsid w:val="00377423"/>
    <w:rsid w:val="00380EB0"/>
    <w:rsid w:val="003823F2"/>
    <w:rsid w:val="00386757"/>
    <w:rsid w:val="00387BE6"/>
    <w:rsid w:val="0039106D"/>
    <w:rsid w:val="003915A7"/>
    <w:rsid w:val="00391D58"/>
    <w:rsid w:val="00393686"/>
    <w:rsid w:val="00394184"/>
    <w:rsid w:val="0039640D"/>
    <w:rsid w:val="00396778"/>
    <w:rsid w:val="00396D41"/>
    <w:rsid w:val="003A189F"/>
    <w:rsid w:val="003A22A4"/>
    <w:rsid w:val="003A3673"/>
    <w:rsid w:val="003A409F"/>
    <w:rsid w:val="003A578D"/>
    <w:rsid w:val="003A7DE5"/>
    <w:rsid w:val="003B2CE9"/>
    <w:rsid w:val="003B4052"/>
    <w:rsid w:val="003B432B"/>
    <w:rsid w:val="003B4475"/>
    <w:rsid w:val="003B63F4"/>
    <w:rsid w:val="003C0740"/>
    <w:rsid w:val="003C509C"/>
    <w:rsid w:val="003C6124"/>
    <w:rsid w:val="003C714B"/>
    <w:rsid w:val="003D0820"/>
    <w:rsid w:val="003D1F93"/>
    <w:rsid w:val="003D2201"/>
    <w:rsid w:val="003D79A2"/>
    <w:rsid w:val="003E5658"/>
    <w:rsid w:val="003E745D"/>
    <w:rsid w:val="003E7CF3"/>
    <w:rsid w:val="003F1CA8"/>
    <w:rsid w:val="003F1D8E"/>
    <w:rsid w:val="003F5286"/>
    <w:rsid w:val="003F5C67"/>
    <w:rsid w:val="003F6C78"/>
    <w:rsid w:val="003F6F03"/>
    <w:rsid w:val="00401423"/>
    <w:rsid w:val="0040266D"/>
    <w:rsid w:val="00404F7F"/>
    <w:rsid w:val="00405ABC"/>
    <w:rsid w:val="00405F7D"/>
    <w:rsid w:val="0040611D"/>
    <w:rsid w:val="00407A97"/>
    <w:rsid w:val="004113BE"/>
    <w:rsid w:val="004119C4"/>
    <w:rsid w:val="004153A4"/>
    <w:rsid w:val="00415701"/>
    <w:rsid w:val="004163C6"/>
    <w:rsid w:val="0042027C"/>
    <w:rsid w:val="00421913"/>
    <w:rsid w:val="00422C1F"/>
    <w:rsid w:val="00423330"/>
    <w:rsid w:val="00423B4E"/>
    <w:rsid w:val="00423FA7"/>
    <w:rsid w:val="00425316"/>
    <w:rsid w:val="0042541E"/>
    <w:rsid w:val="00426C3A"/>
    <w:rsid w:val="00426FCE"/>
    <w:rsid w:val="00430267"/>
    <w:rsid w:val="004309F6"/>
    <w:rsid w:val="00432012"/>
    <w:rsid w:val="0043354B"/>
    <w:rsid w:val="00433ECC"/>
    <w:rsid w:val="00433FB8"/>
    <w:rsid w:val="00435B80"/>
    <w:rsid w:val="00436523"/>
    <w:rsid w:val="00437D53"/>
    <w:rsid w:val="00440F2E"/>
    <w:rsid w:val="00442795"/>
    <w:rsid w:val="00443AA7"/>
    <w:rsid w:val="004465F9"/>
    <w:rsid w:val="00447810"/>
    <w:rsid w:val="00447841"/>
    <w:rsid w:val="004505D9"/>
    <w:rsid w:val="004508DB"/>
    <w:rsid w:val="00451571"/>
    <w:rsid w:val="00454382"/>
    <w:rsid w:val="00456F6D"/>
    <w:rsid w:val="00464891"/>
    <w:rsid w:val="00465297"/>
    <w:rsid w:val="00466EF1"/>
    <w:rsid w:val="00472935"/>
    <w:rsid w:val="00477220"/>
    <w:rsid w:val="00483DC4"/>
    <w:rsid w:val="00485B2C"/>
    <w:rsid w:val="00487A99"/>
    <w:rsid w:val="00487D98"/>
    <w:rsid w:val="004900DF"/>
    <w:rsid w:val="004913A6"/>
    <w:rsid w:val="00491A43"/>
    <w:rsid w:val="0049237C"/>
    <w:rsid w:val="004926DD"/>
    <w:rsid w:val="004944EF"/>
    <w:rsid w:val="0049506A"/>
    <w:rsid w:val="004957E8"/>
    <w:rsid w:val="004957F8"/>
    <w:rsid w:val="00495D9E"/>
    <w:rsid w:val="004A4636"/>
    <w:rsid w:val="004A4642"/>
    <w:rsid w:val="004A499D"/>
    <w:rsid w:val="004A65F1"/>
    <w:rsid w:val="004A6A7F"/>
    <w:rsid w:val="004C5602"/>
    <w:rsid w:val="004C5EBC"/>
    <w:rsid w:val="004D146E"/>
    <w:rsid w:val="004D25BC"/>
    <w:rsid w:val="004E2909"/>
    <w:rsid w:val="004E29BF"/>
    <w:rsid w:val="004E2EFA"/>
    <w:rsid w:val="004E3F38"/>
    <w:rsid w:val="004E5397"/>
    <w:rsid w:val="004E718C"/>
    <w:rsid w:val="004E7717"/>
    <w:rsid w:val="004F2448"/>
    <w:rsid w:val="004F2702"/>
    <w:rsid w:val="004F3303"/>
    <w:rsid w:val="004F3406"/>
    <w:rsid w:val="004F5419"/>
    <w:rsid w:val="004F6497"/>
    <w:rsid w:val="004F664E"/>
    <w:rsid w:val="0050121C"/>
    <w:rsid w:val="00502BF7"/>
    <w:rsid w:val="00503423"/>
    <w:rsid w:val="00505DB9"/>
    <w:rsid w:val="005074BA"/>
    <w:rsid w:val="00515D35"/>
    <w:rsid w:val="00522E26"/>
    <w:rsid w:val="005268FA"/>
    <w:rsid w:val="00532517"/>
    <w:rsid w:val="005335F5"/>
    <w:rsid w:val="0053503B"/>
    <w:rsid w:val="00535927"/>
    <w:rsid w:val="005409CB"/>
    <w:rsid w:val="00541217"/>
    <w:rsid w:val="00546C27"/>
    <w:rsid w:val="005477FD"/>
    <w:rsid w:val="005506E0"/>
    <w:rsid w:val="00552301"/>
    <w:rsid w:val="005533CB"/>
    <w:rsid w:val="0055341C"/>
    <w:rsid w:val="00555754"/>
    <w:rsid w:val="00557E73"/>
    <w:rsid w:val="00557FC6"/>
    <w:rsid w:val="0056395C"/>
    <w:rsid w:val="00565C1B"/>
    <w:rsid w:val="00565FEB"/>
    <w:rsid w:val="00573DE8"/>
    <w:rsid w:val="00576A45"/>
    <w:rsid w:val="00577A3C"/>
    <w:rsid w:val="00577F91"/>
    <w:rsid w:val="00580940"/>
    <w:rsid w:val="005814E4"/>
    <w:rsid w:val="00581B65"/>
    <w:rsid w:val="0058274E"/>
    <w:rsid w:val="00582F2C"/>
    <w:rsid w:val="0058502C"/>
    <w:rsid w:val="00585DEF"/>
    <w:rsid w:val="00591A9D"/>
    <w:rsid w:val="0059211A"/>
    <w:rsid w:val="005945DF"/>
    <w:rsid w:val="005948BC"/>
    <w:rsid w:val="005A1644"/>
    <w:rsid w:val="005A6DCA"/>
    <w:rsid w:val="005A79C7"/>
    <w:rsid w:val="005B09AB"/>
    <w:rsid w:val="005B0A2C"/>
    <w:rsid w:val="005B258B"/>
    <w:rsid w:val="005C300E"/>
    <w:rsid w:val="005C31CD"/>
    <w:rsid w:val="005C5CF6"/>
    <w:rsid w:val="005C73EB"/>
    <w:rsid w:val="005D110C"/>
    <w:rsid w:val="005D3784"/>
    <w:rsid w:val="005D4956"/>
    <w:rsid w:val="005D5169"/>
    <w:rsid w:val="005D5C6E"/>
    <w:rsid w:val="005D60D9"/>
    <w:rsid w:val="005D6AF6"/>
    <w:rsid w:val="005E116B"/>
    <w:rsid w:val="005E369D"/>
    <w:rsid w:val="005E4869"/>
    <w:rsid w:val="005E4ACB"/>
    <w:rsid w:val="005F2936"/>
    <w:rsid w:val="005F45D7"/>
    <w:rsid w:val="005F673E"/>
    <w:rsid w:val="005F71B3"/>
    <w:rsid w:val="005F7730"/>
    <w:rsid w:val="00600E35"/>
    <w:rsid w:val="00603247"/>
    <w:rsid w:val="00603EC6"/>
    <w:rsid w:val="006043AC"/>
    <w:rsid w:val="00604670"/>
    <w:rsid w:val="006072B0"/>
    <w:rsid w:val="0061171E"/>
    <w:rsid w:val="006145A3"/>
    <w:rsid w:val="00614DE2"/>
    <w:rsid w:val="00616867"/>
    <w:rsid w:val="00617D0B"/>
    <w:rsid w:val="0062326C"/>
    <w:rsid w:val="00623582"/>
    <w:rsid w:val="00625706"/>
    <w:rsid w:val="00630315"/>
    <w:rsid w:val="0063056D"/>
    <w:rsid w:val="006336A1"/>
    <w:rsid w:val="00634CDC"/>
    <w:rsid w:val="006358DC"/>
    <w:rsid w:val="006409B8"/>
    <w:rsid w:val="00641E07"/>
    <w:rsid w:val="006449A4"/>
    <w:rsid w:val="00646561"/>
    <w:rsid w:val="00646B29"/>
    <w:rsid w:val="00647F02"/>
    <w:rsid w:val="0065225B"/>
    <w:rsid w:val="00656513"/>
    <w:rsid w:val="00656A07"/>
    <w:rsid w:val="00657A45"/>
    <w:rsid w:val="006625BD"/>
    <w:rsid w:val="00662C1E"/>
    <w:rsid w:val="0066742D"/>
    <w:rsid w:val="0067320F"/>
    <w:rsid w:val="006734DE"/>
    <w:rsid w:val="00676E75"/>
    <w:rsid w:val="006771B5"/>
    <w:rsid w:val="0068188E"/>
    <w:rsid w:val="00682597"/>
    <w:rsid w:val="006826E9"/>
    <w:rsid w:val="00684C5B"/>
    <w:rsid w:val="00685002"/>
    <w:rsid w:val="00686BA6"/>
    <w:rsid w:val="00687A94"/>
    <w:rsid w:val="006905ED"/>
    <w:rsid w:val="00695BC6"/>
    <w:rsid w:val="006A05B6"/>
    <w:rsid w:val="006A1322"/>
    <w:rsid w:val="006A1812"/>
    <w:rsid w:val="006A1A4C"/>
    <w:rsid w:val="006A3325"/>
    <w:rsid w:val="006A5A73"/>
    <w:rsid w:val="006B0F20"/>
    <w:rsid w:val="006B1ABF"/>
    <w:rsid w:val="006B3F04"/>
    <w:rsid w:val="006B450B"/>
    <w:rsid w:val="006B458F"/>
    <w:rsid w:val="006B6402"/>
    <w:rsid w:val="006C06D0"/>
    <w:rsid w:val="006C111F"/>
    <w:rsid w:val="006C1D61"/>
    <w:rsid w:val="006C2DA4"/>
    <w:rsid w:val="006C382F"/>
    <w:rsid w:val="006C734D"/>
    <w:rsid w:val="006D3782"/>
    <w:rsid w:val="006D4671"/>
    <w:rsid w:val="006D6308"/>
    <w:rsid w:val="006E4D22"/>
    <w:rsid w:val="006E70D3"/>
    <w:rsid w:val="006F127B"/>
    <w:rsid w:val="006F2414"/>
    <w:rsid w:val="006F380C"/>
    <w:rsid w:val="006F4E46"/>
    <w:rsid w:val="006F7ACA"/>
    <w:rsid w:val="00700BAA"/>
    <w:rsid w:val="00701F55"/>
    <w:rsid w:val="00703170"/>
    <w:rsid w:val="00705071"/>
    <w:rsid w:val="007054C4"/>
    <w:rsid w:val="007074FA"/>
    <w:rsid w:val="007125BB"/>
    <w:rsid w:val="00713520"/>
    <w:rsid w:val="00713742"/>
    <w:rsid w:val="007137CF"/>
    <w:rsid w:val="007218D7"/>
    <w:rsid w:val="00723865"/>
    <w:rsid w:val="007248EC"/>
    <w:rsid w:val="00726258"/>
    <w:rsid w:val="00727C3D"/>
    <w:rsid w:val="007329BA"/>
    <w:rsid w:val="0073352B"/>
    <w:rsid w:val="00733E69"/>
    <w:rsid w:val="00743756"/>
    <w:rsid w:val="00745554"/>
    <w:rsid w:val="007457C7"/>
    <w:rsid w:val="00745D55"/>
    <w:rsid w:val="0075079E"/>
    <w:rsid w:val="007508FC"/>
    <w:rsid w:val="0075148C"/>
    <w:rsid w:val="00751D4B"/>
    <w:rsid w:val="00754A91"/>
    <w:rsid w:val="00756E4D"/>
    <w:rsid w:val="00764993"/>
    <w:rsid w:val="00764A17"/>
    <w:rsid w:val="007676CD"/>
    <w:rsid w:val="00771E04"/>
    <w:rsid w:val="007727C0"/>
    <w:rsid w:val="007732A8"/>
    <w:rsid w:val="00773F6C"/>
    <w:rsid w:val="00773F90"/>
    <w:rsid w:val="00774BC4"/>
    <w:rsid w:val="00775D28"/>
    <w:rsid w:val="007779D6"/>
    <w:rsid w:val="00780D99"/>
    <w:rsid w:val="00781603"/>
    <w:rsid w:val="00782C23"/>
    <w:rsid w:val="00783A73"/>
    <w:rsid w:val="00787A6B"/>
    <w:rsid w:val="007906BC"/>
    <w:rsid w:val="00791D4F"/>
    <w:rsid w:val="00793D7D"/>
    <w:rsid w:val="00797929"/>
    <w:rsid w:val="007A4E05"/>
    <w:rsid w:val="007A5D7A"/>
    <w:rsid w:val="007A7B89"/>
    <w:rsid w:val="007B09EC"/>
    <w:rsid w:val="007B182F"/>
    <w:rsid w:val="007B3130"/>
    <w:rsid w:val="007B3745"/>
    <w:rsid w:val="007B51ED"/>
    <w:rsid w:val="007B75AC"/>
    <w:rsid w:val="007C5CC4"/>
    <w:rsid w:val="007C78FF"/>
    <w:rsid w:val="007D45D3"/>
    <w:rsid w:val="007D49B6"/>
    <w:rsid w:val="007D74AA"/>
    <w:rsid w:val="007E1512"/>
    <w:rsid w:val="007F0647"/>
    <w:rsid w:val="007F0687"/>
    <w:rsid w:val="007F080D"/>
    <w:rsid w:val="007F263D"/>
    <w:rsid w:val="007F34F3"/>
    <w:rsid w:val="007F4F8C"/>
    <w:rsid w:val="007F6AC1"/>
    <w:rsid w:val="007F7286"/>
    <w:rsid w:val="008024CD"/>
    <w:rsid w:val="0080309E"/>
    <w:rsid w:val="008036E2"/>
    <w:rsid w:val="0080473F"/>
    <w:rsid w:val="00807307"/>
    <w:rsid w:val="00807A1E"/>
    <w:rsid w:val="008100D6"/>
    <w:rsid w:val="008127CD"/>
    <w:rsid w:val="008166E7"/>
    <w:rsid w:val="008170FE"/>
    <w:rsid w:val="00823B3D"/>
    <w:rsid w:val="0082552B"/>
    <w:rsid w:val="00827074"/>
    <w:rsid w:val="00831F0F"/>
    <w:rsid w:val="00831FA1"/>
    <w:rsid w:val="00832DA7"/>
    <w:rsid w:val="00834729"/>
    <w:rsid w:val="00834CCD"/>
    <w:rsid w:val="0084221C"/>
    <w:rsid w:val="00845140"/>
    <w:rsid w:val="00845D36"/>
    <w:rsid w:val="00851191"/>
    <w:rsid w:val="00852E37"/>
    <w:rsid w:val="00855633"/>
    <w:rsid w:val="0085708C"/>
    <w:rsid w:val="00864BA0"/>
    <w:rsid w:val="00865207"/>
    <w:rsid w:val="00865F24"/>
    <w:rsid w:val="008665D4"/>
    <w:rsid w:val="00870512"/>
    <w:rsid w:val="00874AB5"/>
    <w:rsid w:val="00877C7D"/>
    <w:rsid w:val="00882654"/>
    <w:rsid w:val="00884C52"/>
    <w:rsid w:val="008853E7"/>
    <w:rsid w:val="00886ABB"/>
    <w:rsid w:val="00890112"/>
    <w:rsid w:val="00894565"/>
    <w:rsid w:val="008946C3"/>
    <w:rsid w:val="00895557"/>
    <w:rsid w:val="008A3101"/>
    <w:rsid w:val="008A3F7E"/>
    <w:rsid w:val="008B1090"/>
    <w:rsid w:val="008B2716"/>
    <w:rsid w:val="008B5C23"/>
    <w:rsid w:val="008B602C"/>
    <w:rsid w:val="008B77AC"/>
    <w:rsid w:val="008C0A8B"/>
    <w:rsid w:val="008C1D52"/>
    <w:rsid w:val="008C272C"/>
    <w:rsid w:val="008C556D"/>
    <w:rsid w:val="008C6898"/>
    <w:rsid w:val="008C68A4"/>
    <w:rsid w:val="008D1F37"/>
    <w:rsid w:val="008D2026"/>
    <w:rsid w:val="008D239B"/>
    <w:rsid w:val="008D28BF"/>
    <w:rsid w:val="008D2961"/>
    <w:rsid w:val="008D310E"/>
    <w:rsid w:val="008D3AE3"/>
    <w:rsid w:val="008D3FAB"/>
    <w:rsid w:val="008D4646"/>
    <w:rsid w:val="008D49DA"/>
    <w:rsid w:val="008D5733"/>
    <w:rsid w:val="008E2160"/>
    <w:rsid w:val="008E5709"/>
    <w:rsid w:val="008E585E"/>
    <w:rsid w:val="008E79F4"/>
    <w:rsid w:val="008F0AB8"/>
    <w:rsid w:val="008F1D18"/>
    <w:rsid w:val="008F5EC1"/>
    <w:rsid w:val="008F629C"/>
    <w:rsid w:val="008F721A"/>
    <w:rsid w:val="008F7721"/>
    <w:rsid w:val="008F7C2F"/>
    <w:rsid w:val="00903030"/>
    <w:rsid w:val="0090333B"/>
    <w:rsid w:val="0090517D"/>
    <w:rsid w:val="00905A7D"/>
    <w:rsid w:val="0090643C"/>
    <w:rsid w:val="00907A2A"/>
    <w:rsid w:val="009108A2"/>
    <w:rsid w:val="009116EA"/>
    <w:rsid w:val="009214ED"/>
    <w:rsid w:val="0092175B"/>
    <w:rsid w:val="009226A4"/>
    <w:rsid w:val="00922F16"/>
    <w:rsid w:val="00923118"/>
    <w:rsid w:val="009236B3"/>
    <w:rsid w:val="0092442D"/>
    <w:rsid w:val="0092758F"/>
    <w:rsid w:val="00927A93"/>
    <w:rsid w:val="0093058C"/>
    <w:rsid w:val="00930D74"/>
    <w:rsid w:val="00930E53"/>
    <w:rsid w:val="009319E6"/>
    <w:rsid w:val="00931A4C"/>
    <w:rsid w:val="00933E15"/>
    <w:rsid w:val="00935B3E"/>
    <w:rsid w:val="00941743"/>
    <w:rsid w:val="00942805"/>
    <w:rsid w:val="00943E42"/>
    <w:rsid w:val="00950AA4"/>
    <w:rsid w:val="00952963"/>
    <w:rsid w:val="00957EED"/>
    <w:rsid w:val="00962266"/>
    <w:rsid w:val="009627BF"/>
    <w:rsid w:val="00964C5E"/>
    <w:rsid w:val="00964E1E"/>
    <w:rsid w:val="00966915"/>
    <w:rsid w:val="00966F8C"/>
    <w:rsid w:val="00971BCB"/>
    <w:rsid w:val="00971CC6"/>
    <w:rsid w:val="00971CDC"/>
    <w:rsid w:val="00976085"/>
    <w:rsid w:val="00980B27"/>
    <w:rsid w:val="0098139D"/>
    <w:rsid w:val="00981B43"/>
    <w:rsid w:val="00982087"/>
    <w:rsid w:val="00983AD1"/>
    <w:rsid w:val="0099191C"/>
    <w:rsid w:val="009938C7"/>
    <w:rsid w:val="00994A8E"/>
    <w:rsid w:val="00997011"/>
    <w:rsid w:val="009A357B"/>
    <w:rsid w:val="009A3D2D"/>
    <w:rsid w:val="009A615A"/>
    <w:rsid w:val="009B2DD6"/>
    <w:rsid w:val="009B31F3"/>
    <w:rsid w:val="009B6C70"/>
    <w:rsid w:val="009B7708"/>
    <w:rsid w:val="009C02EB"/>
    <w:rsid w:val="009C03D2"/>
    <w:rsid w:val="009C09B3"/>
    <w:rsid w:val="009C3200"/>
    <w:rsid w:val="009C448C"/>
    <w:rsid w:val="009C58C5"/>
    <w:rsid w:val="009D27B2"/>
    <w:rsid w:val="009D2889"/>
    <w:rsid w:val="009D590E"/>
    <w:rsid w:val="009D6202"/>
    <w:rsid w:val="009D7564"/>
    <w:rsid w:val="009E393F"/>
    <w:rsid w:val="009E3A1F"/>
    <w:rsid w:val="009E759F"/>
    <w:rsid w:val="009F04BE"/>
    <w:rsid w:val="009F202C"/>
    <w:rsid w:val="009F297B"/>
    <w:rsid w:val="009F2A4E"/>
    <w:rsid w:val="009F44D6"/>
    <w:rsid w:val="009F791E"/>
    <w:rsid w:val="009F7F8A"/>
    <w:rsid w:val="00A02281"/>
    <w:rsid w:val="00A02B7E"/>
    <w:rsid w:val="00A066E5"/>
    <w:rsid w:val="00A06738"/>
    <w:rsid w:val="00A122DF"/>
    <w:rsid w:val="00A12766"/>
    <w:rsid w:val="00A1382B"/>
    <w:rsid w:val="00A15A5A"/>
    <w:rsid w:val="00A16000"/>
    <w:rsid w:val="00A17788"/>
    <w:rsid w:val="00A17C83"/>
    <w:rsid w:val="00A21805"/>
    <w:rsid w:val="00A21AD2"/>
    <w:rsid w:val="00A220A6"/>
    <w:rsid w:val="00A23C23"/>
    <w:rsid w:val="00A24BA4"/>
    <w:rsid w:val="00A2728A"/>
    <w:rsid w:val="00A27572"/>
    <w:rsid w:val="00A27C22"/>
    <w:rsid w:val="00A27F4B"/>
    <w:rsid w:val="00A31522"/>
    <w:rsid w:val="00A3791A"/>
    <w:rsid w:val="00A4234C"/>
    <w:rsid w:val="00A44C02"/>
    <w:rsid w:val="00A44C84"/>
    <w:rsid w:val="00A46D85"/>
    <w:rsid w:val="00A46E4E"/>
    <w:rsid w:val="00A509F9"/>
    <w:rsid w:val="00A54607"/>
    <w:rsid w:val="00A557FD"/>
    <w:rsid w:val="00A60DE2"/>
    <w:rsid w:val="00A62D26"/>
    <w:rsid w:val="00A63B73"/>
    <w:rsid w:val="00A6454C"/>
    <w:rsid w:val="00A65AF2"/>
    <w:rsid w:val="00A67FC4"/>
    <w:rsid w:val="00A7004B"/>
    <w:rsid w:val="00A71361"/>
    <w:rsid w:val="00A716D1"/>
    <w:rsid w:val="00A74253"/>
    <w:rsid w:val="00A77B05"/>
    <w:rsid w:val="00A8164F"/>
    <w:rsid w:val="00A8247B"/>
    <w:rsid w:val="00A833C9"/>
    <w:rsid w:val="00A83FC3"/>
    <w:rsid w:val="00A8459B"/>
    <w:rsid w:val="00A91D4F"/>
    <w:rsid w:val="00A93783"/>
    <w:rsid w:val="00A939C2"/>
    <w:rsid w:val="00A949FF"/>
    <w:rsid w:val="00AA0261"/>
    <w:rsid w:val="00AA498F"/>
    <w:rsid w:val="00AA5B7B"/>
    <w:rsid w:val="00AA789B"/>
    <w:rsid w:val="00AA7F6C"/>
    <w:rsid w:val="00AB09EB"/>
    <w:rsid w:val="00AB0A60"/>
    <w:rsid w:val="00AB2B0B"/>
    <w:rsid w:val="00AB525F"/>
    <w:rsid w:val="00AC567A"/>
    <w:rsid w:val="00AC65E7"/>
    <w:rsid w:val="00AC6DE3"/>
    <w:rsid w:val="00AC718D"/>
    <w:rsid w:val="00AC72E8"/>
    <w:rsid w:val="00AD177A"/>
    <w:rsid w:val="00AD1A08"/>
    <w:rsid w:val="00AD423A"/>
    <w:rsid w:val="00AE18DA"/>
    <w:rsid w:val="00AE2022"/>
    <w:rsid w:val="00AE5B9E"/>
    <w:rsid w:val="00AE65A0"/>
    <w:rsid w:val="00AE6ACA"/>
    <w:rsid w:val="00AE7499"/>
    <w:rsid w:val="00AF0989"/>
    <w:rsid w:val="00AF0F57"/>
    <w:rsid w:val="00AF3E32"/>
    <w:rsid w:val="00AF502C"/>
    <w:rsid w:val="00AF59DD"/>
    <w:rsid w:val="00AF6168"/>
    <w:rsid w:val="00AF6963"/>
    <w:rsid w:val="00AF6B06"/>
    <w:rsid w:val="00AF6EA8"/>
    <w:rsid w:val="00AF71F3"/>
    <w:rsid w:val="00AF7AB5"/>
    <w:rsid w:val="00B00CDD"/>
    <w:rsid w:val="00B01AC7"/>
    <w:rsid w:val="00B02793"/>
    <w:rsid w:val="00B0375C"/>
    <w:rsid w:val="00B04477"/>
    <w:rsid w:val="00B04C8B"/>
    <w:rsid w:val="00B04FBA"/>
    <w:rsid w:val="00B121FE"/>
    <w:rsid w:val="00B149B1"/>
    <w:rsid w:val="00B15739"/>
    <w:rsid w:val="00B206C5"/>
    <w:rsid w:val="00B22686"/>
    <w:rsid w:val="00B24158"/>
    <w:rsid w:val="00B35D48"/>
    <w:rsid w:val="00B3717C"/>
    <w:rsid w:val="00B42203"/>
    <w:rsid w:val="00B425BA"/>
    <w:rsid w:val="00B42C85"/>
    <w:rsid w:val="00B450E4"/>
    <w:rsid w:val="00B4572B"/>
    <w:rsid w:val="00B45C89"/>
    <w:rsid w:val="00B47BFA"/>
    <w:rsid w:val="00B52216"/>
    <w:rsid w:val="00B52BF0"/>
    <w:rsid w:val="00B573EE"/>
    <w:rsid w:val="00B6039C"/>
    <w:rsid w:val="00B61682"/>
    <w:rsid w:val="00B639ED"/>
    <w:rsid w:val="00B63C02"/>
    <w:rsid w:val="00B63C87"/>
    <w:rsid w:val="00B6478B"/>
    <w:rsid w:val="00B67FF5"/>
    <w:rsid w:val="00B71E59"/>
    <w:rsid w:val="00B73794"/>
    <w:rsid w:val="00B7616F"/>
    <w:rsid w:val="00B81036"/>
    <w:rsid w:val="00B82A3B"/>
    <w:rsid w:val="00B82F9D"/>
    <w:rsid w:val="00B83084"/>
    <w:rsid w:val="00B8370D"/>
    <w:rsid w:val="00B848C1"/>
    <w:rsid w:val="00B84989"/>
    <w:rsid w:val="00B85208"/>
    <w:rsid w:val="00B90511"/>
    <w:rsid w:val="00B90609"/>
    <w:rsid w:val="00B92497"/>
    <w:rsid w:val="00B92B35"/>
    <w:rsid w:val="00B945CA"/>
    <w:rsid w:val="00B94D46"/>
    <w:rsid w:val="00B96527"/>
    <w:rsid w:val="00BA0DD3"/>
    <w:rsid w:val="00BA0DFB"/>
    <w:rsid w:val="00BA2E04"/>
    <w:rsid w:val="00BA3055"/>
    <w:rsid w:val="00BA47FC"/>
    <w:rsid w:val="00BA59CA"/>
    <w:rsid w:val="00BA70FC"/>
    <w:rsid w:val="00BA7425"/>
    <w:rsid w:val="00BB15A9"/>
    <w:rsid w:val="00BB50C6"/>
    <w:rsid w:val="00BB5477"/>
    <w:rsid w:val="00BC2284"/>
    <w:rsid w:val="00BC3DF2"/>
    <w:rsid w:val="00BC4854"/>
    <w:rsid w:val="00BC524D"/>
    <w:rsid w:val="00BC7410"/>
    <w:rsid w:val="00BC77A2"/>
    <w:rsid w:val="00BD25AB"/>
    <w:rsid w:val="00BD2E6D"/>
    <w:rsid w:val="00BD3F2A"/>
    <w:rsid w:val="00BD6B27"/>
    <w:rsid w:val="00BD7AC1"/>
    <w:rsid w:val="00BE03ED"/>
    <w:rsid w:val="00BE0632"/>
    <w:rsid w:val="00BE06C4"/>
    <w:rsid w:val="00BE08CC"/>
    <w:rsid w:val="00BE2CED"/>
    <w:rsid w:val="00BE323A"/>
    <w:rsid w:val="00BE5F6A"/>
    <w:rsid w:val="00BE640A"/>
    <w:rsid w:val="00BE65A3"/>
    <w:rsid w:val="00BE668C"/>
    <w:rsid w:val="00BF0B80"/>
    <w:rsid w:val="00BF12AF"/>
    <w:rsid w:val="00BF40B3"/>
    <w:rsid w:val="00BF55C1"/>
    <w:rsid w:val="00BF5EA4"/>
    <w:rsid w:val="00C00276"/>
    <w:rsid w:val="00C039CA"/>
    <w:rsid w:val="00C041E4"/>
    <w:rsid w:val="00C05E21"/>
    <w:rsid w:val="00C076AD"/>
    <w:rsid w:val="00C07D03"/>
    <w:rsid w:val="00C12078"/>
    <w:rsid w:val="00C130AB"/>
    <w:rsid w:val="00C13F5B"/>
    <w:rsid w:val="00C14EC0"/>
    <w:rsid w:val="00C16E92"/>
    <w:rsid w:val="00C17CAC"/>
    <w:rsid w:val="00C21CFB"/>
    <w:rsid w:val="00C23D0D"/>
    <w:rsid w:val="00C24713"/>
    <w:rsid w:val="00C27350"/>
    <w:rsid w:val="00C27606"/>
    <w:rsid w:val="00C30138"/>
    <w:rsid w:val="00C3232A"/>
    <w:rsid w:val="00C3591D"/>
    <w:rsid w:val="00C361D8"/>
    <w:rsid w:val="00C36A6A"/>
    <w:rsid w:val="00C37C78"/>
    <w:rsid w:val="00C416F6"/>
    <w:rsid w:val="00C41FE0"/>
    <w:rsid w:val="00C459BD"/>
    <w:rsid w:val="00C52382"/>
    <w:rsid w:val="00C52CCB"/>
    <w:rsid w:val="00C562B1"/>
    <w:rsid w:val="00C57316"/>
    <w:rsid w:val="00C60D37"/>
    <w:rsid w:val="00C61C93"/>
    <w:rsid w:val="00C6286C"/>
    <w:rsid w:val="00C70403"/>
    <w:rsid w:val="00C714B4"/>
    <w:rsid w:val="00C723A6"/>
    <w:rsid w:val="00C7390C"/>
    <w:rsid w:val="00C73C06"/>
    <w:rsid w:val="00C7610C"/>
    <w:rsid w:val="00C766A7"/>
    <w:rsid w:val="00C768BE"/>
    <w:rsid w:val="00C76D3D"/>
    <w:rsid w:val="00C80AB5"/>
    <w:rsid w:val="00C82D43"/>
    <w:rsid w:val="00C841B0"/>
    <w:rsid w:val="00C84EAD"/>
    <w:rsid w:val="00C8574B"/>
    <w:rsid w:val="00C8595F"/>
    <w:rsid w:val="00C90970"/>
    <w:rsid w:val="00C95FC4"/>
    <w:rsid w:val="00C96A65"/>
    <w:rsid w:val="00C96D22"/>
    <w:rsid w:val="00CA2F88"/>
    <w:rsid w:val="00CA3F32"/>
    <w:rsid w:val="00CA451B"/>
    <w:rsid w:val="00CA6D48"/>
    <w:rsid w:val="00CB3A04"/>
    <w:rsid w:val="00CB4DDE"/>
    <w:rsid w:val="00CB5E06"/>
    <w:rsid w:val="00CC0C9A"/>
    <w:rsid w:val="00CC63E4"/>
    <w:rsid w:val="00CC754A"/>
    <w:rsid w:val="00CC7808"/>
    <w:rsid w:val="00CD106B"/>
    <w:rsid w:val="00CD1AD8"/>
    <w:rsid w:val="00CD24C4"/>
    <w:rsid w:val="00CD2651"/>
    <w:rsid w:val="00CD34FC"/>
    <w:rsid w:val="00CD7C3F"/>
    <w:rsid w:val="00CE105C"/>
    <w:rsid w:val="00CE18E0"/>
    <w:rsid w:val="00CE264B"/>
    <w:rsid w:val="00CE5AAE"/>
    <w:rsid w:val="00CE70F1"/>
    <w:rsid w:val="00CF0D8B"/>
    <w:rsid w:val="00CF1BD7"/>
    <w:rsid w:val="00CF233D"/>
    <w:rsid w:val="00CF2709"/>
    <w:rsid w:val="00CF5EA4"/>
    <w:rsid w:val="00D00E83"/>
    <w:rsid w:val="00D00EF1"/>
    <w:rsid w:val="00D0164F"/>
    <w:rsid w:val="00D0382F"/>
    <w:rsid w:val="00D07B04"/>
    <w:rsid w:val="00D11114"/>
    <w:rsid w:val="00D154C2"/>
    <w:rsid w:val="00D16DCF"/>
    <w:rsid w:val="00D17A27"/>
    <w:rsid w:val="00D20A26"/>
    <w:rsid w:val="00D2332B"/>
    <w:rsid w:val="00D25D70"/>
    <w:rsid w:val="00D25F2B"/>
    <w:rsid w:val="00D300A8"/>
    <w:rsid w:val="00D30F70"/>
    <w:rsid w:val="00D31D01"/>
    <w:rsid w:val="00D320E4"/>
    <w:rsid w:val="00D35D87"/>
    <w:rsid w:val="00D37183"/>
    <w:rsid w:val="00D50088"/>
    <w:rsid w:val="00D51A96"/>
    <w:rsid w:val="00D51C26"/>
    <w:rsid w:val="00D537BD"/>
    <w:rsid w:val="00D54A2C"/>
    <w:rsid w:val="00D54A46"/>
    <w:rsid w:val="00D56A53"/>
    <w:rsid w:val="00D6143D"/>
    <w:rsid w:val="00D63EA6"/>
    <w:rsid w:val="00D64353"/>
    <w:rsid w:val="00D64A3F"/>
    <w:rsid w:val="00D6542C"/>
    <w:rsid w:val="00D67CB6"/>
    <w:rsid w:val="00D7369C"/>
    <w:rsid w:val="00D7536B"/>
    <w:rsid w:val="00D75D6F"/>
    <w:rsid w:val="00D800C1"/>
    <w:rsid w:val="00D847FD"/>
    <w:rsid w:val="00D851E6"/>
    <w:rsid w:val="00D85E11"/>
    <w:rsid w:val="00D874E8"/>
    <w:rsid w:val="00D9173E"/>
    <w:rsid w:val="00D91F0D"/>
    <w:rsid w:val="00D92FD9"/>
    <w:rsid w:val="00D9502D"/>
    <w:rsid w:val="00D974C9"/>
    <w:rsid w:val="00D97E61"/>
    <w:rsid w:val="00DA1426"/>
    <w:rsid w:val="00DA23F1"/>
    <w:rsid w:val="00DB0950"/>
    <w:rsid w:val="00DB2A5E"/>
    <w:rsid w:val="00DB30D2"/>
    <w:rsid w:val="00DB3495"/>
    <w:rsid w:val="00DB440E"/>
    <w:rsid w:val="00DB4E0D"/>
    <w:rsid w:val="00DB5AB6"/>
    <w:rsid w:val="00DB6638"/>
    <w:rsid w:val="00DB7A54"/>
    <w:rsid w:val="00DC0683"/>
    <w:rsid w:val="00DC0E6A"/>
    <w:rsid w:val="00DC28FD"/>
    <w:rsid w:val="00DC55F8"/>
    <w:rsid w:val="00DC7851"/>
    <w:rsid w:val="00DD4897"/>
    <w:rsid w:val="00DD4E97"/>
    <w:rsid w:val="00DD7D8F"/>
    <w:rsid w:val="00DE32C2"/>
    <w:rsid w:val="00DF2D63"/>
    <w:rsid w:val="00DF39CC"/>
    <w:rsid w:val="00DF63FC"/>
    <w:rsid w:val="00DF699D"/>
    <w:rsid w:val="00DF78A2"/>
    <w:rsid w:val="00E02891"/>
    <w:rsid w:val="00E05EA9"/>
    <w:rsid w:val="00E11E32"/>
    <w:rsid w:val="00E12108"/>
    <w:rsid w:val="00E1341A"/>
    <w:rsid w:val="00E15044"/>
    <w:rsid w:val="00E16C7A"/>
    <w:rsid w:val="00E200AF"/>
    <w:rsid w:val="00E214BE"/>
    <w:rsid w:val="00E22134"/>
    <w:rsid w:val="00E23D9E"/>
    <w:rsid w:val="00E25FDE"/>
    <w:rsid w:val="00E30AE3"/>
    <w:rsid w:val="00E33E82"/>
    <w:rsid w:val="00E35758"/>
    <w:rsid w:val="00E37271"/>
    <w:rsid w:val="00E37612"/>
    <w:rsid w:val="00E43C89"/>
    <w:rsid w:val="00E4520D"/>
    <w:rsid w:val="00E45336"/>
    <w:rsid w:val="00E458F1"/>
    <w:rsid w:val="00E45E13"/>
    <w:rsid w:val="00E47CC6"/>
    <w:rsid w:val="00E514A3"/>
    <w:rsid w:val="00E5194E"/>
    <w:rsid w:val="00E51E65"/>
    <w:rsid w:val="00E52AC1"/>
    <w:rsid w:val="00E53C1B"/>
    <w:rsid w:val="00E5512D"/>
    <w:rsid w:val="00E55205"/>
    <w:rsid w:val="00E57088"/>
    <w:rsid w:val="00E60E45"/>
    <w:rsid w:val="00E62F63"/>
    <w:rsid w:val="00E664B6"/>
    <w:rsid w:val="00E66533"/>
    <w:rsid w:val="00E668D0"/>
    <w:rsid w:val="00E702EB"/>
    <w:rsid w:val="00E7055F"/>
    <w:rsid w:val="00E72F7E"/>
    <w:rsid w:val="00E80CCF"/>
    <w:rsid w:val="00E8153B"/>
    <w:rsid w:val="00E82292"/>
    <w:rsid w:val="00E84BD4"/>
    <w:rsid w:val="00E86A8F"/>
    <w:rsid w:val="00E92CFC"/>
    <w:rsid w:val="00E93EFF"/>
    <w:rsid w:val="00E9423B"/>
    <w:rsid w:val="00E9525A"/>
    <w:rsid w:val="00EA0E7B"/>
    <w:rsid w:val="00EB3BA5"/>
    <w:rsid w:val="00EB7AE5"/>
    <w:rsid w:val="00EB7E13"/>
    <w:rsid w:val="00EC0686"/>
    <w:rsid w:val="00EC1E1B"/>
    <w:rsid w:val="00EC31E4"/>
    <w:rsid w:val="00EC4A6F"/>
    <w:rsid w:val="00EC4F1F"/>
    <w:rsid w:val="00EC62D0"/>
    <w:rsid w:val="00EC66A5"/>
    <w:rsid w:val="00EC6720"/>
    <w:rsid w:val="00EC6B08"/>
    <w:rsid w:val="00ED02B6"/>
    <w:rsid w:val="00ED131F"/>
    <w:rsid w:val="00ED22A2"/>
    <w:rsid w:val="00ED280A"/>
    <w:rsid w:val="00ED5E68"/>
    <w:rsid w:val="00ED74CF"/>
    <w:rsid w:val="00EE2A0A"/>
    <w:rsid w:val="00EE2A86"/>
    <w:rsid w:val="00EE31D8"/>
    <w:rsid w:val="00EE38FE"/>
    <w:rsid w:val="00EE4D9F"/>
    <w:rsid w:val="00EE62E0"/>
    <w:rsid w:val="00EE7065"/>
    <w:rsid w:val="00EF05AA"/>
    <w:rsid w:val="00EF2264"/>
    <w:rsid w:val="00EF2C9C"/>
    <w:rsid w:val="00EF41DA"/>
    <w:rsid w:val="00F02C64"/>
    <w:rsid w:val="00F031F1"/>
    <w:rsid w:val="00F05241"/>
    <w:rsid w:val="00F07DB1"/>
    <w:rsid w:val="00F1102E"/>
    <w:rsid w:val="00F11174"/>
    <w:rsid w:val="00F11262"/>
    <w:rsid w:val="00F13128"/>
    <w:rsid w:val="00F135F0"/>
    <w:rsid w:val="00F15071"/>
    <w:rsid w:val="00F15980"/>
    <w:rsid w:val="00F16135"/>
    <w:rsid w:val="00F1678D"/>
    <w:rsid w:val="00F21AA0"/>
    <w:rsid w:val="00F271F8"/>
    <w:rsid w:val="00F27573"/>
    <w:rsid w:val="00F3002D"/>
    <w:rsid w:val="00F301C2"/>
    <w:rsid w:val="00F31F8C"/>
    <w:rsid w:val="00F333DA"/>
    <w:rsid w:val="00F3565A"/>
    <w:rsid w:val="00F413E3"/>
    <w:rsid w:val="00F466C4"/>
    <w:rsid w:val="00F50066"/>
    <w:rsid w:val="00F508FF"/>
    <w:rsid w:val="00F50A1A"/>
    <w:rsid w:val="00F566CF"/>
    <w:rsid w:val="00F577D5"/>
    <w:rsid w:val="00F633CD"/>
    <w:rsid w:val="00F7338C"/>
    <w:rsid w:val="00F74C0B"/>
    <w:rsid w:val="00F754E1"/>
    <w:rsid w:val="00F76405"/>
    <w:rsid w:val="00F8207A"/>
    <w:rsid w:val="00F825D3"/>
    <w:rsid w:val="00F85C7B"/>
    <w:rsid w:val="00F85CD7"/>
    <w:rsid w:val="00F85F1E"/>
    <w:rsid w:val="00F86034"/>
    <w:rsid w:val="00F86FE0"/>
    <w:rsid w:val="00F932E5"/>
    <w:rsid w:val="00FA2A7E"/>
    <w:rsid w:val="00FA3032"/>
    <w:rsid w:val="00FA4B34"/>
    <w:rsid w:val="00FA7771"/>
    <w:rsid w:val="00FB15AF"/>
    <w:rsid w:val="00FB2E7E"/>
    <w:rsid w:val="00FB476F"/>
    <w:rsid w:val="00FB748E"/>
    <w:rsid w:val="00FB7BAA"/>
    <w:rsid w:val="00FB7E95"/>
    <w:rsid w:val="00FC004F"/>
    <w:rsid w:val="00FC205B"/>
    <w:rsid w:val="00FC2AF3"/>
    <w:rsid w:val="00FC2B31"/>
    <w:rsid w:val="00FC51A2"/>
    <w:rsid w:val="00FC7674"/>
    <w:rsid w:val="00FD4462"/>
    <w:rsid w:val="00FD4511"/>
    <w:rsid w:val="00FD4E42"/>
    <w:rsid w:val="00FD67FB"/>
    <w:rsid w:val="00FD7219"/>
    <w:rsid w:val="00FE086E"/>
    <w:rsid w:val="00FE2CD0"/>
    <w:rsid w:val="00FE37D2"/>
    <w:rsid w:val="00FE6D47"/>
    <w:rsid w:val="00FE7775"/>
    <w:rsid w:val="00FE7D6B"/>
    <w:rsid w:val="00FF03AB"/>
    <w:rsid w:val="00FF18DA"/>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99"/>
    <w:pPr>
      <w:spacing w:after="240" w:line="320" w:lineRule="atLeast"/>
      <w:jc w:val="both"/>
    </w:pPr>
    <w:rPr>
      <w:rFonts w:ascii="Times New Roman" w:hAnsi="Times New Roman"/>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4F649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Texto de nota al pie,Footnotes refss,Appel note de bas de page,BVI fnr,f"/>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qFormat/>
    <w:rsid w:val="003B63F4"/>
    <w:rPr>
      <w:b/>
      <w:bCs/>
    </w:rPr>
  </w:style>
  <w:style w:type="character" w:styleId="Hipervnculo">
    <w:name w:val="Hyperlink"/>
    <w:basedOn w:val="Fuentedeprrafopredeter"/>
    <w:uiPriority w:val="99"/>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 w:type="character" w:styleId="Hipervnculovisitado">
    <w:name w:val="FollowedHyperlink"/>
    <w:basedOn w:val="Fuentedeprrafopredeter"/>
    <w:uiPriority w:val="99"/>
    <w:semiHidden/>
    <w:unhideWhenUsed/>
    <w:rsid w:val="00A67FC4"/>
    <w:rPr>
      <w:color w:val="954F72" w:themeColor="followedHyperlink"/>
      <w:u w:val="single"/>
    </w:rPr>
  </w:style>
  <w:style w:type="paragraph" w:styleId="Textoindependiente3">
    <w:name w:val="Body Text 3"/>
    <w:basedOn w:val="Normal"/>
    <w:link w:val="Textoindependiente3Car"/>
    <w:uiPriority w:val="99"/>
    <w:semiHidden/>
    <w:unhideWhenUsed/>
    <w:rsid w:val="00CE264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264B"/>
    <w:rPr>
      <w:rFonts w:ascii="Times New Roman" w:hAnsi="Times New Roman"/>
      <w:sz w:val="16"/>
      <w:szCs w:val="16"/>
    </w:rPr>
  </w:style>
  <w:style w:type="character" w:styleId="Mencinsinresolver">
    <w:name w:val="Unresolved Mention"/>
    <w:basedOn w:val="Fuentedeprrafopredeter"/>
    <w:uiPriority w:val="99"/>
    <w:semiHidden/>
    <w:unhideWhenUsed/>
    <w:rsid w:val="00E57088"/>
    <w:rPr>
      <w:color w:val="605E5C"/>
      <w:shd w:val="clear" w:color="auto" w:fill="E1DFDD"/>
    </w:rPr>
  </w:style>
  <w:style w:type="table" w:styleId="Tablaconcuadrcula">
    <w:name w:val="Table Grid"/>
    <w:basedOn w:val="Tablanormal"/>
    <w:rsid w:val="00F16135"/>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of.gob.mx/nota_detalle.php?codigo=5429202&amp;fecha=09/03/201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E8F7-3F2A-4CEE-A966-3AC6ACD1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5316</Words>
  <Characters>29239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Gabriel Huichán</cp:lastModifiedBy>
  <cp:revision>8</cp:revision>
  <cp:lastPrinted>2023-04-11T17:42:00Z</cp:lastPrinted>
  <dcterms:created xsi:type="dcterms:W3CDTF">2024-03-14T23:57:00Z</dcterms:created>
  <dcterms:modified xsi:type="dcterms:W3CDTF">2024-03-15T00:22:00Z</dcterms:modified>
</cp:coreProperties>
</file>