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38C98" w14:textId="6A5429ED" w:rsidR="006D7948" w:rsidRPr="002F794B" w:rsidRDefault="00EA070E" w:rsidP="000E16FB">
      <w:pPr>
        <w:rPr>
          <w:b/>
          <w:bCs/>
        </w:rPr>
      </w:pPr>
      <w:r w:rsidRPr="002F794B">
        <w:rPr>
          <w:b/>
          <w:bCs/>
        </w:rPr>
        <w:t xml:space="preserve">INFORME DE CONSIDERACIONES </w:t>
      </w:r>
      <w:r w:rsidR="00397815" w:rsidRPr="002F794B">
        <w:rPr>
          <w:b/>
          <w:bCs/>
        </w:rPr>
        <w:t xml:space="preserve">QUE PROPORCIONA EL INSTITUTO FEDERAL DE TELECOMUNICACIONES A LAS MANIFESTACIONES, OPINIONES, COMENTARIOS Y PROPUESTAS PRESENTADAS DURANTE LA CONSULTA PÚBLICA DEL: </w:t>
      </w:r>
      <w:r w:rsidR="005167A7" w:rsidRPr="002F794B">
        <w:rPr>
          <w:b/>
          <w:bCs/>
        </w:rPr>
        <w:t>“ANTEPROYECTO DE DISPOSICIÓN TÉCNICA IFT</w:t>
      </w:r>
      <w:r w:rsidR="005167A7" w:rsidRPr="002F794B">
        <w:rPr>
          <w:rFonts w:ascii="Cambria Math" w:hAnsi="Cambria Math" w:cs="Cambria Math"/>
          <w:b/>
          <w:bCs/>
        </w:rPr>
        <w:t>‑</w:t>
      </w:r>
      <w:r w:rsidR="005167A7" w:rsidRPr="002F794B">
        <w:rPr>
          <w:b/>
          <w:bCs/>
        </w:rPr>
        <w:t>016</w:t>
      </w:r>
      <w:r w:rsidR="005167A7" w:rsidRPr="002F794B">
        <w:rPr>
          <w:rFonts w:ascii="Cambria Math" w:hAnsi="Cambria Math" w:cs="Cambria Math"/>
          <w:b/>
          <w:bCs/>
        </w:rPr>
        <w:t>‑</w:t>
      </w:r>
      <w:r w:rsidR="005167A7" w:rsidRPr="002F794B">
        <w:rPr>
          <w:b/>
          <w:bCs/>
        </w:rPr>
        <w:t>2023. DISPOSITIVOS DE RADIOCOMUNICACI</w:t>
      </w:r>
      <w:r w:rsidR="005167A7" w:rsidRPr="002F794B">
        <w:rPr>
          <w:rFonts w:cs="ITC Avant Garde Demi"/>
          <w:b/>
          <w:bCs/>
        </w:rPr>
        <w:t>Ó</w:t>
      </w:r>
      <w:r w:rsidR="005167A7" w:rsidRPr="002F794B">
        <w:rPr>
          <w:b/>
          <w:bCs/>
        </w:rPr>
        <w:t>N DE BAJA POTENCIA: DISPOSITIVOS QUE HACEN USO DE BANDAS DE FRECUENCIAS DEL ESPECTRO RADIOEL</w:t>
      </w:r>
      <w:r w:rsidR="005167A7" w:rsidRPr="002F794B">
        <w:rPr>
          <w:rFonts w:cs="ITC Avant Garde Demi"/>
          <w:b/>
          <w:bCs/>
        </w:rPr>
        <w:t>É</w:t>
      </w:r>
      <w:r w:rsidR="005167A7" w:rsidRPr="002F794B">
        <w:rPr>
          <w:b/>
          <w:bCs/>
        </w:rPr>
        <w:t>CTRICO EN EL INTERVALO DE 30 MHZ A 3 GHZ - ESPECIFICACIONES, L</w:t>
      </w:r>
      <w:r w:rsidR="005167A7" w:rsidRPr="002F794B">
        <w:rPr>
          <w:rFonts w:cs="ITC Avant Garde Demi"/>
          <w:b/>
          <w:bCs/>
        </w:rPr>
        <w:t>Í</w:t>
      </w:r>
      <w:r w:rsidR="005167A7" w:rsidRPr="002F794B">
        <w:rPr>
          <w:b/>
          <w:bCs/>
        </w:rPr>
        <w:t>MITES Y M</w:t>
      </w:r>
      <w:r w:rsidR="005167A7" w:rsidRPr="002F794B">
        <w:rPr>
          <w:rFonts w:cs="ITC Avant Garde Demi"/>
          <w:b/>
          <w:bCs/>
        </w:rPr>
        <w:t>É</w:t>
      </w:r>
      <w:r w:rsidR="005167A7" w:rsidRPr="002F794B">
        <w:rPr>
          <w:b/>
          <w:bCs/>
        </w:rPr>
        <w:t>TODOS DE PRUEBA”</w:t>
      </w:r>
    </w:p>
    <w:p w14:paraId="19556981" w14:textId="77777777" w:rsidR="00397815" w:rsidRPr="002F794B" w:rsidRDefault="00397815" w:rsidP="00397815"/>
    <w:p w14:paraId="7CBD3BDF" w14:textId="785FC8D9" w:rsidR="00397815" w:rsidRPr="002F794B" w:rsidRDefault="00397815" w:rsidP="00397815">
      <w:r w:rsidRPr="002F794B">
        <w:t>El Pleno del Instituto</w:t>
      </w:r>
      <w:r w:rsidR="00034D69" w:rsidRPr="002F794B">
        <w:t xml:space="preserve"> Federal de </w:t>
      </w:r>
      <w:r w:rsidR="00664488" w:rsidRPr="002F794B">
        <w:t>Telecomunicaciones, en</w:t>
      </w:r>
      <w:r w:rsidR="00B40606" w:rsidRPr="002F794B">
        <w:t xml:space="preserve"> su XXXI Sesión Ordinaria del día 29 de noviembre de 2023,</w:t>
      </w:r>
      <w:r w:rsidRPr="002F794B">
        <w:t xml:space="preserve"> mediante el acuerdo P/IFT/</w:t>
      </w:r>
      <w:r w:rsidR="00DD2462" w:rsidRPr="002F794B">
        <w:t>291123/626</w:t>
      </w:r>
      <w:r w:rsidRPr="002F794B">
        <w:t xml:space="preserve"> aprobó someter a consulta pública el “</w:t>
      </w:r>
      <w:r w:rsidR="00B40606" w:rsidRPr="002F794B">
        <w:t>Anteproyecto de Disposición Técnica IFT</w:t>
      </w:r>
      <w:r w:rsidR="00B40606" w:rsidRPr="002F794B">
        <w:rPr>
          <w:rFonts w:ascii="Cambria Math" w:hAnsi="Cambria Math" w:cs="Cambria Math"/>
        </w:rPr>
        <w:t>‑</w:t>
      </w:r>
      <w:r w:rsidR="00B40606" w:rsidRPr="002F794B">
        <w:t>016</w:t>
      </w:r>
      <w:r w:rsidR="00B40606" w:rsidRPr="002F794B">
        <w:rPr>
          <w:rFonts w:ascii="Cambria Math" w:hAnsi="Cambria Math" w:cs="Cambria Math"/>
        </w:rPr>
        <w:t>‑</w:t>
      </w:r>
      <w:r w:rsidR="00B40606" w:rsidRPr="002F794B">
        <w:t>2023. Dispositivos de Radiocomunicaci</w:t>
      </w:r>
      <w:r w:rsidR="00B40606" w:rsidRPr="002F794B">
        <w:rPr>
          <w:rFonts w:cs="ITC Avant Garde"/>
        </w:rPr>
        <w:t>ó</w:t>
      </w:r>
      <w:r w:rsidR="00B40606" w:rsidRPr="002F794B">
        <w:t>n de Baja Potencia: Dispositivos que hacen uso de bandas de frecuencias del espectro radioel</w:t>
      </w:r>
      <w:r w:rsidR="00B40606" w:rsidRPr="002F794B">
        <w:rPr>
          <w:rFonts w:cs="ITC Avant Garde"/>
        </w:rPr>
        <w:t>é</w:t>
      </w:r>
      <w:r w:rsidR="00B40606" w:rsidRPr="002F794B">
        <w:t>ctrico en el intervalo de 30 MHz a 3 GHz - Especificaciones, l</w:t>
      </w:r>
      <w:r w:rsidR="00B40606" w:rsidRPr="002F794B">
        <w:rPr>
          <w:rFonts w:cs="ITC Avant Garde"/>
        </w:rPr>
        <w:t>í</w:t>
      </w:r>
      <w:r w:rsidR="00B40606" w:rsidRPr="002F794B">
        <w:t>mites y m</w:t>
      </w:r>
      <w:r w:rsidR="00B40606" w:rsidRPr="002F794B">
        <w:rPr>
          <w:rFonts w:cs="ITC Avant Garde"/>
        </w:rPr>
        <w:t>é</w:t>
      </w:r>
      <w:r w:rsidR="00B40606" w:rsidRPr="002F794B">
        <w:t>todos de prueba</w:t>
      </w:r>
      <w:r w:rsidRPr="002F794B">
        <w:t>”</w:t>
      </w:r>
      <w:r w:rsidR="00034D69" w:rsidRPr="002F794B">
        <w:t xml:space="preserve"> (</w:t>
      </w:r>
      <w:r w:rsidR="006B2D17" w:rsidRPr="002F794B">
        <w:t>en lo sucesivo</w:t>
      </w:r>
      <w:r w:rsidR="00034D69" w:rsidRPr="002F794B">
        <w:t>, l</w:t>
      </w:r>
      <w:r w:rsidR="0035772A" w:rsidRPr="002F794B">
        <w:t>a</w:t>
      </w:r>
      <w:r w:rsidR="00034D69" w:rsidRPr="002F794B">
        <w:t xml:space="preserve"> “</w:t>
      </w:r>
      <w:r w:rsidR="0035772A" w:rsidRPr="002F794B">
        <w:t>DT</w:t>
      </w:r>
      <w:r w:rsidR="00034D69" w:rsidRPr="002F794B">
        <w:t>”)</w:t>
      </w:r>
      <w:r w:rsidRPr="002F794B">
        <w:t xml:space="preserve">, </w:t>
      </w:r>
      <w:r w:rsidR="00A91E5D" w:rsidRPr="002F794B">
        <w:t>lo anterior</w:t>
      </w:r>
      <w:r w:rsidRPr="002F794B">
        <w:t xml:space="preserve"> en cumplimiento con lo establecido en el artículo 51 de la Ley Federal de Telecomunicaciones y Radiodifusión (en lo sucesivo, la “LFTR”)</w:t>
      </w:r>
      <w:r w:rsidR="00A91E5D" w:rsidRPr="002F794B">
        <w:t xml:space="preserve">. </w:t>
      </w:r>
      <w:r w:rsidR="00664488" w:rsidRPr="002F794B">
        <w:t>Aunado a lo anterior, el Pleno del Instituto Federal de Telecomunicaciones</w:t>
      </w:r>
      <w:r w:rsidR="00CF6892" w:rsidRPr="002F794B">
        <w:t>, en su II Sesión Ordinaría del día 24 de enero de 2024,</w:t>
      </w:r>
      <w:r w:rsidR="00A10CE6" w:rsidRPr="002F794B">
        <w:t xml:space="preserve"> </w:t>
      </w:r>
      <w:r w:rsidR="007B3359" w:rsidRPr="002F794B">
        <w:t xml:space="preserve">mediante el Acuerdo P/IFT/240124/34 aprobó </w:t>
      </w:r>
      <w:r w:rsidR="00D65ED5" w:rsidRPr="002F794B">
        <w:t xml:space="preserve">ampliar el periodo de la duración del proceso de consulta pública. Dado lo anterior, dicho </w:t>
      </w:r>
      <w:r w:rsidRPr="002F794B">
        <w:t xml:space="preserve">proceso </w:t>
      </w:r>
      <w:r w:rsidR="00A10CE6" w:rsidRPr="002F794B">
        <w:t>tuvo una duración total de 120 días naturales, iniciando el día 1 de diciembre de 2023 y finalizando el día 29 de marzo de 2024.</w:t>
      </w:r>
      <w:r w:rsidRPr="002F794B">
        <w:t xml:space="preserve"> </w:t>
      </w:r>
    </w:p>
    <w:p w14:paraId="02AEDB31" w14:textId="7F7D6978" w:rsidR="00034D69" w:rsidRPr="002F794B" w:rsidRDefault="00034D69" w:rsidP="00034D69">
      <w:r w:rsidRPr="002F794B">
        <w:t>En relación con los comentarios, opiniones y propuestas concretas recibidas durante el periodo mencionado, respecto a</w:t>
      </w:r>
      <w:r w:rsidR="00001615" w:rsidRPr="002F794B">
        <w:t xml:space="preserve"> la DT </w:t>
      </w:r>
      <w:r w:rsidRPr="002F794B">
        <w:t xml:space="preserve">materia de la consulta pública de mérito, se informa que el Instituto Federal de Telecomunicaciones (en </w:t>
      </w:r>
      <w:r w:rsidR="00441937" w:rsidRPr="002F794B">
        <w:t xml:space="preserve">lo sucesivo, </w:t>
      </w:r>
      <w:r w:rsidRPr="002F794B">
        <w:t>el “Instituto”) identificó diversos temas</w:t>
      </w:r>
      <w:r w:rsidR="00290BB4" w:rsidRPr="002F794B">
        <w:t>. P</w:t>
      </w:r>
      <w:r w:rsidRPr="002F794B">
        <w:t xml:space="preserve">ara efectos de su atención, estos han sido agrupados </w:t>
      </w:r>
      <w:r w:rsidR="00A55493" w:rsidRPr="002F794B">
        <w:t>por numeral</w:t>
      </w:r>
      <w:r w:rsidRPr="002F794B">
        <w:t xml:space="preserve"> para su mejor referencia. Lo contenido en </w:t>
      </w:r>
      <w:r w:rsidR="00290BB4" w:rsidRPr="002F794B">
        <w:t>el presente Informe de Consideraciones</w:t>
      </w:r>
      <w:r w:rsidRPr="002F794B">
        <w:t xml:space="preserve"> atiende únicamente lo relacionado con las observaciones realizadas por los participantes en la Consulta Pública a los temas presentados en </w:t>
      </w:r>
      <w:r w:rsidR="00A55493" w:rsidRPr="002F794B">
        <w:t>la DT</w:t>
      </w:r>
      <w:r w:rsidRPr="002F794B">
        <w:t xml:space="preserve">. </w:t>
      </w:r>
    </w:p>
    <w:p w14:paraId="091B9FFA" w14:textId="0C0C9264" w:rsidR="00034D69" w:rsidRPr="002F794B" w:rsidRDefault="00034D69" w:rsidP="00034D69">
      <w:r w:rsidRPr="002F794B">
        <w:t>Una vez concluido el plazo de consulta respectivo, se publicaron en el portal de Internet del Instituto todos y cada uno de los comentarios, opiniones y propuestas concretas recibidas respecto de</w:t>
      </w:r>
      <w:r w:rsidR="0035772A" w:rsidRPr="002F794B">
        <w:t xml:space="preserve"> </w:t>
      </w:r>
      <w:r w:rsidRPr="002F794B">
        <w:t>l</w:t>
      </w:r>
      <w:r w:rsidR="0035772A" w:rsidRPr="002F794B">
        <w:t>a</w:t>
      </w:r>
      <w:r w:rsidRPr="002F794B">
        <w:t xml:space="preserve"> </w:t>
      </w:r>
      <w:r w:rsidR="0035772A" w:rsidRPr="002F794B">
        <w:t>DT</w:t>
      </w:r>
      <w:r w:rsidRPr="002F794B">
        <w:t xml:space="preserve">, las cuales se encuentran disponibles al público en general en el portal de Internet del Instituto. </w:t>
      </w:r>
    </w:p>
    <w:p w14:paraId="2821DEEC" w14:textId="5C60DBEB" w:rsidR="00965A2C" w:rsidRPr="002F794B" w:rsidRDefault="00965A2C" w:rsidP="00965A2C">
      <w:r w:rsidRPr="002F794B">
        <w:t xml:space="preserve">Durante dicha consulta pública se recibieron comentarios de </w:t>
      </w:r>
      <w:r w:rsidR="006C1C38" w:rsidRPr="002F794B">
        <w:t>17</w:t>
      </w:r>
      <w:r w:rsidRPr="002F794B">
        <w:t xml:space="preserve"> personas</w:t>
      </w:r>
      <w:r w:rsidR="006B0B19" w:rsidRPr="002F794B">
        <w:t>,</w:t>
      </w:r>
      <w:r w:rsidRPr="002F794B">
        <w:t xml:space="preserve"> las cuales se listan a continuación</w:t>
      </w:r>
      <w:r w:rsidR="00357F4F" w:rsidRPr="002F794B">
        <w:t xml:space="preserve"> en el orden en que fueron recibidos los comentarios y participaciones</w:t>
      </w:r>
      <w:r w:rsidRPr="002F794B">
        <w:t>:</w:t>
      </w:r>
    </w:p>
    <w:tbl>
      <w:tblPr>
        <w:tblW w:w="0" w:type="auto"/>
        <w:jc w:val="center"/>
        <w:tblCellMar>
          <w:left w:w="0" w:type="dxa"/>
          <w:right w:w="0" w:type="dxa"/>
        </w:tblCellMar>
        <w:tblLook w:val="04A0" w:firstRow="1" w:lastRow="0" w:firstColumn="1" w:lastColumn="0" w:noHBand="0" w:noVBand="1"/>
      </w:tblPr>
      <w:tblGrid>
        <w:gridCol w:w="2200"/>
        <w:gridCol w:w="4923"/>
      </w:tblGrid>
      <w:tr w:rsidR="002F794B" w:rsidRPr="002F794B" w14:paraId="67B416D4" w14:textId="77777777" w:rsidTr="005D54D9">
        <w:trPr>
          <w:cantSplit/>
          <w:trHeight w:val="68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0CECE"/>
            <w:tcMar>
              <w:top w:w="0" w:type="dxa"/>
              <w:left w:w="70" w:type="dxa"/>
              <w:bottom w:w="0" w:type="dxa"/>
              <w:right w:w="70" w:type="dxa"/>
            </w:tcMar>
            <w:vAlign w:val="center"/>
            <w:hideMark/>
          </w:tcPr>
          <w:p w14:paraId="3671CA05" w14:textId="77777777" w:rsidR="00965A2C" w:rsidRPr="002F794B" w:rsidRDefault="00965A2C" w:rsidP="00306E40">
            <w:pPr>
              <w:spacing w:after="0" w:line="240" w:lineRule="auto"/>
              <w:jc w:val="center"/>
              <w:rPr>
                <w:rFonts w:eastAsia="Calibri" w:cs="Calibri"/>
                <w:b/>
                <w:bCs/>
                <w:sz w:val="20"/>
                <w:szCs w:val="20"/>
                <w:lang w:eastAsia="es-MX"/>
              </w:rPr>
            </w:pPr>
            <w:r w:rsidRPr="002F794B">
              <w:rPr>
                <w:rFonts w:eastAsia="Calibri" w:cs="Calibri"/>
                <w:b/>
                <w:bCs/>
                <w:sz w:val="20"/>
                <w:szCs w:val="20"/>
                <w:lang w:eastAsia="es-MX"/>
              </w:rPr>
              <w:lastRenderedPageBreak/>
              <w:t>Número Consecutivo</w:t>
            </w:r>
          </w:p>
        </w:tc>
        <w:tc>
          <w:tcPr>
            <w:tcW w:w="4923" w:type="dxa"/>
            <w:tcBorders>
              <w:top w:val="single" w:sz="4" w:space="0" w:color="auto"/>
              <w:left w:val="single" w:sz="4" w:space="0" w:color="auto"/>
              <w:bottom w:val="single" w:sz="4" w:space="0" w:color="auto"/>
              <w:right w:val="single" w:sz="4" w:space="0" w:color="auto"/>
            </w:tcBorders>
            <w:shd w:val="clear" w:color="auto" w:fill="D0CECE"/>
            <w:tcMar>
              <w:top w:w="0" w:type="dxa"/>
              <w:left w:w="70" w:type="dxa"/>
              <w:bottom w:w="0" w:type="dxa"/>
              <w:right w:w="70" w:type="dxa"/>
            </w:tcMar>
            <w:vAlign w:val="center"/>
            <w:hideMark/>
          </w:tcPr>
          <w:p w14:paraId="465FE3D4" w14:textId="77777777" w:rsidR="00965A2C" w:rsidRPr="002F794B" w:rsidRDefault="00965A2C" w:rsidP="00306E40">
            <w:pPr>
              <w:spacing w:after="0" w:line="240" w:lineRule="auto"/>
              <w:jc w:val="center"/>
              <w:rPr>
                <w:rFonts w:eastAsia="Calibri" w:cs="Calibri"/>
                <w:b/>
                <w:bCs/>
                <w:sz w:val="20"/>
                <w:szCs w:val="20"/>
                <w:lang w:eastAsia="es-MX"/>
              </w:rPr>
            </w:pPr>
            <w:r w:rsidRPr="002F794B">
              <w:rPr>
                <w:rFonts w:eastAsia="Calibri" w:cs="Calibri"/>
                <w:b/>
                <w:bCs/>
                <w:sz w:val="20"/>
                <w:szCs w:val="20"/>
                <w:lang w:eastAsia="es-MX"/>
              </w:rPr>
              <w:t>Nombre del participante</w:t>
            </w:r>
          </w:p>
        </w:tc>
      </w:tr>
      <w:tr w:rsidR="002F794B" w:rsidRPr="002F794B" w14:paraId="0025D385" w14:textId="77777777" w:rsidTr="005D54D9">
        <w:trPr>
          <w:cantSplit/>
          <w:trHeight w:val="685"/>
          <w:tblHeader/>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DCA28E" w14:textId="77777777" w:rsidR="00965A2C" w:rsidRPr="002F794B" w:rsidRDefault="00965A2C"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1</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54C566" w14:textId="6ECF76A8" w:rsidR="00965A2C" w:rsidRPr="002F794B" w:rsidRDefault="006B0B19"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Mario Olmos Cordero</w:t>
            </w:r>
          </w:p>
        </w:tc>
      </w:tr>
      <w:tr w:rsidR="002F794B" w:rsidRPr="002F794B" w14:paraId="7B70E775" w14:textId="77777777" w:rsidTr="005D54D9">
        <w:trPr>
          <w:cantSplit/>
          <w:trHeight w:val="685"/>
          <w:tblHeader/>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6304A4A" w14:textId="77777777" w:rsidR="00965A2C" w:rsidRPr="002F794B" w:rsidRDefault="00965A2C"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2</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59EE2D5" w14:textId="6B671A37" w:rsidR="00965A2C" w:rsidRPr="002F794B" w:rsidRDefault="006B0B19" w:rsidP="00306E40">
            <w:pPr>
              <w:spacing w:after="0" w:line="240" w:lineRule="auto"/>
              <w:jc w:val="center"/>
              <w:rPr>
                <w:rFonts w:eastAsia="Calibri" w:cs="Calibri"/>
                <w:sz w:val="20"/>
                <w:szCs w:val="20"/>
                <w:lang w:val="en-US" w:eastAsia="es-MX"/>
              </w:rPr>
            </w:pPr>
            <w:r w:rsidRPr="002F794B">
              <w:rPr>
                <w:rFonts w:eastAsia="Calibri" w:cs="Calibri"/>
                <w:sz w:val="20"/>
                <w:szCs w:val="20"/>
                <w:lang w:val="en-US" w:eastAsia="es-MX"/>
              </w:rPr>
              <w:t>TOMACA e.K.</w:t>
            </w:r>
          </w:p>
        </w:tc>
      </w:tr>
      <w:tr w:rsidR="002F794B" w:rsidRPr="002F794B" w14:paraId="23FCD7AF" w14:textId="77777777" w:rsidTr="005D54D9">
        <w:trPr>
          <w:trHeight w:val="685"/>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9EB9B15" w14:textId="00C9DA10" w:rsidR="006B0B19" w:rsidRPr="002F794B" w:rsidRDefault="006B0B19"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3</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EA967B8" w14:textId="63541695" w:rsidR="006B0B19" w:rsidRPr="002F794B" w:rsidRDefault="00223510"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GENERAL MOTORS DE MEXICO, S. DE R.L. DE C.V.</w:t>
            </w:r>
          </w:p>
        </w:tc>
      </w:tr>
      <w:tr w:rsidR="002F794B" w:rsidRPr="002F794B" w14:paraId="64C62604" w14:textId="77777777" w:rsidTr="005D54D9">
        <w:trPr>
          <w:trHeight w:val="685"/>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BDB2A06" w14:textId="5ABF4C09" w:rsidR="006B0B19" w:rsidRPr="002F794B" w:rsidRDefault="006B0B19"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4</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1E7CD91" w14:textId="14FB017D" w:rsidR="006B0B19" w:rsidRPr="002F794B" w:rsidRDefault="00223510" w:rsidP="00306E40">
            <w:pPr>
              <w:spacing w:after="0" w:line="240" w:lineRule="auto"/>
              <w:jc w:val="center"/>
              <w:rPr>
                <w:rFonts w:eastAsia="Calibri" w:cs="Calibri"/>
                <w:sz w:val="20"/>
                <w:szCs w:val="20"/>
                <w:lang w:val="en-US" w:eastAsia="es-MX"/>
              </w:rPr>
            </w:pPr>
            <w:r w:rsidRPr="002F794B">
              <w:rPr>
                <w:rFonts w:eastAsia="Calibri" w:cs="Calibri"/>
                <w:sz w:val="20"/>
                <w:szCs w:val="20"/>
                <w:lang w:val="en-US" w:eastAsia="es-MX"/>
              </w:rPr>
              <w:t>Salvador Moreno Rosas</w:t>
            </w:r>
          </w:p>
        </w:tc>
      </w:tr>
      <w:tr w:rsidR="002F794B" w:rsidRPr="002F794B" w14:paraId="563C8D5A" w14:textId="77777777" w:rsidTr="005D54D9">
        <w:trPr>
          <w:trHeight w:val="685"/>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F6DE543" w14:textId="77D4E642" w:rsidR="006B0B19" w:rsidRPr="002F794B" w:rsidRDefault="006B0B19"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5</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6012D87" w14:textId="7FCE8368" w:rsidR="006B0B19" w:rsidRPr="002F794B" w:rsidRDefault="00223510" w:rsidP="00306E40">
            <w:pPr>
              <w:spacing w:after="0" w:line="240" w:lineRule="auto"/>
              <w:jc w:val="center"/>
              <w:rPr>
                <w:rFonts w:eastAsia="Calibri" w:cs="Calibri"/>
                <w:sz w:val="20"/>
                <w:szCs w:val="20"/>
                <w:lang w:val="en-US" w:eastAsia="es-MX"/>
              </w:rPr>
            </w:pPr>
            <w:r w:rsidRPr="002F794B">
              <w:rPr>
                <w:rFonts w:eastAsia="Calibri" w:cs="Calibri"/>
                <w:sz w:val="20"/>
                <w:szCs w:val="20"/>
                <w:lang w:val="en-US" w:eastAsia="es-MX"/>
              </w:rPr>
              <w:t>DECT Forum</w:t>
            </w:r>
          </w:p>
        </w:tc>
      </w:tr>
      <w:tr w:rsidR="002F794B" w:rsidRPr="002F794B" w14:paraId="5BAAB5B2" w14:textId="77777777" w:rsidTr="005D54D9">
        <w:trPr>
          <w:trHeight w:val="685"/>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DAD8640" w14:textId="3D927A59" w:rsidR="006B0B19" w:rsidRPr="002F794B" w:rsidRDefault="006B0B19"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6</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5042922" w14:textId="29F11F45" w:rsidR="006B0B19" w:rsidRPr="002F794B" w:rsidRDefault="00223510" w:rsidP="00306E40">
            <w:pPr>
              <w:spacing w:after="0" w:line="240" w:lineRule="auto"/>
              <w:jc w:val="center"/>
              <w:rPr>
                <w:rFonts w:eastAsia="Calibri" w:cs="Calibri"/>
                <w:sz w:val="20"/>
                <w:szCs w:val="20"/>
                <w:lang w:val="en-US" w:eastAsia="es-MX"/>
              </w:rPr>
            </w:pPr>
            <w:r w:rsidRPr="002F794B">
              <w:rPr>
                <w:rFonts w:eastAsia="Calibri" w:cs="Calibri"/>
                <w:sz w:val="20"/>
                <w:szCs w:val="20"/>
                <w:lang w:val="en-US" w:eastAsia="es-MX"/>
              </w:rPr>
              <w:t>APWPT</w:t>
            </w:r>
            <w:r w:rsidR="00206F1F" w:rsidRPr="002F794B">
              <w:rPr>
                <w:rFonts w:eastAsia="Calibri" w:cs="Calibri"/>
                <w:sz w:val="20"/>
                <w:szCs w:val="20"/>
                <w:lang w:val="en-US" w:eastAsia="es-MX"/>
              </w:rPr>
              <w:t xml:space="preserve"> </w:t>
            </w:r>
            <w:proofErr w:type="spellStart"/>
            <w:r w:rsidR="00206F1F" w:rsidRPr="002F794B">
              <w:rPr>
                <w:rFonts w:eastAsia="Calibri" w:cs="Calibri"/>
                <w:sz w:val="20"/>
                <w:szCs w:val="20"/>
                <w:lang w:val="en-US" w:eastAsia="es-MX"/>
              </w:rPr>
              <w:t>e.V.</w:t>
            </w:r>
            <w:proofErr w:type="spellEnd"/>
          </w:p>
        </w:tc>
      </w:tr>
      <w:tr w:rsidR="002F794B" w:rsidRPr="002F794B" w14:paraId="7A4C5630" w14:textId="77777777" w:rsidTr="005D54D9">
        <w:trPr>
          <w:trHeight w:val="685"/>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C4ACEB" w14:textId="376C7249" w:rsidR="006B0B19" w:rsidRPr="002F794B" w:rsidRDefault="006B0B19"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7</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72AA6C3" w14:textId="7355977E" w:rsidR="006B0B19" w:rsidRPr="002F794B" w:rsidRDefault="00206F1F" w:rsidP="00306E40">
            <w:pPr>
              <w:spacing w:after="0" w:line="240" w:lineRule="auto"/>
              <w:jc w:val="center"/>
              <w:rPr>
                <w:rFonts w:eastAsia="Calibri" w:cs="Calibri"/>
                <w:sz w:val="20"/>
                <w:szCs w:val="20"/>
                <w:lang w:val="en-US" w:eastAsia="es-MX"/>
              </w:rPr>
            </w:pPr>
            <w:r w:rsidRPr="002F794B">
              <w:rPr>
                <w:rFonts w:eastAsia="Calibri" w:cs="Calibri"/>
                <w:sz w:val="20"/>
                <w:szCs w:val="20"/>
                <w:lang w:val="en-US" w:eastAsia="es-MX"/>
              </w:rPr>
              <w:t>Shure Incorporated</w:t>
            </w:r>
          </w:p>
        </w:tc>
      </w:tr>
      <w:tr w:rsidR="002F794B" w:rsidRPr="002F794B" w14:paraId="0007076A" w14:textId="77777777" w:rsidTr="005D54D9">
        <w:trPr>
          <w:trHeight w:val="685"/>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EE6F25A" w14:textId="56693F12" w:rsidR="006B0B19" w:rsidRPr="002F794B" w:rsidRDefault="006B0B19"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8</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CEC4B07" w14:textId="1700D699" w:rsidR="006B0B19" w:rsidRPr="002F794B" w:rsidRDefault="00206F1F" w:rsidP="00306E40">
            <w:pPr>
              <w:spacing w:after="0" w:line="240" w:lineRule="auto"/>
              <w:jc w:val="center"/>
              <w:rPr>
                <w:rFonts w:eastAsia="Calibri" w:cs="Calibri"/>
                <w:sz w:val="20"/>
                <w:szCs w:val="20"/>
                <w:lang w:val="en-US" w:eastAsia="es-MX"/>
              </w:rPr>
            </w:pPr>
            <w:r w:rsidRPr="002F794B">
              <w:rPr>
                <w:rFonts w:eastAsia="Calibri" w:cs="Calibri"/>
                <w:sz w:val="20"/>
                <w:szCs w:val="20"/>
                <w:lang w:val="en-US" w:eastAsia="es-MX"/>
              </w:rPr>
              <w:t>Information Technology Industry Council</w:t>
            </w:r>
          </w:p>
        </w:tc>
      </w:tr>
      <w:tr w:rsidR="002F794B" w:rsidRPr="002F794B" w14:paraId="34504642" w14:textId="77777777" w:rsidTr="005D54D9">
        <w:trPr>
          <w:trHeight w:val="685"/>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C0E430C" w14:textId="1EA58C9A" w:rsidR="006B0B19" w:rsidRPr="002F794B" w:rsidRDefault="006B0B19"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9</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A2EE692" w14:textId="3E5A06A6" w:rsidR="006B0B19" w:rsidRPr="002F794B" w:rsidRDefault="00206F1F"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Colegio de Peritos en Telecomunicaciones y Radiodifusión, A.C.</w:t>
            </w:r>
          </w:p>
        </w:tc>
      </w:tr>
      <w:tr w:rsidR="002F794B" w:rsidRPr="002F794B" w14:paraId="05278395" w14:textId="77777777" w:rsidTr="005D54D9">
        <w:trPr>
          <w:trHeight w:val="685"/>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EB278E6" w14:textId="0697EE65" w:rsidR="006B0B19" w:rsidRPr="002F794B" w:rsidRDefault="006B0B19"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10</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FD4E379" w14:textId="08A04E2F" w:rsidR="006B0B19" w:rsidRPr="002F794B" w:rsidRDefault="00513CEB"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Cámara Nacional de la Industria Electrónica, de Telecomunicaciones y Tecnologías de la Información</w:t>
            </w:r>
          </w:p>
        </w:tc>
      </w:tr>
      <w:tr w:rsidR="002F794B" w:rsidRPr="002F794B" w14:paraId="475196E8" w14:textId="77777777" w:rsidTr="005D54D9">
        <w:trPr>
          <w:trHeight w:val="685"/>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8C0701" w14:textId="02DC5DCD" w:rsidR="006B0B19" w:rsidRPr="002F794B" w:rsidRDefault="006B0B19"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11</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0F58DE6" w14:textId="6914EEDE" w:rsidR="006B0B19" w:rsidRPr="002F794B" w:rsidRDefault="00513CEB" w:rsidP="00306E40">
            <w:pPr>
              <w:spacing w:after="0" w:line="240" w:lineRule="auto"/>
              <w:jc w:val="center"/>
              <w:rPr>
                <w:rFonts w:eastAsia="Calibri" w:cs="Calibri"/>
                <w:sz w:val="20"/>
                <w:szCs w:val="20"/>
                <w:lang w:val="en-US" w:eastAsia="es-MX"/>
              </w:rPr>
            </w:pPr>
            <w:r w:rsidRPr="002F794B">
              <w:rPr>
                <w:rFonts w:eastAsia="Calibri" w:cs="Calibri"/>
                <w:sz w:val="20"/>
                <w:szCs w:val="20"/>
                <w:lang w:val="en-US" w:eastAsia="es-MX"/>
              </w:rPr>
              <w:t>Luis Antonio Lara Medina</w:t>
            </w:r>
          </w:p>
        </w:tc>
      </w:tr>
      <w:tr w:rsidR="002F794B" w:rsidRPr="002F794B" w14:paraId="35D6E5E3" w14:textId="77777777" w:rsidTr="005D54D9">
        <w:trPr>
          <w:trHeight w:val="685"/>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EB296F" w14:textId="3F7B74F6" w:rsidR="006B0B19" w:rsidRPr="002F794B" w:rsidRDefault="006B0B19"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12</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2A16CC6" w14:textId="5C8A68C9" w:rsidR="006B0B19" w:rsidRPr="002F794B" w:rsidRDefault="00513CEB"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Asociación de Normalización y Certificación, S.A. de C.V.</w:t>
            </w:r>
          </w:p>
        </w:tc>
      </w:tr>
      <w:tr w:rsidR="002F794B" w:rsidRPr="002F794B" w14:paraId="7B8AD4A7" w14:textId="77777777" w:rsidTr="005D54D9">
        <w:trPr>
          <w:trHeight w:val="685"/>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155812" w14:textId="62C135E0" w:rsidR="006B0B19" w:rsidRPr="002F794B" w:rsidRDefault="006B0B19"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13</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DE09398" w14:textId="22F10B69" w:rsidR="006B0B19" w:rsidRPr="002F794B" w:rsidRDefault="00513CEB" w:rsidP="00306E40">
            <w:pPr>
              <w:spacing w:after="0" w:line="240" w:lineRule="auto"/>
              <w:jc w:val="center"/>
              <w:rPr>
                <w:rFonts w:eastAsia="Calibri" w:cs="Calibri"/>
                <w:sz w:val="20"/>
                <w:szCs w:val="20"/>
                <w:lang w:val="en-US" w:eastAsia="es-MX"/>
              </w:rPr>
            </w:pPr>
            <w:r w:rsidRPr="002F794B">
              <w:rPr>
                <w:rFonts w:eastAsia="Calibri" w:cs="Calibri"/>
                <w:sz w:val="20"/>
                <w:szCs w:val="20"/>
                <w:lang w:val="en-US" w:eastAsia="es-MX"/>
              </w:rPr>
              <w:t>Rigoberto Cruz Alfaro</w:t>
            </w:r>
          </w:p>
        </w:tc>
      </w:tr>
      <w:tr w:rsidR="002F794B" w:rsidRPr="002F794B" w14:paraId="1E282513" w14:textId="77777777" w:rsidTr="005D54D9">
        <w:trPr>
          <w:trHeight w:val="685"/>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00E30CB" w14:textId="1C8CD345" w:rsidR="006B0B19" w:rsidRPr="002F794B" w:rsidRDefault="006B0B19"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14</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B72CCD1" w14:textId="31ACD155" w:rsidR="006B0B19" w:rsidRPr="002F794B" w:rsidRDefault="00513CEB"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Consejo Mexicano de Normalización y Evaluación de la Conformidad A.C.</w:t>
            </w:r>
          </w:p>
        </w:tc>
      </w:tr>
      <w:tr w:rsidR="002F794B" w:rsidRPr="002F794B" w14:paraId="779F53C6" w14:textId="77777777" w:rsidTr="005D54D9">
        <w:trPr>
          <w:trHeight w:val="685"/>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8EB48C" w14:textId="2E352915" w:rsidR="006B0B19" w:rsidRPr="002F794B" w:rsidRDefault="006B0B19"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15</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1B13DDF" w14:textId="7A128915" w:rsidR="006B0B19" w:rsidRPr="002F794B" w:rsidRDefault="006F7A57"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LOGIS CONSULTORES S.A. de C.V.</w:t>
            </w:r>
          </w:p>
        </w:tc>
      </w:tr>
      <w:tr w:rsidR="002F794B" w:rsidRPr="002F794B" w14:paraId="2E7F6F3C" w14:textId="77777777" w:rsidTr="005D54D9">
        <w:trPr>
          <w:trHeight w:val="685"/>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6660947" w14:textId="3CBE9557" w:rsidR="006B0B19" w:rsidRPr="002F794B" w:rsidRDefault="006B0B19"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16</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7EB200" w14:textId="7C675DCD" w:rsidR="006B0B19" w:rsidRPr="002F794B" w:rsidRDefault="006F7A57"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Colegio de Ingenieros Mecánicos y Electricistas, A.C.</w:t>
            </w:r>
          </w:p>
        </w:tc>
      </w:tr>
      <w:tr w:rsidR="006B0B19" w:rsidRPr="002F794B" w14:paraId="7B8307C6" w14:textId="77777777" w:rsidTr="005D54D9">
        <w:trPr>
          <w:trHeight w:val="685"/>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0E59F0B" w14:textId="5A996992" w:rsidR="006B0B19" w:rsidRPr="002F794B" w:rsidRDefault="006B0B19"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17</w:t>
            </w:r>
          </w:p>
        </w:tc>
        <w:tc>
          <w:tcPr>
            <w:tcW w:w="49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41317C0" w14:textId="08E45957" w:rsidR="006B0B19" w:rsidRPr="002F794B" w:rsidRDefault="006F7A57" w:rsidP="00306E40">
            <w:pPr>
              <w:spacing w:after="0" w:line="240" w:lineRule="auto"/>
              <w:jc w:val="center"/>
              <w:rPr>
                <w:rFonts w:eastAsia="Calibri" w:cs="Calibri"/>
                <w:sz w:val="20"/>
                <w:szCs w:val="20"/>
                <w:lang w:eastAsia="es-MX"/>
              </w:rPr>
            </w:pPr>
            <w:r w:rsidRPr="002F794B">
              <w:rPr>
                <w:rFonts w:eastAsia="Calibri" w:cs="Calibri"/>
                <w:sz w:val="20"/>
                <w:szCs w:val="20"/>
                <w:lang w:eastAsia="es-MX"/>
              </w:rPr>
              <w:t>Apple Operations México, S.A. de C.V.</w:t>
            </w:r>
          </w:p>
        </w:tc>
      </w:tr>
    </w:tbl>
    <w:p w14:paraId="356C6ACA" w14:textId="3641C977" w:rsidR="00965A2C" w:rsidRPr="002F794B" w:rsidRDefault="00965A2C" w:rsidP="00965A2C"/>
    <w:p w14:paraId="1B49A7D1" w14:textId="0793ADDB" w:rsidR="00965A2C" w:rsidRPr="002F794B" w:rsidRDefault="00884B63" w:rsidP="00965A2C">
      <w:r w:rsidRPr="002F794B">
        <w:t>Como resultado del análisis de</w:t>
      </w:r>
      <w:r w:rsidR="00965A2C" w:rsidRPr="002F794B">
        <w:t xml:space="preserve"> los comentarios recibidos durante la Consulta Pública se integraron, modificaron y/o eliminaron definiciones, numerales y fracciones en </w:t>
      </w:r>
      <w:r w:rsidR="007B26BF" w:rsidRPr="002F794B">
        <w:t>la DT</w:t>
      </w:r>
      <w:r w:rsidR="00965A2C" w:rsidRPr="002F794B">
        <w:t xml:space="preserve"> original, por lo tanto, </w:t>
      </w:r>
      <w:r w:rsidR="007B26BF" w:rsidRPr="002F794B">
        <w:t>la DT</w:t>
      </w:r>
      <w:r w:rsidR="00965A2C" w:rsidRPr="002F794B">
        <w:t xml:space="preserve"> que ahora nos ocupa sufrió un reordenamiento</w:t>
      </w:r>
      <w:r w:rsidR="002F4F63" w:rsidRPr="002F794B">
        <w:t>, el</w:t>
      </w:r>
      <w:r w:rsidR="00965A2C" w:rsidRPr="002F794B">
        <w:t xml:space="preserve"> cual se refleja</w:t>
      </w:r>
      <w:r w:rsidR="002F4F63" w:rsidRPr="002F794B">
        <w:t>rá</w:t>
      </w:r>
      <w:r w:rsidR="00965A2C" w:rsidRPr="002F794B">
        <w:t xml:space="preserve"> en el proyecto final.</w:t>
      </w:r>
    </w:p>
    <w:p w14:paraId="25F78A2F" w14:textId="77777777" w:rsidR="00965A2C" w:rsidRPr="002F794B" w:rsidRDefault="00965A2C" w:rsidP="00965A2C"/>
    <w:p w14:paraId="785B4646" w14:textId="7F7C9DC7" w:rsidR="00965A2C" w:rsidRPr="002F794B" w:rsidRDefault="00965A2C" w:rsidP="00B472C9">
      <w:pPr>
        <w:jc w:val="center"/>
        <w:outlineLvl w:val="0"/>
        <w:rPr>
          <w:b/>
          <w:bCs/>
        </w:rPr>
      </w:pPr>
      <w:r w:rsidRPr="002F794B">
        <w:rPr>
          <w:b/>
          <w:bCs/>
        </w:rPr>
        <w:t xml:space="preserve">Numeral 3 </w:t>
      </w:r>
      <w:r w:rsidR="00B472C9" w:rsidRPr="002F794B">
        <w:rPr>
          <w:b/>
          <w:bCs/>
        </w:rPr>
        <w:t>–</w:t>
      </w:r>
      <w:r w:rsidRPr="002F794B">
        <w:rPr>
          <w:b/>
          <w:bCs/>
        </w:rPr>
        <w:t xml:space="preserve"> </w:t>
      </w:r>
      <w:r w:rsidR="00B472C9" w:rsidRPr="002F794B">
        <w:rPr>
          <w:b/>
          <w:bCs/>
        </w:rPr>
        <w:t>CAMPO DE APLICACIÓN</w:t>
      </w:r>
    </w:p>
    <w:p w14:paraId="60A3EE1A" w14:textId="204010C0" w:rsidR="00965A2C" w:rsidRPr="002F794B" w:rsidRDefault="00965A2C" w:rsidP="00965A2C">
      <w:pPr>
        <w:rPr>
          <w:u w:val="single"/>
        </w:rPr>
      </w:pPr>
      <w:r w:rsidRPr="002F794B">
        <w:rPr>
          <w:u w:val="single"/>
        </w:rPr>
        <w:t>Participante</w:t>
      </w:r>
    </w:p>
    <w:p w14:paraId="0BF25342" w14:textId="54CF49D3" w:rsidR="00965A2C" w:rsidRPr="002F794B" w:rsidRDefault="00193A4B" w:rsidP="00965A2C">
      <w:r w:rsidRPr="002F794B">
        <w:t>Mario Olmos Cordero</w:t>
      </w:r>
    </w:p>
    <w:p w14:paraId="6A70CF75" w14:textId="632BB5E3" w:rsidR="00965A2C" w:rsidRPr="002F794B" w:rsidRDefault="00780D1E" w:rsidP="00965A2C">
      <w:pPr>
        <w:rPr>
          <w:u w:val="single"/>
        </w:rPr>
      </w:pPr>
      <w:r w:rsidRPr="002F794B">
        <w:rPr>
          <w:u w:val="single"/>
        </w:rPr>
        <w:t>Comentario</w:t>
      </w:r>
    </w:p>
    <w:p w14:paraId="586D1E12" w14:textId="77777777" w:rsidR="002F313A" w:rsidRPr="002F794B" w:rsidRDefault="002F313A" w:rsidP="00E3453B">
      <w:pPr>
        <w:ind w:left="567" w:right="616"/>
        <w:rPr>
          <w:b/>
          <w:bCs/>
          <w:i/>
          <w:iCs/>
        </w:rPr>
      </w:pPr>
      <w:r w:rsidRPr="002F794B">
        <w:rPr>
          <w:b/>
          <w:bCs/>
          <w:i/>
          <w:iCs/>
        </w:rPr>
        <w:t>Observación 1:</w:t>
      </w:r>
    </w:p>
    <w:p w14:paraId="6D277E37" w14:textId="77777777" w:rsidR="002F313A" w:rsidRPr="002F794B" w:rsidRDefault="002F313A" w:rsidP="00E3453B">
      <w:pPr>
        <w:ind w:left="567" w:right="616"/>
        <w:rPr>
          <w:b/>
          <w:bCs/>
          <w:i/>
          <w:iCs/>
        </w:rPr>
      </w:pPr>
      <w:r w:rsidRPr="002F794B">
        <w:rPr>
          <w:b/>
          <w:bCs/>
          <w:i/>
          <w:iCs/>
        </w:rPr>
        <w:t>En el punto 3 siguiente:</w:t>
      </w:r>
    </w:p>
    <w:p w14:paraId="1F21F07B" w14:textId="77777777" w:rsidR="002F313A" w:rsidRPr="002F794B" w:rsidRDefault="002F313A" w:rsidP="00E3453B">
      <w:pPr>
        <w:ind w:left="567" w:right="616"/>
        <w:rPr>
          <w:i/>
          <w:iCs/>
          <w:u w:val="single"/>
        </w:rPr>
      </w:pPr>
      <w:r w:rsidRPr="002F794B">
        <w:rPr>
          <w:i/>
          <w:iCs/>
          <w:u w:val="single"/>
        </w:rPr>
        <w:t>3. CAMPO DE APLICACIÓN</w:t>
      </w:r>
    </w:p>
    <w:p w14:paraId="4872A357" w14:textId="7D211F91" w:rsidR="002F313A" w:rsidRPr="002F794B" w:rsidRDefault="002F313A" w:rsidP="00E3453B">
      <w:pPr>
        <w:ind w:left="567" w:right="616"/>
        <w:rPr>
          <w:i/>
          <w:iCs/>
          <w:u w:val="single"/>
        </w:rPr>
      </w:pPr>
      <w:r w:rsidRPr="002F794B">
        <w:rPr>
          <w:i/>
          <w:iCs/>
          <w:u w:val="single"/>
        </w:rPr>
        <w:t>El presente anteproyecto de Disposición Técnica es aplicable a todos aquellos dispositivos,</w:t>
      </w:r>
      <w:r w:rsidR="00892FFC" w:rsidRPr="002F794B">
        <w:rPr>
          <w:i/>
          <w:iCs/>
          <w:u w:val="single"/>
        </w:rPr>
        <w:t xml:space="preserve"> </w:t>
      </w:r>
      <w:r w:rsidRPr="002F794B">
        <w:rPr>
          <w:i/>
          <w:iCs/>
          <w:u w:val="single"/>
        </w:rPr>
        <w:t>equipos o productos de radiocomunicaciones de baja potencia que puedan hacer uso de bandas</w:t>
      </w:r>
      <w:r w:rsidR="00892FFC" w:rsidRPr="002F794B">
        <w:rPr>
          <w:i/>
          <w:iCs/>
          <w:u w:val="single"/>
        </w:rPr>
        <w:t xml:space="preserve"> </w:t>
      </w:r>
      <w:r w:rsidRPr="002F794B">
        <w:rPr>
          <w:i/>
          <w:iCs/>
          <w:u w:val="single"/>
        </w:rPr>
        <w:t>de frecuencias del espectro radioeléctrico dentro del intervalo de 30 MHz a 3 GHz, excepto en:</w:t>
      </w:r>
    </w:p>
    <w:p w14:paraId="75AEEE2A" w14:textId="553EE18D" w:rsidR="002F313A" w:rsidRPr="002F794B" w:rsidRDefault="002F313A" w:rsidP="00E3453B">
      <w:pPr>
        <w:ind w:left="567" w:right="616"/>
        <w:rPr>
          <w:i/>
          <w:iCs/>
        </w:rPr>
      </w:pPr>
      <w:r w:rsidRPr="002F794B">
        <w:rPr>
          <w:i/>
          <w:iCs/>
        </w:rPr>
        <w:t>La frase “equipos o productos de radiocomunicación de baja potencia” es muy general porque no</w:t>
      </w:r>
      <w:r w:rsidR="00892FFC" w:rsidRPr="002F794B">
        <w:rPr>
          <w:i/>
          <w:iCs/>
        </w:rPr>
        <w:t xml:space="preserve"> </w:t>
      </w:r>
      <w:r w:rsidRPr="002F794B">
        <w:rPr>
          <w:i/>
          <w:iCs/>
        </w:rPr>
        <w:t>se define cual es la potencia máxima y/o intensidad de campo eléctrico máximo con la que deben</w:t>
      </w:r>
      <w:r w:rsidR="00892FFC" w:rsidRPr="002F794B">
        <w:rPr>
          <w:i/>
          <w:iCs/>
        </w:rPr>
        <w:t xml:space="preserve"> </w:t>
      </w:r>
      <w:r w:rsidRPr="002F794B">
        <w:rPr>
          <w:i/>
          <w:iCs/>
        </w:rPr>
        <w:t>operar este tipo de equipos para catalogarlos como de baja potencia y, por consiguiente estén</w:t>
      </w:r>
      <w:r w:rsidR="00892FFC" w:rsidRPr="002F794B">
        <w:rPr>
          <w:i/>
          <w:iCs/>
        </w:rPr>
        <w:t xml:space="preserve"> </w:t>
      </w:r>
      <w:r w:rsidRPr="002F794B">
        <w:rPr>
          <w:i/>
          <w:iCs/>
        </w:rPr>
        <w:t>incluidos en el campo de aplicación de esta disposición técnica.</w:t>
      </w:r>
    </w:p>
    <w:p w14:paraId="52F3C8BA" w14:textId="77777777" w:rsidR="002F313A" w:rsidRPr="002F794B" w:rsidRDefault="002F313A" w:rsidP="00E3453B">
      <w:pPr>
        <w:ind w:left="567" w:right="616"/>
        <w:rPr>
          <w:b/>
          <w:bCs/>
          <w:i/>
          <w:iCs/>
        </w:rPr>
      </w:pPr>
      <w:r w:rsidRPr="002F794B">
        <w:rPr>
          <w:b/>
          <w:bCs/>
          <w:i/>
          <w:iCs/>
        </w:rPr>
        <w:t>SUGERENCIA:</w:t>
      </w:r>
    </w:p>
    <w:p w14:paraId="7721E5CC" w14:textId="77777777" w:rsidR="00892FFC" w:rsidRPr="002F794B" w:rsidRDefault="002F313A" w:rsidP="00E3453B">
      <w:pPr>
        <w:ind w:left="567" w:right="616"/>
        <w:rPr>
          <w:i/>
          <w:iCs/>
        </w:rPr>
      </w:pPr>
      <w:r w:rsidRPr="002F794B">
        <w:rPr>
          <w:i/>
          <w:iCs/>
        </w:rPr>
        <w:t>Definir la potencia máxima de Transmisión y/o la intensidad de campo eléctrico máximo para</w:t>
      </w:r>
      <w:r w:rsidR="00892FFC" w:rsidRPr="002F794B">
        <w:rPr>
          <w:i/>
          <w:iCs/>
        </w:rPr>
        <w:t xml:space="preserve"> </w:t>
      </w:r>
      <w:r w:rsidRPr="002F794B">
        <w:rPr>
          <w:i/>
          <w:iCs/>
        </w:rPr>
        <w:t>determinar si es un equipo de baja potencia o no.</w:t>
      </w:r>
    </w:p>
    <w:p w14:paraId="204096BA" w14:textId="5F52660D" w:rsidR="002F313A" w:rsidRPr="002F794B" w:rsidRDefault="002F313A" w:rsidP="00E3453B">
      <w:pPr>
        <w:ind w:left="567" w:right="616"/>
        <w:rPr>
          <w:i/>
          <w:iCs/>
        </w:rPr>
      </w:pPr>
      <w:r w:rsidRPr="002F794B">
        <w:rPr>
          <w:i/>
          <w:iCs/>
        </w:rPr>
        <w:t>Sugerimos:</w:t>
      </w:r>
    </w:p>
    <w:p w14:paraId="68E31491" w14:textId="77777777" w:rsidR="002F313A" w:rsidRPr="002F794B" w:rsidRDefault="002F313A" w:rsidP="00E3453B">
      <w:pPr>
        <w:ind w:left="567" w:right="616"/>
        <w:rPr>
          <w:i/>
          <w:iCs/>
        </w:rPr>
      </w:pPr>
      <w:r w:rsidRPr="002F794B">
        <w:rPr>
          <w:i/>
          <w:iCs/>
        </w:rPr>
        <w:t>3. CAMPO DE APLICACIÓN</w:t>
      </w:r>
    </w:p>
    <w:p w14:paraId="0B87A0A7" w14:textId="77777777" w:rsidR="00E3453B" w:rsidRPr="002F794B" w:rsidRDefault="002F313A" w:rsidP="00E3453B">
      <w:pPr>
        <w:ind w:left="567" w:right="616"/>
        <w:rPr>
          <w:i/>
          <w:iCs/>
        </w:rPr>
      </w:pPr>
      <w:r w:rsidRPr="002F794B">
        <w:rPr>
          <w:i/>
          <w:iCs/>
        </w:rPr>
        <w:t>El presente anteproyecto de Disposición Técnica es aplicable a todos aquellos dispositivos,</w:t>
      </w:r>
      <w:r w:rsidR="00E3453B" w:rsidRPr="002F794B">
        <w:rPr>
          <w:i/>
          <w:iCs/>
        </w:rPr>
        <w:t xml:space="preserve"> </w:t>
      </w:r>
      <w:r w:rsidRPr="002F794B">
        <w:rPr>
          <w:i/>
          <w:iCs/>
        </w:rPr>
        <w:t>equipos o productos de radiocomunicaciones de baja potencia que puedan hacer uso de bandas</w:t>
      </w:r>
      <w:r w:rsidR="00E3453B" w:rsidRPr="002F794B">
        <w:rPr>
          <w:i/>
          <w:iCs/>
        </w:rPr>
        <w:t xml:space="preserve"> </w:t>
      </w:r>
      <w:r w:rsidRPr="002F794B">
        <w:rPr>
          <w:i/>
          <w:iCs/>
        </w:rPr>
        <w:t xml:space="preserve">de frecuencias del espectro radioeléctrico dentro del intervalo de 30 MHz a 3 GHz y que </w:t>
      </w:r>
      <w:r w:rsidRPr="002F794B">
        <w:rPr>
          <w:i/>
          <w:iCs/>
        </w:rPr>
        <w:lastRenderedPageBreak/>
        <w:t>operen</w:t>
      </w:r>
      <w:r w:rsidR="00E3453B" w:rsidRPr="002F794B">
        <w:rPr>
          <w:i/>
          <w:iCs/>
        </w:rPr>
        <w:t xml:space="preserve"> </w:t>
      </w:r>
      <w:r w:rsidRPr="002F794B">
        <w:rPr>
          <w:i/>
          <w:iCs/>
        </w:rPr>
        <w:t>con niveles de potencia y/o con intensidades de campo eléctrico menores o iguales a los</w:t>
      </w:r>
      <w:r w:rsidR="00E3453B" w:rsidRPr="002F794B">
        <w:rPr>
          <w:i/>
          <w:iCs/>
        </w:rPr>
        <w:t xml:space="preserve"> </w:t>
      </w:r>
      <w:r w:rsidRPr="002F794B">
        <w:rPr>
          <w:i/>
          <w:iCs/>
        </w:rPr>
        <w:t>establecidos en la presente disposición técnica, excepto en:</w:t>
      </w:r>
    </w:p>
    <w:p w14:paraId="49F19F22" w14:textId="4F22F7C2" w:rsidR="00965A2C" w:rsidRPr="002F794B" w:rsidRDefault="00965A2C" w:rsidP="002F313A">
      <w:pPr>
        <w:rPr>
          <w:u w:val="single"/>
        </w:rPr>
      </w:pPr>
      <w:r w:rsidRPr="002F794B">
        <w:rPr>
          <w:u w:val="single"/>
        </w:rPr>
        <w:t>Respuesta</w:t>
      </w:r>
    </w:p>
    <w:p w14:paraId="5572B1E5" w14:textId="491DB265" w:rsidR="00965A2C" w:rsidRPr="002F794B" w:rsidRDefault="00167569" w:rsidP="00965A2C">
      <w:r w:rsidRPr="002F794B">
        <w:t xml:space="preserve">No se considera. En el numeral 7 de la DT se definen niveles máximos de intensidad de campo eléctrico </w:t>
      </w:r>
      <w:r w:rsidR="00E97A63" w:rsidRPr="002F794B">
        <w:t>y/</w:t>
      </w:r>
      <w:r w:rsidRPr="002F794B">
        <w:t>o potencia para cada una de las categorías de DRBP, así como por banda de frecuencia de operación</w:t>
      </w:r>
      <w:r w:rsidR="00BB39B5" w:rsidRPr="002F794B">
        <w:t>.</w:t>
      </w:r>
    </w:p>
    <w:p w14:paraId="62FEA78E" w14:textId="77777777" w:rsidR="00F1429C" w:rsidRPr="002F794B" w:rsidRDefault="00F1429C" w:rsidP="00965A2C"/>
    <w:p w14:paraId="559145CB" w14:textId="77777777" w:rsidR="00B33EC7" w:rsidRPr="002F794B" w:rsidRDefault="00B33EC7" w:rsidP="00B33EC7">
      <w:pPr>
        <w:rPr>
          <w:u w:val="single"/>
        </w:rPr>
      </w:pPr>
      <w:r w:rsidRPr="002F794B">
        <w:rPr>
          <w:u w:val="single"/>
        </w:rPr>
        <w:t>Participante</w:t>
      </w:r>
    </w:p>
    <w:p w14:paraId="412F4D85" w14:textId="063D6DA1" w:rsidR="00B33EC7" w:rsidRPr="002F794B" w:rsidRDefault="001E0862" w:rsidP="00B33EC7">
      <w:r w:rsidRPr="002F794B">
        <w:t>Mario Olmos Cordero</w:t>
      </w:r>
    </w:p>
    <w:p w14:paraId="4EBDB9D0" w14:textId="77777777" w:rsidR="00B33EC7" w:rsidRPr="002F794B" w:rsidRDefault="00B33EC7" w:rsidP="00B33EC7">
      <w:pPr>
        <w:rPr>
          <w:u w:val="single"/>
        </w:rPr>
      </w:pPr>
      <w:r w:rsidRPr="002F794B">
        <w:rPr>
          <w:u w:val="single"/>
        </w:rPr>
        <w:t>Comentario y propuesta</w:t>
      </w:r>
    </w:p>
    <w:p w14:paraId="0FFBC930" w14:textId="77777777" w:rsidR="001E0862" w:rsidRPr="002F794B" w:rsidRDefault="001E0862" w:rsidP="001E0862">
      <w:pPr>
        <w:ind w:left="567" w:right="616"/>
        <w:rPr>
          <w:i/>
          <w:iCs/>
        </w:rPr>
      </w:pPr>
      <w:r w:rsidRPr="002F794B">
        <w:rPr>
          <w:i/>
          <w:iCs/>
        </w:rPr>
        <w:t>Observación 2:</w:t>
      </w:r>
    </w:p>
    <w:p w14:paraId="4961E56B" w14:textId="77777777" w:rsidR="001E0862" w:rsidRPr="002F794B" w:rsidRDefault="001E0862" w:rsidP="001E0862">
      <w:pPr>
        <w:ind w:left="567" w:right="616"/>
        <w:rPr>
          <w:i/>
          <w:iCs/>
        </w:rPr>
      </w:pPr>
      <w:r w:rsidRPr="002F794B">
        <w:rPr>
          <w:i/>
          <w:iCs/>
        </w:rPr>
        <w:t>En el punto 3 siguiente:</w:t>
      </w:r>
    </w:p>
    <w:p w14:paraId="4BAB0F70" w14:textId="77777777" w:rsidR="001E0862" w:rsidRPr="002F794B" w:rsidRDefault="001E0862" w:rsidP="001E0862">
      <w:pPr>
        <w:ind w:left="567" w:right="616"/>
        <w:rPr>
          <w:i/>
          <w:iCs/>
        </w:rPr>
      </w:pPr>
      <w:r w:rsidRPr="002F794B">
        <w:rPr>
          <w:i/>
          <w:iCs/>
        </w:rPr>
        <w:t>3. CAMPO DE APLICACIÓN</w:t>
      </w:r>
    </w:p>
    <w:p w14:paraId="7C7C2628" w14:textId="77777777" w:rsidR="001E0862" w:rsidRPr="002F794B" w:rsidRDefault="001E0862" w:rsidP="001E0862">
      <w:pPr>
        <w:ind w:left="567" w:right="616"/>
        <w:rPr>
          <w:i/>
          <w:iCs/>
        </w:rPr>
      </w:pPr>
      <w:r w:rsidRPr="002F794B">
        <w:rPr>
          <w:i/>
          <w:iCs/>
        </w:rPr>
        <w:t>El presente ……</w:t>
      </w:r>
      <w:proofErr w:type="gramStart"/>
      <w:r w:rsidRPr="002F794B">
        <w:rPr>
          <w:i/>
          <w:iCs/>
        </w:rPr>
        <w:t>…….</w:t>
      </w:r>
      <w:proofErr w:type="gramEnd"/>
      <w:r w:rsidRPr="002F794B">
        <w:rPr>
          <w:i/>
          <w:iCs/>
        </w:rPr>
        <w:t>, excepto en:</w:t>
      </w:r>
    </w:p>
    <w:p w14:paraId="23DDAC41" w14:textId="38F56D9E" w:rsidR="001E0862" w:rsidRPr="002F794B" w:rsidRDefault="001E0862" w:rsidP="001E0862">
      <w:pPr>
        <w:ind w:left="567" w:right="616"/>
        <w:rPr>
          <w:i/>
          <w:iCs/>
        </w:rPr>
      </w:pPr>
      <w:r w:rsidRPr="002F794B">
        <w:rPr>
          <w:i/>
          <w:iCs/>
        </w:rPr>
        <w:t>I Las bandas de frecuencias del espectro radioeléctrico identificadas para comunicaciones de socorro, seguridad, búsqueda o salvamento de conformidad con lo establecido en el Cuadro Nacional de Atribución de Frecuencias.</w:t>
      </w:r>
    </w:p>
    <w:p w14:paraId="550EE46F" w14:textId="77777777" w:rsidR="002A7213" w:rsidRPr="002F794B" w:rsidRDefault="001E0862" w:rsidP="001E0862">
      <w:pPr>
        <w:ind w:left="567" w:right="616"/>
        <w:rPr>
          <w:i/>
          <w:iCs/>
        </w:rPr>
      </w:pPr>
      <w:r w:rsidRPr="002F794B">
        <w:rPr>
          <w:i/>
          <w:iCs/>
        </w:rPr>
        <w:t>II Las bandas de frecuencias clasificadas como espectro protegido de conformidad con lo establecido en el Cuadro Nacional de Atribución de Frecuencias.</w:t>
      </w:r>
    </w:p>
    <w:p w14:paraId="54E15041" w14:textId="6F943421" w:rsidR="001E0862" w:rsidRPr="002F794B" w:rsidRDefault="001E0862" w:rsidP="001E0862">
      <w:pPr>
        <w:ind w:left="567" w:right="616"/>
        <w:rPr>
          <w:i/>
          <w:iCs/>
        </w:rPr>
      </w:pPr>
      <w:r w:rsidRPr="002F794B">
        <w:rPr>
          <w:i/>
          <w:iCs/>
        </w:rPr>
        <w:t>La excepción no considera aquellos equipos que operan en las mismas bandas de frecuencia de</w:t>
      </w:r>
      <w:r w:rsidR="002A7213" w:rsidRPr="002F794B">
        <w:rPr>
          <w:i/>
          <w:iCs/>
        </w:rPr>
        <w:t xml:space="preserve"> </w:t>
      </w:r>
      <w:r w:rsidRPr="002F794B">
        <w:rPr>
          <w:i/>
          <w:iCs/>
        </w:rPr>
        <w:t>operación específicas mencionadas en la tabla 1 y que ya cuentan con una disposición técnica</w:t>
      </w:r>
      <w:r w:rsidR="002A7213" w:rsidRPr="002F794B">
        <w:rPr>
          <w:i/>
          <w:iCs/>
        </w:rPr>
        <w:t xml:space="preserve"> </w:t>
      </w:r>
      <w:r w:rsidRPr="002F794B">
        <w:rPr>
          <w:i/>
          <w:iCs/>
        </w:rPr>
        <w:t>que regula la operación de dichos equipos. Por ejemplo actualmente se prueban equipos de baja</w:t>
      </w:r>
      <w:r w:rsidR="002A7213" w:rsidRPr="002F794B">
        <w:rPr>
          <w:i/>
          <w:iCs/>
        </w:rPr>
        <w:t xml:space="preserve"> </w:t>
      </w:r>
      <w:r w:rsidRPr="002F794B">
        <w:rPr>
          <w:i/>
          <w:iCs/>
        </w:rPr>
        <w:t>potencia que operan en la banda de 902-928 MHz y/o en la banda de 2.4-2.4835 GHz</w:t>
      </w:r>
      <w:r w:rsidR="002A7213" w:rsidRPr="002F794B">
        <w:rPr>
          <w:i/>
          <w:iCs/>
        </w:rPr>
        <w:t xml:space="preserve"> </w:t>
      </w:r>
      <w:r w:rsidRPr="002F794B">
        <w:rPr>
          <w:i/>
          <w:iCs/>
        </w:rPr>
        <w:t>(mencionadas en la tabla 1) con respecto a la disposición técnica IFT-008-2015.</w:t>
      </w:r>
    </w:p>
    <w:p w14:paraId="62D0A773" w14:textId="77777777" w:rsidR="001E0862" w:rsidRPr="002F794B" w:rsidRDefault="001E0862" w:rsidP="001E0862">
      <w:pPr>
        <w:ind w:left="567" w:right="616"/>
        <w:rPr>
          <w:i/>
          <w:iCs/>
        </w:rPr>
      </w:pPr>
      <w:r w:rsidRPr="002F794B">
        <w:rPr>
          <w:i/>
          <w:iCs/>
        </w:rPr>
        <w:t>SUGERENCIA:</w:t>
      </w:r>
    </w:p>
    <w:p w14:paraId="5F8E39E0" w14:textId="26BC380A" w:rsidR="00B33EC7" w:rsidRPr="002F794B" w:rsidRDefault="001E0862" w:rsidP="001E0862">
      <w:pPr>
        <w:ind w:left="567" w:right="616"/>
        <w:rPr>
          <w:i/>
          <w:iCs/>
        </w:rPr>
      </w:pPr>
      <w:r w:rsidRPr="002F794B">
        <w:rPr>
          <w:i/>
          <w:iCs/>
        </w:rPr>
        <w:t>Por lo anterior es muy importante que se definan, en el punto 3. Campo de Aplicación, los niveles</w:t>
      </w:r>
      <w:r w:rsidR="002A7213" w:rsidRPr="002F794B">
        <w:rPr>
          <w:i/>
          <w:iCs/>
        </w:rPr>
        <w:t xml:space="preserve"> </w:t>
      </w:r>
      <w:r w:rsidRPr="002F794B">
        <w:rPr>
          <w:i/>
          <w:iCs/>
        </w:rPr>
        <w:t>de potencia y/o las intensidades de campo eléctrico máximos para determinar si es un equipo que</w:t>
      </w:r>
      <w:r w:rsidR="002A7213" w:rsidRPr="002F794B">
        <w:rPr>
          <w:i/>
          <w:iCs/>
        </w:rPr>
        <w:t xml:space="preserve"> </w:t>
      </w:r>
      <w:r w:rsidRPr="002F794B">
        <w:rPr>
          <w:i/>
          <w:iCs/>
        </w:rPr>
        <w:t xml:space="preserve">se probará con </w:t>
      </w:r>
      <w:proofErr w:type="spellStart"/>
      <w:r w:rsidRPr="002F794B">
        <w:rPr>
          <w:i/>
          <w:iCs/>
        </w:rPr>
        <w:t>está</w:t>
      </w:r>
      <w:proofErr w:type="spellEnd"/>
      <w:r w:rsidRPr="002F794B">
        <w:rPr>
          <w:i/>
          <w:iCs/>
        </w:rPr>
        <w:t xml:space="preserve"> disposición técnica IFT-016, con la disposición técnica IFT-008 o con </w:t>
      </w:r>
      <w:r w:rsidRPr="002F794B">
        <w:rPr>
          <w:i/>
          <w:iCs/>
        </w:rPr>
        <w:lastRenderedPageBreak/>
        <w:t>cualquier</w:t>
      </w:r>
      <w:r w:rsidR="002A7213" w:rsidRPr="002F794B">
        <w:rPr>
          <w:i/>
          <w:iCs/>
        </w:rPr>
        <w:t xml:space="preserve"> </w:t>
      </w:r>
      <w:r w:rsidRPr="002F794B">
        <w:rPr>
          <w:i/>
          <w:iCs/>
        </w:rPr>
        <w:t>otra disposición técnica o, establecer una nueva excepción, numeral III, que especifique lo</w:t>
      </w:r>
      <w:r w:rsidR="002A7213" w:rsidRPr="002F794B">
        <w:rPr>
          <w:i/>
          <w:iCs/>
        </w:rPr>
        <w:t xml:space="preserve"> </w:t>
      </w:r>
      <w:r w:rsidRPr="002F794B">
        <w:rPr>
          <w:i/>
          <w:iCs/>
        </w:rPr>
        <w:t>siguiente:</w:t>
      </w:r>
    </w:p>
    <w:p w14:paraId="7604AEF1" w14:textId="415A9303" w:rsidR="00483F52" w:rsidRPr="002F794B" w:rsidRDefault="00483F52" w:rsidP="00483F52">
      <w:pPr>
        <w:ind w:left="567" w:right="616"/>
        <w:rPr>
          <w:i/>
          <w:iCs/>
        </w:rPr>
      </w:pPr>
      <w:r w:rsidRPr="002F794B">
        <w:rPr>
          <w:i/>
          <w:iCs/>
        </w:rPr>
        <w:t>III Aquellos dispositivos cuyas bandas de frecuencias de operación se contemplan en la presente disposición y que ya se encuentren reguladas por otras disposiciones técnicas.</w:t>
      </w:r>
    </w:p>
    <w:p w14:paraId="6E4F33FE" w14:textId="77777777" w:rsidR="00B33EC7" w:rsidRPr="002F794B" w:rsidRDefault="00B33EC7" w:rsidP="00B33EC7">
      <w:pPr>
        <w:rPr>
          <w:u w:val="single"/>
        </w:rPr>
      </w:pPr>
      <w:r w:rsidRPr="002F794B">
        <w:rPr>
          <w:u w:val="single"/>
        </w:rPr>
        <w:t>Respuesta</w:t>
      </w:r>
    </w:p>
    <w:p w14:paraId="56B3BA23" w14:textId="00815494" w:rsidR="00A16191" w:rsidRPr="002F794B" w:rsidRDefault="00A16191" w:rsidP="00A16191">
      <w:r w:rsidRPr="002F794B">
        <w:t>Se considera parcialmente. En el numeral</w:t>
      </w:r>
      <w:r w:rsidR="001E7B2B" w:rsidRPr="002F794B">
        <w:t xml:space="preserve"> 7</w:t>
      </w:r>
      <w:r w:rsidRPr="002F794B">
        <w:t xml:space="preserve"> de la DT se definen niveles máximos de intensidad de campo eléctrico o potencia para cada una de las categorías de DRBP, así como por banda de frecuencias de operación.</w:t>
      </w:r>
    </w:p>
    <w:p w14:paraId="6F8A8D82" w14:textId="623BD638" w:rsidR="00B33EC7" w:rsidRPr="002F794B" w:rsidRDefault="00A16191" w:rsidP="00A16191">
      <w:r w:rsidRPr="002F794B">
        <w:t>Por otro lado, se agrega la de los dispositivos que usen modulación por salto de frecuencia y por modulación digital en las bandas de 902 a 928 MHz, 2 400 a 2 483.5 MHz y 5 725 a 5 850 MHz."</w:t>
      </w:r>
    </w:p>
    <w:p w14:paraId="3163A658" w14:textId="77777777" w:rsidR="00B33EC7" w:rsidRPr="002F794B" w:rsidRDefault="00B33EC7" w:rsidP="00B33EC7"/>
    <w:p w14:paraId="2A00223F" w14:textId="77777777" w:rsidR="00B33EC7" w:rsidRPr="002F794B" w:rsidRDefault="00B33EC7" w:rsidP="00B33EC7">
      <w:pPr>
        <w:rPr>
          <w:u w:val="single"/>
        </w:rPr>
      </w:pPr>
      <w:r w:rsidRPr="002F794B">
        <w:rPr>
          <w:u w:val="single"/>
        </w:rPr>
        <w:t>Participante</w:t>
      </w:r>
    </w:p>
    <w:p w14:paraId="622E834E" w14:textId="0E947595" w:rsidR="00B33EC7" w:rsidRPr="002F794B" w:rsidRDefault="00827F38" w:rsidP="00B33EC7">
      <w:r w:rsidRPr="002F794B">
        <w:t>Mario Olmos Cordero</w:t>
      </w:r>
    </w:p>
    <w:p w14:paraId="2D703EEC" w14:textId="77777777" w:rsidR="00B33EC7" w:rsidRPr="002F794B" w:rsidRDefault="00B33EC7" w:rsidP="00B33EC7">
      <w:pPr>
        <w:rPr>
          <w:u w:val="single"/>
        </w:rPr>
      </w:pPr>
      <w:r w:rsidRPr="002F794B">
        <w:rPr>
          <w:u w:val="single"/>
        </w:rPr>
        <w:t>Comentario y propuesta</w:t>
      </w:r>
    </w:p>
    <w:p w14:paraId="13444B90" w14:textId="77777777" w:rsidR="00827F38" w:rsidRPr="002F794B" w:rsidRDefault="00827F38" w:rsidP="00827F38">
      <w:pPr>
        <w:ind w:left="567" w:right="616"/>
        <w:rPr>
          <w:b/>
          <w:bCs/>
          <w:i/>
          <w:iCs/>
        </w:rPr>
      </w:pPr>
      <w:r w:rsidRPr="002F794B">
        <w:rPr>
          <w:b/>
          <w:bCs/>
          <w:i/>
          <w:iCs/>
        </w:rPr>
        <w:t>Observación 3:</w:t>
      </w:r>
    </w:p>
    <w:p w14:paraId="3E139DDE" w14:textId="77777777" w:rsidR="00827F38" w:rsidRPr="002F794B" w:rsidRDefault="00827F38" w:rsidP="00827F38">
      <w:pPr>
        <w:ind w:left="567" w:right="616"/>
        <w:rPr>
          <w:i/>
          <w:iCs/>
        </w:rPr>
      </w:pPr>
      <w:r w:rsidRPr="002F794B">
        <w:rPr>
          <w:i/>
          <w:iCs/>
        </w:rPr>
        <w:t>El párrafo III romano mencionado en el campo de aplicación especifica lo siguiente:</w:t>
      </w:r>
    </w:p>
    <w:p w14:paraId="5143BD43" w14:textId="5349ADD5" w:rsidR="00827F38" w:rsidRPr="002F794B" w:rsidRDefault="00827F38" w:rsidP="00827F38">
      <w:pPr>
        <w:ind w:left="567" w:right="616"/>
        <w:rPr>
          <w:i/>
          <w:iCs/>
        </w:rPr>
      </w:pPr>
      <w:r w:rsidRPr="002F794B">
        <w:rPr>
          <w:i/>
          <w:iCs/>
        </w:rPr>
        <w:t>III. La emisión del Certificado de Homologación por el Instituto Federal de Telecomunicaciones no genera un derecho adquirido o reconocible a ninguna persona física o moral sobre el uso de las bandas de frecuencias en las que transmita el dispositivo, equipo o producto de radiocomunicación de baja potencia.</w:t>
      </w:r>
    </w:p>
    <w:p w14:paraId="2EC09533" w14:textId="77777777" w:rsidR="00827F38" w:rsidRPr="002F794B" w:rsidRDefault="00827F38" w:rsidP="00827F38">
      <w:pPr>
        <w:ind w:left="567" w:right="616"/>
        <w:rPr>
          <w:i/>
          <w:iCs/>
        </w:rPr>
      </w:pPr>
      <w:r w:rsidRPr="002F794B">
        <w:rPr>
          <w:i/>
          <w:iCs/>
        </w:rPr>
        <w:t>Dicho párrafo se contrapone con el transitorio sexto:</w:t>
      </w:r>
    </w:p>
    <w:p w14:paraId="05FE9E4C" w14:textId="69666B2B" w:rsidR="00827F38" w:rsidRPr="002F794B" w:rsidRDefault="00827F38" w:rsidP="00827F38">
      <w:pPr>
        <w:ind w:left="567" w:right="616"/>
        <w:rPr>
          <w:i/>
          <w:iCs/>
        </w:rPr>
      </w:pPr>
      <w:r w:rsidRPr="002F794B">
        <w:rPr>
          <w:b/>
          <w:bCs/>
          <w:i/>
          <w:iCs/>
        </w:rPr>
        <w:t>SEXTO.-</w:t>
      </w:r>
      <w:r w:rsidRPr="002F794B">
        <w:rPr>
          <w:i/>
          <w:iCs/>
        </w:rPr>
        <w:t xml:space="preserve"> El dispositivo que cuente con el Certificado de Homologación emitido bajo la presente</w:t>
      </w:r>
      <w:r w:rsidR="00AA3086" w:rsidRPr="002F794B">
        <w:rPr>
          <w:i/>
          <w:iCs/>
        </w:rPr>
        <w:t xml:space="preserve"> </w:t>
      </w:r>
      <w:r w:rsidRPr="002F794B">
        <w:rPr>
          <w:i/>
          <w:iCs/>
        </w:rPr>
        <w:t>Disposición Técnica lo habilitará para hacer uso del espectro radioeléctrico.</w:t>
      </w:r>
    </w:p>
    <w:p w14:paraId="140B7333" w14:textId="77777777" w:rsidR="00827F38" w:rsidRPr="002F794B" w:rsidRDefault="00827F38" w:rsidP="00827F38">
      <w:pPr>
        <w:ind w:left="567" w:right="616"/>
        <w:rPr>
          <w:b/>
          <w:bCs/>
          <w:i/>
          <w:iCs/>
        </w:rPr>
      </w:pPr>
      <w:r w:rsidRPr="002F794B">
        <w:rPr>
          <w:b/>
          <w:bCs/>
          <w:i/>
          <w:iCs/>
        </w:rPr>
        <w:t>SUGERENCIA:</w:t>
      </w:r>
    </w:p>
    <w:p w14:paraId="462AB9AD" w14:textId="07CEECDE" w:rsidR="00B33EC7" w:rsidRPr="002F794B" w:rsidRDefault="00827F38" w:rsidP="001C23AA">
      <w:pPr>
        <w:ind w:left="567" w:right="616"/>
        <w:rPr>
          <w:i/>
          <w:iCs/>
        </w:rPr>
      </w:pPr>
      <w:r w:rsidRPr="002F794B">
        <w:rPr>
          <w:i/>
          <w:iCs/>
        </w:rPr>
        <w:t>Eliminar el párrafo III romano mencionado en el campo de aplicación porque se contrapone con lo</w:t>
      </w:r>
      <w:r w:rsidR="001C23AA" w:rsidRPr="002F794B">
        <w:rPr>
          <w:i/>
          <w:iCs/>
        </w:rPr>
        <w:t xml:space="preserve"> </w:t>
      </w:r>
      <w:r w:rsidRPr="002F794B">
        <w:rPr>
          <w:i/>
          <w:iCs/>
        </w:rPr>
        <w:t>establecido en el transitorio SEXTO.</w:t>
      </w:r>
    </w:p>
    <w:p w14:paraId="702208CC" w14:textId="77777777" w:rsidR="00B33EC7" w:rsidRPr="002F794B" w:rsidRDefault="00B33EC7" w:rsidP="00B33EC7">
      <w:pPr>
        <w:rPr>
          <w:u w:val="single"/>
        </w:rPr>
      </w:pPr>
      <w:r w:rsidRPr="002F794B">
        <w:rPr>
          <w:u w:val="single"/>
        </w:rPr>
        <w:t>Respuesta</w:t>
      </w:r>
    </w:p>
    <w:p w14:paraId="11C67D01" w14:textId="4824778B" w:rsidR="00B33EC7" w:rsidRPr="002F794B" w:rsidRDefault="001C23AA" w:rsidP="00B33EC7">
      <w:r w:rsidRPr="002F794B">
        <w:t xml:space="preserve">No se considera. Conforme a lo establecido en la LFTR la Homologación es el acto por el cual el Instituto reconoce oficialmente que las especificaciones de un </w:t>
      </w:r>
      <w:r w:rsidRPr="002F794B">
        <w:lastRenderedPageBreak/>
        <w:t>producto, equipo, dispositivo o aparato destinado a telecomunicaciones o radiodifusión, satisface las normas o disposiciones técnicas aplicables. Lo anterior, coadyuva a generar un espectro radioeléctrico con el menor número de interferencias perjudiciales. Sin embargo, lo anterior no brinda al titular del Certificado de Homologación (en lo sucesivo, "CH") un derecho sobre las bandas de frecuencia donde opera el DRBP</w:t>
      </w:r>
      <w:r w:rsidR="00AA3086" w:rsidRPr="002F794B">
        <w:t>.</w:t>
      </w:r>
    </w:p>
    <w:p w14:paraId="6587E8F0" w14:textId="77777777" w:rsidR="00B33EC7" w:rsidRPr="002F794B" w:rsidRDefault="00B33EC7" w:rsidP="00965A2C"/>
    <w:p w14:paraId="3E56ACDA" w14:textId="77777777" w:rsidR="00B33EC7" w:rsidRPr="002F794B" w:rsidRDefault="00B33EC7" w:rsidP="00B33EC7">
      <w:pPr>
        <w:rPr>
          <w:u w:val="single"/>
        </w:rPr>
      </w:pPr>
      <w:r w:rsidRPr="002F794B">
        <w:rPr>
          <w:u w:val="single"/>
        </w:rPr>
        <w:t>Participante</w:t>
      </w:r>
    </w:p>
    <w:p w14:paraId="1E31F02E" w14:textId="749B1D3F" w:rsidR="00B33EC7" w:rsidRPr="002F794B" w:rsidRDefault="00982E78" w:rsidP="00B33EC7">
      <w:r w:rsidRPr="002F794B">
        <w:t>Salvador Moreno Rosas</w:t>
      </w:r>
    </w:p>
    <w:p w14:paraId="7CD7D080" w14:textId="77777777" w:rsidR="00B33EC7" w:rsidRPr="002F794B" w:rsidRDefault="00B33EC7" w:rsidP="00B33EC7">
      <w:pPr>
        <w:rPr>
          <w:u w:val="single"/>
        </w:rPr>
      </w:pPr>
      <w:r w:rsidRPr="002F794B">
        <w:rPr>
          <w:u w:val="single"/>
        </w:rPr>
        <w:t>Comentario y propuesta</w:t>
      </w:r>
    </w:p>
    <w:p w14:paraId="339BBB63" w14:textId="121D618E" w:rsidR="00635C07" w:rsidRPr="002F794B" w:rsidRDefault="00635C07" w:rsidP="00635C07">
      <w:pPr>
        <w:ind w:left="567" w:right="616"/>
        <w:rPr>
          <w:i/>
          <w:iCs/>
        </w:rPr>
      </w:pPr>
      <w:r w:rsidRPr="002F794B">
        <w:rPr>
          <w:i/>
          <w:iCs/>
        </w:rPr>
        <w:t>Se hace notar que las Recomendaciones UIT-REC 1631, UIT-R SM2153-5 (08/2015), UIT-R 2153-9 (07/2022), hacen énfasis al concepto “ Corto Alcance”, que junto con la definición de “Baja Potencia”, van apareados.</w:t>
      </w:r>
    </w:p>
    <w:p w14:paraId="7E66BCC0" w14:textId="35B49184" w:rsidR="00B33EC7" w:rsidRPr="002F794B" w:rsidRDefault="00635C07" w:rsidP="00635C07">
      <w:pPr>
        <w:ind w:left="567" w:right="616"/>
        <w:rPr>
          <w:i/>
          <w:iCs/>
        </w:rPr>
      </w:pPr>
      <w:r w:rsidRPr="002F794B">
        <w:rPr>
          <w:i/>
          <w:iCs/>
        </w:rPr>
        <w:t>¿Existe alguna razón técnica para que se omita o se sobreentiende no puede existir el uno sin el otro?</w:t>
      </w:r>
    </w:p>
    <w:p w14:paraId="46641480" w14:textId="77777777" w:rsidR="00B33EC7" w:rsidRPr="002F794B" w:rsidRDefault="00B33EC7" w:rsidP="00B33EC7">
      <w:pPr>
        <w:rPr>
          <w:u w:val="single"/>
        </w:rPr>
      </w:pPr>
      <w:r w:rsidRPr="002F794B">
        <w:rPr>
          <w:u w:val="single"/>
        </w:rPr>
        <w:t>Respuesta</w:t>
      </w:r>
    </w:p>
    <w:p w14:paraId="4A10B99B" w14:textId="23DBAA45" w:rsidR="00B33EC7" w:rsidRPr="002F794B" w:rsidRDefault="00633525" w:rsidP="00B33EC7">
      <w:r w:rsidRPr="002F794B">
        <w:t xml:space="preserve">Este Instituto considera que el término de baja potencia describe mejor las capacidades y especificaciones técnicas de </w:t>
      </w:r>
      <w:r w:rsidR="00E97A63" w:rsidRPr="002F794B">
        <w:t>l</w:t>
      </w:r>
      <w:r w:rsidRPr="002F794B">
        <w:t xml:space="preserve">os </w:t>
      </w:r>
      <w:r w:rsidR="00E97A63" w:rsidRPr="002F794B">
        <w:t>DRBP</w:t>
      </w:r>
      <w:r w:rsidRPr="002F794B">
        <w:t>. Lo anterior, debido a que no es posible definir y/o caracterizar con precisión el "corto alcance" de las transmisiones generadas por estos dispositivos</w:t>
      </w:r>
      <w:r w:rsidR="00404A40" w:rsidRPr="002F794B">
        <w:t>.</w:t>
      </w:r>
    </w:p>
    <w:p w14:paraId="00725C97" w14:textId="77777777" w:rsidR="00B33EC7" w:rsidRPr="002F794B" w:rsidRDefault="00B33EC7" w:rsidP="00965A2C"/>
    <w:p w14:paraId="001BFFB6" w14:textId="77777777" w:rsidR="00B33EC7" w:rsidRPr="002F794B" w:rsidRDefault="00B33EC7" w:rsidP="00B33EC7">
      <w:pPr>
        <w:rPr>
          <w:u w:val="single"/>
        </w:rPr>
      </w:pPr>
      <w:r w:rsidRPr="002F794B">
        <w:rPr>
          <w:u w:val="single"/>
        </w:rPr>
        <w:t>Participante</w:t>
      </w:r>
    </w:p>
    <w:p w14:paraId="7E982725" w14:textId="77777777" w:rsidR="00DE5879" w:rsidRPr="002F794B" w:rsidRDefault="00DE5879" w:rsidP="00B33EC7">
      <w:pPr>
        <w:rPr>
          <w:i/>
          <w:iCs/>
        </w:rPr>
      </w:pPr>
      <w:r w:rsidRPr="002F794B">
        <w:rPr>
          <w:i/>
          <w:iCs/>
        </w:rPr>
        <w:t xml:space="preserve">Information Technology </w:t>
      </w:r>
      <w:proofErr w:type="spellStart"/>
      <w:r w:rsidRPr="002F794B">
        <w:rPr>
          <w:i/>
          <w:iCs/>
        </w:rPr>
        <w:t>Industry</w:t>
      </w:r>
      <w:proofErr w:type="spellEnd"/>
      <w:r w:rsidRPr="002F794B">
        <w:rPr>
          <w:i/>
          <w:iCs/>
        </w:rPr>
        <w:t xml:space="preserve"> Council</w:t>
      </w:r>
    </w:p>
    <w:p w14:paraId="6995681F" w14:textId="35AB102C" w:rsidR="00B33EC7" w:rsidRPr="002F794B" w:rsidRDefault="00B33EC7" w:rsidP="00B33EC7">
      <w:pPr>
        <w:rPr>
          <w:u w:val="single"/>
        </w:rPr>
      </w:pPr>
      <w:r w:rsidRPr="002F794B">
        <w:rPr>
          <w:u w:val="single"/>
        </w:rPr>
        <w:t>Comentario y propuesta</w:t>
      </w:r>
    </w:p>
    <w:p w14:paraId="23C86F57" w14:textId="6BA16ED0" w:rsidR="00B33EC7" w:rsidRPr="002F794B" w:rsidRDefault="00DE0045" w:rsidP="00B33EC7">
      <w:pPr>
        <w:ind w:left="567" w:right="616"/>
        <w:rPr>
          <w:i/>
          <w:iCs/>
        </w:rPr>
      </w:pPr>
      <w:r w:rsidRPr="002F794B">
        <w:rPr>
          <w:b/>
          <w:bCs/>
          <w:i/>
          <w:iCs/>
        </w:rPr>
        <w:t>Aclarar la exención de productos cubiertos por la NOM</w:t>
      </w:r>
      <w:r w:rsidRPr="002F794B">
        <w:rPr>
          <w:rFonts w:ascii="Cambria Math" w:hAnsi="Cambria Math" w:cs="Cambria Math"/>
          <w:b/>
          <w:bCs/>
          <w:i/>
          <w:iCs/>
        </w:rPr>
        <w:t>‐</w:t>
      </w:r>
      <w:r w:rsidRPr="002F794B">
        <w:rPr>
          <w:b/>
          <w:bCs/>
          <w:i/>
          <w:iCs/>
        </w:rPr>
        <w:t>208 y DT</w:t>
      </w:r>
      <w:r w:rsidRPr="002F794B">
        <w:rPr>
          <w:rFonts w:ascii="Cambria Math" w:hAnsi="Cambria Math" w:cs="Cambria Math"/>
          <w:b/>
          <w:bCs/>
          <w:i/>
          <w:iCs/>
        </w:rPr>
        <w:t>‐</w:t>
      </w:r>
      <w:r w:rsidRPr="002F794B">
        <w:rPr>
          <w:b/>
          <w:bCs/>
          <w:i/>
          <w:iCs/>
        </w:rPr>
        <w:t>IFT</w:t>
      </w:r>
      <w:r w:rsidRPr="002F794B">
        <w:rPr>
          <w:rFonts w:ascii="Cambria Math" w:hAnsi="Cambria Math" w:cs="Cambria Math"/>
          <w:b/>
          <w:bCs/>
          <w:i/>
          <w:iCs/>
        </w:rPr>
        <w:t>‐</w:t>
      </w:r>
      <w:r w:rsidRPr="002F794B">
        <w:rPr>
          <w:b/>
          <w:bCs/>
          <w:i/>
          <w:iCs/>
        </w:rPr>
        <w:t>008.</w:t>
      </w:r>
      <w:r w:rsidRPr="002F794B">
        <w:rPr>
          <w:i/>
          <w:iCs/>
        </w:rPr>
        <w:t xml:space="preserve"> ITI solicita que el IFT agregue una cl</w:t>
      </w:r>
      <w:r w:rsidRPr="002F794B">
        <w:rPr>
          <w:rFonts w:cs="ITC Avant Garde"/>
          <w:i/>
          <w:iCs/>
        </w:rPr>
        <w:t>á</w:t>
      </w:r>
      <w:r w:rsidRPr="002F794B">
        <w:rPr>
          <w:i/>
          <w:iCs/>
        </w:rPr>
        <w:t>usula de exenci</w:t>
      </w:r>
      <w:r w:rsidRPr="002F794B">
        <w:rPr>
          <w:rFonts w:cs="ITC Avant Garde"/>
          <w:i/>
          <w:iCs/>
        </w:rPr>
        <w:t>ó</w:t>
      </w:r>
      <w:r w:rsidRPr="002F794B">
        <w:rPr>
          <w:i/>
          <w:iCs/>
        </w:rPr>
        <w:t>n que aclare que los productos amparados por la NOM</w:t>
      </w:r>
      <w:r w:rsidRPr="002F794B">
        <w:rPr>
          <w:rFonts w:ascii="Cambria Math" w:hAnsi="Cambria Math" w:cs="Cambria Math"/>
          <w:i/>
          <w:iCs/>
        </w:rPr>
        <w:t>‐</w:t>
      </w:r>
      <w:r w:rsidRPr="002F794B">
        <w:rPr>
          <w:i/>
          <w:iCs/>
        </w:rPr>
        <w:t>208 y DT</w:t>
      </w:r>
      <w:r w:rsidR="00E16370" w:rsidRPr="002F794B">
        <w:rPr>
          <w:i/>
          <w:iCs/>
        </w:rPr>
        <w:t>-</w:t>
      </w:r>
      <w:r w:rsidRPr="002F794B">
        <w:rPr>
          <w:i/>
          <w:iCs/>
        </w:rPr>
        <w:t>IFT</w:t>
      </w:r>
      <w:r w:rsidRPr="002F794B">
        <w:rPr>
          <w:rFonts w:ascii="Cambria Math" w:hAnsi="Cambria Math" w:cs="Cambria Math"/>
          <w:i/>
          <w:iCs/>
        </w:rPr>
        <w:t>‐</w:t>
      </w:r>
      <w:r w:rsidRPr="002F794B">
        <w:rPr>
          <w:i/>
          <w:iCs/>
        </w:rPr>
        <w:t>008 quedan excluidos del alcance de esta nueva norma. De este modo se evitar</w:t>
      </w:r>
      <w:r w:rsidRPr="002F794B">
        <w:rPr>
          <w:rFonts w:cs="ITC Avant Garde"/>
          <w:i/>
          <w:iCs/>
        </w:rPr>
        <w:t>á</w:t>
      </w:r>
      <w:r w:rsidRPr="002F794B">
        <w:rPr>
          <w:i/>
          <w:iCs/>
        </w:rPr>
        <w:t xml:space="preserve"> la duplicaci</w:t>
      </w:r>
      <w:r w:rsidRPr="002F794B">
        <w:rPr>
          <w:rFonts w:cs="ITC Avant Garde"/>
          <w:i/>
          <w:iCs/>
        </w:rPr>
        <w:t>ó</w:t>
      </w:r>
      <w:r w:rsidRPr="002F794B">
        <w:rPr>
          <w:i/>
          <w:iCs/>
        </w:rPr>
        <w:t>n de requisitos para equipos ya cubiertos por otras normas.</w:t>
      </w:r>
    </w:p>
    <w:p w14:paraId="5B641CAB" w14:textId="77777777" w:rsidR="00B33EC7" w:rsidRPr="002F794B" w:rsidRDefault="00B33EC7" w:rsidP="00B33EC7">
      <w:pPr>
        <w:rPr>
          <w:u w:val="single"/>
        </w:rPr>
      </w:pPr>
      <w:r w:rsidRPr="002F794B">
        <w:rPr>
          <w:u w:val="single"/>
        </w:rPr>
        <w:t>Respuesta</w:t>
      </w:r>
    </w:p>
    <w:p w14:paraId="2AACB193" w14:textId="238E144C" w:rsidR="00B33EC7" w:rsidRPr="002F794B" w:rsidRDefault="00D767E0" w:rsidP="00B33EC7">
      <w:r w:rsidRPr="002F794B">
        <w:t>Se considera y se agrega la exención de los dispositivos que usen modulación por salto de frecuencia y por modulación digital en las bandas de 902 a 928 MHz, 2 400 a 2 483.5 MHz y 5 725 a 5 850 MHz.</w:t>
      </w:r>
    </w:p>
    <w:p w14:paraId="1710F1E1" w14:textId="77777777" w:rsidR="00B33EC7" w:rsidRPr="002F794B" w:rsidRDefault="00B33EC7" w:rsidP="00965A2C"/>
    <w:p w14:paraId="7987C7A3" w14:textId="77777777" w:rsidR="00B33EC7" w:rsidRPr="002F794B" w:rsidRDefault="00B33EC7" w:rsidP="00B33EC7">
      <w:pPr>
        <w:rPr>
          <w:u w:val="single"/>
        </w:rPr>
      </w:pPr>
      <w:r w:rsidRPr="002F794B">
        <w:rPr>
          <w:u w:val="single"/>
        </w:rPr>
        <w:t>Participante</w:t>
      </w:r>
    </w:p>
    <w:p w14:paraId="6902B438" w14:textId="2CB84A0B" w:rsidR="00B33EC7" w:rsidRPr="002F794B" w:rsidRDefault="006F483F" w:rsidP="00B33EC7">
      <w:r w:rsidRPr="002F794B">
        <w:t>Colegio de Peritos en Telecomunicaciones y Radiodifusión, A.C.</w:t>
      </w:r>
    </w:p>
    <w:p w14:paraId="27C8B9DD" w14:textId="77777777" w:rsidR="00B33EC7" w:rsidRPr="002F794B" w:rsidRDefault="00B33EC7" w:rsidP="00B33EC7">
      <w:pPr>
        <w:rPr>
          <w:u w:val="single"/>
        </w:rPr>
      </w:pPr>
      <w:r w:rsidRPr="002F794B">
        <w:rPr>
          <w:u w:val="single"/>
        </w:rPr>
        <w:t>Comentario y propuesta</w:t>
      </w:r>
    </w:p>
    <w:p w14:paraId="40D42EE0" w14:textId="77777777" w:rsidR="004E4854" w:rsidRPr="002F794B" w:rsidRDefault="004E4854" w:rsidP="004E4854">
      <w:pPr>
        <w:ind w:left="567" w:right="616"/>
        <w:rPr>
          <w:i/>
          <w:iCs/>
        </w:rPr>
      </w:pPr>
      <w:r w:rsidRPr="002F794B">
        <w:rPr>
          <w:i/>
          <w:iCs/>
        </w:rPr>
        <w:t>"(…)</w:t>
      </w:r>
    </w:p>
    <w:p w14:paraId="27171839" w14:textId="77777777" w:rsidR="004E4854" w:rsidRPr="002F794B" w:rsidRDefault="004E4854" w:rsidP="004E4854">
      <w:pPr>
        <w:ind w:left="567" w:right="616"/>
        <w:rPr>
          <w:i/>
          <w:iCs/>
        </w:rPr>
      </w:pPr>
      <w:r w:rsidRPr="002F794B">
        <w:rPr>
          <w:i/>
          <w:iCs/>
        </w:rPr>
        <w:t>Existen omisiones en las excepciones del campo de aplicación, lo que podría resultar en la duplicación de regulaciones para equipos que ya están cubiertos por disposiciones técnicas existentes, como la IFT-DT-008. Se propone una revisión exhaustiva de las excepciones para evitar redundancias con otras normas.</w:t>
      </w:r>
    </w:p>
    <w:p w14:paraId="5A8F0DE1" w14:textId="3C091C2C" w:rsidR="00B33EC7" w:rsidRPr="002F794B" w:rsidRDefault="004E4854" w:rsidP="004E4854">
      <w:pPr>
        <w:ind w:left="567" w:right="616"/>
        <w:rPr>
          <w:i/>
          <w:iCs/>
        </w:rPr>
      </w:pPr>
      <w:r w:rsidRPr="002F794B">
        <w:rPr>
          <w:i/>
          <w:iCs/>
        </w:rPr>
        <w:t>(…)"</w:t>
      </w:r>
    </w:p>
    <w:p w14:paraId="3D144C3A" w14:textId="77777777" w:rsidR="00B33EC7" w:rsidRPr="002F794B" w:rsidRDefault="00B33EC7" w:rsidP="00B33EC7">
      <w:pPr>
        <w:rPr>
          <w:u w:val="single"/>
        </w:rPr>
      </w:pPr>
      <w:r w:rsidRPr="002F794B">
        <w:rPr>
          <w:u w:val="single"/>
        </w:rPr>
        <w:t>Respuesta</w:t>
      </w:r>
    </w:p>
    <w:p w14:paraId="4EBD1E97" w14:textId="582DB930" w:rsidR="00B33EC7" w:rsidRPr="002F794B" w:rsidRDefault="00BF724F" w:rsidP="00B33EC7">
      <w:r w:rsidRPr="002F794B">
        <w:t>Se considera y se agrega la exención de los dispositivos que usen modulación por salto de frecuencia y por modulación digital en las bandas de 902 a 928 MHz, 2 400 a 2 483.5 MHz y 5 725 a 5 850 MHz.</w:t>
      </w:r>
    </w:p>
    <w:p w14:paraId="4ACB6FAB" w14:textId="77777777" w:rsidR="00B33EC7" w:rsidRPr="002F794B" w:rsidRDefault="00B33EC7" w:rsidP="00965A2C"/>
    <w:p w14:paraId="748C0D62" w14:textId="77777777" w:rsidR="00B33EC7" w:rsidRPr="002F794B" w:rsidRDefault="00B33EC7" w:rsidP="00B33EC7">
      <w:pPr>
        <w:rPr>
          <w:u w:val="single"/>
        </w:rPr>
      </w:pPr>
      <w:r w:rsidRPr="002F794B">
        <w:rPr>
          <w:u w:val="single"/>
        </w:rPr>
        <w:t>Participante</w:t>
      </w:r>
    </w:p>
    <w:p w14:paraId="3BEA6DC0" w14:textId="65EE53E4" w:rsidR="00B33EC7" w:rsidRPr="002F794B" w:rsidRDefault="000678C5" w:rsidP="00B33EC7">
      <w:r w:rsidRPr="002F794B">
        <w:t>Cámara Nacional de la Industria Electrónica, de Telecomunicaciones y Tecnologías de la Información</w:t>
      </w:r>
    </w:p>
    <w:p w14:paraId="2B81300C" w14:textId="77777777" w:rsidR="00B33EC7" w:rsidRPr="002F794B" w:rsidRDefault="00B33EC7" w:rsidP="00B33EC7">
      <w:pPr>
        <w:rPr>
          <w:u w:val="single"/>
        </w:rPr>
      </w:pPr>
      <w:r w:rsidRPr="002F794B">
        <w:rPr>
          <w:u w:val="single"/>
        </w:rPr>
        <w:t>Comentario y propuesta</w:t>
      </w:r>
    </w:p>
    <w:p w14:paraId="216FD27B" w14:textId="60523644" w:rsidR="005E51F5" w:rsidRPr="002F794B" w:rsidRDefault="005E51F5" w:rsidP="005E51F5">
      <w:pPr>
        <w:ind w:left="567" w:right="616"/>
        <w:rPr>
          <w:i/>
          <w:iCs/>
        </w:rPr>
      </w:pPr>
      <w:r w:rsidRPr="002F794B">
        <w:rPr>
          <w:i/>
          <w:iCs/>
        </w:rPr>
        <w:t>Se hace notar que las Recomendaciones UIT-REC 1631, UIT-R SM2153-5 (08/2015), UIT-R 2153-9 (07/2022), hacen énfasis al concepto “Corto Alcance”, que junto con la definición de “Baja Potencia”, van aparejadas.</w:t>
      </w:r>
    </w:p>
    <w:p w14:paraId="161D1946" w14:textId="59EA77FF" w:rsidR="00B33EC7" w:rsidRPr="002F794B" w:rsidRDefault="005E51F5" w:rsidP="005E51F5">
      <w:pPr>
        <w:ind w:left="567" w:right="616"/>
        <w:rPr>
          <w:i/>
          <w:iCs/>
        </w:rPr>
      </w:pPr>
      <w:r w:rsidRPr="002F794B">
        <w:rPr>
          <w:i/>
          <w:iCs/>
        </w:rPr>
        <w:t>¿Existe alguna razón técnica para que se omita o se sobreentiende no puede existir el uno sin el otro?</w:t>
      </w:r>
    </w:p>
    <w:p w14:paraId="755F4EE5" w14:textId="77777777" w:rsidR="00B33EC7" w:rsidRPr="002F794B" w:rsidRDefault="00B33EC7" w:rsidP="00B33EC7">
      <w:pPr>
        <w:rPr>
          <w:u w:val="single"/>
        </w:rPr>
      </w:pPr>
      <w:r w:rsidRPr="002F794B">
        <w:rPr>
          <w:u w:val="single"/>
        </w:rPr>
        <w:t>Respuesta</w:t>
      </w:r>
    </w:p>
    <w:p w14:paraId="6462976F" w14:textId="70EC6C72" w:rsidR="00B33EC7" w:rsidRPr="002F794B" w:rsidRDefault="00BD1ABF" w:rsidP="00B33EC7">
      <w:r w:rsidRPr="002F794B">
        <w:t>Este Instituto considera que el término de baja potencia describe mejor las capacidades y especificaciones técnicas de estos dispositivos. Lo anterior, debido a que no es posible definir y/o caracterizar con precisión el "corto alcance" de las transmisiones generadas por estos dispositivos.</w:t>
      </w:r>
    </w:p>
    <w:p w14:paraId="35585B0F" w14:textId="77777777" w:rsidR="00B33EC7" w:rsidRPr="002F794B" w:rsidRDefault="00B33EC7" w:rsidP="00B33EC7"/>
    <w:p w14:paraId="6F8C426D" w14:textId="77777777" w:rsidR="00461C3D" w:rsidRPr="002F794B" w:rsidRDefault="00461C3D" w:rsidP="00914CA9">
      <w:pPr>
        <w:keepNext/>
        <w:rPr>
          <w:u w:val="single"/>
        </w:rPr>
      </w:pPr>
      <w:r w:rsidRPr="002F794B">
        <w:rPr>
          <w:u w:val="single"/>
        </w:rPr>
        <w:lastRenderedPageBreak/>
        <w:t>Participante</w:t>
      </w:r>
    </w:p>
    <w:p w14:paraId="72DD4229" w14:textId="0E1B5CFF" w:rsidR="00461C3D" w:rsidRPr="002F794B" w:rsidRDefault="00461C3D" w:rsidP="00914CA9">
      <w:pPr>
        <w:keepNext/>
      </w:pPr>
      <w:r w:rsidRPr="002F794B">
        <w:t>Cámara Nacional de la Industria Electrónica, de Telecomunicaciones y Tecnologías de la Información</w:t>
      </w:r>
    </w:p>
    <w:p w14:paraId="2D4014C2" w14:textId="77777777" w:rsidR="00461C3D" w:rsidRPr="002F794B" w:rsidRDefault="00461C3D" w:rsidP="00461C3D">
      <w:pPr>
        <w:rPr>
          <w:u w:val="single"/>
        </w:rPr>
      </w:pPr>
      <w:r w:rsidRPr="002F794B">
        <w:rPr>
          <w:u w:val="single"/>
        </w:rPr>
        <w:t>Comentario y propuesta</w:t>
      </w:r>
    </w:p>
    <w:p w14:paraId="0E6925AE" w14:textId="163E069A" w:rsidR="00461C3D" w:rsidRPr="002F794B" w:rsidRDefault="00AB2DFF" w:rsidP="00AB2DFF">
      <w:pPr>
        <w:ind w:left="567" w:right="616"/>
        <w:rPr>
          <w:i/>
          <w:iCs/>
        </w:rPr>
      </w:pPr>
      <w:r w:rsidRPr="002F794B">
        <w:rPr>
          <w:i/>
          <w:iCs/>
        </w:rPr>
        <w:t>Se sugiere agregar una cláusula de exención para aclarar que los productos que están dentro del campo de aplicación de la NOM-208-2015 y DT IFT-008, están excluidos del alcance de la DT IFT-016.</w:t>
      </w:r>
    </w:p>
    <w:p w14:paraId="72D73776" w14:textId="77777777" w:rsidR="00461C3D" w:rsidRPr="002F794B" w:rsidRDefault="00461C3D" w:rsidP="00461C3D">
      <w:pPr>
        <w:rPr>
          <w:u w:val="single"/>
        </w:rPr>
      </w:pPr>
      <w:r w:rsidRPr="002F794B">
        <w:rPr>
          <w:u w:val="single"/>
        </w:rPr>
        <w:t>Respuesta</w:t>
      </w:r>
    </w:p>
    <w:p w14:paraId="45778CFF" w14:textId="7862B660" w:rsidR="00461C3D" w:rsidRPr="002F794B" w:rsidRDefault="00914CA9" w:rsidP="00461C3D">
      <w:r w:rsidRPr="002F794B">
        <w:t>Se considera y se agrega la exención de los dispositivos que usen modulación por salto de frecuencia y por modulación digital en las bandas de 902 a 928 MHz, 2 400 a 2 483.5 MHz y 5 725 a 5 850 MHz.</w:t>
      </w:r>
    </w:p>
    <w:p w14:paraId="1668F878" w14:textId="77777777" w:rsidR="00461C3D" w:rsidRPr="002F794B" w:rsidRDefault="00461C3D" w:rsidP="00461C3D"/>
    <w:p w14:paraId="314D21D0" w14:textId="77777777" w:rsidR="00461C3D" w:rsidRPr="002F794B" w:rsidRDefault="00461C3D" w:rsidP="00461C3D">
      <w:pPr>
        <w:rPr>
          <w:u w:val="single"/>
        </w:rPr>
      </w:pPr>
      <w:r w:rsidRPr="002F794B">
        <w:rPr>
          <w:u w:val="single"/>
        </w:rPr>
        <w:t>Participante</w:t>
      </w:r>
    </w:p>
    <w:p w14:paraId="7717077E" w14:textId="28F6CF3B" w:rsidR="00461C3D" w:rsidRPr="002F794B" w:rsidRDefault="00AA7FF2" w:rsidP="00461C3D">
      <w:r w:rsidRPr="002F794B">
        <w:t>Cámara Nacional de la Industria Electrónica, de Telecomunicaciones y Tecnologías de la Información</w:t>
      </w:r>
    </w:p>
    <w:p w14:paraId="4987724C" w14:textId="77777777" w:rsidR="00461C3D" w:rsidRPr="002F794B" w:rsidRDefault="00461C3D" w:rsidP="00461C3D">
      <w:pPr>
        <w:rPr>
          <w:u w:val="single"/>
        </w:rPr>
      </w:pPr>
      <w:r w:rsidRPr="002F794B">
        <w:rPr>
          <w:u w:val="single"/>
        </w:rPr>
        <w:t>Comentario y propuesta</w:t>
      </w:r>
    </w:p>
    <w:p w14:paraId="64950983" w14:textId="77777777" w:rsidR="00AA7FF2" w:rsidRPr="002F794B" w:rsidRDefault="00AA7FF2" w:rsidP="00AA7FF2">
      <w:pPr>
        <w:ind w:left="567" w:right="616"/>
        <w:rPr>
          <w:b/>
          <w:bCs/>
          <w:i/>
          <w:iCs/>
        </w:rPr>
      </w:pPr>
      <w:r w:rsidRPr="002F794B">
        <w:rPr>
          <w:b/>
          <w:bCs/>
          <w:i/>
          <w:iCs/>
        </w:rPr>
        <w:t>PROPUESTA:</w:t>
      </w:r>
    </w:p>
    <w:p w14:paraId="449AD063" w14:textId="77777777" w:rsidR="00AA7FF2" w:rsidRPr="002F794B" w:rsidRDefault="00AA7FF2" w:rsidP="00AA7FF2">
      <w:pPr>
        <w:ind w:left="567" w:right="616"/>
        <w:rPr>
          <w:i/>
          <w:iCs/>
        </w:rPr>
      </w:pPr>
      <w:r w:rsidRPr="002F794B">
        <w:rPr>
          <w:i/>
          <w:iCs/>
        </w:rPr>
        <w:t>Se solicita atentamente al IFT, agregar un párrafo que mencione lo siguiente:</w:t>
      </w:r>
    </w:p>
    <w:p w14:paraId="428C025F" w14:textId="5FF1A166" w:rsidR="00AA7FF2" w:rsidRPr="002F794B" w:rsidRDefault="00AA7FF2" w:rsidP="00686503">
      <w:pPr>
        <w:ind w:left="851" w:right="900"/>
        <w:rPr>
          <w:i/>
          <w:iCs/>
        </w:rPr>
      </w:pPr>
      <w:r w:rsidRPr="002F794B">
        <w:rPr>
          <w:i/>
          <w:iCs/>
        </w:rPr>
        <w:t>“Para los casos particulares de aquellos productos que operan en las bandas 902 MHz – 928 MHz y 2400 MHz – 2483.5 MHz de la presente DT que utilizan la técnica de espectro disperso (modulación digital, así como aquellos del tipo híbrido, que para su operación utilizan la técnica de modulación digital, así como la modulación de salto en frecuencia), deben evaluarse de conformidad con la “Disposición Técnica IFT-008-2015: Sistemas de radiocomunicación que emplean la técnica de espectro disperso-Equipos de radiocomunicación por salto de frecuencia y por modulación digital a operar en las bandas 902-928 MHz, 2400-2483.5 MHz y 5725-5850 MHz-Especificaciones, límites y métodos de prueba.”, así como aquellas disposiciones que la modifiquen o sustituyan.”</w:t>
      </w:r>
    </w:p>
    <w:p w14:paraId="1043DE71" w14:textId="77777777" w:rsidR="00AA7FF2" w:rsidRPr="002F794B" w:rsidRDefault="00AA7FF2" w:rsidP="00AA7FF2">
      <w:pPr>
        <w:ind w:left="567" w:right="616"/>
        <w:rPr>
          <w:b/>
          <w:bCs/>
          <w:i/>
          <w:iCs/>
        </w:rPr>
      </w:pPr>
      <w:r w:rsidRPr="002F794B">
        <w:rPr>
          <w:b/>
          <w:bCs/>
          <w:i/>
          <w:iCs/>
        </w:rPr>
        <w:t>JUSTIFICACIÓN:</w:t>
      </w:r>
    </w:p>
    <w:p w14:paraId="344D8373" w14:textId="77777777" w:rsidR="00AA7FF2" w:rsidRPr="002F794B" w:rsidRDefault="00AA7FF2" w:rsidP="00AA7FF2">
      <w:pPr>
        <w:ind w:left="567" w:right="616"/>
        <w:rPr>
          <w:i/>
          <w:iCs/>
        </w:rPr>
      </w:pPr>
      <w:r w:rsidRPr="002F794B">
        <w:rPr>
          <w:i/>
          <w:iCs/>
        </w:rPr>
        <w:t xml:space="preserve">La disposición no es clara en cuanto qué disposición técnica le aplica a los Productos Genéricos que operan en las bandas de 902-928 MHz y </w:t>
      </w:r>
      <w:r w:rsidRPr="002F794B">
        <w:rPr>
          <w:i/>
          <w:iCs/>
        </w:rPr>
        <w:lastRenderedPageBreak/>
        <w:t>2400-2483.5 MHz, mismas que se mencionan en la DT-008-2015, por lo que se propone en todo caso el párrafo para aclarar técnicamente que DT le aplica.</w:t>
      </w:r>
    </w:p>
    <w:p w14:paraId="6C389B75" w14:textId="0CAD2F0F" w:rsidR="00461C3D" w:rsidRPr="002F794B" w:rsidRDefault="00AA7FF2" w:rsidP="00AA7FF2">
      <w:pPr>
        <w:ind w:left="567" w:right="616"/>
        <w:rPr>
          <w:i/>
          <w:iCs/>
        </w:rPr>
      </w:pPr>
      <w:r w:rsidRPr="002F794B">
        <w:rPr>
          <w:i/>
          <w:iCs/>
        </w:rPr>
        <w:t>En el caso de la FCC, los fabricantes tienen la capacidad de elegir qué estándar seguir. Por ejemplo, en el caso de 2.4 GHz, los fabricantes pueden optar por certificar por debajo de la 15.249 o 15.247.</w:t>
      </w:r>
    </w:p>
    <w:p w14:paraId="52B0CD24" w14:textId="77777777" w:rsidR="00461C3D" w:rsidRPr="002F794B" w:rsidRDefault="00461C3D" w:rsidP="00461C3D">
      <w:pPr>
        <w:rPr>
          <w:u w:val="single"/>
        </w:rPr>
      </w:pPr>
      <w:r w:rsidRPr="002F794B">
        <w:rPr>
          <w:u w:val="single"/>
        </w:rPr>
        <w:t>Respuesta</w:t>
      </w:r>
    </w:p>
    <w:p w14:paraId="63BABECF" w14:textId="38140088" w:rsidR="00461C3D" w:rsidRPr="002F794B" w:rsidRDefault="00A37777" w:rsidP="00461C3D">
      <w:r w:rsidRPr="002F794B">
        <w:t xml:space="preserve">Se considera </w:t>
      </w:r>
      <w:r w:rsidR="00A1217D" w:rsidRPr="002F794B">
        <w:t xml:space="preserve">parcialmente se modifica para dar claridad al texto </w:t>
      </w:r>
      <w:r w:rsidRPr="002F794B">
        <w:t>y se agrega la exención de los dispositivos que usen modulación por salto de frecuencia y por modulación digital en las bandas de 902 a 928 MHz, 2 400 a 2 483.5 MHz y 5 725 a 5 850 MHz</w:t>
      </w:r>
      <w:r w:rsidR="001914F3" w:rsidRPr="002F794B">
        <w:t>.</w:t>
      </w:r>
    </w:p>
    <w:p w14:paraId="0E36F826" w14:textId="77777777" w:rsidR="00461C3D" w:rsidRPr="002F794B" w:rsidRDefault="00461C3D" w:rsidP="00461C3D"/>
    <w:p w14:paraId="1840E8C6" w14:textId="77777777" w:rsidR="00461C3D" w:rsidRPr="002F794B" w:rsidRDefault="00461C3D" w:rsidP="00461C3D">
      <w:pPr>
        <w:rPr>
          <w:u w:val="single"/>
        </w:rPr>
      </w:pPr>
      <w:r w:rsidRPr="002F794B">
        <w:rPr>
          <w:u w:val="single"/>
        </w:rPr>
        <w:t>Participante</w:t>
      </w:r>
    </w:p>
    <w:p w14:paraId="0D2EB259" w14:textId="61386B35" w:rsidR="00461C3D" w:rsidRPr="002F794B" w:rsidRDefault="001914F3" w:rsidP="00461C3D">
      <w:r w:rsidRPr="002F794B">
        <w:t>Rigoberto Cruz Alfaro</w:t>
      </w:r>
    </w:p>
    <w:p w14:paraId="537CBF92" w14:textId="77777777" w:rsidR="00461C3D" w:rsidRPr="002F794B" w:rsidRDefault="00461C3D" w:rsidP="00461C3D">
      <w:pPr>
        <w:rPr>
          <w:u w:val="single"/>
        </w:rPr>
      </w:pPr>
      <w:r w:rsidRPr="002F794B">
        <w:rPr>
          <w:u w:val="single"/>
        </w:rPr>
        <w:t>Comentario y propuesta</w:t>
      </w:r>
    </w:p>
    <w:p w14:paraId="73CE2990" w14:textId="76CBE5DB" w:rsidR="00461C3D" w:rsidRPr="002F794B" w:rsidRDefault="002351C7" w:rsidP="002351C7">
      <w:pPr>
        <w:ind w:left="567" w:right="616"/>
        <w:rPr>
          <w:i/>
          <w:iCs/>
        </w:rPr>
      </w:pPr>
      <w:r w:rsidRPr="002F794B">
        <w:rPr>
          <w:i/>
          <w:iCs/>
        </w:rPr>
        <w:t>Sugerimos que se haga la precisión de “¿qué es baja potencia?” en la parte donde dice “equipos o productos de radiocomunicación de baja potencia”, ya que es muy general esta expresión. El precisar este dato evitaría confusiones, es decir, definir la potencia máxima de transmisión y/o intensidad de campo eléctrico para determinar si es o no un equipo de baja potencia.</w:t>
      </w:r>
    </w:p>
    <w:p w14:paraId="471D7E3C" w14:textId="77777777" w:rsidR="00461C3D" w:rsidRPr="002F794B" w:rsidRDefault="00461C3D" w:rsidP="00461C3D">
      <w:pPr>
        <w:rPr>
          <w:u w:val="single"/>
        </w:rPr>
      </w:pPr>
      <w:r w:rsidRPr="002F794B">
        <w:rPr>
          <w:u w:val="single"/>
        </w:rPr>
        <w:t>Respuesta</w:t>
      </w:r>
    </w:p>
    <w:p w14:paraId="5180A6A0" w14:textId="512F47CF" w:rsidR="00461C3D" w:rsidRPr="002F794B" w:rsidRDefault="00A37777" w:rsidP="00461C3D">
      <w:r w:rsidRPr="002F794B">
        <w:t>No se considera. En el numeral 7 de la DT se definen niveles máximos de intensidad de campo eléctrico o potencia para cada una de las categorías de DRBP, así como por banda de frecuencias de operación.</w:t>
      </w:r>
    </w:p>
    <w:p w14:paraId="4F85385E" w14:textId="77777777" w:rsidR="00461C3D" w:rsidRPr="002F794B" w:rsidRDefault="00461C3D" w:rsidP="00461C3D"/>
    <w:p w14:paraId="329BE16D" w14:textId="77777777" w:rsidR="00461C3D" w:rsidRPr="002F794B" w:rsidRDefault="00461C3D" w:rsidP="00461C3D">
      <w:pPr>
        <w:rPr>
          <w:u w:val="single"/>
        </w:rPr>
      </w:pPr>
      <w:r w:rsidRPr="002F794B">
        <w:rPr>
          <w:u w:val="single"/>
        </w:rPr>
        <w:t>Participante</w:t>
      </w:r>
    </w:p>
    <w:p w14:paraId="2123D643" w14:textId="2C2FD061" w:rsidR="00461C3D" w:rsidRPr="002F794B" w:rsidRDefault="007F38EA" w:rsidP="00461C3D">
      <w:r w:rsidRPr="002F794B">
        <w:t>Apple Operations México, S.A. de C.V.</w:t>
      </w:r>
    </w:p>
    <w:p w14:paraId="76DF7CA3" w14:textId="77777777" w:rsidR="00461C3D" w:rsidRPr="002F794B" w:rsidRDefault="00461C3D" w:rsidP="00461C3D">
      <w:pPr>
        <w:rPr>
          <w:u w:val="single"/>
        </w:rPr>
      </w:pPr>
      <w:r w:rsidRPr="002F794B">
        <w:rPr>
          <w:u w:val="single"/>
        </w:rPr>
        <w:t>Comentario y propuesta</w:t>
      </w:r>
    </w:p>
    <w:p w14:paraId="16C83F80" w14:textId="77777777" w:rsidR="00F65442" w:rsidRPr="002F794B" w:rsidRDefault="00F65442" w:rsidP="00F65442">
      <w:pPr>
        <w:ind w:left="567" w:right="616"/>
        <w:rPr>
          <w:i/>
          <w:iCs/>
        </w:rPr>
      </w:pPr>
      <w:r w:rsidRPr="002F794B">
        <w:rPr>
          <w:i/>
          <w:iCs/>
        </w:rPr>
        <w:t>Propuesta:</w:t>
      </w:r>
    </w:p>
    <w:p w14:paraId="1B38BF5C" w14:textId="77777777" w:rsidR="00F65442" w:rsidRPr="002F794B" w:rsidRDefault="00F65442" w:rsidP="00F65442">
      <w:pPr>
        <w:ind w:left="567" w:right="616"/>
        <w:rPr>
          <w:i/>
          <w:iCs/>
        </w:rPr>
      </w:pPr>
      <w:r w:rsidRPr="002F794B">
        <w:rPr>
          <w:i/>
          <w:iCs/>
        </w:rPr>
        <w:t>Agregar un párrafo que mencione lo siguiente:</w:t>
      </w:r>
    </w:p>
    <w:p w14:paraId="1CB013A8" w14:textId="517A5292" w:rsidR="00F65442" w:rsidRPr="002F794B" w:rsidRDefault="00F65442" w:rsidP="00F65442">
      <w:pPr>
        <w:ind w:left="567" w:right="616"/>
        <w:rPr>
          <w:i/>
          <w:iCs/>
        </w:rPr>
      </w:pPr>
      <w:r w:rsidRPr="002F794B">
        <w:rPr>
          <w:i/>
          <w:iCs/>
        </w:rPr>
        <w:t xml:space="preserve">Para los casos particulares de aquellos productos que operan en las bandas 902 MHz – 928 MHz y 2400 MHz – 2483.5 MHz de la presente DT que utilizan la técnica de modulación digital, así como aquellos del tipo </w:t>
      </w:r>
      <w:r w:rsidRPr="002F794B">
        <w:rPr>
          <w:i/>
          <w:iCs/>
        </w:rPr>
        <w:lastRenderedPageBreak/>
        <w:t>híbrido, que para su operación utilizan la técnica de modulación digital, así como la modulación de salto en frecuencia, deben evaluarse de conformidad con la “Disposición Técnica IFT-008-2015: Sistemas de radiocomunicación que emplean la técnica de espectro disperso-Equipos de radiocomunicación por salto de frecuencia y por modulación digital a operar en las bandas 902-928 MHz, 2400-2483.5 MHz y 5725-5850 MHz-Especificaciones, límites y métodos de prueba.”, así como aquellas disposiciones que la modifiquen o sustituyan.</w:t>
      </w:r>
    </w:p>
    <w:p w14:paraId="29EEC290" w14:textId="77777777" w:rsidR="00F65442" w:rsidRPr="002F794B" w:rsidRDefault="00F65442" w:rsidP="00F65442">
      <w:pPr>
        <w:ind w:left="567" w:right="616"/>
        <w:rPr>
          <w:i/>
          <w:iCs/>
        </w:rPr>
      </w:pPr>
      <w:r w:rsidRPr="002F794B">
        <w:rPr>
          <w:i/>
          <w:iCs/>
        </w:rPr>
        <w:t>Justificación:</w:t>
      </w:r>
    </w:p>
    <w:p w14:paraId="7BECEBFE" w14:textId="5F083F67" w:rsidR="00F65442" w:rsidRPr="002F794B" w:rsidRDefault="00F65442" w:rsidP="00F65442">
      <w:pPr>
        <w:ind w:left="567" w:right="616"/>
        <w:rPr>
          <w:i/>
          <w:iCs/>
        </w:rPr>
      </w:pPr>
      <w:r w:rsidRPr="002F794B">
        <w:rPr>
          <w:i/>
          <w:iCs/>
        </w:rPr>
        <w:t>La Disposición no es clara en cuanto a cuál disposición técnica le</w:t>
      </w:r>
      <w:r w:rsidR="00945A94" w:rsidRPr="002F794B">
        <w:rPr>
          <w:i/>
          <w:iCs/>
        </w:rPr>
        <w:t xml:space="preserve"> </w:t>
      </w:r>
      <w:r w:rsidRPr="002F794B">
        <w:rPr>
          <w:i/>
          <w:iCs/>
        </w:rPr>
        <w:t>aplica a los Productos Genéricos que operan en las bandas de</w:t>
      </w:r>
      <w:r w:rsidR="00945A94" w:rsidRPr="002F794B">
        <w:rPr>
          <w:i/>
          <w:iCs/>
        </w:rPr>
        <w:t xml:space="preserve"> </w:t>
      </w:r>
      <w:r w:rsidRPr="002F794B">
        <w:rPr>
          <w:i/>
          <w:iCs/>
        </w:rPr>
        <w:t>902-928 MHz y 2400-2483.5 MHz, mismas que se mencionan en la</w:t>
      </w:r>
      <w:r w:rsidR="00945A94" w:rsidRPr="002F794B">
        <w:rPr>
          <w:i/>
          <w:iCs/>
        </w:rPr>
        <w:t xml:space="preserve"> </w:t>
      </w:r>
      <w:r w:rsidRPr="002F794B">
        <w:rPr>
          <w:i/>
          <w:iCs/>
        </w:rPr>
        <w:t>DT-008-2015, por lo que se propone el párrafo para aclarar</w:t>
      </w:r>
      <w:r w:rsidR="00945A94" w:rsidRPr="002F794B">
        <w:rPr>
          <w:i/>
          <w:iCs/>
        </w:rPr>
        <w:t xml:space="preserve"> </w:t>
      </w:r>
      <w:r w:rsidRPr="002F794B">
        <w:rPr>
          <w:i/>
          <w:iCs/>
        </w:rPr>
        <w:t>técnicamente que DT le aplica.</w:t>
      </w:r>
    </w:p>
    <w:p w14:paraId="76BD712C" w14:textId="42C32244" w:rsidR="00461C3D" w:rsidRPr="002F794B" w:rsidRDefault="00F65442" w:rsidP="00F65442">
      <w:pPr>
        <w:ind w:left="567" w:right="616"/>
        <w:rPr>
          <w:i/>
          <w:iCs/>
        </w:rPr>
      </w:pPr>
      <w:r w:rsidRPr="002F794B">
        <w:rPr>
          <w:i/>
          <w:iCs/>
        </w:rPr>
        <w:t>En el caso de la FCC, los fabricantes tienen la opción de elegir</w:t>
      </w:r>
      <w:r w:rsidR="00945A94" w:rsidRPr="002F794B">
        <w:rPr>
          <w:i/>
          <w:iCs/>
        </w:rPr>
        <w:t xml:space="preserve"> </w:t>
      </w:r>
      <w:r w:rsidRPr="002F794B">
        <w:rPr>
          <w:i/>
          <w:iCs/>
        </w:rPr>
        <w:t>qué estándar seguir. Por ejemplo, en el caso de 2.4 GHz, los</w:t>
      </w:r>
      <w:r w:rsidR="00945A94" w:rsidRPr="002F794B">
        <w:rPr>
          <w:i/>
          <w:iCs/>
        </w:rPr>
        <w:t xml:space="preserve"> </w:t>
      </w:r>
      <w:r w:rsidRPr="002F794B">
        <w:rPr>
          <w:i/>
          <w:iCs/>
        </w:rPr>
        <w:t>fabricantes pueden optar por certificar por debajo de la 15.249 o</w:t>
      </w:r>
      <w:r w:rsidR="00945A94" w:rsidRPr="002F794B">
        <w:rPr>
          <w:i/>
          <w:iCs/>
        </w:rPr>
        <w:t xml:space="preserve"> </w:t>
      </w:r>
      <w:r w:rsidRPr="002F794B">
        <w:rPr>
          <w:i/>
          <w:iCs/>
        </w:rPr>
        <w:t>15.247.</w:t>
      </w:r>
    </w:p>
    <w:p w14:paraId="5CAB9DD8" w14:textId="77777777" w:rsidR="00461C3D" w:rsidRPr="002F794B" w:rsidRDefault="00461C3D" w:rsidP="00461C3D">
      <w:pPr>
        <w:rPr>
          <w:u w:val="single"/>
        </w:rPr>
      </w:pPr>
      <w:r w:rsidRPr="002F794B">
        <w:rPr>
          <w:u w:val="single"/>
        </w:rPr>
        <w:t>Respuesta</w:t>
      </w:r>
    </w:p>
    <w:p w14:paraId="3ED340DC" w14:textId="76DA0B52" w:rsidR="00461C3D" w:rsidRPr="002F794B" w:rsidRDefault="00374788" w:rsidP="00461C3D">
      <w:r w:rsidRPr="002F794B">
        <w:t>Se considera y se agrega la exención de los dispositivos que usen modulación por salto de frecuencia y por modulación digital en las bandas de 902 a 928 MHz, 2 400 a 2 483.5 MHz y 5 725 a 5 850 MHz</w:t>
      </w:r>
      <w:r w:rsidR="00F96CF2" w:rsidRPr="002F794B">
        <w:t>.</w:t>
      </w:r>
    </w:p>
    <w:p w14:paraId="496C0626" w14:textId="77777777" w:rsidR="00461C3D" w:rsidRPr="002F794B" w:rsidRDefault="00461C3D" w:rsidP="00461C3D"/>
    <w:p w14:paraId="0FA0982D" w14:textId="77777777" w:rsidR="00461C3D" w:rsidRPr="002F794B" w:rsidRDefault="00461C3D" w:rsidP="00461C3D">
      <w:pPr>
        <w:rPr>
          <w:u w:val="single"/>
        </w:rPr>
      </w:pPr>
      <w:r w:rsidRPr="002F794B">
        <w:rPr>
          <w:u w:val="single"/>
        </w:rPr>
        <w:t>Participante</w:t>
      </w:r>
    </w:p>
    <w:p w14:paraId="1EFAA435" w14:textId="32945DD8" w:rsidR="00461C3D" w:rsidRPr="002F794B" w:rsidRDefault="00D40477" w:rsidP="00461C3D">
      <w:r w:rsidRPr="002F794B">
        <w:t>Apple Operations México, S.A. de C.V.</w:t>
      </w:r>
    </w:p>
    <w:p w14:paraId="107A3F07" w14:textId="77777777" w:rsidR="00461C3D" w:rsidRPr="002F794B" w:rsidRDefault="00461C3D" w:rsidP="00461C3D">
      <w:pPr>
        <w:rPr>
          <w:u w:val="single"/>
        </w:rPr>
      </w:pPr>
      <w:r w:rsidRPr="002F794B">
        <w:rPr>
          <w:u w:val="single"/>
        </w:rPr>
        <w:t>Comentario y propuesta</w:t>
      </w:r>
    </w:p>
    <w:p w14:paraId="0569E931" w14:textId="3AE89CE9" w:rsidR="00C27B5F" w:rsidRPr="002F794B" w:rsidRDefault="0085357C" w:rsidP="001A14F4">
      <w:pPr>
        <w:ind w:left="567" w:right="616"/>
        <w:rPr>
          <w:i/>
          <w:iCs/>
        </w:rPr>
      </w:pPr>
      <w:r w:rsidRPr="002F794B">
        <w:rPr>
          <w:noProof/>
        </w:rPr>
        <w:lastRenderedPageBreak/>
        <w:drawing>
          <wp:anchor distT="0" distB="0" distL="114300" distR="114300" simplePos="0" relativeHeight="251658244" behindDoc="0" locked="0" layoutInCell="1" allowOverlap="1" wp14:anchorId="11B4A13C" wp14:editId="1B5AA476">
            <wp:simplePos x="0" y="0"/>
            <wp:positionH relativeFrom="column">
              <wp:posOffset>361315</wp:posOffset>
            </wp:positionH>
            <wp:positionV relativeFrom="paragraph">
              <wp:posOffset>284480</wp:posOffset>
            </wp:positionV>
            <wp:extent cx="5220970" cy="4114800"/>
            <wp:effectExtent l="0" t="0" r="0" b="0"/>
            <wp:wrapTopAndBottom/>
            <wp:docPr id="214330098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00986" name="Imagen 1" descr="Tabl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220970" cy="4114800"/>
                    </a:xfrm>
                    <a:prstGeom prst="rect">
                      <a:avLst/>
                    </a:prstGeom>
                  </pic:spPr>
                </pic:pic>
              </a:graphicData>
            </a:graphic>
            <wp14:sizeRelH relativeFrom="page">
              <wp14:pctWidth>0</wp14:pctWidth>
            </wp14:sizeRelH>
            <wp14:sizeRelV relativeFrom="page">
              <wp14:pctHeight>0</wp14:pctHeight>
            </wp14:sizeRelV>
          </wp:anchor>
        </w:drawing>
      </w:r>
      <w:r w:rsidR="00C27B5F" w:rsidRPr="002F794B">
        <w:rPr>
          <w:i/>
          <w:iCs/>
        </w:rPr>
        <w:t>Dice:</w:t>
      </w:r>
    </w:p>
    <w:p w14:paraId="17583ED1" w14:textId="671F6813" w:rsidR="00C27B5F" w:rsidRPr="002F794B" w:rsidRDefault="00C27B5F" w:rsidP="001A14F4">
      <w:pPr>
        <w:ind w:left="567" w:right="616"/>
        <w:rPr>
          <w:i/>
          <w:iCs/>
        </w:rPr>
      </w:pPr>
    </w:p>
    <w:p w14:paraId="415F23A3" w14:textId="585A0FB2" w:rsidR="00C27B5F" w:rsidRPr="002F794B" w:rsidRDefault="00C27B5F" w:rsidP="001A14F4">
      <w:pPr>
        <w:ind w:left="567" w:right="616"/>
        <w:rPr>
          <w:i/>
          <w:iCs/>
        </w:rPr>
      </w:pPr>
      <w:r w:rsidRPr="002F794B">
        <w:rPr>
          <w:i/>
          <w:iCs/>
        </w:rPr>
        <w:t>Debe decir:</w:t>
      </w:r>
    </w:p>
    <w:p w14:paraId="42044C3E" w14:textId="2B1765E7" w:rsidR="0085357C" w:rsidRPr="002F794B" w:rsidRDefault="00FC0AE9" w:rsidP="001A14F4">
      <w:pPr>
        <w:ind w:left="567" w:right="616"/>
        <w:rPr>
          <w:i/>
          <w:iCs/>
        </w:rPr>
      </w:pPr>
      <w:r w:rsidRPr="002F794B">
        <w:rPr>
          <w:noProof/>
        </w:rPr>
        <w:drawing>
          <wp:anchor distT="0" distB="0" distL="114300" distR="114300" simplePos="0" relativeHeight="251658245" behindDoc="0" locked="0" layoutInCell="1" allowOverlap="1" wp14:anchorId="3BAD2935" wp14:editId="077AB693">
            <wp:simplePos x="0" y="0"/>
            <wp:positionH relativeFrom="column">
              <wp:posOffset>361315</wp:posOffset>
            </wp:positionH>
            <wp:positionV relativeFrom="paragraph">
              <wp:posOffset>-4970780</wp:posOffset>
            </wp:positionV>
            <wp:extent cx="5222875" cy="4946650"/>
            <wp:effectExtent l="0" t="0" r="0" b="6350"/>
            <wp:wrapTopAndBottom/>
            <wp:docPr id="82047656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76560" name="Imagen 1" descr="Tabl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5222875" cy="4946650"/>
                    </a:xfrm>
                    <a:prstGeom prst="rect">
                      <a:avLst/>
                    </a:prstGeom>
                  </pic:spPr>
                </pic:pic>
              </a:graphicData>
            </a:graphic>
            <wp14:sizeRelH relativeFrom="page">
              <wp14:pctWidth>0</wp14:pctWidth>
            </wp14:sizeRelH>
            <wp14:sizeRelV relativeFrom="page">
              <wp14:pctHeight>0</wp14:pctHeight>
            </wp14:sizeRelV>
          </wp:anchor>
        </w:drawing>
      </w:r>
    </w:p>
    <w:p w14:paraId="165CF579" w14:textId="49CE2B8F" w:rsidR="001A14F4" w:rsidRPr="002F794B" w:rsidRDefault="001A14F4" w:rsidP="001A14F4">
      <w:pPr>
        <w:ind w:left="567" w:right="616"/>
        <w:rPr>
          <w:i/>
          <w:iCs/>
        </w:rPr>
      </w:pPr>
      <w:r w:rsidRPr="002F794B">
        <w:rPr>
          <w:i/>
          <w:iCs/>
        </w:rPr>
        <w:t>Justificación:</w:t>
      </w:r>
    </w:p>
    <w:p w14:paraId="3CD0A4BE" w14:textId="7810CF44" w:rsidR="00461C3D" w:rsidRPr="002F794B" w:rsidRDefault="001A14F4" w:rsidP="001A14F4">
      <w:pPr>
        <w:ind w:left="567" w:right="616"/>
        <w:rPr>
          <w:i/>
          <w:iCs/>
        </w:rPr>
      </w:pPr>
      <w:r w:rsidRPr="002F794B">
        <w:rPr>
          <w:i/>
          <w:iCs/>
        </w:rPr>
        <w:t xml:space="preserve">Vemos necesario especificar la distancia de medición para los </w:t>
      </w:r>
      <w:proofErr w:type="spellStart"/>
      <w:r w:rsidRPr="002F794B">
        <w:rPr>
          <w:i/>
          <w:iCs/>
        </w:rPr>
        <w:t>limites</w:t>
      </w:r>
      <w:proofErr w:type="spellEnd"/>
      <w:r w:rsidRPr="002F794B">
        <w:rPr>
          <w:i/>
          <w:iCs/>
        </w:rPr>
        <w:t xml:space="preserve"> de la tabla 5, agregando una nota en caso de que las condiciones de la configuración de prueba no permita observar los resultados, se podrá realizar la prueba en campo cercano.</w:t>
      </w:r>
    </w:p>
    <w:p w14:paraId="2B4CE584" w14:textId="77777777" w:rsidR="00461C3D" w:rsidRPr="002F794B" w:rsidRDefault="00461C3D" w:rsidP="00461C3D">
      <w:pPr>
        <w:rPr>
          <w:u w:val="single"/>
        </w:rPr>
      </w:pPr>
      <w:r w:rsidRPr="002F794B">
        <w:rPr>
          <w:u w:val="single"/>
        </w:rPr>
        <w:t>Respuesta</w:t>
      </w:r>
    </w:p>
    <w:p w14:paraId="326DBD46" w14:textId="77EF265A" w:rsidR="00144DEE" w:rsidRPr="002F794B" w:rsidRDefault="00144DEE" w:rsidP="00144DEE">
      <w:r w:rsidRPr="002F794B">
        <w:t>No se considera. La distancia de medición se establece en la Figura 2 del numeral 8.3.1.2. denominado “Configuración para medición de emisiones radiadas”.</w:t>
      </w:r>
    </w:p>
    <w:p w14:paraId="6A96875C" w14:textId="77777777" w:rsidR="00461C3D" w:rsidRPr="002F794B" w:rsidRDefault="00461C3D" w:rsidP="00461C3D"/>
    <w:p w14:paraId="72930016" w14:textId="77777777" w:rsidR="00461C3D" w:rsidRPr="002F794B" w:rsidRDefault="00461C3D" w:rsidP="00461C3D">
      <w:pPr>
        <w:rPr>
          <w:u w:val="single"/>
        </w:rPr>
      </w:pPr>
      <w:r w:rsidRPr="002F794B">
        <w:rPr>
          <w:u w:val="single"/>
        </w:rPr>
        <w:t>Participante</w:t>
      </w:r>
    </w:p>
    <w:p w14:paraId="0C7734F8" w14:textId="3CACF89D" w:rsidR="00461C3D" w:rsidRPr="002F794B" w:rsidRDefault="003F4D2A" w:rsidP="00461C3D">
      <w:r w:rsidRPr="002F794B">
        <w:t>Salvador Moreno Rosas</w:t>
      </w:r>
    </w:p>
    <w:p w14:paraId="5437D400" w14:textId="77777777" w:rsidR="00461C3D" w:rsidRPr="002F794B" w:rsidRDefault="00461C3D" w:rsidP="00461C3D">
      <w:pPr>
        <w:rPr>
          <w:u w:val="single"/>
        </w:rPr>
      </w:pPr>
      <w:r w:rsidRPr="002F794B">
        <w:rPr>
          <w:u w:val="single"/>
        </w:rPr>
        <w:t>Comentario y propuesta</w:t>
      </w:r>
    </w:p>
    <w:p w14:paraId="7CCCEFE5" w14:textId="39975086" w:rsidR="00461C3D" w:rsidRPr="002F794B" w:rsidRDefault="00994191" w:rsidP="00994191">
      <w:pPr>
        <w:ind w:left="567" w:right="616"/>
        <w:rPr>
          <w:i/>
          <w:iCs/>
        </w:rPr>
      </w:pPr>
      <w:r w:rsidRPr="002F794B">
        <w:rPr>
          <w:i/>
          <w:iCs/>
        </w:rPr>
        <w:t xml:space="preserve">Se han omitido bandas de operación de los equipos de Corto Alcance y Baja Potencia, por debajo de 30 MHz., y por encima de los 3000 MHz. Que tratamiento se les dará a los mismos en un procedimiento de homologación o porque se omiten? Ejemplo de </w:t>
      </w:r>
      <w:proofErr w:type="gramStart"/>
      <w:r w:rsidRPr="002F794B">
        <w:rPr>
          <w:i/>
          <w:iCs/>
        </w:rPr>
        <w:t>los mismos</w:t>
      </w:r>
      <w:proofErr w:type="gramEnd"/>
      <w:r w:rsidRPr="002F794B">
        <w:rPr>
          <w:i/>
          <w:iCs/>
        </w:rPr>
        <w:t xml:space="preserve"> son Lectores de proximidad, biométricos, etc., que operan en las bandas de 125 kHz y 13.567 MHz.</w:t>
      </w:r>
    </w:p>
    <w:p w14:paraId="5D1C139C" w14:textId="77777777" w:rsidR="00461C3D" w:rsidRPr="002F794B" w:rsidRDefault="00461C3D" w:rsidP="00461C3D">
      <w:pPr>
        <w:rPr>
          <w:u w:val="single"/>
        </w:rPr>
      </w:pPr>
      <w:r w:rsidRPr="002F794B">
        <w:rPr>
          <w:u w:val="single"/>
        </w:rPr>
        <w:t>Respuesta</w:t>
      </w:r>
    </w:p>
    <w:p w14:paraId="5CDCAB53" w14:textId="5E70FFDA" w:rsidR="00B71E16" w:rsidRPr="002F794B" w:rsidRDefault="00B71E16" w:rsidP="00B71E16">
      <w:r w:rsidRPr="002F794B">
        <w:t>"No se considera. Los dispositivos que operen en bandas de frecuencias fuera del campo de aplicación de la presente DT deberán ser homologados conforme lo establecido en los Lineamientos Octavo y Vigésimo de los “Lineamientos para la homologación de productos, equipos, dispositivos o aparatos destinados a telecomunicaciones o radiodifusión”</w:t>
      </w:r>
      <w:r w:rsidRPr="002F794B">
        <w:rPr>
          <w:rStyle w:val="Refdenotaalpie"/>
        </w:rPr>
        <w:footnoteReference w:id="2"/>
      </w:r>
      <w:r w:rsidRPr="002F794B">
        <w:t>.</w:t>
      </w:r>
    </w:p>
    <w:p w14:paraId="5A8CE989" w14:textId="77777777" w:rsidR="00461C3D" w:rsidRPr="002F794B" w:rsidRDefault="00461C3D" w:rsidP="00461C3D"/>
    <w:p w14:paraId="136131C1" w14:textId="4C388C94" w:rsidR="00965A2C" w:rsidRPr="002F794B" w:rsidRDefault="00965A2C" w:rsidP="00DE39DA">
      <w:pPr>
        <w:spacing w:line="276" w:lineRule="auto"/>
        <w:jc w:val="center"/>
        <w:outlineLvl w:val="0"/>
        <w:rPr>
          <w:b/>
        </w:rPr>
      </w:pPr>
      <w:r w:rsidRPr="002F794B">
        <w:rPr>
          <w:b/>
        </w:rPr>
        <w:t xml:space="preserve">Numeral 4 – </w:t>
      </w:r>
      <w:r w:rsidR="00C01248" w:rsidRPr="002F794B">
        <w:rPr>
          <w:b/>
        </w:rPr>
        <w:t>DEFINICIONES</w:t>
      </w:r>
    </w:p>
    <w:p w14:paraId="157CDBE8" w14:textId="77777777" w:rsidR="0087778C" w:rsidRPr="002F794B" w:rsidRDefault="0087778C" w:rsidP="0087778C"/>
    <w:p w14:paraId="7A3617E0" w14:textId="61A8F1E6" w:rsidR="00290A66" w:rsidRPr="002F794B" w:rsidRDefault="00290A66" w:rsidP="00290A66">
      <w:pPr>
        <w:rPr>
          <w:u w:val="single"/>
        </w:rPr>
      </w:pPr>
      <w:r w:rsidRPr="002F794B">
        <w:rPr>
          <w:u w:val="single"/>
        </w:rPr>
        <w:t>Participante</w:t>
      </w:r>
    </w:p>
    <w:p w14:paraId="083EE038" w14:textId="58BCE1BB" w:rsidR="00290A66" w:rsidRPr="002F794B" w:rsidRDefault="00290A66" w:rsidP="00290A66">
      <w:r w:rsidRPr="002F794B">
        <w:t>Cámara Nacional de la Industria Electrónica, de Telecomunicaciones y Tecnologías de la Información</w:t>
      </w:r>
    </w:p>
    <w:p w14:paraId="6F2C70EC" w14:textId="77777777" w:rsidR="00290A66" w:rsidRPr="002F794B" w:rsidRDefault="00290A66" w:rsidP="00290A66">
      <w:pPr>
        <w:rPr>
          <w:u w:val="single"/>
        </w:rPr>
      </w:pPr>
      <w:r w:rsidRPr="002F794B">
        <w:rPr>
          <w:u w:val="single"/>
        </w:rPr>
        <w:t>Comentario y propuesta</w:t>
      </w:r>
    </w:p>
    <w:p w14:paraId="21BEE5E0" w14:textId="77777777" w:rsidR="00025EB0" w:rsidRPr="002F794B" w:rsidRDefault="00025EB0" w:rsidP="00025EB0">
      <w:pPr>
        <w:ind w:left="567"/>
        <w:rPr>
          <w:i/>
          <w:iCs/>
        </w:rPr>
      </w:pPr>
      <w:r w:rsidRPr="002F794B">
        <w:rPr>
          <w:i/>
          <w:iCs/>
        </w:rPr>
        <w:t>"PROPUESTA:</w:t>
      </w:r>
    </w:p>
    <w:p w14:paraId="338579E6" w14:textId="77777777" w:rsidR="00025EB0" w:rsidRPr="002F794B" w:rsidRDefault="00025EB0" w:rsidP="00025EB0">
      <w:pPr>
        <w:ind w:left="567" w:right="616"/>
        <w:rPr>
          <w:i/>
          <w:iCs/>
        </w:rPr>
      </w:pPr>
      <w:r w:rsidRPr="002F794B">
        <w:rPr>
          <w:i/>
          <w:iCs/>
        </w:rPr>
        <w:t>En su caso, se solicita agregar las siguientes definiciones.</w:t>
      </w:r>
    </w:p>
    <w:p w14:paraId="22A236E3" w14:textId="77777777" w:rsidR="00025EB0" w:rsidRPr="002F794B" w:rsidRDefault="00025EB0" w:rsidP="00025EB0">
      <w:pPr>
        <w:ind w:left="567" w:right="616"/>
        <w:rPr>
          <w:i/>
          <w:iCs/>
        </w:rPr>
      </w:pPr>
      <w:r w:rsidRPr="002F794B">
        <w:rPr>
          <w:i/>
          <w:iCs/>
        </w:rPr>
        <w:t>“Región de campo lejano: Región del campo de una antena donde la distribución de campo angular es esencialmente independiente de la distancia desde la antena. En la región de campo lejano, el campo es predominantemente del tipo onda plana; es decir, una distribución localmente uniforme de la intensidad de campo eléctrico y de la intensidad de campo magnético en planos transversales a la dirección de propagación.”</w:t>
      </w:r>
    </w:p>
    <w:p w14:paraId="16F510DD" w14:textId="34F531C6" w:rsidR="00290A66" w:rsidRPr="002F794B" w:rsidRDefault="00025EB0" w:rsidP="00025EB0">
      <w:pPr>
        <w:ind w:left="567" w:right="616"/>
        <w:rPr>
          <w:i/>
          <w:iCs/>
        </w:rPr>
      </w:pPr>
      <w:r w:rsidRPr="002F794B">
        <w:rPr>
          <w:i/>
          <w:iCs/>
        </w:rPr>
        <w:lastRenderedPageBreak/>
        <w:t>“Región de campo cercano: La región de campo cercano existe en las proximidades de una antena u otra estructura radiante en la que los campos eléctrico y magnético no tienen un carácter fundamental de onda plana pero varían considerablemente de un punto a otro. La región de campo cercano se subdivide en región de campo cercano reactivo, que es la más próxima a la estructura radiante y contiene la mayoría o casi la totalidad de la energía almacenada, y región de campo cercano radiante, en la que el campo de radiación predomina sobre el campo reactivo pero carece del carácter de onda plana y presenta una estructura complicada.[1]"</w:t>
      </w:r>
    </w:p>
    <w:p w14:paraId="78ADD657" w14:textId="02709AF4" w:rsidR="00025EB0" w:rsidRPr="002F794B" w:rsidRDefault="00025EB0" w:rsidP="00025EB0">
      <w:pPr>
        <w:ind w:left="567" w:right="616"/>
        <w:rPr>
          <w:i/>
          <w:iCs/>
        </w:rPr>
      </w:pPr>
      <w:r w:rsidRPr="002F794B">
        <w:rPr>
          <w:i/>
          <w:iCs/>
        </w:rPr>
        <w:t>[1] Recomendación UIT-T K.61 Directrices sobre la medición y la predicción numérica de los campos electromagnéticos para comprobar que las instalaciones de telecomunicaciones cumplen los límites de exposición de las personas."</w:t>
      </w:r>
    </w:p>
    <w:p w14:paraId="52949CF7" w14:textId="77777777" w:rsidR="00290A66" w:rsidRPr="002F794B" w:rsidRDefault="00290A66" w:rsidP="00290A66">
      <w:pPr>
        <w:rPr>
          <w:u w:val="single"/>
        </w:rPr>
      </w:pPr>
      <w:r w:rsidRPr="002F794B">
        <w:rPr>
          <w:u w:val="single"/>
        </w:rPr>
        <w:t>Respuesta</w:t>
      </w:r>
    </w:p>
    <w:p w14:paraId="27DC8225" w14:textId="16D108F6" w:rsidR="00C730D0" w:rsidRPr="002F794B" w:rsidRDefault="0066169F" w:rsidP="00290A66">
      <w:r w:rsidRPr="002F794B">
        <w:t>Se considera y se agregan las definiciones de “Región de campo lejano” y Región de campo cercano”.</w:t>
      </w:r>
    </w:p>
    <w:p w14:paraId="711B0976" w14:textId="77777777" w:rsidR="00AD572B" w:rsidRPr="002F794B" w:rsidRDefault="00AD572B" w:rsidP="00290A66"/>
    <w:p w14:paraId="12BE6A1F" w14:textId="249D520F" w:rsidR="00965A2C" w:rsidRPr="002F794B" w:rsidRDefault="00965A2C" w:rsidP="00965A2C">
      <w:pPr>
        <w:rPr>
          <w:u w:val="single"/>
        </w:rPr>
      </w:pPr>
      <w:r w:rsidRPr="002F794B">
        <w:rPr>
          <w:u w:val="single"/>
        </w:rPr>
        <w:t>Participantes</w:t>
      </w:r>
    </w:p>
    <w:p w14:paraId="2DF9D2CC" w14:textId="5A636843" w:rsidR="00965A2C" w:rsidRPr="002F794B" w:rsidRDefault="00426798" w:rsidP="00965A2C">
      <w:r w:rsidRPr="002F794B">
        <w:t>Mario Olmos Cordero</w:t>
      </w:r>
    </w:p>
    <w:p w14:paraId="6418A40A" w14:textId="33CB6B2D" w:rsidR="00965A2C" w:rsidRPr="002F794B" w:rsidRDefault="00426798" w:rsidP="00965A2C">
      <w:pPr>
        <w:rPr>
          <w:u w:val="single"/>
        </w:rPr>
      </w:pPr>
      <w:r w:rsidRPr="002F794B">
        <w:rPr>
          <w:u w:val="single"/>
        </w:rPr>
        <w:t>Comentario y propuesta</w:t>
      </w:r>
    </w:p>
    <w:p w14:paraId="42495EE2" w14:textId="00EE6547" w:rsidR="006E6EE7" w:rsidRPr="002F794B" w:rsidRDefault="001E5622" w:rsidP="0058366E">
      <w:pPr>
        <w:ind w:left="567" w:right="616"/>
        <w:rPr>
          <w:i/>
          <w:iCs/>
        </w:rPr>
      </w:pPr>
      <w:r w:rsidRPr="002F794B">
        <w:t>"</w:t>
      </w:r>
      <w:r w:rsidR="006E6EE7" w:rsidRPr="002F794B">
        <w:rPr>
          <w:b/>
          <w:bCs/>
          <w:i/>
          <w:iCs/>
        </w:rPr>
        <w:t>Observación 4</w:t>
      </w:r>
      <w:r w:rsidR="006E6EE7" w:rsidRPr="002F794B">
        <w:rPr>
          <w:i/>
          <w:iCs/>
        </w:rPr>
        <w:t>:</w:t>
      </w:r>
    </w:p>
    <w:p w14:paraId="7549512E" w14:textId="75BF2DB5" w:rsidR="001E5622" w:rsidRPr="002F794B" w:rsidRDefault="001E5622" w:rsidP="0058366E">
      <w:pPr>
        <w:ind w:left="567" w:right="616"/>
        <w:rPr>
          <w:i/>
          <w:iCs/>
        </w:rPr>
      </w:pPr>
      <w:r w:rsidRPr="002F794B">
        <w:rPr>
          <w:i/>
          <w:iCs/>
        </w:rPr>
        <w:t>La siguiente definición:</w:t>
      </w:r>
    </w:p>
    <w:p w14:paraId="18BC5177" w14:textId="77777777" w:rsidR="001E5622" w:rsidRPr="002F794B" w:rsidRDefault="001E5622" w:rsidP="0058366E">
      <w:pPr>
        <w:ind w:left="567" w:right="616"/>
        <w:rPr>
          <w:i/>
          <w:iCs/>
          <w:u w:val="single"/>
        </w:rPr>
      </w:pPr>
      <w:r w:rsidRPr="002F794B">
        <w:rPr>
          <w:i/>
          <w:iCs/>
          <w:u w:val="single"/>
        </w:rPr>
        <w:t>VI. Dispositivo de radiocomunicación de baja potencia: Transmisores radioeléctricos que proporcionan comunicaciones unidireccionales o bidireccionales utilizando antenas integradas, específicas o externas, y que debido a los bajos niveles de potencia con el cual transmite, tienen baja capacidad de producir interferencias a otros equipos de radiocomunicación.</w:t>
      </w:r>
    </w:p>
    <w:p w14:paraId="0B8E1089" w14:textId="77777777" w:rsidR="001E5622" w:rsidRPr="002F794B" w:rsidRDefault="001E5622" w:rsidP="0058366E">
      <w:pPr>
        <w:ind w:left="567" w:right="616"/>
        <w:rPr>
          <w:i/>
          <w:iCs/>
        </w:rPr>
      </w:pPr>
      <w:r w:rsidRPr="002F794B">
        <w:rPr>
          <w:i/>
          <w:iCs/>
        </w:rPr>
        <w:t>COMENTARIO:</w:t>
      </w:r>
    </w:p>
    <w:p w14:paraId="641D0420" w14:textId="77777777" w:rsidR="001E5622" w:rsidRPr="002F794B" w:rsidRDefault="001E5622" w:rsidP="0058366E">
      <w:pPr>
        <w:ind w:left="567" w:right="616"/>
        <w:rPr>
          <w:i/>
          <w:iCs/>
        </w:rPr>
      </w:pPr>
      <w:r w:rsidRPr="002F794B">
        <w:rPr>
          <w:i/>
          <w:iCs/>
        </w:rPr>
        <w:t>La definición anterior especifica que la naturaleza de funcionamiento de este tipo de equipos con bajos niveles de potencia, tienen baja capacidad de producir interferencias a otros equipos de radiocomunicación.</w:t>
      </w:r>
    </w:p>
    <w:p w14:paraId="13789FFA" w14:textId="77777777" w:rsidR="001E5622" w:rsidRPr="002F794B" w:rsidRDefault="001E5622" w:rsidP="0058366E">
      <w:pPr>
        <w:ind w:left="567" w:right="616"/>
      </w:pPr>
      <w:r w:rsidRPr="002F794B">
        <w:rPr>
          <w:b/>
          <w:bCs/>
          <w:i/>
          <w:iCs/>
        </w:rPr>
        <w:t>POR LO ANTERIOR NO SE ENCUENTRA UNA RAZÓN TÉCNICA ADMISIBLE PARA EMITIR ESTA DISPOSICIÓN TÉCNICA.</w:t>
      </w:r>
      <w:r w:rsidRPr="002F794B">
        <w:t>"</w:t>
      </w:r>
    </w:p>
    <w:p w14:paraId="5FD8C0E2" w14:textId="159E0773" w:rsidR="00965A2C" w:rsidRPr="002F794B" w:rsidRDefault="00965A2C" w:rsidP="001E5622">
      <w:pPr>
        <w:rPr>
          <w:u w:val="single"/>
        </w:rPr>
      </w:pPr>
      <w:r w:rsidRPr="002F794B">
        <w:rPr>
          <w:u w:val="single"/>
        </w:rPr>
        <w:lastRenderedPageBreak/>
        <w:t>Respuesta</w:t>
      </w:r>
    </w:p>
    <w:p w14:paraId="2C1F702A" w14:textId="222C6EDD" w:rsidR="00965A2C" w:rsidRPr="002F794B" w:rsidRDefault="00AD572B" w:rsidP="00965A2C">
      <w:r w:rsidRPr="002F794B">
        <w:t>No se considera. La definición, y por consiguiente la presente DT, tienen como objetivo minimizar la posibilidad de que la operación de los DRBP cause interferencias perjudiciales principalmente a estaciones, cuyo titular cuente con una autorización o concesión, a otros equipos de operación autorizada, a las redes y servicios de telecomunicaciones autorizados por el Instituto, o a servicios en bandas de espectro protegido</w:t>
      </w:r>
      <w:r w:rsidR="0058366E" w:rsidRPr="002F794B">
        <w:t>.</w:t>
      </w:r>
    </w:p>
    <w:p w14:paraId="33AC9EB3" w14:textId="77777777" w:rsidR="005D54D9" w:rsidRPr="002F794B" w:rsidRDefault="005D54D9" w:rsidP="00965A2C"/>
    <w:p w14:paraId="1BF207BF" w14:textId="5F2EFFE4" w:rsidR="00E75F84" w:rsidRPr="002F794B" w:rsidRDefault="00E75F84" w:rsidP="00965A2C">
      <w:pPr>
        <w:rPr>
          <w:u w:val="single"/>
        </w:rPr>
      </w:pPr>
      <w:r w:rsidRPr="002F794B">
        <w:rPr>
          <w:u w:val="single"/>
        </w:rPr>
        <w:t>Participante</w:t>
      </w:r>
    </w:p>
    <w:p w14:paraId="79B16DB4" w14:textId="77777777" w:rsidR="00C8288A" w:rsidRPr="002F794B" w:rsidRDefault="00C8288A" w:rsidP="00965A2C">
      <w:r w:rsidRPr="002F794B">
        <w:t>Colegio de Peritos en Telecomunicaciones y Radiodifusión, A.C.</w:t>
      </w:r>
    </w:p>
    <w:p w14:paraId="723C44F5" w14:textId="6BE2DFD2" w:rsidR="00E75F84" w:rsidRPr="002F794B" w:rsidRDefault="00E75F84" w:rsidP="00965A2C">
      <w:pPr>
        <w:rPr>
          <w:u w:val="single"/>
        </w:rPr>
      </w:pPr>
      <w:r w:rsidRPr="002F794B">
        <w:rPr>
          <w:u w:val="single"/>
        </w:rPr>
        <w:t>Comentario y propuesta</w:t>
      </w:r>
    </w:p>
    <w:p w14:paraId="07C36DF0" w14:textId="77777777" w:rsidR="00A57BA1" w:rsidRPr="002F794B" w:rsidRDefault="00C8288A" w:rsidP="00A57BA1">
      <w:pPr>
        <w:ind w:left="567" w:right="616"/>
        <w:rPr>
          <w:i/>
          <w:iCs/>
          <w:u w:val="single"/>
        </w:rPr>
      </w:pPr>
      <w:r w:rsidRPr="002F794B">
        <w:t>"</w:t>
      </w:r>
      <w:r w:rsidR="00A57BA1" w:rsidRPr="002F794B">
        <w:rPr>
          <w:i/>
          <w:iCs/>
          <w:u w:val="single"/>
        </w:rPr>
        <w:t>El anteproyecto de Disposición Técnica IFT-016-2023 plantea desafíos en su justificación debido a varias observaciones. La falta de una definición clara de ""baja potencia"" para los dispositivos de radiocomunicación genera ambigüedad en su aplicación. Se sugiere establecer criterios específicos de potencia o intensidad de campo eléctrico para definir estos dispositivos.</w:t>
      </w:r>
    </w:p>
    <w:p w14:paraId="6F5D54BF" w14:textId="77777777" w:rsidR="00A57BA1" w:rsidRPr="002F794B" w:rsidRDefault="00A57BA1" w:rsidP="00A57BA1">
      <w:pPr>
        <w:ind w:left="567" w:right="616"/>
        <w:rPr>
          <w:i/>
          <w:iCs/>
        </w:rPr>
      </w:pPr>
      <w:r w:rsidRPr="002F794B">
        <w:rPr>
          <w:i/>
          <w:iCs/>
        </w:rPr>
        <w:t>(...)</w:t>
      </w:r>
    </w:p>
    <w:p w14:paraId="6A8904F1" w14:textId="77777777" w:rsidR="00A57BA1" w:rsidRPr="002F794B" w:rsidRDefault="00A57BA1" w:rsidP="00A57BA1">
      <w:pPr>
        <w:ind w:left="567" w:right="616"/>
        <w:rPr>
          <w:i/>
          <w:iCs/>
          <w:u w:val="single"/>
        </w:rPr>
      </w:pPr>
      <w:r w:rsidRPr="002F794B">
        <w:rPr>
          <w:i/>
          <w:iCs/>
          <w:u w:val="single"/>
        </w:rPr>
        <w:t>Según el anteproyecto, se define ""Dispositivo de radiocomunicación de baja potencia"" como:</w:t>
      </w:r>
    </w:p>
    <w:p w14:paraId="258F7E93" w14:textId="77777777" w:rsidR="00A57BA1" w:rsidRPr="002F794B" w:rsidRDefault="00A57BA1" w:rsidP="00A57BA1">
      <w:pPr>
        <w:ind w:left="567" w:right="616"/>
        <w:rPr>
          <w:i/>
          <w:iCs/>
          <w:u w:val="single"/>
        </w:rPr>
      </w:pPr>
      <w:r w:rsidRPr="002F794B">
        <w:rPr>
          <w:i/>
          <w:iCs/>
          <w:u w:val="single"/>
        </w:rPr>
        <w:t>"Transmisores radioeléctricos que proporcionan comunicaciones unidireccionales o bidireccionales utilizando antenas integradas, específicas o externas, y que debido a los bajos niveles de potencia con los que transmiten, tienen una baja capacidad de producir interferencias en otros equipos de radiocomunicación."</w:t>
      </w:r>
    </w:p>
    <w:p w14:paraId="0CF78BE5" w14:textId="77777777" w:rsidR="00A57BA1" w:rsidRPr="002F794B" w:rsidRDefault="00A57BA1" w:rsidP="00A57BA1">
      <w:pPr>
        <w:ind w:left="567" w:right="616"/>
        <w:rPr>
          <w:i/>
          <w:iCs/>
          <w:u w:val="single"/>
        </w:rPr>
      </w:pPr>
      <w:r w:rsidRPr="002F794B">
        <w:rPr>
          <w:i/>
          <w:iCs/>
          <w:u w:val="single"/>
        </w:rPr>
        <w:t>La definición de dispositivos de baja potencia no ofrece una justificación técnica clara para la emisión de la disposición técnica, ya que se centra en la capacidad de producir interferencias en lugar de criterios objetivos de potencia.</w:t>
      </w:r>
    </w:p>
    <w:p w14:paraId="72D51ABD" w14:textId="405DECEB" w:rsidR="005566F9" w:rsidRPr="002F794B" w:rsidRDefault="00A57BA1" w:rsidP="00A57BA1">
      <w:pPr>
        <w:ind w:left="567" w:right="616"/>
      </w:pPr>
      <w:r w:rsidRPr="002F794B">
        <w:rPr>
          <w:i/>
          <w:iCs/>
          <w:u w:val="single"/>
        </w:rPr>
        <w:t>Por lo anteriormente expuesto, el Colegio de Peritos en Telecomunicaciones, COPETERA, solicita de la manera más atenta que no se publique la Disposición técnica en consulta. Es imperativo abordar las ambigüedades y omisiones señaladas previamente antes de proceder con su publicación, a fin de garantizar una regulación clara y efectiva en el ámbito de las telecomunicaciones</w:t>
      </w:r>
      <w:r w:rsidR="00C8288A" w:rsidRPr="002F794B">
        <w:t>"</w:t>
      </w:r>
    </w:p>
    <w:p w14:paraId="7958F01B" w14:textId="69B5DEA4" w:rsidR="00E75F84" w:rsidRPr="002F794B" w:rsidRDefault="00E75F84" w:rsidP="00965A2C">
      <w:pPr>
        <w:rPr>
          <w:u w:val="single"/>
        </w:rPr>
      </w:pPr>
      <w:r w:rsidRPr="002F794B">
        <w:rPr>
          <w:u w:val="single"/>
        </w:rPr>
        <w:t>Respuesta</w:t>
      </w:r>
    </w:p>
    <w:p w14:paraId="6D8076F0" w14:textId="1DA5D3FA" w:rsidR="005566F9" w:rsidRPr="002F794B" w:rsidRDefault="00BC5DAD" w:rsidP="00965A2C">
      <w:r w:rsidRPr="002F794B">
        <w:lastRenderedPageBreak/>
        <w:t>No se considera. La definición, y por consiguiente la presente DT, tienen como objetivo minimizar la posibilidad de que la operación de los DRBP cause interferencias perjudiciales principalmente a estaciones, cuyo titular cuente con una autorización o concesión, a otros equipos de operación autorizada, a las redes y servicios de telecomunicaciones autorizados por el Instituto, o a servicios en bandas de espectro protegido</w:t>
      </w:r>
      <w:r w:rsidR="005566F9" w:rsidRPr="002F794B">
        <w:t>.</w:t>
      </w:r>
    </w:p>
    <w:p w14:paraId="11658F93" w14:textId="77777777" w:rsidR="00E75F84" w:rsidRPr="002F794B" w:rsidRDefault="00E75F84" w:rsidP="00965A2C"/>
    <w:p w14:paraId="0923E9BA" w14:textId="1CE58F8D" w:rsidR="00E75F84" w:rsidRPr="002F794B" w:rsidRDefault="00E75F84" w:rsidP="00E75F84">
      <w:pPr>
        <w:rPr>
          <w:u w:val="single"/>
        </w:rPr>
      </w:pPr>
      <w:r w:rsidRPr="002F794B">
        <w:rPr>
          <w:u w:val="single"/>
        </w:rPr>
        <w:t>Participante</w:t>
      </w:r>
    </w:p>
    <w:p w14:paraId="41CA3367" w14:textId="2E39FC42" w:rsidR="00E75F84" w:rsidRPr="002F794B" w:rsidRDefault="00605BCD" w:rsidP="00E75F84">
      <w:r w:rsidRPr="002F794B">
        <w:t>Asociación de Normalización y Certificación, S.A. de C.V.</w:t>
      </w:r>
    </w:p>
    <w:p w14:paraId="0522BE0E" w14:textId="77777777" w:rsidR="00E75F84" w:rsidRPr="002F794B" w:rsidRDefault="00E75F84" w:rsidP="00E75F84">
      <w:pPr>
        <w:rPr>
          <w:u w:val="single"/>
        </w:rPr>
      </w:pPr>
      <w:r w:rsidRPr="002F794B">
        <w:rPr>
          <w:u w:val="single"/>
        </w:rPr>
        <w:t>Comentario y propuesta</w:t>
      </w:r>
    </w:p>
    <w:p w14:paraId="4DA30168" w14:textId="4BCC900D" w:rsidR="00A413B8" w:rsidRPr="002F794B" w:rsidRDefault="00605BCD" w:rsidP="00A413B8">
      <w:pPr>
        <w:ind w:left="567" w:right="616"/>
        <w:rPr>
          <w:i/>
          <w:iCs/>
        </w:rPr>
      </w:pPr>
      <w:r w:rsidRPr="002F794B">
        <w:rPr>
          <w:i/>
          <w:iCs/>
        </w:rPr>
        <w:t>"</w:t>
      </w:r>
      <w:r w:rsidR="00A413B8" w:rsidRPr="002F794B">
        <w:rPr>
          <w:b/>
          <w:bCs/>
          <w:i/>
          <w:iCs/>
        </w:rPr>
        <w:t xml:space="preserve"> Dice: VI. Dispositivo de radiocomunicación de baja potencia[1]</w:t>
      </w:r>
      <w:r w:rsidR="00A413B8" w:rsidRPr="002F794B">
        <w:rPr>
          <w:i/>
          <w:iCs/>
        </w:rPr>
        <w:t>: Transmisores radioeléctricos que proporcionan comunicaciones unidireccionales o bidireccionales utilizando antenas integradas, específicas o externas, y que debido a los bajos niveles de potencia con el cual transmite, tienen baja capacidad de producir interferencias a otros equipos de radiocomunicación.</w:t>
      </w:r>
    </w:p>
    <w:p w14:paraId="0179DF0F" w14:textId="77777777" w:rsidR="00A413B8" w:rsidRPr="002F794B" w:rsidRDefault="00A413B8" w:rsidP="00A413B8">
      <w:pPr>
        <w:ind w:left="567" w:right="616"/>
        <w:rPr>
          <w:i/>
          <w:iCs/>
        </w:rPr>
      </w:pPr>
      <w:r w:rsidRPr="002F794B">
        <w:rPr>
          <w:b/>
          <w:bCs/>
          <w:i/>
          <w:iCs/>
        </w:rPr>
        <w:t>Debe decir: VI. Dispositivo de radiocomunicación de baja potencia[1]</w:t>
      </w:r>
      <w:r w:rsidRPr="002F794B">
        <w:rPr>
          <w:i/>
          <w:iCs/>
        </w:rPr>
        <w:t>: Transmisores radioeléctricos que proporcionan comunicaciones unidireccionales o bidireccionales utilizando antenas integradas o externas, y que debido a los bajos niveles de potencia con el cual transmite, tienen baja probabilidad de producir interferencias a otros equipos de radiocomunicación.</w:t>
      </w:r>
    </w:p>
    <w:p w14:paraId="3B6EE19F" w14:textId="77777777" w:rsidR="00A413B8" w:rsidRPr="002F794B" w:rsidRDefault="00A413B8" w:rsidP="00A413B8">
      <w:pPr>
        <w:ind w:left="567" w:right="616"/>
        <w:rPr>
          <w:i/>
          <w:iCs/>
        </w:rPr>
      </w:pPr>
      <w:r w:rsidRPr="002F794B">
        <w:rPr>
          <w:b/>
          <w:bCs/>
          <w:i/>
          <w:iCs/>
        </w:rPr>
        <w:t>Justificación:</w:t>
      </w:r>
      <w:r w:rsidRPr="002F794B">
        <w:rPr>
          <w:i/>
          <w:iCs/>
        </w:rPr>
        <w:t xml:space="preserve"> En el Anteproyecto no se identifica una definición de “antena específica” que no pueda categorizarse como “antena integrada” o “antena externa”; por ende, una tercera categoría es innecesaria. Por otra parte, las </w:t>
      </w:r>
      <w:r w:rsidRPr="002F794B">
        <w:rPr>
          <w:b/>
          <w:bCs/>
          <w:i/>
          <w:iCs/>
        </w:rPr>
        <w:t>capacidades</w:t>
      </w:r>
      <w:r w:rsidRPr="002F794B">
        <w:rPr>
          <w:i/>
          <w:iCs/>
        </w:rPr>
        <w:t xml:space="preserve"> de los equipos están en función de su uso destinado desde diseño; el propósito fundamental de los Dispositivos de radiocomunicación de baja potencia </w:t>
      </w:r>
      <w:r w:rsidRPr="002F794B">
        <w:rPr>
          <w:b/>
          <w:bCs/>
          <w:i/>
          <w:iCs/>
        </w:rPr>
        <w:t>no</w:t>
      </w:r>
      <w:r w:rsidRPr="002F794B">
        <w:rPr>
          <w:i/>
          <w:iCs/>
        </w:rPr>
        <w:t xml:space="preserve"> es interferir en otros sistemas o redes de telecomunicaciones, sino que se trata de una </w:t>
      </w:r>
      <w:r w:rsidRPr="002F794B">
        <w:rPr>
          <w:b/>
          <w:bCs/>
          <w:i/>
          <w:iCs/>
        </w:rPr>
        <w:t>posibilidad</w:t>
      </w:r>
      <w:r w:rsidRPr="002F794B">
        <w:rPr>
          <w:i/>
          <w:iCs/>
        </w:rPr>
        <w:t xml:space="preserve">. Considerando que los sistemas de radiocomunicación son sistemas probabilísticos y no determinísticos, se propone que la definición apunte hacia la </w:t>
      </w:r>
      <w:r w:rsidRPr="002F794B">
        <w:rPr>
          <w:b/>
          <w:bCs/>
          <w:i/>
          <w:iCs/>
        </w:rPr>
        <w:t>probabilidad</w:t>
      </w:r>
      <w:r w:rsidRPr="002F794B">
        <w:rPr>
          <w:i/>
          <w:iCs/>
        </w:rPr>
        <w:t xml:space="preserve"> de interferencia, y no a la capacidad de un equipo.</w:t>
      </w:r>
    </w:p>
    <w:p w14:paraId="20E1C514" w14:textId="27D259D2" w:rsidR="00E75F84" w:rsidRPr="002F794B" w:rsidRDefault="00A413B8" w:rsidP="00A413B8">
      <w:pPr>
        <w:ind w:left="567" w:right="616"/>
        <w:rPr>
          <w:i/>
          <w:iCs/>
        </w:rPr>
      </w:pPr>
      <w:r w:rsidRPr="002F794B">
        <w:rPr>
          <w:i/>
          <w:iCs/>
        </w:rPr>
        <w:t xml:space="preserve">[1] Disponibles en el vínculo electrónico: </w:t>
      </w:r>
      <w:hyperlink r:id="rId10" w:history="1">
        <w:r w:rsidRPr="002F794B">
          <w:rPr>
            <w:rStyle w:val="Hipervnculo"/>
            <w:i/>
            <w:iCs/>
            <w:color w:val="auto"/>
          </w:rPr>
          <w:t>http://dof.gob.mx/nota_detalle.php?codigo=5512847&amp;fecha=12/02/2018</w:t>
        </w:r>
      </w:hyperlink>
      <w:r w:rsidR="00605BCD" w:rsidRPr="002F794B">
        <w:rPr>
          <w:i/>
          <w:iCs/>
        </w:rPr>
        <w:t>"</w:t>
      </w:r>
    </w:p>
    <w:p w14:paraId="10524744" w14:textId="77777777" w:rsidR="00E75F84" w:rsidRPr="002F794B" w:rsidRDefault="00E75F84" w:rsidP="00E75F84">
      <w:pPr>
        <w:rPr>
          <w:u w:val="single"/>
        </w:rPr>
      </w:pPr>
      <w:r w:rsidRPr="002F794B">
        <w:rPr>
          <w:u w:val="single"/>
        </w:rPr>
        <w:t>Respuesta</w:t>
      </w:r>
    </w:p>
    <w:p w14:paraId="6F345893" w14:textId="06CB3F1C" w:rsidR="00E75F84" w:rsidRPr="002F794B" w:rsidRDefault="00505CAF" w:rsidP="00965A2C">
      <w:r w:rsidRPr="002F794B">
        <w:t xml:space="preserve">Se considera </w:t>
      </w:r>
      <w:r w:rsidR="00C06B79" w:rsidRPr="002F794B">
        <w:t xml:space="preserve">parcialmente </w:t>
      </w:r>
      <w:r w:rsidRPr="002F794B">
        <w:t xml:space="preserve"> se</w:t>
      </w:r>
      <w:r w:rsidR="00C06B79" w:rsidRPr="002F794B">
        <w:t xml:space="preserve"> elimina</w:t>
      </w:r>
      <w:r w:rsidRPr="002F794B">
        <w:t xml:space="preserve"> el término "antena específica".</w:t>
      </w:r>
    </w:p>
    <w:p w14:paraId="3C5BF9BA" w14:textId="77777777" w:rsidR="0025415F" w:rsidRPr="002F794B" w:rsidRDefault="0025415F" w:rsidP="00E75F84">
      <w:pPr>
        <w:rPr>
          <w:u w:val="single"/>
        </w:rPr>
      </w:pPr>
    </w:p>
    <w:p w14:paraId="2DF96291" w14:textId="409201CD" w:rsidR="00E75F84" w:rsidRPr="002F794B" w:rsidRDefault="00E75F84" w:rsidP="00E75F84">
      <w:pPr>
        <w:rPr>
          <w:u w:val="single"/>
        </w:rPr>
      </w:pPr>
      <w:r w:rsidRPr="002F794B">
        <w:rPr>
          <w:u w:val="single"/>
        </w:rPr>
        <w:t>Participante</w:t>
      </w:r>
    </w:p>
    <w:p w14:paraId="5347302A" w14:textId="1DAF420A" w:rsidR="00E75F84" w:rsidRPr="002F794B" w:rsidRDefault="001C40D9" w:rsidP="00E75F84">
      <w:r w:rsidRPr="002F794B">
        <w:t>Asociación de Normalización y Certificación, S.A. de C.V.</w:t>
      </w:r>
    </w:p>
    <w:p w14:paraId="6D0F8CC7" w14:textId="77777777" w:rsidR="00E75F84" w:rsidRPr="002F794B" w:rsidRDefault="00E75F84" w:rsidP="00E75F84">
      <w:pPr>
        <w:rPr>
          <w:u w:val="single"/>
        </w:rPr>
      </w:pPr>
      <w:r w:rsidRPr="002F794B">
        <w:rPr>
          <w:u w:val="single"/>
        </w:rPr>
        <w:t>Comentario y propuesta</w:t>
      </w:r>
    </w:p>
    <w:p w14:paraId="5A4C45C0" w14:textId="0F7D972A" w:rsidR="009F5A61" w:rsidRPr="002F794B" w:rsidRDefault="001C40D9" w:rsidP="009F5A61">
      <w:pPr>
        <w:ind w:left="567" w:right="616"/>
        <w:rPr>
          <w:i/>
          <w:iCs/>
        </w:rPr>
      </w:pPr>
      <w:r w:rsidRPr="002F794B">
        <w:rPr>
          <w:i/>
          <w:iCs/>
        </w:rPr>
        <w:t>"</w:t>
      </w:r>
      <w:r w:rsidR="009F5A61" w:rsidRPr="002F794B">
        <w:rPr>
          <w:b/>
          <w:bCs/>
          <w:i/>
          <w:iCs/>
        </w:rPr>
        <w:t>Dice: X. Emisiones no esenciales</w:t>
      </w:r>
      <w:r w:rsidR="009F5A61" w:rsidRPr="002F794B">
        <w:rPr>
          <w:i/>
          <w:iCs/>
        </w:rPr>
        <w:t>: Emisión en una o varias frecuencias situadas fuera del Ancho de banda necesario, cuyo nivel puede reducirse sin influir en la transmisión de la información correspondiente.</w:t>
      </w:r>
    </w:p>
    <w:p w14:paraId="3B1CCB6A" w14:textId="77777777" w:rsidR="009F5A61" w:rsidRPr="002F794B" w:rsidRDefault="009F5A61" w:rsidP="009F5A61">
      <w:pPr>
        <w:ind w:left="567" w:right="616"/>
        <w:rPr>
          <w:i/>
          <w:iCs/>
        </w:rPr>
      </w:pPr>
      <w:r w:rsidRPr="002F794B">
        <w:rPr>
          <w:b/>
          <w:bCs/>
          <w:i/>
          <w:iCs/>
        </w:rPr>
        <w:t>Debe decir: X. Emisiones no esenciales</w:t>
      </w:r>
      <w:r w:rsidRPr="002F794B">
        <w:rPr>
          <w:i/>
          <w:iCs/>
        </w:rPr>
        <w:t>: Emisión en una o varias frecuencias situadas fuera del Ancho de banda ocupado, cuyo nivel puede reducirse sin influir en la transmisión de la información correspondiente.</w:t>
      </w:r>
    </w:p>
    <w:p w14:paraId="0898A01D" w14:textId="57DBC34A" w:rsidR="00E75F84" w:rsidRPr="002F794B" w:rsidRDefault="009F5A61" w:rsidP="009F5A61">
      <w:pPr>
        <w:ind w:left="567" w:right="616"/>
        <w:rPr>
          <w:i/>
          <w:iCs/>
        </w:rPr>
      </w:pPr>
      <w:r w:rsidRPr="002F794B">
        <w:rPr>
          <w:b/>
          <w:bCs/>
          <w:i/>
          <w:iCs/>
        </w:rPr>
        <w:t>Justificación</w:t>
      </w:r>
      <w:r w:rsidRPr="002F794B">
        <w:rPr>
          <w:i/>
          <w:iCs/>
        </w:rPr>
        <w:t xml:space="preserve">: Uniformidad con la definición I de este numeral, donde indica “Ancho de banda ocupado”, y es similar a otros documentos normativos del Instituto </w:t>
      </w:r>
      <w:r w:rsidR="001C40D9" w:rsidRPr="002F794B">
        <w:rPr>
          <w:i/>
          <w:iCs/>
        </w:rPr>
        <w:t>"</w:t>
      </w:r>
    </w:p>
    <w:p w14:paraId="624328B6" w14:textId="77777777" w:rsidR="00E75F84" w:rsidRPr="002F794B" w:rsidRDefault="00E75F84" w:rsidP="00E75F84">
      <w:pPr>
        <w:rPr>
          <w:u w:val="single"/>
        </w:rPr>
      </w:pPr>
      <w:r w:rsidRPr="002F794B">
        <w:rPr>
          <w:u w:val="single"/>
        </w:rPr>
        <w:t>Respuesta</w:t>
      </w:r>
    </w:p>
    <w:p w14:paraId="0B8ACD3C" w14:textId="4C5BD1D2" w:rsidR="0058366E" w:rsidRPr="002F794B" w:rsidRDefault="00873E36" w:rsidP="00965A2C">
      <w:r w:rsidRPr="002F794B">
        <w:t>Se considera y se modifica la redacción de la definición.</w:t>
      </w:r>
    </w:p>
    <w:p w14:paraId="3E5A6195" w14:textId="77777777" w:rsidR="00405AF6" w:rsidRPr="002F794B" w:rsidRDefault="00405AF6" w:rsidP="00965A2C"/>
    <w:p w14:paraId="3CB4BDA9" w14:textId="48C1A928" w:rsidR="00965A2C" w:rsidRPr="002F794B" w:rsidRDefault="00965A2C" w:rsidP="00DE39DA">
      <w:pPr>
        <w:jc w:val="center"/>
        <w:outlineLvl w:val="0"/>
        <w:rPr>
          <w:b/>
          <w:bCs/>
        </w:rPr>
      </w:pPr>
      <w:r w:rsidRPr="002F794B">
        <w:rPr>
          <w:b/>
          <w:bCs/>
        </w:rPr>
        <w:t xml:space="preserve">Numeral 5 – </w:t>
      </w:r>
      <w:r w:rsidR="00725934" w:rsidRPr="002F794B">
        <w:rPr>
          <w:b/>
          <w:bCs/>
        </w:rPr>
        <w:t>ABREVIATURAS Y SÍMBOLOS</w:t>
      </w:r>
    </w:p>
    <w:p w14:paraId="6A82BC30" w14:textId="37CDBAC4" w:rsidR="008C5D67" w:rsidRPr="002F794B" w:rsidRDefault="00965A2C" w:rsidP="008C5D67">
      <w:pPr>
        <w:rPr>
          <w:u w:val="single"/>
        </w:rPr>
      </w:pPr>
      <w:r w:rsidRPr="002F794B">
        <w:rPr>
          <w:u w:val="single"/>
        </w:rPr>
        <w:t>Participante</w:t>
      </w:r>
    </w:p>
    <w:p w14:paraId="72DD7C2F" w14:textId="77777777" w:rsidR="00F55E43" w:rsidRPr="002F794B" w:rsidRDefault="00F55E43" w:rsidP="008C5D67">
      <w:r w:rsidRPr="002F794B">
        <w:t>Asociación de Normalización y Certificación, S.A. de C.V.</w:t>
      </w:r>
    </w:p>
    <w:p w14:paraId="0045EBC3" w14:textId="38C58665" w:rsidR="00965A2C" w:rsidRPr="002F794B" w:rsidRDefault="00C25CD0" w:rsidP="008C5D67">
      <w:pPr>
        <w:rPr>
          <w:u w:val="single"/>
        </w:rPr>
      </w:pPr>
      <w:r w:rsidRPr="002F794B">
        <w:rPr>
          <w:u w:val="single"/>
        </w:rPr>
        <w:t>Comentario y propuesta</w:t>
      </w:r>
    </w:p>
    <w:p w14:paraId="43BE10DF" w14:textId="6B573A7D" w:rsidR="00A658CB" w:rsidRPr="002F794B" w:rsidRDefault="00976023" w:rsidP="00976023">
      <w:pPr>
        <w:ind w:left="567" w:right="616"/>
        <w:rPr>
          <w:i/>
          <w:iCs/>
        </w:rPr>
      </w:pPr>
      <w:r w:rsidRPr="002F794B">
        <w:t>“</w:t>
      </w:r>
      <w:r w:rsidR="00A658CB" w:rsidRPr="002F794B">
        <w:rPr>
          <w:b/>
          <w:bCs/>
          <w:i/>
          <w:iCs/>
        </w:rPr>
        <w:t>Dice:</w:t>
      </w:r>
      <w:r w:rsidR="00A658CB" w:rsidRPr="002F794B">
        <w:rPr>
          <w:i/>
          <w:iCs/>
        </w:rPr>
        <w:t xml:space="preserve"> n</w:t>
      </w:r>
      <w:r w:rsidR="00A658CB" w:rsidRPr="002F794B">
        <w:rPr>
          <w:i/>
          <w:iCs/>
          <w:vertAlign w:val="subscript"/>
        </w:rPr>
        <w:t>ch</w:t>
      </w:r>
      <w:r w:rsidR="00A658CB" w:rsidRPr="002F794B">
        <w:rPr>
          <w:i/>
          <w:iCs/>
        </w:rPr>
        <w:t xml:space="preserve"> Cantidad de canales usados para la transmisión</w:t>
      </w:r>
    </w:p>
    <w:p w14:paraId="6D9A0A95" w14:textId="77777777" w:rsidR="00A658CB" w:rsidRPr="002F794B" w:rsidRDefault="00A658CB" w:rsidP="00976023">
      <w:pPr>
        <w:ind w:left="567" w:right="616"/>
        <w:rPr>
          <w:i/>
          <w:iCs/>
        </w:rPr>
      </w:pPr>
      <w:r w:rsidRPr="002F794B">
        <w:rPr>
          <w:b/>
          <w:bCs/>
          <w:i/>
          <w:iCs/>
        </w:rPr>
        <w:t>Debe decir:</w:t>
      </w:r>
      <w:r w:rsidRPr="002F794B">
        <w:rPr>
          <w:i/>
          <w:iCs/>
        </w:rPr>
        <w:t xml:space="preserve"> n</w:t>
      </w:r>
      <w:r w:rsidRPr="002F794B">
        <w:rPr>
          <w:i/>
          <w:iCs/>
          <w:vertAlign w:val="subscript"/>
        </w:rPr>
        <w:t>ch</w:t>
      </w:r>
      <w:r w:rsidRPr="002F794B">
        <w:rPr>
          <w:i/>
          <w:iCs/>
        </w:rPr>
        <w:t xml:space="preserve"> Cantidad de canales radioeléctricos usados para la transmisión</w:t>
      </w:r>
    </w:p>
    <w:p w14:paraId="464F2B7E" w14:textId="156FBE6B" w:rsidR="00A658CB" w:rsidRPr="002F794B" w:rsidRDefault="00A658CB" w:rsidP="00976023">
      <w:pPr>
        <w:ind w:left="567" w:right="616"/>
      </w:pPr>
      <w:r w:rsidRPr="002F794B">
        <w:rPr>
          <w:b/>
          <w:bCs/>
          <w:i/>
          <w:iCs/>
        </w:rPr>
        <w:t>Justificación:</w:t>
      </w:r>
      <w:r w:rsidRPr="002F794B">
        <w:rPr>
          <w:i/>
          <w:iCs/>
        </w:rPr>
        <w:t xml:space="preserve"> Uniformidad con la definición IV del numeral 4, donde indica “Canal radioeléctrico”, y coincide con literatura técnica, donde el término “canal” es usado para un concepto distinto.</w:t>
      </w:r>
      <w:r w:rsidR="00976023" w:rsidRPr="002F794B">
        <w:t>”</w:t>
      </w:r>
    </w:p>
    <w:p w14:paraId="0C0F68B1" w14:textId="469B13B0" w:rsidR="00965A2C" w:rsidRPr="002F794B" w:rsidRDefault="00965A2C" w:rsidP="00A658CB">
      <w:pPr>
        <w:rPr>
          <w:u w:val="single"/>
        </w:rPr>
      </w:pPr>
      <w:r w:rsidRPr="002F794B">
        <w:rPr>
          <w:u w:val="single"/>
        </w:rPr>
        <w:t>Respuesta</w:t>
      </w:r>
    </w:p>
    <w:p w14:paraId="0889A890" w14:textId="0E5E52B6" w:rsidR="00965A2C" w:rsidRPr="002F794B" w:rsidRDefault="00873E36" w:rsidP="008C5D67">
      <w:r w:rsidRPr="002F794B">
        <w:t>Se considera y se modifica la abreviatura.</w:t>
      </w:r>
    </w:p>
    <w:p w14:paraId="16D8BD25" w14:textId="77777777" w:rsidR="00EC24E8" w:rsidRPr="002F794B" w:rsidRDefault="00EC24E8" w:rsidP="008C5D67"/>
    <w:p w14:paraId="602A8B7F" w14:textId="1768DD15" w:rsidR="00720AEE" w:rsidRPr="002F794B" w:rsidRDefault="00720AEE" w:rsidP="00B06047">
      <w:pPr>
        <w:keepNext/>
        <w:jc w:val="center"/>
        <w:outlineLvl w:val="0"/>
        <w:rPr>
          <w:b/>
          <w:bCs/>
        </w:rPr>
      </w:pPr>
      <w:r w:rsidRPr="002F794B">
        <w:rPr>
          <w:b/>
          <w:bCs/>
        </w:rPr>
        <w:lastRenderedPageBreak/>
        <w:t>Numeral 6 – CATEGORÍAS DE DRBP</w:t>
      </w:r>
    </w:p>
    <w:p w14:paraId="0267C272" w14:textId="77777777" w:rsidR="00176D7D" w:rsidRPr="002F794B" w:rsidRDefault="00176D7D" w:rsidP="00B06047">
      <w:pPr>
        <w:keepNext/>
        <w:rPr>
          <w:u w:val="single"/>
        </w:rPr>
      </w:pPr>
      <w:r w:rsidRPr="002F794B">
        <w:rPr>
          <w:u w:val="single"/>
        </w:rPr>
        <w:t>Participante</w:t>
      </w:r>
    </w:p>
    <w:p w14:paraId="619B4F67" w14:textId="3CE7B0AE" w:rsidR="00176D7D" w:rsidRPr="002F794B" w:rsidRDefault="00F448B2" w:rsidP="00B06047">
      <w:pPr>
        <w:keepNext/>
      </w:pPr>
      <w:r w:rsidRPr="002F794B">
        <w:t>Asociación de Normalización y Certificación, S.A. de C.V.</w:t>
      </w:r>
    </w:p>
    <w:p w14:paraId="1E4200E8" w14:textId="77777777" w:rsidR="00176D7D" w:rsidRPr="002F794B" w:rsidRDefault="00176D7D" w:rsidP="00176D7D">
      <w:pPr>
        <w:rPr>
          <w:u w:val="single"/>
        </w:rPr>
      </w:pPr>
      <w:r w:rsidRPr="002F794B">
        <w:rPr>
          <w:u w:val="single"/>
        </w:rPr>
        <w:t>Comentario y propuesta</w:t>
      </w:r>
    </w:p>
    <w:p w14:paraId="0554774C" w14:textId="7CE35824" w:rsidR="00F448B2" w:rsidRPr="002F794B" w:rsidRDefault="00F448B2" w:rsidP="00F448B2">
      <w:pPr>
        <w:ind w:left="567" w:right="616"/>
        <w:rPr>
          <w:i/>
          <w:iCs/>
        </w:rPr>
      </w:pPr>
      <w:r w:rsidRPr="002F794B">
        <w:rPr>
          <w:i/>
          <w:iCs/>
        </w:rPr>
        <w:t>“</w:t>
      </w:r>
      <w:r w:rsidRPr="002F794B">
        <w:rPr>
          <w:b/>
          <w:bCs/>
          <w:i/>
          <w:iCs/>
        </w:rPr>
        <w:t>Dice: III. Teléfonos inalámbricos:</w:t>
      </w:r>
      <w:r w:rsidRPr="002F794B">
        <w:rPr>
          <w:i/>
          <w:iCs/>
        </w:rPr>
        <w:t xml:space="preserve"> Equipo terminal telefónico capaz de procesar, recibir, conmutar o transmitir señales que usa un canal radioeléctrico para comunicar una parte fija y una (o más) parte(s) móvil(es).</w:t>
      </w:r>
    </w:p>
    <w:p w14:paraId="60B1EC26" w14:textId="3AABA738" w:rsidR="00F448B2" w:rsidRPr="002F794B" w:rsidRDefault="00F448B2" w:rsidP="00F448B2">
      <w:pPr>
        <w:ind w:left="567" w:right="616"/>
        <w:rPr>
          <w:i/>
          <w:iCs/>
        </w:rPr>
      </w:pPr>
      <w:r w:rsidRPr="002F794B">
        <w:rPr>
          <w:b/>
          <w:bCs/>
          <w:i/>
          <w:iCs/>
        </w:rPr>
        <w:t>Debe decir: III. Teléfonos inalámbricos:</w:t>
      </w:r>
      <w:r w:rsidRPr="002F794B">
        <w:rPr>
          <w:i/>
          <w:iCs/>
        </w:rPr>
        <w:t xml:space="preserve"> Equipo terminal telefónico capaz de procesar, recibir, conmutar o transmitir señales mediante canales radioeléctricos a su estación base, la cual se encuentra conectada a una red pública de telecomunicaciones.</w:t>
      </w:r>
    </w:p>
    <w:p w14:paraId="652990A2" w14:textId="6DAD5606" w:rsidR="00176D7D" w:rsidRPr="002F794B" w:rsidRDefault="00F448B2" w:rsidP="00F448B2">
      <w:pPr>
        <w:ind w:left="567" w:right="616"/>
        <w:rPr>
          <w:i/>
          <w:iCs/>
        </w:rPr>
      </w:pPr>
      <w:r w:rsidRPr="002F794B">
        <w:rPr>
          <w:b/>
          <w:bCs/>
          <w:i/>
          <w:iCs/>
        </w:rPr>
        <w:t>Justificación:</w:t>
      </w:r>
      <w:r w:rsidRPr="002F794B">
        <w:rPr>
          <w:i/>
          <w:iCs/>
        </w:rPr>
        <w:t xml:space="preserve"> La redacción en el Anteproyecto debe dejar en claro que no le es aplicable a aquellos equipos terminales móviles que se encuentran en el campo de aplicación de la DT IFT-011-2017 Parte 2.”</w:t>
      </w:r>
    </w:p>
    <w:p w14:paraId="069E7437" w14:textId="77777777" w:rsidR="00176D7D" w:rsidRPr="002F794B" w:rsidRDefault="00176D7D" w:rsidP="00176D7D">
      <w:pPr>
        <w:rPr>
          <w:u w:val="single"/>
        </w:rPr>
      </w:pPr>
      <w:r w:rsidRPr="002F794B">
        <w:rPr>
          <w:u w:val="single"/>
        </w:rPr>
        <w:t>Respuesta</w:t>
      </w:r>
    </w:p>
    <w:p w14:paraId="07DD21E6" w14:textId="3B300187" w:rsidR="00176D7D" w:rsidRPr="002F794B" w:rsidRDefault="007E4230" w:rsidP="00176D7D">
      <w:r w:rsidRPr="002F794B">
        <w:t>Derivado de que se ha eliminado la categoría de "Teléfonos inalámbricos" no se considera la propuesta</w:t>
      </w:r>
      <w:r w:rsidR="00247700" w:rsidRPr="002F794B">
        <w:t>.</w:t>
      </w:r>
    </w:p>
    <w:p w14:paraId="2B5F4F08" w14:textId="77777777" w:rsidR="00176D7D" w:rsidRPr="002F794B" w:rsidRDefault="00176D7D" w:rsidP="005C5DB3"/>
    <w:p w14:paraId="06583C6F" w14:textId="78BDFB51" w:rsidR="005C5DB3" w:rsidRPr="002F794B" w:rsidRDefault="005C5DB3" w:rsidP="005C5DB3">
      <w:pPr>
        <w:rPr>
          <w:u w:val="single"/>
        </w:rPr>
      </w:pPr>
      <w:r w:rsidRPr="002F794B">
        <w:rPr>
          <w:u w:val="single"/>
        </w:rPr>
        <w:t>Participante</w:t>
      </w:r>
    </w:p>
    <w:p w14:paraId="021321F4" w14:textId="46B19978" w:rsidR="005C5DB3" w:rsidRPr="002F794B" w:rsidRDefault="00FC3071" w:rsidP="005C5DB3">
      <w:proofErr w:type="spellStart"/>
      <w:r w:rsidRPr="002F794B">
        <w:t>Shure</w:t>
      </w:r>
      <w:proofErr w:type="spellEnd"/>
      <w:r w:rsidRPr="002F794B">
        <w:t xml:space="preserve"> </w:t>
      </w:r>
      <w:proofErr w:type="spellStart"/>
      <w:r w:rsidRPr="002F794B">
        <w:t>Incorporated</w:t>
      </w:r>
      <w:proofErr w:type="spellEnd"/>
    </w:p>
    <w:p w14:paraId="330A46E3" w14:textId="77777777" w:rsidR="005C5DB3" w:rsidRPr="002F794B" w:rsidRDefault="005C5DB3" w:rsidP="005C5DB3">
      <w:pPr>
        <w:rPr>
          <w:u w:val="single"/>
        </w:rPr>
      </w:pPr>
      <w:r w:rsidRPr="002F794B">
        <w:rPr>
          <w:u w:val="single"/>
        </w:rPr>
        <w:t>Comentario y propuesta</w:t>
      </w:r>
    </w:p>
    <w:p w14:paraId="412B6245" w14:textId="77777777" w:rsidR="00FC3071" w:rsidRPr="002F794B" w:rsidRDefault="00FC3071" w:rsidP="00FC3071">
      <w:pPr>
        <w:ind w:left="567" w:right="616"/>
        <w:rPr>
          <w:i/>
          <w:iCs/>
        </w:rPr>
      </w:pPr>
      <w:r w:rsidRPr="002F794B">
        <w:rPr>
          <w:i/>
          <w:iCs/>
        </w:rPr>
        <w:t>"Existen diferentes tipos de micrófonos inalámbricos y cada tipo se puede basar en un estándar técnico o armonizado diferente. Estos estándares incluyen ETSI EN 300 422-1, ETSI EN 300 175 (DECT), ETSI EN 301 406-1, Bluetooth, Wi-Fi. Un micrófono con base en DECT cumple con los límites especificados en la sección 7.3 (teléfonos alámbricos), pero se clasificaría en la categoría de micrófono inalámbrico y, por lo tanto, se realizaría la prueba según los límites y requisitos especificados en la sección 7.2 (micrófonos inalámbricos) y no los cumpliría.</w:t>
      </w:r>
    </w:p>
    <w:p w14:paraId="3865B7A6" w14:textId="77777777" w:rsidR="00FC3071" w:rsidRPr="002F794B" w:rsidRDefault="00FC3071" w:rsidP="00FC3071">
      <w:pPr>
        <w:ind w:left="567" w:right="616"/>
        <w:rPr>
          <w:i/>
          <w:iCs/>
        </w:rPr>
      </w:pPr>
      <w:r w:rsidRPr="002F794B">
        <w:rPr>
          <w:i/>
          <w:iCs/>
        </w:rPr>
        <w:t xml:space="preserve">La razón detrás del uso de diferentes tecnologías para micrófonos inalámbricos son los diferentes casos de uso y los diferentes requisitos técnicos asociados. Los micrófonos inalámbricos con base en ETSI EN 300 422-1 se utilizan para aplicaciones profesionales en producciones en vivo en escenarios, estadios o estudios con los requisitos de desempeño </w:t>
      </w:r>
      <w:r w:rsidRPr="002F794B">
        <w:rPr>
          <w:i/>
          <w:iCs/>
        </w:rPr>
        <w:lastRenderedPageBreak/>
        <w:t>más estrictos, mientras que los micrófonos inalámbricos con base en DECT se utilizan en casos con requisitos menos estrictos, por ejemplo, en conferencias en salas de reuniones o para apoyar presentaciones en vivo en salas más grandes en donde se requiere refuerzo de sonido adicional.</w:t>
      </w:r>
    </w:p>
    <w:p w14:paraId="31433931" w14:textId="77777777" w:rsidR="00FC3071" w:rsidRPr="002F794B" w:rsidRDefault="00FC3071" w:rsidP="00FC3071">
      <w:pPr>
        <w:ind w:left="567" w:right="616"/>
        <w:rPr>
          <w:i/>
          <w:iCs/>
        </w:rPr>
      </w:pPr>
      <w:r w:rsidRPr="002F794B">
        <w:rPr>
          <w:i/>
          <w:iCs/>
        </w:rPr>
        <w:t>Las especificaciones técnicas, incluyendo los métodos de prueba, de los teléfonos inalámbricos de la categoría de dispositivos están alineadas con el estándar DECT (ETSI EN 301 406-1 y ETSI EN 300 175-2), pero se debe tener en cuenta que existen muchos equipos diferentes en el mercado según ese estándar sin el uso previsto de telefonía inalámbrica, por ejemplo, el micrófono inalámbrico mencionado anteriormente. Por lo tanto, recomendamos ampliar el alcance de esa categoría y reemplazar el nombre actual “teléfonos inalámbricos” por “telecomunicaciones inalámbricas digitales mejoradas” y la definición actual por:</w:t>
      </w:r>
    </w:p>
    <w:p w14:paraId="2C4E439E" w14:textId="7AF5D720" w:rsidR="005C5DB3" w:rsidRPr="002F794B" w:rsidRDefault="00FC3071" w:rsidP="00FC3071">
      <w:pPr>
        <w:ind w:left="567" w:right="616"/>
        <w:rPr>
          <w:i/>
          <w:iCs/>
        </w:rPr>
      </w:pPr>
      <w:r w:rsidRPr="002F794B">
        <w:rPr>
          <w:i/>
          <w:iCs/>
        </w:rPr>
        <w:t xml:space="preserve">DRBP que utilizan tecnología DECT, la cual se basa en un sistema de comunicación por radio </w:t>
      </w:r>
      <w:proofErr w:type="spellStart"/>
      <w:r w:rsidRPr="002F794B">
        <w:rPr>
          <w:i/>
          <w:iCs/>
        </w:rPr>
        <w:t>microcelular</w:t>
      </w:r>
      <w:proofErr w:type="spellEnd"/>
      <w:r w:rsidRPr="002F794B">
        <w:rPr>
          <w:i/>
          <w:iCs/>
        </w:rPr>
        <w:t xml:space="preserve"> que proporciona acceso por radio (inalámbrico) de baja potencia entre partes fijas y partes portátiles a distancias de hasta pocos cientos de metros. Proporciona tráfico de voz y datos."</w:t>
      </w:r>
    </w:p>
    <w:p w14:paraId="5184C403" w14:textId="77777777" w:rsidR="005C5DB3" w:rsidRPr="002F794B" w:rsidRDefault="005C5DB3" w:rsidP="005C5DB3">
      <w:pPr>
        <w:rPr>
          <w:u w:val="single"/>
        </w:rPr>
      </w:pPr>
      <w:r w:rsidRPr="002F794B">
        <w:rPr>
          <w:u w:val="single"/>
        </w:rPr>
        <w:t>Respuesta</w:t>
      </w:r>
    </w:p>
    <w:p w14:paraId="6D608918" w14:textId="1C12EE52" w:rsidR="005C5DB3" w:rsidRPr="002F794B" w:rsidRDefault="00B63BC5" w:rsidP="005C5DB3">
      <w:r w:rsidRPr="002F794B">
        <w:t>Derivado de que se ha eliminado la categoría de "Teléfonos inalámbricos" no se considera la propuesta.</w:t>
      </w:r>
    </w:p>
    <w:p w14:paraId="3AF0E8FE" w14:textId="77777777" w:rsidR="00EB63E6" w:rsidRPr="002F794B" w:rsidRDefault="00EB63E6" w:rsidP="00EC24E8"/>
    <w:p w14:paraId="28C1A0A6" w14:textId="320D66A5" w:rsidR="00EC24E8" w:rsidRPr="002F794B" w:rsidRDefault="00EC24E8" w:rsidP="00DE39DA">
      <w:pPr>
        <w:spacing w:line="276" w:lineRule="auto"/>
        <w:jc w:val="center"/>
        <w:outlineLvl w:val="0"/>
        <w:rPr>
          <w:b/>
        </w:rPr>
      </w:pPr>
      <w:r w:rsidRPr="002F794B">
        <w:rPr>
          <w:b/>
        </w:rPr>
        <w:t xml:space="preserve">Numeral </w:t>
      </w:r>
      <w:r w:rsidR="0071223C" w:rsidRPr="002F794B">
        <w:rPr>
          <w:b/>
        </w:rPr>
        <w:t>7</w:t>
      </w:r>
      <w:r w:rsidRPr="002F794B">
        <w:rPr>
          <w:b/>
        </w:rPr>
        <w:t xml:space="preserve"> – </w:t>
      </w:r>
      <w:r w:rsidR="0071223C" w:rsidRPr="002F794B">
        <w:rPr>
          <w:b/>
        </w:rPr>
        <w:t>ESPECIFICACIONES TÉCNICAS</w:t>
      </w:r>
    </w:p>
    <w:p w14:paraId="2D68EAA2" w14:textId="77777777" w:rsidR="00A736CE" w:rsidRPr="002F794B" w:rsidRDefault="00A736CE" w:rsidP="00A736CE">
      <w:pPr>
        <w:rPr>
          <w:u w:val="single"/>
        </w:rPr>
      </w:pPr>
      <w:r w:rsidRPr="002F794B">
        <w:rPr>
          <w:u w:val="single"/>
        </w:rPr>
        <w:t>Participante</w:t>
      </w:r>
    </w:p>
    <w:p w14:paraId="2CFE05D8" w14:textId="438C4554" w:rsidR="00A736CE" w:rsidRPr="002F794B" w:rsidRDefault="00A736CE" w:rsidP="00A736CE">
      <w:r w:rsidRPr="002F794B">
        <w:t>LOGIS CONSULTORES S.A. de C.V.</w:t>
      </w:r>
    </w:p>
    <w:p w14:paraId="283303C4" w14:textId="77777777" w:rsidR="00A736CE" w:rsidRPr="002F794B" w:rsidRDefault="00A736CE" w:rsidP="00A736CE">
      <w:pPr>
        <w:rPr>
          <w:u w:val="single"/>
        </w:rPr>
      </w:pPr>
      <w:r w:rsidRPr="002F794B">
        <w:rPr>
          <w:u w:val="single"/>
        </w:rPr>
        <w:t>Comentario y propuesta</w:t>
      </w:r>
    </w:p>
    <w:p w14:paraId="482436F1" w14:textId="6E028E36" w:rsidR="00A736CE" w:rsidRPr="002F794B" w:rsidRDefault="0038084E" w:rsidP="0038084E">
      <w:pPr>
        <w:ind w:left="567" w:right="616"/>
        <w:rPr>
          <w:i/>
          <w:iCs/>
        </w:rPr>
      </w:pPr>
      <w:r w:rsidRPr="002F794B">
        <w:rPr>
          <w:i/>
          <w:iCs/>
        </w:rPr>
        <w:t>“Consideramos que la ganancia de la antena que se debe probar es con la que se genera mayor ganancia como se indica en la DT IFT-008-2015”.</w:t>
      </w:r>
    </w:p>
    <w:p w14:paraId="305C92FE" w14:textId="77777777" w:rsidR="00A736CE" w:rsidRPr="002F794B" w:rsidRDefault="00A736CE" w:rsidP="00A736CE">
      <w:pPr>
        <w:rPr>
          <w:u w:val="single"/>
        </w:rPr>
      </w:pPr>
      <w:r w:rsidRPr="002F794B">
        <w:rPr>
          <w:u w:val="single"/>
        </w:rPr>
        <w:t>Respuesta</w:t>
      </w:r>
    </w:p>
    <w:p w14:paraId="2C2C6C1E" w14:textId="321090BA" w:rsidR="004027CC" w:rsidRPr="002F794B" w:rsidRDefault="004027CC" w:rsidP="00A736CE">
      <w:r w:rsidRPr="002F794B">
        <w:t>Se considera se modifica el texto para indicar que se llevará a cabo la evaluación de la conformidad con la antena integrada y en  caso de que el DRBP cuenta con más de una antena, será suficiente probar el transmisor con la(s) antena(s) de más alta ganancia.</w:t>
      </w:r>
    </w:p>
    <w:p w14:paraId="6B7E2AE5" w14:textId="0CB10C1C" w:rsidR="00DE0659" w:rsidRPr="002F794B" w:rsidRDefault="00DE0659" w:rsidP="00DE0659">
      <w:pPr>
        <w:rPr>
          <w:u w:val="single"/>
        </w:rPr>
      </w:pPr>
      <w:r w:rsidRPr="002F794B">
        <w:rPr>
          <w:u w:val="single"/>
        </w:rPr>
        <w:lastRenderedPageBreak/>
        <w:t>Participante</w:t>
      </w:r>
    </w:p>
    <w:p w14:paraId="62408142" w14:textId="18D9804E" w:rsidR="00DE0659" w:rsidRPr="002F794B" w:rsidRDefault="008D4566" w:rsidP="00DE0659">
      <w:r w:rsidRPr="002F794B">
        <w:t>Asociación de Normalización y Certificación, S.A. de C.V.</w:t>
      </w:r>
    </w:p>
    <w:p w14:paraId="5FABBABC" w14:textId="77777777" w:rsidR="00DE0659" w:rsidRPr="002F794B" w:rsidRDefault="00DE0659" w:rsidP="00DE0659">
      <w:pPr>
        <w:rPr>
          <w:u w:val="single"/>
        </w:rPr>
      </w:pPr>
      <w:r w:rsidRPr="002F794B">
        <w:rPr>
          <w:u w:val="single"/>
        </w:rPr>
        <w:t>Comentario y propuesta</w:t>
      </w:r>
    </w:p>
    <w:p w14:paraId="23C046B6" w14:textId="77777777" w:rsidR="008D4566" w:rsidRPr="002F794B" w:rsidRDefault="008D4566" w:rsidP="008D4566">
      <w:pPr>
        <w:ind w:left="567" w:right="616"/>
        <w:rPr>
          <w:i/>
          <w:iCs/>
        </w:rPr>
      </w:pPr>
      <w:r w:rsidRPr="002F794B">
        <w:rPr>
          <w:i/>
          <w:iCs/>
        </w:rPr>
        <w:t>"</w:t>
      </w:r>
      <w:r w:rsidRPr="002F794B">
        <w:rPr>
          <w:b/>
          <w:bCs/>
          <w:i/>
          <w:iCs/>
        </w:rPr>
        <w:t>Consideración:</w:t>
      </w:r>
      <w:r w:rsidRPr="002F794B">
        <w:rPr>
          <w:i/>
          <w:iCs/>
        </w:rPr>
        <w:t xml:space="preserve"> Los productos que cuentan con conectores de RF externos y accesibles para el usuario tienen la potencialidad de ser empleados con amplificadores de RF y/o antenas de mayor ganancia a las consideradas durante la evaluación de su conformidad.</w:t>
      </w:r>
    </w:p>
    <w:p w14:paraId="22658771" w14:textId="77777777" w:rsidR="008D4566" w:rsidRPr="002F794B" w:rsidRDefault="008D4566" w:rsidP="008D4566">
      <w:pPr>
        <w:ind w:left="567" w:right="616"/>
        <w:rPr>
          <w:i/>
          <w:iCs/>
        </w:rPr>
      </w:pPr>
      <w:r w:rsidRPr="002F794B">
        <w:rPr>
          <w:i/>
          <w:iCs/>
        </w:rPr>
        <w:t xml:space="preserve">Los numerales 7 inciso II a); 8.4.2 a); 8.5.2 a); 8.6.1.2 a); 8.6.2.2 a); 8.6.2.3; 8.7.2 a); 8.8.2 a); 8.9.1.2 a) y 8.9.2.2 a) del presente Anteproyecto refieren a la posibilidad de que el producto cuente con antenas </w:t>
      </w:r>
      <w:proofErr w:type="spellStart"/>
      <w:r w:rsidRPr="002F794B">
        <w:rPr>
          <w:i/>
          <w:iCs/>
        </w:rPr>
        <w:t>desconectables</w:t>
      </w:r>
      <w:proofErr w:type="spellEnd"/>
      <w:r w:rsidRPr="002F794B">
        <w:rPr>
          <w:i/>
          <w:iCs/>
        </w:rPr>
        <w:t>, lo que implícitamente considera que los conectores son accesibles para el usuario y, por lo tanto, existe la posibilidad de que el usuario final del producto bajo prueba caiga en los supuestos del párrafo anterior.</w:t>
      </w:r>
    </w:p>
    <w:p w14:paraId="2C09ACEE" w14:textId="77777777" w:rsidR="008D4566" w:rsidRPr="002F794B" w:rsidRDefault="008D4566" w:rsidP="008D4566">
      <w:pPr>
        <w:ind w:left="567" w:right="616"/>
        <w:rPr>
          <w:i/>
          <w:iCs/>
        </w:rPr>
      </w:pPr>
      <w:r w:rsidRPr="002F794B">
        <w:rPr>
          <w:i/>
          <w:iCs/>
        </w:rPr>
        <w:t>Esta posibilidad ya es considerada por la Disposición Técnica IFT-008-2015, así como el Anteproyecto de Disposición Técnica IFT-017-2023; en ambos documentos se colocan advertencias al usuario final donde se le informa su responsabilidad de emplear exclusivamente las antenas listadas por el fabricante, y no conectar amplificadores externos, más allá de aquellos que fueron diseñados para tal fin, y evaluados junto con el equipo de interés.</w:t>
      </w:r>
    </w:p>
    <w:p w14:paraId="0A3BE6C1" w14:textId="77777777" w:rsidR="008D4566" w:rsidRPr="002F794B" w:rsidRDefault="008D4566" w:rsidP="008D4566">
      <w:pPr>
        <w:ind w:left="567" w:right="616"/>
        <w:rPr>
          <w:i/>
          <w:iCs/>
        </w:rPr>
      </w:pPr>
      <w:r w:rsidRPr="002F794B">
        <w:rPr>
          <w:b/>
          <w:bCs/>
          <w:i/>
          <w:iCs/>
        </w:rPr>
        <w:t>Problema:</w:t>
      </w:r>
      <w:r w:rsidRPr="002F794B">
        <w:rPr>
          <w:i/>
          <w:iCs/>
        </w:rPr>
        <w:t xml:space="preserve"> Este Anteproyecto no considera ningún tipo de especificación o indicaciones relativas a las antenas </w:t>
      </w:r>
      <w:proofErr w:type="spellStart"/>
      <w:r w:rsidRPr="002F794B">
        <w:rPr>
          <w:i/>
          <w:iCs/>
        </w:rPr>
        <w:t>desconectables</w:t>
      </w:r>
      <w:proofErr w:type="spellEnd"/>
      <w:r w:rsidRPr="002F794B">
        <w:rPr>
          <w:i/>
          <w:iCs/>
        </w:rPr>
        <w:t xml:space="preserve"> ni a los amplificadores externos que puedan emplearse durante la operación típica de los productos. El Anteproyecto tampoco exige algún tipo de advertencia al usuario final respecto a los peligros de causar interferencia electromagnética a otros sistemas aledaños, por emplear antenas de mayor ganancia de la originalmente evaluada, y/o, emplear amplificadores de radiofrecuencia que proporcionen mayores valores de potencia que aquellos medidos durante la evaluación de su conformidad.</w:t>
      </w:r>
    </w:p>
    <w:p w14:paraId="53A2626A" w14:textId="77777777" w:rsidR="008D4566" w:rsidRPr="002F794B" w:rsidRDefault="008D4566" w:rsidP="008D4566">
      <w:pPr>
        <w:ind w:left="567" w:right="616"/>
        <w:rPr>
          <w:i/>
          <w:iCs/>
        </w:rPr>
      </w:pPr>
      <w:r w:rsidRPr="002F794B">
        <w:rPr>
          <w:i/>
          <w:iCs/>
        </w:rPr>
        <w:t>Los productos que caen en el campo de aplicación del Anteproyecto son de baja potencia, aunque el uso de amplificadores externos no constituye una contradicción en su definición. Este Anteproyecto no considera especificaciones para dichos accesorios, los cuales deben ser evaluados junto con el producto.</w:t>
      </w:r>
    </w:p>
    <w:p w14:paraId="54A5E910" w14:textId="7476413F" w:rsidR="000210C0" w:rsidRPr="002F794B" w:rsidRDefault="000210C0" w:rsidP="000210C0">
      <w:pPr>
        <w:ind w:left="567" w:right="616"/>
        <w:rPr>
          <w:i/>
          <w:iCs/>
        </w:rPr>
      </w:pPr>
      <w:r w:rsidRPr="002F794B">
        <w:rPr>
          <w:b/>
          <w:bCs/>
          <w:i/>
          <w:iCs/>
        </w:rPr>
        <w:t>Se propone:</w:t>
      </w:r>
      <w:r w:rsidRPr="002F794B">
        <w:rPr>
          <w:i/>
          <w:iCs/>
        </w:rPr>
        <w:t xml:space="preserve"> Incluir el siguiente apartado de especificaciones</w:t>
      </w:r>
    </w:p>
    <w:p w14:paraId="7BEAFECC" w14:textId="77777777" w:rsidR="000210C0" w:rsidRPr="002F794B" w:rsidRDefault="000210C0" w:rsidP="00507412">
      <w:pPr>
        <w:ind w:left="1134" w:right="616"/>
        <w:rPr>
          <w:b/>
          <w:bCs/>
          <w:i/>
          <w:iCs/>
        </w:rPr>
      </w:pPr>
      <w:r w:rsidRPr="002F794B">
        <w:rPr>
          <w:b/>
          <w:bCs/>
          <w:i/>
          <w:iCs/>
        </w:rPr>
        <w:t>7.6 Uso de Amplificadores externos</w:t>
      </w:r>
    </w:p>
    <w:p w14:paraId="013DDF36" w14:textId="77777777" w:rsidR="000210C0" w:rsidRPr="002F794B" w:rsidRDefault="000210C0" w:rsidP="00507412">
      <w:pPr>
        <w:ind w:left="1134" w:right="616"/>
        <w:rPr>
          <w:i/>
          <w:iCs/>
        </w:rPr>
      </w:pPr>
      <w:r w:rsidRPr="002F794B">
        <w:rPr>
          <w:i/>
          <w:iCs/>
        </w:rPr>
        <w:lastRenderedPageBreak/>
        <w:t>Si los Dispositivos de radiocomunicación de baja potencia tienen la posibilidad de usarse con amplificadores de potencia de radiofrecuencia externos, los Dispositivos de radiocomunicación de baja potencia serán sujetos de la evaluación de la conformidad y se homologarán conjuntamente con los amplificadores de potencia de radiofrecuencia externos con los que les vaya a ser autorizado operar, debiendo cumplir así con todas las especificaciones que les corresponda, generales, por su tipo y de aplicación, para todos los equipos sujetos a esta DT. Queda prohibida la operación conjunta de cualesquiera otros amplificadores de potencia de radiofrecuencia externos con los Dispositivos de radiocomunicación de baja potencia. El manual de usuario contendrá la lista de amplificadores de potencia de radiofrecuencia externos autorizados para operar en conjunto con los Dispositivos de radiocomunicación de baja potencia.</w:t>
      </w:r>
    </w:p>
    <w:p w14:paraId="5A279E81" w14:textId="0B1C121E" w:rsidR="00DE0659" w:rsidRPr="002F794B" w:rsidRDefault="000210C0" w:rsidP="00507412">
      <w:pPr>
        <w:ind w:left="1134" w:right="616"/>
        <w:rPr>
          <w:i/>
          <w:iCs/>
        </w:rPr>
      </w:pPr>
      <w:r w:rsidRPr="002F794B">
        <w:rPr>
          <w:i/>
          <w:iCs/>
        </w:rPr>
        <w:t xml:space="preserve">Los Dispositivos sujetos a esta DT deberán ser evaluados en su conformidad </w:t>
      </w:r>
      <w:proofErr w:type="spellStart"/>
      <w:r w:rsidRPr="002F794B">
        <w:rPr>
          <w:i/>
          <w:iCs/>
        </w:rPr>
        <w:t>conformidad</w:t>
      </w:r>
      <w:proofErr w:type="spellEnd"/>
      <w:r w:rsidRPr="002F794B">
        <w:rPr>
          <w:i/>
          <w:iCs/>
        </w:rPr>
        <w:t xml:space="preserve"> y homologarse tanto con la antena única que vaya integrada al equipo o, de existir la posibilidad de </w:t>
      </w:r>
      <w:proofErr w:type="spellStart"/>
      <w:r w:rsidRPr="002F794B">
        <w:rPr>
          <w:i/>
          <w:iCs/>
        </w:rPr>
        <w:t>conectabilidad</w:t>
      </w:r>
      <w:proofErr w:type="spellEnd"/>
      <w:r w:rsidRPr="002F794B">
        <w:rPr>
          <w:i/>
          <w:iCs/>
        </w:rPr>
        <w:t>/</w:t>
      </w:r>
      <w:proofErr w:type="spellStart"/>
      <w:r w:rsidRPr="002F794B">
        <w:rPr>
          <w:i/>
          <w:iCs/>
        </w:rPr>
        <w:t>desconectabilidad</w:t>
      </w:r>
      <w:proofErr w:type="spellEnd"/>
      <w:r w:rsidRPr="002F794B">
        <w:rPr>
          <w:i/>
          <w:iCs/>
        </w:rPr>
        <w:t xml:space="preserve"> de las antenas, con el conjunto de antenas </w:t>
      </w:r>
      <w:proofErr w:type="gramStart"/>
      <w:r w:rsidRPr="002F794B">
        <w:rPr>
          <w:i/>
          <w:iCs/>
        </w:rPr>
        <w:t>del mismo</w:t>
      </w:r>
      <w:proofErr w:type="gramEnd"/>
      <w:r w:rsidRPr="002F794B">
        <w:rPr>
          <w:i/>
          <w:iCs/>
        </w:rPr>
        <w:t xml:space="preserve"> o de diferente tipo con los cuales pueda transmitir. Para el caso de que algún Dispositivo de radiocomunicación de baja potencia vaya a ser evaluado de su conformidad y homologado, para uno o más tipos de antena, se probará el transmisor con la antena de más alta ganancia con la potencia de salida al máximo nivel.</w:t>
      </w:r>
      <w:r w:rsidR="008D4566" w:rsidRPr="002F794B">
        <w:rPr>
          <w:i/>
          <w:iCs/>
        </w:rPr>
        <w:t>"</w:t>
      </w:r>
    </w:p>
    <w:p w14:paraId="3CF89D65" w14:textId="77777777" w:rsidR="00DE0659" w:rsidRPr="002F794B" w:rsidRDefault="00DE0659" w:rsidP="00DE0659">
      <w:pPr>
        <w:rPr>
          <w:u w:val="single"/>
        </w:rPr>
      </w:pPr>
      <w:r w:rsidRPr="002F794B">
        <w:rPr>
          <w:u w:val="single"/>
        </w:rPr>
        <w:t>Respuesta</w:t>
      </w:r>
    </w:p>
    <w:p w14:paraId="6669B120" w14:textId="4860245F" w:rsidR="00357CAC" w:rsidRPr="002F794B" w:rsidRDefault="00357CAC" w:rsidP="00357CAC">
      <w:r w:rsidRPr="002F794B">
        <w:t xml:space="preserve">Se considera </w:t>
      </w:r>
      <w:r w:rsidR="004027CC" w:rsidRPr="002F794B">
        <w:t xml:space="preserve">parcialmente </w:t>
      </w:r>
      <w:r w:rsidRPr="002F794B">
        <w:t>se añade a la DT la prohibición de uso de amplificadores externos. Asimismo, se modifica el texto de la DT para indicar que en caso de que al DRBP se le puedan conectar diferentes antenas, será suficiente probar el transmisor con la(s) antena(s) de más alta ganancia, la(s) cual(es) deberá(n) cumplir con las especificaciones técnicas que le correspondan.</w:t>
      </w:r>
    </w:p>
    <w:p w14:paraId="449B35E3" w14:textId="77777777" w:rsidR="00DE0659" w:rsidRPr="002F794B" w:rsidRDefault="00DE0659" w:rsidP="00DE0659">
      <w:pPr>
        <w:spacing w:line="276" w:lineRule="auto"/>
        <w:jc w:val="left"/>
        <w:rPr>
          <w:bCs/>
        </w:rPr>
      </w:pPr>
    </w:p>
    <w:p w14:paraId="0C14DA85" w14:textId="77777777" w:rsidR="007740DD" w:rsidRPr="002F794B" w:rsidRDefault="007740DD" w:rsidP="007740DD">
      <w:pPr>
        <w:rPr>
          <w:u w:val="single"/>
        </w:rPr>
      </w:pPr>
      <w:r w:rsidRPr="002F794B">
        <w:rPr>
          <w:u w:val="single"/>
        </w:rPr>
        <w:t>Participante</w:t>
      </w:r>
    </w:p>
    <w:p w14:paraId="170FC6E8" w14:textId="6F28CF6C" w:rsidR="007740DD" w:rsidRPr="002F794B" w:rsidRDefault="007740DD" w:rsidP="007740DD">
      <w:r w:rsidRPr="002F794B">
        <w:t>Asociación de Normalización y Certificación, S.A. de C.V.</w:t>
      </w:r>
    </w:p>
    <w:p w14:paraId="534E7AA9" w14:textId="77777777" w:rsidR="007740DD" w:rsidRPr="002F794B" w:rsidRDefault="007740DD" w:rsidP="007740DD">
      <w:pPr>
        <w:rPr>
          <w:u w:val="single"/>
        </w:rPr>
      </w:pPr>
      <w:r w:rsidRPr="002F794B">
        <w:rPr>
          <w:u w:val="single"/>
        </w:rPr>
        <w:t>Comentario y propuesta</w:t>
      </w:r>
    </w:p>
    <w:p w14:paraId="56D92994" w14:textId="77777777" w:rsidR="00502D15" w:rsidRPr="002F794B" w:rsidRDefault="00502D15" w:rsidP="00502D15">
      <w:pPr>
        <w:ind w:left="567" w:right="616"/>
        <w:rPr>
          <w:i/>
          <w:iCs/>
        </w:rPr>
      </w:pPr>
      <w:r w:rsidRPr="002F794B">
        <w:rPr>
          <w:i/>
          <w:iCs/>
        </w:rPr>
        <w:t>"</w:t>
      </w:r>
      <w:r w:rsidRPr="002F794B">
        <w:rPr>
          <w:b/>
          <w:bCs/>
          <w:i/>
          <w:iCs/>
        </w:rPr>
        <w:t>Consideración:</w:t>
      </w:r>
      <w:r w:rsidRPr="002F794B">
        <w:rPr>
          <w:i/>
          <w:iCs/>
        </w:rPr>
        <w:t xml:space="preserve"> El Anteproyecto estipula que cuando operen los productos en su campo de aplicación, “no causen interferencias perjudiciales a otros equipos de operación autorizada, ni a las redes y servicios de telecomunicaciones autorizados […]. Sin embargo, deberán </w:t>
      </w:r>
      <w:r w:rsidRPr="002F794B">
        <w:rPr>
          <w:i/>
          <w:iCs/>
        </w:rPr>
        <w:lastRenderedPageBreak/>
        <w:t>aceptar interferencias perjudiciales que puedan ser causadas por el funcionamiento de otros dispositivos, equipos o productos.” Estas dos características coinciden con las advertencias que deben aparecer en el Manual de Usuario de aquellos productos que caen en el campo de aplicación de la Disposición Técnica IFT-008-2015 (cfr. numeral 4.6.2). Sin embargo, este Anteproyecto no considera la inclusión de las leyendas del numeral 4.6.2 en los manuales de los productos en el campo de aplicación del Anteproyecto en cuestión.</w:t>
      </w:r>
    </w:p>
    <w:p w14:paraId="641CE5A2" w14:textId="77777777" w:rsidR="00502D15" w:rsidRPr="002F794B" w:rsidRDefault="00502D15" w:rsidP="00502D15">
      <w:pPr>
        <w:ind w:left="567" w:right="616"/>
        <w:rPr>
          <w:i/>
          <w:iCs/>
        </w:rPr>
      </w:pPr>
      <w:r w:rsidRPr="002F794B">
        <w:rPr>
          <w:b/>
          <w:bCs/>
          <w:i/>
          <w:iCs/>
        </w:rPr>
        <w:t>Problema:</w:t>
      </w:r>
      <w:r w:rsidRPr="002F794B">
        <w:rPr>
          <w:i/>
          <w:iCs/>
        </w:rPr>
        <w:t xml:space="preserve"> Los usuarios finales de los productos que caen en el campo de aplicación del Anteproyecto deben contar con información suficiente, clara y veraz respecto a la posibilidad latente de sus equipos de causar interferencias en otras redes de telecomunicaciones. Este conocimiento debe emanar de la documentación con la que se acompaña el producto. Una ubicación apropiada es el manual de usuario.</w:t>
      </w:r>
    </w:p>
    <w:p w14:paraId="43A27402" w14:textId="77777777" w:rsidR="00502D15" w:rsidRPr="002F794B" w:rsidRDefault="00502D15" w:rsidP="00502D15">
      <w:pPr>
        <w:ind w:left="567" w:right="616"/>
        <w:rPr>
          <w:i/>
          <w:iCs/>
        </w:rPr>
      </w:pPr>
      <w:r w:rsidRPr="002F794B">
        <w:rPr>
          <w:b/>
          <w:bCs/>
          <w:i/>
          <w:iCs/>
        </w:rPr>
        <w:t>Se propone:</w:t>
      </w:r>
      <w:r w:rsidRPr="002F794B">
        <w:rPr>
          <w:i/>
          <w:iCs/>
        </w:rPr>
        <w:t xml:space="preserve"> Crear un numeral 7.7 que indique lo siguiente:</w:t>
      </w:r>
    </w:p>
    <w:p w14:paraId="4A4949BE" w14:textId="77777777" w:rsidR="00502D15" w:rsidRPr="002F794B" w:rsidRDefault="00502D15" w:rsidP="00B47EC4">
      <w:pPr>
        <w:ind w:left="1134" w:right="616"/>
        <w:rPr>
          <w:b/>
          <w:bCs/>
          <w:i/>
          <w:iCs/>
        </w:rPr>
      </w:pPr>
      <w:r w:rsidRPr="002F794B">
        <w:rPr>
          <w:b/>
          <w:bCs/>
          <w:i/>
          <w:iCs/>
        </w:rPr>
        <w:t>7.7 Manual de usuario</w:t>
      </w:r>
    </w:p>
    <w:p w14:paraId="789ECFC4" w14:textId="77777777" w:rsidR="00502D15" w:rsidRPr="002F794B" w:rsidRDefault="00502D15" w:rsidP="00B47EC4">
      <w:pPr>
        <w:ind w:left="1134" w:right="616"/>
        <w:rPr>
          <w:i/>
          <w:iCs/>
        </w:rPr>
      </w:pPr>
      <w:r w:rsidRPr="002F794B">
        <w:rPr>
          <w:i/>
          <w:iCs/>
        </w:rPr>
        <w:t>El manual de usuario de cualquier Dispositivo de radiocomunicación de baja potencia cumplirá con lo siguiente:</w:t>
      </w:r>
    </w:p>
    <w:p w14:paraId="7F9598EC" w14:textId="77777777" w:rsidR="00502D15" w:rsidRPr="002F794B" w:rsidRDefault="00502D15" w:rsidP="00B47EC4">
      <w:pPr>
        <w:ind w:left="1134" w:right="616"/>
        <w:rPr>
          <w:i/>
          <w:iCs/>
        </w:rPr>
      </w:pPr>
      <w:r w:rsidRPr="002F794B">
        <w:rPr>
          <w:i/>
          <w:iCs/>
        </w:rPr>
        <w:t>7.7.1. El manual de usuario deberá estar escrito en idioma español y contener información suficiente, clara y veraz, en términos de lo previsto en la Ley Federal de Protección al Consumidor. El manual puede presentar la información en múltiples idiomas, siempre y cuando incluya el idioma español.</w:t>
      </w:r>
    </w:p>
    <w:p w14:paraId="2918865A" w14:textId="77777777" w:rsidR="00502D15" w:rsidRPr="002F794B" w:rsidRDefault="00502D15" w:rsidP="00B47EC4">
      <w:pPr>
        <w:ind w:left="1134" w:right="616"/>
        <w:rPr>
          <w:i/>
          <w:iCs/>
        </w:rPr>
      </w:pPr>
      <w:r w:rsidRPr="002F794B">
        <w:rPr>
          <w:i/>
          <w:iCs/>
        </w:rPr>
        <w:t>7.7.2. El manual de usuario contendrá las siguientes leyendas o su equivalente en una posición notoria:</w:t>
      </w:r>
    </w:p>
    <w:p w14:paraId="04C49112" w14:textId="383DE14E" w:rsidR="007740DD" w:rsidRPr="002F794B" w:rsidRDefault="002A50F9" w:rsidP="00B47EC4">
      <w:pPr>
        <w:ind w:left="1134" w:right="616"/>
        <w:rPr>
          <w:i/>
          <w:iCs/>
        </w:rPr>
      </w:pPr>
      <w:r w:rsidRPr="002F794B">
        <w:rPr>
          <w:i/>
          <w:iCs/>
        </w:rPr>
        <w:t>“</w:t>
      </w:r>
      <w:r w:rsidR="00502D15" w:rsidRPr="002F794B">
        <w:rPr>
          <w:i/>
          <w:iCs/>
        </w:rPr>
        <w:t>La operación de este equipo está sujeta a las siguientes dos condiciones: (1) es posible que este equipo o dispositivo no cause interferencia perjudicial y (2) este equipo o dispositivo debe aceptar cualquier interferencia, incluyendo la que pueda causar su operación no deseada.</w:t>
      </w:r>
      <w:r w:rsidRPr="002F794B">
        <w:rPr>
          <w:i/>
          <w:iCs/>
        </w:rPr>
        <w:t>”</w:t>
      </w:r>
    </w:p>
    <w:p w14:paraId="4BEC650D" w14:textId="38F93C63" w:rsidR="00A5776C" w:rsidRPr="002F794B" w:rsidRDefault="00A5776C" w:rsidP="002A50F9">
      <w:pPr>
        <w:ind w:left="567" w:right="616"/>
        <w:rPr>
          <w:i/>
          <w:iCs/>
        </w:rPr>
      </w:pPr>
      <w:r w:rsidRPr="002F794B">
        <w:rPr>
          <w:i/>
          <w:iCs/>
        </w:rPr>
        <w:t xml:space="preserve">Adicionalmente, para atender el comentario anterior respecto a las advertencias al usuario final respecto a las antenas </w:t>
      </w:r>
      <w:proofErr w:type="spellStart"/>
      <w:r w:rsidRPr="002F794B">
        <w:rPr>
          <w:i/>
          <w:iCs/>
        </w:rPr>
        <w:t>desconectables</w:t>
      </w:r>
      <w:proofErr w:type="spellEnd"/>
      <w:r w:rsidRPr="002F794B">
        <w:rPr>
          <w:i/>
          <w:iCs/>
        </w:rPr>
        <w:t xml:space="preserve"> y los amplificadores externos, se proponen las siguientes cláusulas:</w:t>
      </w:r>
    </w:p>
    <w:p w14:paraId="46ED9431" w14:textId="77777777" w:rsidR="00A5776C" w:rsidRPr="002F794B" w:rsidRDefault="00A5776C" w:rsidP="00B47EC4">
      <w:pPr>
        <w:ind w:left="1134" w:right="616"/>
        <w:rPr>
          <w:i/>
          <w:iCs/>
        </w:rPr>
      </w:pPr>
      <w:r w:rsidRPr="002F794B">
        <w:rPr>
          <w:i/>
          <w:iCs/>
        </w:rPr>
        <w:t>7.7.3. Si la antena es conectable/</w:t>
      </w:r>
      <w:proofErr w:type="spellStart"/>
      <w:r w:rsidRPr="002F794B">
        <w:rPr>
          <w:i/>
          <w:iCs/>
        </w:rPr>
        <w:t>desconectable</w:t>
      </w:r>
      <w:proofErr w:type="spellEnd"/>
      <w:r w:rsidRPr="002F794B">
        <w:rPr>
          <w:i/>
          <w:iCs/>
        </w:rPr>
        <w:t xml:space="preserve"> y seleccionable por el usuario, el manual de usuario contendrá la siguiente información en una posición notoria:</w:t>
      </w:r>
    </w:p>
    <w:p w14:paraId="235AE7EE" w14:textId="5D9FB555" w:rsidR="00A5776C" w:rsidRPr="002F794B" w:rsidRDefault="00A5776C" w:rsidP="00B47EC4">
      <w:pPr>
        <w:ind w:left="1134" w:right="616"/>
        <w:rPr>
          <w:i/>
          <w:iCs/>
        </w:rPr>
      </w:pPr>
      <w:r w:rsidRPr="002F794B">
        <w:rPr>
          <w:i/>
          <w:iCs/>
        </w:rPr>
        <w:lastRenderedPageBreak/>
        <w:t xml:space="preserve">7.7.3.1. </w:t>
      </w:r>
      <w:r w:rsidR="0099159E" w:rsidRPr="002F794B">
        <w:rPr>
          <w:i/>
          <w:iCs/>
        </w:rPr>
        <w:t>“</w:t>
      </w:r>
      <w:r w:rsidRPr="002F794B">
        <w:rPr>
          <w:i/>
          <w:iCs/>
        </w:rPr>
        <w:t>Este equipo ha sido diseñado para operar con las antenas que enseguida se enlistan y para una ganancia máxima de antena de [</w:t>
      </w:r>
      <w:proofErr w:type="spellStart"/>
      <w:r w:rsidRPr="002F794B">
        <w:rPr>
          <w:i/>
          <w:iCs/>
        </w:rPr>
        <w:t>Gx</w:t>
      </w:r>
      <w:proofErr w:type="spellEnd"/>
      <w:r w:rsidRPr="002F794B">
        <w:rPr>
          <w:i/>
          <w:iCs/>
        </w:rPr>
        <w:t xml:space="preserve"> dBi]. El uso con este equipo de antenas no incluidas en esta lista o que tengan una ganancia mayor que [</w:t>
      </w:r>
      <w:proofErr w:type="spellStart"/>
      <w:r w:rsidRPr="002F794B">
        <w:rPr>
          <w:i/>
          <w:iCs/>
        </w:rPr>
        <w:t>Gx</w:t>
      </w:r>
      <w:proofErr w:type="spellEnd"/>
      <w:r w:rsidRPr="002F794B">
        <w:rPr>
          <w:i/>
          <w:iCs/>
        </w:rPr>
        <w:t xml:space="preserve"> dBi] quedan prohibidas. La impedancia requerida de la antena es de </w:t>
      </w:r>
      <w:proofErr w:type="spellStart"/>
      <w:r w:rsidRPr="002F794B">
        <w:rPr>
          <w:i/>
          <w:iCs/>
        </w:rPr>
        <w:t>Zy</w:t>
      </w:r>
      <w:proofErr w:type="spellEnd"/>
      <w:r w:rsidRPr="002F794B">
        <w:rPr>
          <w:i/>
          <w:iCs/>
        </w:rPr>
        <w:t xml:space="preserve"> </w:t>
      </w:r>
      <w:proofErr w:type="spellStart"/>
      <w:r w:rsidRPr="002F794B">
        <w:rPr>
          <w:i/>
          <w:iCs/>
        </w:rPr>
        <w:t>ohms</w:t>
      </w:r>
      <w:proofErr w:type="spellEnd"/>
      <w:r w:rsidR="0099159E" w:rsidRPr="002F794B">
        <w:rPr>
          <w:i/>
          <w:iCs/>
        </w:rPr>
        <w:t>”</w:t>
      </w:r>
      <w:r w:rsidRPr="002F794B">
        <w:rPr>
          <w:i/>
          <w:iCs/>
        </w:rPr>
        <w:t>.</w:t>
      </w:r>
    </w:p>
    <w:p w14:paraId="71805DEA" w14:textId="77777777" w:rsidR="00A5776C" w:rsidRPr="002F794B" w:rsidRDefault="00A5776C" w:rsidP="00B47EC4">
      <w:pPr>
        <w:ind w:left="1134" w:right="616"/>
        <w:rPr>
          <w:i/>
          <w:iCs/>
        </w:rPr>
      </w:pPr>
      <w:r w:rsidRPr="002F794B">
        <w:rPr>
          <w:i/>
          <w:iCs/>
        </w:rPr>
        <w:t xml:space="preserve">El fabricante del equipo proporcionará los valores apropiados de </w:t>
      </w:r>
      <w:proofErr w:type="spellStart"/>
      <w:r w:rsidRPr="002F794B">
        <w:rPr>
          <w:i/>
          <w:iCs/>
        </w:rPr>
        <w:t>Gx</w:t>
      </w:r>
      <w:proofErr w:type="spellEnd"/>
      <w:r w:rsidRPr="002F794B">
        <w:rPr>
          <w:i/>
          <w:iCs/>
        </w:rPr>
        <w:t xml:space="preserve"> y </w:t>
      </w:r>
      <w:proofErr w:type="spellStart"/>
      <w:r w:rsidRPr="002F794B">
        <w:rPr>
          <w:i/>
          <w:iCs/>
        </w:rPr>
        <w:t>Zy</w:t>
      </w:r>
      <w:proofErr w:type="spellEnd"/>
      <w:r w:rsidRPr="002F794B">
        <w:rPr>
          <w:i/>
          <w:iCs/>
        </w:rPr>
        <w:t xml:space="preserve"> para cumplir con las disposiciones legales y técnicas de operación aplicables.</w:t>
      </w:r>
    </w:p>
    <w:p w14:paraId="649FCCA5" w14:textId="77777777" w:rsidR="00A5776C" w:rsidRPr="002F794B" w:rsidRDefault="00A5776C" w:rsidP="00B47EC4">
      <w:pPr>
        <w:ind w:left="1134" w:right="616"/>
        <w:rPr>
          <w:i/>
          <w:iCs/>
        </w:rPr>
      </w:pPr>
      <w:r w:rsidRPr="002F794B">
        <w:rPr>
          <w:i/>
          <w:iCs/>
        </w:rPr>
        <w:t xml:space="preserve">7.7.3.2. Una lista de todas las antenas aceptables para usarse con el transmisor, que cumplan con lo especificado en </w:t>
      </w:r>
      <w:r w:rsidRPr="002F794B">
        <w:rPr>
          <w:b/>
          <w:bCs/>
          <w:i/>
          <w:iCs/>
        </w:rPr>
        <w:t>7.6</w:t>
      </w:r>
      <w:r w:rsidRPr="002F794B">
        <w:rPr>
          <w:i/>
          <w:iCs/>
        </w:rPr>
        <w:t xml:space="preserve">. Sí el Dispositivo de radiocomunicación de baja potencia tiene la posibilidad de usarse con amplificadores de potencia de radiofrecuencia externos, deberá contener una lista de dichos amplificadores que resulten aceptables para usarse con el Dispositivo de radiocomunicación de baja potencia, que cumplan con lo especificado en </w:t>
      </w:r>
      <w:r w:rsidRPr="002F794B">
        <w:rPr>
          <w:b/>
          <w:bCs/>
          <w:i/>
          <w:iCs/>
        </w:rPr>
        <w:t>7.6</w:t>
      </w:r>
      <w:r w:rsidRPr="002F794B">
        <w:rPr>
          <w:i/>
          <w:iCs/>
        </w:rPr>
        <w:t>.</w:t>
      </w:r>
    </w:p>
    <w:p w14:paraId="2BBDCFA5" w14:textId="617AD2D8" w:rsidR="00A5776C" w:rsidRPr="002F794B" w:rsidRDefault="00A5776C" w:rsidP="00B47EC4">
      <w:pPr>
        <w:ind w:left="1134" w:right="616"/>
        <w:rPr>
          <w:i/>
          <w:iCs/>
        </w:rPr>
      </w:pPr>
      <w:r w:rsidRPr="002F794B">
        <w:rPr>
          <w:i/>
          <w:iCs/>
        </w:rPr>
        <w:t xml:space="preserve">7.7.3.3. Si el Dispositivo de radiocomunicación de baja potencia tiene la posibilidad de usarse con amplificadores de potencia de radiofrecuencia externos, deberá contener una lista de dichos amplificadores que resulten aceptables para usarse con el Dispositivo de radiocomunicación de baja potencia, que cumplan con lo especificado en </w:t>
      </w:r>
      <w:r w:rsidRPr="002F794B">
        <w:rPr>
          <w:b/>
          <w:bCs/>
          <w:i/>
          <w:iCs/>
        </w:rPr>
        <w:t>7.6</w:t>
      </w:r>
      <w:r w:rsidRPr="002F794B">
        <w:rPr>
          <w:i/>
          <w:iCs/>
        </w:rPr>
        <w:t>."</w:t>
      </w:r>
    </w:p>
    <w:p w14:paraId="03FE13B1" w14:textId="77777777" w:rsidR="007740DD" w:rsidRPr="002F794B" w:rsidRDefault="007740DD" w:rsidP="007740DD">
      <w:pPr>
        <w:rPr>
          <w:u w:val="single"/>
        </w:rPr>
      </w:pPr>
      <w:r w:rsidRPr="002F794B">
        <w:rPr>
          <w:u w:val="single"/>
        </w:rPr>
        <w:t>Respuesta</w:t>
      </w:r>
    </w:p>
    <w:p w14:paraId="55201E26" w14:textId="6C12AF72" w:rsidR="002B47AD" w:rsidRPr="002F794B" w:rsidRDefault="002B47AD" w:rsidP="002B47AD">
      <w:r w:rsidRPr="002F794B">
        <w:t xml:space="preserve">Se considera parcialmente. La DT ya incorpora las especificaciones técnicas a lo largo del documento. En las especificaciones técnicas se establece que el fabricante del DRBP debe incluir dicha información en la documentación, formatos, manuales de usuario y requisitos necesarios para llevar a cabo los procedimientos de Evaluación de la Conformidad los cuales deberán estar en idioma español. Lo anterior de conformidad con el artículo 5 del Procedimiento de Evaluación de la Conformidad (PEC) emitido por el </w:t>
      </w:r>
      <w:r w:rsidR="005A7555" w:rsidRPr="002F794B">
        <w:t>Instituto</w:t>
      </w:r>
      <w:r w:rsidRPr="002F794B">
        <w:t>.</w:t>
      </w:r>
    </w:p>
    <w:p w14:paraId="454630F6" w14:textId="75ED3A54" w:rsidR="007740DD" w:rsidRPr="002F794B" w:rsidRDefault="002B47AD" w:rsidP="007740DD">
      <w:r w:rsidRPr="002F794B">
        <w:t>Adicionalmente,</w:t>
      </w:r>
      <w:r w:rsidR="005A7555" w:rsidRPr="002F794B">
        <w:t xml:space="preserve"> </w:t>
      </w:r>
      <w:r w:rsidRPr="002F794B">
        <w:t>se añade a la DT la prohibición de uso de amplificadores externos y se modifica el texto para indicar que si es posible conectar diferentes antenas al DRBP, será suficiente probar el transmisor con la(s) antena(s) de más alta ganancia, la(s) cual(es) deberá(n) cumplir con las especificaciones técnicas que le correspondan.</w:t>
      </w:r>
    </w:p>
    <w:p w14:paraId="5C13C2E4" w14:textId="1621B193" w:rsidR="00AA4F6B" w:rsidRPr="002F794B" w:rsidRDefault="00AA4F6B" w:rsidP="007740DD"/>
    <w:p w14:paraId="6033975E" w14:textId="39D8A004" w:rsidR="000239D4" w:rsidRPr="002F794B" w:rsidRDefault="000239D4" w:rsidP="005A7555">
      <w:pPr>
        <w:keepNext/>
        <w:outlineLvl w:val="1"/>
        <w:rPr>
          <w:b/>
          <w:bCs/>
        </w:rPr>
      </w:pPr>
      <w:r w:rsidRPr="002F794B">
        <w:rPr>
          <w:b/>
          <w:bCs/>
        </w:rPr>
        <w:lastRenderedPageBreak/>
        <w:t>Numeral 7, fracción I</w:t>
      </w:r>
    </w:p>
    <w:p w14:paraId="4D4A9F25" w14:textId="458A2829" w:rsidR="00DE0659" w:rsidRPr="002F794B" w:rsidRDefault="00DE0659" w:rsidP="005A7555">
      <w:pPr>
        <w:keepNext/>
        <w:rPr>
          <w:u w:val="single"/>
        </w:rPr>
      </w:pPr>
      <w:r w:rsidRPr="002F794B">
        <w:rPr>
          <w:u w:val="single"/>
        </w:rPr>
        <w:t>Participante</w:t>
      </w:r>
    </w:p>
    <w:p w14:paraId="42C83EE9" w14:textId="4D5D4D0A" w:rsidR="00DE0659" w:rsidRPr="002F794B" w:rsidRDefault="00D6728F" w:rsidP="005A7555">
      <w:pPr>
        <w:keepNext/>
      </w:pPr>
      <w:r w:rsidRPr="002F794B">
        <w:t>Asociación de Normalización y Certificación, S.A. de C.V.</w:t>
      </w:r>
    </w:p>
    <w:p w14:paraId="17223CC6" w14:textId="77777777" w:rsidR="00DE0659" w:rsidRPr="002F794B" w:rsidRDefault="00DE0659" w:rsidP="00DE0659">
      <w:pPr>
        <w:rPr>
          <w:u w:val="single"/>
        </w:rPr>
      </w:pPr>
      <w:r w:rsidRPr="002F794B">
        <w:rPr>
          <w:u w:val="single"/>
        </w:rPr>
        <w:t>Comentario y propuesta</w:t>
      </w:r>
    </w:p>
    <w:p w14:paraId="2E5BDA72" w14:textId="77777777" w:rsidR="00D6728F" w:rsidRPr="002F794B" w:rsidRDefault="00D6728F" w:rsidP="00D6728F">
      <w:pPr>
        <w:ind w:left="567" w:right="616"/>
        <w:rPr>
          <w:i/>
          <w:iCs/>
        </w:rPr>
      </w:pPr>
      <w:r w:rsidRPr="002F794B">
        <w:rPr>
          <w:i/>
          <w:iCs/>
        </w:rPr>
        <w:t>"</w:t>
      </w:r>
      <w:r w:rsidRPr="002F794B">
        <w:rPr>
          <w:b/>
          <w:bCs/>
          <w:i/>
          <w:iCs/>
        </w:rPr>
        <w:t>Dice:</w:t>
      </w:r>
      <w:r w:rsidRPr="002F794B">
        <w:rPr>
          <w:i/>
          <w:iCs/>
        </w:rPr>
        <w:t xml:space="preserve"> I. Los DRBP sujetos a esta disposición técnica deben cumplir con las especificaciones técnicas correspondientes a una categoría en todas las bandas de frecuencias en las que transmitan de conformidad con lo establecido en el campo de aplicación de la presente Disposición Técnica.</w:t>
      </w:r>
    </w:p>
    <w:p w14:paraId="14D81D82" w14:textId="77777777" w:rsidR="00D6728F" w:rsidRPr="002F794B" w:rsidRDefault="00D6728F" w:rsidP="00D6728F">
      <w:pPr>
        <w:ind w:left="567" w:right="616"/>
        <w:rPr>
          <w:i/>
          <w:iCs/>
        </w:rPr>
      </w:pPr>
      <w:r w:rsidRPr="002F794B">
        <w:rPr>
          <w:b/>
          <w:bCs/>
          <w:i/>
          <w:iCs/>
        </w:rPr>
        <w:t>Debe decir:</w:t>
      </w:r>
      <w:r w:rsidRPr="002F794B">
        <w:rPr>
          <w:i/>
          <w:iCs/>
        </w:rPr>
        <w:t xml:space="preserve"> Los DRBP sujetos a esta disposición técnica deben ser categorizados con base en sus características y uso destinado por un Organismo de Certificación (OC) acreditado y autorizado para evaluar su conformidad. Los DRBP deben cumplir con todas las especificaciones técnicas correspondientes con la categoría asignada por el OC en todas las bandas de frecuencias en las que transmitan de conformidad con lo establecido en el campo de aplicación de la presente Disposición Técnica.</w:t>
      </w:r>
    </w:p>
    <w:p w14:paraId="17824063" w14:textId="41F0D2C0" w:rsidR="00DE0659" w:rsidRPr="002F794B" w:rsidRDefault="00D6728F" w:rsidP="00D6728F">
      <w:pPr>
        <w:ind w:left="567" w:right="616"/>
        <w:rPr>
          <w:i/>
          <w:iCs/>
        </w:rPr>
      </w:pPr>
      <w:r w:rsidRPr="002F794B">
        <w:rPr>
          <w:b/>
          <w:bCs/>
          <w:i/>
          <w:iCs/>
        </w:rPr>
        <w:t>Justificación:</w:t>
      </w:r>
      <w:r w:rsidRPr="002F794B">
        <w:rPr>
          <w:i/>
          <w:iCs/>
        </w:rPr>
        <w:t xml:space="preserve"> La redacción actual del Anteproyecto permite que el solicitante exija a los Organismos de Evaluación de la Conformidad que sus productos sean evaluados de acuerdo con sus intereses, y no con base en las características técnicas y de uso final. La redacción propuesta es conforme con el artículo 11 fracción II inciso c) del Procedimiento de evaluación de la conformidad en materia de telecomunicaciones y radiodifusión, donde se indica que es tarea del Organismo de Certificación informar al interesado respecto de todas las Disposiciones Técnicas y Normas Oficiales Mexicanas complementarias con las que el producto deba demostrar cumplimiento."</w:t>
      </w:r>
    </w:p>
    <w:p w14:paraId="7AECE23D" w14:textId="77777777" w:rsidR="00DE0659" w:rsidRPr="002F794B" w:rsidRDefault="00DE0659" w:rsidP="00DE0659">
      <w:pPr>
        <w:rPr>
          <w:u w:val="single"/>
        </w:rPr>
      </w:pPr>
      <w:r w:rsidRPr="002F794B">
        <w:rPr>
          <w:u w:val="single"/>
        </w:rPr>
        <w:t>Respuesta</w:t>
      </w:r>
    </w:p>
    <w:p w14:paraId="2C3BBFF4" w14:textId="743A25A7" w:rsidR="00B850CE" w:rsidRPr="002F794B" w:rsidRDefault="002F3010" w:rsidP="00DE0659">
      <w:r w:rsidRPr="002F794B">
        <w:t xml:space="preserve">No se considera. Las categorías de los DRBP son las establecidas en el numeral 6 de la DT.  Le corresponde al Organismo de Certificación (en lo sucesivo, el “OC”) indicarle al interesado todas las Disposiciones Técnicas y Normas Oficiales Mexicanas complementarias con las que se deba demostrar cumplimiento el DRBP conforme lo establecido en al artículo 11, fracción II, inciso c del </w:t>
      </w:r>
      <w:r w:rsidR="003A1BDA" w:rsidRPr="002F794B">
        <w:t>Procedimiento de Evaluación de la Conformidad (en lo sucesivo, el “</w:t>
      </w:r>
      <w:r w:rsidRPr="002F794B">
        <w:t>PEC</w:t>
      </w:r>
      <w:r w:rsidR="003A1BDA" w:rsidRPr="002F794B">
        <w:t>”)</w:t>
      </w:r>
      <w:r w:rsidRPr="002F794B">
        <w:t xml:space="preserve"> vigente.</w:t>
      </w:r>
    </w:p>
    <w:p w14:paraId="3EA80A84" w14:textId="77777777" w:rsidR="005D54D9" w:rsidRPr="002F794B" w:rsidRDefault="005D54D9" w:rsidP="00DE0659"/>
    <w:p w14:paraId="1055F953" w14:textId="30729A60" w:rsidR="00DE0659" w:rsidRPr="002F794B" w:rsidRDefault="009E3265" w:rsidP="003A1BDA">
      <w:pPr>
        <w:keepNext/>
        <w:spacing w:line="276" w:lineRule="auto"/>
        <w:outlineLvl w:val="1"/>
        <w:rPr>
          <w:b/>
        </w:rPr>
      </w:pPr>
      <w:r w:rsidRPr="002F794B">
        <w:rPr>
          <w:b/>
        </w:rPr>
        <w:lastRenderedPageBreak/>
        <w:t>Numeral 7, fracción II</w:t>
      </w:r>
    </w:p>
    <w:p w14:paraId="54F0FFED" w14:textId="77777777" w:rsidR="00DE0659" w:rsidRPr="002F794B" w:rsidRDefault="00DE0659" w:rsidP="003A1BDA">
      <w:pPr>
        <w:keepNext/>
        <w:rPr>
          <w:u w:val="single"/>
        </w:rPr>
      </w:pPr>
      <w:r w:rsidRPr="002F794B">
        <w:rPr>
          <w:u w:val="single"/>
        </w:rPr>
        <w:t>Participante</w:t>
      </w:r>
    </w:p>
    <w:p w14:paraId="3C9712C5" w14:textId="4D22FACE" w:rsidR="00DE0659" w:rsidRPr="002F794B" w:rsidRDefault="00B66AE7" w:rsidP="003A1BDA">
      <w:pPr>
        <w:keepNext/>
      </w:pPr>
      <w:r w:rsidRPr="002F794B">
        <w:t>Asociación de Normalización y Certificación, S.A. de C.V.</w:t>
      </w:r>
    </w:p>
    <w:p w14:paraId="0AB7EA15" w14:textId="77777777" w:rsidR="00DE0659" w:rsidRPr="002F794B" w:rsidRDefault="00DE0659" w:rsidP="00DE0659">
      <w:pPr>
        <w:rPr>
          <w:u w:val="single"/>
        </w:rPr>
      </w:pPr>
      <w:r w:rsidRPr="002F794B">
        <w:rPr>
          <w:u w:val="single"/>
        </w:rPr>
        <w:t>Comentario y propuesta</w:t>
      </w:r>
    </w:p>
    <w:p w14:paraId="0AB53114" w14:textId="77777777" w:rsidR="001E2D8D" w:rsidRPr="002F794B" w:rsidRDefault="001E2D8D" w:rsidP="001E2D8D">
      <w:pPr>
        <w:ind w:left="567" w:right="616"/>
        <w:rPr>
          <w:i/>
          <w:iCs/>
        </w:rPr>
      </w:pPr>
      <w:r w:rsidRPr="002F794B">
        <w:rPr>
          <w:i/>
          <w:iCs/>
        </w:rPr>
        <w:t>"</w:t>
      </w:r>
      <w:r w:rsidRPr="002F794B">
        <w:rPr>
          <w:b/>
          <w:bCs/>
          <w:i/>
          <w:iCs/>
        </w:rPr>
        <w:t>Dice:</w:t>
      </w:r>
      <w:r w:rsidRPr="002F794B">
        <w:rPr>
          <w:i/>
          <w:iCs/>
        </w:rPr>
        <w:t xml:space="preserve"> II. Los DRBP deberán ser evaluados tanto con la antena única integrada a éste; en caso de contar con la capacidad de desconexión de la antena, se evaluará con el conjunto de antenas </w:t>
      </w:r>
      <w:proofErr w:type="gramStart"/>
      <w:r w:rsidRPr="002F794B">
        <w:rPr>
          <w:i/>
          <w:iCs/>
        </w:rPr>
        <w:t>del mismo</w:t>
      </w:r>
      <w:proofErr w:type="gramEnd"/>
      <w:r w:rsidRPr="002F794B">
        <w:rPr>
          <w:i/>
          <w:iCs/>
        </w:rPr>
        <w:t xml:space="preserve"> o de diferente tipo con los cuales pueda transmitir. Si dicho dispositivo cuenta con más de una antena, cada una de ellas debe ser probada y cumplir con las especificaciones técnicas que le correspondan.</w:t>
      </w:r>
    </w:p>
    <w:p w14:paraId="64287998" w14:textId="77777777" w:rsidR="001E2D8D" w:rsidRPr="002F794B" w:rsidRDefault="001E2D8D" w:rsidP="001E2D8D">
      <w:pPr>
        <w:ind w:left="567" w:right="616"/>
        <w:rPr>
          <w:i/>
          <w:iCs/>
        </w:rPr>
      </w:pPr>
      <w:r w:rsidRPr="002F794B">
        <w:rPr>
          <w:b/>
          <w:bCs/>
          <w:i/>
          <w:iCs/>
        </w:rPr>
        <w:t>Debe decir:</w:t>
      </w:r>
      <w:r w:rsidRPr="002F794B">
        <w:rPr>
          <w:i/>
          <w:iCs/>
        </w:rPr>
        <w:t xml:space="preserve"> II. Los DRBP deberán ser evaluados con la antena única integrada a éste. En caso de contar con la capacidad de desconexión de la antena, se evaluará con la antena de mayor ganancia del conjunto de antenas con las cuales pueda transmitir.</w:t>
      </w:r>
    </w:p>
    <w:p w14:paraId="7FCDB84C" w14:textId="77777777" w:rsidR="001E2D8D" w:rsidRPr="002F794B" w:rsidRDefault="001E2D8D" w:rsidP="001E2D8D">
      <w:pPr>
        <w:ind w:left="567" w:right="616"/>
        <w:rPr>
          <w:i/>
          <w:iCs/>
        </w:rPr>
      </w:pPr>
      <w:r w:rsidRPr="002F794B">
        <w:rPr>
          <w:b/>
          <w:bCs/>
          <w:i/>
          <w:iCs/>
        </w:rPr>
        <w:t>Justificación:</w:t>
      </w:r>
      <w:r w:rsidRPr="002F794B">
        <w:rPr>
          <w:i/>
          <w:iCs/>
        </w:rPr>
        <w:t xml:space="preserve"> El Anteproyecto no especifica qué son los “tipos de antena”, por lo que no ha lugar a una clasificación sin definición previa.</w:t>
      </w:r>
    </w:p>
    <w:p w14:paraId="4C9BEB4A" w14:textId="12243406" w:rsidR="00DE0659" w:rsidRPr="002F794B" w:rsidRDefault="001E2D8D" w:rsidP="001E2D8D">
      <w:pPr>
        <w:ind w:left="567" w:right="616"/>
        <w:rPr>
          <w:i/>
          <w:iCs/>
        </w:rPr>
      </w:pPr>
      <w:r w:rsidRPr="002F794B">
        <w:rPr>
          <w:i/>
          <w:iCs/>
        </w:rPr>
        <w:t>Actualmente, para la evaluación de la conformidad de la DT IFT-008-2015 y su NOM-208-SCFI-2016 complementaria, el equipo bajo prueba se evalúa con la antena de mayor ganancia, cualquiera que sea su naturaleza. La antena de mayor ganancia del conjunto de antenas con las que se empleará el equipo garantiza obtener los mayores valores de Potencia Isotrópica Radiada Efectiva (o Equivalente) esperables durante la operación del producto. Por otra parte, exigir a los solicitantes la presentación de todas las antenas seleccionables por el usuario incrementa el tiempo de respuesta del Laboratorio de Pruebas, y con ello, aumenta el tiempo de la Evaluación de la Conformidad de producto, causando así un retardo acumulado en la emisión del Certificado de conformidad único."</w:t>
      </w:r>
    </w:p>
    <w:p w14:paraId="149E508D" w14:textId="77777777" w:rsidR="00DE0659" w:rsidRPr="002F794B" w:rsidRDefault="00DE0659" w:rsidP="00DE0659">
      <w:pPr>
        <w:rPr>
          <w:u w:val="single"/>
        </w:rPr>
      </w:pPr>
      <w:r w:rsidRPr="002F794B">
        <w:rPr>
          <w:u w:val="single"/>
        </w:rPr>
        <w:t>Respuesta</w:t>
      </w:r>
    </w:p>
    <w:p w14:paraId="574B82EE" w14:textId="2830669D" w:rsidR="004B074A" w:rsidRPr="002F794B" w:rsidRDefault="00581F30" w:rsidP="00DE0659">
      <w:r w:rsidRPr="002F794B">
        <w:t>Se considera y se modifica el texto de la DT para indicar que en caso de que al DRBP se le puedan conectar diferentes antenas, será suficiente probar el transmisor con la(s) antena(s) de más alta ganancia, la(s) cual(es) deberá(n) cumplir con las especificaciones técnicas que le correspondan.</w:t>
      </w:r>
    </w:p>
    <w:p w14:paraId="0540744B" w14:textId="77777777" w:rsidR="005D54D9" w:rsidRPr="002F794B" w:rsidRDefault="005D54D9" w:rsidP="00DE0659"/>
    <w:p w14:paraId="04328C20" w14:textId="77777777" w:rsidR="00394955" w:rsidRPr="002F794B" w:rsidRDefault="00394955" w:rsidP="00394955">
      <w:pPr>
        <w:rPr>
          <w:u w:val="single"/>
        </w:rPr>
      </w:pPr>
      <w:r w:rsidRPr="002F794B">
        <w:rPr>
          <w:u w:val="single"/>
        </w:rPr>
        <w:t>Participante</w:t>
      </w:r>
    </w:p>
    <w:p w14:paraId="22364E37" w14:textId="77777777" w:rsidR="00394955" w:rsidRPr="002F794B" w:rsidRDefault="00394955" w:rsidP="00394955">
      <w:proofErr w:type="spellStart"/>
      <w:r w:rsidRPr="002F794B">
        <w:t>Shure</w:t>
      </w:r>
      <w:proofErr w:type="spellEnd"/>
      <w:r w:rsidRPr="002F794B">
        <w:t xml:space="preserve"> </w:t>
      </w:r>
      <w:proofErr w:type="spellStart"/>
      <w:r w:rsidRPr="002F794B">
        <w:t>Incorporated</w:t>
      </w:r>
      <w:proofErr w:type="spellEnd"/>
    </w:p>
    <w:p w14:paraId="18635C5D" w14:textId="77777777" w:rsidR="00394955" w:rsidRPr="002F794B" w:rsidRDefault="00394955" w:rsidP="00394955">
      <w:pPr>
        <w:rPr>
          <w:u w:val="single"/>
        </w:rPr>
      </w:pPr>
      <w:r w:rsidRPr="002F794B">
        <w:rPr>
          <w:u w:val="single"/>
        </w:rPr>
        <w:lastRenderedPageBreak/>
        <w:t>Comentario y propuesta</w:t>
      </w:r>
    </w:p>
    <w:p w14:paraId="36DB2118" w14:textId="77777777" w:rsidR="00394955" w:rsidRPr="002F794B" w:rsidRDefault="00394955" w:rsidP="00394955">
      <w:pPr>
        <w:ind w:left="567" w:right="616"/>
        <w:rPr>
          <w:i/>
          <w:iCs/>
        </w:rPr>
      </w:pPr>
      <w:r w:rsidRPr="002F794B">
        <w:rPr>
          <w:i/>
          <w:iCs/>
        </w:rPr>
        <w:t>"En el caso de una antena extraíble, generalmente se utiliza el puerto de la antena para mediciones realizadas. Si se requieren mediciones OTA, es suficiente realizar las mediciones con la antena proporcionada con el DUT / producto. Si no se proporciona ninguna antena con el producto, se debe utilizar una antena para la medición OTA según las recomendaciones del fabricante.</w:t>
      </w:r>
    </w:p>
    <w:p w14:paraId="0F91703C" w14:textId="77777777" w:rsidR="00394955" w:rsidRPr="002F794B" w:rsidRDefault="00394955" w:rsidP="00394955">
      <w:pPr>
        <w:ind w:left="567" w:right="616"/>
        <w:rPr>
          <w:i/>
          <w:iCs/>
        </w:rPr>
      </w:pPr>
      <w:r w:rsidRPr="002F794B">
        <w:rPr>
          <w:i/>
          <w:iCs/>
        </w:rPr>
        <w:t>No es factible proporcionar todas las antenas compatibles disponibles y enumerarlas en el manual del usuario, ya que el fabricante desconoce el número y su disponibilidad, y cambian continuamente."</w:t>
      </w:r>
    </w:p>
    <w:p w14:paraId="598B7175" w14:textId="77777777" w:rsidR="00394955" w:rsidRPr="002F794B" w:rsidRDefault="00394955" w:rsidP="00394955">
      <w:pPr>
        <w:rPr>
          <w:u w:val="single"/>
        </w:rPr>
      </w:pPr>
      <w:r w:rsidRPr="002F794B">
        <w:rPr>
          <w:u w:val="single"/>
        </w:rPr>
        <w:t>Respuesta</w:t>
      </w:r>
    </w:p>
    <w:p w14:paraId="410A76C5" w14:textId="4BF3AB31" w:rsidR="005D54D9" w:rsidRPr="002F794B" w:rsidRDefault="004B1855" w:rsidP="00394955">
      <w:r w:rsidRPr="002F794B">
        <w:t>No se considera. La presente DT permite que a un DRBP puedan conectársele diferentes tipos de antenas. Por lo anterior, el requerimiento de la lista de antenas se conserva.</w:t>
      </w:r>
    </w:p>
    <w:p w14:paraId="770C74FC" w14:textId="77777777" w:rsidR="00CE666C" w:rsidRPr="002F794B" w:rsidRDefault="00CE666C" w:rsidP="00394955"/>
    <w:p w14:paraId="1163BA6A" w14:textId="77777777" w:rsidR="002F52FD" w:rsidRPr="002F794B" w:rsidRDefault="002F52FD" w:rsidP="002F52FD">
      <w:pPr>
        <w:rPr>
          <w:u w:val="single"/>
        </w:rPr>
      </w:pPr>
      <w:r w:rsidRPr="002F794B">
        <w:rPr>
          <w:u w:val="single"/>
        </w:rPr>
        <w:t>Participante</w:t>
      </w:r>
    </w:p>
    <w:p w14:paraId="39F321B1" w14:textId="533F11DE" w:rsidR="002F52FD" w:rsidRPr="002F794B" w:rsidRDefault="00D64FCC" w:rsidP="002F52FD">
      <w:r w:rsidRPr="002F794B">
        <w:t>Consejo Mexicano de Normalización y Evaluación de la Conformidad A.C.</w:t>
      </w:r>
    </w:p>
    <w:p w14:paraId="3F604B15" w14:textId="77777777" w:rsidR="002F52FD" w:rsidRPr="002F794B" w:rsidRDefault="002F52FD" w:rsidP="002F52FD">
      <w:pPr>
        <w:rPr>
          <w:u w:val="single"/>
        </w:rPr>
      </w:pPr>
      <w:r w:rsidRPr="002F794B">
        <w:rPr>
          <w:u w:val="single"/>
        </w:rPr>
        <w:t>Comentario y propuesta</w:t>
      </w:r>
    </w:p>
    <w:p w14:paraId="584C4772" w14:textId="77777777" w:rsidR="00D64FCC" w:rsidRPr="002F794B" w:rsidRDefault="00D64FCC" w:rsidP="00D64FCC">
      <w:pPr>
        <w:ind w:left="567" w:right="616"/>
        <w:rPr>
          <w:i/>
          <w:iCs/>
        </w:rPr>
      </w:pPr>
      <w:r w:rsidRPr="002F794B">
        <w:rPr>
          <w:i/>
          <w:iCs/>
        </w:rPr>
        <w:t>"</w:t>
      </w:r>
      <w:r w:rsidRPr="002F794B">
        <w:rPr>
          <w:b/>
          <w:bCs/>
          <w:i/>
          <w:iCs/>
        </w:rPr>
        <w:t>Dice:</w:t>
      </w:r>
      <w:r w:rsidRPr="002F794B">
        <w:rPr>
          <w:i/>
          <w:iCs/>
        </w:rPr>
        <w:t xml:space="preserve"> “Si dicho dispositivo cuenta con más de una antena, cada una de ellas debe ser probada y cumplir con las especificaciones técnicas que le correspondan…”,</w:t>
      </w:r>
    </w:p>
    <w:p w14:paraId="015DCC9D" w14:textId="77777777" w:rsidR="00D64FCC" w:rsidRPr="002F794B" w:rsidRDefault="00D64FCC" w:rsidP="00D64FCC">
      <w:pPr>
        <w:ind w:left="567" w:right="616"/>
        <w:rPr>
          <w:i/>
          <w:iCs/>
        </w:rPr>
      </w:pPr>
      <w:r w:rsidRPr="002F794B">
        <w:rPr>
          <w:b/>
          <w:bCs/>
          <w:i/>
          <w:iCs/>
        </w:rPr>
        <w:t>Propuesta:</w:t>
      </w:r>
      <w:r w:rsidRPr="002F794B">
        <w:rPr>
          <w:i/>
          <w:iCs/>
        </w:rPr>
        <w:t xml:space="preserve"> “Si dicho dispositivo cuenta con más de una antena, </w:t>
      </w:r>
      <w:r w:rsidRPr="002F794B">
        <w:rPr>
          <w:i/>
          <w:iCs/>
          <w:strike/>
        </w:rPr>
        <w:t>cada una de ellas</w:t>
      </w:r>
      <w:r w:rsidRPr="002F794B">
        <w:rPr>
          <w:i/>
          <w:iCs/>
        </w:rPr>
        <w:t xml:space="preserve"> debe ser probada la antena </w:t>
      </w:r>
      <w:r w:rsidRPr="002F794B">
        <w:rPr>
          <w:i/>
          <w:iCs/>
          <w:u w:val="single"/>
        </w:rPr>
        <w:t>con máxima ganancia</w:t>
      </w:r>
      <w:r w:rsidRPr="002F794B">
        <w:rPr>
          <w:i/>
          <w:iCs/>
        </w:rPr>
        <w:t xml:space="preserve"> y cumplir con las especificaciones técnicas que le correspondan…”</w:t>
      </w:r>
    </w:p>
    <w:p w14:paraId="6C2D3EEA" w14:textId="067F619B" w:rsidR="002F52FD" w:rsidRPr="002F794B" w:rsidRDefault="00D64FCC" w:rsidP="00D64FCC">
      <w:pPr>
        <w:ind w:left="567" w:right="616"/>
        <w:rPr>
          <w:i/>
          <w:iCs/>
        </w:rPr>
      </w:pPr>
      <w:r w:rsidRPr="002F794B">
        <w:rPr>
          <w:b/>
          <w:bCs/>
          <w:i/>
          <w:iCs/>
        </w:rPr>
        <w:t>Justificación:</w:t>
      </w:r>
      <w:r w:rsidRPr="002F794B">
        <w:rPr>
          <w:i/>
          <w:iCs/>
        </w:rPr>
        <w:t xml:space="preserve"> Medir muchas antenas incrementa el tiempo y costo de pruebas y al contar con la información de la ganancia de todas las antenas es mejor medir solo la antena de máxima ganancia (expresada en dBi) por cada tipo de antena, cubriendo así, el peor caso posible."</w:t>
      </w:r>
    </w:p>
    <w:p w14:paraId="1ED3927E" w14:textId="77777777" w:rsidR="002F52FD" w:rsidRPr="002F794B" w:rsidRDefault="002F52FD" w:rsidP="002F52FD">
      <w:pPr>
        <w:rPr>
          <w:u w:val="single"/>
        </w:rPr>
      </w:pPr>
      <w:r w:rsidRPr="002F794B">
        <w:rPr>
          <w:u w:val="single"/>
        </w:rPr>
        <w:t>Respuesta</w:t>
      </w:r>
    </w:p>
    <w:p w14:paraId="154C0ED9" w14:textId="05923CEE" w:rsidR="005D54D9" w:rsidRPr="002F794B" w:rsidRDefault="007A74D7" w:rsidP="002F52FD">
      <w:r w:rsidRPr="002F794B">
        <w:t>Se considera y se modifica el texto de la DT para indicar que en caso de que al DRBP se le puedan conectar diferentes antenas, será suficiente probar el transmisor con la(s) antena(s) de más alta ganancia, la(s) cual(es) deberá(n) cumplir con las especificaciones técnicas que le correspondan.</w:t>
      </w:r>
    </w:p>
    <w:p w14:paraId="08882226" w14:textId="77777777" w:rsidR="007A74D7" w:rsidRPr="002F794B" w:rsidRDefault="007A74D7" w:rsidP="002F52FD"/>
    <w:p w14:paraId="49C3DB83" w14:textId="77777777" w:rsidR="00903933" w:rsidRPr="002F794B" w:rsidRDefault="00903933" w:rsidP="007A74D7">
      <w:pPr>
        <w:keepNext/>
        <w:rPr>
          <w:u w:val="single"/>
        </w:rPr>
      </w:pPr>
      <w:r w:rsidRPr="002F794B">
        <w:rPr>
          <w:u w:val="single"/>
        </w:rPr>
        <w:lastRenderedPageBreak/>
        <w:t>Participante</w:t>
      </w:r>
    </w:p>
    <w:p w14:paraId="79C91E22" w14:textId="472DAD3F" w:rsidR="00903933" w:rsidRPr="002F794B" w:rsidRDefault="00903933" w:rsidP="007A74D7">
      <w:pPr>
        <w:keepNext/>
      </w:pPr>
      <w:r w:rsidRPr="002F794B">
        <w:t>Cámara Nacional de la Industria Electrónica, de Telecomunicaciones y Tecnologías de la Información</w:t>
      </w:r>
    </w:p>
    <w:p w14:paraId="3395ED9F" w14:textId="77777777" w:rsidR="00903933" w:rsidRPr="002F794B" w:rsidRDefault="00903933" w:rsidP="00903933">
      <w:pPr>
        <w:rPr>
          <w:u w:val="single"/>
        </w:rPr>
      </w:pPr>
      <w:r w:rsidRPr="002F794B">
        <w:rPr>
          <w:u w:val="single"/>
        </w:rPr>
        <w:t>Comentario y propuesta</w:t>
      </w:r>
    </w:p>
    <w:p w14:paraId="4319259E" w14:textId="77777777" w:rsidR="00B1280A" w:rsidRPr="002F794B" w:rsidRDefault="00B1280A" w:rsidP="00B1280A">
      <w:pPr>
        <w:ind w:left="567" w:right="616"/>
        <w:rPr>
          <w:i/>
          <w:iCs/>
        </w:rPr>
      </w:pPr>
      <w:r w:rsidRPr="002F794B">
        <w:rPr>
          <w:i/>
          <w:iCs/>
        </w:rPr>
        <w:t>"</w:t>
      </w:r>
      <w:r w:rsidRPr="002F794B">
        <w:rPr>
          <w:b/>
          <w:bCs/>
          <w:i/>
          <w:iCs/>
        </w:rPr>
        <w:t>DICE:</w:t>
      </w:r>
    </w:p>
    <w:p w14:paraId="36C4ECD9" w14:textId="77777777" w:rsidR="00B1280A" w:rsidRPr="002F794B" w:rsidRDefault="00B1280A" w:rsidP="00790A23">
      <w:pPr>
        <w:ind w:left="1134" w:right="616"/>
        <w:rPr>
          <w:i/>
          <w:iCs/>
        </w:rPr>
      </w:pPr>
      <w:r w:rsidRPr="002F794B">
        <w:rPr>
          <w:i/>
          <w:iCs/>
        </w:rPr>
        <w:t>“Si dicho dispositivo cuenta con más de una antena, cada una de ellas debe ser probada y cumplir con las especificaciones técnicas que le correspondan.”</w:t>
      </w:r>
    </w:p>
    <w:p w14:paraId="3BBF217D" w14:textId="77777777" w:rsidR="00B1280A" w:rsidRPr="002F794B" w:rsidRDefault="00B1280A" w:rsidP="00B1280A">
      <w:pPr>
        <w:ind w:left="567" w:right="616"/>
        <w:rPr>
          <w:b/>
          <w:bCs/>
          <w:i/>
          <w:iCs/>
        </w:rPr>
      </w:pPr>
      <w:r w:rsidRPr="002F794B">
        <w:rPr>
          <w:b/>
          <w:bCs/>
          <w:i/>
          <w:iCs/>
        </w:rPr>
        <w:t>DEBERÍA DECIR:</w:t>
      </w:r>
    </w:p>
    <w:p w14:paraId="2E749E64" w14:textId="77777777" w:rsidR="00B1280A" w:rsidRPr="002F794B" w:rsidRDefault="00B1280A" w:rsidP="00790A23">
      <w:pPr>
        <w:ind w:left="1134" w:right="616"/>
        <w:rPr>
          <w:i/>
          <w:iCs/>
        </w:rPr>
      </w:pPr>
      <w:r w:rsidRPr="002F794B">
        <w:rPr>
          <w:i/>
          <w:iCs/>
        </w:rPr>
        <w:t xml:space="preserve">“Si dicho dispositivo cuenta con más de una antena, </w:t>
      </w:r>
      <w:r w:rsidRPr="002F794B">
        <w:rPr>
          <w:i/>
          <w:iCs/>
          <w:strike/>
        </w:rPr>
        <w:t>cada una de ellas</w:t>
      </w:r>
      <w:r w:rsidRPr="002F794B">
        <w:rPr>
          <w:i/>
          <w:iCs/>
        </w:rPr>
        <w:t xml:space="preserve"> debe ser probada la antena </w:t>
      </w:r>
      <w:r w:rsidRPr="002F794B">
        <w:rPr>
          <w:b/>
          <w:bCs/>
          <w:i/>
          <w:iCs/>
          <w:u w:val="single"/>
        </w:rPr>
        <w:t>con máxima ganancia</w:t>
      </w:r>
      <w:r w:rsidRPr="002F794B">
        <w:rPr>
          <w:i/>
          <w:iCs/>
        </w:rPr>
        <w:t xml:space="preserve"> y cumplir con las especificaciones técnicas que le correspondan.”</w:t>
      </w:r>
    </w:p>
    <w:p w14:paraId="4AED1DF9" w14:textId="77777777" w:rsidR="00B1280A" w:rsidRPr="002F794B" w:rsidRDefault="00B1280A" w:rsidP="00B1280A">
      <w:pPr>
        <w:ind w:left="567" w:right="616"/>
        <w:rPr>
          <w:b/>
          <w:bCs/>
          <w:i/>
          <w:iCs/>
        </w:rPr>
      </w:pPr>
      <w:r w:rsidRPr="002F794B">
        <w:rPr>
          <w:b/>
          <w:bCs/>
          <w:i/>
          <w:iCs/>
        </w:rPr>
        <w:t>JUSTIFICACIÓN:</w:t>
      </w:r>
    </w:p>
    <w:p w14:paraId="19C9BC90" w14:textId="05A3A36A" w:rsidR="00903933" w:rsidRPr="002F794B" w:rsidRDefault="00B1280A" w:rsidP="00B1280A">
      <w:pPr>
        <w:ind w:left="567" w:right="616"/>
        <w:rPr>
          <w:i/>
          <w:iCs/>
        </w:rPr>
      </w:pPr>
      <w:r w:rsidRPr="002F794B">
        <w:rPr>
          <w:i/>
          <w:iCs/>
        </w:rPr>
        <w:t>Medir muchas antenas incrementa el tiempo y costo de pruebas y al contar con la información de la ganancia de todas las antenas, es mejor medir solo la antena de máxima ganancia (expresada en dBi) por cada tipo de antena, cubriendo así, el peor caso posible."</w:t>
      </w:r>
    </w:p>
    <w:p w14:paraId="6B53A4F2" w14:textId="77777777" w:rsidR="00903933" w:rsidRPr="002F794B" w:rsidRDefault="00903933" w:rsidP="00903933">
      <w:pPr>
        <w:rPr>
          <w:u w:val="single"/>
        </w:rPr>
      </w:pPr>
      <w:r w:rsidRPr="002F794B">
        <w:rPr>
          <w:u w:val="single"/>
        </w:rPr>
        <w:t>Respuesta</w:t>
      </w:r>
    </w:p>
    <w:p w14:paraId="7CFCB8B3" w14:textId="4E4FC3CC" w:rsidR="00FF24EC" w:rsidRPr="002F794B" w:rsidRDefault="00B13A99" w:rsidP="00394955">
      <w:r w:rsidRPr="002F794B">
        <w:t>Se considera y se modifica el texto de la DT para indicar que en caso de que al DRBP se le puedan conectar diferentes antenas, será suficiente probar el transmisor con la(s) antena(s) de más alta ganancia, la(s) cual(es) deberá(n) cumplir con las especificaciones técnicas que le correspondan.</w:t>
      </w:r>
    </w:p>
    <w:p w14:paraId="5855849D" w14:textId="77777777" w:rsidR="00B13A99" w:rsidRPr="002F794B" w:rsidRDefault="00B13A99" w:rsidP="00394955"/>
    <w:p w14:paraId="216904FC" w14:textId="3DE1CE4A" w:rsidR="00DE0659" w:rsidRPr="002F794B" w:rsidRDefault="00EF4636" w:rsidP="00DE39DA">
      <w:pPr>
        <w:spacing w:line="276" w:lineRule="auto"/>
        <w:jc w:val="left"/>
        <w:outlineLvl w:val="1"/>
        <w:rPr>
          <w:b/>
        </w:rPr>
      </w:pPr>
      <w:r w:rsidRPr="002F794B">
        <w:rPr>
          <w:b/>
        </w:rPr>
        <w:t>Numeral 7, fracción</w:t>
      </w:r>
      <w:r w:rsidR="00581DFA" w:rsidRPr="002F794B">
        <w:rPr>
          <w:b/>
        </w:rPr>
        <w:t xml:space="preserve"> II, inciso a.</w:t>
      </w:r>
    </w:p>
    <w:p w14:paraId="35338856" w14:textId="77777777" w:rsidR="00DE0659" w:rsidRPr="002F794B" w:rsidRDefault="00DE0659" w:rsidP="00DE0659">
      <w:pPr>
        <w:rPr>
          <w:u w:val="single"/>
        </w:rPr>
      </w:pPr>
      <w:r w:rsidRPr="002F794B">
        <w:rPr>
          <w:u w:val="single"/>
        </w:rPr>
        <w:t>Participante</w:t>
      </w:r>
    </w:p>
    <w:p w14:paraId="15021F2A" w14:textId="681564F5" w:rsidR="00DE0659" w:rsidRPr="002F794B" w:rsidRDefault="00C36CFB" w:rsidP="00DE0659">
      <w:r w:rsidRPr="002F794B">
        <w:t>Asociación de Normalización y Certificación, S.A. de C.V.</w:t>
      </w:r>
    </w:p>
    <w:p w14:paraId="0D725285" w14:textId="77777777" w:rsidR="00DE0659" w:rsidRPr="002F794B" w:rsidRDefault="00DE0659" w:rsidP="00DE0659">
      <w:pPr>
        <w:rPr>
          <w:u w:val="single"/>
        </w:rPr>
      </w:pPr>
      <w:r w:rsidRPr="002F794B">
        <w:rPr>
          <w:u w:val="single"/>
        </w:rPr>
        <w:t>Comentario y propuesta</w:t>
      </w:r>
    </w:p>
    <w:p w14:paraId="708739DD" w14:textId="77777777" w:rsidR="00C36CFB" w:rsidRPr="002F794B" w:rsidRDefault="00C36CFB" w:rsidP="00C36CFB">
      <w:pPr>
        <w:ind w:left="567" w:right="616"/>
        <w:rPr>
          <w:i/>
          <w:iCs/>
        </w:rPr>
      </w:pPr>
      <w:r w:rsidRPr="002F794B">
        <w:rPr>
          <w:i/>
          <w:iCs/>
        </w:rPr>
        <w:t>"</w:t>
      </w:r>
      <w:r w:rsidRPr="002F794B">
        <w:rPr>
          <w:b/>
          <w:bCs/>
          <w:i/>
          <w:iCs/>
        </w:rPr>
        <w:t>Dice:</w:t>
      </w:r>
      <w:r w:rsidRPr="002F794B">
        <w:rPr>
          <w:i/>
          <w:iCs/>
        </w:rPr>
        <w:t xml:space="preserve"> II. […]</w:t>
      </w:r>
    </w:p>
    <w:p w14:paraId="0EC3B9DE" w14:textId="77777777" w:rsidR="00C36CFB" w:rsidRPr="002F794B" w:rsidRDefault="00C36CFB" w:rsidP="00C36CFB">
      <w:pPr>
        <w:ind w:left="567" w:right="616"/>
        <w:rPr>
          <w:i/>
          <w:iCs/>
        </w:rPr>
      </w:pPr>
      <w:r w:rsidRPr="002F794B">
        <w:rPr>
          <w:i/>
          <w:iCs/>
        </w:rPr>
        <w:t>a. Si la(s) antena(s) del DRBP puede(n) ser desconectada(s) y/o reemplazada(s) por el usuario final, el fabricante debe proporcionar al laboratorio de pruebas las antenas compatibles identificando claramente las marcas, modelos y ganancias en dBi a fin de realizar las pruebas con cada una de ellas.</w:t>
      </w:r>
    </w:p>
    <w:p w14:paraId="05BE2064" w14:textId="77777777" w:rsidR="00C36CFB" w:rsidRPr="002F794B" w:rsidRDefault="00C36CFB" w:rsidP="00C36CFB">
      <w:pPr>
        <w:ind w:left="567" w:right="616"/>
        <w:rPr>
          <w:i/>
          <w:iCs/>
        </w:rPr>
      </w:pPr>
      <w:r w:rsidRPr="002F794B">
        <w:rPr>
          <w:b/>
          <w:bCs/>
          <w:i/>
          <w:iCs/>
        </w:rPr>
        <w:lastRenderedPageBreak/>
        <w:t>Debe decir:</w:t>
      </w:r>
      <w:r w:rsidRPr="002F794B">
        <w:rPr>
          <w:i/>
          <w:iCs/>
        </w:rPr>
        <w:t xml:space="preserve"> II. […]</w:t>
      </w:r>
    </w:p>
    <w:p w14:paraId="69ED4C48" w14:textId="77777777" w:rsidR="00C36CFB" w:rsidRPr="002F794B" w:rsidRDefault="00C36CFB" w:rsidP="00C36CFB">
      <w:pPr>
        <w:ind w:left="567" w:right="616"/>
        <w:rPr>
          <w:i/>
          <w:iCs/>
        </w:rPr>
      </w:pPr>
      <w:r w:rsidRPr="002F794B">
        <w:rPr>
          <w:i/>
          <w:iCs/>
        </w:rPr>
        <w:t>a. Si la(s) antena(s) del DRBP puede(n) ser desconectada(s) y/o reemplazada(s) por el usuario final, el interesado debe proporcionar al laboratorio de pruebas las antenas compatibles identificando (en caso de aplicar) las marcas, modelos y ganancias en dBi a fin de realizar las pruebas con cada una de ellas.</w:t>
      </w:r>
    </w:p>
    <w:p w14:paraId="4F944996" w14:textId="77777777" w:rsidR="00C36CFB" w:rsidRPr="002F794B" w:rsidRDefault="00C36CFB" w:rsidP="00C36CFB">
      <w:pPr>
        <w:ind w:left="567" w:right="616"/>
        <w:rPr>
          <w:i/>
          <w:iCs/>
        </w:rPr>
      </w:pPr>
      <w:r w:rsidRPr="002F794B">
        <w:rPr>
          <w:b/>
          <w:bCs/>
          <w:i/>
          <w:iCs/>
        </w:rPr>
        <w:t>Justificación:</w:t>
      </w:r>
      <w:r w:rsidRPr="002F794B">
        <w:rPr>
          <w:i/>
          <w:iCs/>
        </w:rPr>
        <w:t xml:space="preserve"> La responsabilidad durante la evaluación de la conformidad de un producto recae en el sujeto interesado, y no en el fabricante del producto.</w:t>
      </w:r>
    </w:p>
    <w:p w14:paraId="06D7DAC2" w14:textId="77777777" w:rsidR="00C36CFB" w:rsidRPr="002F794B" w:rsidRDefault="00C36CFB" w:rsidP="00C36CFB">
      <w:pPr>
        <w:ind w:left="567" w:right="616"/>
        <w:rPr>
          <w:i/>
          <w:iCs/>
        </w:rPr>
      </w:pPr>
      <w:r w:rsidRPr="002F794B">
        <w:rPr>
          <w:i/>
          <w:iCs/>
        </w:rPr>
        <w:t>Deberá ser el interesado quien obtenga por medio del fabricante la información, accesorios y complementos necesarios para la puesta en operación del equipo bajo prueba.</w:t>
      </w:r>
    </w:p>
    <w:p w14:paraId="75D47DFF" w14:textId="21F00119" w:rsidR="00DE0659" w:rsidRPr="002F794B" w:rsidRDefault="00C36CFB" w:rsidP="00C36CFB">
      <w:pPr>
        <w:ind w:left="567" w:right="616"/>
        <w:rPr>
          <w:i/>
          <w:iCs/>
        </w:rPr>
      </w:pPr>
      <w:r w:rsidRPr="002F794B">
        <w:rPr>
          <w:i/>
          <w:iCs/>
        </w:rPr>
        <w:t>Por otra parte, existen múltiples casos en los que las antenas complementarias no cuentan con marcas y modelos. La redacción actual del Anteproyecto exige que las antenas independientes tengan marcas y modelos identificables de forma unívoca, lo cual no necesariamente corresponde con la realidad de los equipos actualmente importados en el país, y el mercado que abrirá la entrada en vigor de este Anteproyecto."</w:t>
      </w:r>
    </w:p>
    <w:p w14:paraId="73F29CFD" w14:textId="77777777" w:rsidR="00DE0659" w:rsidRPr="002F794B" w:rsidRDefault="00DE0659" w:rsidP="00DE0659">
      <w:pPr>
        <w:rPr>
          <w:u w:val="single"/>
        </w:rPr>
      </w:pPr>
      <w:r w:rsidRPr="002F794B">
        <w:rPr>
          <w:u w:val="single"/>
        </w:rPr>
        <w:t>Respuesta</w:t>
      </w:r>
    </w:p>
    <w:p w14:paraId="03390EFC" w14:textId="5010BB38" w:rsidR="005D54D9" w:rsidRPr="002F794B" w:rsidRDefault="002503B7" w:rsidP="00DE0659">
      <w:r w:rsidRPr="002F794B">
        <w:t>Se considera y se modifica el texto de la DT para indicar que en caso de que al DRBP se le puedan conectar diferentes antenas, será suficiente probar el transmisor con la(s) antena(s) de más alta ganancia, la(s) cual(es) deberá(n) cumplir con las especificaciones técnicas que le correspondan.</w:t>
      </w:r>
    </w:p>
    <w:p w14:paraId="5B8A6274" w14:textId="77777777" w:rsidR="002503B7" w:rsidRPr="002F794B" w:rsidRDefault="002503B7" w:rsidP="00DE0659"/>
    <w:p w14:paraId="1531DE8D" w14:textId="588AC886" w:rsidR="00DE0659" w:rsidRPr="002F794B" w:rsidRDefault="00581DFA" w:rsidP="00DE39DA">
      <w:pPr>
        <w:spacing w:line="276" w:lineRule="auto"/>
        <w:jc w:val="left"/>
        <w:outlineLvl w:val="1"/>
        <w:rPr>
          <w:b/>
        </w:rPr>
      </w:pPr>
      <w:r w:rsidRPr="002F794B">
        <w:rPr>
          <w:b/>
        </w:rPr>
        <w:t>Numeral 7, fracción II, inciso b.</w:t>
      </w:r>
    </w:p>
    <w:p w14:paraId="43BC0AEC" w14:textId="77777777" w:rsidR="00DE0659" w:rsidRPr="002F794B" w:rsidRDefault="00DE0659" w:rsidP="00DE0659">
      <w:pPr>
        <w:rPr>
          <w:u w:val="single"/>
        </w:rPr>
      </w:pPr>
      <w:r w:rsidRPr="002F794B">
        <w:rPr>
          <w:u w:val="single"/>
        </w:rPr>
        <w:t>Participante</w:t>
      </w:r>
    </w:p>
    <w:p w14:paraId="1FFBD2D5" w14:textId="64C39DEA" w:rsidR="00DE0659" w:rsidRPr="002F794B" w:rsidRDefault="00491D3C" w:rsidP="00DE0659">
      <w:r w:rsidRPr="002F794B">
        <w:t>Asociación de Normalización y Certificación, S.A. de C.V.</w:t>
      </w:r>
    </w:p>
    <w:p w14:paraId="1AD3F9B7" w14:textId="77777777" w:rsidR="00DE0659" w:rsidRPr="002F794B" w:rsidRDefault="00DE0659" w:rsidP="00DE0659">
      <w:pPr>
        <w:rPr>
          <w:u w:val="single"/>
        </w:rPr>
      </w:pPr>
      <w:r w:rsidRPr="002F794B">
        <w:rPr>
          <w:u w:val="single"/>
        </w:rPr>
        <w:t>Comentario y propuesta</w:t>
      </w:r>
    </w:p>
    <w:p w14:paraId="6BD02F19" w14:textId="77777777" w:rsidR="00491D3C" w:rsidRPr="002F794B" w:rsidRDefault="00491D3C" w:rsidP="00491D3C">
      <w:pPr>
        <w:ind w:left="567" w:right="616"/>
        <w:rPr>
          <w:i/>
          <w:iCs/>
        </w:rPr>
      </w:pPr>
      <w:r w:rsidRPr="002F794B">
        <w:rPr>
          <w:i/>
          <w:iCs/>
        </w:rPr>
        <w:t>"</w:t>
      </w:r>
      <w:r w:rsidRPr="002F794B">
        <w:rPr>
          <w:b/>
          <w:bCs/>
          <w:i/>
          <w:iCs/>
        </w:rPr>
        <w:t>Dice:</w:t>
      </w:r>
      <w:r w:rsidRPr="002F794B">
        <w:rPr>
          <w:i/>
          <w:iCs/>
        </w:rPr>
        <w:t xml:space="preserve"> II. […]</w:t>
      </w:r>
    </w:p>
    <w:p w14:paraId="2CABBE6E" w14:textId="77777777" w:rsidR="00491D3C" w:rsidRPr="002F794B" w:rsidRDefault="00491D3C" w:rsidP="00491D3C">
      <w:pPr>
        <w:ind w:left="567" w:right="616"/>
        <w:rPr>
          <w:i/>
          <w:iCs/>
        </w:rPr>
      </w:pPr>
      <w:r w:rsidRPr="002F794B">
        <w:rPr>
          <w:i/>
          <w:iCs/>
        </w:rPr>
        <w:t>b. Adicionalmente, el fabricante deberá incluir la lista de antenas compatibles en el manual de usuario del DRBP.</w:t>
      </w:r>
    </w:p>
    <w:p w14:paraId="53B54E9D" w14:textId="77777777" w:rsidR="00491D3C" w:rsidRPr="002F794B" w:rsidRDefault="00491D3C" w:rsidP="00491D3C">
      <w:pPr>
        <w:ind w:left="567" w:right="616"/>
        <w:rPr>
          <w:i/>
          <w:iCs/>
        </w:rPr>
      </w:pPr>
      <w:r w:rsidRPr="002F794B">
        <w:rPr>
          <w:b/>
          <w:bCs/>
          <w:i/>
          <w:iCs/>
        </w:rPr>
        <w:t>Debe decir:</w:t>
      </w:r>
      <w:r w:rsidRPr="002F794B">
        <w:rPr>
          <w:i/>
          <w:iCs/>
        </w:rPr>
        <w:t xml:space="preserve"> No aplica</w:t>
      </w:r>
    </w:p>
    <w:p w14:paraId="511FAE22" w14:textId="6D95AFE7" w:rsidR="00DE0659" w:rsidRPr="002F794B" w:rsidRDefault="00491D3C" w:rsidP="00491D3C">
      <w:pPr>
        <w:ind w:left="567" w:right="616"/>
        <w:rPr>
          <w:i/>
          <w:iCs/>
        </w:rPr>
      </w:pPr>
      <w:r w:rsidRPr="002F794B">
        <w:rPr>
          <w:b/>
          <w:bCs/>
          <w:i/>
          <w:iCs/>
        </w:rPr>
        <w:t>Justificación:</w:t>
      </w:r>
      <w:r w:rsidRPr="002F794B">
        <w:rPr>
          <w:i/>
          <w:iCs/>
        </w:rPr>
        <w:t xml:space="preserve"> Se incluye en la propuesta de cláusula 7.7.3.2 integrada en este documento. En caso de aceptarse el comentario en cuestión, esta </w:t>
      </w:r>
      <w:r w:rsidRPr="002F794B">
        <w:rPr>
          <w:i/>
          <w:iCs/>
        </w:rPr>
        <w:lastRenderedPageBreak/>
        <w:t>leyenda debería ser eliminada en favor de aquella propuesta por esta Asociación."</w:t>
      </w:r>
    </w:p>
    <w:p w14:paraId="47682139" w14:textId="77777777" w:rsidR="00DE0659" w:rsidRPr="002F794B" w:rsidRDefault="00DE0659" w:rsidP="00DE0659">
      <w:pPr>
        <w:rPr>
          <w:u w:val="single"/>
        </w:rPr>
      </w:pPr>
      <w:r w:rsidRPr="002F794B">
        <w:rPr>
          <w:u w:val="single"/>
        </w:rPr>
        <w:t>Respuesta</w:t>
      </w:r>
    </w:p>
    <w:p w14:paraId="145CC347" w14:textId="729E105B" w:rsidR="005D54D9" w:rsidRPr="002F794B" w:rsidRDefault="00DF6325" w:rsidP="00DE0659">
      <w:r w:rsidRPr="002F794B">
        <w:t>No se considera. La presente DT no permite el uso de DRBP con amplificadores externos, pero sí permite que a un DRBP puedan conectársele diferentes tipos de antenas. Por lo anterior, el requerimiento de la lista de antenas se conserva.</w:t>
      </w:r>
    </w:p>
    <w:p w14:paraId="041ACE8B" w14:textId="77777777" w:rsidR="00DF6325" w:rsidRPr="002F794B" w:rsidRDefault="00DF6325" w:rsidP="00DE0659"/>
    <w:p w14:paraId="3B9AFBD6" w14:textId="62B26BBD" w:rsidR="00DE0659" w:rsidRPr="002F794B" w:rsidRDefault="001A347E" w:rsidP="00DE39DA">
      <w:pPr>
        <w:spacing w:line="276" w:lineRule="auto"/>
        <w:jc w:val="left"/>
        <w:outlineLvl w:val="1"/>
        <w:rPr>
          <w:b/>
        </w:rPr>
      </w:pPr>
      <w:r w:rsidRPr="002F794B">
        <w:rPr>
          <w:b/>
        </w:rPr>
        <w:t>Numeral 7.1.1</w:t>
      </w:r>
    </w:p>
    <w:p w14:paraId="38E2D1F2" w14:textId="77777777" w:rsidR="00DE0659" w:rsidRPr="002F794B" w:rsidRDefault="00DE0659" w:rsidP="00DE0659">
      <w:pPr>
        <w:rPr>
          <w:u w:val="single"/>
        </w:rPr>
      </w:pPr>
      <w:r w:rsidRPr="002F794B">
        <w:rPr>
          <w:u w:val="single"/>
        </w:rPr>
        <w:t>Participante</w:t>
      </w:r>
    </w:p>
    <w:p w14:paraId="709D11DE" w14:textId="2C6F2B06" w:rsidR="00DE0659" w:rsidRPr="002F794B" w:rsidRDefault="00157C85" w:rsidP="00DE0659">
      <w:r w:rsidRPr="002F794B">
        <w:t>Luis Antonio Lara Medina</w:t>
      </w:r>
    </w:p>
    <w:p w14:paraId="54C37380" w14:textId="77777777" w:rsidR="00DE0659" w:rsidRPr="002F794B" w:rsidRDefault="00DE0659" w:rsidP="00DE0659">
      <w:pPr>
        <w:rPr>
          <w:u w:val="single"/>
        </w:rPr>
      </w:pPr>
      <w:r w:rsidRPr="002F794B">
        <w:rPr>
          <w:u w:val="single"/>
        </w:rPr>
        <w:t>Comentario y propuesta</w:t>
      </w:r>
    </w:p>
    <w:p w14:paraId="0514FB60" w14:textId="77777777" w:rsidR="00157C85" w:rsidRPr="002F794B" w:rsidRDefault="00157C85" w:rsidP="00157C85">
      <w:pPr>
        <w:ind w:left="567" w:right="616"/>
        <w:rPr>
          <w:i/>
          <w:iCs/>
        </w:rPr>
      </w:pPr>
      <w:r w:rsidRPr="002F794B">
        <w:rPr>
          <w:i/>
          <w:iCs/>
        </w:rPr>
        <w:t>"Buscar armonización para DRBP genéricos con las bandas de frecuencias de operación con países vecinos y principales socios comerciales. En atención a esto, es recomendable centrar esfuerzos en las bandas contempladas en la Recomendación UIT-R SM.1896-1 “Gamas de frecuencia para la armonización mundial o regional de los dispositivos de corto alcance”.</w:t>
      </w:r>
    </w:p>
    <w:p w14:paraId="10FC3B04" w14:textId="77777777" w:rsidR="00157C85" w:rsidRPr="002F794B" w:rsidRDefault="00157C85" w:rsidP="00157C85">
      <w:pPr>
        <w:ind w:left="567" w:right="616"/>
        <w:rPr>
          <w:i/>
          <w:iCs/>
        </w:rPr>
      </w:pPr>
      <w:r w:rsidRPr="002F794B">
        <w:rPr>
          <w:i/>
          <w:iCs/>
        </w:rPr>
        <w:t>Es crítico, no considerar para dispositivos de baja potencia, aquellas bandas designadas principalmente para servicios de seguridad humana (llamadas de socorro y determinadas actividades aeronáuticas), determinados enlaces descendentes por satélite, radioastronomía y otros servicios de seguridad. En particular, las siguientes bandas deben excluirse de la Tabla 1: 37.5-38.25 MHz, 149.9-150.05 MHz, 156.7-156.9 MHz, 1300-1427 MHz, 1435-1626.5 MHz, 1718.8-1722.2 MHz, 2200-2300 MHz, 2310-2390 MHz y 2483.5-2500 MHz.</w:t>
      </w:r>
    </w:p>
    <w:p w14:paraId="3770B137" w14:textId="77777777" w:rsidR="00157C85" w:rsidRPr="002F794B" w:rsidRDefault="00157C85" w:rsidP="00157C85">
      <w:pPr>
        <w:ind w:left="567" w:right="616"/>
        <w:rPr>
          <w:b/>
          <w:bCs/>
          <w:i/>
          <w:iCs/>
          <w:lang w:val="en-US"/>
        </w:rPr>
      </w:pPr>
      <w:proofErr w:type="spellStart"/>
      <w:r w:rsidRPr="002F794B">
        <w:rPr>
          <w:b/>
          <w:bCs/>
          <w:i/>
          <w:iCs/>
          <w:lang w:val="en-US"/>
        </w:rPr>
        <w:t>Referencias</w:t>
      </w:r>
      <w:proofErr w:type="spellEnd"/>
      <w:r w:rsidRPr="002F794B">
        <w:rPr>
          <w:b/>
          <w:bCs/>
          <w:i/>
          <w:iCs/>
          <w:lang w:val="en-US"/>
        </w:rPr>
        <w:t>:</w:t>
      </w:r>
    </w:p>
    <w:p w14:paraId="794B5DA0" w14:textId="77777777" w:rsidR="00157C85" w:rsidRPr="002F794B" w:rsidRDefault="00157C85" w:rsidP="00157C85">
      <w:pPr>
        <w:ind w:left="567" w:right="616"/>
        <w:rPr>
          <w:i/>
          <w:iCs/>
          <w:lang w:val="en-US"/>
        </w:rPr>
      </w:pPr>
      <w:r w:rsidRPr="002F794B">
        <w:rPr>
          <w:i/>
          <w:iCs/>
          <w:lang w:val="en-US"/>
        </w:rPr>
        <w:t>EUA. FCC Part 15.205 “Restricted bands of Operation.</w:t>
      </w:r>
    </w:p>
    <w:p w14:paraId="5B53AA60" w14:textId="77777777" w:rsidR="00157C85" w:rsidRPr="002F794B" w:rsidRDefault="00157C85" w:rsidP="00157C85">
      <w:pPr>
        <w:ind w:left="567" w:right="616"/>
        <w:rPr>
          <w:i/>
          <w:iCs/>
          <w:lang w:val="en-US"/>
        </w:rPr>
      </w:pPr>
      <w:r w:rsidRPr="002F794B">
        <w:rPr>
          <w:i/>
          <w:iCs/>
          <w:lang w:val="en-US"/>
        </w:rPr>
        <w:t>Canada. ISED RSS-Gen. 8.10 “Restricted Frequency bands”.</w:t>
      </w:r>
    </w:p>
    <w:p w14:paraId="6932C718" w14:textId="33BC0A67" w:rsidR="00DE0659" w:rsidRPr="002F794B" w:rsidRDefault="00157C85" w:rsidP="00157C85">
      <w:pPr>
        <w:ind w:left="567" w:right="616"/>
        <w:rPr>
          <w:i/>
          <w:iCs/>
        </w:rPr>
      </w:pPr>
      <w:r w:rsidRPr="002F794B">
        <w:rPr>
          <w:i/>
          <w:iCs/>
          <w:lang w:val="en-US"/>
        </w:rPr>
        <w:t xml:space="preserve">Report ITU-R SM.2153-9. Attachment 2 to Annex 2. </w:t>
      </w:r>
      <w:r w:rsidRPr="002F794B">
        <w:rPr>
          <w:i/>
          <w:iCs/>
        </w:rPr>
        <w:t>6 “</w:t>
      </w:r>
      <w:proofErr w:type="spellStart"/>
      <w:r w:rsidRPr="002F794B">
        <w:rPr>
          <w:i/>
          <w:iCs/>
        </w:rPr>
        <w:t>restricted</w:t>
      </w:r>
      <w:proofErr w:type="spellEnd"/>
      <w:r w:rsidRPr="002F794B">
        <w:rPr>
          <w:i/>
          <w:iCs/>
        </w:rPr>
        <w:t xml:space="preserve"> bands”"</w:t>
      </w:r>
    </w:p>
    <w:p w14:paraId="5C0CDC80" w14:textId="77777777" w:rsidR="00DE0659" w:rsidRPr="002F794B" w:rsidRDefault="00DE0659" w:rsidP="00DE0659">
      <w:pPr>
        <w:rPr>
          <w:u w:val="single"/>
        </w:rPr>
      </w:pPr>
      <w:r w:rsidRPr="002F794B">
        <w:rPr>
          <w:u w:val="single"/>
        </w:rPr>
        <w:t>Respuesta</w:t>
      </w:r>
    </w:p>
    <w:p w14:paraId="610E0A4E" w14:textId="5331DEB0" w:rsidR="005D54D9" w:rsidRPr="002F794B" w:rsidRDefault="002C5171" w:rsidP="00DE0659">
      <w:r w:rsidRPr="002F794B">
        <w:t>Se considera parcialmente. Las bandas de frecuencias de operación en la DT se encuentran alineadas a lo establecido en el Cuadro Nacional de Atribución de Frecuencias (en lo sucesivo, el “CNAF”)</w:t>
      </w:r>
      <w:r w:rsidR="00EA443A" w:rsidRPr="002F794B">
        <w:t>.</w:t>
      </w:r>
    </w:p>
    <w:p w14:paraId="4E6E19A8" w14:textId="77777777" w:rsidR="0060611C" w:rsidRPr="002F794B" w:rsidRDefault="0060611C" w:rsidP="00DE0659"/>
    <w:p w14:paraId="342B72BA" w14:textId="77777777" w:rsidR="00DE0659" w:rsidRPr="002F794B" w:rsidRDefault="00DE0659" w:rsidP="00DE0659">
      <w:pPr>
        <w:rPr>
          <w:u w:val="single"/>
        </w:rPr>
      </w:pPr>
      <w:r w:rsidRPr="002F794B">
        <w:rPr>
          <w:u w:val="single"/>
        </w:rPr>
        <w:lastRenderedPageBreak/>
        <w:t>Participante</w:t>
      </w:r>
    </w:p>
    <w:p w14:paraId="01DD1CD2" w14:textId="5E9F2D56" w:rsidR="00DE0659" w:rsidRPr="002F794B" w:rsidRDefault="00BA4A64" w:rsidP="00DE0659">
      <w:r w:rsidRPr="002F794B">
        <w:t>Luis Antonio Lara Medina</w:t>
      </w:r>
    </w:p>
    <w:p w14:paraId="1AA75033" w14:textId="77777777" w:rsidR="00DE0659" w:rsidRPr="002F794B" w:rsidRDefault="00DE0659" w:rsidP="00DE0659">
      <w:pPr>
        <w:rPr>
          <w:u w:val="single"/>
        </w:rPr>
      </w:pPr>
      <w:r w:rsidRPr="002F794B">
        <w:rPr>
          <w:u w:val="single"/>
        </w:rPr>
        <w:t>Comentario y propuesta</w:t>
      </w:r>
    </w:p>
    <w:p w14:paraId="1FBC78F1" w14:textId="01B97E5D" w:rsidR="00DE0659" w:rsidRPr="002F794B" w:rsidRDefault="00BA4A64" w:rsidP="00DE0659">
      <w:pPr>
        <w:ind w:left="567" w:right="616"/>
        <w:rPr>
          <w:i/>
          <w:iCs/>
        </w:rPr>
      </w:pPr>
      <w:r w:rsidRPr="002F794B">
        <w:rPr>
          <w:i/>
          <w:iCs/>
        </w:rPr>
        <w:t>Se hace notar además, que se encuentra en curso la licitación pública para concesionar el uso, aprovechamiento y explotación comercial del segmento de espectro radioeléctrico disponible en la Banda de Frecuencias 2483.5 – 2495 MHz para la prestación del Servicio Complementario Terrestre del Servicio Móvil por Satélite (Licitación No. IFT-13), por lo que es prioritario eliminar esta banda de frecuencias del Anteproyecto de Disposición Técnica IFT-016-2023 como se ha expresado en los comentarios anteriores sobre bandas restringidas.</w:t>
      </w:r>
    </w:p>
    <w:p w14:paraId="1C7879D0" w14:textId="77777777" w:rsidR="00DE0659" w:rsidRPr="002F794B" w:rsidRDefault="00DE0659" w:rsidP="00DE0659">
      <w:pPr>
        <w:rPr>
          <w:u w:val="single"/>
        </w:rPr>
      </w:pPr>
      <w:r w:rsidRPr="002F794B">
        <w:rPr>
          <w:u w:val="single"/>
        </w:rPr>
        <w:t>Respuesta</w:t>
      </w:r>
    </w:p>
    <w:p w14:paraId="1EF88AFD" w14:textId="04B59B9E" w:rsidR="005D54D9" w:rsidRPr="002F794B" w:rsidRDefault="00452BFA" w:rsidP="00DE0659">
      <w:r w:rsidRPr="002F794B">
        <w:t>Se considera</w:t>
      </w:r>
      <w:r w:rsidR="00482918" w:rsidRPr="002F794B">
        <w:t>se elimina l</w:t>
      </w:r>
      <w:r w:rsidRPr="002F794B">
        <w:t xml:space="preserve">a banda de frecuencias de operación </w:t>
      </w:r>
      <w:r w:rsidR="00482918" w:rsidRPr="002F794B">
        <w:t xml:space="preserve">solicitada. </w:t>
      </w:r>
    </w:p>
    <w:p w14:paraId="014D944F" w14:textId="77777777" w:rsidR="00A80C9D" w:rsidRPr="002F794B" w:rsidRDefault="00A80C9D" w:rsidP="00DE0659"/>
    <w:p w14:paraId="1B1CBF47" w14:textId="28198771" w:rsidR="00DE0659" w:rsidRPr="002F794B" w:rsidRDefault="00D314D6" w:rsidP="00DE39DA">
      <w:pPr>
        <w:spacing w:line="276" w:lineRule="auto"/>
        <w:jc w:val="left"/>
        <w:outlineLvl w:val="1"/>
        <w:rPr>
          <w:b/>
        </w:rPr>
      </w:pPr>
      <w:r w:rsidRPr="002F794B">
        <w:rPr>
          <w:b/>
        </w:rPr>
        <w:t>Numeral 7.1.2</w:t>
      </w:r>
    </w:p>
    <w:p w14:paraId="7F931E0B" w14:textId="77777777" w:rsidR="00DE0659" w:rsidRPr="002F794B" w:rsidRDefault="00DE0659" w:rsidP="00DE0659">
      <w:pPr>
        <w:rPr>
          <w:u w:val="single"/>
        </w:rPr>
      </w:pPr>
      <w:r w:rsidRPr="002F794B">
        <w:rPr>
          <w:u w:val="single"/>
        </w:rPr>
        <w:t>Participante</w:t>
      </w:r>
    </w:p>
    <w:p w14:paraId="49F493D7" w14:textId="4475FBFB" w:rsidR="00DE0659" w:rsidRPr="002F794B" w:rsidRDefault="00D314D6" w:rsidP="00DE0659">
      <w:r w:rsidRPr="002F794B">
        <w:t>Asociación de Normalización y Certificación, S.A. de C.V.</w:t>
      </w:r>
    </w:p>
    <w:p w14:paraId="46D88515" w14:textId="77777777" w:rsidR="00DE0659" w:rsidRPr="002F794B" w:rsidRDefault="00DE0659" w:rsidP="00DE0659">
      <w:pPr>
        <w:rPr>
          <w:u w:val="single"/>
        </w:rPr>
      </w:pPr>
      <w:r w:rsidRPr="002F794B">
        <w:rPr>
          <w:u w:val="single"/>
        </w:rPr>
        <w:t>Comentario y propuesta</w:t>
      </w:r>
    </w:p>
    <w:p w14:paraId="0461FD54" w14:textId="77777777" w:rsidR="004E72D1" w:rsidRPr="002F794B" w:rsidRDefault="004E72D1" w:rsidP="004E72D1">
      <w:pPr>
        <w:ind w:left="567" w:right="616"/>
        <w:rPr>
          <w:i/>
          <w:iCs/>
        </w:rPr>
      </w:pPr>
      <w:r w:rsidRPr="002F794B">
        <w:rPr>
          <w:i/>
          <w:iCs/>
        </w:rPr>
        <w:t>"</w:t>
      </w:r>
      <w:r w:rsidRPr="002F794B">
        <w:rPr>
          <w:b/>
          <w:bCs/>
          <w:i/>
          <w:iCs/>
        </w:rPr>
        <w:t>Dice:</w:t>
      </w:r>
      <w:r w:rsidRPr="002F794B">
        <w:rPr>
          <w:i/>
          <w:iCs/>
        </w:rPr>
        <w:t xml:space="preserve"> […] II. Para DRBP genéricos que utilicen una banda de frecuencia de operación dividida en uno o más canales radioeléctricos, el fabricante debe declarar el BW</w:t>
      </w:r>
      <w:r w:rsidRPr="002F794B">
        <w:rPr>
          <w:i/>
          <w:iCs/>
          <w:vertAlign w:val="subscript"/>
        </w:rPr>
        <w:t>ch</w:t>
      </w:r>
      <w:r w:rsidRPr="002F794B">
        <w:rPr>
          <w:i/>
          <w:iCs/>
        </w:rPr>
        <w:t xml:space="preserve"> y el n</w:t>
      </w:r>
      <w:r w:rsidRPr="002F794B">
        <w:rPr>
          <w:i/>
          <w:iCs/>
          <w:vertAlign w:val="subscript"/>
        </w:rPr>
        <w:t>ch</w:t>
      </w:r>
      <w:r w:rsidRPr="002F794B">
        <w:rPr>
          <w:i/>
          <w:iCs/>
        </w:rPr>
        <w:t>, …</w:t>
      </w:r>
    </w:p>
    <w:p w14:paraId="3E402967" w14:textId="77777777" w:rsidR="004E72D1" w:rsidRPr="002F794B" w:rsidRDefault="004E72D1" w:rsidP="004E72D1">
      <w:pPr>
        <w:ind w:left="567" w:right="616"/>
        <w:rPr>
          <w:i/>
          <w:iCs/>
        </w:rPr>
      </w:pPr>
      <w:r w:rsidRPr="002F794B">
        <w:rPr>
          <w:b/>
          <w:bCs/>
          <w:i/>
          <w:iCs/>
        </w:rPr>
        <w:t>Debe decir:</w:t>
      </w:r>
      <w:r w:rsidRPr="002F794B">
        <w:rPr>
          <w:i/>
          <w:iCs/>
        </w:rPr>
        <w:t xml:space="preserve"> […] II. Para DRBP genéricos que utilicen una banda de frecuencia de operación dividida en uno o más canales radioeléctricos, el interesado debe declarar al Organismo de Certificación y al Laboratorio de Pruebas el BW</w:t>
      </w:r>
      <w:r w:rsidRPr="002F794B">
        <w:rPr>
          <w:i/>
          <w:iCs/>
          <w:vertAlign w:val="subscript"/>
        </w:rPr>
        <w:t>ch</w:t>
      </w:r>
      <w:r w:rsidRPr="002F794B">
        <w:rPr>
          <w:i/>
          <w:iCs/>
        </w:rPr>
        <w:t xml:space="preserve"> y el n</w:t>
      </w:r>
      <w:r w:rsidRPr="002F794B">
        <w:rPr>
          <w:i/>
          <w:iCs/>
          <w:vertAlign w:val="subscript"/>
        </w:rPr>
        <w:t>ch</w:t>
      </w:r>
      <w:r w:rsidRPr="002F794B">
        <w:rPr>
          <w:i/>
          <w:iCs/>
        </w:rPr>
        <w:t>, …</w:t>
      </w:r>
    </w:p>
    <w:p w14:paraId="7B7658A2" w14:textId="3E811C80" w:rsidR="00DE0659" w:rsidRPr="002F794B" w:rsidRDefault="004E72D1" w:rsidP="004E72D1">
      <w:pPr>
        <w:ind w:left="567" w:right="616"/>
        <w:rPr>
          <w:i/>
          <w:iCs/>
        </w:rPr>
      </w:pPr>
      <w:r w:rsidRPr="002F794B">
        <w:rPr>
          <w:b/>
          <w:bCs/>
          <w:i/>
          <w:iCs/>
        </w:rPr>
        <w:t>Justificación:</w:t>
      </w:r>
      <w:r w:rsidRPr="002F794B">
        <w:rPr>
          <w:i/>
          <w:iCs/>
        </w:rPr>
        <w:t xml:space="preserve"> La responsabilidad durante la evaluación de la conformidad de un producto recae en el sujeto interesado, y no en el fabricante del producto. Tanto ancho de banda de canal radioeléctrico como número de canales radioeléctricos no suelen ser considerados datos de interés a los usuarios finales, por lo que muy rara vez forma parte de los manuales u hojas de especificaciones. En cualquier caso, es el interesado o solicitante quien deberá realizar la gestión con el fabricante de la información requerida."</w:t>
      </w:r>
    </w:p>
    <w:p w14:paraId="06332F2C" w14:textId="77777777" w:rsidR="00DE0659" w:rsidRPr="002F794B" w:rsidRDefault="00DE0659" w:rsidP="00DE0659">
      <w:pPr>
        <w:rPr>
          <w:u w:val="single"/>
        </w:rPr>
      </w:pPr>
      <w:r w:rsidRPr="002F794B">
        <w:rPr>
          <w:u w:val="single"/>
        </w:rPr>
        <w:t>Respuesta</w:t>
      </w:r>
    </w:p>
    <w:p w14:paraId="74A5693F" w14:textId="7B6BD33A" w:rsidR="00DE0659" w:rsidRPr="002F794B" w:rsidRDefault="00266C27" w:rsidP="00DE0659">
      <w:r w:rsidRPr="002F794B">
        <w:lastRenderedPageBreak/>
        <w:t>No se considera. La DT indica que el interesado debe declarar el BW</w:t>
      </w:r>
      <w:r w:rsidRPr="002F794B">
        <w:rPr>
          <w:vertAlign w:val="subscript"/>
        </w:rPr>
        <w:t>ch</w:t>
      </w:r>
      <w:r w:rsidRPr="002F794B">
        <w:t xml:space="preserve"> y N</w:t>
      </w:r>
      <w:r w:rsidRPr="002F794B">
        <w:rPr>
          <w:vertAlign w:val="subscript"/>
        </w:rPr>
        <w:t>ch</w:t>
      </w:r>
      <w:r w:rsidRPr="002F794B">
        <w:t>, ya sea en la documentación, en formatos o en manuales de usuario</w:t>
      </w:r>
      <w:r w:rsidR="00A80C9D" w:rsidRPr="002F794B">
        <w:t>.</w:t>
      </w:r>
    </w:p>
    <w:p w14:paraId="459681D8" w14:textId="77777777" w:rsidR="005D54D9" w:rsidRPr="002F794B" w:rsidRDefault="005D54D9" w:rsidP="00DE0659"/>
    <w:p w14:paraId="3A879CB2" w14:textId="23ADA708" w:rsidR="00DE0659" w:rsidRPr="002F794B" w:rsidRDefault="009D752C" w:rsidP="00DE39DA">
      <w:pPr>
        <w:spacing w:line="276" w:lineRule="auto"/>
        <w:jc w:val="left"/>
        <w:outlineLvl w:val="1"/>
        <w:rPr>
          <w:b/>
        </w:rPr>
      </w:pPr>
      <w:r w:rsidRPr="002F794B">
        <w:rPr>
          <w:b/>
        </w:rPr>
        <w:t>Numeral 7.1.3.1</w:t>
      </w:r>
    </w:p>
    <w:p w14:paraId="56126C6F" w14:textId="77777777" w:rsidR="00DE0659" w:rsidRPr="002F794B" w:rsidRDefault="00DE0659" w:rsidP="00DE0659">
      <w:pPr>
        <w:rPr>
          <w:u w:val="single"/>
        </w:rPr>
      </w:pPr>
      <w:r w:rsidRPr="002F794B">
        <w:rPr>
          <w:u w:val="single"/>
        </w:rPr>
        <w:t>Participante</w:t>
      </w:r>
    </w:p>
    <w:p w14:paraId="1BD6B146" w14:textId="4ECDD1DF" w:rsidR="00DE0659" w:rsidRPr="002F794B" w:rsidRDefault="00A54CBA" w:rsidP="00DE0659">
      <w:r w:rsidRPr="002F794B">
        <w:t>LOGIS CONSULTORES S.A. de C.V.</w:t>
      </w:r>
    </w:p>
    <w:p w14:paraId="165B80D5" w14:textId="77777777" w:rsidR="00DE0659" w:rsidRPr="002F794B" w:rsidRDefault="00DE0659" w:rsidP="00DE0659">
      <w:pPr>
        <w:rPr>
          <w:u w:val="single"/>
        </w:rPr>
      </w:pPr>
      <w:r w:rsidRPr="002F794B">
        <w:rPr>
          <w:u w:val="single"/>
        </w:rPr>
        <w:t>Comentario y propuesta</w:t>
      </w:r>
    </w:p>
    <w:p w14:paraId="4F6A19E9" w14:textId="522687F1" w:rsidR="00DE0659" w:rsidRPr="002F794B" w:rsidRDefault="00585A45" w:rsidP="00DE0659">
      <w:pPr>
        <w:ind w:left="567" w:right="616"/>
        <w:rPr>
          <w:i/>
          <w:iCs/>
        </w:rPr>
      </w:pPr>
      <w:r w:rsidRPr="002F794B">
        <w:rPr>
          <w:i/>
          <w:iCs/>
        </w:rPr>
        <w:t>“Especificar los límites del valor relativo del límite de emisión para -36 dBm (Tabla 2 y 3) con respecto a los intervalos de frecuencia de las emisiones fuera de banda. Debido a la existencia del mismo valor para dos intervalos diferentes.”</w:t>
      </w:r>
    </w:p>
    <w:p w14:paraId="3470D1C4" w14:textId="77777777" w:rsidR="00DE0659" w:rsidRPr="002F794B" w:rsidRDefault="00DE0659" w:rsidP="00DE0659">
      <w:pPr>
        <w:rPr>
          <w:u w:val="single"/>
        </w:rPr>
      </w:pPr>
      <w:r w:rsidRPr="002F794B">
        <w:rPr>
          <w:u w:val="single"/>
        </w:rPr>
        <w:t>Respuesta</w:t>
      </w:r>
    </w:p>
    <w:p w14:paraId="2E6C9E53" w14:textId="7C11721D" w:rsidR="005D54D9" w:rsidRPr="002F794B" w:rsidRDefault="00882FFB" w:rsidP="00DE0659">
      <w:r w:rsidRPr="002F794B">
        <w:t>No se considera. La máscara de las emisiones fuera de banda, y sus unidades, es consistente con el estándar internacional de referencia.</w:t>
      </w:r>
    </w:p>
    <w:p w14:paraId="5BECC3C8" w14:textId="77777777" w:rsidR="00882FFB" w:rsidRPr="002F794B" w:rsidRDefault="00882FFB" w:rsidP="00DE0659"/>
    <w:p w14:paraId="569A69EB" w14:textId="77777777" w:rsidR="00DE0659" w:rsidRPr="002F794B" w:rsidRDefault="00DE0659" w:rsidP="00DE0659">
      <w:pPr>
        <w:rPr>
          <w:u w:val="single"/>
        </w:rPr>
      </w:pPr>
      <w:r w:rsidRPr="002F794B">
        <w:rPr>
          <w:u w:val="single"/>
        </w:rPr>
        <w:t>Participante</w:t>
      </w:r>
    </w:p>
    <w:p w14:paraId="7CDE3D06" w14:textId="016CE646" w:rsidR="00DE0659" w:rsidRPr="002F794B" w:rsidRDefault="003876F7" w:rsidP="00DE0659">
      <w:r w:rsidRPr="002F794B">
        <w:t>Asociación de Normalización y Certificación, S.A. de C.V.</w:t>
      </w:r>
    </w:p>
    <w:p w14:paraId="74D81B84" w14:textId="77777777" w:rsidR="00DE0659" w:rsidRPr="002F794B" w:rsidRDefault="00DE0659" w:rsidP="00DE0659">
      <w:pPr>
        <w:rPr>
          <w:u w:val="single"/>
        </w:rPr>
      </w:pPr>
      <w:r w:rsidRPr="002F794B">
        <w:rPr>
          <w:u w:val="single"/>
        </w:rPr>
        <w:t>Comentario y propuesta</w:t>
      </w:r>
    </w:p>
    <w:p w14:paraId="5C17B0BA" w14:textId="77777777" w:rsidR="006B6841" w:rsidRPr="002F794B" w:rsidRDefault="006B6841" w:rsidP="006B6841">
      <w:pPr>
        <w:ind w:left="567" w:right="616"/>
        <w:rPr>
          <w:i/>
          <w:iCs/>
        </w:rPr>
      </w:pPr>
      <w:r w:rsidRPr="002F794B">
        <w:rPr>
          <w:i/>
          <w:iCs/>
        </w:rPr>
        <w:t>"</w:t>
      </w:r>
      <w:r w:rsidRPr="002F794B">
        <w:rPr>
          <w:b/>
          <w:bCs/>
          <w:i/>
          <w:iCs/>
        </w:rPr>
        <w:t>Consideración:</w:t>
      </w:r>
      <w:r w:rsidRPr="002F794B">
        <w:rPr>
          <w:i/>
          <w:iCs/>
        </w:rPr>
        <w:t xml:space="preserve"> El objetivo de los numerales en comento es definir los contornos límite para las emisiones fuera de banda (“</w:t>
      </w:r>
      <w:proofErr w:type="spellStart"/>
      <w:r w:rsidRPr="002F794B">
        <w:rPr>
          <w:i/>
          <w:iCs/>
        </w:rPr>
        <w:t>out</w:t>
      </w:r>
      <w:proofErr w:type="spellEnd"/>
      <w:r w:rsidRPr="002F794B">
        <w:rPr>
          <w:i/>
          <w:iCs/>
        </w:rPr>
        <w:t>-of-band”). Sin embargo, la Tabla 2, Tabla 3, Tabla 8, Tabla 9, Tabla 10, Tabla 16 establecen valores límite para las emisiones del equipo dentro (“</w:t>
      </w:r>
      <w:proofErr w:type="spellStart"/>
      <w:r w:rsidRPr="002F794B">
        <w:rPr>
          <w:i/>
          <w:iCs/>
        </w:rPr>
        <w:t>in-band</w:t>
      </w:r>
      <w:proofErr w:type="spellEnd"/>
      <w:r w:rsidRPr="002F794B">
        <w:rPr>
          <w:i/>
          <w:iCs/>
        </w:rPr>
        <w:t>”) y fuera de banda.</w:t>
      </w:r>
    </w:p>
    <w:p w14:paraId="13E3BACC" w14:textId="3385B715" w:rsidR="006B6841" w:rsidRPr="002F794B" w:rsidRDefault="006B6841" w:rsidP="006B6841">
      <w:pPr>
        <w:ind w:left="567" w:right="616"/>
        <w:rPr>
          <w:i/>
          <w:iCs/>
        </w:rPr>
      </w:pPr>
      <w:r w:rsidRPr="002F794B">
        <w:rPr>
          <w:i/>
          <w:iCs/>
        </w:rPr>
        <w:t xml:space="preserve">Adicionalmente, y de acuerdo con la primera fila de la Tabla 2 y de la Tabla 3, el límite de las emisiones </w:t>
      </w:r>
      <w:proofErr w:type="spellStart"/>
      <w:r w:rsidRPr="002F794B">
        <w:rPr>
          <w:i/>
          <w:iCs/>
        </w:rPr>
        <w:t>in-band</w:t>
      </w:r>
      <w:proofErr w:type="spellEnd"/>
      <w:r w:rsidRPr="002F794B">
        <w:rPr>
          <w:i/>
          <w:iCs/>
        </w:rPr>
        <w:t xml:space="preserve"> es de 0 dBm (equivalente a 1</w:t>
      </w:r>
      <w:r w:rsidR="006F11CE" w:rsidRPr="002F794B">
        <w:rPr>
          <w:i/>
          <w:iCs/>
        </w:rPr>
        <w:t> </w:t>
      </w:r>
      <w:proofErr w:type="spellStart"/>
      <w:r w:rsidRPr="002F794B">
        <w:rPr>
          <w:i/>
          <w:iCs/>
        </w:rPr>
        <w:t>mW</w:t>
      </w:r>
      <w:proofErr w:type="spellEnd"/>
      <w:r w:rsidRPr="002F794B">
        <w:rPr>
          <w:i/>
          <w:iCs/>
        </w:rPr>
        <w:t>), lo cual no ocurre con el resto de las tablas de contorno de emisión, que lo definen en función de otro valor.</w:t>
      </w:r>
    </w:p>
    <w:p w14:paraId="2281D4D1" w14:textId="77777777" w:rsidR="006B6841" w:rsidRPr="002F794B" w:rsidRDefault="006B6841" w:rsidP="006B6841">
      <w:pPr>
        <w:ind w:left="567" w:right="616"/>
        <w:rPr>
          <w:i/>
          <w:iCs/>
        </w:rPr>
      </w:pPr>
      <w:r w:rsidRPr="002F794B">
        <w:rPr>
          <w:b/>
          <w:bCs/>
          <w:i/>
          <w:iCs/>
        </w:rPr>
        <w:t>Problema:</w:t>
      </w:r>
      <w:r w:rsidRPr="002F794B">
        <w:rPr>
          <w:i/>
          <w:iCs/>
        </w:rPr>
        <w:t xml:space="preserve"> Esta Asociación considera que existe un potencial error editorial incluir las emisiones </w:t>
      </w:r>
      <w:proofErr w:type="spellStart"/>
      <w:r w:rsidRPr="002F794B">
        <w:rPr>
          <w:i/>
          <w:iCs/>
        </w:rPr>
        <w:t>in-band</w:t>
      </w:r>
      <w:proofErr w:type="spellEnd"/>
      <w:r w:rsidRPr="002F794B">
        <w:rPr>
          <w:i/>
          <w:iCs/>
        </w:rPr>
        <w:t xml:space="preserve"> dentro de las tablas de Emisiones fuera de banda y que, en caso de desear limitar la potencia de las emisiones esenciales, esto se incluya como una especificación separada, tal como se hace en el numeral 7.2.4 POTENCIA MÁXIMA para los micrófonos inalámbricos, en 7.3.4 POTENCIA MÁXIMA para los teléfonos inalámbricos o en 7.5.4 POTENCIA MÁXIMA para las alarmas inalámbricas.</w:t>
      </w:r>
    </w:p>
    <w:p w14:paraId="69CE0BF2" w14:textId="77777777" w:rsidR="006B6841" w:rsidRPr="002F794B" w:rsidRDefault="006B6841" w:rsidP="006B6841">
      <w:pPr>
        <w:ind w:left="567" w:right="616"/>
        <w:rPr>
          <w:i/>
          <w:iCs/>
        </w:rPr>
      </w:pPr>
      <w:r w:rsidRPr="002F794B">
        <w:rPr>
          <w:i/>
          <w:iCs/>
        </w:rPr>
        <w:lastRenderedPageBreak/>
        <w:t xml:space="preserve">Para los DRBP genéricos el nivel de las emisiones </w:t>
      </w:r>
      <w:proofErr w:type="spellStart"/>
      <w:r w:rsidRPr="002F794B">
        <w:rPr>
          <w:i/>
          <w:iCs/>
        </w:rPr>
        <w:t>in-band</w:t>
      </w:r>
      <w:proofErr w:type="spellEnd"/>
      <w:r w:rsidRPr="002F794B">
        <w:rPr>
          <w:i/>
          <w:iCs/>
        </w:rPr>
        <w:t xml:space="preserve"> no debe corresponder con 1 </w:t>
      </w:r>
      <w:proofErr w:type="spellStart"/>
      <w:r w:rsidRPr="002F794B">
        <w:rPr>
          <w:i/>
          <w:iCs/>
        </w:rPr>
        <w:t>mW</w:t>
      </w:r>
      <w:proofErr w:type="spellEnd"/>
      <w:r w:rsidRPr="002F794B">
        <w:rPr>
          <w:i/>
          <w:iCs/>
        </w:rPr>
        <w:t>, sino con algún valor superior, definido por la especificación separada. En tal caso, el contorno de emisión debe quedar referido como un valor en decibeles referidos a la potencia de la componente a la frecuencia central (dBc).</w:t>
      </w:r>
    </w:p>
    <w:p w14:paraId="20AD41B2" w14:textId="77777777" w:rsidR="006B6841" w:rsidRPr="002F794B" w:rsidRDefault="006B6841" w:rsidP="006B6841">
      <w:pPr>
        <w:ind w:left="567" w:right="616"/>
        <w:rPr>
          <w:i/>
          <w:iCs/>
        </w:rPr>
      </w:pPr>
      <w:r w:rsidRPr="002F794B">
        <w:rPr>
          <w:i/>
          <w:iCs/>
        </w:rPr>
        <w:t>En tal caso, y atendiendo la consideración de las unidades, las Tablas 2 y 3 quedarían de la siguiente forma:</w:t>
      </w:r>
    </w:p>
    <w:p w14:paraId="70EAC263" w14:textId="77777777" w:rsidR="00105312" w:rsidRPr="002F794B" w:rsidRDefault="00105312" w:rsidP="00105312">
      <w:pPr>
        <w:ind w:left="567" w:right="616"/>
        <w:jc w:val="center"/>
        <w:rPr>
          <w:rFonts w:ascii="Arial" w:hAnsi="Arial" w:cs="Arial"/>
          <w:sz w:val="20"/>
          <w:szCs w:val="20"/>
        </w:rPr>
      </w:pPr>
      <w:r w:rsidRPr="002F794B">
        <w:rPr>
          <w:rFonts w:ascii="Arial" w:hAnsi="Arial" w:cs="Arial"/>
          <w:i/>
          <w:iCs/>
          <w:sz w:val="18"/>
          <w:szCs w:val="18"/>
        </w:rPr>
        <w:t>Tabla 2. Contorno de las emisiones fuera de banda para DRBP genéricos que utilicen una banda de frecuencia de operación completa.</w:t>
      </w:r>
    </w:p>
    <w:tbl>
      <w:tblPr>
        <w:tblStyle w:val="Tablaconcuadrcula"/>
        <w:tblpPr w:leftFromText="142" w:rightFromText="142" w:vertAnchor="text" w:horzAnchor="margin" w:tblpXSpec="center" w:tblpY="1"/>
        <w:tblOverlap w:val="never"/>
        <w:tblW w:w="0" w:type="auto"/>
        <w:tblLook w:val="04A0" w:firstRow="1" w:lastRow="0" w:firstColumn="1" w:lastColumn="0" w:noHBand="0" w:noVBand="1"/>
      </w:tblPr>
      <w:tblGrid>
        <w:gridCol w:w="2823"/>
        <w:gridCol w:w="2842"/>
        <w:gridCol w:w="1972"/>
      </w:tblGrid>
      <w:tr w:rsidR="002F794B" w:rsidRPr="002F794B" w14:paraId="625B2604" w14:textId="77777777" w:rsidTr="00105312">
        <w:tc>
          <w:tcPr>
            <w:tcW w:w="2823" w:type="dxa"/>
            <w:vAlign w:val="center"/>
          </w:tcPr>
          <w:p w14:paraId="7930357D" w14:textId="77777777" w:rsidR="00105312" w:rsidRPr="002F794B" w:rsidRDefault="00105312" w:rsidP="00105312">
            <w:pPr>
              <w:pStyle w:val="Default"/>
              <w:ind w:left="567" w:right="616"/>
              <w:jc w:val="center"/>
              <w:rPr>
                <w:color w:val="auto"/>
                <w:sz w:val="20"/>
                <w:szCs w:val="20"/>
              </w:rPr>
            </w:pPr>
            <w:r w:rsidRPr="002F794B">
              <w:rPr>
                <w:b/>
                <w:bCs/>
                <w:color w:val="auto"/>
                <w:sz w:val="20"/>
                <w:szCs w:val="20"/>
              </w:rPr>
              <w:t>Valor relativo del límite de emisión [dBc]</w:t>
            </w:r>
          </w:p>
        </w:tc>
        <w:tc>
          <w:tcPr>
            <w:tcW w:w="2842" w:type="dxa"/>
            <w:vAlign w:val="center"/>
          </w:tcPr>
          <w:p w14:paraId="49810168" w14:textId="77777777" w:rsidR="00105312" w:rsidRPr="002F794B" w:rsidRDefault="00105312" w:rsidP="00105312">
            <w:pPr>
              <w:pStyle w:val="Default"/>
              <w:ind w:left="567" w:right="616"/>
              <w:jc w:val="center"/>
              <w:rPr>
                <w:color w:val="auto"/>
                <w:sz w:val="13"/>
                <w:szCs w:val="13"/>
              </w:rPr>
            </w:pPr>
            <w:r w:rsidRPr="002F794B">
              <w:rPr>
                <w:b/>
                <w:bCs/>
                <w:color w:val="auto"/>
                <w:sz w:val="20"/>
                <w:szCs w:val="20"/>
              </w:rPr>
              <w:t>Intervalo de frecuencias de las Emisiones fuera de banda, Δƒ</w:t>
            </w:r>
            <w:r w:rsidRPr="002F794B">
              <w:rPr>
                <w:b/>
                <w:bCs/>
                <w:color w:val="auto"/>
                <w:sz w:val="13"/>
                <w:szCs w:val="13"/>
              </w:rPr>
              <w:t>OOB</w:t>
            </w:r>
          </w:p>
        </w:tc>
        <w:tc>
          <w:tcPr>
            <w:tcW w:w="1972" w:type="dxa"/>
            <w:vAlign w:val="center"/>
          </w:tcPr>
          <w:p w14:paraId="751FDC81" w14:textId="77777777" w:rsidR="00105312" w:rsidRPr="002F794B" w:rsidRDefault="00105312" w:rsidP="00105312">
            <w:pPr>
              <w:pStyle w:val="Default"/>
              <w:ind w:left="567" w:right="616"/>
              <w:jc w:val="center"/>
              <w:rPr>
                <w:color w:val="auto"/>
                <w:sz w:val="20"/>
                <w:szCs w:val="20"/>
              </w:rPr>
            </w:pPr>
            <w:r w:rsidRPr="002F794B">
              <w:rPr>
                <w:b/>
                <w:bCs/>
                <w:color w:val="auto"/>
                <w:sz w:val="20"/>
                <w:szCs w:val="20"/>
              </w:rPr>
              <w:t>RBW</w:t>
            </w:r>
          </w:p>
        </w:tc>
      </w:tr>
      <w:tr w:rsidR="002F794B" w:rsidRPr="002F794B" w14:paraId="146B30C7" w14:textId="77777777" w:rsidTr="00105312">
        <w:tc>
          <w:tcPr>
            <w:tcW w:w="2823" w:type="dxa"/>
            <w:vAlign w:val="center"/>
          </w:tcPr>
          <w:p w14:paraId="5DCE49AF" w14:textId="77777777" w:rsidR="00105312" w:rsidRPr="002F794B" w:rsidRDefault="00105312" w:rsidP="00105312">
            <w:pPr>
              <w:pStyle w:val="Default"/>
              <w:ind w:left="567" w:right="616"/>
              <w:jc w:val="center"/>
              <w:rPr>
                <w:color w:val="auto"/>
                <w:sz w:val="20"/>
                <w:szCs w:val="20"/>
              </w:rPr>
            </w:pPr>
            <w:r w:rsidRPr="002F794B">
              <w:rPr>
                <w:color w:val="auto"/>
                <w:sz w:val="20"/>
                <w:szCs w:val="20"/>
              </w:rPr>
              <w:t>Decrece linealmente con la frecuencia de 0 a -36</w:t>
            </w:r>
          </w:p>
        </w:tc>
        <w:tc>
          <w:tcPr>
            <w:tcW w:w="2842" w:type="dxa"/>
            <w:vAlign w:val="center"/>
          </w:tcPr>
          <w:p w14:paraId="4DED9D6F" w14:textId="77777777" w:rsidR="00105312" w:rsidRPr="002F794B" w:rsidRDefault="00105312" w:rsidP="00105312">
            <w:pPr>
              <w:pStyle w:val="Default"/>
              <w:ind w:left="567" w:right="616"/>
              <w:jc w:val="center"/>
              <w:rPr>
                <w:color w:val="auto"/>
                <w:sz w:val="20"/>
                <w:szCs w:val="20"/>
              </w:rPr>
            </w:pPr>
            <w:r w:rsidRPr="002F794B">
              <w:rPr>
                <w:color w:val="auto"/>
                <w:sz w:val="20"/>
                <w:szCs w:val="20"/>
              </w:rPr>
              <w:t>De ƒ</w:t>
            </w:r>
            <w:r w:rsidRPr="002F794B">
              <w:rPr>
                <w:color w:val="auto"/>
                <w:sz w:val="13"/>
                <w:szCs w:val="13"/>
              </w:rPr>
              <w:t xml:space="preserve">c </w:t>
            </w:r>
            <w:r w:rsidRPr="002F794B">
              <w:rPr>
                <w:color w:val="auto"/>
                <w:sz w:val="20"/>
                <w:szCs w:val="20"/>
              </w:rPr>
              <w:t>± 0.5 BW</w:t>
            </w:r>
            <w:r w:rsidRPr="002F794B">
              <w:rPr>
                <w:color w:val="auto"/>
                <w:sz w:val="13"/>
                <w:szCs w:val="13"/>
              </w:rPr>
              <w:t xml:space="preserve">OC </w:t>
            </w:r>
            <w:r w:rsidRPr="002F794B">
              <w:rPr>
                <w:color w:val="auto"/>
                <w:sz w:val="20"/>
                <w:szCs w:val="20"/>
              </w:rPr>
              <w:t>a ƒ</w:t>
            </w:r>
            <w:r w:rsidRPr="002F794B">
              <w:rPr>
                <w:color w:val="auto"/>
                <w:sz w:val="13"/>
                <w:szCs w:val="13"/>
              </w:rPr>
              <w:t xml:space="preserve">c </w:t>
            </w:r>
            <w:r w:rsidRPr="002F794B">
              <w:rPr>
                <w:color w:val="auto"/>
                <w:sz w:val="20"/>
                <w:szCs w:val="20"/>
              </w:rPr>
              <w:t>± BW</w:t>
            </w:r>
            <w:r w:rsidRPr="002F794B">
              <w:rPr>
                <w:color w:val="auto"/>
                <w:sz w:val="13"/>
                <w:szCs w:val="13"/>
              </w:rPr>
              <w:t xml:space="preserve">OC </w:t>
            </w:r>
            <w:r w:rsidRPr="002F794B">
              <w:rPr>
                <w:color w:val="auto"/>
                <w:sz w:val="20"/>
                <w:szCs w:val="20"/>
              </w:rPr>
              <w:t xml:space="preserve">± 200 kHz </w:t>
            </w:r>
          </w:p>
        </w:tc>
        <w:tc>
          <w:tcPr>
            <w:tcW w:w="1972" w:type="dxa"/>
            <w:vMerge w:val="restart"/>
            <w:vAlign w:val="center"/>
          </w:tcPr>
          <w:p w14:paraId="2FBD8384" w14:textId="77777777" w:rsidR="00105312" w:rsidRPr="002F794B" w:rsidRDefault="00105312" w:rsidP="00105312">
            <w:pPr>
              <w:ind w:left="567" w:right="616"/>
              <w:jc w:val="center"/>
              <w:rPr>
                <w:rFonts w:ascii="Arial" w:hAnsi="Arial" w:cs="Arial"/>
              </w:rPr>
            </w:pPr>
            <w:r w:rsidRPr="002F794B">
              <w:rPr>
                <w:rFonts w:ascii="Arial" w:hAnsi="Arial" w:cs="Arial"/>
              </w:rPr>
              <w:t>1 kHz</w:t>
            </w:r>
          </w:p>
        </w:tc>
      </w:tr>
      <w:tr w:rsidR="002F794B" w:rsidRPr="002F794B" w14:paraId="316314B0" w14:textId="77777777" w:rsidTr="00105312">
        <w:tc>
          <w:tcPr>
            <w:tcW w:w="2823" w:type="dxa"/>
            <w:vAlign w:val="center"/>
          </w:tcPr>
          <w:p w14:paraId="6F3B0341" w14:textId="77777777" w:rsidR="00105312" w:rsidRPr="002F794B" w:rsidRDefault="00105312" w:rsidP="00105312">
            <w:pPr>
              <w:ind w:left="567" w:right="616"/>
              <w:jc w:val="center"/>
              <w:rPr>
                <w:rFonts w:ascii="Arial" w:hAnsi="Arial" w:cs="Arial"/>
              </w:rPr>
            </w:pPr>
            <w:r w:rsidRPr="002F794B">
              <w:rPr>
                <w:rFonts w:ascii="Arial" w:hAnsi="Arial" w:cs="Arial"/>
              </w:rPr>
              <w:t>-36</w:t>
            </w:r>
          </w:p>
        </w:tc>
        <w:tc>
          <w:tcPr>
            <w:tcW w:w="2842" w:type="dxa"/>
            <w:vAlign w:val="center"/>
          </w:tcPr>
          <w:p w14:paraId="45F8C0F6" w14:textId="77777777" w:rsidR="00105312" w:rsidRPr="002F794B" w:rsidRDefault="00105312" w:rsidP="00105312">
            <w:pPr>
              <w:pStyle w:val="Default"/>
              <w:ind w:left="567" w:right="616"/>
              <w:jc w:val="center"/>
              <w:rPr>
                <w:color w:val="auto"/>
                <w:sz w:val="20"/>
                <w:szCs w:val="20"/>
              </w:rPr>
            </w:pPr>
            <w:r w:rsidRPr="002F794B">
              <w:rPr>
                <w:color w:val="auto"/>
                <w:sz w:val="20"/>
                <w:szCs w:val="20"/>
              </w:rPr>
              <w:t>De ƒ</w:t>
            </w:r>
            <w:r w:rsidRPr="002F794B">
              <w:rPr>
                <w:color w:val="auto"/>
                <w:sz w:val="13"/>
                <w:szCs w:val="13"/>
              </w:rPr>
              <w:t xml:space="preserve">c </w:t>
            </w:r>
            <w:r w:rsidRPr="002F794B">
              <w:rPr>
                <w:color w:val="auto"/>
                <w:sz w:val="20"/>
                <w:szCs w:val="20"/>
              </w:rPr>
              <w:t>± BW</w:t>
            </w:r>
            <w:r w:rsidRPr="002F794B">
              <w:rPr>
                <w:color w:val="auto"/>
                <w:sz w:val="13"/>
                <w:szCs w:val="13"/>
              </w:rPr>
              <w:t xml:space="preserve">OC </w:t>
            </w:r>
            <w:r w:rsidRPr="002F794B">
              <w:rPr>
                <w:color w:val="auto"/>
                <w:sz w:val="20"/>
                <w:szCs w:val="20"/>
              </w:rPr>
              <w:t>± 200 kHz a ƒ</w:t>
            </w:r>
            <w:r w:rsidRPr="002F794B">
              <w:rPr>
                <w:color w:val="auto"/>
                <w:sz w:val="13"/>
                <w:szCs w:val="13"/>
              </w:rPr>
              <w:t>c</w:t>
            </w:r>
            <w:r w:rsidRPr="002F794B">
              <w:rPr>
                <w:color w:val="auto"/>
                <w:sz w:val="20"/>
                <w:szCs w:val="20"/>
              </w:rPr>
              <w:t>± BW</w:t>
            </w:r>
            <w:r w:rsidRPr="002F794B">
              <w:rPr>
                <w:color w:val="auto"/>
                <w:sz w:val="13"/>
                <w:szCs w:val="13"/>
              </w:rPr>
              <w:t>OC</w:t>
            </w:r>
            <w:r w:rsidRPr="002F794B">
              <w:rPr>
                <w:color w:val="auto"/>
                <w:sz w:val="20"/>
                <w:szCs w:val="20"/>
              </w:rPr>
              <w:t xml:space="preserve">± 400 kHz </w:t>
            </w:r>
          </w:p>
        </w:tc>
        <w:tc>
          <w:tcPr>
            <w:tcW w:w="1972" w:type="dxa"/>
            <w:vMerge/>
            <w:vAlign w:val="center"/>
          </w:tcPr>
          <w:p w14:paraId="730F6A04" w14:textId="77777777" w:rsidR="00105312" w:rsidRPr="002F794B" w:rsidRDefault="00105312" w:rsidP="00105312">
            <w:pPr>
              <w:ind w:left="567" w:right="616"/>
              <w:jc w:val="center"/>
              <w:rPr>
                <w:rFonts w:ascii="Arial" w:hAnsi="Arial" w:cs="Arial"/>
              </w:rPr>
            </w:pPr>
          </w:p>
        </w:tc>
      </w:tr>
      <w:tr w:rsidR="002F794B" w:rsidRPr="002F794B" w14:paraId="7988DDF1" w14:textId="77777777" w:rsidTr="00105312">
        <w:tc>
          <w:tcPr>
            <w:tcW w:w="2823" w:type="dxa"/>
            <w:vAlign w:val="center"/>
          </w:tcPr>
          <w:p w14:paraId="411D79E1" w14:textId="77777777" w:rsidR="00105312" w:rsidRPr="002F794B" w:rsidRDefault="00105312" w:rsidP="00105312">
            <w:pPr>
              <w:pStyle w:val="Default"/>
              <w:ind w:left="567" w:right="616"/>
              <w:jc w:val="center"/>
              <w:rPr>
                <w:color w:val="auto"/>
                <w:sz w:val="20"/>
                <w:szCs w:val="20"/>
              </w:rPr>
            </w:pPr>
            <w:r w:rsidRPr="002F794B">
              <w:rPr>
                <w:color w:val="auto"/>
                <w:sz w:val="20"/>
                <w:szCs w:val="20"/>
              </w:rPr>
              <w:t>Decrece inmediatamente de -36 a -72</w:t>
            </w:r>
          </w:p>
        </w:tc>
        <w:tc>
          <w:tcPr>
            <w:tcW w:w="2842" w:type="dxa"/>
            <w:vAlign w:val="center"/>
          </w:tcPr>
          <w:p w14:paraId="22D993B1" w14:textId="77777777" w:rsidR="00105312" w:rsidRPr="002F794B" w:rsidRDefault="00105312" w:rsidP="00105312">
            <w:pPr>
              <w:pStyle w:val="Default"/>
              <w:ind w:left="567" w:right="616"/>
              <w:jc w:val="center"/>
              <w:rPr>
                <w:color w:val="auto"/>
                <w:sz w:val="20"/>
                <w:szCs w:val="20"/>
              </w:rPr>
            </w:pPr>
            <w:r w:rsidRPr="002F794B">
              <w:rPr>
                <w:color w:val="auto"/>
                <w:sz w:val="20"/>
                <w:szCs w:val="20"/>
              </w:rPr>
              <w:t>ƒ</w:t>
            </w:r>
            <w:r w:rsidRPr="002F794B">
              <w:rPr>
                <w:color w:val="auto"/>
                <w:sz w:val="13"/>
                <w:szCs w:val="13"/>
              </w:rPr>
              <w:t>c</w:t>
            </w:r>
            <w:r w:rsidRPr="002F794B">
              <w:rPr>
                <w:color w:val="auto"/>
                <w:sz w:val="20"/>
                <w:szCs w:val="20"/>
              </w:rPr>
              <w:t xml:space="preserve"> ± BW</w:t>
            </w:r>
            <w:r w:rsidRPr="002F794B">
              <w:rPr>
                <w:color w:val="auto"/>
                <w:sz w:val="20"/>
                <w:szCs w:val="20"/>
                <w:vertAlign w:val="subscript"/>
              </w:rPr>
              <w:t>OC</w:t>
            </w:r>
            <w:r w:rsidRPr="002F794B">
              <w:rPr>
                <w:color w:val="auto"/>
                <w:sz w:val="20"/>
                <w:szCs w:val="20"/>
              </w:rPr>
              <w:t xml:space="preserve"> ± 400 kHz </w:t>
            </w:r>
          </w:p>
        </w:tc>
        <w:tc>
          <w:tcPr>
            <w:tcW w:w="1972" w:type="dxa"/>
            <w:vMerge/>
            <w:vAlign w:val="center"/>
          </w:tcPr>
          <w:p w14:paraId="1003B6CF" w14:textId="77777777" w:rsidR="00105312" w:rsidRPr="002F794B" w:rsidRDefault="00105312" w:rsidP="00105312">
            <w:pPr>
              <w:ind w:left="567" w:right="616"/>
              <w:jc w:val="center"/>
              <w:rPr>
                <w:rFonts w:ascii="Arial" w:hAnsi="Arial" w:cs="Arial"/>
              </w:rPr>
            </w:pPr>
          </w:p>
        </w:tc>
      </w:tr>
    </w:tbl>
    <w:p w14:paraId="12B74FFA" w14:textId="77777777" w:rsidR="00105312" w:rsidRPr="002F794B" w:rsidRDefault="00105312" w:rsidP="00105312">
      <w:pPr>
        <w:ind w:left="567" w:right="616"/>
        <w:rPr>
          <w:rFonts w:ascii="Arial" w:hAnsi="Arial" w:cs="Arial"/>
          <w:sz w:val="20"/>
          <w:szCs w:val="20"/>
        </w:rPr>
      </w:pPr>
    </w:p>
    <w:p w14:paraId="1D83F32D" w14:textId="77777777" w:rsidR="00105312" w:rsidRPr="002F794B" w:rsidRDefault="00105312" w:rsidP="00105312">
      <w:pPr>
        <w:ind w:left="567" w:right="616"/>
        <w:jc w:val="center"/>
        <w:rPr>
          <w:rFonts w:ascii="Arial" w:hAnsi="Arial" w:cs="Arial"/>
          <w:sz w:val="20"/>
          <w:szCs w:val="20"/>
        </w:rPr>
      </w:pPr>
      <w:r w:rsidRPr="002F794B">
        <w:rPr>
          <w:rFonts w:ascii="Arial" w:hAnsi="Arial" w:cs="Arial"/>
          <w:i/>
          <w:iCs/>
          <w:sz w:val="18"/>
          <w:szCs w:val="18"/>
        </w:rPr>
        <w:t>Tabla 3. Contorno de las emisiones fuera de banda para DRBP genéricos que utilicen una banda de frecuencia de operación dividida en dos o más canales radioeléctricos.</w:t>
      </w:r>
    </w:p>
    <w:tbl>
      <w:tblPr>
        <w:tblStyle w:val="Tablaconcuadrcula"/>
        <w:tblpPr w:leftFromText="142" w:rightFromText="142" w:vertAnchor="text" w:horzAnchor="margin" w:tblpXSpec="center" w:tblpY="1"/>
        <w:tblOverlap w:val="never"/>
        <w:tblW w:w="0" w:type="auto"/>
        <w:tblLayout w:type="fixed"/>
        <w:tblLook w:val="04A0" w:firstRow="1" w:lastRow="0" w:firstColumn="1" w:lastColumn="0" w:noHBand="0" w:noVBand="1"/>
      </w:tblPr>
      <w:tblGrid>
        <w:gridCol w:w="2830"/>
        <w:gridCol w:w="2835"/>
        <w:gridCol w:w="1985"/>
      </w:tblGrid>
      <w:tr w:rsidR="002F794B" w:rsidRPr="002F794B" w14:paraId="45FB357E" w14:textId="77777777" w:rsidTr="00105312">
        <w:tc>
          <w:tcPr>
            <w:tcW w:w="2830" w:type="dxa"/>
            <w:vAlign w:val="center"/>
          </w:tcPr>
          <w:p w14:paraId="6A14D884" w14:textId="77777777" w:rsidR="00105312" w:rsidRPr="002F794B" w:rsidRDefault="00105312" w:rsidP="00105312">
            <w:pPr>
              <w:pStyle w:val="Default"/>
              <w:ind w:left="567" w:right="616"/>
              <w:jc w:val="center"/>
              <w:rPr>
                <w:color w:val="auto"/>
                <w:sz w:val="20"/>
                <w:szCs w:val="20"/>
              </w:rPr>
            </w:pPr>
            <w:r w:rsidRPr="002F794B">
              <w:rPr>
                <w:b/>
                <w:bCs/>
                <w:color w:val="auto"/>
                <w:sz w:val="20"/>
                <w:szCs w:val="20"/>
              </w:rPr>
              <w:t>Valor relativo del límite de emisión [dBc]</w:t>
            </w:r>
          </w:p>
        </w:tc>
        <w:tc>
          <w:tcPr>
            <w:tcW w:w="2835" w:type="dxa"/>
            <w:vAlign w:val="center"/>
          </w:tcPr>
          <w:p w14:paraId="3CC3319F" w14:textId="77777777" w:rsidR="00105312" w:rsidRPr="002F794B" w:rsidRDefault="00105312" w:rsidP="00105312">
            <w:pPr>
              <w:pStyle w:val="Default"/>
              <w:ind w:left="567" w:right="616"/>
              <w:jc w:val="center"/>
              <w:rPr>
                <w:color w:val="auto"/>
                <w:sz w:val="13"/>
                <w:szCs w:val="13"/>
              </w:rPr>
            </w:pPr>
            <w:r w:rsidRPr="002F794B">
              <w:rPr>
                <w:b/>
                <w:bCs/>
                <w:color w:val="auto"/>
                <w:sz w:val="20"/>
                <w:szCs w:val="20"/>
              </w:rPr>
              <w:t>Intervalo de frecuencias de las Emisiones fuera de banda, Δƒ</w:t>
            </w:r>
            <w:r w:rsidRPr="002F794B">
              <w:rPr>
                <w:b/>
                <w:bCs/>
                <w:color w:val="auto"/>
                <w:sz w:val="13"/>
                <w:szCs w:val="13"/>
              </w:rPr>
              <w:t>OOB</w:t>
            </w:r>
          </w:p>
        </w:tc>
        <w:tc>
          <w:tcPr>
            <w:tcW w:w="1985" w:type="dxa"/>
            <w:vAlign w:val="center"/>
          </w:tcPr>
          <w:p w14:paraId="2753694B" w14:textId="77777777" w:rsidR="00105312" w:rsidRPr="002F794B" w:rsidRDefault="00105312" w:rsidP="00105312">
            <w:pPr>
              <w:pStyle w:val="Default"/>
              <w:ind w:left="567" w:right="616"/>
              <w:jc w:val="center"/>
              <w:rPr>
                <w:color w:val="auto"/>
                <w:sz w:val="20"/>
                <w:szCs w:val="20"/>
              </w:rPr>
            </w:pPr>
            <w:r w:rsidRPr="002F794B">
              <w:rPr>
                <w:b/>
                <w:bCs/>
                <w:color w:val="auto"/>
                <w:sz w:val="20"/>
                <w:szCs w:val="20"/>
              </w:rPr>
              <w:t>RBW</w:t>
            </w:r>
          </w:p>
        </w:tc>
      </w:tr>
      <w:tr w:rsidR="002F794B" w:rsidRPr="002F794B" w14:paraId="2E132E30" w14:textId="77777777" w:rsidTr="00105312">
        <w:tc>
          <w:tcPr>
            <w:tcW w:w="2830" w:type="dxa"/>
            <w:vAlign w:val="center"/>
          </w:tcPr>
          <w:p w14:paraId="513FF50B" w14:textId="77777777" w:rsidR="00105312" w:rsidRPr="002F794B" w:rsidRDefault="00105312" w:rsidP="00105312">
            <w:pPr>
              <w:pStyle w:val="Default"/>
              <w:ind w:left="567" w:right="616"/>
              <w:jc w:val="center"/>
              <w:rPr>
                <w:color w:val="auto"/>
                <w:sz w:val="20"/>
                <w:szCs w:val="20"/>
              </w:rPr>
            </w:pPr>
            <w:r w:rsidRPr="002F794B">
              <w:rPr>
                <w:color w:val="auto"/>
                <w:sz w:val="20"/>
                <w:szCs w:val="20"/>
              </w:rPr>
              <w:t>Decrece linealmente con la frecuencia de 0 a -36</w:t>
            </w:r>
          </w:p>
        </w:tc>
        <w:tc>
          <w:tcPr>
            <w:tcW w:w="2835" w:type="dxa"/>
            <w:vAlign w:val="center"/>
          </w:tcPr>
          <w:p w14:paraId="1DA891C5" w14:textId="77777777" w:rsidR="00105312" w:rsidRPr="002F794B" w:rsidRDefault="00105312" w:rsidP="00105312">
            <w:pPr>
              <w:pStyle w:val="Default"/>
              <w:ind w:left="567" w:right="616"/>
              <w:jc w:val="center"/>
              <w:rPr>
                <w:color w:val="auto"/>
                <w:sz w:val="13"/>
                <w:szCs w:val="13"/>
              </w:rPr>
            </w:pPr>
            <w:r w:rsidRPr="002F794B">
              <w:rPr>
                <w:color w:val="auto"/>
                <w:sz w:val="20"/>
                <w:szCs w:val="20"/>
              </w:rPr>
              <w:t>De ƒ</w:t>
            </w:r>
            <w:r w:rsidRPr="002F794B">
              <w:rPr>
                <w:color w:val="auto"/>
                <w:sz w:val="13"/>
                <w:szCs w:val="13"/>
              </w:rPr>
              <w:t xml:space="preserve">c </w:t>
            </w:r>
            <w:r w:rsidRPr="002F794B">
              <w:rPr>
                <w:color w:val="auto"/>
                <w:sz w:val="20"/>
                <w:szCs w:val="20"/>
              </w:rPr>
              <w:t>± 0.5 BW</w:t>
            </w:r>
            <w:r w:rsidRPr="002F794B">
              <w:rPr>
                <w:color w:val="auto"/>
                <w:sz w:val="13"/>
                <w:szCs w:val="13"/>
              </w:rPr>
              <w:t xml:space="preserve">ch </w:t>
            </w:r>
            <w:r w:rsidRPr="002F794B">
              <w:rPr>
                <w:color w:val="auto"/>
                <w:sz w:val="20"/>
                <w:szCs w:val="20"/>
              </w:rPr>
              <w:t>a ƒ</w:t>
            </w:r>
            <w:r w:rsidRPr="002F794B">
              <w:rPr>
                <w:color w:val="auto"/>
                <w:sz w:val="13"/>
                <w:szCs w:val="13"/>
              </w:rPr>
              <w:t xml:space="preserve">c </w:t>
            </w:r>
            <w:r w:rsidRPr="002F794B">
              <w:rPr>
                <w:color w:val="auto"/>
                <w:sz w:val="20"/>
                <w:szCs w:val="20"/>
              </w:rPr>
              <w:t>± 2.5 BW</w:t>
            </w:r>
            <w:r w:rsidRPr="002F794B">
              <w:rPr>
                <w:color w:val="auto"/>
                <w:sz w:val="13"/>
                <w:szCs w:val="13"/>
              </w:rPr>
              <w:t xml:space="preserve">OC </w:t>
            </w:r>
          </w:p>
        </w:tc>
        <w:tc>
          <w:tcPr>
            <w:tcW w:w="1985" w:type="dxa"/>
            <w:vMerge w:val="restart"/>
            <w:vAlign w:val="center"/>
          </w:tcPr>
          <w:p w14:paraId="66ED062F" w14:textId="77777777" w:rsidR="00105312" w:rsidRPr="002F794B" w:rsidRDefault="00105312" w:rsidP="00105312">
            <w:pPr>
              <w:ind w:left="567" w:right="616"/>
              <w:jc w:val="center"/>
              <w:rPr>
                <w:rFonts w:ascii="Arial" w:hAnsi="Arial" w:cs="Arial"/>
              </w:rPr>
            </w:pPr>
            <w:r w:rsidRPr="002F794B">
              <w:rPr>
                <w:rFonts w:ascii="Arial" w:hAnsi="Arial" w:cs="Arial"/>
              </w:rPr>
              <w:t>1 kHz</w:t>
            </w:r>
          </w:p>
        </w:tc>
      </w:tr>
      <w:tr w:rsidR="002F794B" w:rsidRPr="002F794B" w14:paraId="1975200E" w14:textId="77777777" w:rsidTr="00105312">
        <w:tc>
          <w:tcPr>
            <w:tcW w:w="2830" w:type="dxa"/>
            <w:vAlign w:val="center"/>
          </w:tcPr>
          <w:p w14:paraId="30DFBD9B" w14:textId="77777777" w:rsidR="00105312" w:rsidRPr="002F794B" w:rsidRDefault="00105312" w:rsidP="00105312">
            <w:pPr>
              <w:ind w:left="567" w:right="616"/>
              <w:jc w:val="center"/>
              <w:rPr>
                <w:rFonts w:ascii="Arial" w:hAnsi="Arial" w:cs="Arial"/>
              </w:rPr>
            </w:pPr>
            <w:r w:rsidRPr="002F794B">
              <w:rPr>
                <w:rFonts w:ascii="Arial" w:hAnsi="Arial" w:cs="Arial"/>
              </w:rPr>
              <w:t>-36</w:t>
            </w:r>
          </w:p>
        </w:tc>
        <w:tc>
          <w:tcPr>
            <w:tcW w:w="2835" w:type="dxa"/>
            <w:vAlign w:val="center"/>
          </w:tcPr>
          <w:p w14:paraId="1279B8CE" w14:textId="77777777" w:rsidR="00105312" w:rsidRPr="002F794B" w:rsidRDefault="00105312" w:rsidP="00105312">
            <w:pPr>
              <w:pStyle w:val="Default"/>
              <w:ind w:left="567" w:right="616"/>
              <w:jc w:val="center"/>
              <w:rPr>
                <w:color w:val="auto"/>
                <w:sz w:val="13"/>
                <w:szCs w:val="13"/>
              </w:rPr>
            </w:pPr>
            <w:r w:rsidRPr="002F794B">
              <w:rPr>
                <w:color w:val="auto"/>
                <w:sz w:val="20"/>
                <w:szCs w:val="20"/>
              </w:rPr>
              <w:t>De ƒ</w:t>
            </w:r>
            <w:r w:rsidRPr="002F794B">
              <w:rPr>
                <w:color w:val="auto"/>
                <w:sz w:val="13"/>
                <w:szCs w:val="13"/>
              </w:rPr>
              <w:t xml:space="preserve">c </w:t>
            </w:r>
            <w:r w:rsidRPr="002F794B">
              <w:rPr>
                <w:color w:val="auto"/>
                <w:sz w:val="20"/>
                <w:szCs w:val="20"/>
              </w:rPr>
              <w:t>± 2.5 BW</w:t>
            </w:r>
            <w:r w:rsidRPr="002F794B">
              <w:rPr>
                <w:color w:val="auto"/>
                <w:sz w:val="13"/>
                <w:szCs w:val="13"/>
              </w:rPr>
              <w:t xml:space="preserve">OC </w:t>
            </w:r>
            <w:r w:rsidRPr="002F794B">
              <w:rPr>
                <w:color w:val="auto"/>
                <w:sz w:val="20"/>
                <w:szCs w:val="20"/>
              </w:rPr>
              <w:t>a ƒ</w:t>
            </w:r>
            <w:r w:rsidRPr="002F794B">
              <w:rPr>
                <w:color w:val="auto"/>
                <w:sz w:val="13"/>
                <w:szCs w:val="13"/>
              </w:rPr>
              <w:t>c</w:t>
            </w:r>
            <w:r w:rsidRPr="002F794B">
              <w:rPr>
                <w:color w:val="auto"/>
                <w:sz w:val="20"/>
                <w:szCs w:val="20"/>
              </w:rPr>
              <w:t>± 5 BW</w:t>
            </w:r>
            <w:r w:rsidRPr="002F794B">
              <w:rPr>
                <w:color w:val="auto"/>
                <w:sz w:val="13"/>
                <w:szCs w:val="13"/>
              </w:rPr>
              <w:t xml:space="preserve">OC </w:t>
            </w:r>
          </w:p>
        </w:tc>
        <w:tc>
          <w:tcPr>
            <w:tcW w:w="1985" w:type="dxa"/>
            <w:vMerge/>
            <w:vAlign w:val="center"/>
          </w:tcPr>
          <w:p w14:paraId="62B373FA" w14:textId="77777777" w:rsidR="00105312" w:rsidRPr="002F794B" w:rsidRDefault="00105312" w:rsidP="00105312">
            <w:pPr>
              <w:ind w:left="567" w:right="616"/>
              <w:jc w:val="center"/>
              <w:rPr>
                <w:rFonts w:ascii="Arial" w:hAnsi="Arial" w:cs="Arial"/>
              </w:rPr>
            </w:pPr>
          </w:p>
        </w:tc>
      </w:tr>
    </w:tbl>
    <w:p w14:paraId="3D5B7195" w14:textId="77777777" w:rsidR="00105312" w:rsidRPr="002F794B" w:rsidRDefault="00105312" w:rsidP="00105312">
      <w:pPr>
        <w:ind w:left="567" w:right="616"/>
        <w:rPr>
          <w:rFonts w:ascii="Arial" w:hAnsi="Arial" w:cs="Arial"/>
          <w:sz w:val="20"/>
          <w:szCs w:val="20"/>
        </w:rPr>
      </w:pPr>
    </w:p>
    <w:p w14:paraId="21A49F66" w14:textId="699E4ECA" w:rsidR="00DE0659" w:rsidRPr="002F794B" w:rsidRDefault="00105312" w:rsidP="006B6841">
      <w:pPr>
        <w:ind w:left="567" w:right="616"/>
        <w:rPr>
          <w:i/>
          <w:iCs/>
        </w:rPr>
      </w:pPr>
      <w:r w:rsidRPr="002F794B">
        <w:rPr>
          <w:i/>
          <w:iCs/>
        </w:rPr>
        <w:t>[…</w:t>
      </w:r>
      <w:r w:rsidR="006B6841" w:rsidRPr="002F794B">
        <w:rPr>
          <w:i/>
          <w:iCs/>
        </w:rPr>
        <w:t>]"</w:t>
      </w:r>
    </w:p>
    <w:p w14:paraId="4383DD0D" w14:textId="77777777" w:rsidR="00DE0659" w:rsidRPr="002F794B" w:rsidRDefault="00DE0659" w:rsidP="00DE0659">
      <w:pPr>
        <w:rPr>
          <w:u w:val="single"/>
        </w:rPr>
      </w:pPr>
      <w:r w:rsidRPr="002F794B">
        <w:rPr>
          <w:u w:val="single"/>
        </w:rPr>
        <w:t>Respuesta</w:t>
      </w:r>
    </w:p>
    <w:p w14:paraId="11B7C276" w14:textId="72CB40CC" w:rsidR="00D04D79" w:rsidRPr="002F794B" w:rsidRDefault="00D04D79" w:rsidP="00DE0659">
      <w:r w:rsidRPr="002F794B">
        <w:t xml:space="preserve">Se considera </w:t>
      </w:r>
      <w:r w:rsidR="00B021E3" w:rsidRPr="002F794B">
        <w:t xml:space="preserve">parcialmente </w:t>
      </w:r>
      <w:r w:rsidRPr="002F794B">
        <w:t xml:space="preserve">se </w:t>
      </w:r>
      <w:r w:rsidR="00B021E3" w:rsidRPr="002F794B">
        <w:t xml:space="preserve">modifican </w:t>
      </w:r>
      <w:r w:rsidRPr="002F794B">
        <w:t xml:space="preserve"> la</w:t>
      </w:r>
      <w:r w:rsidR="00B021E3" w:rsidRPr="002F794B">
        <w:t>s</w:t>
      </w:r>
      <w:r w:rsidRPr="002F794B">
        <w:t xml:space="preserve"> Tabla 2 y Tabla 3.</w:t>
      </w:r>
      <w:r w:rsidR="00B021E3" w:rsidRPr="002F794B">
        <w:t xml:space="preserve"> </w:t>
      </w:r>
    </w:p>
    <w:p w14:paraId="4A3461D8" w14:textId="449494AC" w:rsidR="00DE0659" w:rsidRPr="002F794B" w:rsidRDefault="00025AFD" w:rsidP="00DE39DA">
      <w:pPr>
        <w:spacing w:line="276" w:lineRule="auto"/>
        <w:jc w:val="left"/>
        <w:outlineLvl w:val="1"/>
        <w:rPr>
          <w:b/>
        </w:rPr>
      </w:pPr>
      <w:r w:rsidRPr="002F794B">
        <w:rPr>
          <w:b/>
        </w:rPr>
        <w:t>Numeral 7.1.4</w:t>
      </w:r>
    </w:p>
    <w:p w14:paraId="336DD095" w14:textId="77777777" w:rsidR="00DE0659" w:rsidRPr="002F794B" w:rsidRDefault="00DE0659" w:rsidP="00DE0659">
      <w:pPr>
        <w:rPr>
          <w:u w:val="single"/>
        </w:rPr>
      </w:pPr>
      <w:r w:rsidRPr="002F794B">
        <w:rPr>
          <w:u w:val="single"/>
        </w:rPr>
        <w:lastRenderedPageBreak/>
        <w:t>Participante</w:t>
      </w:r>
    </w:p>
    <w:p w14:paraId="16E7B2F5" w14:textId="31BC1337" w:rsidR="00DE0659" w:rsidRPr="002F794B" w:rsidRDefault="002C1E35" w:rsidP="00DE0659">
      <w:r w:rsidRPr="002F794B">
        <w:t>LOGIS CONSULTORES S.A. de C.V.</w:t>
      </w:r>
    </w:p>
    <w:p w14:paraId="51C917C7" w14:textId="77777777" w:rsidR="00DE0659" w:rsidRPr="002F794B" w:rsidRDefault="00DE0659" w:rsidP="00DE0659">
      <w:pPr>
        <w:rPr>
          <w:u w:val="single"/>
        </w:rPr>
      </w:pPr>
      <w:r w:rsidRPr="002F794B">
        <w:rPr>
          <w:u w:val="single"/>
        </w:rPr>
        <w:t>Comentario y propuesta</w:t>
      </w:r>
    </w:p>
    <w:p w14:paraId="2AA1FEAB" w14:textId="7E0F1A1F" w:rsidR="00DE0659" w:rsidRPr="002F794B" w:rsidRDefault="00EE0757" w:rsidP="00DE0659">
      <w:pPr>
        <w:ind w:left="567" w:right="616"/>
        <w:rPr>
          <w:i/>
          <w:iCs/>
        </w:rPr>
      </w:pPr>
      <w:r w:rsidRPr="002F794B">
        <w:rPr>
          <w:i/>
          <w:iCs/>
        </w:rPr>
        <w:t>Solicitamos la aclaración del valor de Emax para la banda de 2 400 a 2 483.5 dado que a consideración de los valores de Emax en las bandas adyacentes presenta un incremento considerable.</w:t>
      </w:r>
    </w:p>
    <w:p w14:paraId="23B3A3A4" w14:textId="77777777" w:rsidR="00DE0659" w:rsidRPr="002F794B" w:rsidRDefault="00DE0659" w:rsidP="00DE0659">
      <w:pPr>
        <w:rPr>
          <w:u w:val="single"/>
        </w:rPr>
      </w:pPr>
      <w:r w:rsidRPr="002F794B">
        <w:rPr>
          <w:u w:val="single"/>
        </w:rPr>
        <w:t>Respuesta</w:t>
      </w:r>
    </w:p>
    <w:p w14:paraId="1A234633" w14:textId="08C6764B" w:rsidR="0015091E" w:rsidRPr="002F794B" w:rsidRDefault="00284B38" w:rsidP="00DE0659">
      <w:r w:rsidRPr="002F794B">
        <w:t xml:space="preserve">No se considera. El nivel máximo del campo eléctrico está establecido en el "ACUERDO mediante el cual el Pleno del Instituto Federal de Telecomunicaciones establece las nuevas condiciones técnicas de operación de la banda de frecuencias 2400 - 2483.5 MHz, clasificada como espectro libre." El cual puede consultarse en: </w:t>
      </w:r>
      <w:hyperlink r:id="rId11" w:anchor="gsc.tab=0" w:history="1">
        <w:r w:rsidR="00A4154E" w:rsidRPr="002F794B">
          <w:rPr>
            <w:rStyle w:val="Hipervnculo"/>
            <w:color w:val="auto"/>
          </w:rPr>
          <w:t>https://www.dof.gob.mx/nota_detalle.php?codigo=5609418&amp;fecha=04/01/2021#gsc.tab=0</w:t>
        </w:r>
      </w:hyperlink>
    </w:p>
    <w:p w14:paraId="7F28CB80" w14:textId="77777777" w:rsidR="00A4154E" w:rsidRPr="002F794B" w:rsidRDefault="00A4154E" w:rsidP="00DE0659">
      <w:pPr>
        <w:rPr>
          <w:u w:val="single"/>
        </w:rPr>
      </w:pPr>
    </w:p>
    <w:p w14:paraId="0BC4A7E2" w14:textId="6743410C" w:rsidR="00DE0659" w:rsidRPr="002F794B" w:rsidRDefault="00DE0659" w:rsidP="00DE0659">
      <w:pPr>
        <w:rPr>
          <w:u w:val="single"/>
        </w:rPr>
      </w:pPr>
      <w:r w:rsidRPr="002F794B">
        <w:rPr>
          <w:u w:val="single"/>
        </w:rPr>
        <w:t>Participante</w:t>
      </w:r>
    </w:p>
    <w:p w14:paraId="126934F0" w14:textId="3688C7A9" w:rsidR="00DE0659" w:rsidRPr="002F794B" w:rsidRDefault="00372C2C" w:rsidP="00DE0659">
      <w:r w:rsidRPr="002F794B">
        <w:t>Luis Antonio Lara Medina</w:t>
      </w:r>
    </w:p>
    <w:p w14:paraId="692098A0" w14:textId="77777777" w:rsidR="00DE0659" w:rsidRPr="002F794B" w:rsidRDefault="00DE0659" w:rsidP="00DE0659">
      <w:pPr>
        <w:rPr>
          <w:u w:val="single"/>
        </w:rPr>
      </w:pPr>
      <w:r w:rsidRPr="002F794B">
        <w:rPr>
          <w:u w:val="single"/>
        </w:rPr>
        <w:t>Comentario y propuesta</w:t>
      </w:r>
    </w:p>
    <w:p w14:paraId="228C303B" w14:textId="1525C178" w:rsidR="00DE0659" w:rsidRPr="002F794B" w:rsidRDefault="00E9493C" w:rsidP="00DE0659">
      <w:pPr>
        <w:ind w:left="567" w:right="616"/>
        <w:rPr>
          <w:i/>
          <w:iCs/>
        </w:rPr>
      </w:pPr>
      <w:r w:rsidRPr="002F794B">
        <w:rPr>
          <w:i/>
          <w:iCs/>
        </w:rPr>
        <w:t>Se hace notar además, que se encuentra en curso la licitación pública para concesionar el uso, aprovechamiento y explotación comercial del segmento de espectro radioeléctrico disponible en la Banda de Frecuencias 2483.5 – 2495 MHz para la prestación del Servicio Complementario Terrestre del Servicio Móvil por Satélite (Licitación No. IFT-13), por lo que es prioritario eliminar esta banda de frecuencias del Anteproyecto de Disposición Técnica IFT-016-2023 como se ha expresado en los comentarios anteriores sobre bandas restringidas.</w:t>
      </w:r>
    </w:p>
    <w:p w14:paraId="772315CE" w14:textId="77777777" w:rsidR="00DE0659" w:rsidRPr="002F794B" w:rsidRDefault="00DE0659" w:rsidP="00DE0659">
      <w:pPr>
        <w:rPr>
          <w:u w:val="single"/>
        </w:rPr>
      </w:pPr>
      <w:r w:rsidRPr="002F794B">
        <w:rPr>
          <w:u w:val="single"/>
        </w:rPr>
        <w:t>Respuesta</w:t>
      </w:r>
    </w:p>
    <w:p w14:paraId="7119E057" w14:textId="35D9DBA8" w:rsidR="005D54D9" w:rsidRPr="002F794B" w:rsidRDefault="0008118A" w:rsidP="00DE0659">
      <w:r w:rsidRPr="002F794B">
        <w:t>S</w:t>
      </w:r>
      <w:r w:rsidR="00A4154E" w:rsidRPr="002F794B">
        <w:t xml:space="preserve">e considera. </w:t>
      </w:r>
      <w:r w:rsidRPr="002F794B">
        <w:t>Se elimina l</w:t>
      </w:r>
      <w:r w:rsidR="00A4154E" w:rsidRPr="002F794B">
        <w:t xml:space="preserve">a banda de frecuencias de operación </w:t>
      </w:r>
      <w:r w:rsidRPr="002F794B">
        <w:t>solicitada</w:t>
      </w:r>
      <w:r w:rsidR="003D14D2" w:rsidRPr="002F794B">
        <w:t>.</w:t>
      </w:r>
    </w:p>
    <w:p w14:paraId="40CE3423" w14:textId="77777777" w:rsidR="003D14D2" w:rsidRPr="002F794B" w:rsidRDefault="003D14D2" w:rsidP="00DE0659"/>
    <w:p w14:paraId="62FA8D86" w14:textId="77777777" w:rsidR="00DE0659" w:rsidRPr="002F794B" w:rsidRDefault="00DE0659" w:rsidP="005B1034">
      <w:pPr>
        <w:keepNext/>
        <w:rPr>
          <w:u w:val="single"/>
        </w:rPr>
      </w:pPr>
      <w:r w:rsidRPr="002F794B">
        <w:rPr>
          <w:u w:val="single"/>
        </w:rPr>
        <w:t>Participante</w:t>
      </w:r>
    </w:p>
    <w:p w14:paraId="41144B42" w14:textId="7354FB5A" w:rsidR="00DE0659" w:rsidRPr="002F794B" w:rsidRDefault="002B7DEC" w:rsidP="005B1034">
      <w:pPr>
        <w:keepNext/>
      </w:pPr>
      <w:r w:rsidRPr="002F794B">
        <w:t>Luis Antonio Lara Medina</w:t>
      </w:r>
    </w:p>
    <w:p w14:paraId="42980D4D" w14:textId="77777777" w:rsidR="00DE0659" w:rsidRPr="002F794B" w:rsidRDefault="00DE0659" w:rsidP="00DE0659">
      <w:pPr>
        <w:rPr>
          <w:u w:val="single"/>
        </w:rPr>
      </w:pPr>
      <w:r w:rsidRPr="002F794B">
        <w:rPr>
          <w:u w:val="single"/>
        </w:rPr>
        <w:t>Comentario y propuesta</w:t>
      </w:r>
    </w:p>
    <w:p w14:paraId="154A0D25" w14:textId="77777777" w:rsidR="002B7DEC" w:rsidRPr="002F794B" w:rsidRDefault="002B7DEC" w:rsidP="002B7DEC">
      <w:pPr>
        <w:ind w:left="567" w:right="616"/>
        <w:rPr>
          <w:i/>
          <w:iCs/>
        </w:rPr>
      </w:pPr>
      <w:r w:rsidRPr="002F794B">
        <w:rPr>
          <w:i/>
          <w:iCs/>
        </w:rPr>
        <w:t xml:space="preserve">"Buscar armonización para DRBP genéricos con las bandas de frecuencias de operación con países vecinos y principales socios </w:t>
      </w:r>
      <w:r w:rsidRPr="002F794B">
        <w:rPr>
          <w:i/>
          <w:iCs/>
        </w:rPr>
        <w:lastRenderedPageBreak/>
        <w:t>comerciales. En atención a esto, es recomendable centrar esfuerzos en las bandas contempladas en la Recomendación UIT-R SM.1896-1 “Gamas de frecuencia para la armonización mundial o regional de los dispositivos de corto alcance”.</w:t>
      </w:r>
    </w:p>
    <w:p w14:paraId="54E6F811" w14:textId="77777777" w:rsidR="002B7DEC" w:rsidRPr="002F794B" w:rsidRDefault="002B7DEC" w:rsidP="002B7DEC">
      <w:pPr>
        <w:ind w:left="567" w:right="616"/>
        <w:rPr>
          <w:i/>
          <w:iCs/>
        </w:rPr>
      </w:pPr>
      <w:r w:rsidRPr="002F794B">
        <w:rPr>
          <w:i/>
          <w:iCs/>
        </w:rPr>
        <w:t>Es crítico, no considerar para dispositivos de baja potencia, aquellas bandas designadas principalmente para servicios de seguridad humana (llamadas de socorro y determinadas actividades aeronáuticas), determinados enlaces descendentes por satélite, radioastronomía y otros servicios de seguridad. En particular, las siguientes bandas deben excluirse de la Tabla 5: 37.5-38.25 MHz, 149.9-150.05 MHz, 156.7-156.9 MHz, 1300-1427 MHz, 1435-1626.5 MHz, 1718.8-1722.2 MHz, 2200-2300 MHz, 2310-2390 MHz y 2483.5-2500 MHz.</w:t>
      </w:r>
    </w:p>
    <w:p w14:paraId="3BC783C9" w14:textId="77777777" w:rsidR="002B7DEC" w:rsidRPr="002F794B" w:rsidRDefault="002B7DEC" w:rsidP="002B7DEC">
      <w:pPr>
        <w:ind w:left="567" w:right="616"/>
        <w:rPr>
          <w:b/>
          <w:bCs/>
          <w:i/>
          <w:iCs/>
          <w:lang w:val="en-US"/>
        </w:rPr>
      </w:pPr>
      <w:proofErr w:type="spellStart"/>
      <w:r w:rsidRPr="002F794B">
        <w:rPr>
          <w:b/>
          <w:bCs/>
          <w:i/>
          <w:iCs/>
          <w:lang w:val="en-US"/>
        </w:rPr>
        <w:t>Referencias</w:t>
      </w:r>
      <w:proofErr w:type="spellEnd"/>
      <w:r w:rsidRPr="002F794B">
        <w:rPr>
          <w:b/>
          <w:bCs/>
          <w:i/>
          <w:iCs/>
          <w:lang w:val="en-US"/>
        </w:rPr>
        <w:t>:</w:t>
      </w:r>
    </w:p>
    <w:p w14:paraId="7017872A" w14:textId="77777777" w:rsidR="002B7DEC" w:rsidRPr="002F794B" w:rsidRDefault="002B7DEC" w:rsidP="002B7DEC">
      <w:pPr>
        <w:ind w:left="567" w:right="616"/>
        <w:rPr>
          <w:i/>
          <w:iCs/>
          <w:lang w:val="en-US"/>
        </w:rPr>
      </w:pPr>
      <w:r w:rsidRPr="002F794B">
        <w:rPr>
          <w:i/>
          <w:iCs/>
          <w:lang w:val="en-US"/>
        </w:rPr>
        <w:t>EUA. FCC Part 15.205 “Restricted bands of Operation.</w:t>
      </w:r>
    </w:p>
    <w:p w14:paraId="51A94B98" w14:textId="77777777" w:rsidR="002B7DEC" w:rsidRPr="002F794B" w:rsidRDefault="002B7DEC" w:rsidP="002B7DEC">
      <w:pPr>
        <w:ind w:left="567" w:right="616"/>
        <w:rPr>
          <w:i/>
          <w:iCs/>
          <w:lang w:val="en-US"/>
        </w:rPr>
      </w:pPr>
      <w:r w:rsidRPr="002F794B">
        <w:rPr>
          <w:i/>
          <w:iCs/>
          <w:lang w:val="en-US"/>
        </w:rPr>
        <w:t>Canada. ISED RSS-Gen. 8.10 “Restricted Frequency bands”.</w:t>
      </w:r>
    </w:p>
    <w:p w14:paraId="5E431325" w14:textId="66C5F170" w:rsidR="00DE0659" w:rsidRPr="002F794B" w:rsidRDefault="002B7DEC" w:rsidP="002B7DEC">
      <w:pPr>
        <w:ind w:left="567" w:right="616"/>
        <w:rPr>
          <w:i/>
          <w:iCs/>
        </w:rPr>
      </w:pPr>
      <w:r w:rsidRPr="002F794B">
        <w:rPr>
          <w:i/>
          <w:iCs/>
          <w:lang w:val="en-US"/>
        </w:rPr>
        <w:t xml:space="preserve">Report ITU-R SM.2153-9. Attachment 2 to Annex 2. </w:t>
      </w:r>
      <w:r w:rsidRPr="002F794B">
        <w:rPr>
          <w:i/>
          <w:iCs/>
        </w:rPr>
        <w:t>6 “Restricted bands”"</w:t>
      </w:r>
    </w:p>
    <w:p w14:paraId="4E4259EB" w14:textId="77777777" w:rsidR="00DE0659" w:rsidRPr="002F794B" w:rsidRDefault="00DE0659" w:rsidP="00DE0659">
      <w:pPr>
        <w:rPr>
          <w:u w:val="single"/>
        </w:rPr>
      </w:pPr>
      <w:r w:rsidRPr="002F794B">
        <w:rPr>
          <w:u w:val="single"/>
        </w:rPr>
        <w:t>Respuesta</w:t>
      </w:r>
    </w:p>
    <w:p w14:paraId="585D3F4F" w14:textId="204EAC7F" w:rsidR="005D54D9" w:rsidRPr="002F794B" w:rsidRDefault="0008118A" w:rsidP="00DE0659">
      <w:r w:rsidRPr="002F794B">
        <w:t>S</w:t>
      </w:r>
      <w:r w:rsidR="005B1034" w:rsidRPr="002F794B">
        <w:t>e considera</w:t>
      </w:r>
      <w:r w:rsidRPr="002F794B">
        <w:t xml:space="preserve"> parcialmente, su busca armonización en la medida de lo posible observando </w:t>
      </w:r>
      <w:r w:rsidR="005B1034" w:rsidRPr="002F794B">
        <w:t>lo establecido en el Cuadro Nacional de Atribución de Frecuencias (CNAF).</w:t>
      </w:r>
    </w:p>
    <w:p w14:paraId="6293C85A" w14:textId="77777777" w:rsidR="00F37837" w:rsidRPr="002F794B" w:rsidRDefault="00F37837" w:rsidP="00DE0659"/>
    <w:p w14:paraId="211F4282" w14:textId="77777777" w:rsidR="00D646EB" w:rsidRPr="002F794B" w:rsidRDefault="00D646EB" w:rsidP="00D646EB">
      <w:pPr>
        <w:rPr>
          <w:u w:val="single"/>
        </w:rPr>
      </w:pPr>
      <w:r w:rsidRPr="002F794B">
        <w:rPr>
          <w:u w:val="single"/>
        </w:rPr>
        <w:t>Participante</w:t>
      </w:r>
    </w:p>
    <w:p w14:paraId="47472CD3" w14:textId="42D49669" w:rsidR="00D646EB" w:rsidRPr="002F794B" w:rsidRDefault="00466288" w:rsidP="00D646EB">
      <w:r w:rsidRPr="002F794B">
        <w:t>Cámara Nacional de la Industria Electrónica, de Telecomunicaciones y Tecnologías de la Información</w:t>
      </w:r>
    </w:p>
    <w:p w14:paraId="108F6BF4" w14:textId="77777777" w:rsidR="00D646EB" w:rsidRPr="002F794B" w:rsidRDefault="00D646EB" w:rsidP="00D646EB">
      <w:pPr>
        <w:rPr>
          <w:u w:val="single"/>
        </w:rPr>
      </w:pPr>
      <w:r w:rsidRPr="002F794B">
        <w:rPr>
          <w:u w:val="single"/>
        </w:rPr>
        <w:t>Comentario y propuesta</w:t>
      </w:r>
    </w:p>
    <w:p w14:paraId="358E910F" w14:textId="77777777" w:rsidR="0057046C" w:rsidRPr="002F794B" w:rsidRDefault="0057046C" w:rsidP="00D646EB">
      <w:pPr>
        <w:rPr>
          <w:u w:val="single"/>
        </w:rPr>
      </w:pPr>
    </w:p>
    <w:p w14:paraId="162D0887" w14:textId="44F8DFBB" w:rsidR="0057046C" w:rsidRPr="002F794B" w:rsidRDefault="00D61794" w:rsidP="00D61794">
      <w:pPr>
        <w:ind w:left="567" w:right="616"/>
        <w:rPr>
          <w:b/>
          <w:bCs/>
          <w:i/>
          <w:iCs/>
        </w:rPr>
      </w:pPr>
      <w:r w:rsidRPr="002F794B">
        <w:rPr>
          <w:rFonts w:asciiTheme="minorHAnsi" w:hAnsiTheme="minorHAnsi" w:cstheme="minorHAnsi"/>
          <w:noProof/>
          <w:sz w:val="16"/>
          <w:szCs w:val="16"/>
          <w:lang w:val="en-US"/>
        </w:rPr>
        <w:lastRenderedPageBreak/>
        <w:drawing>
          <wp:anchor distT="0" distB="0" distL="114300" distR="114300" simplePos="0" relativeHeight="251658240" behindDoc="0" locked="0" layoutInCell="1" allowOverlap="1" wp14:anchorId="05934F70" wp14:editId="1F7AA80D">
            <wp:simplePos x="0" y="0"/>
            <wp:positionH relativeFrom="margin">
              <wp:align>center</wp:align>
            </wp:positionH>
            <wp:positionV relativeFrom="paragraph">
              <wp:posOffset>356235</wp:posOffset>
            </wp:positionV>
            <wp:extent cx="5400000" cy="4258800"/>
            <wp:effectExtent l="0" t="0" r="0" b="8890"/>
            <wp:wrapTopAndBottom/>
            <wp:docPr id="426867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67268"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4258800"/>
                    </a:xfrm>
                    <a:prstGeom prst="rect">
                      <a:avLst/>
                    </a:prstGeom>
                  </pic:spPr>
                </pic:pic>
              </a:graphicData>
            </a:graphic>
            <wp14:sizeRelH relativeFrom="margin">
              <wp14:pctWidth>0</wp14:pctWidth>
            </wp14:sizeRelH>
            <wp14:sizeRelV relativeFrom="margin">
              <wp14:pctHeight>0</wp14:pctHeight>
            </wp14:sizeRelV>
          </wp:anchor>
        </w:drawing>
      </w:r>
      <w:r w:rsidR="00466288" w:rsidRPr="002F794B">
        <w:rPr>
          <w:b/>
          <w:bCs/>
          <w:i/>
          <w:iCs/>
        </w:rPr>
        <w:t>“DICE:</w:t>
      </w:r>
      <w:r w:rsidR="0057046C" w:rsidRPr="002F794B">
        <w:rPr>
          <w:b/>
          <w:bCs/>
          <w:i/>
          <w:iCs/>
        </w:rPr>
        <w:br w:type="page"/>
      </w:r>
    </w:p>
    <w:p w14:paraId="56DDF56B" w14:textId="70D428C5" w:rsidR="00466288" w:rsidRPr="002F794B" w:rsidRDefault="0057046C" w:rsidP="00D646EB">
      <w:pPr>
        <w:ind w:left="567" w:right="616"/>
        <w:rPr>
          <w:b/>
          <w:bCs/>
          <w:i/>
          <w:iCs/>
        </w:rPr>
      </w:pPr>
      <w:r w:rsidRPr="002F794B">
        <w:rPr>
          <w:rFonts w:asciiTheme="minorHAnsi" w:hAnsiTheme="minorHAnsi" w:cstheme="minorHAnsi"/>
          <w:noProof/>
          <w:sz w:val="16"/>
          <w:szCs w:val="16"/>
          <w:lang w:val="en-US"/>
        </w:rPr>
        <w:lastRenderedPageBreak/>
        <w:drawing>
          <wp:anchor distT="0" distB="0" distL="114300" distR="114300" simplePos="0" relativeHeight="251658241" behindDoc="0" locked="0" layoutInCell="1" allowOverlap="1" wp14:anchorId="3FD37226" wp14:editId="395FB355">
            <wp:simplePos x="0" y="0"/>
            <wp:positionH relativeFrom="margin">
              <wp:align>center</wp:align>
            </wp:positionH>
            <wp:positionV relativeFrom="paragraph">
              <wp:posOffset>252095</wp:posOffset>
            </wp:positionV>
            <wp:extent cx="4680000" cy="3679200"/>
            <wp:effectExtent l="0" t="0" r="6350" b="0"/>
            <wp:wrapTopAndBottom/>
            <wp:docPr id="1067179201"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79201" name="Picture 1" descr="Tabla&#10;&#10;Descripción generada automáticamente"/>
                    <pic:cNvPicPr/>
                  </pic:nvPicPr>
                  <pic:blipFill rotWithShape="1">
                    <a:blip r:embed="rId13" cstate="print">
                      <a:extLst>
                        <a:ext uri="{28A0092B-C50C-407E-A947-70E740481C1C}">
                          <a14:useLocalDpi xmlns:a14="http://schemas.microsoft.com/office/drawing/2010/main" val="0"/>
                        </a:ext>
                      </a:extLst>
                    </a:blip>
                    <a:srcRect b="14661"/>
                    <a:stretch/>
                  </pic:blipFill>
                  <pic:spPr bwMode="auto">
                    <a:xfrm>
                      <a:off x="0" y="0"/>
                      <a:ext cx="4680000" cy="367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6288" w:rsidRPr="002F794B">
        <w:rPr>
          <w:b/>
          <w:bCs/>
          <w:i/>
          <w:iCs/>
        </w:rPr>
        <w:t>DEBE</w:t>
      </w:r>
      <w:r w:rsidR="002F0288" w:rsidRPr="002F794B">
        <w:rPr>
          <w:b/>
          <w:bCs/>
          <w:i/>
          <w:iCs/>
        </w:rPr>
        <w:t>RÍA</w:t>
      </w:r>
      <w:r w:rsidR="00466288" w:rsidRPr="002F794B">
        <w:rPr>
          <w:b/>
          <w:bCs/>
          <w:i/>
          <w:iCs/>
        </w:rPr>
        <w:t xml:space="preserve"> DECIR:</w:t>
      </w:r>
    </w:p>
    <w:p w14:paraId="36B9FE07" w14:textId="542C0BFF" w:rsidR="00466288" w:rsidRPr="002F794B" w:rsidRDefault="00466288" w:rsidP="00D646EB">
      <w:pPr>
        <w:ind w:left="567" w:right="616"/>
        <w:rPr>
          <w:b/>
          <w:bCs/>
          <w:i/>
          <w:iCs/>
        </w:rPr>
      </w:pPr>
    </w:p>
    <w:p w14:paraId="47C99512" w14:textId="5F4B9E34" w:rsidR="00466288" w:rsidRPr="002F794B" w:rsidRDefault="00466288" w:rsidP="00D646EB">
      <w:pPr>
        <w:ind w:left="567" w:right="616"/>
        <w:rPr>
          <w:b/>
          <w:bCs/>
          <w:i/>
          <w:iCs/>
        </w:rPr>
      </w:pPr>
      <w:r w:rsidRPr="002F794B">
        <w:rPr>
          <w:b/>
          <w:bCs/>
          <w:i/>
          <w:iCs/>
        </w:rPr>
        <w:t>JUSTIFICACIÓN:</w:t>
      </w:r>
    </w:p>
    <w:p w14:paraId="0AF9CE9E" w14:textId="6A0355C0" w:rsidR="00466288" w:rsidRPr="002F794B" w:rsidRDefault="0006234A" w:rsidP="00D646EB">
      <w:pPr>
        <w:ind w:left="567" w:right="616"/>
        <w:rPr>
          <w:i/>
          <w:iCs/>
        </w:rPr>
      </w:pPr>
      <w:r w:rsidRPr="002F794B">
        <w:rPr>
          <w:i/>
          <w:iCs/>
        </w:rPr>
        <w:t>Se considera necesario especificar la distancia de 3 m en el encabezado de la Tabla 5.”</w:t>
      </w:r>
    </w:p>
    <w:p w14:paraId="041EE246" w14:textId="77777777" w:rsidR="00D646EB" w:rsidRPr="002F794B" w:rsidRDefault="00D646EB" w:rsidP="00D646EB">
      <w:pPr>
        <w:rPr>
          <w:u w:val="single"/>
        </w:rPr>
      </w:pPr>
      <w:r w:rsidRPr="002F794B">
        <w:rPr>
          <w:u w:val="single"/>
        </w:rPr>
        <w:t>Respuesta</w:t>
      </w:r>
    </w:p>
    <w:p w14:paraId="36251EF3" w14:textId="0B6F16E8" w:rsidR="009F2BD8" w:rsidRPr="002F794B" w:rsidRDefault="00507CDA" w:rsidP="00D646EB">
      <w:r w:rsidRPr="002F794B">
        <w:t>No se considera, la distancia de medición se especifica en el numeral 8.3.1.2</w:t>
      </w:r>
      <w:r w:rsidR="001074BB" w:rsidRPr="002F794B">
        <w:t>.</w:t>
      </w:r>
    </w:p>
    <w:p w14:paraId="6D6BD1F3" w14:textId="77777777" w:rsidR="00507CDA" w:rsidRPr="002F794B" w:rsidRDefault="00507CDA" w:rsidP="00D646EB"/>
    <w:p w14:paraId="3861AA1F" w14:textId="77777777" w:rsidR="00D646EB" w:rsidRPr="002F794B" w:rsidRDefault="00D646EB" w:rsidP="00D646EB">
      <w:pPr>
        <w:rPr>
          <w:u w:val="single"/>
        </w:rPr>
      </w:pPr>
      <w:r w:rsidRPr="002F794B">
        <w:rPr>
          <w:u w:val="single"/>
        </w:rPr>
        <w:t>Participante</w:t>
      </w:r>
    </w:p>
    <w:p w14:paraId="15C83D0F" w14:textId="03BC61E3" w:rsidR="00D646EB" w:rsidRPr="002F794B" w:rsidRDefault="008E61BC" w:rsidP="00D646EB">
      <w:r w:rsidRPr="002F794B">
        <w:t>TOMACA e.K.</w:t>
      </w:r>
    </w:p>
    <w:p w14:paraId="3DDB1B1A" w14:textId="77777777" w:rsidR="00D646EB" w:rsidRPr="002F794B" w:rsidRDefault="00D646EB" w:rsidP="00D646EB">
      <w:pPr>
        <w:rPr>
          <w:u w:val="single"/>
        </w:rPr>
      </w:pPr>
      <w:r w:rsidRPr="002F794B">
        <w:rPr>
          <w:u w:val="single"/>
        </w:rPr>
        <w:t>Comentario y propuesta</w:t>
      </w:r>
    </w:p>
    <w:p w14:paraId="5E0394FA" w14:textId="323320D8" w:rsidR="001A119A" w:rsidRPr="002F794B" w:rsidRDefault="001A119A" w:rsidP="001A119A">
      <w:pPr>
        <w:ind w:left="567" w:right="616"/>
        <w:rPr>
          <w:i/>
          <w:iCs/>
        </w:rPr>
      </w:pPr>
      <w:r w:rsidRPr="002F794B">
        <w:rPr>
          <w:i/>
          <w:iCs/>
        </w:rPr>
        <w:t>“</w:t>
      </w:r>
      <w:r w:rsidR="003B0AA2" w:rsidRPr="002F794B">
        <w:rPr>
          <w:i/>
          <w:iCs/>
        </w:rPr>
        <w:t>”</w:t>
      </w:r>
      <w:r w:rsidRPr="002F794B">
        <w:rPr>
          <w:i/>
          <w:iCs/>
        </w:rPr>
        <w:t>Asumimos que 7.1.4 INTENSIDAD MÁXIMA DEL CAMPO ELÉCTRICO (para LPRD (SRD) GENÉRICOS) se refiere a FCC §15.209.</w:t>
      </w:r>
    </w:p>
    <w:p w14:paraId="4A772B83" w14:textId="77777777" w:rsidR="001A119A" w:rsidRPr="002F794B" w:rsidRDefault="001A119A" w:rsidP="001A119A">
      <w:pPr>
        <w:ind w:left="567" w:right="616"/>
        <w:rPr>
          <w:i/>
          <w:iCs/>
        </w:rPr>
      </w:pPr>
      <w:r w:rsidRPr="002F794B">
        <w:rPr>
          <w:i/>
          <w:iCs/>
        </w:rPr>
        <w:t>FCC §15.209 relaja la intensidad de campo de algunas bandas al citar regulaciones* que especifican la intensidad de campo para bandas de frecuencia utilizadas para aplicaciones específicas, como controladores remotos. (*FCC §15.231)</w:t>
      </w:r>
    </w:p>
    <w:p w14:paraId="58CD219F" w14:textId="77777777" w:rsidR="001A119A" w:rsidRPr="002F794B" w:rsidRDefault="001A119A" w:rsidP="001A119A">
      <w:pPr>
        <w:ind w:left="567" w:right="616"/>
        <w:rPr>
          <w:i/>
          <w:iCs/>
        </w:rPr>
      </w:pPr>
      <w:r w:rsidRPr="002F794B">
        <w:rPr>
          <w:i/>
          <w:iCs/>
        </w:rPr>
        <w:lastRenderedPageBreak/>
        <w:t>Este DRAFT de Norma Técnica no proporciona relajaciones de intensidad de campo como se describe en FCC §15.231. Por lo tanto, los controladores remotos (por ejemplo, el sistema de entrada remota sin llave para vehículos) diseñados para cumplir con el ancho de banda/salida especificado en FCC §15.231 no podrán cumplir con este borrador y los productos no podrán comercializarse.</w:t>
      </w:r>
    </w:p>
    <w:p w14:paraId="508FB338" w14:textId="77777777" w:rsidR="001A119A" w:rsidRPr="002F794B" w:rsidRDefault="001A119A" w:rsidP="001A119A">
      <w:pPr>
        <w:ind w:left="567" w:right="616"/>
        <w:rPr>
          <w:i/>
          <w:iCs/>
        </w:rPr>
      </w:pPr>
      <w:r w:rsidRPr="002F794B">
        <w:rPr>
          <w:i/>
          <w:iCs/>
        </w:rPr>
        <w:t>Proponemos relajar la intensidad de campo en la banda utilizada para controladores remotos en la Sección 7.1.4, que se especifica para LPRD GENÉRICOS (SRD).</w:t>
      </w:r>
    </w:p>
    <w:p w14:paraId="489BAA2A" w14:textId="77777777" w:rsidR="0041758E" w:rsidRPr="002F794B" w:rsidRDefault="0041758E" w:rsidP="001A119A">
      <w:pPr>
        <w:ind w:left="567" w:right="616"/>
        <w:rPr>
          <w:i/>
          <w:iCs/>
        </w:rPr>
      </w:pPr>
    </w:p>
    <w:p w14:paraId="00AEC372" w14:textId="4179175D" w:rsidR="00FC55BC" w:rsidRPr="002F794B" w:rsidRDefault="00FC55BC" w:rsidP="00FC55BC">
      <w:pPr>
        <w:ind w:left="567" w:right="616"/>
        <w:jc w:val="center"/>
        <w:rPr>
          <w:i/>
          <w:iCs/>
        </w:rPr>
      </w:pPr>
      <w:r w:rsidRPr="002F794B">
        <w:rPr>
          <w:i/>
          <w:iCs/>
        </w:rPr>
        <w:t>ORIGINAL</w:t>
      </w:r>
    </w:p>
    <w:p w14:paraId="58291EDB" w14:textId="0B58A0D6" w:rsidR="0041758E" w:rsidRPr="002F794B" w:rsidRDefault="0041758E" w:rsidP="0041758E">
      <w:pPr>
        <w:ind w:left="567" w:right="616"/>
        <w:rPr>
          <w:i/>
          <w:iCs/>
        </w:rPr>
      </w:pPr>
      <w:r w:rsidRPr="002F794B">
        <w:rPr>
          <w:i/>
          <w:iCs/>
        </w:rPr>
        <w:t>El nivel máximo de la intensidad del campo eléctrico emitido por la antena del DRBP, debe corresponder a los valores establecidos en la Tabla 5.</w:t>
      </w:r>
    </w:p>
    <w:p w14:paraId="28B3B385" w14:textId="621EF194" w:rsidR="0060293F" w:rsidRPr="002F794B" w:rsidRDefault="0060293F" w:rsidP="0041758E">
      <w:pPr>
        <w:ind w:left="567" w:right="616"/>
        <w:rPr>
          <w:i/>
          <w:iCs/>
        </w:rPr>
      </w:pPr>
      <w:r w:rsidRPr="002F794B">
        <w:rPr>
          <w:noProof/>
        </w:rPr>
        <w:drawing>
          <wp:anchor distT="0" distB="0" distL="114300" distR="114300" simplePos="0" relativeHeight="251658242" behindDoc="0" locked="0" layoutInCell="1" allowOverlap="0" wp14:anchorId="4B065093" wp14:editId="5826B1AD">
            <wp:simplePos x="0" y="0"/>
            <wp:positionH relativeFrom="margin">
              <wp:align>center</wp:align>
            </wp:positionH>
            <wp:positionV relativeFrom="paragraph">
              <wp:posOffset>291465</wp:posOffset>
            </wp:positionV>
            <wp:extent cx="5580000" cy="4201200"/>
            <wp:effectExtent l="0" t="0" r="1905" b="8890"/>
            <wp:wrapTopAndBottom/>
            <wp:docPr id="2125052988" name="Imagen 1" descr="Diagram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52988" name="Imagen 1" descr="Diagrama, Tabl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580000" cy="4201200"/>
                    </a:xfrm>
                    <a:prstGeom prst="rect">
                      <a:avLst/>
                    </a:prstGeom>
                  </pic:spPr>
                </pic:pic>
              </a:graphicData>
            </a:graphic>
            <wp14:sizeRelH relativeFrom="margin">
              <wp14:pctWidth>0</wp14:pctWidth>
            </wp14:sizeRelH>
            <wp14:sizeRelV relativeFrom="margin">
              <wp14:pctHeight>0</wp14:pctHeight>
            </wp14:sizeRelV>
          </wp:anchor>
        </w:drawing>
      </w:r>
    </w:p>
    <w:p w14:paraId="7414AC76" w14:textId="77777777" w:rsidR="0041758E" w:rsidRPr="002F794B" w:rsidRDefault="0041758E" w:rsidP="00FC55BC">
      <w:pPr>
        <w:ind w:left="567" w:right="616"/>
        <w:jc w:val="center"/>
        <w:rPr>
          <w:i/>
          <w:iCs/>
        </w:rPr>
      </w:pPr>
    </w:p>
    <w:p w14:paraId="7BD3E134" w14:textId="77777777" w:rsidR="00FC55BC" w:rsidRPr="002F794B" w:rsidRDefault="00FC55BC" w:rsidP="005C1D05">
      <w:pPr>
        <w:ind w:left="567" w:right="616"/>
        <w:rPr>
          <w:i/>
          <w:iCs/>
        </w:rPr>
      </w:pPr>
    </w:p>
    <w:p w14:paraId="0DA60D8E" w14:textId="4290BEC2" w:rsidR="00FC55BC" w:rsidRPr="002F794B" w:rsidRDefault="00FC55BC" w:rsidP="00FC55BC">
      <w:pPr>
        <w:ind w:left="567" w:right="616"/>
        <w:jc w:val="center"/>
        <w:rPr>
          <w:i/>
          <w:iCs/>
        </w:rPr>
      </w:pPr>
      <w:r w:rsidRPr="002F794B">
        <w:rPr>
          <w:i/>
          <w:iCs/>
        </w:rPr>
        <w:lastRenderedPageBreak/>
        <w:t>PROPUESTA</w:t>
      </w:r>
    </w:p>
    <w:p w14:paraId="084A5644" w14:textId="45904787" w:rsidR="00002BC7" w:rsidRPr="002F794B" w:rsidRDefault="00002BC7" w:rsidP="00002BC7">
      <w:pPr>
        <w:ind w:left="567" w:right="616"/>
        <w:rPr>
          <w:i/>
          <w:iCs/>
        </w:rPr>
      </w:pPr>
      <w:r w:rsidRPr="002F794B">
        <w:rPr>
          <w:i/>
          <w:iCs/>
        </w:rPr>
        <w:t>El nivel máximo de la intensidad del campo eléctrico emitido por la antena del DRBP, debe corresponder a los valores establecidos en la Tabla 5.</w:t>
      </w:r>
    </w:p>
    <w:p w14:paraId="4522D759" w14:textId="26DC1A17" w:rsidR="0041758E" w:rsidRPr="002F794B" w:rsidRDefault="00002BC7" w:rsidP="00002BC7">
      <w:pPr>
        <w:ind w:left="567" w:right="616"/>
        <w:rPr>
          <w:i/>
          <w:iCs/>
        </w:rPr>
      </w:pPr>
      <w:r w:rsidRPr="002F794B">
        <w:rPr>
          <w:i/>
          <w:iCs/>
        </w:rPr>
        <w:t>Tabla 5. Campo eléctrico máximo emitido por DRBP genéricos</w:t>
      </w:r>
    </w:p>
    <w:p w14:paraId="14A5BAD5" w14:textId="581A9938" w:rsidR="00FC55BC" w:rsidRPr="002F794B" w:rsidRDefault="002876FC" w:rsidP="005C1D05">
      <w:pPr>
        <w:ind w:left="567" w:right="616"/>
        <w:rPr>
          <w:i/>
          <w:iCs/>
        </w:rPr>
      </w:pPr>
      <w:r w:rsidRPr="002F794B">
        <w:rPr>
          <w:noProof/>
        </w:rPr>
        <w:drawing>
          <wp:anchor distT="0" distB="0" distL="114300" distR="114300" simplePos="0" relativeHeight="251658243" behindDoc="0" locked="0" layoutInCell="1" allowOverlap="1" wp14:anchorId="5E85833C" wp14:editId="08E73DB2">
            <wp:simplePos x="1440180" y="1996440"/>
            <wp:positionH relativeFrom="column">
              <wp:align>center</wp:align>
            </wp:positionH>
            <wp:positionV relativeFrom="paragraph">
              <wp:posOffset>0</wp:posOffset>
            </wp:positionV>
            <wp:extent cx="5612400" cy="4492800"/>
            <wp:effectExtent l="0" t="0" r="7620" b="3175"/>
            <wp:wrapTopAndBottom/>
            <wp:docPr id="69172823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28233" name="Imagen 1" descr="Tabl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612400" cy="4492800"/>
                    </a:xfrm>
                    <a:prstGeom prst="rect">
                      <a:avLst/>
                    </a:prstGeom>
                  </pic:spPr>
                </pic:pic>
              </a:graphicData>
            </a:graphic>
            <wp14:sizeRelH relativeFrom="margin">
              <wp14:pctWidth>0</wp14:pctWidth>
            </wp14:sizeRelH>
            <wp14:sizeRelV relativeFrom="margin">
              <wp14:pctHeight>0</wp14:pctHeight>
            </wp14:sizeRelV>
          </wp:anchor>
        </w:drawing>
      </w:r>
      <w:r w:rsidR="00FC55BC" w:rsidRPr="002F794B">
        <w:rPr>
          <w:i/>
          <w:iCs/>
        </w:rPr>
        <w:t>“</w:t>
      </w:r>
    </w:p>
    <w:p w14:paraId="6447E628" w14:textId="77777777" w:rsidR="00D646EB" w:rsidRPr="002F794B" w:rsidRDefault="00D646EB" w:rsidP="00D646EB">
      <w:pPr>
        <w:rPr>
          <w:u w:val="single"/>
        </w:rPr>
      </w:pPr>
      <w:r w:rsidRPr="002F794B">
        <w:rPr>
          <w:u w:val="single"/>
        </w:rPr>
        <w:t>Respuesta</w:t>
      </w:r>
    </w:p>
    <w:p w14:paraId="6B21F971" w14:textId="6FAC2F78" w:rsidR="005D54D9" w:rsidRPr="002F794B" w:rsidRDefault="0090692D" w:rsidP="00D646EB">
      <w:r w:rsidRPr="002F794B">
        <w:t>Se considera y se agrega la intensidad máxima de campo eléctrico de 12 500 µV/m para dispositivos genéricos en las bandas de frecuencias de 312 a 322 MHz y 430 a 440 MHz.</w:t>
      </w:r>
    </w:p>
    <w:p w14:paraId="4A1B30F3" w14:textId="77777777" w:rsidR="006D7DCD" w:rsidRPr="002F794B" w:rsidRDefault="006D7DCD" w:rsidP="00D646EB"/>
    <w:p w14:paraId="3F444040" w14:textId="4E98B675" w:rsidR="00D646EB" w:rsidRPr="002F794B" w:rsidRDefault="002F5EA5" w:rsidP="00280B15">
      <w:pPr>
        <w:keepNext/>
        <w:outlineLvl w:val="1"/>
        <w:rPr>
          <w:b/>
          <w:bCs/>
        </w:rPr>
      </w:pPr>
      <w:r w:rsidRPr="002F794B">
        <w:rPr>
          <w:b/>
          <w:bCs/>
        </w:rPr>
        <w:lastRenderedPageBreak/>
        <w:t>Numeral 7.1.5</w:t>
      </w:r>
    </w:p>
    <w:p w14:paraId="1C1EB74F" w14:textId="77777777" w:rsidR="00D646EB" w:rsidRPr="002F794B" w:rsidRDefault="00D646EB" w:rsidP="00280B15">
      <w:pPr>
        <w:keepNext/>
        <w:rPr>
          <w:u w:val="single"/>
        </w:rPr>
      </w:pPr>
      <w:r w:rsidRPr="002F794B">
        <w:rPr>
          <w:u w:val="single"/>
        </w:rPr>
        <w:t>Participante</w:t>
      </w:r>
    </w:p>
    <w:p w14:paraId="616B1FD9" w14:textId="5BA16FD9" w:rsidR="00D646EB" w:rsidRPr="002F794B" w:rsidRDefault="005B24E1" w:rsidP="00280B15">
      <w:pPr>
        <w:keepNext/>
      </w:pPr>
      <w:r w:rsidRPr="002F794B">
        <w:t>Cámara Nacional de la Industria Electrónica, de Telecomunicaciones y Tecnologías de la Información</w:t>
      </w:r>
    </w:p>
    <w:p w14:paraId="65B1B2FA" w14:textId="77777777" w:rsidR="00D646EB" w:rsidRPr="002F794B" w:rsidRDefault="00D646EB" w:rsidP="00D646EB">
      <w:pPr>
        <w:rPr>
          <w:u w:val="single"/>
        </w:rPr>
      </w:pPr>
      <w:r w:rsidRPr="002F794B">
        <w:rPr>
          <w:u w:val="single"/>
        </w:rPr>
        <w:t>Comentario y propuesta</w:t>
      </w:r>
    </w:p>
    <w:p w14:paraId="6D2C1748" w14:textId="3F9F0132" w:rsidR="00D646EB" w:rsidRPr="002F794B" w:rsidRDefault="005B24E1" w:rsidP="00D646EB">
      <w:pPr>
        <w:ind w:left="567" w:right="616"/>
        <w:rPr>
          <w:i/>
          <w:iCs/>
        </w:rPr>
      </w:pPr>
      <w:r w:rsidRPr="002F794B">
        <w:rPr>
          <w:i/>
          <w:iCs/>
        </w:rPr>
        <w:t xml:space="preserve">“Se solicita puntualizar si el DRPB debe someterse a ambas pruebas de tolerancia de frecuencia, o se podrá optar por solo una en función de las capacidades </w:t>
      </w:r>
      <w:proofErr w:type="gramStart"/>
      <w:r w:rsidRPr="002F794B">
        <w:rPr>
          <w:i/>
          <w:iCs/>
        </w:rPr>
        <w:t>del mismo</w:t>
      </w:r>
      <w:proofErr w:type="gramEnd"/>
      <w:r w:rsidRPr="002F794B">
        <w:rPr>
          <w:i/>
          <w:iCs/>
        </w:rPr>
        <w:t xml:space="preserve"> DRBP.”</w:t>
      </w:r>
    </w:p>
    <w:p w14:paraId="4F8605AA" w14:textId="77777777" w:rsidR="00D646EB" w:rsidRPr="002F794B" w:rsidRDefault="00D646EB" w:rsidP="00D646EB">
      <w:pPr>
        <w:rPr>
          <w:u w:val="single"/>
        </w:rPr>
      </w:pPr>
      <w:r w:rsidRPr="002F794B">
        <w:rPr>
          <w:u w:val="single"/>
        </w:rPr>
        <w:t>Respuesta</w:t>
      </w:r>
    </w:p>
    <w:p w14:paraId="639422CC" w14:textId="3EC326BD" w:rsidR="00D646EB" w:rsidRPr="002F794B" w:rsidRDefault="00280B15" w:rsidP="00D646EB">
      <w:r w:rsidRPr="002F794B">
        <w:t>Se considera y ajusta la redacción para indicar que el DRBP debe someterse a ambas pruebas de Tolerancia de frecuencia conforme lo indicado en la especificación técnica</w:t>
      </w:r>
      <w:r w:rsidR="00542290" w:rsidRPr="002F794B">
        <w:t>.</w:t>
      </w:r>
    </w:p>
    <w:p w14:paraId="059AC5D5" w14:textId="77777777" w:rsidR="00542290" w:rsidRPr="002F794B" w:rsidRDefault="00542290" w:rsidP="00D646EB"/>
    <w:p w14:paraId="59289A16" w14:textId="77777777" w:rsidR="00D646EB" w:rsidRPr="002F794B" w:rsidRDefault="00D646EB" w:rsidP="00D646EB">
      <w:pPr>
        <w:rPr>
          <w:u w:val="single"/>
        </w:rPr>
      </w:pPr>
      <w:r w:rsidRPr="002F794B">
        <w:rPr>
          <w:u w:val="single"/>
        </w:rPr>
        <w:t>Participante</w:t>
      </w:r>
    </w:p>
    <w:p w14:paraId="05AC10F1" w14:textId="63FC1B76" w:rsidR="00D646EB" w:rsidRPr="002F794B" w:rsidRDefault="005451EF" w:rsidP="00D646EB">
      <w:r w:rsidRPr="002F794B">
        <w:t>Consejo Mexicano de Normalización y Evaluación de la Conformidad A.C.</w:t>
      </w:r>
    </w:p>
    <w:p w14:paraId="3512A3F3" w14:textId="77777777" w:rsidR="00D646EB" w:rsidRPr="002F794B" w:rsidRDefault="00D646EB" w:rsidP="00D646EB">
      <w:pPr>
        <w:rPr>
          <w:u w:val="single"/>
        </w:rPr>
      </w:pPr>
      <w:r w:rsidRPr="002F794B">
        <w:rPr>
          <w:u w:val="single"/>
        </w:rPr>
        <w:t>Comentario y propuesta</w:t>
      </w:r>
    </w:p>
    <w:p w14:paraId="2728762C" w14:textId="52F069AB" w:rsidR="00D646EB" w:rsidRPr="002F794B" w:rsidRDefault="00C00529" w:rsidP="00D646EB">
      <w:pPr>
        <w:ind w:left="567" w:right="616"/>
        <w:rPr>
          <w:i/>
          <w:iCs/>
        </w:rPr>
      </w:pPr>
      <w:r w:rsidRPr="002F794B">
        <w:rPr>
          <w:i/>
          <w:iCs/>
        </w:rPr>
        <w:t xml:space="preserve">“Puntualizar si el DRPB debe someterse a ambas pruebas de tolerancia de frecuencia o se podrá optar por solo una en función de las capacidades </w:t>
      </w:r>
      <w:proofErr w:type="gramStart"/>
      <w:r w:rsidRPr="002F794B">
        <w:rPr>
          <w:i/>
          <w:iCs/>
        </w:rPr>
        <w:t>del mismo</w:t>
      </w:r>
      <w:proofErr w:type="gramEnd"/>
      <w:r w:rsidRPr="002F794B">
        <w:rPr>
          <w:i/>
          <w:iCs/>
        </w:rPr>
        <w:t xml:space="preserve"> DRBP.”</w:t>
      </w:r>
    </w:p>
    <w:p w14:paraId="564A481B" w14:textId="77777777" w:rsidR="00D646EB" w:rsidRPr="002F794B" w:rsidRDefault="00D646EB" w:rsidP="00D646EB">
      <w:pPr>
        <w:rPr>
          <w:u w:val="single"/>
        </w:rPr>
      </w:pPr>
      <w:r w:rsidRPr="002F794B">
        <w:rPr>
          <w:u w:val="single"/>
        </w:rPr>
        <w:t>Respuesta</w:t>
      </w:r>
    </w:p>
    <w:p w14:paraId="3B74BCC7" w14:textId="5871F1BE" w:rsidR="00E53894" w:rsidRPr="002F794B" w:rsidRDefault="00E9741B" w:rsidP="00D646EB">
      <w:r w:rsidRPr="002F794B">
        <w:t>Se considera y ajusta la redacción para indicar que el DRBP debe someterse a ambas pruebas de Tolerancia de frecuencia conforme lo indicado en la especificación técnica.</w:t>
      </w:r>
    </w:p>
    <w:p w14:paraId="7CA89CF8" w14:textId="77777777" w:rsidR="00E9741B" w:rsidRPr="002F794B" w:rsidRDefault="00E9741B" w:rsidP="00D646EB"/>
    <w:p w14:paraId="7FE9A843" w14:textId="241B03FD" w:rsidR="00C00529" w:rsidRPr="002F794B" w:rsidRDefault="00C00529" w:rsidP="00D646EB">
      <w:pPr>
        <w:rPr>
          <w:b/>
          <w:bCs/>
        </w:rPr>
      </w:pPr>
      <w:r w:rsidRPr="002F794B">
        <w:rPr>
          <w:b/>
          <w:bCs/>
        </w:rPr>
        <w:t>Numeral 7.2</w:t>
      </w:r>
    </w:p>
    <w:p w14:paraId="58DBD547" w14:textId="0A692CD5" w:rsidR="00D646EB" w:rsidRPr="002F794B" w:rsidRDefault="00D646EB" w:rsidP="00D646EB">
      <w:pPr>
        <w:rPr>
          <w:u w:val="single"/>
        </w:rPr>
      </w:pPr>
      <w:r w:rsidRPr="002F794B">
        <w:rPr>
          <w:u w:val="single"/>
        </w:rPr>
        <w:t>Participante</w:t>
      </w:r>
    </w:p>
    <w:p w14:paraId="0491F4D1" w14:textId="01336FF3" w:rsidR="00D646EB" w:rsidRPr="002F794B" w:rsidRDefault="0076715F" w:rsidP="00D646EB">
      <w:r w:rsidRPr="002F794B">
        <w:t xml:space="preserve">APWPT </w:t>
      </w:r>
      <w:proofErr w:type="spellStart"/>
      <w:r w:rsidRPr="002F794B">
        <w:t>e.V</w:t>
      </w:r>
      <w:proofErr w:type="spellEnd"/>
      <w:r w:rsidRPr="002F794B">
        <w:t>.</w:t>
      </w:r>
    </w:p>
    <w:p w14:paraId="6E69983E" w14:textId="77777777" w:rsidR="00D646EB" w:rsidRPr="002F794B" w:rsidRDefault="00D646EB" w:rsidP="00D646EB">
      <w:pPr>
        <w:rPr>
          <w:u w:val="single"/>
        </w:rPr>
      </w:pPr>
      <w:r w:rsidRPr="002F794B">
        <w:rPr>
          <w:u w:val="single"/>
        </w:rPr>
        <w:t>Comentario y propuesta</w:t>
      </w:r>
    </w:p>
    <w:p w14:paraId="640263B4" w14:textId="09D2EF9F" w:rsidR="00D646EB" w:rsidRPr="002F794B" w:rsidRDefault="00533CF4" w:rsidP="00D646EB">
      <w:pPr>
        <w:ind w:left="567" w:right="616"/>
        <w:rPr>
          <w:i/>
          <w:iCs/>
        </w:rPr>
      </w:pPr>
      <w:r w:rsidRPr="002F794B">
        <w:rPr>
          <w:i/>
          <w:iCs/>
        </w:rPr>
        <w:t>“(…)</w:t>
      </w:r>
    </w:p>
    <w:p w14:paraId="430AF500" w14:textId="77777777" w:rsidR="00533CF4" w:rsidRPr="002F794B" w:rsidRDefault="00533CF4" w:rsidP="00533CF4">
      <w:pPr>
        <w:ind w:left="567" w:right="616"/>
        <w:rPr>
          <w:i/>
          <w:iCs/>
        </w:rPr>
      </w:pPr>
      <w:r w:rsidRPr="002F794B">
        <w:rPr>
          <w:i/>
          <w:iCs/>
        </w:rPr>
        <w:t xml:space="preserve">"La principal área de interés para la APWPT es el uso del intervalo de frecuencias de 470 a 694 MHz, ya que este intervalo representa el principal recurso de radioespectro para aplicaciones PMSE de audio, </w:t>
      </w:r>
      <w:r w:rsidRPr="002F794B">
        <w:rPr>
          <w:i/>
          <w:iCs/>
        </w:rPr>
        <w:lastRenderedPageBreak/>
        <w:t xml:space="preserve">como micrófonos inalámbricos y sistemas de monitorización </w:t>
      </w:r>
      <w:proofErr w:type="spellStart"/>
      <w:r w:rsidRPr="002F794B">
        <w:rPr>
          <w:i/>
          <w:iCs/>
        </w:rPr>
        <w:t>InEar</w:t>
      </w:r>
      <w:proofErr w:type="spellEnd"/>
      <w:r w:rsidRPr="002F794B">
        <w:rPr>
          <w:i/>
          <w:iCs/>
        </w:rPr>
        <w:t>, utilizados en una variedad de actividades como conciertos de música en vivo, teatro, eventos deportivos, producción de TV y cine, eventos nacionales, conferencias, instalaciones educativas y en lugares de culto.</w:t>
      </w:r>
    </w:p>
    <w:p w14:paraId="327581CD" w14:textId="77777777" w:rsidR="00D3691A" w:rsidRPr="002F794B" w:rsidRDefault="00533CF4" w:rsidP="00533CF4">
      <w:pPr>
        <w:ind w:left="567" w:right="616"/>
        <w:rPr>
          <w:i/>
          <w:iCs/>
        </w:rPr>
      </w:pPr>
      <w:r w:rsidRPr="002F794B">
        <w:rPr>
          <w:i/>
          <w:iCs/>
        </w:rPr>
        <w:t>Por limitaciones físicas, como la propagación, la absorción de materiales y cuerpos y la longitud de onda de las señales, el intervalo de frecuencias de 470-698 MHz es el más adecuado para aplicaciones de audio PMSE. La APWPT anima a la autoridad reguladora a consultar el siguiente informe sobre las necesidades de frecuencia de las aplicaciones de audio-PMSE: [Report-PMSE-Audio-spectrum-requirement.pdf (apwpt.org)]. La APWPT considera que, aunque este informe se basa en datos recopilados en Europa, las conclusiones son también relevantes a nivel internacional, ya que el tipo de eventos mencionados son muy similares en todo el mundo.</w:t>
      </w:r>
    </w:p>
    <w:p w14:paraId="271C815E" w14:textId="77777777" w:rsidR="0079515C" w:rsidRPr="002F794B" w:rsidRDefault="00D3691A" w:rsidP="00533CF4">
      <w:pPr>
        <w:ind w:left="567" w:right="616"/>
        <w:rPr>
          <w:i/>
          <w:iCs/>
        </w:rPr>
      </w:pPr>
      <w:r w:rsidRPr="002F794B">
        <w:rPr>
          <w:i/>
          <w:iCs/>
        </w:rPr>
        <w:t xml:space="preserve">La APWPT reconoce la categorización de la autoridad reguladora (IFT) de los micrófonos inalámbricos y los sistemas de monitorización </w:t>
      </w:r>
      <w:proofErr w:type="spellStart"/>
      <w:r w:rsidRPr="002F794B">
        <w:rPr>
          <w:i/>
          <w:iCs/>
        </w:rPr>
        <w:t>InEar</w:t>
      </w:r>
      <w:proofErr w:type="spellEnd"/>
      <w:r w:rsidRPr="002F794B">
        <w:rPr>
          <w:i/>
          <w:iCs/>
        </w:rPr>
        <w:t xml:space="preserve"> como dispositivos DRBP. Sin embargo, la APWPT desea aprovechar esta oportunidad para destacar que, a nivel regulatorio internacional (i.e., ITU-R), los equipos PMSE inalámbricos de audio están reconocidos por la nota de pie FN5.296 como una aplicación del servicio móvil terrestre (</w:t>
      </w:r>
      <w:proofErr w:type="spellStart"/>
      <w:r w:rsidRPr="002F794B">
        <w:rPr>
          <w:i/>
          <w:iCs/>
        </w:rPr>
        <w:t>land</w:t>
      </w:r>
      <w:proofErr w:type="spellEnd"/>
      <w:r w:rsidRPr="002F794B">
        <w:rPr>
          <w:i/>
          <w:iCs/>
        </w:rPr>
        <w:t xml:space="preserve"> </w:t>
      </w:r>
      <w:proofErr w:type="spellStart"/>
      <w:r w:rsidRPr="002F794B">
        <w:rPr>
          <w:i/>
          <w:iCs/>
        </w:rPr>
        <w:t>mobile</w:t>
      </w:r>
      <w:proofErr w:type="spellEnd"/>
      <w:r w:rsidRPr="002F794B">
        <w:rPr>
          <w:i/>
          <w:iCs/>
        </w:rPr>
        <w:t xml:space="preserve"> </w:t>
      </w:r>
      <w:proofErr w:type="spellStart"/>
      <w:r w:rsidRPr="002F794B">
        <w:rPr>
          <w:i/>
          <w:iCs/>
        </w:rPr>
        <w:t>service</w:t>
      </w:r>
      <w:proofErr w:type="spellEnd"/>
      <w:r w:rsidRPr="002F794B">
        <w:rPr>
          <w:i/>
          <w:iCs/>
        </w:rPr>
        <w:t>) con una atribución secundaria en el intervalo 470-694 MHz. Tras la finalización de la WRC'23, la nota FN5.296 quedó firmada por 89 países de todo el mundo. En este respecto, APWPT hace notar que el término PMSE también se conoce en los círculos regulatorios de ITU-R bajo el término SAB/SAP.</w:t>
      </w:r>
    </w:p>
    <w:p w14:paraId="76685162" w14:textId="70DBCBF8" w:rsidR="0079515C" w:rsidRPr="002F794B" w:rsidRDefault="0079515C" w:rsidP="0079515C">
      <w:pPr>
        <w:ind w:left="567" w:right="616"/>
        <w:rPr>
          <w:i/>
          <w:iCs/>
        </w:rPr>
      </w:pPr>
      <w:r w:rsidRPr="002F794B">
        <w:rPr>
          <w:i/>
          <w:iCs/>
        </w:rPr>
        <w:t>Dentro de un contexto regulatorio internacional, la APWPT desea aprovechar esta oportunidad para invitar a la autoridad reguladora (IFT) a considerar su participación en la Resolución ITU-R 59 ""Estudios sobre la disponibilidad de bandas de frecuencias para la armonización mundial y/o regional y las condiciones para su utilización por sistemas de periodismo electrónico"" (https://www.itu.int/dms_pub/itu-r/opb/res/R-RES-R.59-3-2023-PDF-E.pdf).</w:t>
      </w:r>
    </w:p>
    <w:p w14:paraId="68FACA6F" w14:textId="77777777" w:rsidR="0079515C" w:rsidRPr="002F794B" w:rsidRDefault="0079515C" w:rsidP="0079515C">
      <w:pPr>
        <w:ind w:left="567" w:right="616"/>
        <w:rPr>
          <w:i/>
          <w:iCs/>
        </w:rPr>
      </w:pPr>
      <w:r w:rsidRPr="002F794B">
        <w:rPr>
          <w:i/>
          <w:iCs/>
        </w:rPr>
        <w:t>La Resolución ITU-R 59 es relevante para la comunidad PMSE internacional, ya que facilita la planificación de intervalos de frecuencias y el funcionamiento transfronterizo de los sistemas de periodismo electrónico (ENG), por ejemplo, para cubrir acontecimientos internacionales y catástrofes naturales. La Resolución ITU-R59 también tiene en cuenta los avances tecnológicos y las mejoras en la eficiencia de los sistemas ENG digitales.</w:t>
      </w:r>
    </w:p>
    <w:p w14:paraId="274A1C1D" w14:textId="18AE971C" w:rsidR="00C03D41" w:rsidRPr="002F794B" w:rsidRDefault="00C03D41" w:rsidP="00C03D41">
      <w:pPr>
        <w:ind w:left="567" w:right="616"/>
        <w:rPr>
          <w:i/>
          <w:iCs/>
        </w:rPr>
      </w:pPr>
      <w:r w:rsidRPr="002F794B">
        <w:rPr>
          <w:i/>
          <w:iCs/>
        </w:rPr>
        <w:lastRenderedPageBreak/>
        <w:t xml:space="preserve">La APWPT agradece la consideración de la tecnología Wireless Multi </w:t>
      </w:r>
      <w:proofErr w:type="spellStart"/>
      <w:r w:rsidRPr="002F794B">
        <w:rPr>
          <w:i/>
          <w:iCs/>
        </w:rPr>
        <w:t>Channel</w:t>
      </w:r>
      <w:proofErr w:type="spellEnd"/>
      <w:r w:rsidRPr="002F794B">
        <w:rPr>
          <w:i/>
          <w:iCs/>
        </w:rPr>
        <w:t xml:space="preserve"> Audio System (WMAS) en la regulación propuesta por la autoridad reguladora (IFT), así como la concordancia con la regulación europea según ETSI EN 300 422-1. La APWPT cree que avances como WMAS ayudarán a la industria de PMSE a satisfacer la creciente demanda de soluciones para PMSE de audio en radiodifusión, música, teatro, deportes, educación, conferencias, lugares de culto y otras aplicaciones.</w:t>
      </w:r>
    </w:p>
    <w:p w14:paraId="26C318D5" w14:textId="7CE7DC71" w:rsidR="00533CF4" w:rsidRPr="002F794B" w:rsidRDefault="00C03D41" w:rsidP="00C03D41">
      <w:pPr>
        <w:ind w:left="567" w:right="616"/>
        <w:rPr>
          <w:i/>
          <w:iCs/>
        </w:rPr>
      </w:pPr>
      <w:r w:rsidRPr="002F794B">
        <w:rPr>
          <w:i/>
          <w:iCs/>
        </w:rPr>
        <w:t>Para seguir atendiendo a la creciente demanda de las aplicaciones de PMSE de audio, la APWPT anima a la autoridad reguladora (IFT) a considerar nuevos estándares de radiocomunicaciones como DECT NR+ (ETSI EN 301 406-2), cuyo intervalo de operación principal es 1880-1990 MHz. Este intervalo de frecuencias figura en la propuesta de reglamento de la autoridad reguladora (IFT) dentro del ámbito de los dispositivos DRBP.</w:t>
      </w:r>
      <w:r w:rsidR="00533CF4" w:rsidRPr="002F794B">
        <w:rPr>
          <w:i/>
          <w:iCs/>
        </w:rPr>
        <w:t>"</w:t>
      </w:r>
    </w:p>
    <w:p w14:paraId="4AB7E0DC" w14:textId="77777777" w:rsidR="00D646EB" w:rsidRPr="002F794B" w:rsidRDefault="00D646EB" w:rsidP="00D646EB">
      <w:pPr>
        <w:rPr>
          <w:u w:val="single"/>
        </w:rPr>
      </w:pPr>
      <w:r w:rsidRPr="002F794B">
        <w:rPr>
          <w:u w:val="single"/>
        </w:rPr>
        <w:t>Respuesta</w:t>
      </w:r>
    </w:p>
    <w:p w14:paraId="1C97A75C" w14:textId="77777777" w:rsidR="00D70B2C" w:rsidRPr="002F794B" w:rsidRDefault="00D70B2C" w:rsidP="00D70B2C">
      <w:r w:rsidRPr="002F794B">
        <w:t>No se considera. Las bandas de frecuencias en las que pueden operar los Micrófonos inalámbricos son las establecidas en la Tabla 6 y son consistentes con lo establecido en el CNAF.</w:t>
      </w:r>
    </w:p>
    <w:p w14:paraId="5C149337" w14:textId="005F0EAD" w:rsidR="00D83135" w:rsidRPr="002F794B" w:rsidRDefault="00D83135" w:rsidP="00D646EB"/>
    <w:p w14:paraId="44F07C42" w14:textId="1227A9B0" w:rsidR="00D646EB" w:rsidRPr="002F794B" w:rsidRDefault="006E1E7C" w:rsidP="00DE39DA">
      <w:pPr>
        <w:outlineLvl w:val="1"/>
        <w:rPr>
          <w:b/>
          <w:bCs/>
        </w:rPr>
      </w:pPr>
      <w:r w:rsidRPr="002F794B">
        <w:rPr>
          <w:b/>
          <w:bCs/>
        </w:rPr>
        <w:t>Numeral 7.2.1</w:t>
      </w:r>
    </w:p>
    <w:p w14:paraId="26054DEC" w14:textId="77777777" w:rsidR="00D646EB" w:rsidRPr="002F794B" w:rsidRDefault="00D646EB" w:rsidP="00D646EB">
      <w:pPr>
        <w:rPr>
          <w:u w:val="single"/>
        </w:rPr>
      </w:pPr>
      <w:r w:rsidRPr="002F794B">
        <w:rPr>
          <w:u w:val="single"/>
        </w:rPr>
        <w:t>Participante</w:t>
      </w:r>
    </w:p>
    <w:p w14:paraId="348B0E1B" w14:textId="69E0D6CF" w:rsidR="00D646EB" w:rsidRPr="002F794B" w:rsidRDefault="00FD072A" w:rsidP="00D646EB">
      <w:r w:rsidRPr="002F794B">
        <w:t>Asociación de Normalización y Certificación, S.A. de C.V.</w:t>
      </w:r>
    </w:p>
    <w:p w14:paraId="55A90490" w14:textId="77777777" w:rsidR="00D646EB" w:rsidRPr="002F794B" w:rsidRDefault="00D646EB" w:rsidP="00D646EB">
      <w:pPr>
        <w:rPr>
          <w:u w:val="single"/>
        </w:rPr>
      </w:pPr>
      <w:r w:rsidRPr="002F794B">
        <w:rPr>
          <w:u w:val="single"/>
        </w:rPr>
        <w:t>Comentario y propuesta</w:t>
      </w:r>
    </w:p>
    <w:p w14:paraId="02E9A2FE" w14:textId="37541C96" w:rsidR="00980BE9" w:rsidRPr="002F794B" w:rsidRDefault="003E74D8" w:rsidP="00980BE9">
      <w:pPr>
        <w:ind w:left="567" w:right="616"/>
        <w:rPr>
          <w:i/>
          <w:iCs/>
        </w:rPr>
      </w:pPr>
      <w:r w:rsidRPr="002F794B">
        <w:rPr>
          <w:i/>
          <w:iCs/>
        </w:rPr>
        <w:t>“</w:t>
      </w:r>
      <w:r w:rsidR="00980BE9" w:rsidRPr="002F794B">
        <w:rPr>
          <w:b/>
          <w:bCs/>
          <w:i/>
          <w:iCs/>
        </w:rPr>
        <w:t>Consideración</w:t>
      </w:r>
      <w:r w:rsidR="00980BE9" w:rsidRPr="002F794B">
        <w:rPr>
          <w:i/>
          <w:iCs/>
        </w:rPr>
        <w:t xml:space="preserve">: Los mencionados numerales indican que las bandas de frecuencias de operación específicas para micrófonos inalámbricos y para dispositivos de asistencia auditiva son las establecidas en las Tablas 6 y 19, respectivamente. </w:t>
      </w:r>
    </w:p>
    <w:p w14:paraId="581EACBC" w14:textId="77777777" w:rsidR="00980BE9" w:rsidRPr="002F794B" w:rsidRDefault="00980BE9" w:rsidP="00980BE9">
      <w:pPr>
        <w:ind w:left="567" w:right="616"/>
        <w:rPr>
          <w:i/>
          <w:iCs/>
        </w:rPr>
      </w:pPr>
      <w:r w:rsidRPr="002F794B">
        <w:rPr>
          <w:i/>
          <w:iCs/>
        </w:rPr>
        <w:t>Actualmente la industria de audio emplea micrófonos en esos y otros intervalos de frecuencia.</w:t>
      </w:r>
    </w:p>
    <w:p w14:paraId="2BD58690" w14:textId="77777777" w:rsidR="00980BE9" w:rsidRPr="002F794B" w:rsidRDefault="00980BE9" w:rsidP="00980BE9">
      <w:pPr>
        <w:ind w:left="567" w:right="616"/>
        <w:rPr>
          <w:i/>
          <w:iCs/>
        </w:rPr>
      </w:pPr>
      <w:r w:rsidRPr="002F794B">
        <w:rPr>
          <w:b/>
          <w:bCs/>
          <w:i/>
          <w:iCs/>
        </w:rPr>
        <w:t>Problema:</w:t>
      </w:r>
      <w:r w:rsidRPr="002F794B">
        <w:rPr>
          <w:i/>
          <w:iCs/>
        </w:rPr>
        <w:t xml:space="preserve"> La redacción actual del Anteproyecto puede interpretarse de dos maneras:</w:t>
      </w:r>
    </w:p>
    <w:p w14:paraId="3997F9C3" w14:textId="77777777" w:rsidR="00980BE9" w:rsidRPr="002F794B" w:rsidRDefault="00980BE9" w:rsidP="00980BE9">
      <w:pPr>
        <w:ind w:left="567" w:right="616"/>
        <w:rPr>
          <w:i/>
          <w:iCs/>
        </w:rPr>
      </w:pPr>
      <w:r w:rsidRPr="002F794B">
        <w:rPr>
          <w:i/>
          <w:iCs/>
        </w:rPr>
        <w:t xml:space="preserve">1) Aquellos micrófonos y aparatos auditivos que operan en bandas de frecuencias diferentes a los intervalos indicados en la Tabla 6 o la Tabla 19 según corresponda quedan fuera del campo de aplicación del Anteproyecto. En este supuesto, los sistemas de microfonía y aparatos </w:t>
      </w:r>
      <w:r w:rsidRPr="002F794B">
        <w:rPr>
          <w:i/>
          <w:iCs/>
        </w:rPr>
        <w:lastRenderedPageBreak/>
        <w:t>auditivos que operen en otros intervalos deberán seguir siendo homologados mediante la dictaminación de un perito.</w:t>
      </w:r>
    </w:p>
    <w:p w14:paraId="16557134" w14:textId="77777777" w:rsidR="00980BE9" w:rsidRPr="002F794B" w:rsidRDefault="00980BE9" w:rsidP="00980BE9">
      <w:pPr>
        <w:ind w:left="567" w:right="616"/>
        <w:rPr>
          <w:i/>
          <w:iCs/>
        </w:rPr>
      </w:pPr>
      <w:r w:rsidRPr="002F794B">
        <w:rPr>
          <w:i/>
          <w:iCs/>
        </w:rPr>
        <w:t>2) Todo sistema de microfonía DEBE funcionar en las bandas de frecuencia de la Tabla 6, y todo sistema de ayuda auditiva DEBE funcionar en las bandas señaladas en la Tabla 19. Esto implica una restricción importante a la industria de audio, y para la innovación para el sector de investigación en el área de la salud.</w:t>
      </w:r>
    </w:p>
    <w:p w14:paraId="66E496AE" w14:textId="77777777" w:rsidR="00980BE9" w:rsidRPr="002F794B" w:rsidRDefault="00980BE9" w:rsidP="00980BE9">
      <w:pPr>
        <w:ind w:left="567" w:right="616"/>
        <w:rPr>
          <w:b/>
          <w:bCs/>
          <w:i/>
          <w:iCs/>
        </w:rPr>
      </w:pPr>
      <w:r w:rsidRPr="002F794B">
        <w:rPr>
          <w:i/>
          <w:iCs/>
        </w:rPr>
        <w:t>No debe permitirse a los sujetos regulados encontrar múltiples interpretaciones del documento.</w:t>
      </w:r>
    </w:p>
    <w:p w14:paraId="6A75734A" w14:textId="77777777" w:rsidR="00980BE9" w:rsidRPr="002F794B" w:rsidRDefault="00980BE9" w:rsidP="00980BE9">
      <w:pPr>
        <w:ind w:left="567" w:right="616"/>
        <w:rPr>
          <w:i/>
          <w:iCs/>
        </w:rPr>
      </w:pPr>
      <w:r w:rsidRPr="002F794B">
        <w:rPr>
          <w:b/>
          <w:bCs/>
          <w:i/>
          <w:iCs/>
        </w:rPr>
        <w:t>Se propone:</w:t>
      </w:r>
      <w:r w:rsidRPr="002F794B">
        <w:rPr>
          <w:i/>
          <w:iCs/>
        </w:rPr>
        <w:t xml:space="preserve"> Indicar el inciso 7.2.1 de la siguiente manera:</w:t>
      </w:r>
    </w:p>
    <w:p w14:paraId="36D4D52B" w14:textId="77777777" w:rsidR="00980BE9" w:rsidRPr="002F794B" w:rsidRDefault="00980BE9" w:rsidP="003E74D8">
      <w:pPr>
        <w:ind w:left="1134" w:right="616"/>
        <w:rPr>
          <w:i/>
          <w:iCs/>
        </w:rPr>
      </w:pPr>
      <w:r w:rsidRPr="002F794B">
        <w:rPr>
          <w:i/>
          <w:iCs/>
        </w:rPr>
        <w:t>7.2.1 BANDAS DE FRECUENCIA DE OPERACIÓN ESPECÍFICAS</w:t>
      </w:r>
    </w:p>
    <w:p w14:paraId="1E02B30E" w14:textId="77777777" w:rsidR="00980BE9" w:rsidRPr="002F794B" w:rsidRDefault="00980BE9" w:rsidP="003E74D8">
      <w:pPr>
        <w:ind w:left="1134" w:right="616"/>
        <w:rPr>
          <w:i/>
          <w:iCs/>
        </w:rPr>
      </w:pPr>
      <w:r w:rsidRPr="002F794B">
        <w:rPr>
          <w:i/>
          <w:iCs/>
        </w:rPr>
        <w:t>Los micrófonos inalámbricos en el alcance de esta Disposición Técnica son aquellos que operan en las bandas de operación establecidas en la Tabla 6.</w:t>
      </w:r>
    </w:p>
    <w:p w14:paraId="5020F196" w14:textId="5582D5CD" w:rsidR="00D646EB" w:rsidRPr="002F794B" w:rsidRDefault="002B1934" w:rsidP="003E74D8">
      <w:pPr>
        <w:ind w:left="1134" w:right="616"/>
        <w:rPr>
          <w:i/>
          <w:iCs/>
        </w:rPr>
      </w:pPr>
      <w:r w:rsidRPr="002F794B">
        <w:rPr>
          <w:i/>
          <w:iCs/>
        </w:rPr>
        <w:t>(…)</w:t>
      </w:r>
      <w:r w:rsidR="00980BE9" w:rsidRPr="002F794B">
        <w:rPr>
          <w:i/>
          <w:iCs/>
        </w:rPr>
        <w:t>.</w:t>
      </w:r>
      <w:r w:rsidR="003E74D8" w:rsidRPr="002F794B">
        <w:rPr>
          <w:i/>
          <w:iCs/>
        </w:rPr>
        <w:t>”</w:t>
      </w:r>
    </w:p>
    <w:p w14:paraId="1AE0E934" w14:textId="77777777" w:rsidR="00D646EB" w:rsidRPr="002F794B" w:rsidRDefault="00D646EB" w:rsidP="00D646EB">
      <w:pPr>
        <w:rPr>
          <w:u w:val="single"/>
        </w:rPr>
      </w:pPr>
      <w:r w:rsidRPr="002F794B">
        <w:rPr>
          <w:u w:val="single"/>
        </w:rPr>
        <w:t>Respuesta</w:t>
      </w:r>
    </w:p>
    <w:p w14:paraId="76C47B6F" w14:textId="721194FF" w:rsidR="00F37EDA" w:rsidRPr="002F794B" w:rsidRDefault="00F37EDA" w:rsidP="00D646EB"/>
    <w:p w14:paraId="5AB5CFDD" w14:textId="5650D9E8" w:rsidR="008F6DA8" w:rsidRPr="002F794B" w:rsidRDefault="008F6DA8" w:rsidP="00D646EB">
      <w:r w:rsidRPr="002F794B">
        <w:t>No se considera. Los dispositivos fuera del campo de aplicación de la presente DT deberán ser homologados conforme lo establecido en los Lineamientos Octavo y Vigésimo de los “Lineamientos para la homologación de productos, equipos, dispositivos o aparatos destinados a telecomunicaciones o radiodifusión</w:t>
      </w:r>
      <w:r w:rsidR="00F37EDA" w:rsidRPr="002F794B">
        <w:t>.</w:t>
      </w:r>
    </w:p>
    <w:p w14:paraId="7FD2E1F0" w14:textId="77777777" w:rsidR="00D64727" w:rsidRPr="002F794B" w:rsidRDefault="00D64727" w:rsidP="00D646EB"/>
    <w:p w14:paraId="3FD639B7" w14:textId="77777777" w:rsidR="00D646EB" w:rsidRPr="002F794B" w:rsidRDefault="00D646EB" w:rsidP="00D646EB">
      <w:pPr>
        <w:rPr>
          <w:u w:val="single"/>
        </w:rPr>
      </w:pPr>
      <w:r w:rsidRPr="002F794B">
        <w:rPr>
          <w:u w:val="single"/>
        </w:rPr>
        <w:t>Participante</w:t>
      </w:r>
    </w:p>
    <w:p w14:paraId="1870F82D" w14:textId="0A8FD9BA" w:rsidR="00D646EB" w:rsidRPr="002F794B" w:rsidRDefault="00850731" w:rsidP="00D646EB">
      <w:r w:rsidRPr="002F794B">
        <w:t>Asociación de Normalización y Certificación, S.A. de C.V.</w:t>
      </w:r>
    </w:p>
    <w:p w14:paraId="40ED8FE5" w14:textId="77777777" w:rsidR="00D646EB" w:rsidRPr="002F794B" w:rsidRDefault="00D646EB" w:rsidP="00D646EB">
      <w:pPr>
        <w:rPr>
          <w:u w:val="single"/>
        </w:rPr>
      </w:pPr>
      <w:r w:rsidRPr="002F794B">
        <w:rPr>
          <w:u w:val="single"/>
        </w:rPr>
        <w:t>Comentario y propuesta</w:t>
      </w:r>
    </w:p>
    <w:p w14:paraId="7D15158B" w14:textId="5D668132" w:rsidR="00D839C2" w:rsidRPr="002F794B" w:rsidRDefault="00D839C2" w:rsidP="00D839C2">
      <w:pPr>
        <w:ind w:left="567" w:right="616"/>
        <w:rPr>
          <w:i/>
          <w:iCs/>
        </w:rPr>
      </w:pPr>
      <w:r w:rsidRPr="002F794B">
        <w:rPr>
          <w:i/>
          <w:iCs/>
        </w:rPr>
        <w:t>“</w:t>
      </w:r>
      <w:r w:rsidRPr="002F794B">
        <w:rPr>
          <w:b/>
          <w:bCs/>
          <w:i/>
          <w:iCs/>
        </w:rPr>
        <w:t>Problema:</w:t>
      </w:r>
      <w:r w:rsidRPr="002F794B">
        <w:rPr>
          <w:i/>
          <w:iCs/>
        </w:rPr>
        <w:t xml:space="preserve"> La Tabla 6 indica las bandas empleadas para micrófonos inalámbricos, y entre ellas considera a la banda de 698-806 MHz. Este intervalo de frecuencia coincide con la definición de la Banda 28 (APT), contemplada en la Tabla 2 de la Disposición Técnica IFT-011-2017 Parte 2. La habilitación de esta banda para sistemas de microfonía supone un problema para la conexión de teléfonos celulares en dicha banda de frecuencias.</w:t>
      </w:r>
    </w:p>
    <w:p w14:paraId="2CE878FF" w14:textId="77777777" w:rsidR="00D839C2" w:rsidRPr="002F794B" w:rsidRDefault="00D839C2" w:rsidP="00D839C2">
      <w:pPr>
        <w:ind w:left="567" w:right="616"/>
        <w:rPr>
          <w:i/>
          <w:iCs/>
        </w:rPr>
      </w:pPr>
      <w:r w:rsidRPr="002F794B">
        <w:rPr>
          <w:b/>
          <w:bCs/>
          <w:i/>
          <w:iCs/>
        </w:rPr>
        <w:t xml:space="preserve">Justificación: </w:t>
      </w:r>
      <w:r w:rsidRPr="002F794B">
        <w:rPr>
          <w:i/>
          <w:iCs/>
        </w:rPr>
        <w:t xml:space="preserve">El entorno electromagnético alrededor de un usuario de telefonía móvil es en principio desconocido, aunque existen múltiples modelos matemáticos que describen varias posibilidades, entre ellas, </w:t>
      </w:r>
      <w:r w:rsidRPr="002F794B">
        <w:rPr>
          <w:i/>
          <w:iCs/>
        </w:rPr>
        <w:lastRenderedPageBreak/>
        <w:t>que el usuario se encuentre intramuros o extramuros. En el caso particular de los usuarios finales de telefonía móvil que cuenten con un equipo terminal móvil (ETM) y se encuentren en un entorno electromagnético cerrado, la coexistencia con transmisores operando en la Banda 28 (APT) representa un obstáculo potencial para los equipos terminales móviles de telefonía que intenten establecer una conexión con su estación base empleando la banda de 698-806 MHz, si es que existe una transmisión inalámbrica en la misma banda de mayor densidad de potencia en su vecindad. Es decir, la habilitación de la Banda 28 (APT) para las transmisiones de micrófonos inalámbricos supone un problema de compatibilidad electromagnética entre este tipo de dispositivos y los equipos terminales móviles de telefonía celular, máxime en aquellos entornos en los que el ETM se encuentre lejos de su estación base, y el transmisor de microfonía se encuentre particularmente cerca del usuario.</w:t>
      </w:r>
    </w:p>
    <w:p w14:paraId="74B60AD9" w14:textId="44E4B937" w:rsidR="00D646EB" w:rsidRPr="002F794B" w:rsidRDefault="00D839C2" w:rsidP="00D839C2">
      <w:pPr>
        <w:ind w:left="567" w:right="616"/>
        <w:rPr>
          <w:i/>
          <w:iCs/>
        </w:rPr>
      </w:pPr>
      <w:r w:rsidRPr="002F794B">
        <w:rPr>
          <w:b/>
          <w:bCs/>
          <w:i/>
          <w:iCs/>
        </w:rPr>
        <w:t>Se propone:</w:t>
      </w:r>
      <w:r w:rsidRPr="002F794B">
        <w:rPr>
          <w:i/>
          <w:iCs/>
        </w:rPr>
        <w:t xml:space="preserve"> No considerar el intervalo de frecuencias 698-806 MHz dentro de la Tabla 6 como apto para los sistemas de microfonía inalámbrica, tal como lo hace la Federal Communications </w:t>
      </w:r>
      <w:proofErr w:type="spellStart"/>
      <w:r w:rsidRPr="002F794B">
        <w:rPr>
          <w:i/>
          <w:iCs/>
        </w:rPr>
        <w:t>Commission</w:t>
      </w:r>
      <w:proofErr w:type="spellEnd"/>
      <w:r w:rsidRPr="002F794B">
        <w:rPr>
          <w:i/>
          <w:iCs/>
        </w:rPr>
        <w:t xml:space="preserve"> (FCC), en consideración a que dicho intervalo se encuentra asignado a otro tipo de servicios en Estados Unidos. Puede consultarse https://www.fcc.gov/wireless/bureau-divisions/broadband-division/wireless-microphones</w:t>
      </w:r>
      <w:r w:rsidR="00FB04E3" w:rsidRPr="002F794B">
        <w:rPr>
          <w:i/>
          <w:iCs/>
        </w:rPr>
        <w:t>”</w:t>
      </w:r>
    </w:p>
    <w:p w14:paraId="06CB0BB0" w14:textId="77777777" w:rsidR="00D646EB" w:rsidRPr="002F794B" w:rsidRDefault="00D646EB" w:rsidP="00D646EB">
      <w:pPr>
        <w:rPr>
          <w:u w:val="single"/>
        </w:rPr>
      </w:pPr>
      <w:r w:rsidRPr="002F794B">
        <w:rPr>
          <w:u w:val="single"/>
        </w:rPr>
        <w:t>Respuesta</w:t>
      </w:r>
    </w:p>
    <w:p w14:paraId="21385655" w14:textId="2FA8C0B8" w:rsidR="001419A1" w:rsidRPr="002F794B" w:rsidRDefault="00525EA8" w:rsidP="00D646EB">
      <w:r w:rsidRPr="002F794B">
        <w:t>Se considera y se elimina la banda de frecuencias solicitada.</w:t>
      </w:r>
    </w:p>
    <w:p w14:paraId="10C8A9B3" w14:textId="77777777" w:rsidR="001419A1" w:rsidRPr="002F794B" w:rsidRDefault="001419A1" w:rsidP="00D646EB"/>
    <w:p w14:paraId="5061459A" w14:textId="0954AEF5" w:rsidR="00D646EB" w:rsidRPr="002F794B" w:rsidRDefault="00D646EB" w:rsidP="00D646EB">
      <w:pPr>
        <w:rPr>
          <w:u w:val="single"/>
        </w:rPr>
      </w:pPr>
      <w:r w:rsidRPr="002F794B">
        <w:rPr>
          <w:u w:val="single"/>
        </w:rPr>
        <w:t>Participante</w:t>
      </w:r>
    </w:p>
    <w:p w14:paraId="3EB803E1" w14:textId="58FF0033" w:rsidR="00D646EB" w:rsidRPr="002F794B" w:rsidRDefault="001602B6" w:rsidP="00D646EB">
      <w:r w:rsidRPr="002F794B">
        <w:t>Cámara Nacional de la Industria Electrónica, de Telecomunicaciones y Tecnologías de la Información</w:t>
      </w:r>
    </w:p>
    <w:p w14:paraId="3479ADE6" w14:textId="77777777" w:rsidR="00D646EB" w:rsidRPr="002F794B" w:rsidRDefault="00D646EB" w:rsidP="00D646EB">
      <w:pPr>
        <w:rPr>
          <w:u w:val="single"/>
        </w:rPr>
      </w:pPr>
      <w:r w:rsidRPr="002F794B">
        <w:rPr>
          <w:u w:val="single"/>
        </w:rPr>
        <w:t>Comentario y propuesta</w:t>
      </w:r>
    </w:p>
    <w:p w14:paraId="7B5E82C8" w14:textId="77777777" w:rsidR="00135B38" w:rsidRPr="002F794B" w:rsidRDefault="00135B38" w:rsidP="00135B38">
      <w:pPr>
        <w:ind w:left="567" w:right="616"/>
        <w:rPr>
          <w:b/>
          <w:i/>
          <w:iCs/>
        </w:rPr>
      </w:pPr>
      <w:r w:rsidRPr="002F794B">
        <w:rPr>
          <w:b/>
          <w:i/>
          <w:iCs/>
        </w:rPr>
        <w:t>DICE:</w:t>
      </w:r>
    </w:p>
    <w:p w14:paraId="73CC2871" w14:textId="77777777" w:rsidR="00135B38" w:rsidRPr="002F794B" w:rsidRDefault="00135B38" w:rsidP="00A977EE">
      <w:pPr>
        <w:ind w:left="1134" w:right="616"/>
        <w:rPr>
          <w:b/>
          <w:i/>
          <w:iCs/>
        </w:rPr>
      </w:pPr>
      <w:bookmarkStart w:id="0" w:name="_Toc48654577"/>
      <w:bookmarkStart w:id="1" w:name="_Toc51320581"/>
      <w:bookmarkStart w:id="2" w:name="_Toc149121716"/>
      <w:r w:rsidRPr="002F794B">
        <w:rPr>
          <w:b/>
          <w:i/>
          <w:iCs/>
        </w:rPr>
        <w:t>“7.2 MICRÓFONOS INALÁMBRICOS</w:t>
      </w:r>
      <w:bookmarkEnd w:id="0"/>
      <w:bookmarkEnd w:id="1"/>
      <w:bookmarkEnd w:id="2"/>
    </w:p>
    <w:p w14:paraId="7A38711B" w14:textId="77777777" w:rsidR="00135B38" w:rsidRPr="002F794B" w:rsidRDefault="00135B38" w:rsidP="00A977EE">
      <w:pPr>
        <w:ind w:left="1134" w:right="616"/>
        <w:rPr>
          <w:b/>
          <w:i/>
          <w:iCs/>
        </w:rPr>
      </w:pPr>
      <w:bookmarkStart w:id="3" w:name="_Toc48654578"/>
      <w:bookmarkStart w:id="4" w:name="_Toc51320582"/>
      <w:bookmarkStart w:id="5" w:name="_Toc149121717"/>
      <w:bookmarkStart w:id="6" w:name="_Hlk113977961"/>
      <w:r w:rsidRPr="002F794B">
        <w:rPr>
          <w:b/>
          <w:i/>
          <w:iCs/>
        </w:rPr>
        <w:t>7.2.1 BANDAS DE FRECUENCIA DE OPERACIÓN ESPECÍFICAS</w:t>
      </w:r>
      <w:bookmarkEnd w:id="3"/>
      <w:bookmarkEnd w:id="4"/>
      <w:bookmarkEnd w:id="5"/>
      <w:r w:rsidRPr="002F794B">
        <w:rPr>
          <w:b/>
          <w:i/>
          <w:iCs/>
        </w:rPr>
        <w:t xml:space="preserve"> </w:t>
      </w:r>
    </w:p>
    <w:bookmarkEnd w:id="6"/>
    <w:p w14:paraId="625814F7" w14:textId="77777777" w:rsidR="00135B38" w:rsidRPr="002F794B" w:rsidRDefault="00135B38" w:rsidP="00A977EE">
      <w:pPr>
        <w:ind w:left="1134" w:right="616"/>
        <w:rPr>
          <w:i/>
          <w:iCs/>
        </w:rPr>
      </w:pPr>
      <w:r w:rsidRPr="002F794B">
        <w:rPr>
          <w:i/>
          <w:iCs/>
        </w:rPr>
        <w:t xml:space="preserve">Las bandas de frecuencias de operación específicas para micrófonos inalámbricos son las establecidas en la </w:t>
      </w:r>
      <w:r w:rsidRPr="002F794B">
        <w:rPr>
          <w:b/>
          <w:i/>
          <w:iCs/>
        </w:rPr>
        <w:t>Tabla 6</w:t>
      </w:r>
      <w:r w:rsidRPr="002F794B">
        <w:rPr>
          <w:i/>
          <w:iCs/>
        </w:rPr>
        <w:t>.</w:t>
      </w:r>
    </w:p>
    <w:p w14:paraId="3B111E42" w14:textId="682920D1" w:rsidR="00D646EB" w:rsidRPr="002F794B" w:rsidRDefault="00135B38" w:rsidP="003F605B">
      <w:pPr>
        <w:ind w:left="567" w:right="616"/>
        <w:jc w:val="center"/>
        <w:rPr>
          <w:i/>
          <w:iCs/>
          <w:sz w:val="16"/>
          <w:szCs w:val="16"/>
        </w:rPr>
      </w:pPr>
      <w:bookmarkStart w:id="7" w:name="_Toc149121672"/>
      <w:r w:rsidRPr="002F794B">
        <w:rPr>
          <w:i/>
          <w:iCs/>
          <w:sz w:val="16"/>
          <w:szCs w:val="16"/>
        </w:rPr>
        <w:t xml:space="preserve">Tabla </w:t>
      </w:r>
      <w:r w:rsidRPr="002F794B">
        <w:rPr>
          <w:i/>
          <w:iCs/>
          <w:sz w:val="16"/>
          <w:szCs w:val="16"/>
        </w:rPr>
        <w:fldChar w:fldCharType="begin"/>
      </w:r>
      <w:r w:rsidRPr="002F794B">
        <w:rPr>
          <w:i/>
          <w:iCs/>
          <w:sz w:val="16"/>
          <w:szCs w:val="16"/>
        </w:rPr>
        <w:instrText xml:space="preserve"> SEQ Tabla \* ARABIC </w:instrText>
      </w:r>
      <w:r w:rsidRPr="002F794B">
        <w:rPr>
          <w:i/>
          <w:iCs/>
          <w:sz w:val="16"/>
          <w:szCs w:val="16"/>
        </w:rPr>
        <w:fldChar w:fldCharType="separate"/>
      </w:r>
      <w:r w:rsidRPr="002F794B">
        <w:rPr>
          <w:i/>
          <w:iCs/>
          <w:sz w:val="16"/>
          <w:szCs w:val="16"/>
        </w:rPr>
        <w:t>1</w:t>
      </w:r>
      <w:r w:rsidRPr="002F794B">
        <w:rPr>
          <w:i/>
          <w:iCs/>
          <w:sz w:val="16"/>
          <w:szCs w:val="16"/>
        </w:rPr>
        <w:fldChar w:fldCharType="end"/>
      </w:r>
      <w:r w:rsidRPr="002F794B">
        <w:rPr>
          <w:i/>
          <w:iCs/>
          <w:sz w:val="16"/>
          <w:szCs w:val="16"/>
        </w:rPr>
        <w:t>. Bandas de frecuencias de operación para micrófonos inalámbricos.</w:t>
      </w:r>
      <w:bookmarkEnd w:id="7"/>
    </w:p>
    <w:tbl>
      <w:tblPr>
        <w:tblStyle w:val="Tablaconcuadrcula"/>
        <w:tblpPr w:leftFromText="142" w:rightFromText="142" w:vertAnchor="text" w:horzAnchor="margin" w:tblpXSpec="center" w:tblpY="1"/>
        <w:tblOverlap w:val="never"/>
        <w:tblW w:w="0" w:type="auto"/>
        <w:tblLook w:val="04A0" w:firstRow="1" w:lastRow="0" w:firstColumn="1" w:lastColumn="0" w:noHBand="0" w:noVBand="1"/>
      </w:tblPr>
      <w:tblGrid>
        <w:gridCol w:w="2544"/>
        <w:gridCol w:w="2544"/>
        <w:gridCol w:w="2544"/>
      </w:tblGrid>
      <w:tr w:rsidR="002F794B" w:rsidRPr="002F794B" w14:paraId="32B04312" w14:textId="77777777" w:rsidTr="00FF1FDE">
        <w:trPr>
          <w:cantSplit/>
        </w:trPr>
        <w:tc>
          <w:tcPr>
            <w:tcW w:w="7632" w:type="dxa"/>
            <w:gridSpan w:val="3"/>
          </w:tcPr>
          <w:p w14:paraId="5A7AC3A4" w14:textId="77777777" w:rsidR="00755935" w:rsidRPr="002F794B" w:rsidRDefault="00755935" w:rsidP="00FF1FDE">
            <w:pPr>
              <w:spacing w:after="160" w:line="259" w:lineRule="auto"/>
              <w:ind w:left="567" w:right="616"/>
              <w:rPr>
                <w:b/>
                <w:i/>
                <w:iCs/>
              </w:rPr>
            </w:pPr>
            <w:r w:rsidRPr="002F794B">
              <w:rPr>
                <w:b/>
                <w:i/>
                <w:iCs/>
              </w:rPr>
              <w:t>Bandas de frecuencia de operación permitidas [MHz]</w:t>
            </w:r>
          </w:p>
        </w:tc>
      </w:tr>
      <w:tr w:rsidR="002F794B" w:rsidRPr="002F794B" w14:paraId="41541269" w14:textId="77777777" w:rsidTr="00FF1FDE">
        <w:trPr>
          <w:cantSplit/>
          <w:trHeight w:val="233"/>
        </w:trPr>
        <w:tc>
          <w:tcPr>
            <w:tcW w:w="2544" w:type="dxa"/>
          </w:tcPr>
          <w:p w14:paraId="2F09D0DF" w14:textId="77777777" w:rsidR="00755935" w:rsidRPr="002F794B" w:rsidRDefault="00755935" w:rsidP="00FF1FDE">
            <w:pPr>
              <w:spacing w:after="160" w:line="259" w:lineRule="auto"/>
              <w:ind w:left="567" w:right="616"/>
              <w:rPr>
                <w:i/>
                <w:iCs/>
              </w:rPr>
            </w:pPr>
            <w:r w:rsidRPr="002F794B">
              <w:rPr>
                <w:i/>
                <w:iCs/>
              </w:rPr>
              <w:lastRenderedPageBreak/>
              <w:t>54-72</w:t>
            </w:r>
          </w:p>
        </w:tc>
        <w:tc>
          <w:tcPr>
            <w:tcW w:w="2544" w:type="dxa"/>
          </w:tcPr>
          <w:p w14:paraId="269ED1DB" w14:textId="77777777" w:rsidR="00755935" w:rsidRPr="002F794B" w:rsidRDefault="00755935" w:rsidP="00FF1FDE">
            <w:pPr>
              <w:spacing w:after="160" w:line="259" w:lineRule="auto"/>
              <w:ind w:left="567" w:right="616"/>
              <w:rPr>
                <w:i/>
                <w:iCs/>
              </w:rPr>
            </w:pPr>
            <w:r w:rsidRPr="002F794B">
              <w:rPr>
                <w:i/>
                <w:iCs/>
              </w:rPr>
              <w:t>174-216</w:t>
            </w:r>
          </w:p>
        </w:tc>
        <w:tc>
          <w:tcPr>
            <w:tcW w:w="2544" w:type="dxa"/>
          </w:tcPr>
          <w:p w14:paraId="35E5860B" w14:textId="77777777" w:rsidR="00755935" w:rsidRPr="002F794B" w:rsidRDefault="00755935" w:rsidP="00FF1FDE">
            <w:pPr>
              <w:spacing w:after="160" w:line="259" w:lineRule="auto"/>
              <w:ind w:left="567" w:right="616"/>
              <w:rPr>
                <w:i/>
                <w:iCs/>
              </w:rPr>
            </w:pPr>
            <w:r w:rsidRPr="002F794B">
              <w:rPr>
                <w:i/>
                <w:iCs/>
              </w:rPr>
              <w:t>614-698</w:t>
            </w:r>
          </w:p>
        </w:tc>
      </w:tr>
      <w:tr w:rsidR="002F794B" w:rsidRPr="002F794B" w14:paraId="104AEB82" w14:textId="77777777" w:rsidTr="00FF1FDE">
        <w:trPr>
          <w:cantSplit/>
        </w:trPr>
        <w:tc>
          <w:tcPr>
            <w:tcW w:w="2544" w:type="dxa"/>
          </w:tcPr>
          <w:p w14:paraId="51532BBF" w14:textId="77777777" w:rsidR="00755935" w:rsidRPr="002F794B" w:rsidRDefault="00755935" w:rsidP="00FF1FDE">
            <w:pPr>
              <w:spacing w:after="160" w:line="259" w:lineRule="auto"/>
              <w:ind w:left="567" w:right="616"/>
              <w:rPr>
                <w:i/>
                <w:iCs/>
              </w:rPr>
            </w:pPr>
            <w:r w:rsidRPr="002F794B">
              <w:rPr>
                <w:i/>
                <w:iCs/>
              </w:rPr>
              <w:t>76-88</w:t>
            </w:r>
          </w:p>
        </w:tc>
        <w:tc>
          <w:tcPr>
            <w:tcW w:w="2544" w:type="dxa"/>
          </w:tcPr>
          <w:p w14:paraId="7EC223E9" w14:textId="77777777" w:rsidR="00755935" w:rsidRPr="002F794B" w:rsidRDefault="00755935" w:rsidP="00FF1FDE">
            <w:pPr>
              <w:spacing w:after="160" w:line="259" w:lineRule="auto"/>
              <w:ind w:left="567" w:right="616"/>
              <w:rPr>
                <w:i/>
                <w:iCs/>
              </w:rPr>
            </w:pPr>
            <w:r w:rsidRPr="002F794B">
              <w:rPr>
                <w:i/>
                <w:iCs/>
              </w:rPr>
              <w:t>470-608</w:t>
            </w:r>
          </w:p>
        </w:tc>
        <w:tc>
          <w:tcPr>
            <w:tcW w:w="2544" w:type="dxa"/>
          </w:tcPr>
          <w:p w14:paraId="78E8A690" w14:textId="77777777" w:rsidR="00755935" w:rsidRPr="002F794B" w:rsidRDefault="00755935" w:rsidP="00FF1FDE">
            <w:pPr>
              <w:spacing w:after="160" w:line="259" w:lineRule="auto"/>
              <w:ind w:left="567" w:right="616"/>
              <w:rPr>
                <w:i/>
                <w:iCs/>
              </w:rPr>
            </w:pPr>
            <w:r w:rsidRPr="002F794B">
              <w:rPr>
                <w:i/>
                <w:iCs/>
              </w:rPr>
              <w:t>698-806</w:t>
            </w:r>
          </w:p>
        </w:tc>
      </w:tr>
    </w:tbl>
    <w:p w14:paraId="16B61C87" w14:textId="77777777" w:rsidR="002A4D20" w:rsidRPr="002F794B" w:rsidRDefault="002A4D20" w:rsidP="002A4D20">
      <w:pPr>
        <w:ind w:left="567" w:right="616"/>
        <w:rPr>
          <w:i/>
          <w:iCs/>
        </w:rPr>
      </w:pPr>
      <w:r w:rsidRPr="002F794B">
        <w:rPr>
          <w:i/>
          <w:iCs/>
        </w:rPr>
        <w:t>“</w:t>
      </w:r>
    </w:p>
    <w:p w14:paraId="63713232" w14:textId="77777777" w:rsidR="002A4D20" w:rsidRPr="002F794B" w:rsidRDefault="002A4D20" w:rsidP="002A4D20">
      <w:pPr>
        <w:ind w:left="567" w:right="616"/>
        <w:rPr>
          <w:i/>
          <w:iCs/>
        </w:rPr>
      </w:pPr>
      <w:r w:rsidRPr="002F794B">
        <w:rPr>
          <w:b/>
          <w:i/>
          <w:iCs/>
        </w:rPr>
        <w:t>SE PROPONE</w:t>
      </w:r>
      <w:r w:rsidRPr="002F794B">
        <w:rPr>
          <w:i/>
          <w:iCs/>
        </w:rPr>
        <w:t>:</w:t>
      </w:r>
    </w:p>
    <w:p w14:paraId="089F8920" w14:textId="77777777" w:rsidR="002A4D20" w:rsidRPr="002F794B" w:rsidRDefault="002A4D20" w:rsidP="002A4D20">
      <w:pPr>
        <w:ind w:left="567" w:right="616"/>
        <w:rPr>
          <w:i/>
          <w:iCs/>
        </w:rPr>
      </w:pPr>
      <w:r w:rsidRPr="002F794B">
        <w:rPr>
          <w:i/>
          <w:iCs/>
        </w:rPr>
        <w:t>Incluir en la tabla otras bandas de frecuencias dado que en la industria existen sistemas de microfonía inalámbrica en varias bandas, como se muestra en la siguiente tabla propuesta.</w:t>
      </w:r>
    </w:p>
    <w:p w14:paraId="6B5C45BF" w14:textId="77777777" w:rsidR="002A4D20" w:rsidRPr="002F794B" w:rsidRDefault="002A4D20" w:rsidP="002A4D20">
      <w:pPr>
        <w:ind w:left="567" w:right="616"/>
        <w:rPr>
          <w:b/>
          <w:i/>
          <w:iCs/>
        </w:rPr>
      </w:pPr>
      <w:r w:rsidRPr="002F794B">
        <w:rPr>
          <w:b/>
          <w:i/>
          <w:iCs/>
        </w:rPr>
        <w:t>DEBERÍA DECIR:</w:t>
      </w:r>
    </w:p>
    <w:p w14:paraId="4DECA845" w14:textId="77777777" w:rsidR="002A4D20" w:rsidRPr="002F794B" w:rsidRDefault="002A4D20" w:rsidP="003F605B">
      <w:pPr>
        <w:ind w:left="1134" w:right="616"/>
        <w:rPr>
          <w:b/>
          <w:i/>
          <w:iCs/>
        </w:rPr>
      </w:pPr>
      <w:r w:rsidRPr="002F794B">
        <w:rPr>
          <w:b/>
          <w:i/>
          <w:iCs/>
        </w:rPr>
        <w:t>“7.2 MICRÓFONOS INALÁMBRICOS</w:t>
      </w:r>
    </w:p>
    <w:p w14:paraId="0B0050E3" w14:textId="77777777" w:rsidR="002A4D20" w:rsidRPr="002F794B" w:rsidRDefault="002A4D20" w:rsidP="003F605B">
      <w:pPr>
        <w:ind w:left="1134" w:right="616"/>
        <w:rPr>
          <w:b/>
          <w:i/>
          <w:iCs/>
        </w:rPr>
      </w:pPr>
      <w:r w:rsidRPr="002F794B">
        <w:rPr>
          <w:b/>
          <w:i/>
          <w:iCs/>
        </w:rPr>
        <w:t xml:space="preserve">7.2.1 BANDAS DE FRECUENCIA DE OPERACIÓN ESPECÍFICAS </w:t>
      </w:r>
    </w:p>
    <w:p w14:paraId="262BC492" w14:textId="77777777" w:rsidR="002A4D20" w:rsidRPr="002F794B" w:rsidRDefault="002A4D20" w:rsidP="003F605B">
      <w:pPr>
        <w:ind w:left="1134" w:right="616"/>
        <w:rPr>
          <w:i/>
          <w:iCs/>
        </w:rPr>
      </w:pPr>
      <w:r w:rsidRPr="002F794B">
        <w:rPr>
          <w:i/>
          <w:iCs/>
        </w:rPr>
        <w:t xml:space="preserve">Las bandas de frecuencias de operación específicas para micrófonos inalámbricos son las establecidas en la </w:t>
      </w:r>
      <w:r w:rsidRPr="002F794B">
        <w:rPr>
          <w:b/>
          <w:i/>
          <w:iCs/>
        </w:rPr>
        <w:t>Tabla 6</w:t>
      </w:r>
      <w:r w:rsidRPr="002F794B">
        <w:rPr>
          <w:i/>
          <w:iCs/>
        </w:rPr>
        <w:t>.</w:t>
      </w:r>
    </w:p>
    <w:p w14:paraId="7820E00A" w14:textId="77777777" w:rsidR="002A4D20" w:rsidRPr="002F794B" w:rsidRDefault="002A4D20" w:rsidP="003F605B">
      <w:pPr>
        <w:ind w:left="567" w:right="616"/>
        <w:jc w:val="center"/>
        <w:rPr>
          <w:i/>
          <w:iCs/>
          <w:sz w:val="16"/>
          <w:szCs w:val="16"/>
        </w:rPr>
      </w:pPr>
      <w:r w:rsidRPr="002F794B">
        <w:rPr>
          <w:i/>
          <w:iCs/>
          <w:sz w:val="16"/>
          <w:szCs w:val="16"/>
        </w:rPr>
        <w:t xml:space="preserve">Tabla </w:t>
      </w:r>
      <w:r w:rsidRPr="002F794B">
        <w:rPr>
          <w:i/>
          <w:iCs/>
          <w:sz w:val="16"/>
          <w:szCs w:val="16"/>
        </w:rPr>
        <w:fldChar w:fldCharType="begin"/>
      </w:r>
      <w:r w:rsidRPr="002F794B">
        <w:rPr>
          <w:i/>
          <w:iCs/>
          <w:sz w:val="16"/>
          <w:szCs w:val="16"/>
        </w:rPr>
        <w:instrText xml:space="preserve"> SEQ Tabla \* ARABIC </w:instrText>
      </w:r>
      <w:r w:rsidRPr="002F794B">
        <w:rPr>
          <w:i/>
          <w:iCs/>
          <w:sz w:val="16"/>
          <w:szCs w:val="16"/>
        </w:rPr>
        <w:fldChar w:fldCharType="separate"/>
      </w:r>
      <w:r w:rsidRPr="002F794B">
        <w:rPr>
          <w:i/>
          <w:iCs/>
          <w:sz w:val="16"/>
          <w:szCs w:val="16"/>
        </w:rPr>
        <w:t>2</w:t>
      </w:r>
      <w:r w:rsidRPr="002F794B">
        <w:rPr>
          <w:i/>
          <w:iCs/>
          <w:sz w:val="16"/>
          <w:szCs w:val="16"/>
        </w:rPr>
        <w:fldChar w:fldCharType="end"/>
      </w:r>
      <w:r w:rsidRPr="002F794B">
        <w:rPr>
          <w:i/>
          <w:iCs/>
          <w:sz w:val="16"/>
          <w:szCs w:val="16"/>
        </w:rPr>
        <w:t>. Bandas de frecuencias de operación para micrófonos inalámbricos.</w:t>
      </w:r>
    </w:p>
    <w:tbl>
      <w:tblPr>
        <w:tblStyle w:val="Tablaconcuadrcula"/>
        <w:tblpPr w:leftFromText="142" w:rightFromText="142" w:vertAnchor="text" w:horzAnchor="margin" w:tblpXSpec="center" w:tblpY="1"/>
        <w:tblOverlap w:val="never"/>
        <w:tblW w:w="0" w:type="auto"/>
        <w:tblLook w:val="04A0" w:firstRow="1" w:lastRow="0" w:firstColumn="1" w:lastColumn="0" w:noHBand="0" w:noVBand="1"/>
      </w:tblPr>
      <w:tblGrid>
        <w:gridCol w:w="1262"/>
        <w:gridCol w:w="1263"/>
        <w:gridCol w:w="1263"/>
        <w:gridCol w:w="1263"/>
        <w:gridCol w:w="1263"/>
        <w:gridCol w:w="1263"/>
      </w:tblGrid>
      <w:tr w:rsidR="002F794B" w:rsidRPr="002F794B" w14:paraId="369EE1D1" w14:textId="77777777" w:rsidTr="00FF1FDE">
        <w:trPr>
          <w:cantSplit/>
        </w:trPr>
        <w:tc>
          <w:tcPr>
            <w:tcW w:w="7577" w:type="dxa"/>
            <w:gridSpan w:val="6"/>
          </w:tcPr>
          <w:p w14:paraId="5D0C2972" w14:textId="77777777" w:rsidR="00174F22" w:rsidRPr="002F794B" w:rsidRDefault="00174F22" w:rsidP="00FF1FDE">
            <w:pPr>
              <w:spacing w:before="120" w:after="120"/>
              <w:ind w:left="653"/>
              <w:rPr>
                <w:rFonts w:cs="Calibri"/>
                <w:b/>
                <w:i/>
                <w:sz w:val="16"/>
                <w:szCs w:val="16"/>
              </w:rPr>
            </w:pPr>
            <w:r w:rsidRPr="002F794B">
              <w:rPr>
                <w:rFonts w:cs="Calibri"/>
                <w:b/>
                <w:i/>
                <w:sz w:val="16"/>
                <w:szCs w:val="16"/>
              </w:rPr>
              <w:t>Bandas de frecuencia de operación permitidas [MHz]</w:t>
            </w:r>
          </w:p>
        </w:tc>
      </w:tr>
      <w:tr w:rsidR="002F794B" w:rsidRPr="002F794B" w14:paraId="740CE8D1" w14:textId="77777777" w:rsidTr="00FF1FDE">
        <w:trPr>
          <w:cantSplit/>
        </w:trPr>
        <w:tc>
          <w:tcPr>
            <w:tcW w:w="1262" w:type="dxa"/>
          </w:tcPr>
          <w:p w14:paraId="0849DBE2" w14:textId="77777777" w:rsidR="00174F22" w:rsidRPr="002F794B" w:rsidRDefault="00174F22" w:rsidP="00FF1FDE">
            <w:pPr>
              <w:spacing w:before="120" w:after="120"/>
              <w:ind w:left="113"/>
              <w:rPr>
                <w:rFonts w:cs="Calibri"/>
                <w:i/>
                <w:sz w:val="16"/>
                <w:szCs w:val="16"/>
              </w:rPr>
            </w:pPr>
            <w:r w:rsidRPr="002F794B">
              <w:rPr>
                <w:rFonts w:cs="Calibri"/>
                <w:i/>
                <w:sz w:val="16"/>
                <w:szCs w:val="16"/>
              </w:rPr>
              <w:t>54-72</w:t>
            </w:r>
          </w:p>
        </w:tc>
        <w:tc>
          <w:tcPr>
            <w:tcW w:w="1263" w:type="dxa"/>
          </w:tcPr>
          <w:p w14:paraId="14850F1F" w14:textId="77777777" w:rsidR="00174F22" w:rsidRPr="002F794B" w:rsidRDefault="00174F22" w:rsidP="00FF1FDE">
            <w:pPr>
              <w:spacing w:before="120" w:after="120"/>
              <w:ind w:left="113"/>
              <w:rPr>
                <w:rFonts w:cs="Calibri"/>
                <w:i/>
                <w:sz w:val="16"/>
                <w:szCs w:val="16"/>
              </w:rPr>
            </w:pPr>
            <w:r w:rsidRPr="002F794B">
              <w:rPr>
                <w:rFonts w:cs="Calibri"/>
                <w:i/>
                <w:sz w:val="16"/>
                <w:szCs w:val="16"/>
              </w:rPr>
              <w:t>174-216</w:t>
            </w:r>
          </w:p>
        </w:tc>
        <w:tc>
          <w:tcPr>
            <w:tcW w:w="1263" w:type="dxa"/>
          </w:tcPr>
          <w:p w14:paraId="4FA1DD92" w14:textId="77777777" w:rsidR="00174F22" w:rsidRPr="002F794B" w:rsidRDefault="00174F22" w:rsidP="00FF1FDE">
            <w:pPr>
              <w:spacing w:before="120" w:after="120"/>
              <w:ind w:left="113"/>
              <w:rPr>
                <w:rFonts w:cs="Calibri"/>
                <w:i/>
                <w:sz w:val="16"/>
                <w:szCs w:val="16"/>
              </w:rPr>
            </w:pPr>
            <w:r w:rsidRPr="002F794B">
              <w:rPr>
                <w:rFonts w:cs="Calibri"/>
                <w:i/>
                <w:sz w:val="16"/>
                <w:szCs w:val="16"/>
              </w:rPr>
              <w:t>614-69 8</w:t>
            </w:r>
          </w:p>
        </w:tc>
        <w:tc>
          <w:tcPr>
            <w:tcW w:w="1263" w:type="dxa"/>
          </w:tcPr>
          <w:p w14:paraId="0FBE048E" w14:textId="77777777" w:rsidR="00174F22" w:rsidRPr="002F794B" w:rsidRDefault="00174F22" w:rsidP="00FF1FDE">
            <w:pPr>
              <w:spacing w:before="120" w:after="120"/>
              <w:ind w:left="113"/>
              <w:rPr>
                <w:rFonts w:cs="Calibri"/>
                <w:b/>
                <w:i/>
                <w:sz w:val="16"/>
                <w:szCs w:val="16"/>
                <w:u w:val="single"/>
              </w:rPr>
            </w:pPr>
            <w:r w:rsidRPr="002F794B">
              <w:rPr>
                <w:rFonts w:cs="Calibri"/>
                <w:b/>
                <w:i/>
                <w:sz w:val="16"/>
                <w:szCs w:val="16"/>
                <w:u w:val="single"/>
              </w:rPr>
              <w:t>902 - 928</w:t>
            </w:r>
          </w:p>
        </w:tc>
        <w:tc>
          <w:tcPr>
            <w:tcW w:w="1263" w:type="dxa"/>
          </w:tcPr>
          <w:p w14:paraId="07C17F40" w14:textId="77777777" w:rsidR="00174F22" w:rsidRPr="002F794B" w:rsidRDefault="00174F22" w:rsidP="00FF1FDE">
            <w:pPr>
              <w:spacing w:before="120" w:after="120"/>
              <w:ind w:left="113"/>
              <w:rPr>
                <w:rFonts w:cs="Calibri"/>
                <w:b/>
                <w:i/>
                <w:sz w:val="16"/>
                <w:szCs w:val="16"/>
                <w:u w:val="single"/>
              </w:rPr>
            </w:pPr>
            <w:r w:rsidRPr="002F794B">
              <w:rPr>
                <w:rFonts w:cs="Calibri"/>
                <w:b/>
                <w:i/>
                <w:sz w:val="16"/>
                <w:szCs w:val="16"/>
                <w:u w:val="single"/>
              </w:rPr>
              <w:t>1920 - 1930</w:t>
            </w:r>
          </w:p>
        </w:tc>
        <w:tc>
          <w:tcPr>
            <w:tcW w:w="1263" w:type="dxa"/>
          </w:tcPr>
          <w:p w14:paraId="253B6E8D" w14:textId="77777777" w:rsidR="00174F22" w:rsidRPr="002F794B" w:rsidRDefault="00174F22" w:rsidP="00FF1FDE">
            <w:pPr>
              <w:spacing w:before="120" w:after="120"/>
              <w:ind w:left="113"/>
              <w:rPr>
                <w:rFonts w:cs="Calibri"/>
                <w:b/>
                <w:i/>
                <w:sz w:val="16"/>
                <w:szCs w:val="16"/>
                <w:u w:val="single"/>
              </w:rPr>
            </w:pPr>
            <w:r w:rsidRPr="002F794B">
              <w:rPr>
                <w:rFonts w:cs="Calibri"/>
                <w:b/>
                <w:i/>
                <w:sz w:val="16"/>
                <w:szCs w:val="16"/>
                <w:u w:val="single"/>
              </w:rPr>
              <w:t>5725 - 5850</w:t>
            </w:r>
          </w:p>
        </w:tc>
      </w:tr>
      <w:tr w:rsidR="002F794B" w:rsidRPr="002F794B" w14:paraId="34A7962E" w14:textId="77777777" w:rsidTr="00FF1FDE">
        <w:trPr>
          <w:cantSplit/>
        </w:trPr>
        <w:tc>
          <w:tcPr>
            <w:tcW w:w="1262" w:type="dxa"/>
          </w:tcPr>
          <w:p w14:paraId="2E4C92B6" w14:textId="77777777" w:rsidR="00174F22" w:rsidRPr="002F794B" w:rsidRDefault="00174F22" w:rsidP="00FF1FDE">
            <w:pPr>
              <w:spacing w:before="120" w:after="120"/>
              <w:ind w:left="113"/>
              <w:rPr>
                <w:rFonts w:cs="Calibri"/>
                <w:i/>
                <w:sz w:val="16"/>
                <w:szCs w:val="16"/>
              </w:rPr>
            </w:pPr>
            <w:r w:rsidRPr="002F794B">
              <w:rPr>
                <w:rFonts w:cs="Calibri"/>
                <w:i/>
                <w:sz w:val="16"/>
                <w:szCs w:val="16"/>
              </w:rPr>
              <w:t>76-88</w:t>
            </w:r>
          </w:p>
        </w:tc>
        <w:tc>
          <w:tcPr>
            <w:tcW w:w="1263" w:type="dxa"/>
          </w:tcPr>
          <w:p w14:paraId="4AA52277" w14:textId="77777777" w:rsidR="00174F22" w:rsidRPr="002F794B" w:rsidRDefault="00174F22" w:rsidP="00FF1FDE">
            <w:pPr>
              <w:spacing w:before="120" w:after="120"/>
              <w:ind w:left="113"/>
              <w:rPr>
                <w:rFonts w:cs="Calibri"/>
                <w:i/>
                <w:sz w:val="16"/>
                <w:szCs w:val="16"/>
              </w:rPr>
            </w:pPr>
            <w:r w:rsidRPr="002F794B">
              <w:rPr>
                <w:rFonts w:cs="Calibri"/>
                <w:i/>
                <w:sz w:val="16"/>
                <w:szCs w:val="16"/>
              </w:rPr>
              <w:t>470-608</w:t>
            </w:r>
          </w:p>
        </w:tc>
        <w:tc>
          <w:tcPr>
            <w:tcW w:w="1263" w:type="dxa"/>
          </w:tcPr>
          <w:p w14:paraId="3C27FA9C" w14:textId="77777777" w:rsidR="00174F22" w:rsidRPr="002F794B" w:rsidRDefault="00174F22" w:rsidP="00FF1FDE">
            <w:pPr>
              <w:spacing w:before="120" w:after="120"/>
              <w:ind w:left="113"/>
              <w:rPr>
                <w:rFonts w:cs="Calibri"/>
                <w:i/>
                <w:sz w:val="16"/>
                <w:szCs w:val="16"/>
              </w:rPr>
            </w:pPr>
            <w:r w:rsidRPr="002F794B">
              <w:rPr>
                <w:rFonts w:cs="Calibri"/>
                <w:i/>
                <w:sz w:val="16"/>
                <w:szCs w:val="16"/>
              </w:rPr>
              <w:t>698-806</w:t>
            </w:r>
          </w:p>
        </w:tc>
        <w:tc>
          <w:tcPr>
            <w:tcW w:w="1263" w:type="dxa"/>
          </w:tcPr>
          <w:p w14:paraId="64C6022B" w14:textId="77777777" w:rsidR="00174F22" w:rsidRPr="002F794B" w:rsidRDefault="00174F22" w:rsidP="00FF1FDE">
            <w:pPr>
              <w:spacing w:before="120" w:after="120"/>
              <w:ind w:left="113"/>
              <w:rPr>
                <w:rFonts w:cs="Calibri"/>
                <w:b/>
                <w:i/>
                <w:sz w:val="16"/>
                <w:szCs w:val="16"/>
                <w:u w:val="single"/>
              </w:rPr>
            </w:pPr>
            <w:r w:rsidRPr="002F794B">
              <w:rPr>
                <w:rFonts w:cs="Calibri"/>
                <w:b/>
                <w:i/>
                <w:sz w:val="16"/>
                <w:szCs w:val="16"/>
                <w:u w:val="single"/>
              </w:rPr>
              <w:t>928 - 960</w:t>
            </w:r>
          </w:p>
        </w:tc>
        <w:tc>
          <w:tcPr>
            <w:tcW w:w="1263" w:type="dxa"/>
          </w:tcPr>
          <w:p w14:paraId="1B4E211C" w14:textId="77777777" w:rsidR="00174F22" w:rsidRPr="002F794B" w:rsidRDefault="00174F22" w:rsidP="00FF1FDE">
            <w:pPr>
              <w:spacing w:before="120" w:after="120"/>
              <w:ind w:left="113"/>
              <w:rPr>
                <w:rFonts w:cs="Calibri"/>
                <w:b/>
                <w:i/>
                <w:sz w:val="16"/>
                <w:szCs w:val="16"/>
                <w:u w:val="single"/>
              </w:rPr>
            </w:pPr>
            <w:r w:rsidRPr="002F794B">
              <w:rPr>
                <w:rFonts w:cs="Calibri"/>
                <w:b/>
                <w:i/>
                <w:sz w:val="16"/>
                <w:szCs w:val="16"/>
                <w:u w:val="single"/>
              </w:rPr>
              <w:t>2400 - 2483.5</w:t>
            </w:r>
          </w:p>
        </w:tc>
        <w:tc>
          <w:tcPr>
            <w:tcW w:w="1263" w:type="dxa"/>
          </w:tcPr>
          <w:p w14:paraId="1F5901D2" w14:textId="77777777" w:rsidR="00174F22" w:rsidRPr="002F794B" w:rsidRDefault="00174F22" w:rsidP="00FF1FDE">
            <w:pPr>
              <w:spacing w:before="120" w:after="120"/>
              <w:ind w:left="113"/>
              <w:rPr>
                <w:rFonts w:cs="Calibri"/>
                <w:i/>
                <w:sz w:val="16"/>
                <w:szCs w:val="16"/>
              </w:rPr>
            </w:pPr>
          </w:p>
        </w:tc>
      </w:tr>
    </w:tbl>
    <w:p w14:paraId="41714C19" w14:textId="05A144E2" w:rsidR="002A4D20" w:rsidRPr="002F794B" w:rsidRDefault="004E5569" w:rsidP="00135B38">
      <w:pPr>
        <w:ind w:left="567" w:right="616"/>
        <w:rPr>
          <w:i/>
          <w:iCs/>
        </w:rPr>
      </w:pPr>
      <w:r w:rsidRPr="002F794B">
        <w:rPr>
          <w:i/>
          <w:iCs/>
        </w:rPr>
        <w:t>“</w:t>
      </w:r>
    </w:p>
    <w:p w14:paraId="0C6AD8C1" w14:textId="77777777" w:rsidR="004E5569" w:rsidRPr="002F794B" w:rsidRDefault="004E5569" w:rsidP="004E5569">
      <w:pPr>
        <w:ind w:left="567" w:right="616"/>
        <w:rPr>
          <w:b/>
          <w:i/>
          <w:iCs/>
        </w:rPr>
      </w:pPr>
      <w:r w:rsidRPr="002F794B">
        <w:rPr>
          <w:b/>
          <w:i/>
          <w:iCs/>
        </w:rPr>
        <w:t>JUSTIFICACIÓN:</w:t>
      </w:r>
    </w:p>
    <w:p w14:paraId="7A0A0B26" w14:textId="77777777" w:rsidR="004E5569" w:rsidRPr="002F794B" w:rsidRDefault="004E5569" w:rsidP="004E5569">
      <w:pPr>
        <w:ind w:left="567" w:right="616"/>
        <w:rPr>
          <w:i/>
          <w:iCs/>
        </w:rPr>
      </w:pPr>
      <w:r w:rsidRPr="002F794B">
        <w:rPr>
          <w:i/>
          <w:iCs/>
        </w:rPr>
        <w:t>Existen sistemas de micrófonos inalámbricos en la banda DECT 1920 a 1930 MHz, así como en bandas de 2.4 y 5 GHz, de acuerdo con un artículo publicado por la FCC, del cual se incluye la siguiente liga como referencia:</w:t>
      </w:r>
    </w:p>
    <w:p w14:paraId="065C188A" w14:textId="7B86E1E2" w:rsidR="00135B38" w:rsidRPr="002F794B" w:rsidRDefault="004E5569" w:rsidP="004E5569">
      <w:pPr>
        <w:ind w:left="567" w:right="616"/>
        <w:rPr>
          <w:i/>
          <w:iCs/>
        </w:rPr>
      </w:pPr>
      <w:hyperlink r:id="rId16" w:history="1">
        <w:r w:rsidRPr="002F794B">
          <w:rPr>
            <w:rStyle w:val="Hipervnculo"/>
            <w:i/>
            <w:iCs/>
            <w:color w:val="auto"/>
          </w:rPr>
          <w:t>https://www.fcc.gov/consumers/guides/operacion-de-microfonos-inalambricos</w:t>
        </w:r>
      </w:hyperlink>
      <w:r w:rsidR="0059476F" w:rsidRPr="002F794B">
        <w:rPr>
          <w:i/>
          <w:iCs/>
        </w:rPr>
        <w:t>”</w:t>
      </w:r>
    </w:p>
    <w:p w14:paraId="1AC28B51" w14:textId="77777777" w:rsidR="00D646EB" w:rsidRPr="002F794B" w:rsidRDefault="00D646EB" w:rsidP="00D646EB">
      <w:pPr>
        <w:rPr>
          <w:u w:val="single"/>
        </w:rPr>
      </w:pPr>
      <w:r w:rsidRPr="002F794B">
        <w:rPr>
          <w:u w:val="single"/>
        </w:rPr>
        <w:t>Respuesta</w:t>
      </w:r>
    </w:p>
    <w:p w14:paraId="06067B07" w14:textId="00040F9A" w:rsidR="00E039FA" w:rsidRPr="002F794B" w:rsidRDefault="0071793C" w:rsidP="00D646EB">
      <w:r w:rsidRPr="002F794B">
        <w:t>Derivado de que se ha eliminado la categoría de "Teléfonos inalámbricos" no se considera la propuesta.</w:t>
      </w:r>
    </w:p>
    <w:p w14:paraId="78E65E8B" w14:textId="77777777" w:rsidR="0071793C" w:rsidRPr="002F794B" w:rsidRDefault="0071793C" w:rsidP="00D646EB"/>
    <w:p w14:paraId="71532B14" w14:textId="0618F1F2" w:rsidR="00D646EB" w:rsidRPr="002F794B" w:rsidRDefault="00D646EB" w:rsidP="00D646EB">
      <w:pPr>
        <w:rPr>
          <w:u w:val="single"/>
        </w:rPr>
      </w:pPr>
      <w:r w:rsidRPr="002F794B">
        <w:rPr>
          <w:u w:val="single"/>
        </w:rPr>
        <w:t>Participante</w:t>
      </w:r>
    </w:p>
    <w:p w14:paraId="1EA895A1" w14:textId="78E8269A" w:rsidR="00D646EB" w:rsidRPr="002F794B" w:rsidRDefault="003E4052" w:rsidP="00D646EB">
      <w:proofErr w:type="spellStart"/>
      <w:r w:rsidRPr="002F794B">
        <w:t>Shure</w:t>
      </w:r>
      <w:proofErr w:type="spellEnd"/>
      <w:r w:rsidRPr="002F794B">
        <w:t xml:space="preserve"> </w:t>
      </w:r>
      <w:proofErr w:type="spellStart"/>
      <w:r w:rsidRPr="002F794B">
        <w:t>Incorporated</w:t>
      </w:r>
      <w:proofErr w:type="spellEnd"/>
    </w:p>
    <w:p w14:paraId="4481029A" w14:textId="77777777" w:rsidR="00D646EB" w:rsidRPr="002F794B" w:rsidRDefault="00D646EB" w:rsidP="00D646EB">
      <w:pPr>
        <w:rPr>
          <w:u w:val="single"/>
        </w:rPr>
      </w:pPr>
      <w:r w:rsidRPr="002F794B">
        <w:rPr>
          <w:u w:val="single"/>
        </w:rPr>
        <w:t>Comentario y propuesta</w:t>
      </w:r>
    </w:p>
    <w:p w14:paraId="5189EA72" w14:textId="1191C30D" w:rsidR="00FF6932" w:rsidRPr="002F794B" w:rsidRDefault="001C6D4F" w:rsidP="00FF6932">
      <w:pPr>
        <w:ind w:left="567" w:right="616"/>
        <w:rPr>
          <w:i/>
          <w:iCs/>
        </w:rPr>
      </w:pPr>
      <w:r w:rsidRPr="002F794B">
        <w:rPr>
          <w:i/>
          <w:iCs/>
        </w:rPr>
        <w:lastRenderedPageBreak/>
        <w:t>“</w:t>
      </w:r>
      <w:r w:rsidR="00FF6932" w:rsidRPr="002F794B">
        <w:rPr>
          <w:i/>
          <w:iCs/>
        </w:rPr>
        <w:t>Ya que los rangos de frecuencia 2400 – 2483.5 MHz y 1880 – 1900 MHz no se mencionan en la Tabla 6, proponemos tratar los micrófonos inalámbricos, que utilizan estos rangos, de la siguiente manera:</w:t>
      </w:r>
    </w:p>
    <w:p w14:paraId="6638D300" w14:textId="7DE50212" w:rsidR="00FF6932" w:rsidRPr="002F794B" w:rsidRDefault="00FF6932" w:rsidP="00FF6932">
      <w:pPr>
        <w:pStyle w:val="Prrafodelista"/>
        <w:numPr>
          <w:ilvl w:val="0"/>
          <w:numId w:val="6"/>
        </w:numPr>
        <w:ind w:right="616"/>
        <w:rPr>
          <w:i/>
          <w:iCs/>
        </w:rPr>
      </w:pPr>
      <w:r w:rsidRPr="002F794B">
        <w:rPr>
          <w:i/>
          <w:iCs/>
        </w:rPr>
        <w:t>Micrófonos inalámbricos que utilizan 2400 – 2483.5 MHz en la categoría de DRBP genéricos</w:t>
      </w:r>
    </w:p>
    <w:p w14:paraId="0B17E699" w14:textId="11EFB666" w:rsidR="00FF6932" w:rsidRPr="002F794B" w:rsidRDefault="00FF6932" w:rsidP="00FF6932">
      <w:pPr>
        <w:pStyle w:val="Prrafodelista"/>
        <w:numPr>
          <w:ilvl w:val="0"/>
          <w:numId w:val="6"/>
        </w:numPr>
        <w:ind w:right="616"/>
        <w:rPr>
          <w:i/>
          <w:iCs/>
        </w:rPr>
      </w:pPr>
      <w:r w:rsidRPr="002F794B">
        <w:rPr>
          <w:i/>
          <w:iCs/>
        </w:rPr>
        <w:t>Micrófonos inalámbricos que utilizan 1880 – 1900 MHz en la categoría de teléfonos inalámbricos.</w:t>
      </w:r>
      <w:r w:rsidR="001C6D4F" w:rsidRPr="002F794B">
        <w:rPr>
          <w:i/>
          <w:iCs/>
        </w:rPr>
        <w:t>”</w:t>
      </w:r>
    </w:p>
    <w:p w14:paraId="514785E8" w14:textId="77777777" w:rsidR="00D646EB" w:rsidRPr="002F794B" w:rsidRDefault="00D646EB" w:rsidP="00D646EB">
      <w:pPr>
        <w:rPr>
          <w:u w:val="single"/>
        </w:rPr>
      </w:pPr>
      <w:r w:rsidRPr="002F794B">
        <w:rPr>
          <w:u w:val="single"/>
        </w:rPr>
        <w:t>Respuesta</w:t>
      </w:r>
    </w:p>
    <w:p w14:paraId="7570BEB6" w14:textId="1549E386" w:rsidR="0016007F" w:rsidRPr="002F794B" w:rsidRDefault="0071793C" w:rsidP="00D646EB">
      <w:r w:rsidRPr="002F794B">
        <w:t>Derivado de que se ha eliminado la categoría de "Teléfonos inalámbricos" no se considera la propuesta.</w:t>
      </w:r>
    </w:p>
    <w:p w14:paraId="72D8A3A0" w14:textId="77777777" w:rsidR="0071793C" w:rsidRPr="002F794B" w:rsidRDefault="0071793C" w:rsidP="00D646EB">
      <w:pPr>
        <w:rPr>
          <w:u w:val="single"/>
        </w:rPr>
      </w:pPr>
    </w:p>
    <w:p w14:paraId="0A72CDF0" w14:textId="6946DC93" w:rsidR="00D646EB" w:rsidRPr="002F794B" w:rsidRDefault="00904011" w:rsidP="00DE39DA">
      <w:pPr>
        <w:outlineLvl w:val="1"/>
        <w:rPr>
          <w:b/>
          <w:bCs/>
        </w:rPr>
      </w:pPr>
      <w:r w:rsidRPr="002F794B">
        <w:rPr>
          <w:b/>
          <w:bCs/>
        </w:rPr>
        <w:t>Numeral 7.2.2</w:t>
      </w:r>
    </w:p>
    <w:p w14:paraId="440866DE" w14:textId="77777777" w:rsidR="00D646EB" w:rsidRPr="002F794B" w:rsidRDefault="00D646EB" w:rsidP="00D646EB">
      <w:pPr>
        <w:rPr>
          <w:u w:val="single"/>
        </w:rPr>
      </w:pPr>
      <w:r w:rsidRPr="002F794B">
        <w:rPr>
          <w:u w:val="single"/>
        </w:rPr>
        <w:t>Participante</w:t>
      </w:r>
    </w:p>
    <w:p w14:paraId="115F284B" w14:textId="434C2FA2" w:rsidR="00D646EB" w:rsidRPr="002F794B" w:rsidRDefault="000A6F57" w:rsidP="00D646EB">
      <w:r w:rsidRPr="002F794B">
        <w:t>Consejo Mexicano de Normalización y Evaluación de la Conformidad A.C.</w:t>
      </w:r>
    </w:p>
    <w:p w14:paraId="0A999054" w14:textId="77777777" w:rsidR="00D646EB" w:rsidRPr="002F794B" w:rsidRDefault="00D646EB" w:rsidP="00D646EB">
      <w:pPr>
        <w:rPr>
          <w:u w:val="single"/>
        </w:rPr>
      </w:pPr>
      <w:r w:rsidRPr="002F794B">
        <w:rPr>
          <w:u w:val="single"/>
        </w:rPr>
        <w:t>Comentario y propuesta</w:t>
      </w:r>
    </w:p>
    <w:p w14:paraId="40429A24" w14:textId="4469288E" w:rsidR="00D646EB" w:rsidRPr="002F794B" w:rsidRDefault="00AF07D9" w:rsidP="00D646EB">
      <w:pPr>
        <w:ind w:left="567" w:right="616"/>
        <w:rPr>
          <w:i/>
          <w:iCs/>
        </w:rPr>
      </w:pPr>
      <w:r w:rsidRPr="002F794B">
        <w:rPr>
          <w:i/>
          <w:iCs/>
        </w:rPr>
        <w:t>Se establece que el fabricante debe declarar el BW</w:t>
      </w:r>
      <w:r w:rsidRPr="002F794B">
        <w:rPr>
          <w:i/>
          <w:iCs/>
          <w:vertAlign w:val="subscript"/>
        </w:rPr>
        <w:t>OC</w:t>
      </w:r>
      <w:r w:rsidRPr="002F794B">
        <w:rPr>
          <w:i/>
          <w:iCs/>
        </w:rPr>
        <w:t xml:space="preserve">, sin embargo este parámetro se medirá utilizando el método descrito en 8.5, por lo que causa confusión que valor se </w:t>
      </w:r>
      <w:proofErr w:type="gramStart"/>
      <w:r w:rsidRPr="002F794B">
        <w:rPr>
          <w:i/>
          <w:iCs/>
        </w:rPr>
        <w:t>tomara</w:t>
      </w:r>
      <w:proofErr w:type="gramEnd"/>
      <w:r w:rsidRPr="002F794B">
        <w:rPr>
          <w:i/>
          <w:iCs/>
        </w:rPr>
        <w:t xml:space="preserve"> en cuenta, la medición o el valor entregado por el fabricante.</w:t>
      </w:r>
    </w:p>
    <w:p w14:paraId="562036B0" w14:textId="77777777" w:rsidR="00D646EB" w:rsidRPr="002F794B" w:rsidRDefault="00D646EB" w:rsidP="00D646EB">
      <w:pPr>
        <w:rPr>
          <w:u w:val="single"/>
        </w:rPr>
      </w:pPr>
      <w:r w:rsidRPr="002F794B">
        <w:rPr>
          <w:u w:val="single"/>
        </w:rPr>
        <w:t>Respuesta</w:t>
      </w:r>
    </w:p>
    <w:p w14:paraId="2CDECF16" w14:textId="3DBAF4E2" w:rsidR="00D646EB" w:rsidRPr="002F794B" w:rsidRDefault="00A514B4" w:rsidP="00D646EB">
      <w:r w:rsidRPr="002F794B">
        <w:t>No se considera. El valor del BW</w:t>
      </w:r>
      <w:r w:rsidRPr="002F794B">
        <w:rPr>
          <w:vertAlign w:val="subscript"/>
        </w:rPr>
        <w:t>oc</w:t>
      </w:r>
      <w:r w:rsidRPr="002F794B">
        <w:t xml:space="preserve"> proporcionado por el </w:t>
      </w:r>
      <w:r w:rsidR="00F37EDA" w:rsidRPr="002F794B">
        <w:t>intere</w:t>
      </w:r>
      <w:r w:rsidR="00795DA9" w:rsidRPr="002F794B">
        <w:t>s</w:t>
      </w:r>
      <w:r w:rsidR="00F37EDA" w:rsidRPr="002F794B">
        <w:t xml:space="preserve">ado </w:t>
      </w:r>
      <w:r w:rsidRPr="002F794B">
        <w:t xml:space="preserve">es informativo; los valores de </w:t>
      </w:r>
      <w:proofErr w:type="spellStart"/>
      <w:r w:rsidRPr="002F794B">
        <w:t>BW</w:t>
      </w:r>
      <w:r w:rsidRPr="002F794B">
        <w:rPr>
          <w:vertAlign w:val="subscript"/>
        </w:rPr>
        <w:t>max</w:t>
      </w:r>
      <w:proofErr w:type="spellEnd"/>
      <w:r w:rsidRPr="002F794B">
        <w:t xml:space="preserve"> previstos en la DT serán los valores </w:t>
      </w:r>
      <w:r w:rsidR="00795DA9" w:rsidRPr="002F794B">
        <w:t>por</w:t>
      </w:r>
      <w:r w:rsidRPr="002F794B">
        <w:t xml:space="preserve"> medir por el LP. Los resultados obtenidos por el LP deberán ser menores a los señalados en la DT.</w:t>
      </w:r>
    </w:p>
    <w:p w14:paraId="6152E42C" w14:textId="77777777" w:rsidR="00D646EB" w:rsidRPr="002F794B" w:rsidRDefault="00D646EB" w:rsidP="00DE0659"/>
    <w:p w14:paraId="652EB130" w14:textId="77777777" w:rsidR="00D646EB" w:rsidRPr="002F794B" w:rsidRDefault="00D646EB" w:rsidP="00D646EB">
      <w:pPr>
        <w:rPr>
          <w:u w:val="single"/>
        </w:rPr>
      </w:pPr>
      <w:r w:rsidRPr="002F794B">
        <w:rPr>
          <w:u w:val="single"/>
        </w:rPr>
        <w:t>Participante</w:t>
      </w:r>
    </w:p>
    <w:p w14:paraId="4B5071C0" w14:textId="20076264" w:rsidR="00D646EB" w:rsidRPr="002F794B" w:rsidRDefault="00FE1303" w:rsidP="00D646EB">
      <w:r w:rsidRPr="002F794B">
        <w:t>Asociación de Normalización y Certificación, S.A. de C.V.</w:t>
      </w:r>
    </w:p>
    <w:p w14:paraId="6828C17E" w14:textId="77777777" w:rsidR="00D646EB" w:rsidRPr="002F794B" w:rsidRDefault="00D646EB" w:rsidP="00D646EB">
      <w:pPr>
        <w:rPr>
          <w:u w:val="single"/>
        </w:rPr>
      </w:pPr>
      <w:r w:rsidRPr="002F794B">
        <w:rPr>
          <w:u w:val="single"/>
        </w:rPr>
        <w:t>Comentario y propuesta</w:t>
      </w:r>
    </w:p>
    <w:p w14:paraId="3C5C2B7B" w14:textId="660F9248" w:rsidR="004B1E00" w:rsidRPr="002F794B" w:rsidRDefault="004B1E00" w:rsidP="004B1E00">
      <w:pPr>
        <w:ind w:left="567" w:right="616"/>
        <w:rPr>
          <w:i/>
          <w:iCs/>
        </w:rPr>
      </w:pPr>
      <w:r w:rsidRPr="002F794B">
        <w:rPr>
          <w:i/>
          <w:iCs/>
        </w:rPr>
        <w:t>“</w:t>
      </w:r>
      <w:r w:rsidRPr="002F794B">
        <w:rPr>
          <w:b/>
          <w:bCs/>
          <w:i/>
          <w:iCs/>
        </w:rPr>
        <w:t>Dice:</w:t>
      </w:r>
      <w:r w:rsidRPr="002F794B">
        <w:rPr>
          <w:i/>
          <w:iCs/>
        </w:rPr>
        <w:t xml:space="preserve"> El BW</w:t>
      </w:r>
      <w:r w:rsidRPr="002F794B">
        <w:rPr>
          <w:i/>
          <w:iCs/>
          <w:vertAlign w:val="subscript"/>
        </w:rPr>
        <w:t>Max</w:t>
      </w:r>
      <w:r w:rsidRPr="002F794B">
        <w:rPr>
          <w:i/>
          <w:iCs/>
        </w:rPr>
        <w:t xml:space="preserve"> permitidos son los establecidos en la Tabla 7. El fabricante debe declarar el BWoc del DRBP, el cual debe ser menor o igual a BW</w:t>
      </w:r>
      <w:r w:rsidRPr="002F794B">
        <w:rPr>
          <w:i/>
          <w:iCs/>
          <w:vertAlign w:val="subscript"/>
        </w:rPr>
        <w:t>Max</w:t>
      </w:r>
      <w:r w:rsidRPr="002F794B">
        <w:rPr>
          <w:i/>
          <w:iCs/>
        </w:rPr>
        <w:t>.</w:t>
      </w:r>
    </w:p>
    <w:p w14:paraId="36FCDB29" w14:textId="77777777" w:rsidR="004B1E00" w:rsidRPr="002F794B" w:rsidRDefault="004B1E00" w:rsidP="004B1E00">
      <w:pPr>
        <w:ind w:left="567" w:right="616"/>
        <w:rPr>
          <w:i/>
          <w:iCs/>
        </w:rPr>
      </w:pPr>
      <w:r w:rsidRPr="002F794B">
        <w:rPr>
          <w:b/>
          <w:bCs/>
          <w:i/>
          <w:iCs/>
        </w:rPr>
        <w:t>Debe decir:</w:t>
      </w:r>
      <w:r w:rsidRPr="002F794B">
        <w:rPr>
          <w:i/>
          <w:iCs/>
        </w:rPr>
        <w:t xml:space="preserve"> Los BW</w:t>
      </w:r>
      <w:r w:rsidRPr="002F794B">
        <w:rPr>
          <w:i/>
          <w:iCs/>
          <w:vertAlign w:val="subscript"/>
        </w:rPr>
        <w:t>Max</w:t>
      </w:r>
      <w:r w:rsidRPr="002F794B">
        <w:rPr>
          <w:i/>
          <w:iCs/>
        </w:rPr>
        <w:t xml:space="preserve"> permitidos son los establecidos en la Tabla 7. El interesado debe declarar al Organismo de Certificación y al Laboratorio de Pruebas el BWoc del DRBP, el cual debe ser menor o igual a BW</w:t>
      </w:r>
      <w:r w:rsidRPr="002F794B">
        <w:rPr>
          <w:i/>
          <w:iCs/>
          <w:vertAlign w:val="subscript"/>
        </w:rPr>
        <w:t>Max</w:t>
      </w:r>
      <w:r w:rsidRPr="002F794B">
        <w:rPr>
          <w:i/>
          <w:iCs/>
        </w:rPr>
        <w:t>.</w:t>
      </w:r>
    </w:p>
    <w:p w14:paraId="7E93EA71" w14:textId="7E6BB57C" w:rsidR="00D646EB" w:rsidRPr="002F794B" w:rsidRDefault="004B1E00" w:rsidP="004B1E00">
      <w:pPr>
        <w:ind w:left="567" w:right="616"/>
        <w:rPr>
          <w:i/>
          <w:iCs/>
        </w:rPr>
      </w:pPr>
      <w:r w:rsidRPr="002F794B">
        <w:rPr>
          <w:b/>
          <w:bCs/>
          <w:i/>
          <w:iCs/>
        </w:rPr>
        <w:lastRenderedPageBreak/>
        <w:t>Justificación:</w:t>
      </w:r>
      <w:r w:rsidRPr="002F794B">
        <w:rPr>
          <w:i/>
          <w:iCs/>
        </w:rPr>
        <w:t xml:space="preserve"> Se propone modificación por error de concordancia de número. Por otro lado, la redacción actual del Anteproyecto indica que el fabricante debe realizar una declaración, pero no especifica en dónde, ni a qué entidad. Considerando que la responsabilidad de la Evaluación de la Conformidad recae en el solicitante, se propone su adjudicación al interesado, realizando la declaración a las partes directamente interesadas, los Organismos de Evaluación de la Conformidad.”</w:t>
      </w:r>
    </w:p>
    <w:p w14:paraId="0B95F1EE" w14:textId="77777777" w:rsidR="00D646EB" w:rsidRPr="002F794B" w:rsidRDefault="00D646EB" w:rsidP="00D646EB">
      <w:pPr>
        <w:rPr>
          <w:u w:val="single"/>
        </w:rPr>
      </w:pPr>
      <w:r w:rsidRPr="002F794B">
        <w:rPr>
          <w:u w:val="single"/>
        </w:rPr>
        <w:t>Respuesta</w:t>
      </w:r>
    </w:p>
    <w:p w14:paraId="29E8AE94" w14:textId="5731687F" w:rsidR="008F7EA4" w:rsidRPr="002F794B" w:rsidRDefault="0032499A" w:rsidP="00D646EB">
      <w:r w:rsidRPr="002F794B">
        <w:t>No se considera. La DT indica que el interesado debe declarar el BW</w:t>
      </w:r>
      <w:r w:rsidRPr="002F794B">
        <w:rPr>
          <w:vertAlign w:val="subscript"/>
        </w:rPr>
        <w:t>ch</w:t>
      </w:r>
      <w:r w:rsidRPr="002F794B">
        <w:t xml:space="preserve"> y N</w:t>
      </w:r>
      <w:r w:rsidRPr="002F794B">
        <w:rPr>
          <w:vertAlign w:val="subscript"/>
        </w:rPr>
        <w:t>ch</w:t>
      </w:r>
      <w:r w:rsidRPr="002F794B">
        <w:t>, ya sea en la documentación, en formatos o en manuales de usuario.</w:t>
      </w:r>
    </w:p>
    <w:p w14:paraId="78A3B239" w14:textId="77777777" w:rsidR="0032499A" w:rsidRPr="002F794B" w:rsidRDefault="0032499A" w:rsidP="00D646EB"/>
    <w:p w14:paraId="38EE4AD4" w14:textId="77777777" w:rsidR="008F7EA4" w:rsidRPr="002F794B" w:rsidRDefault="008F7EA4" w:rsidP="008F7EA4">
      <w:pPr>
        <w:rPr>
          <w:u w:val="single"/>
        </w:rPr>
      </w:pPr>
      <w:r w:rsidRPr="002F794B">
        <w:rPr>
          <w:u w:val="single"/>
        </w:rPr>
        <w:t>Participante</w:t>
      </w:r>
    </w:p>
    <w:p w14:paraId="28B97491" w14:textId="7CD38619" w:rsidR="008F7EA4" w:rsidRPr="002F794B" w:rsidRDefault="00210EC7" w:rsidP="008F7EA4">
      <w:proofErr w:type="spellStart"/>
      <w:r w:rsidRPr="002F794B">
        <w:t>Shure</w:t>
      </w:r>
      <w:proofErr w:type="spellEnd"/>
      <w:r w:rsidRPr="002F794B">
        <w:t xml:space="preserve"> </w:t>
      </w:r>
      <w:proofErr w:type="spellStart"/>
      <w:r w:rsidRPr="002F794B">
        <w:t>Incorporated</w:t>
      </w:r>
      <w:proofErr w:type="spellEnd"/>
    </w:p>
    <w:p w14:paraId="6DB9B870" w14:textId="77777777" w:rsidR="008F7EA4" w:rsidRPr="002F794B" w:rsidRDefault="008F7EA4" w:rsidP="008F7EA4">
      <w:pPr>
        <w:rPr>
          <w:u w:val="single"/>
        </w:rPr>
      </w:pPr>
      <w:r w:rsidRPr="002F794B">
        <w:rPr>
          <w:u w:val="single"/>
        </w:rPr>
        <w:t>Comentario y propuesta</w:t>
      </w:r>
    </w:p>
    <w:p w14:paraId="06304BB7" w14:textId="77777777" w:rsidR="00544A23" w:rsidRPr="002F794B" w:rsidRDefault="00544A23" w:rsidP="00544A23">
      <w:pPr>
        <w:ind w:left="567" w:right="616"/>
        <w:rPr>
          <w:i/>
          <w:iCs/>
        </w:rPr>
      </w:pPr>
      <w:r w:rsidRPr="002F794B">
        <w:rPr>
          <w:i/>
          <w:iCs/>
        </w:rPr>
        <w:t>"En ETSI EN 300 422-1, la diferenciación entre un ancho de banda de canal declarado B y un ancho de banda de canal ocupado, donde el ancho de banda de canal ocupado contiene el 99% de la potencia de la señal; sin embargo, dependiendo del tipo de DUT, el ancho de banda de canal ocupado estará entre 70% y 100% (para micrófonos inalámbricos digitales) o hasta 100% (para micrófonos inalámbricos analógicos) de B durante los intervalos del tiempo de transmisión. B recibe la información del producto para realizar pruebas.</w:t>
      </w:r>
    </w:p>
    <w:p w14:paraId="05D5560B" w14:textId="77777777" w:rsidR="00544A23" w:rsidRPr="002F794B" w:rsidRDefault="00544A23" w:rsidP="00544A23">
      <w:pPr>
        <w:ind w:left="567" w:right="616"/>
        <w:rPr>
          <w:i/>
          <w:iCs/>
        </w:rPr>
      </w:pPr>
      <w:r w:rsidRPr="002F794B">
        <w:rPr>
          <w:i/>
          <w:iCs/>
        </w:rPr>
        <w:t>En la especificación del IFT, asumimos que BWMax corresponde al ancho de banda del canal declarado de EN 300 422-1.</w:t>
      </w:r>
    </w:p>
    <w:p w14:paraId="64529E10" w14:textId="77777777" w:rsidR="00544A23" w:rsidRPr="002F794B" w:rsidRDefault="00544A23" w:rsidP="00544A23">
      <w:pPr>
        <w:ind w:left="567" w:right="616"/>
        <w:rPr>
          <w:i/>
          <w:iCs/>
        </w:rPr>
      </w:pPr>
      <w:r w:rsidRPr="002F794B">
        <w:rPr>
          <w:i/>
          <w:iCs/>
        </w:rPr>
        <w:t>Falta un límite inferior para BWOC. Solo el límite superior se especifica por medio de</w:t>
      </w:r>
    </w:p>
    <w:p w14:paraId="5086C33F" w14:textId="7EEB30F1" w:rsidR="00544A23" w:rsidRPr="002F794B" w:rsidRDefault="00544A23" w:rsidP="00544A23">
      <w:pPr>
        <w:ind w:left="567" w:right="616"/>
        <w:rPr>
          <w:i/>
          <w:iCs/>
        </w:rPr>
      </w:pPr>
      <w:r w:rsidRPr="002F794B">
        <w:rPr>
          <w:i/>
          <w:iCs/>
        </w:rPr>
        <w:t>BWOC ≤ BWMax</w:t>
      </w:r>
      <w:r w:rsidR="00A119C7" w:rsidRPr="002F794B">
        <w:rPr>
          <w:i/>
          <w:iCs/>
        </w:rPr>
        <w:t>.</w:t>
      </w:r>
    </w:p>
    <w:p w14:paraId="08E591C2" w14:textId="5CFD3641" w:rsidR="008F7EA4" w:rsidRPr="002F794B" w:rsidRDefault="00544A23" w:rsidP="00544A23">
      <w:pPr>
        <w:ind w:left="567" w:right="616"/>
        <w:rPr>
          <w:i/>
          <w:iCs/>
        </w:rPr>
      </w:pPr>
      <w:r w:rsidRPr="002F794B">
        <w:rPr>
          <w:i/>
          <w:iCs/>
        </w:rPr>
        <w:t>Proponemos agregar un valor más bajo para BWOC de conformidad con ETSI EN 300 422-1."</w:t>
      </w:r>
    </w:p>
    <w:p w14:paraId="6A1576B2" w14:textId="77777777" w:rsidR="008F7EA4" w:rsidRPr="002F794B" w:rsidRDefault="008F7EA4" w:rsidP="008F7EA4">
      <w:pPr>
        <w:rPr>
          <w:u w:val="single"/>
        </w:rPr>
      </w:pPr>
      <w:r w:rsidRPr="002F794B">
        <w:rPr>
          <w:u w:val="single"/>
        </w:rPr>
        <w:t>Respuesta</w:t>
      </w:r>
    </w:p>
    <w:p w14:paraId="547785D8" w14:textId="33A25B3D" w:rsidR="008F7EA4" w:rsidRPr="002F794B" w:rsidRDefault="00DC2B53" w:rsidP="008F7EA4">
      <w:r w:rsidRPr="002F794B">
        <w:t xml:space="preserve">Se considera y se establece que el límite mínimo para Micrófonos inalámbricos digitales y WMAS </w:t>
      </w:r>
      <w:r w:rsidR="00CF0A52" w:rsidRPr="002F794B">
        <w:t xml:space="preserve">es </w:t>
      </w:r>
      <w:r w:rsidRPr="002F794B">
        <w:t>de 70% del BW</w:t>
      </w:r>
      <w:r w:rsidR="00CF0A52" w:rsidRPr="002F794B">
        <w:rPr>
          <w:vertAlign w:val="subscript"/>
        </w:rPr>
        <w:t>OC</w:t>
      </w:r>
      <w:r w:rsidRPr="002F794B">
        <w:t>.</w:t>
      </w:r>
    </w:p>
    <w:p w14:paraId="76138052" w14:textId="77777777" w:rsidR="00D646EB" w:rsidRPr="002F794B" w:rsidRDefault="00D646EB" w:rsidP="00DE0659"/>
    <w:p w14:paraId="074EAC91" w14:textId="77777777" w:rsidR="008F7EA4" w:rsidRPr="002F794B" w:rsidRDefault="008F7EA4" w:rsidP="00CF0A52">
      <w:pPr>
        <w:keepNext/>
        <w:rPr>
          <w:u w:val="single"/>
        </w:rPr>
      </w:pPr>
      <w:r w:rsidRPr="002F794B">
        <w:rPr>
          <w:u w:val="single"/>
        </w:rPr>
        <w:lastRenderedPageBreak/>
        <w:t>Participante</w:t>
      </w:r>
    </w:p>
    <w:p w14:paraId="703EF922" w14:textId="1D5CB838" w:rsidR="008F7EA4" w:rsidRPr="002F794B" w:rsidRDefault="005F2319" w:rsidP="00CF0A52">
      <w:pPr>
        <w:keepNext/>
      </w:pPr>
      <w:r w:rsidRPr="002F794B">
        <w:t>Cámara Nacional de la Industria Electrónica, de Telecomunicaciones y Tecnologías de la Información</w:t>
      </w:r>
    </w:p>
    <w:p w14:paraId="3AE891FA" w14:textId="77777777" w:rsidR="008F7EA4" w:rsidRPr="002F794B" w:rsidRDefault="008F7EA4" w:rsidP="008F7EA4">
      <w:pPr>
        <w:rPr>
          <w:u w:val="single"/>
        </w:rPr>
      </w:pPr>
      <w:r w:rsidRPr="002F794B">
        <w:rPr>
          <w:u w:val="single"/>
        </w:rPr>
        <w:t>Comentario y propuesta</w:t>
      </w:r>
    </w:p>
    <w:p w14:paraId="0734EAC8" w14:textId="31CFA9CF" w:rsidR="008F7EA4" w:rsidRPr="002F794B" w:rsidRDefault="001868EC" w:rsidP="008F7EA4">
      <w:pPr>
        <w:ind w:left="567" w:right="616"/>
        <w:rPr>
          <w:i/>
          <w:iCs/>
        </w:rPr>
      </w:pPr>
      <w:r w:rsidRPr="002F794B">
        <w:rPr>
          <w:i/>
          <w:iCs/>
        </w:rPr>
        <w:t>Se establece que el fabricante debe declarar el BW</w:t>
      </w:r>
      <w:r w:rsidRPr="002F794B">
        <w:rPr>
          <w:i/>
          <w:iCs/>
          <w:vertAlign w:val="subscript"/>
        </w:rPr>
        <w:t>OC</w:t>
      </w:r>
      <w:r w:rsidRPr="002F794B">
        <w:rPr>
          <w:i/>
          <w:iCs/>
        </w:rPr>
        <w:t>; sin embargo, este parámetro se medirá utilizando el método descrito en 8.5, por lo que causa confusión qué valor se tomará en cuenta, la medición o el valor entregado por el fabricante.</w:t>
      </w:r>
    </w:p>
    <w:p w14:paraId="141FAEA9" w14:textId="77777777" w:rsidR="008F7EA4" w:rsidRPr="002F794B" w:rsidRDefault="008F7EA4" w:rsidP="008F7EA4">
      <w:pPr>
        <w:rPr>
          <w:u w:val="single"/>
        </w:rPr>
      </w:pPr>
      <w:r w:rsidRPr="002F794B">
        <w:rPr>
          <w:u w:val="single"/>
        </w:rPr>
        <w:t>Respuesta</w:t>
      </w:r>
    </w:p>
    <w:p w14:paraId="6BF73F92" w14:textId="50257593" w:rsidR="008F7EA4" w:rsidRPr="002F794B" w:rsidRDefault="00BC09C9" w:rsidP="00DE0659">
      <w:r w:rsidRPr="002F794B">
        <w:t>No se considera. El valor del BW</w:t>
      </w:r>
      <w:r w:rsidRPr="002F794B">
        <w:rPr>
          <w:vertAlign w:val="subscript"/>
        </w:rPr>
        <w:t>oc</w:t>
      </w:r>
      <w:r w:rsidRPr="002F794B">
        <w:t xml:space="preserve"> proporcionado por el interesado es informativo; los valores de </w:t>
      </w:r>
      <w:proofErr w:type="spellStart"/>
      <w:r w:rsidRPr="002F794B">
        <w:t>BW</w:t>
      </w:r>
      <w:r w:rsidRPr="002F794B">
        <w:rPr>
          <w:vertAlign w:val="subscript"/>
        </w:rPr>
        <w:t>max</w:t>
      </w:r>
      <w:proofErr w:type="spellEnd"/>
      <w:r w:rsidRPr="002F794B">
        <w:t xml:space="preserve"> previstos en la DT serán los valores </w:t>
      </w:r>
      <w:r w:rsidR="00795DA9" w:rsidRPr="002F794B">
        <w:t xml:space="preserve">por </w:t>
      </w:r>
      <w:r w:rsidRPr="002F794B">
        <w:t>medir por el LP. Los resultados obtenidos por el LP deberán ser menores a los señalados en la DT.</w:t>
      </w:r>
    </w:p>
    <w:p w14:paraId="1CA29C7F" w14:textId="77777777" w:rsidR="00BC09C9" w:rsidRPr="002F794B" w:rsidRDefault="00BC09C9" w:rsidP="00DE0659"/>
    <w:p w14:paraId="08D24EC4" w14:textId="157EA6B2" w:rsidR="00771569" w:rsidRPr="002F794B" w:rsidRDefault="00771569" w:rsidP="00DE39DA">
      <w:pPr>
        <w:outlineLvl w:val="1"/>
        <w:rPr>
          <w:b/>
          <w:bCs/>
        </w:rPr>
      </w:pPr>
      <w:r w:rsidRPr="002F794B">
        <w:rPr>
          <w:b/>
          <w:bCs/>
        </w:rPr>
        <w:t>Numeral 7.2.3.1</w:t>
      </w:r>
    </w:p>
    <w:p w14:paraId="61D7A0C5" w14:textId="77777777" w:rsidR="008F7EA4" w:rsidRPr="002F794B" w:rsidRDefault="008F7EA4" w:rsidP="008F7EA4">
      <w:pPr>
        <w:rPr>
          <w:u w:val="single"/>
        </w:rPr>
      </w:pPr>
      <w:r w:rsidRPr="002F794B">
        <w:rPr>
          <w:u w:val="single"/>
        </w:rPr>
        <w:t>Participante</w:t>
      </w:r>
    </w:p>
    <w:p w14:paraId="283F9E34" w14:textId="17241777" w:rsidR="008F7EA4" w:rsidRPr="002F794B" w:rsidRDefault="00771569" w:rsidP="008F7EA4">
      <w:r w:rsidRPr="002F794B">
        <w:t>Asociación de Normalización y Certificación, S.A. de C.V.</w:t>
      </w:r>
    </w:p>
    <w:p w14:paraId="2BA4F54D" w14:textId="77777777" w:rsidR="008F7EA4" w:rsidRPr="002F794B" w:rsidRDefault="008F7EA4" w:rsidP="008F7EA4">
      <w:pPr>
        <w:rPr>
          <w:u w:val="single"/>
        </w:rPr>
      </w:pPr>
      <w:r w:rsidRPr="002F794B">
        <w:rPr>
          <w:u w:val="single"/>
        </w:rPr>
        <w:t>Comentario y propuesta</w:t>
      </w:r>
    </w:p>
    <w:p w14:paraId="6DD06295" w14:textId="00617DCC" w:rsidR="00D6603E" w:rsidRPr="002F794B" w:rsidRDefault="00D6603E" w:rsidP="00D6603E">
      <w:pPr>
        <w:ind w:left="567" w:right="616"/>
        <w:rPr>
          <w:i/>
          <w:iCs/>
        </w:rPr>
      </w:pPr>
      <w:r w:rsidRPr="002F794B">
        <w:rPr>
          <w:b/>
          <w:bCs/>
          <w:i/>
          <w:iCs/>
        </w:rPr>
        <w:t>Consideración:</w:t>
      </w:r>
      <w:r w:rsidRPr="002F794B">
        <w:rPr>
          <w:i/>
          <w:iCs/>
        </w:rPr>
        <w:t xml:space="preserve"> El objetivo de los numerales en comento es definir los contornos límite para las emisiones fuera de banda (“</w:t>
      </w:r>
      <w:proofErr w:type="spellStart"/>
      <w:r w:rsidRPr="002F794B">
        <w:rPr>
          <w:i/>
          <w:iCs/>
        </w:rPr>
        <w:t>out</w:t>
      </w:r>
      <w:proofErr w:type="spellEnd"/>
      <w:r w:rsidRPr="002F794B">
        <w:rPr>
          <w:i/>
          <w:iCs/>
        </w:rPr>
        <w:t>-of-band”). Sin embargo, la Tabla 2, Tabla 3, Tabla 8, Tabla 9, Tabla 10, Tabla 16 establecen valores límite para las emisiones del equipo dentro (“</w:t>
      </w:r>
      <w:proofErr w:type="spellStart"/>
      <w:r w:rsidRPr="002F794B">
        <w:rPr>
          <w:i/>
          <w:iCs/>
        </w:rPr>
        <w:t>in</w:t>
      </w:r>
      <w:r w:rsidR="00F62377" w:rsidRPr="002F794B">
        <w:rPr>
          <w:i/>
          <w:iCs/>
        </w:rPr>
        <w:noBreakHyphen/>
      </w:r>
      <w:r w:rsidRPr="002F794B">
        <w:rPr>
          <w:i/>
          <w:iCs/>
        </w:rPr>
        <w:t>band</w:t>
      </w:r>
      <w:proofErr w:type="spellEnd"/>
      <w:r w:rsidRPr="002F794B">
        <w:rPr>
          <w:i/>
          <w:iCs/>
        </w:rPr>
        <w:t>”) y fuera de banda.</w:t>
      </w:r>
    </w:p>
    <w:p w14:paraId="6E62CF29" w14:textId="6D4CB4EA" w:rsidR="00D6603E" w:rsidRPr="002F794B" w:rsidRDefault="00D6603E" w:rsidP="00D6603E">
      <w:pPr>
        <w:ind w:left="567" w:right="616"/>
        <w:rPr>
          <w:i/>
          <w:iCs/>
        </w:rPr>
      </w:pPr>
      <w:r w:rsidRPr="002F794B">
        <w:rPr>
          <w:i/>
          <w:iCs/>
        </w:rPr>
        <w:t xml:space="preserve">Adicionalmente, y de acuerdo con la primera fila de la Tabla 2 y de la Tabla 3, el límite de las emisiones </w:t>
      </w:r>
      <w:proofErr w:type="spellStart"/>
      <w:r w:rsidRPr="002F794B">
        <w:rPr>
          <w:i/>
          <w:iCs/>
        </w:rPr>
        <w:t>in-band</w:t>
      </w:r>
      <w:proofErr w:type="spellEnd"/>
      <w:r w:rsidRPr="002F794B">
        <w:rPr>
          <w:i/>
          <w:iCs/>
        </w:rPr>
        <w:t xml:space="preserve"> es de 0 dBm (equivalente a 1</w:t>
      </w:r>
      <w:r w:rsidR="00F62377" w:rsidRPr="002F794B">
        <w:rPr>
          <w:i/>
          <w:iCs/>
        </w:rPr>
        <w:t> </w:t>
      </w:r>
      <w:proofErr w:type="spellStart"/>
      <w:r w:rsidRPr="002F794B">
        <w:rPr>
          <w:i/>
          <w:iCs/>
        </w:rPr>
        <w:t>mW</w:t>
      </w:r>
      <w:proofErr w:type="spellEnd"/>
      <w:r w:rsidRPr="002F794B">
        <w:rPr>
          <w:i/>
          <w:iCs/>
        </w:rPr>
        <w:t>), lo cual no ocurre con el resto de las tablas de contorno de emisión, que lo definen en función de otro valor.</w:t>
      </w:r>
    </w:p>
    <w:p w14:paraId="06142FF0" w14:textId="21D50E04" w:rsidR="00401061" w:rsidRPr="002F794B" w:rsidRDefault="00D6603E" w:rsidP="001907DB">
      <w:pPr>
        <w:ind w:left="567" w:right="616"/>
        <w:rPr>
          <w:i/>
          <w:iCs/>
        </w:rPr>
      </w:pPr>
      <w:r w:rsidRPr="002F794B">
        <w:rPr>
          <w:b/>
          <w:bCs/>
          <w:i/>
          <w:iCs/>
        </w:rPr>
        <w:t>Problema:</w:t>
      </w:r>
      <w:r w:rsidRPr="002F794B">
        <w:rPr>
          <w:i/>
          <w:iCs/>
        </w:rPr>
        <w:t xml:space="preserve"> Esta Asociación considera que existe un potencial error editorial incluir las emisiones </w:t>
      </w:r>
      <w:proofErr w:type="spellStart"/>
      <w:r w:rsidRPr="002F794B">
        <w:rPr>
          <w:i/>
          <w:iCs/>
        </w:rPr>
        <w:t>in-band</w:t>
      </w:r>
      <w:proofErr w:type="spellEnd"/>
      <w:r w:rsidRPr="002F794B">
        <w:rPr>
          <w:i/>
          <w:iCs/>
        </w:rPr>
        <w:t xml:space="preserve"> dentro de las tablas de Emisiones fuera de banda y que, en caso de desear limitar la potencia de las emisiones esenciales, esto se incluya como una especificación separada, tal como se hace en el numeral 7.2.4 POTENCIA MÁXIMA para los micrófonos inalámbricos, en 7.3.4 POTENCIA MÁXIMA para los teléfonos inalámbricos o en 7.5.4 POTENCIA MÁXIMA para las alarmas inalámbricas.</w:t>
      </w:r>
    </w:p>
    <w:p w14:paraId="5BD54E4C" w14:textId="4DAAF765" w:rsidR="00F62377" w:rsidRPr="002F794B" w:rsidRDefault="00F62377" w:rsidP="00D6603E">
      <w:pPr>
        <w:ind w:left="567" w:right="616"/>
        <w:rPr>
          <w:i/>
          <w:iCs/>
        </w:rPr>
      </w:pPr>
      <w:r w:rsidRPr="002F794B">
        <w:rPr>
          <w:i/>
          <w:iCs/>
        </w:rPr>
        <w:t>(</w:t>
      </w:r>
      <w:r w:rsidRPr="002F794B">
        <w:rPr>
          <w:b/>
          <w:bCs/>
          <w:i/>
          <w:iCs/>
        </w:rPr>
        <w:t>…</w:t>
      </w:r>
      <w:r w:rsidRPr="002F794B">
        <w:rPr>
          <w:i/>
          <w:iCs/>
        </w:rPr>
        <w:t>)</w:t>
      </w:r>
    </w:p>
    <w:p w14:paraId="29B02886" w14:textId="77777777" w:rsidR="003057FD" w:rsidRPr="002F794B" w:rsidRDefault="003057FD" w:rsidP="003057FD">
      <w:pPr>
        <w:ind w:left="567" w:right="616"/>
        <w:rPr>
          <w:i/>
          <w:iCs/>
        </w:rPr>
      </w:pPr>
      <w:r w:rsidRPr="002F794B">
        <w:rPr>
          <w:i/>
          <w:iCs/>
        </w:rPr>
        <w:lastRenderedPageBreak/>
        <w:t xml:space="preserve">De forma análoga, la Tabla 8, Tabla 9 y Tabla 10 indican que Valor relativo del límite de emisión está dado en decibeles, pero no indica el valor de referencia. Esta Asociación propone que el límite debe quedar referido como un valor en decibeles referidos a la potencia de la componente a la frecuencia central (dBc). De esta manera, y eliminando la primera fila que limita a las emisiones </w:t>
      </w:r>
      <w:proofErr w:type="spellStart"/>
      <w:r w:rsidRPr="002F794B">
        <w:rPr>
          <w:i/>
          <w:iCs/>
        </w:rPr>
        <w:t>in-band</w:t>
      </w:r>
      <w:proofErr w:type="spellEnd"/>
      <w:r w:rsidRPr="002F794B">
        <w:rPr>
          <w:i/>
          <w:iCs/>
        </w:rPr>
        <w:t>, la Tabla 8, Tabla 9 y Tabla 10 quedan de la siguiente forma:</w:t>
      </w:r>
    </w:p>
    <w:p w14:paraId="26EF7EB2" w14:textId="77777777" w:rsidR="00AA7D0B" w:rsidRPr="002F794B" w:rsidRDefault="00AA7D0B" w:rsidP="00AA7D0B">
      <w:pPr>
        <w:jc w:val="center"/>
        <w:rPr>
          <w:rFonts w:ascii="Arial" w:hAnsi="Arial" w:cs="Arial"/>
          <w:i/>
          <w:iCs/>
          <w:sz w:val="20"/>
          <w:szCs w:val="20"/>
        </w:rPr>
      </w:pPr>
      <w:r w:rsidRPr="002F794B">
        <w:rPr>
          <w:rFonts w:ascii="Arial" w:hAnsi="Arial" w:cs="Arial"/>
          <w:i/>
          <w:iCs/>
          <w:sz w:val="20"/>
          <w:szCs w:val="20"/>
        </w:rPr>
        <w:t>Tabla 8. Contorno de las emisiones fuera de banda para micrófonos inalámbricos con modulación digital.</w:t>
      </w:r>
    </w:p>
    <w:tbl>
      <w:tblPr>
        <w:tblStyle w:val="Tablaconcuadrcula"/>
        <w:tblW w:w="0" w:type="auto"/>
        <w:jc w:val="center"/>
        <w:tblLook w:val="04A0" w:firstRow="1" w:lastRow="0" w:firstColumn="1" w:lastColumn="0" w:noHBand="0" w:noVBand="1"/>
      </w:tblPr>
      <w:tblGrid>
        <w:gridCol w:w="3823"/>
        <w:gridCol w:w="3685"/>
        <w:gridCol w:w="1157"/>
      </w:tblGrid>
      <w:tr w:rsidR="002F794B" w:rsidRPr="002F794B" w14:paraId="540C2F6D" w14:textId="77777777" w:rsidTr="0082566B">
        <w:trPr>
          <w:jc w:val="center"/>
        </w:trPr>
        <w:tc>
          <w:tcPr>
            <w:tcW w:w="3823" w:type="dxa"/>
            <w:vAlign w:val="center"/>
          </w:tcPr>
          <w:p w14:paraId="4CDC39C5" w14:textId="77777777" w:rsidR="00AA7D0B" w:rsidRPr="002F794B" w:rsidRDefault="00AA7D0B" w:rsidP="00AA7D0B">
            <w:pPr>
              <w:jc w:val="center"/>
              <w:rPr>
                <w:rFonts w:ascii="Arial" w:hAnsi="Arial" w:cs="Arial"/>
                <w:b/>
                <w:bCs/>
              </w:rPr>
            </w:pPr>
            <w:r w:rsidRPr="002F794B">
              <w:rPr>
                <w:rFonts w:ascii="Arial" w:hAnsi="Arial" w:cs="Arial"/>
                <w:b/>
                <w:bCs/>
              </w:rPr>
              <w:t>Valor relativo del límite de emisión [dBc]</w:t>
            </w:r>
          </w:p>
        </w:tc>
        <w:tc>
          <w:tcPr>
            <w:tcW w:w="3685" w:type="dxa"/>
            <w:vAlign w:val="center"/>
          </w:tcPr>
          <w:p w14:paraId="37A122DE" w14:textId="77777777" w:rsidR="00AA7D0B" w:rsidRPr="002F794B" w:rsidRDefault="00AA7D0B" w:rsidP="00AA7D0B">
            <w:pPr>
              <w:pStyle w:val="Default"/>
              <w:jc w:val="center"/>
              <w:rPr>
                <w:b/>
                <w:bCs/>
                <w:color w:val="auto"/>
                <w:sz w:val="20"/>
                <w:szCs w:val="20"/>
              </w:rPr>
            </w:pPr>
            <w:r w:rsidRPr="002F794B">
              <w:rPr>
                <w:b/>
                <w:bCs/>
                <w:color w:val="auto"/>
                <w:sz w:val="20"/>
                <w:szCs w:val="20"/>
              </w:rPr>
              <w:t>Δƒ</w:t>
            </w:r>
            <w:r w:rsidRPr="002F794B">
              <w:rPr>
                <w:b/>
                <w:bCs/>
                <w:color w:val="auto"/>
                <w:sz w:val="20"/>
                <w:szCs w:val="20"/>
                <w:vertAlign w:val="subscript"/>
              </w:rPr>
              <w:t>OOB</w:t>
            </w:r>
            <w:r w:rsidRPr="002F794B">
              <w:rPr>
                <w:b/>
                <w:bCs/>
                <w:color w:val="auto"/>
                <w:sz w:val="20"/>
                <w:szCs w:val="20"/>
              </w:rPr>
              <w:t xml:space="preserve"> </w:t>
            </w:r>
          </w:p>
        </w:tc>
        <w:tc>
          <w:tcPr>
            <w:tcW w:w="1157" w:type="dxa"/>
            <w:vAlign w:val="center"/>
          </w:tcPr>
          <w:p w14:paraId="3BC3727E" w14:textId="77777777" w:rsidR="00AA7D0B" w:rsidRPr="002F794B" w:rsidRDefault="00AA7D0B" w:rsidP="00AA7D0B">
            <w:pPr>
              <w:jc w:val="center"/>
              <w:rPr>
                <w:rFonts w:ascii="Arial" w:hAnsi="Arial" w:cs="Arial"/>
                <w:b/>
                <w:bCs/>
              </w:rPr>
            </w:pPr>
            <w:r w:rsidRPr="002F794B">
              <w:rPr>
                <w:rFonts w:ascii="Arial" w:hAnsi="Arial" w:cs="Arial"/>
                <w:b/>
                <w:bCs/>
              </w:rPr>
              <w:t>RBW</w:t>
            </w:r>
          </w:p>
        </w:tc>
      </w:tr>
      <w:tr w:rsidR="002F794B" w:rsidRPr="002F794B" w14:paraId="3FCF6436" w14:textId="77777777" w:rsidTr="0082566B">
        <w:trPr>
          <w:jc w:val="center"/>
        </w:trPr>
        <w:tc>
          <w:tcPr>
            <w:tcW w:w="3823" w:type="dxa"/>
            <w:vAlign w:val="center"/>
          </w:tcPr>
          <w:p w14:paraId="728458C3" w14:textId="77777777" w:rsidR="00AA7D0B" w:rsidRPr="002F794B" w:rsidRDefault="00AA7D0B" w:rsidP="00AA7D0B">
            <w:pPr>
              <w:pStyle w:val="Default"/>
              <w:jc w:val="center"/>
              <w:rPr>
                <w:color w:val="auto"/>
                <w:sz w:val="20"/>
                <w:szCs w:val="20"/>
              </w:rPr>
            </w:pPr>
            <w:r w:rsidRPr="002F794B">
              <w:rPr>
                <w:color w:val="auto"/>
                <w:sz w:val="20"/>
                <w:szCs w:val="20"/>
              </w:rPr>
              <w:t xml:space="preserve">Decrece inmediatamente de 0 a -30 </w:t>
            </w:r>
          </w:p>
        </w:tc>
        <w:tc>
          <w:tcPr>
            <w:tcW w:w="3685" w:type="dxa"/>
            <w:vAlign w:val="center"/>
          </w:tcPr>
          <w:p w14:paraId="5A4E2DD2" w14:textId="77777777" w:rsidR="00AA7D0B" w:rsidRPr="002F794B" w:rsidRDefault="00AA7D0B" w:rsidP="00AA7D0B">
            <w:pPr>
              <w:pStyle w:val="Default"/>
              <w:jc w:val="center"/>
              <w:rPr>
                <w:color w:val="auto"/>
                <w:sz w:val="20"/>
                <w:szCs w:val="20"/>
              </w:rPr>
            </w:pPr>
            <w:r w:rsidRPr="002F794B">
              <w:rPr>
                <w:color w:val="auto"/>
                <w:sz w:val="20"/>
                <w:szCs w:val="20"/>
              </w:rPr>
              <w:t>ƒ</w:t>
            </w:r>
            <w:r w:rsidRPr="002F794B">
              <w:rPr>
                <w:color w:val="auto"/>
                <w:sz w:val="20"/>
                <w:szCs w:val="20"/>
                <w:vertAlign w:val="subscript"/>
              </w:rPr>
              <w:t>c</w:t>
            </w:r>
            <w:r w:rsidRPr="002F794B">
              <w:rPr>
                <w:color w:val="auto"/>
                <w:sz w:val="20"/>
                <w:szCs w:val="20"/>
              </w:rPr>
              <w:t xml:space="preserve"> ± 0.5·BW</w:t>
            </w:r>
            <w:r w:rsidRPr="002F794B">
              <w:rPr>
                <w:color w:val="auto"/>
                <w:sz w:val="20"/>
                <w:szCs w:val="20"/>
                <w:vertAlign w:val="subscript"/>
              </w:rPr>
              <w:t>OC</w:t>
            </w:r>
            <w:r w:rsidRPr="002F794B">
              <w:rPr>
                <w:color w:val="auto"/>
                <w:sz w:val="20"/>
                <w:szCs w:val="20"/>
              </w:rPr>
              <w:t xml:space="preserve"> </w:t>
            </w:r>
          </w:p>
        </w:tc>
        <w:tc>
          <w:tcPr>
            <w:tcW w:w="1157" w:type="dxa"/>
            <w:vMerge w:val="restart"/>
            <w:vAlign w:val="center"/>
          </w:tcPr>
          <w:p w14:paraId="0440AA3C" w14:textId="77777777" w:rsidR="00AA7D0B" w:rsidRPr="002F794B" w:rsidRDefault="00AA7D0B" w:rsidP="00AA7D0B">
            <w:pPr>
              <w:jc w:val="center"/>
              <w:rPr>
                <w:rFonts w:ascii="Arial" w:hAnsi="Arial" w:cs="Arial"/>
              </w:rPr>
            </w:pPr>
            <w:r w:rsidRPr="002F794B">
              <w:rPr>
                <w:rFonts w:ascii="Arial" w:hAnsi="Arial" w:cs="Arial"/>
              </w:rPr>
              <w:t>1 kHz</w:t>
            </w:r>
          </w:p>
        </w:tc>
      </w:tr>
      <w:tr w:rsidR="002F794B" w:rsidRPr="002F794B" w14:paraId="17897BAE" w14:textId="77777777" w:rsidTr="0082566B">
        <w:trPr>
          <w:jc w:val="center"/>
        </w:trPr>
        <w:tc>
          <w:tcPr>
            <w:tcW w:w="3823" w:type="dxa"/>
            <w:vAlign w:val="center"/>
          </w:tcPr>
          <w:p w14:paraId="12445019" w14:textId="77777777" w:rsidR="00AA7D0B" w:rsidRPr="002F794B" w:rsidRDefault="00AA7D0B" w:rsidP="00AA7D0B">
            <w:pPr>
              <w:pStyle w:val="Default"/>
              <w:jc w:val="center"/>
              <w:rPr>
                <w:color w:val="auto"/>
                <w:sz w:val="20"/>
                <w:szCs w:val="20"/>
              </w:rPr>
            </w:pPr>
            <w:r w:rsidRPr="002F794B">
              <w:rPr>
                <w:color w:val="auto"/>
                <w:sz w:val="20"/>
                <w:szCs w:val="20"/>
              </w:rPr>
              <w:t xml:space="preserve">Decrece linealmente con la frecuencia de -30 a -80 </w:t>
            </w:r>
          </w:p>
        </w:tc>
        <w:tc>
          <w:tcPr>
            <w:tcW w:w="3685" w:type="dxa"/>
            <w:vAlign w:val="center"/>
          </w:tcPr>
          <w:p w14:paraId="61C198CF" w14:textId="77777777" w:rsidR="00AA7D0B" w:rsidRPr="002F794B" w:rsidRDefault="00AA7D0B" w:rsidP="00AA7D0B">
            <w:pPr>
              <w:pStyle w:val="Default"/>
              <w:jc w:val="center"/>
              <w:rPr>
                <w:color w:val="auto"/>
                <w:sz w:val="13"/>
                <w:szCs w:val="13"/>
              </w:rPr>
            </w:pPr>
            <w:r w:rsidRPr="002F794B">
              <w:rPr>
                <w:color w:val="auto"/>
                <w:sz w:val="20"/>
                <w:szCs w:val="20"/>
              </w:rPr>
              <w:t>De ƒ</w:t>
            </w:r>
            <w:r w:rsidRPr="002F794B">
              <w:rPr>
                <w:color w:val="auto"/>
                <w:sz w:val="13"/>
                <w:szCs w:val="13"/>
                <w:vertAlign w:val="subscript"/>
              </w:rPr>
              <w:t>c</w:t>
            </w:r>
            <w:r w:rsidRPr="002F794B">
              <w:rPr>
                <w:color w:val="auto"/>
                <w:sz w:val="13"/>
                <w:szCs w:val="13"/>
              </w:rPr>
              <w:t xml:space="preserve"> </w:t>
            </w:r>
            <w:r w:rsidRPr="002F794B">
              <w:rPr>
                <w:color w:val="auto"/>
                <w:sz w:val="20"/>
                <w:szCs w:val="20"/>
              </w:rPr>
              <w:t>± 0.5·BW</w:t>
            </w:r>
            <w:r w:rsidRPr="002F794B">
              <w:rPr>
                <w:color w:val="auto"/>
                <w:sz w:val="13"/>
                <w:szCs w:val="13"/>
                <w:vertAlign w:val="subscript"/>
              </w:rPr>
              <w:t>OC</w:t>
            </w:r>
            <w:r w:rsidRPr="002F794B">
              <w:rPr>
                <w:color w:val="auto"/>
                <w:sz w:val="13"/>
                <w:szCs w:val="13"/>
              </w:rPr>
              <w:t xml:space="preserve"> </w:t>
            </w:r>
            <w:r w:rsidRPr="002F794B">
              <w:rPr>
                <w:color w:val="auto"/>
                <w:sz w:val="20"/>
                <w:szCs w:val="20"/>
              </w:rPr>
              <w:t>a ƒ</w:t>
            </w:r>
            <w:r w:rsidRPr="002F794B">
              <w:rPr>
                <w:color w:val="auto"/>
                <w:sz w:val="13"/>
                <w:szCs w:val="13"/>
                <w:vertAlign w:val="subscript"/>
              </w:rPr>
              <w:t>c</w:t>
            </w:r>
            <w:r w:rsidRPr="002F794B">
              <w:rPr>
                <w:color w:val="auto"/>
                <w:sz w:val="13"/>
                <w:szCs w:val="13"/>
              </w:rPr>
              <w:t xml:space="preserve"> </w:t>
            </w:r>
            <w:r w:rsidRPr="002F794B">
              <w:rPr>
                <w:color w:val="auto"/>
                <w:sz w:val="20"/>
                <w:szCs w:val="20"/>
              </w:rPr>
              <w:t>± 1.75·BW</w:t>
            </w:r>
            <w:r w:rsidRPr="002F794B">
              <w:rPr>
                <w:color w:val="auto"/>
                <w:sz w:val="13"/>
                <w:szCs w:val="13"/>
                <w:vertAlign w:val="subscript"/>
              </w:rPr>
              <w:t>OC</w:t>
            </w:r>
            <w:r w:rsidRPr="002F794B">
              <w:rPr>
                <w:color w:val="auto"/>
                <w:sz w:val="13"/>
                <w:szCs w:val="13"/>
              </w:rPr>
              <w:t xml:space="preserve"> </w:t>
            </w:r>
          </w:p>
        </w:tc>
        <w:tc>
          <w:tcPr>
            <w:tcW w:w="1157" w:type="dxa"/>
            <w:vMerge/>
            <w:vAlign w:val="center"/>
          </w:tcPr>
          <w:p w14:paraId="5B103336" w14:textId="77777777" w:rsidR="00AA7D0B" w:rsidRPr="002F794B" w:rsidRDefault="00AA7D0B" w:rsidP="00AA7D0B">
            <w:pPr>
              <w:jc w:val="center"/>
              <w:rPr>
                <w:rFonts w:ascii="Arial" w:hAnsi="Arial" w:cs="Arial"/>
              </w:rPr>
            </w:pPr>
          </w:p>
        </w:tc>
      </w:tr>
      <w:tr w:rsidR="00AA7D0B" w:rsidRPr="002F794B" w14:paraId="052AE62A" w14:textId="77777777" w:rsidTr="0082566B">
        <w:trPr>
          <w:jc w:val="center"/>
        </w:trPr>
        <w:tc>
          <w:tcPr>
            <w:tcW w:w="3823" w:type="dxa"/>
            <w:vAlign w:val="center"/>
          </w:tcPr>
          <w:p w14:paraId="105A8C9E" w14:textId="77777777" w:rsidR="00AA7D0B" w:rsidRPr="002F794B" w:rsidRDefault="00AA7D0B" w:rsidP="00AA7D0B">
            <w:pPr>
              <w:pStyle w:val="Default"/>
              <w:jc w:val="center"/>
              <w:rPr>
                <w:color w:val="auto"/>
                <w:sz w:val="20"/>
                <w:szCs w:val="20"/>
              </w:rPr>
            </w:pPr>
            <w:r w:rsidRPr="002F794B">
              <w:rPr>
                <w:color w:val="auto"/>
                <w:sz w:val="20"/>
                <w:szCs w:val="20"/>
              </w:rPr>
              <w:t xml:space="preserve">Decrece linealmente con la frecuencia de -80 a -90 </w:t>
            </w:r>
          </w:p>
        </w:tc>
        <w:tc>
          <w:tcPr>
            <w:tcW w:w="3685" w:type="dxa"/>
            <w:vAlign w:val="center"/>
          </w:tcPr>
          <w:p w14:paraId="7CD14B08" w14:textId="77777777" w:rsidR="00AA7D0B" w:rsidRPr="002F794B" w:rsidRDefault="00AA7D0B" w:rsidP="00AA7D0B">
            <w:pPr>
              <w:pStyle w:val="Default"/>
              <w:jc w:val="center"/>
              <w:rPr>
                <w:color w:val="auto"/>
                <w:sz w:val="13"/>
                <w:szCs w:val="13"/>
              </w:rPr>
            </w:pPr>
            <w:r w:rsidRPr="002F794B">
              <w:rPr>
                <w:color w:val="auto"/>
                <w:sz w:val="20"/>
                <w:szCs w:val="20"/>
              </w:rPr>
              <w:t>De ƒ</w:t>
            </w:r>
            <w:r w:rsidRPr="002F794B">
              <w:rPr>
                <w:color w:val="auto"/>
                <w:sz w:val="13"/>
                <w:szCs w:val="13"/>
                <w:vertAlign w:val="subscript"/>
              </w:rPr>
              <w:t>c</w:t>
            </w:r>
            <w:r w:rsidRPr="002F794B">
              <w:rPr>
                <w:color w:val="auto"/>
                <w:sz w:val="13"/>
                <w:szCs w:val="13"/>
              </w:rPr>
              <w:t xml:space="preserve"> </w:t>
            </w:r>
            <w:r w:rsidRPr="002F794B">
              <w:rPr>
                <w:color w:val="auto"/>
                <w:sz w:val="20"/>
                <w:szCs w:val="20"/>
              </w:rPr>
              <w:t>± 1.75·BW</w:t>
            </w:r>
            <w:r w:rsidRPr="002F794B">
              <w:rPr>
                <w:color w:val="auto"/>
                <w:sz w:val="13"/>
                <w:szCs w:val="13"/>
              </w:rPr>
              <w:t xml:space="preserve">OC </w:t>
            </w:r>
            <w:r w:rsidRPr="002F794B">
              <w:rPr>
                <w:color w:val="auto"/>
                <w:sz w:val="20"/>
                <w:szCs w:val="20"/>
              </w:rPr>
              <w:t>a ƒ</w:t>
            </w:r>
            <w:r w:rsidRPr="002F794B">
              <w:rPr>
                <w:color w:val="auto"/>
                <w:sz w:val="13"/>
                <w:szCs w:val="13"/>
                <w:vertAlign w:val="subscript"/>
              </w:rPr>
              <w:t>c</w:t>
            </w:r>
            <w:r w:rsidRPr="002F794B">
              <w:rPr>
                <w:color w:val="auto"/>
                <w:sz w:val="13"/>
                <w:szCs w:val="13"/>
              </w:rPr>
              <w:t xml:space="preserve"> </w:t>
            </w:r>
            <w:r w:rsidRPr="002F794B">
              <w:rPr>
                <w:color w:val="auto"/>
                <w:sz w:val="20"/>
                <w:szCs w:val="20"/>
              </w:rPr>
              <w:t>± 2.5·BW</w:t>
            </w:r>
            <w:r w:rsidRPr="002F794B">
              <w:rPr>
                <w:color w:val="auto"/>
                <w:sz w:val="13"/>
                <w:szCs w:val="13"/>
                <w:vertAlign w:val="subscript"/>
              </w:rPr>
              <w:t>OC</w:t>
            </w:r>
            <w:r w:rsidRPr="002F794B">
              <w:rPr>
                <w:color w:val="auto"/>
                <w:sz w:val="13"/>
                <w:szCs w:val="13"/>
              </w:rPr>
              <w:t xml:space="preserve"> </w:t>
            </w:r>
          </w:p>
        </w:tc>
        <w:tc>
          <w:tcPr>
            <w:tcW w:w="1157" w:type="dxa"/>
            <w:vMerge/>
            <w:vAlign w:val="center"/>
          </w:tcPr>
          <w:p w14:paraId="0438769C" w14:textId="77777777" w:rsidR="00AA7D0B" w:rsidRPr="002F794B" w:rsidRDefault="00AA7D0B" w:rsidP="00AA7D0B">
            <w:pPr>
              <w:jc w:val="center"/>
              <w:rPr>
                <w:rFonts w:ascii="Arial" w:hAnsi="Arial" w:cs="Arial"/>
              </w:rPr>
            </w:pPr>
          </w:p>
        </w:tc>
      </w:tr>
    </w:tbl>
    <w:p w14:paraId="59CC822B" w14:textId="77777777" w:rsidR="00AA7D0B" w:rsidRPr="002F794B" w:rsidRDefault="00AA7D0B" w:rsidP="00AA7D0B">
      <w:pPr>
        <w:rPr>
          <w:rFonts w:ascii="Arial" w:hAnsi="Arial" w:cs="Arial"/>
          <w:sz w:val="20"/>
          <w:szCs w:val="20"/>
        </w:rPr>
      </w:pPr>
    </w:p>
    <w:p w14:paraId="15AA8C35" w14:textId="77777777" w:rsidR="00AA7D0B" w:rsidRPr="002F794B" w:rsidRDefault="00AA7D0B" w:rsidP="00AA7D0B">
      <w:pPr>
        <w:jc w:val="center"/>
        <w:rPr>
          <w:rFonts w:ascii="Arial" w:hAnsi="Arial" w:cs="Arial"/>
          <w:i/>
          <w:iCs/>
          <w:sz w:val="20"/>
          <w:szCs w:val="20"/>
        </w:rPr>
      </w:pPr>
      <w:r w:rsidRPr="002F794B">
        <w:rPr>
          <w:rFonts w:ascii="Arial" w:hAnsi="Arial" w:cs="Arial"/>
          <w:i/>
          <w:iCs/>
          <w:sz w:val="20"/>
          <w:szCs w:val="20"/>
        </w:rPr>
        <w:t>Tabla 9. Contorno de las emisiones fuera de banda para micrófonos inalámbricos con modulación analógica</w:t>
      </w:r>
    </w:p>
    <w:tbl>
      <w:tblPr>
        <w:tblStyle w:val="Tablaconcuadrcula"/>
        <w:tblW w:w="0" w:type="auto"/>
        <w:jc w:val="center"/>
        <w:tblLook w:val="04A0" w:firstRow="1" w:lastRow="0" w:firstColumn="1" w:lastColumn="0" w:noHBand="0" w:noVBand="1"/>
      </w:tblPr>
      <w:tblGrid>
        <w:gridCol w:w="3964"/>
        <w:gridCol w:w="3686"/>
        <w:gridCol w:w="1178"/>
      </w:tblGrid>
      <w:tr w:rsidR="002F794B" w:rsidRPr="002F794B" w14:paraId="3A89753E" w14:textId="77777777" w:rsidTr="0082566B">
        <w:trPr>
          <w:jc w:val="center"/>
        </w:trPr>
        <w:tc>
          <w:tcPr>
            <w:tcW w:w="3964" w:type="dxa"/>
            <w:vAlign w:val="center"/>
          </w:tcPr>
          <w:p w14:paraId="4AD185E6" w14:textId="77777777" w:rsidR="00AA7D0B" w:rsidRPr="002F794B" w:rsidRDefault="00AA7D0B" w:rsidP="00AA7D0B">
            <w:pPr>
              <w:jc w:val="center"/>
              <w:rPr>
                <w:rFonts w:ascii="Arial" w:hAnsi="Arial" w:cs="Arial"/>
                <w:b/>
                <w:bCs/>
              </w:rPr>
            </w:pPr>
            <w:r w:rsidRPr="002F794B">
              <w:rPr>
                <w:rFonts w:ascii="Arial" w:hAnsi="Arial" w:cs="Arial"/>
                <w:b/>
                <w:bCs/>
              </w:rPr>
              <w:t>Valor relativo del límite de emisión [dBc]</w:t>
            </w:r>
          </w:p>
        </w:tc>
        <w:tc>
          <w:tcPr>
            <w:tcW w:w="3686" w:type="dxa"/>
            <w:vAlign w:val="center"/>
          </w:tcPr>
          <w:p w14:paraId="630AAEAE" w14:textId="77777777" w:rsidR="00AA7D0B" w:rsidRPr="002F794B" w:rsidRDefault="00AA7D0B" w:rsidP="00AA7D0B">
            <w:pPr>
              <w:pStyle w:val="Default"/>
              <w:jc w:val="center"/>
              <w:rPr>
                <w:b/>
                <w:bCs/>
                <w:color w:val="auto"/>
                <w:sz w:val="20"/>
                <w:szCs w:val="20"/>
              </w:rPr>
            </w:pPr>
            <w:r w:rsidRPr="002F794B">
              <w:rPr>
                <w:b/>
                <w:bCs/>
                <w:color w:val="auto"/>
                <w:sz w:val="20"/>
                <w:szCs w:val="20"/>
              </w:rPr>
              <w:t>Δƒ</w:t>
            </w:r>
            <w:r w:rsidRPr="002F794B">
              <w:rPr>
                <w:b/>
                <w:bCs/>
                <w:color w:val="auto"/>
                <w:sz w:val="20"/>
                <w:szCs w:val="20"/>
                <w:vertAlign w:val="subscript"/>
              </w:rPr>
              <w:t>OOB</w:t>
            </w:r>
            <w:r w:rsidRPr="002F794B">
              <w:rPr>
                <w:b/>
                <w:bCs/>
                <w:color w:val="auto"/>
                <w:sz w:val="20"/>
                <w:szCs w:val="20"/>
              </w:rPr>
              <w:t xml:space="preserve"> </w:t>
            </w:r>
          </w:p>
        </w:tc>
        <w:tc>
          <w:tcPr>
            <w:tcW w:w="1178" w:type="dxa"/>
            <w:vAlign w:val="center"/>
          </w:tcPr>
          <w:p w14:paraId="2BDC3928" w14:textId="77777777" w:rsidR="00AA7D0B" w:rsidRPr="002F794B" w:rsidRDefault="00AA7D0B" w:rsidP="00AA7D0B">
            <w:pPr>
              <w:jc w:val="center"/>
              <w:rPr>
                <w:rFonts w:ascii="Arial" w:hAnsi="Arial" w:cs="Arial"/>
                <w:b/>
                <w:bCs/>
              </w:rPr>
            </w:pPr>
            <w:r w:rsidRPr="002F794B">
              <w:rPr>
                <w:rFonts w:ascii="Arial" w:hAnsi="Arial" w:cs="Arial"/>
                <w:b/>
                <w:bCs/>
              </w:rPr>
              <w:t>RBW</w:t>
            </w:r>
          </w:p>
        </w:tc>
      </w:tr>
      <w:tr w:rsidR="002F794B" w:rsidRPr="002F794B" w14:paraId="2F930D97" w14:textId="77777777" w:rsidTr="0082566B">
        <w:trPr>
          <w:jc w:val="center"/>
        </w:trPr>
        <w:tc>
          <w:tcPr>
            <w:tcW w:w="3964" w:type="dxa"/>
            <w:vAlign w:val="center"/>
          </w:tcPr>
          <w:p w14:paraId="4663B0D4" w14:textId="77777777" w:rsidR="00AA7D0B" w:rsidRPr="002F794B" w:rsidRDefault="00AA7D0B" w:rsidP="00AA7D0B">
            <w:pPr>
              <w:pStyle w:val="Default"/>
              <w:jc w:val="center"/>
              <w:rPr>
                <w:color w:val="auto"/>
                <w:sz w:val="20"/>
                <w:szCs w:val="20"/>
              </w:rPr>
            </w:pPr>
            <w:r w:rsidRPr="002F794B">
              <w:rPr>
                <w:color w:val="auto"/>
                <w:sz w:val="20"/>
                <w:szCs w:val="20"/>
              </w:rPr>
              <w:t>Decrece inmediatamente de 0 a -60</w:t>
            </w:r>
          </w:p>
        </w:tc>
        <w:tc>
          <w:tcPr>
            <w:tcW w:w="3686" w:type="dxa"/>
            <w:vAlign w:val="center"/>
          </w:tcPr>
          <w:p w14:paraId="79837EAB" w14:textId="77777777" w:rsidR="00AA7D0B" w:rsidRPr="002F794B" w:rsidRDefault="00AA7D0B" w:rsidP="00AA7D0B">
            <w:pPr>
              <w:pStyle w:val="Default"/>
              <w:jc w:val="center"/>
              <w:rPr>
                <w:color w:val="auto"/>
                <w:sz w:val="20"/>
                <w:szCs w:val="20"/>
              </w:rPr>
            </w:pPr>
            <w:r w:rsidRPr="002F794B">
              <w:rPr>
                <w:color w:val="auto"/>
                <w:sz w:val="20"/>
                <w:szCs w:val="20"/>
              </w:rPr>
              <w:t>ƒ</w:t>
            </w:r>
            <w:r w:rsidRPr="002F794B">
              <w:rPr>
                <w:color w:val="auto"/>
                <w:sz w:val="20"/>
                <w:szCs w:val="20"/>
                <w:vertAlign w:val="subscript"/>
              </w:rPr>
              <w:t>c</w:t>
            </w:r>
            <w:r w:rsidRPr="002F794B">
              <w:rPr>
                <w:color w:val="auto"/>
                <w:sz w:val="20"/>
                <w:szCs w:val="20"/>
              </w:rPr>
              <w:t xml:space="preserve"> ± 0.5·BW</w:t>
            </w:r>
            <w:r w:rsidRPr="002F794B">
              <w:rPr>
                <w:color w:val="auto"/>
                <w:sz w:val="20"/>
                <w:szCs w:val="20"/>
                <w:vertAlign w:val="subscript"/>
              </w:rPr>
              <w:t>OC</w:t>
            </w:r>
            <w:r w:rsidRPr="002F794B">
              <w:rPr>
                <w:color w:val="auto"/>
                <w:sz w:val="20"/>
                <w:szCs w:val="20"/>
              </w:rPr>
              <w:t xml:space="preserve"> </w:t>
            </w:r>
          </w:p>
        </w:tc>
        <w:tc>
          <w:tcPr>
            <w:tcW w:w="1178" w:type="dxa"/>
            <w:vMerge w:val="restart"/>
            <w:vAlign w:val="center"/>
          </w:tcPr>
          <w:p w14:paraId="449F552A" w14:textId="77777777" w:rsidR="00AA7D0B" w:rsidRPr="002F794B" w:rsidRDefault="00AA7D0B" w:rsidP="00AA7D0B">
            <w:pPr>
              <w:jc w:val="center"/>
              <w:rPr>
                <w:rFonts w:ascii="Arial" w:hAnsi="Arial" w:cs="Arial"/>
              </w:rPr>
            </w:pPr>
            <w:r w:rsidRPr="002F794B">
              <w:rPr>
                <w:rFonts w:ascii="Arial" w:hAnsi="Arial" w:cs="Arial"/>
              </w:rPr>
              <w:t>1 kHz</w:t>
            </w:r>
          </w:p>
        </w:tc>
      </w:tr>
      <w:tr w:rsidR="002F794B" w:rsidRPr="002F794B" w14:paraId="5D447902" w14:textId="77777777" w:rsidTr="0082566B">
        <w:trPr>
          <w:jc w:val="center"/>
        </w:trPr>
        <w:tc>
          <w:tcPr>
            <w:tcW w:w="3964" w:type="dxa"/>
            <w:vAlign w:val="center"/>
          </w:tcPr>
          <w:p w14:paraId="377D31D2" w14:textId="77777777" w:rsidR="00AA7D0B" w:rsidRPr="002F794B" w:rsidRDefault="00AA7D0B" w:rsidP="00AA7D0B">
            <w:pPr>
              <w:pStyle w:val="Default"/>
              <w:jc w:val="center"/>
              <w:rPr>
                <w:color w:val="auto"/>
                <w:sz w:val="20"/>
                <w:szCs w:val="20"/>
              </w:rPr>
            </w:pPr>
            <w:r w:rsidRPr="002F794B">
              <w:rPr>
                <w:color w:val="auto"/>
                <w:sz w:val="20"/>
                <w:szCs w:val="20"/>
              </w:rPr>
              <w:t xml:space="preserve">Decrece linealmente con la frecuencia de -60 a -80 </w:t>
            </w:r>
          </w:p>
        </w:tc>
        <w:tc>
          <w:tcPr>
            <w:tcW w:w="3686" w:type="dxa"/>
            <w:vAlign w:val="center"/>
          </w:tcPr>
          <w:p w14:paraId="58ED2891" w14:textId="77777777" w:rsidR="00AA7D0B" w:rsidRPr="002F794B" w:rsidRDefault="00AA7D0B" w:rsidP="00AA7D0B">
            <w:pPr>
              <w:pStyle w:val="Default"/>
              <w:jc w:val="center"/>
              <w:rPr>
                <w:color w:val="auto"/>
                <w:sz w:val="13"/>
                <w:szCs w:val="13"/>
              </w:rPr>
            </w:pPr>
            <w:r w:rsidRPr="002F794B">
              <w:rPr>
                <w:color w:val="auto"/>
                <w:sz w:val="20"/>
                <w:szCs w:val="20"/>
              </w:rPr>
              <w:t>De ƒ</w:t>
            </w:r>
            <w:r w:rsidRPr="002F794B">
              <w:rPr>
                <w:color w:val="auto"/>
                <w:sz w:val="13"/>
                <w:szCs w:val="13"/>
                <w:vertAlign w:val="subscript"/>
              </w:rPr>
              <w:t>c</w:t>
            </w:r>
            <w:r w:rsidRPr="002F794B">
              <w:rPr>
                <w:color w:val="auto"/>
                <w:sz w:val="13"/>
                <w:szCs w:val="13"/>
              </w:rPr>
              <w:t xml:space="preserve"> </w:t>
            </w:r>
            <w:r w:rsidRPr="002F794B">
              <w:rPr>
                <w:color w:val="auto"/>
                <w:sz w:val="20"/>
                <w:szCs w:val="20"/>
              </w:rPr>
              <w:t>± 0.5·BW</w:t>
            </w:r>
            <w:r w:rsidRPr="002F794B">
              <w:rPr>
                <w:color w:val="auto"/>
                <w:sz w:val="13"/>
                <w:szCs w:val="13"/>
                <w:vertAlign w:val="subscript"/>
              </w:rPr>
              <w:t>OC</w:t>
            </w:r>
            <w:r w:rsidRPr="002F794B">
              <w:rPr>
                <w:color w:val="auto"/>
                <w:sz w:val="13"/>
                <w:szCs w:val="13"/>
              </w:rPr>
              <w:t xml:space="preserve"> </w:t>
            </w:r>
            <w:r w:rsidRPr="002F794B">
              <w:rPr>
                <w:color w:val="auto"/>
                <w:sz w:val="20"/>
                <w:szCs w:val="20"/>
              </w:rPr>
              <w:t>a ƒ</w:t>
            </w:r>
            <w:r w:rsidRPr="002F794B">
              <w:rPr>
                <w:color w:val="auto"/>
                <w:sz w:val="13"/>
                <w:szCs w:val="13"/>
                <w:vertAlign w:val="subscript"/>
              </w:rPr>
              <w:t>c</w:t>
            </w:r>
            <w:r w:rsidRPr="002F794B">
              <w:rPr>
                <w:color w:val="auto"/>
                <w:sz w:val="13"/>
                <w:szCs w:val="13"/>
              </w:rPr>
              <w:t xml:space="preserve"> </w:t>
            </w:r>
            <w:r w:rsidRPr="002F794B">
              <w:rPr>
                <w:color w:val="auto"/>
                <w:sz w:val="20"/>
                <w:szCs w:val="20"/>
              </w:rPr>
              <w:t>± BW</w:t>
            </w:r>
            <w:r w:rsidRPr="002F794B">
              <w:rPr>
                <w:color w:val="auto"/>
                <w:sz w:val="13"/>
                <w:szCs w:val="13"/>
                <w:vertAlign w:val="subscript"/>
              </w:rPr>
              <w:t>OC</w:t>
            </w:r>
            <w:r w:rsidRPr="002F794B">
              <w:rPr>
                <w:color w:val="auto"/>
                <w:sz w:val="13"/>
                <w:szCs w:val="13"/>
              </w:rPr>
              <w:t xml:space="preserve"> </w:t>
            </w:r>
          </w:p>
        </w:tc>
        <w:tc>
          <w:tcPr>
            <w:tcW w:w="1178" w:type="dxa"/>
            <w:vMerge/>
            <w:vAlign w:val="center"/>
          </w:tcPr>
          <w:p w14:paraId="1D3A365E" w14:textId="77777777" w:rsidR="00AA7D0B" w:rsidRPr="002F794B" w:rsidRDefault="00AA7D0B" w:rsidP="00AA7D0B">
            <w:pPr>
              <w:jc w:val="center"/>
              <w:rPr>
                <w:rFonts w:ascii="Arial" w:hAnsi="Arial" w:cs="Arial"/>
              </w:rPr>
            </w:pPr>
          </w:p>
        </w:tc>
      </w:tr>
      <w:tr w:rsidR="00AA7D0B" w:rsidRPr="002F794B" w14:paraId="10A175EF" w14:textId="77777777" w:rsidTr="0082566B">
        <w:trPr>
          <w:jc w:val="center"/>
        </w:trPr>
        <w:tc>
          <w:tcPr>
            <w:tcW w:w="3964" w:type="dxa"/>
            <w:vAlign w:val="center"/>
          </w:tcPr>
          <w:p w14:paraId="26E318CC" w14:textId="77777777" w:rsidR="00AA7D0B" w:rsidRPr="002F794B" w:rsidRDefault="00AA7D0B" w:rsidP="00AA7D0B">
            <w:pPr>
              <w:pStyle w:val="Default"/>
              <w:jc w:val="center"/>
              <w:rPr>
                <w:color w:val="auto"/>
                <w:sz w:val="20"/>
                <w:szCs w:val="20"/>
              </w:rPr>
            </w:pPr>
            <w:r w:rsidRPr="002F794B">
              <w:rPr>
                <w:color w:val="auto"/>
                <w:sz w:val="20"/>
                <w:szCs w:val="20"/>
              </w:rPr>
              <w:t>-80</w:t>
            </w:r>
          </w:p>
        </w:tc>
        <w:tc>
          <w:tcPr>
            <w:tcW w:w="3686" w:type="dxa"/>
            <w:vAlign w:val="center"/>
          </w:tcPr>
          <w:p w14:paraId="713B0021" w14:textId="77777777" w:rsidR="00AA7D0B" w:rsidRPr="002F794B" w:rsidRDefault="00AA7D0B" w:rsidP="00AA7D0B">
            <w:pPr>
              <w:pStyle w:val="Default"/>
              <w:jc w:val="center"/>
              <w:rPr>
                <w:color w:val="auto"/>
                <w:sz w:val="13"/>
                <w:szCs w:val="13"/>
              </w:rPr>
            </w:pPr>
            <w:r w:rsidRPr="002F794B">
              <w:rPr>
                <w:color w:val="auto"/>
                <w:sz w:val="20"/>
                <w:szCs w:val="20"/>
              </w:rPr>
              <w:t>De ƒ</w:t>
            </w:r>
            <w:r w:rsidRPr="002F794B">
              <w:rPr>
                <w:color w:val="auto"/>
                <w:sz w:val="13"/>
                <w:szCs w:val="13"/>
                <w:vertAlign w:val="subscript"/>
              </w:rPr>
              <w:t>c</w:t>
            </w:r>
            <w:r w:rsidRPr="002F794B">
              <w:rPr>
                <w:color w:val="auto"/>
                <w:sz w:val="13"/>
                <w:szCs w:val="13"/>
              </w:rPr>
              <w:t xml:space="preserve"> </w:t>
            </w:r>
            <w:r w:rsidRPr="002F794B">
              <w:rPr>
                <w:color w:val="auto"/>
                <w:sz w:val="20"/>
                <w:szCs w:val="20"/>
              </w:rPr>
              <w:t>± BW</w:t>
            </w:r>
            <w:r w:rsidRPr="002F794B">
              <w:rPr>
                <w:color w:val="auto"/>
                <w:sz w:val="13"/>
                <w:szCs w:val="13"/>
                <w:vertAlign w:val="subscript"/>
              </w:rPr>
              <w:t>OC</w:t>
            </w:r>
            <w:r w:rsidRPr="002F794B">
              <w:rPr>
                <w:color w:val="auto"/>
                <w:sz w:val="13"/>
                <w:szCs w:val="13"/>
              </w:rPr>
              <w:t xml:space="preserve"> </w:t>
            </w:r>
            <w:r w:rsidRPr="002F794B">
              <w:rPr>
                <w:color w:val="auto"/>
                <w:sz w:val="20"/>
                <w:szCs w:val="20"/>
              </w:rPr>
              <w:t>a ƒ</w:t>
            </w:r>
            <w:r w:rsidRPr="002F794B">
              <w:rPr>
                <w:color w:val="auto"/>
                <w:sz w:val="13"/>
                <w:szCs w:val="13"/>
                <w:vertAlign w:val="subscript"/>
              </w:rPr>
              <w:t>c</w:t>
            </w:r>
            <w:r w:rsidRPr="002F794B">
              <w:rPr>
                <w:color w:val="auto"/>
                <w:sz w:val="13"/>
                <w:szCs w:val="13"/>
              </w:rPr>
              <w:t xml:space="preserve"> </w:t>
            </w:r>
            <w:r w:rsidRPr="002F794B">
              <w:rPr>
                <w:color w:val="auto"/>
                <w:sz w:val="20"/>
                <w:szCs w:val="20"/>
              </w:rPr>
              <w:t>± 2.5·BW</w:t>
            </w:r>
            <w:r w:rsidRPr="002F794B">
              <w:rPr>
                <w:color w:val="auto"/>
                <w:sz w:val="13"/>
                <w:szCs w:val="13"/>
                <w:vertAlign w:val="subscript"/>
              </w:rPr>
              <w:t>OC</w:t>
            </w:r>
            <w:r w:rsidRPr="002F794B">
              <w:rPr>
                <w:color w:val="auto"/>
                <w:sz w:val="13"/>
                <w:szCs w:val="13"/>
              </w:rPr>
              <w:t xml:space="preserve"> </w:t>
            </w:r>
          </w:p>
        </w:tc>
        <w:tc>
          <w:tcPr>
            <w:tcW w:w="1178" w:type="dxa"/>
            <w:vMerge/>
            <w:vAlign w:val="center"/>
          </w:tcPr>
          <w:p w14:paraId="7F80F0C3" w14:textId="77777777" w:rsidR="00AA7D0B" w:rsidRPr="002F794B" w:rsidRDefault="00AA7D0B" w:rsidP="00AA7D0B">
            <w:pPr>
              <w:jc w:val="center"/>
              <w:rPr>
                <w:rFonts w:ascii="Arial" w:hAnsi="Arial" w:cs="Arial"/>
              </w:rPr>
            </w:pPr>
          </w:p>
        </w:tc>
      </w:tr>
    </w:tbl>
    <w:p w14:paraId="1D360680" w14:textId="77777777" w:rsidR="00AA7D0B" w:rsidRPr="002F794B" w:rsidRDefault="00AA7D0B" w:rsidP="00AA7D0B">
      <w:pPr>
        <w:jc w:val="center"/>
        <w:rPr>
          <w:rFonts w:ascii="Arial" w:hAnsi="Arial" w:cs="Arial"/>
          <w:i/>
          <w:iCs/>
          <w:sz w:val="20"/>
          <w:szCs w:val="20"/>
        </w:rPr>
      </w:pPr>
    </w:p>
    <w:p w14:paraId="3CA42A93" w14:textId="77777777" w:rsidR="00AA7D0B" w:rsidRPr="002F794B" w:rsidRDefault="00AA7D0B" w:rsidP="00AA7D0B">
      <w:pPr>
        <w:jc w:val="center"/>
        <w:rPr>
          <w:rFonts w:ascii="Arial" w:hAnsi="Arial" w:cs="Arial"/>
          <w:i/>
          <w:iCs/>
          <w:sz w:val="20"/>
          <w:szCs w:val="20"/>
        </w:rPr>
      </w:pPr>
      <w:r w:rsidRPr="002F794B">
        <w:rPr>
          <w:rFonts w:ascii="Arial" w:hAnsi="Arial" w:cs="Arial"/>
          <w:i/>
          <w:iCs/>
          <w:sz w:val="20"/>
          <w:szCs w:val="20"/>
        </w:rPr>
        <w:t>Tabla 10. Contorno de las emisiones fuera de banda para WMAS.</w:t>
      </w:r>
    </w:p>
    <w:tbl>
      <w:tblPr>
        <w:tblStyle w:val="Tablaconcuadrcula"/>
        <w:tblW w:w="0" w:type="auto"/>
        <w:jc w:val="center"/>
        <w:tblLook w:val="04A0" w:firstRow="1" w:lastRow="0" w:firstColumn="1" w:lastColumn="0" w:noHBand="0" w:noVBand="1"/>
      </w:tblPr>
      <w:tblGrid>
        <w:gridCol w:w="3964"/>
        <w:gridCol w:w="3686"/>
        <w:gridCol w:w="1178"/>
      </w:tblGrid>
      <w:tr w:rsidR="002F794B" w:rsidRPr="002F794B" w14:paraId="41FDA342" w14:textId="77777777" w:rsidTr="0082566B">
        <w:trPr>
          <w:jc w:val="center"/>
        </w:trPr>
        <w:tc>
          <w:tcPr>
            <w:tcW w:w="3964" w:type="dxa"/>
            <w:vAlign w:val="center"/>
          </w:tcPr>
          <w:p w14:paraId="01022D96" w14:textId="77777777" w:rsidR="00AA7D0B" w:rsidRPr="002F794B" w:rsidRDefault="00AA7D0B" w:rsidP="00AA7D0B">
            <w:pPr>
              <w:jc w:val="center"/>
              <w:rPr>
                <w:rFonts w:ascii="Arial" w:hAnsi="Arial" w:cs="Arial"/>
                <w:b/>
                <w:bCs/>
              </w:rPr>
            </w:pPr>
            <w:r w:rsidRPr="002F794B">
              <w:rPr>
                <w:rFonts w:ascii="Arial" w:hAnsi="Arial" w:cs="Arial"/>
                <w:b/>
                <w:bCs/>
              </w:rPr>
              <w:t>Valor relativo del límite de emisión [dBc]</w:t>
            </w:r>
          </w:p>
        </w:tc>
        <w:tc>
          <w:tcPr>
            <w:tcW w:w="3686" w:type="dxa"/>
            <w:vAlign w:val="center"/>
          </w:tcPr>
          <w:p w14:paraId="4B9B8159" w14:textId="77777777" w:rsidR="00AA7D0B" w:rsidRPr="002F794B" w:rsidRDefault="00AA7D0B" w:rsidP="00AA7D0B">
            <w:pPr>
              <w:pStyle w:val="Default"/>
              <w:jc w:val="center"/>
              <w:rPr>
                <w:b/>
                <w:bCs/>
                <w:color w:val="auto"/>
                <w:sz w:val="20"/>
                <w:szCs w:val="20"/>
              </w:rPr>
            </w:pPr>
            <w:r w:rsidRPr="002F794B">
              <w:rPr>
                <w:b/>
                <w:bCs/>
                <w:color w:val="auto"/>
                <w:sz w:val="20"/>
                <w:szCs w:val="20"/>
              </w:rPr>
              <w:t>Δƒ</w:t>
            </w:r>
            <w:r w:rsidRPr="002F794B">
              <w:rPr>
                <w:b/>
                <w:bCs/>
                <w:color w:val="auto"/>
                <w:sz w:val="20"/>
                <w:szCs w:val="20"/>
                <w:vertAlign w:val="subscript"/>
              </w:rPr>
              <w:t>OOB</w:t>
            </w:r>
            <w:r w:rsidRPr="002F794B">
              <w:rPr>
                <w:b/>
                <w:bCs/>
                <w:color w:val="auto"/>
                <w:sz w:val="20"/>
                <w:szCs w:val="20"/>
              </w:rPr>
              <w:t xml:space="preserve"> </w:t>
            </w:r>
          </w:p>
        </w:tc>
        <w:tc>
          <w:tcPr>
            <w:tcW w:w="1178" w:type="dxa"/>
            <w:vAlign w:val="center"/>
          </w:tcPr>
          <w:p w14:paraId="27BE1378" w14:textId="77777777" w:rsidR="00AA7D0B" w:rsidRPr="002F794B" w:rsidRDefault="00AA7D0B" w:rsidP="00AA7D0B">
            <w:pPr>
              <w:jc w:val="center"/>
              <w:rPr>
                <w:rFonts w:ascii="Arial" w:hAnsi="Arial" w:cs="Arial"/>
                <w:b/>
                <w:bCs/>
              </w:rPr>
            </w:pPr>
            <w:r w:rsidRPr="002F794B">
              <w:rPr>
                <w:rFonts w:ascii="Arial" w:hAnsi="Arial" w:cs="Arial"/>
                <w:b/>
                <w:bCs/>
              </w:rPr>
              <w:t>RBW</w:t>
            </w:r>
          </w:p>
        </w:tc>
      </w:tr>
      <w:tr w:rsidR="002F794B" w:rsidRPr="002F794B" w14:paraId="11912257" w14:textId="77777777" w:rsidTr="0082566B">
        <w:trPr>
          <w:jc w:val="center"/>
        </w:trPr>
        <w:tc>
          <w:tcPr>
            <w:tcW w:w="3964" w:type="dxa"/>
            <w:vAlign w:val="center"/>
          </w:tcPr>
          <w:p w14:paraId="3A6CEB73" w14:textId="77777777" w:rsidR="00AA7D0B" w:rsidRPr="002F794B" w:rsidRDefault="00AA7D0B" w:rsidP="00AA7D0B">
            <w:pPr>
              <w:pStyle w:val="Default"/>
              <w:jc w:val="center"/>
              <w:rPr>
                <w:color w:val="auto"/>
                <w:sz w:val="20"/>
                <w:szCs w:val="20"/>
              </w:rPr>
            </w:pPr>
            <w:r w:rsidRPr="002F794B">
              <w:rPr>
                <w:color w:val="auto"/>
                <w:sz w:val="20"/>
                <w:szCs w:val="20"/>
              </w:rPr>
              <w:t>Decrece inmediatamente de 0 a -40</w:t>
            </w:r>
          </w:p>
        </w:tc>
        <w:tc>
          <w:tcPr>
            <w:tcW w:w="3686" w:type="dxa"/>
            <w:vAlign w:val="center"/>
          </w:tcPr>
          <w:p w14:paraId="7F9177C3" w14:textId="77777777" w:rsidR="00AA7D0B" w:rsidRPr="002F794B" w:rsidRDefault="00AA7D0B" w:rsidP="00AA7D0B">
            <w:pPr>
              <w:pStyle w:val="Default"/>
              <w:jc w:val="center"/>
              <w:rPr>
                <w:color w:val="auto"/>
                <w:sz w:val="20"/>
                <w:szCs w:val="20"/>
              </w:rPr>
            </w:pPr>
            <w:r w:rsidRPr="002F794B">
              <w:rPr>
                <w:color w:val="auto"/>
                <w:sz w:val="20"/>
                <w:szCs w:val="20"/>
              </w:rPr>
              <w:t>ƒc ± 0.5·BW</w:t>
            </w:r>
            <w:r w:rsidRPr="002F794B">
              <w:rPr>
                <w:color w:val="auto"/>
                <w:sz w:val="20"/>
                <w:szCs w:val="20"/>
                <w:vertAlign w:val="subscript"/>
              </w:rPr>
              <w:t>OC</w:t>
            </w:r>
          </w:p>
        </w:tc>
        <w:tc>
          <w:tcPr>
            <w:tcW w:w="1178" w:type="dxa"/>
            <w:vMerge w:val="restart"/>
            <w:vAlign w:val="center"/>
          </w:tcPr>
          <w:p w14:paraId="0AAC5DA4" w14:textId="77777777" w:rsidR="00AA7D0B" w:rsidRPr="002F794B" w:rsidRDefault="00AA7D0B" w:rsidP="00AA7D0B">
            <w:pPr>
              <w:jc w:val="center"/>
              <w:rPr>
                <w:rFonts w:ascii="Arial" w:hAnsi="Arial" w:cs="Arial"/>
              </w:rPr>
            </w:pPr>
            <w:r w:rsidRPr="002F794B">
              <w:rPr>
                <w:rFonts w:ascii="Arial" w:hAnsi="Arial" w:cs="Arial"/>
              </w:rPr>
              <w:t>Ver Tabla 11</w:t>
            </w:r>
          </w:p>
        </w:tc>
      </w:tr>
      <w:tr w:rsidR="002F794B" w:rsidRPr="002F794B" w14:paraId="7F455229" w14:textId="77777777" w:rsidTr="0082566B">
        <w:trPr>
          <w:jc w:val="center"/>
        </w:trPr>
        <w:tc>
          <w:tcPr>
            <w:tcW w:w="3964" w:type="dxa"/>
            <w:vAlign w:val="center"/>
          </w:tcPr>
          <w:p w14:paraId="07DF1B35" w14:textId="77777777" w:rsidR="00AA7D0B" w:rsidRPr="002F794B" w:rsidRDefault="00AA7D0B" w:rsidP="00AA7D0B">
            <w:pPr>
              <w:pStyle w:val="Default"/>
              <w:jc w:val="center"/>
              <w:rPr>
                <w:color w:val="auto"/>
                <w:sz w:val="20"/>
                <w:szCs w:val="20"/>
              </w:rPr>
            </w:pPr>
            <w:r w:rsidRPr="002F794B">
              <w:rPr>
                <w:color w:val="auto"/>
                <w:sz w:val="20"/>
                <w:szCs w:val="20"/>
              </w:rPr>
              <w:t>Decrece linealmente con la frecuencia de -40 a -60</w:t>
            </w:r>
          </w:p>
        </w:tc>
        <w:tc>
          <w:tcPr>
            <w:tcW w:w="3686" w:type="dxa"/>
            <w:vAlign w:val="center"/>
          </w:tcPr>
          <w:p w14:paraId="15236B31" w14:textId="77777777" w:rsidR="00AA7D0B" w:rsidRPr="002F794B" w:rsidRDefault="00AA7D0B" w:rsidP="00AA7D0B">
            <w:pPr>
              <w:pStyle w:val="Default"/>
              <w:jc w:val="center"/>
              <w:rPr>
                <w:color w:val="auto"/>
                <w:sz w:val="13"/>
                <w:szCs w:val="13"/>
              </w:rPr>
            </w:pPr>
            <w:r w:rsidRPr="002F794B">
              <w:rPr>
                <w:color w:val="auto"/>
                <w:sz w:val="20"/>
                <w:szCs w:val="20"/>
              </w:rPr>
              <w:t>De ƒ</w:t>
            </w:r>
            <w:r w:rsidRPr="002F794B">
              <w:rPr>
                <w:color w:val="auto"/>
                <w:sz w:val="13"/>
                <w:szCs w:val="13"/>
              </w:rPr>
              <w:t>c</w:t>
            </w:r>
            <w:r w:rsidRPr="002F794B">
              <w:rPr>
                <w:color w:val="auto"/>
                <w:sz w:val="20"/>
                <w:szCs w:val="20"/>
              </w:rPr>
              <w:t>± 0.5·BW</w:t>
            </w:r>
            <w:r w:rsidRPr="002F794B">
              <w:rPr>
                <w:color w:val="auto"/>
                <w:sz w:val="13"/>
                <w:szCs w:val="13"/>
              </w:rPr>
              <w:t xml:space="preserve">OC </w:t>
            </w:r>
            <w:r w:rsidRPr="002F794B">
              <w:rPr>
                <w:color w:val="auto"/>
                <w:sz w:val="20"/>
                <w:szCs w:val="20"/>
              </w:rPr>
              <w:t>a ƒ</w:t>
            </w:r>
            <w:r w:rsidRPr="002F794B">
              <w:rPr>
                <w:color w:val="auto"/>
                <w:sz w:val="13"/>
                <w:szCs w:val="13"/>
              </w:rPr>
              <w:t xml:space="preserve">c </w:t>
            </w:r>
            <w:r w:rsidRPr="002F794B">
              <w:rPr>
                <w:color w:val="auto"/>
                <w:sz w:val="20"/>
                <w:szCs w:val="20"/>
              </w:rPr>
              <w:t>± BW</w:t>
            </w:r>
            <w:r w:rsidRPr="002F794B">
              <w:rPr>
                <w:color w:val="auto"/>
                <w:sz w:val="13"/>
                <w:szCs w:val="13"/>
              </w:rPr>
              <w:t xml:space="preserve">OC </w:t>
            </w:r>
          </w:p>
        </w:tc>
        <w:tc>
          <w:tcPr>
            <w:tcW w:w="1178" w:type="dxa"/>
            <w:vMerge/>
            <w:vAlign w:val="center"/>
          </w:tcPr>
          <w:p w14:paraId="0AD3ED5A" w14:textId="77777777" w:rsidR="00AA7D0B" w:rsidRPr="002F794B" w:rsidRDefault="00AA7D0B" w:rsidP="00AA7D0B">
            <w:pPr>
              <w:jc w:val="center"/>
              <w:rPr>
                <w:rFonts w:ascii="Arial" w:hAnsi="Arial" w:cs="Arial"/>
              </w:rPr>
            </w:pPr>
          </w:p>
        </w:tc>
      </w:tr>
      <w:tr w:rsidR="002F794B" w:rsidRPr="002F794B" w14:paraId="3BC787AE" w14:textId="77777777" w:rsidTr="0082566B">
        <w:trPr>
          <w:jc w:val="center"/>
        </w:trPr>
        <w:tc>
          <w:tcPr>
            <w:tcW w:w="3964" w:type="dxa"/>
            <w:vAlign w:val="center"/>
          </w:tcPr>
          <w:p w14:paraId="216DDF24" w14:textId="77777777" w:rsidR="00AA7D0B" w:rsidRPr="002F794B" w:rsidRDefault="00AA7D0B" w:rsidP="00AA7D0B">
            <w:pPr>
              <w:pStyle w:val="Default"/>
              <w:jc w:val="center"/>
              <w:rPr>
                <w:color w:val="auto"/>
                <w:sz w:val="20"/>
                <w:szCs w:val="20"/>
              </w:rPr>
            </w:pPr>
            <w:r w:rsidRPr="002F794B">
              <w:rPr>
                <w:color w:val="auto"/>
                <w:sz w:val="20"/>
                <w:szCs w:val="20"/>
              </w:rPr>
              <w:t xml:space="preserve">-60 </w:t>
            </w:r>
          </w:p>
        </w:tc>
        <w:tc>
          <w:tcPr>
            <w:tcW w:w="3686" w:type="dxa"/>
            <w:vAlign w:val="center"/>
          </w:tcPr>
          <w:p w14:paraId="0F161F74" w14:textId="77777777" w:rsidR="00AA7D0B" w:rsidRPr="002F794B" w:rsidRDefault="00AA7D0B" w:rsidP="00AA7D0B">
            <w:pPr>
              <w:pStyle w:val="Default"/>
              <w:jc w:val="center"/>
              <w:rPr>
                <w:color w:val="auto"/>
                <w:sz w:val="13"/>
                <w:szCs w:val="13"/>
              </w:rPr>
            </w:pPr>
            <w:r w:rsidRPr="002F794B">
              <w:rPr>
                <w:color w:val="auto"/>
                <w:sz w:val="20"/>
                <w:szCs w:val="20"/>
              </w:rPr>
              <w:t>De ƒ</w:t>
            </w:r>
            <w:r w:rsidRPr="002F794B">
              <w:rPr>
                <w:color w:val="auto"/>
                <w:sz w:val="13"/>
                <w:szCs w:val="13"/>
              </w:rPr>
              <w:t xml:space="preserve">c </w:t>
            </w:r>
            <w:r w:rsidRPr="002F794B">
              <w:rPr>
                <w:color w:val="auto"/>
                <w:sz w:val="20"/>
                <w:szCs w:val="20"/>
              </w:rPr>
              <w:t>± BW</w:t>
            </w:r>
            <w:r w:rsidRPr="002F794B">
              <w:rPr>
                <w:color w:val="auto"/>
                <w:sz w:val="13"/>
                <w:szCs w:val="13"/>
              </w:rPr>
              <w:t xml:space="preserve">OC </w:t>
            </w:r>
            <w:r w:rsidRPr="002F794B">
              <w:rPr>
                <w:color w:val="auto"/>
                <w:sz w:val="20"/>
                <w:szCs w:val="20"/>
              </w:rPr>
              <w:t>a ƒ</w:t>
            </w:r>
            <w:r w:rsidRPr="002F794B">
              <w:rPr>
                <w:color w:val="auto"/>
                <w:sz w:val="13"/>
                <w:szCs w:val="13"/>
              </w:rPr>
              <w:t xml:space="preserve">c </w:t>
            </w:r>
            <w:r w:rsidRPr="002F794B">
              <w:rPr>
                <w:color w:val="auto"/>
                <w:sz w:val="20"/>
                <w:szCs w:val="20"/>
              </w:rPr>
              <w:t>± 2.5·BW</w:t>
            </w:r>
            <w:r w:rsidRPr="002F794B">
              <w:rPr>
                <w:color w:val="auto"/>
                <w:sz w:val="13"/>
                <w:szCs w:val="13"/>
              </w:rPr>
              <w:t xml:space="preserve">OC </w:t>
            </w:r>
          </w:p>
        </w:tc>
        <w:tc>
          <w:tcPr>
            <w:tcW w:w="1178" w:type="dxa"/>
            <w:vMerge/>
            <w:vAlign w:val="center"/>
          </w:tcPr>
          <w:p w14:paraId="5EC16188" w14:textId="77777777" w:rsidR="00AA7D0B" w:rsidRPr="002F794B" w:rsidRDefault="00AA7D0B" w:rsidP="00AA7D0B">
            <w:pPr>
              <w:jc w:val="center"/>
              <w:rPr>
                <w:rFonts w:ascii="Arial" w:hAnsi="Arial" w:cs="Arial"/>
              </w:rPr>
            </w:pPr>
          </w:p>
        </w:tc>
      </w:tr>
    </w:tbl>
    <w:p w14:paraId="17537934" w14:textId="4B5424FE" w:rsidR="00F62377" w:rsidRPr="002F794B" w:rsidRDefault="00982ABD" w:rsidP="00D6603E">
      <w:pPr>
        <w:ind w:left="567" w:right="616"/>
        <w:rPr>
          <w:i/>
          <w:iCs/>
        </w:rPr>
      </w:pPr>
      <w:r w:rsidRPr="002F794B">
        <w:rPr>
          <w:i/>
          <w:iCs/>
        </w:rPr>
        <w:t>(…)</w:t>
      </w:r>
      <w:r w:rsidR="00AB1BFB" w:rsidRPr="002F794B">
        <w:rPr>
          <w:i/>
          <w:iCs/>
        </w:rPr>
        <w:t>”</w:t>
      </w:r>
    </w:p>
    <w:p w14:paraId="6930BBF7" w14:textId="77777777" w:rsidR="008F7EA4" w:rsidRPr="002F794B" w:rsidRDefault="008F7EA4" w:rsidP="008F7EA4">
      <w:pPr>
        <w:rPr>
          <w:u w:val="single"/>
        </w:rPr>
      </w:pPr>
      <w:r w:rsidRPr="002F794B">
        <w:rPr>
          <w:u w:val="single"/>
        </w:rPr>
        <w:t>Respuesta</w:t>
      </w:r>
    </w:p>
    <w:p w14:paraId="0DA7EF57" w14:textId="294F5BA9" w:rsidR="008F7EA4" w:rsidRPr="002F794B" w:rsidRDefault="008025F4" w:rsidP="008F7EA4">
      <w:r w:rsidRPr="002F794B">
        <w:t>Se considera y se corrige</w:t>
      </w:r>
      <w:r w:rsidR="00BE4B3C" w:rsidRPr="002F794B">
        <w:t>n</w:t>
      </w:r>
      <w:r w:rsidRPr="002F794B">
        <w:t xml:space="preserve"> la</w:t>
      </w:r>
      <w:r w:rsidR="00795DA9" w:rsidRPr="002F794B">
        <w:t>s</w:t>
      </w:r>
      <w:r w:rsidRPr="002F794B">
        <w:t xml:space="preserve"> Tabla </w:t>
      </w:r>
      <w:r w:rsidR="00BE4B3C" w:rsidRPr="002F794B">
        <w:t>8, Tabla 9</w:t>
      </w:r>
      <w:r w:rsidRPr="002F794B">
        <w:t xml:space="preserve"> y Tabla </w:t>
      </w:r>
      <w:r w:rsidR="00BE4B3C" w:rsidRPr="002F794B">
        <w:t>10</w:t>
      </w:r>
      <w:r w:rsidR="00795DA9" w:rsidRPr="002F794B">
        <w:t xml:space="preserve"> para ser consistentes con estándares internacionales de referencia</w:t>
      </w:r>
      <w:r w:rsidRPr="002F794B">
        <w:t>.</w:t>
      </w:r>
    </w:p>
    <w:p w14:paraId="3C2B3D33" w14:textId="77777777" w:rsidR="008F7EA4" w:rsidRPr="002F794B" w:rsidRDefault="008F7EA4" w:rsidP="00DE0659"/>
    <w:p w14:paraId="059A69FB" w14:textId="77777777" w:rsidR="000A03F5" w:rsidRPr="002F794B" w:rsidRDefault="000A03F5" w:rsidP="000A03F5">
      <w:pPr>
        <w:rPr>
          <w:u w:val="single"/>
        </w:rPr>
      </w:pPr>
      <w:r w:rsidRPr="002F794B">
        <w:rPr>
          <w:u w:val="single"/>
        </w:rPr>
        <w:t>Participante</w:t>
      </w:r>
    </w:p>
    <w:p w14:paraId="0FE0731D" w14:textId="4F0C8718" w:rsidR="000A03F5" w:rsidRPr="002F794B" w:rsidRDefault="00D00E11" w:rsidP="000A03F5">
      <w:proofErr w:type="spellStart"/>
      <w:r w:rsidRPr="002F794B">
        <w:t>Shure</w:t>
      </w:r>
      <w:proofErr w:type="spellEnd"/>
      <w:r w:rsidRPr="002F794B">
        <w:t xml:space="preserve"> </w:t>
      </w:r>
      <w:proofErr w:type="spellStart"/>
      <w:r w:rsidRPr="002F794B">
        <w:t>Incorporated</w:t>
      </w:r>
      <w:proofErr w:type="spellEnd"/>
    </w:p>
    <w:p w14:paraId="30ACEA77" w14:textId="77777777" w:rsidR="000A03F5" w:rsidRPr="002F794B" w:rsidRDefault="000A03F5" w:rsidP="000A03F5">
      <w:pPr>
        <w:rPr>
          <w:u w:val="single"/>
        </w:rPr>
      </w:pPr>
      <w:r w:rsidRPr="002F794B">
        <w:rPr>
          <w:u w:val="single"/>
        </w:rPr>
        <w:t>Comentario y propuesta</w:t>
      </w:r>
    </w:p>
    <w:p w14:paraId="0A242D5B" w14:textId="77777777" w:rsidR="005704C4" w:rsidRPr="002F794B" w:rsidRDefault="005704C4" w:rsidP="005704C4">
      <w:pPr>
        <w:ind w:left="567" w:right="616"/>
        <w:rPr>
          <w:i/>
          <w:iCs/>
        </w:rPr>
      </w:pPr>
      <w:r w:rsidRPr="002F794B">
        <w:rPr>
          <w:i/>
          <w:iCs/>
        </w:rPr>
        <w:lastRenderedPageBreak/>
        <w:t xml:space="preserve">"Las Tablas 8 a 11 del IFT-016-2023 definen los rangos para </w:t>
      </w:r>
      <w:r w:rsidRPr="002F794B">
        <w:rPr>
          <w:rFonts w:hint="eastAsia"/>
          <w:i/>
          <w:iCs/>
        </w:rPr>
        <w:t>Δ</w:t>
      </w:r>
      <w:proofErr w:type="spellStart"/>
      <w:r w:rsidRPr="002F794B">
        <w:rPr>
          <w:i/>
          <w:iCs/>
        </w:rPr>
        <w:t>fOOB</w:t>
      </w:r>
      <w:proofErr w:type="spellEnd"/>
      <w:r w:rsidRPr="002F794B">
        <w:rPr>
          <w:i/>
          <w:iCs/>
        </w:rPr>
        <w:t xml:space="preserve"> con BWOC en lugar de BWMax (Ancho de banda de canal declarado) utilizados en ETSI EN 300 422-1. Esto dará lugar a diferentes máscaras de transmisión y los dispositivos que cumplen con EN 300 422-1 y FCC no necesariamente cumplen con los requisitos del IFT. Proponemos cambiar BWOC a BWMax para cumplir con ETSI y FCC.</w:t>
      </w:r>
    </w:p>
    <w:p w14:paraId="74ABA348" w14:textId="6B8475E3" w:rsidR="000A03F5" w:rsidRPr="002F794B" w:rsidRDefault="005704C4" w:rsidP="005704C4">
      <w:pPr>
        <w:ind w:left="567" w:right="616"/>
        <w:rPr>
          <w:i/>
          <w:iCs/>
        </w:rPr>
      </w:pPr>
      <w:r w:rsidRPr="002F794B">
        <w:rPr>
          <w:i/>
          <w:iCs/>
        </w:rPr>
        <w:t>La Tabla 8 no refleja la máscara de transmisión actualizada de ETSI EN 300 422-1 Figura 2 “Máscara de potencia espectral de transmisión para equipos que emplean modulación digital, excepto WMAS, RBW = 1 kHz”."</w:t>
      </w:r>
    </w:p>
    <w:p w14:paraId="77A3E901" w14:textId="77777777" w:rsidR="000A03F5" w:rsidRPr="002F794B" w:rsidRDefault="000A03F5" w:rsidP="000A03F5">
      <w:pPr>
        <w:rPr>
          <w:u w:val="single"/>
        </w:rPr>
      </w:pPr>
      <w:r w:rsidRPr="002F794B">
        <w:rPr>
          <w:u w:val="single"/>
        </w:rPr>
        <w:t>Respuesta</w:t>
      </w:r>
    </w:p>
    <w:p w14:paraId="63E6AF2C" w14:textId="005B6E0F" w:rsidR="00DE4010" w:rsidRPr="002F794B" w:rsidRDefault="00AB756D" w:rsidP="00DE0659">
      <w:r w:rsidRPr="002F794B">
        <w:t>Se considera y se sustituye BW</w:t>
      </w:r>
      <w:r w:rsidRPr="002F794B">
        <w:rPr>
          <w:vertAlign w:val="subscript"/>
        </w:rPr>
        <w:t>OC</w:t>
      </w:r>
      <w:r w:rsidRPr="002F794B">
        <w:t xml:space="preserve"> por BW</w:t>
      </w:r>
      <w:r w:rsidRPr="002F794B">
        <w:rPr>
          <w:vertAlign w:val="subscript"/>
        </w:rPr>
        <w:t>Max</w:t>
      </w:r>
      <w:r w:rsidRPr="002F794B">
        <w:t xml:space="preserve"> (donde aplique) en las Tablas 8, 9, 10 y 11.</w:t>
      </w:r>
    </w:p>
    <w:p w14:paraId="033E8A1E" w14:textId="77777777" w:rsidR="00AB756D" w:rsidRPr="002F794B" w:rsidRDefault="00AB756D" w:rsidP="00DE0659"/>
    <w:p w14:paraId="376AB7A1" w14:textId="20EC8EA2" w:rsidR="00A97760" w:rsidRPr="002F794B" w:rsidRDefault="00A97760" w:rsidP="00DE39DA">
      <w:pPr>
        <w:outlineLvl w:val="1"/>
        <w:rPr>
          <w:b/>
          <w:bCs/>
        </w:rPr>
      </w:pPr>
      <w:r w:rsidRPr="002F794B">
        <w:rPr>
          <w:b/>
          <w:bCs/>
        </w:rPr>
        <w:t>Numeral 7.2.3.2</w:t>
      </w:r>
    </w:p>
    <w:p w14:paraId="69DF607E" w14:textId="77777777" w:rsidR="000A03F5" w:rsidRPr="002F794B" w:rsidRDefault="000A03F5" w:rsidP="000A03F5">
      <w:pPr>
        <w:rPr>
          <w:u w:val="single"/>
        </w:rPr>
      </w:pPr>
      <w:r w:rsidRPr="002F794B">
        <w:rPr>
          <w:u w:val="single"/>
        </w:rPr>
        <w:t>Participante</w:t>
      </w:r>
    </w:p>
    <w:p w14:paraId="3985AC66" w14:textId="218850EE" w:rsidR="000A03F5" w:rsidRPr="002F794B" w:rsidRDefault="00183C27" w:rsidP="000A03F5">
      <w:r w:rsidRPr="002F794B">
        <w:t>Consejo Mexicano de Normalización y Evaluación de la Conformidad A.C.</w:t>
      </w:r>
    </w:p>
    <w:p w14:paraId="58338ABD" w14:textId="77777777" w:rsidR="000A03F5" w:rsidRPr="002F794B" w:rsidRDefault="000A03F5" w:rsidP="000A03F5">
      <w:pPr>
        <w:rPr>
          <w:u w:val="single"/>
        </w:rPr>
      </w:pPr>
      <w:r w:rsidRPr="002F794B">
        <w:rPr>
          <w:u w:val="single"/>
        </w:rPr>
        <w:t>Comentario y propuesta</w:t>
      </w:r>
    </w:p>
    <w:p w14:paraId="4C5E4BA7" w14:textId="53DDF48C" w:rsidR="000A03F5" w:rsidRPr="002F794B" w:rsidRDefault="00DC7CD0" w:rsidP="00DC7CD0">
      <w:pPr>
        <w:ind w:left="567" w:right="616"/>
        <w:rPr>
          <w:i/>
          <w:iCs/>
        </w:rPr>
      </w:pPr>
      <w:r w:rsidRPr="002F794B">
        <w:rPr>
          <w:i/>
          <w:iCs/>
        </w:rPr>
        <w:t>“No es clara la condición del ancho de banda del filtro de resolución (RBW), se sugiere establecer solo un valor de RBW.”</w:t>
      </w:r>
    </w:p>
    <w:p w14:paraId="58891B16" w14:textId="77777777" w:rsidR="000A03F5" w:rsidRPr="002F794B" w:rsidRDefault="000A03F5" w:rsidP="000A03F5">
      <w:pPr>
        <w:rPr>
          <w:u w:val="single"/>
        </w:rPr>
      </w:pPr>
      <w:r w:rsidRPr="002F794B">
        <w:rPr>
          <w:u w:val="single"/>
        </w:rPr>
        <w:t>Respuesta</w:t>
      </w:r>
    </w:p>
    <w:p w14:paraId="1EE0F788" w14:textId="096ADA65" w:rsidR="000A03F5" w:rsidRPr="002F794B" w:rsidRDefault="00297DBE" w:rsidP="000A03F5">
      <w:r w:rsidRPr="002F794B">
        <w:t>No se considera. Estos valores se encuentran alineados a la normativa internacional referente a los límites máximos permisibles de emisiones no esenciales para Micrófonos inalámbricos.</w:t>
      </w:r>
    </w:p>
    <w:p w14:paraId="690E6FAE" w14:textId="77777777" w:rsidR="000A03F5" w:rsidRPr="002F794B" w:rsidRDefault="000A03F5" w:rsidP="00DE0659"/>
    <w:p w14:paraId="7049155C" w14:textId="77777777" w:rsidR="000A03F5" w:rsidRPr="002F794B" w:rsidRDefault="000A03F5" w:rsidP="000A03F5">
      <w:pPr>
        <w:rPr>
          <w:u w:val="single"/>
        </w:rPr>
      </w:pPr>
      <w:r w:rsidRPr="002F794B">
        <w:rPr>
          <w:u w:val="single"/>
        </w:rPr>
        <w:t>Participante</w:t>
      </w:r>
    </w:p>
    <w:p w14:paraId="3EC54D67" w14:textId="45C65F12" w:rsidR="000A03F5" w:rsidRPr="002F794B" w:rsidRDefault="0065226B" w:rsidP="000A03F5">
      <w:proofErr w:type="spellStart"/>
      <w:r w:rsidRPr="002F794B">
        <w:t>Shure</w:t>
      </w:r>
      <w:proofErr w:type="spellEnd"/>
      <w:r w:rsidRPr="002F794B">
        <w:t xml:space="preserve"> </w:t>
      </w:r>
      <w:proofErr w:type="spellStart"/>
      <w:r w:rsidRPr="002F794B">
        <w:t>Incorporated</w:t>
      </w:r>
      <w:proofErr w:type="spellEnd"/>
    </w:p>
    <w:p w14:paraId="3237404F" w14:textId="77777777" w:rsidR="000A03F5" w:rsidRPr="002F794B" w:rsidRDefault="000A03F5" w:rsidP="000A03F5">
      <w:pPr>
        <w:rPr>
          <w:u w:val="single"/>
        </w:rPr>
      </w:pPr>
      <w:r w:rsidRPr="002F794B">
        <w:rPr>
          <w:u w:val="single"/>
        </w:rPr>
        <w:t>Comentario y propuesta</w:t>
      </w:r>
    </w:p>
    <w:p w14:paraId="0CAAF304" w14:textId="482F7124" w:rsidR="000A03F5" w:rsidRPr="002F794B" w:rsidRDefault="0052478A" w:rsidP="00B37F7A">
      <w:pPr>
        <w:ind w:left="567" w:right="616"/>
        <w:rPr>
          <w:i/>
          <w:iCs/>
        </w:rPr>
      </w:pPr>
      <w:r w:rsidRPr="002F794B">
        <w:rPr>
          <w:noProof/>
        </w:rPr>
        <w:lastRenderedPageBreak/>
        <w:drawing>
          <wp:anchor distT="0" distB="0" distL="114300" distR="114300" simplePos="0" relativeHeight="251658246" behindDoc="0" locked="0" layoutInCell="1" allowOverlap="1" wp14:anchorId="0A83FB5B" wp14:editId="3CFD0F00">
            <wp:simplePos x="0" y="0"/>
            <wp:positionH relativeFrom="column">
              <wp:posOffset>360680</wp:posOffset>
            </wp:positionH>
            <wp:positionV relativeFrom="paragraph">
              <wp:posOffset>847090</wp:posOffset>
            </wp:positionV>
            <wp:extent cx="3774440" cy="3060700"/>
            <wp:effectExtent l="0" t="0" r="0" b="6350"/>
            <wp:wrapTopAndBottom/>
            <wp:docPr id="98538643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86432" name="Imagen 1" descr="Tabl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4440" cy="3060700"/>
                    </a:xfrm>
                    <a:prstGeom prst="rect">
                      <a:avLst/>
                    </a:prstGeom>
                  </pic:spPr>
                </pic:pic>
              </a:graphicData>
            </a:graphic>
            <wp14:sizeRelH relativeFrom="margin">
              <wp14:pctWidth>0</wp14:pctWidth>
            </wp14:sizeRelH>
            <wp14:sizeRelV relativeFrom="margin">
              <wp14:pctHeight>0</wp14:pctHeight>
            </wp14:sizeRelV>
          </wp:anchor>
        </w:drawing>
      </w:r>
      <w:r w:rsidR="00B37F7A" w:rsidRPr="002F794B">
        <w:rPr>
          <w:i/>
          <w:iCs/>
        </w:rPr>
        <w:t>En la Tabla 12, los rangos de frecuencia que definen RBW se especifican con BWOC. Para que la Tabla 12 cumpla con ETSI, se debe utilizar BWMax en lugar de BWOC. La table ETSI es la siguiente (ver la Tabla 4 en ETSI EN 300 422):</w:t>
      </w:r>
    </w:p>
    <w:p w14:paraId="5CA3769C" w14:textId="3E7589F9" w:rsidR="00B37F7A" w:rsidRPr="002F794B" w:rsidRDefault="00D0248D" w:rsidP="00B37F7A">
      <w:pPr>
        <w:ind w:left="567" w:right="616"/>
        <w:rPr>
          <w:i/>
          <w:iCs/>
        </w:rPr>
      </w:pPr>
      <w:r w:rsidRPr="002F794B">
        <w:rPr>
          <w:i/>
          <w:iCs/>
        </w:rPr>
        <w:t>Donde B es el ancho de banda del canal declarado que corresponde a BWMax.</w:t>
      </w:r>
    </w:p>
    <w:p w14:paraId="15398B8A" w14:textId="77777777" w:rsidR="000A03F5" w:rsidRPr="002F794B" w:rsidRDefault="000A03F5" w:rsidP="000A03F5">
      <w:pPr>
        <w:rPr>
          <w:u w:val="single"/>
        </w:rPr>
      </w:pPr>
      <w:r w:rsidRPr="002F794B">
        <w:rPr>
          <w:u w:val="single"/>
        </w:rPr>
        <w:t>Respuesta</w:t>
      </w:r>
    </w:p>
    <w:p w14:paraId="5BAAF19E" w14:textId="6FA972EE" w:rsidR="000A03F5" w:rsidRPr="002F794B" w:rsidRDefault="00472264" w:rsidP="000A03F5">
      <w:r w:rsidRPr="002F794B">
        <w:t>Se considera y se sustituye BW</w:t>
      </w:r>
      <w:r w:rsidRPr="002F794B">
        <w:rPr>
          <w:vertAlign w:val="subscript"/>
        </w:rPr>
        <w:t>OC</w:t>
      </w:r>
      <w:r w:rsidRPr="002F794B">
        <w:t xml:space="preserve"> por BW</w:t>
      </w:r>
      <w:r w:rsidRPr="002F794B">
        <w:rPr>
          <w:vertAlign w:val="subscript"/>
        </w:rPr>
        <w:t>Max</w:t>
      </w:r>
      <w:r w:rsidRPr="002F794B">
        <w:t xml:space="preserve"> (donde aplique) en la Tabla</w:t>
      </w:r>
      <w:r w:rsidR="00DA4396" w:rsidRPr="002F794B">
        <w:t xml:space="preserve"> 12</w:t>
      </w:r>
      <w:r w:rsidR="00113E56" w:rsidRPr="002F794B">
        <w:t>.</w:t>
      </w:r>
    </w:p>
    <w:p w14:paraId="3BC42EED" w14:textId="77777777" w:rsidR="000A03F5" w:rsidRPr="002F794B" w:rsidRDefault="000A03F5" w:rsidP="00DE0659"/>
    <w:p w14:paraId="1E58625C" w14:textId="77777777" w:rsidR="000A03F5" w:rsidRPr="002F794B" w:rsidRDefault="000A03F5" w:rsidP="000A03F5">
      <w:pPr>
        <w:rPr>
          <w:u w:val="single"/>
        </w:rPr>
      </w:pPr>
      <w:r w:rsidRPr="002F794B">
        <w:rPr>
          <w:u w:val="single"/>
        </w:rPr>
        <w:t>Participante</w:t>
      </w:r>
    </w:p>
    <w:p w14:paraId="3FC22150" w14:textId="484F1081" w:rsidR="000A03F5" w:rsidRPr="002F794B" w:rsidRDefault="00A259A0" w:rsidP="000A03F5">
      <w:r w:rsidRPr="002F794B">
        <w:t>Cámara Nacional de la Industria Electrónica, de Telecomunicaciones y Tecnologías de la Información</w:t>
      </w:r>
    </w:p>
    <w:p w14:paraId="1584D541" w14:textId="77777777" w:rsidR="000A03F5" w:rsidRPr="002F794B" w:rsidRDefault="000A03F5" w:rsidP="000A03F5">
      <w:pPr>
        <w:rPr>
          <w:u w:val="single"/>
        </w:rPr>
      </w:pPr>
      <w:r w:rsidRPr="002F794B">
        <w:rPr>
          <w:u w:val="single"/>
        </w:rPr>
        <w:t>Comentario y propuesta</w:t>
      </w:r>
    </w:p>
    <w:p w14:paraId="23F5D444" w14:textId="35031650" w:rsidR="000A03F5" w:rsidRPr="002F794B" w:rsidRDefault="001E62F3" w:rsidP="000A03F5">
      <w:pPr>
        <w:ind w:left="567" w:right="616"/>
        <w:rPr>
          <w:i/>
          <w:iCs/>
        </w:rPr>
      </w:pPr>
      <w:r w:rsidRPr="002F794B">
        <w:rPr>
          <w:i/>
          <w:iCs/>
        </w:rPr>
        <w:t>No es clara la condición del ancho de banda del filtro de resolución (RBW). Se sugiere en todo caso establecer solo un valor de RBW.</w:t>
      </w:r>
    </w:p>
    <w:p w14:paraId="28DCEA47" w14:textId="77777777" w:rsidR="000A03F5" w:rsidRPr="002F794B" w:rsidRDefault="000A03F5" w:rsidP="000A03F5">
      <w:pPr>
        <w:rPr>
          <w:u w:val="single"/>
        </w:rPr>
      </w:pPr>
      <w:r w:rsidRPr="002F794B">
        <w:rPr>
          <w:u w:val="single"/>
        </w:rPr>
        <w:t>Respuesta</w:t>
      </w:r>
    </w:p>
    <w:p w14:paraId="34C901D7" w14:textId="21837BF2" w:rsidR="000A03F5" w:rsidRPr="002F794B" w:rsidRDefault="006C695D" w:rsidP="00DE0659">
      <w:r w:rsidRPr="002F794B">
        <w:t>No se considera. Estos valores se encuentran alineados a la normativa internacional referente a los límites máximos permisibles de emisiones no esenciales para Micrófonos inalámbricos.</w:t>
      </w:r>
    </w:p>
    <w:p w14:paraId="298E03C1" w14:textId="77777777" w:rsidR="006C695D" w:rsidRPr="002F794B" w:rsidRDefault="006C695D" w:rsidP="00DE0659"/>
    <w:p w14:paraId="24C234F8" w14:textId="092D2D14" w:rsidR="0086313A" w:rsidRPr="002F794B" w:rsidRDefault="0086313A" w:rsidP="00DE39DA">
      <w:pPr>
        <w:outlineLvl w:val="1"/>
        <w:rPr>
          <w:b/>
          <w:bCs/>
        </w:rPr>
      </w:pPr>
      <w:r w:rsidRPr="002F794B">
        <w:rPr>
          <w:b/>
          <w:bCs/>
        </w:rPr>
        <w:lastRenderedPageBreak/>
        <w:t>Numeral 7.2.4</w:t>
      </w:r>
    </w:p>
    <w:p w14:paraId="454314E7" w14:textId="77777777" w:rsidR="000A03F5" w:rsidRPr="002F794B" w:rsidRDefault="000A03F5" w:rsidP="000A03F5">
      <w:pPr>
        <w:rPr>
          <w:u w:val="single"/>
        </w:rPr>
      </w:pPr>
      <w:r w:rsidRPr="002F794B">
        <w:rPr>
          <w:u w:val="single"/>
        </w:rPr>
        <w:t>Participante</w:t>
      </w:r>
    </w:p>
    <w:p w14:paraId="3985AC79" w14:textId="2BA118E3" w:rsidR="000A03F5" w:rsidRPr="002F794B" w:rsidRDefault="00BF003C" w:rsidP="000A03F5">
      <w:proofErr w:type="spellStart"/>
      <w:r w:rsidRPr="002F794B">
        <w:t>Shure</w:t>
      </w:r>
      <w:proofErr w:type="spellEnd"/>
      <w:r w:rsidRPr="002F794B">
        <w:t xml:space="preserve"> </w:t>
      </w:r>
      <w:proofErr w:type="spellStart"/>
      <w:r w:rsidRPr="002F794B">
        <w:t>Incorporated</w:t>
      </w:r>
      <w:proofErr w:type="spellEnd"/>
    </w:p>
    <w:p w14:paraId="58366D88" w14:textId="77777777" w:rsidR="000A03F5" w:rsidRPr="002F794B" w:rsidRDefault="000A03F5" w:rsidP="000A03F5">
      <w:pPr>
        <w:rPr>
          <w:u w:val="single"/>
        </w:rPr>
      </w:pPr>
      <w:r w:rsidRPr="002F794B">
        <w:rPr>
          <w:u w:val="single"/>
        </w:rPr>
        <w:t>Comentario y propuesta</w:t>
      </w:r>
    </w:p>
    <w:p w14:paraId="04C8D026" w14:textId="77777777" w:rsidR="008B292C" w:rsidRPr="002F794B" w:rsidRDefault="008B292C" w:rsidP="008B292C">
      <w:pPr>
        <w:ind w:left="567" w:right="616"/>
        <w:rPr>
          <w:i/>
          <w:iCs/>
        </w:rPr>
      </w:pPr>
      <w:r w:rsidRPr="002F794B">
        <w:rPr>
          <w:i/>
          <w:iCs/>
        </w:rPr>
        <w:t>En la Tabla 14 se especifica una potencia máxima en caso de “Recepción / espera” de 20mW. Asumimos que aquí se refieren a un modo inactivo en el que el transmisor está encendido, pero no está transmitiendo. Proponemos reducir este valor, al menos, en un factor de entre 100 y 200 nW.</w:t>
      </w:r>
    </w:p>
    <w:p w14:paraId="26E606AA" w14:textId="6F48E3A5" w:rsidR="008B292C" w:rsidRPr="002F794B" w:rsidRDefault="008B292C" w:rsidP="008B292C">
      <w:pPr>
        <w:ind w:left="567" w:right="616"/>
        <w:rPr>
          <w:i/>
          <w:iCs/>
        </w:rPr>
      </w:pPr>
      <w:r w:rsidRPr="002F794B">
        <w:rPr>
          <w:i/>
          <w:iCs/>
        </w:rPr>
        <w:t>En ETSI y FCC existe un debate continuo para aumentar la potencia de salida de un dispositivo WMAS estacionario en 3dB en comparación con la regulación actual. ETSI ya ha publicado un Documento de Referencia del Sistema (</w:t>
      </w:r>
      <w:hyperlink r:id="rId18" w:history="1">
        <w:r w:rsidRPr="002F794B">
          <w:rPr>
            <w:rStyle w:val="Hipervnculo"/>
            <w:i/>
            <w:iCs/>
            <w:color w:val="auto"/>
          </w:rPr>
          <w:t>TR 103 450</w:t>
        </w:r>
      </w:hyperlink>
      <w:r w:rsidRPr="002F794B">
        <w:rPr>
          <w:i/>
          <w:iCs/>
        </w:rPr>
        <w:t xml:space="preserve">: “Características técnicas y parámetros para sistemas de audio inalámbricos multicanal (WMAS))”, en el cual se explica el aumento de 3dB y se propone la nueva regulación. En FCC, hemos propuesto un límite de potencia de salida de 100mW en caso de funcionamiento sin licencia (ver </w:t>
      </w:r>
      <w:hyperlink r:id="rId19" w:history="1">
        <w:r w:rsidRPr="002F794B">
          <w:rPr>
            <w:rStyle w:val="Hipervnculo"/>
            <w:i/>
            <w:iCs/>
            <w:color w:val="auto"/>
          </w:rPr>
          <w:t>propuesta</w:t>
        </w:r>
      </w:hyperlink>
      <w:r w:rsidRPr="002F794B">
        <w:rPr>
          <w:i/>
          <w:iCs/>
        </w:rPr>
        <w:t>). Esperamos las regulaciones de FCC sobre WMAS en el primer trimestre de 2024.</w:t>
      </w:r>
    </w:p>
    <w:p w14:paraId="3B14D080" w14:textId="619A7ED3" w:rsidR="000A03F5" w:rsidRPr="002F794B" w:rsidRDefault="008B292C" w:rsidP="008B292C">
      <w:pPr>
        <w:ind w:left="567" w:right="616"/>
        <w:rPr>
          <w:i/>
          <w:iCs/>
        </w:rPr>
      </w:pPr>
      <w:r w:rsidRPr="002F794B">
        <w:rPr>
          <w:i/>
          <w:iCs/>
        </w:rPr>
        <w:t>Proponemos agregar la siguiente fila en la Tabla 14:</w:t>
      </w:r>
    </w:p>
    <w:tbl>
      <w:tblPr>
        <w:tblStyle w:val="Tablaconcuadrcula"/>
        <w:tblpPr w:leftFromText="142" w:rightFromText="142" w:bottomFromText="284" w:vertAnchor="text" w:tblpXSpec="center" w:tblpY="1"/>
        <w:tblOverlap w:val="never"/>
        <w:tblW w:w="0" w:type="auto"/>
        <w:tblLook w:val="04A0" w:firstRow="1" w:lastRow="0" w:firstColumn="1" w:lastColumn="0" w:noHBand="0" w:noVBand="1"/>
      </w:tblPr>
      <w:tblGrid>
        <w:gridCol w:w="4390"/>
        <w:gridCol w:w="3260"/>
      </w:tblGrid>
      <w:tr w:rsidR="002F794B" w:rsidRPr="002F794B" w14:paraId="50E83D01" w14:textId="77777777" w:rsidTr="00F630F6">
        <w:tc>
          <w:tcPr>
            <w:tcW w:w="4390" w:type="dxa"/>
          </w:tcPr>
          <w:p w14:paraId="6CA315F9" w14:textId="3952B79D" w:rsidR="00ED1924" w:rsidRPr="002F794B" w:rsidRDefault="00697E7E" w:rsidP="00F630F6">
            <w:pPr>
              <w:ind w:right="616"/>
              <w:rPr>
                <w:rFonts w:ascii="Arial" w:hAnsi="Arial" w:cs="Arial"/>
                <w:b/>
                <w:bCs/>
                <w:i/>
                <w:iCs/>
              </w:rPr>
            </w:pPr>
            <w:r w:rsidRPr="002F794B">
              <w:rPr>
                <w:rFonts w:ascii="Arial" w:hAnsi="Arial" w:cs="Arial"/>
                <w:b/>
                <w:bCs/>
                <w:i/>
                <w:iCs/>
              </w:rPr>
              <w:t>Modo de operación</w:t>
            </w:r>
          </w:p>
        </w:tc>
        <w:tc>
          <w:tcPr>
            <w:tcW w:w="3260" w:type="dxa"/>
          </w:tcPr>
          <w:p w14:paraId="478EEB5D" w14:textId="4EDBD537" w:rsidR="00ED1924" w:rsidRPr="002F794B" w:rsidRDefault="00697E7E" w:rsidP="00F630F6">
            <w:pPr>
              <w:ind w:right="616"/>
              <w:rPr>
                <w:rFonts w:ascii="Arial" w:hAnsi="Arial" w:cs="Arial"/>
                <w:b/>
                <w:bCs/>
                <w:i/>
                <w:iCs/>
              </w:rPr>
            </w:pPr>
            <w:r w:rsidRPr="002F794B">
              <w:rPr>
                <w:rFonts w:ascii="Arial" w:hAnsi="Arial" w:cs="Arial"/>
                <w:b/>
                <w:bCs/>
                <w:i/>
                <w:iCs/>
              </w:rPr>
              <w:t>Potencia máxima (PMAX)</w:t>
            </w:r>
          </w:p>
        </w:tc>
      </w:tr>
      <w:tr w:rsidR="002F794B" w:rsidRPr="002F794B" w14:paraId="47683DF4" w14:textId="77777777" w:rsidTr="00F630F6">
        <w:tc>
          <w:tcPr>
            <w:tcW w:w="4390" w:type="dxa"/>
            <w:vAlign w:val="center"/>
          </w:tcPr>
          <w:p w14:paraId="7879309E" w14:textId="79E498B6" w:rsidR="00ED1924" w:rsidRPr="002F794B" w:rsidRDefault="00697E7E" w:rsidP="00F630F6">
            <w:pPr>
              <w:ind w:right="616"/>
              <w:rPr>
                <w:rFonts w:ascii="Arial" w:hAnsi="Arial" w:cs="Arial"/>
                <w:i/>
                <w:iCs/>
              </w:rPr>
            </w:pPr>
            <w:r w:rsidRPr="002F794B">
              <w:rPr>
                <w:rFonts w:ascii="Arial" w:hAnsi="Arial" w:cs="Arial"/>
                <w:i/>
                <w:iCs/>
              </w:rPr>
              <w:t>Transmisión del dispositivo estacionario WMAS</w:t>
            </w:r>
          </w:p>
        </w:tc>
        <w:tc>
          <w:tcPr>
            <w:tcW w:w="3260" w:type="dxa"/>
            <w:vAlign w:val="center"/>
          </w:tcPr>
          <w:p w14:paraId="5C4B14C2" w14:textId="3294763A" w:rsidR="00ED1924" w:rsidRPr="002F794B" w:rsidRDefault="00697E7E" w:rsidP="00F630F6">
            <w:pPr>
              <w:ind w:right="616"/>
              <w:rPr>
                <w:rFonts w:ascii="Arial" w:hAnsi="Arial" w:cs="Arial"/>
                <w:i/>
                <w:iCs/>
              </w:rPr>
            </w:pPr>
            <w:r w:rsidRPr="002F794B">
              <w:rPr>
                <w:rFonts w:ascii="Arial" w:hAnsi="Arial" w:cs="Arial"/>
                <w:i/>
                <w:iCs/>
              </w:rPr>
              <w:t>100mW</w:t>
            </w:r>
          </w:p>
        </w:tc>
      </w:tr>
    </w:tbl>
    <w:p w14:paraId="288F8D07" w14:textId="77777777" w:rsidR="000A03F5" w:rsidRPr="002F794B" w:rsidRDefault="000A03F5" w:rsidP="000A03F5">
      <w:pPr>
        <w:rPr>
          <w:u w:val="single"/>
        </w:rPr>
      </w:pPr>
      <w:r w:rsidRPr="002F794B">
        <w:rPr>
          <w:u w:val="single"/>
        </w:rPr>
        <w:t>Respuesta</w:t>
      </w:r>
    </w:p>
    <w:p w14:paraId="262206CF" w14:textId="48D82CC7" w:rsidR="000A03F5" w:rsidRPr="002F794B" w:rsidRDefault="00570559" w:rsidP="000A03F5">
      <w:r w:rsidRPr="002F794B">
        <w:t>No se considera. El aumento propuesto en el documento de referencia no ha sido aprobado para su uso en ninguna otra regulación internacional.</w:t>
      </w:r>
    </w:p>
    <w:p w14:paraId="4362EDA1" w14:textId="77777777" w:rsidR="000A03F5" w:rsidRPr="002F794B" w:rsidRDefault="000A03F5" w:rsidP="00DE0659"/>
    <w:p w14:paraId="61388947" w14:textId="77777777" w:rsidR="000A03F5" w:rsidRPr="002F794B" w:rsidRDefault="000A03F5" w:rsidP="000A03F5">
      <w:pPr>
        <w:rPr>
          <w:u w:val="single"/>
        </w:rPr>
      </w:pPr>
      <w:r w:rsidRPr="002F794B">
        <w:rPr>
          <w:u w:val="single"/>
        </w:rPr>
        <w:t>Participante</w:t>
      </w:r>
    </w:p>
    <w:p w14:paraId="50F764B9" w14:textId="6EAE5A44" w:rsidR="000A03F5" w:rsidRPr="002F794B" w:rsidRDefault="008614F4" w:rsidP="000A03F5">
      <w:r w:rsidRPr="002F794B">
        <w:t>Cámara Nacional de la Industria Electrónica, de Telecomunicaciones y Tecnologías de la Información</w:t>
      </w:r>
    </w:p>
    <w:p w14:paraId="3DDFF7AE" w14:textId="77777777" w:rsidR="000A03F5" w:rsidRPr="002F794B" w:rsidRDefault="000A03F5" w:rsidP="000A03F5">
      <w:pPr>
        <w:rPr>
          <w:u w:val="single"/>
        </w:rPr>
      </w:pPr>
      <w:r w:rsidRPr="002F794B">
        <w:rPr>
          <w:u w:val="single"/>
        </w:rPr>
        <w:t>Comentario y propuesta</w:t>
      </w:r>
    </w:p>
    <w:p w14:paraId="33CBA085" w14:textId="19333DB3" w:rsidR="000E337A" w:rsidRPr="002F794B" w:rsidRDefault="000E337A" w:rsidP="000E337A">
      <w:pPr>
        <w:ind w:left="567" w:right="616"/>
        <w:rPr>
          <w:i/>
          <w:iCs/>
        </w:rPr>
      </w:pPr>
      <w:r w:rsidRPr="002F794B">
        <w:rPr>
          <w:i/>
          <w:iCs/>
        </w:rPr>
        <w:t>Se establece el límite de potencia para emisiones conducidas, pero no queda claro cuál es el límite de potencia en caso de que realice la medición radiada, por lo que surgen las siguientes dudas:</w:t>
      </w:r>
    </w:p>
    <w:p w14:paraId="25D9E6E2" w14:textId="11CFF2F8" w:rsidR="000E337A" w:rsidRPr="002F794B" w:rsidRDefault="000E337A" w:rsidP="000E337A">
      <w:pPr>
        <w:pStyle w:val="Prrafodelista"/>
        <w:numPr>
          <w:ilvl w:val="0"/>
          <w:numId w:val="7"/>
        </w:numPr>
        <w:ind w:right="616"/>
        <w:rPr>
          <w:i/>
          <w:iCs/>
        </w:rPr>
      </w:pPr>
      <w:r w:rsidRPr="002F794B">
        <w:rPr>
          <w:i/>
          <w:iCs/>
        </w:rPr>
        <w:t>¿Hay algún límite para el valor de potencia de emisiones radiadas? y</w:t>
      </w:r>
    </w:p>
    <w:p w14:paraId="542DAC52" w14:textId="5DD2C54E" w:rsidR="000A03F5" w:rsidRPr="002F794B" w:rsidRDefault="000E337A" w:rsidP="000E337A">
      <w:pPr>
        <w:pStyle w:val="Prrafodelista"/>
        <w:numPr>
          <w:ilvl w:val="0"/>
          <w:numId w:val="7"/>
        </w:numPr>
        <w:ind w:right="616"/>
        <w:rPr>
          <w:i/>
          <w:iCs/>
        </w:rPr>
      </w:pPr>
      <w:r w:rsidRPr="002F794B">
        <w:rPr>
          <w:i/>
          <w:iCs/>
        </w:rPr>
        <w:lastRenderedPageBreak/>
        <w:t>¿Se podrá calcular la potencia conducida/radiada a través de la ganancia de antena?</w:t>
      </w:r>
    </w:p>
    <w:p w14:paraId="7738A505" w14:textId="77777777" w:rsidR="000A03F5" w:rsidRPr="002F794B" w:rsidRDefault="000A03F5" w:rsidP="000A03F5">
      <w:pPr>
        <w:rPr>
          <w:u w:val="single"/>
        </w:rPr>
      </w:pPr>
      <w:r w:rsidRPr="002F794B">
        <w:rPr>
          <w:u w:val="single"/>
        </w:rPr>
        <w:t>Respuesta</w:t>
      </w:r>
    </w:p>
    <w:p w14:paraId="531FABD9" w14:textId="367172B2" w:rsidR="000A03F5" w:rsidRPr="002F794B" w:rsidRDefault="00F6041F" w:rsidP="000A03F5">
      <w:r w:rsidRPr="002F794B">
        <w:t>No se considera, las condiciones para las pruebas radiadas se establecen en el numeral 8.3.1.2</w:t>
      </w:r>
      <w:r w:rsidR="00797F89" w:rsidRPr="002F794B">
        <w:t>.</w:t>
      </w:r>
    </w:p>
    <w:p w14:paraId="581964B0" w14:textId="77777777" w:rsidR="000A03F5" w:rsidRPr="002F794B" w:rsidRDefault="000A03F5" w:rsidP="00DE0659"/>
    <w:p w14:paraId="66DC548C" w14:textId="77777777" w:rsidR="000A03F5" w:rsidRPr="002F794B" w:rsidRDefault="000A03F5" w:rsidP="000A03F5">
      <w:pPr>
        <w:rPr>
          <w:u w:val="single"/>
        </w:rPr>
      </w:pPr>
      <w:r w:rsidRPr="002F794B">
        <w:rPr>
          <w:u w:val="single"/>
        </w:rPr>
        <w:t>Participante</w:t>
      </w:r>
    </w:p>
    <w:p w14:paraId="2DA47DDD" w14:textId="6102865A" w:rsidR="000A03F5" w:rsidRPr="002F794B" w:rsidRDefault="00C4257C" w:rsidP="000A03F5">
      <w:r w:rsidRPr="002F794B">
        <w:t>Consejo Mexicano de Normalización y Evaluación de la Conformidad A.C.</w:t>
      </w:r>
    </w:p>
    <w:p w14:paraId="1A7D5C8E" w14:textId="77777777" w:rsidR="000A03F5" w:rsidRPr="002F794B" w:rsidRDefault="000A03F5" w:rsidP="000A03F5">
      <w:pPr>
        <w:rPr>
          <w:u w:val="single"/>
        </w:rPr>
      </w:pPr>
      <w:r w:rsidRPr="002F794B">
        <w:rPr>
          <w:u w:val="single"/>
        </w:rPr>
        <w:t>Comentario y propuesta</w:t>
      </w:r>
    </w:p>
    <w:p w14:paraId="5654822F" w14:textId="3098E4F0" w:rsidR="000A03F5" w:rsidRPr="002F794B" w:rsidRDefault="00CE0381" w:rsidP="000A03F5">
      <w:pPr>
        <w:ind w:left="567" w:right="616"/>
        <w:rPr>
          <w:i/>
          <w:iCs/>
        </w:rPr>
      </w:pPr>
      <w:r w:rsidRPr="002F794B">
        <w:rPr>
          <w:i/>
          <w:iCs/>
        </w:rPr>
        <w:t>Se establece el límite de potencia para emisiones conducidas, pero no queda claro cuál es el límite de potencia, en caso de que realice la medición radiada, por lo que quedan las siguientes dudas: ¿ Hay algún límite para el valor de potencia de emisiones radiadas? Y ¿Se podrá calcular la potencia conducida/radiada a través de la ganancia de antena?</w:t>
      </w:r>
    </w:p>
    <w:p w14:paraId="031333AC" w14:textId="77777777" w:rsidR="000A03F5" w:rsidRPr="002F794B" w:rsidRDefault="000A03F5" w:rsidP="000A03F5">
      <w:pPr>
        <w:rPr>
          <w:u w:val="single"/>
        </w:rPr>
      </w:pPr>
      <w:r w:rsidRPr="002F794B">
        <w:rPr>
          <w:u w:val="single"/>
        </w:rPr>
        <w:t>Respuesta</w:t>
      </w:r>
    </w:p>
    <w:p w14:paraId="6F909F07" w14:textId="60AF6C9C" w:rsidR="00542328" w:rsidRPr="002F794B" w:rsidRDefault="00532195" w:rsidP="000A03F5">
      <w:r w:rsidRPr="002F794B">
        <w:t>No se considera, las condiciones para las pruebas radiadas se establecen en el numeral 8.3.1.2.</w:t>
      </w:r>
    </w:p>
    <w:p w14:paraId="5B59EEDC" w14:textId="77777777" w:rsidR="00532195" w:rsidRPr="002F794B" w:rsidRDefault="00532195" w:rsidP="000A03F5"/>
    <w:p w14:paraId="4CB214FF" w14:textId="075BC847" w:rsidR="000A03F5" w:rsidRPr="002F794B" w:rsidRDefault="00C4257C" w:rsidP="00DE39DA">
      <w:pPr>
        <w:outlineLvl w:val="1"/>
        <w:rPr>
          <w:b/>
          <w:bCs/>
        </w:rPr>
      </w:pPr>
      <w:r w:rsidRPr="002F794B">
        <w:rPr>
          <w:b/>
          <w:bCs/>
        </w:rPr>
        <w:t xml:space="preserve">Numeral </w:t>
      </w:r>
      <w:r w:rsidR="005657D6" w:rsidRPr="002F794B">
        <w:rPr>
          <w:b/>
          <w:bCs/>
        </w:rPr>
        <w:t>7.2.5</w:t>
      </w:r>
    </w:p>
    <w:p w14:paraId="75719822" w14:textId="77777777" w:rsidR="000A03F5" w:rsidRPr="002F794B" w:rsidRDefault="000A03F5" w:rsidP="000A03F5">
      <w:pPr>
        <w:rPr>
          <w:u w:val="single"/>
        </w:rPr>
      </w:pPr>
      <w:r w:rsidRPr="002F794B">
        <w:rPr>
          <w:u w:val="single"/>
        </w:rPr>
        <w:t>Participante</w:t>
      </w:r>
    </w:p>
    <w:p w14:paraId="21E6567A" w14:textId="167466C1" w:rsidR="000A03F5" w:rsidRPr="002F794B" w:rsidRDefault="00BA75B9" w:rsidP="000A03F5">
      <w:proofErr w:type="spellStart"/>
      <w:r w:rsidRPr="002F794B">
        <w:t>Shure</w:t>
      </w:r>
      <w:proofErr w:type="spellEnd"/>
      <w:r w:rsidRPr="002F794B">
        <w:t xml:space="preserve"> </w:t>
      </w:r>
      <w:proofErr w:type="spellStart"/>
      <w:r w:rsidRPr="002F794B">
        <w:t>Incorporated</w:t>
      </w:r>
      <w:proofErr w:type="spellEnd"/>
    </w:p>
    <w:p w14:paraId="1C903F32" w14:textId="77777777" w:rsidR="000A03F5" w:rsidRPr="002F794B" w:rsidRDefault="000A03F5" w:rsidP="000A03F5">
      <w:pPr>
        <w:rPr>
          <w:u w:val="single"/>
        </w:rPr>
      </w:pPr>
      <w:r w:rsidRPr="002F794B">
        <w:rPr>
          <w:u w:val="single"/>
        </w:rPr>
        <w:t>Comentario y propuesta</w:t>
      </w:r>
    </w:p>
    <w:p w14:paraId="31824C51" w14:textId="12D381C1" w:rsidR="00685297" w:rsidRPr="002F794B" w:rsidRDefault="00685297" w:rsidP="00685297">
      <w:pPr>
        <w:ind w:left="567" w:right="616"/>
        <w:rPr>
          <w:i/>
          <w:iCs/>
        </w:rPr>
      </w:pPr>
      <w:r w:rsidRPr="002F794B">
        <w:rPr>
          <w:i/>
          <w:iCs/>
        </w:rPr>
        <w:t>En IFT-016-2023, el rango de temperatura se da de -20°C a 50°C. En ETSI EN 300 422-1 existe una</w:t>
      </w:r>
      <w:r w:rsidR="00CC3D73" w:rsidRPr="002F794B">
        <w:rPr>
          <w:i/>
          <w:iCs/>
        </w:rPr>
        <w:t xml:space="preserve"> </w:t>
      </w:r>
      <w:r w:rsidRPr="002F794B">
        <w:rPr>
          <w:i/>
          <w:iCs/>
        </w:rPr>
        <w:t>diferenciación entre condiciones de prueba normales</w:t>
      </w:r>
    </w:p>
    <w:p w14:paraId="6EB68B7A" w14:textId="15AC3636" w:rsidR="00685297" w:rsidRPr="002F794B" w:rsidRDefault="00685297" w:rsidP="00685297">
      <w:pPr>
        <w:ind w:left="567" w:right="616"/>
        <w:rPr>
          <w:i/>
          <w:iCs/>
        </w:rPr>
      </w:pPr>
      <w:r w:rsidRPr="002F794B">
        <w:rPr>
          <w:i/>
          <w:iCs/>
        </w:rPr>
        <w:t>• Temperatura:</w:t>
      </w:r>
      <w:r w:rsidRPr="002F794B">
        <w:rPr>
          <w:i/>
          <w:iCs/>
        </w:rPr>
        <w:tab/>
      </w:r>
      <w:r w:rsidRPr="002F794B">
        <w:rPr>
          <w:i/>
          <w:iCs/>
        </w:rPr>
        <w:tab/>
        <w:t>15°C a 35°C</w:t>
      </w:r>
    </w:p>
    <w:p w14:paraId="64D50F78" w14:textId="1DF2C417" w:rsidR="000A03F5" w:rsidRPr="002F794B" w:rsidRDefault="00685297" w:rsidP="00685297">
      <w:pPr>
        <w:ind w:left="567" w:right="616"/>
        <w:rPr>
          <w:i/>
          <w:iCs/>
        </w:rPr>
      </w:pPr>
      <w:r w:rsidRPr="002F794B">
        <w:rPr>
          <w:i/>
          <w:iCs/>
        </w:rPr>
        <w:t>• Humedad relativa:</w:t>
      </w:r>
      <w:r w:rsidRPr="002F794B">
        <w:rPr>
          <w:i/>
          <w:iCs/>
        </w:rPr>
        <w:tab/>
      </w:r>
      <w:r w:rsidRPr="002F794B">
        <w:rPr>
          <w:i/>
          <w:iCs/>
        </w:rPr>
        <w:tab/>
        <w:t>20% a 75%</w:t>
      </w:r>
    </w:p>
    <w:p w14:paraId="76E5FDD4" w14:textId="335693FD" w:rsidR="00CC3D73" w:rsidRPr="002F794B" w:rsidRDefault="00CC3D73" w:rsidP="00CC3D73">
      <w:pPr>
        <w:ind w:left="567" w:right="616"/>
        <w:rPr>
          <w:i/>
          <w:iCs/>
        </w:rPr>
      </w:pPr>
      <w:r w:rsidRPr="002F794B">
        <w:rPr>
          <w:i/>
          <w:iCs/>
        </w:rPr>
        <w:t>y condiciones de prueba extremas que se indican en la información del producto proporcionada con el fin de realizar pruebas.</w:t>
      </w:r>
    </w:p>
    <w:p w14:paraId="50335820" w14:textId="433A162E" w:rsidR="00CC3D73" w:rsidRPr="002F794B" w:rsidRDefault="00CC3D73" w:rsidP="00CC3D73">
      <w:pPr>
        <w:ind w:left="567" w:right="616"/>
        <w:rPr>
          <w:i/>
          <w:iCs/>
        </w:rPr>
      </w:pPr>
      <w:r w:rsidRPr="002F794B">
        <w:rPr>
          <w:i/>
          <w:iCs/>
        </w:rPr>
        <w:t>Proponemos que, en caso de realizar pruebas en condiciones extremas, dichas condiciones se basen en el rango de temperatura de funcionamiento declarado por el fabricante.</w:t>
      </w:r>
    </w:p>
    <w:p w14:paraId="5CBF522C" w14:textId="77777777" w:rsidR="000A03F5" w:rsidRPr="002F794B" w:rsidRDefault="000A03F5" w:rsidP="000A03F5">
      <w:pPr>
        <w:rPr>
          <w:u w:val="single"/>
        </w:rPr>
      </w:pPr>
      <w:r w:rsidRPr="002F794B">
        <w:rPr>
          <w:u w:val="single"/>
        </w:rPr>
        <w:lastRenderedPageBreak/>
        <w:t>Respuesta</w:t>
      </w:r>
    </w:p>
    <w:p w14:paraId="32C04B2F" w14:textId="0229CD12" w:rsidR="000A03F5" w:rsidRPr="002F794B" w:rsidRDefault="00532195" w:rsidP="000A03F5">
      <w:r w:rsidRPr="002F794B">
        <w:t>No se considera. Las pruebas de tolerancia de frecuencia se deben realizar en el intervalo de -10°C a 50°C</w:t>
      </w:r>
      <w:r w:rsidR="004A6C1A" w:rsidRPr="002F794B">
        <w:t>.</w:t>
      </w:r>
    </w:p>
    <w:p w14:paraId="324AAA3C" w14:textId="77777777" w:rsidR="000A03F5" w:rsidRPr="002F794B" w:rsidRDefault="000A03F5" w:rsidP="00DE0659"/>
    <w:p w14:paraId="26117E1D" w14:textId="77777777" w:rsidR="00D44349" w:rsidRPr="002F794B" w:rsidRDefault="00D44349" w:rsidP="00D44349">
      <w:pPr>
        <w:rPr>
          <w:u w:val="single"/>
        </w:rPr>
      </w:pPr>
      <w:r w:rsidRPr="002F794B">
        <w:rPr>
          <w:u w:val="single"/>
        </w:rPr>
        <w:t>Participante</w:t>
      </w:r>
    </w:p>
    <w:p w14:paraId="081FE918" w14:textId="2D718AFA" w:rsidR="00D44349" w:rsidRPr="002F794B" w:rsidRDefault="00842A97" w:rsidP="00D44349">
      <w:r w:rsidRPr="002F794B">
        <w:t>Cámara Nacional de la Industria Electrónica, de Telecomunicaciones y Tecnologías de la Información</w:t>
      </w:r>
    </w:p>
    <w:p w14:paraId="4B3DE6EE" w14:textId="77777777" w:rsidR="00D44349" w:rsidRPr="002F794B" w:rsidRDefault="00D44349" w:rsidP="00D44349">
      <w:pPr>
        <w:rPr>
          <w:u w:val="single"/>
        </w:rPr>
      </w:pPr>
      <w:r w:rsidRPr="002F794B">
        <w:rPr>
          <w:u w:val="single"/>
        </w:rPr>
        <w:t>Comentario y propuesta</w:t>
      </w:r>
    </w:p>
    <w:p w14:paraId="20D10E8E" w14:textId="5AAED54B" w:rsidR="00D44349" w:rsidRPr="002F794B" w:rsidRDefault="00842A97" w:rsidP="00D44349">
      <w:pPr>
        <w:ind w:left="567" w:right="616"/>
        <w:rPr>
          <w:i/>
          <w:iCs/>
        </w:rPr>
      </w:pPr>
      <w:r w:rsidRPr="002F794B">
        <w:rPr>
          <w:i/>
          <w:iCs/>
        </w:rPr>
        <w:t xml:space="preserve">Se solicita puntualizar si el DRPB debe someterse a ambas pruebas de tolerancia de frecuencia, o se podrá optar por solo una en función de las capacidades </w:t>
      </w:r>
      <w:proofErr w:type="gramStart"/>
      <w:r w:rsidRPr="002F794B">
        <w:rPr>
          <w:i/>
          <w:iCs/>
        </w:rPr>
        <w:t>del mismo</w:t>
      </w:r>
      <w:proofErr w:type="gramEnd"/>
      <w:r w:rsidRPr="002F794B">
        <w:rPr>
          <w:i/>
          <w:iCs/>
        </w:rPr>
        <w:t xml:space="preserve"> DRBP.</w:t>
      </w:r>
    </w:p>
    <w:p w14:paraId="0F282C1D" w14:textId="77777777" w:rsidR="00D44349" w:rsidRPr="002F794B" w:rsidRDefault="00D44349" w:rsidP="00D44349">
      <w:pPr>
        <w:rPr>
          <w:u w:val="single"/>
        </w:rPr>
      </w:pPr>
      <w:r w:rsidRPr="002F794B">
        <w:rPr>
          <w:u w:val="single"/>
        </w:rPr>
        <w:t>Respuesta</w:t>
      </w:r>
    </w:p>
    <w:p w14:paraId="133115CD" w14:textId="6E7F7B3F" w:rsidR="00D44349" w:rsidRPr="002F794B" w:rsidRDefault="009B7BB4" w:rsidP="00D44349">
      <w:r w:rsidRPr="002F794B">
        <w:t>Se considera y ajusta la redacción para indicar que el DRBP debe someterse a ambas pruebas de Tolerancia de frecuencia conforme lo indicado en la especificación técnica.</w:t>
      </w:r>
    </w:p>
    <w:p w14:paraId="14373C50" w14:textId="77777777" w:rsidR="00D44349" w:rsidRPr="002F794B" w:rsidRDefault="00D44349" w:rsidP="00DE0659"/>
    <w:p w14:paraId="0AF0A372" w14:textId="77777777" w:rsidR="00D44349" w:rsidRPr="002F794B" w:rsidRDefault="00D44349" w:rsidP="00D44349">
      <w:pPr>
        <w:rPr>
          <w:u w:val="single"/>
        </w:rPr>
      </w:pPr>
      <w:r w:rsidRPr="002F794B">
        <w:rPr>
          <w:u w:val="single"/>
        </w:rPr>
        <w:t>Participante</w:t>
      </w:r>
    </w:p>
    <w:p w14:paraId="4CBAF2C7" w14:textId="0CC58FAF" w:rsidR="00D44349" w:rsidRPr="002F794B" w:rsidRDefault="00960294" w:rsidP="00D44349">
      <w:r w:rsidRPr="002F794B">
        <w:t>Consejo Mexicano de Normalización y Evaluación de la Conformidad A.C.</w:t>
      </w:r>
    </w:p>
    <w:p w14:paraId="3B009622" w14:textId="77777777" w:rsidR="00D44349" w:rsidRPr="002F794B" w:rsidRDefault="00D44349" w:rsidP="00D44349">
      <w:pPr>
        <w:rPr>
          <w:u w:val="single"/>
        </w:rPr>
      </w:pPr>
      <w:r w:rsidRPr="002F794B">
        <w:rPr>
          <w:u w:val="single"/>
        </w:rPr>
        <w:t>Comentario y propuesta</w:t>
      </w:r>
    </w:p>
    <w:p w14:paraId="208C6807" w14:textId="32580DBF" w:rsidR="00D44349" w:rsidRPr="002F794B" w:rsidRDefault="00960294" w:rsidP="00D44349">
      <w:pPr>
        <w:ind w:left="567" w:right="616"/>
        <w:rPr>
          <w:i/>
          <w:iCs/>
        </w:rPr>
      </w:pPr>
      <w:r w:rsidRPr="002F794B">
        <w:rPr>
          <w:i/>
          <w:iCs/>
        </w:rPr>
        <w:t xml:space="preserve">Puntualizar si el DRPB debe someterse a ambas pruebas de tolerancia de frecuencia o se podrá optar por solo una en función de las capacidades </w:t>
      </w:r>
      <w:proofErr w:type="gramStart"/>
      <w:r w:rsidRPr="002F794B">
        <w:rPr>
          <w:i/>
          <w:iCs/>
        </w:rPr>
        <w:t>del mismo</w:t>
      </w:r>
      <w:proofErr w:type="gramEnd"/>
      <w:r w:rsidRPr="002F794B">
        <w:rPr>
          <w:i/>
          <w:iCs/>
        </w:rPr>
        <w:t xml:space="preserve"> DRBP.</w:t>
      </w:r>
    </w:p>
    <w:p w14:paraId="457F8792" w14:textId="77777777" w:rsidR="00D44349" w:rsidRPr="002F794B" w:rsidRDefault="00D44349" w:rsidP="00D44349">
      <w:pPr>
        <w:rPr>
          <w:u w:val="single"/>
        </w:rPr>
      </w:pPr>
      <w:r w:rsidRPr="002F794B">
        <w:rPr>
          <w:u w:val="single"/>
        </w:rPr>
        <w:t>Respuesta</w:t>
      </w:r>
    </w:p>
    <w:p w14:paraId="4880BA44" w14:textId="3B168FF0" w:rsidR="00D44349" w:rsidRPr="002F794B" w:rsidRDefault="007A50AA" w:rsidP="00D44349">
      <w:r w:rsidRPr="002F794B">
        <w:t>Se considera y ajusta la redacción para indicar que el DRBP debe someterse a ambas pruebas de Tolerancia de Frecuencia conforme lo indicado en la especificación técnica</w:t>
      </w:r>
      <w:r w:rsidR="009F46C2" w:rsidRPr="002F794B">
        <w:t>.</w:t>
      </w:r>
    </w:p>
    <w:p w14:paraId="4793C4C5" w14:textId="77777777" w:rsidR="00D44349" w:rsidRPr="002F794B" w:rsidRDefault="00D44349" w:rsidP="00DE0659"/>
    <w:p w14:paraId="2DA50AD9" w14:textId="3ED231F8" w:rsidR="009F46C2" w:rsidRPr="002F794B" w:rsidRDefault="009F46C2" w:rsidP="00DE39DA">
      <w:pPr>
        <w:outlineLvl w:val="1"/>
        <w:rPr>
          <w:b/>
          <w:bCs/>
        </w:rPr>
      </w:pPr>
      <w:r w:rsidRPr="002F794B">
        <w:rPr>
          <w:b/>
          <w:bCs/>
        </w:rPr>
        <w:t>Numeral 7.3</w:t>
      </w:r>
      <w:r w:rsidR="00B23112" w:rsidRPr="002F794B">
        <w:rPr>
          <w:b/>
          <w:bCs/>
        </w:rPr>
        <w:t>.1</w:t>
      </w:r>
    </w:p>
    <w:p w14:paraId="7D1E5E10" w14:textId="77777777" w:rsidR="00D44349" w:rsidRPr="002F794B" w:rsidRDefault="00D44349" w:rsidP="00D44349">
      <w:pPr>
        <w:rPr>
          <w:u w:val="single"/>
        </w:rPr>
      </w:pPr>
      <w:r w:rsidRPr="002F794B">
        <w:rPr>
          <w:u w:val="single"/>
        </w:rPr>
        <w:t>Participante</w:t>
      </w:r>
    </w:p>
    <w:p w14:paraId="110B983B" w14:textId="08AC9EDD" w:rsidR="00D44349" w:rsidRPr="002F794B" w:rsidRDefault="007B1DFA" w:rsidP="00D44349">
      <w:proofErr w:type="spellStart"/>
      <w:r w:rsidRPr="002F794B">
        <w:t>Shure</w:t>
      </w:r>
      <w:proofErr w:type="spellEnd"/>
      <w:r w:rsidRPr="002F794B">
        <w:t xml:space="preserve"> </w:t>
      </w:r>
      <w:proofErr w:type="spellStart"/>
      <w:r w:rsidRPr="002F794B">
        <w:t>Incorporated</w:t>
      </w:r>
      <w:proofErr w:type="spellEnd"/>
    </w:p>
    <w:p w14:paraId="04DBD233" w14:textId="77777777" w:rsidR="00D44349" w:rsidRPr="002F794B" w:rsidRDefault="00D44349" w:rsidP="00D44349">
      <w:pPr>
        <w:rPr>
          <w:u w:val="single"/>
        </w:rPr>
      </w:pPr>
      <w:r w:rsidRPr="002F794B">
        <w:rPr>
          <w:u w:val="single"/>
        </w:rPr>
        <w:t>Comentario y propuesta</w:t>
      </w:r>
    </w:p>
    <w:p w14:paraId="69AE7697" w14:textId="77777777" w:rsidR="00C269A3" w:rsidRPr="002F794B" w:rsidRDefault="00C269A3" w:rsidP="00C269A3">
      <w:pPr>
        <w:ind w:left="567" w:right="616"/>
        <w:rPr>
          <w:i/>
          <w:iCs/>
        </w:rPr>
      </w:pPr>
      <w:r w:rsidRPr="002F794B">
        <w:rPr>
          <w:i/>
          <w:iCs/>
        </w:rPr>
        <w:lastRenderedPageBreak/>
        <w:t>"Dado que hay varios dispositivos inalámbricos de transmisión de audio que funcionan en el rango de frecuencia de 1920 - 1930 MHz, definir esta categoría como ""teléfonos inalámbricos"" excluiría varios dispositivos, tales como: monitores para bebés, algunos tipos de micrófonos inalámbricos, entre otros productos. Por lo tanto, proponemos cambiar la descripción de la categoría a un concepto más amplio que pueda abarcar otros dispositivos inalámbricos, no únicamente teléfonos.</w:t>
      </w:r>
    </w:p>
    <w:p w14:paraId="65085E50" w14:textId="77777777" w:rsidR="00C269A3" w:rsidRPr="002F794B" w:rsidRDefault="00C269A3" w:rsidP="00C269A3">
      <w:pPr>
        <w:ind w:left="567" w:right="616"/>
        <w:rPr>
          <w:i/>
          <w:iCs/>
        </w:rPr>
      </w:pPr>
      <w:r w:rsidRPr="002F794B">
        <w:rPr>
          <w:i/>
          <w:iCs/>
        </w:rPr>
        <w:t xml:space="preserve">En </w:t>
      </w:r>
      <w:proofErr w:type="spellStart"/>
      <w:r w:rsidRPr="002F794B">
        <w:rPr>
          <w:i/>
          <w:iCs/>
        </w:rPr>
        <w:t>Shure</w:t>
      </w:r>
      <w:proofErr w:type="spellEnd"/>
      <w:r w:rsidRPr="002F794B">
        <w:rPr>
          <w:i/>
          <w:iCs/>
        </w:rPr>
        <w:t xml:space="preserve"> pensamos que la descripción más adecuada podría ser:</w:t>
      </w:r>
    </w:p>
    <w:p w14:paraId="001B9BF0" w14:textId="0D170CA4" w:rsidR="00D44349" w:rsidRPr="002F794B" w:rsidRDefault="00C269A3" w:rsidP="00C269A3">
      <w:pPr>
        <w:ind w:left="567" w:right="616"/>
        <w:rPr>
          <w:i/>
          <w:iCs/>
        </w:rPr>
      </w:pPr>
      <w:r w:rsidRPr="002F794B">
        <w:rPr>
          <w:b/>
          <w:bCs/>
          <w:i/>
          <w:iCs/>
        </w:rPr>
        <w:t xml:space="preserve">Telecomunicaciones inalámbricas digitales mejoradas - Digital Enhanced </w:t>
      </w:r>
      <w:proofErr w:type="spellStart"/>
      <w:r w:rsidRPr="002F794B">
        <w:rPr>
          <w:b/>
          <w:bCs/>
          <w:i/>
          <w:iCs/>
        </w:rPr>
        <w:t>Cordless</w:t>
      </w:r>
      <w:proofErr w:type="spellEnd"/>
      <w:r w:rsidRPr="002F794B">
        <w:rPr>
          <w:b/>
          <w:bCs/>
          <w:i/>
          <w:iCs/>
        </w:rPr>
        <w:t xml:space="preserve"> Telecommunications</w:t>
      </w:r>
      <w:r w:rsidRPr="002F794B">
        <w:rPr>
          <w:i/>
          <w:iCs/>
        </w:rPr>
        <w:t>"</w:t>
      </w:r>
    </w:p>
    <w:p w14:paraId="3E39FC83" w14:textId="77777777" w:rsidR="00D44349" w:rsidRPr="002F794B" w:rsidRDefault="00D44349" w:rsidP="00D44349">
      <w:pPr>
        <w:rPr>
          <w:u w:val="single"/>
        </w:rPr>
      </w:pPr>
      <w:r w:rsidRPr="002F794B">
        <w:rPr>
          <w:u w:val="single"/>
        </w:rPr>
        <w:t>Respuesta</w:t>
      </w:r>
    </w:p>
    <w:p w14:paraId="5B739B6C" w14:textId="2E3D623A" w:rsidR="00D44349" w:rsidRPr="002F794B" w:rsidRDefault="00043259" w:rsidP="00DE0659">
      <w:r w:rsidRPr="002F794B">
        <w:t>Derivado de que se ha eliminado la categoría de "Teléfonos inalámbricos" no se considera la propuesta.</w:t>
      </w:r>
    </w:p>
    <w:p w14:paraId="5D8D040C" w14:textId="77777777" w:rsidR="00043259" w:rsidRPr="002F794B" w:rsidRDefault="00043259" w:rsidP="00DE0659"/>
    <w:p w14:paraId="6AAF7815" w14:textId="77777777" w:rsidR="00D44349" w:rsidRPr="002F794B" w:rsidRDefault="00D44349" w:rsidP="00D44349">
      <w:pPr>
        <w:rPr>
          <w:u w:val="single"/>
        </w:rPr>
      </w:pPr>
      <w:r w:rsidRPr="002F794B">
        <w:rPr>
          <w:u w:val="single"/>
        </w:rPr>
        <w:t>Participante</w:t>
      </w:r>
    </w:p>
    <w:p w14:paraId="689EAB2C" w14:textId="59C98E36" w:rsidR="00D44349" w:rsidRPr="002F794B" w:rsidRDefault="001733CA" w:rsidP="00D44349">
      <w:r w:rsidRPr="002F794B">
        <w:t xml:space="preserve">DECT </w:t>
      </w:r>
      <w:proofErr w:type="spellStart"/>
      <w:r w:rsidRPr="002F794B">
        <w:t>Forum</w:t>
      </w:r>
      <w:proofErr w:type="spellEnd"/>
    </w:p>
    <w:p w14:paraId="2A19A641" w14:textId="77777777" w:rsidR="00D44349" w:rsidRPr="002F794B" w:rsidRDefault="00D44349" w:rsidP="00D44349">
      <w:pPr>
        <w:rPr>
          <w:u w:val="single"/>
        </w:rPr>
      </w:pPr>
      <w:r w:rsidRPr="002F794B">
        <w:rPr>
          <w:u w:val="single"/>
        </w:rPr>
        <w:t>Comentario y propuesta</w:t>
      </w:r>
    </w:p>
    <w:p w14:paraId="49062200" w14:textId="77777777" w:rsidR="001D2EBD" w:rsidRPr="002F794B" w:rsidRDefault="001D2EBD" w:rsidP="001D2EBD">
      <w:pPr>
        <w:ind w:left="567" w:right="616"/>
        <w:rPr>
          <w:i/>
          <w:iCs/>
          <w:lang w:val="en-US"/>
        </w:rPr>
      </w:pPr>
      <w:r w:rsidRPr="002F794B">
        <w:rPr>
          <w:i/>
          <w:iCs/>
          <w:lang w:val="en-US"/>
        </w:rPr>
        <w:t xml:space="preserve">As </w:t>
      </w:r>
      <w:proofErr w:type="gramStart"/>
      <w:r w:rsidRPr="002F794B">
        <w:rPr>
          <w:i/>
          <w:iCs/>
          <w:lang w:val="en-US"/>
        </w:rPr>
        <w:t>indicate</w:t>
      </w:r>
      <w:proofErr w:type="gramEnd"/>
      <w:r w:rsidRPr="002F794B">
        <w:rPr>
          <w:i/>
          <w:iCs/>
          <w:lang w:val="en-US"/>
        </w:rPr>
        <w:t xml:space="preserve"> in the introduction and in the Annex A of this document, DECT has evolved and is already in use for many more applications than just ‘Cordless Phones’.</w:t>
      </w:r>
    </w:p>
    <w:p w14:paraId="0B53393D" w14:textId="77777777" w:rsidR="001D2EBD" w:rsidRPr="002F794B" w:rsidRDefault="001D2EBD" w:rsidP="001D2EBD">
      <w:pPr>
        <w:ind w:left="567" w:right="616"/>
        <w:rPr>
          <w:i/>
          <w:iCs/>
          <w:lang w:val="en-US"/>
        </w:rPr>
      </w:pPr>
      <w:r w:rsidRPr="002F794B">
        <w:rPr>
          <w:i/>
          <w:iCs/>
          <w:lang w:val="en-US"/>
        </w:rPr>
        <w:t xml:space="preserve">Therefore, we would like to ask you to rename the DRBP to DECT and not </w:t>
      </w:r>
      <w:proofErr w:type="gramStart"/>
      <w:r w:rsidRPr="002F794B">
        <w:rPr>
          <w:i/>
          <w:iCs/>
          <w:lang w:val="en-US"/>
        </w:rPr>
        <w:t>limit to</w:t>
      </w:r>
      <w:proofErr w:type="gramEnd"/>
      <w:r w:rsidRPr="002F794B">
        <w:rPr>
          <w:i/>
          <w:iCs/>
          <w:lang w:val="en-US"/>
        </w:rPr>
        <w:t xml:space="preserve"> cordless phones. Since all DECT devices do follow the DECT specific politeness protocol, all devices do coordinate themselves automatically. There is no need for any specific frequency management system by IFT.</w:t>
      </w:r>
    </w:p>
    <w:p w14:paraId="12C78778" w14:textId="77777777" w:rsidR="001D2EBD" w:rsidRPr="002F794B" w:rsidRDefault="001D2EBD" w:rsidP="001D2EBD">
      <w:pPr>
        <w:ind w:left="567" w:right="616"/>
        <w:rPr>
          <w:i/>
          <w:iCs/>
          <w:lang w:val="en-US"/>
        </w:rPr>
      </w:pPr>
      <w:r w:rsidRPr="002F794B">
        <w:rPr>
          <w:i/>
          <w:iCs/>
          <w:lang w:val="en-US"/>
        </w:rPr>
        <w:t xml:space="preserve">DECT applications are deployed globally supporting the frequency bands 1880 -1930 </w:t>
      </w:r>
      <w:proofErr w:type="spellStart"/>
      <w:r w:rsidRPr="002F794B">
        <w:rPr>
          <w:i/>
          <w:iCs/>
          <w:lang w:val="en-US"/>
        </w:rPr>
        <w:t>MHz.</w:t>
      </w:r>
      <w:proofErr w:type="spellEnd"/>
      <w:r w:rsidRPr="002F794B">
        <w:rPr>
          <w:i/>
          <w:iCs/>
          <w:lang w:val="en-US"/>
        </w:rPr>
        <w:t xml:space="preserve"> We kindly </w:t>
      </w:r>
      <w:proofErr w:type="gramStart"/>
      <w:r w:rsidRPr="002F794B">
        <w:rPr>
          <w:i/>
          <w:iCs/>
          <w:lang w:val="en-US"/>
        </w:rPr>
        <w:t>ask</w:t>
      </w:r>
      <w:proofErr w:type="gramEnd"/>
      <w:r w:rsidRPr="002F794B">
        <w:rPr>
          <w:i/>
          <w:iCs/>
          <w:lang w:val="en-US"/>
        </w:rPr>
        <w:t xml:space="preserve"> to consider assigning the complete band 1880 -1930 MHZ. In case other services are already deployed int eh band 1900 -1920 MHz, DECT Forum would be happy to conduct sharing studies.</w:t>
      </w:r>
    </w:p>
    <w:p w14:paraId="0BA4C3D0" w14:textId="77777777" w:rsidR="001D2EBD" w:rsidRPr="002F794B" w:rsidRDefault="001D2EBD" w:rsidP="001D2EBD">
      <w:pPr>
        <w:ind w:left="567" w:right="616"/>
        <w:rPr>
          <w:i/>
          <w:iCs/>
          <w:lang w:val="en-US"/>
        </w:rPr>
      </w:pPr>
      <w:r w:rsidRPr="002F794B">
        <w:rPr>
          <w:i/>
          <w:iCs/>
          <w:lang w:val="en-US"/>
        </w:rPr>
        <w:t>Please keep the bands 1880 – 1900 MHz and 1920 -1930 MHz as minimum.</w:t>
      </w:r>
    </w:p>
    <w:p w14:paraId="316C74D2" w14:textId="77777777" w:rsidR="00C87E78" w:rsidRPr="002F794B" w:rsidRDefault="001D2EBD" w:rsidP="001D2EBD">
      <w:pPr>
        <w:ind w:left="567" w:right="616"/>
        <w:rPr>
          <w:i/>
          <w:iCs/>
          <w:lang w:val="en-US"/>
        </w:rPr>
      </w:pPr>
      <w:r w:rsidRPr="002F794B">
        <w:rPr>
          <w:i/>
          <w:iCs/>
          <w:lang w:val="en-US"/>
        </w:rPr>
        <w:t>Please see also the report on DECT NR+:</w:t>
      </w:r>
    </w:p>
    <w:p w14:paraId="5E74BE3D" w14:textId="77777777" w:rsidR="00C06016" w:rsidRPr="002F794B" w:rsidRDefault="001D2EBD" w:rsidP="001D2EBD">
      <w:pPr>
        <w:ind w:left="567" w:right="616"/>
        <w:rPr>
          <w:i/>
          <w:iCs/>
          <w:lang w:val="en-US"/>
        </w:rPr>
      </w:pPr>
      <w:r w:rsidRPr="002F794B">
        <w:rPr>
          <w:i/>
          <w:iCs/>
          <w:lang w:val="en-US"/>
        </w:rPr>
        <w:t>ETSI TR 103 943 V1.1.1 (2024-01)</w:t>
      </w:r>
    </w:p>
    <w:p w14:paraId="350BDB57" w14:textId="2F1547EB" w:rsidR="00D44349" w:rsidRPr="002F794B" w:rsidRDefault="001D2EBD" w:rsidP="001D2EBD">
      <w:pPr>
        <w:ind w:left="567" w:right="616"/>
        <w:rPr>
          <w:i/>
          <w:iCs/>
          <w:lang w:val="en-US"/>
        </w:rPr>
      </w:pPr>
      <w:r w:rsidRPr="002F794B">
        <w:rPr>
          <w:i/>
          <w:iCs/>
          <w:lang w:val="en-US"/>
        </w:rPr>
        <w:t>System Reference document (</w:t>
      </w:r>
      <w:proofErr w:type="spellStart"/>
      <w:r w:rsidRPr="002F794B">
        <w:rPr>
          <w:i/>
          <w:iCs/>
          <w:lang w:val="en-US"/>
        </w:rPr>
        <w:t>SRdoc</w:t>
      </w:r>
      <w:proofErr w:type="spellEnd"/>
      <w:r w:rsidRPr="002F794B">
        <w:rPr>
          <w:i/>
          <w:iCs/>
          <w:lang w:val="en-US"/>
        </w:rPr>
        <w:t>); DECT-2020 NR technology operating in frequency bands below 6 GHz</w:t>
      </w:r>
    </w:p>
    <w:p w14:paraId="22EA5646" w14:textId="77777777" w:rsidR="00D44349" w:rsidRPr="002F794B" w:rsidRDefault="00D44349" w:rsidP="00D44349">
      <w:pPr>
        <w:rPr>
          <w:u w:val="single"/>
        </w:rPr>
      </w:pPr>
      <w:r w:rsidRPr="002F794B">
        <w:rPr>
          <w:u w:val="single"/>
        </w:rPr>
        <w:lastRenderedPageBreak/>
        <w:t>Respuesta</w:t>
      </w:r>
    </w:p>
    <w:p w14:paraId="653386EA" w14:textId="77777777" w:rsidR="004D03F2" w:rsidRPr="002F794B" w:rsidRDefault="004D03F2" w:rsidP="004D03F2">
      <w:r w:rsidRPr="002F794B">
        <w:t>Derivado de que se ha eliminado la categoría de "Teléfonos inalámbricos" no se considera la propuesta.</w:t>
      </w:r>
    </w:p>
    <w:p w14:paraId="60AD129A" w14:textId="77777777" w:rsidR="00D44349" w:rsidRPr="002F794B" w:rsidRDefault="00D44349" w:rsidP="00DE0659"/>
    <w:p w14:paraId="5DC14A5C" w14:textId="33ABD865" w:rsidR="007415B9" w:rsidRPr="002F794B" w:rsidRDefault="007415B9" w:rsidP="00DE39DA">
      <w:pPr>
        <w:outlineLvl w:val="1"/>
        <w:rPr>
          <w:b/>
          <w:bCs/>
        </w:rPr>
      </w:pPr>
      <w:r w:rsidRPr="002F794B">
        <w:rPr>
          <w:b/>
          <w:bCs/>
        </w:rPr>
        <w:t>Numeral 7.3.2</w:t>
      </w:r>
    </w:p>
    <w:p w14:paraId="023F1E12" w14:textId="77777777" w:rsidR="00D44349" w:rsidRPr="002F794B" w:rsidRDefault="00D44349" w:rsidP="00D44349">
      <w:pPr>
        <w:rPr>
          <w:u w:val="single"/>
        </w:rPr>
      </w:pPr>
      <w:r w:rsidRPr="002F794B">
        <w:rPr>
          <w:u w:val="single"/>
        </w:rPr>
        <w:t>Participante</w:t>
      </w:r>
    </w:p>
    <w:p w14:paraId="4A71414D" w14:textId="5399C025" w:rsidR="00D44349" w:rsidRPr="002F794B" w:rsidRDefault="007415B9" w:rsidP="00D44349">
      <w:r w:rsidRPr="002F794B">
        <w:t>Consejo Mexicano de Normalización y Evaluación de la Conformidad A.C.</w:t>
      </w:r>
    </w:p>
    <w:p w14:paraId="75E2F99E" w14:textId="77777777" w:rsidR="00D44349" w:rsidRPr="002F794B" w:rsidRDefault="00D44349" w:rsidP="00D44349">
      <w:pPr>
        <w:rPr>
          <w:u w:val="single"/>
        </w:rPr>
      </w:pPr>
      <w:r w:rsidRPr="002F794B">
        <w:rPr>
          <w:u w:val="single"/>
        </w:rPr>
        <w:t>Comentario y propuesta</w:t>
      </w:r>
    </w:p>
    <w:p w14:paraId="1F8F20A8" w14:textId="70B0FCF7" w:rsidR="00D44349" w:rsidRPr="002F794B" w:rsidRDefault="00741A00" w:rsidP="00D44349">
      <w:pPr>
        <w:ind w:left="567" w:right="616"/>
        <w:rPr>
          <w:i/>
          <w:iCs/>
        </w:rPr>
      </w:pPr>
      <w:r w:rsidRPr="002F794B">
        <w:rPr>
          <w:i/>
          <w:iCs/>
        </w:rPr>
        <w:t xml:space="preserve">Se establece que el fabricante debe declarar el BWOC, sin embargo este parámetro se medirá utilizando el método descrito en 8.5, por lo que causa confusión que valor se </w:t>
      </w:r>
      <w:proofErr w:type="gramStart"/>
      <w:r w:rsidRPr="002F794B">
        <w:rPr>
          <w:i/>
          <w:iCs/>
        </w:rPr>
        <w:t>tomara</w:t>
      </w:r>
      <w:proofErr w:type="gramEnd"/>
      <w:r w:rsidRPr="002F794B">
        <w:rPr>
          <w:i/>
          <w:iCs/>
        </w:rPr>
        <w:t xml:space="preserve"> en cuenta, la medición o el valor entregado por el fabricante.</w:t>
      </w:r>
    </w:p>
    <w:p w14:paraId="50E4830E" w14:textId="77777777" w:rsidR="00D44349" w:rsidRPr="002F794B" w:rsidRDefault="00D44349" w:rsidP="00D44349">
      <w:pPr>
        <w:rPr>
          <w:u w:val="single"/>
        </w:rPr>
      </w:pPr>
      <w:r w:rsidRPr="002F794B">
        <w:rPr>
          <w:u w:val="single"/>
        </w:rPr>
        <w:t>Respuesta</w:t>
      </w:r>
    </w:p>
    <w:p w14:paraId="740843F2" w14:textId="77777777" w:rsidR="004D03F2" w:rsidRPr="002F794B" w:rsidRDefault="004D03F2" w:rsidP="004D03F2">
      <w:r w:rsidRPr="002F794B">
        <w:t>Derivado de que se ha eliminado la categoría de "Teléfonos inalámbricos" no se considera la propuesta.</w:t>
      </w:r>
    </w:p>
    <w:p w14:paraId="41695DC5" w14:textId="77777777" w:rsidR="00D44349" w:rsidRPr="002F794B" w:rsidRDefault="00D44349" w:rsidP="00DE0659"/>
    <w:p w14:paraId="7E30F74B" w14:textId="77777777" w:rsidR="00D44349" w:rsidRPr="002F794B" w:rsidRDefault="00D44349" w:rsidP="00D44349">
      <w:pPr>
        <w:rPr>
          <w:u w:val="single"/>
        </w:rPr>
      </w:pPr>
      <w:r w:rsidRPr="002F794B">
        <w:rPr>
          <w:u w:val="single"/>
        </w:rPr>
        <w:t>Participante</w:t>
      </w:r>
    </w:p>
    <w:p w14:paraId="378BEC89" w14:textId="3C454AAD" w:rsidR="00D44349" w:rsidRPr="002F794B" w:rsidRDefault="00512DB2" w:rsidP="00D44349">
      <w:r w:rsidRPr="002F794B">
        <w:t>Asociación de Normalización y Certificación, S.A. de C.V.</w:t>
      </w:r>
    </w:p>
    <w:p w14:paraId="0DFE1A04" w14:textId="77777777" w:rsidR="00D44349" w:rsidRPr="002F794B" w:rsidRDefault="00D44349" w:rsidP="00D44349">
      <w:pPr>
        <w:rPr>
          <w:u w:val="single"/>
        </w:rPr>
      </w:pPr>
      <w:r w:rsidRPr="002F794B">
        <w:rPr>
          <w:u w:val="single"/>
        </w:rPr>
        <w:t>Comentario y propuesta</w:t>
      </w:r>
    </w:p>
    <w:p w14:paraId="67328BA9" w14:textId="3C2D2DEE" w:rsidR="00C42F16" w:rsidRPr="002F794B" w:rsidRDefault="00C42F16" w:rsidP="00C42F16">
      <w:pPr>
        <w:ind w:left="567" w:right="616"/>
        <w:rPr>
          <w:i/>
          <w:iCs/>
        </w:rPr>
      </w:pPr>
      <w:r w:rsidRPr="002F794B">
        <w:rPr>
          <w:b/>
          <w:bCs/>
          <w:i/>
          <w:iCs/>
        </w:rPr>
        <w:t>Dice:</w:t>
      </w:r>
      <w:r w:rsidRPr="002F794B">
        <w:rPr>
          <w:i/>
          <w:iCs/>
        </w:rPr>
        <w:t xml:space="preserve"> El BW</w:t>
      </w:r>
      <w:r w:rsidRPr="002F794B">
        <w:rPr>
          <w:i/>
          <w:iCs/>
          <w:vertAlign w:val="subscript"/>
        </w:rPr>
        <w:t>ch</w:t>
      </w:r>
      <w:r w:rsidRPr="002F794B">
        <w:rPr>
          <w:i/>
          <w:iCs/>
        </w:rPr>
        <w:t xml:space="preserve"> permitido para teléfonos inalámbricos es 1.728 MHz. El fabricante debe declarar el BW</w:t>
      </w:r>
      <w:r w:rsidRPr="002F794B">
        <w:rPr>
          <w:i/>
          <w:iCs/>
          <w:vertAlign w:val="subscript"/>
        </w:rPr>
        <w:t>oc</w:t>
      </w:r>
      <w:r w:rsidRPr="002F794B">
        <w:rPr>
          <w:i/>
          <w:iCs/>
        </w:rPr>
        <w:t xml:space="preserve"> y n</w:t>
      </w:r>
      <w:r w:rsidRPr="002F794B">
        <w:rPr>
          <w:i/>
          <w:iCs/>
          <w:vertAlign w:val="subscript"/>
        </w:rPr>
        <w:t>ch</w:t>
      </w:r>
      <w:r w:rsidRPr="002F794B">
        <w:rPr>
          <w:i/>
          <w:iCs/>
        </w:rPr>
        <w:t xml:space="preserve"> de manera que </w:t>
      </w:r>
      <m:oMath>
        <m:sSub>
          <m:sSubPr>
            <m:ctrlPr>
              <w:rPr>
                <w:rFonts w:ascii="Cambria Math" w:hAnsi="Cambria Math"/>
                <w:i/>
                <w:iCs/>
              </w:rPr>
            </m:ctrlPr>
          </m:sSubPr>
          <m:e>
            <m:r>
              <w:rPr>
                <w:rFonts w:ascii="Cambria Math" w:hAnsi="Cambria Math"/>
              </w:rPr>
              <m:t>n</m:t>
            </m:r>
          </m:e>
          <m:sub>
            <m:r>
              <w:rPr>
                <w:rFonts w:ascii="Cambria Math" w:hAnsi="Cambria Math"/>
              </w:rPr>
              <m:t>ch</m:t>
            </m:r>
          </m:sub>
        </m:sSub>
        <m:r>
          <w:rPr>
            <w:rFonts w:ascii="Cambria Math" w:hAnsi="Cambria Math"/>
          </w:rPr>
          <m:t>×</m:t>
        </m:r>
        <m:sSub>
          <m:sSubPr>
            <m:ctrlPr>
              <w:rPr>
                <w:rFonts w:ascii="Cambria Math" w:hAnsi="Cambria Math"/>
                <w:i/>
                <w:iCs/>
              </w:rPr>
            </m:ctrlPr>
          </m:sSubPr>
          <m:e>
            <m:r>
              <w:rPr>
                <w:rFonts w:ascii="Cambria Math" w:hAnsi="Cambria Math"/>
              </w:rPr>
              <m:t>BW</m:t>
            </m:r>
          </m:e>
          <m:sub>
            <m:r>
              <w:rPr>
                <w:rFonts w:ascii="Cambria Math" w:hAnsi="Cambria Math"/>
              </w:rPr>
              <m:t>ch</m:t>
            </m:r>
          </m:sub>
        </m:sSub>
        <m:r>
          <w:rPr>
            <w:rFonts w:ascii="Cambria Math" w:hAnsi="Cambria Math"/>
          </w:rPr>
          <m:t>≤</m:t>
        </m:r>
        <m:sSub>
          <m:sSubPr>
            <m:ctrlPr>
              <w:rPr>
                <w:rFonts w:ascii="Cambria Math" w:hAnsi="Cambria Math"/>
                <w:i/>
                <w:iCs/>
              </w:rPr>
            </m:ctrlPr>
          </m:sSubPr>
          <m:e>
            <m:r>
              <w:rPr>
                <w:rFonts w:ascii="Cambria Math" w:hAnsi="Cambria Math"/>
              </w:rPr>
              <m:t>BW</m:t>
            </m:r>
          </m:e>
          <m:sub>
            <m:r>
              <w:rPr>
                <w:rFonts w:ascii="Cambria Math" w:hAnsi="Cambria Math"/>
              </w:rPr>
              <m:t>oc</m:t>
            </m:r>
          </m:sub>
        </m:sSub>
      </m:oMath>
      <w:r w:rsidRPr="002F794B">
        <w:rPr>
          <w:i/>
          <w:iCs/>
        </w:rPr>
        <w:t>.</w:t>
      </w:r>
    </w:p>
    <w:p w14:paraId="1924B620" w14:textId="23643575" w:rsidR="00C42F16" w:rsidRPr="002F794B" w:rsidRDefault="00C42F16" w:rsidP="00C42F16">
      <w:pPr>
        <w:ind w:left="567" w:right="616"/>
        <w:rPr>
          <w:i/>
          <w:iCs/>
        </w:rPr>
      </w:pPr>
      <w:r w:rsidRPr="002F794B">
        <w:rPr>
          <w:b/>
          <w:bCs/>
          <w:i/>
          <w:iCs/>
        </w:rPr>
        <w:t>Debe decir:</w:t>
      </w:r>
      <w:r w:rsidRPr="002F794B">
        <w:rPr>
          <w:i/>
          <w:iCs/>
        </w:rPr>
        <w:t xml:space="preserve"> El BW</w:t>
      </w:r>
      <w:r w:rsidRPr="002F794B">
        <w:rPr>
          <w:i/>
          <w:iCs/>
          <w:vertAlign w:val="subscript"/>
        </w:rPr>
        <w:t>ch</w:t>
      </w:r>
      <w:r w:rsidRPr="002F794B">
        <w:rPr>
          <w:i/>
          <w:iCs/>
        </w:rPr>
        <w:t xml:space="preserve"> permitido para teléfonos inalámbricos es 1.728 MHz. El interesado debe declarar al Organismo de Certificación y al Laboratorio de Pruebas el BW</w:t>
      </w:r>
      <w:r w:rsidRPr="002F794B">
        <w:rPr>
          <w:i/>
          <w:iCs/>
          <w:vertAlign w:val="subscript"/>
        </w:rPr>
        <w:t>oc</w:t>
      </w:r>
      <w:r w:rsidRPr="002F794B">
        <w:rPr>
          <w:i/>
          <w:iCs/>
        </w:rPr>
        <w:t xml:space="preserve"> y n</w:t>
      </w:r>
      <w:r w:rsidRPr="002F794B">
        <w:rPr>
          <w:i/>
          <w:iCs/>
          <w:vertAlign w:val="subscript"/>
        </w:rPr>
        <w:t>ch</w:t>
      </w:r>
      <w:r w:rsidRPr="002F794B">
        <w:rPr>
          <w:i/>
          <w:iCs/>
        </w:rPr>
        <w:t xml:space="preserve"> de manera que </w:t>
      </w:r>
      <m:oMath>
        <m:sSub>
          <m:sSubPr>
            <m:ctrlPr>
              <w:rPr>
                <w:rFonts w:ascii="Cambria Math" w:hAnsi="Cambria Math"/>
                <w:i/>
                <w:iCs/>
              </w:rPr>
            </m:ctrlPr>
          </m:sSubPr>
          <m:e>
            <m:r>
              <w:rPr>
                <w:rFonts w:ascii="Cambria Math" w:hAnsi="Cambria Math"/>
              </w:rPr>
              <m:t>n</m:t>
            </m:r>
          </m:e>
          <m:sub>
            <m:r>
              <w:rPr>
                <w:rFonts w:ascii="Cambria Math" w:hAnsi="Cambria Math"/>
              </w:rPr>
              <m:t>ch</m:t>
            </m:r>
          </m:sub>
        </m:sSub>
        <m:r>
          <w:rPr>
            <w:rFonts w:ascii="Cambria Math" w:hAnsi="Cambria Math"/>
          </w:rPr>
          <m:t>×</m:t>
        </m:r>
        <m:sSub>
          <m:sSubPr>
            <m:ctrlPr>
              <w:rPr>
                <w:rFonts w:ascii="Cambria Math" w:hAnsi="Cambria Math"/>
                <w:i/>
                <w:iCs/>
              </w:rPr>
            </m:ctrlPr>
          </m:sSubPr>
          <m:e>
            <m:r>
              <w:rPr>
                <w:rFonts w:ascii="Cambria Math" w:hAnsi="Cambria Math"/>
              </w:rPr>
              <m:t>BW</m:t>
            </m:r>
          </m:e>
          <m:sub>
            <m:r>
              <w:rPr>
                <w:rFonts w:ascii="Cambria Math" w:hAnsi="Cambria Math"/>
              </w:rPr>
              <m:t>ch</m:t>
            </m:r>
          </m:sub>
        </m:sSub>
        <m:r>
          <w:rPr>
            <w:rFonts w:ascii="Cambria Math" w:hAnsi="Cambria Math"/>
          </w:rPr>
          <m:t>≤</m:t>
        </m:r>
        <m:sSub>
          <m:sSubPr>
            <m:ctrlPr>
              <w:rPr>
                <w:rFonts w:ascii="Cambria Math" w:hAnsi="Cambria Math"/>
                <w:i/>
                <w:iCs/>
              </w:rPr>
            </m:ctrlPr>
          </m:sSubPr>
          <m:e>
            <m:r>
              <w:rPr>
                <w:rFonts w:ascii="Cambria Math" w:hAnsi="Cambria Math"/>
              </w:rPr>
              <m:t>BW</m:t>
            </m:r>
          </m:e>
          <m:sub>
            <m:r>
              <w:rPr>
                <w:rFonts w:ascii="Cambria Math" w:hAnsi="Cambria Math"/>
              </w:rPr>
              <m:t>oc</m:t>
            </m:r>
          </m:sub>
        </m:sSub>
      </m:oMath>
      <w:r w:rsidRPr="002F794B">
        <w:rPr>
          <w:i/>
          <w:iCs/>
        </w:rPr>
        <w:t>.</w:t>
      </w:r>
    </w:p>
    <w:p w14:paraId="6838C18D" w14:textId="306BBA66" w:rsidR="00D44349" w:rsidRPr="002F794B" w:rsidRDefault="00C42F16" w:rsidP="00C42F16">
      <w:pPr>
        <w:ind w:left="567" w:right="616"/>
        <w:rPr>
          <w:i/>
          <w:iCs/>
        </w:rPr>
      </w:pPr>
      <w:r w:rsidRPr="002F794B">
        <w:rPr>
          <w:b/>
          <w:bCs/>
          <w:i/>
          <w:iCs/>
        </w:rPr>
        <w:t>Justificación:</w:t>
      </w:r>
      <w:r w:rsidRPr="002F794B">
        <w:rPr>
          <w:i/>
          <w:iCs/>
        </w:rPr>
        <w:t xml:space="preserve"> La redacción actual del Anteproyecto indica que el fabricante debe realizar una declaración, pero no especifica en dónde, ni a qué entidad. Considerando que la responsabilidad de la Evaluación de la Conformidad recae en el solicitante, se propone su adjudicación al interesado, realizando la declaración a las partes directamente interesadas, los Organismos de Evaluación de la Conformidad.</w:t>
      </w:r>
    </w:p>
    <w:p w14:paraId="64661D9B" w14:textId="77777777" w:rsidR="00D44349" w:rsidRPr="002F794B" w:rsidRDefault="00D44349" w:rsidP="00D44349">
      <w:pPr>
        <w:rPr>
          <w:u w:val="single"/>
        </w:rPr>
      </w:pPr>
      <w:r w:rsidRPr="002F794B">
        <w:rPr>
          <w:u w:val="single"/>
        </w:rPr>
        <w:t>Respuesta</w:t>
      </w:r>
    </w:p>
    <w:p w14:paraId="1B0E2764" w14:textId="77777777" w:rsidR="004D03F2" w:rsidRPr="002F794B" w:rsidRDefault="004D03F2" w:rsidP="004D03F2">
      <w:r w:rsidRPr="002F794B">
        <w:lastRenderedPageBreak/>
        <w:t>Derivado de que se ha eliminado la categoría de "Teléfonos inalámbricos" no se considera la propuesta.</w:t>
      </w:r>
    </w:p>
    <w:p w14:paraId="03A2234D" w14:textId="77777777" w:rsidR="00D44349" w:rsidRPr="002F794B" w:rsidRDefault="00D44349" w:rsidP="00DE0659"/>
    <w:p w14:paraId="391BA493" w14:textId="77777777" w:rsidR="00D44349" w:rsidRPr="002F794B" w:rsidRDefault="00D44349" w:rsidP="00D44349">
      <w:pPr>
        <w:rPr>
          <w:u w:val="single"/>
        </w:rPr>
      </w:pPr>
      <w:r w:rsidRPr="002F794B">
        <w:rPr>
          <w:u w:val="single"/>
        </w:rPr>
        <w:t>Participante</w:t>
      </w:r>
    </w:p>
    <w:p w14:paraId="748568BA" w14:textId="02CC958E" w:rsidR="00D44349" w:rsidRPr="002F794B" w:rsidRDefault="00225464" w:rsidP="00D44349">
      <w:r w:rsidRPr="002F794B">
        <w:t xml:space="preserve">DECT </w:t>
      </w:r>
      <w:proofErr w:type="spellStart"/>
      <w:r w:rsidRPr="002F794B">
        <w:t>Forum</w:t>
      </w:r>
      <w:proofErr w:type="spellEnd"/>
    </w:p>
    <w:p w14:paraId="3D0F92CB" w14:textId="77777777" w:rsidR="00D44349" w:rsidRPr="002F794B" w:rsidRDefault="00D44349" w:rsidP="00D44349">
      <w:pPr>
        <w:rPr>
          <w:u w:val="single"/>
        </w:rPr>
      </w:pPr>
      <w:r w:rsidRPr="002F794B">
        <w:rPr>
          <w:u w:val="single"/>
        </w:rPr>
        <w:t>Comentario y propuesta</w:t>
      </w:r>
    </w:p>
    <w:p w14:paraId="519F67C6" w14:textId="77777777" w:rsidR="00895209" w:rsidRPr="002F794B" w:rsidRDefault="00895209" w:rsidP="00895209">
      <w:pPr>
        <w:ind w:left="567" w:right="616"/>
        <w:rPr>
          <w:i/>
          <w:iCs/>
          <w:lang w:val="en-US"/>
        </w:rPr>
      </w:pPr>
      <w:r w:rsidRPr="002F794B">
        <w:rPr>
          <w:i/>
          <w:iCs/>
          <w:lang w:val="en-US"/>
        </w:rPr>
        <w:t>"DECT devices are following the European Norms</w:t>
      </w:r>
    </w:p>
    <w:p w14:paraId="6B5CF02B" w14:textId="4D0C17F6" w:rsidR="00895209" w:rsidRPr="002F794B" w:rsidRDefault="00895209" w:rsidP="006C04E4">
      <w:pPr>
        <w:ind w:left="567" w:right="616" w:firstLine="141"/>
        <w:rPr>
          <w:i/>
          <w:iCs/>
          <w:lang w:val="en-US"/>
        </w:rPr>
      </w:pPr>
      <w:proofErr w:type="gramStart"/>
      <w:r w:rsidRPr="002F794B">
        <w:rPr>
          <w:i/>
          <w:iCs/>
          <w:lang w:val="en-US"/>
        </w:rPr>
        <w:t>-</w:t>
      </w:r>
      <w:r w:rsidR="006C04E4" w:rsidRPr="002F794B">
        <w:rPr>
          <w:i/>
          <w:iCs/>
          <w:lang w:val="en-US"/>
        </w:rPr>
        <w:tab/>
      </w:r>
      <w:r w:rsidRPr="002F794B">
        <w:rPr>
          <w:i/>
          <w:iCs/>
          <w:lang w:val="en-US"/>
        </w:rPr>
        <w:t xml:space="preserve"> EN</w:t>
      </w:r>
      <w:proofErr w:type="gramEnd"/>
      <w:r w:rsidRPr="002F794B">
        <w:rPr>
          <w:i/>
          <w:iCs/>
          <w:lang w:val="en-US"/>
        </w:rPr>
        <w:t xml:space="preserve"> 301 406-1 (legacy DECT)</w:t>
      </w:r>
    </w:p>
    <w:p w14:paraId="67768845" w14:textId="64001E0B" w:rsidR="00895209" w:rsidRPr="002F794B" w:rsidRDefault="00895209" w:rsidP="006C04E4">
      <w:pPr>
        <w:ind w:left="567" w:right="616" w:firstLine="141"/>
        <w:rPr>
          <w:i/>
          <w:iCs/>
          <w:lang w:val="en-US"/>
        </w:rPr>
      </w:pPr>
      <w:proofErr w:type="gramStart"/>
      <w:r w:rsidRPr="002F794B">
        <w:rPr>
          <w:i/>
          <w:iCs/>
          <w:lang w:val="en-US"/>
        </w:rPr>
        <w:t>-</w:t>
      </w:r>
      <w:r w:rsidR="006C04E4" w:rsidRPr="002F794B">
        <w:rPr>
          <w:i/>
          <w:iCs/>
          <w:lang w:val="en-US"/>
        </w:rPr>
        <w:tab/>
      </w:r>
      <w:r w:rsidRPr="002F794B">
        <w:rPr>
          <w:i/>
          <w:iCs/>
          <w:lang w:val="en-US"/>
        </w:rPr>
        <w:t xml:space="preserve"> EN</w:t>
      </w:r>
      <w:proofErr w:type="gramEnd"/>
      <w:r w:rsidRPr="002F794B">
        <w:rPr>
          <w:i/>
          <w:iCs/>
          <w:lang w:val="en-US"/>
        </w:rPr>
        <w:t xml:space="preserve"> 301 406-2 (DECT2020, also known as DECT NR+)</w:t>
      </w:r>
    </w:p>
    <w:p w14:paraId="4956B993" w14:textId="77777777" w:rsidR="00895209" w:rsidRPr="002F794B" w:rsidRDefault="00895209" w:rsidP="00895209">
      <w:pPr>
        <w:ind w:left="567" w:right="616"/>
        <w:rPr>
          <w:i/>
          <w:iCs/>
          <w:lang w:val="en-US"/>
        </w:rPr>
      </w:pPr>
      <w:r w:rsidRPr="002F794B">
        <w:rPr>
          <w:i/>
          <w:iCs/>
          <w:lang w:val="en-US"/>
        </w:rPr>
        <w:t>as well the ANSI/IEEE C63.17-2013 standard.</w:t>
      </w:r>
    </w:p>
    <w:p w14:paraId="1F1A1592" w14:textId="77777777" w:rsidR="00895209" w:rsidRPr="002F794B" w:rsidRDefault="00895209" w:rsidP="00895209">
      <w:pPr>
        <w:ind w:left="567" w:right="616"/>
        <w:rPr>
          <w:i/>
          <w:iCs/>
          <w:lang w:val="en-US"/>
        </w:rPr>
      </w:pPr>
      <w:r w:rsidRPr="002F794B">
        <w:rPr>
          <w:i/>
          <w:iCs/>
          <w:lang w:val="en-US"/>
        </w:rPr>
        <w:t xml:space="preserve">DECT Forum would </w:t>
      </w:r>
      <w:proofErr w:type="gramStart"/>
      <w:r w:rsidRPr="002F794B">
        <w:rPr>
          <w:i/>
          <w:iCs/>
          <w:lang w:val="en-US"/>
        </w:rPr>
        <w:t>appreciate</w:t>
      </w:r>
      <w:proofErr w:type="gramEnd"/>
      <w:r w:rsidRPr="002F794B">
        <w:rPr>
          <w:i/>
          <w:iCs/>
          <w:lang w:val="en-US"/>
        </w:rPr>
        <w:t xml:space="preserve"> if IFT would refer to the European standards since they are commonly used.</w:t>
      </w:r>
    </w:p>
    <w:p w14:paraId="197F4CE4" w14:textId="46BA3B5C" w:rsidR="00D44349" w:rsidRPr="002F794B" w:rsidRDefault="00895209" w:rsidP="00895209">
      <w:pPr>
        <w:ind w:left="567" w:right="616"/>
        <w:rPr>
          <w:i/>
          <w:iCs/>
        </w:rPr>
      </w:pPr>
      <w:r w:rsidRPr="002F794B">
        <w:rPr>
          <w:i/>
          <w:iCs/>
          <w:lang w:val="en-US"/>
        </w:rPr>
        <w:t xml:space="preserve">Note: The standard EN 301 406-2 is published on ETSI and intended to be listed in the Official Journal of the European Union, which is currently in </w:t>
      </w:r>
      <w:proofErr w:type="gramStart"/>
      <w:r w:rsidRPr="002F794B">
        <w:rPr>
          <w:i/>
          <w:iCs/>
          <w:lang w:val="en-US"/>
        </w:rPr>
        <w:t xml:space="preserve">process. </w:t>
      </w:r>
      <w:r w:rsidRPr="002F794B">
        <w:rPr>
          <w:i/>
          <w:iCs/>
        </w:rPr>
        <w:t>"</w:t>
      </w:r>
      <w:proofErr w:type="gramEnd"/>
    </w:p>
    <w:p w14:paraId="43B583D2" w14:textId="77777777" w:rsidR="00D44349" w:rsidRPr="002F794B" w:rsidRDefault="00D44349" w:rsidP="00D44349">
      <w:pPr>
        <w:rPr>
          <w:u w:val="single"/>
        </w:rPr>
      </w:pPr>
      <w:r w:rsidRPr="002F794B">
        <w:rPr>
          <w:u w:val="single"/>
        </w:rPr>
        <w:t>Respuesta</w:t>
      </w:r>
    </w:p>
    <w:p w14:paraId="2FC6FB59" w14:textId="77777777" w:rsidR="00D201C5" w:rsidRPr="002F794B" w:rsidRDefault="00D201C5" w:rsidP="00D201C5">
      <w:r w:rsidRPr="002F794B">
        <w:t>Derivado de que se ha eliminado la categoría de "Teléfonos inalámbricos" no se considera la propuesta.</w:t>
      </w:r>
    </w:p>
    <w:p w14:paraId="34E7BBC8" w14:textId="77777777" w:rsidR="00D44349" w:rsidRPr="002F794B" w:rsidRDefault="00D44349" w:rsidP="00DE0659"/>
    <w:p w14:paraId="3ED6C9A9" w14:textId="77777777" w:rsidR="00D44349" w:rsidRPr="002F794B" w:rsidRDefault="00D44349" w:rsidP="00D44349">
      <w:pPr>
        <w:rPr>
          <w:u w:val="single"/>
        </w:rPr>
      </w:pPr>
      <w:r w:rsidRPr="002F794B">
        <w:rPr>
          <w:u w:val="single"/>
        </w:rPr>
        <w:t>Participante</w:t>
      </w:r>
    </w:p>
    <w:p w14:paraId="510323EC" w14:textId="21D55A7E" w:rsidR="00D44349" w:rsidRPr="002F794B" w:rsidRDefault="00F64EEC" w:rsidP="00D44349">
      <w:r w:rsidRPr="002F794B">
        <w:t xml:space="preserve">DECT </w:t>
      </w:r>
      <w:proofErr w:type="spellStart"/>
      <w:r w:rsidRPr="002F794B">
        <w:t>Forum</w:t>
      </w:r>
      <w:proofErr w:type="spellEnd"/>
    </w:p>
    <w:p w14:paraId="0085F22D" w14:textId="77777777" w:rsidR="00D44349" w:rsidRPr="002F794B" w:rsidRDefault="00D44349" w:rsidP="00D44349">
      <w:pPr>
        <w:rPr>
          <w:u w:val="single"/>
        </w:rPr>
      </w:pPr>
      <w:r w:rsidRPr="002F794B">
        <w:rPr>
          <w:u w:val="single"/>
        </w:rPr>
        <w:t>Comentario y propuesta</w:t>
      </w:r>
    </w:p>
    <w:p w14:paraId="08A69B5D" w14:textId="77777777" w:rsidR="00F64EEC" w:rsidRPr="002F794B" w:rsidRDefault="00F64EEC" w:rsidP="00F64EEC">
      <w:pPr>
        <w:ind w:left="567" w:right="616"/>
        <w:rPr>
          <w:i/>
          <w:iCs/>
          <w:lang w:val="en-US"/>
        </w:rPr>
      </w:pPr>
      <w:r w:rsidRPr="002F794B">
        <w:rPr>
          <w:i/>
          <w:iCs/>
          <w:lang w:val="en-US"/>
        </w:rPr>
        <w:t xml:space="preserve">DECT devices do follow the standards as listed above. Please consider if a reference to that </w:t>
      </w:r>
      <w:proofErr w:type="gramStart"/>
      <w:r w:rsidRPr="002F794B">
        <w:rPr>
          <w:i/>
          <w:iCs/>
          <w:lang w:val="en-US"/>
        </w:rPr>
        <w:t>existing</w:t>
      </w:r>
      <w:proofErr w:type="gramEnd"/>
    </w:p>
    <w:p w14:paraId="2DA848DE" w14:textId="7AA2F8ED" w:rsidR="00D44349" w:rsidRPr="002F794B" w:rsidRDefault="00F64EEC" w:rsidP="00F64EEC">
      <w:pPr>
        <w:ind w:left="567" w:right="616"/>
        <w:rPr>
          <w:i/>
          <w:iCs/>
        </w:rPr>
      </w:pPr>
      <w:r w:rsidRPr="002F794B">
        <w:rPr>
          <w:i/>
          <w:iCs/>
        </w:rPr>
        <w:t>standard could be used.</w:t>
      </w:r>
    </w:p>
    <w:p w14:paraId="2C00400C" w14:textId="77777777" w:rsidR="00D44349" w:rsidRPr="002F794B" w:rsidRDefault="00D44349" w:rsidP="00D44349">
      <w:pPr>
        <w:rPr>
          <w:u w:val="single"/>
        </w:rPr>
      </w:pPr>
      <w:r w:rsidRPr="002F794B">
        <w:rPr>
          <w:u w:val="single"/>
        </w:rPr>
        <w:t>Respuesta</w:t>
      </w:r>
    </w:p>
    <w:p w14:paraId="0E9F17DE" w14:textId="77777777" w:rsidR="00D201C5" w:rsidRPr="002F794B" w:rsidRDefault="00D201C5" w:rsidP="00D201C5">
      <w:r w:rsidRPr="002F794B">
        <w:t>Derivado de que se ha eliminado la categoría de "Teléfonos inalámbricos" no se considera la propuesta.</w:t>
      </w:r>
    </w:p>
    <w:p w14:paraId="2E6DA16E" w14:textId="77777777" w:rsidR="00D44349" w:rsidRPr="002F794B" w:rsidRDefault="00D44349" w:rsidP="00DE0659"/>
    <w:p w14:paraId="58086DF2" w14:textId="77777777" w:rsidR="00D44349" w:rsidRPr="002F794B" w:rsidRDefault="00D44349" w:rsidP="00D44349">
      <w:pPr>
        <w:rPr>
          <w:u w:val="single"/>
        </w:rPr>
      </w:pPr>
      <w:r w:rsidRPr="002F794B">
        <w:rPr>
          <w:u w:val="single"/>
        </w:rPr>
        <w:t>Participante</w:t>
      </w:r>
    </w:p>
    <w:p w14:paraId="566EB182" w14:textId="4B3ED6B3" w:rsidR="00D44349" w:rsidRPr="002F794B" w:rsidRDefault="008F047F" w:rsidP="00D44349">
      <w:proofErr w:type="spellStart"/>
      <w:r w:rsidRPr="002F794B">
        <w:t>Shure</w:t>
      </w:r>
      <w:proofErr w:type="spellEnd"/>
      <w:r w:rsidRPr="002F794B">
        <w:t xml:space="preserve"> </w:t>
      </w:r>
      <w:proofErr w:type="spellStart"/>
      <w:r w:rsidRPr="002F794B">
        <w:t>Incorporated</w:t>
      </w:r>
      <w:proofErr w:type="spellEnd"/>
    </w:p>
    <w:p w14:paraId="6F9CA4D6" w14:textId="77777777" w:rsidR="00D44349" w:rsidRPr="002F794B" w:rsidRDefault="00D44349" w:rsidP="00D44349">
      <w:pPr>
        <w:rPr>
          <w:u w:val="single"/>
        </w:rPr>
      </w:pPr>
      <w:r w:rsidRPr="002F794B">
        <w:rPr>
          <w:u w:val="single"/>
        </w:rPr>
        <w:lastRenderedPageBreak/>
        <w:t>Comentario y propuesta</w:t>
      </w:r>
    </w:p>
    <w:p w14:paraId="01B113CA" w14:textId="17B7C7BF" w:rsidR="00BF4C02" w:rsidRPr="002F794B" w:rsidRDefault="00BF4C02" w:rsidP="00BF4C02">
      <w:pPr>
        <w:ind w:left="567" w:right="616"/>
        <w:rPr>
          <w:i/>
          <w:iCs/>
        </w:rPr>
      </w:pPr>
      <w:r w:rsidRPr="002F794B">
        <w:rPr>
          <w:i/>
          <w:iCs/>
        </w:rPr>
        <w:t>El ancho de banda ocupado debe ser igual o menor que el ancho de banda del canal. Proponemos cambiar la formula del IFT-016-2023 a</w:t>
      </w:r>
    </w:p>
    <w:p w14:paraId="676C930F" w14:textId="0150CF4E" w:rsidR="00D44349" w:rsidRPr="002F794B" w:rsidRDefault="00BF4C02" w:rsidP="00BF4C02">
      <w:pPr>
        <w:ind w:left="567" w:right="616"/>
        <w:jc w:val="center"/>
      </w:pPr>
      <w:r w:rsidRPr="002F794B">
        <w:rPr>
          <w:rFonts w:ascii="Cambria Math" w:hAnsi="Cambria Math" w:cs="Cambria Math"/>
        </w:rPr>
        <w:t>𝑛𝑐ℎ</w:t>
      </w:r>
      <w:r w:rsidRPr="002F794B">
        <w:t xml:space="preserve"> ∙ </w:t>
      </w:r>
      <w:r w:rsidRPr="002F794B">
        <w:rPr>
          <w:rFonts w:ascii="Cambria Math" w:hAnsi="Cambria Math" w:cs="Cambria Math"/>
        </w:rPr>
        <w:t>𝐵𝑊𝑐ℎ</w:t>
      </w:r>
      <w:r w:rsidRPr="002F794B">
        <w:t xml:space="preserve"> ≥ </w:t>
      </w:r>
      <w:r w:rsidRPr="002F794B">
        <w:rPr>
          <w:rFonts w:ascii="Cambria Math" w:hAnsi="Cambria Math" w:cs="Cambria Math"/>
        </w:rPr>
        <w:t>𝐵𝑊𝑂𝐶</w:t>
      </w:r>
    </w:p>
    <w:p w14:paraId="4B52A740" w14:textId="77777777" w:rsidR="00D44349" w:rsidRPr="002F794B" w:rsidRDefault="00D44349" w:rsidP="00D44349">
      <w:pPr>
        <w:rPr>
          <w:u w:val="single"/>
        </w:rPr>
      </w:pPr>
      <w:r w:rsidRPr="002F794B">
        <w:rPr>
          <w:u w:val="single"/>
        </w:rPr>
        <w:t>Respuesta</w:t>
      </w:r>
    </w:p>
    <w:p w14:paraId="53BEC13F" w14:textId="1A788EC7" w:rsidR="00D44349" w:rsidRPr="002F794B" w:rsidRDefault="00D201C5" w:rsidP="00DE0659">
      <w:r w:rsidRPr="002F794B">
        <w:t>Derivado de que se ha eliminado la categoría de "Teléfonos inalámbricos" no se considera la propuesta.</w:t>
      </w:r>
    </w:p>
    <w:p w14:paraId="594F13A6" w14:textId="77777777" w:rsidR="00D201C5" w:rsidRPr="002F794B" w:rsidRDefault="00D201C5" w:rsidP="00DE0659"/>
    <w:p w14:paraId="3DE6EF17" w14:textId="77777777" w:rsidR="00D44349" w:rsidRPr="002F794B" w:rsidRDefault="00D44349" w:rsidP="00D44349">
      <w:pPr>
        <w:rPr>
          <w:u w:val="single"/>
        </w:rPr>
      </w:pPr>
      <w:r w:rsidRPr="002F794B">
        <w:rPr>
          <w:u w:val="single"/>
        </w:rPr>
        <w:t>Participante</w:t>
      </w:r>
    </w:p>
    <w:p w14:paraId="5F6F2C9B" w14:textId="76B6E5E4" w:rsidR="00D44349" w:rsidRPr="002F794B" w:rsidRDefault="00EC5835" w:rsidP="00D44349">
      <w:r w:rsidRPr="002F794B">
        <w:t>Cámara Nacional de la Industria Electrónica, de Telecomunicaciones y Tecnologías de la Información</w:t>
      </w:r>
    </w:p>
    <w:p w14:paraId="470F1BB0" w14:textId="77777777" w:rsidR="00D44349" w:rsidRPr="002F794B" w:rsidRDefault="00D44349" w:rsidP="00D44349">
      <w:pPr>
        <w:rPr>
          <w:u w:val="single"/>
        </w:rPr>
      </w:pPr>
      <w:r w:rsidRPr="002F794B">
        <w:rPr>
          <w:u w:val="single"/>
        </w:rPr>
        <w:t>Comentario y propuesta</w:t>
      </w:r>
    </w:p>
    <w:p w14:paraId="29A5FF90" w14:textId="7364E599" w:rsidR="00D44349" w:rsidRPr="002F794B" w:rsidRDefault="00977526" w:rsidP="00D44349">
      <w:pPr>
        <w:ind w:left="567" w:right="616"/>
        <w:rPr>
          <w:i/>
          <w:iCs/>
        </w:rPr>
      </w:pPr>
      <w:r w:rsidRPr="002F794B">
        <w:rPr>
          <w:i/>
          <w:iCs/>
        </w:rPr>
        <w:t>Se establece que el fabricante debe declarar el BW</w:t>
      </w:r>
      <w:r w:rsidRPr="002F794B">
        <w:rPr>
          <w:i/>
          <w:iCs/>
          <w:vertAlign w:val="subscript"/>
        </w:rPr>
        <w:t>OC</w:t>
      </w:r>
      <w:r w:rsidRPr="002F794B">
        <w:rPr>
          <w:i/>
          <w:iCs/>
        </w:rPr>
        <w:t>; sin embargo, este parámetro se medirá utilizando el método descrito en 8.5, por lo que causa confusión qué valor se tomará en cuenta, la medición o el valor entregado por el fabricante.</w:t>
      </w:r>
    </w:p>
    <w:p w14:paraId="6049FBDF" w14:textId="77777777" w:rsidR="00D44349" w:rsidRPr="002F794B" w:rsidRDefault="00D44349" w:rsidP="00D44349">
      <w:pPr>
        <w:rPr>
          <w:u w:val="single"/>
        </w:rPr>
      </w:pPr>
      <w:r w:rsidRPr="002F794B">
        <w:rPr>
          <w:u w:val="single"/>
        </w:rPr>
        <w:t>Respuesta</w:t>
      </w:r>
    </w:p>
    <w:p w14:paraId="76B5E75A" w14:textId="77777777" w:rsidR="00D201C5" w:rsidRPr="002F794B" w:rsidRDefault="00D201C5" w:rsidP="00D201C5">
      <w:r w:rsidRPr="002F794B">
        <w:t>Derivado de que se ha eliminado la categoría de "Teléfonos inalámbricos" no se considera la propuesta.</w:t>
      </w:r>
    </w:p>
    <w:p w14:paraId="1B7DA31A" w14:textId="77777777" w:rsidR="00D44349" w:rsidRPr="002F794B" w:rsidRDefault="00D44349" w:rsidP="00DE0659"/>
    <w:p w14:paraId="3CA6710A" w14:textId="77777777" w:rsidR="00D44349" w:rsidRPr="002F794B" w:rsidRDefault="00D44349" w:rsidP="00D44349">
      <w:pPr>
        <w:rPr>
          <w:u w:val="single"/>
        </w:rPr>
      </w:pPr>
      <w:r w:rsidRPr="002F794B">
        <w:rPr>
          <w:u w:val="single"/>
        </w:rPr>
        <w:t>Participante</w:t>
      </w:r>
    </w:p>
    <w:p w14:paraId="584B6F2A" w14:textId="541109C1" w:rsidR="00D44349" w:rsidRPr="002F794B" w:rsidRDefault="008E3274" w:rsidP="00D44349">
      <w:r w:rsidRPr="002F794B">
        <w:t>Cámara Nacional de la Industria Electrónica, de Telecomunicaciones y Tecnologías de la Información</w:t>
      </w:r>
    </w:p>
    <w:p w14:paraId="60F472A0" w14:textId="77777777" w:rsidR="00D44349" w:rsidRPr="002F794B" w:rsidRDefault="00D44349" w:rsidP="00D44349">
      <w:pPr>
        <w:rPr>
          <w:u w:val="single"/>
        </w:rPr>
      </w:pPr>
      <w:r w:rsidRPr="002F794B">
        <w:rPr>
          <w:u w:val="single"/>
        </w:rPr>
        <w:t>Comentario y propuesta</w:t>
      </w:r>
    </w:p>
    <w:p w14:paraId="1CDE5232" w14:textId="4C838281" w:rsidR="00D44349" w:rsidRPr="002F794B" w:rsidRDefault="00FD60D4" w:rsidP="00D44349">
      <w:pPr>
        <w:ind w:left="567" w:right="616"/>
        <w:rPr>
          <w:i/>
          <w:iCs/>
        </w:rPr>
      </w:pPr>
      <w:r w:rsidRPr="002F794B">
        <w:rPr>
          <w:i/>
          <w:iCs/>
        </w:rPr>
        <w:t>Se menciona lo siguiente: “El fabricante debe declarar el BW</w:t>
      </w:r>
      <w:r w:rsidRPr="002F794B">
        <w:rPr>
          <w:i/>
          <w:iCs/>
          <w:vertAlign w:val="subscript"/>
        </w:rPr>
        <w:t>OC</w:t>
      </w:r>
      <w:r w:rsidRPr="002F794B">
        <w:rPr>
          <w:i/>
          <w:iCs/>
        </w:rPr>
        <w:t xml:space="preserve"> y n</w:t>
      </w:r>
      <w:r w:rsidRPr="002F794B">
        <w:rPr>
          <w:i/>
          <w:iCs/>
          <w:vertAlign w:val="subscript"/>
        </w:rPr>
        <w:t>ch</w:t>
      </w:r>
      <w:r w:rsidRPr="002F794B">
        <w:rPr>
          <w:i/>
          <w:iCs/>
        </w:rPr>
        <w:t xml:space="preserve">, de manera que </w:t>
      </w:r>
      <m:oMath>
        <m:sSub>
          <m:sSubPr>
            <m:ctrlPr>
              <w:rPr>
                <w:rFonts w:ascii="Cambria Math" w:hAnsi="Cambria Math"/>
                <w:i/>
                <w:iCs/>
              </w:rPr>
            </m:ctrlPr>
          </m:sSubPr>
          <m:e>
            <m:r>
              <w:rPr>
                <w:rFonts w:ascii="Cambria Math" w:hAnsi="Cambria Math"/>
              </w:rPr>
              <m:t>n</m:t>
            </m:r>
          </m:e>
          <m:sub>
            <m:r>
              <w:rPr>
                <w:rFonts w:ascii="Cambria Math" w:hAnsi="Cambria Math"/>
              </w:rPr>
              <m:t>ch</m:t>
            </m:r>
          </m:sub>
        </m:sSub>
        <m:r>
          <w:rPr>
            <w:rFonts w:ascii="Cambria Math" w:hAnsi="Cambria Math"/>
          </w:rPr>
          <m:t>×B</m:t>
        </m:r>
        <m:sSub>
          <m:sSubPr>
            <m:ctrlPr>
              <w:rPr>
                <w:rFonts w:ascii="Cambria Math" w:hAnsi="Cambria Math"/>
                <w:i/>
                <w:iCs/>
              </w:rPr>
            </m:ctrlPr>
          </m:sSubPr>
          <m:e>
            <m:r>
              <w:rPr>
                <w:rFonts w:ascii="Cambria Math" w:hAnsi="Cambria Math"/>
              </w:rPr>
              <m:t>W</m:t>
            </m:r>
          </m:e>
          <m:sub>
            <m:r>
              <w:rPr>
                <w:rFonts w:ascii="Cambria Math" w:hAnsi="Cambria Math"/>
              </w:rPr>
              <m:t>ch</m:t>
            </m:r>
          </m:sub>
        </m:sSub>
        <m:r>
          <w:rPr>
            <w:rFonts w:ascii="Cambria Math" w:hAnsi="Cambria Math"/>
          </w:rPr>
          <m:t>≤B</m:t>
        </m:r>
        <m:sSub>
          <m:sSubPr>
            <m:ctrlPr>
              <w:rPr>
                <w:rFonts w:ascii="Cambria Math" w:hAnsi="Cambria Math"/>
                <w:i/>
                <w:iCs/>
              </w:rPr>
            </m:ctrlPr>
          </m:sSubPr>
          <m:e>
            <m:r>
              <w:rPr>
                <w:rFonts w:ascii="Cambria Math" w:hAnsi="Cambria Math"/>
              </w:rPr>
              <m:t>W</m:t>
            </m:r>
          </m:e>
          <m:sub>
            <m:r>
              <w:rPr>
                <w:rFonts w:ascii="Cambria Math" w:hAnsi="Cambria Math"/>
              </w:rPr>
              <m:t>oc</m:t>
            </m:r>
          </m:sub>
        </m:sSub>
      </m:oMath>
      <w:r w:rsidRPr="002F794B">
        <w:rPr>
          <w:i/>
          <w:iCs/>
        </w:rPr>
        <w:t>”; sin embargo, no hay un método de prueba destinado a la medición de BW</w:t>
      </w:r>
      <w:r w:rsidRPr="002F794B">
        <w:rPr>
          <w:i/>
          <w:iCs/>
          <w:vertAlign w:val="subscript"/>
        </w:rPr>
        <w:t>ch</w:t>
      </w:r>
      <w:r w:rsidRPr="002F794B">
        <w:rPr>
          <w:i/>
          <w:iCs/>
        </w:rPr>
        <w:t>, lo que implica que no se podría realizar dicha relación.</w:t>
      </w:r>
    </w:p>
    <w:p w14:paraId="18041B7D" w14:textId="77777777" w:rsidR="00D44349" w:rsidRPr="002F794B" w:rsidRDefault="00D44349" w:rsidP="00D44349">
      <w:pPr>
        <w:rPr>
          <w:u w:val="single"/>
        </w:rPr>
      </w:pPr>
      <w:r w:rsidRPr="002F794B">
        <w:rPr>
          <w:u w:val="single"/>
        </w:rPr>
        <w:t>Respuesta</w:t>
      </w:r>
    </w:p>
    <w:p w14:paraId="20223A5E" w14:textId="77777777" w:rsidR="0072478E" w:rsidRPr="002F794B" w:rsidRDefault="0072478E" w:rsidP="0072478E">
      <w:r w:rsidRPr="002F794B">
        <w:t>Derivado de que se ha eliminado la categoría de "Teléfonos inalámbricos" no se considera la propuesta.</w:t>
      </w:r>
    </w:p>
    <w:p w14:paraId="14347CDA" w14:textId="77777777" w:rsidR="00D44349" w:rsidRPr="002F794B" w:rsidRDefault="00D44349" w:rsidP="00DE0659"/>
    <w:p w14:paraId="687C3A9A" w14:textId="77777777" w:rsidR="00C22600" w:rsidRPr="002F794B" w:rsidRDefault="00C22600" w:rsidP="00C22600">
      <w:pPr>
        <w:rPr>
          <w:u w:val="single"/>
        </w:rPr>
      </w:pPr>
      <w:r w:rsidRPr="002F794B">
        <w:rPr>
          <w:u w:val="single"/>
        </w:rPr>
        <w:lastRenderedPageBreak/>
        <w:t>Participante</w:t>
      </w:r>
    </w:p>
    <w:p w14:paraId="00E10ACE" w14:textId="6B22EC10" w:rsidR="00C22600" w:rsidRPr="002F794B" w:rsidRDefault="00670966" w:rsidP="00C22600">
      <w:r w:rsidRPr="002F794B">
        <w:t>Consejo Mexicano de Normalización y Evaluación de la Conformidad A.C.</w:t>
      </w:r>
    </w:p>
    <w:p w14:paraId="546820AE" w14:textId="77777777" w:rsidR="00C22600" w:rsidRPr="002F794B" w:rsidRDefault="00C22600" w:rsidP="00C22600">
      <w:pPr>
        <w:rPr>
          <w:u w:val="single"/>
        </w:rPr>
      </w:pPr>
      <w:r w:rsidRPr="002F794B">
        <w:rPr>
          <w:u w:val="single"/>
        </w:rPr>
        <w:t>Comentario y propuesta</w:t>
      </w:r>
    </w:p>
    <w:p w14:paraId="39BA949F" w14:textId="5414D45F" w:rsidR="00C22600" w:rsidRPr="002F794B" w:rsidRDefault="00CD5FC3" w:rsidP="00CD5FC3">
      <w:pPr>
        <w:ind w:left="567" w:right="616"/>
        <w:rPr>
          <w:i/>
          <w:iCs/>
        </w:rPr>
      </w:pPr>
      <w:r w:rsidRPr="002F794B">
        <w:rPr>
          <w:i/>
          <w:iCs/>
        </w:rPr>
        <w:t>Se menciona lo siguiente: “El fabricante debe declarar el BW</w:t>
      </w:r>
      <w:r w:rsidRPr="002F794B">
        <w:rPr>
          <w:i/>
          <w:iCs/>
          <w:vertAlign w:val="subscript"/>
        </w:rPr>
        <w:t>OC</w:t>
      </w:r>
      <w:r w:rsidRPr="002F794B">
        <w:rPr>
          <w:i/>
          <w:iCs/>
        </w:rPr>
        <w:t xml:space="preserve"> y n</w:t>
      </w:r>
      <w:r w:rsidRPr="002F794B">
        <w:rPr>
          <w:i/>
          <w:iCs/>
          <w:vertAlign w:val="subscript"/>
        </w:rPr>
        <w:t>ch</w:t>
      </w:r>
      <w:r w:rsidRPr="002F794B">
        <w:rPr>
          <w:i/>
          <w:iCs/>
        </w:rPr>
        <w:t xml:space="preserve">, de manera que </w:t>
      </w:r>
      <m:oMath>
        <m:sSub>
          <m:sSubPr>
            <m:ctrlPr>
              <w:rPr>
                <w:rFonts w:ascii="Cambria Math" w:hAnsi="Cambria Math"/>
                <w:i/>
                <w:iCs/>
              </w:rPr>
            </m:ctrlPr>
          </m:sSubPr>
          <m:e>
            <m:r>
              <w:rPr>
                <w:rFonts w:ascii="Cambria Math" w:hAnsi="Cambria Math"/>
              </w:rPr>
              <m:t>n</m:t>
            </m:r>
          </m:e>
          <m:sub>
            <m:r>
              <w:rPr>
                <w:rFonts w:ascii="Cambria Math" w:hAnsi="Cambria Math"/>
              </w:rPr>
              <m:t>ch</m:t>
            </m:r>
          </m:sub>
        </m:sSub>
        <m:r>
          <w:rPr>
            <w:rFonts w:ascii="Cambria Math" w:hAnsi="Cambria Math"/>
          </w:rPr>
          <m:t>×B</m:t>
        </m:r>
        <m:sSub>
          <m:sSubPr>
            <m:ctrlPr>
              <w:rPr>
                <w:rFonts w:ascii="Cambria Math" w:hAnsi="Cambria Math"/>
                <w:i/>
                <w:iCs/>
              </w:rPr>
            </m:ctrlPr>
          </m:sSubPr>
          <m:e>
            <m:r>
              <w:rPr>
                <w:rFonts w:ascii="Cambria Math" w:hAnsi="Cambria Math"/>
              </w:rPr>
              <m:t>W</m:t>
            </m:r>
          </m:e>
          <m:sub>
            <m:r>
              <w:rPr>
                <w:rFonts w:ascii="Cambria Math" w:hAnsi="Cambria Math"/>
              </w:rPr>
              <m:t>ch</m:t>
            </m:r>
          </m:sub>
        </m:sSub>
        <m:r>
          <w:rPr>
            <w:rFonts w:ascii="Cambria Math" w:hAnsi="Cambria Math"/>
          </w:rPr>
          <m:t>≤B</m:t>
        </m:r>
        <m:sSub>
          <m:sSubPr>
            <m:ctrlPr>
              <w:rPr>
                <w:rFonts w:ascii="Cambria Math" w:hAnsi="Cambria Math"/>
                <w:i/>
                <w:iCs/>
              </w:rPr>
            </m:ctrlPr>
          </m:sSubPr>
          <m:e>
            <m:r>
              <w:rPr>
                <w:rFonts w:ascii="Cambria Math" w:hAnsi="Cambria Math"/>
              </w:rPr>
              <m:t>W</m:t>
            </m:r>
          </m:e>
          <m:sub>
            <m:r>
              <w:rPr>
                <w:rFonts w:ascii="Cambria Math" w:hAnsi="Cambria Math"/>
              </w:rPr>
              <m:t>oc</m:t>
            </m:r>
          </m:sub>
        </m:sSub>
      </m:oMath>
      <w:r w:rsidRPr="002F794B">
        <w:rPr>
          <w:i/>
          <w:iCs/>
        </w:rPr>
        <w:t>”; sin embargo, no hay un método de prueba destinado a la medición de BW</w:t>
      </w:r>
      <w:r w:rsidRPr="002F794B">
        <w:rPr>
          <w:i/>
          <w:iCs/>
          <w:vertAlign w:val="subscript"/>
        </w:rPr>
        <w:t>ch</w:t>
      </w:r>
      <w:r w:rsidRPr="002F794B">
        <w:rPr>
          <w:i/>
          <w:iCs/>
        </w:rPr>
        <w:t>, lo que implica que no se podría realizar dicha relación.</w:t>
      </w:r>
    </w:p>
    <w:p w14:paraId="45E45BCC" w14:textId="77777777" w:rsidR="00C22600" w:rsidRPr="002F794B" w:rsidRDefault="00C22600" w:rsidP="00C22600">
      <w:pPr>
        <w:rPr>
          <w:u w:val="single"/>
        </w:rPr>
      </w:pPr>
      <w:r w:rsidRPr="002F794B">
        <w:rPr>
          <w:u w:val="single"/>
        </w:rPr>
        <w:t>Respuesta</w:t>
      </w:r>
    </w:p>
    <w:p w14:paraId="4777D17B" w14:textId="77777777" w:rsidR="0072478E" w:rsidRPr="002F794B" w:rsidRDefault="0072478E" w:rsidP="0072478E">
      <w:r w:rsidRPr="002F794B">
        <w:t>Derivado de que se ha eliminado la categoría de "Teléfonos inalámbricos" no se considera la propuesta.</w:t>
      </w:r>
    </w:p>
    <w:p w14:paraId="3073E09A" w14:textId="77777777" w:rsidR="00C22600" w:rsidRPr="002F794B" w:rsidRDefault="00C22600" w:rsidP="00DE0659"/>
    <w:p w14:paraId="0338718B" w14:textId="2033831A" w:rsidR="00CD5FC3" w:rsidRPr="002F794B" w:rsidRDefault="00CD5FC3" w:rsidP="00DE39DA">
      <w:pPr>
        <w:outlineLvl w:val="1"/>
        <w:rPr>
          <w:b/>
          <w:bCs/>
        </w:rPr>
      </w:pPr>
      <w:r w:rsidRPr="002F794B">
        <w:rPr>
          <w:b/>
          <w:bCs/>
        </w:rPr>
        <w:t>Numeral 7.3.3</w:t>
      </w:r>
    </w:p>
    <w:p w14:paraId="7A538F49" w14:textId="77777777" w:rsidR="00C22600" w:rsidRPr="002F794B" w:rsidRDefault="00C22600" w:rsidP="00C22600">
      <w:pPr>
        <w:rPr>
          <w:u w:val="single"/>
        </w:rPr>
      </w:pPr>
      <w:r w:rsidRPr="002F794B">
        <w:rPr>
          <w:u w:val="single"/>
        </w:rPr>
        <w:t>Participante</w:t>
      </w:r>
    </w:p>
    <w:p w14:paraId="72ACD961" w14:textId="7EB034F2" w:rsidR="00C22600" w:rsidRPr="002F794B" w:rsidRDefault="00B3079B" w:rsidP="00C22600">
      <w:r w:rsidRPr="002F794B">
        <w:t xml:space="preserve">DECT </w:t>
      </w:r>
      <w:proofErr w:type="spellStart"/>
      <w:r w:rsidRPr="002F794B">
        <w:t>Forum</w:t>
      </w:r>
      <w:proofErr w:type="spellEnd"/>
    </w:p>
    <w:p w14:paraId="6C1C5F56" w14:textId="77777777" w:rsidR="00C22600" w:rsidRPr="002F794B" w:rsidRDefault="00C22600" w:rsidP="00C22600">
      <w:pPr>
        <w:rPr>
          <w:u w:val="single"/>
        </w:rPr>
      </w:pPr>
      <w:r w:rsidRPr="002F794B">
        <w:rPr>
          <w:u w:val="single"/>
        </w:rPr>
        <w:t>Comentario y propuesta</w:t>
      </w:r>
    </w:p>
    <w:p w14:paraId="17826540" w14:textId="78A705AF" w:rsidR="00C22600" w:rsidRPr="002F794B" w:rsidRDefault="00B3079B" w:rsidP="00C22600">
      <w:pPr>
        <w:ind w:left="567" w:right="616"/>
        <w:rPr>
          <w:i/>
          <w:iCs/>
          <w:lang w:val="en-US"/>
        </w:rPr>
      </w:pPr>
      <w:r w:rsidRPr="002F794B">
        <w:rPr>
          <w:i/>
          <w:iCs/>
          <w:lang w:val="en-US"/>
        </w:rPr>
        <w:t>DECT devices do follow the standards as listed above. Please consider if a reference to that existing standard could be used.</w:t>
      </w:r>
    </w:p>
    <w:p w14:paraId="0072F73C" w14:textId="77777777" w:rsidR="00C22600" w:rsidRPr="002F794B" w:rsidRDefault="00C22600" w:rsidP="00C22600">
      <w:pPr>
        <w:rPr>
          <w:u w:val="single"/>
        </w:rPr>
      </w:pPr>
      <w:r w:rsidRPr="002F794B">
        <w:rPr>
          <w:u w:val="single"/>
        </w:rPr>
        <w:t>Respuesta</w:t>
      </w:r>
    </w:p>
    <w:p w14:paraId="4EE93B70" w14:textId="77777777" w:rsidR="00C550B7" w:rsidRPr="002F794B" w:rsidRDefault="00C550B7" w:rsidP="00C550B7">
      <w:r w:rsidRPr="002F794B">
        <w:t>Derivado de que se ha eliminado la categoría de "Teléfonos inalámbricos" no se considera la propuesta.</w:t>
      </w:r>
    </w:p>
    <w:p w14:paraId="00A2A2FE" w14:textId="77777777" w:rsidR="00C22600" w:rsidRPr="002F794B" w:rsidRDefault="00C22600" w:rsidP="00DE0659"/>
    <w:p w14:paraId="5463278E" w14:textId="7E1EBCD6" w:rsidR="00B3079B" w:rsidRPr="002F794B" w:rsidRDefault="00B3079B" w:rsidP="00DE39DA">
      <w:pPr>
        <w:outlineLvl w:val="1"/>
        <w:rPr>
          <w:b/>
          <w:bCs/>
        </w:rPr>
      </w:pPr>
      <w:r w:rsidRPr="002F794B">
        <w:rPr>
          <w:b/>
          <w:bCs/>
        </w:rPr>
        <w:t>Numeral 7.3.3.1</w:t>
      </w:r>
    </w:p>
    <w:p w14:paraId="03BB52CB" w14:textId="77777777" w:rsidR="00C22600" w:rsidRPr="002F794B" w:rsidRDefault="00C22600" w:rsidP="00C22600">
      <w:pPr>
        <w:rPr>
          <w:u w:val="single"/>
        </w:rPr>
      </w:pPr>
      <w:r w:rsidRPr="002F794B">
        <w:rPr>
          <w:u w:val="single"/>
        </w:rPr>
        <w:t>Participante</w:t>
      </w:r>
    </w:p>
    <w:p w14:paraId="4463EB9F" w14:textId="0687B3F5" w:rsidR="00C22600" w:rsidRPr="002F794B" w:rsidRDefault="002E59C1" w:rsidP="00C22600">
      <w:r w:rsidRPr="002F794B">
        <w:t>Asociación de Normalización y Certificación, S.A. de C.V.</w:t>
      </w:r>
    </w:p>
    <w:p w14:paraId="4852FD3E" w14:textId="77777777" w:rsidR="00C22600" w:rsidRPr="002F794B" w:rsidRDefault="00C22600" w:rsidP="00C22600">
      <w:pPr>
        <w:rPr>
          <w:u w:val="single"/>
        </w:rPr>
      </w:pPr>
      <w:r w:rsidRPr="002F794B">
        <w:rPr>
          <w:u w:val="single"/>
        </w:rPr>
        <w:t>Comentario y propuesta</w:t>
      </w:r>
    </w:p>
    <w:p w14:paraId="48C4B7BA" w14:textId="77777777" w:rsidR="00F3340B" w:rsidRPr="002F794B" w:rsidRDefault="00F3340B" w:rsidP="00F3340B">
      <w:pPr>
        <w:ind w:left="567" w:right="616"/>
        <w:rPr>
          <w:i/>
          <w:iCs/>
        </w:rPr>
      </w:pPr>
      <w:r w:rsidRPr="002F794B">
        <w:rPr>
          <w:b/>
          <w:bCs/>
          <w:i/>
          <w:iCs/>
        </w:rPr>
        <w:t>Consideración:</w:t>
      </w:r>
      <w:r w:rsidRPr="002F794B">
        <w:rPr>
          <w:i/>
          <w:iCs/>
        </w:rPr>
        <w:t xml:space="preserve"> El objetivo de los numerales en comento es definir los contornos límite para las emisiones fuera de banda (“</w:t>
      </w:r>
      <w:proofErr w:type="spellStart"/>
      <w:r w:rsidRPr="002F794B">
        <w:rPr>
          <w:i/>
          <w:iCs/>
        </w:rPr>
        <w:t>out</w:t>
      </w:r>
      <w:proofErr w:type="spellEnd"/>
      <w:r w:rsidRPr="002F794B">
        <w:rPr>
          <w:i/>
          <w:iCs/>
        </w:rPr>
        <w:t>-of-band”). Sin embargo, la Tabla 2, Tabla 3, Tabla 8, Tabla 9, Tabla 10, Tabla 16 establecen valores límite para las emisiones del equipo dentro (“</w:t>
      </w:r>
      <w:proofErr w:type="spellStart"/>
      <w:r w:rsidRPr="002F794B">
        <w:rPr>
          <w:i/>
          <w:iCs/>
        </w:rPr>
        <w:t>in</w:t>
      </w:r>
      <w:r w:rsidRPr="002F794B">
        <w:rPr>
          <w:i/>
          <w:iCs/>
        </w:rPr>
        <w:noBreakHyphen/>
        <w:t>band</w:t>
      </w:r>
      <w:proofErr w:type="spellEnd"/>
      <w:r w:rsidRPr="002F794B">
        <w:rPr>
          <w:i/>
          <w:iCs/>
        </w:rPr>
        <w:t>”) y fuera de banda.</w:t>
      </w:r>
    </w:p>
    <w:p w14:paraId="3DC932D6" w14:textId="77777777" w:rsidR="00F3340B" w:rsidRPr="002F794B" w:rsidRDefault="00F3340B" w:rsidP="00F3340B">
      <w:pPr>
        <w:ind w:left="567" w:right="616"/>
        <w:rPr>
          <w:i/>
          <w:iCs/>
        </w:rPr>
      </w:pPr>
      <w:r w:rsidRPr="002F794B">
        <w:rPr>
          <w:i/>
          <w:iCs/>
        </w:rPr>
        <w:t xml:space="preserve">Adicionalmente, y de acuerdo con la primera fila de la Tabla 2 y de la Tabla 3, el límite de las emisiones </w:t>
      </w:r>
      <w:proofErr w:type="spellStart"/>
      <w:r w:rsidRPr="002F794B">
        <w:rPr>
          <w:i/>
          <w:iCs/>
        </w:rPr>
        <w:t>in-band</w:t>
      </w:r>
      <w:proofErr w:type="spellEnd"/>
      <w:r w:rsidRPr="002F794B">
        <w:rPr>
          <w:i/>
          <w:iCs/>
        </w:rPr>
        <w:t xml:space="preserve"> es de 0 dBm (equivalente a </w:t>
      </w:r>
      <w:r w:rsidRPr="002F794B">
        <w:rPr>
          <w:i/>
          <w:iCs/>
        </w:rPr>
        <w:lastRenderedPageBreak/>
        <w:t>1 </w:t>
      </w:r>
      <w:proofErr w:type="spellStart"/>
      <w:r w:rsidRPr="002F794B">
        <w:rPr>
          <w:i/>
          <w:iCs/>
        </w:rPr>
        <w:t>mW</w:t>
      </w:r>
      <w:proofErr w:type="spellEnd"/>
      <w:r w:rsidRPr="002F794B">
        <w:rPr>
          <w:i/>
          <w:iCs/>
        </w:rPr>
        <w:t>), lo cual no ocurre con el resto de las tablas de contorno de emisión, que lo definen en función de otro valor.</w:t>
      </w:r>
    </w:p>
    <w:p w14:paraId="6AB01488" w14:textId="77777777" w:rsidR="00F3340B" w:rsidRPr="002F794B" w:rsidRDefault="00F3340B" w:rsidP="00F3340B">
      <w:pPr>
        <w:ind w:left="567" w:right="616"/>
        <w:rPr>
          <w:i/>
          <w:iCs/>
        </w:rPr>
      </w:pPr>
      <w:r w:rsidRPr="002F794B">
        <w:rPr>
          <w:b/>
          <w:bCs/>
          <w:i/>
          <w:iCs/>
        </w:rPr>
        <w:t>Problema:</w:t>
      </w:r>
      <w:r w:rsidRPr="002F794B">
        <w:rPr>
          <w:i/>
          <w:iCs/>
        </w:rPr>
        <w:t xml:space="preserve"> Esta Asociación considera que existe un potencial error editorial incluir las emisiones </w:t>
      </w:r>
      <w:proofErr w:type="spellStart"/>
      <w:r w:rsidRPr="002F794B">
        <w:rPr>
          <w:i/>
          <w:iCs/>
        </w:rPr>
        <w:t>in-band</w:t>
      </w:r>
      <w:proofErr w:type="spellEnd"/>
      <w:r w:rsidRPr="002F794B">
        <w:rPr>
          <w:i/>
          <w:iCs/>
        </w:rPr>
        <w:t xml:space="preserve"> dentro de las tablas de Emisiones fuera de banda y que, en caso de desear limitar la potencia de las emisiones esenciales, esto se incluya como una especificación separada, tal como se hace en el numeral 7.2.4 POTENCIA MÁXIMA para los micrófonos inalámbricos, en 7.3.4 POTENCIA MÁXIMA para los teléfonos inalámbricos o en 7.5.4 POTENCIA MÁXIMA para las alarmas inalámbricas.</w:t>
      </w:r>
    </w:p>
    <w:p w14:paraId="0010889E" w14:textId="77777777" w:rsidR="00F3340B" w:rsidRPr="002F794B" w:rsidRDefault="00F3340B" w:rsidP="00F3340B">
      <w:pPr>
        <w:ind w:left="567" w:right="616"/>
        <w:rPr>
          <w:i/>
          <w:iCs/>
        </w:rPr>
      </w:pPr>
      <w:r w:rsidRPr="002F794B">
        <w:rPr>
          <w:i/>
          <w:iCs/>
        </w:rPr>
        <w:t>(</w:t>
      </w:r>
      <w:r w:rsidRPr="002F794B">
        <w:rPr>
          <w:b/>
          <w:bCs/>
          <w:i/>
          <w:iCs/>
        </w:rPr>
        <w:t>…</w:t>
      </w:r>
      <w:r w:rsidRPr="002F794B">
        <w:rPr>
          <w:i/>
          <w:iCs/>
        </w:rPr>
        <w:t>)</w:t>
      </w:r>
    </w:p>
    <w:p w14:paraId="1555B565" w14:textId="77777777" w:rsidR="00F3340B" w:rsidRPr="002F794B" w:rsidRDefault="00F3340B" w:rsidP="00F3340B">
      <w:pPr>
        <w:ind w:left="567" w:right="616"/>
        <w:rPr>
          <w:i/>
          <w:iCs/>
        </w:rPr>
      </w:pPr>
      <w:r w:rsidRPr="002F794B">
        <w:rPr>
          <w:i/>
          <w:iCs/>
        </w:rPr>
        <w:t xml:space="preserve">De forma análoga, la Tabla 8, Tabla 9 y Tabla 10 indican que Valor relativo del límite de emisión está dado en decibeles, pero no indica el valor de referencia. Esta Asociación propone que el límite debe quedar referido como un valor en decibeles referidos a la potencia de la componente a la frecuencia central (dBc). De esta manera, y eliminando la primera fila que limita a las emisiones </w:t>
      </w:r>
      <w:proofErr w:type="spellStart"/>
      <w:r w:rsidRPr="002F794B">
        <w:rPr>
          <w:i/>
          <w:iCs/>
        </w:rPr>
        <w:t>in-band</w:t>
      </w:r>
      <w:proofErr w:type="spellEnd"/>
      <w:r w:rsidRPr="002F794B">
        <w:rPr>
          <w:i/>
          <w:iCs/>
        </w:rPr>
        <w:t>, la Tabla 8, Tabla 9 y Tabla 10 quedan de la siguiente forma:</w:t>
      </w:r>
    </w:p>
    <w:p w14:paraId="32C9FC21" w14:textId="4270409A" w:rsidR="00C22600" w:rsidRPr="002F794B" w:rsidRDefault="00CD359F" w:rsidP="00CD359F">
      <w:pPr>
        <w:ind w:left="567" w:right="616"/>
        <w:jc w:val="center"/>
        <w:rPr>
          <w:i/>
          <w:iCs/>
        </w:rPr>
      </w:pPr>
      <w:r w:rsidRPr="002F794B">
        <w:rPr>
          <w:i/>
          <w:iCs/>
        </w:rPr>
        <w:t>Tabla 16. Contorno de las emisiones fuera de banda para teléfonos inalámbricos.</w:t>
      </w:r>
    </w:p>
    <w:tbl>
      <w:tblPr>
        <w:tblStyle w:val="Tablaconcuadrcula"/>
        <w:tblW w:w="0" w:type="auto"/>
        <w:tblInd w:w="562" w:type="dxa"/>
        <w:tblLook w:val="04A0" w:firstRow="1" w:lastRow="0" w:firstColumn="1" w:lastColumn="0" w:noHBand="0" w:noVBand="1"/>
      </w:tblPr>
      <w:tblGrid>
        <w:gridCol w:w="3261"/>
        <w:gridCol w:w="3402"/>
        <w:gridCol w:w="992"/>
      </w:tblGrid>
      <w:tr w:rsidR="002F794B" w:rsidRPr="002F794B" w14:paraId="3EDCE649" w14:textId="77777777" w:rsidTr="00981864">
        <w:tc>
          <w:tcPr>
            <w:tcW w:w="3261" w:type="dxa"/>
            <w:vAlign w:val="center"/>
          </w:tcPr>
          <w:p w14:paraId="516E5A9D" w14:textId="77777777" w:rsidR="00981864" w:rsidRPr="002F794B" w:rsidRDefault="00981864" w:rsidP="00981864">
            <w:pPr>
              <w:jc w:val="center"/>
              <w:rPr>
                <w:rFonts w:ascii="Arial" w:hAnsi="Arial" w:cs="Arial"/>
                <w:b/>
                <w:bCs/>
              </w:rPr>
            </w:pPr>
            <w:r w:rsidRPr="002F794B">
              <w:rPr>
                <w:rFonts w:ascii="Arial" w:hAnsi="Arial" w:cs="Arial"/>
                <w:b/>
                <w:bCs/>
              </w:rPr>
              <w:t>Valor relativo del límite de emisión [dBc]</w:t>
            </w:r>
          </w:p>
        </w:tc>
        <w:tc>
          <w:tcPr>
            <w:tcW w:w="3402" w:type="dxa"/>
            <w:vAlign w:val="center"/>
          </w:tcPr>
          <w:p w14:paraId="11971B6B" w14:textId="77777777" w:rsidR="00981864" w:rsidRPr="002F794B" w:rsidRDefault="00981864" w:rsidP="00981864">
            <w:pPr>
              <w:jc w:val="center"/>
              <w:rPr>
                <w:rFonts w:ascii="Arial" w:hAnsi="Arial" w:cs="Arial"/>
                <w:b/>
                <w:bCs/>
              </w:rPr>
            </w:pPr>
            <w:r w:rsidRPr="002F794B">
              <w:rPr>
                <w:rFonts w:ascii="Arial" w:hAnsi="Arial" w:cs="Arial"/>
                <w:b/>
                <w:bCs/>
              </w:rPr>
              <w:t>Δƒ</w:t>
            </w:r>
            <w:r w:rsidRPr="002F794B">
              <w:rPr>
                <w:rFonts w:ascii="Arial" w:hAnsi="Arial" w:cs="Arial"/>
                <w:b/>
                <w:bCs/>
                <w:vertAlign w:val="subscript"/>
              </w:rPr>
              <w:t>OOB</w:t>
            </w:r>
            <w:r w:rsidRPr="002F794B">
              <w:rPr>
                <w:rFonts w:ascii="Arial" w:hAnsi="Arial" w:cs="Arial"/>
                <w:b/>
                <w:bCs/>
              </w:rPr>
              <w:t xml:space="preserve"> [MHz]</w:t>
            </w:r>
          </w:p>
        </w:tc>
        <w:tc>
          <w:tcPr>
            <w:tcW w:w="992" w:type="dxa"/>
            <w:vAlign w:val="center"/>
          </w:tcPr>
          <w:p w14:paraId="6D039E4D" w14:textId="77777777" w:rsidR="00981864" w:rsidRPr="002F794B" w:rsidRDefault="00981864" w:rsidP="00981864">
            <w:pPr>
              <w:jc w:val="center"/>
              <w:rPr>
                <w:rFonts w:ascii="Arial" w:hAnsi="Arial" w:cs="Arial"/>
                <w:b/>
                <w:bCs/>
              </w:rPr>
            </w:pPr>
            <w:r w:rsidRPr="002F794B">
              <w:rPr>
                <w:rFonts w:ascii="Arial" w:hAnsi="Arial" w:cs="Arial"/>
                <w:b/>
                <w:bCs/>
              </w:rPr>
              <w:t>RBW</w:t>
            </w:r>
          </w:p>
        </w:tc>
      </w:tr>
      <w:tr w:rsidR="002F794B" w:rsidRPr="002F794B" w14:paraId="43D3C1EE" w14:textId="77777777" w:rsidTr="00981864">
        <w:tc>
          <w:tcPr>
            <w:tcW w:w="3261" w:type="dxa"/>
            <w:vAlign w:val="center"/>
          </w:tcPr>
          <w:p w14:paraId="3B7B512B" w14:textId="77777777" w:rsidR="00981864" w:rsidRPr="002F794B" w:rsidRDefault="00981864" w:rsidP="00981864">
            <w:pPr>
              <w:jc w:val="center"/>
              <w:rPr>
                <w:rFonts w:ascii="Arial" w:hAnsi="Arial" w:cs="Arial"/>
              </w:rPr>
            </w:pPr>
            <w:r w:rsidRPr="002F794B">
              <w:rPr>
                <w:rFonts w:ascii="Arial" w:hAnsi="Arial" w:cs="Arial"/>
              </w:rPr>
              <w:t>Decrece inmediatamente de 0 a -30</w:t>
            </w:r>
          </w:p>
        </w:tc>
        <w:tc>
          <w:tcPr>
            <w:tcW w:w="3402" w:type="dxa"/>
            <w:vAlign w:val="center"/>
          </w:tcPr>
          <w:p w14:paraId="04E59F83" w14:textId="77777777" w:rsidR="00981864" w:rsidRPr="002F794B" w:rsidRDefault="00981864" w:rsidP="00981864">
            <w:pPr>
              <w:pStyle w:val="Default"/>
              <w:jc w:val="center"/>
              <w:rPr>
                <w:color w:val="auto"/>
                <w:sz w:val="20"/>
                <w:szCs w:val="20"/>
              </w:rPr>
            </w:pPr>
            <w:r w:rsidRPr="002F794B">
              <w:rPr>
                <w:color w:val="auto"/>
                <w:sz w:val="20"/>
                <w:szCs w:val="20"/>
              </w:rPr>
              <w:t>ƒ</w:t>
            </w:r>
            <w:r w:rsidRPr="002F794B">
              <w:rPr>
                <w:color w:val="auto"/>
                <w:sz w:val="20"/>
                <w:szCs w:val="20"/>
                <w:vertAlign w:val="subscript"/>
              </w:rPr>
              <w:t>c</w:t>
            </w:r>
            <w:r w:rsidRPr="002F794B">
              <w:rPr>
                <w:color w:val="auto"/>
                <w:sz w:val="20"/>
                <w:szCs w:val="20"/>
              </w:rPr>
              <w:t xml:space="preserve"> ± BW</w:t>
            </w:r>
            <w:r w:rsidRPr="002F794B">
              <w:rPr>
                <w:color w:val="auto"/>
                <w:sz w:val="20"/>
                <w:szCs w:val="20"/>
                <w:vertAlign w:val="subscript"/>
              </w:rPr>
              <w:t>ch</w:t>
            </w:r>
          </w:p>
        </w:tc>
        <w:tc>
          <w:tcPr>
            <w:tcW w:w="992" w:type="dxa"/>
            <w:vMerge w:val="restart"/>
            <w:vAlign w:val="center"/>
          </w:tcPr>
          <w:p w14:paraId="7825239A" w14:textId="77777777" w:rsidR="00981864" w:rsidRPr="002F794B" w:rsidRDefault="00981864" w:rsidP="00981864">
            <w:pPr>
              <w:pStyle w:val="Default"/>
              <w:jc w:val="center"/>
              <w:rPr>
                <w:color w:val="auto"/>
                <w:sz w:val="20"/>
                <w:szCs w:val="20"/>
              </w:rPr>
            </w:pPr>
            <w:r w:rsidRPr="002F794B">
              <w:rPr>
                <w:color w:val="auto"/>
                <w:sz w:val="20"/>
                <w:szCs w:val="20"/>
              </w:rPr>
              <w:t>1% de BW</w:t>
            </w:r>
            <w:r w:rsidRPr="002F794B">
              <w:rPr>
                <w:color w:val="auto"/>
                <w:sz w:val="20"/>
                <w:szCs w:val="20"/>
                <w:vertAlign w:val="subscript"/>
              </w:rPr>
              <w:t>ch</w:t>
            </w:r>
          </w:p>
        </w:tc>
      </w:tr>
      <w:tr w:rsidR="002F794B" w:rsidRPr="002F794B" w14:paraId="0F71F857" w14:textId="77777777" w:rsidTr="00981864">
        <w:tc>
          <w:tcPr>
            <w:tcW w:w="3261" w:type="dxa"/>
            <w:vAlign w:val="center"/>
          </w:tcPr>
          <w:p w14:paraId="2DC3B263" w14:textId="77777777" w:rsidR="00981864" w:rsidRPr="002F794B" w:rsidRDefault="00981864" w:rsidP="00981864">
            <w:pPr>
              <w:jc w:val="center"/>
              <w:rPr>
                <w:rFonts w:ascii="Arial" w:hAnsi="Arial" w:cs="Arial"/>
              </w:rPr>
            </w:pPr>
            <w:r w:rsidRPr="002F794B">
              <w:rPr>
                <w:rFonts w:ascii="Arial" w:hAnsi="Arial" w:cs="Arial"/>
              </w:rPr>
              <w:t>-30</w:t>
            </w:r>
          </w:p>
        </w:tc>
        <w:tc>
          <w:tcPr>
            <w:tcW w:w="3402" w:type="dxa"/>
            <w:vAlign w:val="center"/>
          </w:tcPr>
          <w:p w14:paraId="479F3B28" w14:textId="77777777" w:rsidR="00981864" w:rsidRPr="002F794B" w:rsidRDefault="00981864" w:rsidP="00981864">
            <w:pPr>
              <w:pStyle w:val="Default"/>
              <w:jc w:val="center"/>
              <w:rPr>
                <w:color w:val="auto"/>
                <w:sz w:val="13"/>
                <w:szCs w:val="13"/>
              </w:rPr>
            </w:pPr>
            <w:r w:rsidRPr="002F794B">
              <w:rPr>
                <w:color w:val="auto"/>
                <w:sz w:val="20"/>
                <w:szCs w:val="20"/>
              </w:rPr>
              <w:t>De ƒ</w:t>
            </w:r>
            <w:r w:rsidRPr="002F794B">
              <w:rPr>
                <w:color w:val="auto"/>
                <w:sz w:val="13"/>
                <w:szCs w:val="13"/>
              </w:rPr>
              <w:t>c</w:t>
            </w:r>
            <w:r w:rsidRPr="002F794B">
              <w:rPr>
                <w:color w:val="auto"/>
                <w:sz w:val="20"/>
                <w:szCs w:val="20"/>
              </w:rPr>
              <w:t>± BW</w:t>
            </w:r>
            <w:r w:rsidRPr="002F794B">
              <w:rPr>
                <w:color w:val="auto"/>
                <w:sz w:val="13"/>
                <w:szCs w:val="13"/>
              </w:rPr>
              <w:t xml:space="preserve">ch </w:t>
            </w:r>
            <w:r w:rsidRPr="002F794B">
              <w:rPr>
                <w:color w:val="auto"/>
                <w:sz w:val="20"/>
                <w:szCs w:val="20"/>
              </w:rPr>
              <w:t>a ƒ</w:t>
            </w:r>
            <w:r w:rsidRPr="002F794B">
              <w:rPr>
                <w:color w:val="auto"/>
                <w:sz w:val="13"/>
                <w:szCs w:val="13"/>
              </w:rPr>
              <w:t>c</w:t>
            </w:r>
            <w:r w:rsidRPr="002F794B">
              <w:rPr>
                <w:color w:val="auto"/>
                <w:sz w:val="20"/>
                <w:szCs w:val="20"/>
              </w:rPr>
              <w:t>±2×BW</w:t>
            </w:r>
            <w:r w:rsidRPr="002F794B">
              <w:rPr>
                <w:color w:val="auto"/>
                <w:sz w:val="13"/>
                <w:szCs w:val="13"/>
              </w:rPr>
              <w:t xml:space="preserve">ch </w:t>
            </w:r>
          </w:p>
        </w:tc>
        <w:tc>
          <w:tcPr>
            <w:tcW w:w="992" w:type="dxa"/>
            <w:vMerge/>
            <w:vAlign w:val="center"/>
          </w:tcPr>
          <w:p w14:paraId="42AD5A67" w14:textId="77777777" w:rsidR="00981864" w:rsidRPr="002F794B" w:rsidRDefault="00981864" w:rsidP="00981864">
            <w:pPr>
              <w:jc w:val="center"/>
              <w:rPr>
                <w:rFonts w:ascii="Arial" w:hAnsi="Arial" w:cs="Arial"/>
              </w:rPr>
            </w:pPr>
          </w:p>
        </w:tc>
      </w:tr>
      <w:tr w:rsidR="002F794B" w:rsidRPr="002F794B" w14:paraId="4F392E30" w14:textId="77777777" w:rsidTr="00981864">
        <w:tc>
          <w:tcPr>
            <w:tcW w:w="3261" w:type="dxa"/>
            <w:vAlign w:val="center"/>
          </w:tcPr>
          <w:p w14:paraId="2250C9B2" w14:textId="77777777" w:rsidR="00981864" w:rsidRPr="002F794B" w:rsidRDefault="00981864" w:rsidP="00981864">
            <w:pPr>
              <w:jc w:val="center"/>
              <w:rPr>
                <w:rFonts w:ascii="Arial" w:hAnsi="Arial" w:cs="Arial"/>
              </w:rPr>
            </w:pPr>
            <w:r w:rsidRPr="002F794B">
              <w:rPr>
                <w:rFonts w:ascii="Arial" w:hAnsi="Arial" w:cs="Arial"/>
              </w:rPr>
              <w:t>Decrece inmediatamente de -30 a -50</w:t>
            </w:r>
          </w:p>
        </w:tc>
        <w:tc>
          <w:tcPr>
            <w:tcW w:w="3402" w:type="dxa"/>
            <w:vAlign w:val="center"/>
          </w:tcPr>
          <w:p w14:paraId="10566BF6" w14:textId="77777777" w:rsidR="00981864" w:rsidRPr="002F794B" w:rsidRDefault="00981864" w:rsidP="00981864">
            <w:pPr>
              <w:pStyle w:val="Default"/>
              <w:jc w:val="center"/>
              <w:rPr>
                <w:color w:val="auto"/>
                <w:sz w:val="20"/>
                <w:szCs w:val="20"/>
              </w:rPr>
            </w:pPr>
            <w:r w:rsidRPr="002F794B">
              <w:rPr>
                <w:color w:val="auto"/>
                <w:sz w:val="20"/>
                <w:szCs w:val="20"/>
              </w:rPr>
              <w:t>ƒ</w:t>
            </w:r>
            <w:r w:rsidRPr="002F794B">
              <w:rPr>
                <w:color w:val="auto"/>
                <w:sz w:val="20"/>
                <w:szCs w:val="20"/>
                <w:vertAlign w:val="subscript"/>
              </w:rPr>
              <w:t>c</w:t>
            </w:r>
            <w:r w:rsidRPr="002F794B">
              <w:rPr>
                <w:color w:val="auto"/>
                <w:sz w:val="20"/>
                <w:szCs w:val="20"/>
              </w:rPr>
              <w:t>±2BW</w:t>
            </w:r>
            <w:r w:rsidRPr="002F794B">
              <w:rPr>
                <w:color w:val="auto"/>
                <w:sz w:val="20"/>
                <w:szCs w:val="20"/>
                <w:vertAlign w:val="subscript"/>
              </w:rPr>
              <w:t>ch</w:t>
            </w:r>
          </w:p>
        </w:tc>
        <w:tc>
          <w:tcPr>
            <w:tcW w:w="992" w:type="dxa"/>
            <w:vMerge/>
            <w:vAlign w:val="center"/>
          </w:tcPr>
          <w:p w14:paraId="5E787BFB" w14:textId="77777777" w:rsidR="00981864" w:rsidRPr="002F794B" w:rsidRDefault="00981864" w:rsidP="00981864">
            <w:pPr>
              <w:jc w:val="center"/>
              <w:rPr>
                <w:rFonts w:ascii="Arial" w:hAnsi="Arial" w:cs="Arial"/>
              </w:rPr>
            </w:pPr>
          </w:p>
        </w:tc>
      </w:tr>
      <w:tr w:rsidR="002F794B" w:rsidRPr="002F794B" w14:paraId="728476D0" w14:textId="77777777" w:rsidTr="00981864">
        <w:tc>
          <w:tcPr>
            <w:tcW w:w="3261" w:type="dxa"/>
            <w:vAlign w:val="center"/>
          </w:tcPr>
          <w:p w14:paraId="5FADD7C1" w14:textId="77777777" w:rsidR="00981864" w:rsidRPr="002F794B" w:rsidRDefault="00981864" w:rsidP="00981864">
            <w:pPr>
              <w:jc w:val="center"/>
              <w:rPr>
                <w:rFonts w:ascii="Arial" w:hAnsi="Arial" w:cs="Arial"/>
              </w:rPr>
            </w:pPr>
            <w:r w:rsidRPr="002F794B">
              <w:rPr>
                <w:rFonts w:ascii="Arial" w:hAnsi="Arial" w:cs="Arial"/>
              </w:rPr>
              <w:t>-50</w:t>
            </w:r>
          </w:p>
        </w:tc>
        <w:tc>
          <w:tcPr>
            <w:tcW w:w="3402" w:type="dxa"/>
            <w:vAlign w:val="center"/>
          </w:tcPr>
          <w:p w14:paraId="2B3AEBAB" w14:textId="77777777" w:rsidR="00981864" w:rsidRPr="002F794B" w:rsidRDefault="00981864" w:rsidP="00981864">
            <w:pPr>
              <w:pStyle w:val="Default"/>
              <w:jc w:val="center"/>
              <w:rPr>
                <w:color w:val="auto"/>
                <w:sz w:val="13"/>
                <w:szCs w:val="13"/>
              </w:rPr>
            </w:pPr>
            <w:r w:rsidRPr="002F794B">
              <w:rPr>
                <w:color w:val="auto"/>
                <w:sz w:val="20"/>
                <w:szCs w:val="20"/>
              </w:rPr>
              <w:t>De ƒ</w:t>
            </w:r>
            <w:r w:rsidRPr="002F794B">
              <w:rPr>
                <w:color w:val="auto"/>
                <w:sz w:val="13"/>
                <w:szCs w:val="13"/>
              </w:rPr>
              <w:t>c</w:t>
            </w:r>
            <w:r w:rsidRPr="002F794B">
              <w:rPr>
                <w:color w:val="auto"/>
                <w:sz w:val="20"/>
                <w:szCs w:val="20"/>
              </w:rPr>
              <w:t>±2BW</w:t>
            </w:r>
            <w:r w:rsidRPr="002F794B">
              <w:rPr>
                <w:color w:val="auto"/>
                <w:sz w:val="13"/>
                <w:szCs w:val="13"/>
              </w:rPr>
              <w:t xml:space="preserve">ch </w:t>
            </w:r>
            <w:r w:rsidRPr="002F794B">
              <w:rPr>
                <w:color w:val="auto"/>
                <w:sz w:val="20"/>
                <w:szCs w:val="20"/>
              </w:rPr>
              <w:t>a ƒ</w:t>
            </w:r>
            <w:r w:rsidRPr="002F794B">
              <w:rPr>
                <w:color w:val="auto"/>
                <w:sz w:val="13"/>
                <w:szCs w:val="13"/>
              </w:rPr>
              <w:t>c</w:t>
            </w:r>
            <w:r w:rsidRPr="002F794B">
              <w:rPr>
                <w:color w:val="auto"/>
                <w:sz w:val="20"/>
                <w:szCs w:val="20"/>
              </w:rPr>
              <w:t>±3BW</w:t>
            </w:r>
            <w:r w:rsidRPr="002F794B">
              <w:rPr>
                <w:color w:val="auto"/>
                <w:sz w:val="13"/>
                <w:szCs w:val="13"/>
              </w:rPr>
              <w:t xml:space="preserve">ch </w:t>
            </w:r>
          </w:p>
        </w:tc>
        <w:tc>
          <w:tcPr>
            <w:tcW w:w="992" w:type="dxa"/>
            <w:vMerge/>
            <w:vAlign w:val="center"/>
          </w:tcPr>
          <w:p w14:paraId="0E6FCFD2" w14:textId="77777777" w:rsidR="00981864" w:rsidRPr="002F794B" w:rsidRDefault="00981864" w:rsidP="00981864">
            <w:pPr>
              <w:jc w:val="center"/>
              <w:rPr>
                <w:rFonts w:ascii="Arial" w:hAnsi="Arial" w:cs="Arial"/>
              </w:rPr>
            </w:pPr>
          </w:p>
        </w:tc>
      </w:tr>
      <w:tr w:rsidR="002F794B" w:rsidRPr="002F794B" w14:paraId="38FB000D" w14:textId="77777777" w:rsidTr="00981864">
        <w:tc>
          <w:tcPr>
            <w:tcW w:w="3261" w:type="dxa"/>
            <w:vAlign w:val="center"/>
          </w:tcPr>
          <w:p w14:paraId="5ECF0D5C" w14:textId="77777777" w:rsidR="00981864" w:rsidRPr="002F794B" w:rsidRDefault="00981864" w:rsidP="00981864">
            <w:pPr>
              <w:pStyle w:val="Default"/>
              <w:jc w:val="center"/>
              <w:rPr>
                <w:color w:val="auto"/>
                <w:sz w:val="20"/>
                <w:szCs w:val="20"/>
              </w:rPr>
            </w:pPr>
            <w:r w:rsidRPr="002F794B">
              <w:rPr>
                <w:color w:val="auto"/>
                <w:sz w:val="20"/>
                <w:szCs w:val="20"/>
              </w:rPr>
              <w:t xml:space="preserve">Decrece inmediatamente de -50 a -60 </w:t>
            </w:r>
          </w:p>
        </w:tc>
        <w:tc>
          <w:tcPr>
            <w:tcW w:w="3402" w:type="dxa"/>
            <w:vAlign w:val="center"/>
          </w:tcPr>
          <w:p w14:paraId="48406FBE" w14:textId="77777777" w:rsidR="00981864" w:rsidRPr="002F794B" w:rsidRDefault="00981864" w:rsidP="00981864">
            <w:pPr>
              <w:pStyle w:val="Default"/>
              <w:jc w:val="center"/>
              <w:rPr>
                <w:color w:val="auto"/>
                <w:sz w:val="20"/>
                <w:szCs w:val="20"/>
              </w:rPr>
            </w:pPr>
            <w:r w:rsidRPr="002F794B">
              <w:rPr>
                <w:color w:val="auto"/>
                <w:sz w:val="20"/>
                <w:szCs w:val="20"/>
              </w:rPr>
              <w:t>ƒ</w:t>
            </w:r>
            <w:r w:rsidRPr="002F794B">
              <w:rPr>
                <w:color w:val="auto"/>
                <w:sz w:val="20"/>
                <w:szCs w:val="20"/>
                <w:vertAlign w:val="subscript"/>
              </w:rPr>
              <w:t>c</w:t>
            </w:r>
            <w:r w:rsidRPr="002F794B">
              <w:rPr>
                <w:color w:val="auto"/>
                <w:sz w:val="20"/>
                <w:szCs w:val="20"/>
              </w:rPr>
              <w:t xml:space="preserve"> ± 3BW</w:t>
            </w:r>
            <w:r w:rsidRPr="002F794B">
              <w:rPr>
                <w:color w:val="auto"/>
                <w:sz w:val="20"/>
                <w:szCs w:val="20"/>
                <w:vertAlign w:val="subscript"/>
              </w:rPr>
              <w:t>ch</w:t>
            </w:r>
          </w:p>
        </w:tc>
        <w:tc>
          <w:tcPr>
            <w:tcW w:w="992" w:type="dxa"/>
            <w:vMerge/>
            <w:vAlign w:val="center"/>
          </w:tcPr>
          <w:p w14:paraId="6B0BA662" w14:textId="77777777" w:rsidR="00981864" w:rsidRPr="002F794B" w:rsidRDefault="00981864" w:rsidP="00981864">
            <w:pPr>
              <w:jc w:val="center"/>
              <w:rPr>
                <w:rFonts w:ascii="Arial" w:hAnsi="Arial" w:cs="Arial"/>
              </w:rPr>
            </w:pPr>
          </w:p>
        </w:tc>
      </w:tr>
      <w:tr w:rsidR="002F794B" w:rsidRPr="002F794B" w14:paraId="5C40F326" w14:textId="77777777" w:rsidTr="00981864">
        <w:tc>
          <w:tcPr>
            <w:tcW w:w="3261" w:type="dxa"/>
            <w:vAlign w:val="center"/>
          </w:tcPr>
          <w:p w14:paraId="103DD5B5" w14:textId="77777777" w:rsidR="00981864" w:rsidRPr="002F794B" w:rsidRDefault="00981864" w:rsidP="00981864">
            <w:pPr>
              <w:jc w:val="center"/>
              <w:rPr>
                <w:rFonts w:ascii="Arial" w:hAnsi="Arial" w:cs="Arial"/>
              </w:rPr>
            </w:pPr>
            <w:r w:rsidRPr="002F794B">
              <w:rPr>
                <w:rFonts w:ascii="Arial" w:hAnsi="Arial" w:cs="Arial"/>
              </w:rPr>
              <w:t>-60</w:t>
            </w:r>
          </w:p>
        </w:tc>
        <w:tc>
          <w:tcPr>
            <w:tcW w:w="3402" w:type="dxa"/>
            <w:vAlign w:val="center"/>
          </w:tcPr>
          <w:p w14:paraId="2F3C3235" w14:textId="77777777" w:rsidR="00981864" w:rsidRPr="002F794B" w:rsidRDefault="00981864" w:rsidP="00981864">
            <w:pPr>
              <w:pStyle w:val="Default"/>
              <w:jc w:val="center"/>
              <w:rPr>
                <w:color w:val="auto"/>
                <w:sz w:val="20"/>
                <w:szCs w:val="20"/>
              </w:rPr>
            </w:pPr>
            <w:r w:rsidRPr="002F794B">
              <w:rPr>
                <w:color w:val="auto"/>
                <w:sz w:val="20"/>
                <w:szCs w:val="20"/>
              </w:rPr>
              <w:t>De ƒ</w:t>
            </w:r>
            <w:r w:rsidRPr="002F794B">
              <w:rPr>
                <w:color w:val="auto"/>
                <w:sz w:val="13"/>
                <w:szCs w:val="13"/>
              </w:rPr>
              <w:t xml:space="preserve">c </w:t>
            </w:r>
            <w:r w:rsidRPr="002F794B">
              <w:rPr>
                <w:color w:val="auto"/>
                <w:sz w:val="20"/>
                <w:szCs w:val="20"/>
              </w:rPr>
              <w:t>± 3·BW</w:t>
            </w:r>
            <w:r w:rsidRPr="002F794B">
              <w:rPr>
                <w:color w:val="auto"/>
                <w:sz w:val="13"/>
                <w:szCs w:val="13"/>
              </w:rPr>
              <w:t xml:space="preserve">ch </w:t>
            </w:r>
            <w:r w:rsidRPr="002F794B">
              <w:rPr>
                <w:color w:val="auto"/>
                <w:sz w:val="20"/>
                <w:szCs w:val="20"/>
              </w:rPr>
              <w:t>a ƒ</w:t>
            </w:r>
            <w:r w:rsidRPr="002F794B">
              <w:rPr>
                <w:color w:val="auto"/>
                <w:sz w:val="13"/>
                <w:szCs w:val="13"/>
              </w:rPr>
              <w:t xml:space="preserve">c </w:t>
            </w:r>
            <w:r w:rsidRPr="002F794B">
              <w:rPr>
                <w:color w:val="auto"/>
                <w:sz w:val="20"/>
                <w:szCs w:val="20"/>
              </w:rPr>
              <w:t>± ƒ</w:t>
            </w:r>
            <w:r w:rsidRPr="002F794B">
              <w:rPr>
                <w:color w:val="auto"/>
                <w:sz w:val="13"/>
                <w:szCs w:val="13"/>
              </w:rPr>
              <w:t>sup/</w:t>
            </w:r>
            <w:proofErr w:type="spellStart"/>
            <w:r w:rsidRPr="002F794B">
              <w:rPr>
                <w:color w:val="auto"/>
                <w:sz w:val="13"/>
                <w:szCs w:val="13"/>
              </w:rPr>
              <w:t>inf</w:t>
            </w:r>
            <w:proofErr w:type="spellEnd"/>
            <w:r w:rsidRPr="002F794B">
              <w:rPr>
                <w:color w:val="auto"/>
                <w:sz w:val="13"/>
                <w:szCs w:val="13"/>
              </w:rPr>
              <w:t xml:space="preserve"> </w:t>
            </w:r>
            <w:r w:rsidRPr="002F794B">
              <w:rPr>
                <w:color w:val="auto"/>
                <w:sz w:val="20"/>
                <w:szCs w:val="20"/>
              </w:rPr>
              <w:t>*</w:t>
            </w:r>
          </w:p>
        </w:tc>
        <w:tc>
          <w:tcPr>
            <w:tcW w:w="992" w:type="dxa"/>
            <w:vMerge/>
            <w:vAlign w:val="center"/>
          </w:tcPr>
          <w:p w14:paraId="335EF099" w14:textId="77777777" w:rsidR="00981864" w:rsidRPr="002F794B" w:rsidRDefault="00981864" w:rsidP="00981864">
            <w:pPr>
              <w:jc w:val="center"/>
              <w:rPr>
                <w:rFonts w:ascii="Arial" w:hAnsi="Arial" w:cs="Arial"/>
              </w:rPr>
            </w:pPr>
          </w:p>
        </w:tc>
      </w:tr>
      <w:tr w:rsidR="002F794B" w:rsidRPr="002F794B" w14:paraId="6367F8E7" w14:textId="77777777" w:rsidTr="00981864">
        <w:tc>
          <w:tcPr>
            <w:tcW w:w="7655" w:type="dxa"/>
            <w:gridSpan w:val="3"/>
            <w:vAlign w:val="center"/>
          </w:tcPr>
          <w:p w14:paraId="42BCE347" w14:textId="77777777" w:rsidR="00981864" w:rsidRPr="002F794B" w:rsidRDefault="00981864" w:rsidP="00981864">
            <w:pPr>
              <w:jc w:val="center"/>
              <w:rPr>
                <w:rFonts w:ascii="Arial" w:hAnsi="Arial" w:cs="Arial"/>
              </w:rPr>
            </w:pPr>
            <w:r w:rsidRPr="002F794B">
              <w:rPr>
                <w:rFonts w:ascii="Arial" w:hAnsi="Arial" w:cs="Arial"/>
              </w:rPr>
              <w:t>* Hasta el límite superior o inferior de la banda de frecuencia ocupada.</w:t>
            </w:r>
          </w:p>
        </w:tc>
      </w:tr>
    </w:tbl>
    <w:p w14:paraId="09DA5835" w14:textId="77777777" w:rsidR="00C22600" w:rsidRPr="002F794B" w:rsidRDefault="00C22600" w:rsidP="00C22600">
      <w:pPr>
        <w:rPr>
          <w:u w:val="single"/>
        </w:rPr>
      </w:pPr>
      <w:r w:rsidRPr="002F794B">
        <w:rPr>
          <w:u w:val="single"/>
        </w:rPr>
        <w:t>Respuesta</w:t>
      </w:r>
    </w:p>
    <w:p w14:paraId="1F261B1D" w14:textId="77777777" w:rsidR="00C550B7" w:rsidRPr="002F794B" w:rsidRDefault="00C550B7" w:rsidP="00C550B7">
      <w:r w:rsidRPr="002F794B">
        <w:t>Derivado de que se ha eliminado la categoría de "Teléfonos inalámbricos" no se considera la propuesta.</w:t>
      </w:r>
    </w:p>
    <w:p w14:paraId="42103B2F" w14:textId="77777777" w:rsidR="00C22600" w:rsidRPr="002F794B" w:rsidRDefault="00C22600" w:rsidP="00DE0659"/>
    <w:p w14:paraId="18833079" w14:textId="77777777" w:rsidR="00C22600" w:rsidRPr="002F794B" w:rsidRDefault="00C22600" w:rsidP="00CD359F">
      <w:pPr>
        <w:keepNext/>
        <w:rPr>
          <w:u w:val="single"/>
        </w:rPr>
      </w:pPr>
      <w:r w:rsidRPr="002F794B">
        <w:rPr>
          <w:u w:val="single"/>
        </w:rPr>
        <w:t>Participante</w:t>
      </w:r>
    </w:p>
    <w:p w14:paraId="7BE7455B" w14:textId="28C4CE78" w:rsidR="00C22600" w:rsidRPr="002F794B" w:rsidRDefault="00CB48EC" w:rsidP="00CD359F">
      <w:pPr>
        <w:keepNext/>
      </w:pPr>
      <w:proofErr w:type="spellStart"/>
      <w:r w:rsidRPr="002F794B">
        <w:t>Shure</w:t>
      </w:r>
      <w:proofErr w:type="spellEnd"/>
      <w:r w:rsidRPr="002F794B">
        <w:t xml:space="preserve"> </w:t>
      </w:r>
      <w:proofErr w:type="spellStart"/>
      <w:r w:rsidRPr="002F794B">
        <w:t>Incorporated</w:t>
      </w:r>
      <w:proofErr w:type="spellEnd"/>
    </w:p>
    <w:p w14:paraId="725CA51F" w14:textId="77777777" w:rsidR="00C22600" w:rsidRPr="002F794B" w:rsidRDefault="00C22600" w:rsidP="00C22600">
      <w:pPr>
        <w:rPr>
          <w:u w:val="single"/>
        </w:rPr>
      </w:pPr>
      <w:r w:rsidRPr="002F794B">
        <w:rPr>
          <w:u w:val="single"/>
        </w:rPr>
        <w:t>Comentario y propuesta</w:t>
      </w:r>
    </w:p>
    <w:p w14:paraId="12F55921" w14:textId="421CFDB2" w:rsidR="00FB55DA" w:rsidRPr="002F794B" w:rsidRDefault="00FB55DA" w:rsidP="00FB55DA">
      <w:pPr>
        <w:ind w:left="567" w:right="616"/>
        <w:rPr>
          <w:i/>
          <w:iCs/>
        </w:rPr>
      </w:pPr>
      <w:r w:rsidRPr="002F794B">
        <w:rPr>
          <w:i/>
          <w:iCs/>
        </w:rPr>
        <w:lastRenderedPageBreak/>
        <w:t xml:space="preserve">"En la Tabla 16, el RBW especificado (RBW = 1% BWch = 17.28kHz con BWch permitido para teléfonos inalámbricos de 1.728 MHz) es menor que el RBW especificado en ETSI EN 300 175-2 (RBW = 100kHz) y la medición se realiza de manera diferente. Esto resulta en requisitos menos estrictos de mascara de transmisión, por ejemplo, para </w:t>
      </w:r>
      <w:proofErr w:type="spellStart"/>
      <w:r w:rsidRPr="002F794B">
        <w:rPr>
          <w:i/>
          <w:iCs/>
        </w:rPr>
        <w:t>f</w:t>
      </w:r>
      <w:r w:rsidRPr="002F794B">
        <w:rPr>
          <w:i/>
          <w:iCs/>
          <w:vertAlign w:val="subscript"/>
        </w:rPr>
        <w:t>c</w:t>
      </w:r>
      <w:proofErr w:type="spellEnd"/>
      <w:r w:rsidRPr="002F794B">
        <w:rPr>
          <w:i/>
          <w:iCs/>
        </w:rPr>
        <w:t xml:space="preserve"> ± BW</w:t>
      </w:r>
      <w:r w:rsidRPr="002F794B">
        <w:rPr>
          <w:i/>
          <w:iCs/>
          <w:vertAlign w:val="subscript"/>
        </w:rPr>
        <w:t>ch</w:t>
      </w:r>
      <w:r w:rsidRPr="002F794B">
        <w:rPr>
          <w:i/>
          <w:iCs/>
        </w:rPr>
        <w:t xml:space="preserve"> el límite es -30dBc =&gt; -6dBm con RBW = 17.28kHz mientras que ETSI especificó para Y = M ± 1 un límite de -6dBm midiendo la potencia con RBW</w:t>
      </w:r>
      <w:r w:rsidR="0047674A" w:rsidRPr="002F794B">
        <w:rPr>
          <w:i/>
          <w:iCs/>
        </w:rPr>
        <w:t> </w:t>
      </w:r>
      <w:r w:rsidRPr="002F794B">
        <w:rPr>
          <w:i/>
          <w:iCs/>
        </w:rPr>
        <w:t>=</w:t>
      </w:r>
      <w:r w:rsidR="0047674A" w:rsidRPr="002F794B">
        <w:rPr>
          <w:i/>
          <w:iCs/>
        </w:rPr>
        <w:t> </w:t>
      </w:r>
      <w:r w:rsidRPr="002F794B">
        <w:rPr>
          <w:i/>
          <w:iCs/>
        </w:rPr>
        <w:t>100kHz e integrado en 1MHz, es decir, el límite ETSI comparable es -23.6dBm medido con RBW = 17.28kHz y no integrado en 1MHz.</w:t>
      </w:r>
    </w:p>
    <w:p w14:paraId="6968F119" w14:textId="77777777" w:rsidR="00FB55DA" w:rsidRPr="002F794B" w:rsidRDefault="00FB55DA" w:rsidP="00FB55DA">
      <w:pPr>
        <w:ind w:left="567" w:right="616"/>
        <w:rPr>
          <w:i/>
          <w:iCs/>
        </w:rPr>
      </w:pPr>
      <w:r w:rsidRPr="002F794B">
        <w:rPr>
          <w:i/>
          <w:iCs/>
        </w:rPr>
        <w:t>Además, es posible que un valor RBW de 17.28kHz no sea ajustable para una amplia gama de analizadores de espectro.</w:t>
      </w:r>
    </w:p>
    <w:p w14:paraId="79F62911" w14:textId="77777777" w:rsidR="00FB55DA" w:rsidRPr="002F794B" w:rsidRDefault="00FB55DA" w:rsidP="00FB55DA">
      <w:pPr>
        <w:ind w:left="567" w:right="616"/>
        <w:rPr>
          <w:i/>
          <w:iCs/>
        </w:rPr>
      </w:pPr>
      <w:r w:rsidRPr="002F794B">
        <w:rPr>
          <w:i/>
          <w:iCs/>
        </w:rPr>
        <w:t>En comparación con la máscara de emisiones OOB especificada en ETSI EN 300 175-2, la máscara de emisiones en IFT-016-2023 es mucho más amplia.</w:t>
      </w:r>
    </w:p>
    <w:p w14:paraId="73925AF9" w14:textId="6D857F18" w:rsidR="00FB55DA" w:rsidRPr="002F794B" w:rsidRDefault="00FB55DA" w:rsidP="00FB55DA">
      <w:pPr>
        <w:ind w:left="567" w:right="616"/>
        <w:rPr>
          <w:i/>
          <w:iCs/>
        </w:rPr>
      </w:pPr>
      <w:r w:rsidRPr="002F794B">
        <w:rPr>
          <w:i/>
          <w:iCs/>
        </w:rPr>
        <w:t>Proponemos alinear los rangos de emisiones OOB con los rangos especificados en ETSI EN 300 175-2, que son los siguientes (ver ETSI EN 300</w:t>
      </w:r>
      <w:r w:rsidR="00FF6D55" w:rsidRPr="002F794B">
        <w:rPr>
          <w:i/>
          <w:iCs/>
        </w:rPr>
        <w:t> </w:t>
      </w:r>
      <w:r w:rsidRPr="002F794B">
        <w:rPr>
          <w:i/>
          <w:iCs/>
        </w:rPr>
        <w:t>175-2 Sección 5.5.2):</w:t>
      </w:r>
    </w:p>
    <w:p w14:paraId="50B8EE94" w14:textId="77777777" w:rsidR="00FB55DA" w:rsidRPr="002F794B" w:rsidRDefault="00FB55DA" w:rsidP="00FB55DA">
      <w:pPr>
        <w:ind w:left="567" w:right="616"/>
        <w:rPr>
          <w:i/>
          <w:iCs/>
        </w:rPr>
      </w:pPr>
      <w:r w:rsidRPr="002F794B">
        <w:rPr>
          <w:i/>
          <w:iCs/>
        </w:rPr>
        <w:t>5.5.2 Emisiones debidas a transitorios en el transmisor</w:t>
      </w:r>
    </w:p>
    <w:p w14:paraId="61A581CD" w14:textId="77777777" w:rsidR="00FB55DA" w:rsidRPr="002F794B" w:rsidRDefault="00FB55DA" w:rsidP="00FB55DA">
      <w:pPr>
        <w:ind w:left="567" w:right="616"/>
        <w:rPr>
          <w:i/>
          <w:iCs/>
        </w:rPr>
      </w:pPr>
      <w:r w:rsidRPr="002F794B">
        <w:rPr>
          <w:i/>
          <w:iCs/>
        </w:rPr>
        <w:t xml:space="preserve">El nivel de potencia de todos los productos de modulación) incluyendo los productos de modulación de amplitud (AM) debido al encendido o apagado de una portadora de RF modulada) que surja de una transmisión en el canal de RF M, cuando se mida usando una técnica de retención de picos, será menor que los valores dados en la Tabla 1. El ancho de banda de medición será de 100 kHz y la potencia se integrará en un ancho de banda de 1 MHz centrado en la frecuencia DECT, </w:t>
      </w:r>
      <w:proofErr w:type="spellStart"/>
      <w:r w:rsidRPr="002F794B">
        <w:rPr>
          <w:i/>
          <w:iCs/>
        </w:rPr>
        <w:t>Fy</w:t>
      </w:r>
      <w:proofErr w:type="spellEnd"/>
      <w:r w:rsidRPr="002F794B">
        <w:rPr>
          <w:i/>
          <w:iCs/>
        </w:rPr>
        <w:t>.</w:t>
      </w:r>
    </w:p>
    <w:p w14:paraId="496FE614" w14:textId="0880ECDE" w:rsidR="0062580D" w:rsidRPr="002F794B" w:rsidRDefault="0062580D" w:rsidP="00800BC1">
      <w:pPr>
        <w:ind w:left="567" w:right="616"/>
        <w:jc w:val="center"/>
        <w:rPr>
          <w:i/>
          <w:iCs/>
        </w:rPr>
      </w:pPr>
      <w:r w:rsidRPr="002F794B">
        <w:rPr>
          <w:i/>
          <w:iCs/>
        </w:rPr>
        <w:t>Tabla 1: Emisiones debidas a transitorios en el transmisor</w:t>
      </w:r>
    </w:p>
    <w:tbl>
      <w:tblPr>
        <w:tblStyle w:val="Tablaconcuadrcula"/>
        <w:tblW w:w="0" w:type="auto"/>
        <w:tblInd w:w="567" w:type="dxa"/>
        <w:tblLook w:val="04A0" w:firstRow="1" w:lastRow="0" w:firstColumn="1" w:lastColumn="0" w:noHBand="0" w:noVBand="1"/>
      </w:tblPr>
      <w:tblGrid>
        <w:gridCol w:w="3825"/>
        <w:gridCol w:w="3825"/>
      </w:tblGrid>
      <w:tr w:rsidR="002F794B" w:rsidRPr="002F794B" w14:paraId="53883D1C" w14:textId="77777777" w:rsidTr="00A72754">
        <w:tc>
          <w:tcPr>
            <w:tcW w:w="3825" w:type="dxa"/>
          </w:tcPr>
          <w:p w14:paraId="3C6E1731" w14:textId="2C43BCDB" w:rsidR="0062580D" w:rsidRPr="002F794B" w:rsidRDefault="0062580D" w:rsidP="00800BC1">
            <w:pPr>
              <w:ind w:right="616"/>
              <w:jc w:val="center"/>
              <w:rPr>
                <w:rFonts w:ascii="Arial" w:hAnsi="Arial" w:cs="Arial"/>
                <w:b/>
                <w:bCs/>
              </w:rPr>
            </w:pPr>
            <w:r w:rsidRPr="002F794B">
              <w:rPr>
                <w:rFonts w:ascii="Arial" w:hAnsi="Arial" w:cs="Arial"/>
                <w:b/>
                <w:bCs/>
              </w:rPr>
              <w:t>Emisiones en el canal RF “Y”</w:t>
            </w:r>
          </w:p>
        </w:tc>
        <w:tc>
          <w:tcPr>
            <w:tcW w:w="3825" w:type="dxa"/>
          </w:tcPr>
          <w:p w14:paraId="667C8F09" w14:textId="1055BCB8" w:rsidR="0062580D" w:rsidRPr="002F794B" w:rsidRDefault="0062580D" w:rsidP="00800BC1">
            <w:pPr>
              <w:ind w:right="616"/>
              <w:jc w:val="center"/>
              <w:rPr>
                <w:rFonts w:ascii="Arial" w:hAnsi="Arial" w:cs="Arial"/>
                <w:b/>
                <w:bCs/>
              </w:rPr>
            </w:pPr>
            <w:r w:rsidRPr="002F794B">
              <w:rPr>
                <w:rFonts w:ascii="Arial" w:hAnsi="Arial" w:cs="Arial"/>
                <w:b/>
                <w:bCs/>
              </w:rPr>
              <w:t>Nivel máximo de potencia</w:t>
            </w:r>
          </w:p>
        </w:tc>
      </w:tr>
      <w:tr w:rsidR="002F794B" w:rsidRPr="002F794B" w14:paraId="03340866" w14:textId="77777777" w:rsidTr="00A72754">
        <w:tc>
          <w:tcPr>
            <w:tcW w:w="3825" w:type="dxa"/>
          </w:tcPr>
          <w:p w14:paraId="2C9D4A24" w14:textId="14238C0C" w:rsidR="0062580D" w:rsidRPr="002F794B" w:rsidRDefault="0062580D" w:rsidP="00800BC1">
            <w:pPr>
              <w:ind w:right="616"/>
              <w:jc w:val="center"/>
              <w:rPr>
                <w:rFonts w:ascii="Arial" w:hAnsi="Arial" w:cs="Arial"/>
              </w:rPr>
            </w:pPr>
            <w:r w:rsidRPr="002F794B">
              <w:rPr>
                <w:rFonts w:ascii="Arial" w:hAnsi="Arial" w:cs="Arial"/>
              </w:rPr>
              <w:t>Y = M ±</w:t>
            </w:r>
            <w:r w:rsidR="00800BC1" w:rsidRPr="002F794B">
              <w:rPr>
                <w:rFonts w:ascii="Arial" w:hAnsi="Arial" w:cs="Arial"/>
              </w:rPr>
              <w:t xml:space="preserve"> 1</w:t>
            </w:r>
          </w:p>
        </w:tc>
        <w:tc>
          <w:tcPr>
            <w:tcW w:w="3825" w:type="dxa"/>
          </w:tcPr>
          <w:p w14:paraId="2932214B" w14:textId="2B46862B" w:rsidR="0062580D" w:rsidRPr="002F794B" w:rsidRDefault="00800BC1" w:rsidP="00800BC1">
            <w:pPr>
              <w:ind w:right="616"/>
              <w:jc w:val="center"/>
              <w:rPr>
                <w:rFonts w:ascii="Arial" w:hAnsi="Arial" w:cs="Arial"/>
              </w:rPr>
            </w:pPr>
            <w:r w:rsidRPr="002F794B">
              <w:rPr>
                <w:rFonts w:ascii="Arial" w:hAnsi="Arial" w:cs="Arial"/>
              </w:rPr>
              <w:t>250 µW</w:t>
            </w:r>
          </w:p>
        </w:tc>
      </w:tr>
      <w:tr w:rsidR="002F794B" w:rsidRPr="002F794B" w14:paraId="29840767" w14:textId="77777777" w:rsidTr="00A72754">
        <w:tc>
          <w:tcPr>
            <w:tcW w:w="3825" w:type="dxa"/>
          </w:tcPr>
          <w:p w14:paraId="7E32F5D6" w14:textId="5A7CACE3" w:rsidR="0062580D" w:rsidRPr="002F794B" w:rsidRDefault="00800BC1" w:rsidP="00800BC1">
            <w:pPr>
              <w:ind w:right="616"/>
              <w:jc w:val="center"/>
              <w:rPr>
                <w:rFonts w:ascii="Arial" w:hAnsi="Arial" w:cs="Arial"/>
              </w:rPr>
            </w:pPr>
            <w:r w:rsidRPr="002F794B">
              <w:rPr>
                <w:rFonts w:ascii="Arial" w:hAnsi="Arial" w:cs="Arial"/>
              </w:rPr>
              <w:t xml:space="preserve">Y = M </w:t>
            </w:r>
            <w:r w:rsidR="0062580D" w:rsidRPr="002F794B">
              <w:rPr>
                <w:rFonts w:ascii="Arial" w:hAnsi="Arial" w:cs="Arial"/>
              </w:rPr>
              <w:t>±</w:t>
            </w:r>
            <w:r w:rsidRPr="002F794B">
              <w:rPr>
                <w:rFonts w:ascii="Arial" w:hAnsi="Arial" w:cs="Arial"/>
              </w:rPr>
              <w:t xml:space="preserve"> 2</w:t>
            </w:r>
          </w:p>
        </w:tc>
        <w:tc>
          <w:tcPr>
            <w:tcW w:w="3825" w:type="dxa"/>
          </w:tcPr>
          <w:p w14:paraId="040E0936" w14:textId="0AD2169A" w:rsidR="0062580D" w:rsidRPr="002F794B" w:rsidRDefault="00800BC1" w:rsidP="00800BC1">
            <w:pPr>
              <w:ind w:right="616"/>
              <w:jc w:val="center"/>
              <w:rPr>
                <w:rFonts w:ascii="Arial" w:hAnsi="Arial" w:cs="Arial"/>
              </w:rPr>
            </w:pPr>
            <w:r w:rsidRPr="002F794B">
              <w:rPr>
                <w:rFonts w:ascii="Arial" w:hAnsi="Arial" w:cs="Arial"/>
              </w:rPr>
              <w:t>40 µW</w:t>
            </w:r>
          </w:p>
        </w:tc>
      </w:tr>
      <w:tr w:rsidR="002F794B" w:rsidRPr="002F794B" w14:paraId="3787F48C" w14:textId="77777777" w:rsidTr="00A72754">
        <w:tc>
          <w:tcPr>
            <w:tcW w:w="3825" w:type="dxa"/>
          </w:tcPr>
          <w:p w14:paraId="491CC964" w14:textId="16702B54" w:rsidR="0062580D" w:rsidRPr="002F794B" w:rsidRDefault="00800BC1" w:rsidP="00800BC1">
            <w:pPr>
              <w:ind w:right="616"/>
              <w:jc w:val="center"/>
              <w:rPr>
                <w:rFonts w:ascii="Arial" w:hAnsi="Arial" w:cs="Arial"/>
              </w:rPr>
            </w:pPr>
            <w:r w:rsidRPr="002F794B">
              <w:rPr>
                <w:rFonts w:ascii="Arial" w:hAnsi="Arial" w:cs="Arial"/>
              </w:rPr>
              <w:t xml:space="preserve">Y = M </w:t>
            </w:r>
            <w:r w:rsidR="0062580D" w:rsidRPr="002F794B">
              <w:rPr>
                <w:rFonts w:ascii="Arial" w:hAnsi="Arial" w:cs="Arial"/>
              </w:rPr>
              <w:t>±</w:t>
            </w:r>
            <w:r w:rsidRPr="002F794B">
              <w:rPr>
                <w:rFonts w:ascii="Arial" w:hAnsi="Arial" w:cs="Arial"/>
              </w:rPr>
              <w:t xml:space="preserve"> 3</w:t>
            </w:r>
          </w:p>
        </w:tc>
        <w:tc>
          <w:tcPr>
            <w:tcW w:w="3825" w:type="dxa"/>
          </w:tcPr>
          <w:p w14:paraId="7066EC66" w14:textId="4B222309" w:rsidR="0062580D" w:rsidRPr="002F794B" w:rsidRDefault="00800BC1" w:rsidP="00800BC1">
            <w:pPr>
              <w:ind w:right="616"/>
              <w:jc w:val="center"/>
              <w:rPr>
                <w:rFonts w:ascii="Arial" w:hAnsi="Arial" w:cs="Arial"/>
              </w:rPr>
            </w:pPr>
            <w:r w:rsidRPr="002F794B">
              <w:rPr>
                <w:rFonts w:ascii="Arial" w:hAnsi="Arial" w:cs="Arial"/>
              </w:rPr>
              <w:t>4 µW</w:t>
            </w:r>
          </w:p>
        </w:tc>
      </w:tr>
      <w:tr w:rsidR="002F794B" w:rsidRPr="002F794B" w14:paraId="3DDD08D3" w14:textId="77777777" w:rsidTr="00A72754">
        <w:tc>
          <w:tcPr>
            <w:tcW w:w="3825" w:type="dxa"/>
          </w:tcPr>
          <w:p w14:paraId="75BD837C" w14:textId="38C6CF85" w:rsidR="0062580D" w:rsidRPr="002F794B" w:rsidRDefault="00800BC1" w:rsidP="00800BC1">
            <w:pPr>
              <w:ind w:right="616"/>
              <w:jc w:val="center"/>
              <w:rPr>
                <w:rFonts w:ascii="Arial" w:hAnsi="Arial" w:cs="Arial"/>
              </w:rPr>
            </w:pPr>
            <w:r w:rsidRPr="002F794B">
              <w:rPr>
                <w:rFonts w:ascii="Arial" w:hAnsi="Arial" w:cs="Arial"/>
              </w:rPr>
              <w:t>Y = cualquier otro canal DECT</w:t>
            </w:r>
          </w:p>
        </w:tc>
        <w:tc>
          <w:tcPr>
            <w:tcW w:w="3825" w:type="dxa"/>
          </w:tcPr>
          <w:p w14:paraId="026A2A15" w14:textId="57567E07" w:rsidR="0062580D" w:rsidRPr="002F794B" w:rsidRDefault="00800BC1" w:rsidP="00800BC1">
            <w:pPr>
              <w:ind w:right="616"/>
              <w:jc w:val="center"/>
              <w:rPr>
                <w:rFonts w:ascii="Arial" w:hAnsi="Arial" w:cs="Arial"/>
              </w:rPr>
            </w:pPr>
            <w:r w:rsidRPr="002F794B">
              <w:rPr>
                <w:rFonts w:ascii="Arial" w:hAnsi="Arial" w:cs="Arial"/>
              </w:rPr>
              <w:t>1 µW</w:t>
            </w:r>
          </w:p>
        </w:tc>
      </w:tr>
    </w:tbl>
    <w:p w14:paraId="67379A35" w14:textId="40FCFEB6" w:rsidR="00C22600" w:rsidRPr="002F794B" w:rsidRDefault="00FB55DA" w:rsidP="00FB55DA">
      <w:pPr>
        <w:ind w:left="567" w:right="616"/>
        <w:rPr>
          <w:i/>
          <w:iCs/>
        </w:rPr>
      </w:pPr>
      <w:r w:rsidRPr="002F794B">
        <w:rPr>
          <w:i/>
          <w:iCs/>
        </w:rPr>
        <w:t>"</w:t>
      </w:r>
    </w:p>
    <w:p w14:paraId="5B23DE82" w14:textId="77777777" w:rsidR="00C22600" w:rsidRPr="002F794B" w:rsidRDefault="00C22600" w:rsidP="00A72754">
      <w:pPr>
        <w:keepNext/>
        <w:rPr>
          <w:u w:val="single"/>
        </w:rPr>
      </w:pPr>
      <w:r w:rsidRPr="002F794B">
        <w:rPr>
          <w:u w:val="single"/>
        </w:rPr>
        <w:t>Respuesta</w:t>
      </w:r>
    </w:p>
    <w:p w14:paraId="6507FED7" w14:textId="77777777" w:rsidR="00C550B7" w:rsidRPr="002F794B" w:rsidRDefault="00C550B7" w:rsidP="00C550B7">
      <w:r w:rsidRPr="002F794B">
        <w:t>Derivado de que se ha eliminado la categoría de "Teléfonos inalámbricos" no se considera la propuesta.</w:t>
      </w:r>
    </w:p>
    <w:p w14:paraId="55A7916F" w14:textId="77777777" w:rsidR="00C22600" w:rsidRPr="002F794B" w:rsidRDefault="00C22600" w:rsidP="00DE0659"/>
    <w:p w14:paraId="2163656A" w14:textId="42ACECD5" w:rsidR="00A76809" w:rsidRPr="002F794B" w:rsidRDefault="00A76809" w:rsidP="00F06633">
      <w:pPr>
        <w:keepNext/>
        <w:outlineLvl w:val="1"/>
        <w:rPr>
          <w:b/>
          <w:bCs/>
        </w:rPr>
      </w:pPr>
      <w:r w:rsidRPr="002F794B">
        <w:rPr>
          <w:b/>
          <w:bCs/>
        </w:rPr>
        <w:lastRenderedPageBreak/>
        <w:t>Numeral 7.3.3.2</w:t>
      </w:r>
    </w:p>
    <w:p w14:paraId="18CBF9A7" w14:textId="77777777" w:rsidR="00C22600" w:rsidRPr="002F794B" w:rsidRDefault="00C22600" w:rsidP="00F06633">
      <w:pPr>
        <w:keepNext/>
        <w:rPr>
          <w:u w:val="single"/>
        </w:rPr>
      </w:pPr>
      <w:r w:rsidRPr="002F794B">
        <w:rPr>
          <w:u w:val="single"/>
        </w:rPr>
        <w:t>Participante</w:t>
      </w:r>
    </w:p>
    <w:p w14:paraId="64352DDE" w14:textId="49DB03BD" w:rsidR="00C22600" w:rsidRPr="002F794B" w:rsidRDefault="00A76809" w:rsidP="00F06633">
      <w:pPr>
        <w:keepNext/>
      </w:pPr>
      <w:proofErr w:type="spellStart"/>
      <w:r w:rsidRPr="002F794B">
        <w:t>Shure</w:t>
      </w:r>
      <w:proofErr w:type="spellEnd"/>
      <w:r w:rsidRPr="002F794B">
        <w:t xml:space="preserve"> </w:t>
      </w:r>
      <w:proofErr w:type="spellStart"/>
      <w:r w:rsidRPr="002F794B">
        <w:t>Incorporated</w:t>
      </w:r>
      <w:proofErr w:type="spellEnd"/>
    </w:p>
    <w:p w14:paraId="672D924F" w14:textId="77777777" w:rsidR="00C22600" w:rsidRPr="002F794B" w:rsidRDefault="00C22600" w:rsidP="00C22600">
      <w:pPr>
        <w:rPr>
          <w:u w:val="single"/>
        </w:rPr>
      </w:pPr>
      <w:r w:rsidRPr="002F794B">
        <w:rPr>
          <w:u w:val="single"/>
        </w:rPr>
        <w:t>Comentario y propuesta</w:t>
      </w:r>
    </w:p>
    <w:p w14:paraId="5A52D9C8" w14:textId="2A775966" w:rsidR="00C22600" w:rsidRPr="002F794B" w:rsidRDefault="006A3E90" w:rsidP="00C22600">
      <w:pPr>
        <w:ind w:left="567" w:right="616"/>
        <w:rPr>
          <w:i/>
          <w:iCs/>
        </w:rPr>
      </w:pPr>
      <w:r w:rsidRPr="002F794B">
        <w:rPr>
          <w:i/>
          <w:iCs/>
        </w:rPr>
        <w:t>En la Tabla 17 faltan los valores RBW. Por lo tanto, no es posible evaluar los valores límite.</w:t>
      </w:r>
    </w:p>
    <w:p w14:paraId="3779BBE0" w14:textId="77777777" w:rsidR="00C22600" w:rsidRPr="002F794B" w:rsidRDefault="00C22600" w:rsidP="00C22600">
      <w:pPr>
        <w:rPr>
          <w:u w:val="single"/>
        </w:rPr>
      </w:pPr>
      <w:r w:rsidRPr="002F794B">
        <w:rPr>
          <w:u w:val="single"/>
        </w:rPr>
        <w:t>Respuesta</w:t>
      </w:r>
    </w:p>
    <w:p w14:paraId="28866319" w14:textId="77777777" w:rsidR="00F06633" w:rsidRPr="002F794B" w:rsidRDefault="00F06633" w:rsidP="00F06633">
      <w:r w:rsidRPr="002F794B">
        <w:t>Derivado de que se ha eliminado la categoría de "Teléfonos inalámbricos" no se considera la propuesta.</w:t>
      </w:r>
    </w:p>
    <w:p w14:paraId="0B60B9FE" w14:textId="77777777" w:rsidR="00C22600" w:rsidRPr="002F794B" w:rsidRDefault="00C22600" w:rsidP="00DE0659"/>
    <w:p w14:paraId="022D8369" w14:textId="1CEAF99B" w:rsidR="006A3E90" w:rsidRPr="002F794B" w:rsidRDefault="006A3E90" w:rsidP="00DE39DA">
      <w:pPr>
        <w:outlineLvl w:val="1"/>
        <w:rPr>
          <w:b/>
          <w:bCs/>
        </w:rPr>
      </w:pPr>
      <w:r w:rsidRPr="002F794B">
        <w:rPr>
          <w:b/>
          <w:bCs/>
        </w:rPr>
        <w:t>Numeral 7.3.4</w:t>
      </w:r>
    </w:p>
    <w:p w14:paraId="6D3FD8FA" w14:textId="77777777" w:rsidR="00C22600" w:rsidRPr="002F794B" w:rsidRDefault="00C22600" w:rsidP="00C22600">
      <w:pPr>
        <w:rPr>
          <w:u w:val="single"/>
        </w:rPr>
      </w:pPr>
      <w:r w:rsidRPr="002F794B">
        <w:rPr>
          <w:u w:val="single"/>
        </w:rPr>
        <w:t>Participante</w:t>
      </w:r>
    </w:p>
    <w:p w14:paraId="4573D7A5" w14:textId="79D2DB1B" w:rsidR="00C22600" w:rsidRPr="002F794B" w:rsidRDefault="00305A06" w:rsidP="00C22600">
      <w:r w:rsidRPr="002F794B">
        <w:t xml:space="preserve">DECT </w:t>
      </w:r>
      <w:proofErr w:type="spellStart"/>
      <w:r w:rsidRPr="002F794B">
        <w:t>Forum</w:t>
      </w:r>
      <w:proofErr w:type="spellEnd"/>
    </w:p>
    <w:p w14:paraId="0824B348" w14:textId="77777777" w:rsidR="00C22600" w:rsidRPr="002F794B" w:rsidRDefault="00C22600" w:rsidP="00C22600">
      <w:pPr>
        <w:rPr>
          <w:u w:val="single"/>
        </w:rPr>
      </w:pPr>
      <w:r w:rsidRPr="002F794B">
        <w:rPr>
          <w:u w:val="single"/>
        </w:rPr>
        <w:t>Comentario y propuesta</w:t>
      </w:r>
    </w:p>
    <w:p w14:paraId="02FE7893" w14:textId="37E1CBF1" w:rsidR="00C22600" w:rsidRPr="002F794B" w:rsidRDefault="00305A06" w:rsidP="00C22600">
      <w:pPr>
        <w:ind w:left="567" w:right="616"/>
        <w:rPr>
          <w:i/>
          <w:iCs/>
          <w:lang w:val="en-US"/>
        </w:rPr>
      </w:pPr>
      <w:r w:rsidRPr="002F794B">
        <w:rPr>
          <w:i/>
          <w:iCs/>
          <w:lang w:val="en-US"/>
        </w:rPr>
        <w:t>DECT devices do follow the standards as listed above. Please consider if a reference to that existing standard could be used.</w:t>
      </w:r>
    </w:p>
    <w:p w14:paraId="77644158" w14:textId="77777777" w:rsidR="00C22600" w:rsidRPr="002F794B" w:rsidRDefault="00C22600" w:rsidP="00C22600">
      <w:pPr>
        <w:rPr>
          <w:u w:val="single"/>
        </w:rPr>
      </w:pPr>
      <w:r w:rsidRPr="002F794B">
        <w:rPr>
          <w:u w:val="single"/>
        </w:rPr>
        <w:t>Respuesta</w:t>
      </w:r>
    </w:p>
    <w:p w14:paraId="1AC8F746" w14:textId="77777777" w:rsidR="00F06633" w:rsidRPr="002F794B" w:rsidRDefault="00F06633" w:rsidP="00F06633">
      <w:r w:rsidRPr="002F794B">
        <w:t>Derivado de que se ha eliminado la categoría de "Teléfonos inalámbricos" no se considera la propuesta.</w:t>
      </w:r>
    </w:p>
    <w:p w14:paraId="397233F4" w14:textId="77777777" w:rsidR="00C22600" w:rsidRPr="002F794B" w:rsidRDefault="00C22600" w:rsidP="00DE0659"/>
    <w:p w14:paraId="33113396" w14:textId="77777777" w:rsidR="00C22600" w:rsidRPr="002F794B" w:rsidRDefault="00C22600" w:rsidP="00C22600">
      <w:pPr>
        <w:rPr>
          <w:u w:val="single"/>
        </w:rPr>
      </w:pPr>
      <w:r w:rsidRPr="002F794B">
        <w:rPr>
          <w:u w:val="single"/>
        </w:rPr>
        <w:t>Participante</w:t>
      </w:r>
    </w:p>
    <w:p w14:paraId="35F4C2E8" w14:textId="3CBB9726" w:rsidR="00C22600" w:rsidRPr="002F794B" w:rsidRDefault="00D31745" w:rsidP="00C22600">
      <w:r w:rsidRPr="002F794B">
        <w:t>Cámara Nacional de la Industria Electrónica, de Telecomunicaciones y Tecnologías de la Información</w:t>
      </w:r>
    </w:p>
    <w:p w14:paraId="09E607B7" w14:textId="77777777" w:rsidR="00C22600" w:rsidRPr="002F794B" w:rsidRDefault="00C22600" w:rsidP="00C22600">
      <w:pPr>
        <w:rPr>
          <w:u w:val="single"/>
        </w:rPr>
      </w:pPr>
      <w:r w:rsidRPr="002F794B">
        <w:rPr>
          <w:u w:val="single"/>
        </w:rPr>
        <w:t>Comentario y propuesta</w:t>
      </w:r>
    </w:p>
    <w:p w14:paraId="688A6C0E" w14:textId="77777777" w:rsidR="00CB6E92" w:rsidRPr="002F794B" w:rsidRDefault="00CB6E92" w:rsidP="00CB6E92">
      <w:pPr>
        <w:ind w:left="567" w:right="616"/>
        <w:rPr>
          <w:i/>
          <w:iCs/>
        </w:rPr>
      </w:pPr>
      <w:r w:rsidRPr="002F794B">
        <w:rPr>
          <w:i/>
          <w:iCs/>
        </w:rPr>
        <w:t>Se establece el límite de potencia para emisiones conducidas, pero no queda claro cuál es el límite de potencia en caso de que realice la medición radiada, por lo que surgen las siguientes dudas:</w:t>
      </w:r>
    </w:p>
    <w:p w14:paraId="216047CE" w14:textId="12937BD3" w:rsidR="00CB6E92" w:rsidRPr="002F794B" w:rsidRDefault="00CB6E92" w:rsidP="00CB6E92">
      <w:pPr>
        <w:pStyle w:val="Prrafodelista"/>
        <w:numPr>
          <w:ilvl w:val="0"/>
          <w:numId w:val="8"/>
        </w:numPr>
        <w:ind w:right="616"/>
        <w:rPr>
          <w:i/>
          <w:iCs/>
        </w:rPr>
      </w:pPr>
      <w:r w:rsidRPr="002F794B">
        <w:rPr>
          <w:i/>
          <w:iCs/>
        </w:rPr>
        <w:t>¿Hay algún límite para el valor de potencia de emisiones radiadas? y</w:t>
      </w:r>
    </w:p>
    <w:p w14:paraId="58C2AB41" w14:textId="4D36C689" w:rsidR="00C22600" w:rsidRPr="002F794B" w:rsidRDefault="00CB6E92" w:rsidP="00CB6E92">
      <w:pPr>
        <w:pStyle w:val="Prrafodelista"/>
        <w:numPr>
          <w:ilvl w:val="0"/>
          <w:numId w:val="8"/>
        </w:numPr>
        <w:ind w:right="616"/>
        <w:rPr>
          <w:i/>
          <w:iCs/>
        </w:rPr>
      </w:pPr>
      <w:r w:rsidRPr="002F794B">
        <w:rPr>
          <w:i/>
          <w:iCs/>
        </w:rPr>
        <w:t>¿Se podrá calcular la potencia conducida/radiada a través de la ganancia de antena?</w:t>
      </w:r>
    </w:p>
    <w:p w14:paraId="3F30CA29" w14:textId="77777777" w:rsidR="00C22600" w:rsidRPr="002F794B" w:rsidRDefault="00C22600" w:rsidP="00C22600">
      <w:pPr>
        <w:rPr>
          <w:u w:val="single"/>
        </w:rPr>
      </w:pPr>
      <w:r w:rsidRPr="002F794B">
        <w:rPr>
          <w:u w:val="single"/>
        </w:rPr>
        <w:t>Respuesta</w:t>
      </w:r>
    </w:p>
    <w:p w14:paraId="5E94E952" w14:textId="77777777" w:rsidR="00F06633" w:rsidRPr="002F794B" w:rsidRDefault="00F06633" w:rsidP="00F06633">
      <w:r w:rsidRPr="002F794B">
        <w:lastRenderedPageBreak/>
        <w:t>Derivado de que se ha eliminado la categoría de "Teléfonos inalámbricos" no se considera la propuesta.</w:t>
      </w:r>
    </w:p>
    <w:p w14:paraId="3CF58C39" w14:textId="77777777" w:rsidR="00C22600" w:rsidRPr="002F794B" w:rsidRDefault="00C22600" w:rsidP="00DE0659"/>
    <w:p w14:paraId="157E86C0" w14:textId="77777777" w:rsidR="00C22600" w:rsidRPr="002F794B" w:rsidRDefault="00C22600" w:rsidP="00C22600">
      <w:pPr>
        <w:rPr>
          <w:u w:val="single"/>
        </w:rPr>
      </w:pPr>
      <w:r w:rsidRPr="002F794B">
        <w:rPr>
          <w:u w:val="single"/>
        </w:rPr>
        <w:t>Participante</w:t>
      </w:r>
    </w:p>
    <w:p w14:paraId="320436D0" w14:textId="07962449" w:rsidR="00C22600" w:rsidRPr="002F794B" w:rsidRDefault="00F6695B" w:rsidP="00C22600">
      <w:r w:rsidRPr="002F794B">
        <w:t>Consejo Mexicano de Normalización y Evaluación de la Conformidad A.C.</w:t>
      </w:r>
    </w:p>
    <w:p w14:paraId="66B792D7" w14:textId="77777777" w:rsidR="00C22600" w:rsidRPr="002F794B" w:rsidRDefault="00C22600" w:rsidP="00C22600">
      <w:pPr>
        <w:rPr>
          <w:u w:val="single"/>
        </w:rPr>
      </w:pPr>
      <w:r w:rsidRPr="002F794B">
        <w:rPr>
          <w:u w:val="single"/>
        </w:rPr>
        <w:t>Comentario y propuesta</w:t>
      </w:r>
    </w:p>
    <w:p w14:paraId="2B8934AC" w14:textId="7600C266" w:rsidR="00C22600" w:rsidRPr="002F794B" w:rsidRDefault="00AC577D" w:rsidP="00C22600">
      <w:pPr>
        <w:ind w:left="567" w:right="616"/>
        <w:rPr>
          <w:i/>
          <w:iCs/>
        </w:rPr>
      </w:pPr>
      <w:r w:rsidRPr="002F794B">
        <w:rPr>
          <w:i/>
          <w:iCs/>
        </w:rPr>
        <w:t>Se establece el límite de potencia para emisiones conducidas, pero no queda claro cuál es el límite de potencia, en caso de que realice la medición radiada, por lo que quedan las siguientes dudas: ¿ Hay algún límite para el valor de potencia de emisiones radiadas? Y ¿Se podrá calcular la potencia conducida/radiada a través de la ganancia de antena?</w:t>
      </w:r>
    </w:p>
    <w:p w14:paraId="49B679E8" w14:textId="77777777" w:rsidR="00C22600" w:rsidRPr="002F794B" w:rsidRDefault="00C22600" w:rsidP="00C22600">
      <w:pPr>
        <w:rPr>
          <w:u w:val="single"/>
        </w:rPr>
      </w:pPr>
      <w:r w:rsidRPr="002F794B">
        <w:rPr>
          <w:u w:val="single"/>
        </w:rPr>
        <w:t>Respuesta</w:t>
      </w:r>
    </w:p>
    <w:p w14:paraId="7D63971F" w14:textId="77777777" w:rsidR="0045364E" w:rsidRPr="002F794B" w:rsidRDefault="0045364E" w:rsidP="0045364E">
      <w:r w:rsidRPr="002F794B">
        <w:t>Derivado de que se ha eliminado la categoría de "Teléfonos inalámbricos" no se considera la propuesta.</w:t>
      </w:r>
    </w:p>
    <w:p w14:paraId="0BE619F5" w14:textId="77777777" w:rsidR="00C22600" w:rsidRPr="002F794B" w:rsidRDefault="00C22600" w:rsidP="00DE0659"/>
    <w:p w14:paraId="4632D921" w14:textId="1A07F187" w:rsidR="00BA31B0" w:rsidRPr="002F794B" w:rsidRDefault="00BA31B0" w:rsidP="00DE39DA">
      <w:pPr>
        <w:outlineLvl w:val="1"/>
        <w:rPr>
          <w:b/>
          <w:bCs/>
        </w:rPr>
      </w:pPr>
      <w:r w:rsidRPr="002F794B">
        <w:rPr>
          <w:b/>
          <w:bCs/>
        </w:rPr>
        <w:t>Numeral 7.3.5</w:t>
      </w:r>
    </w:p>
    <w:p w14:paraId="6408B0FE" w14:textId="77777777" w:rsidR="00C22600" w:rsidRPr="002F794B" w:rsidRDefault="00C22600" w:rsidP="00C22600">
      <w:pPr>
        <w:rPr>
          <w:u w:val="single"/>
        </w:rPr>
      </w:pPr>
      <w:r w:rsidRPr="002F794B">
        <w:rPr>
          <w:u w:val="single"/>
        </w:rPr>
        <w:t>Participante</w:t>
      </w:r>
    </w:p>
    <w:p w14:paraId="3C7ADFBC" w14:textId="68351F96" w:rsidR="00C22600" w:rsidRPr="002F794B" w:rsidRDefault="00BA31B0" w:rsidP="00C22600">
      <w:r w:rsidRPr="002F794B">
        <w:t xml:space="preserve">DECT </w:t>
      </w:r>
      <w:proofErr w:type="spellStart"/>
      <w:r w:rsidRPr="002F794B">
        <w:t>Forum</w:t>
      </w:r>
      <w:proofErr w:type="spellEnd"/>
    </w:p>
    <w:p w14:paraId="50E5F282" w14:textId="77777777" w:rsidR="00C22600" w:rsidRPr="002F794B" w:rsidRDefault="00C22600" w:rsidP="00C22600">
      <w:pPr>
        <w:rPr>
          <w:u w:val="single"/>
        </w:rPr>
      </w:pPr>
      <w:r w:rsidRPr="002F794B">
        <w:rPr>
          <w:u w:val="single"/>
        </w:rPr>
        <w:t>Comentario y propuesta</w:t>
      </w:r>
    </w:p>
    <w:p w14:paraId="20953C72" w14:textId="627A3461" w:rsidR="00C22600" w:rsidRPr="002F794B" w:rsidRDefault="00A72B49" w:rsidP="00C22600">
      <w:pPr>
        <w:ind w:left="567" w:right="616"/>
        <w:rPr>
          <w:i/>
          <w:iCs/>
          <w:lang w:val="en-US"/>
        </w:rPr>
      </w:pPr>
      <w:r w:rsidRPr="002F794B">
        <w:rPr>
          <w:i/>
          <w:iCs/>
          <w:lang w:val="en-US"/>
        </w:rPr>
        <w:t>DECT devices do follow the standards as listed above. Please consider if a reference to that existing standard could be used.</w:t>
      </w:r>
    </w:p>
    <w:p w14:paraId="183CA560" w14:textId="77777777" w:rsidR="00C22600" w:rsidRPr="002F794B" w:rsidRDefault="00C22600" w:rsidP="00C22600">
      <w:pPr>
        <w:rPr>
          <w:u w:val="single"/>
        </w:rPr>
      </w:pPr>
      <w:r w:rsidRPr="002F794B">
        <w:rPr>
          <w:u w:val="single"/>
        </w:rPr>
        <w:t>Respuesta</w:t>
      </w:r>
    </w:p>
    <w:p w14:paraId="23802B27" w14:textId="77777777" w:rsidR="0045364E" w:rsidRPr="002F794B" w:rsidRDefault="0045364E" w:rsidP="0045364E">
      <w:r w:rsidRPr="002F794B">
        <w:t>Derivado de que se ha eliminado la categoría de "Teléfonos inalámbricos" no se considera la propuesta.</w:t>
      </w:r>
    </w:p>
    <w:p w14:paraId="462DBF17" w14:textId="77777777" w:rsidR="00C22600" w:rsidRPr="002F794B" w:rsidRDefault="00C22600" w:rsidP="00DE0659"/>
    <w:p w14:paraId="0F4A1333" w14:textId="77777777" w:rsidR="00C22600" w:rsidRPr="002F794B" w:rsidRDefault="00C22600" w:rsidP="00C22600">
      <w:pPr>
        <w:rPr>
          <w:u w:val="single"/>
        </w:rPr>
      </w:pPr>
      <w:r w:rsidRPr="002F794B">
        <w:rPr>
          <w:u w:val="single"/>
        </w:rPr>
        <w:t>Participante</w:t>
      </w:r>
    </w:p>
    <w:p w14:paraId="27CF4945" w14:textId="1E48562E" w:rsidR="00C22600" w:rsidRPr="002F794B" w:rsidRDefault="00C82FB3" w:rsidP="00C22600">
      <w:r w:rsidRPr="002F794B">
        <w:t>Asociación de Normalización y Certificación, S.A. de C.V.</w:t>
      </w:r>
    </w:p>
    <w:p w14:paraId="563AA951" w14:textId="77777777" w:rsidR="00C22600" w:rsidRPr="002F794B" w:rsidRDefault="00C22600" w:rsidP="00C82FB3">
      <w:pPr>
        <w:keepNext/>
        <w:rPr>
          <w:u w:val="single"/>
        </w:rPr>
      </w:pPr>
      <w:r w:rsidRPr="002F794B">
        <w:rPr>
          <w:u w:val="single"/>
        </w:rPr>
        <w:lastRenderedPageBreak/>
        <w:t>Comentario y propuesta</w:t>
      </w:r>
    </w:p>
    <w:p w14:paraId="5844A739" w14:textId="77777777" w:rsidR="00C82FB3" w:rsidRPr="002F794B" w:rsidRDefault="00C82FB3" w:rsidP="00C82FB3">
      <w:pPr>
        <w:keepNext/>
        <w:ind w:left="567" w:right="616"/>
        <w:rPr>
          <w:i/>
          <w:iCs/>
        </w:rPr>
      </w:pPr>
      <w:r w:rsidRPr="002F794B">
        <w:rPr>
          <w:b/>
          <w:bCs/>
          <w:i/>
          <w:iCs/>
        </w:rPr>
        <w:t>Dice:</w:t>
      </w:r>
      <w:r w:rsidRPr="002F794B">
        <w:rPr>
          <w:i/>
          <w:iCs/>
        </w:rPr>
        <w:t xml:space="preserve"> La Tolerancia de Frecuencia es de 10 ppm para teléfonos inalámbricos. El DRBP deberá mantener su frecuencia de operación bajo las siguientes condiciones:</w:t>
      </w:r>
    </w:p>
    <w:p w14:paraId="5CD00F9F" w14:textId="77777777" w:rsidR="00C82FB3" w:rsidRPr="002F794B" w:rsidRDefault="00C82FB3" w:rsidP="00C82FB3">
      <w:pPr>
        <w:ind w:left="567" w:right="616"/>
        <w:rPr>
          <w:i/>
          <w:iCs/>
        </w:rPr>
      </w:pPr>
      <w:r w:rsidRPr="002F794B">
        <w:rPr>
          <w:b/>
          <w:bCs/>
          <w:i/>
          <w:iCs/>
        </w:rPr>
        <w:t>Debe decir:</w:t>
      </w:r>
      <w:r w:rsidRPr="002F794B">
        <w:rPr>
          <w:i/>
          <w:iCs/>
        </w:rPr>
        <w:t xml:space="preserve"> La Tolerancia de Frecuencia es de 10 ppm para teléfonos inalámbricos, tanto para las partes fijas como las partes móviles que componen al producto y que contienen radiotransmisores. El DRBP deberá mantener su frecuencia de operación bajo las siguientes condiciones:</w:t>
      </w:r>
    </w:p>
    <w:p w14:paraId="237E6CAF" w14:textId="34F41F67" w:rsidR="00C22600" w:rsidRPr="002F794B" w:rsidRDefault="00C82FB3" w:rsidP="00C82FB3">
      <w:pPr>
        <w:ind w:left="567" w:right="616"/>
        <w:rPr>
          <w:i/>
          <w:iCs/>
        </w:rPr>
      </w:pPr>
      <w:r w:rsidRPr="002F794B">
        <w:rPr>
          <w:b/>
          <w:bCs/>
          <w:i/>
          <w:iCs/>
        </w:rPr>
        <w:t>Justificación:</w:t>
      </w:r>
      <w:r w:rsidRPr="002F794B">
        <w:rPr>
          <w:i/>
          <w:iCs/>
        </w:rPr>
        <w:t xml:space="preserve"> La redacción actual del Anteproyecto no deja claramente establecido que todos los radiotransmisores involucrados en la operación de un teléfono inalámbrico (parte móvil, y estación base conectada a una red pública) deben ser evaluados.</w:t>
      </w:r>
    </w:p>
    <w:p w14:paraId="441C2A66" w14:textId="77777777" w:rsidR="00C22600" w:rsidRPr="002F794B" w:rsidRDefault="00C22600" w:rsidP="00C22600">
      <w:pPr>
        <w:rPr>
          <w:u w:val="single"/>
        </w:rPr>
      </w:pPr>
      <w:r w:rsidRPr="002F794B">
        <w:rPr>
          <w:u w:val="single"/>
        </w:rPr>
        <w:t>Respuesta</w:t>
      </w:r>
    </w:p>
    <w:p w14:paraId="05AE3C33" w14:textId="77777777" w:rsidR="0045364E" w:rsidRPr="002F794B" w:rsidRDefault="0045364E" w:rsidP="0045364E">
      <w:r w:rsidRPr="002F794B">
        <w:t>Derivado de que se ha eliminado la categoría de "Teléfonos inalámbricos" no se considera la propuesta.</w:t>
      </w:r>
    </w:p>
    <w:p w14:paraId="4D63F8BC" w14:textId="77777777" w:rsidR="00C22600" w:rsidRPr="002F794B" w:rsidRDefault="00C22600" w:rsidP="00DE0659"/>
    <w:p w14:paraId="2E5D1528" w14:textId="77777777" w:rsidR="00C22600" w:rsidRPr="002F794B" w:rsidRDefault="00C22600" w:rsidP="00C22600">
      <w:pPr>
        <w:rPr>
          <w:u w:val="single"/>
        </w:rPr>
      </w:pPr>
      <w:r w:rsidRPr="002F794B">
        <w:rPr>
          <w:u w:val="single"/>
        </w:rPr>
        <w:t>Participante</w:t>
      </w:r>
    </w:p>
    <w:p w14:paraId="44016657" w14:textId="118B9A9C" w:rsidR="00C22600" w:rsidRPr="002F794B" w:rsidRDefault="000A0689" w:rsidP="00C22600">
      <w:r w:rsidRPr="002F794B">
        <w:t>Cámara Nacional de la Industria Electrónica, de Telecomunicaciones y Tecnologías de la Información</w:t>
      </w:r>
    </w:p>
    <w:p w14:paraId="04BFE409" w14:textId="77777777" w:rsidR="00C22600" w:rsidRPr="002F794B" w:rsidRDefault="00C22600" w:rsidP="00C22600">
      <w:pPr>
        <w:rPr>
          <w:u w:val="single"/>
        </w:rPr>
      </w:pPr>
      <w:r w:rsidRPr="002F794B">
        <w:rPr>
          <w:u w:val="single"/>
        </w:rPr>
        <w:t>Comentario y propuesta</w:t>
      </w:r>
    </w:p>
    <w:p w14:paraId="509BEB3C" w14:textId="657154E1" w:rsidR="00C22600" w:rsidRPr="002F794B" w:rsidRDefault="002B33E8" w:rsidP="00C22600">
      <w:pPr>
        <w:ind w:left="567" w:right="616"/>
        <w:rPr>
          <w:i/>
          <w:iCs/>
        </w:rPr>
      </w:pPr>
      <w:r w:rsidRPr="002F794B">
        <w:rPr>
          <w:i/>
          <w:iCs/>
        </w:rPr>
        <w:t xml:space="preserve">Se solicita puntualizar si el DRPB debe someterse a ambas pruebas de tolerancia de frecuencia, o se podrá optar por solo una en función de las capacidades </w:t>
      </w:r>
      <w:proofErr w:type="gramStart"/>
      <w:r w:rsidRPr="002F794B">
        <w:rPr>
          <w:i/>
          <w:iCs/>
        </w:rPr>
        <w:t>del mismo</w:t>
      </w:r>
      <w:proofErr w:type="gramEnd"/>
      <w:r w:rsidRPr="002F794B">
        <w:rPr>
          <w:i/>
          <w:iCs/>
        </w:rPr>
        <w:t xml:space="preserve"> DRBP.</w:t>
      </w:r>
    </w:p>
    <w:p w14:paraId="089C3EF5" w14:textId="77777777" w:rsidR="00C22600" w:rsidRPr="002F794B" w:rsidRDefault="00C22600" w:rsidP="00C22600">
      <w:pPr>
        <w:rPr>
          <w:u w:val="single"/>
        </w:rPr>
      </w:pPr>
      <w:r w:rsidRPr="002F794B">
        <w:rPr>
          <w:u w:val="single"/>
        </w:rPr>
        <w:t>Respuesta</w:t>
      </w:r>
    </w:p>
    <w:p w14:paraId="4E88F49A" w14:textId="77777777" w:rsidR="0045364E" w:rsidRPr="002F794B" w:rsidRDefault="0045364E" w:rsidP="0045364E">
      <w:r w:rsidRPr="002F794B">
        <w:t>Derivado de que se ha eliminado la categoría de "Teléfonos inalámbricos" no se considera la propuesta.</w:t>
      </w:r>
    </w:p>
    <w:p w14:paraId="097AA0E3" w14:textId="77777777" w:rsidR="000D19EB" w:rsidRPr="002F794B" w:rsidRDefault="000D19EB" w:rsidP="00C22600"/>
    <w:p w14:paraId="4DEFB34D" w14:textId="77777777" w:rsidR="000D19EB" w:rsidRPr="002F794B" w:rsidRDefault="000D19EB" w:rsidP="000D19EB">
      <w:pPr>
        <w:rPr>
          <w:u w:val="single"/>
        </w:rPr>
      </w:pPr>
      <w:r w:rsidRPr="002F794B">
        <w:rPr>
          <w:u w:val="single"/>
        </w:rPr>
        <w:t>Participante</w:t>
      </w:r>
    </w:p>
    <w:p w14:paraId="7FBE6005" w14:textId="5E74E9AA" w:rsidR="000D19EB" w:rsidRPr="002F794B" w:rsidRDefault="006520D7" w:rsidP="000D19EB">
      <w:r w:rsidRPr="002F794B">
        <w:t>Consejo Mexicano de Normalización y Evaluación de la Conformidad A.C.</w:t>
      </w:r>
    </w:p>
    <w:p w14:paraId="457691DB" w14:textId="77777777" w:rsidR="000D19EB" w:rsidRPr="002F794B" w:rsidRDefault="000D19EB" w:rsidP="000D19EB">
      <w:pPr>
        <w:rPr>
          <w:u w:val="single"/>
        </w:rPr>
      </w:pPr>
      <w:r w:rsidRPr="002F794B">
        <w:rPr>
          <w:u w:val="single"/>
        </w:rPr>
        <w:t>Comentario y propuesta</w:t>
      </w:r>
    </w:p>
    <w:p w14:paraId="70C66A14" w14:textId="38EA7A6F" w:rsidR="000D19EB" w:rsidRPr="002F794B" w:rsidRDefault="006520D7" w:rsidP="000D19EB">
      <w:pPr>
        <w:ind w:left="567" w:right="616"/>
        <w:rPr>
          <w:i/>
          <w:iCs/>
        </w:rPr>
      </w:pPr>
      <w:r w:rsidRPr="002F794B">
        <w:rPr>
          <w:i/>
          <w:iCs/>
        </w:rPr>
        <w:t xml:space="preserve">Puntualizar si el DRPB debe someterse a ambas pruebas de tolerancia de frecuencia o se podrá optar por solo una en función de las capacidades </w:t>
      </w:r>
      <w:proofErr w:type="gramStart"/>
      <w:r w:rsidRPr="002F794B">
        <w:rPr>
          <w:i/>
          <w:iCs/>
        </w:rPr>
        <w:t>del mismo</w:t>
      </w:r>
      <w:proofErr w:type="gramEnd"/>
      <w:r w:rsidRPr="002F794B">
        <w:rPr>
          <w:i/>
          <w:iCs/>
        </w:rPr>
        <w:t xml:space="preserve"> DRBP.</w:t>
      </w:r>
    </w:p>
    <w:p w14:paraId="06E07436" w14:textId="77777777" w:rsidR="000D19EB" w:rsidRPr="002F794B" w:rsidRDefault="000D19EB" w:rsidP="000D19EB">
      <w:pPr>
        <w:rPr>
          <w:u w:val="single"/>
        </w:rPr>
      </w:pPr>
      <w:r w:rsidRPr="002F794B">
        <w:rPr>
          <w:u w:val="single"/>
        </w:rPr>
        <w:lastRenderedPageBreak/>
        <w:t>Respuesta</w:t>
      </w:r>
    </w:p>
    <w:p w14:paraId="564BDBB6" w14:textId="77777777" w:rsidR="0045364E" w:rsidRPr="002F794B" w:rsidRDefault="0045364E" w:rsidP="0045364E">
      <w:r w:rsidRPr="002F794B">
        <w:t>Derivado de que se ha eliminado la categoría de "Teléfonos inalámbricos" no se considera la propuesta.</w:t>
      </w:r>
    </w:p>
    <w:p w14:paraId="1BDEB4EC" w14:textId="77777777" w:rsidR="002B33E8" w:rsidRPr="002F794B" w:rsidRDefault="002B33E8" w:rsidP="00C22600"/>
    <w:p w14:paraId="35B0C2C0" w14:textId="55C947EC" w:rsidR="006A1F6D" w:rsidRPr="002F794B" w:rsidRDefault="006A1F6D" w:rsidP="00DE39DA">
      <w:pPr>
        <w:outlineLvl w:val="1"/>
        <w:rPr>
          <w:b/>
          <w:bCs/>
        </w:rPr>
      </w:pPr>
      <w:r w:rsidRPr="002F794B">
        <w:rPr>
          <w:b/>
          <w:bCs/>
        </w:rPr>
        <w:t>Numeral 7.4.1</w:t>
      </w:r>
    </w:p>
    <w:p w14:paraId="389EB3C8" w14:textId="77777777" w:rsidR="000D19EB" w:rsidRPr="002F794B" w:rsidRDefault="000D19EB" w:rsidP="000D19EB">
      <w:pPr>
        <w:rPr>
          <w:u w:val="single"/>
        </w:rPr>
      </w:pPr>
      <w:r w:rsidRPr="002F794B">
        <w:rPr>
          <w:u w:val="single"/>
        </w:rPr>
        <w:t>Participante</w:t>
      </w:r>
    </w:p>
    <w:p w14:paraId="3B63C1E5" w14:textId="3FF4D46C" w:rsidR="000D19EB" w:rsidRPr="002F794B" w:rsidRDefault="00391558" w:rsidP="000D19EB">
      <w:r w:rsidRPr="002F794B">
        <w:t>Asociación de Normalización y Certificación, S.A. de C.V.</w:t>
      </w:r>
    </w:p>
    <w:p w14:paraId="7D12378B" w14:textId="77777777" w:rsidR="000D19EB" w:rsidRPr="002F794B" w:rsidRDefault="000D19EB" w:rsidP="000D19EB">
      <w:pPr>
        <w:rPr>
          <w:u w:val="single"/>
        </w:rPr>
      </w:pPr>
      <w:r w:rsidRPr="002F794B">
        <w:rPr>
          <w:u w:val="single"/>
        </w:rPr>
        <w:t>Comentario y propuesta</w:t>
      </w:r>
    </w:p>
    <w:p w14:paraId="0EAC852B" w14:textId="77777777" w:rsidR="00DA5680" w:rsidRPr="002F794B" w:rsidRDefault="00DA5680" w:rsidP="00DA5680">
      <w:pPr>
        <w:ind w:left="567" w:right="616"/>
        <w:rPr>
          <w:i/>
          <w:iCs/>
        </w:rPr>
      </w:pPr>
      <w:r w:rsidRPr="002F794B">
        <w:rPr>
          <w:b/>
          <w:bCs/>
          <w:i/>
          <w:iCs/>
        </w:rPr>
        <w:t>Consideración</w:t>
      </w:r>
      <w:r w:rsidRPr="002F794B">
        <w:rPr>
          <w:i/>
          <w:iCs/>
        </w:rPr>
        <w:t xml:space="preserve">: Los mencionados numerales indican que las bandas de frecuencias de operación específicas para micrófonos inalámbricos y para dispositivos de asistencia auditiva son las establecidas en las Tablas 6 y 19, respectivamente. </w:t>
      </w:r>
    </w:p>
    <w:p w14:paraId="0B7D8A2E" w14:textId="77777777" w:rsidR="00DA5680" w:rsidRPr="002F794B" w:rsidRDefault="00DA5680" w:rsidP="00DA5680">
      <w:pPr>
        <w:ind w:left="567" w:right="616"/>
        <w:rPr>
          <w:i/>
          <w:iCs/>
        </w:rPr>
      </w:pPr>
      <w:r w:rsidRPr="002F794B">
        <w:rPr>
          <w:i/>
          <w:iCs/>
        </w:rPr>
        <w:t>Actualmente la industria de audio emplea micrófonos en esos y otros intervalos de frecuencia.</w:t>
      </w:r>
    </w:p>
    <w:p w14:paraId="6A2ACC18" w14:textId="77777777" w:rsidR="00DA5680" w:rsidRPr="002F794B" w:rsidRDefault="00DA5680" w:rsidP="00DA5680">
      <w:pPr>
        <w:ind w:left="567" w:right="616"/>
        <w:rPr>
          <w:i/>
          <w:iCs/>
        </w:rPr>
      </w:pPr>
      <w:r w:rsidRPr="002F794B">
        <w:rPr>
          <w:b/>
          <w:bCs/>
          <w:i/>
          <w:iCs/>
        </w:rPr>
        <w:t>Problema:</w:t>
      </w:r>
      <w:r w:rsidRPr="002F794B">
        <w:rPr>
          <w:i/>
          <w:iCs/>
        </w:rPr>
        <w:t xml:space="preserve"> La redacción actual del Anteproyecto puede interpretarse de dos maneras:</w:t>
      </w:r>
    </w:p>
    <w:p w14:paraId="06E49634" w14:textId="77777777" w:rsidR="00DA5680" w:rsidRPr="002F794B" w:rsidRDefault="00DA5680" w:rsidP="00DA5680">
      <w:pPr>
        <w:ind w:left="567" w:right="616"/>
        <w:rPr>
          <w:i/>
          <w:iCs/>
        </w:rPr>
      </w:pPr>
      <w:r w:rsidRPr="002F794B">
        <w:rPr>
          <w:i/>
          <w:iCs/>
        </w:rPr>
        <w:t>1) Aquellos micrófonos y aparatos auditivos que operan en bandas de frecuencias diferentes a los intervalos indicados en la Tabla 6 o la Tabla 19 según corresponda quedan fuera del campo de aplicación del Anteproyecto. En este supuesto, los sistemas de microfonía y aparatos auditivos que operen en otros intervalos deberán seguir siendo homologados mediante la dictaminación de un perito.</w:t>
      </w:r>
    </w:p>
    <w:p w14:paraId="0A63086F" w14:textId="77777777" w:rsidR="00DA5680" w:rsidRPr="002F794B" w:rsidRDefault="00DA5680" w:rsidP="00DA5680">
      <w:pPr>
        <w:ind w:left="567" w:right="616"/>
        <w:rPr>
          <w:i/>
          <w:iCs/>
        </w:rPr>
      </w:pPr>
      <w:r w:rsidRPr="002F794B">
        <w:rPr>
          <w:i/>
          <w:iCs/>
        </w:rPr>
        <w:t>2) Todo sistema de microfonía DEBE funcionar en las bandas de frecuencia de la Tabla 6, y todo sistema de ayuda auditiva DEBE funcionar en las bandas señaladas en la Tabla 19. Esto implica una restricción importante a la industria de audio, y para la innovación para el sector de investigación en el área de la salud.</w:t>
      </w:r>
    </w:p>
    <w:p w14:paraId="14473F00" w14:textId="77777777" w:rsidR="00DA5680" w:rsidRPr="002F794B" w:rsidRDefault="00DA5680" w:rsidP="00DA5680">
      <w:pPr>
        <w:ind w:left="567" w:right="616"/>
        <w:rPr>
          <w:i/>
          <w:iCs/>
        </w:rPr>
      </w:pPr>
      <w:r w:rsidRPr="002F794B">
        <w:rPr>
          <w:i/>
          <w:iCs/>
        </w:rPr>
        <w:t>No debe permitirse a los sujetos regulados encontrar múltiples interpretaciones del documento.</w:t>
      </w:r>
    </w:p>
    <w:p w14:paraId="3797A67B" w14:textId="0A8C240B" w:rsidR="00FC3EAE" w:rsidRPr="002F794B" w:rsidRDefault="00FC3EAE" w:rsidP="005E2CCD">
      <w:pPr>
        <w:ind w:left="567" w:right="616"/>
        <w:rPr>
          <w:i/>
          <w:iCs/>
        </w:rPr>
      </w:pPr>
      <w:r w:rsidRPr="002F794B">
        <w:rPr>
          <w:b/>
          <w:bCs/>
          <w:i/>
          <w:iCs/>
        </w:rPr>
        <w:t xml:space="preserve">Se propone: </w:t>
      </w:r>
      <w:r w:rsidR="005E2CCD" w:rsidRPr="002F794B">
        <w:rPr>
          <w:i/>
          <w:iCs/>
        </w:rPr>
        <w:t>(…)</w:t>
      </w:r>
    </w:p>
    <w:p w14:paraId="5C620495" w14:textId="3C9ED573" w:rsidR="005E2CCD" w:rsidRPr="002F794B" w:rsidRDefault="005E2CCD" w:rsidP="005E2CCD">
      <w:pPr>
        <w:ind w:left="567" w:right="616"/>
        <w:rPr>
          <w:i/>
          <w:iCs/>
        </w:rPr>
      </w:pPr>
      <w:r w:rsidRPr="002F794B">
        <w:t>(</w:t>
      </w:r>
      <w:r w:rsidRPr="002F794B">
        <w:rPr>
          <w:b/>
          <w:bCs/>
          <w:i/>
          <w:iCs/>
        </w:rPr>
        <w:t>…</w:t>
      </w:r>
      <w:r w:rsidRPr="002F794B">
        <w:rPr>
          <w:i/>
          <w:iCs/>
        </w:rPr>
        <w:t>)</w:t>
      </w:r>
    </w:p>
    <w:p w14:paraId="4FDA9CAB" w14:textId="77777777" w:rsidR="00FC3EAE" w:rsidRPr="002F794B" w:rsidRDefault="00FC3EAE" w:rsidP="00FC3EAE">
      <w:pPr>
        <w:ind w:left="567" w:right="616"/>
        <w:rPr>
          <w:i/>
          <w:iCs/>
        </w:rPr>
      </w:pPr>
      <w:r w:rsidRPr="002F794B">
        <w:rPr>
          <w:i/>
          <w:iCs/>
        </w:rPr>
        <w:t>De forma análoga, indicar en el inciso 7.4.1 de la forma siguiente:</w:t>
      </w:r>
    </w:p>
    <w:p w14:paraId="10B919C0" w14:textId="77777777" w:rsidR="00FC3EAE" w:rsidRPr="002F794B" w:rsidRDefault="00FC3EAE" w:rsidP="005E2CCD">
      <w:pPr>
        <w:ind w:left="1134" w:right="616"/>
        <w:rPr>
          <w:i/>
          <w:iCs/>
        </w:rPr>
      </w:pPr>
      <w:r w:rsidRPr="002F794B">
        <w:rPr>
          <w:i/>
          <w:iCs/>
        </w:rPr>
        <w:t>7.4.1 BANDAS DE FRECUENCIA DE OPERACIÓN ESPECÍFICAS</w:t>
      </w:r>
    </w:p>
    <w:p w14:paraId="66098302" w14:textId="281D951F" w:rsidR="00FC3EAE" w:rsidRPr="002F794B" w:rsidRDefault="00FC3EAE" w:rsidP="005E2CCD">
      <w:pPr>
        <w:ind w:left="1134" w:right="616"/>
        <w:rPr>
          <w:i/>
          <w:iCs/>
        </w:rPr>
      </w:pPr>
      <w:r w:rsidRPr="002F794B">
        <w:rPr>
          <w:i/>
          <w:iCs/>
        </w:rPr>
        <w:lastRenderedPageBreak/>
        <w:t>Los dispositivos de asistencia auditiva en el alcance de esta Disposición Técnica son aquellos que operan en las bandas de operación establecidas en la Tabla 19.</w:t>
      </w:r>
    </w:p>
    <w:p w14:paraId="3EE9C908" w14:textId="2804F39D" w:rsidR="000D19EB" w:rsidRPr="002F794B" w:rsidRDefault="000D19EB" w:rsidP="000D19EB">
      <w:pPr>
        <w:ind w:left="567" w:right="616"/>
        <w:rPr>
          <w:i/>
          <w:iCs/>
        </w:rPr>
      </w:pPr>
    </w:p>
    <w:p w14:paraId="29D2035C" w14:textId="77777777" w:rsidR="000D19EB" w:rsidRPr="002F794B" w:rsidRDefault="000D19EB" w:rsidP="000D19EB">
      <w:pPr>
        <w:rPr>
          <w:u w:val="single"/>
        </w:rPr>
      </w:pPr>
      <w:r w:rsidRPr="002F794B">
        <w:rPr>
          <w:u w:val="single"/>
        </w:rPr>
        <w:t>Respuesta</w:t>
      </w:r>
    </w:p>
    <w:p w14:paraId="3769DF1D" w14:textId="77777777" w:rsidR="00FB67F0" w:rsidRPr="002F794B" w:rsidRDefault="00FB67F0" w:rsidP="00FB67F0">
      <w:r w:rsidRPr="002F794B">
        <w:t>No se considera. Los dispositivos fuera del campo de aplicación de la presente DT deberán ser homologados conforme lo establecido en los Lineamientos Octavo y Vigésimo de los “Lineamientos para la homologación de productos, equipos, dispositivos o aparatos destinados a telecomunicaciones o radiodifusión.</w:t>
      </w:r>
    </w:p>
    <w:p w14:paraId="19CBC058" w14:textId="77777777" w:rsidR="000D19EB" w:rsidRPr="002F794B" w:rsidRDefault="000D19EB" w:rsidP="00C22600"/>
    <w:p w14:paraId="7EDDEA09" w14:textId="7B8CE971" w:rsidR="0083425A" w:rsidRPr="002F794B" w:rsidRDefault="0083425A" w:rsidP="00DE39DA">
      <w:pPr>
        <w:outlineLvl w:val="1"/>
        <w:rPr>
          <w:b/>
          <w:bCs/>
        </w:rPr>
      </w:pPr>
      <w:r w:rsidRPr="002F794B">
        <w:rPr>
          <w:b/>
          <w:bCs/>
        </w:rPr>
        <w:t>Numeral 7.4.2</w:t>
      </w:r>
    </w:p>
    <w:p w14:paraId="254926C0" w14:textId="77777777" w:rsidR="000D19EB" w:rsidRPr="002F794B" w:rsidRDefault="000D19EB" w:rsidP="000D19EB">
      <w:pPr>
        <w:rPr>
          <w:u w:val="single"/>
        </w:rPr>
      </w:pPr>
      <w:r w:rsidRPr="002F794B">
        <w:rPr>
          <w:u w:val="single"/>
        </w:rPr>
        <w:t>Participante</w:t>
      </w:r>
    </w:p>
    <w:p w14:paraId="026056D1" w14:textId="5A1102A9" w:rsidR="000D19EB" w:rsidRPr="002F794B" w:rsidRDefault="00C5786C" w:rsidP="000D19EB">
      <w:r w:rsidRPr="002F794B">
        <w:t>Asociación de Normalización y Certificación, S.A. de C.V.</w:t>
      </w:r>
    </w:p>
    <w:p w14:paraId="44EF32D8" w14:textId="77777777" w:rsidR="000D19EB" w:rsidRPr="002F794B" w:rsidRDefault="000D19EB" w:rsidP="000D19EB">
      <w:pPr>
        <w:rPr>
          <w:u w:val="single"/>
        </w:rPr>
      </w:pPr>
      <w:r w:rsidRPr="002F794B">
        <w:rPr>
          <w:u w:val="single"/>
        </w:rPr>
        <w:t>Comentario y propuesta</w:t>
      </w:r>
    </w:p>
    <w:p w14:paraId="6DCF8683" w14:textId="77777777" w:rsidR="00CE0768" w:rsidRPr="002F794B" w:rsidRDefault="00CE0768" w:rsidP="00CE0768">
      <w:pPr>
        <w:ind w:left="567" w:right="616"/>
        <w:rPr>
          <w:i/>
          <w:iCs/>
        </w:rPr>
      </w:pPr>
      <w:r w:rsidRPr="002F794B">
        <w:rPr>
          <w:b/>
          <w:bCs/>
          <w:i/>
          <w:iCs/>
        </w:rPr>
        <w:t xml:space="preserve">Dice: </w:t>
      </w:r>
      <w:r w:rsidRPr="002F794B">
        <w:rPr>
          <w:i/>
          <w:iCs/>
        </w:rPr>
        <w:t>El BW</w:t>
      </w:r>
      <w:r w:rsidRPr="002F794B">
        <w:rPr>
          <w:i/>
          <w:iCs/>
          <w:vertAlign w:val="subscript"/>
        </w:rPr>
        <w:t>Max</w:t>
      </w:r>
      <w:r w:rsidRPr="002F794B">
        <w:rPr>
          <w:i/>
          <w:iCs/>
        </w:rPr>
        <w:t xml:space="preserve"> permitido es 200 kHz. El fabricante debe declarar el BW</w:t>
      </w:r>
      <w:r w:rsidRPr="002F794B">
        <w:rPr>
          <w:i/>
          <w:iCs/>
          <w:vertAlign w:val="subscript"/>
        </w:rPr>
        <w:t>ch</w:t>
      </w:r>
      <w:r w:rsidRPr="002F794B">
        <w:rPr>
          <w:i/>
          <w:iCs/>
        </w:rPr>
        <w:t xml:space="preserve"> o BW</w:t>
      </w:r>
      <w:r w:rsidRPr="002F794B">
        <w:rPr>
          <w:i/>
          <w:iCs/>
          <w:vertAlign w:val="subscript"/>
        </w:rPr>
        <w:t>oc</w:t>
      </w:r>
      <w:r w:rsidRPr="002F794B">
        <w:rPr>
          <w:i/>
          <w:iCs/>
        </w:rPr>
        <w:t xml:space="preserve"> del dispositivo de asistencia auditiva, el cual debe ser menor o igual a BW</w:t>
      </w:r>
      <w:r w:rsidRPr="002F794B">
        <w:rPr>
          <w:i/>
          <w:iCs/>
          <w:vertAlign w:val="subscript"/>
        </w:rPr>
        <w:t>Max</w:t>
      </w:r>
      <w:r w:rsidRPr="002F794B">
        <w:rPr>
          <w:i/>
          <w:iCs/>
        </w:rPr>
        <w:t>.</w:t>
      </w:r>
    </w:p>
    <w:p w14:paraId="4D6834BE" w14:textId="77777777" w:rsidR="00CE0768" w:rsidRPr="002F794B" w:rsidRDefault="00CE0768" w:rsidP="00CE0768">
      <w:pPr>
        <w:ind w:left="567" w:right="616"/>
        <w:rPr>
          <w:i/>
          <w:iCs/>
        </w:rPr>
      </w:pPr>
      <w:r w:rsidRPr="002F794B">
        <w:rPr>
          <w:b/>
          <w:bCs/>
          <w:i/>
          <w:iCs/>
        </w:rPr>
        <w:t>Debe decir:</w:t>
      </w:r>
      <w:r w:rsidRPr="002F794B">
        <w:rPr>
          <w:i/>
          <w:iCs/>
        </w:rPr>
        <w:t xml:space="preserve"> El BW</w:t>
      </w:r>
      <w:r w:rsidRPr="002F794B">
        <w:rPr>
          <w:i/>
          <w:iCs/>
          <w:vertAlign w:val="subscript"/>
        </w:rPr>
        <w:t>Max</w:t>
      </w:r>
      <w:r w:rsidRPr="002F794B">
        <w:rPr>
          <w:i/>
          <w:iCs/>
        </w:rPr>
        <w:t xml:space="preserve"> permitido es 200 kHz. El interesado debe declarar al Organismo de Certificación y al Laboratorio de Pruebas el BW</w:t>
      </w:r>
      <w:r w:rsidRPr="002F794B">
        <w:rPr>
          <w:i/>
          <w:iCs/>
          <w:vertAlign w:val="subscript"/>
        </w:rPr>
        <w:t>ch</w:t>
      </w:r>
      <w:r w:rsidRPr="002F794B">
        <w:rPr>
          <w:i/>
          <w:iCs/>
        </w:rPr>
        <w:t xml:space="preserve"> o BW</w:t>
      </w:r>
      <w:r w:rsidRPr="002F794B">
        <w:rPr>
          <w:i/>
          <w:iCs/>
          <w:vertAlign w:val="subscript"/>
        </w:rPr>
        <w:t>oc</w:t>
      </w:r>
      <w:r w:rsidRPr="002F794B">
        <w:rPr>
          <w:i/>
          <w:iCs/>
        </w:rPr>
        <w:t xml:space="preserve"> del dispositivo de asistencia auditiva, el cual debe ser menor o igual a BW</w:t>
      </w:r>
      <w:r w:rsidRPr="002F794B">
        <w:rPr>
          <w:i/>
          <w:iCs/>
          <w:vertAlign w:val="subscript"/>
        </w:rPr>
        <w:t>Max</w:t>
      </w:r>
      <w:r w:rsidRPr="002F794B">
        <w:rPr>
          <w:i/>
          <w:iCs/>
        </w:rPr>
        <w:t>.</w:t>
      </w:r>
    </w:p>
    <w:p w14:paraId="277E54AD" w14:textId="31BC4AA5" w:rsidR="000D19EB" w:rsidRPr="002F794B" w:rsidRDefault="00CE0768" w:rsidP="00CE0768">
      <w:pPr>
        <w:ind w:left="567" w:right="616"/>
        <w:rPr>
          <w:i/>
          <w:iCs/>
        </w:rPr>
      </w:pPr>
      <w:r w:rsidRPr="002F794B">
        <w:rPr>
          <w:b/>
          <w:bCs/>
          <w:i/>
          <w:iCs/>
        </w:rPr>
        <w:t>Justificación</w:t>
      </w:r>
      <w:r w:rsidRPr="002F794B">
        <w:rPr>
          <w:i/>
          <w:iCs/>
        </w:rPr>
        <w:t>: La responsabilidad durante la evaluación de la conformidad de un producto recae en el sujeto interesado, y no en el fabricante del producto. El ancho de banda de canal no suele ser considerado un dato de interés a los usuarios finales, por lo que no forma parte de los manuales u hojas de especificaciones. En cualquier caso, es el interesado o solicitante quien deberá realizar la gestión con el fabricante de la información requerida.</w:t>
      </w:r>
    </w:p>
    <w:p w14:paraId="348330EA" w14:textId="77777777" w:rsidR="000D19EB" w:rsidRPr="002F794B" w:rsidRDefault="000D19EB" w:rsidP="000D19EB">
      <w:pPr>
        <w:rPr>
          <w:u w:val="single"/>
        </w:rPr>
      </w:pPr>
      <w:r w:rsidRPr="002F794B">
        <w:rPr>
          <w:u w:val="single"/>
        </w:rPr>
        <w:t>Respuesta</w:t>
      </w:r>
    </w:p>
    <w:p w14:paraId="27F84019" w14:textId="47170C9F" w:rsidR="000D19EB" w:rsidRPr="002F794B" w:rsidRDefault="007F346A" w:rsidP="000D19EB">
      <w:r w:rsidRPr="002F794B">
        <w:t>No se considera. El valor del BW</w:t>
      </w:r>
      <w:r w:rsidRPr="002F794B">
        <w:rPr>
          <w:vertAlign w:val="subscript"/>
        </w:rPr>
        <w:t>oc</w:t>
      </w:r>
      <w:r w:rsidRPr="002F794B">
        <w:t xml:space="preserve"> proporcionado por el interesado es informativo; los valores de </w:t>
      </w:r>
      <w:proofErr w:type="spellStart"/>
      <w:r w:rsidRPr="002F794B">
        <w:t>BW</w:t>
      </w:r>
      <w:r w:rsidRPr="002F794B">
        <w:rPr>
          <w:vertAlign w:val="subscript"/>
        </w:rPr>
        <w:t>max</w:t>
      </w:r>
      <w:proofErr w:type="spellEnd"/>
      <w:r w:rsidRPr="002F794B">
        <w:t xml:space="preserve"> previstos en la DT serán </w:t>
      </w:r>
      <w:proofErr w:type="gramStart"/>
      <w:r w:rsidRPr="002F794B">
        <w:t>los valores a medir</w:t>
      </w:r>
      <w:proofErr w:type="gramEnd"/>
      <w:r w:rsidRPr="002F794B">
        <w:t xml:space="preserve"> por el LP. Los resultados obtenidos por el LP deberán ser menores a los señalados en la DT.</w:t>
      </w:r>
    </w:p>
    <w:p w14:paraId="34F139F4" w14:textId="77777777" w:rsidR="000D19EB" w:rsidRPr="002F794B" w:rsidRDefault="000D19EB" w:rsidP="00C22600"/>
    <w:p w14:paraId="2AD25F0D" w14:textId="5D6CF630" w:rsidR="000B6CD1" w:rsidRPr="002F794B" w:rsidRDefault="000B6CD1" w:rsidP="007F346A">
      <w:pPr>
        <w:keepNext/>
        <w:outlineLvl w:val="1"/>
        <w:rPr>
          <w:b/>
          <w:bCs/>
        </w:rPr>
      </w:pPr>
      <w:r w:rsidRPr="002F794B">
        <w:rPr>
          <w:b/>
          <w:bCs/>
        </w:rPr>
        <w:lastRenderedPageBreak/>
        <w:t>Numeral 7.4.5</w:t>
      </w:r>
    </w:p>
    <w:p w14:paraId="586038DF" w14:textId="77777777" w:rsidR="000D19EB" w:rsidRPr="002F794B" w:rsidRDefault="000D19EB" w:rsidP="007F346A">
      <w:pPr>
        <w:keepNext/>
        <w:rPr>
          <w:u w:val="single"/>
        </w:rPr>
      </w:pPr>
      <w:r w:rsidRPr="002F794B">
        <w:rPr>
          <w:u w:val="single"/>
        </w:rPr>
        <w:t>Participante</w:t>
      </w:r>
    </w:p>
    <w:p w14:paraId="7E72ADEE" w14:textId="231385A3" w:rsidR="000D19EB" w:rsidRPr="002F794B" w:rsidRDefault="00F65B6C" w:rsidP="007F346A">
      <w:pPr>
        <w:keepNext/>
      </w:pPr>
      <w:r w:rsidRPr="002F794B">
        <w:t>Cámara Nacional de la Industria Electrónica, de Telecomunicaciones y Tecnologías de la Información</w:t>
      </w:r>
    </w:p>
    <w:p w14:paraId="10878B62" w14:textId="77777777" w:rsidR="000D19EB" w:rsidRPr="002F794B" w:rsidRDefault="000D19EB" w:rsidP="000D19EB">
      <w:pPr>
        <w:rPr>
          <w:u w:val="single"/>
        </w:rPr>
      </w:pPr>
      <w:r w:rsidRPr="002F794B">
        <w:rPr>
          <w:u w:val="single"/>
        </w:rPr>
        <w:t>Comentario y propuesta</w:t>
      </w:r>
    </w:p>
    <w:p w14:paraId="3AFAF542" w14:textId="62D8750E" w:rsidR="000D19EB" w:rsidRPr="002F794B" w:rsidRDefault="002B3C26" w:rsidP="000D19EB">
      <w:pPr>
        <w:ind w:left="567" w:right="616"/>
        <w:rPr>
          <w:i/>
          <w:iCs/>
        </w:rPr>
      </w:pPr>
      <w:r w:rsidRPr="002F794B">
        <w:rPr>
          <w:i/>
          <w:iCs/>
        </w:rPr>
        <w:t xml:space="preserve">Se solicita puntualizar si el DRPB debe someterse a ambas pruebas de tolerancia de frecuencia, o se podrá optar por solo una en función de las capacidades </w:t>
      </w:r>
      <w:proofErr w:type="gramStart"/>
      <w:r w:rsidRPr="002F794B">
        <w:rPr>
          <w:i/>
          <w:iCs/>
        </w:rPr>
        <w:t>del mismo</w:t>
      </w:r>
      <w:proofErr w:type="gramEnd"/>
      <w:r w:rsidRPr="002F794B">
        <w:rPr>
          <w:i/>
          <w:iCs/>
        </w:rPr>
        <w:t xml:space="preserve"> DRBP</w:t>
      </w:r>
      <w:r w:rsidR="00655C3C" w:rsidRPr="002F794B">
        <w:rPr>
          <w:i/>
          <w:iCs/>
        </w:rPr>
        <w:t>.</w:t>
      </w:r>
    </w:p>
    <w:p w14:paraId="489FC9D4" w14:textId="77777777" w:rsidR="000D19EB" w:rsidRPr="002F794B" w:rsidRDefault="000D19EB" w:rsidP="000D19EB">
      <w:pPr>
        <w:rPr>
          <w:u w:val="single"/>
        </w:rPr>
      </w:pPr>
      <w:r w:rsidRPr="002F794B">
        <w:rPr>
          <w:u w:val="single"/>
        </w:rPr>
        <w:t>Respuesta</w:t>
      </w:r>
    </w:p>
    <w:p w14:paraId="6EE81450" w14:textId="0D3E3B84" w:rsidR="000D19EB" w:rsidRPr="002F794B" w:rsidRDefault="002C443D" w:rsidP="00C22600">
      <w:r w:rsidRPr="002F794B">
        <w:t>Se considera y ajusta la redacción para indicar que el DRBP debe someterse a ambas pruebas de Tolerancia de frecuencia conforme lo indicado en la especificación técnica.</w:t>
      </w:r>
    </w:p>
    <w:p w14:paraId="7C9CB348" w14:textId="77777777" w:rsidR="002C443D" w:rsidRPr="002F794B" w:rsidRDefault="002C443D" w:rsidP="00C22600"/>
    <w:p w14:paraId="18D27EB1" w14:textId="77777777" w:rsidR="000D19EB" w:rsidRPr="002F794B" w:rsidRDefault="000D19EB" w:rsidP="000D19EB">
      <w:pPr>
        <w:rPr>
          <w:u w:val="single"/>
        </w:rPr>
      </w:pPr>
      <w:r w:rsidRPr="002F794B">
        <w:rPr>
          <w:u w:val="single"/>
        </w:rPr>
        <w:t>Participante</w:t>
      </w:r>
    </w:p>
    <w:p w14:paraId="5E53102F" w14:textId="3AE593C8" w:rsidR="000D19EB" w:rsidRPr="002F794B" w:rsidRDefault="00BC33CB" w:rsidP="000D19EB">
      <w:r w:rsidRPr="002F794B">
        <w:t>Consejo Mexicano de Normalización y Evaluación de la Conformidad A.C.</w:t>
      </w:r>
    </w:p>
    <w:p w14:paraId="33A0CAA5" w14:textId="77777777" w:rsidR="000D19EB" w:rsidRPr="002F794B" w:rsidRDefault="000D19EB" w:rsidP="000D19EB">
      <w:pPr>
        <w:rPr>
          <w:u w:val="single"/>
        </w:rPr>
      </w:pPr>
      <w:r w:rsidRPr="002F794B">
        <w:rPr>
          <w:u w:val="single"/>
        </w:rPr>
        <w:t>Comentario y propuesta</w:t>
      </w:r>
    </w:p>
    <w:p w14:paraId="3A8AE12D" w14:textId="69218AD9" w:rsidR="000D19EB" w:rsidRPr="002F794B" w:rsidRDefault="00F61C86" w:rsidP="000D19EB">
      <w:pPr>
        <w:ind w:left="567" w:right="616"/>
        <w:rPr>
          <w:i/>
          <w:iCs/>
        </w:rPr>
      </w:pPr>
      <w:r w:rsidRPr="002F794B">
        <w:rPr>
          <w:i/>
          <w:iCs/>
        </w:rPr>
        <w:t xml:space="preserve">Puntualizar si el DRPB debe someterse a ambas pruebas de tolerancia de frecuencia o se podrá optar por solo una en función de las capacidades </w:t>
      </w:r>
      <w:proofErr w:type="gramStart"/>
      <w:r w:rsidRPr="002F794B">
        <w:rPr>
          <w:i/>
          <w:iCs/>
        </w:rPr>
        <w:t>del mismo</w:t>
      </w:r>
      <w:proofErr w:type="gramEnd"/>
      <w:r w:rsidRPr="002F794B">
        <w:rPr>
          <w:i/>
          <w:iCs/>
        </w:rPr>
        <w:t xml:space="preserve"> DRBP.</w:t>
      </w:r>
    </w:p>
    <w:p w14:paraId="7CED4EE4" w14:textId="77777777" w:rsidR="000D19EB" w:rsidRPr="002F794B" w:rsidRDefault="000D19EB" w:rsidP="000D19EB">
      <w:pPr>
        <w:rPr>
          <w:u w:val="single"/>
        </w:rPr>
      </w:pPr>
      <w:r w:rsidRPr="002F794B">
        <w:rPr>
          <w:u w:val="single"/>
        </w:rPr>
        <w:t>Respuesta</w:t>
      </w:r>
    </w:p>
    <w:p w14:paraId="48EBCADE" w14:textId="1AF2EBE1" w:rsidR="000D19EB" w:rsidRPr="002F794B" w:rsidRDefault="002C443D" w:rsidP="00C22600">
      <w:r w:rsidRPr="002F794B">
        <w:t xml:space="preserve">Se considera y ajusta la redacción para indicar que el DRBP debe someterse a ambas pruebas de Tolerancia de </w:t>
      </w:r>
      <w:r w:rsidR="00666A7B" w:rsidRPr="002F794B">
        <w:t>f</w:t>
      </w:r>
      <w:r w:rsidRPr="002F794B">
        <w:t>recuencia conforme lo indicado en la especificación técnica.</w:t>
      </w:r>
    </w:p>
    <w:p w14:paraId="1015AD65" w14:textId="77777777" w:rsidR="002C443D" w:rsidRPr="002F794B" w:rsidRDefault="002C443D" w:rsidP="00C22600"/>
    <w:p w14:paraId="4DE32551" w14:textId="1FC331EC" w:rsidR="00810712" w:rsidRPr="002F794B" w:rsidRDefault="00810712" w:rsidP="00DE39DA">
      <w:pPr>
        <w:outlineLvl w:val="1"/>
        <w:rPr>
          <w:b/>
          <w:bCs/>
        </w:rPr>
      </w:pPr>
      <w:r w:rsidRPr="002F794B">
        <w:rPr>
          <w:b/>
          <w:bCs/>
        </w:rPr>
        <w:t>Numeral 7.5.2</w:t>
      </w:r>
    </w:p>
    <w:p w14:paraId="1FB82164" w14:textId="77777777" w:rsidR="000D19EB" w:rsidRPr="002F794B" w:rsidRDefault="000D19EB" w:rsidP="000D19EB">
      <w:pPr>
        <w:rPr>
          <w:u w:val="single"/>
        </w:rPr>
      </w:pPr>
      <w:r w:rsidRPr="002F794B">
        <w:rPr>
          <w:u w:val="single"/>
        </w:rPr>
        <w:t>Participante</w:t>
      </w:r>
    </w:p>
    <w:p w14:paraId="75E5C7B3" w14:textId="567A5B73" w:rsidR="000D19EB" w:rsidRPr="002F794B" w:rsidRDefault="008A5CC7" w:rsidP="000D19EB">
      <w:r w:rsidRPr="002F794B">
        <w:t>Asociación de Normalización y Certificación, S.A. de C.V.</w:t>
      </w:r>
    </w:p>
    <w:p w14:paraId="0B2B1E15" w14:textId="77777777" w:rsidR="000D19EB" w:rsidRPr="002F794B" w:rsidRDefault="000D19EB" w:rsidP="000D19EB">
      <w:pPr>
        <w:rPr>
          <w:u w:val="single"/>
        </w:rPr>
      </w:pPr>
      <w:r w:rsidRPr="002F794B">
        <w:rPr>
          <w:u w:val="single"/>
        </w:rPr>
        <w:t>Comentario y propuesta</w:t>
      </w:r>
    </w:p>
    <w:p w14:paraId="6313615D" w14:textId="77777777" w:rsidR="00091C8A" w:rsidRPr="002F794B" w:rsidRDefault="00091C8A" w:rsidP="00091C8A">
      <w:pPr>
        <w:ind w:left="567" w:right="616"/>
        <w:rPr>
          <w:i/>
          <w:iCs/>
        </w:rPr>
      </w:pPr>
      <w:r w:rsidRPr="002F794B">
        <w:rPr>
          <w:b/>
          <w:bCs/>
          <w:i/>
          <w:iCs/>
        </w:rPr>
        <w:t xml:space="preserve">Dice: </w:t>
      </w:r>
      <w:r w:rsidRPr="002F794B">
        <w:rPr>
          <w:i/>
          <w:iCs/>
        </w:rPr>
        <w:t>El BW</w:t>
      </w:r>
      <w:r w:rsidRPr="002F794B">
        <w:rPr>
          <w:i/>
          <w:iCs/>
          <w:vertAlign w:val="subscript"/>
        </w:rPr>
        <w:t>Max</w:t>
      </w:r>
      <w:r w:rsidRPr="002F794B">
        <w:rPr>
          <w:i/>
          <w:iCs/>
        </w:rPr>
        <w:t xml:space="preserve"> permitido es 200 kHz. El fabricante debe declarar el BW</w:t>
      </w:r>
      <w:r w:rsidRPr="002F794B">
        <w:rPr>
          <w:i/>
          <w:iCs/>
          <w:vertAlign w:val="subscript"/>
        </w:rPr>
        <w:t>ch</w:t>
      </w:r>
      <w:r w:rsidRPr="002F794B">
        <w:rPr>
          <w:i/>
          <w:iCs/>
        </w:rPr>
        <w:t xml:space="preserve"> o BW</w:t>
      </w:r>
      <w:r w:rsidRPr="002F794B">
        <w:rPr>
          <w:i/>
          <w:iCs/>
          <w:vertAlign w:val="subscript"/>
        </w:rPr>
        <w:t>oc</w:t>
      </w:r>
      <w:r w:rsidRPr="002F794B">
        <w:rPr>
          <w:i/>
          <w:iCs/>
        </w:rPr>
        <w:t xml:space="preserve"> de la alarma inalámbrica, el cual debe ser menor o igual a BW</w:t>
      </w:r>
      <w:r w:rsidRPr="002F794B">
        <w:rPr>
          <w:i/>
          <w:iCs/>
          <w:vertAlign w:val="subscript"/>
        </w:rPr>
        <w:t>Max</w:t>
      </w:r>
      <w:r w:rsidRPr="002F794B">
        <w:rPr>
          <w:i/>
          <w:iCs/>
        </w:rPr>
        <w:t>.</w:t>
      </w:r>
    </w:p>
    <w:p w14:paraId="798B2A36" w14:textId="77777777" w:rsidR="00091C8A" w:rsidRPr="002F794B" w:rsidRDefault="00091C8A" w:rsidP="00091C8A">
      <w:pPr>
        <w:ind w:left="567" w:right="616"/>
        <w:rPr>
          <w:i/>
          <w:iCs/>
        </w:rPr>
      </w:pPr>
      <w:r w:rsidRPr="002F794B">
        <w:rPr>
          <w:b/>
          <w:bCs/>
          <w:i/>
          <w:iCs/>
        </w:rPr>
        <w:lastRenderedPageBreak/>
        <w:t>Debe decir:</w:t>
      </w:r>
      <w:r w:rsidRPr="002F794B">
        <w:rPr>
          <w:i/>
          <w:iCs/>
        </w:rPr>
        <w:t xml:space="preserve"> El BW</w:t>
      </w:r>
      <w:r w:rsidRPr="002F794B">
        <w:rPr>
          <w:i/>
          <w:iCs/>
          <w:vertAlign w:val="subscript"/>
        </w:rPr>
        <w:t>Max</w:t>
      </w:r>
      <w:r w:rsidRPr="002F794B">
        <w:rPr>
          <w:i/>
          <w:iCs/>
        </w:rPr>
        <w:t xml:space="preserve"> permitido es 200 kHz. El interesado debe declarar al Organismo de Certificación y al Laboratorio de Pruebas el BW</w:t>
      </w:r>
      <w:r w:rsidRPr="002F794B">
        <w:rPr>
          <w:i/>
          <w:iCs/>
          <w:vertAlign w:val="subscript"/>
        </w:rPr>
        <w:t>ch</w:t>
      </w:r>
      <w:r w:rsidRPr="002F794B">
        <w:rPr>
          <w:i/>
          <w:iCs/>
        </w:rPr>
        <w:t xml:space="preserve"> o BW</w:t>
      </w:r>
      <w:r w:rsidRPr="002F794B">
        <w:rPr>
          <w:i/>
          <w:iCs/>
          <w:vertAlign w:val="subscript"/>
        </w:rPr>
        <w:t>oc</w:t>
      </w:r>
      <w:r w:rsidRPr="002F794B">
        <w:rPr>
          <w:i/>
          <w:iCs/>
        </w:rPr>
        <w:t xml:space="preserve"> de la alarma inalámbrica, el cual debe ser menor o igual a BW</w:t>
      </w:r>
      <w:r w:rsidRPr="002F794B">
        <w:rPr>
          <w:i/>
          <w:iCs/>
          <w:vertAlign w:val="subscript"/>
        </w:rPr>
        <w:t>Max</w:t>
      </w:r>
      <w:r w:rsidRPr="002F794B">
        <w:rPr>
          <w:i/>
          <w:iCs/>
        </w:rPr>
        <w:t>.</w:t>
      </w:r>
    </w:p>
    <w:p w14:paraId="102DCF71" w14:textId="6ADF5C5D" w:rsidR="000D19EB" w:rsidRPr="002F794B" w:rsidRDefault="00091C8A" w:rsidP="00091C8A">
      <w:pPr>
        <w:ind w:left="567" w:right="616"/>
        <w:rPr>
          <w:i/>
          <w:iCs/>
        </w:rPr>
      </w:pPr>
      <w:r w:rsidRPr="002F794B">
        <w:rPr>
          <w:b/>
          <w:bCs/>
          <w:i/>
          <w:iCs/>
        </w:rPr>
        <w:t>Justificación</w:t>
      </w:r>
      <w:r w:rsidRPr="002F794B">
        <w:rPr>
          <w:i/>
          <w:iCs/>
        </w:rPr>
        <w:t>: La responsabilidad durante la evaluación de la conformidad de un producto recae en el sujeto interesado, y no en el fabricante del producto. El ancho de banda de canal no suele ser considerado un dato de interés a los usuarios finales, por lo que no forma parte de los manuales u hojas de especificaciones. En cualquier caso, es el interesado o solicitante quien deberá realizar la gestión con el fabricante de la información requerida.</w:t>
      </w:r>
    </w:p>
    <w:p w14:paraId="487BE44A" w14:textId="77777777" w:rsidR="000D19EB" w:rsidRPr="002F794B" w:rsidRDefault="000D19EB" w:rsidP="000D19EB">
      <w:pPr>
        <w:rPr>
          <w:u w:val="single"/>
        </w:rPr>
      </w:pPr>
      <w:r w:rsidRPr="002F794B">
        <w:rPr>
          <w:u w:val="single"/>
        </w:rPr>
        <w:t>Respuesta</w:t>
      </w:r>
    </w:p>
    <w:p w14:paraId="6367C9DD" w14:textId="26A8CB51" w:rsidR="000D19EB" w:rsidRPr="002F794B" w:rsidRDefault="00666A7B" w:rsidP="00C22600">
      <w:r w:rsidRPr="002F794B">
        <w:t xml:space="preserve">No se considera. El valor del BWoc proporcionado por el interesado es informativo; los valores de </w:t>
      </w:r>
      <w:proofErr w:type="spellStart"/>
      <w:r w:rsidRPr="002F794B">
        <w:t>BW</w:t>
      </w:r>
      <w:r w:rsidRPr="002F794B">
        <w:rPr>
          <w:vertAlign w:val="subscript"/>
        </w:rPr>
        <w:t>max</w:t>
      </w:r>
      <w:proofErr w:type="spellEnd"/>
      <w:r w:rsidRPr="002F794B">
        <w:t xml:space="preserve"> previstos en la DT serán </w:t>
      </w:r>
      <w:proofErr w:type="gramStart"/>
      <w:r w:rsidRPr="002F794B">
        <w:t>los valores a medir</w:t>
      </w:r>
      <w:proofErr w:type="gramEnd"/>
      <w:r w:rsidRPr="002F794B">
        <w:t xml:space="preserve"> por el LP. Los resultados obtenidos por el LP deberán ser menores a los señalados en la DT.</w:t>
      </w:r>
    </w:p>
    <w:p w14:paraId="423166D4" w14:textId="77777777" w:rsidR="00666A7B" w:rsidRPr="002F794B" w:rsidRDefault="00666A7B" w:rsidP="00C22600"/>
    <w:p w14:paraId="47C6CFD9" w14:textId="4D4484AB" w:rsidR="00A85231" w:rsidRPr="002F794B" w:rsidRDefault="00A85231" w:rsidP="00DE39DA">
      <w:pPr>
        <w:outlineLvl w:val="1"/>
        <w:rPr>
          <w:b/>
          <w:bCs/>
        </w:rPr>
      </w:pPr>
      <w:r w:rsidRPr="002F794B">
        <w:rPr>
          <w:b/>
          <w:bCs/>
        </w:rPr>
        <w:t>Numeral 7.5.4</w:t>
      </w:r>
    </w:p>
    <w:p w14:paraId="10979C4C" w14:textId="77777777" w:rsidR="000D19EB" w:rsidRPr="002F794B" w:rsidRDefault="000D19EB" w:rsidP="000D19EB">
      <w:pPr>
        <w:rPr>
          <w:u w:val="single"/>
        </w:rPr>
      </w:pPr>
      <w:r w:rsidRPr="002F794B">
        <w:rPr>
          <w:u w:val="single"/>
        </w:rPr>
        <w:t>Participante</w:t>
      </w:r>
    </w:p>
    <w:p w14:paraId="2353DB10" w14:textId="362C0DA4" w:rsidR="000D19EB" w:rsidRPr="002F794B" w:rsidRDefault="00B05452" w:rsidP="000D19EB">
      <w:r w:rsidRPr="002F794B">
        <w:t>Cámara Nacional de la Industria Electrónica, de Telecomunicaciones y Tecnologías de la Información</w:t>
      </w:r>
    </w:p>
    <w:p w14:paraId="6307CB47" w14:textId="77777777" w:rsidR="000D19EB" w:rsidRPr="002F794B" w:rsidRDefault="000D19EB" w:rsidP="000D19EB">
      <w:pPr>
        <w:rPr>
          <w:u w:val="single"/>
        </w:rPr>
      </w:pPr>
      <w:r w:rsidRPr="002F794B">
        <w:rPr>
          <w:u w:val="single"/>
        </w:rPr>
        <w:t>Comentario y propuesta</w:t>
      </w:r>
    </w:p>
    <w:p w14:paraId="72E57D65" w14:textId="77777777" w:rsidR="00B05452" w:rsidRPr="002F794B" w:rsidRDefault="00B05452" w:rsidP="00B05452">
      <w:pPr>
        <w:ind w:left="567" w:right="616"/>
        <w:rPr>
          <w:i/>
          <w:iCs/>
        </w:rPr>
      </w:pPr>
      <w:r w:rsidRPr="002F794B">
        <w:rPr>
          <w:i/>
          <w:iCs/>
        </w:rPr>
        <w:t>Se establece el límite de potencia para emisiones conducidas, pero no queda claro cuál es el límite de potencia en caso de que realice la medición radiada, por lo que surgen las siguientes dudas:</w:t>
      </w:r>
    </w:p>
    <w:p w14:paraId="69088A78" w14:textId="43DCDA3A" w:rsidR="00B05452" w:rsidRPr="002F794B" w:rsidRDefault="00B05452" w:rsidP="00B05452">
      <w:pPr>
        <w:pStyle w:val="Prrafodelista"/>
        <w:numPr>
          <w:ilvl w:val="0"/>
          <w:numId w:val="9"/>
        </w:numPr>
        <w:ind w:right="616"/>
        <w:rPr>
          <w:i/>
          <w:iCs/>
        </w:rPr>
      </w:pPr>
      <w:r w:rsidRPr="002F794B">
        <w:rPr>
          <w:i/>
          <w:iCs/>
        </w:rPr>
        <w:t>¿Hay algún límite para el valor de potencia de emisiones radiadas? y</w:t>
      </w:r>
    </w:p>
    <w:p w14:paraId="3D0E5429" w14:textId="1CF269AF" w:rsidR="000D19EB" w:rsidRPr="002F794B" w:rsidRDefault="00B05452" w:rsidP="00B05452">
      <w:pPr>
        <w:pStyle w:val="Prrafodelista"/>
        <w:numPr>
          <w:ilvl w:val="0"/>
          <w:numId w:val="9"/>
        </w:numPr>
        <w:ind w:right="616"/>
        <w:rPr>
          <w:i/>
          <w:iCs/>
        </w:rPr>
      </w:pPr>
      <w:r w:rsidRPr="002F794B">
        <w:rPr>
          <w:i/>
          <w:iCs/>
        </w:rPr>
        <w:t>¿Se podrá calcular la potencia conducida/radiada a través de la ganancia de antena?</w:t>
      </w:r>
    </w:p>
    <w:p w14:paraId="69BF7BEA" w14:textId="77777777" w:rsidR="000D19EB" w:rsidRPr="002F794B" w:rsidRDefault="000D19EB" w:rsidP="000D19EB">
      <w:pPr>
        <w:rPr>
          <w:u w:val="single"/>
        </w:rPr>
      </w:pPr>
      <w:r w:rsidRPr="002F794B">
        <w:rPr>
          <w:u w:val="single"/>
        </w:rPr>
        <w:t>Respuesta</w:t>
      </w:r>
    </w:p>
    <w:p w14:paraId="38E6FD7E" w14:textId="0ADFDA60" w:rsidR="000D19EB" w:rsidRPr="002F794B" w:rsidRDefault="00655709" w:rsidP="00C22600">
      <w:r w:rsidRPr="002F794B">
        <w:t>No se considera, las condiciones para las pruebas radiadas se establecen en el numeral 8.3.1.2.</w:t>
      </w:r>
    </w:p>
    <w:p w14:paraId="6E6AA509" w14:textId="77777777" w:rsidR="00655709" w:rsidRPr="002F794B" w:rsidRDefault="00655709" w:rsidP="00C22600"/>
    <w:p w14:paraId="750F672F" w14:textId="77777777" w:rsidR="000D19EB" w:rsidRPr="002F794B" w:rsidRDefault="000D19EB" w:rsidP="000D19EB">
      <w:pPr>
        <w:rPr>
          <w:u w:val="single"/>
        </w:rPr>
      </w:pPr>
      <w:r w:rsidRPr="002F794B">
        <w:rPr>
          <w:u w:val="single"/>
        </w:rPr>
        <w:t>Participante</w:t>
      </w:r>
    </w:p>
    <w:p w14:paraId="6AF67EE4" w14:textId="6D2CEED3" w:rsidR="000D19EB" w:rsidRPr="002F794B" w:rsidRDefault="00E57CF4" w:rsidP="000D19EB">
      <w:r w:rsidRPr="002F794B">
        <w:t>Consejo Mexicano de Normalización y Evaluación de la Conformidad A.C.</w:t>
      </w:r>
    </w:p>
    <w:p w14:paraId="0D6EE4BF" w14:textId="77777777" w:rsidR="000D19EB" w:rsidRPr="002F794B" w:rsidRDefault="000D19EB" w:rsidP="000D19EB">
      <w:pPr>
        <w:rPr>
          <w:u w:val="single"/>
        </w:rPr>
      </w:pPr>
      <w:r w:rsidRPr="002F794B">
        <w:rPr>
          <w:u w:val="single"/>
        </w:rPr>
        <w:t>Comentario y propuesta</w:t>
      </w:r>
    </w:p>
    <w:p w14:paraId="724A26DC" w14:textId="387CA3CC" w:rsidR="000D19EB" w:rsidRPr="002F794B" w:rsidRDefault="00936CC2" w:rsidP="000D19EB">
      <w:pPr>
        <w:ind w:left="567" w:right="616"/>
        <w:rPr>
          <w:i/>
          <w:iCs/>
        </w:rPr>
      </w:pPr>
      <w:r w:rsidRPr="002F794B">
        <w:rPr>
          <w:i/>
          <w:iCs/>
        </w:rPr>
        <w:lastRenderedPageBreak/>
        <w:t>Se establece el límite de potencia para emisiones conducidas, pero no queda claro cuál es el límite de potencia, en caso de que realice la medición radiada, por lo que quedan las siguientes dudas: ¿ Hay algún límite para el valor de potencia de emisiones radiadas? Y ¿Se podrá calcular la potencia conducida/radiada a través de la ganancia de antena?</w:t>
      </w:r>
    </w:p>
    <w:p w14:paraId="21C1BDF6" w14:textId="77777777" w:rsidR="000D19EB" w:rsidRPr="002F794B" w:rsidRDefault="000D19EB" w:rsidP="000D19EB">
      <w:pPr>
        <w:rPr>
          <w:u w:val="single"/>
        </w:rPr>
      </w:pPr>
      <w:r w:rsidRPr="002F794B">
        <w:rPr>
          <w:u w:val="single"/>
        </w:rPr>
        <w:t>Respuesta</w:t>
      </w:r>
    </w:p>
    <w:p w14:paraId="3362EC48" w14:textId="1EA9EB53" w:rsidR="000D19EB" w:rsidRPr="002F794B" w:rsidRDefault="00655709" w:rsidP="00C22600">
      <w:r w:rsidRPr="002F794B">
        <w:t>No se considera, las condiciones para las pruebas radiadas se establecen en el numeral 8.3.1.2.</w:t>
      </w:r>
    </w:p>
    <w:p w14:paraId="0D076222" w14:textId="77777777" w:rsidR="00655709" w:rsidRPr="002F794B" w:rsidRDefault="00655709" w:rsidP="00C22600"/>
    <w:p w14:paraId="1745EC47" w14:textId="29F0AED6" w:rsidR="00936CC2" w:rsidRPr="002F794B" w:rsidRDefault="00936CC2" w:rsidP="00DE39DA">
      <w:pPr>
        <w:outlineLvl w:val="1"/>
        <w:rPr>
          <w:b/>
          <w:bCs/>
        </w:rPr>
      </w:pPr>
      <w:r w:rsidRPr="002F794B">
        <w:rPr>
          <w:b/>
          <w:bCs/>
        </w:rPr>
        <w:t>Numeral 7.5.5</w:t>
      </w:r>
    </w:p>
    <w:p w14:paraId="3FFC1995" w14:textId="77777777" w:rsidR="000D19EB" w:rsidRPr="002F794B" w:rsidRDefault="000D19EB" w:rsidP="000D19EB">
      <w:pPr>
        <w:rPr>
          <w:u w:val="single"/>
        </w:rPr>
      </w:pPr>
      <w:r w:rsidRPr="002F794B">
        <w:rPr>
          <w:u w:val="single"/>
        </w:rPr>
        <w:t>Participante</w:t>
      </w:r>
    </w:p>
    <w:p w14:paraId="456E3AA7" w14:textId="466C0BA8" w:rsidR="000D19EB" w:rsidRPr="002F794B" w:rsidRDefault="008163D9" w:rsidP="000D19EB">
      <w:r w:rsidRPr="002F794B">
        <w:t>Cámara Nacional de la Industria Electrónica, de Telecomunicaciones y Tecnologías de la Información</w:t>
      </w:r>
    </w:p>
    <w:p w14:paraId="30CCE41F" w14:textId="77777777" w:rsidR="000D19EB" w:rsidRPr="002F794B" w:rsidRDefault="000D19EB" w:rsidP="000D19EB">
      <w:pPr>
        <w:rPr>
          <w:u w:val="single"/>
        </w:rPr>
      </w:pPr>
      <w:r w:rsidRPr="002F794B">
        <w:rPr>
          <w:u w:val="single"/>
        </w:rPr>
        <w:t>Comentario y propuesta</w:t>
      </w:r>
    </w:p>
    <w:p w14:paraId="3F584FBB" w14:textId="63B3B343" w:rsidR="000D19EB" w:rsidRPr="002F794B" w:rsidRDefault="008163D9" w:rsidP="000D19EB">
      <w:pPr>
        <w:ind w:left="567" w:right="616"/>
        <w:rPr>
          <w:i/>
          <w:iCs/>
        </w:rPr>
      </w:pPr>
      <w:r w:rsidRPr="002F794B">
        <w:rPr>
          <w:i/>
          <w:iCs/>
        </w:rPr>
        <w:t xml:space="preserve">Se solicita puntualizar si el DRPB debe someterse a ambas pruebas de tolerancia de frecuencia, o se podrá optar por solo una en función de las capacidades </w:t>
      </w:r>
      <w:proofErr w:type="gramStart"/>
      <w:r w:rsidRPr="002F794B">
        <w:rPr>
          <w:i/>
          <w:iCs/>
        </w:rPr>
        <w:t>del mismo</w:t>
      </w:r>
      <w:proofErr w:type="gramEnd"/>
      <w:r w:rsidRPr="002F794B">
        <w:rPr>
          <w:i/>
          <w:iCs/>
        </w:rPr>
        <w:t xml:space="preserve"> DRBP.</w:t>
      </w:r>
    </w:p>
    <w:p w14:paraId="39F783F0" w14:textId="77777777" w:rsidR="000D19EB" w:rsidRPr="002F794B" w:rsidRDefault="000D19EB" w:rsidP="000D19EB">
      <w:pPr>
        <w:rPr>
          <w:u w:val="single"/>
        </w:rPr>
      </w:pPr>
      <w:r w:rsidRPr="002F794B">
        <w:rPr>
          <w:u w:val="single"/>
        </w:rPr>
        <w:t>Respuesta</w:t>
      </w:r>
    </w:p>
    <w:p w14:paraId="3CA924F8" w14:textId="4927717A" w:rsidR="000D19EB" w:rsidRPr="002F794B" w:rsidRDefault="004A6DE4" w:rsidP="00C22600">
      <w:r w:rsidRPr="002F794B">
        <w:t>Se considera y ajusta la redacción para indicar que el DRBP debe someterse a ambas pruebas de Tolerancia de frecuencia conforme lo indicado en la especificación técnica.</w:t>
      </w:r>
    </w:p>
    <w:p w14:paraId="4E738B68" w14:textId="77777777" w:rsidR="004A6DE4" w:rsidRPr="002F794B" w:rsidRDefault="004A6DE4" w:rsidP="00C22600"/>
    <w:p w14:paraId="0E34EE54" w14:textId="77777777" w:rsidR="000D19EB" w:rsidRPr="002F794B" w:rsidRDefault="000D19EB" w:rsidP="000D19EB">
      <w:pPr>
        <w:rPr>
          <w:u w:val="single"/>
        </w:rPr>
      </w:pPr>
      <w:r w:rsidRPr="002F794B">
        <w:rPr>
          <w:u w:val="single"/>
        </w:rPr>
        <w:t>Participante</w:t>
      </w:r>
    </w:p>
    <w:p w14:paraId="1FA7C6F6" w14:textId="58F58499" w:rsidR="000D19EB" w:rsidRPr="002F794B" w:rsidRDefault="0048681B" w:rsidP="000D19EB">
      <w:r w:rsidRPr="002F794B">
        <w:t>Consejo Mexicano de Normalización y Evaluación de la Conformidad A.C.</w:t>
      </w:r>
    </w:p>
    <w:p w14:paraId="028898EC" w14:textId="77777777" w:rsidR="000D19EB" w:rsidRPr="002F794B" w:rsidRDefault="000D19EB" w:rsidP="000D19EB">
      <w:pPr>
        <w:rPr>
          <w:u w:val="single"/>
        </w:rPr>
      </w:pPr>
      <w:r w:rsidRPr="002F794B">
        <w:rPr>
          <w:u w:val="single"/>
        </w:rPr>
        <w:t>Comentario y propuesta</w:t>
      </w:r>
    </w:p>
    <w:p w14:paraId="4D5F4922" w14:textId="23B9473C" w:rsidR="000D19EB" w:rsidRPr="002F794B" w:rsidRDefault="003E2947" w:rsidP="000D19EB">
      <w:pPr>
        <w:ind w:left="567" w:right="616"/>
        <w:rPr>
          <w:i/>
          <w:iCs/>
        </w:rPr>
      </w:pPr>
      <w:r w:rsidRPr="002F794B">
        <w:rPr>
          <w:i/>
          <w:iCs/>
        </w:rPr>
        <w:t xml:space="preserve">Puntualizar si el DRPB debe someterse a ambas pruebas de tolerancia de frecuencia o se podrá optar por solo una en función de las capacidades </w:t>
      </w:r>
      <w:proofErr w:type="gramStart"/>
      <w:r w:rsidRPr="002F794B">
        <w:rPr>
          <w:i/>
          <w:iCs/>
        </w:rPr>
        <w:t>del mismo</w:t>
      </w:r>
      <w:proofErr w:type="gramEnd"/>
      <w:r w:rsidRPr="002F794B">
        <w:rPr>
          <w:i/>
          <w:iCs/>
        </w:rPr>
        <w:t xml:space="preserve"> DRBP.</w:t>
      </w:r>
    </w:p>
    <w:p w14:paraId="5B858E6B" w14:textId="77777777" w:rsidR="000D19EB" w:rsidRPr="002F794B" w:rsidRDefault="000D19EB" w:rsidP="000D19EB">
      <w:pPr>
        <w:rPr>
          <w:u w:val="single"/>
        </w:rPr>
      </w:pPr>
      <w:r w:rsidRPr="002F794B">
        <w:rPr>
          <w:u w:val="single"/>
        </w:rPr>
        <w:t>Respuesta</w:t>
      </w:r>
    </w:p>
    <w:p w14:paraId="431EC33E" w14:textId="104AFC53" w:rsidR="000D19EB" w:rsidRPr="002F794B" w:rsidRDefault="00F61402" w:rsidP="00C22600">
      <w:r w:rsidRPr="002F794B">
        <w:t>Se considera y ajusta la redacción para indicar que el DRBP debe someterse a ambas pruebas de Tolerancia de frecuencia conforme lo indicado en la especificación técnica.</w:t>
      </w:r>
    </w:p>
    <w:p w14:paraId="609234B9" w14:textId="77777777" w:rsidR="00F61402" w:rsidRPr="002F794B" w:rsidRDefault="00F61402" w:rsidP="00C22600"/>
    <w:p w14:paraId="5EAC412E" w14:textId="18553865" w:rsidR="003E2947" w:rsidRPr="002F794B" w:rsidRDefault="0051637E" w:rsidP="00DE39DA">
      <w:pPr>
        <w:jc w:val="center"/>
        <w:outlineLvl w:val="0"/>
        <w:rPr>
          <w:b/>
          <w:bCs/>
        </w:rPr>
      </w:pPr>
      <w:r w:rsidRPr="002F794B">
        <w:rPr>
          <w:b/>
          <w:bCs/>
        </w:rPr>
        <w:t>NUMERAL 8 – MÉTODOS DE PRUEBA</w:t>
      </w:r>
    </w:p>
    <w:p w14:paraId="6EA7C9EE" w14:textId="77777777" w:rsidR="007D6E0B" w:rsidRPr="002F794B" w:rsidRDefault="007D6E0B" w:rsidP="00C22600"/>
    <w:p w14:paraId="29D1BA2D" w14:textId="77777777" w:rsidR="000D19EB" w:rsidRPr="002F794B" w:rsidRDefault="000D19EB" w:rsidP="000D19EB">
      <w:pPr>
        <w:rPr>
          <w:u w:val="single"/>
        </w:rPr>
      </w:pPr>
      <w:r w:rsidRPr="002F794B">
        <w:rPr>
          <w:u w:val="single"/>
        </w:rPr>
        <w:t>Participante</w:t>
      </w:r>
    </w:p>
    <w:p w14:paraId="6DE016DA" w14:textId="3C61B6AB" w:rsidR="000D19EB" w:rsidRPr="002F794B" w:rsidRDefault="007E39E2" w:rsidP="000D19EB">
      <w:r w:rsidRPr="002F794B">
        <w:t>GENERAL MOTORS DE MEXICO, S. DE R.L. DE C.V.</w:t>
      </w:r>
    </w:p>
    <w:p w14:paraId="48D9A67A" w14:textId="77777777" w:rsidR="000D19EB" w:rsidRPr="002F794B" w:rsidRDefault="000D19EB" w:rsidP="000D19EB">
      <w:pPr>
        <w:rPr>
          <w:u w:val="single"/>
          <w:lang w:val="en-US"/>
        </w:rPr>
      </w:pPr>
      <w:proofErr w:type="spellStart"/>
      <w:r w:rsidRPr="002F794B">
        <w:rPr>
          <w:u w:val="single"/>
          <w:lang w:val="en-US"/>
        </w:rPr>
        <w:t>Comentario</w:t>
      </w:r>
      <w:proofErr w:type="spellEnd"/>
      <w:r w:rsidRPr="002F794B">
        <w:rPr>
          <w:u w:val="single"/>
          <w:lang w:val="en-US"/>
        </w:rPr>
        <w:t xml:space="preserve"> y </w:t>
      </w:r>
      <w:proofErr w:type="spellStart"/>
      <w:r w:rsidRPr="002F794B">
        <w:rPr>
          <w:u w:val="single"/>
          <w:lang w:val="en-US"/>
        </w:rPr>
        <w:t>propuesta</w:t>
      </w:r>
      <w:proofErr w:type="spellEnd"/>
    </w:p>
    <w:p w14:paraId="60D464C5" w14:textId="452B4E87" w:rsidR="000D19EB" w:rsidRPr="002F794B" w:rsidRDefault="00293908" w:rsidP="000D19EB">
      <w:pPr>
        <w:ind w:left="567" w:right="616"/>
        <w:rPr>
          <w:i/>
          <w:iCs/>
          <w:lang w:val="en-US"/>
        </w:rPr>
      </w:pPr>
      <w:r w:rsidRPr="002F794B">
        <w:rPr>
          <w:i/>
          <w:iCs/>
          <w:lang w:val="en-US"/>
        </w:rPr>
        <w:t>(…)</w:t>
      </w:r>
    </w:p>
    <w:p w14:paraId="57BE7D69" w14:textId="058C8B1D" w:rsidR="00293908" w:rsidRPr="002F794B" w:rsidRDefault="00293908" w:rsidP="00293908">
      <w:pPr>
        <w:ind w:left="567" w:right="616"/>
        <w:rPr>
          <w:i/>
          <w:iCs/>
          <w:lang w:val="en-US"/>
        </w:rPr>
      </w:pPr>
      <w:r w:rsidRPr="002F794B">
        <w:rPr>
          <w:i/>
          <w:iCs/>
          <w:lang w:val="en-US"/>
        </w:rPr>
        <w:t>We want to strongly recommend adopting ANSI Test standards as the basis for establishing standardized test standards for RF certification in Mexico. The synchronization of testing standards across the United States, Canada, and Mexico is a critical initiative that holds immense potential for enhancing the efficiency and competitiveness of the North American</w:t>
      </w:r>
      <w:r w:rsidR="00B62502" w:rsidRPr="002F794B">
        <w:rPr>
          <w:i/>
          <w:iCs/>
          <w:lang w:val="en-US"/>
        </w:rPr>
        <w:t xml:space="preserve"> </w:t>
      </w:r>
      <w:r w:rsidRPr="002F794B">
        <w:rPr>
          <w:i/>
          <w:iCs/>
          <w:lang w:val="en-US"/>
        </w:rPr>
        <w:t>automotive industry.</w:t>
      </w:r>
    </w:p>
    <w:p w14:paraId="4C6053DB" w14:textId="70CFE299" w:rsidR="00B62502" w:rsidRPr="002F794B" w:rsidRDefault="00B62502" w:rsidP="00293908">
      <w:pPr>
        <w:ind w:left="567" w:right="616"/>
        <w:rPr>
          <w:i/>
          <w:iCs/>
        </w:rPr>
      </w:pPr>
      <w:r w:rsidRPr="002F794B">
        <w:rPr>
          <w:i/>
          <w:iCs/>
        </w:rPr>
        <w:t>(…)</w:t>
      </w:r>
    </w:p>
    <w:p w14:paraId="4F2ABA39" w14:textId="77777777" w:rsidR="000D19EB" w:rsidRPr="002F794B" w:rsidRDefault="000D19EB" w:rsidP="000D19EB">
      <w:pPr>
        <w:rPr>
          <w:u w:val="single"/>
        </w:rPr>
      </w:pPr>
      <w:r w:rsidRPr="002F794B">
        <w:rPr>
          <w:u w:val="single"/>
        </w:rPr>
        <w:t>Respuesta</w:t>
      </w:r>
    </w:p>
    <w:p w14:paraId="2E41B537" w14:textId="7401545D" w:rsidR="000D19EB" w:rsidRPr="002F794B" w:rsidRDefault="004B7FD7" w:rsidP="00C22600">
      <w:r w:rsidRPr="002F794B">
        <w:t>No se considera. Las especificaciones técnicas y métodos de prueba de la DT concuerdan con normas internacionales.</w:t>
      </w:r>
    </w:p>
    <w:p w14:paraId="2EF4C920" w14:textId="77777777" w:rsidR="004B7FD7" w:rsidRPr="002F794B" w:rsidRDefault="004B7FD7" w:rsidP="00C22600"/>
    <w:p w14:paraId="7C8F1366" w14:textId="4335481F" w:rsidR="007E39E2" w:rsidRPr="002F794B" w:rsidRDefault="007E39E2" w:rsidP="00DE39DA">
      <w:pPr>
        <w:outlineLvl w:val="1"/>
        <w:rPr>
          <w:b/>
          <w:bCs/>
        </w:rPr>
      </w:pPr>
      <w:r w:rsidRPr="002F794B">
        <w:rPr>
          <w:b/>
          <w:bCs/>
        </w:rPr>
        <w:t>Numeral 8.2</w:t>
      </w:r>
    </w:p>
    <w:p w14:paraId="0B2A31D1" w14:textId="77777777" w:rsidR="000D19EB" w:rsidRPr="002F794B" w:rsidRDefault="000D19EB" w:rsidP="000D19EB">
      <w:pPr>
        <w:rPr>
          <w:u w:val="single"/>
        </w:rPr>
      </w:pPr>
      <w:r w:rsidRPr="002F794B">
        <w:rPr>
          <w:u w:val="single"/>
        </w:rPr>
        <w:t>Participante</w:t>
      </w:r>
    </w:p>
    <w:p w14:paraId="6CC5CD3B" w14:textId="767074B0" w:rsidR="000D19EB" w:rsidRPr="002F794B" w:rsidRDefault="00760392" w:rsidP="000D19EB">
      <w:r w:rsidRPr="002F794B">
        <w:t>LOGIS CONSULTORES S.A. de C.V.</w:t>
      </w:r>
    </w:p>
    <w:p w14:paraId="7B5F3403" w14:textId="77777777" w:rsidR="000D19EB" w:rsidRPr="002F794B" w:rsidRDefault="000D19EB" w:rsidP="000D19EB">
      <w:pPr>
        <w:rPr>
          <w:u w:val="single"/>
        </w:rPr>
      </w:pPr>
      <w:r w:rsidRPr="002F794B">
        <w:rPr>
          <w:u w:val="single"/>
        </w:rPr>
        <w:t>Comentario y propuesta</w:t>
      </w:r>
    </w:p>
    <w:p w14:paraId="0E5B405E" w14:textId="7C8CE0D7" w:rsidR="000D19EB" w:rsidRPr="002F794B" w:rsidRDefault="002C5C8C" w:rsidP="000D19EB">
      <w:pPr>
        <w:ind w:left="567" w:right="616"/>
        <w:rPr>
          <w:i/>
          <w:iCs/>
        </w:rPr>
      </w:pPr>
      <w:r w:rsidRPr="002F794B">
        <w:rPr>
          <w:i/>
          <w:iCs/>
        </w:rPr>
        <w:t>¿Únicamente serán válidas las mediciones en cámara anecoica?</w:t>
      </w:r>
    </w:p>
    <w:p w14:paraId="5DC11191" w14:textId="77777777" w:rsidR="000D19EB" w:rsidRPr="002F794B" w:rsidRDefault="000D19EB" w:rsidP="000D19EB">
      <w:pPr>
        <w:rPr>
          <w:u w:val="single"/>
        </w:rPr>
      </w:pPr>
      <w:r w:rsidRPr="002F794B">
        <w:rPr>
          <w:u w:val="single"/>
        </w:rPr>
        <w:t>Respuesta</w:t>
      </w:r>
    </w:p>
    <w:p w14:paraId="2C6DCBA5" w14:textId="76F37F40" w:rsidR="000D19EB" w:rsidRPr="002F794B" w:rsidRDefault="006976CC" w:rsidP="00C22600">
      <w:r w:rsidRPr="002F794B">
        <w:t>Conforme a lo indicado en la DT las mediciones deben realizarse en las condiciones establecidas.</w:t>
      </w:r>
    </w:p>
    <w:p w14:paraId="2AA42A32" w14:textId="77777777" w:rsidR="006976CC" w:rsidRPr="002F794B" w:rsidRDefault="006976CC" w:rsidP="00C22600"/>
    <w:p w14:paraId="349DB011" w14:textId="77777777" w:rsidR="000D19EB" w:rsidRPr="002F794B" w:rsidRDefault="000D19EB" w:rsidP="000D19EB">
      <w:pPr>
        <w:rPr>
          <w:u w:val="single"/>
        </w:rPr>
      </w:pPr>
      <w:r w:rsidRPr="002F794B">
        <w:rPr>
          <w:u w:val="single"/>
        </w:rPr>
        <w:t>Participante</w:t>
      </w:r>
    </w:p>
    <w:p w14:paraId="207850FF" w14:textId="51C3C44B" w:rsidR="000D19EB" w:rsidRPr="002F794B" w:rsidRDefault="002C5C8C" w:rsidP="000D19EB">
      <w:r w:rsidRPr="002F794B">
        <w:t>LOGIS CONSULTORES S.A. de C.V.</w:t>
      </w:r>
    </w:p>
    <w:p w14:paraId="42C811CA" w14:textId="77777777" w:rsidR="000D19EB" w:rsidRPr="002F794B" w:rsidRDefault="000D19EB" w:rsidP="000D19EB">
      <w:pPr>
        <w:rPr>
          <w:u w:val="single"/>
        </w:rPr>
      </w:pPr>
      <w:r w:rsidRPr="002F794B">
        <w:rPr>
          <w:u w:val="single"/>
        </w:rPr>
        <w:t>Comentario y propuesta</w:t>
      </w:r>
    </w:p>
    <w:p w14:paraId="105F5358" w14:textId="60B7AD57" w:rsidR="000D19EB" w:rsidRPr="002F794B" w:rsidRDefault="005B5C58" w:rsidP="000D19EB">
      <w:pPr>
        <w:ind w:left="567" w:right="616"/>
        <w:rPr>
          <w:i/>
          <w:iCs/>
        </w:rPr>
      </w:pPr>
      <w:r w:rsidRPr="002F794B">
        <w:rPr>
          <w:i/>
          <w:iCs/>
        </w:rPr>
        <w:lastRenderedPageBreak/>
        <w:t>¿En qué casos será necesario aplicar lo indicado en la nota de la página 39 de 63?</w:t>
      </w:r>
    </w:p>
    <w:p w14:paraId="340D0C18" w14:textId="77777777" w:rsidR="000D19EB" w:rsidRPr="002F794B" w:rsidRDefault="000D19EB" w:rsidP="000D19EB">
      <w:pPr>
        <w:rPr>
          <w:u w:val="single"/>
        </w:rPr>
      </w:pPr>
      <w:r w:rsidRPr="002F794B">
        <w:rPr>
          <w:u w:val="single"/>
        </w:rPr>
        <w:t>Respuesta</w:t>
      </w:r>
    </w:p>
    <w:p w14:paraId="5C689EB7" w14:textId="17BB87D9" w:rsidR="000D19EB" w:rsidRPr="002F794B" w:rsidRDefault="0074073F" w:rsidP="00C22600">
      <w:r w:rsidRPr="002F794B">
        <w:t>No se considera en virtud de que se ha eliminado la referida nota.</w:t>
      </w:r>
    </w:p>
    <w:p w14:paraId="0227D80F" w14:textId="77777777" w:rsidR="0074073F" w:rsidRPr="002F794B" w:rsidRDefault="0074073F" w:rsidP="00C22600"/>
    <w:p w14:paraId="424F0219" w14:textId="77777777" w:rsidR="000D19EB" w:rsidRPr="002F794B" w:rsidRDefault="000D19EB" w:rsidP="000D19EB">
      <w:pPr>
        <w:rPr>
          <w:u w:val="single"/>
        </w:rPr>
      </w:pPr>
      <w:r w:rsidRPr="002F794B">
        <w:rPr>
          <w:u w:val="single"/>
        </w:rPr>
        <w:t>Participante</w:t>
      </w:r>
    </w:p>
    <w:p w14:paraId="6C105145" w14:textId="79D6B3FB" w:rsidR="000D19EB" w:rsidRPr="002F794B" w:rsidRDefault="003B7816" w:rsidP="000D19EB">
      <w:r w:rsidRPr="002F794B">
        <w:t>Asociación de Normalización y Certificación, S.A. de C.V.</w:t>
      </w:r>
    </w:p>
    <w:p w14:paraId="490ABC40" w14:textId="77777777" w:rsidR="000D19EB" w:rsidRPr="002F794B" w:rsidRDefault="000D19EB" w:rsidP="000D19EB">
      <w:pPr>
        <w:rPr>
          <w:u w:val="single"/>
        </w:rPr>
      </w:pPr>
      <w:r w:rsidRPr="002F794B">
        <w:rPr>
          <w:u w:val="single"/>
        </w:rPr>
        <w:t>Comentario y propuesta</w:t>
      </w:r>
    </w:p>
    <w:p w14:paraId="323480B8" w14:textId="77777777" w:rsidR="0092525F" w:rsidRPr="002F794B" w:rsidRDefault="0092525F" w:rsidP="0092525F">
      <w:pPr>
        <w:ind w:left="567" w:right="616"/>
        <w:rPr>
          <w:i/>
          <w:iCs/>
        </w:rPr>
      </w:pPr>
      <w:r w:rsidRPr="002F794B">
        <w:rPr>
          <w:b/>
          <w:bCs/>
          <w:i/>
          <w:iCs/>
        </w:rPr>
        <w:t>Dice:</w:t>
      </w:r>
      <w:r w:rsidRPr="002F794B">
        <w:rPr>
          <w:i/>
          <w:iCs/>
        </w:rPr>
        <w:t xml:space="preserve"> </w:t>
      </w:r>
    </w:p>
    <w:tbl>
      <w:tblPr>
        <w:tblStyle w:val="Tablaconcuadrcula"/>
        <w:tblW w:w="0" w:type="auto"/>
        <w:tblInd w:w="704" w:type="dxa"/>
        <w:tblCellMar>
          <w:left w:w="0" w:type="dxa"/>
          <w:right w:w="0" w:type="dxa"/>
        </w:tblCellMar>
        <w:tblLook w:val="04A0" w:firstRow="1" w:lastRow="0" w:firstColumn="1" w:lastColumn="0" w:noHBand="0" w:noVBand="1"/>
      </w:tblPr>
      <w:tblGrid>
        <w:gridCol w:w="2428"/>
        <w:gridCol w:w="2663"/>
        <w:gridCol w:w="3033"/>
      </w:tblGrid>
      <w:tr w:rsidR="002F794B" w:rsidRPr="002F794B" w14:paraId="7940259D" w14:textId="77777777" w:rsidTr="002C1C6E">
        <w:tc>
          <w:tcPr>
            <w:tcW w:w="2221" w:type="dxa"/>
            <w:vMerge w:val="restart"/>
          </w:tcPr>
          <w:p w14:paraId="233AE1D2" w14:textId="77777777" w:rsidR="0092525F" w:rsidRPr="002F794B" w:rsidRDefault="0092525F" w:rsidP="00F54770">
            <w:pPr>
              <w:ind w:left="567" w:right="616"/>
              <w:jc w:val="center"/>
              <w:rPr>
                <w:i/>
                <w:iCs/>
              </w:rPr>
            </w:pPr>
            <w:r w:rsidRPr="002F794B">
              <w:rPr>
                <w:i/>
                <w:iCs/>
              </w:rPr>
              <w:t>Cámara de temperatura controlada</w:t>
            </w:r>
          </w:p>
        </w:tc>
        <w:tc>
          <w:tcPr>
            <w:tcW w:w="2690" w:type="dxa"/>
          </w:tcPr>
          <w:p w14:paraId="24F5FA00" w14:textId="77777777" w:rsidR="0092525F" w:rsidRPr="002F794B" w:rsidRDefault="0092525F" w:rsidP="00F54770">
            <w:pPr>
              <w:ind w:left="567" w:right="616"/>
              <w:jc w:val="center"/>
              <w:rPr>
                <w:i/>
                <w:iCs/>
              </w:rPr>
            </w:pPr>
            <w:r w:rsidRPr="002F794B">
              <w:rPr>
                <w:i/>
                <w:iCs/>
              </w:rPr>
              <w:t>Intervalo de temperatura:</w:t>
            </w:r>
          </w:p>
        </w:tc>
        <w:tc>
          <w:tcPr>
            <w:tcW w:w="3213" w:type="dxa"/>
          </w:tcPr>
          <w:p w14:paraId="0B849B22" w14:textId="77777777" w:rsidR="0092525F" w:rsidRPr="002F794B" w:rsidRDefault="0092525F" w:rsidP="00F54770">
            <w:pPr>
              <w:ind w:left="567" w:right="616"/>
              <w:jc w:val="center"/>
              <w:rPr>
                <w:i/>
                <w:iCs/>
              </w:rPr>
            </w:pPr>
            <w:r w:rsidRPr="002F794B">
              <w:rPr>
                <w:i/>
                <w:iCs/>
              </w:rPr>
              <w:t>-10 °C a +50 °C</w:t>
            </w:r>
          </w:p>
        </w:tc>
      </w:tr>
      <w:tr w:rsidR="0092525F" w:rsidRPr="002F794B" w14:paraId="23FB7AB2" w14:textId="77777777" w:rsidTr="002C1C6E">
        <w:tc>
          <w:tcPr>
            <w:tcW w:w="2221" w:type="dxa"/>
            <w:vMerge/>
          </w:tcPr>
          <w:p w14:paraId="2CEFF611" w14:textId="77777777" w:rsidR="0092525F" w:rsidRPr="002F794B" w:rsidRDefault="0092525F" w:rsidP="0092525F">
            <w:pPr>
              <w:ind w:left="567" w:right="616"/>
              <w:rPr>
                <w:i/>
                <w:iCs/>
              </w:rPr>
            </w:pPr>
          </w:p>
        </w:tc>
        <w:tc>
          <w:tcPr>
            <w:tcW w:w="2690" w:type="dxa"/>
          </w:tcPr>
          <w:p w14:paraId="0CBFB1BC" w14:textId="77777777" w:rsidR="0092525F" w:rsidRPr="002F794B" w:rsidRDefault="0092525F" w:rsidP="00F54770">
            <w:pPr>
              <w:ind w:left="567" w:right="616"/>
              <w:jc w:val="center"/>
              <w:rPr>
                <w:i/>
                <w:iCs/>
              </w:rPr>
            </w:pPr>
            <w:r w:rsidRPr="002F794B">
              <w:rPr>
                <w:i/>
                <w:iCs/>
              </w:rPr>
              <w:t>Variación en temperatura:</w:t>
            </w:r>
          </w:p>
        </w:tc>
        <w:tc>
          <w:tcPr>
            <w:tcW w:w="3213" w:type="dxa"/>
          </w:tcPr>
          <w:p w14:paraId="31123EAF" w14:textId="77777777" w:rsidR="0092525F" w:rsidRPr="002F794B" w:rsidRDefault="0092525F" w:rsidP="00F54770">
            <w:pPr>
              <w:ind w:left="567" w:right="616"/>
              <w:jc w:val="center"/>
              <w:rPr>
                <w:i/>
                <w:iCs/>
              </w:rPr>
            </w:pPr>
            <w:r w:rsidRPr="002F794B">
              <w:rPr>
                <w:i/>
                <w:iCs/>
              </w:rPr>
              <w:t>±1 °C</w:t>
            </w:r>
          </w:p>
        </w:tc>
      </w:tr>
    </w:tbl>
    <w:p w14:paraId="019EBE35" w14:textId="77777777" w:rsidR="0092525F" w:rsidRPr="002F794B" w:rsidRDefault="0092525F" w:rsidP="0092525F">
      <w:pPr>
        <w:ind w:left="567" w:right="616"/>
        <w:rPr>
          <w:i/>
          <w:iCs/>
        </w:rPr>
      </w:pPr>
    </w:p>
    <w:p w14:paraId="41F3ABEE" w14:textId="77777777" w:rsidR="0092525F" w:rsidRPr="002F794B" w:rsidRDefault="0092525F" w:rsidP="0092525F">
      <w:pPr>
        <w:ind w:left="567" w:right="616"/>
        <w:rPr>
          <w:i/>
          <w:iCs/>
        </w:rPr>
      </w:pPr>
      <w:r w:rsidRPr="002F794B">
        <w:rPr>
          <w:b/>
          <w:bCs/>
          <w:i/>
          <w:iCs/>
        </w:rPr>
        <w:t>Debe decir:</w:t>
      </w:r>
    </w:p>
    <w:tbl>
      <w:tblPr>
        <w:tblStyle w:val="Tablaconcuadrcula"/>
        <w:tblW w:w="0" w:type="auto"/>
        <w:tblInd w:w="704" w:type="dxa"/>
        <w:tblCellMar>
          <w:left w:w="0" w:type="dxa"/>
          <w:right w:w="0" w:type="dxa"/>
        </w:tblCellMar>
        <w:tblLook w:val="04A0" w:firstRow="1" w:lastRow="0" w:firstColumn="1" w:lastColumn="0" w:noHBand="0" w:noVBand="1"/>
      </w:tblPr>
      <w:tblGrid>
        <w:gridCol w:w="2428"/>
        <w:gridCol w:w="2663"/>
        <w:gridCol w:w="3033"/>
      </w:tblGrid>
      <w:tr w:rsidR="002F794B" w:rsidRPr="002F794B" w14:paraId="10F6AD9F" w14:textId="77777777" w:rsidTr="002C1C6E">
        <w:tc>
          <w:tcPr>
            <w:tcW w:w="2221" w:type="dxa"/>
            <w:vMerge w:val="restart"/>
          </w:tcPr>
          <w:p w14:paraId="3C17978A" w14:textId="77777777" w:rsidR="0092525F" w:rsidRPr="002F794B" w:rsidRDefault="0092525F" w:rsidP="00F54770">
            <w:pPr>
              <w:ind w:left="567" w:right="616"/>
              <w:jc w:val="center"/>
              <w:rPr>
                <w:i/>
                <w:iCs/>
              </w:rPr>
            </w:pPr>
            <w:r w:rsidRPr="002F794B">
              <w:rPr>
                <w:i/>
                <w:iCs/>
              </w:rPr>
              <w:t>Cámara de temperatura controlada</w:t>
            </w:r>
          </w:p>
        </w:tc>
        <w:tc>
          <w:tcPr>
            <w:tcW w:w="2690" w:type="dxa"/>
          </w:tcPr>
          <w:p w14:paraId="701D5269" w14:textId="77777777" w:rsidR="0092525F" w:rsidRPr="002F794B" w:rsidRDefault="0092525F" w:rsidP="00F54770">
            <w:pPr>
              <w:ind w:left="567" w:right="616"/>
              <w:jc w:val="center"/>
              <w:rPr>
                <w:i/>
                <w:iCs/>
              </w:rPr>
            </w:pPr>
            <w:r w:rsidRPr="002F794B">
              <w:rPr>
                <w:i/>
                <w:iCs/>
              </w:rPr>
              <w:t>Intervalo de temperatura:</w:t>
            </w:r>
          </w:p>
        </w:tc>
        <w:tc>
          <w:tcPr>
            <w:tcW w:w="3213" w:type="dxa"/>
          </w:tcPr>
          <w:p w14:paraId="2FEF78B6" w14:textId="77777777" w:rsidR="0092525F" w:rsidRPr="002F794B" w:rsidRDefault="0092525F" w:rsidP="00F54770">
            <w:pPr>
              <w:ind w:left="567" w:right="616"/>
              <w:jc w:val="center"/>
              <w:rPr>
                <w:i/>
                <w:iCs/>
              </w:rPr>
            </w:pPr>
            <w:r w:rsidRPr="002F794B">
              <w:rPr>
                <w:i/>
                <w:iCs/>
              </w:rPr>
              <w:t>-20 °C a +55 °C</w:t>
            </w:r>
          </w:p>
        </w:tc>
      </w:tr>
      <w:tr w:rsidR="0092525F" w:rsidRPr="002F794B" w14:paraId="1C2FF7CC" w14:textId="77777777" w:rsidTr="002C1C6E">
        <w:tc>
          <w:tcPr>
            <w:tcW w:w="2221" w:type="dxa"/>
            <w:vMerge/>
          </w:tcPr>
          <w:p w14:paraId="626F5585" w14:textId="77777777" w:rsidR="0092525F" w:rsidRPr="002F794B" w:rsidRDefault="0092525F" w:rsidP="0092525F">
            <w:pPr>
              <w:ind w:left="567" w:right="616"/>
              <w:rPr>
                <w:i/>
                <w:iCs/>
              </w:rPr>
            </w:pPr>
          </w:p>
        </w:tc>
        <w:tc>
          <w:tcPr>
            <w:tcW w:w="2690" w:type="dxa"/>
          </w:tcPr>
          <w:p w14:paraId="6430C853" w14:textId="77777777" w:rsidR="0092525F" w:rsidRPr="002F794B" w:rsidRDefault="0092525F" w:rsidP="00F54770">
            <w:pPr>
              <w:ind w:left="567" w:right="616"/>
              <w:jc w:val="center"/>
              <w:rPr>
                <w:i/>
                <w:iCs/>
              </w:rPr>
            </w:pPr>
            <w:r w:rsidRPr="002F794B">
              <w:rPr>
                <w:i/>
                <w:iCs/>
              </w:rPr>
              <w:t>Variación en temperatura:</w:t>
            </w:r>
          </w:p>
        </w:tc>
        <w:tc>
          <w:tcPr>
            <w:tcW w:w="3213" w:type="dxa"/>
          </w:tcPr>
          <w:p w14:paraId="3E81FF67" w14:textId="77777777" w:rsidR="0092525F" w:rsidRPr="002F794B" w:rsidRDefault="0092525F" w:rsidP="00F54770">
            <w:pPr>
              <w:ind w:left="567" w:right="616"/>
              <w:jc w:val="center"/>
              <w:rPr>
                <w:i/>
                <w:iCs/>
              </w:rPr>
            </w:pPr>
            <w:r w:rsidRPr="002F794B">
              <w:rPr>
                <w:i/>
                <w:iCs/>
              </w:rPr>
              <w:t>±1 °C</w:t>
            </w:r>
          </w:p>
        </w:tc>
      </w:tr>
    </w:tbl>
    <w:p w14:paraId="77421DBB" w14:textId="77777777" w:rsidR="0092525F" w:rsidRPr="002F794B" w:rsidRDefault="0092525F" w:rsidP="0092525F">
      <w:pPr>
        <w:ind w:left="567" w:right="616"/>
        <w:rPr>
          <w:i/>
          <w:iCs/>
        </w:rPr>
      </w:pPr>
    </w:p>
    <w:p w14:paraId="3E7B79DB" w14:textId="77777777" w:rsidR="0092525F" w:rsidRPr="002F794B" w:rsidRDefault="0092525F" w:rsidP="0092525F">
      <w:pPr>
        <w:ind w:left="567" w:right="616"/>
        <w:rPr>
          <w:i/>
          <w:iCs/>
        </w:rPr>
      </w:pPr>
      <w:r w:rsidRPr="002F794B">
        <w:rPr>
          <w:i/>
          <w:iCs/>
        </w:rPr>
        <w:t xml:space="preserve">O bien, </w:t>
      </w:r>
      <w:r w:rsidRPr="002F794B">
        <w:rPr>
          <w:b/>
          <w:bCs/>
          <w:i/>
          <w:iCs/>
        </w:rPr>
        <w:t>debe decir:</w:t>
      </w:r>
    </w:p>
    <w:p w14:paraId="735FB04B" w14:textId="77777777" w:rsidR="00841A54" w:rsidRPr="002F794B" w:rsidRDefault="00841A54" w:rsidP="00841A54">
      <w:pPr>
        <w:ind w:left="567" w:right="616"/>
        <w:rPr>
          <w:i/>
          <w:iCs/>
        </w:rPr>
      </w:pPr>
      <w:r w:rsidRPr="002F794B">
        <w:rPr>
          <w:i/>
          <w:iCs/>
        </w:rPr>
        <w:t>8.9.1.3.</w:t>
      </w:r>
    </w:p>
    <w:p w14:paraId="38FB1F83" w14:textId="77777777" w:rsidR="00841A54" w:rsidRPr="002F794B" w:rsidRDefault="00841A54" w:rsidP="00841A54">
      <w:pPr>
        <w:ind w:left="567" w:right="616"/>
        <w:rPr>
          <w:i/>
          <w:iCs/>
        </w:rPr>
      </w:pPr>
      <w:r w:rsidRPr="002F794B">
        <w:rPr>
          <w:i/>
          <w:iCs/>
        </w:rPr>
        <w:t>[…]</w:t>
      </w:r>
    </w:p>
    <w:p w14:paraId="14F4BE95" w14:textId="77777777" w:rsidR="00841A54" w:rsidRPr="002F794B" w:rsidRDefault="00841A54" w:rsidP="00841A54">
      <w:pPr>
        <w:ind w:left="567" w:right="616"/>
        <w:rPr>
          <w:i/>
          <w:iCs/>
        </w:rPr>
      </w:pPr>
      <w:r w:rsidRPr="002F794B">
        <w:rPr>
          <w:i/>
          <w:iCs/>
        </w:rPr>
        <w:t>3. […]</w:t>
      </w:r>
    </w:p>
    <w:p w14:paraId="0C401361" w14:textId="77777777" w:rsidR="00841A54" w:rsidRPr="002F794B" w:rsidRDefault="00841A54" w:rsidP="00841A54">
      <w:pPr>
        <w:ind w:left="567" w:right="616"/>
        <w:rPr>
          <w:i/>
          <w:iCs/>
        </w:rPr>
      </w:pPr>
      <w:r w:rsidRPr="002F794B">
        <w:rPr>
          <w:i/>
          <w:iCs/>
        </w:rPr>
        <w:t xml:space="preserve">i. Configurar la cámara de temperatura controlada de -10°C a +15°C y después a +50°C y permitir que la temperatura se estabilice en cada paso. </w:t>
      </w:r>
    </w:p>
    <w:p w14:paraId="3BE4CA94" w14:textId="16FD8428" w:rsidR="000D19EB" w:rsidRPr="002F794B" w:rsidRDefault="00841A54" w:rsidP="00841A54">
      <w:pPr>
        <w:ind w:left="567" w:right="616"/>
        <w:rPr>
          <w:i/>
          <w:iCs/>
        </w:rPr>
      </w:pPr>
      <w:r w:rsidRPr="002F794B">
        <w:rPr>
          <w:b/>
          <w:bCs/>
          <w:i/>
          <w:iCs/>
        </w:rPr>
        <w:t>Justificación:</w:t>
      </w:r>
      <w:r w:rsidRPr="002F794B">
        <w:rPr>
          <w:i/>
          <w:iCs/>
        </w:rPr>
        <w:t xml:space="preserve"> De acuerdo con el numeral 8.9.1.2, las variaciones de temperatura a las somete al equipo bajo ensayo se dan entre -20 °C y +55 °C, por lo que una cámara con límites de -10 °C a +50 °C no permitiría realizar los ensayos tal como se dictan en el numeral 8.9.1.2.</w:t>
      </w:r>
    </w:p>
    <w:p w14:paraId="533C55BF" w14:textId="77777777" w:rsidR="000D19EB" w:rsidRPr="002F794B" w:rsidRDefault="000D19EB" w:rsidP="000D19EB">
      <w:pPr>
        <w:rPr>
          <w:u w:val="single"/>
        </w:rPr>
      </w:pPr>
      <w:r w:rsidRPr="002F794B">
        <w:rPr>
          <w:u w:val="single"/>
        </w:rPr>
        <w:t>Respuesta</w:t>
      </w:r>
    </w:p>
    <w:p w14:paraId="4CB27340" w14:textId="419E28C9" w:rsidR="000D19EB" w:rsidRPr="002F794B" w:rsidRDefault="001B69D2" w:rsidP="000D19EB">
      <w:r w:rsidRPr="002F794B">
        <w:t>No s</w:t>
      </w:r>
      <w:r w:rsidR="0074073F" w:rsidRPr="002F794B">
        <w:t>e considera y</w:t>
      </w:r>
      <w:r w:rsidRPr="002F794B">
        <w:t>a</w:t>
      </w:r>
      <w:r w:rsidR="0074073F" w:rsidRPr="002F794B">
        <w:t xml:space="preserve"> </w:t>
      </w:r>
      <w:r w:rsidRPr="002F794B">
        <w:t>que el intervalo debe ser</w:t>
      </w:r>
      <w:r w:rsidR="0074073F" w:rsidRPr="002F794B">
        <w:t xml:space="preserve"> de -10 a -</w:t>
      </w:r>
      <w:r w:rsidR="007C5B06" w:rsidRPr="002F794B">
        <w:t>5</w:t>
      </w:r>
      <w:r w:rsidR="0074073F" w:rsidRPr="002F794B">
        <w:t>0°C</w:t>
      </w:r>
      <w:r w:rsidR="006716ED" w:rsidRPr="002F794B">
        <w:t>.</w:t>
      </w:r>
    </w:p>
    <w:p w14:paraId="6A546261" w14:textId="77777777" w:rsidR="000D19EB" w:rsidRPr="002F794B" w:rsidRDefault="000D19EB" w:rsidP="00C22600"/>
    <w:p w14:paraId="1180CBCD" w14:textId="50734A3E" w:rsidR="00A55FE8" w:rsidRPr="002F794B" w:rsidRDefault="00A55FE8" w:rsidP="00DE39DA">
      <w:pPr>
        <w:outlineLvl w:val="1"/>
        <w:rPr>
          <w:b/>
          <w:bCs/>
        </w:rPr>
      </w:pPr>
      <w:r w:rsidRPr="002F794B">
        <w:rPr>
          <w:b/>
          <w:bCs/>
        </w:rPr>
        <w:lastRenderedPageBreak/>
        <w:t>Numeral 8.3</w:t>
      </w:r>
    </w:p>
    <w:p w14:paraId="3E3E4DCC" w14:textId="77777777" w:rsidR="000D19EB" w:rsidRPr="002F794B" w:rsidRDefault="000D19EB" w:rsidP="000D19EB">
      <w:pPr>
        <w:rPr>
          <w:u w:val="single"/>
        </w:rPr>
      </w:pPr>
      <w:r w:rsidRPr="002F794B">
        <w:rPr>
          <w:u w:val="single"/>
        </w:rPr>
        <w:t>Participante</w:t>
      </w:r>
    </w:p>
    <w:p w14:paraId="773B4E78" w14:textId="38F12397" w:rsidR="000D19EB" w:rsidRPr="002F794B" w:rsidRDefault="00A55FE8" w:rsidP="000D19EB">
      <w:r w:rsidRPr="002F794B">
        <w:t>Asociación de Normalización y Certificación, S.A. de C.V.</w:t>
      </w:r>
    </w:p>
    <w:p w14:paraId="393E36BF" w14:textId="77777777" w:rsidR="000D19EB" w:rsidRPr="002F794B" w:rsidRDefault="000D19EB" w:rsidP="000D19EB">
      <w:pPr>
        <w:rPr>
          <w:u w:val="single"/>
        </w:rPr>
      </w:pPr>
      <w:r w:rsidRPr="002F794B">
        <w:rPr>
          <w:u w:val="single"/>
        </w:rPr>
        <w:t>Comentario y propuesta</w:t>
      </w:r>
    </w:p>
    <w:p w14:paraId="3164EE53" w14:textId="77777777" w:rsidR="004C54DB" w:rsidRPr="002F794B" w:rsidRDefault="004C54DB" w:rsidP="004C54DB">
      <w:pPr>
        <w:ind w:left="567" w:right="616"/>
        <w:rPr>
          <w:i/>
          <w:iCs/>
        </w:rPr>
      </w:pPr>
      <w:r w:rsidRPr="002F794B">
        <w:rPr>
          <w:b/>
          <w:bCs/>
          <w:i/>
          <w:iCs/>
        </w:rPr>
        <w:t>Dice:</w:t>
      </w:r>
      <w:r w:rsidRPr="002F794B">
        <w:rPr>
          <w:i/>
          <w:iCs/>
        </w:rPr>
        <w:t xml:space="preserve"> […] c) El solicitante de las pruebas deberá proporcionar al LP, en su caso, las antenas compatibles con el DRBP identificando la(s) marca(s), modelo(s) y ganancia(s) en dBi de cada antena compatible, así como los accesorios y/o software necesario para realización de éstas.</w:t>
      </w:r>
    </w:p>
    <w:p w14:paraId="0817A83E" w14:textId="77777777" w:rsidR="004C54DB" w:rsidRPr="002F794B" w:rsidRDefault="004C54DB" w:rsidP="004C54DB">
      <w:pPr>
        <w:ind w:left="567" w:right="616"/>
        <w:rPr>
          <w:i/>
          <w:iCs/>
        </w:rPr>
      </w:pPr>
      <w:r w:rsidRPr="002F794B">
        <w:rPr>
          <w:b/>
          <w:bCs/>
          <w:i/>
          <w:iCs/>
        </w:rPr>
        <w:t>Debe decir:</w:t>
      </w:r>
      <w:r w:rsidRPr="002F794B">
        <w:rPr>
          <w:i/>
          <w:iCs/>
        </w:rPr>
        <w:t xml:space="preserve"> […] c) El solicitante de las pruebas deberá proporcionar al LP, en su caso, las antenas compatibles con el DRBP identificando la(s) ganancia(s) en dBi y, en caso de existir, las marca(s), y modelo(s) de cada antena compatible, así como los accesorios y/o software necesario para realización de éstas.</w:t>
      </w:r>
    </w:p>
    <w:p w14:paraId="22C71F9F" w14:textId="0E9E0DF2" w:rsidR="000D19EB" w:rsidRPr="002F794B" w:rsidRDefault="004C54DB" w:rsidP="004C54DB">
      <w:pPr>
        <w:ind w:left="567" w:right="616"/>
        <w:rPr>
          <w:i/>
          <w:iCs/>
        </w:rPr>
      </w:pPr>
      <w:r w:rsidRPr="002F794B">
        <w:rPr>
          <w:b/>
          <w:bCs/>
          <w:i/>
          <w:iCs/>
        </w:rPr>
        <w:t>Justificación:</w:t>
      </w:r>
      <w:r w:rsidRPr="002F794B">
        <w:rPr>
          <w:i/>
          <w:iCs/>
        </w:rPr>
        <w:t xml:space="preserve"> Las antenas </w:t>
      </w:r>
      <w:proofErr w:type="spellStart"/>
      <w:r w:rsidRPr="002F794B">
        <w:rPr>
          <w:i/>
          <w:iCs/>
        </w:rPr>
        <w:t>desconectables</w:t>
      </w:r>
      <w:proofErr w:type="spellEnd"/>
      <w:r w:rsidRPr="002F794B">
        <w:rPr>
          <w:i/>
          <w:iCs/>
        </w:rPr>
        <w:t xml:space="preserve"> no siempre cuentan con marca y/o modelo, en particular, cuando no se venden por separado.</w:t>
      </w:r>
    </w:p>
    <w:p w14:paraId="4C14CF42" w14:textId="77777777" w:rsidR="000D19EB" w:rsidRPr="002F794B" w:rsidRDefault="000D19EB" w:rsidP="000D19EB">
      <w:pPr>
        <w:rPr>
          <w:u w:val="single"/>
        </w:rPr>
      </w:pPr>
      <w:r w:rsidRPr="002F794B">
        <w:rPr>
          <w:u w:val="single"/>
        </w:rPr>
        <w:t>Respuesta</w:t>
      </w:r>
    </w:p>
    <w:p w14:paraId="7C78B82B" w14:textId="5B0016CA" w:rsidR="000D19EB" w:rsidRPr="002F794B" w:rsidRDefault="005B2635" w:rsidP="00C22600">
      <w:r w:rsidRPr="002F794B">
        <w:t>No se considera. La DT establece que para la realización de pruebas se deberá proporcionar al LP, en su caso, las antenas compatibles con el DRBP identificando la(s) marca(s), modelo(s) y ganancia(s) en dBi de cada una, así como los accesorios y/o software necesario, de lo contrario,</w:t>
      </w:r>
      <w:r w:rsidR="007C5B06" w:rsidRPr="002F794B">
        <w:t xml:space="preserve"> </w:t>
      </w:r>
      <w:r w:rsidRPr="002F794B">
        <w:t>no se podría llevar a cabo las referidas pruebas.</w:t>
      </w:r>
    </w:p>
    <w:p w14:paraId="471BCE88" w14:textId="77777777" w:rsidR="005B2635" w:rsidRPr="002F794B" w:rsidRDefault="005B2635" w:rsidP="00C22600"/>
    <w:p w14:paraId="232A32EB" w14:textId="5DAA5603" w:rsidR="00005B95" w:rsidRPr="002F794B" w:rsidRDefault="00005B95" w:rsidP="00DE39DA">
      <w:pPr>
        <w:outlineLvl w:val="1"/>
        <w:rPr>
          <w:b/>
          <w:bCs/>
        </w:rPr>
      </w:pPr>
      <w:r w:rsidRPr="002F794B">
        <w:rPr>
          <w:b/>
          <w:bCs/>
        </w:rPr>
        <w:t>Numeral 8</w:t>
      </w:r>
      <w:r w:rsidR="0083170D" w:rsidRPr="002F794B">
        <w:rPr>
          <w:b/>
          <w:bCs/>
        </w:rPr>
        <w:t>.3.1.1</w:t>
      </w:r>
    </w:p>
    <w:p w14:paraId="449A8B48" w14:textId="77777777" w:rsidR="003B7816" w:rsidRPr="002F794B" w:rsidRDefault="003B7816" w:rsidP="003B7816">
      <w:pPr>
        <w:rPr>
          <w:u w:val="single"/>
        </w:rPr>
      </w:pPr>
      <w:r w:rsidRPr="002F794B">
        <w:rPr>
          <w:u w:val="single"/>
        </w:rPr>
        <w:t>Participante</w:t>
      </w:r>
    </w:p>
    <w:p w14:paraId="77DE179A" w14:textId="393B6A9A" w:rsidR="003B7816" w:rsidRPr="002F794B" w:rsidRDefault="00B52AC3" w:rsidP="003B7816">
      <w:r w:rsidRPr="002F794B">
        <w:t>Cámara Nacional de la Industria Electrónica, de Telecomunicaciones y Tecnologías de la Información</w:t>
      </w:r>
    </w:p>
    <w:p w14:paraId="1E3C75F8" w14:textId="77777777" w:rsidR="003B7816" w:rsidRPr="002F794B" w:rsidRDefault="003B7816" w:rsidP="003B7816">
      <w:pPr>
        <w:rPr>
          <w:u w:val="single"/>
        </w:rPr>
      </w:pPr>
      <w:r w:rsidRPr="002F794B">
        <w:rPr>
          <w:u w:val="single"/>
        </w:rPr>
        <w:t>Comentario y propuesta</w:t>
      </w:r>
    </w:p>
    <w:p w14:paraId="10866ADC" w14:textId="703FAFAE" w:rsidR="003B7816" w:rsidRPr="002F794B" w:rsidRDefault="009B6575" w:rsidP="003B7816">
      <w:pPr>
        <w:ind w:left="567" w:right="616"/>
        <w:rPr>
          <w:i/>
          <w:iCs/>
        </w:rPr>
      </w:pPr>
      <w:r w:rsidRPr="002F794B">
        <w:rPr>
          <w:i/>
          <w:iCs/>
        </w:rPr>
        <w:t>En varios puntos de la Disposición Técnica se describe el uso de un Acoplador Direccional/ Divisor de Potencia; sin embargo, no se describe en las figuras 1, 2, 3, en qué parte del arreglo de pruebas tendría que estar situado dicho elemento.</w:t>
      </w:r>
    </w:p>
    <w:p w14:paraId="0FBE4381" w14:textId="77777777" w:rsidR="003B7816" w:rsidRPr="002F794B" w:rsidRDefault="003B7816" w:rsidP="003B7816">
      <w:pPr>
        <w:rPr>
          <w:u w:val="single"/>
        </w:rPr>
      </w:pPr>
      <w:r w:rsidRPr="002F794B">
        <w:rPr>
          <w:u w:val="single"/>
        </w:rPr>
        <w:t>Respuesta</w:t>
      </w:r>
    </w:p>
    <w:p w14:paraId="11306D94" w14:textId="21295CF0" w:rsidR="003B7816" w:rsidRPr="002F794B" w:rsidRDefault="00815BA7" w:rsidP="003B7816">
      <w:r w:rsidRPr="002F794B">
        <w:t xml:space="preserve">Se considera y se </w:t>
      </w:r>
      <w:r w:rsidR="00DF6D55" w:rsidRPr="002F794B">
        <w:t xml:space="preserve">modifican </w:t>
      </w:r>
      <w:r w:rsidRPr="002F794B">
        <w:t>las figuras.</w:t>
      </w:r>
    </w:p>
    <w:p w14:paraId="7799067B" w14:textId="77777777" w:rsidR="003B7816" w:rsidRPr="002F794B" w:rsidRDefault="003B7816" w:rsidP="00C22600"/>
    <w:p w14:paraId="56CD4EFB" w14:textId="60C1C486" w:rsidR="00005B95" w:rsidRPr="002F794B" w:rsidRDefault="00005B95" w:rsidP="00DE39DA">
      <w:pPr>
        <w:outlineLvl w:val="1"/>
        <w:rPr>
          <w:b/>
          <w:bCs/>
        </w:rPr>
      </w:pPr>
      <w:r w:rsidRPr="002F794B">
        <w:rPr>
          <w:b/>
          <w:bCs/>
        </w:rPr>
        <w:t>Numeral 8.3.1.</w:t>
      </w:r>
      <w:r w:rsidR="0083170D" w:rsidRPr="002F794B">
        <w:rPr>
          <w:b/>
          <w:bCs/>
        </w:rPr>
        <w:t>2</w:t>
      </w:r>
    </w:p>
    <w:p w14:paraId="56E2555E" w14:textId="77777777" w:rsidR="003B7816" w:rsidRPr="002F794B" w:rsidRDefault="003B7816" w:rsidP="003B7816">
      <w:pPr>
        <w:rPr>
          <w:u w:val="single"/>
        </w:rPr>
      </w:pPr>
      <w:r w:rsidRPr="002F794B">
        <w:rPr>
          <w:u w:val="single"/>
        </w:rPr>
        <w:t>Participante</w:t>
      </w:r>
    </w:p>
    <w:p w14:paraId="43F1DB07" w14:textId="68BAF5E7" w:rsidR="003B7816" w:rsidRPr="002F794B" w:rsidRDefault="00E55406" w:rsidP="003B7816">
      <w:r w:rsidRPr="002F794B">
        <w:t>Cámara Nacional de la Industria Electrónica, de Telecomunicaciones y Tecnologías de la Información</w:t>
      </w:r>
    </w:p>
    <w:p w14:paraId="306C7A41" w14:textId="77777777" w:rsidR="003B7816" w:rsidRPr="002F794B" w:rsidRDefault="003B7816" w:rsidP="003B7816">
      <w:pPr>
        <w:rPr>
          <w:u w:val="single"/>
        </w:rPr>
      </w:pPr>
      <w:r w:rsidRPr="002F794B">
        <w:rPr>
          <w:u w:val="single"/>
        </w:rPr>
        <w:t>Comentario y propuesta</w:t>
      </w:r>
    </w:p>
    <w:p w14:paraId="4C9AD9DE" w14:textId="5104EC23" w:rsidR="003B7816" w:rsidRPr="002F794B" w:rsidRDefault="00451363" w:rsidP="003B7816">
      <w:pPr>
        <w:ind w:left="567" w:right="616"/>
        <w:rPr>
          <w:i/>
          <w:iCs/>
        </w:rPr>
      </w:pPr>
      <w:r w:rsidRPr="002F794B">
        <w:rPr>
          <w:i/>
          <w:iCs/>
        </w:rPr>
        <w:t xml:space="preserve">Se menciona lo siguiente “La distancia (D) entre el DBP y la antena de medición debe ser de mínimo de </w:t>
      </w:r>
      <w:r w:rsidRPr="002F794B">
        <w:rPr>
          <w:b/>
          <w:i/>
          <w:iCs/>
        </w:rPr>
        <w:t>3 metros</w:t>
      </w:r>
      <w:r w:rsidRPr="002F794B">
        <w:rPr>
          <w:i/>
          <w:iCs/>
        </w:rPr>
        <w:t xml:space="preserve"> para cumplir con la condición de </w:t>
      </w:r>
      <w:r w:rsidRPr="002F794B">
        <w:rPr>
          <w:b/>
          <w:i/>
          <w:iCs/>
        </w:rPr>
        <w:t>campo lejano</w:t>
      </w:r>
      <w:r w:rsidRPr="002F794B">
        <w:rPr>
          <w:i/>
          <w:iCs/>
        </w:rPr>
        <w:t xml:space="preserve"> en la banda de frecuencia a probarse.”, siendo que en la ecuación (6) se establece el parámetro [D]m, que es la distancia en metros entre las dos antenas y describe la ecuación D ≥ 2</w:t>
      </w:r>
      <w:r w:rsidRPr="002F794B">
        <w:rPr>
          <w:rFonts w:ascii="Cambria Math" w:hAnsi="Cambria Math" w:cs="Cambria Math"/>
          <w:i/>
          <w:iCs/>
        </w:rPr>
        <w:t>𝑑</w:t>
      </w:r>
      <w:r w:rsidRPr="002F794B">
        <w:rPr>
          <w:i/>
          <w:iCs/>
          <w:vertAlign w:val="superscript"/>
        </w:rPr>
        <w:t>2</w:t>
      </w:r>
      <w:r w:rsidRPr="002F794B">
        <w:rPr>
          <w:i/>
          <w:iCs/>
        </w:rPr>
        <w:t>/</w:t>
      </w:r>
      <w:r w:rsidRPr="002F794B">
        <w:rPr>
          <w:rFonts w:ascii="Cambria Math" w:hAnsi="Cambria Math" w:cs="Cambria Math"/>
          <w:i/>
          <w:iCs/>
        </w:rPr>
        <w:t>𝜆</w:t>
      </w:r>
      <w:r w:rsidRPr="002F794B">
        <w:rPr>
          <w:i/>
          <w:iCs/>
        </w:rPr>
        <w:t xml:space="preserve"> y misma ecuación que ya contempla la condición de </w:t>
      </w:r>
      <w:r w:rsidRPr="002F794B">
        <w:rPr>
          <w:b/>
          <w:i/>
          <w:iCs/>
        </w:rPr>
        <w:t>campo lejano</w:t>
      </w:r>
      <w:r w:rsidRPr="002F794B">
        <w:rPr>
          <w:i/>
          <w:iCs/>
        </w:rPr>
        <w:t>, por lo que se propone atentamente respetar dicha ecuación en función de la frecuencia de operación y las dimensiones de las antenas utilizadas y establecer un máximo de 3 metros.</w:t>
      </w:r>
    </w:p>
    <w:p w14:paraId="6BA4F3B6" w14:textId="77777777" w:rsidR="003B7816" w:rsidRPr="002F794B" w:rsidRDefault="003B7816" w:rsidP="003B7816">
      <w:pPr>
        <w:rPr>
          <w:u w:val="single"/>
        </w:rPr>
      </w:pPr>
      <w:r w:rsidRPr="002F794B">
        <w:rPr>
          <w:u w:val="single"/>
        </w:rPr>
        <w:t>Respuesta</w:t>
      </w:r>
    </w:p>
    <w:p w14:paraId="4669760B" w14:textId="216352A8" w:rsidR="003B7816" w:rsidRPr="002F794B" w:rsidRDefault="00551A60" w:rsidP="00C22600">
      <w:r w:rsidRPr="002F794B">
        <w:t>No se considera. Las condiciones de medición serán las establecidas en el numeral 8.3.1.2 de la DT.</w:t>
      </w:r>
    </w:p>
    <w:p w14:paraId="504627C9" w14:textId="77777777" w:rsidR="00551A60" w:rsidRPr="002F794B" w:rsidRDefault="00551A60" w:rsidP="00C22600"/>
    <w:p w14:paraId="3DB9A2E4" w14:textId="77777777" w:rsidR="003B7816" w:rsidRPr="002F794B" w:rsidRDefault="003B7816" w:rsidP="003B7816">
      <w:pPr>
        <w:rPr>
          <w:u w:val="single"/>
        </w:rPr>
      </w:pPr>
      <w:r w:rsidRPr="002F794B">
        <w:rPr>
          <w:u w:val="single"/>
        </w:rPr>
        <w:t>Participante</w:t>
      </w:r>
    </w:p>
    <w:p w14:paraId="15AADB13" w14:textId="05CF6EAF" w:rsidR="003B7816" w:rsidRPr="002F794B" w:rsidRDefault="00F756E7" w:rsidP="003B7816">
      <w:r w:rsidRPr="002F794B">
        <w:t>Consejo Mexicano de Normalización y Evaluación de la Conformidad A.C.</w:t>
      </w:r>
    </w:p>
    <w:p w14:paraId="56A31E00" w14:textId="77777777" w:rsidR="003B7816" w:rsidRPr="002F794B" w:rsidRDefault="003B7816" w:rsidP="003B7816">
      <w:pPr>
        <w:rPr>
          <w:u w:val="single"/>
        </w:rPr>
      </w:pPr>
      <w:r w:rsidRPr="002F794B">
        <w:rPr>
          <w:u w:val="single"/>
        </w:rPr>
        <w:t>Comentario y propuesta</w:t>
      </w:r>
    </w:p>
    <w:p w14:paraId="4AC2C562" w14:textId="40AE0964" w:rsidR="003B7816" w:rsidRPr="002F794B" w:rsidRDefault="00A85FF5" w:rsidP="003B7816">
      <w:pPr>
        <w:ind w:left="567" w:right="616"/>
        <w:rPr>
          <w:i/>
          <w:iCs/>
        </w:rPr>
      </w:pPr>
      <w:r w:rsidRPr="002F794B">
        <w:rPr>
          <w:i/>
          <w:iCs/>
        </w:rPr>
        <w:t xml:space="preserve">Se menciona lo siguiente “La distancia (D) entre el DBP y la antena de medición debe ser de mínimo de </w:t>
      </w:r>
      <w:r w:rsidRPr="002F794B">
        <w:rPr>
          <w:b/>
          <w:i/>
          <w:iCs/>
        </w:rPr>
        <w:t>3 metros</w:t>
      </w:r>
      <w:r w:rsidRPr="002F794B">
        <w:rPr>
          <w:i/>
          <w:iCs/>
        </w:rPr>
        <w:t xml:space="preserve"> para cumplir con la condición de </w:t>
      </w:r>
      <w:r w:rsidRPr="002F794B">
        <w:rPr>
          <w:b/>
          <w:i/>
          <w:iCs/>
        </w:rPr>
        <w:t>campo lejano</w:t>
      </w:r>
      <w:r w:rsidRPr="002F794B">
        <w:rPr>
          <w:i/>
          <w:iCs/>
        </w:rPr>
        <w:t xml:space="preserve"> en la banda de frecuencia a probarse.”, siendo que en la ecuación (6) se establece el parámetro [D]m que es la distancia en metros entre las dos antenas y describe la ecuación D ≥ 2</w:t>
      </w:r>
      <w:r w:rsidRPr="002F794B">
        <w:rPr>
          <w:rFonts w:ascii="Cambria Math" w:hAnsi="Cambria Math" w:cs="Cambria Math"/>
          <w:i/>
          <w:iCs/>
        </w:rPr>
        <w:t>𝑑</w:t>
      </w:r>
      <w:r w:rsidRPr="002F794B">
        <w:rPr>
          <w:i/>
          <w:iCs/>
          <w:vertAlign w:val="superscript"/>
        </w:rPr>
        <w:t>2</w:t>
      </w:r>
      <w:r w:rsidRPr="002F794B">
        <w:rPr>
          <w:i/>
          <w:iCs/>
        </w:rPr>
        <w:t>/</w:t>
      </w:r>
      <w:r w:rsidRPr="002F794B">
        <w:rPr>
          <w:rFonts w:ascii="Cambria Math" w:hAnsi="Cambria Math" w:cs="Cambria Math"/>
          <w:i/>
          <w:iCs/>
        </w:rPr>
        <w:t>𝜆</w:t>
      </w:r>
      <w:r w:rsidRPr="002F794B">
        <w:rPr>
          <w:i/>
          <w:iCs/>
        </w:rPr>
        <w:t xml:space="preserve"> y misma ecuación que ya contempla la condición de </w:t>
      </w:r>
      <w:r w:rsidRPr="002F794B">
        <w:rPr>
          <w:b/>
          <w:i/>
          <w:iCs/>
        </w:rPr>
        <w:t>campo lejano</w:t>
      </w:r>
      <w:r w:rsidRPr="002F794B">
        <w:rPr>
          <w:i/>
          <w:iCs/>
        </w:rPr>
        <w:t xml:space="preserve"> por lo que se propone respetar dicha ecuación en función de la frecuencia de operación y las dimensiones de las antenas utilizadas y establecer un máximo de 3 metros.</w:t>
      </w:r>
    </w:p>
    <w:p w14:paraId="2D1B2335" w14:textId="77777777" w:rsidR="003B7816" w:rsidRPr="002F794B" w:rsidRDefault="003B7816" w:rsidP="003B7816">
      <w:pPr>
        <w:rPr>
          <w:u w:val="single"/>
        </w:rPr>
      </w:pPr>
      <w:r w:rsidRPr="002F794B">
        <w:rPr>
          <w:u w:val="single"/>
        </w:rPr>
        <w:t>Respuesta</w:t>
      </w:r>
    </w:p>
    <w:p w14:paraId="25580B63" w14:textId="15E0E854" w:rsidR="003B7816" w:rsidRPr="002F794B" w:rsidRDefault="00551A60" w:rsidP="00C22600">
      <w:r w:rsidRPr="002F794B">
        <w:t>No se considera. Las condiciones de medición serán las establecidas en el numeral 8.3.1.2 de la DT.</w:t>
      </w:r>
    </w:p>
    <w:p w14:paraId="075B34D3" w14:textId="77777777" w:rsidR="00551A60" w:rsidRPr="002F794B" w:rsidRDefault="00551A60" w:rsidP="00C22600"/>
    <w:p w14:paraId="42628FD1" w14:textId="085AA981" w:rsidR="005A5CF9" w:rsidRPr="002F794B" w:rsidRDefault="005A5CF9" w:rsidP="00DE39DA">
      <w:pPr>
        <w:outlineLvl w:val="1"/>
        <w:rPr>
          <w:b/>
          <w:bCs/>
        </w:rPr>
      </w:pPr>
      <w:r w:rsidRPr="002F794B">
        <w:rPr>
          <w:b/>
          <w:bCs/>
        </w:rPr>
        <w:lastRenderedPageBreak/>
        <w:t>Numeral 8.4.1</w:t>
      </w:r>
    </w:p>
    <w:p w14:paraId="01B71E7C" w14:textId="77777777" w:rsidR="003B7816" w:rsidRPr="002F794B" w:rsidRDefault="003B7816" w:rsidP="003B7816">
      <w:pPr>
        <w:rPr>
          <w:u w:val="single"/>
        </w:rPr>
      </w:pPr>
      <w:r w:rsidRPr="002F794B">
        <w:rPr>
          <w:u w:val="single"/>
        </w:rPr>
        <w:t>Participante</w:t>
      </w:r>
    </w:p>
    <w:p w14:paraId="69192707" w14:textId="0F8D79D5" w:rsidR="003B7816" w:rsidRPr="002F794B" w:rsidRDefault="00A32C05" w:rsidP="003B7816">
      <w:r w:rsidRPr="002F794B">
        <w:t>Cámara Nacional de la Industria Electrónica, de Telecomunicaciones y Tecnologías de la Información</w:t>
      </w:r>
    </w:p>
    <w:p w14:paraId="04FB294A" w14:textId="77777777" w:rsidR="003B7816" w:rsidRPr="002F794B" w:rsidRDefault="003B7816" w:rsidP="003B7816">
      <w:pPr>
        <w:rPr>
          <w:u w:val="single"/>
        </w:rPr>
      </w:pPr>
      <w:r w:rsidRPr="002F794B">
        <w:rPr>
          <w:u w:val="single"/>
        </w:rPr>
        <w:t>Comentario y propuesta</w:t>
      </w:r>
    </w:p>
    <w:p w14:paraId="326BBC06" w14:textId="677C79E6" w:rsidR="003B7816" w:rsidRPr="002F794B" w:rsidRDefault="00D602CE" w:rsidP="003B7816">
      <w:pPr>
        <w:ind w:left="567" w:right="616"/>
        <w:rPr>
          <w:i/>
          <w:iCs/>
        </w:rPr>
      </w:pPr>
      <w:r w:rsidRPr="002F794B">
        <w:rPr>
          <w:i/>
          <w:iCs/>
        </w:rPr>
        <w:t>En varios puntos de la Disposición Técnica se describe el uso de un Acoplador Direccional/ Divisor de Potencia; sin embargo, no se describe en las figuras 1, 2, 3, en qué parte del arreglo de pruebas tendría que estar situado dicho elemento.</w:t>
      </w:r>
    </w:p>
    <w:p w14:paraId="6A18F83C" w14:textId="77777777" w:rsidR="003B7816" w:rsidRPr="002F794B" w:rsidRDefault="003B7816" w:rsidP="003B7816">
      <w:pPr>
        <w:rPr>
          <w:u w:val="single"/>
        </w:rPr>
      </w:pPr>
      <w:r w:rsidRPr="002F794B">
        <w:rPr>
          <w:u w:val="single"/>
        </w:rPr>
        <w:t>Respuesta</w:t>
      </w:r>
    </w:p>
    <w:p w14:paraId="5AF80FA1" w14:textId="6BF7AFAA" w:rsidR="003B7816" w:rsidRPr="002F794B" w:rsidRDefault="00705F1D" w:rsidP="003B7816">
      <w:r w:rsidRPr="002F794B">
        <w:t xml:space="preserve">Se considera y se </w:t>
      </w:r>
      <w:r w:rsidR="00DF6D55" w:rsidRPr="002F794B">
        <w:t xml:space="preserve">modifican </w:t>
      </w:r>
      <w:r w:rsidRPr="002F794B">
        <w:t>las figuras.</w:t>
      </w:r>
    </w:p>
    <w:p w14:paraId="7AD2BD5A" w14:textId="77777777" w:rsidR="003B7816" w:rsidRPr="002F794B" w:rsidRDefault="003B7816" w:rsidP="00C22600"/>
    <w:p w14:paraId="736786ED" w14:textId="77777777" w:rsidR="003B7816" w:rsidRPr="002F794B" w:rsidRDefault="003B7816" w:rsidP="003B7816">
      <w:pPr>
        <w:rPr>
          <w:u w:val="single"/>
        </w:rPr>
      </w:pPr>
      <w:r w:rsidRPr="002F794B">
        <w:rPr>
          <w:u w:val="single"/>
        </w:rPr>
        <w:t>Participante</w:t>
      </w:r>
    </w:p>
    <w:p w14:paraId="65B029C2" w14:textId="3772E019" w:rsidR="003B7816" w:rsidRPr="002F794B" w:rsidRDefault="00543553" w:rsidP="003B7816">
      <w:r w:rsidRPr="002F794B">
        <w:t>Consejo Mexicano de Normalización y Evaluación de la Conformidad A.C.</w:t>
      </w:r>
    </w:p>
    <w:p w14:paraId="323ED477" w14:textId="77777777" w:rsidR="003B7816" w:rsidRPr="002F794B" w:rsidRDefault="003B7816" w:rsidP="003B7816">
      <w:pPr>
        <w:rPr>
          <w:u w:val="single"/>
        </w:rPr>
      </w:pPr>
      <w:r w:rsidRPr="002F794B">
        <w:rPr>
          <w:u w:val="single"/>
        </w:rPr>
        <w:t>Comentario y propuesta</w:t>
      </w:r>
    </w:p>
    <w:p w14:paraId="2F699CAB" w14:textId="4766D1E4" w:rsidR="003B7816" w:rsidRPr="002F794B" w:rsidRDefault="00CF548B" w:rsidP="003B7816">
      <w:pPr>
        <w:ind w:left="567" w:right="616"/>
        <w:rPr>
          <w:i/>
          <w:iCs/>
        </w:rPr>
      </w:pPr>
      <w:r w:rsidRPr="002F794B">
        <w:rPr>
          <w:i/>
          <w:iCs/>
        </w:rPr>
        <w:t>En varios puntos de la Disposición Técnica se describe el uso de un Acoplador Direccional/ Divisor de Potencia, sin embargo no se describe en las figuras 1, 2, 3, en que parte del arreglo de pruebas tendría que estar situado dicho elemento.</w:t>
      </w:r>
    </w:p>
    <w:p w14:paraId="01AC11E2" w14:textId="77777777" w:rsidR="003B7816" w:rsidRPr="002F794B" w:rsidRDefault="003B7816" w:rsidP="003B7816">
      <w:pPr>
        <w:rPr>
          <w:u w:val="single"/>
        </w:rPr>
      </w:pPr>
      <w:r w:rsidRPr="002F794B">
        <w:rPr>
          <w:u w:val="single"/>
        </w:rPr>
        <w:t>Respuesta</w:t>
      </w:r>
    </w:p>
    <w:p w14:paraId="3C99CD58" w14:textId="6217EAE0" w:rsidR="003B7816" w:rsidRPr="002F794B" w:rsidRDefault="00705F1D" w:rsidP="00C22600">
      <w:r w:rsidRPr="002F794B">
        <w:t>Se considera y se revisan las figuras.</w:t>
      </w:r>
    </w:p>
    <w:p w14:paraId="267E4D8D" w14:textId="77777777" w:rsidR="00705F1D" w:rsidRPr="002F794B" w:rsidRDefault="00705F1D" w:rsidP="00C22600"/>
    <w:p w14:paraId="4FBD9EC3" w14:textId="2960EB13" w:rsidR="00CF548B" w:rsidRPr="002F794B" w:rsidRDefault="00CF548B" w:rsidP="00DE39DA">
      <w:pPr>
        <w:outlineLvl w:val="1"/>
        <w:rPr>
          <w:b/>
          <w:bCs/>
        </w:rPr>
      </w:pPr>
      <w:r w:rsidRPr="002F794B">
        <w:rPr>
          <w:b/>
          <w:bCs/>
        </w:rPr>
        <w:t xml:space="preserve">Numeral </w:t>
      </w:r>
      <w:r w:rsidR="000404BF" w:rsidRPr="002F794B">
        <w:rPr>
          <w:b/>
          <w:bCs/>
        </w:rPr>
        <w:t>8.4.3</w:t>
      </w:r>
    </w:p>
    <w:p w14:paraId="68541F72" w14:textId="77777777" w:rsidR="003B7816" w:rsidRPr="002F794B" w:rsidRDefault="003B7816" w:rsidP="003B7816">
      <w:pPr>
        <w:rPr>
          <w:u w:val="single"/>
        </w:rPr>
      </w:pPr>
      <w:r w:rsidRPr="002F794B">
        <w:rPr>
          <w:u w:val="single"/>
        </w:rPr>
        <w:t>Participante</w:t>
      </w:r>
    </w:p>
    <w:p w14:paraId="7E474941" w14:textId="76782592" w:rsidR="003B7816" w:rsidRPr="002F794B" w:rsidRDefault="0027367F" w:rsidP="003B7816">
      <w:r w:rsidRPr="002F794B">
        <w:t>Cámara Nacional de la Industria Electrónica, de Telecomunicaciones y Tecnologías de la Información</w:t>
      </w:r>
    </w:p>
    <w:p w14:paraId="0FD23196" w14:textId="77777777" w:rsidR="003B7816" w:rsidRPr="002F794B" w:rsidRDefault="003B7816" w:rsidP="003B7816">
      <w:pPr>
        <w:rPr>
          <w:u w:val="single"/>
        </w:rPr>
      </w:pPr>
      <w:r w:rsidRPr="002F794B">
        <w:rPr>
          <w:u w:val="single"/>
        </w:rPr>
        <w:t>Comentario y propuesta</w:t>
      </w:r>
    </w:p>
    <w:p w14:paraId="0DC4FB6C" w14:textId="4B3AED14" w:rsidR="003B7816" w:rsidRPr="002F794B" w:rsidRDefault="001271D8" w:rsidP="003B7816">
      <w:pPr>
        <w:ind w:left="567" w:right="616"/>
        <w:rPr>
          <w:i/>
          <w:iCs/>
        </w:rPr>
      </w:pPr>
      <w:r w:rsidRPr="002F794B">
        <w:rPr>
          <w:i/>
          <w:iCs/>
        </w:rPr>
        <w:t xml:space="preserve">Para micrófonos inalámbricos se sugiere la utilización del trazo en Max hold (sustituyendo la opción de Clear </w:t>
      </w:r>
      <w:proofErr w:type="spellStart"/>
      <w:r w:rsidRPr="002F794B">
        <w:rPr>
          <w:i/>
          <w:iCs/>
        </w:rPr>
        <w:t>write</w:t>
      </w:r>
      <w:proofErr w:type="spellEnd"/>
      <w:r w:rsidRPr="002F794B">
        <w:rPr>
          <w:i/>
          <w:iCs/>
        </w:rPr>
        <w:t>), para poder capturar ambas emisiones de manera simultánea.</w:t>
      </w:r>
    </w:p>
    <w:p w14:paraId="58EE0CFD" w14:textId="77777777" w:rsidR="003B7816" w:rsidRPr="002F794B" w:rsidRDefault="003B7816" w:rsidP="003B7816">
      <w:pPr>
        <w:rPr>
          <w:u w:val="single"/>
        </w:rPr>
      </w:pPr>
      <w:r w:rsidRPr="002F794B">
        <w:rPr>
          <w:u w:val="single"/>
        </w:rPr>
        <w:t>Respuesta</w:t>
      </w:r>
    </w:p>
    <w:p w14:paraId="3F752CF0" w14:textId="66E1793B" w:rsidR="003B7816" w:rsidRPr="002F794B" w:rsidRDefault="00266A06" w:rsidP="003B7816">
      <w:r w:rsidRPr="002F794B">
        <w:t>Se considera y se modifica.</w:t>
      </w:r>
    </w:p>
    <w:p w14:paraId="0EAEF0AF" w14:textId="77777777" w:rsidR="003B7816" w:rsidRPr="002F794B" w:rsidRDefault="003B7816" w:rsidP="00C22600"/>
    <w:p w14:paraId="46162F10" w14:textId="77777777" w:rsidR="003B7816" w:rsidRPr="002F794B" w:rsidRDefault="003B7816" w:rsidP="003B7816">
      <w:pPr>
        <w:rPr>
          <w:u w:val="single"/>
        </w:rPr>
      </w:pPr>
      <w:r w:rsidRPr="002F794B">
        <w:rPr>
          <w:u w:val="single"/>
        </w:rPr>
        <w:t>Participante</w:t>
      </w:r>
    </w:p>
    <w:p w14:paraId="5C1856B2" w14:textId="30A2F8C0" w:rsidR="003B7816" w:rsidRPr="002F794B" w:rsidRDefault="00F12130" w:rsidP="003B7816">
      <w:r w:rsidRPr="002F794B">
        <w:t>Cámara Nacional de la Industria Electrónica, de Telecomunicaciones y Tecnologías de la Información</w:t>
      </w:r>
    </w:p>
    <w:p w14:paraId="2CC2DB5C" w14:textId="77777777" w:rsidR="003B7816" w:rsidRPr="002F794B" w:rsidRDefault="003B7816" w:rsidP="003B7816">
      <w:pPr>
        <w:rPr>
          <w:u w:val="single"/>
        </w:rPr>
      </w:pPr>
      <w:r w:rsidRPr="002F794B">
        <w:rPr>
          <w:u w:val="single"/>
        </w:rPr>
        <w:t>Comentario y propuesta</w:t>
      </w:r>
    </w:p>
    <w:p w14:paraId="4A661317" w14:textId="24FEF454" w:rsidR="003B7816" w:rsidRPr="002F794B" w:rsidRDefault="00F856D1" w:rsidP="003B7816">
      <w:pPr>
        <w:ind w:left="567" w:right="616"/>
        <w:rPr>
          <w:i/>
          <w:iCs/>
        </w:rPr>
      </w:pPr>
      <w:r w:rsidRPr="002F794B">
        <w:rPr>
          <w:i/>
          <w:iCs/>
        </w:rPr>
        <w:t>Se solicita atentamente ajustar el valor del tiempo de barrido (</w:t>
      </w:r>
      <w:r w:rsidRPr="002F794B">
        <w:rPr>
          <w:b/>
          <w:i/>
          <w:iCs/>
        </w:rPr>
        <w:t>sweep time</w:t>
      </w:r>
      <w:r w:rsidRPr="002F794B">
        <w:rPr>
          <w:i/>
          <w:iCs/>
        </w:rPr>
        <w:t xml:space="preserve">) en </w:t>
      </w:r>
      <w:r w:rsidRPr="002F794B">
        <w:rPr>
          <w:b/>
          <w:i/>
          <w:iCs/>
        </w:rPr>
        <w:t>auto</w:t>
      </w:r>
      <w:r w:rsidRPr="002F794B">
        <w:rPr>
          <w:i/>
          <w:iCs/>
        </w:rPr>
        <w:t>,</w:t>
      </w:r>
      <w:r w:rsidRPr="002F794B">
        <w:rPr>
          <w:b/>
          <w:i/>
          <w:iCs/>
        </w:rPr>
        <w:t xml:space="preserve"> </w:t>
      </w:r>
      <w:r w:rsidRPr="002F794B">
        <w:rPr>
          <w:i/>
          <w:iCs/>
        </w:rPr>
        <w:t xml:space="preserve">ya que los valores propuestos son muy elevados. Ajustar en </w:t>
      </w:r>
      <w:r w:rsidRPr="002F794B">
        <w:rPr>
          <w:b/>
          <w:i/>
          <w:iCs/>
        </w:rPr>
        <w:t xml:space="preserve">auto </w:t>
      </w:r>
      <w:r w:rsidRPr="002F794B">
        <w:rPr>
          <w:i/>
          <w:iCs/>
        </w:rPr>
        <w:t>garantizará el mejor desempeño del analizador de espectro.</w:t>
      </w:r>
    </w:p>
    <w:p w14:paraId="48F73BD0" w14:textId="77777777" w:rsidR="003B7816" w:rsidRPr="002F794B" w:rsidRDefault="003B7816" w:rsidP="003B7816">
      <w:pPr>
        <w:rPr>
          <w:u w:val="single"/>
        </w:rPr>
      </w:pPr>
      <w:r w:rsidRPr="002F794B">
        <w:rPr>
          <w:u w:val="single"/>
        </w:rPr>
        <w:t>Respuesta</w:t>
      </w:r>
    </w:p>
    <w:p w14:paraId="4FBE67F6" w14:textId="5A186B35" w:rsidR="003B7816" w:rsidRPr="002F794B" w:rsidRDefault="005575E7" w:rsidP="003B7816">
      <w:r w:rsidRPr="002F794B">
        <w:t>Se considera y se modifica.</w:t>
      </w:r>
    </w:p>
    <w:p w14:paraId="044E2CB8" w14:textId="77777777" w:rsidR="003B7816" w:rsidRPr="002F794B" w:rsidRDefault="003B7816" w:rsidP="00C22600"/>
    <w:p w14:paraId="332FA7EE" w14:textId="77777777" w:rsidR="003B7816" w:rsidRPr="002F794B" w:rsidRDefault="003B7816" w:rsidP="003B7816">
      <w:pPr>
        <w:rPr>
          <w:u w:val="single"/>
        </w:rPr>
      </w:pPr>
      <w:r w:rsidRPr="002F794B">
        <w:rPr>
          <w:u w:val="single"/>
        </w:rPr>
        <w:t>Participante</w:t>
      </w:r>
    </w:p>
    <w:p w14:paraId="464A17D9" w14:textId="014BA88F" w:rsidR="003B7816" w:rsidRPr="002F794B" w:rsidRDefault="00B5712B" w:rsidP="003B7816">
      <w:r w:rsidRPr="002F794B">
        <w:t>Consejo Mexicano de Normalización y Evaluación de la Conformidad A.C.</w:t>
      </w:r>
    </w:p>
    <w:p w14:paraId="2381B720" w14:textId="77777777" w:rsidR="003B7816" w:rsidRPr="002F794B" w:rsidRDefault="003B7816" w:rsidP="003B7816">
      <w:pPr>
        <w:rPr>
          <w:u w:val="single"/>
        </w:rPr>
      </w:pPr>
      <w:r w:rsidRPr="002F794B">
        <w:rPr>
          <w:u w:val="single"/>
        </w:rPr>
        <w:t>Comentario y propuesta</w:t>
      </w:r>
    </w:p>
    <w:p w14:paraId="425B118E" w14:textId="05675D3A" w:rsidR="003B7816" w:rsidRPr="002F794B" w:rsidRDefault="00A35650" w:rsidP="003B7816">
      <w:pPr>
        <w:ind w:left="567" w:right="616"/>
        <w:rPr>
          <w:i/>
          <w:iCs/>
        </w:rPr>
      </w:pPr>
      <w:r w:rsidRPr="002F794B">
        <w:rPr>
          <w:i/>
          <w:iCs/>
        </w:rPr>
        <w:t>Ajustar el valor del tiempo de barrido (</w:t>
      </w:r>
      <w:r w:rsidRPr="002F794B">
        <w:rPr>
          <w:b/>
          <w:i/>
          <w:iCs/>
        </w:rPr>
        <w:t>sweep time</w:t>
      </w:r>
      <w:r w:rsidRPr="002F794B">
        <w:rPr>
          <w:i/>
          <w:iCs/>
        </w:rPr>
        <w:t xml:space="preserve">) en </w:t>
      </w:r>
      <w:r w:rsidRPr="002F794B">
        <w:rPr>
          <w:b/>
          <w:i/>
          <w:iCs/>
        </w:rPr>
        <w:t xml:space="preserve">auto </w:t>
      </w:r>
      <w:r w:rsidRPr="002F794B">
        <w:rPr>
          <w:i/>
          <w:iCs/>
        </w:rPr>
        <w:t xml:space="preserve">ya que los valores propuestos son muy elevados, ajustar en </w:t>
      </w:r>
      <w:r w:rsidRPr="002F794B">
        <w:rPr>
          <w:b/>
          <w:i/>
          <w:iCs/>
        </w:rPr>
        <w:t xml:space="preserve">auto </w:t>
      </w:r>
      <w:r w:rsidRPr="002F794B">
        <w:rPr>
          <w:i/>
          <w:iCs/>
        </w:rPr>
        <w:t>garantizará el mejor desempeño del analizador de espectro</w:t>
      </w:r>
    </w:p>
    <w:p w14:paraId="3ABD40A4" w14:textId="77777777" w:rsidR="003B7816" w:rsidRPr="002F794B" w:rsidRDefault="003B7816" w:rsidP="003B7816">
      <w:pPr>
        <w:rPr>
          <w:u w:val="single"/>
        </w:rPr>
      </w:pPr>
      <w:r w:rsidRPr="002F794B">
        <w:rPr>
          <w:u w:val="single"/>
        </w:rPr>
        <w:t>Respuesta</w:t>
      </w:r>
    </w:p>
    <w:p w14:paraId="37041894" w14:textId="23E88608" w:rsidR="003B7816" w:rsidRPr="002F794B" w:rsidRDefault="005575E7" w:rsidP="00C22600">
      <w:r w:rsidRPr="002F794B">
        <w:t>Se considera y se modifica.</w:t>
      </w:r>
    </w:p>
    <w:p w14:paraId="58B6A3A6" w14:textId="77777777" w:rsidR="005575E7" w:rsidRPr="002F794B" w:rsidRDefault="005575E7" w:rsidP="00C22600"/>
    <w:p w14:paraId="45705225" w14:textId="77777777" w:rsidR="003B7816" w:rsidRPr="002F794B" w:rsidRDefault="003B7816" w:rsidP="003B7816">
      <w:pPr>
        <w:rPr>
          <w:u w:val="single"/>
        </w:rPr>
      </w:pPr>
      <w:r w:rsidRPr="002F794B">
        <w:rPr>
          <w:u w:val="single"/>
        </w:rPr>
        <w:t>Participante</w:t>
      </w:r>
    </w:p>
    <w:p w14:paraId="010C3AE6" w14:textId="502612F7" w:rsidR="003B7816" w:rsidRPr="002F794B" w:rsidRDefault="009A23F7" w:rsidP="003B7816">
      <w:r w:rsidRPr="002F794B">
        <w:t>Consejo Mexicano de Normalización y Evaluación de la Conformidad A.C.</w:t>
      </w:r>
    </w:p>
    <w:p w14:paraId="4D3C3AC8" w14:textId="77777777" w:rsidR="003B7816" w:rsidRPr="002F794B" w:rsidRDefault="003B7816" w:rsidP="003B7816">
      <w:pPr>
        <w:rPr>
          <w:u w:val="single"/>
        </w:rPr>
      </w:pPr>
      <w:r w:rsidRPr="002F794B">
        <w:rPr>
          <w:u w:val="single"/>
        </w:rPr>
        <w:t>Comentario y propuesta</w:t>
      </w:r>
    </w:p>
    <w:p w14:paraId="1AA7F176" w14:textId="1EA9DBCF" w:rsidR="003B7816" w:rsidRPr="002F794B" w:rsidRDefault="009A23F7" w:rsidP="00756305">
      <w:pPr>
        <w:ind w:left="567" w:right="616"/>
        <w:rPr>
          <w:i/>
          <w:iCs/>
        </w:rPr>
      </w:pPr>
      <w:r w:rsidRPr="002F794B">
        <w:rPr>
          <w:i/>
          <w:iCs/>
        </w:rPr>
        <w:t xml:space="preserve">Para micrófonos inalámbricos se sugiere la utilización del trazo en Max hold (sustituyendo la opción de Clear </w:t>
      </w:r>
      <w:proofErr w:type="spellStart"/>
      <w:r w:rsidRPr="002F794B">
        <w:rPr>
          <w:i/>
          <w:iCs/>
        </w:rPr>
        <w:t>write</w:t>
      </w:r>
      <w:proofErr w:type="spellEnd"/>
      <w:r w:rsidRPr="002F794B">
        <w:rPr>
          <w:i/>
          <w:iCs/>
        </w:rPr>
        <w:t>) para poder capturar ambas emisiones de manera simultánea.</w:t>
      </w:r>
    </w:p>
    <w:p w14:paraId="37E702E6" w14:textId="77777777" w:rsidR="003B7816" w:rsidRPr="002F794B" w:rsidRDefault="003B7816" w:rsidP="003B7816">
      <w:pPr>
        <w:rPr>
          <w:u w:val="single"/>
        </w:rPr>
      </w:pPr>
      <w:r w:rsidRPr="002F794B">
        <w:rPr>
          <w:u w:val="single"/>
        </w:rPr>
        <w:t>Respuesta</w:t>
      </w:r>
    </w:p>
    <w:p w14:paraId="39DBEF19" w14:textId="5CB65AB6" w:rsidR="003B7816" w:rsidRPr="002F794B" w:rsidRDefault="005575E7" w:rsidP="00C22600">
      <w:r w:rsidRPr="002F794B">
        <w:t>Se considera y se modifica.</w:t>
      </w:r>
    </w:p>
    <w:p w14:paraId="02E2E8CE" w14:textId="77777777" w:rsidR="005575E7" w:rsidRPr="002F794B" w:rsidRDefault="005575E7" w:rsidP="00C22600"/>
    <w:p w14:paraId="10139A9C" w14:textId="77777777" w:rsidR="003B7816" w:rsidRPr="002F794B" w:rsidRDefault="003B7816" w:rsidP="003B7816">
      <w:pPr>
        <w:rPr>
          <w:u w:val="single"/>
        </w:rPr>
      </w:pPr>
      <w:r w:rsidRPr="002F794B">
        <w:rPr>
          <w:u w:val="single"/>
        </w:rPr>
        <w:t>Participante</w:t>
      </w:r>
    </w:p>
    <w:p w14:paraId="5B1F077F" w14:textId="0E3CFE6E" w:rsidR="003B7816" w:rsidRPr="002F794B" w:rsidRDefault="00B43041" w:rsidP="003B7816">
      <w:r w:rsidRPr="002F794B">
        <w:t>LOGIS CONSULTORES S.A. de C.V.</w:t>
      </w:r>
    </w:p>
    <w:p w14:paraId="506F6F26" w14:textId="77777777" w:rsidR="003B7816" w:rsidRPr="002F794B" w:rsidRDefault="003B7816" w:rsidP="003B7816">
      <w:pPr>
        <w:rPr>
          <w:u w:val="single"/>
        </w:rPr>
      </w:pPr>
      <w:r w:rsidRPr="002F794B">
        <w:rPr>
          <w:u w:val="single"/>
        </w:rPr>
        <w:lastRenderedPageBreak/>
        <w:t>Comentario y propuesta</w:t>
      </w:r>
    </w:p>
    <w:p w14:paraId="5E07E0BD" w14:textId="6A599480" w:rsidR="003B7816" w:rsidRPr="002F794B" w:rsidRDefault="008A4B65" w:rsidP="003B7816">
      <w:pPr>
        <w:ind w:left="567" w:right="616"/>
        <w:rPr>
          <w:i/>
          <w:iCs/>
        </w:rPr>
      </w:pPr>
      <w:r w:rsidRPr="002F794B">
        <w:rPr>
          <w:i/>
          <w:iCs/>
        </w:rPr>
        <w:t xml:space="preserve">El prefijo de kilo debería de ir en minúsculas </w:t>
      </w:r>
      <w:proofErr w:type="gramStart"/>
      <w:r w:rsidRPr="002F794B">
        <w:rPr>
          <w:i/>
          <w:iCs/>
        </w:rPr>
        <w:t>de acuerdo a</w:t>
      </w:r>
      <w:proofErr w:type="gramEnd"/>
      <w:r w:rsidRPr="002F794B">
        <w:rPr>
          <w:i/>
          <w:iCs/>
        </w:rPr>
        <w:t xml:space="preserve"> la NOM-008-SCFI</w:t>
      </w:r>
      <w:r w:rsidR="00B43041" w:rsidRPr="002F794B">
        <w:rPr>
          <w:i/>
          <w:iCs/>
        </w:rPr>
        <w:t>-</w:t>
      </w:r>
      <w:r w:rsidRPr="002F794B">
        <w:rPr>
          <w:i/>
          <w:iCs/>
        </w:rPr>
        <w:t>VIGENTE.</w:t>
      </w:r>
    </w:p>
    <w:p w14:paraId="6F45ADFD" w14:textId="77777777" w:rsidR="003B7816" w:rsidRPr="002F794B" w:rsidRDefault="003B7816" w:rsidP="003B7816">
      <w:pPr>
        <w:rPr>
          <w:u w:val="single"/>
        </w:rPr>
      </w:pPr>
      <w:r w:rsidRPr="002F794B">
        <w:rPr>
          <w:u w:val="single"/>
        </w:rPr>
        <w:t>Respuesta</w:t>
      </w:r>
    </w:p>
    <w:p w14:paraId="3DF23622" w14:textId="67780332" w:rsidR="003B7816" w:rsidRPr="002F794B" w:rsidRDefault="00352324" w:rsidP="00C22600">
      <w:r w:rsidRPr="002F794B">
        <w:t>Se considera y se corrige.</w:t>
      </w:r>
    </w:p>
    <w:p w14:paraId="0EACA01A" w14:textId="77777777" w:rsidR="00352324" w:rsidRPr="002F794B" w:rsidRDefault="00352324" w:rsidP="00C22600"/>
    <w:p w14:paraId="191CA2B1" w14:textId="6329DD93" w:rsidR="00377422" w:rsidRPr="002F794B" w:rsidRDefault="00377422" w:rsidP="00DE39DA">
      <w:pPr>
        <w:outlineLvl w:val="1"/>
        <w:rPr>
          <w:b/>
          <w:bCs/>
        </w:rPr>
      </w:pPr>
      <w:r w:rsidRPr="002F794B">
        <w:rPr>
          <w:b/>
          <w:bCs/>
        </w:rPr>
        <w:t>Numeral 8.5</w:t>
      </w:r>
    </w:p>
    <w:p w14:paraId="452BC4C1" w14:textId="77777777" w:rsidR="003B7816" w:rsidRPr="002F794B" w:rsidRDefault="003B7816" w:rsidP="003B7816">
      <w:pPr>
        <w:rPr>
          <w:u w:val="single"/>
        </w:rPr>
      </w:pPr>
      <w:r w:rsidRPr="002F794B">
        <w:rPr>
          <w:u w:val="single"/>
        </w:rPr>
        <w:t>Participante</w:t>
      </w:r>
    </w:p>
    <w:p w14:paraId="3B27FD66" w14:textId="12AB0ADE" w:rsidR="003B7816" w:rsidRPr="002F794B" w:rsidRDefault="00377422" w:rsidP="003B7816">
      <w:r w:rsidRPr="002F794B">
        <w:t>Cámara Nacional de la Industria Electrónica, de Telecomunicaciones y Tecnologías de la Información</w:t>
      </w:r>
    </w:p>
    <w:p w14:paraId="0831115E" w14:textId="77777777" w:rsidR="003B7816" w:rsidRPr="002F794B" w:rsidRDefault="003B7816" w:rsidP="003B7816">
      <w:pPr>
        <w:rPr>
          <w:u w:val="single"/>
        </w:rPr>
      </w:pPr>
      <w:r w:rsidRPr="002F794B">
        <w:rPr>
          <w:u w:val="single"/>
        </w:rPr>
        <w:t>Comentario y propuesta</w:t>
      </w:r>
    </w:p>
    <w:p w14:paraId="196A02A2" w14:textId="77777777" w:rsidR="003107EA" w:rsidRPr="002F794B" w:rsidRDefault="003107EA" w:rsidP="003107EA">
      <w:pPr>
        <w:ind w:left="567" w:right="616"/>
        <w:rPr>
          <w:i/>
          <w:iCs/>
        </w:rPr>
      </w:pPr>
      <w:r w:rsidRPr="002F794B">
        <w:rPr>
          <w:i/>
          <w:iCs/>
        </w:rPr>
        <w:t>Se observa que el método de prueba propuesto es similar que al método de prueba establecido en 8.4.3. Este parámetro puede ser medido también utilizando herramientas existentes en el analizador de espectro, el cual establece el ancho de banda ocupado de potencia del 99%. Se sugiere atentamente añadir dicho método de la siguiente manera:</w:t>
      </w:r>
    </w:p>
    <w:p w14:paraId="12F3D347" w14:textId="77777777" w:rsidR="003107EA" w:rsidRPr="002F794B" w:rsidRDefault="003107EA" w:rsidP="00447518">
      <w:pPr>
        <w:ind w:left="851" w:right="900"/>
        <w:rPr>
          <w:b/>
          <w:i/>
          <w:iCs/>
          <w:u w:val="single"/>
        </w:rPr>
      </w:pPr>
      <w:r w:rsidRPr="002F794B">
        <w:rPr>
          <w:b/>
          <w:i/>
          <w:iCs/>
          <w:u w:val="single"/>
        </w:rPr>
        <w:t>“4a. Método 2. Emplear la herramienta destinada a ancho de banda ocupado dentro del Analizador de Espectro, siempre y cuando éste cuente con un certificado de calibración en frecuencia, para la aplicación del método de medición de Ancho de Banda Ocupado.</w:t>
      </w:r>
    </w:p>
    <w:p w14:paraId="2EFCF6C7" w14:textId="77777777" w:rsidR="003107EA" w:rsidRPr="002F794B" w:rsidRDefault="003107EA" w:rsidP="00447518">
      <w:pPr>
        <w:ind w:left="851" w:right="900"/>
        <w:rPr>
          <w:b/>
          <w:i/>
          <w:iCs/>
          <w:u w:val="single"/>
        </w:rPr>
      </w:pPr>
      <w:r w:rsidRPr="002F794B">
        <w:rPr>
          <w:b/>
          <w:i/>
          <w:iCs/>
          <w:u w:val="single"/>
        </w:rPr>
        <w:t>a. Habilitar la herramienta para ancho de banda ocupada (OBW)</w:t>
      </w:r>
    </w:p>
    <w:p w14:paraId="3993FBAC" w14:textId="77777777" w:rsidR="003107EA" w:rsidRPr="002F794B" w:rsidRDefault="003107EA" w:rsidP="00447518">
      <w:pPr>
        <w:ind w:left="851" w:right="900"/>
        <w:rPr>
          <w:b/>
          <w:i/>
          <w:iCs/>
          <w:u w:val="single"/>
        </w:rPr>
      </w:pPr>
      <w:r w:rsidRPr="002F794B">
        <w:rPr>
          <w:b/>
          <w:i/>
          <w:iCs/>
          <w:u w:val="single"/>
        </w:rPr>
        <w:t>b. Establecer la medición del ancho de banda ocupado de potencia al 99%</w:t>
      </w:r>
    </w:p>
    <w:p w14:paraId="5D73F86C" w14:textId="7D2AC4FB" w:rsidR="003B7816" w:rsidRPr="002F794B" w:rsidRDefault="003107EA" w:rsidP="00447518">
      <w:pPr>
        <w:ind w:left="851" w:right="900"/>
        <w:rPr>
          <w:i/>
          <w:iCs/>
        </w:rPr>
      </w:pPr>
      <w:r w:rsidRPr="002F794B">
        <w:rPr>
          <w:b/>
          <w:i/>
          <w:iCs/>
          <w:u w:val="single"/>
        </w:rPr>
        <w:t>c. Registrar la medición obtenida en el inciso b) en MHz.”</w:t>
      </w:r>
    </w:p>
    <w:p w14:paraId="450E26B1" w14:textId="77777777" w:rsidR="003B7816" w:rsidRPr="002F794B" w:rsidRDefault="003B7816" w:rsidP="003B7816">
      <w:pPr>
        <w:rPr>
          <w:u w:val="single"/>
        </w:rPr>
      </w:pPr>
      <w:r w:rsidRPr="002F794B">
        <w:rPr>
          <w:u w:val="single"/>
        </w:rPr>
        <w:t>Respuesta</w:t>
      </w:r>
    </w:p>
    <w:p w14:paraId="4AEF3DE0" w14:textId="685A7F62" w:rsidR="003B7816" w:rsidRPr="002F794B" w:rsidRDefault="00BD389E" w:rsidP="003B7816">
      <w:r w:rsidRPr="002F794B">
        <w:t>No se considera dado que no todos los DRBP utilizan un BW</w:t>
      </w:r>
      <w:r w:rsidRPr="002F794B">
        <w:rPr>
          <w:vertAlign w:val="subscript"/>
        </w:rPr>
        <w:t>OC</w:t>
      </w:r>
      <w:r w:rsidRPr="002F794B">
        <w:t xml:space="preserve"> del 99%.</w:t>
      </w:r>
    </w:p>
    <w:p w14:paraId="2071B4A4" w14:textId="77777777" w:rsidR="003B7816" w:rsidRPr="002F794B" w:rsidRDefault="003B7816" w:rsidP="00C22600"/>
    <w:p w14:paraId="1686031D" w14:textId="77777777" w:rsidR="003B7816" w:rsidRPr="002F794B" w:rsidRDefault="003B7816" w:rsidP="003B7816">
      <w:pPr>
        <w:rPr>
          <w:u w:val="single"/>
        </w:rPr>
      </w:pPr>
      <w:r w:rsidRPr="002F794B">
        <w:rPr>
          <w:u w:val="single"/>
        </w:rPr>
        <w:t>Participante</w:t>
      </w:r>
    </w:p>
    <w:p w14:paraId="2E3231D9" w14:textId="253F246E" w:rsidR="003B7816" w:rsidRPr="002F794B" w:rsidRDefault="001323E4" w:rsidP="003B7816">
      <w:r w:rsidRPr="002F794B">
        <w:t>Consejo Mexicano de Normalización y Evaluación de la Conformidad A.C.</w:t>
      </w:r>
    </w:p>
    <w:p w14:paraId="56AF2227" w14:textId="77777777" w:rsidR="003B7816" w:rsidRPr="002F794B" w:rsidRDefault="003B7816" w:rsidP="003B7816">
      <w:pPr>
        <w:rPr>
          <w:u w:val="single"/>
        </w:rPr>
      </w:pPr>
      <w:r w:rsidRPr="002F794B">
        <w:rPr>
          <w:u w:val="single"/>
        </w:rPr>
        <w:t>Comentario y propuesta</w:t>
      </w:r>
    </w:p>
    <w:p w14:paraId="4341D305" w14:textId="5A290DD8" w:rsidR="00831B2D" w:rsidRPr="002F794B" w:rsidRDefault="00831B2D" w:rsidP="00831B2D">
      <w:pPr>
        <w:ind w:left="567" w:right="616"/>
        <w:rPr>
          <w:i/>
          <w:iCs/>
        </w:rPr>
      </w:pPr>
      <w:r w:rsidRPr="002F794B">
        <w:rPr>
          <w:i/>
          <w:iCs/>
        </w:rPr>
        <w:lastRenderedPageBreak/>
        <w:t>Se observa que el método de prueba propuesto es similar que al método de prueba establecido en 8.4.3, este parámetro puede ser medido también utilizando herramientas existentes en el analizador de espectro, el cual establece el ancho de banda ocupado de potencia del 99%. Se sugiere añadir dicho método de la siguiente manera:</w:t>
      </w:r>
    </w:p>
    <w:p w14:paraId="4F493E42" w14:textId="77777777" w:rsidR="00831B2D" w:rsidRPr="002F794B" w:rsidRDefault="00831B2D" w:rsidP="00831B2D">
      <w:pPr>
        <w:ind w:left="567" w:right="616"/>
        <w:rPr>
          <w:i/>
          <w:iCs/>
        </w:rPr>
      </w:pPr>
      <w:r w:rsidRPr="002F794B">
        <w:rPr>
          <w:b/>
          <w:i/>
          <w:iCs/>
        </w:rPr>
        <w:t>4a. Método 2.</w:t>
      </w:r>
      <w:r w:rsidRPr="002F794B">
        <w:rPr>
          <w:i/>
          <w:iCs/>
        </w:rPr>
        <w:t xml:space="preserve"> Emplear la herramienta destinada a ancho de banda ocupado dentro del Analizador de Espectro, siempre y cuando éste cuente con un certificado de calibración en frecuencia, para la aplicación del método de medición de Ancho de Banda Ocupado.</w:t>
      </w:r>
    </w:p>
    <w:p w14:paraId="47E642D7" w14:textId="77777777" w:rsidR="00831B2D" w:rsidRPr="002F794B" w:rsidRDefault="00831B2D" w:rsidP="00831B2D">
      <w:pPr>
        <w:ind w:left="567" w:right="616"/>
        <w:rPr>
          <w:i/>
          <w:iCs/>
        </w:rPr>
      </w:pPr>
      <w:r w:rsidRPr="002F794B">
        <w:rPr>
          <w:i/>
          <w:iCs/>
        </w:rPr>
        <w:t>a.     Habilitar la herramienta para ancho de banda ocupada (OBW)</w:t>
      </w:r>
    </w:p>
    <w:p w14:paraId="679F1C47" w14:textId="77777777" w:rsidR="00831B2D" w:rsidRPr="002F794B" w:rsidRDefault="00831B2D" w:rsidP="00831B2D">
      <w:pPr>
        <w:ind w:left="567" w:right="616"/>
        <w:rPr>
          <w:i/>
          <w:iCs/>
        </w:rPr>
      </w:pPr>
      <w:r w:rsidRPr="002F794B">
        <w:rPr>
          <w:i/>
          <w:iCs/>
        </w:rPr>
        <w:t>b. Establecer la medición del ancho de banda ocupado de potencia al 99%</w:t>
      </w:r>
    </w:p>
    <w:p w14:paraId="17BE2795" w14:textId="5E0CB864" w:rsidR="003B7816" w:rsidRPr="002F794B" w:rsidRDefault="00831B2D" w:rsidP="00831B2D">
      <w:pPr>
        <w:ind w:left="567" w:right="616"/>
        <w:rPr>
          <w:i/>
          <w:iCs/>
        </w:rPr>
      </w:pPr>
      <w:r w:rsidRPr="002F794B">
        <w:rPr>
          <w:i/>
          <w:iCs/>
        </w:rPr>
        <w:t>c.  Registrar la medición obtenida en el inciso b) en MHz.</w:t>
      </w:r>
    </w:p>
    <w:p w14:paraId="75014ACE" w14:textId="77777777" w:rsidR="003B7816" w:rsidRPr="002F794B" w:rsidRDefault="003B7816" w:rsidP="003B7816">
      <w:pPr>
        <w:rPr>
          <w:u w:val="single"/>
        </w:rPr>
      </w:pPr>
      <w:r w:rsidRPr="002F794B">
        <w:rPr>
          <w:u w:val="single"/>
        </w:rPr>
        <w:t>Respuesta</w:t>
      </w:r>
    </w:p>
    <w:p w14:paraId="4D9FAC35" w14:textId="1D1A8643" w:rsidR="003B7816" w:rsidRPr="002F794B" w:rsidRDefault="00CF5B7B" w:rsidP="003B7816">
      <w:r w:rsidRPr="002F794B">
        <w:t>No se considera dado que no todos los DRBP utilizan un BW</w:t>
      </w:r>
      <w:r w:rsidRPr="002F794B">
        <w:rPr>
          <w:vertAlign w:val="subscript"/>
        </w:rPr>
        <w:t>OC</w:t>
      </w:r>
      <w:r w:rsidRPr="002F794B">
        <w:t xml:space="preserve"> del 99%.</w:t>
      </w:r>
    </w:p>
    <w:p w14:paraId="705C0DB0" w14:textId="77777777" w:rsidR="003B7816" w:rsidRPr="002F794B" w:rsidRDefault="003B7816" w:rsidP="00C22600"/>
    <w:p w14:paraId="7391B5B3" w14:textId="14E5273F" w:rsidR="00831B2D" w:rsidRPr="002F794B" w:rsidRDefault="00831B2D" w:rsidP="00DE39DA">
      <w:pPr>
        <w:outlineLvl w:val="1"/>
        <w:rPr>
          <w:b/>
          <w:bCs/>
        </w:rPr>
      </w:pPr>
      <w:r w:rsidRPr="002F794B">
        <w:rPr>
          <w:b/>
          <w:bCs/>
        </w:rPr>
        <w:t>Numeral 8.5.1</w:t>
      </w:r>
    </w:p>
    <w:p w14:paraId="2A440E02" w14:textId="77777777" w:rsidR="003B7816" w:rsidRPr="002F794B" w:rsidRDefault="003B7816" w:rsidP="003B7816">
      <w:pPr>
        <w:rPr>
          <w:u w:val="single"/>
        </w:rPr>
      </w:pPr>
      <w:r w:rsidRPr="002F794B">
        <w:rPr>
          <w:u w:val="single"/>
        </w:rPr>
        <w:t>Participante</w:t>
      </w:r>
    </w:p>
    <w:p w14:paraId="0FDA3C0B" w14:textId="0280579A" w:rsidR="003B7816" w:rsidRPr="002F794B" w:rsidRDefault="00A30362" w:rsidP="003B7816">
      <w:r w:rsidRPr="002F794B">
        <w:t>Cámara Nacional de la Industria Electrónica, de Telecomunicaciones y Tecnologías de la Información</w:t>
      </w:r>
    </w:p>
    <w:p w14:paraId="423E3941" w14:textId="77777777" w:rsidR="003B7816" w:rsidRPr="002F794B" w:rsidRDefault="003B7816" w:rsidP="003B7816">
      <w:pPr>
        <w:rPr>
          <w:u w:val="single"/>
        </w:rPr>
      </w:pPr>
      <w:r w:rsidRPr="002F794B">
        <w:rPr>
          <w:u w:val="single"/>
        </w:rPr>
        <w:t>Comentario y propuesta</w:t>
      </w:r>
    </w:p>
    <w:p w14:paraId="6827427C" w14:textId="345E9AF1" w:rsidR="003B7816" w:rsidRPr="002F794B" w:rsidRDefault="008A7C06" w:rsidP="003B7816">
      <w:pPr>
        <w:ind w:left="567" w:right="616"/>
        <w:rPr>
          <w:i/>
          <w:iCs/>
        </w:rPr>
      </w:pPr>
      <w:r w:rsidRPr="002F794B">
        <w:rPr>
          <w:i/>
          <w:iCs/>
        </w:rPr>
        <w:t>En varios puntos de la Disposición Técnica se describe el uso de un Acoplador Direccional/ Divisor de Potencia; sin embargo, no se describe en las figuras 1, 2, 3, en qué parte del arreglo de pruebas tendría que estar situado dicho elemento.</w:t>
      </w:r>
    </w:p>
    <w:p w14:paraId="452E8103" w14:textId="77777777" w:rsidR="003B7816" w:rsidRPr="002F794B" w:rsidRDefault="003B7816" w:rsidP="003B7816">
      <w:pPr>
        <w:rPr>
          <w:u w:val="single"/>
        </w:rPr>
      </w:pPr>
      <w:r w:rsidRPr="002F794B">
        <w:rPr>
          <w:u w:val="single"/>
        </w:rPr>
        <w:t>Respuesta</w:t>
      </w:r>
    </w:p>
    <w:p w14:paraId="055F0B60" w14:textId="181B0A6A" w:rsidR="003B7816" w:rsidRPr="002F794B" w:rsidRDefault="008606A4" w:rsidP="00C22600">
      <w:r w:rsidRPr="002F794B">
        <w:t xml:space="preserve">Se considera y se </w:t>
      </w:r>
      <w:r w:rsidR="008B09AD" w:rsidRPr="002F794B">
        <w:t xml:space="preserve">modifican </w:t>
      </w:r>
      <w:r w:rsidRPr="002F794B">
        <w:t>las figuras.</w:t>
      </w:r>
    </w:p>
    <w:p w14:paraId="67DF1BCA" w14:textId="77777777" w:rsidR="008606A4" w:rsidRPr="002F794B" w:rsidRDefault="008606A4" w:rsidP="00C22600"/>
    <w:p w14:paraId="3513E7EB" w14:textId="77777777" w:rsidR="003B7816" w:rsidRPr="002F794B" w:rsidRDefault="003B7816" w:rsidP="003B7816">
      <w:pPr>
        <w:rPr>
          <w:u w:val="single"/>
        </w:rPr>
      </w:pPr>
      <w:r w:rsidRPr="002F794B">
        <w:rPr>
          <w:u w:val="single"/>
        </w:rPr>
        <w:t>Participante</w:t>
      </w:r>
    </w:p>
    <w:p w14:paraId="57B4E56E" w14:textId="059A5DDA" w:rsidR="003B7816" w:rsidRPr="002F794B" w:rsidRDefault="000111AF" w:rsidP="003B7816">
      <w:r w:rsidRPr="002F794B">
        <w:t>Consejo Mexicano de Normalización y Evaluación de la Conformidad A.C.</w:t>
      </w:r>
    </w:p>
    <w:p w14:paraId="51D29C9A" w14:textId="77777777" w:rsidR="003B7816" w:rsidRPr="002F794B" w:rsidRDefault="003B7816" w:rsidP="003B7816">
      <w:pPr>
        <w:rPr>
          <w:u w:val="single"/>
        </w:rPr>
      </w:pPr>
      <w:r w:rsidRPr="002F794B">
        <w:rPr>
          <w:u w:val="single"/>
        </w:rPr>
        <w:t>Comentario y propuesta</w:t>
      </w:r>
    </w:p>
    <w:p w14:paraId="17CEB283" w14:textId="106D406E" w:rsidR="003B7816" w:rsidRPr="002F794B" w:rsidRDefault="00FC608C" w:rsidP="003B7816">
      <w:pPr>
        <w:ind w:left="567" w:right="616"/>
        <w:rPr>
          <w:i/>
          <w:iCs/>
        </w:rPr>
      </w:pPr>
      <w:r w:rsidRPr="002F794B">
        <w:rPr>
          <w:i/>
          <w:iCs/>
        </w:rPr>
        <w:t xml:space="preserve">En varios puntos de la Disposición Técnica se describe el uso de un Acoplador Direccional/ Divisor de Potencia, sin embargo no se describe </w:t>
      </w:r>
      <w:r w:rsidRPr="002F794B">
        <w:rPr>
          <w:i/>
          <w:iCs/>
        </w:rPr>
        <w:lastRenderedPageBreak/>
        <w:t>en las figuras 1, 2, 3, en que parte del arreglo de pruebas tendría que estar situado dicho elemento.</w:t>
      </w:r>
    </w:p>
    <w:p w14:paraId="6FA31B03" w14:textId="77777777" w:rsidR="003B7816" w:rsidRPr="002F794B" w:rsidRDefault="003B7816" w:rsidP="003B7816">
      <w:pPr>
        <w:rPr>
          <w:u w:val="single"/>
        </w:rPr>
      </w:pPr>
      <w:r w:rsidRPr="002F794B">
        <w:rPr>
          <w:u w:val="single"/>
        </w:rPr>
        <w:t>Respuesta</w:t>
      </w:r>
    </w:p>
    <w:p w14:paraId="6F5F462C" w14:textId="0247D72D" w:rsidR="003B7816" w:rsidRPr="002F794B" w:rsidRDefault="008606A4" w:rsidP="00C22600">
      <w:r w:rsidRPr="002F794B">
        <w:t xml:space="preserve">Se considera y se </w:t>
      </w:r>
      <w:r w:rsidR="00CD7B64" w:rsidRPr="002F794B">
        <w:t>modifican</w:t>
      </w:r>
      <w:r w:rsidR="008B09AD" w:rsidRPr="002F794B">
        <w:t xml:space="preserve"> </w:t>
      </w:r>
      <w:r w:rsidRPr="002F794B">
        <w:t>las figuras.</w:t>
      </w:r>
    </w:p>
    <w:p w14:paraId="09FECEED" w14:textId="77777777" w:rsidR="008606A4" w:rsidRPr="002F794B" w:rsidRDefault="008606A4" w:rsidP="00C22600"/>
    <w:p w14:paraId="1556BE9A" w14:textId="3FD2C082" w:rsidR="00FC608C" w:rsidRPr="002F794B" w:rsidRDefault="00FC608C" w:rsidP="00DE39DA">
      <w:pPr>
        <w:outlineLvl w:val="1"/>
        <w:rPr>
          <w:b/>
          <w:bCs/>
        </w:rPr>
      </w:pPr>
      <w:r w:rsidRPr="002F794B">
        <w:rPr>
          <w:b/>
          <w:bCs/>
        </w:rPr>
        <w:t>Numeral 8.5.3</w:t>
      </w:r>
    </w:p>
    <w:p w14:paraId="790817A9" w14:textId="77777777" w:rsidR="003B7816" w:rsidRPr="002F794B" w:rsidRDefault="003B7816" w:rsidP="003B7816">
      <w:pPr>
        <w:rPr>
          <w:u w:val="single"/>
        </w:rPr>
      </w:pPr>
      <w:r w:rsidRPr="002F794B">
        <w:rPr>
          <w:u w:val="single"/>
        </w:rPr>
        <w:t>Participante</w:t>
      </w:r>
    </w:p>
    <w:p w14:paraId="4680A741" w14:textId="425DA651" w:rsidR="003B7816" w:rsidRPr="002F794B" w:rsidRDefault="00422329" w:rsidP="003B7816">
      <w:proofErr w:type="spellStart"/>
      <w:r w:rsidRPr="002F794B">
        <w:t>Shure</w:t>
      </w:r>
      <w:proofErr w:type="spellEnd"/>
      <w:r w:rsidRPr="002F794B">
        <w:t xml:space="preserve"> </w:t>
      </w:r>
      <w:proofErr w:type="spellStart"/>
      <w:r w:rsidRPr="002F794B">
        <w:t>Incorporated</w:t>
      </w:r>
      <w:proofErr w:type="spellEnd"/>
    </w:p>
    <w:p w14:paraId="509D4201" w14:textId="77777777" w:rsidR="003B7816" w:rsidRPr="002F794B" w:rsidRDefault="003B7816" w:rsidP="003B7816">
      <w:pPr>
        <w:rPr>
          <w:u w:val="single"/>
        </w:rPr>
      </w:pPr>
      <w:r w:rsidRPr="002F794B">
        <w:rPr>
          <w:u w:val="single"/>
        </w:rPr>
        <w:t>Comentario y propuesta</w:t>
      </w:r>
    </w:p>
    <w:p w14:paraId="0A1E5623" w14:textId="0B4CF910" w:rsidR="00B97654" w:rsidRPr="002F794B" w:rsidRDefault="00B97654" w:rsidP="00B97654">
      <w:pPr>
        <w:ind w:left="567" w:right="616"/>
        <w:rPr>
          <w:i/>
          <w:iCs/>
        </w:rPr>
      </w:pPr>
      <w:r w:rsidRPr="002F794B">
        <w:rPr>
          <w:i/>
          <w:iCs/>
        </w:rPr>
        <w:t>Como se explicó anteriormente en este documento, todos los límites especificados en la Tabla 26 deben expresarse con BWMax en lugar de BWOC.</w:t>
      </w:r>
    </w:p>
    <w:p w14:paraId="3BF9EE97" w14:textId="720724E8" w:rsidR="003B7816" w:rsidRPr="002F794B" w:rsidRDefault="00B97654" w:rsidP="00B97654">
      <w:pPr>
        <w:ind w:left="567" w:right="616"/>
        <w:rPr>
          <w:i/>
          <w:iCs/>
        </w:rPr>
      </w:pPr>
      <w:r w:rsidRPr="002F794B">
        <w:rPr>
          <w:i/>
          <w:iCs/>
        </w:rPr>
        <w:t>En ETSI EN 300 422-1, el modo de seguimiento para medir las emisiones WMAS OOB y el ancho de banda ocupado es PEAK HOLD en lugar de CLEAR/WRITE. Este último es menos estricto.</w:t>
      </w:r>
    </w:p>
    <w:p w14:paraId="7E42E29B" w14:textId="77777777" w:rsidR="003B7816" w:rsidRPr="002F794B" w:rsidRDefault="003B7816" w:rsidP="003B7816">
      <w:pPr>
        <w:rPr>
          <w:u w:val="single"/>
        </w:rPr>
      </w:pPr>
      <w:r w:rsidRPr="002F794B">
        <w:rPr>
          <w:u w:val="single"/>
        </w:rPr>
        <w:t>Respuesta</w:t>
      </w:r>
    </w:p>
    <w:p w14:paraId="74E7BB44" w14:textId="7F44F2B7" w:rsidR="003B7816" w:rsidRPr="002F794B" w:rsidRDefault="004B7DE1" w:rsidP="00C22600">
      <w:r w:rsidRPr="002F794B">
        <w:t>Se considera y se corrige.</w:t>
      </w:r>
    </w:p>
    <w:p w14:paraId="3BF3B096" w14:textId="77777777" w:rsidR="004B7DE1" w:rsidRPr="002F794B" w:rsidRDefault="004B7DE1" w:rsidP="00C22600"/>
    <w:p w14:paraId="0145134D" w14:textId="77777777" w:rsidR="003B7816" w:rsidRPr="002F794B" w:rsidRDefault="003B7816" w:rsidP="003B7816">
      <w:pPr>
        <w:rPr>
          <w:u w:val="single"/>
        </w:rPr>
      </w:pPr>
      <w:r w:rsidRPr="002F794B">
        <w:rPr>
          <w:u w:val="single"/>
        </w:rPr>
        <w:t>Participante</w:t>
      </w:r>
    </w:p>
    <w:p w14:paraId="520214A3" w14:textId="716AF924" w:rsidR="003B7816" w:rsidRPr="002F794B" w:rsidRDefault="00702685" w:rsidP="003B7816">
      <w:r w:rsidRPr="002F794B">
        <w:t>Cámara Nacional de la Industria Electrónica, de Telecomunicaciones y Tecnologías de la Información</w:t>
      </w:r>
    </w:p>
    <w:p w14:paraId="34DE9CBD" w14:textId="77777777" w:rsidR="003B7816" w:rsidRPr="002F794B" w:rsidRDefault="003B7816" w:rsidP="003B7816">
      <w:pPr>
        <w:rPr>
          <w:u w:val="single"/>
        </w:rPr>
      </w:pPr>
      <w:r w:rsidRPr="002F794B">
        <w:rPr>
          <w:u w:val="single"/>
        </w:rPr>
        <w:t>Comentario y propuesta</w:t>
      </w:r>
    </w:p>
    <w:p w14:paraId="5B2FD6B3" w14:textId="51E948E1" w:rsidR="003B7816" w:rsidRPr="002F794B" w:rsidRDefault="00B91644" w:rsidP="003B7816">
      <w:pPr>
        <w:ind w:left="567" w:right="616"/>
        <w:rPr>
          <w:i/>
          <w:iCs/>
        </w:rPr>
      </w:pPr>
      <w:r w:rsidRPr="002F794B">
        <w:rPr>
          <w:i/>
          <w:iCs/>
        </w:rPr>
        <w:t xml:space="preserve">Para micrófonos inalámbricos se sugiere la utilización del trazo en Max hold (sustituyendo la opción de Clear </w:t>
      </w:r>
      <w:proofErr w:type="spellStart"/>
      <w:r w:rsidRPr="002F794B">
        <w:rPr>
          <w:i/>
          <w:iCs/>
        </w:rPr>
        <w:t>write</w:t>
      </w:r>
      <w:proofErr w:type="spellEnd"/>
      <w:r w:rsidRPr="002F794B">
        <w:rPr>
          <w:i/>
          <w:iCs/>
        </w:rPr>
        <w:t>), para poder capturar ambas emisiones de manera simultánea.</w:t>
      </w:r>
    </w:p>
    <w:p w14:paraId="554C7B46" w14:textId="77777777" w:rsidR="003B7816" w:rsidRPr="002F794B" w:rsidRDefault="003B7816" w:rsidP="003B7816">
      <w:pPr>
        <w:rPr>
          <w:u w:val="single"/>
        </w:rPr>
      </w:pPr>
      <w:r w:rsidRPr="002F794B">
        <w:rPr>
          <w:u w:val="single"/>
        </w:rPr>
        <w:t>Respuesta</w:t>
      </w:r>
    </w:p>
    <w:p w14:paraId="4987FEC1" w14:textId="71ECC9A3" w:rsidR="003B7816" w:rsidRPr="002F794B" w:rsidRDefault="004B7DE1" w:rsidP="00C22600">
      <w:r w:rsidRPr="002F794B">
        <w:t>Se considera y se corrige.</w:t>
      </w:r>
    </w:p>
    <w:p w14:paraId="3BB47859" w14:textId="77777777" w:rsidR="004B7DE1" w:rsidRPr="002F794B" w:rsidRDefault="004B7DE1" w:rsidP="00C22600"/>
    <w:p w14:paraId="3E41089B" w14:textId="77777777" w:rsidR="003B7816" w:rsidRPr="002F794B" w:rsidRDefault="003B7816" w:rsidP="003B7816">
      <w:pPr>
        <w:rPr>
          <w:u w:val="single"/>
        </w:rPr>
      </w:pPr>
      <w:r w:rsidRPr="002F794B">
        <w:rPr>
          <w:u w:val="single"/>
        </w:rPr>
        <w:t>Participante</w:t>
      </w:r>
    </w:p>
    <w:p w14:paraId="5FF3EE6F" w14:textId="012B4DCF" w:rsidR="003B7816" w:rsidRPr="002F794B" w:rsidRDefault="005920DD" w:rsidP="003B7816">
      <w:r w:rsidRPr="002F794B">
        <w:t>Cámara Nacional de la Industria Electrónica, de Telecomunicaciones y Tecnologías de la Información</w:t>
      </w:r>
    </w:p>
    <w:p w14:paraId="2C0F0725" w14:textId="77777777" w:rsidR="003B7816" w:rsidRPr="002F794B" w:rsidRDefault="003B7816" w:rsidP="003B7816">
      <w:pPr>
        <w:rPr>
          <w:u w:val="single"/>
        </w:rPr>
      </w:pPr>
      <w:r w:rsidRPr="002F794B">
        <w:rPr>
          <w:u w:val="single"/>
        </w:rPr>
        <w:lastRenderedPageBreak/>
        <w:t>Comentario y propuesta</w:t>
      </w:r>
    </w:p>
    <w:p w14:paraId="5791E2B8" w14:textId="16D775D6" w:rsidR="003B7816" w:rsidRPr="002F794B" w:rsidRDefault="006848E5" w:rsidP="003B7816">
      <w:pPr>
        <w:ind w:left="567" w:right="616"/>
        <w:rPr>
          <w:i/>
          <w:iCs/>
        </w:rPr>
      </w:pPr>
      <w:r w:rsidRPr="002F794B">
        <w:rPr>
          <w:i/>
          <w:iCs/>
        </w:rPr>
        <w:t>Se solicita atentamente ajustar el valor del tiempo de barrido (</w:t>
      </w:r>
      <w:r w:rsidRPr="002F794B">
        <w:rPr>
          <w:b/>
          <w:i/>
          <w:iCs/>
        </w:rPr>
        <w:t>sweep time</w:t>
      </w:r>
      <w:r w:rsidRPr="002F794B">
        <w:rPr>
          <w:i/>
          <w:iCs/>
        </w:rPr>
        <w:t xml:space="preserve">) en </w:t>
      </w:r>
      <w:r w:rsidRPr="002F794B">
        <w:rPr>
          <w:b/>
          <w:i/>
          <w:iCs/>
        </w:rPr>
        <w:t>auto</w:t>
      </w:r>
      <w:r w:rsidRPr="002F794B">
        <w:rPr>
          <w:i/>
          <w:iCs/>
        </w:rPr>
        <w:t>,</w:t>
      </w:r>
      <w:r w:rsidRPr="002F794B">
        <w:rPr>
          <w:b/>
          <w:i/>
          <w:iCs/>
        </w:rPr>
        <w:t xml:space="preserve"> </w:t>
      </w:r>
      <w:r w:rsidRPr="002F794B">
        <w:rPr>
          <w:i/>
          <w:iCs/>
        </w:rPr>
        <w:t xml:space="preserve">ya que los valores propuestos son muy elevados. Ajustar en </w:t>
      </w:r>
      <w:r w:rsidRPr="002F794B">
        <w:rPr>
          <w:b/>
          <w:i/>
          <w:iCs/>
        </w:rPr>
        <w:t xml:space="preserve">auto </w:t>
      </w:r>
      <w:r w:rsidRPr="002F794B">
        <w:rPr>
          <w:i/>
          <w:iCs/>
        </w:rPr>
        <w:t>garantizará el mejor desempeño del analizador de espectro.</w:t>
      </w:r>
    </w:p>
    <w:p w14:paraId="12B3833D" w14:textId="77777777" w:rsidR="003B7816" w:rsidRPr="002F794B" w:rsidRDefault="003B7816" w:rsidP="003B7816">
      <w:pPr>
        <w:rPr>
          <w:u w:val="single"/>
        </w:rPr>
      </w:pPr>
      <w:r w:rsidRPr="002F794B">
        <w:rPr>
          <w:u w:val="single"/>
        </w:rPr>
        <w:t>Respuesta</w:t>
      </w:r>
    </w:p>
    <w:p w14:paraId="39745080" w14:textId="3C7C8CAB" w:rsidR="003B7816" w:rsidRPr="002F794B" w:rsidRDefault="00991575" w:rsidP="00C22600">
      <w:r w:rsidRPr="002F794B">
        <w:t>Se considera y se corrige.</w:t>
      </w:r>
    </w:p>
    <w:p w14:paraId="10DAABFA" w14:textId="77777777" w:rsidR="00991575" w:rsidRPr="002F794B" w:rsidRDefault="00991575" w:rsidP="00C22600"/>
    <w:p w14:paraId="57C85413" w14:textId="77777777" w:rsidR="003B7816" w:rsidRPr="002F794B" w:rsidRDefault="003B7816" w:rsidP="003B7816">
      <w:pPr>
        <w:rPr>
          <w:u w:val="single"/>
        </w:rPr>
      </w:pPr>
      <w:r w:rsidRPr="002F794B">
        <w:rPr>
          <w:u w:val="single"/>
        </w:rPr>
        <w:t>Participante</w:t>
      </w:r>
    </w:p>
    <w:p w14:paraId="3B4E4D85" w14:textId="443CEBF3" w:rsidR="003B7816" w:rsidRPr="002F794B" w:rsidRDefault="00D55114" w:rsidP="003B7816">
      <w:r w:rsidRPr="002F794B">
        <w:t>Consejo Mexicano de Normalización y Evaluación de la Conformidad A.C.</w:t>
      </w:r>
    </w:p>
    <w:p w14:paraId="4600C161" w14:textId="77777777" w:rsidR="003B7816" w:rsidRPr="002F794B" w:rsidRDefault="003B7816" w:rsidP="003B7816">
      <w:pPr>
        <w:rPr>
          <w:u w:val="single"/>
        </w:rPr>
      </w:pPr>
      <w:r w:rsidRPr="002F794B">
        <w:rPr>
          <w:u w:val="single"/>
        </w:rPr>
        <w:t>Comentario y propuesta</w:t>
      </w:r>
    </w:p>
    <w:p w14:paraId="26078CD1" w14:textId="064674DE" w:rsidR="003B7816" w:rsidRPr="002F794B" w:rsidRDefault="00793A63" w:rsidP="003B7816">
      <w:pPr>
        <w:ind w:left="567" w:right="616"/>
        <w:rPr>
          <w:i/>
          <w:iCs/>
        </w:rPr>
      </w:pPr>
      <w:r w:rsidRPr="002F794B">
        <w:rPr>
          <w:i/>
          <w:iCs/>
        </w:rPr>
        <w:t xml:space="preserve">Para micrófonos inalámbricos se sugiere la utilización del trazo en Max hold (sustituyendo la opción de Clear </w:t>
      </w:r>
      <w:proofErr w:type="spellStart"/>
      <w:r w:rsidRPr="002F794B">
        <w:rPr>
          <w:i/>
          <w:iCs/>
        </w:rPr>
        <w:t>write</w:t>
      </w:r>
      <w:proofErr w:type="spellEnd"/>
      <w:r w:rsidRPr="002F794B">
        <w:rPr>
          <w:i/>
          <w:iCs/>
        </w:rPr>
        <w:t>) para poder capturar ambas emisiones de manera simultánea.</w:t>
      </w:r>
    </w:p>
    <w:p w14:paraId="0AB1FAF5" w14:textId="77777777" w:rsidR="003B7816" w:rsidRPr="002F794B" w:rsidRDefault="003B7816" w:rsidP="003B7816">
      <w:pPr>
        <w:rPr>
          <w:u w:val="single"/>
        </w:rPr>
      </w:pPr>
      <w:r w:rsidRPr="002F794B">
        <w:rPr>
          <w:u w:val="single"/>
        </w:rPr>
        <w:t>Respuesta</w:t>
      </w:r>
    </w:p>
    <w:p w14:paraId="155778F7" w14:textId="1C76F7F5" w:rsidR="003B7816" w:rsidRPr="002F794B" w:rsidRDefault="00991575" w:rsidP="00C22600">
      <w:r w:rsidRPr="002F794B">
        <w:t>Se considera y se corrige.</w:t>
      </w:r>
    </w:p>
    <w:p w14:paraId="229104B6" w14:textId="77777777" w:rsidR="00991575" w:rsidRPr="002F794B" w:rsidRDefault="00991575" w:rsidP="00C22600"/>
    <w:p w14:paraId="2F5667F9" w14:textId="77777777" w:rsidR="003B7816" w:rsidRPr="002F794B" w:rsidRDefault="003B7816" w:rsidP="003B7816">
      <w:pPr>
        <w:rPr>
          <w:u w:val="single"/>
        </w:rPr>
      </w:pPr>
      <w:r w:rsidRPr="002F794B">
        <w:rPr>
          <w:u w:val="single"/>
        </w:rPr>
        <w:t>Participante</w:t>
      </w:r>
    </w:p>
    <w:p w14:paraId="20DF9539" w14:textId="1676951D" w:rsidR="003B7816" w:rsidRPr="002F794B" w:rsidRDefault="00D55114" w:rsidP="003B7816">
      <w:r w:rsidRPr="002F794B">
        <w:t>Consejo Mexicano de Normalización y Evaluación de la Conformidad A.C.</w:t>
      </w:r>
    </w:p>
    <w:p w14:paraId="3C6C7669" w14:textId="77777777" w:rsidR="003B7816" w:rsidRPr="002F794B" w:rsidRDefault="003B7816" w:rsidP="003B7816">
      <w:pPr>
        <w:rPr>
          <w:u w:val="single"/>
        </w:rPr>
      </w:pPr>
      <w:r w:rsidRPr="002F794B">
        <w:rPr>
          <w:u w:val="single"/>
        </w:rPr>
        <w:t>Comentario y propuesta</w:t>
      </w:r>
    </w:p>
    <w:p w14:paraId="280777A8" w14:textId="1CFCB6FB" w:rsidR="003B7816" w:rsidRPr="002F794B" w:rsidRDefault="00AA7FC5" w:rsidP="003B7816">
      <w:pPr>
        <w:ind w:left="567" w:right="616"/>
        <w:rPr>
          <w:i/>
          <w:iCs/>
        </w:rPr>
      </w:pPr>
      <w:r w:rsidRPr="002F794B">
        <w:rPr>
          <w:i/>
          <w:iCs/>
        </w:rPr>
        <w:t>Ajustar el valor del tiempo de barrido (</w:t>
      </w:r>
      <w:r w:rsidRPr="002F794B">
        <w:rPr>
          <w:b/>
          <w:i/>
          <w:iCs/>
        </w:rPr>
        <w:t>sweep time</w:t>
      </w:r>
      <w:r w:rsidRPr="002F794B">
        <w:rPr>
          <w:i/>
          <w:iCs/>
        </w:rPr>
        <w:t xml:space="preserve">) en </w:t>
      </w:r>
      <w:r w:rsidRPr="002F794B">
        <w:rPr>
          <w:b/>
          <w:i/>
          <w:iCs/>
        </w:rPr>
        <w:t xml:space="preserve">auto </w:t>
      </w:r>
      <w:r w:rsidRPr="002F794B">
        <w:rPr>
          <w:i/>
          <w:iCs/>
        </w:rPr>
        <w:t xml:space="preserve">ya que los valores propuestos son muy elevados, ajustar en </w:t>
      </w:r>
      <w:r w:rsidRPr="002F794B">
        <w:rPr>
          <w:b/>
          <w:i/>
          <w:iCs/>
        </w:rPr>
        <w:t xml:space="preserve">auto </w:t>
      </w:r>
      <w:r w:rsidRPr="002F794B">
        <w:rPr>
          <w:i/>
          <w:iCs/>
        </w:rPr>
        <w:t>garantizará el mejor desempeño del analizador de espectro</w:t>
      </w:r>
    </w:p>
    <w:p w14:paraId="418635E2" w14:textId="77777777" w:rsidR="003B7816" w:rsidRPr="002F794B" w:rsidRDefault="003B7816" w:rsidP="003B7816">
      <w:pPr>
        <w:rPr>
          <w:u w:val="single"/>
        </w:rPr>
      </w:pPr>
      <w:r w:rsidRPr="002F794B">
        <w:rPr>
          <w:u w:val="single"/>
        </w:rPr>
        <w:t>Respuesta</w:t>
      </w:r>
    </w:p>
    <w:p w14:paraId="31AC055C" w14:textId="5DE5D752" w:rsidR="003B7816" w:rsidRPr="002F794B" w:rsidRDefault="001236C2" w:rsidP="00C22600">
      <w:r w:rsidRPr="002F794B">
        <w:t>Se considera y se corrige.</w:t>
      </w:r>
    </w:p>
    <w:p w14:paraId="4C0B1C20" w14:textId="77777777" w:rsidR="001236C2" w:rsidRPr="002F794B" w:rsidRDefault="001236C2" w:rsidP="00C22600"/>
    <w:p w14:paraId="34B4AC43" w14:textId="6AFB17CE" w:rsidR="000A62C0" w:rsidRPr="002F794B" w:rsidRDefault="000A62C0" w:rsidP="00DE39DA">
      <w:pPr>
        <w:outlineLvl w:val="1"/>
        <w:rPr>
          <w:b/>
          <w:bCs/>
        </w:rPr>
      </w:pPr>
      <w:r w:rsidRPr="002F794B">
        <w:rPr>
          <w:b/>
          <w:bCs/>
        </w:rPr>
        <w:t>Numeral 8.6.1.1</w:t>
      </w:r>
    </w:p>
    <w:p w14:paraId="3F15E848" w14:textId="77777777" w:rsidR="003B7816" w:rsidRPr="002F794B" w:rsidRDefault="003B7816" w:rsidP="003B7816">
      <w:pPr>
        <w:rPr>
          <w:u w:val="single"/>
        </w:rPr>
      </w:pPr>
      <w:r w:rsidRPr="002F794B">
        <w:rPr>
          <w:u w:val="single"/>
        </w:rPr>
        <w:t>Participante</w:t>
      </w:r>
    </w:p>
    <w:p w14:paraId="467CEACC" w14:textId="16B5007C" w:rsidR="003B7816" w:rsidRPr="002F794B" w:rsidRDefault="00675854" w:rsidP="003B7816">
      <w:r w:rsidRPr="002F794B">
        <w:t>Cámara Nacional de la Industria Electrónica, de Telecomunicaciones y Tecnologías de la Información</w:t>
      </w:r>
    </w:p>
    <w:p w14:paraId="41486961" w14:textId="77777777" w:rsidR="003B7816" w:rsidRPr="002F794B" w:rsidRDefault="003B7816" w:rsidP="003B7816">
      <w:pPr>
        <w:rPr>
          <w:u w:val="single"/>
        </w:rPr>
      </w:pPr>
      <w:r w:rsidRPr="002F794B">
        <w:rPr>
          <w:u w:val="single"/>
        </w:rPr>
        <w:t>Comentario y propuesta</w:t>
      </w:r>
    </w:p>
    <w:p w14:paraId="11FF7CD7" w14:textId="513843A0" w:rsidR="003B7816" w:rsidRPr="002F794B" w:rsidRDefault="00E554D0" w:rsidP="003B7816">
      <w:pPr>
        <w:ind w:left="567" w:right="616"/>
        <w:rPr>
          <w:i/>
          <w:iCs/>
        </w:rPr>
      </w:pPr>
      <w:r w:rsidRPr="002F794B">
        <w:rPr>
          <w:i/>
          <w:iCs/>
        </w:rPr>
        <w:lastRenderedPageBreak/>
        <w:t>En varios puntos de la Disposición Técnica se describe el uso de un Acoplador Direccional/ Divisor de Potencia; sin embargo, no se describe en las figuras 1, 2, 3, en qué parte del arreglo de pruebas tendría que estar situado dicho elemento.</w:t>
      </w:r>
    </w:p>
    <w:p w14:paraId="11650C57" w14:textId="77777777" w:rsidR="003B7816" w:rsidRPr="002F794B" w:rsidRDefault="003B7816" w:rsidP="003B7816">
      <w:pPr>
        <w:rPr>
          <w:u w:val="single"/>
        </w:rPr>
      </w:pPr>
      <w:r w:rsidRPr="002F794B">
        <w:rPr>
          <w:u w:val="single"/>
        </w:rPr>
        <w:t>Respuesta</w:t>
      </w:r>
    </w:p>
    <w:p w14:paraId="6C971CFA" w14:textId="62692137" w:rsidR="003B7816" w:rsidRPr="002F794B" w:rsidRDefault="005C3A71" w:rsidP="003B7816">
      <w:r w:rsidRPr="002F794B">
        <w:t xml:space="preserve">Se considera y se </w:t>
      </w:r>
      <w:r w:rsidR="008B09AD" w:rsidRPr="002F794B">
        <w:t xml:space="preserve">modifican </w:t>
      </w:r>
      <w:r w:rsidRPr="002F794B">
        <w:t>las figuras.</w:t>
      </w:r>
    </w:p>
    <w:p w14:paraId="68AFE5F5" w14:textId="77777777" w:rsidR="003B7816" w:rsidRPr="002F794B" w:rsidRDefault="003B7816" w:rsidP="00C22600"/>
    <w:p w14:paraId="0CF70F01" w14:textId="77777777" w:rsidR="003B7816" w:rsidRPr="002F794B" w:rsidRDefault="003B7816" w:rsidP="003B7816">
      <w:pPr>
        <w:rPr>
          <w:u w:val="single"/>
        </w:rPr>
      </w:pPr>
      <w:r w:rsidRPr="002F794B">
        <w:rPr>
          <w:u w:val="single"/>
        </w:rPr>
        <w:t>Participante</w:t>
      </w:r>
    </w:p>
    <w:p w14:paraId="7D075E98" w14:textId="35D6A7D0" w:rsidR="003B7816" w:rsidRPr="002F794B" w:rsidRDefault="00E554D0" w:rsidP="003B7816">
      <w:r w:rsidRPr="002F794B">
        <w:t>Consejo Mexicano de Normalización y Evaluación de la Conformidad A.C.</w:t>
      </w:r>
    </w:p>
    <w:p w14:paraId="1EC4E721" w14:textId="77777777" w:rsidR="003B7816" w:rsidRPr="002F794B" w:rsidRDefault="003B7816" w:rsidP="003B7816">
      <w:pPr>
        <w:rPr>
          <w:u w:val="single"/>
        </w:rPr>
      </w:pPr>
      <w:r w:rsidRPr="002F794B">
        <w:rPr>
          <w:u w:val="single"/>
        </w:rPr>
        <w:t>Comentario y propuesta</w:t>
      </w:r>
    </w:p>
    <w:p w14:paraId="02E3A4D9" w14:textId="022C865A" w:rsidR="003B7816" w:rsidRPr="002F794B" w:rsidRDefault="00EA3C5A" w:rsidP="003B7816">
      <w:pPr>
        <w:ind w:left="567" w:right="616"/>
        <w:rPr>
          <w:i/>
          <w:iCs/>
        </w:rPr>
      </w:pPr>
      <w:r w:rsidRPr="002F794B">
        <w:rPr>
          <w:i/>
          <w:iCs/>
        </w:rPr>
        <w:t>En varios puntos de la Disposición Técnica se describe el uso de un Acoplador Direccional/ Divisor de Potencia, sin embargo no se describe en las figuras 1, 2, 3, en que parte del arreglo de pruebas tendría que estar situado dicho elemento.</w:t>
      </w:r>
    </w:p>
    <w:p w14:paraId="7237D3B9" w14:textId="77777777" w:rsidR="003B7816" w:rsidRPr="002F794B" w:rsidRDefault="003B7816" w:rsidP="003B7816">
      <w:pPr>
        <w:rPr>
          <w:u w:val="single"/>
        </w:rPr>
      </w:pPr>
      <w:r w:rsidRPr="002F794B">
        <w:rPr>
          <w:u w:val="single"/>
        </w:rPr>
        <w:t>Respuesta</w:t>
      </w:r>
    </w:p>
    <w:p w14:paraId="3FC1E83C" w14:textId="0A9F7643" w:rsidR="003B7816" w:rsidRPr="002F794B" w:rsidRDefault="005C3A71" w:rsidP="00C22600">
      <w:r w:rsidRPr="002F794B">
        <w:t xml:space="preserve">Se considera y se </w:t>
      </w:r>
      <w:r w:rsidR="00306E40" w:rsidRPr="002F794B">
        <w:t xml:space="preserve"> </w:t>
      </w:r>
      <w:r w:rsidR="00E462DE" w:rsidRPr="002F794B">
        <w:t>modif</w:t>
      </w:r>
      <w:r w:rsidR="00306E40" w:rsidRPr="002F794B">
        <w:t>i</w:t>
      </w:r>
      <w:r w:rsidR="00E462DE" w:rsidRPr="002F794B">
        <w:t xml:space="preserve">can </w:t>
      </w:r>
      <w:r w:rsidRPr="002F794B">
        <w:t>las figuras.</w:t>
      </w:r>
    </w:p>
    <w:p w14:paraId="33B366CB" w14:textId="77777777" w:rsidR="005C3A71" w:rsidRPr="002F794B" w:rsidRDefault="005C3A71" w:rsidP="00C22600"/>
    <w:p w14:paraId="7B3D694A" w14:textId="5DA34D1B" w:rsidR="00EA3C5A" w:rsidRPr="002F794B" w:rsidRDefault="00EA3C5A" w:rsidP="00DE39DA">
      <w:pPr>
        <w:outlineLvl w:val="1"/>
        <w:rPr>
          <w:b/>
          <w:bCs/>
        </w:rPr>
      </w:pPr>
      <w:r w:rsidRPr="002F794B">
        <w:rPr>
          <w:b/>
          <w:bCs/>
        </w:rPr>
        <w:t>Numeral 8.6.1.</w:t>
      </w:r>
      <w:r w:rsidR="004A35A4" w:rsidRPr="002F794B">
        <w:rPr>
          <w:b/>
          <w:bCs/>
        </w:rPr>
        <w:t>3</w:t>
      </w:r>
    </w:p>
    <w:p w14:paraId="7B5BAF54" w14:textId="77777777" w:rsidR="003B7816" w:rsidRPr="002F794B" w:rsidRDefault="003B7816" w:rsidP="003B7816">
      <w:pPr>
        <w:rPr>
          <w:u w:val="single"/>
        </w:rPr>
      </w:pPr>
      <w:r w:rsidRPr="002F794B">
        <w:rPr>
          <w:u w:val="single"/>
        </w:rPr>
        <w:t>Participante</w:t>
      </w:r>
    </w:p>
    <w:p w14:paraId="076217D0" w14:textId="3FB50024" w:rsidR="003B7816" w:rsidRPr="002F794B" w:rsidRDefault="00DD58C0" w:rsidP="003B7816">
      <w:r w:rsidRPr="002F794B">
        <w:t>Cámara Nacional de la Industria Electrónica, de Telecomunicaciones y Tecnologías de la Información</w:t>
      </w:r>
    </w:p>
    <w:p w14:paraId="5938486C" w14:textId="77777777" w:rsidR="003B7816" w:rsidRPr="002F794B" w:rsidRDefault="003B7816" w:rsidP="003B7816">
      <w:pPr>
        <w:rPr>
          <w:u w:val="single"/>
        </w:rPr>
      </w:pPr>
      <w:r w:rsidRPr="002F794B">
        <w:rPr>
          <w:u w:val="single"/>
        </w:rPr>
        <w:t>Comentario y propuesta</w:t>
      </w:r>
    </w:p>
    <w:p w14:paraId="5F3F4A79" w14:textId="10B1BF74" w:rsidR="003B7816" w:rsidRPr="002F794B" w:rsidRDefault="00DD58C0" w:rsidP="003B7816">
      <w:pPr>
        <w:ind w:left="567" w:right="616"/>
        <w:rPr>
          <w:i/>
          <w:iCs/>
        </w:rPr>
      </w:pPr>
      <w:r w:rsidRPr="002F794B">
        <w:rPr>
          <w:i/>
          <w:iCs/>
        </w:rPr>
        <w:t>Se solicita atentamente ajustar el valor del tiempo de barrido (</w:t>
      </w:r>
      <w:r w:rsidRPr="002F794B">
        <w:rPr>
          <w:b/>
          <w:i/>
          <w:iCs/>
        </w:rPr>
        <w:t>sweep time</w:t>
      </w:r>
      <w:r w:rsidRPr="002F794B">
        <w:rPr>
          <w:i/>
          <w:iCs/>
        </w:rPr>
        <w:t xml:space="preserve">) en </w:t>
      </w:r>
      <w:r w:rsidRPr="002F794B">
        <w:rPr>
          <w:b/>
          <w:i/>
          <w:iCs/>
        </w:rPr>
        <w:t>auto</w:t>
      </w:r>
      <w:r w:rsidRPr="002F794B">
        <w:rPr>
          <w:i/>
          <w:iCs/>
        </w:rPr>
        <w:t>,</w:t>
      </w:r>
      <w:r w:rsidRPr="002F794B">
        <w:rPr>
          <w:b/>
          <w:i/>
          <w:iCs/>
        </w:rPr>
        <w:t xml:space="preserve"> </w:t>
      </w:r>
      <w:r w:rsidRPr="002F794B">
        <w:rPr>
          <w:i/>
          <w:iCs/>
        </w:rPr>
        <w:t xml:space="preserve">ya que los valores propuestos son muy elevados. Ajustar en </w:t>
      </w:r>
      <w:r w:rsidRPr="002F794B">
        <w:rPr>
          <w:b/>
          <w:i/>
          <w:iCs/>
        </w:rPr>
        <w:t xml:space="preserve">auto </w:t>
      </w:r>
      <w:r w:rsidRPr="002F794B">
        <w:rPr>
          <w:i/>
          <w:iCs/>
        </w:rPr>
        <w:t>garantizará el mejor desempeño del analizador de espectro.</w:t>
      </w:r>
    </w:p>
    <w:p w14:paraId="1A18EBBC" w14:textId="77777777" w:rsidR="003B7816" w:rsidRPr="002F794B" w:rsidRDefault="003B7816" w:rsidP="003B7816">
      <w:pPr>
        <w:rPr>
          <w:u w:val="single"/>
        </w:rPr>
      </w:pPr>
      <w:r w:rsidRPr="002F794B">
        <w:rPr>
          <w:u w:val="single"/>
        </w:rPr>
        <w:t>Respuesta</w:t>
      </w:r>
    </w:p>
    <w:p w14:paraId="5C31BE3A" w14:textId="619730CE" w:rsidR="003B7816" w:rsidRPr="002F794B" w:rsidRDefault="00B20A2F" w:rsidP="00C22600">
      <w:r w:rsidRPr="002F794B">
        <w:t>Se considera y se corrige.</w:t>
      </w:r>
    </w:p>
    <w:p w14:paraId="4BF5253A" w14:textId="77777777" w:rsidR="00B20A2F" w:rsidRPr="002F794B" w:rsidRDefault="00B20A2F" w:rsidP="00C22600"/>
    <w:p w14:paraId="3E167BB1" w14:textId="77777777" w:rsidR="003B7816" w:rsidRPr="002F794B" w:rsidRDefault="003B7816" w:rsidP="003B7816">
      <w:pPr>
        <w:rPr>
          <w:u w:val="single"/>
        </w:rPr>
      </w:pPr>
      <w:r w:rsidRPr="002F794B">
        <w:rPr>
          <w:u w:val="single"/>
        </w:rPr>
        <w:t>Participante</w:t>
      </w:r>
    </w:p>
    <w:p w14:paraId="7F940FA9" w14:textId="4762BB57" w:rsidR="003B7816" w:rsidRPr="002F794B" w:rsidRDefault="00986594" w:rsidP="003B7816">
      <w:r w:rsidRPr="002F794B">
        <w:t>Consejo Mexicano de Normalización y Evaluación de la Conformidad A.C.</w:t>
      </w:r>
    </w:p>
    <w:p w14:paraId="6E29C8D8" w14:textId="77777777" w:rsidR="003B7816" w:rsidRPr="002F794B" w:rsidRDefault="003B7816" w:rsidP="003B7816">
      <w:pPr>
        <w:rPr>
          <w:u w:val="single"/>
        </w:rPr>
      </w:pPr>
      <w:r w:rsidRPr="002F794B">
        <w:rPr>
          <w:u w:val="single"/>
        </w:rPr>
        <w:t>Comentario y propuesta</w:t>
      </w:r>
    </w:p>
    <w:p w14:paraId="540AE973" w14:textId="2B64D94B" w:rsidR="003B7816" w:rsidRPr="002F794B" w:rsidRDefault="00B97F57" w:rsidP="003B7816">
      <w:pPr>
        <w:ind w:left="567" w:right="616"/>
        <w:rPr>
          <w:i/>
          <w:iCs/>
        </w:rPr>
      </w:pPr>
      <w:r w:rsidRPr="002F794B">
        <w:rPr>
          <w:i/>
          <w:iCs/>
        </w:rPr>
        <w:lastRenderedPageBreak/>
        <w:t>Ajustar el valor del tiempo de barrido (</w:t>
      </w:r>
      <w:r w:rsidRPr="002F794B">
        <w:rPr>
          <w:b/>
          <w:i/>
          <w:iCs/>
        </w:rPr>
        <w:t>sweep time</w:t>
      </w:r>
      <w:r w:rsidRPr="002F794B">
        <w:rPr>
          <w:i/>
          <w:iCs/>
        </w:rPr>
        <w:t xml:space="preserve">) en </w:t>
      </w:r>
      <w:r w:rsidRPr="002F794B">
        <w:rPr>
          <w:b/>
          <w:i/>
          <w:iCs/>
        </w:rPr>
        <w:t xml:space="preserve">auto </w:t>
      </w:r>
      <w:r w:rsidRPr="002F794B">
        <w:rPr>
          <w:i/>
          <w:iCs/>
        </w:rPr>
        <w:t xml:space="preserve">ya que los valores propuestos son muy elevados, ajustar en </w:t>
      </w:r>
      <w:r w:rsidRPr="002F794B">
        <w:rPr>
          <w:b/>
          <w:i/>
          <w:iCs/>
        </w:rPr>
        <w:t xml:space="preserve">auto </w:t>
      </w:r>
      <w:r w:rsidRPr="002F794B">
        <w:rPr>
          <w:i/>
          <w:iCs/>
        </w:rPr>
        <w:t>garantizará el mejor desempeño del analizador de espectro</w:t>
      </w:r>
    </w:p>
    <w:p w14:paraId="41AAB8AB" w14:textId="77777777" w:rsidR="003B7816" w:rsidRPr="002F794B" w:rsidRDefault="003B7816" w:rsidP="003B7816">
      <w:pPr>
        <w:rPr>
          <w:u w:val="single"/>
        </w:rPr>
      </w:pPr>
      <w:r w:rsidRPr="002F794B">
        <w:rPr>
          <w:u w:val="single"/>
        </w:rPr>
        <w:t>Respuesta</w:t>
      </w:r>
    </w:p>
    <w:p w14:paraId="368C43EC" w14:textId="47878922" w:rsidR="003B7816" w:rsidRPr="002F794B" w:rsidRDefault="00B20A2F" w:rsidP="00C22600">
      <w:r w:rsidRPr="002F794B">
        <w:t>Se considera y se corrige.</w:t>
      </w:r>
    </w:p>
    <w:p w14:paraId="30931A7D" w14:textId="77777777" w:rsidR="00B20A2F" w:rsidRPr="002F794B" w:rsidRDefault="00B20A2F" w:rsidP="00C22600"/>
    <w:p w14:paraId="355E8F3B" w14:textId="52B99ECE" w:rsidR="00986594" w:rsidRPr="002F794B" w:rsidRDefault="00986594" w:rsidP="00DE39DA">
      <w:pPr>
        <w:outlineLvl w:val="1"/>
        <w:rPr>
          <w:b/>
          <w:bCs/>
        </w:rPr>
      </w:pPr>
      <w:r w:rsidRPr="002F794B">
        <w:rPr>
          <w:b/>
          <w:bCs/>
        </w:rPr>
        <w:t>Numeral 8.6.2</w:t>
      </w:r>
    </w:p>
    <w:p w14:paraId="49F4FE9C" w14:textId="77777777" w:rsidR="00986594" w:rsidRPr="002F794B" w:rsidRDefault="00986594" w:rsidP="00986594">
      <w:pPr>
        <w:rPr>
          <w:u w:val="single"/>
        </w:rPr>
      </w:pPr>
      <w:r w:rsidRPr="002F794B">
        <w:rPr>
          <w:u w:val="single"/>
        </w:rPr>
        <w:t>Participante</w:t>
      </w:r>
    </w:p>
    <w:p w14:paraId="56D87040" w14:textId="77777777" w:rsidR="00986594" w:rsidRPr="002F794B" w:rsidRDefault="00986594" w:rsidP="00986594">
      <w:r w:rsidRPr="002F794B">
        <w:t>Cámara Nacional de la Industria Electrónica, de Telecomunicaciones y Tecnologías de la Información</w:t>
      </w:r>
    </w:p>
    <w:p w14:paraId="48572F53" w14:textId="77777777" w:rsidR="00986594" w:rsidRPr="002F794B" w:rsidRDefault="00986594" w:rsidP="00986594">
      <w:pPr>
        <w:rPr>
          <w:u w:val="single"/>
        </w:rPr>
      </w:pPr>
      <w:r w:rsidRPr="002F794B">
        <w:rPr>
          <w:u w:val="single"/>
        </w:rPr>
        <w:t>Comentario y propuesta</w:t>
      </w:r>
    </w:p>
    <w:p w14:paraId="53BF6874" w14:textId="77777777" w:rsidR="00986594" w:rsidRPr="002F794B" w:rsidRDefault="00986594" w:rsidP="00986594">
      <w:pPr>
        <w:ind w:left="567" w:right="616"/>
        <w:rPr>
          <w:i/>
          <w:iCs/>
        </w:rPr>
      </w:pPr>
      <w:r w:rsidRPr="002F794B">
        <w:rPr>
          <w:i/>
          <w:iCs/>
        </w:rPr>
        <w:t>En varios puntos de la Disposición Técnica se describe el uso de un Acoplador Direccional/ Divisor de Potencia; sin embargo, no se describe en las figuras 1, 2, 3, en qué parte del arreglo de pruebas tendría que estar situado dicho elemento.</w:t>
      </w:r>
    </w:p>
    <w:p w14:paraId="71171A28" w14:textId="77777777" w:rsidR="00986594" w:rsidRPr="002F794B" w:rsidRDefault="00986594" w:rsidP="00986594">
      <w:pPr>
        <w:rPr>
          <w:u w:val="single"/>
        </w:rPr>
      </w:pPr>
      <w:r w:rsidRPr="002F794B">
        <w:rPr>
          <w:u w:val="single"/>
        </w:rPr>
        <w:t>Respuesta</w:t>
      </w:r>
    </w:p>
    <w:p w14:paraId="7F866BBB" w14:textId="678F68E8" w:rsidR="00986594" w:rsidRPr="002F794B" w:rsidRDefault="000F1F39" w:rsidP="00986594">
      <w:r w:rsidRPr="002F794B">
        <w:t xml:space="preserve">Se considera y se </w:t>
      </w:r>
      <w:r w:rsidR="00E462DE" w:rsidRPr="002F794B">
        <w:t xml:space="preserve">modifican </w:t>
      </w:r>
      <w:r w:rsidRPr="002F794B">
        <w:t>las figuras.</w:t>
      </w:r>
    </w:p>
    <w:p w14:paraId="415678C4" w14:textId="77777777" w:rsidR="000F1F39" w:rsidRPr="002F794B" w:rsidRDefault="000F1F39" w:rsidP="00986594"/>
    <w:p w14:paraId="5A459B7A" w14:textId="77777777" w:rsidR="00D35960" w:rsidRPr="002F794B" w:rsidRDefault="00D35960" w:rsidP="00D35960">
      <w:pPr>
        <w:rPr>
          <w:u w:val="single"/>
        </w:rPr>
      </w:pPr>
      <w:r w:rsidRPr="002F794B">
        <w:rPr>
          <w:u w:val="single"/>
        </w:rPr>
        <w:t>Participante</w:t>
      </w:r>
    </w:p>
    <w:p w14:paraId="3B6A79A0" w14:textId="77777777" w:rsidR="00D35960" w:rsidRPr="002F794B" w:rsidRDefault="00D35960" w:rsidP="00D35960">
      <w:r w:rsidRPr="002F794B">
        <w:t>Consejo Mexicano de Normalización y Evaluación de la Conformidad A.C.</w:t>
      </w:r>
    </w:p>
    <w:p w14:paraId="7EC8D4F3" w14:textId="77777777" w:rsidR="00D35960" w:rsidRPr="002F794B" w:rsidRDefault="00D35960" w:rsidP="00D35960">
      <w:pPr>
        <w:rPr>
          <w:u w:val="single"/>
        </w:rPr>
      </w:pPr>
      <w:r w:rsidRPr="002F794B">
        <w:rPr>
          <w:u w:val="single"/>
        </w:rPr>
        <w:t>Comentario y propuesta</w:t>
      </w:r>
    </w:p>
    <w:p w14:paraId="799E68B5" w14:textId="77777777" w:rsidR="00D35960" w:rsidRPr="002F794B" w:rsidRDefault="00D35960" w:rsidP="00D35960">
      <w:pPr>
        <w:ind w:left="567" w:right="616"/>
        <w:rPr>
          <w:i/>
          <w:iCs/>
        </w:rPr>
      </w:pPr>
      <w:r w:rsidRPr="002F794B">
        <w:rPr>
          <w:i/>
          <w:iCs/>
        </w:rPr>
        <w:t>En varios puntos de la Disposición Técnica se describe el uso de un Acoplador Direccional/ Divisor de Potencia, sin embargo no se describe en las figuras 1, 2, 3, en que parte del arreglo de pruebas tendría que estar situado dicho elemento.</w:t>
      </w:r>
    </w:p>
    <w:p w14:paraId="4D23E077" w14:textId="77777777" w:rsidR="00D35960" w:rsidRPr="002F794B" w:rsidRDefault="00D35960" w:rsidP="00D35960">
      <w:pPr>
        <w:rPr>
          <w:u w:val="single"/>
        </w:rPr>
      </w:pPr>
      <w:r w:rsidRPr="002F794B">
        <w:rPr>
          <w:u w:val="single"/>
        </w:rPr>
        <w:t>Respuesta</w:t>
      </w:r>
    </w:p>
    <w:p w14:paraId="081CF73D" w14:textId="5E650358" w:rsidR="00D35960" w:rsidRPr="002F794B" w:rsidRDefault="00CB0B0F" w:rsidP="00986594">
      <w:r w:rsidRPr="002F794B">
        <w:t xml:space="preserve">Se considera y se </w:t>
      </w:r>
      <w:r w:rsidR="00E462DE" w:rsidRPr="002F794B">
        <w:t xml:space="preserve">modifican </w:t>
      </w:r>
      <w:r w:rsidRPr="002F794B">
        <w:t>las figuras.</w:t>
      </w:r>
    </w:p>
    <w:p w14:paraId="7A78B034" w14:textId="77777777" w:rsidR="00CB0B0F" w:rsidRPr="002F794B" w:rsidRDefault="00CB0B0F" w:rsidP="00986594"/>
    <w:p w14:paraId="137B5F16" w14:textId="28C74CCC" w:rsidR="00331566" w:rsidRPr="002F794B" w:rsidRDefault="00331566" w:rsidP="00DE39DA">
      <w:pPr>
        <w:outlineLvl w:val="1"/>
        <w:rPr>
          <w:b/>
          <w:bCs/>
        </w:rPr>
      </w:pPr>
      <w:r w:rsidRPr="002F794B">
        <w:rPr>
          <w:b/>
          <w:bCs/>
        </w:rPr>
        <w:t>Numeral 8.6.2.1</w:t>
      </w:r>
    </w:p>
    <w:p w14:paraId="752E8EC9" w14:textId="77777777" w:rsidR="00331566" w:rsidRPr="002F794B" w:rsidRDefault="00331566" w:rsidP="00331566">
      <w:pPr>
        <w:rPr>
          <w:u w:val="single"/>
        </w:rPr>
      </w:pPr>
      <w:r w:rsidRPr="002F794B">
        <w:rPr>
          <w:u w:val="single"/>
        </w:rPr>
        <w:t>Participante</w:t>
      </w:r>
    </w:p>
    <w:p w14:paraId="1628AE7B" w14:textId="77777777" w:rsidR="00331566" w:rsidRPr="002F794B" w:rsidRDefault="00331566" w:rsidP="00331566">
      <w:r w:rsidRPr="002F794B">
        <w:t>Cámara Nacional de la Industria Electrónica, de Telecomunicaciones y Tecnologías de la Información</w:t>
      </w:r>
    </w:p>
    <w:p w14:paraId="31BA6918" w14:textId="77777777" w:rsidR="00331566" w:rsidRPr="002F794B" w:rsidRDefault="00331566" w:rsidP="00331566">
      <w:pPr>
        <w:rPr>
          <w:u w:val="single"/>
        </w:rPr>
      </w:pPr>
      <w:r w:rsidRPr="002F794B">
        <w:rPr>
          <w:u w:val="single"/>
        </w:rPr>
        <w:lastRenderedPageBreak/>
        <w:t>Comentario y propuesta</w:t>
      </w:r>
    </w:p>
    <w:p w14:paraId="575E9156" w14:textId="77777777" w:rsidR="00331566" w:rsidRPr="002F794B" w:rsidRDefault="00331566" w:rsidP="00331566">
      <w:pPr>
        <w:ind w:left="567" w:right="616"/>
        <w:rPr>
          <w:i/>
          <w:iCs/>
        </w:rPr>
      </w:pPr>
      <w:r w:rsidRPr="002F794B">
        <w:rPr>
          <w:i/>
          <w:iCs/>
        </w:rPr>
        <w:t>En varios puntos de la Disposición Técnica se describe el uso de un Acoplador Direccional/ Divisor de Potencia; sin embargo, no se describe en las figuras 1, 2, 3, en qué parte del arreglo de pruebas tendría que estar situado dicho elemento.</w:t>
      </w:r>
    </w:p>
    <w:p w14:paraId="61FA855A" w14:textId="77777777" w:rsidR="00331566" w:rsidRPr="002F794B" w:rsidRDefault="00331566" w:rsidP="00331566">
      <w:pPr>
        <w:rPr>
          <w:u w:val="single"/>
        </w:rPr>
      </w:pPr>
      <w:r w:rsidRPr="002F794B">
        <w:rPr>
          <w:u w:val="single"/>
        </w:rPr>
        <w:t>Respuesta</w:t>
      </w:r>
    </w:p>
    <w:p w14:paraId="7E8CE88F" w14:textId="5CBCF920" w:rsidR="00331566" w:rsidRPr="002F794B" w:rsidRDefault="00CB0B0F" w:rsidP="00331566">
      <w:r w:rsidRPr="002F794B">
        <w:t xml:space="preserve">Se considera y se </w:t>
      </w:r>
      <w:r w:rsidR="00E462DE" w:rsidRPr="002F794B">
        <w:t xml:space="preserve">modifican </w:t>
      </w:r>
      <w:r w:rsidRPr="002F794B">
        <w:t>las figuras.</w:t>
      </w:r>
    </w:p>
    <w:p w14:paraId="0C27BB2C" w14:textId="77777777" w:rsidR="00CB0B0F" w:rsidRPr="002F794B" w:rsidRDefault="00CB0B0F" w:rsidP="00331566"/>
    <w:p w14:paraId="7EC2BFD0" w14:textId="77777777" w:rsidR="00331566" w:rsidRPr="002F794B" w:rsidRDefault="00331566" w:rsidP="00331566">
      <w:pPr>
        <w:rPr>
          <w:u w:val="single"/>
        </w:rPr>
      </w:pPr>
      <w:r w:rsidRPr="002F794B">
        <w:rPr>
          <w:u w:val="single"/>
        </w:rPr>
        <w:t>Participante</w:t>
      </w:r>
    </w:p>
    <w:p w14:paraId="10459729" w14:textId="77777777" w:rsidR="00331566" w:rsidRPr="002F794B" w:rsidRDefault="00331566" w:rsidP="00331566">
      <w:r w:rsidRPr="002F794B">
        <w:t>Consejo Mexicano de Normalización y Evaluación de la Conformidad A.C.</w:t>
      </w:r>
    </w:p>
    <w:p w14:paraId="58C4B877" w14:textId="77777777" w:rsidR="00331566" w:rsidRPr="002F794B" w:rsidRDefault="00331566" w:rsidP="00331566">
      <w:pPr>
        <w:rPr>
          <w:u w:val="single"/>
        </w:rPr>
      </w:pPr>
      <w:r w:rsidRPr="002F794B">
        <w:rPr>
          <w:u w:val="single"/>
        </w:rPr>
        <w:t>Comentario y propuesta</w:t>
      </w:r>
    </w:p>
    <w:p w14:paraId="0DE58C65" w14:textId="77777777" w:rsidR="00331566" w:rsidRPr="002F794B" w:rsidRDefault="00331566" w:rsidP="00331566">
      <w:pPr>
        <w:ind w:left="567" w:right="616"/>
        <w:rPr>
          <w:i/>
          <w:iCs/>
        </w:rPr>
      </w:pPr>
      <w:r w:rsidRPr="002F794B">
        <w:rPr>
          <w:i/>
          <w:iCs/>
        </w:rPr>
        <w:t>En varios puntos de la Disposición Técnica se describe el uso de un Acoplador Direccional/ Divisor de Potencia, sin embargo no se describe en las figuras 1, 2, 3, en que parte del arreglo de pruebas tendría que estar situado dicho elemento.</w:t>
      </w:r>
    </w:p>
    <w:p w14:paraId="3A47A608" w14:textId="77777777" w:rsidR="00331566" w:rsidRPr="002F794B" w:rsidRDefault="00331566" w:rsidP="00331566">
      <w:pPr>
        <w:rPr>
          <w:u w:val="single"/>
        </w:rPr>
      </w:pPr>
      <w:r w:rsidRPr="002F794B">
        <w:rPr>
          <w:u w:val="single"/>
        </w:rPr>
        <w:t>Respuesta</w:t>
      </w:r>
    </w:p>
    <w:p w14:paraId="144CEA4D" w14:textId="287F5F5F" w:rsidR="00331566" w:rsidRPr="002F794B" w:rsidRDefault="00CB0B0F" w:rsidP="00986594">
      <w:r w:rsidRPr="002F794B">
        <w:t xml:space="preserve">Se considera y se </w:t>
      </w:r>
      <w:r w:rsidR="00E462DE" w:rsidRPr="002F794B">
        <w:t xml:space="preserve">modifican </w:t>
      </w:r>
      <w:r w:rsidRPr="002F794B">
        <w:t>las figuras.</w:t>
      </w:r>
    </w:p>
    <w:p w14:paraId="047726E4" w14:textId="77777777" w:rsidR="00CB0B0F" w:rsidRPr="002F794B" w:rsidRDefault="00CB0B0F" w:rsidP="00986594"/>
    <w:p w14:paraId="265C9CB8" w14:textId="39238B77" w:rsidR="00986594" w:rsidRPr="002F794B" w:rsidRDefault="00404294" w:rsidP="00DE39DA">
      <w:pPr>
        <w:outlineLvl w:val="1"/>
        <w:rPr>
          <w:b/>
          <w:bCs/>
        </w:rPr>
      </w:pPr>
      <w:r w:rsidRPr="002F794B">
        <w:rPr>
          <w:b/>
          <w:bCs/>
        </w:rPr>
        <w:t>Numeral 8.6.2.3</w:t>
      </w:r>
    </w:p>
    <w:p w14:paraId="48F1BF63" w14:textId="7200DE49" w:rsidR="003B7816" w:rsidRPr="002F794B" w:rsidRDefault="003B7816" w:rsidP="003B7816">
      <w:pPr>
        <w:rPr>
          <w:u w:val="single"/>
        </w:rPr>
      </w:pPr>
      <w:r w:rsidRPr="002F794B">
        <w:rPr>
          <w:u w:val="single"/>
        </w:rPr>
        <w:t>Participante</w:t>
      </w:r>
    </w:p>
    <w:p w14:paraId="7D48120D" w14:textId="14D30280" w:rsidR="003B7816" w:rsidRPr="002F794B" w:rsidRDefault="00177674" w:rsidP="003B7816">
      <w:r w:rsidRPr="002F794B">
        <w:t>Apple Operations México, S.A. de C.V.</w:t>
      </w:r>
    </w:p>
    <w:p w14:paraId="50E97BCD" w14:textId="07B773BC" w:rsidR="003B7816" w:rsidRPr="002F794B" w:rsidRDefault="003B7816" w:rsidP="003B7816">
      <w:pPr>
        <w:rPr>
          <w:u w:val="single"/>
        </w:rPr>
      </w:pPr>
      <w:r w:rsidRPr="002F794B">
        <w:rPr>
          <w:u w:val="single"/>
        </w:rPr>
        <w:t>Comentario y propuesta</w:t>
      </w:r>
    </w:p>
    <w:p w14:paraId="283F43B6" w14:textId="23DFB2D7" w:rsidR="003B7816" w:rsidRPr="002F794B" w:rsidRDefault="002B74DB" w:rsidP="003B7816">
      <w:pPr>
        <w:ind w:left="567" w:right="616"/>
        <w:rPr>
          <w:i/>
          <w:iCs/>
        </w:rPr>
      </w:pPr>
      <w:r w:rsidRPr="002F794B">
        <w:rPr>
          <w:noProof/>
        </w:rPr>
        <w:lastRenderedPageBreak/>
        <w:drawing>
          <wp:anchor distT="0" distB="0" distL="114300" distR="114300" simplePos="0" relativeHeight="251658247" behindDoc="0" locked="0" layoutInCell="1" allowOverlap="1" wp14:anchorId="47EE7ED5" wp14:editId="029A8D11">
            <wp:simplePos x="0" y="0"/>
            <wp:positionH relativeFrom="margin">
              <wp:align>center</wp:align>
            </wp:positionH>
            <wp:positionV relativeFrom="paragraph">
              <wp:posOffset>173990</wp:posOffset>
            </wp:positionV>
            <wp:extent cx="4035600" cy="2829600"/>
            <wp:effectExtent l="0" t="0" r="3175" b="8890"/>
            <wp:wrapTopAndBottom/>
            <wp:docPr id="925998187"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98187" name="Picture 1" descr="Tabl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35600" cy="2829600"/>
                    </a:xfrm>
                    <a:prstGeom prst="rect">
                      <a:avLst/>
                    </a:prstGeom>
                  </pic:spPr>
                </pic:pic>
              </a:graphicData>
            </a:graphic>
            <wp14:sizeRelH relativeFrom="margin">
              <wp14:pctWidth>0</wp14:pctWidth>
            </wp14:sizeRelH>
            <wp14:sizeRelV relativeFrom="margin">
              <wp14:pctHeight>0</wp14:pctHeight>
            </wp14:sizeRelV>
          </wp:anchor>
        </w:drawing>
      </w:r>
      <w:r w:rsidR="009A69CB" w:rsidRPr="002F794B">
        <w:rPr>
          <w:i/>
          <w:iCs/>
        </w:rPr>
        <w:t>Dice:</w:t>
      </w:r>
      <w:r w:rsidRPr="002F794B">
        <w:rPr>
          <w:noProof/>
        </w:rPr>
        <w:t xml:space="preserve"> </w:t>
      </w:r>
    </w:p>
    <w:p w14:paraId="4ED2CA02" w14:textId="7CFA5EB1" w:rsidR="009A69CB" w:rsidRPr="002F794B" w:rsidRDefault="009A69CB" w:rsidP="003B7816">
      <w:pPr>
        <w:ind w:left="567" w:right="616"/>
        <w:rPr>
          <w:i/>
          <w:iCs/>
        </w:rPr>
      </w:pPr>
      <w:r w:rsidRPr="002F794B">
        <w:rPr>
          <w:i/>
          <w:iCs/>
        </w:rPr>
        <w:t>Debe decir:</w:t>
      </w:r>
      <w:r w:rsidR="00A625BF" w:rsidRPr="002F794B">
        <w:rPr>
          <w:i/>
          <w:iCs/>
          <w:noProof/>
        </w:rPr>
        <w:drawing>
          <wp:anchor distT="0" distB="0" distL="114300" distR="114300" simplePos="0" relativeHeight="251658248" behindDoc="0" locked="0" layoutInCell="1" allowOverlap="1" wp14:anchorId="09F3DC32" wp14:editId="5AE79DB8">
            <wp:simplePos x="0" y="0"/>
            <wp:positionH relativeFrom="margin">
              <wp:align>center</wp:align>
            </wp:positionH>
            <wp:positionV relativeFrom="paragraph">
              <wp:posOffset>2903220</wp:posOffset>
            </wp:positionV>
            <wp:extent cx="4096800" cy="2779200"/>
            <wp:effectExtent l="0" t="0" r="0" b="2540"/>
            <wp:wrapTopAndBottom/>
            <wp:docPr id="1295950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6800" cy="2779200"/>
                    </a:xfrm>
                    <a:prstGeom prst="rect">
                      <a:avLst/>
                    </a:prstGeom>
                    <a:noFill/>
                  </pic:spPr>
                </pic:pic>
              </a:graphicData>
            </a:graphic>
            <wp14:sizeRelH relativeFrom="margin">
              <wp14:pctWidth>0</wp14:pctWidth>
            </wp14:sizeRelH>
            <wp14:sizeRelV relativeFrom="margin">
              <wp14:pctHeight>0</wp14:pctHeight>
            </wp14:sizeRelV>
          </wp:anchor>
        </w:drawing>
      </w:r>
    </w:p>
    <w:p w14:paraId="325E3DAA" w14:textId="77777777" w:rsidR="009A69CB" w:rsidRPr="002F794B" w:rsidRDefault="009A69CB" w:rsidP="009A69CB">
      <w:pPr>
        <w:ind w:left="567" w:right="616"/>
        <w:rPr>
          <w:i/>
          <w:iCs/>
          <w:lang w:val="es-ES"/>
        </w:rPr>
      </w:pPr>
      <w:r w:rsidRPr="002F794B">
        <w:rPr>
          <w:i/>
          <w:iCs/>
          <w:lang w:val="es-ES"/>
        </w:rPr>
        <w:t xml:space="preserve">Justificación: </w:t>
      </w:r>
    </w:p>
    <w:p w14:paraId="2A1188D9" w14:textId="00112DAA" w:rsidR="009A69CB" w:rsidRPr="002F794B" w:rsidRDefault="009A69CB" w:rsidP="00EF7B8D">
      <w:pPr>
        <w:ind w:left="567" w:right="616"/>
        <w:rPr>
          <w:i/>
          <w:iCs/>
        </w:rPr>
      </w:pPr>
      <w:r w:rsidRPr="002F794B">
        <w:rPr>
          <w:i/>
          <w:iCs/>
          <w:lang w:val="es-ES"/>
        </w:rPr>
        <w:t>Para mediciones radiadas por debajo de 1 GHz se recomienda usar un Ancho de banda del filtro de resolución (RBW) de 120 kHz. Esta misma línea se ha usado para otras disposiciones técnicas como lo son DT-IFT-008, DT-IFT-011 Parte 2, y en el Proyecto de la DT-IFT-017.</w:t>
      </w:r>
    </w:p>
    <w:p w14:paraId="1E156799" w14:textId="77777777" w:rsidR="003B7816" w:rsidRPr="002F794B" w:rsidRDefault="003B7816" w:rsidP="003B7816">
      <w:pPr>
        <w:rPr>
          <w:u w:val="single"/>
        </w:rPr>
      </w:pPr>
      <w:r w:rsidRPr="002F794B">
        <w:rPr>
          <w:u w:val="single"/>
        </w:rPr>
        <w:t>Respuesta</w:t>
      </w:r>
    </w:p>
    <w:p w14:paraId="437DB767" w14:textId="479518C2" w:rsidR="003B7816" w:rsidRPr="002F794B" w:rsidRDefault="00044D11" w:rsidP="00C22600">
      <w:r w:rsidRPr="002F794B">
        <w:t>No se considera. Las especificaciones técnicas de la DT concuerdan con las normas internacionales de referencia.</w:t>
      </w:r>
    </w:p>
    <w:p w14:paraId="63513002" w14:textId="77777777" w:rsidR="00044D11" w:rsidRPr="002F794B" w:rsidRDefault="00044D11" w:rsidP="00C22600"/>
    <w:p w14:paraId="5C01D1DF" w14:textId="77777777" w:rsidR="003B7816" w:rsidRPr="002F794B" w:rsidRDefault="003B7816" w:rsidP="003B7816">
      <w:pPr>
        <w:rPr>
          <w:u w:val="single"/>
        </w:rPr>
      </w:pPr>
      <w:r w:rsidRPr="002F794B">
        <w:rPr>
          <w:u w:val="single"/>
        </w:rPr>
        <w:lastRenderedPageBreak/>
        <w:t>Participante</w:t>
      </w:r>
    </w:p>
    <w:p w14:paraId="4CDD50B9" w14:textId="5660A9B2" w:rsidR="003B7816" w:rsidRPr="002F794B" w:rsidRDefault="001C447B" w:rsidP="003B7816">
      <w:r w:rsidRPr="002F794B">
        <w:t>Apple Operations México, S.A. de C.V.</w:t>
      </w:r>
    </w:p>
    <w:p w14:paraId="616E9495" w14:textId="13DFAE44" w:rsidR="003B7816" w:rsidRPr="002F794B" w:rsidRDefault="003B7816" w:rsidP="003B7816">
      <w:pPr>
        <w:rPr>
          <w:u w:val="single"/>
        </w:rPr>
      </w:pPr>
      <w:r w:rsidRPr="002F794B">
        <w:rPr>
          <w:u w:val="single"/>
        </w:rPr>
        <w:t>Comentario y propuesta</w:t>
      </w:r>
    </w:p>
    <w:p w14:paraId="6A470DFD" w14:textId="072D2319" w:rsidR="003B7816" w:rsidRPr="002F794B" w:rsidRDefault="00813E0D" w:rsidP="003B7816">
      <w:pPr>
        <w:ind w:left="567" w:right="616"/>
        <w:rPr>
          <w:i/>
          <w:iCs/>
        </w:rPr>
      </w:pPr>
      <w:r w:rsidRPr="002F794B">
        <w:rPr>
          <w:noProof/>
        </w:rPr>
        <w:drawing>
          <wp:anchor distT="0" distB="0" distL="114300" distR="114300" simplePos="0" relativeHeight="251658249" behindDoc="0" locked="0" layoutInCell="1" allowOverlap="1" wp14:anchorId="060476A5" wp14:editId="60FBA4E6">
            <wp:simplePos x="0" y="0"/>
            <wp:positionH relativeFrom="margin">
              <wp:align>center</wp:align>
            </wp:positionH>
            <wp:positionV relativeFrom="paragraph">
              <wp:posOffset>201295</wp:posOffset>
            </wp:positionV>
            <wp:extent cx="4215600" cy="2581200"/>
            <wp:effectExtent l="0" t="0" r="0" b="0"/>
            <wp:wrapTopAndBottom/>
            <wp:docPr id="47281379"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1379" name="Picture 1" descr="Tabla&#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5600" cy="2581200"/>
                    </a:xfrm>
                    <a:prstGeom prst="rect">
                      <a:avLst/>
                    </a:prstGeom>
                  </pic:spPr>
                </pic:pic>
              </a:graphicData>
            </a:graphic>
            <wp14:sizeRelH relativeFrom="margin">
              <wp14:pctWidth>0</wp14:pctWidth>
            </wp14:sizeRelH>
            <wp14:sizeRelV relativeFrom="margin">
              <wp14:pctHeight>0</wp14:pctHeight>
            </wp14:sizeRelV>
          </wp:anchor>
        </w:drawing>
      </w:r>
      <w:r w:rsidR="00C97E0D" w:rsidRPr="002F794B">
        <w:rPr>
          <w:i/>
          <w:iCs/>
        </w:rPr>
        <w:t>Dice:</w:t>
      </w:r>
      <w:r w:rsidRPr="002F794B">
        <w:rPr>
          <w:noProof/>
        </w:rPr>
        <w:t xml:space="preserve"> </w:t>
      </w:r>
    </w:p>
    <w:p w14:paraId="313467DE" w14:textId="3A2DB6DB" w:rsidR="00C97E0D" w:rsidRPr="002F794B" w:rsidRDefault="00C97E0D" w:rsidP="003B7816">
      <w:pPr>
        <w:ind w:left="567" w:right="616"/>
        <w:rPr>
          <w:i/>
          <w:iCs/>
        </w:rPr>
      </w:pPr>
      <w:r w:rsidRPr="002F794B">
        <w:rPr>
          <w:i/>
          <w:iCs/>
        </w:rPr>
        <w:t>Debe decir:</w:t>
      </w:r>
      <w:r w:rsidR="00BC1747" w:rsidRPr="002F794B">
        <w:rPr>
          <w:noProof/>
        </w:rPr>
        <w:t xml:space="preserve"> </w:t>
      </w:r>
      <w:r w:rsidR="00BC1747" w:rsidRPr="002F794B">
        <w:rPr>
          <w:noProof/>
        </w:rPr>
        <w:drawing>
          <wp:anchor distT="0" distB="0" distL="114300" distR="114300" simplePos="0" relativeHeight="251658250" behindDoc="0" locked="0" layoutInCell="1" allowOverlap="1" wp14:anchorId="2ABA4447" wp14:editId="4F35D49B">
            <wp:simplePos x="0" y="0"/>
            <wp:positionH relativeFrom="margin">
              <wp:align>center</wp:align>
            </wp:positionH>
            <wp:positionV relativeFrom="paragraph">
              <wp:posOffset>2679065</wp:posOffset>
            </wp:positionV>
            <wp:extent cx="4467600" cy="2984400"/>
            <wp:effectExtent l="0" t="0" r="0" b="6985"/>
            <wp:wrapTopAndBottom/>
            <wp:docPr id="1869325863"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5863" name="Picture 1" descr="Tabl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67600" cy="2984400"/>
                    </a:xfrm>
                    <a:prstGeom prst="rect">
                      <a:avLst/>
                    </a:prstGeom>
                  </pic:spPr>
                </pic:pic>
              </a:graphicData>
            </a:graphic>
            <wp14:sizeRelH relativeFrom="margin">
              <wp14:pctWidth>0</wp14:pctWidth>
            </wp14:sizeRelH>
            <wp14:sizeRelV relativeFrom="margin">
              <wp14:pctHeight>0</wp14:pctHeight>
            </wp14:sizeRelV>
          </wp:anchor>
        </w:drawing>
      </w:r>
    </w:p>
    <w:p w14:paraId="78D99488" w14:textId="385851FA" w:rsidR="00C97E0D" w:rsidRPr="002F794B" w:rsidRDefault="00C97E0D" w:rsidP="00C97E0D">
      <w:pPr>
        <w:ind w:left="567" w:right="616"/>
        <w:rPr>
          <w:i/>
          <w:iCs/>
          <w:lang w:val="es-ES"/>
        </w:rPr>
      </w:pPr>
      <w:r w:rsidRPr="002F794B">
        <w:rPr>
          <w:i/>
          <w:iCs/>
          <w:lang w:val="es-ES"/>
        </w:rPr>
        <w:t xml:space="preserve">Justificación: </w:t>
      </w:r>
    </w:p>
    <w:p w14:paraId="041DC01D" w14:textId="4E2421B6" w:rsidR="00C97E0D" w:rsidRPr="002F794B" w:rsidRDefault="00C97E0D" w:rsidP="00C97E0D">
      <w:pPr>
        <w:ind w:left="567" w:right="616"/>
        <w:rPr>
          <w:i/>
          <w:iCs/>
        </w:rPr>
      </w:pPr>
      <w:r w:rsidRPr="002F794B">
        <w:rPr>
          <w:i/>
          <w:iCs/>
          <w:lang w:val="es-ES"/>
        </w:rPr>
        <w:t>Para mediciones radiadas por debajo de 1 GHz se recomienda usar un detector cuasi-pico. Esta misma línea se ha usado para otras disposiciones técnicas como lo son DT-IFT-008, DT-IFT-011 Parte 2, y en el Proyecto de la DT-IFT-017.</w:t>
      </w:r>
    </w:p>
    <w:p w14:paraId="42F09866" w14:textId="77777777" w:rsidR="003B7816" w:rsidRPr="002F794B" w:rsidRDefault="003B7816" w:rsidP="003B7816">
      <w:pPr>
        <w:rPr>
          <w:u w:val="single"/>
        </w:rPr>
      </w:pPr>
      <w:r w:rsidRPr="002F794B">
        <w:rPr>
          <w:u w:val="single"/>
        </w:rPr>
        <w:lastRenderedPageBreak/>
        <w:t>Respuesta</w:t>
      </w:r>
    </w:p>
    <w:p w14:paraId="4BF39E04" w14:textId="4F1E1482" w:rsidR="003B7816" w:rsidRPr="002F794B" w:rsidRDefault="00044D11" w:rsidP="00C22600">
      <w:r w:rsidRPr="002F794B">
        <w:t>No se considera. Las especificaciones técnicas de la DT concuerdan con las normas internacionales de referencia.</w:t>
      </w:r>
    </w:p>
    <w:p w14:paraId="0066BA05" w14:textId="77777777" w:rsidR="00044D11" w:rsidRPr="002F794B" w:rsidRDefault="00044D11" w:rsidP="00C22600"/>
    <w:p w14:paraId="4910D3D3" w14:textId="77777777" w:rsidR="003B7816" w:rsidRPr="002F794B" w:rsidRDefault="003B7816" w:rsidP="003B7816">
      <w:pPr>
        <w:rPr>
          <w:u w:val="single"/>
        </w:rPr>
      </w:pPr>
      <w:r w:rsidRPr="002F794B">
        <w:rPr>
          <w:u w:val="single"/>
        </w:rPr>
        <w:t>Participante</w:t>
      </w:r>
    </w:p>
    <w:p w14:paraId="259B112F" w14:textId="0E65ECB3" w:rsidR="003B7816" w:rsidRPr="002F794B" w:rsidRDefault="00F60EBD" w:rsidP="003B7816">
      <w:r w:rsidRPr="002F794B">
        <w:t>Cámara Nacional de la Industria Electrónica, de Telecomunicaciones y Tecnologías de la Información</w:t>
      </w:r>
    </w:p>
    <w:p w14:paraId="48EEEF25" w14:textId="77777777" w:rsidR="003B7816" w:rsidRPr="002F794B" w:rsidRDefault="003B7816" w:rsidP="003B7816">
      <w:pPr>
        <w:rPr>
          <w:u w:val="single"/>
        </w:rPr>
      </w:pPr>
      <w:r w:rsidRPr="002F794B">
        <w:rPr>
          <w:u w:val="single"/>
        </w:rPr>
        <w:t>Comentario y propuesta</w:t>
      </w:r>
    </w:p>
    <w:p w14:paraId="21501E59" w14:textId="51A48325" w:rsidR="006A24D3" w:rsidRPr="002F794B" w:rsidRDefault="00B12621" w:rsidP="006A24D3">
      <w:pPr>
        <w:ind w:left="567" w:right="616"/>
        <w:rPr>
          <w:b/>
          <w:bCs/>
          <w:i/>
          <w:iCs/>
        </w:rPr>
      </w:pPr>
      <w:r w:rsidRPr="002F794B">
        <w:rPr>
          <w:rFonts w:asciiTheme="minorHAnsi" w:hAnsiTheme="minorHAnsi" w:cstheme="minorHAnsi"/>
          <w:noProof/>
          <w:sz w:val="16"/>
          <w:szCs w:val="16"/>
          <w:lang w:val="en-US"/>
        </w:rPr>
        <w:drawing>
          <wp:anchor distT="0" distB="0" distL="114300" distR="114300" simplePos="0" relativeHeight="251658251" behindDoc="0" locked="0" layoutInCell="1" allowOverlap="1" wp14:anchorId="1E9636B9" wp14:editId="44E46705">
            <wp:simplePos x="0" y="0"/>
            <wp:positionH relativeFrom="margin">
              <wp:align>center</wp:align>
            </wp:positionH>
            <wp:positionV relativeFrom="paragraph">
              <wp:posOffset>287482</wp:posOffset>
            </wp:positionV>
            <wp:extent cx="3596400" cy="2520000"/>
            <wp:effectExtent l="0" t="0" r="4445" b="0"/>
            <wp:wrapTopAndBottom/>
            <wp:docPr id="329835228"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35228" name="Picture 1" descr="Tabl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6400" cy="2520000"/>
                    </a:xfrm>
                    <a:prstGeom prst="rect">
                      <a:avLst/>
                    </a:prstGeom>
                  </pic:spPr>
                </pic:pic>
              </a:graphicData>
            </a:graphic>
            <wp14:sizeRelH relativeFrom="margin">
              <wp14:pctWidth>0</wp14:pctWidth>
            </wp14:sizeRelH>
            <wp14:sizeRelV relativeFrom="margin">
              <wp14:pctHeight>0</wp14:pctHeight>
            </wp14:sizeRelV>
          </wp:anchor>
        </w:drawing>
      </w:r>
      <w:r w:rsidR="00CF5D35" w:rsidRPr="002F794B">
        <w:rPr>
          <w:b/>
          <w:bCs/>
          <w:i/>
          <w:iCs/>
        </w:rPr>
        <w:t>DICE:</w:t>
      </w:r>
    </w:p>
    <w:p w14:paraId="4438549D" w14:textId="05AECFFD" w:rsidR="009051B5" w:rsidRPr="002F794B" w:rsidRDefault="00CF5D35" w:rsidP="006A24D3">
      <w:pPr>
        <w:ind w:left="567" w:right="616"/>
        <w:rPr>
          <w:b/>
          <w:bCs/>
          <w:i/>
          <w:iCs/>
        </w:rPr>
      </w:pPr>
      <w:r w:rsidRPr="002F794B">
        <w:rPr>
          <w:b/>
          <w:bCs/>
          <w:i/>
          <w:iCs/>
        </w:rPr>
        <w:t>DEBERÍA DECIR:</w:t>
      </w:r>
    </w:p>
    <w:p w14:paraId="60B46143" w14:textId="1E6DCD2B" w:rsidR="00CF5D35" w:rsidRPr="002F794B" w:rsidRDefault="00B65C23" w:rsidP="00C71696">
      <w:pPr>
        <w:keepNext/>
        <w:ind w:left="567" w:right="618"/>
        <w:rPr>
          <w:b/>
          <w:bCs/>
          <w:i/>
          <w:iCs/>
        </w:rPr>
      </w:pPr>
      <w:r w:rsidRPr="002F794B">
        <w:rPr>
          <w:i/>
          <w:iCs/>
          <w:noProof/>
        </w:rPr>
        <w:lastRenderedPageBreak/>
        <w:drawing>
          <wp:anchor distT="0" distB="0" distL="114300" distR="114300" simplePos="0" relativeHeight="251658252" behindDoc="0" locked="0" layoutInCell="1" allowOverlap="1" wp14:anchorId="336A8D16" wp14:editId="260C5954">
            <wp:simplePos x="0" y="0"/>
            <wp:positionH relativeFrom="margin">
              <wp:posOffset>1125047</wp:posOffset>
            </wp:positionH>
            <wp:positionV relativeFrom="paragraph">
              <wp:posOffset>58</wp:posOffset>
            </wp:positionV>
            <wp:extent cx="3484800" cy="2419200"/>
            <wp:effectExtent l="0" t="0" r="1905" b="635"/>
            <wp:wrapTopAndBottom/>
            <wp:docPr id="6510561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4800" cy="2419200"/>
                    </a:xfrm>
                    <a:prstGeom prst="rect">
                      <a:avLst/>
                    </a:prstGeom>
                    <a:noFill/>
                  </pic:spPr>
                </pic:pic>
              </a:graphicData>
            </a:graphic>
            <wp14:sizeRelH relativeFrom="margin">
              <wp14:pctWidth>0</wp14:pctWidth>
            </wp14:sizeRelH>
            <wp14:sizeRelV relativeFrom="margin">
              <wp14:pctHeight>0</wp14:pctHeight>
            </wp14:sizeRelV>
          </wp:anchor>
        </w:drawing>
      </w:r>
      <w:r w:rsidR="00CF5D35" w:rsidRPr="002F794B">
        <w:rPr>
          <w:b/>
          <w:bCs/>
          <w:i/>
          <w:iCs/>
        </w:rPr>
        <w:t xml:space="preserve">JUSTIFICACIÓN: </w:t>
      </w:r>
    </w:p>
    <w:p w14:paraId="2A16D179" w14:textId="59E87B7B" w:rsidR="00CF5D35" w:rsidRPr="002F794B" w:rsidRDefault="00CF5D35" w:rsidP="00C71696">
      <w:pPr>
        <w:keepNext/>
        <w:ind w:left="567" w:right="618"/>
        <w:rPr>
          <w:i/>
          <w:iCs/>
        </w:rPr>
      </w:pPr>
      <w:r w:rsidRPr="002F794B">
        <w:rPr>
          <w:i/>
          <w:iCs/>
        </w:rPr>
        <w:t>Para mediciones radiadas entre 30 MHz y 1 GHz, se recomienda usar un Ancho de banda del filtro de resolución (RBW) de 120 kHz. Esta misma línea se ha usado para otras disposiciones técnicas, como la DT-IFT-008, DT-IFT-011 Parte 2, y en el proyecto de la DT-IFT-017.</w:t>
      </w:r>
    </w:p>
    <w:p w14:paraId="29B97256" w14:textId="38BF78D5" w:rsidR="003B7816" w:rsidRPr="002F794B" w:rsidRDefault="003B7816" w:rsidP="003B7816">
      <w:pPr>
        <w:rPr>
          <w:u w:val="single"/>
        </w:rPr>
      </w:pPr>
      <w:r w:rsidRPr="002F794B">
        <w:rPr>
          <w:u w:val="single"/>
        </w:rPr>
        <w:t>Respuesta</w:t>
      </w:r>
    </w:p>
    <w:p w14:paraId="1FA99DA0" w14:textId="7E2058AE" w:rsidR="003B7816" w:rsidRPr="002F794B" w:rsidRDefault="00404BA3" w:rsidP="00C22600">
      <w:r w:rsidRPr="002F794B">
        <w:t>No se considera. Las especificaciones técnicas de la DT concuerdan con las normas internacionales de referencia.</w:t>
      </w:r>
    </w:p>
    <w:p w14:paraId="532AADF3" w14:textId="77777777" w:rsidR="00404BA3" w:rsidRPr="002F794B" w:rsidRDefault="00404BA3" w:rsidP="00C22600"/>
    <w:p w14:paraId="1352956E" w14:textId="7E89EE67" w:rsidR="00B8697D" w:rsidRPr="002F794B" w:rsidRDefault="00B8697D" w:rsidP="00B8697D">
      <w:pPr>
        <w:rPr>
          <w:u w:val="single"/>
        </w:rPr>
      </w:pPr>
      <w:r w:rsidRPr="002F794B">
        <w:rPr>
          <w:u w:val="single"/>
        </w:rPr>
        <w:t>Participante</w:t>
      </w:r>
    </w:p>
    <w:p w14:paraId="623B67AA" w14:textId="3002C537" w:rsidR="00B8697D" w:rsidRPr="002F794B" w:rsidRDefault="004E2C37" w:rsidP="00B8697D">
      <w:r w:rsidRPr="002F794B">
        <w:t>Cámara Nacional de la Industria Electrónica, de Telecomunicaciones y Tecnologías de la Información</w:t>
      </w:r>
    </w:p>
    <w:p w14:paraId="1C04C245" w14:textId="77777777" w:rsidR="00B8697D" w:rsidRPr="002F794B" w:rsidRDefault="00B8697D" w:rsidP="00B8697D">
      <w:pPr>
        <w:rPr>
          <w:u w:val="single"/>
        </w:rPr>
      </w:pPr>
      <w:r w:rsidRPr="002F794B">
        <w:rPr>
          <w:u w:val="single"/>
        </w:rPr>
        <w:t>Comentario y propuesta</w:t>
      </w:r>
    </w:p>
    <w:p w14:paraId="7D9D9EEA" w14:textId="325D10E3" w:rsidR="00B8697D" w:rsidRPr="002F794B" w:rsidRDefault="00EA52DA" w:rsidP="00B8697D">
      <w:pPr>
        <w:ind w:left="567" w:right="616"/>
        <w:rPr>
          <w:b/>
          <w:bCs/>
          <w:i/>
          <w:iCs/>
        </w:rPr>
      </w:pPr>
      <w:r w:rsidRPr="002F794B">
        <w:rPr>
          <w:rFonts w:asciiTheme="minorHAnsi" w:hAnsiTheme="minorHAnsi" w:cstheme="minorHAnsi"/>
          <w:noProof/>
          <w:sz w:val="16"/>
          <w:szCs w:val="16"/>
          <w:lang w:val="en-US"/>
        </w:rPr>
        <w:drawing>
          <wp:anchor distT="0" distB="0" distL="114300" distR="114300" simplePos="0" relativeHeight="251658253" behindDoc="0" locked="0" layoutInCell="1" allowOverlap="1" wp14:anchorId="08599C37" wp14:editId="00636A7C">
            <wp:simplePos x="0" y="0"/>
            <wp:positionH relativeFrom="margin">
              <wp:align>center</wp:align>
            </wp:positionH>
            <wp:positionV relativeFrom="paragraph">
              <wp:posOffset>291465</wp:posOffset>
            </wp:positionV>
            <wp:extent cx="2768400" cy="1692000"/>
            <wp:effectExtent l="0" t="0" r="0" b="3810"/>
            <wp:wrapTopAndBottom/>
            <wp:docPr id="1911448036"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48036" name="Picture 1" descr="Tabla&#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8400" cy="1692000"/>
                    </a:xfrm>
                    <a:prstGeom prst="rect">
                      <a:avLst/>
                    </a:prstGeom>
                  </pic:spPr>
                </pic:pic>
              </a:graphicData>
            </a:graphic>
            <wp14:sizeRelH relativeFrom="margin">
              <wp14:pctWidth>0</wp14:pctWidth>
            </wp14:sizeRelH>
            <wp14:sizeRelV relativeFrom="margin">
              <wp14:pctHeight>0</wp14:pctHeight>
            </wp14:sizeRelV>
          </wp:anchor>
        </w:drawing>
      </w:r>
      <w:r w:rsidR="006701CF" w:rsidRPr="002F794B">
        <w:rPr>
          <w:b/>
          <w:bCs/>
          <w:i/>
          <w:iCs/>
        </w:rPr>
        <w:t>DICE:</w:t>
      </w:r>
    </w:p>
    <w:p w14:paraId="61232683" w14:textId="6258DC6F" w:rsidR="006701CF" w:rsidRPr="002F794B" w:rsidRDefault="00F82054" w:rsidP="00B8697D">
      <w:pPr>
        <w:ind w:left="567" w:right="616"/>
        <w:rPr>
          <w:b/>
          <w:bCs/>
          <w:i/>
          <w:iCs/>
        </w:rPr>
      </w:pPr>
      <w:r w:rsidRPr="002F794B">
        <w:rPr>
          <w:rFonts w:asciiTheme="minorHAnsi" w:hAnsiTheme="minorHAnsi" w:cstheme="minorHAnsi"/>
          <w:noProof/>
          <w:sz w:val="16"/>
          <w:szCs w:val="16"/>
          <w:lang w:val="en-US"/>
        </w:rPr>
        <w:lastRenderedPageBreak/>
        <w:drawing>
          <wp:anchor distT="0" distB="0" distL="114300" distR="114300" simplePos="0" relativeHeight="251658254" behindDoc="0" locked="0" layoutInCell="1" allowOverlap="1" wp14:anchorId="14562785" wp14:editId="2F569FF4">
            <wp:simplePos x="0" y="0"/>
            <wp:positionH relativeFrom="margin">
              <wp:posOffset>1519786</wp:posOffset>
            </wp:positionH>
            <wp:positionV relativeFrom="paragraph">
              <wp:posOffset>325582</wp:posOffset>
            </wp:positionV>
            <wp:extent cx="2822400" cy="1886400"/>
            <wp:effectExtent l="0" t="0" r="0" b="0"/>
            <wp:wrapTopAndBottom/>
            <wp:docPr id="1954933920"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33920" name="Picture 1" descr="Tabla&#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2400" cy="1886400"/>
                    </a:xfrm>
                    <a:prstGeom prst="rect">
                      <a:avLst/>
                    </a:prstGeom>
                  </pic:spPr>
                </pic:pic>
              </a:graphicData>
            </a:graphic>
            <wp14:sizeRelH relativeFrom="margin">
              <wp14:pctWidth>0</wp14:pctWidth>
            </wp14:sizeRelH>
            <wp14:sizeRelV relativeFrom="margin">
              <wp14:pctHeight>0</wp14:pctHeight>
            </wp14:sizeRelV>
          </wp:anchor>
        </w:drawing>
      </w:r>
      <w:r w:rsidR="006701CF" w:rsidRPr="002F794B">
        <w:rPr>
          <w:b/>
          <w:bCs/>
          <w:i/>
          <w:iCs/>
        </w:rPr>
        <w:t>DEBERÍA DECIR:</w:t>
      </w:r>
    </w:p>
    <w:p w14:paraId="555ACA3D" w14:textId="697C586A" w:rsidR="003D1465" w:rsidRPr="002F794B" w:rsidRDefault="003D1465" w:rsidP="003D1465">
      <w:pPr>
        <w:ind w:left="567" w:right="616"/>
        <w:rPr>
          <w:b/>
          <w:bCs/>
          <w:i/>
          <w:iCs/>
        </w:rPr>
      </w:pPr>
      <w:r w:rsidRPr="002F794B">
        <w:rPr>
          <w:b/>
          <w:bCs/>
          <w:i/>
          <w:iCs/>
        </w:rPr>
        <w:t>JUSTIFICACIÓN:</w:t>
      </w:r>
    </w:p>
    <w:p w14:paraId="407CE41F" w14:textId="12BD8846" w:rsidR="006701CF" w:rsidRPr="002F794B" w:rsidRDefault="003D1465" w:rsidP="003D1465">
      <w:pPr>
        <w:ind w:left="567" w:right="616"/>
        <w:rPr>
          <w:i/>
          <w:iCs/>
        </w:rPr>
      </w:pPr>
      <w:r w:rsidRPr="002F794B">
        <w:rPr>
          <w:i/>
          <w:iCs/>
        </w:rPr>
        <w:t>Para mediciones radiadas por debajo de 1 GHz, se recomienda usar un detector cuasi-pico. Esta misma línea se ha usado para otras disposiciones técnicas como la DT-IFT-008, DT-IFT-011 Parte 2, y en el proyecto de la DT-IFT-017.</w:t>
      </w:r>
    </w:p>
    <w:p w14:paraId="22E66CA6" w14:textId="68FFE872" w:rsidR="00B8697D" w:rsidRPr="002F794B" w:rsidRDefault="00B8697D" w:rsidP="00B8697D">
      <w:pPr>
        <w:rPr>
          <w:u w:val="single"/>
        </w:rPr>
      </w:pPr>
      <w:r w:rsidRPr="002F794B">
        <w:rPr>
          <w:u w:val="single"/>
        </w:rPr>
        <w:t>Respuesta</w:t>
      </w:r>
    </w:p>
    <w:p w14:paraId="396D3A29" w14:textId="165179A5" w:rsidR="00C22600" w:rsidRPr="002F794B" w:rsidRDefault="00404BA3" w:rsidP="00DE0659">
      <w:r w:rsidRPr="002F794B">
        <w:t>No se considera. Las especificaciones técnicas de la DT concuerdan con las normas internacionales de referencia.</w:t>
      </w:r>
    </w:p>
    <w:p w14:paraId="7B07DF55" w14:textId="77777777" w:rsidR="00404BA3" w:rsidRPr="002F794B" w:rsidRDefault="00404BA3" w:rsidP="00DE0659"/>
    <w:p w14:paraId="656C6590" w14:textId="12CC41EC" w:rsidR="00F02274" w:rsidRPr="002F794B" w:rsidRDefault="00F02274" w:rsidP="00410377">
      <w:pPr>
        <w:outlineLvl w:val="1"/>
        <w:rPr>
          <w:b/>
          <w:bCs/>
        </w:rPr>
      </w:pPr>
      <w:r w:rsidRPr="002F794B">
        <w:rPr>
          <w:b/>
          <w:bCs/>
        </w:rPr>
        <w:t>Numeral 8.7.3</w:t>
      </w:r>
    </w:p>
    <w:p w14:paraId="73709119" w14:textId="77777777" w:rsidR="00B8697D" w:rsidRPr="002F794B" w:rsidRDefault="00B8697D" w:rsidP="00B8697D">
      <w:pPr>
        <w:rPr>
          <w:u w:val="single"/>
        </w:rPr>
      </w:pPr>
      <w:r w:rsidRPr="002F794B">
        <w:rPr>
          <w:u w:val="single"/>
        </w:rPr>
        <w:t>Participante</w:t>
      </w:r>
    </w:p>
    <w:p w14:paraId="407B725B" w14:textId="30C9C1DE" w:rsidR="00B8697D" w:rsidRPr="002F794B" w:rsidRDefault="00CB28D8" w:rsidP="00B8697D">
      <w:r w:rsidRPr="002F794B">
        <w:t>Apple Operations México, S.A. de C.V.</w:t>
      </w:r>
    </w:p>
    <w:p w14:paraId="5ADED3B7" w14:textId="5B63A45D" w:rsidR="00B8697D" w:rsidRPr="002F794B" w:rsidRDefault="000856FC" w:rsidP="00B8697D">
      <w:pPr>
        <w:rPr>
          <w:u w:val="single"/>
        </w:rPr>
      </w:pPr>
      <w:r w:rsidRPr="002F794B">
        <w:rPr>
          <w:noProof/>
        </w:rPr>
        <w:drawing>
          <wp:anchor distT="0" distB="0" distL="114300" distR="114300" simplePos="0" relativeHeight="251658255" behindDoc="0" locked="0" layoutInCell="1" allowOverlap="1" wp14:anchorId="3666F5C1" wp14:editId="6DC1734E">
            <wp:simplePos x="0" y="0"/>
            <wp:positionH relativeFrom="margin">
              <wp:align>center</wp:align>
            </wp:positionH>
            <wp:positionV relativeFrom="paragraph">
              <wp:posOffset>463550</wp:posOffset>
            </wp:positionV>
            <wp:extent cx="4467600" cy="2300400"/>
            <wp:effectExtent l="0" t="0" r="0" b="5080"/>
            <wp:wrapTopAndBottom/>
            <wp:docPr id="1916255618"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55618" name="Picture 1" descr="Tabl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67600" cy="2300400"/>
                    </a:xfrm>
                    <a:prstGeom prst="rect">
                      <a:avLst/>
                    </a:prstGeom>
                  </pic:spPr>
                </pic:pic>
              </a:graphicData>
            </a:graphic>
            <wp14:sizeRelH relativeFrom="margin">
              <wp14:pctWidth>0</wp14:pctWidth>
            </wp14:sizeRelH>
            <wp14:sizeRelV relativeFrom="margin">
              <wp14:pctHeight>0</wp14:pctHeight>
            </wp14:sizeRelV>
          </wp:anchor>
        </w:drawing>
      </w:r>
      <w:r w:rsidR="00B8697D" w:rsidRPr="002F794B">
        <w:rPr>
          <w:u w:val="single"/>
        </w:rPr>
        <w:t>Comentario y propuesta</w:t>
      </w:r>
    </w:p>
    <w:p w14:paraId="316CF856" w14:textId="22CE5CD9" w:rsidR="00B8697D" w:rsidRPr="002F794B" w:rsidRDefault="000333A4" w:rsidP="00B8697D">
      <w:pPr>
        <w:ind w:left="567" w:right="616"/>
        <w:rPr>
          <w:i/>
          <w:iCs/>
        </w:rPr>
      </w:pPr>
      <w:r w:rsidRPr="002F794B">
        <w:rPr>
          <w:i/>
          <w:iCs/>
        </w:rPr>
        <w:t>Dice:</w:t>
      </w:r>
    </w:p>
    <w:p w14:paraId="779EECE4" w14:textId="61CCAA60" w:rsidR="000333A4" w:rsidRPr="002F794B" w:rsidRDefault="002C622D" w:rsidP="00B8697D">
      <w:pPr>
        <w:ind w:left="567" w:right="616"/>
        <w:rPr>
          <w:i/>
          <w:iCs/>
        </w:rPr>
      </w:pPr>
      <w:r w:rsidRPr="002F794B">
        <w:rPr>
          <w:noProof/>
        </w:rPr>
        <w:lastRenderedPageBreak/>
        <w:drawing>
          <wp:anchor distT="0" distB="0" distL="114300" distR="114300" simplePos="0" relativeHeight="251658256" behindDoc="0" locked="0" layoutInCell="1" allowOverlap="1" wp14:anchorId="3A4C5D6C" wp14:editId="55874190">
            <wp:simplePos x="0" y="0"/>
            <wp:positionH relativeFrom="margin">
              <wp:align>center</wp:align>
            </wp:positionH>
            <wp:positionV relativeFrom="paragraph">
              <wp:posOffset>224155</wp:posOffset>
            </wp:positionV>
            <wp:extent cx="4467600" cy="2289600"/>
            <wp:effectExtent l="0" t="0" r="0" b="0"/>
            <wp:wrapTopAndBottom/>
            <wp:docPr id="774633950"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33950" name="Picture 1" descr="Tabla&#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67600" cy="2289600"/>
                    </a:xfrm>
                    <a:prstGeom prst="rect">
                      <a:avLst/>
                    </a:prstGeom>
                  </pic:spPr>
                </pic:pic>
              </a:graphicData>
            </a:graphic>
            <wp14:sizeRelH relativeFrom="margin">
              <wp14:pctWidth>0</wp14:pctWidth>
            </wp14:sizeRelH>
            <wp14:sizeRelV relativeFrom="margin">
              <wp14:pctHeight>0</wp14:pctHeight>
            </wp14:sizeRelV>
          </wp:anchor>
        </w:drawing>
      </w:r>
      <w:r w:rsidR="000333A4" w:rsidRPr="002F794B">
        <w:rPr>
          <w:i/>
          <w:iCs/>
        </w:rPr>
        <w:t>Debe decir:</w:t>
      </w:r>
    </w:p>
    <w:p w14:paraId="64225F3D" w14:textId="3B5267D7" w:rsidR="000333A4" w:rsidRPr="002F794B" w:rsidRDefault="000333A4" w:rsidP="000333A4">
      <w:pPr>
        <w:ind w:left="567" w:right="616"/>
        <w:rPr>
          <w:i/>
          <w:iCs/>
          <w:lang w:val="es-ES"/>
        </w:rPr>
      </w:pPr>
      <w:r w:rsidRPr="002F794B">
        <w:rPr>
          <w:i/>
          <w:iCs/>
          <w:lang w:val="es-ES"/>
        </w:rPr>
        <w:t xml:space="preserve">Justificación: </w:t>
      </w:r>
    </w:p>
    <w:p w14:paraId="2B2EC947" w14:textId="0A5BA67B" w:rsidR="000333A4" w:rsidRPr="002F794B" w:rsidRDefault="000333A4" w:rsidP="000333A4">
      <w:pPr>
        <w:ind w:left="567" w:right="616"/>
        <w:rPr>
          <w:i/>
          <w:iCs/>
        </w:rPr>
      </w:pPr>
      <w:r w:rsidRPr="002F794B">
        <w:rPr>
          <w:i/>
          <w:iCs/>
          <w:lang w:val="es-ES"/>
        </w:rPr>
        <w:t>La medición del campo eléctrico de la señal fundamental como esta en la DT-016 indica RBW=VBW=100 kHz, que puede no abarcar el 99 % del ancho de banda de potencia de la señal. Por lo que se recomienda utilizar las especificaciones de FCC.</w:t>
      </w:r>
    </w:p>
    <w:p w14:paraId="3C7FC173" w14:textId="46B320EA" w:rsidR="00B8697D" w:rsidRPr="002F794B" w:rsidRDefault="00B8697D" w:rsidP="00B8697D">
      <w:pPr>
        <w:rPr>
          <w:u w:val="single"/>
        </w:rPr>
      </w:pPr>
      <w:r w:rsidRPr="002F794B">
        <w:rPr>
          <w:u w:val="single"/>
        </w:rPr>
        <w:t>Respuesta</w:t>
      </w:r>
    </w:p>
    <w:p w14:paraId="10A70B7E" w14:textId="1D846317" w:rsidR="00B8697D" w:rsidRPr="002F794B" w:rsidRDefault="00EA14E3" w:rsidP="00DE0659">
      <w:r w:rsidRPr="002F794B">
        <w:t>Se considera y se modifica.</w:t>
      </w:r>
    </w:p>
    <w:p w14:paraId="1FE6A2A5" w14:textId="77777777" w:rsidR="00EA14E3" w:rsidRPr="002F794B" w:rsidRDefault="00EA14E3" w:rsidP="00DE0659"/>
    <w:p w14:paraId="4CE250A2" w14:textId="77777777" w:rsidR="00B8697D" w:rsidRPr="002F794B" w:rsidRDefault="00B8697D" w:rsidP="00B8697D">
      <w:pPr>
        <w:rPr>
          <w:u w:val="single"/>
        </w:rPr>
      </w:pPr>
      <w:r w:rsidRPr="002F794B">
        <w:rPr>
          <w:u w:val="single"/>
        </w:rPr>
        <w:t>Participante</w:t>
      </w:r>
    </w:p>
    <w:p w14:paraId="213C2A66" w14:textId="77B3F881" w:rsidR="00B8697D" w:rsidRPr="002F794B" w:rsidRDefault="00410377" w:rsidP="00B8697D">
      <w:r w:rsidRPr="002F794B">
        <w:t>Consejo Mexicano de Normalización y Evaluación de la Conformidad A.C.</w:t>
      </w:r>
    </w:p>
    <w:p w14:paraId="1C3352D7" w14:textId="77777777" w:rsidR="00B8697D" w:rsidRPr="002F794B" w:rsidRDefault="00B8697D" w:rsidP="00B8697D">
      <w:pPr>
        <w:rPr>
          <w:u w:val="single"/>
        </w:rPr>
      </w:pPr>
      <w:r w:rsidRPr="002F794B">
        <w:rPr>
          <w:u w:val="single"/>
        </w:rPr>
        <w:t>Comentario y propuesta</w:t>
      </w:r>
    </w:p>
    <w:p w14:paraId="77FDB607" w14:textId="57123437" w:rsidR="00B8697D" w:rsidRPr="002F794B" w:rsidRDefault="00A07911" w:rsidP="00B8697D">
      <w:pPr>
        <w:ind w:left="567" w:right="616"/>
        <w:rPr>
          <w:i/>
          <w:iCs/>
        </w:rPr>
      </w:pPr>
      <w:r w:rsidRPr="002F794B">
        <w:rPr>
          <w:i/>
          <w:iCs/>
        </w:rPr>
        <w:t>En el punto 4 se menciona la medición de campo eléctrico utilizando el medidor de potencia de RF en 3 frecuencias. No queda claro si este punto también puede aplicar a la medición con el analizador de espectros.</w:t>
      </w:r>
    </w:p>
    <w:p w14:paraId="5B3D2606" w14:textId="77777777" w:rsidR="00B8697D" w:rsidRPr="002F794B" w:rsidRDefault="00B8697D" w:rsidP="00B8697D">
      <w:pPr>
        <w:rPr>
          <w:u w:val="single"/>
        </w:rPr>
      </w:pPr>
      <w:r w:rsidRPr="002F794B">
        <w:rPr>
          <w:u w:val="single"/>
        </w:rPr>
        <w:t>Respuesta</w:t>
      </w:r>
    </w:p>
    <w:p w14:paraId="215B769E" w14:textId="0D5EDD23" w:rsidR="00B8697D" w:rsidRPr="002F794B" w:rsidRDefault="00397D56" w:rsidP="00DE0659">
      <w:r w:rsidRPr="002F794B">
        <w:t>Se considera y se corrige.</w:t>
      </w:r>
    </w:p>
    <w:p w14:paraId="04C52883" w14:textId="77777777" w:rsidR="00397D56" w:rsidRPr="002F794B" w:rsidRDefault="00397D56" w:rsidP="00DE0659"/>
    <w:p w14:paraId="3DA515CE" w14:textId="77777777" w:rsidR="00B8697D" w:rsidRPr="002F794B" w:rsidRDefault="00B8697D" w:rsidP="00B8697D">
      <w:pPr>
        <w:rPr>
          <w:u w:val="single"/>
        </w:rPr>
      </w:pPr>
      <w:r w:rsidRPr="002F794B">
        <w:rPr>
          <w:u w:val="single"/>
        </w:rPr>
        <w:t>Participante</w:t>
      </w:r>
    </w:p>
    <w:p w14:paraId="014258B5" w14:textId="1FA9B5B4" w:rsidR="00B8697D" w:rsidRPr="002F794B" w:rsidRDefault="00280158" w:rsidP="00B8697D">
      <w:r w:rsidRPr="002F794B">
        <w:t>Consejo Mexicano de Normalización y Evaluación de la Conformidad A.C.</w:t>
      </w:r>
    </w:p>
    <w:p w14:paraId="6951C396" w14:textId="77777777" w:rsidR="00B8697D" w:rsidRPr="002F794B" w:rsidRDefault="00B8697D" w:rsidP="00B8697D">
      <w:pPr>
        <w:rPr>
          <w:u w:val="single"/>
        </w:rPr>
      </w:pPr>
      <w:r w:rsidRPr="002F794B">
        <w:rPr>
          <w:u w:val="single"/>
        </w:rPr>
        <w:t>Comentario y propuesta</w:t>
      </w:r>
    </w:p>
    <w:p w14:paraId="00C9354D" w14:textId="0AEE7ADF" w:rsidR="00B8697D" w:rsidRPr="002F794B" w:rsidRDefault="00EB068A" w:rsidP="00B8697D">
      <w:pPr>
        <w:ind w:left="567" w:right="616"/>
        <w:rPr>
          <w:i/>
          <w:iCs/>
        </w:rPr>
      </w:pPr>
      <w:r w:rsidRPr="002F794B">
        <w:rPr>
          <w:i/>
          <w:iCs/>
        </w:rPr>
        <w:lastRenderedPageBreak/>
        <w:t>Ajustar el valor del tiempo de barrido (</w:t>
      </w:r>
      <w:r w:rsidRPr="002F794B">
        <w:rPr>
          <w:b/>
          <w:i/>
          <w:iCs/>
        </w:rPr>
        <w:t>sweep time</w:t>
      </w:r>
      <w:r w:rsidRPr="002F794B">
        <w:rPr>
          <w:i/>
          <w:iCs/>
        </w:rPr>
        <w:t xml:space="preserve">) en </w:t>
      </w:r>
      <w:r w:rsidRPr="002F794B">
        <w:rPr>
          <w:b/>
          <w:i/>
          <w:iCs/>
        </w:rPr>
        <w:t xml:space="preserve">auto </w:t>
      </w:r>
      <w:r w:rsidRPr="002F794B">
        <w:rPr>
          <w:i/>
          <w:iCs/>
        </w:rPr>
        <w:t xml:space="preserve">ya que los valores propuestos son muy elevados, ajustar en </w:t>
      </w:r>
      <w:r w:rsidRPr="002F794B">
        <w:rPr>
          <w:b/>
          <w:i/>
          <w:iCs/>
        </w:rPr>
        <w:t xml:space="preserve">auto </w:t>
      </w:r>
      <w:r w:rsidRPr="002F794B">
        <w:rPr>
          <w:i/>
          <w:iCs/>
        </w:rPr>
        <w:t>garantizará el mejor desempeño del analizador de espectro</w:t>
      </w:r>
    </w:p>
    <w:p w14:paraId="420E87D1" w14:textId="77777777" w:rsidR="00B8697D" w:rsidRPr="002F794B" w:rsidRDefault="00B8697D" w:rsidP="00B8697D">
      <w:pPr>
        <w:rPr>
          <w:u w:val="single"/>
        </w:rPr>
      </w:pPr>
      <w:r w:rsidRPr="002F794B">
        <w:rPr>
          <w:u w:val="single"/>
        </w:rPr>
        <w:t>Respuesta</w:t>
      </w:r>
    </w:p>
    <w:p w14:paraId="0046F802" w14:textId="71F789C6" w:rsidR="00B8697D" w:rsidRPr="002F794B" w:rsidRDefault="00BD513F" w:rsidP="00DE0659">
      <w:r w:rsidRPr="002F794B">
        <w:t>Se considera y se corrige.</w:t>
      </w:r>
    </w:p>
    <w:p w14:paraId="73A56489" w14:textId="77777777" w:rsidR="00BD513F" w:rsidRPr="002F794B" w:rsidRDefault="00BD513F" w:rsidP="00DE0659"/>
    <w:p w14:paraId="5CBB2847" w14:textId="77777777" w:rsidR="00B8697D" w:rsidRPr="002F794B" w:rsidRDefault="00B8697D" w:rsidP="00B8697D">
      <w:pPr>
        <w:rPr>
          <w:u w:val="single"/>
        </w:rPr>
      </w:pPr>
      <w:r w:rsidRPr="002F794B">
        <w:rPr>
          <w:u w:val="single"/>
        </w:rPr>
        <w:t>Participante</w:t>
      </w:r>
    </w:p>
    <w:p w14:paraId="13051645" w14:textId="7AB7C7AC" w:rsidR="00B8697D" w:rsidRPr="002F794B" w:rsidRDefault="00EC55DC" w:rsidP="00B8697D">
      <w:r w:rsidRPr="002F794B">
        <w:t>Cámara Nacional de la Industria Electrónica, de Telecomunicaciones y Tecnologías de la Información</w:t>
      </w:r>
    </w:p>
    <w:p w14:paraId="45340CD0" w14:textId="77777777" w:rsidR="00B8697D" w:rsidRPr="002F794B" w:rsidRDefault="00B8697D" w:rsidP="00B8697D">
      <w:pPr>
        <w:rPr>
          <w:u w:val="single"/>
        </w:rPr>
      </w:pPr>
      <w:r w:rsidRPr="002F794B">
        <w:rPr>
          <w:u w:val="single"/>
        </w:rPr>
        <w:t>Comentario y propuesta</w:t>
      </w:r>
    </w:p>
    <w:p w14:paraId="78DC66CB" w14:textId="5D6070C1" w:rsidR="00B8697D" w:rsidRPr="002F794B" w:rsidRDefault="00774CB4" w:rsidP="00B8697D">
      <w:pPr>
        <w:ind w:left="567" w:right="616"/>
        <w:rPr>
          <w:i/>
          <w:iCs/>
        </w:rPr>
      </w:pPr>
      <w:r w:rsidRPr="002F794B">
        <w:rPr>
          <w:i/>
          <w:iCs/>
        </w:rPr>
        <w:t>Se solicita atentamente ajustar el valor del tiempo de barrido (</w:t>
      </w:r>
      <w:r w:rsidRPr="002F794B">
        <w:rPr>
          <w:b/>
          <w:i/>
          <w:iCs/>
        </w:rPr>
        <w:t>sweep time</w:t>
      </w:r>
      <w:r w:rsidRPr="002F794B">
        <w:rPr>
          <w:i/>
          <w:iCs/>
        </w:rPr>
        <w:t xml:space="preserve">) en </w:t>
      </w:r>
      <w:r w:rsidRPr="002F794B">
        <w:rPr>
          <w:b/>
          <w:i/>
          <w:iCs/>
        </w:rPr>
        <w:t>auto</w:t>
      </w:r>
      <w:r w:rsidRPr="002F794B">
        <w:rPr>
          <w:i/>
          <w:iCs/>
        </w:rPr>
        <w:t>,</w:t>
      </w:r>
      <w:r w:rsidRPr="002F794B">
        <w:rPr>
          <w:b/>
          <w:i/>
          <w:iCs/>
        </w:rPr>
        <w:t xml:space="preserve"> </w:t>
      </w:r>
      <w:r w:rsidRPr="002F794B">
        <w:rPr>
          <w:i/>
          <w:iCs/>
        </w:rPr>
        <w:t xml:space="preserve">ya que los valores propuestos son muy elevados. Ajustar en </w:t>
      </w:r>
      <w:r w:rsidRPr="002F794B">
        <w:rPr>
          <w:b/>
          <w:i/>
          <w:iCs/>
        </w:rPr>
        <w:t xml:space="preserve">auto </w:t>
      </w:r>
      <w:r w:rsidRPr="002F794B">
        <w:rPr>
          <w:i/>
          <w:iCs/>
        </w:rPr>
        <w:t>garantizará el mejor desempeño del analizador de espectro.</w:t>
      </w:r>
    </w:p>
    <w:p w14:paraId="3A6074C7" w14:textId="77777777" w:rsidR="00B8697D" w:rsidRPr="002F794B" w:rsidRDefault="00B8697D" w:rsidP="00B8697D">
      <w:pPr>
        <w:rPr>
          <w:u w:val="single"/>
        </w:rPr>
      </w:pPr>
      <w:r w:rsidRPr="002F794B">
        <w:rPr>
          <w:u w:val="single"/>
        </w:rPr>
        <w:t>Respuesta</w:t>
      </w:r>
    </w:p>
    <w:p w14:paraId="0D32462F" w14:textId="35880C79" w:rsidR="00B8697D" w:rsidRPr="002F794B" w:rsidRDefault="00BD513F" w:rsidP="00DE0659">
      <w:r w:rsidRPr="002F794B">
        <w:t>Se considera y se corrige.</w:t>
      </w:r>
    </w:p>
    <w:p w14:paraId="1473EEBA" w14:textId="77777777" w:rsidR="00BD513F" w:rsidRPr="002F794B" w:rsidRDefault="00BD513F" w:rsidP="00DE0659"/>
    <w:p w14:paraId="1D198BA8" w14:textId="77777777" w:rsidR="00B8697D" w:rsidRPr="002F794B" w:rsidRDefault="00B8697D" w:rsidP="00B8697D">
      <w:pPr>
        <w:rPr>
          <w:u w:val="single"/>
        </w:rPr>
      </w:pPr>
      <w:r w:rsidRPr="002F794B">
        <w:rPr>
          <w:u w:val="single"/>
        </w:rPr>
        <w:t>Participante</w:t>
      </w:r>
    </w:p>
    <w:p w14:paraId="780F6845" w14:textId="2AECD23E" w:rsidR="00B8697D" w:rsidRPr="002F794B" w:rsidRDefault="00B2196C" w:rsidP="00B8697D">
      <w:r w:rsidRPr="002F794B">
        <w:t>Cámara Nacional de la Industria Electrónica, de Telecomunicaciones y Tecnologías de la Información</w:t>
      </w:r>
    </w:p>
    <w:p w14:paraId="022020C5" w14:textId="77777777" w:rsidR="00B8697D" w:rsidRPr="002F794B" w:rsidRDefault="00B8697D" w:rsidP="00B8697D">
      <w:pPr>
        <w:rPr>
          <w:u w:val="single"/>
        </w:rPr>
      </w:pPr>
      <w:r w:rsidRPr="002F794B">
        <w:rPr>
          <w:u w:val="single"/>
        </w:rPr>
        <w:t>Comentario y propuesta</w:t>
      </w:r>
    </w:p>
    <w:p w14:paraId="2595E93B" w14:textId="26AF4500" w:rsidR="00B8697D" w:rsidRPr="002F794B" w:rsidRDefault="00615BC6" w:rsidP="00B8697D">
      <w:pPr>
        <w:ind w:left="567" w:right="616"/>
        <w:rPr>
          <w:i/>
          <w:iCs/>
        </w:rPr>
      </w:pPr>
      <w:r w:rsidRPr="002F794B">
        <w:rPr>
          <w:i/>
          <w:iCs/>
        </w:rPr>
        <w:t>En el punto 4 se menciona la medición de campo eléctrico utilizando el medidor de potencia de RF en 3 frecuencias. Sin embargo, no queda claro si este punto también puede aplicar a la medición con el analizador de espectros.</w:t>
      </w:r>
    </w:p>
    <w:p w14:paraId="032130BD" w14:textId="77777777" w:rsidR="00B8697D" w:rsidRPr="002F794B" w:rsidRDefault="00B8697D" w:rsidP="00B8697D">
      <w:pPr>
        <w:rPr>
          <w:u w:val="single"/>
        </w:rPr>
      </w:pPr>
      <w:r w:rsidRPr="002F794B">
        <w:rPr>
          <w:u w:val="single"/>
        </w:rPr>
        <w:t>Respuesta</w:t>
      </w:r>
    </w:p>
    <w:p w14:paraId="2E7D6F0A" w14:textId="284AD71F" w:rsidR="00B8697D" w:rsidRPr="002F794B" w:rsidRDefault="00DD419C" w:rsidP="00DE0659">
      <w:r w:rsidRPr="002F794B">
        <w:t>Se considera y se corrige.</w:t>
      </w:r>
    </w:p>
    <w:p w14:paraId="2324596F" w14:textId="77777777" w:rsidR="00DD419C" w:rsidRPr="002F794B" w:rsidRDefault="00DD419C" w:rsidP="00DE0659"/>
    <w:p w14:paraId="0BAE7E2F" w14:textId="77777777" w:rsidR="00B8697D" w:rsidRPr="002F794B" w:rsidRDefault="00B8697D" w:rsidP="00B8697D">
      <w:pPr>
        <w:rPr>
          <w:u w:val="single"/>
        </w:rPr>
      </w:pPr>
      <w:r w:rsidRPr="002F794B">
        <w:rPr>
          <w:u w:val="single"/>
        </w:rPr>
        <w:t>Participante</w:t>
      </w:r>
    </w:p>
    <w:p w14:paraId="402B8E37" w14:textId="6AD6CBA4" w:rsidR="00B8697D" w:rsidRPr="002F794B" w:rsidRDefault="004D491A" w:rsidP="00B8697D">
      <w:r w:rsidRPr="002F794B">
        <w:t>Cámara Nacional de la Industria Electrónica, de Telecomunicaciones y Tecnologías de la Información</w:t>
      </w:r>
    </w:p>
    <w:p w14:paraId="61FBB636" w14:textId="77777777" w:rsidR="00B8697D" w:rsidRPr="002F794B" w:rsidRDefault="00B8697D" w:rsidP="00B8697D">
      <w:pPr>
        <w:rPr>
          <w:u w:val="single"/>
        </w:rPr>
      </w:pPr>
      <w:r w:rsidRPr="002F794B">
        <w:rPr>
          <w:u w:val="single"/>
        </w:rPr>
        <w:t>Comentario y propuesta</w:t>
      </w:r>
    </w:p>
    <w:p w14:paraId="108A147B" w14:textId="458C99A9" w:rsidR="00B8697D" w:rsidRPr="002F794B" w:rsidRDefault="00EE4F24" w:rsidP="00B8697D">
      <w:pPr>
        <w:ind w:left="567" w:right="616"/>
        <w:rPr>
          <w:b/>
          <w:bCs/>
          <w:i/>
          <w:iCs/>
        </w:rPr>
      </w:pPr>
      <w:r w:rsidRPr="002F794B">
        <w:rPr>
          <w:rFonts w:asciiTheme="minorHAnsi" w:hAnsiTheme="minorHAnsi" w:cstheme="minorHAnsi"/>
          <w:noProof/>
          <w:sz w:val="16"/>
          <w:szCs w:val="16"/>
          <w:lang w:val="en-US"/>
        </w:rPr>
        <w:lastRenderedPageBreak/>
        <w:drawing>
          <wp:anchor distT="0" distB="0" distL="114300" distR="114300" simplePos="0" relativeHeight="251658257" behindDoc="0" locked="0" layoutInCell="1" allowOverlap="1" wp14:anchorId="1EA91834" wp14:editId="59228F4F">
            <wp:simplePos x="0" y="0"/>
            <wp:positionH relativeFrom="column">
              <wp:align>center</wp:align>
            </wp:positionH>
            <wp:positionV relativeFrom="paragraph">
              <wp:posOffset>267970</wp:posOffset>
            </wp:positionV>
            <wp:extent cx="5670000" cy="2919600"/>
            <wp:effectExtent l="0" t="0" r="6985" b="0"/>
            <wp:wrapTopAndBottom/>
            <wp:docPr id="1443770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55618"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70000" cy="2919600"/>
                    </a:xfrm>
                    <a:prstGeom prst="rect">
                      <a:avLst/>
                    </a:prstGeom>
                  </pic:spPr>
                </pic:pic>
              </a:graphicData>
            </a:graphic>
            <wp14:sizeRelH relativeFrom="margin">
              <wp14:pctWidth>0</wp14:pctWidth>
            </wp14:sizeRelH>
            <wp14:sizeRelV relativeFrom="margin">
              <wp14:pctHeight>0</wp14:pctHeight>
            </wp14:sizeRelV>
          </wp:anchor>
        </w:drawing>
      </w:r>
      <w:r w:rsidR="00D4167D" w:rsidRPr="002F794B">
        <w:rPr>
          <w:b/>
          <w:bCs/>
          <w:i/>
          <w:iCs/>
        </w:rPr>
        <w:t>DICE:</w:t>
      </w:r>
    </w:p>
    <w:p w14:paraId="2A0FF4C7" w14:textId="77777777" w:rsidR="00EE4F24" w:rsidRPr="002F794B" w:rsidRDefault="00EE4F24" w:rsidP="00B8697D">
      <w:pPr>
        <w:ind w:left="567" w:right="616"/>
        <w:rPr>
          <w:b/>
          <w:bCs/>
          <w:i/>
          <w:iCs/>
        </w:rPr>
      </w:pPr>
    </w:p>
    <w:p w14:paraId="4AE13F88" w14:textId="3DEFB978" w:rsidR="00D4167D" w:rsidRPr="002F794B" w:rsidRDefault="00EE4F24" w:rsidP="00B8697D">
      <w:pPr>
        <w:ind w:left="567" w:right="616"/>
        <w:rPr>
          <w:b/>
          <w:bCs/>
          <w:i/>
          <w:iCs/>
        </w:rPr>
      </w:pPr>
      <w:r w:rsidRPr="002F794B">
        <w:rPr>
          <w:rFonts w:asciiTheme="minorHAnsi" w:hAnsiTheme="minorHAnsi" w:cstheme="minorHAnsi"/>
          <w:noProof/>
          <w:sz w:val="16"/>
          <w:szCs w:val="16"/>
          <w:lang w:val="en-US"/>
        </w:rPr>
        <w:drawing>
          <wp:anchor distT="0" distB="0" distL="114300" distR="114300" simplePos="0" relativeHeight="251658258" behindDoc="0" locked="0" layoutInCell="1" allowOverlap="1" wp14:anchorId="644DBC36" wp14:editId="26359783">
            <wp:simplePos x="0" y="0"/>
            <wp:positionH relativeFrom="column">
              <wp:align>center</wp:align>
            </wp:positionH>
            <wp:positionV relativeFrom="paragraph">
              <wp:posOffset>274320</wp:posOffset>
            </wp:positionV>
            <wp:extent cx="4863600" cy="2494800"/>
            <wp:effectExtent l="0" t="0" r="0" b="1270"/>
            <wp:wrapTopAndBottom/>
            <wp:docPr id="1054800176" name="Picture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00176" name="Picture 1" descr="Tabl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63600" cy="2494800"/>
                    </a:xfrm>
                    <a:prstGeom prst="rect">
                      <a:avLst/>
                    </a:prstGeom>
                  </pic:spPr>
                </pic:pic>
              </a:graphicData>
            </a:graphic>
            <wp14:sizeRelH relativeFrom="margin">
              <wp14:pctWidth>0</wp14:pctWidth>
            </wp14:sizeRelH>
            <wp14:sizeRelV relativeFrom="margin">
              <wp14:pctHeight>0</wp14:pctHeight>
            </wp14:sizeRelV>
          </wp:anchor>
        </w:drawing>
      </w:r>
      <w:r w:rsidR="00D4167D" w:rsidRPr="002F794B">
        <w:rPr>
          <w:b/>
          <w:bCs/>
          <w:i/>
          <w:iCs/>
        </w:rPr>
        <w:t>DEBERÍA DECIR:</w:t>
      </w:r>
      <w:r w:rsidRPr="002F794B">
        <w:rPr>
          <w:rFonts w:asciiTheme="minorHAnsi" w:hAnsiTheme="minorHAnsi" w:cstheme="minorHAnsi"/>
          <w:noProof/>
          <w:sz w:val="16"/>
          <w:szCs w:val="16"/>
        </w:rPr>
        <w:t xml:space="preserve"> </w:t>
      </w:r>
    </w:p>
    <w:p w14:paraId="41D5DFF0" w14:textId="67805141" w:rsidR="00D4167D" w:rsidRPr="002F794B" w:rsidRDefault="00D4167D" w:rsidP="00D4167D">
      <w:pPr>
        <w:ind w:left="567" w:right="616"/>
        <w:rPr>
          <w:b/>
          <w:i/>
          <w:iCs/>
        </w:rPr>
      </w:pPr>
      <w:r w:rsidRPr="002F794B">
        <w:rPr>
          <w:b/>
          <w:i/>
          <w:iCs/>
        </w:rPr>
        <w:t xml:space="preserve">JUSTIFICACIÓN: </w:t>
      </w:r>
    </w:p>
    <w:p w14:paraId="52448CBB" w14:textId="5E39F7EE" w:rsidR="00D4167D" w:rsidRPr="002F794B" w:rsidRDefault="00D4167D" w:rsidP="00D4167D">
      <w:pPr>
        <w:ind w:left="567" w:right="616"/>
        <w:rPr>
          <w:i/>
          <w:iCs/>
        </w:rPr>
      </w:pPr>
      <w:r w:rsidRPr="002F794B">
        <w:rPr>
          <w:i/>
          <w:iCs/>
        </w:rPr>
        <w:t>La medición del campo eléctrico de la señal fundamental como está en la DT-016, indica RBW=VBW=100 kHz, que puede no abarcar el 99 % del ancho de banda de potencia de la señal. Por lo que se recomienda utilizar las especificaciones de FCC.</w:t>
      </w:r>
    </w:p>
    <w:p w14:paraId="1C406483" w14:textId="77777777" w:rsidR="00B8697D" w:rsidRPr="002F794B" w:rsidRDefault="00B8697D" w:rsidP="00B8697D">
      <w:pPr>
        <w:rPr>
          <w:u w:val="single"/>
        </w:rPr>
      </w:pPr>
      <w:r w:rsidRPr="002F794B">
        <w:rPr>
          <w:u w:val="single"/>
        </w:rPr>
        <w:t>Respuesta</w:t>
      </w:r>
    </w:p>
    <w:p w14:paraId="2C066070" w14:textId="66FFBEF5" w:rsidR="00B8697D" w:rsidRPr="002F794B" w:rsidRDefault="00D82A3A" w:rsidP="00DE0659">
      <w:r w:rsidRPr="002F794B">
        <w:t>Se considera y se modifica.</w:t>
      </w:r>
    </w:p>
    <w:p w14:paraId="490DBDB7" w14:textId="77777777" w:rsidR="00D82A3A" w:rsidRPr="002F794B" w:rsidRDefault="00D82A3A" w:rsidP="00DE0659"/>
    <w:p w14:paraId="524BA684" w14:textId="584D300A" w:rsidR="00CC568E" w:rsidRPr="002F794B" w:rsidRDefault="00CC568E" w:rsidP="00CC568E">
      <w:pPr>
        <w:outlineLvl w:val="1"/>
        <w:rPr>
          <w:b/>
          <w:bCs/>
        </w:rPr>
      </w:pPr>
      <w:r w:rsidRPr="002F794B">
        <w:rPr>
          <w:b/>
          <w:bCs/>
        </w:rPr>
        <w:t>Numeral 8.8.1</w:t>
      </w:r>
    </w:p>
    <w:p w14:paraId="405B4925" w14:textId="77777777" w:rsidR="00B8697D" w:rsidRPr="002F794B" w:rsidRDefault="00B8697D" w:rsidP="00B8697D">
      <w:pPr>
        <w:rPr>
          <w:u w:val="single"/>
        </w:rPr>
      </w:pPr>
      <w:r w:rsidRPr="002F794B">
        <w:rPr>
          <w:u w:val="single"/>
        </w:rPr>
        <w:t>Participante</w:t>
      </w:r>
    </w:p>
    <w:p w14:paraId="0911F6DF" w14:textId="0DD3EB3A" w:rsidR="00B8697D" w:rsidRPr="002F794B" w:rsidRDefault="00F62D6C" w:rsidP="00B8697D">
      <w:r w:rsidRPr="002F794B">
        <w:t>Cámara Nacional de la Industria Electrónica, de Telecomunicaciones y Tecnologías de la Información</w:t>
      </w:r>
    </w:p>
    <w:p w14:paraId="1138881B" w14:textId="77777777" w:rsidR="00B8697D" w:rsidRPr="002F794B" w:rsidRDefault="00B8697D" w:rsidP="00B8697D">
      <w:pPr>
        <w:rPr>
          <w:u w:val="single"/>
        </w:rPr>
      </w:pPr>
      <w:r w:rsidRPr="002F794B">
        <w:rPr>
          <w:u w:val="single"/>
        </w:rPr>
        <w:t>Comentario y propuesta</w:t>
      </w:r>
    </w:p>
    <w:p w14:paraId="40CA2509" w14:textId="15FACCC6" w:rsidR="00B8697D" w:rsidRPr="002F794B" w:rsidRDefault="00CB4EDB" w:rsidP="00B8697D">
      <w:pPr>
        <w:ind w:left="567" w:right="616"/>
        <w:rPr>
          <w:i/>
          <w:iCs/>
        </w:rPr>
      </w:pPr>
      <w:r w:rsidRPr="002F794B">
        <w:rPr>
          <w:i/>
          <w:iCs/>
        </w:rPr>
        <w:t>En varios puntos de la Disposición Técnica se describe el uso de un Acoplador Direccional/ Divisor de Potencia; sin embargo, no se describe en las figuras 1, 2, 3, en qué parte del arreglo de pruebas tendría que estar situado dicho elemento.</w:t>
      </w:r>
    </w:p>
    <w:p w14:paraId="25FBB113" w14:textId="77777777" w:rsidR="00B8697D" w:rsidRPr="002F794B" w:rsidRDefault="00B8697D" w:rsidP="00B8697D">
      <w:pPr>
        <w:rPr>
          <w:u w:val="single"/>
        </w:rPr>
      </w:pPr>
      <w:r w:rsidRPr="002F794B">
        <w:rPr>
          <w:u w:val="single"/>
        </w:rPr>
        <w:t>Respuesta</w:t>
      </w:r>
    </w:p>
    <w:p w14:paraId="14168E3C" w14:textId="7E0A4ADF" w:rsidR="00B8697D" w:rsidRPr="002F794B" w:rsidRDefault="00C23ED7" w:rsidP="00DE0659">
      <w:r w:rsidRPr="002F794B">
        <w:t xml:space="preserve">Se considera y se </w:t>
      </w:r>
      <w:r w:rsidR="00E462DE" w:rsidRPr="002F794B">
        <w:t xml:space="preserve">modifican </w:t>
      </w:r>
      <w:r w:rsidRPr="002F794B">
        <w:t>las figuras.</w:t>
      </w:r>
    </w:p>
    <w:p w14:paraId="25C6F6DD" w14:textId="77777777" w:rsidR="00C23ED7" w:rsidRPr="002F794B" w:rsidRDefault="00C23ED7" w:rsidP="00DE0659"/>
    <w:p w14:paraId="5BC627ED" w14:textId="77777777" w:rsidR="00B8697D" w:rsidRPr="002F794B" w:rsidRDefault="00B8697D" w:rsidP="00B8697D">
      <w:pPr>
        <w:rPr>
          <w:u w:val="single"/>
        </w:rPr>
      </w:pPr>
      <w:r w:rsidRPr="002F794B">
        <w:rPr>
          <w:u w:val="single"/>
        </w:rPr>
        <w:t>Participante</w:t>
      </w:r>
    </w:p>
    <w:p w14:paraId="5BF6996B" w14:textId="1067DAA1" w:rsidR="00B8697D" w:rsidRPr="002F794B" w:rsidRDefault="00746B55" w:rsidP="00B8697D">
      <w:r w:rsidRPr="002F794B">
        <w:t>Consejo Mexicano de Normalización y Evaluación de la Conformidad A.C.</w:t>
      </w:r>
    </w:p>
    <w:p w14:paraId="1E689469" w14:textId="77777777" w:rsidR="00B8697D" w:rsidRPr="002F794B" w:rsidRDefault="00B8697D" w:rsidP="00B8697D">
      <w:pPr>
        <w:rPr>
          <w:u w:val="single"/>
        </w:rPr>
      </w:pPr>
      <w:r w:rsidRPr="002F794B">
        <w:rPr>
          <w:u w:val="single"/>
        </w:rPr>
        <w:t>Comentario y propuesta</w:t>
      </w:r>
    </w:p>
    <w:p w14:paraId="2D124142" w14:textId="3A8C8CF0" w:rsidR="00B8697D" w:rsidRPr="002F794B" w:rsidRDefault="0032022F" w:rsidP="00B8697D">
      <w:pPr>
        <w:ind w:left="567" w:right="616"/>
        <w:rPr>
          <w:i/>
          <w:iCs/>
        </w:rPr>
      </w:pPr>
      <w:r w:rsidRPr="002F794B">
        <w:rPr>
          <w:i/>
          <w:iCs/>
        </w:rPr>
        <w:t>En varios puntos de la Disposición Técnica se describe el uso de un Acoplador Direccional/ Divisor de Potencia, sin embargo no se describe en las figuras 1, 2, 3, en que parte del arreglo de pruebas tendría que estar situado dicho elemento.</w:t>
      </w:r>
    </w:p>
    <w:p w14:paraId="305E54E6" w14:textId="77777777" w:rsidR="00B8697D" w:rsidRPr="002F794B" w:rsidRDefault="00B8697D" w:rsidP="00B8697D">
      <w:pPr>
        <w:rPr>
          <w:u w:val="single"/>
        </w:rPr>
      </w:pPr>
      <w:r w:rsidRPr="002F794B">
        <w:rPr>
          <w:u w:val="single"/>
        </w:rPr>
        <w:t>Respuesta</w:t>
      </w:r>
    </w:p>
    <w:p w14:paraId="5DFD5C2E" w14:textId="5AB2D52B" w:rsidR="00B8697D" w:rsidRPr="002F794B" w:rsidRDefault="00C23ED7" w:rsidP="00DE0659">
      <w:r w:rsidRPr="002F794B">
        <w:t xml:space="preserve">Se considera y se </w:t>
      </w:r>
      <w:r w:rsidR="00E462DE" w:rsidRPr="002F794B">
        <w:t xml:space="preserve">modifican </w:t>
      </w:r>
      <w:r w:rsidRPr="002F794B">
        <w:t>las figuras.</w:t>
      </w:r>
    </w:p>
    <w:p w14:paraId="41235694" w14:textId="77777777" w:rsidR="00C23ED7" w:rsidRPr="002F794B" w:rsidRDefault="00C23ED7" w:rsidP="00DE0659"/>
    <w:p w14:paraId="3AF7FD88" w14:textId="68988347" w:rsidR="0032022F" w:rsidRPr="002F794B" w:rsidRDefault="0032022F" w:rsidP="0032022F">
      <w:pPr>
        <w:outlineLvl w:val="1"/>
        <w:rPr>
          <w:b/>
          <w:bCs/>
        </w:rPr>
      </w:pPr>
      <w:r w:rsidRPr="002F794B">
        <w:rPr>
          <w:b/>
          <w:bCs/>
        </w:rPr>
        <w:t>Numeral 8.9</w:t>
      </w:r>
    </w:p>
    <w:p w14:paraId="2359FEF3" w14:textId="77777777" w:rsidR="00B8697D" w:rsidRPr="002F794B" w:rsidRDefault="00B8697D" w:rsidP="00B8697D">
      <w:pPr>
        <w:rPr>
          <w:u w:val="single"/>
        </w:rPr>
      </w:pPr>
      <w:r w:rsidRPr="002F794B">
        <w:rPr>
          <w:u w:val="single"/>
        </w:rPr>
        <w:t>Participante</w:t>
      </w:r>
    </w:p>
    <w:p w14:paraId="4E967D14" w14:textId="7A43EBE8" w:rsidR="00B8697D" w:rsidRPr="002F794B" w:rsidRDefault="00A11695" w:rsidP="00B8697D">
      <w:proofErr w:type="spellStart"/>
      <w:r w:rsidRPr="002F794B">
        <w:t>Shure</w:t>
      </w:r>
      <w:proofErr w:type="spellEnd"/>
      <w:r w:rsidRPr="002F794B">
        <w:t xml:space="preserve"> </w:t>
      </w:r>
      <w:proofErr w:type="spellStart"/>
      <w:r w:rsidRPr="002F794B">
        <w:t>Incorporated</w:t>
      </w:r>
      <w:proofErr w:type="spellEnd"/>
    </w:p>
    <w:p w14:paraId="7E494912" w14:textId="77777777" w:rsidR="00B8697D" w:rsidRPr="002F794B" w:rsidRDefault="00B8697D" w:rsidP="00B8697D">
      <w:pPr>
        <w:rPr>
          <w:u w:val="single"/>
        </w:rPr>
      </w:pPr>
      <w:r w:rsidRPr="002F794B">
        <w:rPr>
          <w:u w:val="single"/>
        </w:rPr>
        <w:t>Comentario y propuesta</w:t>
      </w:r>
    </w:p>
    <w:p w14:paraId="5C852B74" w14:textId="321410A9" w:rsidR="00B8697D" w:rsidRPr="002F794B" w:rsidRDefault="00A11695" w:rsidP="00A11695">
      <w:pPr>
        <w:ind w:left="567" w:right="616"/>
        <w:rPr>
          <w:i/>
          <w:iCs/>
        </w:rPr>
      </w:pPr>
      <w:r w:rsidRPr="002F794B">
        <w:rPr>
          <w:i/>
          <w:iCs/>
        </w:rPr>
        <w:t xml:space="preserve">El método de prueba descrito en esta sección requiere una portadora no modulada. Para micrófonos inalámbricos digitales, incluyendo el WMAS, el fabricante debe implementar un modo de prueba especial que genere esta portadora no modulada. Para evitar esto, ETSI EN 300 422-1 especifica un método de prueba sin utilizar una portadora no </w:t>
      </w:r>
      <w:r w:rsidRPr="002F794B">
        <w:rPr>
          <w:i/>
          <w:iCs/>
        </w:rPr>
        <w:lastRenderedPageBreak/>
        <w:t>modulada (consulte las cláusulas 5.4.2.2.1.2 y 5.4.3 de EN 300 422-1). Recomendamos este procedimiento de prueba.</w:t>
      </w:r>
    </w:p>
    <w:p w14:paraId="7BE0DAFA" w14:textId="77777777" w:rsidR="00B8697D" w:rsidRPr="002F794B" w:rsidRDefault="00B8697D" w:rsidP="00B8697D">
      <w:pPr>
        <w:rPr>
          <w:u w:val="single"/>
        </w:rPr>
      </w:pPr>
      <w:r w:rsidRPr="002F794B">
        <w:rPr>
          <w:u w:val="single"/>
        </w:rPr>
        <w:t>Respuesta</w:t>
      </w:r>
    </w:p>
    <w:p w14:paraId="4ED3831E" w14:textId="1D6190C5" w:rsidR="00B8697D" w:rsidRPr="002F794B" w:rsidRDefault="00C23ED7" w:rsidP="00DE0659">
      <w:r w:rsidRPr="002F794B">
        <w:t>No se considera. En el Anexo B se especifican las señales de audio a utilizar en los métodos de prueba aplicables a los Micrófonos inalámbricos.</w:t>
      </w:r>
    </w:p>
    <w:p w14:paraId="3955588A" w14:textId="77777777" w:rsidR="00C23ED7" w:rsidRPr="002F794B" w:rsidRDefault="00C23ED7" w:rsidP="00DE0659"/>
    <w:p w14:paraId="36194ED1" w14:textId="77777777" w:rsidR="00B8697D" w:rsidRPr="002F794B" w:rsidRDefault="00B8697D" w:rsidP="00B8697D">
      <w:pPr>
        <w:rPr>
          <w:u w:val="single"/>
        </w:rPr>
      </w:pPr>
      <w:r w:rsidRPr="002F794B">
        <w:rPr>
          <w:u w:val="single"/>
        </w:rPr>
        <w:t>Participante</w:t>
      </w:r>
    </w:p>
    <w:p w14:paraId="03F18704" w14:textId="7C653793" w:rsidR="00B8697D" w:rsidRPr="002F794B" w:rsidRDefault="001B2970" w:rsidP="00B8697D">
      <w:r w:rsidRPr="002F794B">
        <w:t>Cámara Nacional de la Industria Electrónica, de Telecomunicaciones y Tecnologías de la Información</w:t>
      </w:r>
    </w:p>
    <w:p w14:paraId="63D544D2" w14:textId="77777777" w:rsidR="00B8697D" w:rsidRPr="002F794B" w:rsidRDefault="00B8697D" w:rsidP="00B8697D">
      <w:pPr>
        <w:rPr>
          <w:u w:val="single"/>
        </w:rPr>
      </w:pPr>
      <w:r w:rsidRPr="002F794B">
        <w:rPr>
          <w:u w:val="single"/>
        </w:rPr>
        <w:t>Comentario y propuesta</w:t>
      </w:r>
    </w:p>
    <w:p w14:paraId="270EA323" w14:textId="77777777" w:rsidR="00122638" w:rsidRPr="002F794B" w:rsidRDefault="00122638" w:rsidP="00122638">
      <w:pPr>
        <w:ind w:left="567" w:right="616"/>
        <w:rPr>
          <w:i/>
          <w:iCs/>
        </w:rPr>
      </w:pPr>
      <w:r w:rsidRPr="002F794B">
        <w:rPr>
          <w:i/>
          <w:iCs/>
        </w:rPr>
        <w:t xml:space="preserve">Algunos analizadores de Espectro cuentan con la función de medición de desviación en frecuencia (en </w:t>
      </w:r>
      <w:proofErr w:type="spellStart"/>
      <w:r w:rsidRPr="002F794B">
        <w:rPr>
          <w:i/>
          <w:iCs/>
        </w:rPr>
        <w:t>p.p.m</w:t>
      </w:r>
      <w:proofErr w:type="spellEnd"/>
      <w:r w:rsidRPr="002F794B">
        <w:rPr>
          <w:i/>
          <w:iCs/>
        </w:rPr>
        <w:t>.), por lo que se sugiere agregar un método alterno para esta medición de la siguiente manera:</w:t>
      </w:r>
    </w:p>
    <w:p w14:paraId="779543F0" w14:textId="77777777" w:rsidR="00122638" w:rsidRPr="002F794B" w:rsidRDefault="00122638" w:rsidP="00122638">
      <w:pPr>
        <w:ind w:left="851" w:right="900"/>
        <w:rPr>
          <w:b/>
          <w:i/>
          <w:iCs/>
          <w:u w:val="single"/>
        </w:rPr>
      </w:pPr>
      <w:r w:rsidRPr="002F794B">
        <w:rPr>
          <w:b/>
          <w:i/>
          <w:iCs/>
          <w:u w:val="single"/>
        </w:rPr>
        <w:t>“3.  …..</w:t>
      </w:r>
    </w:p>
    <w:p w14:paraId="345C404E" w14:textId="77777777" w:rsidR="00122638" w:rsidRPr="002F794B" w:rsidRDefault="00122638" w:rsidP="00122638">
      <w:pPr>
        <w:ind w:left="851" w:right="900"/>
        <w:rPr>
          <w:b/>
          <w:i/>
          <w:iCs/>
          <w:u w:val="single"/>
        </w:rPr>
      </w:pPr>
      <w:r w:rsidRPr="002F794B">
        <w:rPr>
          <w:b/>
          <w:i/>
          <w:iCs/>
          <w:u w:val="single"/>
        </w:rPr>
        <w:t>c) Empleando la herramienta destinada a la desviación en frecuencia dentro del Analizador de Espectro, siempre y cuando éste cuente con un certificado de calibración en frecuencia.</w:t>
      </w:r>
    </w:p>
    <w:p w14:paraId="521BBC63" w14:textId="77777777" w:rsidR="00122638" w:rsidRPr="002F794B" w:rsidRDefault="00122638" w:rsidP="00122638">
      <w:pPr>
        <w:ind w:left="851" w:right="900"/>
        <w:rPr>
          <w:b/>
          <w:i/>
          <w:iCs/>
          <w:u w:val="single"/>
        </w:rPr>
      </w:pPr>
      <w:r w:rsidRPr="002F794B">
        <w:rPr>
          <w:b/>
          <w:i/>
          <w:iCs/>
          <w:u w:val="single"/>
        </w:rPr>
        <w:t xml:space="preserve"> i. Configurar la cámara de temperatura controlada de -20°C a +15°C y después a +55°C y permitir que la temperatura se estabilice en cada paso.</w:t>
      </w:r>
    </w:p>
    <w:p w14:paraId="0D1709D2" w14:textId="77777777" w:rsidR="00122638" w:rsidRPr="002F794B" w:rsidRDefault="00122638" w:rsidP="00122638">
      <w:pPr>
        <w:ind w:left="851" w:right="900"/>
        <w:rPr>
          <w:b/>
          <w:i/>
          <w:iCs/>
          <w:u w:val="single"/>
        </w:rPr>
      </w:pPr>
      <w:proofErr w:type="spellStart"/>
      <w:r w:rsidRPr="002F794B">
        <w:rPr>
          <w:b/>
          <w:i/>
          <w:iCs/>
          <w:u w:val="single"/>
        </w:rPr>
        <w:t>ii</w:t>
      </w:r>
      <w:proofErr w:type="spellEnd"/>
      <w:r w:rsidRPr="002F794B">
        <w:rPr>
          <w:b/>
          <w:i/>
          <w:iCs/>
          <w:u w:val="single"/>
        </w:rPr>
        <w:t>. Medir en tres canales: bajo, medio y alto del intervalo disponible de la banda de frecuencias;</w:t>
      </w:r>
    </w:p>
    <w:p w14:paraId="47E06753" w14:textId="77777777" w:rsidR="00122638" w:rsidRPr="002F794B" w:rsidRDefault="00122638" w:rsidP="00122638">
      <w:pPr>
        <w:ind w:left="851" w:right="900"/>
        <w:rPr>
          <w:b/>
          <w:i/>
          <w:iCs/>
          <w:u w:val="single"/>
        </w:rPr>
      </w:pPr>
      <w:proofErr w:type="spellStart"/>
      <w:r w:rsidRPr="002F794B">
        <w:rPr>
          <w:b/>
          <w:i/>
          <w:iCs/>
          <w:u w:val="single"/>
        </w:rPr>
        <w:t>iii</w:t>
      </w:r>
      <w:proofErr w:type="spellEnd"/>
      <w:r w:rsidRPr="002F794B">
        <w:rPr>
          <w:b/>
          <w:i/>
          <w:iCs/>
          <w:u w:val="single"/>
        </w:rPr>
        <w:t>. Establecer la función de desviación de frecuencia (normalmente se encuentra en la función OBW (</w:t>
      </w:r>
      <w:proofErr w:type="spellStart"/>
      <w:r w:rsidRPr="002F794B">
        <w:rPr>
          <w:b/>
          <w:i/>
          <w:iCs/>
          <w:u w:val="single"/>
        </w:rPr>
        <w:t>Occupied</w:t>
      </w:r>
      <w:proofErr w:type="spellEnd"/>
      <w:r w:rsidRPr="002F794B">
        <w:rPr>
          <w:b/>
          <w:i/>
          <w:iCs/>
          <w:u w:val="single"/>
        </w:rPr>
        <w:t xml:space="preserve"> </w:t>
      </w:r>
      <w:proofErr w:type="spellStart"/>
      <w:r w:rsidRPr="002F794B">
        <w:rPr>
          <w:b/>
          <w:i/>
          <w:iCs/>
          <w:u w:val="single"/>
        </w:rPr>
        <w:t>Bandwidth</w:t>
      </w:r>
      <w:proofErr w:type="spellEnd"/>
      <w:r w:rsidRPr="002F794B">
        <w:rPr>
          <w:b/>
          <w:i/>
          <w:iCs/>
          <w:u w:val="single"/>
        </w:rPr>
        <w:t>))</w:t>
      </w:r>
    </w:p>
    <w:p w14:paraId="06E8B12D" w14:textId="77777777" w:rsidR="00122638" w:rsidRPr="002F794B" w:rsidRDefault="00122638" w:rsidP="00122638">
      <w:pPr>
        <w:ind w:left="851" w:right="900"/>
        <w:rPr>
          <w:b/>
          <w:i/>
          <w:iCs/>
          <w:u w:val="single"/>
        </w:rPr>
      </w:pPr>
      <w:r w:rsidRPr="002F794B">
        <w:rPr>
          <w:b/>
          <w:i/>
          <w:iCs/>
          <w:u w:val="single"/>
        </w:rPr>
        <w:t xml:space="preserve">iv. Registrar para cada canal la desviación máxima en frecuencia </w:t>
      </w:r>
      <w:proofErr w:type="spellStart"/>
      <w:r w:rsidRPr="002F794B">
        <w:rPr>
          <w:rFonts w:ascii="Calibri" w:hAnsi="Calibri" w:cs="Calibri"/>
          <w:b/>
          <w:i/>
          <w:iCs/>
          <w:u w:val="single"/>
        </w:rPr>
        <w:t>Δ</w:t>
      </w:r>
      <w:r w:rsidRPr="002F794B">
        <w:rPr>
          <w:rFonts w:cs="ITC Avant Garde"/>
          <w:b/>
          <w:i/>
          <w:iCs/>
          <w:u w:val="single"/>
        </w:rPr>
        <w:t>ƒ</w:t>
      </w:r>
      <w:proofErr w:type="spellEnd"/>
      <w:r w:rsidRPr="002F794B">
        <w:rPr>
          <w:b/>
          <w:i/>
          <w:iCs/>
          <w:u w:val="single"/>
        </w:rPr>
        <w:t xml:space="preserve"> y la Tolerancia de Frecuencia para cada temperatura. </w:t>
      </w:r>
    </w:p>
    <w:p w14:paraId="07BE181D" w14:textId="27E1AC8B" w:rsidR="00B8697D" w:rsidRPr="002F794B" w:rsidRDefault="00122638" w:rsidP="00122638">
      <w:pPr>
        <w:ind w:left="851" w:right="900"/>
        <w:rPr>
          <w:i/>
          <w:iCs/>
        </w:rPr>
      </w:pPr>
      <w:r w:rsidRPr="002F794B">
        <w:rPr>
          <w:b/>
          <w:i/>
          <w:iCs/>
          <w:u w:val="single"/>
        </w:rPr>
        <w:t>v. Imprimir las gráficas correspondientes y adicionarlas al reporte de pruebas.”</w:t>
      </w:r>
    </w:p>
    <w:p w14:paraId="22AFD2A0" w14:textId="77777777" w:rsidR="00B8697D" w:rsidRPr="002F794B" w:rsidRDefault="00B8697D" w:rsidP="00B8697D">
      <w:pPr>
        <w:rPr>
          <w:u w:val="single"/>
        </w:rPr>
      </w:pPr>
      <w:r w:rsidRPr="002F794B">
        <w:rPr>
          <w:u w:val="single"/>
        </w:rPr>
        <w:t>Respuesta</w:t>
      </w:r>
    </w:p>
    <w:p w14:paraId="17F53C5C" w14:textId="0EAF32BB" w:rsidR="00B8697D" w:rsidRPr="002F794B" w:rsidRDefault="00B25F30" w:rsidP="00DE0659">
      <w:r w:rsidRPr="002F794B">
        <w:t>No se considera. Los métodos de prueba concuerdan con las normas internacionales de referencia.</w:t>
      </w:r>
    </w:p>
    <w:p w14:paraId="3026D837" w14:textId="77777777" w:rsidR="00B25F30" w:rsidRPr="002F794B" w:rsidRDefault="00B25F30" w:rsidP="00DE0659"/>
    <w:p w14:paraId="08E6A6E4" w14:textId="77777777" w:rsidR="00B8697D" w:rsidRPr="002F794B" w:rsidRDefault="00B8697D" w:rsidP="00B8697D">
      <w:pPr>
        <w:rPr>
          <w:u w:val="single"/>
        </w:rPr>
      </w:pPr>
      <w:r w:rsidRPr="002F794B">
        <w:rPr>
          <w:u w:val="single"/>
        </w:rPr>
        <w:lastRenderedPageBreak/>
        <w:t>Participante</w:t>
      </w:r>
    </w:p>
    <w:p w14:paraId="139D40D6" w14:textId="08B84F6C" w:rsidR="00B8697D" w:rsidRPr="002F794B" w:rsidRDefault="00B80D8D" w:rsidP="00B8697D">
      <w:r w:rsidRPr="002F794B">
        <w:t>Consejo Mexicano de Normalización y Evaluación de la Conformidad A.C.</w:t>
      </w:r>
    </w:p>
    <w:p w14:paraId="12CD1A93" w14:textId="77777777" w:rsidR="00B8697D" w:rsidRPr="002F794B" w:rsidRDefault="00B8697D" w:rsidP="00B8697D">
      <w:pPr>
        <w:rPr>
          <w:u w:val="single"/>
        </w:rPr>
      </w:pPr>
      <w:r w:rsidRPr="002F794B">
        <w:rPr>
          <w:u w:val="single"/>
        </w:rPr>
        <w:t>Comentario y propuesta</w:t>
      </w:r>
    </w:p>
    <w:p w14:paraId="532330A4" w14:textId="77777777" w:rsidR="00BF6569" w:rsidRPr="002F794B" w:rsidRDefault="00BF6569" w:rsidP="00BF6569">
      <w:pPr>
        <w:ind w:left="567" w:right="616"/>
        <w:rPr>
          <w:i/>
          <w:iCs/>
        </w:rPr>
      </w:pPr>
      <w:r w:rsidRPr="002F794B">
        <w:rPr>
          <w:i/>
          <w:iCs/>
        </w:rPr>
        <w:t xml:space="preserve">Algunos Analizadores de Espectro cuentan con la función de medición de desviación en frecuencia (en </w:t>
      </w:r>
      <w:proofErr w:type="spellStart"/>
      <w:r w:rsidRPr="002F794B">
        <w:rPr>
          <w:i/>
          <w:iCs/>
        </w:rPr>
        <w:t>p.p.m</w:t>
      </w:r>
      <w:proofErr w:type="spellEnd"/>
      <w:r w:rsidRPr="002F794B">
        <w:rPr>
          <w:i/>
          <w:iCs/>
        </w:rPr>
        <w:t>) por lo que se sugiere agregar un método alterno para esta medición de la siguiente manera:</w:t>
      </w:r>
    </w:p>
    <w:p w14:paraId="080DF89F" w14:textId="77777777" w:rsidR="00BF6569" w:rsidRPr="002F794B" w:rsidRDefault="00BF6569" w:rsidP="00BF6569">
      <w:pPr>
        <w:ind w:left="567" w:right="616"/>
        <w:rPr>
          <w:i/>
          <w:iCs/>
        </w:rPr>
      </w:pPr>
    </w:p>
    <w:p w14:paraId="1B07949A" w14:textId="77777777" w:rsidR="00BF6569" w:rsidRPr="002F794B" w:rsidRDefault="00BF6569" w:rsidP="00BF6569">
      <w:pPr>
        <w:ind w:left="851" w:right="900"/>
        <w:rPr>
          <w:b/>
          <w:i/>
          <w:iCs/>
        </w:rPr>
      </w:pPr>
      <w:r w:rsidRPr="002F794B">
        <w:rPr>
          <w:b/>
          <w:i/>
          <w:iCs/>
        </w:rPr>
        <w:t xml:space="preserve">3. </w:t>
      </w:r>
      <w:proofErr w:type="gramStart"/>
      <w:r w:rsidRPr="002F794B">
        <w:rPr>
          <w:b/>
          <w:i/>
          <w:iCs/>
        </w:rPr>
        <w:t xml:space="preserve"> ….</w:t>
      </w:r>
      <w:proofErr w:type="gramEnd"/>
      <w:r w:rsidRPr="002F794B">
        <w:rPr>
          <w:b/>
          <w:i/>
          <w:iCs/>
        </w:rPr>
        <w:t>.</w:t>
      </w:r>
    </w:p>
    <w:p w14:paraId="0CDC8B33" w14:textId="77777777" w:rsidR="00BF6569" w:rsidRPr="002F794B" w:rsidRDefault="00BF6569" w:rsidP="00BF6569">
      <w:pPr>
        <w:ind w:left="851" w:right="900"/>
        <w:rPr>
          <w:i/>
          <w:iCs/>
        </w:rPr>
      </w:pPr>
      <w:r w:rsidRPr="002F794B">
        <w:rPr>
          <w:b/>
          <w:i/>
          <w:iCs/>
        </w:rPr>
        <w:t xml:space="preserve">c) </w:t>
      </w:r>
      <w:r w:rsidRPr="002F794B">
        <w:rPr>
          <w:i/>
          <w:iCs/>
        </w:rPr>
        <w:t>Empleando la herramienta destinada a la desviación en frecuencia dentro del Analizador de Espectro, siempre y cuando éste cuente con un certificado de calibración en frecuencia.</w:t>
      </w:r>
    </w:p>
    <w:p w14:paraId="03D4E04C" w14:textId="77777777" w:rsidR="00BF6569" w:rsidRPr="002F794B" w:rsidRDefault="00BF6569" w:rsidP="00BF6569">
      <w:pPr>
        <w:ind w:left="851" w:right="900"/>
        <w:rPr>
          <w:i/>
          <w:iCs/>
        </w:rPr>
      </w:pPr>
      <w:r w:rsidRPr="002F794B">
        <w:rPr>
          <w:i/>
          <w:iCs/>
        </w:rPr>
        <w:t xml:space="preserve"> i. Configurar la cámara de temperatura controlada de -20°C a +15°C y después a +55°C y permitir que la temperatura se estabilice en cada paso.</w:t>
      </w:r>
    </w:p>
    <w:p w14:paraId="18AD8300" w14:textId="77777777" w:rsidR="00BF6569" w:rsidRPr="002F794B" w:rsidRDefault="00BF6569" w:rsidP="00BF6569">
      <w:pPr>
        <w:ind w:left="851" w:right="900"/>
        <w:rPr>
          <w:i/>
          <w:iCs/>
        </w:rPr>
      </w:pPr>
      <w:proofErr w:type="spellStart"/>
      <w:r w:rsidRPr="002F794B">
        <w:rPr>
          <w:i/>
          <w:iCs/>
        </w:rPr>
        <w:t>ii</w:t>
      </w:r>
      <w:proofErr w:type="spellEnd"/>
      <w:r w:rsidRPr="002F794B">
        <w:rPr>
          <w:i/>
          <w:iCs/>
        </w:rPr>
        <w:t>. Medir en tres canales: bajo, medio y alto del intervalo disponible de la banda de frecuencias;</w:t>
      </w:r>
    </w:p>
    <w:p w14:paraId="5387641A" w14:textId="77777777" w:rsidR="00BF6569" w:rsidRPr="002F794B" w:rsidRDefault="00BF6569" w:rsidP="00BF6569">
      <w:pPr>
        <w:ind w:left="851" w:right="900"/>
        <w:rPr>
          <w:i/>
          <w:iCs/>
        </w:rPr>
      </w:pPr>
      <w:proofErr w:type="spellStart"/>
      <w:r w:rsidRPr="002F794B">
        <w:rPr>
          <w:i/>
          <w:iCs/>
        </w:rPr>
        <w:t>iii</w:t>
      </w:r>
      <w:proofErr w:type="spellEnd"/>
      <w:r w:rsidRPr="002F794B">
        <w:rPr>
          <w:i/>
          <w:iCs/>
        </w:rPr>
        <w:t>. Establecer la función de desviación de frecuencia (normalmente se encuentra en la función OBW (</w:t>
      </w:r>
      <w:proofErr w:type="spellStart"/>
      <w:r w:rsidRPr="002F794B">
        <w:rPr>
          <w:i/>
          <w:iCs/>
        </w:rPr>
        <w:t>Occupied</w:t>
      </w:r>
      <w:proofErr w:type="spellEnd"/>
      <w:r w:rsidRPr="002F794B">
        <w:rPr>
          <w:i/>
          <w:iCs/>
        </w:rPr>
        <w:t xml:space="preserve"> </w:t>
      </w:r>
      <w:proofErr w:type="spellStart"/>
      <w:r w:rsidRPr="002F794B">
        <w:rPr>
          <w:i/>
          <w:iCs/>
        </w:rPr>
        <w:t>Bandwidth</w:t>
      </w:r>
      <w:proofErr w:type="spellEnd"/>
      <w:r w:rsidRPr="002F794B">
        <w:rPr>
          <w:i/>
          <w:iCs/>
        </w:rPr>
        <w:t>))</w:t>
      </w:r>
    </w:p>
    <w:p w14:paraId="0C180FC4" w14:textId="77777777" w:rsidR="00BF6569" w:rsidRPr="002F794B" w:rsidRDefault="00BF6569" w:rsidP="00BF6569">
      <w:pPr>
        <w:ind w:left="851" w:right="900"/>
        <w:rPr>
          <w:i/>
          <w:iCs/>
        </w:rPr>
      </w:pPr>
      <w:r w:rsidRPr="002F794B">
        <w:rPr>
          <w:i/>
          <w:iCs/>
        </w:rPr>
        <w:t xml:space="preserve">iv. Registrar para cada canal la desviación máxima en frecuencia </w:t>
      </w:r>
      <w:proofErr w:type="spellStart"/>
      <w:r w:rsidRPr="002F794B">
        <w:rPr>
          <w:rFonts w:ascii="Calibri" w:hAnsi="Calibri" w:cs="Calibri"/>
          <w:i/>
          <w:iCs/>
        </w:rPr>
        <w:t>Δ</w:t>
      </w:r>
      <w:r w:rsidRPr="002F794B">
        <w:rPr>
          <w:rFonts w:cs="ITC Avant Garde"/>
          <w:i/>
          <w:iCs/>
        </w:rPr>
        <w:t>ƒ</w:t>
      </w:r>
      <w:proofErr w:type="spellEnd"/>
      <w:r w:rsidRPr="002F794B">
        <w:rPr>
          <w:i/>
          <w:iCs/>
        </w:rPr>
        <w:t xml:space="preserve"> y la Tolerancia de Frecuencia para cada temperatura. </w:t>
      </w:r>
    </w:p>
    <w:p w14:paraId="61814228" w14:textId="12218F46" w:rsidR="00B8697D" w:rsidRPr="002F794B" w:rsidRDefault="00BF6569" w:rsidP="00BF6569">
      <w:pPr>
        <w:ind w:left="851" w:right="900"/>
        <w:rPr>
          <w:i/>
          <w:iCs/>
        </w:rPr>
      </w:pPr>
      <w:r w:rsidRPr="002F794B">
        <w:rPr>
          <w:i/>
          <w:iCs/>
        </w:rPr>
        <w:t>v. Imprimir las gráficas correspondientes y adicionarlas al reporte de pruebas.</w:t>
      </w:r>
    </w:p>
    <w:p w14:paraId="36D3E0AF" w14:textId="77777777" w:rsidR="00B8697D" w:rsidRPr="002F794B" w:rsidRDefault="00B8697D" w:rsidP="00B8697D">
      <w:pPr>
        <w:rPr>
          <w:u w:val="single"/>
        </w:rPr>
      </w:pPr>
      <w:r w:rsidRPr="002F794B">
        <w:rPr>
          <w:u w:val="single"/>
        </w:rPr>
        <w:t>Respuesta</w:t>
      </w:r>
    </w:p>
    <w:p w14:paraId="5EC00E04" w14:textId="37177059" w:rsidR="00B8697D" w:rsidRPr="002F794B" w:rsidRDefault="00B25F30" w:rsidP="00DE0659">
      <w:r w:rsidRPr="002F794B">
        <w:t>No se considera. Los métodos de prueba concuerdan con las normas internacionales de referencia.</w:t>
      </w:r>
    </w:p>
    <w:p w14:paraId="75E1E8BF" w14:textId="77777777" w:rsidR="00B25F30" w:rsidRPr="002F794B" w:rsidRDefault="00B25F30" w:rsidP="00DE0659"/>
    <w:p w14:paraId="7E6EDFD8" w14:textId="1ADAB970" w:rsidR="00264049" w:rsidRPr="002F794B" w:rsidRDefault="00264049" w:rsidP="00264049">
      <w:pPr>
        <w:outlineLvl w:val="1"/>
        <w:rPr>
          <w:b/>
          <w:bCs/>
        </w:rPr>
      </w:pPr>
      <w:r w:rsidRPr="002F794B">
        <w:rPr>
          <w:b/>
          <w:bCs/>
        </w:rPr>
        <w:t>Numeral 8.9.1.1</w:t>
      </w:r>
    </w:p>
    <w:p w14:paraId="4846C260" w14:textId="77777777" w:rsidR="00B8697D" w:rsidRPr="002F794B" w:rsidRDefault="00B8697D" w:rsidP="00B8697D">
      <w:pPr>
        <w:rPr>
          <w:u w:val="single"/>
        </w:rPr>
      </w:pPr>
      <w:r w:rsidRPr="002F794B">
        <w:rPr>
          <w:u w:val="single"/>
        </w:rPr>
        <w:t>Participante</w:t>
      </w:r>
    </w:p>
    <w:p w14:paraId="5D9BBAE9" w14:textId="4382495C" w:rsidR="00B8697D" w:rsidRPr="002F794B" w:rsidRDefault="00264049" w:rsidP="00B8697D">
      <w:r w:rsidRPr="002F794B">
        <w:t>Cámara Nacional de la Industria Electrónica, de Telecomunicaciones y Tecnologías de la Información</w:t>
      </w:r>
    </w:p>
    <w:p w14:paraId="3A5E54E9" w14:textId="77777777" w:rsidR="00B8697D" w:rsidRPr="002F794B" w:rsidRDefault="00B8697D" w:rsidP="00B8697D">
      <w:pPr>
        <w:rPr>
          <w:u w:val="single"/>
        </w:rPr>
      </w:pPr>
      <w:r w:rsidRPr="002F794B">
        <w:rPr>
          <w:u w:val="single"/>
        </w:rPr>
        <w:t>Comentario y propuesta</w:t>
      </w:r>
    </w:p>
    <w:p w14:paraId="4FEC476F" w14:textId="3CFE6355" w:rsidR="00B8697D" w:rsidRPr="002F794B" w:rsidRDefault="00E34A9C" w:rsidP="00B8697D">
      <w:pPr>
        <w:ind w:left="567" w:right="616"/>
        <w:rPr>
          <w:i/>
          <w:iCs/>
        </w:rPr>
      </w:pPr>
      <w:r w:rsidRPr="002F794B">
        <w:rPr>
          <w:i/>
          <w:iCs/>
        </w:rPr>
        <w:lastRenderedPageBreak/>
        <w:t>En varios puntos de la Disposición Técnica se describe el uso de un Acoplador Direccional/ Divisor de Potencia; sin embargo, no se describe en las figuras 1, 2, 3, en qué parte del arreglo de pruebas tendría que estar situado dicho elemento.</w:t>
      </w:r>
    </w:p>
    <w:p w14:paraId="367D5088" w14:textId="77777777" w:rsidR="00B8697D" w:rsidRPr="002F794B" w:rsidRDefault="00B8697D" w:rsidP="00B8697D">
      <w:pPr>
        <w:rPr>
          <w:u w:val="single"/>
        </w:rPr>
      </w:pPr>
      <w:r w:rsidRPr="002F794B">
        <w:rPr>
          <w:u w:val="single"/>
        </w:rPr>
        <w:t>Respuesta</w:t>
      </w:r>
    </w:p>
    <w:p w14:paraId="75473846" w14:textId="1BC3F360" w:rsidR="00B8697D" w:rsidRPr="002F794B" w:rsidRDefault="00FE08F9" w:rsidP="00DE0659">
      <w:r w:rsidRPr="002F794B">
        <w:t xml:space="preserve">Se considera y se </w:t>
      </w:r>
      <w:r w:rsidR="00E462DE" w:rsidRPr="002F794B">
        <w:t xml:space="preserve">modifican </w:t>
      </w:r>
      <w:r w:rsidRPr="002F794B">
        <w:t>las figuras.</w:t>
      </w:r>
    </w:p>
    <w:p w14:paraId="1154225A" w14:textId="77777777" w:rsidR="00FE08F9" w:rsidRPr="002F794B" w:rsidRDefault="00FE08F9" w:rsidP="00DE0659"/>
    <w:p w14:paraId="29823501" w14:textId="77777777" w:rsidR="00B8697D" w:rsidRPr="002F794B" w:rsidRDefault="00B8697D" w:rsidP="00B8697D">
      <w:pPr>
        <w:rPr>
          <w:u w:val="single"/>
        </w:rPr>
      </w:pPr>
      <w:r w:rsidRPr="002F794B">
        <w:rPr>
          <w:u w:val="single"/>
        </w:rPr>
        <w:t>Participante</w:t>
      </w:r>
    </w:p>
    <w:p w14:paraId="0338385D" w14:textId="2ABDDC24" w:rsidR="00B8697D" w:rsidRPr="002F794B" w:rsidRDefault="0066044F" w:rsidP="00B8697D">
      <w:r w:rsidRPr="002F794B">
        <w:t>Consejo Mexicano de Normalización y Evaluación de la Conformidad A.C.</w:t>
      </w:r>
    </w:p>
    <w:p w14:paraId="1ED708D3" w14:textId="77777777" w:rsidR="00B8697D" w:rsidRPr="002F794B" w:rsidRDefault="00B8697D" w:rsidP="00B8697D">
      <w:pPr>
        <w:rPr>
          <w:u w:val="single"/>
        </w:rPr>
      </w:pPr>
      <w:r w:rsidRPr="002F794B">
        <w:rPr>
          <w:u w:val="single"/>
        </w:rPr>
        <w:t>Comentario y propuesta</w:t>
      </w:r>
    </w:p>
    <w:p w14:paraId="3A7A539B" w14:textId="320C87ED" w:rsidR="00B8697D" w:rsidRPr="002F794B" w:rsidRDefault="00F34B20" w:rsidP="00B8697D">
      <w:pPr>
        <w:ind w:left="567" w:right="616"/>
        <w:rPr>
          <w:i/>
          <w:iCs/>
        </w:rPr>
      </w:pPr>
      <w:r w:rsidRPr="002F794B">
        <w:rPr>
          <w:i/>
          <w:iCs/>
        </w:rPr>
        <w:t>En varios puntos de la Disposición Técnica se describe el uso de un Acoplador Direccional/ Divisor de Potencia, sin embargo no se describe en las figuras 1, 2, 3, en que parte del arreglo de pruebas tendría que estar situado dicho elemento.</w:t>
      </w:r>
    </w:p>
    <w:p w14:paraId="01E640B2" w14:textId="77777777" w:rsidR="00B8697D" w:rsidRPr="002F794B" w:rsidRDefault="00B8697D" w:rsidP="00B8697D">
      <w:pPr>
        <w:rPr>
          <w:u w:val="single"/>
        </w:rPr>
      </w:pPr>
      <w:r w:rsidRPr="002F794B">
        <w:rPr>
          <w:u w:val="single"/>
        </w:rPr>
        <w:t>Respuesta</w:t>
      </w:r>
    </w:p>
    <w:p w14:paraId="277408CC" w14:textId="09F0BFD1" w:rsidR="00B8697D" w:rsidRPr="002F794B" w:rsidRDefault="00FE08F9" w:rsidP="00DE0659">
      <w:r w:rsidRPr="002F794B">
        <w:t xml:space="preserve">Se considera y se </w:t>
      </w:r>
      <w:r w:rsidR="00E462DE" w:rsidRPr="002F794B">
        <w:t xml:space="preserve">modifican </w:t>
      </w:r>
      <w:r w:rsidRPr="002F794B">
        <w:t>las figuras.</w:t>
      </w:r>
    </w:p>
    <w:p w14:paraId="3E8C773B" w14:textId="77777777" w:rsidR="00FE08F9" w:rsidRPr="002F794B" w:rsidRDefault="00FE08F9" w:rsidP="00DE0659"/>
    <w:p w14:paraId="6D13C812" w14:textId="5A162597" w:rsidR="00740C16" w:rsidRPr="002F794B" w:rsidRDefault="00740C16" w:rsidP="00740C16">
      <w:pPr>
        <w:outlineLvl w:val="1"/>
        <w:rPr>
          <w:b/>
          <w:bCs/>
        </w:rPr>
      </w:pPr>
      <w:r w:rsidRPr="002F794B">
        <w:rPr>
          <w:b/>
          <w:bCs/>
        </w:rPr>
        <w:t>Numeral 8.9.1.2</w:t>
      </w:r>
    </w:p>
    <w:p w14:paraId="49F8AAAB" w14:textId="77777777" w:rsidR="00B8697D" w:rsidRPr="002F794B" w:rsidRDefault="00B8697D" w:rsidP="00B8697D">
      <w:pPr>
        <w:rPr>
          <w:u w:val="single"/>
        </w:rPr>
      </w:pPr>
      <w:r w:rsidRPr="002F794B">
        <w:rPr>
          <w:u w:val="single"/>
        </w:rPr>
        <w:t>Participante</w:t>
      </w:r>
    </w:p>
    <w:p w14:paraId="63B846E6" w14:textId="0231A95F" w:rsidR="00B8697D" w:rsidRPr="002F794B" w:rsidRDefault="00740C16" w:rsidP="00B8697D">
      <w:r w:rsidRPr="002F794B">
        <w:t>Asociación de Normalización y Certificación, S.A. de C.V.</w:t>
      </w:r>
    </w:p>
    <w:p w14:paraId="2F84CB29" w14:textId="77777777" w:rsidR="00B8697D" w:rsidRPr="002F794B" w:rsidRDefault="00B8697D" w:rsidP="00B8697D">
      <w:pPr>
        <w:rPr>
          <w:u w:val="single"/>
        </w:rPr>
      </w:pPr>
      <w:r w:rsidRPr="002F794B">
        <w:rPr>
          <w:u w:val="single"/>
        </w:rPr>
        <w:t>Comentario y propuesta</w:t>
      </w:r>
    </w:p>
    <w:p w14:paraId="01E0F024" w14:textId="77777777" w:rsidR="00E20E01" w:rsidRPr="002F794B" w:rsidRDefault="00E20E01" w:rsidP="00E20E01">
      <w:pPr>
        <w:ind w:left="567" w:right="616"/>
        <w:rPr>
          <w:i/>
          <w:iCs/>
        </w:rPr>
      </w:pPr>
      <w:r w:rsidRPr="002F794B">
        <w:rPr>
          <w:b/>
          <w:bCs/>
          <w:i/>
          <w:iCs/>
        </w:rPr>
        <w:t>Problema:</w:t>
      </w:r>
      <w:r w:rsidRPr="002F794B">
        <w:rPr>
          <w:i/>
          <w:iCs/>
        </w:rPr>
        <w:t xml:space="preserve"> Los métodos de prueba 8.9 exigen que el equipo bajo ensayo mantenga su frecuencia central de transmisión en diferentes condiciones adversas para el producto. En el caso del método 8.9.1 el producto es sometido a temperatura ambiente de -20 °C, +15 °C y +55 °C, condiciones que pueden alterar el desempeño del oscilador local, y consecuentemente, la frecuencia de transmisión del producto.</w:t>
      </w:r>
    </w:p>
    <w:p w14:paraId="2D694230" w14:textId="77777777" w:rsidR="00E20E01" w:rsidRPr="002F794B" w:rsidRDefault="00E20E01" w:rsidP="00E20E01">
      <w:pPr>
        <w:ind w:left="567" w:right="616"/>
        <w:rPr>
          <w:i/>
          <w:iCs/>
        </w:rPr>
      </w:pPr>
      <w:r w:rsidRPr="002F794B">
        <w:rPr>
          <w:i/>
          <w:iCs/>
        </w:rPr>
        <w:t>Como referencia, cabe mencionar que la Disposición Técnica IFT-011-2017 Parte 2 realiza un método de ensayo similar, descrito en su cláusula 5.4 Tolerancia de frecuencia. En dicho documento regulatorio, se indica lo siguiente:</w:t>
      </w:r>
    </w:p>
    <w:p w14:paraId="3A1CEC41" w14:textId="77777777" w:rsidR="00E20E01" w:rsidRPr="002F794B" w:rsidRDefault="00E20E01" w:rsidP="00E20E01">
      <w:pPr>
        <w:ind w:left="1134" w:right="616"/>
        <w:rPr>
          <w:i/>
          <w:iCs/>
        </w:rPr>
      </w:pPr>
      <w:r w:rsidRPr="002F794B">
        <w:rPr>
          <w:i/>
          <w:iCs/>
        </w:rPr>
        <w:t xml:space="preserve">“En caso de que la antena esté integrada al EBP, y éste no tenga un conector externo, el solicitante debe entregar al Laboratorio de </w:t>
      </w:r>
      <w:r w:rsidRPr="002F794B">
        <w:rPr>
          <w:i/>
          <w:iCs/>
        </w:rPr>
        <w:lastRenderedPageBreak/>
        <w:t>Prueba las instrucciones correspondientes, así como los medios de conexión para tener acceso a la antena del EBP”</w:t>
      </w:r>
    </w:p>
    <w:p w14:paraId="02A048AB" w14:textId="77777777" w:rsidR="00E20E01" w:rsidRPr="002F794B" w:rsidRDefault="00E20E01" w:rsidP="00E20E01">
      <w:pPr>
        <w:ind w:left="567" w:right="616"/>
        <w:rPr>
          <w:i/>
          <w:iCs/>
        </w:rPr>
      </w:pPr>
      <w:r w:rsidRPr="002F794B">
        <w:rPr>
          <w:i/>
          <w:iCs/>
        </w:rPr>
        <w:t xml:space="preserve">Es decir, el interesado en demostrar cumplimiento </w:t>
      </w:r>
      <w:r w:rsidRPr="002F794B">
        <w:rPr>
          <w:b/>
          <w:bCs/>
          <w:i/>
          <w:iCs/>
        </w:rPr>
        <w:t>debe</w:t>
      </w:r>
      <w:r w:rsidRPr="002F794B">
        <w:rPr>
          <w:i/>
          <w:iCs/>
        </w:rPr>
        <w:t xml:space="preserve"> presentar muestras preparadas para ejecutar este ensayo siempre de forma conducida.</w:t>
      </w:r>
    </w:p>
    <w:p w14:paraId="3BAE51D1" w14:textId="77777777" w:rsidR="00E37A8F" w:rsidRPr="002F794B" w:rsidRDefault="00E37A8F" w:rsidP="00E37A8F">
      <w:pPr>
        <w:ind w:left="567" w:right="616"/>
        <w:rPr>
          <w:i/>
          <w:iCs/>
        </w:rPr>
      </w:pPr>
      <w:r w:rsidRPr="002F794B">
        <w:rPr>
          <w:i/>
          <w:iCs/>
        </w:rPr>
        <w:t>Sin embargo, el presente Anteproyecto indica lo siguiente para los productos con antenas integradas:</w:t>
      </w:r>
    </w:p>
    <w:p w14:paraId="298585F6" w14:textId="77777777" w:rsidR="00E37A8F" w:rsidRPr="002F794B" w:rsidRDefault="00E37A8F" w:rsidP="00E37A8F">
      <w:pPr>
        <w:ind w:left="1134" w:right="616"/>
        <w:rPr>
          <w:i/>
          <w:iCs/>
        </w:rPr>
      </w:pPr>
      <w:r w:rsidRPr="002F794B">
        <w:rPr>
          <w:i/>
          <w:iCs/>
        </w:rPr>
        <w:t>“b) Configuración para medición de emisiones radiadas (de acuerdo con lo establecido en el numeral 8.3.1.2), de estar la antena integrada al DBP y técnicamente sea inviable proporcionar al Laboratorio de Prueba los medios necesarios para realizar la medición conducida”</w:t>
      </w:r>
    </w:p>
    <w:p w14:paraId="0270E957" w14:textId="77777777" w:rsidR="00E37A8F" w:rsidRPr="002F794B" w:rsidRDefault="00E37A8F" w:rsidP="00E37A8F">
      <w:pPr>
        <w:ind w:left="567" w:right="616"/>
        <w:rPr>
          <w:i/>
          <w:iCs/>
        </w:rPr>
      </w:pPr>
      <w:r w:rsidRPr="002F794B">
        <w:rPr>
          <w:i/>
          <w:iCs/>
        </w:rPr>
        <w:t>Según el numeral 8.3.1.2 CONFIGURACIÓN PARA MEDICIÓN DE EMISIONES RADIADAS, el cual se auxilia de la Figura 2, mostrada a continuación, es inviable seguir el número 1 de la cláusula 8.9.1.3 PROCEDIMIENTO DE PRUEBA, donde se indica “coloque el DBP en el interior y centro de la cámara de temperatura controlada de acuerdo con la Figura 6”.</w:t>
      </w:r>
    </w:p>
    <w:p w14:paraId="40B46035" w14:textId="77777777" w:rsidR="00E37A8F" w:rsidRPr="002F794B" w:rsidRDefault="00E37A8F" w:rsidP="00E37A8F">
      <w:pPr>
        <w:ind w:left="567" w:right="616"/>
        <w:rPr>
          <w:i/>
          <w:iCs/>
        </w:rPr>
      </w:pPr>
      <w:r w:rsidRPr="002F794B">
        <w:rPr>
          <w:i/>
          <w:iCs/>
        </w:rPr>
        <w:t>Se ingresan las Figuras 2 y 6 como referencia:</w:t>
      </w:r>
    </w:p>
    <w:p w14:paraId="1472A310" w14:textId="317328EF" w:rsidR="00B8697D" w:rsidRPr="002F794B" w:rsidRDefault="00B8697D" w:rsidP="00B8697D">
      <w:pPr>
        <w:ind w:left="567" w:right="616"/>
        <w:rPr>
          <w:i/>
          <w:iCs/>
        </w:rPr>
      </w:pPr>
    </w:p>
    <w:p w14:paraId="480FA914" w14:textId="099DC35B" w:rsidR="0053303B" w:rsidRPr="002F794B" w:rsidRDefault="0053303B" w:rsidP="00B8697D">
      <w:pPr>
        <w:ind w:left="567" w:right="616"/>
        <w:rPr>
          <w:i/>
          <w:iCs/>
        </w:rPr>
      </w:pPr>
      <w:r w:rsidRPr="002F794B">
        <w:rPr>
          <w:rFonts w:ascii="Arial" w:hAnsi="Arial" w:cs="Arial"/>
          <w:noProof/>
          <w:sz w:val="20"/>
          <w:szCs w:val="20"/>
        </w:rPr>
        <w:drawing>
          <wp:anchor distT="0" distB="0" distL="114300" distR="114300" simplePos="0" relativeHeight="251658260" behindDoc="0" locked="0" layoutInCell="1" allowOverlap="1" wp14:anchorId="13DC5042" wp14:editId="6268F844">
            <wp:simplePos x="0" y="0"/>
            <wp:positionH relativeFrom="margin">
              <wp:posOffset>1197552</wp:posOffset>
            </wp:positionH>
            <wp:positionV relativeFrom="paragraph">
              <wp:posOffset>2419927</wp:posOffset>
            </wp:positionV>
            <wp:extent cx="3225165" cy="1633855"/>
            <wp:effectExtent l="0" t="0" r="0" b="4445"/>
            <wp:wrapTopAndBottom/>
            <wp:docPr id="129147175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71758" name="Imagen 1" descr="Diagrama&#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25165" cy="1633855"/>
                    </a:xfrm>
                    <a:prstGeom prst="rect">
                      <a:avLst/>
                    </a:prstGeom>
                  </pic:spPr>
                </pic:pic>
              </a:graphicData>
            </a:graphic>
            <wp14:sizeRelH relativeFrom="margin">
              <wp14:pctWidth>0</wp14:pctWidth>
            </wp14:sizeRelH>
            <wp14:sizeRelV relativeFrom="margin">
              <wp14:pctHeight>0</wp14:pctHeight>
            </wp14:sizeRelV>
          </wp:anchor>
        </w:drawing>
      </w:r>
      <w:r w:rsidRPr="002F794B">
        <w:rPr>
          <w:rFonts w:ascii="Arial" w:hAnsi="Arial" w:cs="Arial"/>
          <w:noProof/>
          <w:sz w:val="20"/>
          <w:szCs w:val="20"/>
        </w:rPr>
        <w:drawing>
          <wp:anchor distT="0" distB="0" distL="114300" distR="114300" simplePos="0" relativeHeight="251658259" behindDoc="0" locked="0" layoutInCell="1" allowOverlap="1" wp14:anchorId="0048FD89" wp14:editId="5BA2866C">
            <wp:simplePos x="0" y="0"/>
            <wp:positionH relativeFrom="margin">
              <wp:posOffset>1031298</wp:posOffset>
            </wp:positionH>
            <wp:positionV relativeFrom="paragraph">
              <wp:posOffset>291869</wp:posOffset>
            </wp:positionV>
            <wp:extent cx="3535045" cy="2131060"/>
            <wp:effectExtent l="0" t="0" r="8255" b="2540"/>
            <wp:wrapTopAndBottom/>
            <wp:docPr id="190457660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76607" name="Imagen 1" descr="Diagrama&#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35045" cy="2131060"/>
                    </a:xfrm>
                    <a:prstGeom prst="rect">
                      <a:avLst/>
                    </a:prstGeom>
                  </pic:spPr>
                </pic:pic>
              </a:graphicData>
            </a:graphic>
            <wp14:sizeRelH relativeFrom="margin">
              <wp14:pctWidth>0</wp14:pctWidth>
            </wp14:sizeRelH>
            <wp14:sizeRelV relativeFrom="margin">
              <wp14:pctHeight>0</wp14:pctHeight>
            </wp14:sizeRelV>
          </wp:anchor>
        </w:drawing>
      </w:r>
    </w:p>
    <w:p w14:paraId="2B8A28A2" w14:textId="77777777" w:rsidR="0053303B" w:rsidRPr="002F794B" w:rsidRDefault="0053303B" w:rsidP="00B8697D">
      <w:pPr>
        <w:ind w:left="567" w:right="616"/>
        <w:rPr>
          <w:i/>
          <w:iCs/>
        </w:rPr>
      </w:pPr>
    </w:p>
    <w:p w14:paraId="5556FAF1" w14:textId="7009302D" w:rsidR="00AD7609" w:rsidRPr="002F794B" w:rsidRDefault="0053303B" w:rsidP="00B8697D">
      <w:pPr>
        <w:ind w:left="567" w:right="616"/>
        <w:rPr>
          <w:i/>
          <w:iCs/>
        </w:rPr>
      </w:pPr>
      <w:r w:rsidRPr="002F794B">
        <w:rPr>
          <w:i/>
          <w:iCs/>
        </w:rPr>
        <w:t>Considerando las Figuras 2 y 6, existen dos posibles lecturas al método de prueba:</w:t>
      </w:r>
    </w:p>
    <w:p w14:paraId="0B0B6766" w14:textId="77777777" w:rsidR="000F1710" w:rsidRPr="002F794B" w:rsidRDefault="000F1710" w:rsidP="000F1710">
      <w:pPr>
        <w:numPr>
          <w:ilvl w:val="0"/>
          <w:numId w:val="10"/>
        </w:numPr>
        <w:ind w:left="993" w:right="616" w:hanging="426"/>
        <w:rPr>
          <w:i/>
          <w:iCs/>
        </w:rPr>
      </w:pPr>
      <w:r w:rsidRPr="002F794B">
        <w:rPr>
          <w:i/>
          <w:iCs/>
        </w:rPr>
        <w:t>Colocar la cámara de temperatura controlada en el interior de la cámara anecoica. Las cámaras de temperatura controlada suelen estar construidas de paredes metálicas gruesas, tal que permitan obtener una temperatura estable en su interior. De esta manera, manteniendo la cámara de temperatura controlada totalmente cerrada con el equipo bajo ensayo en su interior impediría su comunicación efectiva con la antena receptora calibrada.</w:t>
      </w:r>
    </w:p>
    <w:p w14:paraId="4F8A64C2" w14:textId="77777777" w:rsidR="000F1710" w:rsidRPr="002F794B" w:rsidRDefault="000F1710" w:rsidP="000F1710">
      <w:pPr>
        <w:numPr>
          <w:ilvl w:val="0"/>
          <w:numId w:val="10"/>
        </w:numPr>
        <w:ind w:left="993" w:right="616" w:hanging="426"/>
        <w:rPr>
          <w:i/>
          <w:iCs/>
        </w:rPr>
      </w:pPr>
      <w:r w:rsidRPr="002F794B">
        <w:rPr>
          <w:i/>
          <w:iCs/>
        </w:rPr>
        <w:t>Colocar la antena receptora calibrada en el interior de la cámara de temperatura controlada. Esta interpretación requeriría que el Laboratorio de pruebas tenga una cámara anecoica de gran volumen con control de temperatura, así como una antena receptora calibrada, cables y absorbentes de radiofrecuencia que no se vean afectados por las variaciones de temperatura señaladas. Actualmente en el mercado no se encuentran cámaras anecoicas ni cámaras de temperatura controlada que cuenten con estas características</w:t>
      </w:r>
    </w:p>
    <w:p w14:paraId="0B4842DE" w14:textId="77777777" w:rsidR="000F1710" w:rsidRPr="002F794B" w:rsidRDefault="000F1710" w:rsidP="000F1710">
      <w:pPr>
        <w:ind w:left="567" w:right="616"/>
        <w:rPr>
          <w:i/>
          <w:iCs/>
        </w:rPr>
      </w:pPr>
      <w:r w:rsidRPr="002F794B">
        <w:rPr>
          <w:b/>
          <w:bCs/>
          <w:i/>
          <w:iCs/>
        </w:rPr>
        <w:t>Se propone:</w:t>
      </w:r>
      <w:r w:rsidRPr="002F794B">
        <w:rPr>
          <w:i/>
          <w:iCs/>
        </w:rPr>
        <w:t xml:space="preserve"> Eliminar el inciso b) del numeral 8.9.1.2 CONFIGURACIÓN DE PRUEBA, haciendo mandatorio que el interesado proporcione los medios necesarios para realizar la medición conducida en un sistema de 50 </w:t>
      </w:r>
      <w:proofErr w:type="spellStart"/>
      <w:r w:rsidRPr="002F794B">
        <w:rPr>
          <w:i/>
          <w:iCs/>
        </w:rPr>
        <w:t>ohms</w:t>
      </w:r>
      <w:proofErr w:type="spellEnd"/>
      <w:r w:rsidRPr="002F794B">
        <w:rPr>
          <w:i/>
          <w:iCs/>
        </w:rPr>
        <w:t>.</w:t>
      </w:r>
    </w:p>
    <w:p w14:paraId="25536B86" w14:textId="6E39F0B3" w:rsidR="000F1710" w:rsidRPr="002F794B" w:rsidRDefault="000F1710" w:rsidP="000F1710">
      <w:pPr>
        <w:ind w:left="567" w:right="616"/>
        <w:rPr>
          <w:i/>
          <w:iCs/>
        </w:rPr>
      </w:pPr>
      <w:r w:rsidRPr="002F794B">
        <w:rPr>
          <w:i/>
          <w:iCs/>
        </w:rPr>
        <w:t>Adicionalmente, se propone que las pruebas de Tolerancia en frecuencia no sean aplicables para productos sometidos a Vigilancia del cumplimiento, toda vez que las muestras obtenidas para ese fin no pueden presentarse preparadas para medición conducida.</w:t>
      </w:r>
    </w:p>
    <w:p w14:paraId="0CE65503" w14:textId="77777777" w:rsidR="00B8697D" w:rsidRPr="002F794B" w:rsidRDefault="00B8697D" w:rsidP="00B8697D">
      <w:pPr>
        <w:rPr>
          <w:u w:val="single"/>
        </w:rPr>
      </w:pPr>
      <w:r w:rsidRPr="002F794B">
        <w:rPr>
          <w:u w:val="single"/>
        </w:rPr>
        <w:t>Respuesta</w:t>
      </w:r>
    </w:p>
    <w:p w14:paraId="4810DCEF" w14:textId="6EC22A48" w:rsidR="00B8697D" w:rsidRPr="002F794B" w:rsidRDefault="00583C02" w:rsidP="00DE0659">
      <w:r w:rsidRPr="002F794B">
        <w:t>Se considera parcialmente, se añade redacción indicando que el interesado debe proporcionar los medios de conexión y/o acceso a la antena en caso de que esta no pueda ser desconectada.</w:t>
      </w:r>
    </w:p>
    <w:p w14:paraId="16344831" w14:textId="77777777" w:rsidR="00583C02" w:rsidRPr="002F794B" w:rsidRDefault="00583C02" w:rsidP="00DE0659"/>
    <w:p w14:paraId="20E0CF5C" w14:textId="77777777" w:rsidR="00B8697D" w:rsidRPr="002F794B" w:rsidRDefault="00B8697D" w:rsidP="00B8697D">
      <w:pPr>
        <w:rPr>
          <w:u w:val="single"/>
        </w:rPr>
      </w:pPr>
      <w:r w:rsidRPr="002F794B">
        <w:rPr>
          <w:u w:val="single"/>
        </w:rPr>
        <w:t>Participante</w:t>
      </w:r>
    </w:p>
    <w:p w14:paraId="6B7FCF41" w14:textId="222A1995" w:rsidR="00B8697D" w:rsidRPr="002F794B" w:rsidRDefault="000E2FF7" w:rsidP="00B8697D">
      <w:r w:rsidRPr="002F794B">
        <w:t>Cámara Nacional de la Industria Electrónica, de Telecomunicaciones y Tecnologías de la Información</w:t>
      </w:r>
    </w:p>
    <w:p w14:paraId="213ED61B" w14:textId="77777777" w:rsidR="00B8697D" w:rsidRPr="002F794B" w:rsidRDefault="00B8697D" w:rsidP="00B8697D">
      <w:pPr>
        <w:rPr>
          <w:u w:val="single"/>
        </w:rPr>
      </w:pPr>
      <w:r w:rsidRPr="002F794B">
        <w:rPr>
          <w:u w:val="single"/>
        </w:rPr>
        <w:t>Comentario y propuesta</w:t>
      </w:r>
    </w:p>
    <w:p w14:paraId="02A891D2" w14:textId="60D99684" w:rsidR="00B8697D" w:rsidRPr="002F794B" w:rsidRDefault="007D4B7B" w:rsidP="00B8697D">
      <w:pPr>
        <w:ind w:left="567" w:right="616"/>
        <w:rPr>
          <w:i/>
          <w:iCs/>
        </w:rPr>
      </w:pPr>
      <w:r w:rsidRPr="002F794B">
        <w:rPr>
          <w:i/>
          <w:iCs/>
        </w:rPr>
        <w:lastRenderedPageBreak/>
        <w:t>En varios puntos de la Disposición Técnica se describe el uso de un Acoplador Direccional/ Divisor de Potencia; sin embargo, no se describe en las figuras 1, 2, 3, en qué parte del arreglo de pruebas tendría que estar situado dicho elemento.</w:t>
      </w:r>
    </w:p>
    <w:p w14:paraId="17EEC7C2" w14:textId="77777777" w:rsidR="00B8697D" w:rsidRPr="002F794B" w:rsidRDefault="00B8697D" w:rsidP="00B8697D">
      <w:pPr>
        <w:rPr>
          <w:u w:val="single"/>
        </w:rPr>
      </w:pPr>
      <w:r w:rsidRPr="002F794B">
        <w:rPr>
          <w:u w:val="single"/>
        </w:rPr>
        <w:t>Respuesta</w:t>
      </w:r>
    </w:p>
    <w:p w14:paraId="18BCDFC2" w14:textId="42AD534A" w:rsidR="00B8697D" w:rsidRPr="002F794B" w:rsidRDefault="00D767E5" w:rsidP="00DE0659">
      <w:r w:rsidRPr="002F794B">
        <w:t xml:space="preserve">Se considera y se </w:t>
      </w:r>
      <w:r w:rsidR="00E462DE" w:rsidRPr="002F794B">
        <w:t xml:space="preserve">modifican </w:t>
      </w:r>
      <w:r w:rsidRPr="002F794B">
        <w:t>las figuras.</w:t>
      </w:r>
    </w:p>
    <w:p w14:paraId="386C6617" w14:textId="77777777" w:rsidR="00D767E5" w:rsidRPr="002F794B" w:rsidRDefault="00D767E5" w:rsidP="00DE0659"/>
    <w:p w14:paraId="28A9A445" w14:textId="77777777" w:rsidR="00B8697D" w:rsidRPr="002F794B" w:rsidRDefault="00B8697D" w:rsidP="00B8697D">
      <w:pPr>
        <w:rPr>
          <w:u w:val="single"/>
        </w:rPr>
      </w:pPr>
      <w:r w:rsidRPr="002F794B">
        <w:rPr>
          <w:u w:val="single"/>
        </w:rPr>
        <w:t>Participante</w:t>
      </w:r>
    </w:p>
    <w:p w14:paraId="0F0FA8A9" w14:textId="32B85277" w:rsidR="00B8697D" w:rsidRPr="002F794B" w:rsidRDefault="00EF32C2" w:rsidP="00B8697D">
      <w:r w:rsidRPr="002F794B">
        <w:t>Consejo Mexicano de Normalización y Evaluación de la Conformidad A.C.</w:t>
      </w:r>
    </w:p>
    <w:p w14:paraId="66C61AB5" w14:textId="77777777" w:rsidR="00B8697D" w:rsidRPr="002F794B" w:rsidRDefault="00B8697D" w:rsidP="00B8697D">
      <w:pPr>
        <w:rPr>
          <w:u w:val="single"/>
        </w:rPr>
      </w:pPr>
      <w:r w:rsidRPr="002F794B">
        <w:rPr>
          <w:u w:val="single"/>
        </w:rPr>
        <w:t>Comentario y propuesta</w:t>
      </w:r>
    </w:p>
    <w:p w14:paraId="58FB7E40" w14:textId="2AFB59DE" w:rsidR="00B8697D" w:rsidRPr="002F794B" w:rsidRDefault="006D6E03" w:rsidP="00B8697D">
      <w:pPr>
        <w:ind w:left="567" w:right="616"/>
        <w:rPr>
          <w:i/>
          <w:iCs/>
        </w:rPr>
      </w:pPr>
      <w:r w:rsidRPr="002F794B">
        <w:rPr>
          <w:i/>
          <w:iCs/>
        </w:rPr>
        <w:t>En varios puntos de la Disposición Técnica se describe el uso de un Acoplador Direccional/ Divisor de Potencia, sin embargo no se describe en las figuras 1, 2, 3, en que parte del arreglo de pruebas tendría que estar situado dicho elemento.</w:t>
      </w:r>
    </w:p>
    <w:p w14:paraId="432737B0" w14:textId="77777777" w:rsidR="00B8697D" w:rsidRPr="002F794B" w:rsidRDefault="00B8697D" w:rsidP="00B8697D">
      <w:pPr>
        <w:rPr>
          <w:u w:val="single"/>
        </w:rPr>
      </w:pPr>
      <w:r w:rsidRPr="002F794B">
        <w:rPr>
          <w:u w:val="single"/>
        </w:rPr>
        <w:t>Respuesta</w:t>
      </w:r>
    </w:p>
    <w:p w14:paraId="20AB029E" w14:textId="39C0D488" w:rsidR="009676EE" w:rsidRPr="002F794B" w:rsidRDefault="00D767E5" w:rsidP="00DE0659">
      <w:r w:rsidRPr="002F794B">
        <w:t xml:space="preserve">Se considera y se </w:t>
      </w:r>
      <w:r w:rsidR="00E462DE" w:rsidRPr="002F794B">
        <w:t xml:space="preserve">modifican </w:t>
      </w:r>
      <w:r w:rsidRPr="002F794B">
        <w:t>las figuras.</w:t>
      </w:r>
    </w:p>
    <w:p w14:paraId="7332676D" w14:textId="77777777" w:rsidR="00D767E5" w:rsidRPr="002F794B" w:rsidRDefault="00D767E5" w:rsidP="00DE0659"/>
    <w:p w14:paraId="26947718" w14:textId="1789F171" w:rsidR="00B8697D" w:rsidRPr="002F794B" w:rsidRDefault="00DE39DA" w:rsidP="00C86D70">
      <w:pPr>
        <w:jc w:val="center"/>
        <w:outlineLvl w:val="0"/>
        <w:rPr>
          <w:b/>
          <w:bCs/>
          <w:u w:val="single"/>
        </w:rPr>
      </w:pPr>
      <w:r w:rsidRPr="002F794B">
        <w:rPr>
          <w:b/>
          <w:bCs/>
          <w:u w:val="single"/>
        </w:rPr>
        <w:t>Numeral 9</w:t>
      </w:r>
      <w:r w:rsidR="00C86D70" w:rsidRPr="002F794B">
        <w:rPr>
          <w:b/>
          <w:bCs/>
          <w:u w:val="single"/>
        </w:rPr>
        <w:t xml:space="preserve"> – CONCORDANCIA CON NORMAS INTERNACIONALES</w:t>
      </w:r>
    </w:p>
    <w:p w14:paraId="175378BD" w14:textId="77777777" w:rsidR="00B8697D" w:rsidRPr="002F794B" w:rsidRDefault="00B8697D" w:rsidP="00B8697D">
      <w:pPr>
        <w:rPr>
          <w:u w:val="single"/>
        </w:rPr>
      </w:pPr>
      <w:r w:rsidRPr="002F794B">
        <w:rPr>
          <w:u w:val="single"/>
        </w:rPr>
        <w:t>Participante</w:t>
      </w:r>
    </w:p>
    <w:p w14:paraId="784B9D75" w14:textId="246186CE" w:rsidR="00B8697D" w:rsidRPr="002F794B" w:rsidRDefault="00C86D70" w:rsidP="00B8697D">
      <w:r w:rsidRPr="002F794B">
        <w:t>Cámara Nacional de la Industria Electrónica, de Telecomunicaciones y Tecnologías de la Información</w:t>
      </w:r>
    </w:p>
    <w:p w14:paraId="07E4978E" w14:textId="77777777" w:rsidR="00B8697D" w:rsidRPr="002F794B" w:rsidRDefault="00B8697D" w:rsidP="00B8697D">
      <w:pPr>
        <w:rPr>
          <w:u w:val="single"/>
        </w:rPr>
      </w:pPr>
      <w:r w:rsidRPr="002F794B">
        <w:rPr>
          <w:u w:val="single"/>
        </w:rPr>
        <w:t>Comentario y propuesta</w:t>
      </w:r>
    </w:p>
    <w:p w14:paraId="4ED8DEC0" w14:textId="77777777" w:rsidR="009A34DA" w:rsidRPr="002F794B" w:rsidRDefault="009A34DA" w:rsidP="009A34DA">
      <w:pPr>
        <w:ind w:left="567" w:right="616"/>
        <w:rPr>
          <w:i/>
          <w:iCs/>
        </w:rPr>
      </w:pPr>
      <w:r w:rsidRPr="002F794B">
        <w:rPr>
          <w:i/>
          <w:iCs/>
        </w:rPr>
        <w:t xml:space="preserve">Se solicita al IFT considerar que la </w:t>
      </w:r>
      <w:r w:rsidRPr="002F794B">
        <w:rPr>
          <w:i/>
          <w:iCs/>
          <w:lang w:val="es-PA"/>
        </w:rPr>
        <w:t>DT IFT-016,</w:t>
      </w:r>
      <w:r w:rsidRPr="002F794B">
        <w:rPr>
          <w:i/>
          <w:iCs/>
        </w:rPr>
        <w:t xml:space="preserve"> esté </w:t>
      </w:r>
      <w:r w:rsidRPr="002F794B">
        <w:rPr>
          <w:b/>
          <w:i/>
          <w:iCs/>
        </w:rPr>
        <w:t>completamente</w:t>
      </w:r>
      <w:r w:rsidRPr="002F794B">
        <w:rPr>
          <w:i/>
          <w:iCs/>
        </w:rPr>
        <w:t xml:space="preserve"> alineada con los siguientes requisitos de FCC:</w:t>
      </w:r>
    </w:p>
    <w:p w14:paraId="70E645F6" w14:textId="77777777" w:rsidR="009A34DA" w:rsidRPr="002F794B" w:rsidRDefault="009A34DA" w:rsidP="009A34DA">
      <w:pPr>
        <w:pStyle w:val="Prrafodelista"/>
        <w:numPr>
          <w:ilvl w:val="0"/>
          <w:numId w:val="12"/>
        </w:numPr>
        <w:ind w:right="616"/>
        <w:rPr>
          <w:i/>
          <w:iCs/>
          <w:lang w:val="es-PA"/>
        </w:rPr>
      </w:pPr>
      <w:r w:rsidRPr="002F794B">
        <w:rPr>
          <w:i/>
          <w:iCs/>
          <w:lang w:val="es-PA"/>
        </w:rPr>
        <w:t xml:space="preserve">FCC </w:t>
      </w:r>
      <w:proofErr w:type="spellStart"/>
      <w:r w:rsidRPr="002F794B">
        <w:rPr>
          <w:i/>
          <w:iCs/>
          <w:lang w:val="es-PA"/>
        </w:rPr>
        <w:t>Title</w:t>
      </w:r>
      <w:proofErr w:type="spellEnd"/>
      <w:r w:rsidRPr="002F794B">
        <w:rPr>
          <w:i/>
          <w:iCs/>
          <w:lang w:val="es-PA"/>
        </w:rPr>
        <w:t xml:space="preserve"> 47 CFR </w:t>
      </w:r>
      <w:proofErr w:type="spellStart"/>
      <w:r w:rsidRPr="002F794B">
        <w:rPr>
          <w:i/>
          <w:iCs/>
          <w:lang w:val="es-PA"/>
        </w:rPr>
        <w:t>Part</w:t>
      </w:r>
      <w:proofErr w:type="spellEnd"/>
      <w:r w:rsidRPr="002F794B">
        <w:rPr>
          <w:i/>
          <w:iCs/>
          <w:lang w:val="es-PA"/>
        </w:rPr>
        <w:t xml:space="preserve"> 15 (para micrófonos inalámbricos específicamente con FCC </w:t>
      </w:r>
      <w:proofErr w:type="spellStart"/>
      <w:r w:rsidRPr="002F794B">
        <w:rPr>
          <w:i/>
          <w:iCs/>
          <w:lang w:val="es-PA"/>
        </w:rPr>
        <w:t>Title</w:t>
      </w:r>
      <w:proofErr w:type="spellEnd"/>
      <w:r w:rsidRPr="002F794B">
        <w:rPr>
          <w:i/>
          <w:iCs/>
          <w:lang w:val="es-PA"/>
        </w:rPr>
        <w:t xml:space="preserve"> 47 CFR </w:t>
      </w:r>
      <w:proofErr w:type="spellStart"/>
      <w:r w:rsidRPr="002F794B">
        <w:rPr>
          <w:i/>
          <w:iCs/>
          <w:lang w:val="es-PA"/>
        </w:rPr>
        <w:t>Part</w:t>
      </w:r>
      <w:proofErr w:type="spellEnd"/>
      <w:r w:rsidRPr="002F794B">
        <w:rPr>
          <w:i/>
          <w:iCs/>
          <w:lang w:val="es-PA"/>
        </w:rPr>
        <w:t xml:space="preserve"> 15 §§15.236)</w:t>
      </w:r>
    </w:p>
    <w:p w14:paraId="6796D469" w14:textId="4D16E2E1" w:rsidR="00B8697D" w:rsidRPr="002F794B" w:rsidRDefault="009A34DA" w:rsidP="009A34DA">
      <w:pPr>
        <w:ind w:left="567" w:right="616"/>
        <w:rPr>
          <w:i/>
          <w:iCs/>
        </w:rPr>
      </w:pPr>
      <w:r w:rsidRPr="002F794B">
        <w:rPr>
          <w:i/>
          <w:iCs/>
          <w:lang w:val="es-PA"/>
        </w:rPr>
        <w:t>De lo contrario, se solicita atentamente al IFT la justificación de las diferencias.</w:t>
      </w:r>
    </w:p>
    <w:p w14:paraId="205FB855" w14:textId="77777777" w:rsidR="00B8697D" w:rsidRPr="002F794B" w:rsidRDefault="00B8697D" w:rsidP="00B8697D">
      <w:pPr>
        <w:rPr>
          <w:u w:val="single"/>
        </w:rPr>
      </w:pPr>
      <w:r w:rsidRPr="002F794B">
        <w:rPr>
          <w:u w:val="single"/>
        </w:rPr>
        <w:t>Respuesta</w:t>
      </w:r>
    </w:p>
    <w:p w14:paraId="0968DF84" w14:textId="2A41AB0F" w:rsidR="00B8697D" w:rsidRPr="002F794B" w:rsidRDefault="00AB2778" w:rsidP="00DE0659">
      <w:r w:rsidRPr="002F794B">
        <w:t>No se considera. Las especificaciones técnicas y los métodos de prueba de la DT concuerdan con las normas internacionales de referencia.</w:t>
      </w:r>
    </w:p>
    <w:p w14:paraId="669D5427" w14:textId="77777777" w:rsidR="00AB2778" w:rsidRPr="002F794B" w:rsidRDefault="00AB2778" w:rsidP="00DE0659"/>
    <w:p w14:paraId="38BC06F1" w14:textId="77777777" w:rsidR="00B8697D" w:rsidRPr="002F794B" w:rsidRDefault="00B8697D" w:rsidP="00B8697D">
      <w:pPr>
        <w:rPr>
          <w:u w:val="single"/>
        </w:rPr>
      </w:pPr>
      <w:r w:rsidRPr="002F794B">
        <w:rPr>
          <w:u w:val="single"/>
        </w:rPr>
        <w:lastRenderedPageBreak/>
        <w:t>Participante</w:t>
      </w:r>
    </w:p>
    <w:p w14:paraId="20632970" w14:textId="292518FD" w:rsidR="00B8697D" w:rsidRPr="002F794B" w:rsidRDefault="00D57F9E" w:rsidP="00B8697D">
      <w:r w:rsidRPr="002F794B">
        <w:t xml:space="preserve">Information Technology </w:t>
      </w:r>
      <w:proofErr w:type="spellStart"/>
      <w:r w:rsidRPr="002F794B">
        <w:t>Industry</w:t>
      </w:r>
      <w:proofErr w:type="spellEnd"/>
      <w:r w:rsidRPr="002F794B">
        <w:t xml:space="preserve"> Council</w:t>
      </w:r>
    </w:p>
    <w:p w14:paraId="17397805" w14:textId="77777777" w:rsidR="00B8697D" w:rsidRPr="002F794B" w:rsidRDefault="00B8697D" w:rsidP="00B8697D">
      <w:pPr>
        <w:rPr>
          <w:u w:val="single"/>
        </w:rPr>
      </w:pPr>
      <w:r w:rsidRPr="002F794B">
        <w:rPr>
          <w:u w:val="single"/>
        </w:rPr>
        <w:t>Comentario y propuesta</w:t>
      </w:r>
    </w:p>
    <w:p w14:paraId="7DD65205" w14:textId="79A02975" w:rsidR="009253E0" w:rsidRPr="002F794B" w:rsidRDefault="009253E0" w:rsidP="009253E0">
      <w:pPr>
        <w:ind w:left="567" w:right="616"/>
        <w:rPr>
          <w:i/>
          <w:iCs/>
        </w:rPr>
      </w:pPr>
      <w:r w:rsidRPr="002F794B">
        <w:rPr>
          <w:i/>
          <w:iCs/>
        </w:rPr>
        <w:t>(…)</w:t>
      </w:r>
    </w:p>
    <w:p w14:paraId="12BE127D" w14:textId="2A078717" w:rsidR="00B8697D" w:rsidRPr="002F794B" w:rsidRDefault="009253E0" w:rsidP="009253E0">
      <w:pPr>
        <w:ind w:left="567" w:right="616"/>
        <w:rPr>
          <w:i/>
          <w:iCs/>
        </w:rPr>
      </w:pPr>
      <w:r w:rsidRPr="002F794B">
        <w:rPr>
          <w:b/>
          <w:bCs/>
          <w:i/>
          <w:iCs/>
        </w:rPr>
        <w:t>Alinearse completamente con los requisitos de la FCC</w:t>
      </w:r>
      <w:r w:rsidRPr="002F794B">
        <w:rPr>
          <w:i/>
          <w:iCs/>
        </w:rPr>
        <w:t>. El apartado 9 de la propuesta del IFT menciona la alineación parcial con el Título 47 Parte 15 de la FCC CFR Dispositivos de radiofrecuencia. ITI solicita una alineación completa con las regulaciones de la FCC, incluida la Parte §§15.236 de la FCC para micrófonos inalámbricos y la Guía de KDB de la FCC asociada, por ejemplo, la Guía de medición de la FCC KDB 558074 D01 15.247.</w:t>
      </w:r>
    </w:p>
    <w:p w14:paraId="519CC8B0" w14:textId="6B2DBB14" w:rsidR="009253E0" w:rsidRPr="002F794B" w:rsidRDefault="009253E0" w:rsidP="009253E0">
      <w:pPr>
        <w:ind w:left="567" w:right="616"/>
        <w:rPr>
          <w:i/>
          <w:iCs/>
        </w:rPr>
      </w:pPr>
      <w:r w:rsidRPr="002F794B">
        <w:rPr>
          <w:i/>
          <w:iCs/>
        </w:rPr>
        <w:t>(…)</w:t>
      </w:r>
    </w:p>
    <w:p w14:paraId="20D80181" w14:textId="77777777" w:rsidR="00B8697D" w:rsidRPr="002F794B" w:rsidRDefault="00B8697D" w:rsidP="00B8697D">
      <w:pPr>
        <w:rPr>
          <w:u w:val="single"/>
        </w:rPr>
      </w:pPr>
      <w:r w:rsidRPr="002F794B">
        <w:rPr>
          <w:u w:val="single"/>
        </w:rPr>
        <w:t>Respuesta</w:t>
      </w:r>
    </w:p>
    <w:p w14:paraId="1824040C" w14:textId="68382CC7" w:rsidR="00B8697D" w:rsidRPr="002F794B" w:rsidRDefault="00AB2778" w:rsidP="00DE0659">
      <w:r w:rsidRPr="002F794B">
        <w:t>No se considera. Las especificaciones técnicas y los métodos de prueba de la DT concuerdan con las normas internacionales de referencia.</w:t>
      </w:r>
    </w:p>
    <w:p w14:paraId="2AE02F38" w14:textId="77777777" w:rsidR="00B8697D" w:rsidRPr="002F794B" w:rsidRDefault="00B8697D" w:rsidP="00DE0659"/>
    <w:p w14:paraId="5BB4555A" w14:textId="7BB414C5" w:rsidR="00472B06" w:rsidRPr="002F794B" w:rsidRDefault="00472B06" w:rsidP="00472B06">
      <w:pPr>
        <w:jc w:val="center"/>
        <w:outlineLvl w:val="0"/>
        <w:rPr>
          <w:b/>
          <w:bCs/>
          <w:u w:val="single"/>
        </w:rPr>
      </w:pPr>
      <w:r w:rsidRPr="002F794B">
        <w:rPr>
          <w:b/>
          <w:bCs/>
          <w:u w:val="single"/>
        </w:rPr>
        <w:t>TRANSITORIOS</w:t>
      </w:r>
    </w:p>
    <w:p w14:paraId="614AB4BA" w14:textId="4DEDE3FE" w:rsidR="00527C7E" w:rsidRPr="002F794B" w:rsidRDefault="00527C7E" w:rsidP="00527C7E">
      <w:pPr>
        <w:outlineLvl w:val="1"/>
        <w:rPr>
          <w:b/>
          <w:bCs/>
        </w:rPr>
      </w:pPr>
      <w:r w:rsidRPr="002F794B">
        <w:rPr>
          <w:b/>
          <w:bCs/>
        </w:rPr>
        <w:t>Transitorio SEGUNDO</w:t>
      </w:r>
    </w:p>
    <w:p w14:paraId="4BD0DE7F" w14:textId="3AEE4145" w:rsidR="00B8697D" w:rsidRPr="002F794B" w:rsidRDefault="00B8697D" w:rsidP="00B8697D">
      <w:pPr>
        <w:rPr>
          <w:u w:val="single"/>
        </w:rPr>
      </w:pPr>
      <w:r w:rsidRPr="002F794B">
        <w:rPr>
          <w:u w:val="single"/>
        </w:rPr>
        <w:t>Participante</w:t>
      </w:r>
    </w:p>
    <w:p w14:paraId="26F48368" w14:textId="2843E4DA" w:rsidR="00B8697D" w:rsidRPr="002F794B" w:rsidRDefault="00ED19CA" w:rsidP="00B8697D">
      <w:r w:rsidRPr="002F794B">
        <w:t xml:space="preserve">Information Technology </w:t>
      </w:r>
      <w:proofErr w:type="spellStart"/>
      <w:r w:rsidRPr="002F794B">
        <w:t>Industry</w:t>
      </w:r>
      <w:proofErr w:type="spellEnd"/>
      <w:r w:rsidRPr="002F794B">
        <w:t xml:space="preserve"> Council</w:t>
      </w:r>
    </w:p>
    <w:p w14:paraId="0D61FB62" w14:textId="77777777" w:rsidR="00B8697D" w:rsidRPr="002F794B" w:rsidRDefault="00B8697D" w:rsidP="00B8697D">
      <w:pPr>
        <w:rPr>
          <w:u w:val="single"/>
        </w:rPr>
      </w:pPr>
      <w:r w:rsidRPr="002F794B">
        <w:rPr>
          <w:u w:val="single"/>
        </w:rPr>
        <w:t>Comentario y propuesta</w:t>
      </w:r>
    </w:p>
    <w:p w14:paraId="02F5A6D6" w14:textId="7609241F" w:rsidR="00B8697D" w:rsidRPr="002F794B" w:rsidRDefault="00B1092A" w:rsidP="00B1092A">
      <w:pPr>
        <w:ind w:left="567" w:right="616"/>
        <w:rPr>
          <w:i/>
          <w:iCs/>
        </w:rPr>
      </w:pPr>
      <w:r w:rsidRPr="002F794B">
        <w:rPr>
          <w:b/>
          <w:bCs/>
          <w:i/>
          <w:iCs/>
        </w:rPr>
        <w:t xml:space="preserve">Permita más tiempo de transición. </w:t>
      </w:r>
      <w:r w:rsidRPr="002F794B">
        <w:rPr>
          <w:i/>
          <w:iCs/>
        </w:rPr>
        <w:t xml:space="preserve">De acuerdo con el Transitorio Segundo, esta Disposición Técnica </w:t>
      </w:r>
      <w:proofErr w:type="gramStart"/>
      <w:r w:rsidRPr="002F794B">
        <w:rPr>
          <w:i/>
          <w:iCs/>
        </w:rPr>
        <w:t>entrará en vigencia</w:t>
      </w:r>
      <w:proofErr w:type="gramEnd"/>
      <w:r w:rsidRPr="002F794B">
        <w:rPr>
          <w:i/>
          <w:iCs/>
        </w:rPr>
        <w:t xml:space="preserve"> a los 180 días de su publicación en el Diario Oficial de la Federación (DOF). Solicitamos respetuosamente que este plazo se cambie a 365 días (1 año) después de la publicación para permitir a la cantidad de dispositivos que requerirán certificación según los nuevos requisitos de prueba y para dar a los laboratorios el tiempo adecuado para obtener la acreditación requerida para las pruebas de acuerdo con esta regulación.</w:t>
      </w:r>
    </w:p>
    <w:p w14:paraId="250E171E" w14:textId="77777777" w:rsidR="00B8697D" w:rsidRPr="002F794B" w:rsidRDefault="00B8697D" w:rsidP="00B8697D">
      <w:pPr>
        <w:rPr>
          <w:u w:val="single"/>
        </w:rPr>
      </w:pPr>
      <w:r w:rsidRPr="002F794B">
        <w:rPr>
          <w:u w:val="single"/>
        </w:rPr>
        <w:t>Respuesta</w:t>
      </w:r>
    </w:p>
    <w:p w14:paraId="2899964B" w14:textId="4F8200CD" w:rsidR="00B8697D" w:rsidRPr="002F794B" w:rsidRDefault="00E2641A" w:rsidP="00B8697D">
      <w:r w:rsidRPr="002F794B">
        <w:t>Se considera y se amplía el plazo para entrada en vigor de la DT.</w:t>
      </w:r>
    </w:p>
    <w:p w14:paraId="0B22A998" w14:textId="77777777" w:rsidR="00B8697D" w:rsidRPr="002F794B" w:rsidRDefault="00B8697D" w:rsidP="00DE0659"/>
    <w:p w14:paraId="5C9A608B" w14:textId="77777777" w:rsidR="00B8697D" w:rsidRPr="002F794B" w:rsidRDefault="00B8697D" w:rsidP="00B8697D">
      <w:pPr>
        <w:rPr>
          <w:u w:val="single"/>
        </w:rPr>
      </w:pPr>
      <w:r w:rsidRPr="002F794B">
        <w:rPr>
          <w:u w:val="single"/>
        </w:rPr>
        <w:t>Participante</w:t>
      </w:r>
    </w:p>
    <w:p w14:paraId="29769A53" w14:textId="06165718" w:rsidR="00B8697D" w:rsidRPr="002F794B" w:rsidRDefault="004C6D95" w:rsidP="00B8697D">
      <w:r w:rsidRPr="002F794B">
        <w:lastRenderedPageBreak/>
        <w:t>Cámara Nacional de la Industria Electrónica, de Telecomunicaciones y Tecnologías de la Información</w:t>
      </w:r>
    </w:p>
    <w:p w14:paraId="460B3639" w14:textId="77777777" w:rsidR="00B8697D" w:rsidRPr="002F794B" w:rsidRDefault="00B8697D" w:rsidP="00B8697D">
      <w:pPr>
        <w:rPr>
          <w:u w:val="single"/>
        </w:rPr>
      </w:pPr>
      <w:r w:rsidRPr="002F794B">
        <w:rPr>
          <w:u w:val="single"/>
        </w:rPr>
        <w:t>Comentario y propuesta</w:t>
      </w:r>
    </w:p>
    <w:p w14:paraId="268492E7" w14:textId="77777777" w:rsidR="00C27D23" w:rsidRPr="002F794B" w:rsidRDefault="00C27D23" w:rsidP="00C27D23">
      <w:pPr>
        <w:ind w:left="567" w:right="616"/>
        <w:rPr>
          <w:b/>
          <w:bCs/>
          <w:i/>
          <w:iCs/>
        </w:rPr>
      </w:pPr>
      <w:r w:rsidRPr="002F794B">
        <w:rPr>
          <w:b/>
          <w:bCs/>
          <w:i/>
          <w:iCs/>
        </w:rPr>
        <w:t>DICE:</w:t>
      </w:r>
    </w:p>
    <w:p w14:paraId="47045DCB" w14:textId="77777777" w:rsidR="00C27D23" w:rsidRPr="002F794B" w:rsidRDefault="00C27D23" w:rsidP="00C27D23">
      <w:pPr>
        <w:ind w:left="567" w:right="616"/>
        <w:rPr>
          <w:i/>
          <w:iCs/>
        </w:rPr>
      </w:pPr>
      <w:r w:rsidRPr="002F794B">
        <w:rPr>
          <w:b/>
          <w:bCs/>
          <w:i/>
          <w:iCs/>
        </w:rPr>
        <w:t>SEGUNDO.-</w:t>
      </w:r>
      <w:r w:rsidRPr="002F794B">
        <w:rPr>
          <w:i/>
          <w:iCs/>
        </w:rPr>
        <w:t xml:space="preserve"> La presente Disposición Técnica entrará en vigor a los ciento ochenta (180) días naturales, contados a partir del día siguiente a su publicación el Diario Oficial de la Federación, sin perjuicio de lo dispuesto en los transitorios siguientes.</w:t>
      </w:r>
    </w:p>
    <w:p w14:paraId="0D8EFF3A" w14:textId="77777777" w:rsidR="00C27D23" w:rsidRPr="002F794B" w:rsidRDefault="00C27D23" w:rsidP="00C27D23">
      <w:pPr>
        <w:ind w:left="567" w:right="616"/>
        <w:rPr>
          <w:b/>
          <w:bCs/>
          <w:i/>
          <w:iCs/>
        </w:rPr>
      </w:pPr>
      <w:r w:rsidRPr="002F794B">
        <w:rPr>
          <w:b/>
          <w:bCs/>
          <w:i/>
          <w:iCs/>
        </w:rPr>
        <w:t>DEBERÍA DECIR:</w:t>
      </w:r>
    </w:p>
    <w:p w14:paraId="41E21CAD" w14:textId="77777777" w:rsidR="00C27D23" w:rsidRPr="002F794B" w:rsidRDefault="00C27D23" w:rsidP="00C27D23">
      <w:pPr>
        <w:ind w:left="567" w:right="616"/>
        <w:rPr>
          <w:i/>
          <w:iCs/>
        </w:rPr>
      </w:pPr>
      <w:r w:rsidRPr="002F794B">
        <w:rPr>
          <w:b/>
          <w:bCs/>
          <w:i/>
          <w:iCs/>
        </w:rPr>
        <w:t>SEGUNDO.-</w:t>
      </w:r>
      <w:r w:rsidRPr="002F794B">
        <w:rPr>
          <w:i/>
          <w:iCs/>
        </w:rPr>
        <w:t xml:space="preserve"> La presente Disposición Técnica entrará en vigor a los </w:t>
      </w:r>
      <w:r w:rsidRPr="002F794B">
        <w:rPr>
          <w:b/>
          <w:i/>
          <w:iCs/>
          <w:u w:val="single"/>
        </w:rPr>
        <w:t>trescientos sesenta y cinco (365)</w:t>
      </w:r>
      <w:r w:rsidRPr="002F794B">
        <w:rPr>
          <w:b/>
          <w:i/>
          <w:iCs/>
        </w:rPr>
        <w:t xml:space="preserve"> </w:t>
      </w:r>
      <w:r w:rsidRPr="002F794B">
        <w:rPr>
          <w:i/>
          <w:iCs/>
        </w:rPr>
        <w:t>días naturales, contados a partir del día siguiente a su publicación el Diario Oficial de la Federación, sin perjuicio de lo dispuesto en los transitorios siguientes.</w:t>
      </w:r>
    </w:p>
    <w:p w14:paraId="1A72F310" w14:textId="77777777" w:rsidR="00C27D23" w:rsidRPr="002F794B" w:rsidRDefault="00C27D23" w:rsidP="00C27D23">
      <w:pPr>
        <w:ind w:left="567" w:right="616"/>
        <w:rPr>
          <w:b/>
          <w:bCs/>
          <w:i/>
          <w:iCs/>
        </w:rPr>
      </w:pPr>
      <w:r w:rsidRPr="002F794B">
        <w:rPr>
          <w:b/>
          <w:bCs/>
          <w:i/>
          <w:iCs/>
        </w:rPr>
        <w:t>JUSTIFICACIÓN:</w:t>
      </w:r>
    </w:p>
    <w:p w14:paraId="46E37AF6" w14:textId="77777777" w:rsidR="00C27D23" w:rsidRPr="002F794B" w:rsidRDefault="00C27D23" w:rsidP="00C27D23">
      <w:pPr>
        <w:ind w:left="567" w:right="616"/>
        <w:rPr>
          <w:b/>
          <w:bCs/>
          <w:i/>
          <w:iCs/>
        </w:rPr>
      </w:pPr>
      <w:r w:rsidRPr="002F794B">
        <w:rPr>
          <w:i/>
          <w:iCs/>
        </w:rPr>
        <w:t xml:space="preserve">Se solicita considerar que la </w:t>
      </w:r>
      <w:r w:rsidRPr="002F794B">
        <w:rPr>
          <w:i/>
          <w:iCs/>
          <w:lang w:val="es-PA"/>
        </w:rPr>
        <w:t>DT-IFT-016</w:t>
      </w:r>
      <w:r w:rsidRPr="002F794B">
        <w:rPr>
          <w:i/>
          <w:iCs/>
        </w:rPr>
        <w:t xml:space="preserve"> entre en vigor 365 días naturales contados a partir del día siguiente a su publicación en el Diario Oficial de la Federación, sin perjuicio de lo dispuesto en los transitorios Tercero, Cuarto y Quinto, para dar tiempo adecuado a fabricantes para adecuar sus productos y a Laboratorios y Organismos para obtener la acreditación y autorización.</w:t>
      </w:r>
    </w:p>
    <w:p w14:paraId="372BFAE7" w14:textId="1FF11A84" w:rsidR="00B8697D" w:rsidRPr="002F794B" w:rsidRDefault="00C27D23" w:rsidP="00C27D23">
      <w:pPr>
        <w:ind w:left="567" w:right="616"/>
        <w:rPr>
          <w:i/>
          <w:iCs/>
        </w:rPr>
      </w:pPr>
      <w:r w:rsidRPr="002F794B">
        <w:rPr>
          <w:i/>
          <w:iCs/>
        </w:rPr>
        <w:t>Dada la capacidad limitada de infraestructura para pruebas radiadas y de equipo necesario para evaluar esta DT (equipo de medición, cámara anecoica, antenas, etc.), se propone cambiar a 365 días naturales, para que los laboratorios adquieran los equipos e infraestructura necesarios para la aplicación de los métodos de prueba de esta DT.</w:t>
      </w:r>
    </w:p>
    <w:p w14:paraId="2D4553B9" w14:textId="77777777" w:rsidR="00B8697D" w:rsidRPr="002F794B" w:rsidRDefault="00B8697D" w:rsidP="00B8697D">
      <w:pPr>
        <w:rPr>
          <w:u w:val="single"/>
        </w:rPr>
      </w:pPr>
      <w:r w:rsidRPr="002F794B">
        <w:rPr>
          <w:u w:val="single"/>
        </w:rPr>
        <w:t>Respuesta</w:t>
      </w:r>
    </w:p>
    <w:p w14:paraId="79D78871" w14:textId="52BD8061" w:rsidR="00B8697D" w:rsidRPr="002F794B" w:rsidRDefault="00647885" w:rsidP="00DE0659">
      <w:r w:rsidRPr="002F794B">
        <w:t>Se considera y se amplía el plazo para entrada en vigor de la DT.</w:t>
      </w:r>
    </w:p>
    <w:p w14:paraId="63B91F88" w14:textId="77777777" w:rsidR="00647885" w:rsidRPr="002F794B" w:rsidRDefault="00647885" w:rsidP="00DE0659"/>
    <w:p w14:paraId="63A7B770" w14:textId="77777777" w:rsidR="00B8697D" w:rsidRPr="002F794B" w:rsidRDefault="00B8697D" w:rsidP="00B8697D">
      <w:pPr>
        <w:rPr>
          <w:u w:val="single"/>
        </w:rPr>
      </w:pPr>
      <w:r w:rsidRPr="002F794B">
        <w:rPr>
          <w:u w:val="single"/>
        </w:rPr>
        <w:t>Participante</w:t>
      </w:r>
    </w:p>
    <w:p w14:paraId="34353714" w14:textId="7EE7DD6B" w:rsidR="00B8697D" w:rsidRPr="002F794B" w:rsidRDefault="009D13FE" w:rsidP="00B8697D">
      <w:r w:rsidRPr="002F794B">
        <w:t>Asociación de Normalización y Certificación, S.A. de C.V.</w:t>
      </w:r>
    </w:p>
    <w:p w14:paraId="788EC99D" w14:textId="77777777" w:rsidR="00B8697D" w:rsidRPr="002F794B" w:rsidRDefault="00B8697D" w:rsidP="00B8697D">
      <w:pPr>
        <w:rPr>
          <w:u w:val="single"/>
        </w:rPr>
      </w:pPr>
      <w:r w:rsidRPr="002F794B">
        <w:rPr>
          <w:u w:val="single"/>
        </w:rPr>
        <w:t>Comentario y propuesta</w:t>
      </w:r>
    </w:p>
    <w:p w14:paraId="458176F7" w14:textId="77777777" w:rsidR="006A3EF5" w:rsidRPr="002F794B" w:rsidRDefault="006A3EF5" w:rsidP="006A3EF5">
      <w:pPr>
        <w:ind w:left="567" w:right="616"/>
        <w:rPr>
          <w:i/>
          <w:iCs/>
        </w:rPr>
      </w:pPr>
      <w:r w:rsidRPr="002F794B">
        <w:rPr>
          <w:b/>
          <w:bCs/>
          <w:i/>
          <w:iCs/>
        </w:rPr>
        <w:t>Dice:</w:t>
      </w:r>
      <w:r w:rsidRPr="002F794B">
        <w:rPr>
          <w:i/>
          <w:iCs/>
        </w:rPr>
        <w:t xml:space="preserve"> </w:t>
      </w:r>
      <w:r w:rsidRPr="002F794B">
        <w:rPr>
          <w:b/>
          <w:bCs/>
          <w:i/>
          <w:iCs/>
        </w:rPr>
        <w:t>SEGUNDO.-</w:t>
      </w:r>
      <w:r w:rsidRPr="002F794B">
        <w:rPr>
          <w:i/>
          <w:iCs/>
        </w:rPr>
        <w:t xml:space="preserve"> La presente Disposición Técnica entrará en vigor a los ciento ochenta (180) días naturales, contados a partir del día siguiente </w:t>
      </w:r>
      <w:r w:rsidRPr="002F794B">
        <w:rPr>
          <w:i/>
          <w:iCs/>
        </w:rPr>
        <w:lastRenderedPageBreak/>
        <w:t>a su publicación el Diario Oficial de la Federación, sin perjuicio de lo dispuesto en los transitorios siguientes.</w:t>
      </w:r>
    </w:p>
    <w:p w14:paraId="12BDACA9" w14:textId="77777777" w:rsidR="006A3EF5" w:rsidRPr="002F794B" w:rsidRDefault="006A3EF5" w:rsidP="006A3EF5">
      <w:pPr>
        <w:ind w:left="567" w:right="616"/>
        <w:rPr>
          <w:i/>
          <w:iCs/>
        </w:rPr>
      </w:pPr>
      <w:r w:rsidRPr="002F794B">
        <w:rPr>
          <w:b/>
          <w:bCs/>
          <w:i/>
          <w:iCs/>
        </w:rPr>
        <w:t>Debe decir:</w:t>
      </w:r>
      <w:r w:rsidRPr="002F794B">
        <w:rPr>
          <w:i/>
          <w:iCs/>
        </w:rPr>
        <w:t xml:space="preserve"> </w:t>
      </w:r>
      <w:r w:rsidRPr="002F794B">
        <w:rPr>
          <w:b/>
          <w:bCs/>
          <w:i/>
          <w:iCs/>
        </w:rPr>
        <w:t>SEGUNDO.-</w:t>
      </w:r>
      <w:r w:rsidRPr="002F794B">
        <w:rPr>
          <w:i/>
          <w:iCs/>
        </w:rPr>
        <w:t xml:space="preserve"> La presente Disposición Técnica entrará en vigor a los trescientos sesenta y cinco (365) días naturales, contados a partir del día siguiente a su publicación el Diario Oficial de la Federación, sin perjuicio de lo dispuesto en los transitorios siguientes.</w:t>
      </w:r>
    </w:p>
    <w:p w14:paraId="11959B73" w14:textId="77777777" w:rsidR="006A3EF5" w:rsidRPr="002F794B" w:rsidRDefault="006A3EF5" w:rsidP="006A3EF5">
      <w:pPr>
        <w:ind w:left="567" w:right="616"/>
        <w:rPr>
          <w:i/>
          <w:iCs/>
        </w:rPr>
      </w:pPr>
      <w:r w:rsidRPr="002F794B">
        <w:rPr>
          <w:b/>
          <w:bCs/>
          <w:i/>
          <w:iCs/>
        </w:rPr>
        <w:t>Justificación:</w:t>
      </w:r>
      <w:r w:rsidRPr="002F794B">
        <w:rPr>
          <w:i/>
          <w:iCs/>
        </w:rPr>
        <w:t xml:space="preserve"> Los métodos de prueba relacionados con ancho de banda, potencia radiada y emisiones no deseadas de este Anteproyecto se ejecutan con equipos similares a los empleados en la evaluación de la Disposición Técnica IFT-008-2015. </w:t>
      </w:r>
    </w:p>
    <w:p w14:paraId="33794C44" w14:textId="77777777" w:rsidR="006A3EF5" w:rsidRPr="002F794B" w:rsidRDefault="006A3EF5" w:rsidP="006A3EF5">
      <w:pPr>
        <w:ind w:left="567" w:right="616"/>
        <w:rPr>
          <w:i/>
          <w:iCs/>
        </w:rPr>
      </w:pPr>
      <w:r w:rsidRPr="002F794B">
        <w:rPr>
          <w:i/>
          <w:iCs/>
        </w:rPr>
        <w:t>Para poder realizar los respectivos desarrollos, diseño e implementación de las topologías, y procedimientos de pruebas de este Anteproyecto, el personal de cada laboratorio deberá ejecutar diversos ensayos y experimentos con sus equipos actuales, lo cual se traducirá como una disminución o paro al ritmo de trabajo en ciertos intervalos por semana, que a su vez puede traducirse en una afectación a sus modelos de negocio. Actualmente todos los laboratorios de tercera parte nacionales, y los reconocidos en el extranjero que realizan evaluación de la conformidad en materia de telecomunicaciones y radiodifusión, están acreditados en la Disposición Técnica IFT-008-2015, por lo que esta afectación puede considerarse para toda la infraestructura de laboratorios.</w:t>
      </w:r>
    </w:p>
    <w:p w14:paraId="4F6F9D1A" w14:textId="77777777" w:rsidR="006A3EF5" w:rsidRPr="002F794B" w:rsidRDefault="006A3EF5" w:rsidP="006A3EF5">
      <w:pPr>
        <w:ind w:left="567" w:right="616"/>
        <w:rPr>
          <w:i/>
          <w:iCs/>
        </w:rPr>
      </w:pPr>
      <w:r w:rsidRPr="002F794B">
        <w:rPr>
          <w:i/>
          <w:iCs/>
        </w:rPr>
        <w:t xml:space="preserve">El plazo de 180 días naturales no es razonable para que los laboratorios nacionales puedan implementar los métodos de prueba, sin disminuir sensiblemente su capacidad instalada. </w:t>
      </w:r>
    </w:p>
    <w:p w14:paraId="18D97397" w14:textId="07EAC477" w:rsidR="00B8697D" w:rsidRPr="002F794B" w:rsidRDefault="006A3EF5" w:rsidP="006A3EF5">
      <w:pPr>
        <w:ind w:left="567" w:right="616"/>
        <w:rPr>
          <w:i/>
          <w:iCs/>
        </w:rPr>
      </w:pPr>
      <w:r w:rsidRPr="002F794B">
        <w:rPr>
          <w:i/>
          <w:iCs/>
        </w:rPr>
        <w:t>Por lo tanto, se propone una entrada en vigor de 365 días naturales para la entrada en vigor de esta Disposición Técnica, sin perjuicio de lo dispuesto en los demás transitorios.</w:t>
      </w:r>
    </w:p>
    <w:p w14:paraId="69341C87" w14:textId="77777777" w:rsidR="00B8697D" w:rsidRPr="002F794B" w:rsidRDefault="00B8697D" w:rsidP="00B8697D">
      <w:pPr>
        <w:rPr>
          <w:u w:val="single"/>
        </w:rPr>
      </w:pPr>
      <w:r w:rsidRPr="002F794B">
        <w:rPr>
          <w:u w:val="single"/>
        </w:rPr>
        <w:t>Respuesta</w:t>
      </w:r>
    </w:p>
    <w:p w14:paraId="5BB5AC81" w14:textId="07057F59" w:rsidR="00B8697D" w:rsidRPr="002F794B" w:rsidRDefault="00E02975" w:rsidP="00DE0659">
      <w:r w:rsidRPr="002F794B">
        <w:t>Se considera y se amplía el plazo para entrada en vigor de la DT.</w:t>
      </w:r>
    </w:p>
    <w:p w14:paraId="26C83351" w14:textId="77777777" w:rsidR="00E02975" w:rsidRPr="002F794B" w:rsidRDefault="00E02975" w:rsidP="00DE0659"/>
    <w:p w14:paraId="4B0C565F" w14:textId="77777777" w:rsidR="00B8697D" w:rsidRPr="002F794B" w:rsidRDefault="00B8697D" w:rsidP="00B8697D">
      <w:pPr>
        <w:rPr>
          <w:u w:val="single"/>
        </w:rPr>
      </w:pPr>
      <w:r w:rsidRPr="002F794B">
        <w:rPr>
          <w:u w:val="single"/>
        </w:rPr>
        <w:t>Participante</w:t>
      </w:r>
    </w:p>
    <w:p w14:paraId="335A6908" w14:textId="79BDA541" w:rsidR="00B8697D" w:rsidRPr="002F794B" w:rsidRDefault="009D1583" w:rsidP="00B8697D">
      <w:r w:rsidRPr="002F794B">
        <w:t>Apple Operations México, S.A. de C.V.</w:t>
      </w:r>
    </w:p>
    <w:p w14:paraId="2E7C2EAD" w14:textId="77777777" w:rsidR="00B8697D" w:rsidRPr="002F794B" w:rsidRDefault="00B8697D" w:rsidP="00B8697D">
      <w:pPr>
        <w:rPr>
          <w:u w:val="single"/>
        </w:rPr>
      </w:pPr>
      <w:r w:rsidRPr="002F794B">
        <w:rPr>
          <w:u w:val="single"/>
        </w:rPr>
        <w:t>Comentario y propuesta</w:t>
      </w:r>
    </w:p>
    <w:p w14:paraId="40038E89" w14:textId="335C0375" w:rsidR="00F4583D" w:rsidRPr="002F794B" w:rsidRDefault="00F4583D" w:rsidP="00F4583D">
      <w:pPr>
        <w:ind w:left="567" w:right="616"/>
        <w:rPr>
          <w:i/>
          <w:iCs/>
          <w:lang w:val="es-ES"/>
        </w:rPr>
      </w:pPr>
      <w:r w:rsidRPr="002F794B">
        <w:rPr>
          <w:i/>
          <w:iCs/>
          <w:lang w:val="es-ES"/>
        </w:rPr>
        <w:t>(…)</w:t>
      </w:r>
    </w:p>
    <w:p w14:paraId="67AA1351" w14:textId="63293C84" w:rsidR="00F4583D" w:rsidRPr="002F794B" w:rsidRDefault="00F4583D" w:rsidP="00F4583D">
      <w:pPr>
        <w:ind w:left="567" w:right="616"/>
        <w:rPr>
          <w:b/>
          <w:bCs/>
          <w:i/>
          <w:iCs/>
          <w:lang w:val="es-ES"/>
        </w:rPr>
      </w:pPr>
      <w:r w:rsidRPr="002F794B">
        <w:rPr>
          <w:b/>
          <w:bCs/>
          <w:i/>
          <w:iCs/>
          <w:lang w:val="es-ES"/>
        </w:rPr>
        <w:t>Dice:</w:t>
      </w:r>
    </w:p>
    <w:p w14:paraId="02B3EB16" w14:textId="77777777" w:rsidR="00F4583D" w:rsidRPr="002F794B" w:rsidRDefault="00F4583D" w:rsidP="00F4583D">
      <w:pPr>
        <w:ind w:left="567" w:right="616"/>
        <w:rPr>
          <w:i/>
          <w:iCs/>
          <w:lang w:val="es-ES"/>
        </w:rPr>
      </w:pPr>
      <w:r w:rsidRPr="002F794B">
        <w:rPr>
          <w:b/>
          <w:bCs/>
          <w:i/>
          <w:iCs/>
          <w:lang w:val="es-ES"/>
        </w:rPr>
        <w:lastRenderedPageBreak/>
        <w:t>SEGUNDO. -</w:t>
      </w:r>
      <w:r w:rsidRPr="002F794B">
        <w:rPr>
          <w:i/>
          <w:iCs/>
          <w:lang w:val="es-ES"/>
        </w:rPr>
        <w:t xml:space="preserve"> La presente Disposición Técnica entrará en vigor a los ciento ochenta (180) días naturales, contados a partir del día siguiente a su publicación el Diario Oficial de la Federación, sin perjuicio de lo dispuesto en los transitorios siguientes.</w:t>
      </w:r>
    </w:p>
    <w:p w14:paraId="1A5C9E52" w14:textId="77777777" w:rsidR="00F4583D" w:rsidRPr="002F794B" w:rsidRDefault="00F4583D" w:rsidP="00F4583D">
      <w:pPr>
        <w:ind w:left="567" w:right="616"/>
        <w:rPr>
          <w:b/>
          <w:bCs/>
          <w:i/>
          <w:iCs/>
          <w:lang w:val="es-ES"/>
        </w:rPr>
      </w:pPr>
      <w:r w:rsidRPr="002F794B">
        <w:rPr>
          <w:b/>
          <w:bCs/>
          <w:i/>
          <w:iCs/>
          <w:lang w:val="es-ES"/>
        </w:rPr>
        <w:t>Debe decir:</w:t>
      </w:r>
    </w:p>
    <w:p w14:paraId="6E326A61" w14:textId="77777777" w:rsidR="00F4583D" w:rsidRPr="002F794B" w:rsidRDefault="00F4583D" w:rsidP="00F4583D">
      <w:pPr>
        <w:ind w:left="567" w:right="616"/>
        <w:rPr>
          <w:i/>
          <w:iCs/>
          <w:lang w:val="es-ES"/>
        </w:rPr>
      </w:pPr>
      <w:r w:rsidRPr="002F794B">
        <w:rPr>
          <w:b/>
          <w:bCs/>
          <w:i/>
          <w:iCs/>
          <w:lang w:val="es-ES"/>
        </w:rPr>
        <w:t>SEGUNDO.-</w:t>
      </w:r>
      <w:r w:rsidRPr="002F794B">
        <w:rPr>
          <w:i/>
          <w:iCs/>
          <w:lang w:val="es-ES"/>
        </w:rPr>
        <w:t xml:space="preserve"> La presente Disposición Técnica entrará en vigor a los trescientos sesenta y cinco (365) días naturales, contados a partir del día siguiente a su publicación el Diario Oficial de la Federación, sin perjuicio de lo dispuesto en los transitorios siguientes.</w:t>
      </w:r>
    </w:p>
    <w:p w14:paraId="5E8AFCF3" w14:textId="77777777" w:rsidR="00F4583D" w:rsidRPr="002F794B" w:rsidRDefault="00F4583D" w:rsidP="00F4583D">
      <w:pPr>
        <w:ind w:left="567" w:right="616"/>
        <w:rPr>
          <w:b/>
          <w:bCs/>
          <w:i/>
          <w:iCs/>
          <w:lang w:val="es-ES"/>
        </w:rPr>
      </w:pPr>
      <w:r w:rsidRPr="002F794B">
        <w:rPr>
          <w:b/>
          <w:bCs/>
          <w:i/>
          <w:iCs/>
          <w:lang w:val="es-ES"/>
        </w:rPr>
        <w:t>Justificación:</w:t>
      </w:r>
    </w:p>
    <w:p w14:paraId="6D17635C" w14:textId="1516EF11" w:rsidR="00B8697D" w:rsidRPr="002F794B" w:rsidRDefault="00F4583D" w:rsidP="00F4583D">
      <w:pPr>
        <w:ind w:left="567" w:right="616"/>
        <w:rPr>
          <w:i/>
          <w:iCs/>
          <w:lang w:val="es-ES"/>
        </w:rPr>
      </w:pPr>
      <w:r w:rsidRPr="002F794B">
        <w:rPr>
          <w:i/>
          <w:iCs/>
          <w:lang w:val="es-ES"/>
        </w:rPr>
        <w:t>Dada la capacidad limitada de infraestructura para pruebas radiadas y de equipo necesario para evaluar esta DT (equipo de medición, cámara anecoica, antenas, etc.), se propone cambiar a 365 días naturales, para que los laboratorios adquieran los equipos e infraestructura necesarios para la aplicación de los métodos de prueba de esta DT.</w:t>
      </w:r>
    </w:p>
    <w:p w14:paraId="7228848C" w14:textId="0916AD9A" w:rsidR="00F4583D" w:rsidRPr="002F794B" w:rsidRDefault="00F4583D" w:rsidP="00F4583D">
      <w:pPr>
        <w:ind w:left="567" w:right="616"/>
        <w:rPr>
          <w:i/>
          <w:iCs/>
        </w:rPr>
      </w:pPr>
      <w:r w:rsidRPr="002F794B">
        <w:rPr>
          <w:i/>
          <w:iCs/>
          <w:lang w:val="es-ES"/>
        </w:rPr>
        <w:t>(…)</w:t>
      </w:r>
    </w:p>
    <w:p w14:paraId="354BA953" w14:textId="77777777" w:rsidR="00B8697D" w:rsidRPr="002F794B" w:rsidRDefault="00B8697D" w:rsidP="00B8697D">
      <w:pPr>
        <w:rPr>
          <w:u w:val="single"/>
        </w:rPr>
      </w:pPr>
      <w:r w:rsidRPr="002F794B">
        <w:rPr>
          <w:u w:val="single"/>
        </w:rPr>
        <w:t>Respuesta</w:t>
      </w:r>
    </w:p>
    <w:p w14:paraId="6B9EED8E" w14:textId="4865AEED" w:rsidR="00B8697D" w:rsidRPr="002F794B" w:rsidRDefault="00E02975" w:rsidP="00DE0659">
      <w:r w:rsidRPr="002F794B">
        <w:t>Se considera y se amplía el plazo para entrada en vigor de la DT.</w:t>
      </w:r>
    </w:p>
    <w:p w14:paraId="65B985E6" w14:textId="77777777" w:rsidR="00E02975" w:rsidRPr="002F794B" w:rsidRDefault="00E02975" w:rsidP="00DE0659"/>
    <w:p w14:paraId="395B0967" w14:textId="1B4A5853" w:rsidR="005D4FB6" w:rsidRPr="002F794B" w:rsidRDefault="005D4FB6" w:rsidP="005D4FB6">
      <w:pPr>
        <w:outlineLvl w:val="1"/>
        <w:rPr>
          <w:b/>
          <w:bCs/>
        </w:rPr>
      </w:pPr>
      <w:r w:rsidRPr="002F794B">
        <w:rPr>
          <w:b/>
          <w:bCs/>
        </w:rPr>
        <w:t>Transitorio QUINTO</w:t>
      </w:r>
    </w:p>
    <w:p w14:paraId="61B8F407" w14:textId="77777777" w:rsidR="00B8697D" w:rsidRPr="002F794B" w:rsidRDefault="00B8697D" w:rsidP="00B8697D">
      <w:pPr>
        <w:rPr>
          <w:u w:val="single"/>
        </w:rPr>
      </w:pPr>
      <w:r w:rsidRPr="002F794B">
        <w:rPr>
          <w:u w:val="single"/>
        </w:rPr>
        <w:t>Participante</w:t>
      </w:r>
    </w:p>
    <w:p w14:paraId="0F76AA88" w14:textId="51275F95" w:rsidR="00B8697D" w:rsidRPr="002F794B" w:rsidRDefault="005D4FB6" w:rsidP="00B8697D">
      <w:r w:rsidRPr="002F794B">
        <w:t xml:space="preserve">Information Technology </w:t>
      </w:r>
      <w:proofErr w:type="spellStart"/>
      <w:r w:rsidRPr="002F794B">
        <w:t>Industry</w:t>
      </w:r>
      <w:proofErr w:type="spellEnd"/>
      <w:r w:rsidRPr="002F794B">
        <w:t xml:space="preserve"> Council</w:t>
      </w:r>
    </w:p>
    <w:p w14:paraId="5678CBCB" w14:textId="77777777" w:rsidR="00B8697D" w:rsidRPr="002F794B" w:rsidRDefault="00B8697D" w:rsidP="00B8697D">
      <w:pPr>
        <w:rPr>
          <w:u w:val="single"/>
        </w:rPr>
      </w:pPr>
      <w:r w:rsidRPr="002F794B">
        <w:rPr>
          <w:u w:val="single"/>
        </w:rPr>
        <w:t>Comentario y propuesta</w:t>
      </w:r>
    </w:p>
    <w:p w14:paraId="61B227EC" w14:textId="0682A11B" w:rsidR="00220EFB" w:rsidRPr="002F794B" w:rsidRDefault="00220EFB" w:rsidP="008D198E">
      <w:pPr>
        <w:ind w:left="567" w:right="616"/>
        <w:rPr>
          <w:i/>
          <w:iCs/>
        </w:rPr>
      </w:pPr>
      <w:r w:rsidRPr="002F794B">
        <w:rPr>
          <w:i/>
          <w:iCs/>
        </w:rPr>
        <w:t>(…)</w:t>
      </w:r>
    </w:p>
    <w:p w14:paraId="732F00E9" w14:textId="723B22C7" w:rsidR="00B8697D" w:rsidRPr="002F794B" w:rsidRDefault="008D198E" w:rsidP="008D198E">
      <w:pPr>
        <w:ind w:left="567" w:right="616"/>
        <w:rPr>
          <w:i/>
          <w:iCs/>
        </w:rPr>
      </w:pPr>
      <w:r w:rsidRPr="002F794B">
        <w:rPr>
          <w:b/>
          <w:bCs/>
          <w:i/>
          <w:iCs/>
        </w:rPr>
        <w:t xml:space="preserve">Permitir que los productos ya certificados mantengan su número de certificación IFT. </w:t>
      </w:r>
      <w:r w:rsidRPr="002F794B">
        <w:rPr>
          <w:i/>
          <w:iCs/>
        </w:rPr>
        <w:t>ITI solicita que el IFT permita que los productos que ya están homologados y que, debido a los cambios o modificaciones realizados en los equipos, estén pasando por una actualización de la certificación bajo los nuevos requisitos de prueba, mantengan su mismo número de homologación de IFT.</w:t>
      </w:r>
    </w:p>
    <w:p w14:paraId="184815F4" w14:textId="1EF46A78" w:rsidR="00220EFB" w:rsidRPr="002F794B" w:rsidRDefault="00220EFB" w:rsidP="008D198E">
      <w:pPr>
        <w:ind w:left="567" w:right="616"/>
        <w:rPr>
          <w:i/>
          <w:iCs/>
        </w:rPr>
      </w:pPr>
      <w:r w:rsidRPr="002F794B">
        <w:rPr>
          <w:i/>
          <w:iCs/>
        </w:rPr>
        <w:t>(…)</w:t>
      </w:r>
    </w:p>
    <w:p w14:paraId="6D42E680" w14:textId="77777777" w:rsidR="00B8697D" w:rsidRPr="002F794B" w:rsidRDefault="00B8697D" w:rsidP="00B8697D">
      <w:pPr>
        <w:rPr>
          <w:u w:val="single"/>
        </w:rPr>
      </w:pPr>
      <w:r w:rsidRPr="002F794B">
        <w:rPr>
          <w:u w:val="single"/>
        </w:rPr>
        <w:t>Respuesta</w:t>
      </w:r>
    </w:p>
    <w:p w14:paraId="2FA4D62B" w14:textId="5B5252DC" w:rsidR="00B8697D" w:rsidRPr="002F794B" w:rsidRDefault="007A55E3" w:rsidP="00DE0659">
      <w:r w:rsidRPr="002F794B">
        <w:lastRenderedPageBreak/>
        <w:t xml:space="preserve">No se considera. El transitorio </w:t>
      </w:r>
      <w:r w:rsidR="00F577BF" w:rsidRPr="002F794B">
        <w:t xml:space="preserve">tercero </w:t>
      </w:r>
      <w:r w:rsidRPr="002F794B">
        <w:t>establece que los Certificados de Homologación mantendrán su vigencia hasta el término señalado en ellos, y no estarán sujetos a vigilancia del cumplimiento de la certificación.</w:t>
      </w:r>
    </w:p>
    <w:p w14:paraId="7EE11D44" w14:textId="77777777" w:rsidR="007A55E3" w:rsidRPr="002F794B" w:rsidRDefault="007A55E3" w:rsidP="00DE0659"/>
    <w:p w14:paraId="6392088A" w14:textId="1C13EB96" w:rsidR="00220EFB" w:rsidRPr="002F794B" w:rsidRDefault="00220EFB" w:rsidP="00FC3739">
      <w:pPr>
        <w:outlineLvl w:val="1"/>
        <w:rPr>
          <w:b/>
          <w:bCs/>
        </w:rPr>
      </w:pPr>
      <w:r w:rsidRPr="002F794B">
        <w:rPr>
          <w:b/>
          <w:bCs/>
        </w:rPr>
        <w:t>Transi</w:t>
      </w:r>
      <w:r w:rsidR="00FC3739" w:rsidRPr="002F794B">
        <w:rPr>
          <w:b/>
          <w:bCs/>
        </w:rPr>
        <w:t>torio SEXTO</w:t>
      </w:r>
    </w:p>
    <w:p w14:paraId="6A474FF5" w14:textId="77777777" w:rsidR="00220EFB" w:rsidRPr="002F794B" w:rsidRDefault="00220EFB" w:rsidP="00220EFB">
      <w:pPr>
        <w:rPr>
          <w:u w:val="single"/>
        </w:rPr>
      </w:pPr>
      <w:r w:rsidRPr="002F794B">
        <w:rPr>
          <w:u w:val="single"/>
        </w:rPr>
        <w:t>Participante</w:t>
      </w:r>
    </w:p>
    <w:p w14:paraId="4CD35873" w14:textId="50813A02" w:rsidR="00220EFB" w:rsidRPr="002F794B" w:rsidRDefault="00FC3739" w:rsidP="00220EFB">
      <w:r w:rsidRPr="002F794B">
        <w:t xml:space="preserve">Information Technology </w:t>
      </w:r>
      <w:proofErr w:type="spellStart"/>
      <w:r w:rsidRPr="002F794B">
        <w:t>Industry</w:t>
      </w:r>
      <w:proofErr w:type="spellEnd"/>
      <w:r w:rsidRPr="002F794B">
        <w:t xml:space="preserve"> Council</w:t>
      </w:r>
    </w:p>
    <w:p w14:paraId="62F50393" w14:textId="77777777" w:rsidR="00220EFB" w:rsidRPr="002F794B" w:rsidRDefault="00220EFB" w:rsidP="00220EFB">
      <w:pPr>
        <w:rPr>
          <w:u w:val="single"/>
        </w:rPr>
      </w:pPr>
      <w:r w:rsidRPr="002F794B">
        <w:rPr>
          <w:u w:val="single"/>
        </w:rPr>
        <w:t>Comentario y propuesta</w:t>
      </w:r>
    </w:p>
    <w:p w14:paraId="4DC2609E" w14:textId="53E9E466" w:rsidR="00DE3B36" w:rsidRPr="002F794B" w:rsidRDefault="00DE3B36" w:rsidP="00DE3B36">
      <w:pPr>
        <w:ind w:left="567" w:right="616"/>
        <w:rPr>
          <w:i/>
          <w:iCs/>
        </w:rPr>
      </w:pPr>
      <w:r w:rsidRPr="002F794B">
        <w:rPr>
          <w:i/>
          <w:iCs/>
        </w:rPr>
        <w:t>(…)</w:t>
      </w:r>
    </w:p>
    <w:p w14:paraId="66F4E429" w14:textId="5B7FB7FE" w:rsidR="00DE3B36" w:rsidRPr="002F794B" w:rsidRDefault="00DE3B36" w:rsidP="00DE3B36">
      <w:pPr>
        <w:ind w:left="567" w:right="616"/>
        <w:rPr>
          <w:i/>
          <w:iCs/>
        </w:rPr>
      </w:pPr>
      <w:r w:rsidRPr="002F794B">
        <w:rPr>
          <w:b/>
          <w:bCs/>
          <w:i/>
          <w:iCs/>
        </w:rPr>
        <w:t xml:space="preserve">Requerir la recertificación solo cuando cambie el equipo. </w:t>
      </w:r>
      <w:r w:rsidRPr="002F794B">
        <w:rPr>
          <w:i/>
          <w:iCs/>
        </w:rPr>
        <w:t>ITI solicita que el IFT confirme su usual práctica en la cual, una vez que el equipo ha sido certificado según la regulación, no se requerirán nuevas pruebas o certificación a menos que se realicen cambios en el equipo. Más específicamente, sugerimos que se agregue la siguiente cláusula transitoria:</w:t>
      </w:r>
    </w:p>
    <w:p w14:paraId="1EE1F498" w14:textId="58C4CBD1" w:rsidR="00220EFB" w:rsidRPr="002F794B" w:rsidRDefault="00DE3B36" w:rsidP="00DE3B36">
      <w:pPr>
        <w:pStyle w:val="Prrafodelista"/>
        <w:numPr>
          <w:ilvl w:val="0"/>
          <w:numId w:val="13"/>
        </w:numPr>
        <w:ind w:right="616"/>
        <w:rPr>
          <w:i/>
          <w:iCs/>
        </w:rPr>
      </w:pPr>
      <w:r w:rsidRPr="002F794B">
        <w:rPr>
          <w:i/>
          <w:iCs/>
        </w:rPr>
        <w:t>Para dispositivos de radiocomunicación de baja potencia que operen en las bandas de frecuencia del espectro radioeléctrico en el intervalo de 30 MHz a 3 GHz, los certificados de homologación emitidos con anterioridad a la entrada en vigor del presente DT mantendrán su vigencia hasta el plazo indicado en los mismos. En cuanto a las solicitudes de homologación presentadas ante IFT antes de la entrada en vigor de este DT, se resolverán de conformidad con los procedimientos de aprobación Tipo B o, en su caso, con los procedimientos de aprobación Tipo C.</w:t>
      </w:r>
    </w:p>
    <w:p w14:paraId="4D8E0AC6" w14:textId="073AD4DE" w:rsidR="00DE3B36" w:rsidRPr="002F794B" w:rsidRDefault="00DE3B36" w:rsidP="00DE3B36">
      <w:pPr>
        <w:ind w:left="927" w:right="616"/>
        <w:rPr>
          <w:i/>
          <w:iCs/>
        </w:rPr>
      </w:pPr>
      <w:r w:rsidRPr="002F794B">
        <w:rPr>
          <w:i/>
          <w:iCs/>
        </w:rPr>
        <w:t>(…)</w:t>
      </w:r>
    </w:p>
    <w:p w14:paraId="5D712330" w14:textId="77777777" w:rsidR="00220EFB" w:rsidRPr="002F794B" w:rsidRDefault="00220EFB" w:rsidP="00220EFB">
      <w:pPr>
        <w:rPr>
          <w:u w:val="single"/>
        </w:rPr>
      </w:pPr>
      <w:r w:rsidRPr="002F794B">
        <w:rPr>
          <w:u w:val="single"/>
        </w:rPr>
        <w:t>Respuesta</w:t>
      </w:r>
    </w:p>
    <w:p w14:paraId="22C3F785" w14:textId="1F24AC5A" w:rsidR="00D646EB" w:rsidRPr="002F794B" w:rsidRDefault="00500E45" w:rsidP="00DE0659">
      <w:r w:rsidRPr="002F794B">
        <w:t xml:space="preserve">No se considera. En el transitorio </w:t>
      </w:r>
      <w:r w:rsidR="00F577BF" w:rsidRPr="002F794B">
        <w:t xml:space="preserve">tercero </w:t>
      </w:r>
      <w:r w:rsidRPr="002F794B">
        <w:t>se establece que los Certificados de Homologación mantendrán su vigencia hasta el término señalado en ellos, y no estarán sujetos a vigilancia del cumplimiento de la certificación.</w:t>
      </w:r>
    </w:p>
    <w:p w14:paraId="7037802C" w14:textId="77777777" w:rsidR="00500E45" w:rsidRPr="002F794B" w:rsidRDefault="00500E45" w:rsidP="00DE0659"/>
    <w:p w14:paraId="43E6F2EF" w14:textId="77777777" w:rsidR="00220EFB" w:rsidRPr="002F794B" w:rsidRDefault="00220EFB" w:rsidP="00220EFB">
      <w:pPr>
        <w:rPr>
          <w:u w:val="single"/>
        </w:rPr>
      </w:pPr>
      <w:r w:rsidRPr="002F794B">
        <w:rPr>
          <w:u w:val="single"/>
        </w:rPr>
        <w:t>Participante</w:t>
      </w:r>
    </w:p>
    <w:p w14:paraId="0E02859B" w14:textId="0FA928B7" w:rsidR="00220EFB" w:rsidRPr="002F794B" w:rsidRDefault="00A06ED9" w:rsidP="00220EFB">
      <w:r w:rsidRPr="002F794B">
        <w:t>Cámara Nacional de la Industria Electrónica, de Telecomunicaciones y Tecnologías de la Información</w:t>
      </w:r>
    </w:p>
    <w:p w14:paraId="11CC496D" w14:textId="77777777" w:rsidR="00220EFB" w:rsidRPr="002F794B" w:rsidRDefault="00220EFB" w:rsidP="00220EFB">
      <w:pPr>
        <w:rPr>
          <w:u w:val="single"/>
        </w:rPr>
      </w:pPr>
      <w:r w:rsidRPr="002F794B">
        <w:rPr>
          <w:u w:val="single"/>
        </w:rPr>
        <w:t>Comentario y propuesta</w:t>
      </w:r>
    </w:p>
    <w:p w14:paraId="719D904C" w14:textId="77777777" w:rsidR="00046E6F" w:rsidRPr="002F794B" w:rsidRDefault="00046E6F" w:rsidP="00046E6F">
      <w:pPr>
        <w:ind w:left="567" w:right="616"/>
        <w:rPr>
          <w:i/>
          <w:iCs/>
        </w:rPr>
      </w:pPr>
      <w:r w:rsidRPr="002F794B">
        <w:rPr>
          <w:i/>
          <w:iCs/>
        </w:rPr>
        <w:lastRenderedPageBreak/>
        <w:t>Para los modelos que ya están aprobados por el IFT antes de la fecha de vigencia de la regulación, se solicita que el IFT confirme su usual práctica en la que una vez que el equipo haya sido certificado según la regulación, no se requerirán nuevas pruebas o certificaciones. Se sugiere añadir la siguiente cláusula transitoria:</w:t>
      </w:r>
    </w:p>
    <w:p w14:paraId="6529A453" w14:textId="44B597B7" w:rsidR="00220EFB" w:rsidRPr="002F794B" w:rsidRDefault="00046E6F" w:rsidP="00046E6F">
      <w:pPr>
        <w:ind w:left="851" w:right="900"/>
        <w:rPr>
          <w:i/>
          <w:iCs/>
        </w:rPr>
      </w:pPr>
      <w:r w:rsidRPr="002F794B">
        <w:rPr>
          <w:b/>
          <w:bCs/>
          <w:i/>
          <w:iCs/>
          <w:u w:val="single"/>
          <w:lang w:val="es-PA"/>
        </w:rPr>
        <w:t>“SEPTIMO. - Para dispositivos de radiocomunicación de baja potencia que hacen uso de bandas de frecuencias del espectro radioeléctrico en el intervalo de 30 MHz a 3 GHz, los certificados de homologación emitidos con anterioridad a la entrada en vigor del presente DT mantendrán su vigencia hasta el plazo indicado en los mismos. En cuanto a las solicitudes de homologación presentadas ante IFT antes de la entrada en vigor de este DT, se resolverán de conformidad con los procedimientos de aprobación Tipo B o, en su caso, con los procedimientos de aprobación Tipo C.”</w:t>
      </w:r>
    </w:p>
    <w:p w14:paraId="0991FA2B" w14:textId="77777777" w:rsidR="00220EFB" w:rsidRPr="002F794B" w:rsidRDefault="00220EFB" w:rsidP="00220EFB">
      <w:pPr>
        <w:rPr>
          <w:u w:val="single"/>
        </w:rPr>
      </w:pPr>
      <w:r w:rsidRPr="002F794B">
        <w:rPr>
          <w:u w:val="single"/>
        </w:rPr>
        <w:t>Respuesta</w:t>
      </w:r>
    </w:p>
    <w:p w14:paraId="13692617" w14:textId="270C667C" w:rsidR="00220EFB" w:rsidRPr="002F794B" w:rsidRDefault="00AD2E88" w:rsidP="00DE0659">
      <w:r w:rsidRPr="002F794B">
        <w:t>No se considera. El transitorio quinto se establece que los Certificados de Homologación mantendrán su vigencia hasta el término señalado en ellos, y no estarán sujetos a vigilancia del cumplimiento de la certificación.</w:t>
      </w:r>
    </w:p>
    <w:p w14:paraId="08E10EAF" w14:textId="77777777" w:rsidR="00AD2E88" w:rsidRPr="002F794B" w:rsidRDefault="00AD2E88" w:rsidP="00DE0659"/>
    <w:p w14:paraId="6CDDBB3D" w14:textId="003F8028" w:rsidR="000057F6" w:rsidRPr="002F794B" w:rsidRDefault="000057F6" w:rsidP="000057F6">
      <w:pPr>
        <w:jc w:val="center"/>
        <w:outlineLvl w:val="0"/>
        <w:rPr>
          <w:b/>
          <w:bCs/>
          <w:u w:val="single"/>
        </w:rPr>
      </w:pPr>
      <w:r w:rsidRPr="002F794B">
        <w:rPr>
          <w:b/>
          <w:bCs/>
          <w:u w:val="single"/>
        </w:rPr>
        <w:t>ANEXO B</w:t>
      </w:r>
    </w:p>
    <w:p w14:paraId="027C0DE7" w14:textId="77777777" w:rsidR="00220EFB" w:rsidRPr="002F794B" w:rsidRDefault="00220EFB" w:rsidP="00220EFB">
      <w:pPr>
        <w:rPr>
          <w:u w:val="single"/>
        </w:rPr>
      </w:pPr>
      <w:r w:rsidRPr="002F794B">
        <w:rPr>
          <w:u w:val="single"/>
        </w:rPr>
        <w:t>Participante</w:t>
      </w:r>
    </w:p>
    <w:p w14:paraId="6C2E1ABA" w14:textId="13615D01" w:rsidR="00220EFB" w:rsidRPr="002F794B" w:rsidRDefault="00F102A1" w:rsidP="00220EFB">
      <w:r w:rsidRPr="002F794B">
        <w:t>LOGIS CONSULTORES S.A. de C.V.</w:t>
      </w:r>
    </w:p>
    <w:p w14:paraId="3FC43A2C" w14:textId="77777777" w:rsidR="00220EFB" w:rsidRPr="002F794B" w:rsidRDefault="00220EFB" w:rsidP="00220EFB">
      <w:pPr>
        <w:rPr>
          <w:u w:val="single"/>
        </w:rPr>
      </w:pPr>
      <w:r w:rsidRPr="002F794B">
        <w:rPr>
          <w:u w:val="single"/>
        </w:rPr>
        <w:t>Comentario y propuesta</w:t>
      </w:r>
    </w:p>
    <w:p w14:paraId="65F88A6A" w14:textId="04C11E9B" w:rsidR="00220EFB" w:rsidRPr="002F794B" w:rsidRDefault="002A5F56" w:rsidP="002A5F56">
      <w:pPr>
        <w:ind w:left="567" w:right="616"/>
        <w:rPr>
          <w:i/>
          <w:iCs/>
        </w:rPr>
      </w:pPr>
      <w:r w:rsidRPr="002F794B">
        <w:rPr>
          <w:i/>
          <w:iCs/>
        </w:rPr>
        <w:t>Aclarar las especificaciones del equipo de generación de señales que se debe utilizar para la realización de las pruebas.</w:t>
      </w:r>
    </w:p>
    <w:p w14:paraId="0AE2FBF2" w14:textId="77777777" w:rsidR="00220EFB" w:rsidRPr="002F794B" w:rsidRDefault="00220EFB" w:rsidP="00220EFB">
      <w:pPr>
        <w:rPr>
          <w:u w:val="single"/>
        </w:rPr>
      </w:pPr>
      <w:r w:rsidRPr="002F794B">
        <w:rPr>
          <w:u w:val="single"/>
        </w:rPr>
        <w:t>Respuesta</w:t>
      </w:r>
    </w:p>
    <w:p w14:paraId="061F869E" w14:textId="5742FBBC" w:rsidR="00220EFB" w:rsidRPr="002F794B" w:rsidRDefault="00AD2E88" w:rsidP="00DE0659">
      <w:r w:rsidRPr="002F794B">
        <w:t>No se considera. Se permite utilizar cualquier equipo generador de señal siempre y cuando la señal generada cumpla con los requisitos establecidos en el Anexo B de la DT.</w:t>
      </w:r>
    </w:p>
    <w:p w14:paraId="4AA3DE52" w14:textId="77777777" w:rsidR="00AD2E88" w:rsidRPr="002F794B" w:rsidRDefault="00AD2E88" w:rsidP="00DE0659"/>
    <w:p w14:paraId="510CE7D3" w14:textId="4067CA7D" w:rsidR="000057F6" w:rsidRPr="002F794B" w:rsidRDefault="000057F6" w:rsidP="000057F6">
      <w:pPr>
        <w:jc w:val="center"/>
        <w:outlineLvl w:val="0"/>
        <w:rPr>
          <w:b/>
          <w:bCs/>
          <w:u w:val="single"/>
        </w:rPr>
      </w:pPr>
      <w:r w:rsidRPr="002F794B">
        <w:rPr>
          <w:b/>
          <w:bCs/>
          <w:u w:val="single"/>
        </w:rPr>
        <w:t>ANEXO C</w:t>
      </w:r>
    </w:p>
    <w:p w14:paraId="77473DF5" w14:textId="007DE2D9" w:rsidR="00F33A79" w:rsidRPr="002F794B" w:rsidRDefault="002B2F82" w:rsidP="002B2F82">
      <w:pPr>
        <w:outlineLvl w:val="1"/>
        <w:rPr>
          <w:b/>
          <w:bCs/>
        </w:rPr>
      </w:pPr>
      <w:r w:rsidRPr="002F794B">
        <w:rPr>
          <w:b/>
          <w:bCs/>
        </w:rPr>
        <w:t xml:space="preserve">C.2 – Para </w:t>
      </w:r>
      <w:r w:rsidR="00835A24" w:rsidRPr="002F794B">
        <w:rPr>
          <w:b/>
          <w:bCs/>
        </w:rPr>
        <w:t>M</w:t>
      </w:r>
      <w:r w:rsidRPr="002F794B">
        <w:rPr>
          <w:b/>
          <w:bCs/>
        </w:rPr>
        <w:t>icrófonos inalámbricos</w:t>
      </w:r>
    </w:p>
    <w:p w14:paraId="2EEE37E3" w14:textId="184A590E" w:rsidR="00220EFB" w:rsidRPr="002F794B" w:rsidRDefault="00220EFB" w:rsidP="00220EFB">
      <w:pPr>
        <w:rPr>
          <w:u w:val="single"/>
        </w:rPr>
      </w:pPr>
      <w:r w:rsidRPr="002F794B">
        <w:rPr>
          <w:u w:val="single"/>
        </w:rPr>
        <w:t>Participante</w:t>
      </w:r>
    </w:p>
    <w:p w14:paraId="03E2D9AF" w14:textId="4B15A43B" w:rsidR="00220EFB" w:rsidRPr="002F794B" w:rsidRDefault="00F33A79" w:rsidP="00220EFB">
      <w:proofErr w:type="spellStart"/>
      <w:r w:rsidRPr="002F794B">
        <w:t>Shure</w:t>
      </w:r>
      <w:proofErr w:type="spellEnd"/>
      <w:r w:rsidRPr="002F794B">
        <w:t xml:space="preserve"> </w:t>
      </w:r>
      <w:proofErr w:type="spellStart"/>
      <w:r w:rsidRPr="002F794B">
        <w:t>Incorporated</w:t>
      </w:r>
      <w:proofErr w:type="spellEnd"/>
    </w:p>
    <w:p w14:paraId="30C5B65D" w14:textId="77777777" w:rsidR="00220EFB" w:rsidRPr="002F794B" w:rsidRDefault="00220EFB" w:rsidP="00220EFB">
      <w:pPr>
        <w:rPr>
          <w:u w:val="single"/>
        </w:rPr>
      </w:pPr>
      <w:r w:rsidRPr="002F794B">
        <w:rPr>
          <w:u w:val="single"/>
        </w:rPr>
        <w:lastRenderedPageBreak/>
        <w:t>Comentario y propuesta</w:t>
      </w:r>
    </w:p>
    <w:p w14:paraId="2BF1D292" w14:textId="1DD2336B" w:rsidR="00220EFB" w:rsidRPr="002F794B" w:rsidRDefault="00835A24" w:rsidP="00835A24">
      <w:pPr>
        <w:ind w:left="567" w:right="616"/>
        <w:rPr>
          <w:i/>
          <w:iCs/>
        </w:rPr>
      </w:pPr>
      <w:r w:rsidRPr="002F794B">
        <w:rPr>
          <w:i/>
          <w:iCs/>
        </w:rPr>
        <w:t xml:space="preserve">El rango del eje x en la Figura C.3 es </w:t>
      </w:r>
      <w:proofErr w:type="spellStart"/>
      <w:r w:rsidRPr="002F794B">
        <w:rPr>
          <w:i/>
          <w:iCs/>
        </w:rPr>
        <w:t>f</w:t>
      </w:r>
      <w:r w:rsidRPr="002F794B">
        <w:rPr>
          <w:i/>
          <w:iCs/>
          <w:vertAlign w:val="subscript"/>
        </w:rPr>
        <w:t>c</w:t>
      </w:r>
      <w:proofErr w:type="spellEnd"/>
      <w:r w:rsidRPr="002F794B">
        <w:rPr>
          <w:i/>
          <w:iCs/>
        </w:rPr>
        <w:t xml:space="preserve"> ± 5 x BWOC y se refiere a la Tabla</w:t>
      </w:r>
      <w:r w:rsidR="00565698" w:rsidRPr="002F794B">
        <w:rPr>
          <w:i/>
          <w:iCs/>
        </w:rPr>
        <w:t> </w:t>
      </w:r>
      <w:r w:rsidRPr="002F794B">
        <w:rPr>
          <w:i/>
          <w:iCs/>
        </w:rPr>
        <w:t xml:space="preserve">8. Sin embargo, el rango especificado es </w:t>
      </w:r>
      <w:proofErr w:type="spellStart"/>
      <w:r w:rsidRPr="002F794B">
        <w:rPr>
          <w:i/>
          <w:iCs/>
        </w:rPr>
        <w:t>f</w:t>
      </w:r>
      <w:r w:rsidRPr="002F794B">
        <w:rPr>
          <w:i/>
          <w:iCs/>
          <w:vertAlign w:val="subscript"/>
        </w:rPr>
        <w:t>c</w:t>
      </w:r>
      <w:proofErr w:type="spellEnd"/>
      <w:r w:rsidRPr="002F794B">
        <w:rPr>
          <w:i/>
          <w:iCs/>
        </w:rPr>
        <w:t xml:space="preserve"> ± 2.5 x BWOC. Además, como se explicó anteriormente, debería ser </w:t>
      </w:r>
      <w:proofErr w:type="spellStart"/>
      <w:r w:rsidRPr="002F794B">
        <w:rPr>
          <w:i/>
          <w:iCs/>
        </w:rPr>
        <w:t>f</w:t>
      </w:r>
      <w:r w:rsidRPr="002F794B">
        <w:rPr>
          <w:i/>
          <w:iCs/>
          <w:vertAlign w:val="subscript"/>
        </w:rPr>
        <w:t>c</w:t>
      </w:r>
      <w:proofErr w:type="spellEnd"/>
      <w:r w:rsidRPr="002F794B">
        <w:rPr>
          <w:i/>
          <w:iCs/>
        </w:rPr>
        <w:t xml:space="preserve"> ± 2.5 x BWMax. Lo mismo aplica para la Figura C.4.</w:t>
      </w:r>
    </w:p>
    <w:p w14:paraId="7727FB22" w14:textId="77777777" w:rsidR="00220EFB" w:rsidRPr="002F794B" w:rsidRDefault="00220EFB" w:rsidP="00220EFB">
      <w:pPr>
        <w:rPr>
          <w:u w:val="single"/>
        </w:rPr>
      </w:pPr>
      <w:r w:rsidRPr="002F794B">
        <w:rPr>
          <w:u w:val="single"/>
        </w:rPr>
        <w:t>Respuesta</w:t>
      </w:r>
    </w:p>
    <w:p w14:paraId="53DA4E39" w14:textId="398E3232" w:rsidR="00220EFB" w:rsidRPr="002F794B" w:rsidRDefault="002E29A6" w:rsidP="00220EFB">
      <w:r w:rsidRPr="002F794B">
        <w:t>Se considera y se revisan las figuras.</w:t>
      </w:r>
    </w:p>
    <w:p w14:paraId="4A18A7E7" w14:textId="77777777" w:rsidR="00220EFB" w:rsidRPr="002F794B" w:rsidRDefault="00220EFB" w:rsidP="00DE0659"/>
    <w:p w14:paraId="63BDE8D0" w14:textId="77777777" w:rsidR="00220EFB" w:rsidRPr="002F794B" w:rsidRDefault="00220EFB" w:rsidP="00220EFB">
      <w:pPr>
        <w:rPr>
          <w:u w:val="single"/>
        </w:rPr>
      </w:pPr>
      <w:r w:rsidRPr="002F794B">
        <w:rPr>
          <w:u w:val="single"/>
        </w:rPr>
        <w:t>Participante</w:t>
      </w:r>
    </w:p>
    <w:p w14:paraId="0799636F" w14:textId="69D8FD80" w:rsidR="00220EFB" w:rsidRPr="002F794B" w:rsidRDefault="00F61374" w:rsidP="00220EFB">
      <w:r w:rsidRPr="002F794B">
        <w:t>Cámara Nacional de la Industria Electrónica, de Telecomunicaciones y Tecnologías de la Información</w:t>
      </w:r>
    </w:p>
    <w:p w14:paraId="22885412" w14:textId="77777777" w:rsidR="00220EFB" w:rsidRPr="002F794B" w:rsidRDefault="00220EFB" w:rsidP="00220EFB">
      <w:pPr>
        <w:rPr>
          <w:u w:val="single"/>
        </w:rPr>
      </w:pPr>
      <w:r w:rsidRPr="002F794B">
        <w:rPr>
          <w:u w:val="single"/>
        </w:rPr>
        <w:t>Comentario y propuesta</w:t>
      </w:r>
    </w:p>
    <w:p w14:paraId="24F5BF43" w14:textId="77777777" w:rsidR="00A8703C" w:rsidRPr="002F794B" w:rsidRDefault="00A8703C" w:rsidP="00A8703C">
      <w:pPr>
        <w:ind w:left="567" w:right="616"/>
        <w:rPr>
          <w:b/>
          <w:i/>
          <w:iCs/>
        </w:rPr>
      </w:pPr>
      <w:r w:rsidRPr="002F794B">
        <w:rPr>
          <w:b/>
          <w:i/>
          <w:iCs/>
        </w:rPr>
        <w:t>DICE:</w:t>
      </w:r>
    </w:p>
    <w:p w14:paraId="02B723AB" w14:textId="77777777" w:rsidR="00A8703C" w:rsidRPr="002F794B" w:rsidRDefault="00A8703C" w:rsidP="00A8703C">
      <w:pPr>
        <w:ind w:left="567" w:right="616"/>
        <w:rPr>
          <w:b/>
          <w:i/>
          <w:iCs/>
        </w:rPr>
      </w:pPr>
      <w:bookmarkStart w:id="8" w:name="_Toc149121802"/>
      <w:r w:rsidRPr="002F794B">
        <w:rPr>
          <w:b/>
          <w:i/>
          <w:iCs/>
        </w:rPr>
        <w:t>C.2</w:t>
      </w:r>
      <w:r w:rsidRPr="002F794B">
        <w:rPr>
          <w:b/>
          <w:i/>
          <w:iCs/>
        </w:rPr>
        <w:tab/>
        <w:t>Para Micrófonos inalámbricos</w:t>
      </w:r>
      <w:bookmarkEnd w:id="8"/>
    </w:p>
    <w:p w14:paraId="46DFFEAF" w14:textId="5E396C53" w:rsidR="00A8703C" w:rsidRPr="002F794B" w:rsidRDefault="00A8703C" w:rsidP="00A8703C">
      <w:pPr>
        <w:ind w:left="567" w:right="616"/>
        <w:rPr>
          <w:i/>
          <w:iCs/>
        </w:rPr>
      </w:pPr>
      <w:r w:rsidRPr="002F794B">
        <w:rPr>
          <w:i/>
          <w:iCs/>
        </w:rPr>
        <w:t>Representación gráfica de los límites de Emisiones fuera de banda establecidos en la Tabla 8:</w:t>
      </w:r>
    </w:p>
    <w:p w14:paraId="40E0355A" w14:textId="5BFD89BD" w:rsidR="003F24BD" w:rsidRPr="002F794B" w:rsidRDefault="00D3191C" w:rsidP="00B86E8E">
      <w:pPr>
        <w:ind w:left="567" w:right="616"/>
        <w:jc w:val="center"/>
        <w:rPr>
          <w:i/>
          <w:iCs/>
        </w:rPr>
      </w:pPr>
      <w:r w:rsidRPr="002F794B">
        <w:rPr>
          <w:rFonts w:asciiTheme="minorHAnsi" w:hAnsiTheme="minorHAnsi" w:cstheme="minorHAnsi"/>
          <w:noProof/>
          <w:sz w:val="16"/>
          <w:szCs w:val="16"/>
          <w:lang w:val="en-US"/>
        </w:rPr>
        <w:drawing>
          <wp:anchor distT="0" distB="0" distL="114300" distR="114300" simplePos="0" relativeHeight="251658261" behindDoc="0" locked="0" layoutInCell="1" allowOverlap="1" wp14:anchorId="68E786FB" wp14:editId="77A9826A">
            <wp:simplePos x="0" y="0"/>
            <wp:positionH relativeFrom="margin">
              <wp:posOffset>1446934</wp:posOffset>
            </wp:positionH>
            <wp:positionV relativeFrom="page">
              <wp:posOffset>1995055</wp:posOffset>
            </wp:positionV>
            <wp:extent cx="2854325" cy="2263775"/>
            <wp:effectExtent l="0" t="0" r="3175" b="3175"/>
            <wp:wrapTopAndBottom/>
            <wp:docPr id="19" name="Imagen 1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de líneas&#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4325" cy="2263775"/>
                    </a:xfrm>
                    <a:prstGeom prst="rect">
                      <a:avLst/>
                    </a:prstGeom>
                  </pic:spPr>
                </pic:pic>
              </a:graphicData>
            </a:graphic>
            <wp14:sizeRelH relativeFrom="margin">
              <wp14:pctWidth>0</wp14:pctWidth>
            </wp14:sizeRelH>
            <wp14:sizeRelV relativeFrom="margin">
              <wp14:pctHeight>0</wp14:pctHeight>
            </wp14:sizeRelV>
          </wp:anchor>
        </w:drawing>
      </w:r>
      <w:r w:rsidR="003F24BD" w:rsidRPr="002F794B">
        <w:rPr>
          <w:i/>
          <w:iCs/>
        </w:rPr>
        <w:t>Figura C.3. Contorno de las emisiones fuera de banda para micrófonos inalámbricos con modulación digital.</w:t>
      </w:r>
    </w:p>
    <w:p w14:paraId="630DF999" w14:textId="339D6086" w:rsidR="00220EFB" w:rsidRPr="002F794B" w:rsidRDefault="003F24BD" w:rsidP="003F24BD">
      <w:pPr>
        <w:ind w:left="567" w:right="616"/>
        <w:rPr>
          <w:i/>
          <w:iCs/>
        </w:rPr>
      </w:pPr>
      <w:r w:rsidRPr="002F794B">
        <w:rPr>
          <w:i/>
          <w:iCs/>
        </w:rPr>
        <w:t>Representación gráfica de los límites de Emisiones fuera de banda establecidos en la Tabla 10:</w:t>
      </w:r>
    </w:p>
    <w:p w14:paraId="2A6A99A8" w14:textId="0AF690E6" w:rsidR="00D3191C" w:rsidRPr="002F794B" w:rsidRDefault="00D3191C" w:rsidP="00D3191C">
      <w:pPr>
        <w:ind w:left="567" w:right="616"/>
        <w:jc w:val="center"/>
        <w:rPr>
          <w:i/>
          <w:iCs/>
        </w:rPr>
      </w:pPr>
      <w:r w:rsidRPr="002F794B">
        <w:rPr>
          <w:rFonts w:asciiTheme="minorHAnsi" w:hAnsiTheme="minorHAnsi" w:cstheme="minorHAnsi"/>
          <w:noProof/>
          <w:sz w:val="16"/>
          <w:szCs w:val="16"/>
          <w:lang w:val="en-US"/>
        </w:rPr>
        <w:lastRenderedPageBreak/>
        <w:drawing>
          <wp:anchor distT="0" distB="0" distL="114300" distR="114300" simplePos="0" relativeHeight="251658262" behindDoc="0" locked="0" layoutInCell="1" allowOverlap="1" wp14:anchorId="7C79B2B0" wp14:editId="5B69748F">
            <wp:simplePos x="0" y="0"/>
            <wp:positionH relativeFrom="margin">
              <wp:align>center</wp:align>
            </wp:positionH>
            <wp:positionV relativeFrom="paragraph">
              <wp:posOffset>693</wp:posOffset>
            </wp:positionV>
            <wp:extent cx="2908800" cy="2304000"/>
            <wp:effectExtent l="0" t="0" r="6350" b="1270"/>
            <wp:wrapTopAndBottom/>
            <wp:docPr id="20" name="Imagen 20"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Rectángulo&#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08800" cy="2304000"/>
                    </a:xfrm>
                    <a:prstGeom prst="rect">
                      <a:avLst/>
                    </a:prstGeom>
                  </pic:spPr>
                </pic:pic>
              </a:graphicData>
            </a:graphic>
            <wp14:sizeRelH relativeFrom="margin">
              <wp14:pctWidth>0</wp14:pctWidth>
            </wp14:sizeRelH>
            <wp14:sizeRelV relativeFrom="margin">
              <wp14:pctHeight>0</wp14:pctHeight>
            </wp14:sizeRelV>
          </wp:anchor>
        </w:drawing>
      </w:r>
      <w:r w:rsidRPr="002F794B">
        <w:rPr>
          <w:i/>
          <w:iCs/>
        </w:rPr>
        <w:t>Figura C.4. Contorno de las emisiones fuera de banda para WMAS</w:t>
      </w:r>
    </w:p>
    <w:p w14:paraId="56959055" w14:textId="77777777" w:rsidR="00D3191C" w:rsidRPr="002F794B" w:rsidRDefault="00D3191C" w:rsidP="00D3191C">
      <w:pPr>
        <w:ind w:left="567" w:right="616"/>
        <w:rPr>
          <w:b/>
          <w:i/>
          <w:iCs/>
        </w:rPr>
      </w:pPr>
      <w:r w:rsidRPr="002F794B">
        <w:rPr>
          <w:b/>
          <w:i/>
          <w:iCs/>
        </w:rPr>
        <w:t xml:space="preserve">COMENTARIO: </w:t>
      </w:r>
    </w:p>
    <w:p w14:paraId="42CEDF9A" w14:textId="77777777" w:rsidR="00D3191C" w:rsidRPr="002F794B" w:rsidRDefault="00D3191C" w:rsidP="00D3191C">
      <w:pPr>
        <w:ind w:left="567" w:right="616"/>
        <w:rPr>
          <w:i/>
          <w:iCs/>
        </w:rPr>
      </w:pPr>
      <w:r w:rsidRPr="002F794B">
        <w:rPr>
          <w:i/>
          <w:iCs/>
        </w:rPr>
        <w:t>En el apéndice C.2 para Micrófonos inalámbricos, no se indica la representación gráfica del contorno de las emisiones fuera de banda para micrófonos inalámbricos analógicos.</w:t>
      </w:r>
    </w:p>
    <w:p w14:paraId="6669A960" w14:textId="1564DECE" w:rsidR="003F24BD" w:rsidRPr="002F794B" w:rsidRDefault="00D3191C" w:rsidP="00D3191C">
      <w:pPr>
        <w:ind w:left="567" w:right="616"/>
        <w:rPr>
          <w:i/>
          <w:iCs/>
        </w:rPr>
      </w:pPr>
      <w:r w:rsidRPr="002F794B">
        <w:rPr>
          <w:i/>
          <w:iCs/>
        </w:rPr>
        <w:t>¿Se deberá usar la gráfica C1 para DRBP genéricos o se propondrá una nueva grafica para los micrófonos analógicos?</w:t>
      </w:r>
    </w:p>
    <w:p w14:paraId="0CE7ED52" w14:textId="77777777" w:rsidR="00A8703C" w:rsidRPr="002F794B" w:rsidRDefault="00A8703C" w:rsidP="00220EFB">
      <w:pPr>
        <w:ind w:left="567" w:right="616"/>
        <w:rPr>
          <w:i/>
          <w:iCs/>
        </w:rPr>
      </w:pPr>
    </w:p>
    <w:p w14:paraId="2A2D523A" w14:textId="77777777" w:rsidR="00220EFB" w:rsidRPr="002F794B" w:rsidRDefault="00220EFB" w:rsidP="00220EFB">
      <w:pPr>
        <w:rPr>
          <w:u w:val="single"/>
        </w:rPr>
      </w:pPr>
      <w:r w:rsidRPr="002F794B">
        <w:rPr>
          <w:u w:val="single"/>
        </w:rPr>
        <w:t>Respuesta</w:t>
      </w:r>
    </w:p>
    <w:p w14:paraId="27B84746" w14:textId="579D866F" w:rsidR="00220EFB" w:rsidRPr="002F794B" w:rsidRDefault="002E29A6" w:rsidP="00220EFB">
      <w:r w:rsidRPr="002F794B">
        <w:t>Se considera y se agrega el contorno para Micrófonos inalámbricos analógicos.</w:t>
      </w:r>
    </w:p>
    <w:p w14:paraId="2A3F9182" w14:textId="77777777" w:rsidR="00220EFB" w:rsidRPr="002F794B" w:rsidRDefault="00220EFB" w:rsidP="00DE0659"/>
    <w:p w14:paraId="6FA0F1FF" w14:textId="10398291" w:rsidR="009621BC" w:rsidRPr="002F794B" w:rsidRDefault="009621BC" w:rsidP="009621BC">
      <w:pPr>
        <w:jc w:val="center"/>
        <w:outlineLvl w:val="0"/>
        <w:rPr>
          <w:b/>
          <w:bCs/>
          <w:u w:val="single"/>
        </w:rPr>
      </w:pPr>
      <w:r w:rsidRPr="002F794B">
        <w:rPr>
          <w:b/>
          <w:bCs/>
          <w:u w:val="single"/>
        </w:rPr>
        <w:t>COMENTARIOS GENERALES</w:t>
      </w:r>
    </w:p>
    <w:p w14:paraId="35216133" w14:textId="77777777" w:rsidR="00220EFB" w:rsidRPr="002F794B" w:rsidRDefault="00220EFB" w:rsidP="00220EFB">
      <w:pPr>
        <w:rPr>
          <w:u w:val="single"/>
        </w:rPr>
      </w:pPr>
      <w:r w:rsidRPr="002F794B">
        <w:rPr>
          <w:u w:val="single"/>
        </w:rPr>
        <w:t>Participante</w:t>
      </w:r>
    </w:p>
    <w:p w14:paraId="5C9AA171" w14:textId="1DD86890" w:rsidR="00220EFB" w:rsidRPr="002F794B" w:rsidRDefault="002819CE" w:rsidP="00220EFB">
      <w:r w:rsidRPr="002F794B">
        <w:t>Colegio de Peritos en Telecomunicaciones y Radiodifusión, A.C.</w:t>
      </w:r>
    </w:p>
    <w:p w14:paraId="33304391" w14:textId="77777777" w:rsidR="00220EFB" w:rsidRPr="002F794B" w:rsidRDefault="00220EFB" w:rsidP="00220EFB">
      <w:pPr>
        <w:rPr>
          <w:u w:val="single"/>
        </w:rPr>
      </w:pPr>
      <w:r w:rsidRPr="002F794B">
        <w:rPr>
          <w:u w:val="single"/>
        </w:rPr>
        <w:t>Comentario y propuesta</w:t>
      </w:r>
    </w:p>
    <w:p w14:paraId="699F8631" w14:textId="28C8B322" w:rsidR="00403116" w:rsidRPr="002F794B" w:rsidRDefault="00403116" w:rsidP="00220EFB">
      <w:pPr>
        <w:ind w:left="567" w:right="616"/>
        <w:rPr>
          <w:i/>
          <w:iCs/>
        </w:rPr>
      </w:pPr>
      <w:r w:rsidRPr="002F794B">
        <w:rPr>
          <w:i/>
          <w:iCs/>
        </w:rPr>
        <w:t>(…)</w:t>
      </w:r>
    </w:p>
    <w:p w14:paraId="5D9CF182" w14:textId="091444C9" w:rsidR="00220EFB" w:rsidRPr="002F794B" w:rsidRDefault="00403116" w:rsidP="00220EFB">
      <w:pPr>
        <w:ind w:left="567" w:right="616"/>
        <w:rPr>
          <w:i/>
          <w:iCs/>
        </w:rPr>
      </w:pPr>
      <w:r w:rsidRPr="002F794B">
        <w:rPr>
          <w:i/>
          <w:iCs/>
        </w:rPr>
        <w:t>Por lo anteriormente expuesto, el Colegio de Peritos en Telecomunicaciones, COPETERA, solicita de la manera más atenta que no se publique la Disposición técnica en consulta. Es imperativo abordar las ambigüedades y omisiones señaladas previamente antes de proceder con su publicación, a fin de garantizar una regulación clara y efectiva en el ámbito de las telecomunicaciones.</w:t>
      </w:r>
    </w:p>
    <w:p w14:paraId="68E9EE47" w14:textId="77777777" w:rsidR="00220EFB" w:rsidRPr="002F794B" w:rsidRDefault="00220EFB" w:rsidP="00220EFB">
      <w:pPr>
        <w:rPr>
          <w:u w:val="single"/>
        </w:rPr>
      </w:pPr>
      <w:r w:rsidRPr="002F794B">
        <w:rPr>
          <w:u w:val="single"/>
        </w:rPr>
        <w:t>Respuesta</w:t>
      </w:r>
    </w:p>
    <w:p w14:paraId="716702C4" w14:textId="6D0E01D1" w:rsidR="00220EFB" w:rsidRPr="002F794B" w:rsidRDefault="00403116" w:rsidP="00220EFB">
      <w:r w:rsidRPr="002F794B">
        <w:lastRenderedPageBreak/>
        <w:t>No se considera</w:t>
      </w:r>
      <w:r w:rsidR="00C37575" w:rsidRPr="002F794B">
        <w:t>.</w:t>
      </w:r>
    </w:p>
    <w:p w14:paraId="413BFB38" w14:textId="77777777" w:rsidR="00220EFB" w:rsidRPr="002F794B" w:rsidRDefault="00220EFB" w:rsidP="00DE0659"/>
    <w:p w14:paraId="2361B785" w14:textId="77777777" w:rsidR="00220EFB" w:rsidRPr="002F794B" w:rsidRDefault="00220EFB" w:rsidP="00220EFB">
      <w:pPr>
        <w:rPr>
          <w:u w:val="single"/>
        </w:rPr>
      </w:pPr>
      <w:r w:rsidRPr="002F794B">
        <w:rPr>
          <w:u w:val="single"/>
        </w:rPr>
        <w:t>Participante</w:t>
      </w:r>
    </w:p>
    <w:p w14:paraId="76CA23AF" w14:textId="6ED84FC6" w:rsidR="00220EFB" w:rsidRPr="002F794B" w:rsidRDefault="00582A0A" w:rsidP="00220EFB">
      <w:r w:rsidRPr="002F794B">
        <w:t>Cámara Nacional de la Industria Electrónica, de Telecomunicaciones y Tecnologías de la Información</w:t>
      </w:r>
    </w:p>
    <w:p w14:paraId="43C7DD85" w14:textId="77777777" w:rsidR="00220EFB" w:rsidRPr="002F794B" w:rsidRDefault="00220EFB" w:rsidP="00220EFB">
      <w:pPr>
        <w:rPr>
          <w:u w:val="single"/>
        </w:rPr>
      </w:pPr>
      <w:r w:rsidRPr="002F794B">
        <w:rPr>
          <w:u w:val="single"/>
        </w:rPr>
        <w:t>Comentario y propuesta</w:t>
      </w:r>
    </w:p>
    <w:p w14:paraId="658A1559" w14:textId="7AF97942" w:rsidR="00220EFB" w:rsidRPr="002F794B" w:rsidRDefault="009C093C" w:rsidP="00220EFB">
      <w:pPr>
        <w:ind w:left="567" w:right="616"/>
        <w:rPr>
          <w:i/>
          <w:iCs/>
        </w:rPr>
      </w:pPr>
      <w:r w:rsidRPr="002F794B">
        <w:rPr>
          <w:b/>
          <w:i/>
          <w:iCs/>
          <w:lang w:val="es-PA"/>
        </w:rPr>
        <w:t xml:space="preserve">Se solicita atentamente </w:t>
      </w:r>
      <w:r w:rsidRPr="002F794B">
        <w:rPr>
          <w:i/>
          <w:iCs/>
          <w:lang w:val="es-PA"/>
        </w:rPr>
        <w:t>al IFT, confirmar que se permitirá que los productos que ya están homologados, y que debido a cambios o modificaciones realizados en el equipo requieran ensayarse bajo la nueva DT-IFT-016, mantengan su mismo número de homologación de IFT.</w:t>
      </w:r>
    </w:p>
    <w:p w14:paraId="7D61F5F5" w14:textId="77777777" w:rsidR="00220EFB" w:rsidRPr="002F794B" w:rsidRDefault="00220EFB" w:rsidP="00220EFB">
      <w:pPr>
        <w:rPr>
          <w:u w:val="single"/>
        </w:rPr>
      </w:pPr>
      <w:r w:rsidRPr="002F794B">
        <w:rPr>
          <w:u w:val="single"/>
        </w:rPr>
        <w:t>Respuesta</w:t>
      </w:r>
    </w:p>
    <w:p w14:paraId="3225B729" w14:textId="346BC15B" w:rsidR="00220EFB" w:rsidRPr="002F794B" w:rsidRDefault="00C37575" w:rsidP="00220EFB">
      <w:r w:rsidRPr="002F794B">
        <w:t>No se considera. Lo anterior se especifica en los Lineamientos de Homologación emitidos por el Instituto.</w:t>
      </w:r>
    </w:p>
    <w:p w14:paraId="4491AB34" w14:textId="77777777" w:rsidR="00220EFB" w:rsidRPr="002F794B" w:rsidRDefault="00220EFB" w:rsidP="00DE0659"/>
    <w:p w14:paraId="3199D8D5" w14:textId="77777777" w:rsidR="00220EFB" w:rsidRPr="002F794B" w:rsidRDefault="00220EFB" w:rsidP="00220EFB">
      <w:pPr>
        <w:rPr>
          <w:u w:val="single"/>
        </w:rPr>
      </w:pPr>
      <w:r w:rsidRPr="002F794B">
        <w:rPr>
          <w:u w:val="single"/>
        </w:rPr>
        <w:t>Participante</w:t>
      </w:r>
    </w:p>
    <w:p w14:paraId="76203EA3" w14:textId="34A3DA63" w:rsidR="00220EFB" w:rsidRPr="002F794B" w:rsidRDefault="00F261FC" w:rsidP="00220EFB">
      <w:r w:rsidRPr="002F794B">
        <w:t>Cámara Nacional de la Industria Electrónica, de Telecomunicaciones y Tecnologías de la Información</w:t>
      </w:r>
    </w:p>
    <w:p w14:paraId="4E0FFC8F" w14:textId="77777777" w:rsidR="00220EFB" w:rsidRPr="002F794B" w:rsidRDefault="00220EFB" w:rsidP="00220EFB">
      <w:pPr>
        <w:rPr>
          <w:u w:val="single"/>
        </w:rPr>
      </w:pPr>
      <w:r w:rsidRPr="002F794B">
        <w:rPr>
          <w:u w:val="single"/>
        </w:rPr>
        <w:t>Comentario y propuesta</w:t>
      </w:r>
    </w:p>
    <w:p w14:paraId="5E9BF2B0" w14:textId="77777777" w:rsidR="00B422E6" w:rsidRPr="002F794B" w:rsidRDefault="00B422E6" w:rsidP="00B422E6">
      <w:pPr>
        <w:ind w:left="567" w:right="616"/>
        <w:rPr>
          <w:i/>
          <w:iCs/>
        </w:rPr>
      </w:pPr>
      <w:r w:rsidRPr="002F794B">
        <w:rPr>
          <w:b/>
          <w:i/>
          <w:iCs/>
        </w:rPr>
        <w:t>Respecto</w:t>
      </w:r>
      <w:r w:rsidRPr="002F794B">
        <w:rPr>
          <w:i/>
          <w:iCs/>
        </w:rPr>
        <w:t xml:space="preserve"> al uso de frecuencias y reacomodo de éstas para el uso de nuevas tecnologías, surgen dudas sobre el correcto uso del espectro radioeléctrico las cuales se expresan a continuación:</w:t>
      </w:r>
    </w:p>
    <w:p w14:paraId="1FBA2953" w14:textId="77777777" w:rsidR="00B422E6" w:rsidRPr="002F794B" w:rsidRDefault="00B422E6" w:rsidP="00B422E6">
      <w:pPr>
        <w:pStyle w:val="Prrafodelista"/>
        <w:numPr>
          <w:ilvl w:val="0"/>
          <w:numId w:val="15"/>
        </w:numPr>
        <w:ind w:right="616"/>
        <w:rPr>
          <w:i/>
          <w:iCs/>
        </w:rPr>
      </w:pPr>
      <w:r w:rsidRPr="002F794B">
        <w:rPr>
          <w:i/>
          <w:iCs/>
        </w:rPr>
        <w:t>¿El segmento de 614 a 698 MHz seguirá libre y se podría usar para micrófonos inalámbricos?</w:t>
      </w:r>
    </w:p>
    <w:p w14:paraId="43D01165" w14:textId="77777777" w:rsidR="00B422E6" w:rsidRPr="002F794B" w:rsidRDefault="00B422E6" w:rsidP="00B422E6">
      <w:pPr>
        <w:pStyle w:val="Prrafodelista"/>
        <w:numPr>
          <w:ilvl w:val="0"/>
          <w:numId w:val="15"/>
        </w:numPr>
        <w:ind w:right="616"/>
        <w:rPr>
          <w:i/>
          <w:iCs/>
        </w:rPr>
      </w:pPr>
      <w:r w:rsidRPr="002F794B">
        <w:rPr>
          <w:i/>
          <w:iCs/>
        </w:rPr>
        <w:t>El segmento de 174 a 216MHz, se usaba para TV analógica VHF. ¿Se podrá usar para micrófonos inalámbricos?</w:t>
      </w:r>
    </w:p>
    <w:p w14:paraId="20382B08" w14:textId="77777777" w:rsidR="00B422E6" w:rsidRPr="002F794B" w:rsidRDefault="00B422E6" w:rsidP="00B422E6">
      <w:pPr>
        <w:pStyle w:val="Prrafodelista"/>
        <w:numPr>
          <w:ilvl w:val="0"/>
          <w:numId w:val="15"/>
        </w:numPr>
        <w:ind w:right="616"/>
        <w:rPr>
          <w:i/>
          <w:iCs/>
        </w:rPr>
      </w:pPr>
      <w:r w:rsidRPr="002F794B">
        <w:rPr>
          <w:i/>
          <w:iCs/>
        </w:rPr>
        <w:t xml:space="preserve">Para el segmento de 614 - 698 MHz, en caso de que se otorgue en concesión, ¿se podrán usar las bandas de guarda y el gap </w:t>
      </w:r>
      <w:proofErr w:type="spellStart"/>
      <w:r w:rsidRPr="002F794B">
        <w:rPr>
          <w:i/>
          <w:iCs/>
        </w:rPr>
        <w:t>duplex</w:t>
      </w:r>
      <w:proofErr w:type="spellEnd"/>
      <w:r w:rsidRPr="002F794B">
        <w:rPr>
          <w:i/>
          <w:iCs/>
        </w:rPr>
        <w:t xml:space="preserve"> 652 - 663 MHz en caso de haber servicios de telefonía celular?</w:t>
      </w:r>
    </w:p>
    <w:p w14:paraId="5658D1D7" w14:textId="25D7957E" w:rsidR="00220EFB" w:rsidRPr="002F794B" w:rsidRDefault="00B422E6" w:rsidP="00B422E6">
      <w:pPr>
        <w:pStyle w:val="Prrafodelista"/>
        <w:numPr>
          <w:ilvl w:val="0"/>
          <w:numId w:val="15"/>
        </w:numPr>
        <w:ind w:right="616"/>
        <w:rPr>
          <w:i/>
          <w:iCs/>
        </w:rPr>
      </w:pPr>
      <w:r w:rsidRPr="002F794B">
        <w:rPr>
          <w:i/>
          <w:iCs/>
        </w:rPr>
        <w:t>¿Se puede utilizar el segmento entre 698 - 758 MHz?</w:t>
      </w:r>
    </w:p>
    <w:p w14:paraId="2877016B" w14:textId="77777777" w:rsidR="00220EFB" w:rsidRPr="002F794B" w:rsidRDefault="00220EFB" w:rsidP="00220EFB">
      <w:pPr>
        <w:rPr>
          <w:u w:val="single"/>
        </w:rPr>
      </w:pPr>
      <w:r w:rsidRPr="002F794B">
        <w:rPr>
          <w:u w:val="single"/>
        </w:rPr>
        <w:t>Respuesta</w:t>
      </w:r>
    </w:p>
    <w:p w14:paraId="5947C693" w14:textId="42807DDB" w:rsidR="00220EFB" w:rsidRPr="002F794B" w:rsidRDefault="00AF651F" w:rsidP="00DE0659">
      <w:r w:rsidRPr="002F794B">
        <w:t>Se eliminaron de la DT las bandas de frecuencias mencionadas.</w:t>
      </w:r>
    </w:p>
    <w:p w14:paraId="182F1F81" w14:textId="77777777" w:rsidR="00AF651F" w:rsidRPr="002F794B" w:rsidRDefault="00AF651F" w:rsidP="00DE0659"/>
    <w:p w14:paraId="676C5C29" w14:textId="77777777" w:rsidR="00220EFB" w:rsidRPr="002F794B" w:rsidRDefault="00220EFB" w:rsidP="00220EFB">
      <w:pPr>
        <w:rPr>
          <w:u w:val="single"/>
        </w:rPr>
      </w:pPr>
      <w:r w:rsidRPr="002F794B">
        <w:rPr>
          <w:u w:val="single"/>
        </w:rPr>
        <w:lastRenderedPageBreak/>
        <w:t>Participante</w:t>
      </w:r>
    </w:p>
    <w:p w14:paraId="43187CB7" w14:textId="6DC3E002" w:rsidR="00220EFB" w:rsidRPr="002F794B" w:rsidRDefault="003D795F" w:rsidP="00220EFB">
      <w:r w:rsidRPr="002F794B">
        <w:t>Cámara Nacional de la Industria Electrónica, de Telecomunicaciones y Tecnologías de la Información</w:t>
      </w:r>
    </w:p>
    <w:p w14:paraId="1D7560EF" w14:textId="77777777" w:rsidR="00220EFB" w:rsidRPr="002F794B" w:rsidRDefault="00220EFB" w:rsidP="00220EFB">
      <w:pPr>
        <w:rPr>
          <w:u w:val="single"/>
        </w:rPr>
      </w:pPr>
      <w:r w:rsidRPr="002F794B">
        <w:rPr>
          <w:u w:val="single"/>
        </w:rPr>
        <w:t>Comentario y propuesta</w:t>
      </w:r>
    </w:p>
    <w:p w14:paraId="3B146C3E" w14:textId="5409A8A4" w:rsidR="00220EFB" w:rsidRPr="002F794B" w:rsidRDefault="00697AC0" w:rsidP="00220EFB">
      <w:pPr>
        <w:ind w:left="567" w:right="616"/>
        <w:rPr>
          <w:i/>
          <w:iCs/>
        </w:rPr>
      </w:pPr>
      <w:r w:rsidRPr="002F794B">
        <w:rPr>
          <w:b/>
          <w:i/>
          <w:iCs/>
        </w:rPr>
        <w:t>Se solicita</w:t>
      </w:r>
      <w:r w:rsidRPr="002F794B">
        <w:rPr>
          <w:i/>
          <w:iCs/>
        </w:rPr>
        <w:t xml:space="preserve"> aclarar en todas las secciones relacionadas con el sitio de pruebas (cámara anecoica), si este debe ser una cámara completamente anecoica o puede ser </w:t>
      </w:r>
      <w:proofErr w:type="spellStart"/>
      <w:r w:rsidRPr="002F794B">
        <w:rPr>
          <w:i/>
          <w:iCs/>
        </w:rPr>
        <w:t>semi-anecoica</w:t>
      </w:r>
      <w:proofErr w:type="spellEnd"/>
      <w:r w:rsidRPr="002F794B">
        <w:rPr>
          <w:i/>
          <w:iCs/>
        </w:rPr>
        <w:t>, como ya se describe en otras Disposiciones Técnicas.</w:t>
      </w:r>
    </w:p>
    <w:p w14:paraId="198961F0" w14:textId="77777777" w:rsidR="00220EFB" w:rsidRPr="002F794B" w:rsidRDefault="00220EFB" w:rsidP="00220EFB">
      <w:pPr>
        <w:rPr>
          <w:u w:val="single"/>
        </w:rPr>
      </w:pPr>
      <w:r w:rsidRPr="002F794B">
        <w:rPr>
          <w:u w:val="single"/>
        </w:rPr>
        <w:t>Respuesta</w:t>
      </w:r>
    </w:p>
    <w:p w14:paraId="77FE0756" w14:textId="1CA4C02E" w:rsidR="00220EFB" w:rsidRPr="002F794B" w:rsidRDefault="00C21D88" w:rsidP="00DE0659">
      <w:r w:rsidRPr="002F794B">
        <w:t>No se considera. El numeral 8.2 de la DT establece que debe utilizar una cámara anecoica para realizar las mediciones.</w:t>
      </w:r>
    </w:p>
    <w:p w14:paraId="3D6366FE" w14:textId="77777777" w:rsidR="00C21D88" w:rsidRPr="002F794B" w:rsidRDefault="00C21D88" w:rsidP="00DE0659"/>
    <w:p w14:paraId="4479F87A" w14:textId="77777777" w:rsidR="00220EFB" w:rsidRPr="002F794B" w:rsidRDefault="00220EFB" w:rsidP="00220EFB">
      <w:pPr>
        <w:rPr>
          <w:u w:val="single"/>
        </w:rPr>
      </w:pPr>
      <w:r w:rsidRPr="002F794B">
        <w:rPr>
          <w:u w:val="single"/>
        </w:rPr>
        <w:t>Participante</w:t>
      </w:r>
    </w:p>
    <w:p w14:paraId="163E37B1" w14:textId="01D2880F" w:rsidR="00220EFB" w:rsidRPr="002F794B" w:rsidRDefault="003779EC" w:rsidP="00220EFB">
      <w:r w:rsidRPr="002F794B">
        <w:t>Cámara Nacional de la Industria Electrónica, de Telecomunicaciones y Tecnologías de la Información</w:t>
      </w:r>
    </w:p>
    <w:p w14:paraId="6BEB2CD5" w14:textId="77777777" w:rsidR="00220EFB" w:rsidRPr="002F794B" w:rsidRDefault="00220EFB" w:rsidP="00220EFB">
      <w:pPr>
        <w:rPr>
          <w:u w:val="single"/>
        </w:rPr>
      </w:pPr>
      <w:r w:rsidRPr="002F794B">
        <w:rPr>
          <w:u w:val="single"/>
        </w:rPr>
        <w:t>Comentario y propuesta</w:t>
      </w:r>
    </w:p>
    <w:p w14:paraId="3823D5AD" w14:textId="04D9F11A" w:rsidR="00220EFB" w:rsidRPr="002F794B" w:rsidRDefault="000B6ABC" w:rsidP="00220EFB">
      <w:pPr>
        <w:ind w:left="567" w:right="616"/>
        <w:rPr>
          <w:i/>
          <w:iCs/>
        </w:rPr>
      </w:pPr>
      <w:r w:rsidRPr="002F794B">
        <w:rPr>
          <w:b/>
          <w:i/>
          <w:iCs/>
        </w:rPr>
        <w:t>Según</w:t>
      </w:r>
      <w:r w:rsidRPr="002F794B">
        <w:rPr>
          <w:i/>
          <w:iCs/>
        </w:rPr>
        <w:t xml:space="preserve"> el cuadro de concordancias internacionales, la ETSI EN 300 440 “Short Range Devices (SRD); Radio </w:t>
      </w:r>
      <w:proofErr w:type="spellStart"/>
      <w:r w:rsidRPr="002F794B">
        <w:rPr>
          <w:i/>
          <w:iCs/>
        </w:rPr>
        <w:t>equipment</w:t>
      </w:r>
      <w:proofErr w:type="spellEnd"/>
      <w:r w:rsidRPr="002F794B">
        <w:rPr>
          <w:i/>
          <w:iCs/>
        </w:rPr>
        <w:t xml:space="preserve"> to be </w:t>
      </w:r>
      <w:proofErr w:type="spellStart"/>
      <w:r w:rsidRPr="002F794B">
        <w:rPr>
          <w:i/>
          <w:iCs/>
        </w:rPr>
        <w:t>used</w:t>
      </w:r>
      <w:proofErr w:type="spellEnd"/>
      <w:r w:rsidRPr="002F794B">
        <w:rPr>
          <w:i/>
          <w:iCs/>
        </w:rPr>
        <w:t xml:space="preserve"> in the 1 GHz to 40 GHz </w:t>
      </w:r>
      <w:proofErr w:type="spellStart"/>
      <w:r w:rsidRPr="002F794B">
        <w:rPr>
          <w:i/>
          <w:iCs/>
        </w:rPr>
        <w:t>frequency</w:t>
      </w:r>
      <w:proofErr w:type="spellEnd"/>
      <w:r w:rsidRPr="002F794B">
        <w:rPr>
          <w:i/>
          <w:iCs/>
        </w:rPr>
        <w:t xml:space="preserve"> </w:t>
      </w:r>
      <w:proofErr w:type="spellStart"/>
      <w:r w:rsidRPr="002F794B">
        <w:rPr>
          <w:i/>
          <w:iCs/>
        </w:rPr>
        <w:t>range</w:t>
      </w:r>
      <w:proofErr w:type="spellEnd"/>
      <w:r w:rsidRPr="002F794B">
        <w:rPr>
          <w:i/>
          <w:iCs/>
        </w:rPr>
        <w:t xml:space="preserve">; </w:t>
      </w:r>
      <w:proofErr w:type="spellStart"/>
      <w:r w:rsidRPr="002F794B">
        <w:rPr>
          <w:i/>
          <w:iCs/>
        </w:rPr>
        <w:t>Harmonised</w:t>
      </w:r>
      <w:proofErr w:type="spellEnd"/>
      <w:r w:rsidRPr="002F794B">
        <w:rPr>
          <w:i/>
          <w:iCs/>
        </w:rPr>
        <w:t xml:space="preserve"> Standard for </w:t>
      </w:r>
      <w:proofErr w:type="spellStart"/>
      <w:r w:rsidRPr="002F794B">
        <w:rPr>
          <w:i/>
          <w:iCs/>
        </w:rPr>
        <w:t>access</w:t>
      </w:r>
      <w:proofErr w:type="spellEnd"/>
      <w:r w:rsidRPr="002F794B">
        <w:rPr>
          <w:i/>
          <w:iCs/>
        </w:rPr>
        <w:t xml:space="preserve"> to radio </w:t>
      </w:r>
      <w:proofErr w:type="spellStart"/>
      <w:r w:rsidRPr="002F794B">
        <w:rPr>
          <w:i/>
          <w:iCs/>
        </w:rPr>
        <w:t>spectrum</w:t>
      </w:r>
      <w:proofErr w:type="spellEnd"/>
      <w:r w:rsidRPr="002F794B">
        <w:rPr>
          <w:i/>
          <w:iCs/>
        </w:rPr>
        <w:t xml:space="preserve">.”, en el numeral 4.2.5, se sugiere la medición del parámetro “Ciclo útil”, el cual para fines de este anteproyecto aplicaría a los DRBP genéricos, los clasificados como Alarmas inalámbricas y los transmisores RFID que operan en la banda de 2446 a 2454 MHz, siempre y cuando la PIRE sea mayor o igual a 500 </w:t>
      </w:r>
      <w:proofErr w:type="spellStart"/>
      <w:r w:rsidRPr="002F794B">
        <w:rPr>
          <w:i/>
          <w:iCs/>
        </w:rPr>
        <w:t>mW</w:t>
      </w:r>
      <w:proofErr w:type="spellEnd"/>
      <w:r w:rsidRPr="002F794B">
        <w:rPr>
          <w:i/>
          <w:iCs/>
        </w:rPr>
        <w:t>, por lo que se sugiere añadir este parámetro (Véase ANEXO I).</w:t>
      </w:r>
    </w:p>
    <w:p w14:paraId="51C90FB5" w14:textId="77777777" w:rsidR="00220EFB" w:rsidRPr="002F794B" w:rsidRDefault="00220EFB" w:rsidP="00220EFB">
      <w:pPr>
        <w:rPr>
          <w:u w:val="single"/>
        </w:rPr>
      </w:pPr>
      <w:r w:rsidRPr="002F794B">
        <w:rPr>
          <w:u w:val="single"/>
        </w:rPr>
        <w:t>Respuesta</w:t>
      </w:r>
    </w:p>
    <w:p w14:paraId="296C85FF" w14:textId="2972EC93" w:rsidR="00220EFB" w:rsidRPr="002F794B" w:rsidRDefault="00AE21E1" w:rsidP="00220EFB">
      <w:r w:rsidRPr="002F794B">
        <w:t>No se considera</w:t>
      </w:r>
      <w:r w:rsidR="00C21D88" w:rsidRPr="002F794B">
        <w:t>.</w:t>
      </w:r>
    </w:p>
    <w:p w14:paraId="0F978FF2" w14:textId="77777777" w:rsidR="00220EFB" w:rsidRPr="002F794B" w:rsidRDefault="00220EFB" w:rsidP="00DE0659"/>
    <w:p w14:paraId="5D92AE83" w14:textId="77777777" w:rsidR="00220EFB" w:rsidRPr="002F794B" w:rsidRDefault="00220EFB" w:rsidP="00C21D88">
      <w:pPr>
        <w:keepNext/>
        <w:rPr>
          <w:u w:val="single"/>
        </w:rPr>
      </w:pPr>
      <w:r w:rsidRPr="002F794B">
        <w:rPr>
          <w:u w:val="single"/>
        </w:rPr>
        <w:t>Participante</w:t>
      </w:r>
    </w:p>
    <w:p w14:paraId="5F3DBD91" w14:textId="11F4DA99" w:rsidR="00220EFB" w:rsidRPr="002F794B" w:rsidRDefault="005173D4" w:rsidP="00C21D88">
      <w:pPr>
        <w:keepNext/>
      </w:pPr>
      <w:r w:rsidRPr="002F794B">
        <w:t>Cámara Nacional de la Industria Electrónica, de Telecomunicaciones y Tecnologías de la Información</w:t>
      </w:r>
    </w:p>
    <w:p w14:paraId="5E9E45AE" w14:textId="77777777" w:rsidR="00220EFB" w:rsidRPr="002F794B" w:rsidRDefault="00220EFB" w:rsidP="00220EFB">
      <w:pPr>
        <w:rPr>
          <w:u w:val="single"/>
        </w:rPr>
      </w:pPr>
      <w:r w:rsidRPr="002F794B">
        <w:rPr>
          <w:u w:val="single"/>
        </w:rPr>
        <w:t>Comentario y propuesta</w:t>
      </w:r>
    </w:p>
    <w:p w14:paraId="5C55CF75" w14:textId="77777777" w:rsidR="00BE6F65" w:rsidRPr="002F794B" w:rsidRDefault="00BE6F65" w:rsidP="00716BBE">
      <w:pPr>
        <w:ind w:left="567" w:right="616"/>
        <w:jc w:val="center"/>
        <w:rPr>
          <w:b/>
          <w:bCs/>
          <w:i/>
          <w:iCs/>
        </w:rPr>
      </w:pPr>
      <w:r w:rsidRPr="002F794B">
        <w:rPr>
          <w:b/>
          <w:bCs/>
          <w:i/>
          <w:iCs/>
        </w:rPr>
        <w:t>ANEXO I</w:t>
      </w:r>
    </w:p>
    <w:p w14:paraId="6304A899" w14:textId="77777777" w:rsidR="00BE6F65" w:rsidRPr="002F794B" w:rsidRDefault="00BE6F65" w:rsidP="00716BBE">
      <w:pPr>
        <w:ind w:left="567" w:right="616"/>
        <w:jc w:val="center"/>
        <w:rPr>
          <w:b/>
          <w:i/>
          <w:iCs/>
        </w:rPr>
      </w:pPr>
      <w:r w:rsidRPr="002F794B">
        <w:rPr>
          <w:b/>
          <w:i/>
          <w:iCs/>
        </w:rPr>
        <w:lastRenderedPageBreak/>
        <w:t>*CICLO ÚTIL</w:t>
      </w:r>
    </w:p>
    <w:p w14:paraId="44C4E167" w14:textId="658007B6" w:rsidR="00BE6F65" w:rsidRPr="002F794B" w:rsidRDefault="00BE6F65" w:rsidP="00BE6F65">
      <w:pPr>
        <w:ind w:left="567" w:right="616"/>
        <w:rPr>
          <w:i/>
          <w:iCs/>
        </w:rPr>
      </w:pPr>
      <w:r w:rsidRPr="002F794B">
        <w:rPr>
          <w:i/>
          <w:iCs/>
        </w:rPr>
        <w:t xml:space="preserve">El ciclo útil está definido como la relación, expresada como porcentaje, de la duración de un número definido de transmisiones acumuladas </w:t>
      </w:r>
      <m:oMath>
        <m:sSub>
          <m:sSubPr>
            <m:ctrlPr>
              <w:rPr>
                <w:rFonts w:ascii="Cambria Math" w:hAnsi="Cambria Math"/>
                <w:i/>
                <w:iCs/>
              </w:rPr>
            </m:ctrlPr>
          </m:sSubPr>
          <m:e>
            <m:r>
              <w:rPr>
                <w:rFonts w:ascii="Cambria Math" w:hAnsi="Cambria Math"/>
              </w:rPr>
              <m:t>T</m:t>
            </m:r>
          </m:e>
          <m:sub>
            <m:r>
              <w:rPr>
                <w:rFonts w:ascii="Cambria Math" w:hAnsi="Cambria Math"/>
              </w:rPr>
              <m:t>on_cum</m:t>
            </m:r>
          </m:sub>
        </m:sSub>
      </m:oMath>
      <w:r w:rsidRPr="002F794B">
        <w:rPr>
          <w:i/>
          <w:iCs/>
        </w:rPr>
        <w:t xml:space="preserve"> dentro de un intervalo de observación </w:t>
      </w:r>
      <m:oMath>
        <m:sSub>
          <m:sSubPr>
            <m:ctrlPr>
              <w:rPr>
                <w:rFonts w:ascii="Cambria Math" w:hAnsi="Cambria Math"/>
                <w:i/>
                <w:iCs/>
              </w:rPr>
            </m:ctrlPr>
          </m:sSubPr>
          <m:e>
            <m:r>
              <w:rPr>
                <w:rFonts w:ascii="Cambria Math" w:hAnsi="Cambria Math"/>
              </w:rPr>
              <m:t>T</m:t>
            </m:r>
          </m:e>
          <m:sub>
            <m:r>
              <w:rPr>
                <w:rFonts w:ascii="Cambria Math" w:hAnsi="Cambria Math"/>
              </w:rPr>
              <m:t>obs</m:t>
            </m:r>
          </m:sub>
        </m:sSub>
      </m:oMath>
      <w:r w:rsidRPr="002F794B">
        <w:rPr>
          <w:i/>
          <w:iCs/>
        </w:rPr>
        <w:t xml:space="preserve">, en un ancho de banda de observación </w:t>
      </w:r>
      <m:oMath>
        <m:sSub>
          <m:sSubPr>
            <m:ctrlPr>
              <w:rPr>
                <w:rFonts w:ascii="Cambria Math" w:hAnsi="Cambria Math"/>
                <w:i/>
                <w:iCs/>
              </w:rPr>
            </m:ctrlPr>
          </m:sSubPr>
          <m:e>
            <m:r>
              <w:rPr>
                <w:rFonts w:ascii="Cambria Math" w:hAnsi="Cambria Math"/>
              </w:rPr>
              <m:t>F</m:t>
            </m:r>
          </m:e>
          <m:sub>
            <m:r>
              <w:rPr>
                <w:rFonts w:ascii="Cambria Math" w:hAnsi="Cambria Math"/>
              </w:rPr>
              <m:t>obs</m:t>
            </m:r>
          </m:sub>
        </m:sSub>
      </m:oMath>
      <w:r w:rsidRPr="002F794B">
        <w:rPr>
          <w:i/>
          <w:iCs/>
        </w:rPr>
        <w:t>.</w:t>
      </w:r>
    </w:p>
    <w:p w14:paraId="500814DE" w14:textId="7C18BA55" w:rsidR="00BE6F65" w:rsidRPr="002F794B" w:rsidRDefault="00BE6F65" w:rsidP="00BE6F65">
      <w:pPr>
        <w:ind w:left="567" w:right="616"/>
        <w:rPr>
          <w:i/>
          <w:iCs/>
        </w:rPr>
      </w:pPr>
      <m:oMathPara>
        <m:oMath>
          <m:r>
            <w:rPr>
              <w:rFonts w:ascii="Cambria Math" w:hAnsi="Cambria Math"/>
            </w:rPr>
            <m:t>C.U.=</m:t>
          </m:r>
          <m:sSub>
            <m:sSubPr>
              <m:ctrlPr>
                <w:rPr>
                  <w:rFonts w:ascii="Cambria Math" w:hAnsi="Cambria Math"/>
                  <w:i/>
                  <w:iCs/>
                </w:rPr>
              </m:ctrlPr>
            </m:sSubPr>
            <m:e>
              <m:d>
                <m:dPr>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T</m:t>
                          </m:r>
                        </m:e>
                        <m:sub>
                          <m:r>
                            <w:rPr>
                              <w:rFonts w:ascii="Cambria Math" w:hAnsi="Cambria Math"/>
                            </w:rPr>
                            <m:t>on_cum</m:t>
                          </m:r>
                        </m:sub>
                      </m:sSub>
                    </m:num>
                    <m:den>
                      <m:sSub>
                        <m:sSubPr>
                          <m:ctrlPr>
                            <w:rPr>
                              <w:rFonts w:ascii="Cambria Math" w:hAnsi="Cambria Math"/>
                              <w:i/>
                              <w:iCs/>
                            </w:rPr>
                          </m:ctrlPr>
                        </m:sSubPr>
                        <m:e>
                          <m:r>
                            <w:rPr>
                              <w:rFonts w:ascii="Cambria Math" w:hAnsi="Cambria Math"/>
                            </w:rPr>
                            <m:t>T</m:t>
                          </m:r>
                        </m:e>
                        <m:sub>
                          <m:r>
                            <w:rPr>
                              <w:rFonts w:ascii="Cambria Math" w:hAnsi="Cambria Math"/>
                            </w:rPr>
                            <m:t>obs</m:t>
                          </m:r>
                        </m:sub>
                      </m:sSub>
                    </m:den>
                  </m:f>
                </m:e>
              </m:d>
            </m:e>
            <m:sub>
              <m:sSub>
                <m:sSubPr>
                  <m:ctrlPr>
                    <w:rPr>
                      <w:rFonts w:ascii="Cambria Math" w:hAnsi="Cambria Math"/>
                      <w:i/>
                      <w:iCs/>
                    </w:rPr>
                  </m:ctrlPr>
                </m:sSubPr>
                <m:e>
                  <m:r>
                    <w:rPr>
                      <w:rFonts w:ascii="Cambria Math" w:hAnsi="Cambria Math"/>
                    </w:rPr>
                    <m:t>F</m:t>
                  </m:r>
                </m:e>
                <m:sub>
                  <m:r>
                    <w:rPr>
                      <w:rFonts w:ascii="Cambria Math" w:hAnsi="Cambria Math"/>
                    </w:rPr>
                    <m:t>obs</m:t>
                  </m:r>
                </m:sub>
              </m:sSub>
            </m:sub>
          </m:sSub>
        </m:oMath>
      </m:oMathPara>
    </w:p>
    <w:p w14:paraId="61156A6E" w14:textId="77777777" w:rsidR="00BE6F65" w:rsidRPr="002F794B" w:rsidRDefault="00BE6F65" w:rsidP="00BE6F65">
      <w:pPr>
        <w:ind w:left="567" w:right="616"/>
        <w:rPr>
          <w:i/>
          <w:iCs/>
        </w:rPr>
      </w:pPr>
      <w:r w:rsidRPr="002F794B">
        <w:rPr>
          <w:i/>
          <w:iCs/>
        </w:rPr>
        <w:t>Los límites máximos de ciclo útil están definidos en la siguiente tabla:</w:t>
      </w:r>
    </w:p>
    <w:tbl>
      <w:tblPr>
        <w:tblStyle w:val="Tablaconcuadrcula"/>
        <w:tblW w:w="0" w:type="auto"/>
        <w:jc w:val="center"/>
        <w:tblLook w:val="04A0" w:firstRow="1" w:lastRow="0" w:firstColumn="1" w:lastColumn="0" w:noHBand="0" w:noVBand="1"/>
      </w:tblPr>
      <w:tblGrid>
        <w:gridCol w:w="2184"/>
        <w:gridCol w:w="2184"/>
        <w:gridCol w:w="2213"/>
        <w:gridCol w:w="2247"/>
      </w:tblGrid>
      <w:tr w:rsidR="002F794B" w:rsidRPr="002F794B" w14:paraId="0113029A" w14:textId="77777777" w:rsidTr="0083687A">
        <w:trPr>
          <w:jc w:val="center"/>
        </w:trPr>
        <w:tc>
          <w:tcPr>
            <w:tcW w:w="2184" w:type="dxa"/>
            <w:shd w:val="clear" w:color="auto" w:fill="002060"/>
            <w:vAlign w:val="center"/>
          </w:tcPr>
          <w:p w14:paraId="46B11603"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Banda de frecuencia</w:t>
            </w:r>
          </w:p>
        </w:tc>
        <w:tc>
          <w:tcPr>
            <w:tcW w:w="2184" w:type="dxa"/>
            <w:shd w:val="clear" w:color="auto" w:fill="002060"/>
            <w:vAlign w:val="center"/>
          </w:tcPr>
          <w:p w14:paraId="12A63953"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Ciclo útil máximo</w:t>
            </w:r>
          </w:p>
        </w:tc>
        <w:tc>
          <w:tcPr>
            <w:tcW w:w="2213" w:type="dxa"/>
            <w:shd w:val="clear" w:color="auto" w:fill="002060"/>
            <w:vAlign w:val="center"/>
          </w:tcPr>
          <w:p w14:paraId="0DF1DC87"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Aplicación</w:t>
            </w:r>
          </w:p>
        </w:tc>
        <w:tc>
          <w:tcPr>
            <w:tcW w:w="2247" w:type="dxa"/>
            <w:shd w:val="clear" w:color="auto" w:fill="002060"/>
            <w:vAlign w:val="center"/>
          </w:tcPr>
          <w:p w14:paraId="12A5E370"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Observaciones</w:t>
            </w:r>
          </w:p>
        </w:tc>
      </w:tr>
      <w:tr w:rsidR="002F794B" w:rsidRPr="002F794B" w14:paraId="61650AE2" w14:textId="77777777" w:rsidTr="0083687A">
        <w:trPr>
          <w:jc w:val="center"/>
        </w:trPr>
        <w:tc>
          <w:tcPr>
            <w:tcW w:w="2184" w:type="dxa"/>
            <w:vAlign w:val="center"/>
          </w:tcPr>
          <w:p w14:paraId="5157894A"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2400 – 2483.5 MHz</w:t>
            </w:r>
          </w:p>
        </w:tc>
        <w:tc>
          <w:tcPr>
            <w:tcW w:w="2184" w:type="dxa"/>
            <w:vAlign w:val="center"/>
          </w:tcPr>
          <w:p w14:paraId="263AB054"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Sin restricción</w:t>
            </w:r>
          </w:p>
        </w:tc>
        <w:tc>
          <w:tcPr>
            <w:tcW w:w="2213" w:type="dxa"/>
            <w:vAlign w:val="center"/>
          </w:tcPr>
          <w:p w14:paraId="348B60A8"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DRBP Genéricos</w:t>
            </w:r>
          </w:p>
        </w:tc>
        <w:tc>
          <w:tcPr>
            <w:tcW w:w="2247" w:type="dxa"/>
            <w:vAlign w:val="center"/>
          </w:tcPr>
          <w:p w14:paraId="6207D436"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w:t>
            </w:r>
          </w:p>
        </w:tc>
      </w:tr>
      <w:tr w:rsidR="002F794B" w:rsidRPr="002F794B" w14:paraId="07232754" w14:textId="77777777" w:rsidTr="0083687A">
        <w:trPr>
          <w:jc w:val="center"/>
        </w:trPr>
        <w:tc>
          <w:tcPr>
            <w:tcW w:w="2184" w:type="dxa"/>
            <w:vAlign w:val="center"/>
          </w:tcPr>
          <w:p w14:paraId="7C5F762F"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2400 – 2483.5 MHz</w:t>
            </w:r>
          </w:p>
        </w:tc>
        <w:tc>
          <w:tcPr>
            <w:tcW w:w="2184" w:type="dxa"/>
            <w:vAlign w:val="center"/>
          </w:tcPr>
          <w:p w14:paraId="7545F377"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Sin restricción</w:t>
            </w:r>
          </w:p>
        </w:tc>
        <w:tc>
          <w:tcPr>
            <w:tcW w:w="2213" w:type="dxa"/>
            <w:vAlign w:val="center"/>
          </w:tcPr>
          <w:p w14:paraId="179A08F4"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Alarmas inalámbricas</w:t>
            </w:r>
          </w:p>
        </w:tc>
        <w:tc>
          <w:tcPr>
            <w:tcW w:w="2247" w:type="dxa"/>
            <w:vAlign w:val="center"/>
          </w:tcPr>
          <w:p w14:paraId="0B5641B3"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w:t>
            </w:r>
          </w:p>
        </w:tc>
      </w:tr>
      <w:tr w:rsidR="002F794B" w:rsidRPr="002F794B" w14:paraId="1603E3A9" w14:textId="77777777" w:rsidTr="0083687A">
        <w:trPr>
          <w:jc w:val="center"/>
        </w:trPr>
        <w:tc>
          <w:tcPr>
            <w:tcW w:w="2184" w:type="dxa"/>
            <w:vAlign w:val="center"/>
          </w:tcPr>
          <w:p w14:paraId="6AA876F0"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2446 – 2454 MHz</w:t>
            </w:r>
          </w:p>
        </w:tc>
        <w:tc>
          <w:tcPr>
            <w:tcW w:w="2184" w:type="dxa"/>
            <w:vAlign w:val="center"/>
          </w:tcPr>
          <w:p w14:paraId="5BE7C295"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Sin restricción</w:t>
            </w:r>
          </w:p>
        </w:tc>
        <w:tc>
          <w:tcPr>
            <w:tcW w:w="2213" w:type="dxa"/>
            <w:vAlign w:val="center"/>
          </w:tcPr>
          <w:p w14:paraId="6520AF75"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RFID</w:t>
            </w:r>
          </w:p>
        </w:tc>
        <w:tc>
          <w:tcPr>
            <w:tcW w:w="2247" w:type="dxa"/>
            <w:vAlign w:val="center"/>
          </w:tcPr>
          <w:p w14:paraId="31F819D6"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 xml:space="preserve">Hagan uso de técnica de espectro disperso por salto de frecuencia (FHSS) o con señales </w:t>
            </w:r>
            <w:proofErr w:type="spellStart"/>
            <w:r w:rsidRPr="002F794B">
              <w:rPr>
                <w:rFonts w:asciiTheme="minorHAnsi" w:hAnsiTheme="minorHAnsi" w:cstheme="minorHAnsi"/>
                <w:sz w:val="16"/>
                <w:szCs w:val="16"/>
              </w:rPr>
              <w:t>desmoduladas</w:t>
            </w:r>
            <w:proofErr w:type="spellEnd"/>
            <w:r w:rsidRPr="002F794B">
              <w:rPr>
                <w:rFonts w:asciiTheme="minorHAnsi" w:hAnsiTheme="minorHAnsi" w:cstheme="minorHAnsi"/>
                <w:sz w:val="16"/>
                <w:szCs w:val="16"/>
              </w:rPr>
              <w:t>.</w:t>
            </w:r>
          </w:p>
        </w:tc>
      </w:tr>
      <w:tr w:rsidR="002F794B" w:rsidRPr="002F794B" w14:paraId="3F93090F" w14:textId="77777777" w:rsidTr="0083687A">
        <w:trPr>
          <w:jc w:val="center"/>
        </w:trPr>
        <w:tc>
          <w:tcPr>
            <w:tcW w:w="2184" w:type="dxa"/>
            <w:vAlign w:val="center"/>
          </w:tcPr>
          <w:p w14:paraId="2E4197B9"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2446 – 2454 MHz</w:t>
            </w:r>
          </w:p>
        </w:tc>
        <w:tc>
          <w:tcPr>
            <w:tcW w:w="2184" w:type="dxa"/>
            <w:vAlign w:val="center"/>
          </w:tcPr>
          <w:p w14:paraId="25665911"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 15%</w:t>
            </w:r>
          </w:p>
        </w:tc>
        <w:tc>
          <w:tcPr>
            <w:tcW w:w="2213" w:type="dxa"/>
            <w:vAlign w:val="center"/>
          </w:tcPr>
          <w:p w14:paraId="6273B83E"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RFID</w:t>
            </w:r>
          </w:p>
        </w:tc>
        <w:tc>
          <w:tcPr>
            <w:tcW w:w="2247" w:type="dxa"/>
            <w:vAlign w:val="center"/>
          </w:tcPr>
          <w:p w14:paraId="0C6FFEEA" w14:textId="77777777" w:rsidR="005F3FFA" w:rsidRPr="002F794B" w:rsidRDefault="005F3FFA" w:rsidP="00306E40">
            <w:pPr>
              <w:pStyle w:val="NormalWeb"/>
              <w:spacing w:before="120" w:after="120"/>
              <w:jc w:val="both"/>
              <w:rPr>
                <w:rFonts w:asciiTheme="minorHAnsi" w:hAnsiTheme="minorHAnsi" w:cstheme="minorHAnsi"/>
                <w:sz w:val="16"/>
                <w:szCs w:val="16"/>
              </w:rPr>
            </w:pPr>
            <w:r w:rsidRPr="002F794B">
              <w:rPr>
                <w:rFonts w:asciiTheme="minorHAnsi" w:hAnsiTheme="minorHAnsi" w:cstheme="minorHAnsi"/>
                <w:sz w:val="16"/>
                <w:szCs w:val="16"/>
              </w:rPr>
              <w:t>Dispositivos para uso de interiores y que hagan uso de la técnica de espectro disperso por salto de frecuencia (FHSS)</w:t>
            </w:r>
          </w:p>
        </w:tc>
      </w:tr>
    </w:tbl>
    <w:p w14:paraId="4EDFCCE2" w14:textId="77777777" w:rsidR="0083687A" w:rsidRPr="002F794B" w:rsidRDefault="0083687A" w:rsidP="0083687A">
      <w:pPr>
        <w:ind w:left="567" w:right="616"/>
        <w:rPr>
          <w:i/>
          <w:iCs/>
        </w:rPr>
      </w:pPr>
      <w:r w:rsidRPr="002F794B">
        <w:rPr>
          <w:i/>
          <w:iCs/>
        </w:rPr>
        <w:t>Para los dispositivos con ciclo útil del 100% se deberá implementar un sistema de apagado por tiempo de espera, mismo proporcionado por el fabricante, con el fin de promover el eficiente uso del espectro.</w:t>
      </w:r>
    </w:p>
    <w:p w14:paraId="7AC3CD45" w14:textId="77777777" w:rsidR="0083687A" w:rsidRPr="002F794B" w:rsidRDefault="0083687A" w:rsidP="0083687A">
      <w:pPr>
        <w:ind w:left="567" w:right="616"/>
        <w:rPr>
          <w:i/>
          <w:iCs/>
        </w:rPr>
      </w:pPr>
      <w:r w:rsidRPr="002F794B">
        <w:rPr>
          <w:i/>
          <w:iCs/>
        </w:rPr>
        <w:t>Lo anterior se comprueba con el siguiente método de prueba.</w:t>
      </w:r>
    </w:p>
    <w:p w14:paraId="44A6C1BC" w14:textId="77777777" w:rsidR="0083687A" w:rsidRPr="002F794B" w:rsidRDefault="0083687A" w:rsidP="0083687A">
      <w:pPr>
        <w:ind w:left="567" w:right="616"/>
        <w:rPr>
          <w:b/>
          <w:i/>
          <w:iCs/>
        </w:rPr>
      </w:pPr>
      <w:r w:rsidRPr="002F794B">
        <w:rPr>
          <w:b/>
          <w:i/>
          <w:iCs/>
        </w:rPr>
        <w:t>MÉTODO DE PRUEBA PARA MEDIR EL CICLO ÚTIL DEL DRBP</w:t>
      </w:r>
    </w:p>
    <w:p w14:paraId="4C6311E7" w14:textId="77777777" w:rsidR="0083687A" w:rsidRPr="002F794B" w:rsidRDefault="0083687A" w:rsidP="0083687A">
      <w:pPr>
        <w:ind w:left="567" w:right="616"/>
        <w:rPr>
          <w:b/>
          <w:i/>
          <w:iCs/>
        </w:rPr>
      </w:pPr>
      <w:r w:rsidRPr="002F794B">
        <w:rPr>
          <w:b/>
          <w:i/>
          <w:iCs/>
        </w:rPr>
        <w:t>I</w:t>
      </w:r>
      <w:r w:rsidRPr="002F794B">
        <w:rPr>
          <w:b/>
          <w:bCs/>
          <w:i/>
          <w:iCs/>
        </w:rPr>
        <w:t>NSTRUMENTOS DE PRUEBA Y ACCESORIOS</w:t>
      </w:r>
    </w:p>
    <w:p w14:paraId="0FB2A523" w14:textId="77777777" w:rsidR="0083687A" w:rsidRPr="002F794B" w:rsidRDefault="0083687A" w:rsidP="0083687A">
      <w:pPr>
        <w:numPr>
          <w:ilvl w:val="0"/>
          <w:numId w:val="16"/>
        </w:numPr>
        <w:tabs>
          <w:tab w:val="clear" w:pos="720"/>
          <w:tab w:val="num" w:pos="993"/>
        </w:tabs>
        <w:ind w:left="993" w:right="616" w:hanging="426"/>
        <w:rPr>
          <w:i/>
          <w:iCs/>
        </w:rPr>
      </w:pPr>
      <w:r w:rsidRPr="002F794B">
        <w:rPr>
          <w:i/>
          <w:iCs/>
        </w:rPr>
        <w:t>Analizador de espectro;</w:t>
      </w:r>
    </w:p>
    <w:p w14:paraId="62061E8A" w14:textId="77777777" w:rsidR="00D17B16" w:rsidRPr="002F794B" w:rsidRDefault="00D17B16" w:rsidP="00D17B16">
      <w:pPr>
        <w:numPr>
          <w:ilvl w:val="0"/>
          <w:numId w:val="16"/>
        </w:numPr>
        <w:tabs>
          <w:tab w:val="clear" w:pos="720"/>
        </w:tabs>
        <w:ind w:left="993" w:right="616" w:hanging="426"/>
        <w:rPr>
          <w:i/>
          <w:iCs/>
        </w:rPr>
      </w:pPr>
      <w:r w:rsidRPr="002F794B">
        <w:rPr>
          <w:i/>
          <w:iCs/>
        </w:rPr>
        <w:t>Cables de conexión;</w:t>
      </w:r>
    </w:p>
    <w:p w14:paraId="1FCE77B7" w14:textId="77777777" w:rsidR="00D17B16" w:rsidRPr="002F794B" w:rsidRDefault="00D17B16" w:rsidP="00D17B16">
      <w:pPr>
        <w:numPr>
          <w:ilvl w:val="0"/>
          <w:numId w:val="16"/>
        </w:numPr>
        <w:tabs>
          <w:tab w:val="clear" w:pos="720"/>
        </w:tabs>
        <w:ind w:left="993" w:right="616" w:hanging="426"/>
        <w:rPr>
          <w:i/>
          <w:iCs/>
        </w:rPr>
      </w:pPr>
      <w:r w:rsidRPr="002F794B">
        <w:rPr>
          <w:i/>
          <w:iCs/>
        </w:rPr>
        <w:t>Atenuador;</w:t>
      </w:r>
    </w:p>
    <w:p w14:paraId="4ED36A51" w14:textId="77777777" w:rsidR="00D17B16" w:rsidRPr="002F794B" w:rsidRDefault="00D17B16" w:rsidP="00D17B16">
      <w:pPr>
        <w:numPr>
          <w:ilvl w:val="0"/>
          <w:numId w:val="16"/>
        </w:numPr>
        <w:tabs>
          <w:tab w:val="clear" w:pos="720"/>
        </w:tabs>
        <w:ind w:left="993" w:right="616" w:hanging="426"/>
        <w:rPr>
          <w:i/>
          <w:iCs/>
        </w:rPr>
      </w:pPr>
      <w:r w:rsidRPr="002F794B">
        <w:rPr>
          <w:i/>
          <w:iCs/>
        </w:rPr>
        <w:t>Acoplador direccional/divisor de potencia;</w:t>
      </w:r>
    </w:p>
    <w:p w14:paraId="1FA2802B" w14:textId="77777777" w:rsidR="00D17B16" w:rsidRPr="002F794B" w:rsidRDefault="00D17B16" w:rsidP="00D17B16">
      <w:pPr>
        <w:numPr>
          <w:ilvl w:val="0"/>
          <w:numId w:val="16"/>
        </w:numPr>
        <w:tabs>
          <w:tab w:val="clear" w:pos="720"/>
        </w:tabs>
        <w:ind w:left="993" w:right="616" w:hanging="426"/>
        <w:rPr>
          <w:i/>
          <w:iCs/>
        </w:rPr>
      </w:pPr>
      <w:r w:rsidRPr="002F794B">
        <w:rPr>
          <w:i/>
          <w:iCs/>
        </w:rPr>
        <w:t>Antena de referencia calibrada, en caso de medición de emisiones radiadas.</w:t>
      </w:r>
    </w:p>
    <w:p w14:paraId="381BA3D3" w14:textId="77777777" w:rsidR="00D17B16" w:rsidRPr="002F794B" w:rsidRDefault="00D17B16" w:rsidP="00D17B16">
      <w:pPr>
        <w:ind w:left="567" w:right="616"/>
        <w:rPr>
          <w:b/>
          <w:bCs/>
          <w:i/>
          <w:iCs/>
        </w:rPr>
      </w:pPr>
      <w:r w:rsidRPr="002F794B">
        <w:rPr>
          <w:b/>
          <w:bCs/>
          <w:i/>
          <w:iCs/>
        </w:rPr>
        <w:t>CONFIGURACIÓN DE PRUEBA</w:t>
      </w:r>
    </w:p>
    <w:p w14:paraId="1768A3F5" w14:textId="77777777" w:rsidR="00D17B16" w:rsidRPr="002F794B" w:rsidRDefault="00D17B16" w:rsidP="00D17B16">
      <w:pPr>
        <w:ind w:left="567" w:right="616"/>
        <w:rPr>
          <w:i/>
          <w:iCs/>
        </w:rPr>
      </w:pPr>
      <w:r w:rsidRPr="002F794B">
        <w:rPr>
          <w:i/>
          <w:iCs/>
        </w:rPr>
        <w:t>Armar la configuración de prueba de acuerdo con lo siguiente:</w:t>
      </w:r>
    </w:p>
    <w:p w14:paraId="24669A5D" w14:textId="77777777" w:rsidR="00D17B16" w:rsidRPr="002F794B" w:rsidRDefault="00D17B16" w:rsidP="00D17B16">
      <w:pPr>
        <w:numPr>
          <w:ilvl w:val="0"/>
          <w:numId w:val="18"/>
        </w:numPr>
        <w:ind w:left="993" w:right="616" w:hanging="426"/>
        <w:rPr>
          <w:i/>
          <w:iCs/>
        </w:rPr>
      </w:pPr>
      <w:r w:rsidRPr="002F794B">
        <w:rPr>
          <w:i/>
          <w:iCs/>
        </w:rPr>
        <w:lastRenderedPageBreak/>
        <w:t xml:space="preserve">Configuración para medición de emisiones conducidas (numeral </w:t>
      </w:r>
      <w:r w:rsidRPr="002F794B">
        <w:rPr>
          <w:bCs/>
          <w:i/>
          <w:iCs/>
        </w:rPr>
        <w:t>8.3.1.1.</w:t>
      </w:r>
      <w:r w:rsidRPr="002F794B">
        <w:rPr>
          <w:i/>
          <w:iCs/>
        </w:rPr>
        <w:t>), si la antena del DBP es desmontable; en el caso de que la antena esté integrada al DBP y no se tenga la posibilidad de desconectarla, el solicitante de las pruebas debe proporcionar al Laboratorio de Prueba los medios necesarios para realizar la medición conducida en un sistema de 50 Ohms,</w:t>
      </w:r>
    </w:p>
    <w:p w14:paraId="0F3CA9A5" w14:textId="77777777" w:rsidR="00D17B16" w:rsidRPr="002F794B" w:rsidRDefault="00D17B16" w:rsidP="00D17B16">
      <w:pPr>
        <w:numPr>
          <w:ilvl w:val="0"/>
          <w:numId w:val="18"/>
        </w:numPr>
        <w:ind w:left="993" w:right="616" w:hanging="426"/>
        <w:rPr>
          <w:i/>
          <w:iCs/>
        </w:rPr>
      </w:pPr>
      <w:r w:rsidRPr="002F794B">
        <w:rPr>
          <w:i/>
          <w:iCs/>
        </w:rPr>
        <w:t>Configuración para medición de emisiones radiadas (numeral</w:t>
      </w:r>
      <w:r w:rsidRPr="002F794B">
        <w:rPr>
          <w:bCs/>
          <w:i/>
          <w:iCs/>
        </w:rPr>
        <w:t xml:space="preserve"> 8.3.1.2.</w:t>
      </w:r>
      <w:r w:rsidRPr="002F794B">
        <w:rPr>
          <w:i/>
          <w:iCs/>
        </w:rPr>
        <w:t>), de estar la antena integrada al DBP y técnicamente sea inviable proporcionar al Laboratorio de Prueba los medios necesarios para realizar la medición conducida.</w:t>
      </w:r>
    </w:p>
    <w:p w14:paraId="2544D9D6" w14:textId="77777777" w:rsidR="00D17B16" w:rsidRPr="002F794B" w:rsidRDefault="00D17B16" w:rsidP="00D17B16">
      <w:pPr>
        <w:ind w:left="567" w:right="616"/>
        <w:rPr>
          <w:b/>
          <w:bCs/>
          <w:i/>
          <w:iCs/>
        </w:rPr>
      </w:pPr>
      <w:r w:rsidRPr="002F794B">
        <w:rPr>
          <w:b/>
          <w:bCs/>
          <w:i/>
          <w:iCs/>
        </w:rPr>
        <w:t>PROCEDIMIENTO DE PRUEBA</w:t>
      </w:r>
    </w:p>
    <w:p w14:paraId="5D65B7BD" w14:textId="77777777" w:rsidR="00D17B16" w:rsidRPr="002F794B" w:rsidRDefault="00D17B16" w:rsidP="00D17B16">
      <w:pPr>
        <w:numPr>
          <w:ilvl w:val="0"/>
          <w:numId w:val="17"/>
        </w:numPr>
        <w:tabs>
          <w:tab w:val="clear" w:pos="720"/>
          <w:tab w:val="num" w:pos="1134"/>
        </w:tabs>
        <w:ind w:left="993" w:right="616" w:hanging="426"/>
        <w:rPr>
          <w:i/>
          <w:iCs/>
        </w:rPr>
      </w:pPr>
      <w:r w:rsidRPr="002F794B">
        <w:rPr>
          <w:i/>
          <w:iCs/>
        </w:rPr>
        <w:t>Conectar el puerto de salida del transmisor o antena de referencia calibrada a:</w:t>
      </w:r>
    </w:p>
    <w:p w14:paraId="2246B510" w14:textId="77777777" w:rsidR="00D17B16" w:rsidRPr="002F794B" w:rsidRDefault="00D17B16" w:rsidP="00D17B16">
      <w:pPr>
        <w:numPr>
          <w:ilvl w:val="1"/>
          <w:numId w:val="17"/>
        </w:numPr>
        <w:tabs>
          <w:tab w:val="clear" w:pos="1440"/>
        </w:tabs>
        <w:ind w:left="1559" w:right="618" w:hanging="425"/>
        <w:rPr>
          <w:i/>
          <w:iCs/>
        </w:rPr>
      </w:pPr>
      <w:r w:rsidRPr="002F794B">
        <w:rPr>
          <w:i/>
          <w:iCs/>
        </w:rPr>
        <w:t>El analizador de espectro mediante un atenuador, o </w:t>
      </w:r>
    </w:p>
    <w:p w14:paraId="0D9CF3C4" w14:textId="77777777" w:rsidR="00D17B16" w:rsidRPr="002F794B" w:rsidRDefault="00D17B16" w:rsidP="00D17B16">
      <w:pPr>
        <w:numPr>
          <w:ilvl w:val="1"/>
          <w:numId w:val="17"/>
        </w:numPr>
        <w:tabs>
          <w:tab w:val="clear" w:pos="1440"/>
        </w:tabs>
        <w:ind w:left="1559" w:right="618" w:hanging="425"/>
        <w:rPr>
          <w:i/>
          <w:iCs/>
        </w:rPr>
      </w:pPr>
      <w:r w:rsidRPr="002F794B">
        <w:rPr>
          <w:i/>
          <w:iCs/>
        </w:rPr>
        <w:t>A una carga artificial mediante un acoplador direccional al cual se conecta el analizador de espectro, o</w:t>
      </w:r>
    </w:p>
    <w:p w14:paraId="59406E95" w14:textId="77777777" w:rsidR="00D17B16" w:rsidRPr="002F794B" w:rsidRDefault="00D17B16" w:rsidP="00D17B16">
      <w:pPr>
        <w:numPr>
          <w:ilvl w:val="1"/>
          <w:numId w:val="17"/>
        </w:numPr>
        <w:tabs>
          <w:tab w:val="clear" w:pos="1440"/>
        </w:tabs>
        <w:ind w:left="1559" w:right="618" w:hanging="425"/>
        <w:rPr>
          <w:i/>
          <w:iCs/>
        </w:rPr>
      </w:pPr>
      <w:r w:rsidRPr="002F794B">
        <w:rPr>
          <w:i/>
          <w:iCs/>
        </w:rPr>
        <w:t>A la estación base o dispositivo acompañante del DBP, mediante un divisor de potencia o acoplador direccional, al cual se conecta el analizador de espectro, esto en caso de que el DBP requiera, para su operación,  establecer un enlace de comunicación con la estación base u otro dispositivo acompañante.</w:t>
      </w:r>
    </w:p>
    <w:p w14:paraId="17DF35CE" w14:textId="77777777" w:rsidR="00D17B16" w:rsidRPr="002F794B" w:rsidRDefault="00D17B16" w:rsidP="00D17B16">
      <w:pPr>
        <w:numPr>
          <w:ilvl w:val="0"/>
          <w:numId w:val="17"/>
        </w:numPr>
        <w:tabs>
          <w:tab w:val="clear" w:pos="720"/>
        </w:tabs>
        <w:ind w:left="993" w:right="618" w:hanging="426"/>
        <w:rPr>
          <w:i/>
          <w:iCs/>
        </w:rPr>
      </w:pPr>
      <w:r w:rsidRPr="002F794B">
        <w:rPr>
          <w:i/>
          <w:iCs/>
        </w:rPr>
        <w:t>Establecer las siguientes condiciones en el DBP:</w:t>
      </w:r>
    </w:p>
    <w:p w14:paraId="691FD3FC" w14:textId="77777777" w:rsidR="00D17B16" w:rsidRPr="002F794B" w:rsidRDefault="00D17B16" w:rsidP="00D17B16">
      <w:pPr>
        <w:numPr>
          <w:ilvl w:val="1"/>
          <w:numId w:val="17"/>
        </w:numPr>
        <w:tabs>
          <w:tab w:val="clear" w:pos="1440"/>
        </w:tabs>
        <w:ind w:left="1560" w:right="618" w:hanging="426"/>
        <w:rPr>
          <w:i/>
          <w:iCs/>
        </w:rPr>
      </w:pPr>
      <w:r w:rsidRPr="002F794B">
        <w:rPr>
          <w:i/>
          <w:iCs/>
        </w:rPr>
        <w:t xml:space="preserve">Poner a transmitir el DBP con una señal modulada. En el caso de dispositivos operen con la tecnología RFID se podrá optar por trasmitir con una señal </w:t>
      </w:r>
      <w:proofErr w:type="spellStart"/>
      <w:r w:rsidRPr="002F794B">
        <w:rPr>
          <w:i/>
          <w:iCs/>
        </w:rPr>
        <w:t>desmodulada</w:t>
      </w:r>
      <w:proofErr w:type="spellEnd"/>
      <w:r w:rsidRPr="002F794B">
        <w:rPr>
          <w:i/>
          <w:iCs/>
        </w:rPr>
        <w:t xml:space="preserve">, sin embargo, se </w:t>
      </w:r>
      <w:proofErr w:type="gramStart"/>
      <w:r w:rsidRPr="002F794B">
        <w:rPr>
          <w:i/>
          <w:iCs/>
        </w:rPr>
        <w:t>tendrá que tener</w:t>
      </w:r>
      <w:proofErr w:type="gramEnd"/>
      <w:r w:rsidRPr="002F794B">
        <w:rPr>
          <w:i/>
          <w:iCs/>
        </w:rPr>
        <w:t xml:space="preserve"> en cuenta el uso del dispositivo.</w:t>
      </w:r>
    </w:p>
    <w:p w14:paraId="05145493" w14:textId="77777777" w:rsidR="00D17B16" w:rsidRPr="002F794B" w:rsidRDefault="00D17B16" w:rsidP="00D17B16">
      <w:pPr>
        <w:numPr>
          <w:ilvl w:val="1"/>
          <w:numId w:val="17"/>
        </w:numPr>
        <w:tabs>
          <w:tab w:val="clear" w:pos="1440"/>
        </w:tabs>
        <w:ind w:left="1560" w:right="618" w:hanging="426"/>
        <w:rPr>
          <w:i/>
          <w:iCs/>
        </w:rPr>
      </w:pPr>
      <w:r w:rsidRPr="002F794B">
        <w:rPr>
          <w:i/>
          <w:iCs/>
        </w:rPr>
        <w:t>Seleccionar el nivel máximo de transmisión de potencia. </w:t>
      </w:r>
    </w:p>
    <w:p w14:paraId="77FD3FB3" w14:textId="77777777" w:rsidR="00D17B16" w:rsidRPr="002F794B" w:rsidRDefault="00D17B16" w:rsidP="00D17B16">
      <w:pPr>
        <w:numPr>
          <w:ilvl w:val="1"/>
          <w:numId w:val="17"/>
        </w:numPr>
        <w:tabs>
          <w:tab w:val="clear" w:pos="1440"/>
        </w:tabs>
        <w:ind w:left="1560" w:right="618" w:hanging="426"/>
        <w:rPr>
          <w:i/>
          <w:iCs/>
        </w:rPr>
      </w:pPr>
      <w:r w:rsidRPr="002F794B">
        <w:rPr>
          <w:i/>
          <w:iCs/>
        </w:rPr>
        <w:t>Si el DBP utiliza una banda de frecuencias de operación específica dividida en dos o más canales radioeléctricos, configurar de tal manera que se utilicen los canales bajo y alto correspondientes a la banda de frecuencia de operación específica a ser medida, no necesariamente de manera simultánea.</w:t>
      </w:r>
    </w:p>
    <w:p w14:paraId="4981ADFD" w14:textId="77777777" w:rsidR="00D17B16" w:rsidRPr="002F794B" w:rsidRDefault="00D17B16" w:rsidP="00D17B16">
      <w:pPr>
        <w:numPr>
          <w:ilvl w:val="0"/>
          <w:numId w:val="17"/>
        </w:numPr>
        <w:tabs>
          <w:tab w:val="clear" w:pos="720"/>
        </w:tabs>
        <w:ind w:left="993" w:right="618" w:hanging="426"/>
        <w:rPr>
          <w:i/>
          <w:iCs/>
        </w:rPr>
      </w:pPr>
      <w:r w:rsidRPr="002F794B">
        <w:rPr>
          <w:i/>
          <w:iCs/>
        </w:rPr>
        <w:t>Establecer las condiciones en el analizador de espectro como se muestra en la siguiente tabla:</w:t>
      </w:r>
    </w:p>
    <w:tbl>
      <w:tblPr>
        <w:tblW w:w="0" w:type="auto"/>
        <w:jc w:val="center"/>
        <w:tblCellMar>
          <w:top w:w="15" w:type="dxa"/>
          <w:left w:w="15" w:type="dxa"/>
          <w:bottom w:w="15" w:type="dxa"/>
          <w:right w:w="15" w:type="dxa"/>
        </w:tblCellMar>
        <w:tblLook w:val="04A0" w:firstRow="1" w:lastRow="0" w:firstColumn="1" w:lastColumn="0" w:noHBand="0" w:noVBand="1"/>
      </w:tblPr>
      <w:tblGrid>
        <w:gridCol w:w="2351"/>
        <w:gridCol w:w="1462"/>
        <w:gridCol w:w="62"/>
        <w:gridCol w:w="1400"/>
        <w:gridCol w:w="18"/>
        <w:gridCol w:w="1444"/>
        <w:gridCol w:w="1462"/>
      </w:tblGrid>
      <w:tr w:rsidR="002F794B" w:rsidRPr="002F794B" w14:paraId="6A6FC113" w14:textId="77777777" w:rsidTr="00306E40">
        <w:trPr>
          <w:trHeight w:val="29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14C3E4"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b/>
                <w:bCs/>
                <w:sz w:val="16"/>
                <w:szCs w:val="16"/>
              </w:rPr>
              <w:lastRenderedPageBreak/>
              <w:t>Ajuste del analizador de espectro</w:t>
            </w:r>
          </w:p>
        </w:tc>
        <w:tc>
          <w:tcPr>
            <w:tcW w:w="14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AC0819"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b/>
                <w:bCs/>
                <w:sz w:val="16"/>
                <w:szCs w:val="16"/>
              </w:rPr>
              <w:t>DRBP Genéricos</w:t>
            </w:r>
          </w:p>
        </w:tc>
        <w:tc>
          <w:tcPr>
            <w:tcW w:w="1462"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BF941A"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b/>
                <w:bCs/>
                <w:sz w:val="16"/>
                <w:szCs w:val="16"/>
              </w:rPr>
              <w:t>Alarmas inalámbricas</w:t>
            </w:r>
          </w:p>
        </w:tc>
        <w:tc>
          <w:tcPr>
            <w:tcW w:w="1462"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A18E4E"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b/>
                <w:bCs/>
                <w:sz w:val="16"/>
                <w:szCs w:val="16"/>
              </w:rPr>
              <w:t>RFID</w:t>
            </w:r>
          </w:p>
        </w:tc>
        <w:tc>
          <w:tcPr>
            <w:tcW w:w="14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DCE654" w14:textId="77777777" w:rsidR="00440954" w:rsidRPr="002F794B" w:rsidRDefault="00440954" w:rsidP="00306E40">
            <w:pPr>
              <w:pStyle w:val="NormalWeb"/>
              <w:spacing w:before="120" w:after="120" w:line="240" w:lineRule="auto"/>
              <w:jc w:val="both"/>
              <w:rPr>
                <w:rFonts w:asciiTheme="minorHAnsi" w:hAnsiTheme="minorHAnsi" w:cstheme="minorHAnsi"/>
                <w:b/>
                <w:bCs/>
                <w:sz w:val="16"/>
                <w:szCs w:val="16"/>
              </w:rPr>
            </w:pPr>
            <w:r w:rsidRPr="002F794B">
              <w:rPr>
                <w:rFonts w:asciiTheme="minorHAnsi" w:hAnsiTheme="minorHAnsi" w:cstheme="minorHAnsi"/>
                <w:b/>
                <w:bCs/>
                <w:sz w:val="16"/>
                <w:szCs w:val="16"/>
              </w:rPr>
              <w:t>RFID</w:t>
            </w:r>
          </w:p>
          <w:p w14:paraId="457D13DC" w14:textId="77777777" w:rsidR="00440954" w:rsidRPr="002F794B" w:rsidRDefault="00440954" w:rsidP="00306E40">
            <w:pPr>
              <w:pStyle w:val="NormalWeb"/>
              <w:spacing w:before="120" w:after="120" w:line="240" w:lineRule="auto"/>
              <w:jc w:val="both"/>
              <w:rPr>
                <w:rFonts w:asciiTheme="minorHAnsi" w:hAnsiTheme="minorHAnsi" w:cstheme="minorHAnsi"/>
                <w:b/>
                <w:bCs/>
                <w:sz w:val="16"/>
                <w:szCs w:val="16"/>
              </w:rPr>
            </w:pPr>
            <w:r w:rsidRPr="002F794B">
              <w:rPr>
                <w:rFonts w:asciiTheme="minorHAnsi" w:hAnsiTheme="minorHAnsi" w:cstheme="minorHAnsi"/>
                <w:b/>
                <w:bCs/>
                <w:sz w:val="16"/>
                <w:szCs w:val="16"/>
              </w:rPr>
              <w:t>(Para uso de interiores)</w:t>
            </w:r>
          </w:p>
        </w:tc>
      </w:tr>
      <w:tr w:rsidR="002F794B" w:rsidRPr="002F794B" w14:paraId="0D83F5EB" w14:textId="77777777" w:rsidTr="00306E40">
        <w:trPr>
          <w:trHeight w:val="29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4EF428"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Frecuencia central (ƒ</w:t>
            </w:r>
            <w:r w:rsidRPr="002F794B">
              <w:rPr>
                <w:rFonts w:asciiTheme="minorHAnsi" w:hAnsiTheme="minorHAnsi" w:cstheme="minorHAnsi"/>
                <w:sz w:val="16"/>
                <w:szCs w:val="16"/>
                <w:vertAlign w:val="subscript"/>
              </w:rPr>
              <w:t>c</w:t>
            </w:r>
            <w:r w:rsidRPr="002F794B">
              <w:rPr>
                <w:rFonts w:asciiTheme="minorHAnsi" w:hAnsiTheme="minorHAnsi" w:cstheme="minorHAnsi"/>
                <w:sz w:val="16"/>
                <w:szCs w:val="16"/>
              </w:rPr>
              <w:t>)</w:t>
            </w:r>
          </w:p>
        </w:tc>
        <w:tc>
          <w:tcPr>
            <w:tcW w:w="5848" w:type="dxa"/>
            <w:gridSpan w:val="6"/>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F97ED7"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La declarada por el fabricante</w:t>
            </w:r>
          </w:p>
        </w:tc>
      </w:tr>
      <w:tr w:rsidR="002F794B" w:rsidRPr="002F794B" w14:paraId="28E2C380" w14:textId="77777777" w:rsidTr="00306E40">
        <w:trPr>
          <w:trHeight w:val="29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7DFCDC"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Ancho de barrido</w:t>
            </w:r>
          </w:p>
          <w:p w14:paraId="6E5A3825"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w:t>
            </w:r>
            <w:r w:rsidRPr="002F794B">
              <w:rPr>
                <w:rFonts w:asciiTheme="minorHAnsi" w:hAnsiTheme="minorHAnsi" w:cstheme="minorHAnsi"/>
                <w:i/>
                <w:iCs/>
                <w:sz w:val="16"/>
                <w:szCs w:val="16"/>
              </w:rPr>
              <w:t>span</w:t>
            </w:r>
            <w:r w:rsidRPr="002F794B">
              <w:rPr>
                <w:rFonts w:asciiTheme="minorHAnsi" w:hAnsiTheme="minorHAnsi" w:cstheme="minorHAnsi"/>
                <w:sz w:val="16"/>
                <w:szCs w:val="16"/>
              </w:rPr>
              <w:t>)</w:t>
            </w:r>
          </w:p>
        </w:tc>
        <w:tc>
          <w:tcPr>
            <w:tcW w:w="152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628D470"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Cero</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6A7CDE"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Cero</w:t>
            </w:r>
          </w:p>
        </w:tc>
        <w:tc>
          <w:tcPr>
            <w:tcW w:w="14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4522A0"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Cero</w:t>
            </w:r>
          </w:p>
        </w:tc>
        <w:tc>
          <w:tcPr>
            <w:tcW w:w="14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4DFCA9"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Cero</w:t>
            </w:r>
          </w:p>
        </w:tc>
      </w:tr>
      <w:tr w:rsidR="002F794B" w:rsidRPr="002F794B" w14:paraId="11166DCC" w14:textId="77777777" w:rsidTr="00306E40">
        <w:trPr>
          <w:trHeight w:val="29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72D2C1"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Tiempo de barrido</w:t>
            </w:r>
          </w:p>
          <w:p w14:paraId="360BF401"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w:t>
            </w:r>
            <w:r w:rsidRPr="002F794B">
              <w:rPr>
                <w:rFonts w:asciiTheme="minorHAnsi" w:hAnsiTheme="minorHAnsi" w:cstheme="minorHAnsi"/>
                <w:i/>
                <w:iCs/>
                <w:sz w:val="16"/>
                <w:szCs w:val="16"/>
              </w:rPr>
              <w:t>sweep time</w:t>
            </w:r>
            <w:r w:rsidRPr="002F794B">
              <w:rPr>
                <w:rFonts w:asciiTheme="minorHAnsi" w:hAnsiTheme="minorHAnsi" w:cstheme="minorHAnsi"/>
                <w:sz w:val="16"/>
                <w:szCs w:val="16"/>
              </w:rPr>
              <w:t>)</w:t>
            </w:r>
          </w:p>
        </w:tc>
        <w:tc>
          <w:tcPr>
            <w:tcW w:w="152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9CA58E"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Suficiente para visualizar un tren de pulsos</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87EE3C"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Suficiente para visualizar un tren de pulsos</w:t>
            </w:r>
          </w:p>
        </w:tc>
        <w:tc>
          <w:tcPr>
            <w:tcW w:w="14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CB4FBD"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Suficiente para visualizar un tren de pulsos</w:t>
            </w:r>
          </w:p>
        </w:tc>
        <w:tc>
          <w:tcPr>
            <w:tcW w:w="14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BEB444"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≤200 ms</w:t>
            </w:r>
          </w:p>
        </w:tc>
      </w:tr>
      <w:tr w:rsidR="002F794B" w:rsidRPr="002F794B" w14:paraId="743C4246" w14:textId="77777777" w:rsidTr="00306E40">
        <w:trPr>
          <w:trHeight w:val="29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7EDD77"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RBW</w:t>
            </w:r>
          </w:p>
        </w:tc>
        <w:tc>
          <w:tcPr>
            <w:tcW w:w="152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02D41B"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≥BW</w:t>
            </w:r>
            <w:r w:rsidRPr="002F794B">
              <w:rPr>
                <w:rFonts w:asciiTheme="minorHAnsi" w:hAnsiTheme="minorHAnsi" w:cstheme="minorHAnsi"/>
                <w:sz w:val="16"/>
                <w:szCs w:val="16"/>
                <w:vertAlign w:val="subscript"/>
              </w:rPr>
              <w:t>OC</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8FDA4A"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≥BW</w:t>
            </w:r>
            <w:r w:rsidRPr="002F794B">
              <w:rPr>
                <w:rFonts w:asciiTheme="minorHAnsi" w:hAnsiTheme="minorHAnsi" w:cstheme="minorHAnsi"/>
                <w:sz w:val="16"/>
                <w:szCs w:val="16"/>
                <w:vertAlign w:val="subscript"/>
              </w:rPr>
              <w:t>OC</w:t>
            </w:r>
          </w:p>
        </w:tc>
        <w:tc>
          <w:tcPr>
            <w:tcW w:w="14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B6117C"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≥BW</w:t>
            </w:r>
            <w:r w:rsidRPr="002F794B">
              <w:rPr>
                <w:rFonts w:asciiTheme="minorHAnsi" w:hAnsiTheme="minorHAnsi" w:cstheme="minorHAnsi"/>
                <w:sz w:val="16"/>
                <w:szCs w:val="16"/>
                <w:vertAlign w:val="subscript"/>
              </w:rPr>
              <w:t>OC</w:t>
            </w:r>
          </w:p>
        </w:tc>
        <w:tc>
          <w:tcPr>
            <w:tcW w:w="14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C9C2A0"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≥BW</w:t>
            </w:r>
            <w:r w:rsidRPr="002F794B">
              <w:rPr>
                <w:rFonts w:asciiTheme="minorHAnsi" w:hAnsiTheme="minorHAnsi" w:cstheme="minorHAnsi"/>
                <w:sz w:val="16"/>
                <w:szCs w:val="16"/>
                <w:vertAlign w:val="subscript"/>
              </w:rPr>
              <w:t>OC</w:t>
            </w:r>
          </w:p>
        </w:tc>
      </w:tr>
      <w:tr w:rsidR="002F794B" w:rsidRPr="002F794B" w14:paraId="66FEEC02" w14:textId="77777777" w:rsidTr="00306E40">
        <w:trPr>
          <w:trHeight w:val="29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C76294"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VBW</w:t>
            </w:r>
          </w:p>
        </w:tc>
        <w:tc>
          <w:tcPr>
            <w:tcW w:w="152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A1D9803"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≥RBW</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5D998A"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≥RBW</w:t>
            </w:r>
          </w:p>
        </w:tc>
        <w:tc>
          <w:tcPr>
            <w:tcW w:w="14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D7EC91"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≥RBW</w:t>
            </w:r>
          </w:p>
        </w:tc>
        <w:tc>
          <w:tcPr>
            <w:tcW w:w="1462" w:type="dxa"/>
            <w:tcBorders>
              <w:top w:val="single" w:sz="4" w:space="0" w:color="000000"/>
              <w:left w:val="single" w:sz="4" w:space="0" w:color="000000"/>
              <w:bottom w:val="single" w:sz="4" w:space="0" w:color="000000"/>
              <w:right w:val="single" w:sz="4" w:space="0" w:color="000000"/>
            </w:tcBorders>
            <w:vAlign w:val="center"/>
            <w:hideMark/>
          </w:tcPr>
          <w:p w14:paraId="5F9B61AC" w14:textId="77777777" w:rsidR="00440954" w:rsidRPr="002F794B" w:rsidRDefault="00440954" w:rsidP="00306E40">
            <w:pPr>
              <w:spacing w:before="120" w:after="120" w:line="240" w:lineRule="auto"/>
              <w:rPr>
                <w:rFonts w:asciiTheme="minorHAnsi" w:hAnsiTheme="minorHAnsi" w:cstheme="minorHAnsi"/>
                <w:sz w:val="16"/>
                <w:szCs w:val="16"/>
              </w:rPr>
            </w:pPr>
            <w:r w:rsidRPr="002F794B">
              <w:rPr>
                <w:rFonts w:asciiTheme="minorHAnsi" w:hAnsiTheme="minorHAnsi" w:cstheme="minorHAnsi"/>
                <w:sz w:val="16"/>
                <w:szCs w:val="16"/>
              </w:rPr>
              <w:t>≥RBW</w:t>
            </w:r>
          </w:p>
        </w:tc>
      </w:tr>
      <w:tr w:rsidR="002F794B" w:rsidRPr="002F794B" w14:paraId="2A8C33C7" w14:textId="77777777" w:rsidTr="00306E40">
        <w:trPr>
          <w:trHeight w:val="29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B0F17A"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Detector</w:t>
            </w:r>
          </w:p>
        </w:tc>
        <w:tc>
          <w:tcPr>
            <w:tcW w:w="152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2CAC9E"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Pico</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E6CDF7"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Pico</w:t>
            </w:r>
          </w:p>
        </w:tc>
        <w:tc>
          <w:tcPr>
            <w:tcW w:w="14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7848C8"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Pico</w:t>
            </w:r>
          </w:p>
        </w:tc>
        <w:tc>
          <w:tcPr>
            <w:tcW w:w="14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18D0882"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Pico</w:t>
            </w:r>
          </w:p>
        </w:tc>
      </w:tr>
      <w:tr w:rsidR="002F794B" w:rsidRPr="002F794B" w14:paraId="6CEABBC0" w14:textId="77777777" w:rsidTr="00306E40">
        <w:trPr>
          <w:trHeight w:val="29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FAB16E2"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sz w:val="16"/>
                <w:szCs w:val="16"/>
              </w:rPr>
              <w:t>Traza</w:t>
            </w:r>
          </w:p>
        </w:tc>
        <w:tc>
          <w:tcPr>
            <w:tcW w:w="152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99C1C8"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i/>
                <w:iCs/>
                <w:sz w:val="16"/>
                <w:szCs w:val="16"/>
              </w:rPr>
              <w:t>Max hold</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ABDBCA"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i/>
                <w:iCs/>
                <w:sz w:val="16"/>
                <w:szCs w:val="16"/>
              </w:rPr>
              <w:t>Max hold</w:t>
            </w:r>
          </w:p>
        </w:tc>
        <w:tc>
          <w:tcPr>
            <w:tcW w:w="1444" w:type="dxa"/>
            <w:tcBorders>
              <w:top w:val="single" w:sz="4" w:space="0" w:color="000000"/>
              <w:left w:val="single" w:sz="4" w:space="0" w:color="000000"/>
              <w:bottom w:val="single" w:sz="4" w:space="0" w:color="000000"/>
              <w:right w:val="single" w:sz="4" w:space="0" w:color="000000"/>
            </w:tcBorders>
            <w:vAlign w:val="center"/>
          </w:tcPr>
          <w:p w14:paraId="561BAED2"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i/>
                <w:iCs/>
                <w:sz w:val="16"/>
                <w:szCs w:val="16"/>
              </w:rPr>
              <w:t>Max hold</w:t>
            </w:r>
          </w:p>
        </w:tc>
        <w:tc>
          <w:tcPr>
            <w:tcW w:w="14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0E9157" w14:textId="77777777" w:rsidR="00440954" w:rsidRPr="002F794B" w:rsidRDefault="00440954" w:rsidP="00306E40">
            <w:pPr>
              <w:pStyle w:val="NormalWeb"/>
              <w:spacing w:before="120" w:after="120" w:line="240" w:lineRule="auto"/>
              <w:jc w:val="both"/>
              <w:rPr>
                <w:rFonts w:asciiTheme="minorHAnsi" w:hAnsiTheme="minorHAnsi" w:cstheme="minorHAnsi"/>
                <w:sz w:val="16"/>
                <w:szCs w:val="16"/>
              </w:rPr>
            </w:pPr>
            <w:r w:rsidRPr="002F794B">
              <w:rPr>
                <w:rFonts w:asciiTheme="minorHAnsi" w:hAnsiTheme="minorHAnsi" w:cstheme="minorHAnsi"/>
                <w:i/>
                <w:iCs/>
                <w:sz w:val="16"/>
                <w:szCs w:val="16"/>
              </w:rPr>
              <w:t>Max hold</w:t>
            </w:r>
          </w:p>
        </w:tc>
      </w:tr>
    </w:tbl>
    <w:p w14:paraId="228B037F" w14:textId="54AA0B8A" w:rsidR="00F646A3" w:rsidRPr="002F794B" w:rsidRDefault="00F646A3" w:rsidP="00F646A3">
      <w:pPr>
        <w:pStyle w:val="Prrafodelista"/>
        <w:numPr>
          <w:ilvl w:val="0"/>
          <w:numId w:val="17"/>
        </w:numPr>
        <w:tabs>
          <w:tab w:val="clear" w:pos="720"/>
        </w:tabs>
        <w:ind w:left="993" w:right="618" w:hanging="426"/>
        <w:rPr>
          <w:i/>
          <w:iCs/>
        </w:rPr>
      </w:pPr>
      <w:r w:rsidRPr="002F794B">
        <w:rPr>
          <w:i/>
          <w:iCs/>
        </w:rPr>
        <w:t xml:space="preserve">Medir en el analizador de espectro la emisión, </w:t>
      </w:r>
      <w:proofErr w:type="gramStart"/>
      <w:r w:rsidRPr="002F794B">
        <w:rPr>
          <w:i/>
          <w:iCs/>
        </w:rPr>
        <w:t>de acuerdo a</w:t>
      </w:r>
      <w:proofErr w:type="gramEnd"/>
      <w:r w:rsidRPr="002F794B">
        <w:rPr>
          <w:i/>
          <w:iCs/>
        </w:rPr>
        <w:t xml:space="preserve"> lo siguiente:</w:t>
      </w:r>
    </w:p>
    <w:p w14:paraId="4A11E80B" w14:textId="77777777" w:rsidR="00F646A3" w:rsidRPr="002F794B" w:rsidRDefault="00F646A3" w:rsidP="00F646A3">
      <w:pPr>
        <w:numPr>
          <w:ilvl w:val="1"/>
          <w:numId w:val="17"/>
        </w:numPr>
        <w:tabs>
          <w:tab w:val="clear" w:pos="1440"/>
        </w:tabs>
        <w:ind w:left="1560" w:right="618" w:hanging="426"/>
        <w:rPr>
          <w:i/>
          <w:iCs/>
        </w:rPr>
      </w:pPr>
      <w:r w:rsidRPr="002F794B">
        <w:rPr>
          <w:i/>
          <w:iCs/>
        </w:rPr>
        <w:t xml:space="preserve">Permitir que la traza se estabilice y sumar a ésta las pérdidas y ganancias de la cadena de la configuración de prueba conforme a la </w:t>
      </w:r>
      <w:r w:rsidRPr="002F794B">
        <w:rPr>
          <w:b/>
          <w:bCs/>
          <w:i/>
          <w:iCs/>
        </w:rPr>
        <w:t>ecuación (4)</w:t>
      </w:r>
      <w:r w:rsidRPr="002F794B">
        <w:rPr>
          <w:i/>
          <w:iCs/>
        </w:rPr>
        <w:t xml:space="preserve"> para la configuración de emisiones conducidas o </w:t>
      </w:r>
      <w:r w:rsidRPr="002F794B">
        <w:rPr>
          <w:b/>
          <w:bCs/>
          <w:i/>
          <w:iCs/>
        </w:rPr>
        <w:t>ecuación (5)</w:t>
      </w:r>
      <w:r w:rsidRPr="002F794B">
        <w:rPr>
          <w:i/>
          <w:iCs/>
        </w:rPr>
        <w:t xml:space="preserve"> para la configuración de emisiones radiadas.</w:t>
      </w:r>
    </w:p>
    <w:p w14:paraId="2BFFBDB9" w14:textId="73F50BC0" w:rsidR="00F646A3" w:rsidRPr="002F794B" w:rsidRDefault="00F646A3" w:rsidP="00F646A3">
      <w:pPr>
        <w:numPr>
          <w:ilvl w:val="1"/>
          <w:numId w:val="17"/>
        </w:numPr>
        <w:tabs>
          <w:tab w:val="clear" w:pos="1440"/>
        </w:tabs>
        <w:ind w:left="1560" w:right="618" w:hanging="426"/>
        <w:rPr>
          <w:i/>
          <w:iCs/>
        </w:rPr>
      </w:pPr>
      <w:r w:rsidRPr="002F794B">
        <w:rPr>
          <w:i/>
          <w:iCs/>
        </w:rPr>
        <w:t>Para la gráfica desplegada, utilizando marcadores, registrar la duración acumulada de transmisiones (</w:t>
      </w:r>
      <m:oMath>
        <m:sSub>
          <m:sSubPr>
            <m:ctrlPr>
              <w:rPr>
                <w:rFonts w:ascii="Cambria Math" w:hAnsi="Cambria Math"/>
                <w:i/>
                <w:iCs/>
              </w:rPr>
            </m:ctrlPr>
          </m:sSubPr>
          <m:e>
            <m:r>
              <w:rPr>
                <w:rFonts w:ascii="Cambria Math" w:hAnsi="Cambria Math"/>
              </w:rPr>
              <m:t>T</m:t>
            </m:r>
          </m:e>
          <m:sub>
            <m:r>
              <w:rPr>
                <w:rFonts w:ascii="Cambria Math" w:hAnsi="Cambria Math"/>
              </w:rPr>
              <m:t>on_cum</m:t>
            </m:r>
          </m:sub>
        </m:sSub>
      </m:oMath>
      <w:r w:rsidRPr="002F794B">
        <w:rPr>
          <w:i/>
          <w:iCs/>
        </w:rPr>
        <w:t>), registradas, así mismo registrar el tiempo de observación o periodo (</w:t>
      </w:r>
      <m:oMath>
        <m:sSub>
          <m:sSubPr>
            <m:ctrlPr>
              <w:rPr>
                <w:rFonts w:ascii="Cambria Math" w:hAnsi="Cambria Math"/>
                <w:i/>
                <w:iCs/>
              </w:rPr>
            </m:ctrlPr>
          </m:sSubPr>
          <m:e>
            <m:r>
              <w:rPr>
                <w:rFonts w:ascii="Cambria Math" w:hAnsi="Cambria Math"/>
              </w:rPr>
              <m:t>T</m:t>
            </m:r>
          </m:e>
          <m:sub>
            <m:r>
              <w:rPr>
                <w:rFonts w:ascii="Cambria Math" w:hAnsi="Cambria Math"/>
              </w:rPr>
              <m:t>obs</m:t>
            </m:r>
          </m:sub>
        </m:sSub>
      </m:oMath>
      <w:r w:rsidRPr="002F794B">
        <w:rPr>
          <w:i/>
          <w:iCs/>
        </w:rPr>
        <w:t>).</w:t>
      </w:r>
    </w:p>
    <w:p w14:paraId="0D1E1FE0" w14:textId="77777777" w:rsidR="00F646A3" w:rsidRPr="002F794B" w:rsidRDefault="00F646A3" w:rsidP="00F646A3">
      <w:pPr>
        <w:numPr>
          <w:ilvl w:val="1"/>
          <w:numId w:val="17"/>
        </w:numPr>
        <w:tabs>
          <w:tab w:val="clear" w:pos="1440"/>
        </w:tabs>
        <w:ind w:left="1560" w:right="618" w:hanging="426"/>
        <w:rPr>
          <w:i/>
          <w:iCs/>
        </w:rPr>
      </w:pPr>
      <w:r w:rsidRPr="002F794B">
        <w:rPr>
          <w:i/>
          <w:iCs/>
        </w:rPr>
        <w:t>Imprimir la gráfica correspondiente y anexar al reporte de pruebas.</w:t>
      </w:r>
    </w:p>
    <w:p w14:paraId="78E41486" w14:textId="1829DE34" w:rsidR="00220EFB" w:rsidRPr="002F794B" w:rsidRDefault="00F646A3" w:rsidP="00F646A3">
      <w:pPr>
        <w:ind w:left="567" w:right="618"/>
        <w:rPr>
          <w:i/>
          <w:iCs/>
        </w:rPr>
      </w:pPr>
      <w:r w:rsidRPr="002F794B">
        <w:rPr>
          <w:i/>
          <w:iCs/>
        </w:rPr>
        <w:t xml:space="preserve">Verificar que los resultados de la operación </w:t>
      </w:r>
      <m:oMath>
        <m:d>
          <m:dPr>
            <m:ctrlPr>
              <w:rPr>
                <w:rFonts w:ascii="Cambria Math" w:hAnsi="Cambria Math"/>
                <w:b/>
                <w:i/>
                <w:iCs/>
              </w:rPr>
            </m:ctrlPr>
          </m:dPr>
          <m:e>
            <m:f>
              <m:fPr>
                <m:ctrlPr>
                  <w:rPr>
                    <w:rFonts w:ascii="Cambria Math" w:hAnsi="Cambria Math"/>
                    <w:b/>
                    <w:i/>
                    <w:iCs/>
                  </w:rPr>
                </m:ctrlPr>
              </m:fPr>
              <m:num>
                <m:sSub>
                  <m:sSubPr>
                    <m:ctrlPr>
                      <w:rPr>
                        <w:rFonts w:ascii="Cambria Math" w:hAnsi="Cambria Math"/>
                        <w:b/>
                        <w:i/>
                        <w:iCs/>
                      </w:rPr>
                    </m:ctrlPr>
                  </m:sSubPr>
                  <m:e>
                    <m:r>
                      <m:rPr>
                        <m:sty m:val="bi"/>
                      </m:rPr>
                      <w:rPr>
                        <w:rFonts w:ascii="Cambria Math" w:hAnsi="Cambria Math"/>
                      </w:rPr>
                      <m:t>T</m:t>
                    </m:r>
                  </m:e>
                  <m:sub>
                    <m:r>
                      <m:rPr>
                        <m:sty m:val="bi"/>
                      </m:rPr>
                      <w:rPr>
                        <w:rFonts w:ascii="Cambria Math" w:hAnsi="Cambria Math"/>
                      </w:rPr>
                      <m:t>on_cum</m:t>
                    </m:r>
                  </m:sub>
                </m:sSub>
              </m:num>
              <m:den>
                <m:sSub>
                  <m:sSubPr>
                    <m:ctrlPr>
                      <w:rPr>
                        <w:rFonts w:ascii="Cambria Math" w:hAnsi="Cambria Math"/>
                        <w:b/>
                        <w:i/>
                        <w:iCs/>
                      </w:rPr>
                    </m:ctrlPr>
                  </m:sSubPr>
                  <m:e>
                    <m:r>
                      <m:rPr>
                        <m:sty m:val="bi"/>
                      </m:rPr>
                      <w:rPr>
                        <w:rFonts w:ascii="Cambria Math" w:hAnsi="Cambria Math"/>
                      </w:rPr>
                      <m:t>T</m:t>
                    </m:r>
                  </m:e>
                  <m:sub>
                    <m:r>
                      <m:rPr>
                        <m:sty m:val="bi"/>
                      </m:rPr>
                      <w:rPr>
                        <w:rFonts w:ascii="Cambria Math" w:hAnsi="Cambria Math"/>
                      </w:rPr>
                      <m:t>obs</m:t>
                    </m:r>
                  </m:sub>
                </m:sSub>
              </m:den>
            </m:f>
          </m:e>
        </m:d>
        <m:r>
          <m:rPr>
            <m:sty m:val="bi"/>
          </m:rPr>
          <w:rPr>
            <w:rFonts w:ascii="Cambria Math" w:hAnsi="Cambria Math"/>
          </w:rPr>
          <m:t>×100%</m:t>
        </m:r>
      </m:oMath>
      <w:r w:rsidRPr="002F794B">
        <w:rPr>
          <w:i/>
          <w:iCs/>
        </w:rPr>
        <w:t xml:space="preserve"> cumplan con lo establecido en la tabla de límites máximos de ciclo útil.</w:t>
      </w:r>
    </w:p>
    <w:p w14:paraId="60F46398" w14:textId="77777777" w:rsidR="00220EFB" w:rsidRPr="002F794B" w:rsidRDefault="00220EFB" w:rsidP="00220EFB">
      <w:pPr>
        <w:rPr>
          <w:u w:val="single"/>
        </w:rPr>
      </w:pPr>
      <w:r w:rsidRPr="002F794B">
        <w:rPr>
          <w:u w:val="single"/>
        </w:rPr>
        <w:t>Respuesta</w:t>
      </w:r>
    </w:p>
    <w:p w14:paraId="1A9DB56F" w14:textId="3FCF8073" w:rsidR="00220EFB" w:rsidRPr="002F794B" w:rsidRDefault="00444977" w:rsidP="00220EFB">
      <w:r w:rsidRPr="002F794B">
        <w:t>No se considera</w:t>
      </w:r>
      <w:r w:rsidR="00966DC0" w:rsidRPr="002F794B">
        <w:t>.</w:t>
      </w:r>
    </w:p>
    <w:p w14:paraId="6FF32300" w14:textId="77777777" w:rsidR="00220EFB" w:rsidRPr="002F794B" w:rsidRDefault="00220EFB" w:rsidP="00DE0659"/>
    <w:p w14:paraId="12D05BF0" w14:textId="77777777" w:rsidR="00220EFB" w:rsidRPr="002F794B" w:rsidRDefault="00220EFB" w:rsidP="00220EFB">
      <w:pPr>
        <w:rPr>
          <w:u w:val="single"/>
        </w:rPr>
      </w:pPr>
      <w:r w:rsidRPr="002F794B">
        <w:rPr>
          <w:u w:val="single"/>
        </w:rPr>
        <w:t>Participante</w:t>
      </w:r>
    </w:p>
    <w:p w14:paraId="5E63BF22" w14:textId="13053FF2" w:rsidR="00220EFB" w:rsidRPr="002F794B" w:rsidRDefault="003F00BD" w:rsidP="00220EFB">
      <w:r w:rsidRPr="002F794B">
        <w:t>Rigoberto Cruz Alfaro</w:t>
      </w:r>
    </w:p>
    <w:p w14:paraId="33A856FD" w14:textId="77777777" w:rsidR="00220EFB" w:rsidRPr="002F794B" w:rsidRDefault="00220EFB" w:rsidP="00220EFB">
      <w:pPr>
        <w:rPr>
          <w:u w:val="single"/>
        </w:rPr>
      </w:pPr>
      <w:r w:rsidRPr="002F794B">
        <w:rPr>
          <w:u w:val="single"/>
        </w:rPr>
        <w:t>Comentario y propuesta</w:t>
      </w:r>
    </w:p>
    <w:p w14:paraId="3D8CDB58" w14:textId="0F165A3A" w:rsidR="003F00BD" w:rsidRPr="002F794B" w:rsidRDefault="003F00BD" w:rsidP="003F00BD">
      <w:pPr>
        <w:pStyle w:val="Prrafodelista"/>
        <w:numPr>
          <w:ilvl w:val="0"/>
          <w:numId w:val="20"/>
        </w:numPr>
        <w:ind w:right="616"/>
        <w:rPr>
          <w:i/>
          <w:iCs/>
        </w:rPr>
      </w:pPr>
      <w:r w:rsidRPr="002F794B">
        <w:rPr>
          <w:i/>
          <w:iCs/>
        </w:rPr>
        <w:lastRenderedPageBreak/>
        <w:t>¿</w:t>
      </w:r>
      <w:proofErr w:type="spellStart"/>
      <w:r w:rsidRPr="002F794B">
        <w:rPr>
          <w:i/>
          <w:iCs/>
        </w:rPr>
        <w:t>Cúal</w:t>
      </w:r>
      <w:proofErr w:type="spellEnd"/>
      <w:r w:rsidRPr="002F794B">
        <w:rPr>
          <w:i/>
          <w:iCs/>
        </w:rPr>
        <w:t xml:space="preserve"> será el tratamiento que se le dará a los equipos que operan por debajo de los 30 MHz y por encima de los 3 GHz?</w:t>
      </w:r>
    </w:p>
    <w:p w14:paraId="5C1E075E" w14:textId="0509237A" w:rsidR="00220EFB" w:rsidRPr="002F794B" w:rsidRDefault="003F00BD" w:rsidP="003F00BD">
      <w:pPr>
        <w:pStyle w:val="Prrafodelista"/>
        <w:numPr>
          <w:ilvl w:val="0"/>
          <w:numId w:val="20"/>
        </w:numPr>
        <w:ind w:right="616"/>
        <w:rPr>
          <w:i/>
          <w:iCs/>
        </w:rPr>
      </w:pPr>
      <w:r w:rsidRPr="002F794B">
        <w:rPr>
          <w:i/>
          <w:iCs/>
        </w:rPr>
        <w:t>Se observa en esta Consulta Pública sobre el anteproyecto de Disposición Técnica IFT 16-2023, que se incrementará el uso de los laboratorio para realizar la aplicación de esta Disposición Técnica, y disminuyendo considerablemente la participación de los Peritos acreditados por el Instituto Federal de Telecomunicaciones, lo cual desincentiva a los Peritos vigentes y la posibilidad de acreditarse nuevos candidatos.</w:t>
      </w:r>
    </w:p>
    <w:p w14:paraId="070D8ABA" w14:textId="77777777" w:rsidR="00220EFB" w:rsidRPr="002F794B" w:rsidRDefault="00220EFB" w:rsidP="00220EFB">
      <w:pPr>
        <w:rPr>
          <w:u w:val="single"/>
        </w:rPr>
      </w:pPr>
      <w:r w:rsidRPr="002F794B">
        <w:rPr>
          <w:u w:val="single"/>
        </w:rPr>
        <w:t>Respuesta</w:t>
      </w:r>
    </w:p>
    <w:p w14:paraId="58F7B79C" w14:textId="77136AD3" w:rsidR="00966DC0" w:rsidRPr="002F794B" w:rsidRDefault="00966DC0" w:rsidP="00966DC0">
      <w:r w:rsidRPr="002F794B">
        <w:t>No se considera. Los dispositivos que operen en bandas de frecuencias fuera del campo de aplicación de la presente DT deberán ser homologados conforme lo establecido en los Lineamientos Octavo y Vigésimo de los “Lineamientos para la homologación de productos, equipos, dispositivos o aparatos destinados a telecomunicaciones o radiodifusión”</w:t>
      </w:r>
      <w:r w:rsidR="00115715" w:rsidRPr="002F794B">
        <w:rPr>
          <w:rStyle w:val="Refdenotaalpie"/>
        </w:rPr>
        <w:footnoteReference w:id="3"/>
      </w:r>
      <w:r w:rsidRPr="002F794B">
        <w:t>.</w:t>
      </w:r>
    </w:p>
    <w:p w14:paraId="045382DF" w14:textId="6929B536" w:rsidR="00220EFB" w:rsidRPr="002F794B" w:rsidRDefault="00220EFB" w:rsidP="00966DC0"/>
    <w:p w14:paraId="0C533F3C" w14:textId="77777777" w:rsidR="00220EFB" w:rsidRPr="002F794B" w:rsidRDefault="00220EFB" w:rsidP="00220EFB">
      <w:pPr>
        <w:rPr>
          <w:u w:val="single"/>
        </w:rPr>
      </w:pPr>
      <w:r w:rsidRPr="002F794B">
        <w:rPr>
          <w:u w:val="single"/>
        </w:rPr>
        <w:t>Participante</w:t>
      </w:r>
    </w:p>
    <w:p w14:paraId="70AD8FB3" w14:textId="4D5CA2BF" w:rsidR="00220EFB" w:rsidRPr="002F794B" w:rsidRDefault="002236F2" w:rsidP="00220EFB">
      <w:r w:rsidRPr="002F794B">
        <w:t>Consejo Mexicano de Normalización y Evaluación de la Conformidad A.C.</w:t>
      </w:r>
    </w:p>
    <w:p w14:paraId="4D6EBAFD" w14:textId="77777777" w:rsidR="00220EFB" w:rsidRPr="002F794B" w:rsidRDefault="00220EFB" w:rsidP="00220EFB">
      <w:pPr>
        <w:rPr>
          <w:u w:val="single"/>
          <w:lang w:val="en-US"/>
        </w:rPr>
      </w:pPr>
      <w:proofErr w:type="spellStart"/>
      <w:r w:rsidRPr="002F794B">
        <w:rPr>
          <w:u w:val="single"/>
          <w:lang w:val="en-US"/>
        </w:rPr>
        <w:t>Comentario</w:t>
      </w:r>
      <w:proofErr w:type="spellEnd"/>
      <w:r w:rsidRPr="002F794B">
        <w:rPr>
          <w:u w:val="single"/>
          <w:lang w:val="en-US"/>
        </w:rPr>
        <w:t xml:space="preserve"> y </w:t>
      </w:r>
      <w:proofErr w:type="spellStart"/>
      <w:r w:rsidRPr="002F794B">
        <w:rPr>
          <w:u w:val="single"/>
          <w:lang w:val="en-US"/>
        </w:rPr>
        <w:t>propuesta</w:t>
      </w:r>
      <w:proofErr w:type="spellEnd"/>
    </w:p>
    <w:p w14:paraId="673D7999" w14:textId="77777777" w:rsidR="00306FFF" w:rsidRPr="002F794B" w:rsidRDefault="00306FFF" w:rsidP="00306FFF">
      <w:pPr>
        <w:ind w:left="567" w:right="616"/>
        <w:rPr>
          <w:i/>
          <w:iCs/>
        </w:rPr>
      </w:pPr>
      <w:proofErr w:type="spellStart"/>
      <w:r w:rsidRPr="002F794B">
        <w:rPr>
          <w:i/>
          <w:iCs/>
          <w:lang w:val="en-US"/>
        </w:rPr>
        <w:t>Según</w:t>
      </w:r>
      <w:proofErr w:type="spellEnd"/>
      <w:r w:rsidRPr="002F794B">
        <w:rPr>
          <w:i/>
          <w:iCs/>
          <w:lang w:val="en-US"/>
        </w:rPr>
        <w:t xml:space="preserve"> el </w:t>
      </w:r>
      <w:proofErr w:type="spellStart"/>
      <w:r w:rsidRPr="002F794B">
        <w:rPr>
          <w:i/>
          <w:iCs/>
          <w:lang w:val="en-US"/>
        </w:rPr>
        <w:t>cuadro</w:t>
      </w:r>
      <w:proofErr w:type="spellEnd"/>
      <w:r w:rsidRPr="002F794B">
        <w:rPr>
          <w:i/>
          <w:iCs/>
          <w:lang w:val="en-US"/>
        </w:rPr>
        <w:t xml:space="preserve"> de </w:t>
      </w:r>
      <w:proofErr w:type="spellStart"/>
      <w:r w:rsidRPr="002F794B">
        <w:rPr>
          <w:i/>
          <w:iCs/>
          <w:lang w:val="en-US"/>
        </w:rPr>
        <w:t>concordancias</w:t>
      </w:r>
      <w:proofErr w:type="spellEnd"/>
      <w:r w:rsidRPr="002F794B">
        <w:rPr>
          <w:i/>
          <w:iCs/>
          <w:lang w:val="en-US"/>
        </w:rPr>
        <w:t xml:space="preserve"> </w:t>
      </w:r>
      <w:proofErr w:type="spellStart"/>
      <w:r w:rsidRPr="002F794B">
        <w:rPr>
          <w:i/>
          <w:iCs/>
          <w:lang w:val="en-US"/>
        </w:rPr>
        <w:t>internacionales</w:t>
      </w:r>
      <w:proofErr w:type="spellEnd"/>
      <w:r w:rsidRPr="002F794B">
        <w:rPr>
          <w:i/>
          <w:iCs/>
          <w:lang w:val="en-US"/>
        </w:rPr>
        <w:t xml:space="preserve">, la ETSI EN 300 </w:t>
      </w:r>
      <w:proofErr w:type="gramStart"/>
      <w:r w:rsidRPr="002F794B">
        <w:rPr>
          <w:i/>
          <w:iCs/>
          <w:lang w:val="en-US"/>
        </w:rPr>
        <w:t>440  “</w:t>
      </w:r>
      <w:proofErr w:type="gramEnd"/>
      <w:r w:rsidRPr="002F794B">
        <w:rPr>
          <w:i/>
          <w:iCs/>
          <w:lang w:val="en-US"/>
        </w:rPr>
        <w:t xml:space="preserve">Short Range Devices (SRD); Radio equipment to be used in the 1 GHz to 40 GHz frequency range; </w:t>
      </w:r>
      <w:proofErr w:type="spellStart"/>
      <w:r w:rsidRPr="002F794B">
        <w:rPr>
          <w:i/>
          <w:iCs/>
          <w:lang w:val="en-US"/>
        </w:rPr>
        <w:t>Harmonised</w:t>
      </w:r>
      <w:proofErr w:type="spellEnd"/>
      <w:r w:rsidRPr="002F794B">
        <w:rPr>
          <w:i/>
          <w:iCs/>
          <w:lang w:val="en-US"/>
        </w:rPr>
        <w:t xml:space="preserve"> Standard for access to radio spectrum.”  </w:t>
      </w:r>
      <w:r w:rsidRPr="002F794B">
        <w:rPr>
          <w:i/>
          <w:iCs/>
        </w:rPr>
        <w:t xml:space="preserve">En el numeral 4.2.5, sugiere la medición del parámetro “Ciclo útil”,  el cual para fines de este anteproyecto aplicaría a los DRBP genéricos, los clasificados como Alarmas inalámbricas y los transmisores RFID que operan en la banda de 2446 a 2454 MHz siempre y cuando la PIRE sea mayor o igual a 500 </w:t>
      </w:r>
      <w:proofErr w:type="spellStart"/>
      <w:r w:rsidRPr="002F794B">
        <w:rPr>
          <w:i/>
          <w:iCs/>
        </w:rPr>
        <w:t>mW</w:t>
      </w:r>
      <w:proofErr w:type="spellEnd"/>
      <w:r w:rsidRPr="002F794B">
        <w:rPr>
          <w:i/>
          <w:iCs/>
        </w:rPr>
        <w:t>, por lo que se sugiere añadir este parámetro (Ver documento adjunto).</w:t>
      </w:r>
    </w:p>
    <w:p w14:paraId="59ED9478" w14:textId="77777777" w:rsidR="00220EFB" w:rsidRPr="002F794B" w:rsidRDefault="00220EFB" w:rsidP="00220EFB">
      <w:pPr>
        <w:rPr>
          <w:u w:val="single"/>
        </w:rPr>
      </w:pPr>
      <w:r w:rsidRPr="002F794B">
        <w:rPr>
          <w:u w:val="single"/>
        </w:rPr>
        <w:t>Respuesta</w:t>
      </w:r>
    </w:p>
    <w:p w14:paraId="0A659E3B" w14:textId="7BD6619E" w:rsidR="00220EFB" w:rsidRPr="002F794B" w:rsidRDefault="00306FFF" w:rsidP="00220EFB">
      <w:r w:rsidRPr="002F794B">
        <w:t>No se considera.</w:t>
      </w:r>
    </w:p>
    <w:p w14:paraId="4EA78983" w14:textId="77777777" w:rsidR="00220EFB" w:rsidRPr="002F794B" w:rsidRDefault="00220EFB" w:rsidP="00DE0659"/>
    <w:p w14:paraId="5CE9972E" w14:textId="77777777" w:rsidR="00220EFB" w:rsidRPr="002F794B" w:rsidRDefault="00220EFB" w:rsidP="00220EFB">
      <w:pPr>
        <w:rPr>
          <w:u w:val="single"/>
        </w:rPr>
      </w:pPr>
      <w:r w:rsidRPr="002F794B">
        <w:rPr>
          <w:u w:val="single"/>
        </w:rPr>
        <w:t>Participante</w:t>
      </w:r>
    </w:p>
    <w:p w14:paraId="0859AF22" w14:textId="79420809" w:rsidR="00220EFB" w:rsidRPr="002F794B" w:rsidRDefault="00D765E7" w:rsidP="00220EFB">
      <w:r w:rsidRPr="002F794B">
        <w:lastRenderedPageBreak/>
        <w:t>Colegio de Ingenieros Mecánicos y Electricistas, A.C.</w:t>
      </w:r>
    </w:p>
    <w:p w14:paraId="73A062A5" w14:textId="77777777" w:rsidR="00220EFB" w:rsidRPr="002F794B" w:rsidRDefault="00220EFB" w:rsidP="00220EFB">
      <w:pPr>
        <w:rPr>
          <w:u w:val="single"/>
        </w:rPr>
      </w:pPr>
      <w:r w:rsidRPr="002F794B">
        <w:rPr>
          <w:u w:val="single"/>
        </w:rPr>
        <w:t>Comentario y propuesta</w:t>
      </w:r>
    </w:p>
    <w:p w14:paraId="2F7F9418" w14:textId="49841913" w:rsidR="00D765E7" w:rsidRPr="002F794B" w:rsidRDefault="00D765E7" w:rsidP="00D765E7">
      <w:pPr>
        <w:pStyle w:val="Prrafodelista"/>
        <w:numPr>
          <w:ilvl w:val="0"/>
          <w:numId w:val="21"/>
        </w:numPr>
        <w:ind w:right="616"/>
        <w:rPr>
          <w:i/>
          <w:iCs/>
        </w:rPr>
      </w:pPr>
      <w:r w:rsidRPr="002F794B">
        <w:rPr>
          <w:i/>
          <w:iCs/>
        </w:rPr>
        <w:t>¿</w:t>
      </w:r>
      <w:proofErr w:type="spellStart"/>
      <w:r w:rsidRPr="002F794B">
        <w:rPr>
          <w:i/>
          <w:iCs/>
        </w:rPr>
        <w:t>Cual</w:t>
      </w:r>
      <w:proofErr w:type="spellEnd"/>
      <w:r w:rsidRPr="002F794B">
        <w:rPr>
          <w:i/>
          <w:iCs/>
        </w:rPr>
        <w:t xml:space="preserve"> será el tratamiento que se le dará a los equipos que operan por debajo de los 30 MHz y por encima de los 3 GHz?</w:t>
      </w:r>
    </w:p>
    <w:p w14:paraId="6AF55617" w14:textId="4D7C8195" w:rsidR="00220EFB" w:rsidRPr="002F794B" w:rsidRDefault="00D765E7" w:rsidP="00D765E7">
      <w:pPr>
        <w:pStyle w:val="Prrafodelista"/>
        <w:numPr>
          <w:ilvl w:val="0"/>
          <w:numId w:val="21"/>
        </w:numPr>
        <w:ind w:right="616"/>
        <w:rPr>
          <w:i/>
          <w:iCs/>
        </w:rPr>
      </w:pPr>
      <w:r w:rsidRPr="002F794B">
        <w:rPr>
          <w:i/>
          <w:iCs/>
        </w:rPr>
        <w:t>Se observa en esta Consulta Pública sobre el anteproyecto de Disposición Técnica IFT 16-2023, que se incrementará el uso de los laboratorio para realizar la aplicación de esta Disposición Técnica, y disminuyendo considerablemente la participación de los Peritos acreditados por el Instituto Federal de Telecomunicaciones, lo cual desincentiva a los Peritos vigentes y la posibilidad de acreditarse nuevos candidatos.</w:t>
      </w:r>
    </w:p>
    <w:p w14:paraId="60F49DD3" w14:textId="77777777" w:rsidR="00220EFB" w:rsidRPr="002F794B" w:rsidRDefault="00220EFB" w:rsidP="00220EFB">
      <w:pPr>
        <w:rPr>
          <w:u w:val="single"/>
        </w:rPr>
      </w:pPr>
      <w:r w:rsidRPr="002F794B">
        <w:rPr>
          <w:u w:val="single"/>
        </w:rPr>
        <w:t>Respuesta</w:t>
      </w:r>
    </w:p>
    <w:p w14:paraId="7C14D3B7" w14:textId="34AAFDA4" w:rsidR="00C43087" w:rsidRPr="002F794B" w:rsidRDefault="00C43087" w:rsidP="00C43087">
      <w:r w:rsidRPr="002F794B">
        <w:t>No se considera. Los dispositivos que operen en bandas de frecuencias fuera del campo de aplicación de la presente DT deberán ser homologados conforme lo establecido en los Lineamientos Octavo y Vigésimo de los “Lineamientos para la homologación de productos, equipos, dispositivos o aparatos destinados a telecomunicaciones o radiodifusión”</w:t>
      </w:r>
      <w:r w:rsidRPr="002F794B">
        <w:rPr>
          <w:rStyle w:val="Refdenotaalpie"/>
        </w:rPr>
        <w:footnoteReference w:id="4"/>
      </w:r>
      <w:r w:rsidRPr="002F794B">
        <w:t>.</w:t>
      </w:r>
    </w:p>
    <w:p w14:paraId="3E36F1DE" w14:textId="2D632035" w:rsidR="00220EFB" w:rsidRPr="002F794B" w:rsidRDefault="00220EFB" w:rsidP="00C43087"/>
    <w:p w14:paraId="56CCF710" w14:textId="77777777" w:rsidR="00220EFB" w:rsidRPr="002F794B" w:rsidRDefault="00220EFB" w:rsidP="00220EFB">
      <w:pPr>
        <w:rPr>
          <w:u w:val="single"/>
        </w:rPr>
      </w:pPr>
      <w:r w:rsidRPr="002F794B">
        <w:rPr>
          <w:u w:val="single"/>
        </w:rPr>
        <w:t>Participante</w:t>
      </w:r>
    </w:p>
    <w:p w14:paraId="102EFC14" w14:textId="432AA43A" w:rsidR="00220EFB" w:rsidRPr="002F794B" w:rsidRDefault="00B31A28" w:rsidP="00220EFB">
      <w:r w:rsidRPr="002F794B">
        <w:t>Apple Operations México, S.A. de C.V.</w:t>
      </w:r>
    </w:p>
    <w:p w14:paraId="758947E1" w14:textId="77777777" w:rsidR="00220EFB" w:rsidRPr="002F794B" w:rsidRDefault="00220EFB" w:rsidP="00220EFB">
      <w:pPr>
        <w:rPr>
          <w:u w:val="single"/>
        </w:rPr>
      </w:pPr>
      <w:r w:rsidRPr="002F794B">
        <w:rPr>
          <w:u w:val="single"/>
        </w:rPr>
        <w:t>Comentario y propuesta</w:t>
      </w:r>
    </w:p>
    <w:p w14:paraId="2E9780EB" w14:textId="3024F9CB" w:rsidR="00220EFB" w:rsidRPr="002F794B" w:rsidRDefault="00355692" w:rsidP="00220EFB">
      <w:pPr>
        <w:ind w:left="567" w:right="616"/>
        <w:rPr>
          <w:i/>
          <w:iCs/>
        </w:rPr>
      </w:pPr>
      <w:r w:rsidRPr="002F794B">
        <w:rPr>
          <w:i/>
          <w:iCs/>
        </w:rPr>
        <w:t xml:space="preserve">Solicitamos aclarar en todas las secciones relacionadas con el sitio de pruebas (cámara anecoica), si este debe ser una cámara completamente anecoica o puede ser </w:t>
      </w:r>
      <w:proofErr w:type="spellStart"/>
      <w:r w:rsidRPr="002F794B">
        <w:rPr>
          <w:i/>
          <w:iCs/>
        </w:rPr>
        <w:t>semi-anecoica</w:t>
      </w:r>
      <w:proofErr w:type="spellEnd"/>
      <w:r w:rsidRPr="002F794B">
        <w:rPr>
          <w:i/>
          <w:iCs/>
        </w:rPr>
        <w:t xml:space="preserve"> como ya se describe en otras Disposiciones Técnicas.</w:t>
      </w:r>
    </w:p>
    <w:p w14:paraId="05398CB8" w14:textId="77777777" w:rsidR="00220EFB" w:rsidRPr="002F794B" w:rsidRDefault="00220EFB" w:rsidP="00220EFB">
      <w:pPr>
        <w:rPr>
          <w:u w:val="single"/>
        </w:rPr>
      </w:pPr>
      <w:r w:rsidRPr="002F794B">
        <w:rPr>
          <w:u w:val="single"/>
        </w:rPr>
        <w:t>Respuesta</w:t>
      </w:r>
    </w:p>
    <w:p w14:paraId="4727A40A" w14:textId="250DCD27" w:rsidR="00220EFB" w:rsidRPr="002F794B" w:rsidRDefault="00881E9B" w:rsidP="00DE0659">
      <w:r w:rsidRPr="002F794B">
        <w:t>No se considera. El numeral 8.2 de la DT establece que debe utilizar una cámara anecoica para realizar las mediciones.</w:t>
      </w:r>
    </w:p>
    <w:sectPr w:rsidR="00220EFB" w:rsidRPr="002F794B">
      <w:headerReference w:type="default" r:id="rId36"/>
      <w:footerReference w:type="defaul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665C3" w14:textId="77777777" w:rsidR="002A73AA" w:rsidRDefault="002A73AA" w:rsidP="00F27BCD">
      <w:pPr>
        <w:spacing w:after="0" w:line="240" w:lineRule="auto"/>
      </w:pPr>
      <w:r>
        <w:separator/>
      </w:r>
    </w:p>
  </w:endnote>
  <w:endnote w:type="continuationSeparator" w:id="0">
    <w:p w14:paraId="283962BD" w14:textId="77777777" w:rsidR="002A73AA" w:rsidRDefault="002A73AA" w:rsidP="00F27BCD">
      <w:pPr>
        <w:spacing w:after="0" w:line="240" w:lineRule="auto"/>
      </w:pPr>
      <w:r>
        <w:continuationSeparator/>
      </w:r>
    </w:p>
  </w:endnote>
  <w:endnote w:type="continuationNotice" w:id="1">
    <w:p w14:paraId="24306341" w14:textId="77777777" w:rsidR="002A73AA" w:rsidRDefault="002A73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TC Avant Garde">
    <w:altName w:val="Avant Garde"/>
    <w:panose1 w:val="020B0402020203020304"/>
    <w:charset w:val="00"/>
    <w:family w:val="swiss"/>
    <w:pitch w:val="variable"/>
    <w:sig w:usb0="00000007" w:usb1="00000000" w:usb2="00000000" w:usb3="00000000" w:csb0="00000093" w:csb1="00000000"/>
  </w:font>
  <w:font w:name="ITC Avant Garde Demi">
    <w:panose1 w:val="020B07020202030202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57197" w14:textId="77777777" w:rsidR="00035C96" w:rsidRDefault="00035C96" w:rsidP="00F27BCD">
    <w:pPr>
      <w:pStyle w:val="Piedepgina"/>
      <w:jc w:val="right"/>
    </w:pPr>
  </w:p>
  <w:tbl>
    <w:tblPr>
      <w:tblStyle w:val="Tablaconcuadrcula4-nfasis6"/>
      <w:tblpPr w:leftFromText="187" w:rightFromText="187" w:vertAnchor="page" w:horzAnchor="margin" w:tblpXSpec="center" w:tblpYSpec="bottom"/>
      <w:tblW w:w="5000" w:type="pct"/>
      <w:tblLayout w:type="fixed"/>
      <w:tblLook w:val="04A0" w:firstRow="1" w:lastRow="0" w:firstColumn="1" w:lastColumn="0" w:noHBand="0" w:noVBand="1"/>
    </w:tblPr>
    <w:tblGrid>
      <w:gridCol w:w="7062"/>
      <w:gridCol w:w="1766"/>
    </w:tblGrid>
    <w:sdt>
      <w:sdtPr>
        <w:rPr>
          <w:rFonts w:asciiTheme="majorHAnsi" w:eastAsiaTheme="majorEastAsia" w:hAnsiTheme="majorHAnsi" w:cstheme="majorBidi"/>
          <w:b w:val="0"/>
          <w:bCs w:val="0"/>
          <w:color w:val="auto"/>
          <w:sz w:val="20"/>
          <w:szCs w:val="20"/>
          <w:lang w:val="es-ES"/>
        </w:rPr>
        <w:id w:val="483675566"/>
        <w:docPartObj>
          <w:docPartGallery w:val="Page Numbers (Bottom of Page)"/>
          <w:docPartUnique/>
        </w:docPartObj>
      </w:sdtPr>
      <w:sdtEndPr>
        <w:rPr>
          <w:rFonts w:ascii="ITC Avant Garde" w:eastAsiaTheme="minorHAnsi" w:hAnsi="ITC Avant Garde" w:cstheme="minorBidi"/>
          <w:sz w:val="22"/>
          <w:szCs w:val="22"/>
        </w:rPr>
      </w:sdtEndPr>
      <w:sdtContent>
        <w:sdt>
          <w:sdtPr>
            <w:rPr>
              <w:rFonts w:asciiTheme="majorHAnsi" w:eastAsiaTheme="majorEastAsia" w:hAnsiTheme="majorHAnsi" w:cstheme="majorBidi"/>
              <w:b w:val="0"/>
              <w:bCs w:val="0"/>
              <w:color w:val="auto"/>
              <w:sz w:val="20"/>
              <w:szCs w:val="20"/>
              <w:lang w:val="es-ES"/>
            </w:rPr>
            <w:id w:val="-887492439"/>
            <w:docPartObj>
              <w:docPartGallery w:val="Page Numbers (Bottom of Page)"/>
              <w:docPartUnique/>
            </w:docPartObj>
          </w:sdtPr>
          <w:sdtEndPr>
            <w:rPr>
              <w:rFonts w:ascii="ITC Avant Garde" w:eastAsiaTheme="minorHAnsi" w:hAnsi="ITC Avant Garde" w:cstheme="minorBidi"/>
              <w:sz w:val="22"/>
              <w:szCs w:val="22"/>
            </w:rPr>
          </w:sdtEndPr>
          <w:sdtContent>
            <w:sdt>
              <w:sdtPr>
                <w:rPr>
                  <w:rFonts w:asciiTheme="majorHAnsi" w:eastAsiaTheme="majorEastAsia" w:hAnsiTheme="majorHAnsi" w:cstheme="majorBidi"/>
                  <w:b w:val="0"/>
                  <w:bCs w:val="0"/>
                  <w:color w:val="auto"/>
                  <w:sz w:val="20"/>
                  <w:szCs w:val="20"/>
                  <w:lang w:val="es-ES"/>
                </w:rPr>
                <w:id w:val="394853134"/>
                <w:docPartObj>
                  <w:docPartGallery w:val="Page Numbers (Bottom of Page)"/>
                  <w:docPartUnique/>
                </w:docPartObj>
              </w:sdtPr>
              <w:sdtEndPr>
                <w:rPr>
                  <w:rFonts w:ascii="ITC Avant Garde" w:eastAsiaTheme="minorHAnsi" w:hAnsi="ITC Avant Garde" w:cstheme="minorBidi"/>
                  <w:sz w:val="22"/>
                  <w:szCs w:val="22"/>
                </w:rPr>
              </w:sdtEndPr>
              <w:sdtContent>
                <w:tr w:rsidR="00035C96" w14:paraId="1C441D7D" w14:textId="77777777" w:rsidTr="00322B94">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00" w:type="pct"/>
                    </w:tcPr>
                    <w:p w14:paraId="15539DBA" w14:textId="77777777" w:rsidR="00035C96" w:rsidRDefault="00035C96" w:rsidP="00F27BCD">
                      <w:pPr>
                        <w:tabs>
                          <w:tab w:val="left" w:pos="620"/>
                          <w:tab w:val="center" w:pos="4320"/>
                        </w:tabs>
                        <w:jc w:val="right"/>
                        <w:rPr>
                          <w:rFonts w:asciiTheme="majorHAnsi" w:eastAsiaTheme="majorEastAsia" w:hAnsiTheme="majorHAnsi" w:cstheme="majorBidi"/>
                          <w:sz w:val="20"/>
                          <w:szCs w:val="20"/>
                        </w:rPr>
                      </w:pPr>
                    </w:p>
                  </w:tc>
                  <w:tc>
                    <w:tcPr>
                      <w:tcW w:w="1000" w:type="pct"/>
                    </w:tcPr>
                    <w:p w14:paraId="43D6A350" w14:textId="72467104" w:rsidR="00035C96" w:rsidRDefault="00035C96" w:rsidP="00F27BCD">
                      <w:pPr>
                        <w:tabs>
                          <w:tab w:val="left" w:pos="1490"/>
                        </w:tabs>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8"/>
                          <w:szCs w:val="28"/>
                        </w:rPr>
                      </w:pPr>
                      <w:r w:rsidRPr="00C3041A">
                        <w:rPr>
                          <w:sz w:val="20"/>
                        </w:rPr>
                        <w:fldChar w:fldCharType="begin"/>
                      </w:r>
                      <w:r w:rsidRPr="00C3041A">
                        <w:rPr>
                          <w:sz w:val="20"/>
                        </w:rPr>
                        <w:instrText>PAGE    \* MERGEFORMAT</w:instrText>
                      </w:r>
                      <w:r w:rsidRPr="00C3041A">
                        <w:rPr>
                          <w:sz w:val="20"/>
                        </w:rPr>
                        <w:fldChar w:fldCharType="separate"/>
                      </w:r>
                      <w:r w:rsidR="00936E9F">
                        <w:rPr>
                          <w:noProof/>
                          <w:sz w:val="20"/>
                        </w:rPr>
                        <w:t>3</w:t>
                      </w:r>
                      <w:r w:rsidRPr="00C3041A">
                        <w:rPr>
                          <w:sz w:val="20"/>
                        </w:rPr>
                        <w:fldChar w:fldCharType="end"/>
                      </w:r>
                      <w:r w:rsidRPr="00C3041A">
                        <w:rPr>
                          <w:sz w:val="20"/>
                        </w:rPr>
                        <w:t xml:space="preserve"> de </w:t>
                      </w:r>
                      <w:r w:rsidR="00F0507F" w:rsidRPr="00C3041A">
                        <w:rPr>
                          <w:sz w:val="20"/>
                        </w:rPr>
                        <w:fldChar w:fldCharType="begin"/>
                      </w:r>
                      <w:r w:rsidR="00F0507F" w:rsidRPr="00C3041A">
                        <w:rPr>
                          <w:sz w:val="20"/>
                        </w:rPr>
                        <w:instrText xml:space="preserve"> NUMPAGES   \* MERGEFORMAT </w:instrText>
                      </w:r>
                      <w:r w:rsidR="00F0507F" w:rsidRPr="00C3041A">
                        <w:rPr>
                          <w:sz w:val="20"/>
                        </w:rPr>
                        <w:fldChar w:fldCharType="separate"/>
                      </w:r>
                      <w:r w:rsidR="00936E9F">
                        <w:rPr>
                          <w:noProof/>
                          <w:sz w:val="20"/>
                        </w:rPr>
                        <w:t>9</w:t>
                      </w:r>
                      <w:r w:rsidR="00F0507F" w:rsidRPr="00C3041A">
                        <w:rPr>
                          <w:noProof/>
                          <w:sz w:val="20"/>
                        </w:rPr>
                        <w:fldChar w:fldCharType="end"/>
                      </w:r>
                    </w:p>
                  </w:tc>
                </w:tr>
              </w:sdtContent>
            </w:sdt>
          </w:sdtContent>
        </w:sdt>
      </w:sdtContent>
    </w:sdt>
  </w:tbl>
  <w:p w14:paraId="7C2C0DB0" w14:textId="77777777" w:rsidR="00035C96" w:rsidRDefault="00035C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5E8892" w14:textId="77777777" w:rsidR="002A73AA" w:rsidRDefault="002A73AA" w:rsidP="00F27BCD">
      <w:pPr>
        <w:spacing w:after="0" w:line="240" w:lineRule="auto"/>
      </w:pPr>
      <w:r>
        <w:separator/>
      </w:r>
    </w:p>
  </w:footnote>
  <w:footnote w:type="continuationSeparator" w:id="0">
    <w:p w14:paraId="1107341D" w14:textId="77777777" w:rsidR="002A73AA" w:rsidRDefault="002A73AA" w:rsidP="00F27BCD">
      <w:pPr>
        <w:spacing w:after="0" w:line="240" w:lineRule="auto"/>
      </w:pPr>
      <w:r>
        <w:continuationSeparator/>
      </w:r>
    </w:p>
  </w:footnote>
  <w:footnote w:type="continuationNotice" w:id="1">
    <w:p w14:paraId="742F3377" w14:textId="77777777" w:rsidR="002A73AA" w:rsidRDefault="002A73AA">
      <w:pPr>
        <w:spacing w:after="0" w:line="240" w:lineRule="auto"/>
      </w:pPr>
    </w:p>
  </w:footnote>
  <w:footnote w:id="2">
    <w:p w14:paraId="301448C7" w14:textId="7E59F627" w:rsidR="00B71E16" w:rsidRDefault="00B71E16" w:rsidP="00B71E16">
      <w:pPr>
        <w:pStyle w:val="Textonotapie"/>
        <w:jc w:val="left"/>
      </w:pPr>
      <w:r>
        <w:rPr>
          <w:rStyle w:val="Refdenotaalpie"/>
        </w:rPr>
        <w:footnoteRef/>
      </w:r>
      <w:r>
        <w:t xml:space="preserve"> </w:t>
      </w:r>
      <w:hyperlink r:id="rId1" w:anchor="gsc.tab=0" w:history="1">
        <w:r w:rsidRPr="00D3011E">
          <w:rPr>
            <w:rStyle w:val="Hipervnculo"/>
            <w:sz w:val="16"/>
            <w:szCs w:val="16"/>
          </w:rPr>
          <w:t>https://www.dof.gob.mx/nota_detalle.php?codigo=5639645&amp;fecha=29/12/2021#gsc.tab=0</w:t>
        </w:r>
      </w:hyperlink>
      <w:r>
        <w:t xml:space="preserve"> </w:t>
      </w:r>
    </w:p>
  </w:footnote>
  <w:footnote w:id="3">
    <w:p w14:paraId="3EF61E4F" w14:textId="26922992" w:rsidR="00115715" w:rsidRDefault="00115715">
      <w:pPr>
        <w:pStyle w:val="Textonotapie"/>
      </w:pPr>
      <w:r>
        <w:rPr>
          <w:rStyle w:val="Refdenotaalpie"/>
        </w:rPr>
        <w:footnoteRef/>
      </w:r>
      <w:r>
        <w:t xml:space="preserve"> </w:t>
      </w:r>
      <w:hyperlink r:id="rId2" w:anchor="gsc.tab=0" w:history="1">
        <w:r w:rsidRPr="00D3011E">
          <w:rPr>
            <w:rStyle w:val="Hipervnculo"/>
          </w:rPr>
          <w:t>https://www.dof.gob.mx/nota_detalle.php?codigo=5639645&amp;fecha=29/12/2021#gsc.tab=0</w:t>
        </w:r>
      </w:hyperlink>
      <w:r>
        <w:t xml:space="preserve"> </w:t>
      </w:r>
    </w:p>
  </w:footnote>
  <w:footnote w:id="4">
    <w:p w14:paraId="1ED13EE4" w14:textId="52F1D87D" w:rsidR="00C43087" w:rsidRDefault="00C43087">
      <w:pPr>
        <w:pStyle w:val="Textonotapie"/>
      </w:pPr>
      <w:r>
        <w:rPr>
          <w:rStyle w:val="Refdenotaalpie"/>
        </w:rPr>
        <w:footnoteRef/>
      </w:r>
      <w:r>
        <w:t xml:space="preserve"> </w:t>
      </w:r>
      <w:hyperlink r:id="rId3" w:anchor="gsc.tab=0" w:history="1">
        <w:r w:rsidRPr="00D3011E">
          <w:rPr>
            <w:rStyle w:val="Hipervnculo"/>
          </w:rPr>
          <w:t>https://www.dof.gob.mx/nota_detalle.php?codigo=5639645&amp;fecha=29/12/2021#gsc.tab=0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06C19" w14:textId="4F1F3DA9" w:rsidR="00035C96" w:rsidRPr="00C3041A" w:rsidRDefault="00035C96" w:rsidP="00C3041A">
    <w:pPr>
      <w:pStyle w:val="Encabezado"/>
      <w:jc w:val="right"/>
      <w:rPr>
        <w:rFonts w:eastAsia="ITC Avant Garde" w:cs="ITC Avant Garde"/>
        <w:iCs/>
        <w:sz w:val="18"/>
        <w:szCs w:val="16"/>
      </w:rPr>
    </w:pPr>
    <w:r w:rsidRPr="00C3041A">
      <w:rPr>
        <w:noProof/>
        <w:sz w:val="24"/>
        <w:lang w:eastAsia="es-MX"/>
      </w:rPr>
      <w:drawing>
        <wp:anchor distT="0" distB="0" distL="114300" distR="114300" simplePos="0" relativeHeight="251658240" behindDoc="0" locked="0" layoutInCell="1" allowOverlap="1" wp14:anchorId="508D75E9" wp14:editId="5DF13E4A">
          <wp:simplePos x="0" y="0"/>
          <wp:positionH relativeFrom="margin">
            <wp:align>left</wp:align>
          </wp:positionH>
          <wp:positionV relativeFrom="paragraph">
            <wp:posOffset>-283845</wp:posOffset>
          </wp:positionV>
          <wp:extent cx="954405" cy="71437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405" cy="714375"/>
                  </a:xfrm>
                  <a:prstGeom prst="rect">
                    <a:avLst/>
                  </a:prstGeom>
                  <a:noFill/>
                </pic:spPr>
              </pic:pic>
            </a:graphicData>
          </a:graphic>
          <wp14:sizeRelH relativeFrom="margin">
            <wp14:pctWidth>0</wp14:pctWidth>
          </wp14:sizeRelH>
          <wp14:sizeRelV relativeFrom="margin">
            <wp14:pctHeight>0</wp14:pctHeight>
          </wp14:sizeRelV>
        </wp:anchor>
      </w:drawing>
    </w:r>
  </w:p>
  <w:p w14:paraId="257FD9DE" w14:textId="6109C6A1" w:rsidR="00035C96" w:rsidRDefault="00035C96" w:rsidP="00F27BCD">
    <w:pPr>
      <w:pStyle w:val="Encabezado"/>
      <w:jc w:val="right"/>
      <w:rPr>
        <w:rFonts w:eastAsia="ITC Avant Garde" w:cs="ITC Avant Garde"/>
        <w:sz w:val="18"/>
        <w:szCs w:val="18"/>
      </w:rPr>
    </w:pPr>
  </w:p>
  <w:p w14:paraId="3088AF21" w14:textId="77777777" w:rsidR="00C3041A" w:rsidRPr="006937A7" w:rsidRDefault="00C3041A" w:rsidP="00F27BCD">
    <w:pPr>
      <w:pStyle w:val="Encabezado"/>
      <w:jc w:val="right"/>
      <w:rPr>
        <w:sz w:val="18"/>
      </w:rPr>
    </w:pPr>
  </w:p>
  <w:p w14:paraId="34D5EADF" w14:textId="77777777" w:rsidR="00035C96" w:rsidRDefault="00035C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D16C14"/>
    <w:multiLevelType w:val="multilevel"/>
    <w:tmpl w:val="D81678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6223D3"/>
    <w:multiLevelType w:val="hybridMultilevel"/>
    <w:tmpl w:val="15AEF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9556F9"/>
    <w:multiLevelType w:val="hybridMultilevel"/>
    <w:tmpl w:val="C012F7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27B20B35"/>
    <w:multiLevelType w:val="hybridMultilevel"/>
    <w:tmpl w:val="5B228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AD7258"/>
    <w:multiLevelType w:val="hybridMultilevel"/>
    <w:tmpl w:val="DBB8D2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D42933"/>
    <w:multiLevelType w:val="multilevel"/>
    <w:tmpl w:val="D81678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BA7080"/>
    <w:multiLevelType w:val="hybridMultilevel"/>
    <w:tmpl w:val="9C02A56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FF29C0"/>
    <w:multiLevelType w:val="hybridMultilevel"/>
    <w:tmpl w:val="23C6BBE6"/>
    <w:lvl w:ilvl="0" w:tplc="080A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 w15:restartNumberingAfterBreak="0">
    <w:nsid w:val="41454457"/>
    <w:multiLevelType w:val="multilevel"/>
    <w:tmpl w:val="D81678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D249CC"/>
    <w:multiLevelType w:val="hybridMultilevel"/>
    <w:tmpl w:val="BC06E0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45D52D56"/>
    <w:multiLevelType w:val="hybridMultilevel"/>
    <w:tmpl w:val="ECE226D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9557414"/>
    <w:multiLevelType w:val="hybridMultilevel"/>
    <w:tmpl w:val="C26C25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5188245E"/>
    <w:multiLevelType w:val="hybridMultilevel"/>
    <w:tmpl w:val="7C6EF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B524DF"/>
    <w:multiLevelType w:val="hybridMultilevel"/>
    <w:tmpl w:val="1494B5B2"/>
    <w:lvl w:ilvl="0" w:tplc="080A0003">
      <w:start w:val="1"/>
      <w:numFmt w:val="bullet"/>
      <w:lvlText w:val="o"/>
      <w:lvlJc w:val="left"/>
      <w:pPr>
        <w:ind w:left="1287" w:hanging="360"/>
      </w:pPr>
      <w:rPr>
        <w:rFonts w:ascii="Courier New" w:hAnsi="Courier New" w:cs="Courier New"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71726D89"/>
    <w:multiLevelType w:val="multilevel"/>
    <w:tmpl w:val="EE165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2364EB0"/>
    <w:multiLevelType w:val="multilevel"/>
    <w:tmpl w:val="D81678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2650B9"/>
    <w:multiLevelType w:val="hybridMultilevel"/>
    <w:tmpl w:val="011A82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78442A21"/>
    <w:multiLevelType w:val="hybridMultilevel"/>
    <w:tmpl w:val="7E588C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9435745"/>
    <w:multiLevelType w:val="hybridMultilevel"/>
    <w:tmpl w:val="72385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A91331"/>
    <w:multiLevelType w:val="hybridMultilevel"/>
    <w:tmpl w:val="FD96EE2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7FF47644"/>
    <w:multiLevelType w:val="hybridMultilevel"/>
    <w:tmpl w:val="02303CBE"/>
    <w:lvl w:ilvl="0" w:tplc="080A000F">
      <w:start w:val="1"/>
      <w:numFmt w:val="decimal"/>
      <w:lvlText w:val="%1."/>
      <w:lvlJc w:val="left"/>
      <w:pPr>
        <w:ind w:left="720" w:hanging="360"/>
      </w:pPr>
      <w:rPr>
        <w:rFonts w:hint="default"/>
      </w:rPr>
    </w:lvl>
    <w:lvl w:ilvl="1" w:tplc="CE201766">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23586545">
    <w:abstractNumId w:val="4"/>
  </w:num>
  <w:num w:numId="2" w16cid:durableId="1063217939">
    <w:abstractNumId w:val="20"/>
  </w:num>
  <w:num w:numId="3" w16cid:durableId="1827436712">
    <w:abstractNumId w:val="17"/>
  </w:num>
  <w:num w:numId="4" w16cid:durableId="685248931">
    <w:abstractNumId w:val="1"/>
  </w:num>
  <w:num w:numId="5" w16cid:durableId="196627939">
    <w:abstractNumId w:val="18"/>
  </w:num>
  <w:num w:numId="6" w16cid:durableId="1419712313">
    <w:abstractNumId w:val="2"/>
  </w:num>
  <w:num w:numId="7" w16cid:durableId="1685664042">
    <w:abstractNumId w:val="11"/>
  </w:num>
  <w:num w:numId="8" w16cid:durableId="380399676">
    <w:abstractNumId w:val="16"/>
  </w:num>
  <w:num w:numId="9" w16cid:durableId="1473787318">
    <w:abstractNumId w:val="9"/>
  </w:num>
  <w:num w:numId="10" w16cid:durableId="524099695">
    <w:abstractNumId w:val="10"/>
  </w:num>
  <w:num w:numId="11" w16cid:durableId="1367368333">
    <w:abstractNumId w:val="3"/>
  </w:num>
  <w:num w:numId="12" w16cid:durableId="185674534">
    <w:abstractNumId w:val="19"/>
  </w:num>
  <w:num w:numId="13" w16cid:durableId="1070924935">
    <w:abstractNumId w:val="13"/>
  </w:num>
  <w:num w:numId="14" w16cid:durableId="1353729480">
    <w:abstractNumId w:val="12"/>
  </w:num>
  <w:num w:numId="15" w16cid:durableId="1384210498">
    <w:abstractNumId w:val="7"/>
  </w:num>
  <w:num w:numId="16" w16cid:durableId="1539970639">
    <w:abstractNumId w:val="14"/>
  </w:num>
  <w:num w:numId="17" w16cid:durableId="1476751905">
    <w:abstractNumId w:val="0"/>
  </w:num>
  <w:num w:numId="18" w16cid:durableId="1820729093">
    <w:abstractNumId w:val="6"/>
  </w:num>
  <w:num w:numId="19" w16cid:durableId="71853337">
    <w:abstractNumId w:val="15"/>
  </w:num>
  <w:num w:numId="20" w16cid:durableId="652296921">
    <w:abstractNumId w:val="8"/>
  </w:num>
  <w:num w:numId="21" w16cid:durableId="18938798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proofState w:spelling="clean" w:grammar="clean"/>
  <w:trackRevisions/>
  <w:doNotTrackFormatting/>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815"/>
    <w:rsid w:val="00001615"/>
    <w:rsid w:val="00002BC7"/>
    <w:rsid w:val="00002FFA"/>
    <w:rsid w:val="000030DC"/>
    <w:rsid w:val="000057F6"/>
    <w:rsid w:val="00005B95"/>
    <w:rsid w:val="000108F3"/>
    <w:rsid w:val="000111AF"/>
    <w:rsid w:val="000210C0"/>
    <w:rsid w:val="0002181F"/>
    <w:rsid w:val="000239D4"/>
    <w:rsid w:val="00025AFD"/>
    <w:rsid w:val="00025EB0"/>
    <w:rsid w:val="000333A4"/>
    <w:rsid w:val="00034D69"/>
    <w:rsid w:val="00035C96"/>
    <w:rsid w:val="000404BF"/>
    <w:rsid w:val="000410B0"/>
    <w:rsid w:val="0004166B"/>
    <w:rsid w:val="00043259"/>
    <w:rsid w:val="00044D11"/>
    <w:rsid w:val="00045625"/>
    <w:rsid w:val="00045F0E"/>
    <w:rsid w:val="00046E6F"/>
    <w:rsid w:val="00051DDB"/>
    <w:rsid w:val="00052ED2"/>
    <w:rsid w:val="00055A34"/>
    <w:rsid w:val="0006234A"/>
    <w:rsid w:val="00063E97"/>
    <w:rsid w:val="000648E6"/>
    <w:rsid w:val="00066F6F"/>
    <w:rsid w:val="000678C5"/>
    <w:rsid w:val="00073E5C"/>
    <w:rsid w:val="00074813"/>
    <w:rsid w:val="00074EB2"/>
    <w:rsid w:val="00075177"/>
    <w:rsid w:val="00075CDA"/>
    <w:rsid w:val="0008118A"/>
    <w:rsid w:val="0008481E"/>
    <w:rsid w:val="000856FC"/>
    <w:rsid w:val="00086CE1"/>
    <w:rsid w:val="00087AB3"/>
    <w:rsid w:val="00091C8A"/>
    <w:rsid w:val="000939CB"/>
    <w:rsid w:val="00096B11"/>
    <w:rsid w:val="00096BE6"/>
    <w:rsid w:val="0009788A"/>
    <w:rsid w:val="000A03F5"/>
    <w:rsid w:val="000A0689"/>
    <w:rsid w:val="000A62C0"/>
    <w:rsid w:val="000A6F57"/>
    <w:rsid w:val="000B0342"/>
    <w:rsid w:val="000B1C64"/>
    <w:rsid w:val="000B389B"/>
    <w:rsid w:val="000B6ABC"/>
    <w:rsid w:val="000B6CD1"/>
    <w:rsid w:val="000C168D"/>
    <w:rsid w:val="000C20FD"/>
    <w:rsid w:val="000C6744"/>
    <w:rsid w:val="000D19EB"/>
    <w:rsid w:val="000D2333"/>
    <w:rsid w:val="000D4CC9"/>
    <w:rsid w:val="000E16FB"/>
    <w:rsid w:val="000E2FF7"/>
    <w:rsid w:val="000E31E7"/>
    <w:rsid w:val="000E337A"/>
    <w:rsid w:val="000E65EB"/>
    <w:rsid w:val="000F1710"/>
    <w:rsid w:val="000F1F39"/>
    <w:rsid w:val="000F6577"/>
    <w:rsid w:val="000F76A4"/>
    <w:rsid w:val="001009F6"/>
    <w:rsid w:val="00100E89"/>
    <w:rsid w:val="00102245"/>
    <w:rsid w:val="00105312"/>
    <w:rsid w:val="001074BB"/>
    <w:rsid w:val="001112DD"/>
    <w:rsid w:val="00112860"/>
    <w:rsid w:val="0011353B"/>
    <w:rsid w:val="00113E56"/>
    <w:rsid w:val="00115715"/>
    <w:rsid w:val="00122638"/>
    <w:rsid w:val="00122AC4"/>
    <w:rsid w:val="001236C2"/>
    <w:rsid w:val="001271D8"/>
    <w:rsid w:val="00131316"/>
    <w:rsid w:val="00131DA7"/>
    <w:rsid w:val="001323E4"/>
    <w:rsid w:val="00135270"/>
    <w:rsid w:val="00135B38"/>
    <w:rsid w:val="001379D4"/>
    <w:rsid w:val="001419A1"/>
    <w:rsid w:val="00141D20"/>
    <w:rsid w:val="00142E14"/>
    <w:rsid w:val="00144DEE"/>
    <w:rsid w:val="00145275"/>
    <w:rsid w:val="00147B8D"/>
    <w:rsid w:val="0015091E"/>
    <w:rsid w:val="00150E02"/>
    <w:rsid w:val="001515D3"/>
    <w:rsid w:val="001543B9"/>
    <w:rsid w:val="00157C85"/>
    <w:rsid w:val="0016007F"/>
    <w:rsid w:val="001602B6"/>
    <w:rsid w:val="001658EF"/>
    <w:rsid w:val="00166327"/>
    <w:rsid w:val="00166A3A"/>
    <w:rsid w:val="00167569"/>
    <w:rsid w:val="00170F59"/>
    <w:rsid w:val="001731E1"/>
    <w:rsid w:val="001733CA"/>
    <w:rsid w:val="001740CF"/>
    <w:rsid w:val="00174BC4"/>
    <w:rsid w:val="00174F22"/>
    <w:rsid w:val="00175E37"/>
    <w:rsid w:val="00176440"/>
    <w:rsid w:val="00176D7D"/>
    <w:rsid w:val="00177169"/>
    <w:rsid w:val="00177674"/>
    <w:rsid w:val="001807F4"/>
    <w:rsid w:val="0018165F"/>
    <w:rsid w:val="00182D37"/>
    <w:rsid w:val="00183C27"/>
    <w:rsid w:val="0018409C"/>
    <w:rsid w:val="001853D1"/>
    <w:rsid w:val="001868EC"/>
    <w:rsid w:val="001907DB"/>
    <w:rsid w:val="001914F3"/>
    <w:rsid w:val="00191511"/>
    <w:rsid w:val="00193A4B"/>
    <w:rsid w:val="001A03A5"/>
    <w:rsid w:val="001A119A"/>
    <w:rsid w:val="001A14F4"/>
    <w:rsid w:val="001A347E"/>
    <w:rsid w:val="001A3F64"/>
    <w:rsid w:val="001A4B80"/>
    <w:rsid w:val="001A59B2"/>
    <w:rsid w:val="001A6469"/>
    <w:rsid w:val="001A7D10"/>
    <w:rsid w:val="001B22DC"/>
    <w:rsid w:val="001B2970"/>
    <w:rsid w:val="001B2EDA"/>
    <w:rsid w:val="001B4C24"/>
    <w:rsid w:val="001B5D2B"/>
    <w:rsid w:val="001B62FB"/>
    <w:rsid w:val="001B69D2"/>
    <w:rsid w:val="001B6D72"/>
    <w:rsid w:val="001C23AA"/>
    <w:rsid w:val="001C40D9"/>
    <w:rsid w:val="001C447B"/>
    <w:rsid w:val="001C5187"/>
    <w:rsid w:val="001C6D4F"/>
    <w:rsid w:val="001C7896"/>
    <w:rsid w:val="001C7E82"/>
    <w:rsid w:val="001D2EBD"/>
    <w:rsid w:val="001D36BF"/>
    <w:rsid w:val="001D5629"/>
    <w:rsid w:val="001E0862"/>
    <w:rsid w:val="001E2D8D"/>
    <w:rsid w:val="001E5622"/>
    <w:rsid w:val="001E62F3"/>
    <w:rsid w:val="001E6FED"/>
    <w:rsid w:val="001E7B2B"/>
    <w:rsid w:val="001F03C4"/>
    <w:rsid w:val="001F2225"/>
    <w:rsid w:val="001F3CE3"/>
    <w:rsid w:val="001F65C6"/>
    <w:rsid w:val="0020653B"/>
    <w:rsid w:val="00206F1F"/>
    <w:rsid w:val="00207DEA"/>
    <w:rsid w:val="00210E25"/>
    <w:rsid w:val="00210EC7"/>
    <w:rsid w:val="002131F1"/>
    <w:rsid w:val="00214834"/>
    <w:rsid w:val="00217A78"/>
    <w:rsid w:val="00220EFB"/>
    <w:rsid w:val="00221632"/>
    <w:rsid w:val="00223510"/>
    <w:rsid w:val="002236F2"/>
    <w:rsid w:val="00223FD5"/>
    <w:rsid w:val="00225464"/>
    <w:rsid w:val="00226457"/>
    <w:rsid w:val="002270D5"/>
    <w:rsid w:val="002351C7"/>
    <w:rsid w:val="0024189E"/>
    <w:rsid w:val="00247364"/>
    <w:rsid w:val="00247700"/>
    <w:rsid w:val="002503B7"/>
    <w:rsid w:val="002506C7"/>
    <w:rsid w:val="00250A1D"/>
    <w:rsid w:val="00250EC2"/>
    <w:rsid w:val="002526A6"/>
    <w:rsid w:val="0025415F"/>
    <w:rsid w:val="002557B6"/>
    <w:rsid w:val="00264049"/>
    <w:rsid w:val="00265B49"/>
    <w:rsid w:val="00266A06"/>
    <w:rsid w:val="00266C27"/>
    <w:rsid w:val="00266DF3"/>
    <w:rsid w:val="0027367F"/>
    <w:rsid w:val="00280158"/>
    <w:rsid w:val="00280B15"/>
    <w:rsid w:val="002819CE"/>
    <w:rsid w:val="00284B38"/>
    <w:rsid w:val="00285A81"/>
    <w:rsid w:val="002876FC"/>
    <w:rsid w:val="00290A66"/>
    <w:rsid w:val="00290BB4"/>
    <w:rsid w:val="00292444"/>
    <w:rsid w:val="0029255C"/>
    <w:rsid w:val="00293908"/>
    <w:rsid w:val="00294160"/>
    <w:rsid w:val="002949BB"/>
    <w:rsid w:val="00294DC9"/>
    <w:rsid w:val="00296053"/>
    <w:rsid w:val="00297DBE"/>
    <w:rsid w:val="002A4D20"/>
    <w:rsid w:val="002A50F9"/>
    <w:rsid w:val="002A5F56"/>
    <w:rsid w:val="002A6AAD"/>
    <w:rsid w:val="002A7213"/>
    <w:rsid w:val="002A73AA"/>
    <w:rsid w:val="002B1934"/>
    <w:rsid w:val="002B2852"/>
    <w:rsid w:val="002B2F82"/>
    <w:rsid w:val="002B33E8"/>
    <w:rsid w:val="002B3C26"/>
    <w:rsid w:val="002B47AD"/>
    <w:rsid w:val="002B74DB"/>
    <w:rsid w:val="002B7545"/>
    <w:rsid w:val="002B7DEC"/>
    <w:rsid w:val="002C1C6E"/>
    <w:rsid w:val="002C1E35"/>
    <w:rsid w:val="002C443D"/>
    <w:rsid w:val="002C5171"/>
    <w:rsid w:val="002C5C8C"/>
    <w:rsid w:val="002C622D"/>
    <w:rsid w:val="002D4BA0"/>
    <w:rsid w:val="002E1BB3"/>
    <w:rsid w:val="002E29A6"/>
    <w:rsid w:val="002E4AF5"/>
    <w:rsid w:val="002E59C1"/>
    <w:rsid w:val="002E7424"/>
    <w:rsid w:val="002F0288"/>
    <w:rsid w:val="002F3010"/>
    <w:rsid w:val="002F313A"/>
    <w:rsid w:val="002F4F63"/>
    <w:rsid w:val="002F52FD"/>
    <w:rsid w:val="002F5EA5"/>
    <w:rsid w:val="002F794B"/>
    <w:rsid w:val="0030167C"/>
    <w:rsid w:val="003057FD"/>
    <w:rsid w:val="00305A06"/>
    <w:rsid w:val="00306E40"/>
    <w:rsid w:val="00306FFF"/>
    <w:rsid w:val="0030710D"/>
    <w:rsid w:val="003107EA"/>
    <w:rsid w:val="0031349C"/>
    <w:rsid w:val="00313A2E"/>
    <w:rsid w:val="0032022F"/>
    <w:rsid w:val="00322814"/>
    <w:rsid w:val="00322B94"/>
    <w:rsid w:val="00323420"/>
    <w:rsid w:val="0032499A"/>
    <w:rsid w:val="003255AB"/>
    <w:rsid w:val="0032711A"/>
    <w:rsid w:val="00331566"/>
    <w:rsid w:val="00331A56"/>
    <w:rsid w:val="00332ACA"/>
    <w:rsid w:val="00336977"/>
    <w:rsid w:val="00340673"/>
    <w:rsid w:val="003511A0"/>
    <w:rsid w:val="00352324"/>
    <w:rsid w:val="003541FB"/>
    <w:rsid w:val="00355692"/>
    <w:rsid w:val="00356156"/>
    <w:rsid w:val="0035772A"/>
    <w:rsid w:val="00357CAC"/>
    <w:rsid w:val="00357F4F"/>
    <w:rsid w:val="00361C9B"/>
    <w:rsid w:val="00364ADA"/>
    <w:rsid w:val="0036680B"/>
    <w:rsid w:val="003678D3"/>
    <w:rsid w:val="003704CD"/>
    <w:rsid w:val="0037153E"/>
    <w:rsid w:val="00372C2C"/>
    <w:rsid w:val="00374788"/>
    <w:rsid w:val="00377422"/>
    <w:rsid w:val="003779EC"/>
    <w:rsid w:val="0038084E"/>
    <w:rsid w:val="003876F7"/>
    <w:rsid w:val="00391558"/>
    <w:rsid w:val="00394955"/>
    <w:rsid w:val="003952BA"/>
    <w:rsid w:val="00397815"/>
    <w:rsid w:val="00397D56"/>
    <w:rsid w:val="003A0384"/>
    <w:rsid w:val="003A0FC6"/>
    <w:rsid w:val="003A1BDA"/>
    <w:rsid w:val="003B0AA2"/>
    <w:rsid w:val="003B2659"/>
    <w:rsid w:val="003B27D2"/>
    <w:rsid w:val="003B7816"/>
    <w:rsid w:val="003C088C"/>
    <w:rsid w:val="003C4A2F"/>
    <w:rsid w:val="003C705F"/>
    <w:rsid w:val="003D1465"/>
    <w:rsid w:val="003D14D2"/>
    <w:rsid w:val="003D4240"/>
    <w:rsid w:val="003D795F"/>
    <w:rsid w:val="003E0A99"/>
    <w:rsid w:val="003E2947"/>
    <w:rsid w:val="003E4052"/>
    <w:rsid w:val="003E4419"/>
    <w:rsid w:val="003E4FCD"/>
    <w:rsid w:val="003E5DC1"/>
    <w:rsid w:val="003E74D8"/>
    <w:rsid w:val="003F00BD"/>
    <w:rsid w:val="003F24BD"/>
    <w:rsid w:val="003F4D2A"/>
    <w:rsid w:val="003F605B"/>
    <w:rsid w:val="00400489"/>
    <w:rsid w:val="00401061"/>
    <w:rsid w:val="00401560"/>
    <w:rsid w:val="004027CC"/>
    <w:rsid w:val="00403116"/>
    <w:rsid w:val="00403CB6"/>
    <w:rsid w:val="00404294"/>
    <w:rsid w:val="00404A40"/>
    <w:rsid w:val="00404BA3"/>
    <w:rsid w:val="00405AF6"/>
    <w:rsid w:val="004073CD"/>
    <w:rsid w:val="004075DC"/>
    <w:rsid w:val="00410377"/>
    <w:rsid w:val="00412DDB"/>
    <w:rsid w:val="0041758E"/>
    <w:rsid w:val="00422329"/>
    <w:rsid w:val="0042521E"/>
    <w:rsid w:val="00425B44"/>
    <w:rsid w:val="0042677A"/>
    <w:rsid w:val="00426798"/>
    <w:rsid w:val="00437E71"/>
    <w:rsid w:val="00440954"/>
    <w:rsid w:val="00441937"/>
    <w:rsid w:val="004437B5"/>
    <w:rsid w:val="00444977"/>
    <w:rsid w:val="004473DD"/>
    <w:rsid w:val="00447518"/>
    <w:rsid w:val="00451363"/>
    <w:rsid w:val="00452BFA"/>
    <w:rsid w:val="0045300A"/>
    <w:rsid w:val="0045346C"/>
    <w:rsid w:val="0045364E"/>
    <w:rsid w:val="00454D83"/>
    <w:rsid w:val="00455793"/>
    <w:rsid w:val="004609DA"/>
    <w:rsid w:val="00461C3D"/>
    <w:rsid w:val="004630FD"/>
    <w:rsid w:val="00466288"/>
    <w:rsid w:val="00472264"/>
    <w:rsid w:val="00472B06"/>
    <w:rsid w:val="00474DCB"/>
    <w:rsid w:val="0047674A"/>
    <w:rsid w:val="00480CC9"/>
    <w:rsid w:val="00482918"/>
    <w:rsid w:val="00483ABE"/>
    <w:rsid w:val="00483F52"/>
    <w:rsid w:val="00486169"/>
    <w:rsid w:val="0048681B"/>
    <w:rsid w:val="00491D3C"/>
    <w:rsid w:val="00491E9A"/>
    <w:rsid w:val="004924AD"/>
    <w:rsid w:val="004A35A4"/>
    <w:rsid w:val="004A4EC7"/>
    <w:rsid w:val="004A672E"/>
    <w:rsid w:val="004A6995"/>
    <w:rsid w:val="004A6C1A"/>
    <w:rsid w:val="004A6DE4"/>
    <w:rsid w:val="004B032B"/>
    <w:rsid w:val="004B074A"/>
    <w:rsid w:val="004B1692"/>
    <w:rsid w:val="004B1855"/>
    <w:rsid w:val="004B1E00"/>
    <w:rsid w:val="004B6591"/>
    <w:rsid w:val="004B7DE1"/>
    <w:rsid w:val="004B7FD7"/>
    <w:rsid w:val="004C54DB"/>
    <w:rsid w:val="004C6AC2"/>
    <w:rsid w:val="004C6D95"/>
    <w:rsid w:val="004D03F2"/>
    <w:rsid w:val="004D491A"/>
    <w:rsid w:val="004E2C37"/>
    <w:rsid w:val="004E4854"/>
    <w:rsid w:val="004E5569"/>
    <w:rsid w:val="004E72D1"/>
    <w:rsid w:val="004F0989"/>
    <w:rsid w:val="004F3296"/>
    <w:rsid w:val="004F354F"/>
    <w:rsid w:val="004F38D1"/>
    <w:rsid w:val="004F46BF"/>
    <w:rsid w:val="004F67C8"/>
    <w:rsid w:val="00500C66"/>
    <w:rsid w:val="00500E45"/>
    <w:rsid w:val="00502D15"/>
    <w:rsid w:val="00504C32"/>
    <w:rsid w:val="00505CAF"/>
    <w:rsid w:val="00507412"/>
    <w:rsid w:val="00507CDA"/>
    <w:rsid w:val="005104F8"/>
    <w:rsid w:val="00512DB2"/>
    <w:rsid w:val="00513CEB"/>
    <w:rsid w:val="00513D70"/>
    <w:rsid w:val="0051637E"/>
    <w:rsid w:val="005167A7"/>
    <w:rsid w:val="005173D4"/>
    <w:rsid w:val="005174A6"/>
    <w:rsid w:val="0052478A"/>
    <w:rsid w:val="005258CB"/>
    <w:rsid w:val="00525EA8"/>
    <w:rsid w:val="00527C7E"/>
    <w:rsid w:val="00530F8D"/>
    <w:rsid w:val="00532195"/>
    <w:rsid w:val="0053303B"/>
    <w:rsid w:val="00533CF4"/>
    <w:rsid w:val="005343F4"/>
    <w:rsid w:val="005351B3"/>
    <w:rsid w:val="00540457"/>
    <w:rsid w:val="00540E36"/>
    <w:rsid w:val="00542290"/>
    <w:rsid w:val="00542328"/>
    <w:rsid w:val="00543553"/>
    <w:rsid w:val="00544A23"/>
    <w:rsid w:val="005451EF"/>
    <w:rsid w:val="005453FC"/>
    <w:rsid w:val="00545A85"/>
    <w:rsid w:val="00551A60"/>
    <w:rsid w:val="005566F9"/>
    <w:rsid w:val="005575E7"/>
    <w:rsid w:val="00560347"/>
    <w:rsid w:val="00560B60"/>
    <w:rsid w:val="005620B8"/>
    <w:rsid w:val="00565698"/>
    <w:rsid w:val="005657D6"/>
    <w:rsid w:val="00567A52"/>
    <w:rsid w:val="0057046C"/>
    <w:rsid w:val="005704C4"/>
    <w:rsid w:val="00570559"/>
    <w:rsid w:val="00571F87"/>
    <w:rsid w:val="00572347"/>
    <w:rsid w:val="00577187"/>
    <w:rsid w:val="00581DFA"/>
    <w:rsid w:val="00581F30"/>
    <w:rsid w:val="00582A0A"/>
    <w:rsid w:val="005831CA"/>
    <w:rsid w:val="0058366E"/>
    <w:rsid w:val="00583C02"/>
    <w:rsid w:val="00585A45"/>
    <w:rsid w:val="005920DD"/>
    <w:rsid w:val="00592B92"/>
    <w:rsid w:val="0059476F"/>
    <w:rsid w:val="00594BB2"/>
    <w:rsid w:val="005969E9"/>
    <w:rsid w:val="005A1A2F"/>
    <w:rsid w:val="005A2F70"/>
    <w:rsid w:val="005A5CF9"/>
    <w:rsid w:val="005A7555"/>
    <w:rsid w:val="005B1034"/>
    <w:rsid w:val="005B142F"/>
    <w:rsid w:val="005B24E1"/>
    <w:rsid w:val="005B2635"/>
    <w:rsid w:val="005B395C"/>
    <w:rsid w:val="005B3C7B"/>
    <w:rsid w:val="005B458A"/>
    <w:rsid w:val="005B5C58"/>
    <w:rsid w:val="005C1D05"/>
    <w:rsid w:val="005C2EC2"/>
    <w:rsid w:val="005C3A71"/>
    <w:rsid w:val="005C3FA9"/>
    <w:rsid w:val="005C5DB3"/>
    <w:rsid w:val="005C6637"/>
    <w:rsid w:val="005D4FB6"/>
    <w:rsid w:val="005D54D9"/>
    <w:rsid w:val="005D5B22"/>
    <w:rsid w:val="005E2CCD"/>
    <w:rsid w:val="005E51F5"/>
    <w:rsid w:val="005F2319"/>
    <w:rsid w:val="005F2594"/>
    <w:rsid w:val="005F3FFA"/>
    <w:rsid w:val="005F41EE"/>
    <w:rsid w:val="005F4506"/>
    <w:rsid w:val="005F585C"/>
    <w:rsid w:val="00601A2D"/>
    <w:rsid w:val="0060293F"/>
    <w:rsid w:val="00605BCD"/>
    <w:rsid w:val="0060611C"/>
    <w:rsid w:val="00615BC6"/>
    <w:rsid w:val="00617B7D"/>
    <w:rsid w:val="00623C3E"/>
    <w:rsid w:val="006253EE"/>
    <w:rsid w:val="0062580D"/>
    <w:rsid w:val="00633525"/>
    <w:rsid w:val="00635C07"/>
    <w:rsid w:val="00635ED3"/>
    <w:rsid w:val="006400F0"/>
    <w:rsid w:val="0064053B"/>
    <w:rsid w:val="00642AE4"/>
    <w:rsid w:val="00644C6C"/>
    <w:rsid w:val="00646B79"/>
    <w:rsid w:val="0064784E"/>
    <w:rsid w:val="00647885"/>
    <w:rsid w:val="006520D7"/>
    <w:rsid w:val="0065226B"/>
    <w:rsid w:val="00655709"/>
    <w:rsid w:val="00655C3C"/>
    <w:rsid w:val="00655DE1"/>
    <w:rsid w:val="0066044F"/>
    <w:rsid w:val="0066169F"/>
    <w:rsid w:val="00664488"/>
    <w:rsid w:val="00666A7B"/>
    <w:rsid w:val="006676A9"/>
    <w:rsid w:val="006701CF"/>
    <w:rsid w:val="00670966"/>
    <w:rsid w:val="0067158A"/>
    <w:rsid w:val="006716ED"/>
    <w:rsid w:val="0067218E"/>
    <w:rsid w:val="00675854"/>
    <w:rsid w:val="00675F38"/>
    <w:rsid w:val="006848E5"/>
    <w:rsid w:val="00685297"/>
    <w:rsid w:val="00686503"/>
    <w:rsid w:val="0068798C"/>
    <w:rsid w:val="006911EB"/>
    <w:rsid w:val="006936D1"/>
    <w:rsid w:val="006976CC"/>
    <w:rsid w:val="00697AC0"/>
    <w:rsid w:val="00697E7E"/>
    <w:rsid w:val="006A1F6D"/>
    <w:rsid w:val="006A24D3"/>
    <w:rsid w:val="006A2D2E"/>
    <w:rsid w:val="006A3E90"/>
    <w:rsid w:val="006A3EF5"/>
    <w:rsid w:val="006A4956"/>
    <w:rsid w:val="006B0B19"/>
    <w:rsid w:val="006B242B"/>
    <w:rsid w:val="006B2D17"/>
    <w:rsid w:val="006B3C7C"/>
    <w:rsid w:val="006B53CE"/>
    <w:rsid w:val="006B6841"/>
    <w:rsid w:val="006C04E4"/>
    <w:rsid w:val="006C0527"/>
    <w:rsid w:val="006C0587"/>
    <w:rsid w:val="006C1C38"/>
    <w:rsid w:val="006C3019"/>
    <w:rsid w:val="006C5389"/>
    <w:rsid w:val="006C695D"/>
    <w:rsid w:val="006C6C68"/>
    <w:rsid w:val="006D678C"/>
    <w:rsid w:val="006D6E03"/>
    <w:rsid w:val="006D7948"/>
    <w:rsid w:val="006D7DCD"/>
    <w:rsid w:val="006E1E7C"/>
    <w:rsid w:val="006E30FB"/>
    <w:rsid w:val="006E40FC"/>
    <w:rsid w:val="006E5CB5"/>
    <w:rsid w:val="006E61BE"/>
    <w:rsid w:val="006E6EE7"/>
    <w:rsid w:val="006F0F11"/>
    <w:rsid w:val="006F11CE"/>
    <w:rsid w:val="006F1455"/>
    <w:rsid w:val="006F2431"/>
    <w:rsid w:val="006F382C"/>
    <w:rsid w:val="006F4038"/>
    <w:rsid w:val="006F483F"/>
    <w:rsid w:val="006F5A37"/>
    <w:rsid w:val="006F68DB"/>
    <w:rsid w:val="006F73EE"/>
    <w:rsid w:val="006F7A57"/>
    <w:rsid w:val="00702685"/>
    <w:rsid w:val="00705F1D"/>
    <w:rsid w:val="00706FB5"/>
    <w:rsid w:val="00707BD6"/>
    <w:rsid w:val="007115EF"/>
    <w:rsid w:val="0071223C"/>
    <w:rsid w:val="00714C0D"/>
    <w:rsid w:val="00716BBE"/>
    <w:rsid w:val="007176EF"/>
    <w:rsid w:val="0071793C"/>
    <w:rsid w:val="00720AEE"/>
    <w:rsid w:val="00721E22"/>
    <w:rsid w:val="0072478E"/>
    <w:rsid w:val="00725923"/>
    <w:rsid w:val="00725934"/>
    <w:rsid w:val="0074073F"/>
    <w:rsid w:val="00740AB6"/>
    <w:rsid w:val="00740C16"/>
    <w:rsid w:val="007415B9"/>
    <w:rsid w:val="00741A00"/>
    <w:rsid w:val="00741F96"/>
    <w:rsid w:val="007440CF"/>
    <w:rsid w:val="0074647E"/>
    <w:rsid w:val="00746B55"/>
    <w:rsid w:val="00755580"/>
    <w:rsid w:val="00755935"/>
    <w:rsid w:val="00756305"/>
    <w:rsid w:val="00757FC2"/>
    <w:rsid w:val="00760392"/>
    <w:rsid w:val="00760943"/>
    <w:rsid w:val="00762398"/>
    <w:rsid w:val="007651A2"/>
    <w:rsid w:val="0076715F"/>
    <w:rsid w:val="00771569"/>
    <w:rsid w:val="007740DD"/>
    <w:rsid w:val="00774CB4"/>
    <w:rsid w:val="00780D1E"/>
    <w:rsid w:val="007855E3"/>
    <w:rsid w:val="00790A23"/>
    <w:rsid w:val="0079190E"/>
    <w:rsid w:val="00793A63"/>
    <w:rsid w:val="0079515C"/>
    <w:rsid w:val="00795DA9"/>
    <w:rsid w:val="00797F89"/>
    <w:rsid w:val="007A1136"/>
    <w:rsid w:val="007A23E9"/>
    <w:rsid w:val="007A4FFF"/>
    <w:rsid w:val="007A50AA"/>
    <w:rsid w:val="007A55E3"/>
    <w:rsid w:val="007A5762"/>
    <w:rsid w:val="007A6328"/>
    <w:rsid w:val="007A7387"/>
    <w:rsid w:val="007A7425"/>
    <w:rsid w:val="007A74D7"/>
    <w:rsid w:val="007A794D"/>
    <w:rsid w:val="007B15D1"/>
    <w:rsid w:val="007B1DFA"/>
    <w:rsid w:val="007B26BF"/>
    <w:rsid w:val="007B3359"/>
    <w:rsid w:val="007C14B9"/>
    <w:rsid w:val="007C5B06"/>
    <w:rsid w:val="007D0A29"/>
    <w:rsid w:val="007D267E"/>
    <w:rsid w:val="007D37C2"/>
    <w:rsid w:val="007D48A3"/>
    <w:rsid w:val="007D4B7B"/>
    <w:rsid w:val="007D6B1B"/>
    <w:rsid w:val="007D6E0B"/>
    <w:rsid w:val="007E2DA8"/>
    <w:rsid w:val="007E39E2"/>
    <w:rsid w:val="007E4230"/>
    <w:rsid w:val="007E4431"/>
    <w:rsid w:val="007E500F"/>
    <w:rsid w:val="007F0598"/>
    <w:rsid w:val="007F09AB"/>
    <w:rsid w:val="007F346A"/>
    <w:rsid w:val="007F38EA"/>
    <w:rsid w:val="007F4DB3"/>
    <w:rsid w:val="007F6090"/>
    <w:rsid w:val="007F7338"/>
    <w:rsid w:val="00800BC1"/>
    <w:rsid w:val="008025F4"/>
    <w:rsid w:val="008029DD"/>
    <w:rsid w:val="00804FA0"/>
    <w:rsid w:val="00810712"/>
    <w:rsid w:val="00810A84"/>
    <w:rsid w:val="008119B8"/>
    <w:rsid w:val="00812CFB"/>
    <w:rsid w:val="00813E0D"/>
    <w:rsid w:val="00815BA7"/>
    <w:rsid w:val="008163D9"/>
    <w:rsid w:val="00817575"/>
    <w:rsid w:val="0082566B"/>
    <w:rsid w:val="00827F38"/>
    <w:rsid w:val="0083170D"/>
    <w:rsid w:val="00831B2D"/>
    <w:rsid w:val="0083425A"/>
    <w:rsid w:val="00835A24"/>
    <w:rsid w:val="00835CC8"/>
    <w:rsid w:val="0083687A"/>
    <w:rsid w:val="00841A54"/>
    <w:rsid w:val="00842A97"/>
    <w:rsid w:val="0084565A"/>
    <w:rsid w:val="00850731"/>
    <w:rsid w:val="00852005"/>
    <w:rsid w:val="0085357C"/>
    <w:rsid w:val="008606A4"/>
    <w:rsid w:val="008614F4"/>
    <w:rsid w:val="00862EF9"/>
    <w:rsid w:val="0086313A"/>
    <w:rsid w:val="0086505E"/>
    <w:rsid w:val="00865BB7"/>
    <w:rsid w:val="00867401"/>
    <w:rsid w:val="00872FCD"/>
    <w:rsid w:val="0087322B"/>
    <w:rsid w:val="00873E36"/>
    <w:rsid w:val="00875A3E"/>
    <w:rsid w:val="00876597"/>
    <w:rsid w:val="00876F5B"/>
    <w:rsid w:val="0087778C"/>
    <w:rsid w:val="0088186E"/>
    <w:rsid w:val="00881E9B"/>
    <w:rsid w:val="00882FFB"/>
    <w:rsid w:val="00884B63"/>
    <w:rsid w:val="00886006"/>
    <w:rsid w:val="008910FB"/>
    <w:rsid w:val="00892FAD"/>
    <w:rsid w:val="00892FFC"/>
    <w:rsid w:val="00893AC6"/>
    <w:rsid w:val="00895209"/>
    <w:rsid w:val="0089705B"/>
    <w:rsid w:val="0089719B"/>
    <w:rsid w:val="00897311"/>
    <w:rsid w:val="00897C64"/>
    <w:rsid w:val="008A304E"/>
    <w:rsid w:val="008A3450"/>
    <w:rsid w:val="008A3ACD"/>
    <w:rsid w:val="008A3EA9"/>
    <w:rsid w:val="008A44FA"/>
    <w:rsid w:val="008A4B65"/>
    <w:rsid w:val="008A5CC7"/>
    <w:rsid w:val="008A713F"/>
    <w:rsid w:val="008A7C06"/>
    <w:rsid w:val="008B03B2"/>
    <w:rsid w:val="008B09AD"/>
    <w:rsid w:val="008B27CD"/>
    <w:rsid w:val="008B292C"/>
    <w:rsid w:val="008B3D95"/>
    <w:rsid w:val="008B4184"/>
    <w:rsid w:val="008B698D"/>
    <w:rsid w:val="008B79E8"/>
    <w:rsid w:val="008C5D67"/>
    <w:rsid w:val="008D12DB"/>
    <w:rsid w:val="008D198E"/>
    <w:rsid w:val="008D4566"/>
    <w:rsid w:val="008D5C97"/>
    <w:rsid w:val="008E2CE6"/>
    <w:rsid w:val="008E3274"/>
    <w:rsid w:val="008E61BC"/>
    <w:rsid w:val="008F047F"/>
    <w:rsid w:val="008F0EFF"/>
    <w:rsid w:val="008F1312"/>
    <w:rsid w:val="008F1E15"/>
    <w:rsid w:val="008F5ACA"/>
    <w:rsid w:val="008F622D"/>
    <w:rsid w:val="008F6DA8"/>
    <w:rsid w:val="008F7EA4"/>
    <w:rsid w:val="00903933"/>
    <w:rsid w:val="00904011"/>
    <w:rsid w:val="00904911"/>
    <w:rsid w:val="009051B5"/>
    <w:rsid w:val="009055C6"/>
    <w:rsid w:val="0090692D"/>
    <w:rsid w:val="009074B1"/>
    <w:rsid w:val="00907DCE"/>
    <w:rsid w:val="009119A3"/>
    <w:rsid w:val="00911A62"/>
    <w:rsid w:val="00914787"/>
    <w:rsid w:val="00914CA9"/>
    <w:rsid w:val="00914E8B"/>
    <w:rsid w:val="00915CD7"/>
    <w:rsid w:val="00916473"/>
    <w:rsid w:val="00921D6F"/>
    <w:rsid w:val="00923E31"/>
    <w:rsid w:val="00924A6D"/>
    <w:rsid w:val="0092525F"/>
    <w:rsid w:val="009253E0"/>
    <w:rsid w:val="009362F5"/>
    <w:rsid w:val="00936CC2"/>
    <w:rsid w:val="00936E9F"/>
    <w:rsid w:val="009406A0"/>
    <w:rsid w:val="00945172"/>
    <w:rsid w:val="00945A94"/>
    <w:rsid w:val="00946981"/>
    <w:rsid w:val="009537CF"/>
    <w:rsid w:val="0095619C"/>
    <w:rsid w:val="00957713"/>
    <w:rsid w:val="00960294"/>
    <w:rsid w:val="009621BC"/>
    <w:rsid w:val="00963567"/>
    <w:rsid w:val="00963569"/>
    <w:rsid w:val="00964043"/>
    <w:rsid w:val="00965A2C"/>
    <w:rsid w:val="00966DC0"/>
    <w:rsid w:val="009676EE"/>
    <w:rsid w:val="00973A68"/>
    <w:rsid w:val="009756C8"/>
    <w:rsid w:val="00976023"/>
    <w:rsid w:val="00977526"/>
    <w:rsid w:val="0097777A"/>
    <w:rsid w:val="00980BE9"/>
    <w:rsid w:val="00981864"/>
    <w:rsid w:val="00982ABD"/>
    <w:rsid w:val="00982E78"/>
    <w:rsid w:val="009832F2"/>
    <w:rsid w:val="0098351C"/>
    <w:rsid w:val="0098424E"/>
    <w:rsid w:val="00985854"/>
    <w:rsid w:val="00986594"/>
    <w:rsid w:val="00991575"/>
    <w:rsid w:val="0099159E"/>
    <w:rsid w:val="00991B64"/>
    <w:rsid w:val="00993259"/>
    <w:rsid w:val="00993ACC"/>
    <w:rsid w:val="00994191"/>
    <w:rsid w:val="00994A0D"/>
    <w:rsid w:val="0099682F"/>
    <w:rsid w:val="009A14B4"/>
    <w:rsid w:val="009A1E15"/>
    <w:rsid w:val="009A23F7"/>
    <w:rsid w:val="009A34DA"/>
    <w:rsid w:val="009A3707"/>
    <w:rsid w:val="009A69CB"/>
    <w:rsid w:val="009A7A9F"/>
    <w:rsid w:val="009A7FF1"/>
    <w:rsid w:val="009B2743"/>
    <w:rsid w:val="009B58B9"/>
    <w:rsid w:val="009B6575"/>
    <w:rsid w:val="009B7BB4"/>
    <w:rsid w:val="009B7D84"/>
    <w:rsid w:val="009C093C"/>
    <w:rsid w:val="009C197A"/>
    <w:rsid w:val="009C2CDC"/>
    <w:rsid w:val="009C797A"/>
    <w:rsid w:val="009D13FE"/>
    <w:rsid w:val="009D1583"/>
    <w:rsid w:val="009D274D"/>
    <w:rsid w:val="009D3D7D"/>
    <w:rsid w:val="009D752C"/>
    <w:rsid w:val="009E124C"/>
    <w:rsid w:val="009E3265"/>
    <w:rsid w:val="009E7E7F"/>
    <w:rsid w:val="009F0131"/>
    <w:rsid w:val="009F271F"/>
    <w:rsid w:val="009F2BD8"/>
    <w:rsid w:val="009F3CF5"/>
    <w:rsid w:val="009F46C2"/>
    <w:rsid w:val="009F572A"/>
    <w:rsid w:val="009F5A61"/>
    <w:rsid w:val="009F65CA"/>
    <w:rsid w:val="009F695E"/>
    <w:rsid w:val="00A02E12"/>
    <w:rsid w:val="00A06ED9"/>
    <w:rsid w:val="00A07911"/>
    <w:rsid w:val="00A107E2"/>
    <w:rsid w:val="00A10CE6"/>
    <w:rsid w:val="00A11695"/>
    <w:rsid w:val="00A119C7"/>
    <w:rsid w:val="00A11BE8"/>
    <w:rsid w:val="00A1217D"/>
    <w:rsid w:val="00A13ACB"/>
    <w:rsid w:val="00A16191"/>
    <w:rsid w:val="00A16F50"/>
    <w:rsid w:val="00A20B14"/>
    <w:rsid w:val="00A259A0"/>
    <w:rsid w:val="00A26A35"/>
    <w:rsid w:val="00A27029"/>
    <w:rsid w:val="00A27746"/>
    <w:rsid w:val="00A30362"/>
    <w:rsid w:val="00A319E6"/>
    <w:rsid w:val="00A32C05"/>
    <w:rsid w:val="00A34180"/>
    <w:rsid w:val="00A34F39"/>
    <w:rsid w:val="00A35650"/>
    <w:rsid w:val="00A37777"/>
    <w:rsid w:val="00A4014F"/>
    <w:rsid w:val="00A413B8"/>
    <w:rsid w:val="00A4154E"/>
    <w:rsid w:val="00A422BD"/>
    <w:rsid w:val="00A464E7"/>
    <w:rsid w:val="00A47D0E"/>
    <w:rsid w:val="00A507E1"/>
    <w:rsid w:val="00A5143F"/>
    <w:rsid w:val="00A514B4"/>
    <w:rsid w:val="00A525D5"/>
    <w:rsid w:val="00A54CBA"/>
    <w:rsid w:val="00A55493"/>
    <w:rsid w:val="00A558FE"/>
    <w:rsid w:val="00A55FE8"/>
    <w:rsid w:val="00A5776C"/>
    <w:rsid w:val="00A57BA1"/>
    <w:rsid w:val="00A625BF"/>
    <w:rsid w:val="00A63391"/>
    <w:rsid w:val="00A658CB"/>
    <w:rsid w:val="00A72754"/>
    <w:rsid w:val="00A72B49"/>
    <w:rsid w:val="00A736CE"/>
    <w:rsid w:val="00A7498C"/>
    <w:rsid w:val="00A74D13"/>
    <w:rsid w:val="00A7640F"/>
    <w:rsid w:val="00A766E3"/>
    <w:rsid w:val="00A76809"/>
    <w:rsid w:val="00A76E73"/>
    <w:rsid w:val="00A80C9D"/>
    <w:rsid w:val="00A851DD"/>
    <w:rsid w:val="00A85231"/>
    <w:rsid w:val="00A85FF5"/>
    <w:rsid w:val="00A8703C"/>
    <w:rsid w:val="00A9011A"/>
    <w:rsid w:val="00A916BC"/>
    <w:rsid w:val="00A91E5D"/>
    <w:rsid w:val="00A97760"/>
    <w:rsid w:val="00A977EE"/>
    <w:rsid w:val="00AA2794"/>
    <w:rsid w:val="00AA2FFF"/>
    <w:rsid w:val="00AA3086"/>
    <w:rsid w:val="00AA31DA"/>
    <w:rsid w:val="00AA4F6B"/>
    <w:rsid w:val="00AA5099"/>
    <w:rsid w:val="00AA7D0B"/>
    <w:rsid w:val="00AA7FC5"/>
    <w:rsid w:val="00AA7FF2"/>
    <w:rsid w:val="00AB1AB2"/>
    <w:rsid w:val="00AB1BFB"/>
    <w:rsid w:val="00AB2778"/>
    <w:rsid w:val="00AB2DFF"/>
    <w:rsid w:val="00AB4695"/>
    <w:rsid w:val="00AB7488"/>
    <w:rsid w:val="00AB756D"/>
    <w:rsid w:val="00AB7E14"/>
    <w:rsid w:val="00AC577D"/>
    <w:rsid w:val="00AC5DD5"/>
    <w:rsid w:val="00AD15D6"/>
    <w:rsid w:val="00AD2E88"/>
    <w:rsid w:val="00AD572B"/>
    <w:rsid w:val="00AD6162"/>
    <w:rsid w:val="00AD63CC"/>
    <w:rsid w:val="00AD72A1"/>
    <w:rsid w:val="00AD7609"/>
    <w:rsid w:val="00AE21E1"/>
    <w:rsid w:val="00AE29B9"/>
    <w:rsid w:val="00AE34C7"/>
    <w:rsid w:val="00AE7C1F"/>
    <w:rsid w:val="00AF07D9"/>
    <w:rsid w:val="00AF0DF7"/>
    <w:rsid w:val="00AF1008"/>
    <w:rsid w:val="00AF4C5F"/>
    <w:rsid w:val="00AF57C5"/>
    <w:rsid w:val="00AF651F"/>
    <w:rsid w:val="00B021E3"/>
    <w:rsid w:val="00B05452"/>
    <w:rsid w:val="00B05DB7"/>
    <w:rsid w:val="00B06047"/>
    <w:rsid w:val="00B069C9"/>
    <w:rsid w:val="00B1092A"/>
    <w:rsid w:val="00B12621"/>
    <w:rsid w:val="00B1280A"/>
    <w:rsid w:val="00B12D53"/>
    <w:rsid w:val="00B13A99"/>
    <w:rsid w:val="00B17109"/>
    <w:rsid w:val="00B2039A"/>
    <w:rsid w:val="00B20781"/>
    <w:rsid w:val="00B20A2F"/>
    <w:rsid w:val="00B2196C"/>
    <w:rsid w:val="00B22C71"/>
    <w:rsid w:val="00B23112"/>
    <w:rsid w:val="00B235A6"/>
    <w:rsid w:val="00B235AB"/>
    <w:rsid w:val="00B24617"/>
    <w:rsid w:val="00B2515C"/>
    <w:rsid w:val="00B257B9"/>
    <w:rsid w:val="00B25F30"/>
    <w:rsid w:val="00B27AB1"/>
    <w:rsid w:val="00B3079B"/>
    <w:rsid w:val="00B31A28"/>
    <w:rsid w:val="00B33323"/>
    <w:rsid w:val="00B33EC7"/>
    <w:rsid w:val="00B35BE0"/>
    <w:rsid w:val="00B3618F"/>
    <w:rsid w:val="00B37F7A"/>
    <w:rsid w:val="00B40606"/>
    <w:rsid w:val="00B422E6"/>
    <w:rsid w:val="00B43041"/>
    <w:rsid w:val="00B43044"/>
    <w:rsid w:val="00B47253"/>
    <w:rsid w:val="00B472C9"/>
    <w:rsid w:val="00B47EC4"/>
    <w:rsid w:val="00B52AC3"/>
    <w:rsid w:val="00B55D2E"/>
    <w:rsid w:val="00B5712B"/>
    <w:rsid w:val="00B575A5"/>
    <w:rsid w:val="00B6003C"/>
    <w:rsid w:val="00B60EBF"/>
    <w:rsid w:val="00B6144D"/>
    <w:rsid w:val="00B62502"/>
    <w:rsid w:val="00B63BC5"/>
    <w:rsid w:val="00B64287"/>
    <w:rsid w:val="00B65440"/>
    <w:rsid w:val="00B65C23"/>
    <w:rsid w:val="00B66AE7"/>
    <w:rsid w:val="00B66BF1"/>
    <w:rsid w:val="00B706FF"/>
    <w:rsid w:val="00B70C5B"/>
    <w:rsid w:val="00B71E16"/>
    <w:rsid w:val="00B73516"/>
    <w:rsid w:val="00B75532"/>
    <w:rsid w:val="00B75C16"/>
    <w:rsid w:val="00B80D8D"/>
    <w:rsid w:val="00B8504B"/>
    <w:rsid w:val="00B850CE"/>
    <w:rsid w:val="00B8697D"/>
    <w:rsid w:val="00B86E8E"/>
    <w:rsid w:val="00B90869"/>
    <w:rsid w:val="00B909E6"/>
    <w:rsid w:val="00B91644"/>
    <w:rsid w:val="00B94F2D"/>
    <w:rsid w:val="00B97654"/>
    <w:rsid w:val="00B97F57"/>
    <w:rsid w:val="00BA241A"/>
    <w:rsid w:val="00BA31B0"/>
    <w:rsid w:val="00BA4A64"/>
    <w:rsid w:val="00BA75B9"/>
    <w:rsid w:val="00BA77A2"/>
    <w:rsid w:val="00BB0994"/>
    <w:rsid w:val="00BB39B5"/>
    <w:rsid w:val="00BB54BC"/>
    <w:rsid w:val="00BC09C9"/>
    <w:rsid w:val="00BC0F67"/>
    <w:rsid w:val="00BC1747"/>
    <w:rsid w:val="00BC1951"/>
    <w:rsid w:val="00BC1C25"/>
    <w:rsid w:val="00BC33CB"/>
    <w:rsid w:val="00BC5DAD"/>
    <w:rsid w:val="00BC6398"/>
    <w:rsid w:val="00BC7C12"/>
    <w:rsid w:val="00BD1050"/>
    <w:rsid w:val="00BD1ABF"/>
    <w:rsid w:val="00BD389E"/>
    <w:rsid w:val="00BD497B"/>
    <w:rsid w:val="00BD513F"/>
    <w:rsid w:val="00BE4B3C"/>
    <w:rsid w:val="00BE6F65"/>
    <w:rsid w:val="00BF003C"/>
    <w:rsid w:val="00BF072D"/>
    <w:rsid w:val="00BF0B5F"/>
    <w:rsid w:val="00BF4C02"/>
    <w:rsid w:val="00BF6569"/>
    <w:rsid w:val="00BF724F"/>
    <w:rsid w:val="00C00529"/>
    <w:rsid w:val="00C01248"/>
    <w:rsid w:val="00C03981"/>
    <w:rsid w:val="00C03D41"/>
    <w:rsid w:val="00C06016"/>
    <w:rsid w:val="00C06B79"/>
    <w:rsid w:val="00C123DB"/>
    <w:rsid w:val="00C14484"/>
    <w:rsid w:val="00C21D88"/>
    <w:rsid w:val="00C22600"/>
    <w:rsid w:val="00C23ED7"/>
    <w:rsid w:val="00C25CD0"/>
    <w:rsid w:val="00C269A3"/>
    <w:rsid w:val="00C27B5F"/>
    <w:rsid w:val="00C27D23"/>
    <w:rsid w:val="00C3041A"/>
    <w:rsid w:val="00C358F1"/>
    <w:rsid w:val="00C3596C"/>
    <w:rsid w:val="00C36AC3"/>
    <w:rsid w:val="00C36CFB"/>
    <w:rsid w:val="00C37575"/>
    <w:rsid w:val="00C4257C"/>
    <w:rsid w:val="00C42F16"/>
    <w:rsid w:val="00C43087"/>
    <w:rsid w:val="00C44BA6"/>
    <w:rsid w:val="00C453D5"/>
    <w:rsid w:val="00C47EA3"/>
    <w:rsid w:val="00C51B01"/>
    <w:rsid w:val="00C550B7"/>
    <w:rsid w:val="00C5786C"/>
    <w:rsid w:val="00C71696"/>
    <w:rsid w:val="00C720E6"/>
    <w:rsid w:val="00C730D0"/>
    <w:rsid w:val="00C74F10"/>
    <w:rsid w:val="00C75637"/>
    <w:rsid w:val="00C77821"/>
    <w:rsid w:val="00C810BD"/>
    <w:rsid w:val="00C8288A"/>
    <w:rsid w:val="00C82FB3"/>
    <w:rsid w:val="00C855F2"/>
    <w:rsid w:val="00C86D70"/>
    <w:rsid w:val="00C8738B"/>
    <w:rsid w:val="00C87E78"/>
    <w:rsid w:val="00C93E46"/>
    <w:rsid w:val="00C97E0D"/>
    <w:rsid w:val="00CA0FDB"/>
    <w:rsid w:val="00CA1C28"/>
    <w:rsid w:val="00CA4B54"/>
    <w:rsid w:val="00CA4EBB"/>
    <w:rsid w:val="00CA66EA"/>
    <w:rsid w:val="00CA6CE2"/>
    <w:rsid w:val="00CA7627"/>
    <w:rsid w:val="00CB01E8"/>
    <w:rsid w:val="00CB0325"/>
    <w:rsid w:val="00CB0B0F"/>
    <w:rsid w:val="00CB10BD"/>
    <w:rsid w:val="00CB28D8"/>
    <w:rsid w:val="00CB48EC"/>
    <w:rsid w:val="00CB4EDB"/>
    <w:rsid w:val="00CB6E92"/>
    <w:rsid w:val="00CC0B1E"/>
    <w:rsid w:val="00CC3D73"/>
    <w:rsid w:val="00CC568E"/>
    <w:rsid w:val="00CC6AFE"/>
    <w:rsid w:val="00CC7735"/>
    <w:rsid w:val="00CD359F"/>
    <w:rsid w:val="00CD5FC3"/>
    <w:rsid w:val="00CD7B64"/>
    <w:rsid w:val="00CE0381"/>
    <w:rsid w:val="00CE05A8"/>
    <w:rsid w:val="00CE0768"/>
    <w:rsid w:val="00CE666C"/>
    <w:rsid w:val="00CE6DFF"/>
    <w:rsid w:val="00CF0A52"/>
    <w:rsid w:val="00CF548B"/>
    <w:rsid w:val="00CF5B7B"/>
    <w:rsid w:val="00CF5D35"/>
    <w:rsid w:val="00CF6294"/>
    <w:rsid w:val="00CF6548"/>
    <w:rsid w:val="00CF6892"/>
    <w:rsid w:val="00CF6BB4"/>
    <w:rsid w:val="00D0040A"/>
    <w:rsid w:val="00D00E11"/>
    <w:rsid w:val="00D0248D"/>
    <w:rsid w:val="00D033CE"/>
    <w:rsid w:val="00D04D79"/>
    <w:rsid w:val="00D05A82"/>
    <w:rsid w:val="00D17B16"/>
    <w:rsid w:val="00D201C5"/>
    <w:rsid w:val="00D23766"/>
    <w:rsid w:val="00D244A5"/>
    <w:rsid w:val="00D30FD7"/>
    <w:rsid w:val="00D314D6"/>
    <w:rsid w:val="00D31745"/>
    <w:rsid w:val="00D3191C"/>
    <w:rsid w:val="00D35194"/>
    <w:rsid w:val="00D35960"/>
    <w:rsid w:val="00D3691A"/>
    <w:rsid w:val="00D40477"/>
    <w:rsid w:val="00D40B5F"/>
    <w:rsid w:val="00D4167D"/>
    <w:rsid w:val="00D44349"/>
    <w:rsid w:val="00D50DB6"/>
    <w:rsid w:val="00D55114"/>
    <w:rsid w:val="00D55FE5"/>
    <w:rsid w:val="00D57F9E"/>
    <w:rsid w:val="00D602CE"/>
    <w:rsid w:val="00D61794"/>
    <w:rsid w:val="00D646EB"/>
    <w:rsid w:val="00D64727"/>
    <w:rsid w:val="00D64FCC"/>
    <w:rsid w:val="00D65ED5"/>
    <w:rsid w:val="00D6601F"/>
    <w:rsid w:val="00D6603E"/>
    <w:rsid w:val="00D66F97"/>
    <w:rsid w:val="00D6728F"/>
    <w:rsid w:val="00D7040E"/>
    <w:rsid w:val="00D70B2C"/>
    <w:rsid w:val="00D73DBD"/>
    <w:rsid w:val="00D74AC6"/>
    <w:rsid w:val="00D75060"/>
    <w:rsid w:val="00D765E7"/>
    <w:rsid w:val="00D767E0"/>
    <w:rsid w:val="00D767E5"/>
    <w:rsid w:val="00D82A3A"/>
    <w:rsid w:val="00D82AB4"/>
    <w:rsid w:val="00D83135"/>
    <w:rsid w:val="00D8334D"/>
    <w:rsid w:val="00D83423"/>
    <w:rsid w:val="00D839C2"/>
    <w:rsid w:val="00D86647"/>
    <w:rsid w:val="00D946D9"/>
    <w:rsid w:val="00D967C1"/>
    <w:rsid w:val="00DA0E51"/>
    <w:rsid w:val="00DA1EDA"/>
    <w:rsid w:val="00DA28B7"/>
    <w:rsid w:val="00DA4396"/>
    <w:rsid w:val="00DA5680"/>
    <w:rsid w:val="00DA6110"/>
    <w:rsid w:val="00DC1B36"/>
    <w:rsid w:val="00DC253D"/>
    <w:rsid w:val="00DC2B53"/>
    <w:rsid w:val="00DC3C5B"/>
    <w:rsid w:val="00DC7CD0"/>
    <w:rsid w:val="00DD2462"/>
    <w:rsid w:val="00DD419C"/>
    <w:rsid w:val="00DD58C0"/>
    <w:rsid w:val="00DE0045"/>
    <w:rsid w:val="00DE0659"/>
    <w:rsid w:val="00DE2646"/>
    <w:rsid w:val="00DE2F49"/>
    <w:rsid w:val="00DE39DA"/>
    <w:rsid w:val="00DE3B36"/>
    <w:rsid w:val="00DE4010"/>
    <w:rsid w:val="00DE40E2"/>
    <w:rsid w:val="00DE5879"/>
    <w:rsid w:val="00DE67E7"/>
    <w:rsid w:val="00DE7CFF"/>
    <w:rsid w:val="00DE7ECB"/>
    <w:rsid w:val="00DF089E"/>
    <w:rsid w:val="00DF6325"/>
    <w:rsid w:val="00DF6822"/>
    <w:rsid w:val="00DF6CB8"/>
    <w:rsid w:val="00DF6D55"/>
    <w:rsid w:val="00E017D8"/>
    <w:rsid w:val="00E02975"/>
    <w:rsid w:val="00E03642"/>
    <w:rsid w:val="00E039FA"/>
    <w:rsid w:val="00E07CDA"/>
    <w:rsid w:val="00E139AD"/>
    <w:rsid w:val="00E140A6"/>
    <w:rsid w:val="00E16370"/>
    <w:rsid w:val="00E20E01"/>
    <w:rsid w:val="00E2641A"/>
    <w:rsid w:val="00E307D0"/>
    <w:rsid w:val="00E3453B"/>
    <w:rsid w:val="00E34A9C"/>
    <w:rsid w:val="00E36268"/>
    <w:rsid w:val="00E37A8F"/>
    <w:rsid w:val="00E42424"/>
    <w:rsid w:val="00E462DE"/>
    <w:rsid w:val="00E463E2"/>
    <w:rsid w:val="00E53894"/>
    <w:rsid w:val="00E55406"/>
    <w:rsid w:val="00E554D0"/>
    <w:rsid w:val="00E57614"/>
    <w:rsid w:val="00E57CF4"/>
    <w:rsid w:val="00E63F24"/>
    <w:rsid w:val="00E64158"/>
    <w:rsid w:val="00E6732A"/>
    <w:rsid w:val="00E7119E"/>
    <w:rsid w:val="00E721CA"/>
    <w:rsid w:val="00E7461C"/>
    <w:rsid w:val="00E74E45"/>
    <w:rsid w:val="00E75B17"/>
    <w:rsid w:val="00E75F84"/>
    <w:rsid w:val="00E77091"/>
    <w:rsid w:val="00E80281"/>
    <w:rsid w:val="00E81D72"/>
    <w:rsid w:val="00E83260"/>
    <w:rsid w:val="00E87E19"/>
    <w:rsid w:val="00E87FFE"/>
    <w:rsid w:val="00E91481"/>
    <w:rsid w:val="00E92B83"/>
    <w:rsid w:val="00E9493C"/>
    <w:rsid w:val="00E964AF"/>
    <w:rsid w:val="00E9741B"/>
    <w:rsid w:val="00E97A63"/>
    <w:rsid w:val="00EA070E"/>
    <w:rsid w:val="00EA0721"/>
    <w:rsid w:val="00EA14E3"/>
    <w:rsid w:val="00EA3C5A"/>
    <w:rsid w:val="00EA443A"/>
    <w:rsid w:val="00EA52DA"/>
    <w:rsid w:val="00EB068A"/>
    <w:rsid w:val="00EB0B42"/>
    <w:rsid w:val="00EB4181"/>
    <w:rsid w:val="00EB50B0"/>
    <w:rsid w:val="00EB5E1B"/>
    <w:rsid w:val="00EB63E6"/>
    <w:rsid w:val="00EC24E8"/>
    <w:rsid w:val="00EC342E"/>
    <w:rsid w:val="00EC55DC"/>
    <w:rsid w:val="00EC5835"/>
    <w:rsid w:val="00EC7641"/>
    <w:rsid w:val="00ED1924"/>
    <w:rsid w:val="00ED19CA"/>
    <w:rsid w:val="00ED289D"/>
    <w:rsid w:val="00ED2B3A"/>
    <w:rsid w:val="00ED7ACF"/>
    <w:rsid w:val="00EE03D4"/>
    <w:rsid w:val="00EE0757"/>
    <w:rsid w:val="00EE4F24"/>
    <w:rsid w:val="00EE6B2F"/>
    <w:rsid w:val="00EF2CC6"/>
    <w:rsid w:val="00EF32C2"/>
    <w:rsid w:val="00EF4636"/>
    <w:rsid w:val="00EF59B2"/>
    <w:rsid w:val="00EF717F"/>
    <w:rsid w:val="00EF7B8D"/>
    <w:rsid w:val="00F02274"/>
    <w:rsid w:val="00F0507F"/>
    <w:rsid w:val="00F06633"/>
    <w:rsid w:val="00F102A1"/>
    <w:rsid w:val="00F12130"/>
    <w:rsid w:val="00F1429C"/>
    <w:rsid w:val="00F21C53"/>
    <w:rsid w:val="00F248F4"/>
    <w:rsid w:val="00F2552E"/>
    <w:rsid w:val="00F261FC"/>
    <w:rsid w:val="00F26989"/>
    <w:rsid w:val="00F27BCD"/>
    <w:rsid w:val="00F308D0"/>
    <w:rsid w:val="00F3340B"/>
    <w:rsid w:val="00F33A79"/>
    <w:rsid w:val="00F34B20"/>
    <w:rsid w:val="00F37837"/>
    <w:rsid w:val="00F37EDA"/>
    <w:rsid w:val="00F448B2"/>
    <w:rsid w:val="00F4583D"/>
    <w:rsid w:val="00F45CF5"/>
    <w:rsid w:val="00F46E70"/>
    <w:rsid w:val="00F5069D"/>
    <w:rsid w:val="00F51991"/>
    <w:rsid w:val="00F54770"/>
    <w:rsid w:val="00F55E43"/>
    <w:rsid w:val="00F577BF"/>
    <w:rsid w:val="00F6041F"/>
    <w:rsid w:val="00F60EBD"/>
    <w:rsid w:val="00F61374"/>
    <w:rsid w:val="00F61402"/>
    <w:rsid w:val="00F61C86"/>
    <w:rsid w:val="00F61FD4"/>
    <w:rsid w:val="00F62377"/>
    <w:rsid w:val="00F62D6C"/>
    <w:rsid w:val="00F630F6"/>
    <w:rsid w:val="00F646A3"/>
    <w:rsid w:val="00F64EEC"/>
    <w:rsid w:val="00F65442"/>
    <w:rsid w:val="00F65B6C"/>
    <w:rsid w:val="00F6695B"/>
    <w:rsid w:val="00F700F9"/>
    <w:rsid w:val="00F756E7"/>
    <w:rsid w:val="00F75BA0"/>
    <w:rsid w:val="00F77EF0"/>
    <w:rsid w:val="00F80A0B"/>
    <w:rsid w:val="00F814F5"/>
    <w:rsid w:val="00F82054"/>
    <w:rsid w:val="00F856D1"/>
    <w:rsid w:val="00F96CF2"/>
    <w:rsid w:val="00FA672A"/>
    <w:rsid w:val="00FB04E3"/>
    <w:rsid w:val="00FB3017"/>
    <w:rsid w:val="00FB55DA"/>
    <w:rsid w:val="00FB5951"/>
    <w:rsid w:val="00FB67F0"/>
    <w:rsid w:val="00FC0AE9"/>
    <w:rsid w:val="00FC0B1F"/>
    <w:rsid w:val="00FC3071"/>
    <w:rsid w:val="00FC3739"/>
    <w:rsid w:val="00FC3EAE"/>
    <w:rsid w:val="00FC55BC"/>
    <w:rsid w:val="00FC608C"/>
    <w:rsid w:val="00FC6B1D"/>
    <w:rsid w:val="00FC76C6"/>
    <w:rsid w:val="00FD072A"/>
    <w:rsid w:val="00FD577E"/>
    <w:rsid w:val="00FD60D4"/>
    <w:rsid w:val="00FD6A12"/>
    <w:rsid w:val="00FD7DA4"/>
    <w:rsid w:val="00FE08F9"/>
    <w:rsid w:val="00FE1303"/>
    <w:rsid w:val="00FE34D6"/>
    <w:rsid w:val="00FE360A"/>
    <w:rsid w:val="00FF1FDE"/>
    <w:rsid w:val="00FF20B1"/>
    <w:rsid w:val="00FF24EC"/>
    <w:rsid w:val="00FF5900"/>
    <w:rsid w:val="00FF6932"/>
    <w:rsid w:val="00FF6D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97C11"/>
  <w15:chartTrackingRefBased/>
  <w15:docId w15:val="{ECE041F3-1FB1-489E-8B3A-86880228F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64E"/>
    <w:pPr>
      <w:jc w:val="both"/>
    </w:pPr>
    <w:rPr>
      <w:rFonts w:ascii="ITC Avant Garde" w:hAnsi="ITC Avant Garde"/>
    </w:rPr>
  </w:style>
  <w:style w:type="paragraph" w:styleId="Ttulo1">
    <w:name w:val="heading 1"/>
    <w:basedOn w:val="Ttulo"/>
    <w:next w:val="Normal"/>
    <w:link w:val="Ttulo1Car"/>
    <w:uiPriority w:val="9"/>
    <w:qFormat/>
    <w:rsid w:val="005620B8"/>
    <w:pPr>
      <w:outlineLvl w:val="0"/>
    </w:pPr>
  </w:style>
  <w:style w:type="paragraph" w:styleId="Ttulo2">
    <w:name w:val="heading 2"/>
    <w:basedOn w:val="Normal"/>
    <w:next w:val="Normal"/>
    <w:link w:val="Ttulo2Car"/>
    <w:uiPriority w:val="9"/>
    <w:unhideWhenUsed/>
    <w:qFormat/>
    <w:rsid w:val="005620B8"/>
    <w:pPr>
      <w:spacing w:line="276" w:lineRule="auto"/>
      <w:jc w:val="center"/>
      <w:outlineLvl w:val="1"/>
    </w:pPr>
    <w:rPr>
      <w:b/>
    </w:rPr>
  </w:style>
  <w:style w:type="paragraph" w:styleId="Ttulo3">
    <w:name w:val="heading 3"/>
    <w:basedOn w:val="Normal"/>
    <w:next w:val="Normal"/>
    <w:link w:val="Ttulo3Car"/>
    <w:uiPriority w:val="9"/>
    <w:unhideWhenUsed/>
    <w:qFormat/>
    <w:rsid w:val="005620B8"/>
    <w:pPr>
      <w:outlineLvl w:val="2"/>
    </w:pPr>
    <w:rPr>
      <w:b/>
    </w:rPr>
  </w:style>
  <w:style w:type="paragraph" w:styleId="Ttulo4">
    <w:name w:val="heading 4"/>
    <w:basedOn w:val="Normal"/>
    <w:next w:val="Normal"/>
    <w:link w:val="Ttulo4Car"/>
    <w:uiPriority w:val="9"/>
    <w:unhideWhenUsed/>
    <w:qFormat/>
    <w:rsid w:val="00963567"/>
    <w:pPr>
      <w:keepNext/>
      <w:keepLines/>
      <w:spacing w:before="40" w:after="0"/>
      <w:outlineLvl w:val="3"/>
    </w:pPr>
    <w:rPr>
      <w:rFonts w:eastAsiaTheme="majorEastAsia" w:cstheme="majorBidi"/>
      <w:b/>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397815"/>
    <w:pPr>
      <w:jc w:val="center"/>
    </w:pPr>
    <w:rPr>
      <w:rFonts w:ascii="ITC Avant Garde Demi" w:hAnsi="ITC Avant Garde Demi"/>
    </w:rPr>
  </w:style>
  <w:style w:type="character" w:customStyle="1" w:styleId="TtuloCar">
    <w:name w:val="Título Car"/>
    <w:basedOn w:val="Fuentedeprrafopredeter"/>
    <w:link w:val="Ttulo"/>
    <w:uiPriority w:val="10"/>
    <w:rsid w:val="00397815"/>
    <w:rPr>
      <w:rFonts w:ascii="ITC Avant Garde Demi" w:hAnsi="ITC Avant Garde Demi"/>
    </w:rPr>
  </w:style>
  <w:style w:type="paragraph" w:styleId="Prrafodelista">
    <w:name w:val="List Paragraph"/>
    <w:basedOn w:val="Normal"/>
    <w:uiPriority w:val="34"/>
    <w:qFormat/>
    <w:rsid w:val="00707BD6"/>
    <w:pPr>
      <w:ind w:left="720"/>
      <w:contextualSpacing/>
    </w:pPr>
  </w:style>
  <w:style w:type="paragraph" w:styleId="Encabezado">
    <w:name w:val="header"/>
    <w:basedOn w:val="Normal"/>
    <w:link w:val="EncabezadoCar"/>
    <w:uiPriority w:val="99"/>
    <w:unhideWhenUsed/>
    <w:rsid w:val="00F27B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7BCD"/>
    <w:rPr>
      <w:rFonts w:ascii="ITC Avant Garde" w:hAnsi="ITC Avant Garde"/>
    </w:rPr>
  </w:style>
  <w:style w:type="paragraph" w:styleId="Piedepgina">
    <w:name w:val="footer"/>
    <w:basedOn w:val="Normal"/>
    <w:link w:val="PiedepginaCar"/>
    <w:uiPriority w:val="99"/>
    <w:unhideWhenUsed/>
    <w:rsid w:val="00F27B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7BCD"/>
    <w:rPr>
      <w:rFonts w:ascii="ITC Avant Garde" w:hAnsi="ITC Avant Garde"/>
    </w:rPr>
  </w:style>
  <w:style w:type="table" w:styleId="Tablaconcuadrcula4-nfasis6">
    <w:name w:val="Grid Table 4 Accent 6"/>
    <w:basedOn w:val="Tablanormal"/>
    <w:uiPriority w:val="49"/>
    <w:rsid w:val="00F27BCD"/>
    <w:pPr>
      <w:spacing w:after="0" w:line="240" w:lineRule="auto"/>
    </w:pPr>
    <w:rPr>
      <w:rFonts w:ascii="ITC Avant Garde" w:hAnsi="ITC Avant Gard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1Car">
    <w:name w:val="Título 1 Car"/>
    <w:basedOn w:val="Fuentedeprrafopredeter"/>
    <w:link w:val="Ttulo1"/>
    <w:uiPriority w:val="9"/>
    <w:rsid w:val="005620B8"/>
    <w:rPr>
      <w:rFonts w:ascii="ITC Avant Garde Demi" w:hAnsi="ITC Avant Garde Demi"/>
    </w:rPr>
  </w:style>
  <w:style w:type="character" w:customStyle="1" w:styleId="Ttulo2Car">
    <w:name w:val="Título 2 Car"/>
    <w:basedOn w:val="Fuentedeprrafopredeter"/>
    <w:link w:val="Ttulo2"/>
    <w:uiPriority w:val="9"/>
    <w:rsid w:val="005620B8"/>
    <w:rPr>
      <w:rFonts w:ascii="ITC Avant Garde" w:hAnsi="ITC Avant Garde"/>
      <w:b/>
    </w:rPr>
  </w:style>
  <w:style w:type="character" w:customStyle="1" w:styleId="Ttulo3Car">
    <w:name w:val="Título 3 Car"/>
    <w:basedOn w:val="Fuentedeprrafopredeter"/>
    <w:link w:val="Ttulo3"/>
    <w:uiPriority w:val="9"/>
    <w:rsid w:val="005620B8"/>
    <w:rPr>
      <w:rFonts w:ascii="ITC Avant Garde" w:hAnsi="ITC Avant Garde"/>
      <w:b/>
    </w:rPr>
  </w:style>
  <w:style w:type="paragraph" w:styleId="Cita">
    <w:name w:val="Quote"/>
    <w:basedOn w:val="Normal"/>
    <w:next w:val="Normal"/>
    <w:link w:val="CitaCar"/>
    <w:uiPriority w:val="29"/>
    <w:qFormat/>
    <w:rsid w:val="00BF0B5F"/>
    <w:pPr>
      <w:spacing w:line="240" w:lineRule="auto"/>
      <w:ind w:left="426"/>
    </w:pPr>
  </w:style>
  <w:style w:type="character" w:customStyle="1" w:styleId="CitaCar">
    <w:name w:val="Cita Car"/>
    <w:basedOn w:val="Fuentedeprrafopredeter"/>
    <w:link w:val="Cita"/>
    <w:uiPriority w:val="29"/>
    <w:rsid w:val="00BF0B5F"/>
    <w:rPr>
      <w:rFonts w:ascii="ITC Avant Garde" w:hAnsi="ITC Avant Garde"/>
    </w:rPr>
  </w:style>
  <w:style w:type="paragraph" w:styleId="Subttulo">
    <w:name w:val="Subtitle"/>
    <w:basedOn w:val="Normal"/>
    <w:next w:val="Normal"/>
    <w:link w:val="SubttuloCar"/>
    <w:uiPriority w:val="11"/>
    <w:qFormat/>
    <w:rsid w:val="00CA1C28"/>
    <w:rPr>
      <w:b/>
      <w:i/>
      <w:color w:val="00B050"/>
    </w:rPr>
  </w:style>
  <w:style w:type="character" w:customStyle="1" w:styleId="SubttuloCar">
    <w:name w:val="Subtítulo Car"/>
    <w:basedOn w:val="Fuentedeprrafopredeter"/>
    <w:link w:val="Subttulo"/>
    <w:uiPriority w:val="11"/>
    <w:rsid w:val="00CA1C28"/>
    <w:rPr>
      <w:rFonts w:ascii="ITC Avant Garde" w:hAnsi="ITC Avant Garde"/>
      <w:b/>
      <w:i/>
      <w:color w:val="00B050"/>
    </w:rPr>
  </w:style>
  <w:style w:type="character" w:customStyle="1" w:styleId="Ttulo4Car">
    <w:name w:val="Título 4 Car"/>
    <w:basedOn w:val="Fuentedeprrafopredeter"/>
    <w:link w:val="Ttulo4"/>
    <w:uiPriority w:val="9"/>
    <w:rsid w:val="00963567"/>
    <w:rPr>
      <w:rFonts w:ascii="ITC Avant Garde" w:eastAsiaTheme="majorEastAsia" w:hAnsi="ITC Avant Garde" w:cstheme="majorBidi"/>
      <w:b/>
      <w:iCs/>
      <w:sz w:val="20"/>
    </w:rPr>
  </w:style>
  <w:style w:type="character" w:styleId="Hipervnculo">
    <w:name w:val="Hyperlink"/>
    <w:basedOn w:val="Fuentedeprrafopredeter"/>
    <w:uiPriority w:val="99"/>
    <w:unhideWhenUsed/>
    <w:rsid w:val="00DE67E7"/>
    <w:rPr>
      <w:color w:val="0563C1" w:themeColor="hyperlink"/>
      <w:u w:val="single"/>
    </w:rPr>
  </w:style>
  <w:style w:type="character" w:styleId="Hipervnculovisitado">
    <w:name w:val="FollowedHyperlink"/>
    <w:basedOn w:val="Fuentedeprrafopredeter"/>
    <w:uiPriority w:val="99"/>
    <w:semiHidden/>
    <w:unhideWhenUsed/>
    <w:rsid w:val="00100E89"/>
    <w:rPr>
      <w:color w:val="954F72" w:themeColor="followedHyperlink"/>
      <w:u w:val="single"/>
    </w:rPr>
  </w:style>
  <w:style w:type="paragraph" w:styleId="Textonotapie">
    <w:name w:val="footnote text"/>
    <w:basedOn w:val="Normal"/>
    <w:link w:val="TextonotapieCar"/>
    <w:uiPriority w:val="99"/>
    <w:semiHidden/>
    <w:unhideWhenUsed/>
    <w:rsid w:val="00B3332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33323"/>
    <w:rPr>
      <w:rFonts w:ascii="ITC Avant Garde" w:hAnsi="ITC Avant Garde"/>
      <w:sz w:val="20"/>
      <w:szCs w:val="20"/>
    </w:rPr>
  </w:style>
  <w:style w:type="character" w:styleId="Refdenotaalpie">
    <w:name w:val="footnote reference"/>
    <w:basedOn w:val="Fuentedeprrafopredeter"/>
    <w:uiPriority w:val="99"/>
    <w:unhideWhenUsed/>
    <w:rsid w:val="00B33323"/>
    <w:rPr>
      <w:vertAlign w:val="superscript"/>
    </w:rPr>
  </w:style>
  <w:style w:type="character" w:styleId="Refdecomentario">
    <w:name w:val="annotation reference"/>
    <w:basedOn w:val="Fuentedeprrafopredeter"/>
    <w:uiPriority w:val="99"/>
    <w:semiHidden/>
    <w:unhideWhenUsed/>
    <w:rsid w:val="00C810BD"/>
    <w:rPr>
      <w:sz w:val="16"/>
      <w:szCs w:val="16"/>
    </w:rPr>
  </w:style>
  <w:style w:type="paragraph" w:styleId="Textocomentario">
    <w:name w:val="annotation text"/>
    <w:basedOn w:val="Normal"/>
    <w:link w:val="TextocomentarioCar"/>
    <w:uiPriority w:val="99"/>
    <w:unhideWhenUsed/>
    <w:rsid w:val="00C810BD"/>
    <w:pPr>
      <w:spacing w:line="240" w:lineRule="auto"/>
    </w:pPr>
    <w:rPr>
      <w:sz w:val="20"/>
      <w:szCs w:val="20"/>
    </w:rPr>
  </w:style>
  <w:style w:type="character" w:customStyle="1" w:styleId="TextocomentarioCar">
    <w:name w:val="Texto comentario Car"/>
    <w:basedOn w:val="Fuentedeprrafopredeter"/>
    <w:link w:val="Textocomentario"/>
    <w:uiPriority w:val="99"/>
    <w:rsid w:val="00C810BD"/>
    <w:rPr>
      <w:rFonts w:ascii="ITC Avant Garde" w:hAnsi="ITC Avant Garde"/>
      <w:sz w:val="20"/>
      <w:szCs w:val="20"/>
    </w:rPr>
  </w:style>
  <w:style w:type="paragraph" w:styleId="Asuntodelcomentario">
    <w:name w:val="annotation subject"/>
    <w:basedOn w:val="Textocomentario"/>
    <w:next w:val="Textocomentario"/>
    <w:link w:val="AsuntodelcomentarioCar"/>
    <w:uiPriority w:val="99"/>
    <w:semiHidden/>
    <w:unhideWhenUsed/>
    <w:rsid w:val="00C810BD"/>
    <w:rPr>
      <w:b/>
      <w:bCs/>
    </w:rPr>
  </w:style>
  <w:style w:type="character" w:customStyle="1" w:styleId="AsuntodelcomentarioCar">
    <w:name w:val="Asunto del comentario Car"/>
    <w:basedOn w:val="TextocomentarioCar"/>
    <w:link w:val="Asuntodelcomentario"/>
    <w:uiPriority w:val="99"/>
    <w:semiHidden/>
    <w:rsid w:val="00C810BD"/>
    <w:rPr>
      <w:rFonts w:ascii="ITC Avant Garde" w:hAnsi="ITC Avant Garde"/>
      <w:b/>
      <w:bCs/>
      <w:sz w:val="20"/>
      <w:szCs w:val="20"/>
    </w:rPr>
  </w:style>
  <w:style w:type="paragraph" w:styleId="Textodeglobo">
    <w:name w:val="Balloon Text"/>
    <w:basedOn w:val="Normal"/>
    <w:link w:val="TextodegloboCar"/>
    <w:uiPriority w:val="99"/>
    <w:semiHidden/>
    <w:unhideWhenUsed/>
    <w:rsid w:val="00C810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10BD"/>
    <w:rPr>
      <w:rFonts w:ascii="Segoe UI" w:hAnsi="Segoe UI" w:cs="Segoe UI"/>
      <w:sz w:val="18"/>
      <w:szCs w:val="18"/>
    </w:rPr>
  </w:style>
  <w:style w:type="character" w:styleId="Mencinsinresolver">
    <w:name w:val="Unresolved Mention"/>
    <w:basedOn w:val="Fuentedeprrafopredeter"/>
    <w:uiPriority w:val="99"/>
    <w:semiHidden/>
    <w:unhideWhenUsed/>
    <w:rsid w:val="00BD1050"/>
    <w:rPr>
      <w:color w:val="605E5C"/>
      <w:shd w:val="clear" w:color="auto" w:fill="E1DFDD"/>
    </w:rPr>
  </w:style>
  <w:style w:type="table" w:styleId="Tablaconcuadrcula">
    <w:name w:val="Table Grid"/>
    <w:basedOn w:val="Tablanormal"/>
    <w:uiPriority w:val="59"/>
    <w:rsid w:val="0010531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05312"/>
    <w:pPr>
      <w:autoSpaceDE w:val="0"/>
      <w:autoSpaceDN w:val="0"/>
      <w:adjustRightInd w:val="0"/>
      <w:spacing w:after="0" w:line="240" w:lineRule="auto"/>
    </w:pPr>
    <w:rPr>
      <w:rFonts w:ascii="Arial" w:hAnsi="Arial" w:cs="Arial"/>
      <w:color w:val="000000"/>
      <w:sz w:val="24"/>
      <w:szCs w:val="24"/>
      <w14:ligatures w14:val="standardContextual"/>
    </w:rPr>
  </w:style>
  <w:style w:type="character" w:styleId="Textodelmarcadordeposicin">
    <w:name w:val="Placeholder Text"/>
    <w:basedOn w:val="Fuentedeprrafopredeter"/>
    <w:uiPriority w:val="99"/>
    <w:semiHidden/>
    <w:rsid w:val="00FA672A"/>
    <w:rPr>
      <w:color w:val="666666"/>
    </w:rPr>
  </w:style>
  <w:style w:type="paragraph" w:styleId="NormalWeb">
    <w:name w:val="Normal (Web)"/>
    <w:basedOn w:val="Normal"/>
    <w:uiPriority w:val="99"/>
    <w:unhideWhenUsed/>
    <w:rsid w:val="005F3FFA"/>
    <w:pPr>
      <w:jc w:val="left"/>
    </w:pPr>
    <w:rPr>
      <w:rFonts w:ascii="Times New Roman" w:eastAsia="Calibri" w:hAnsi="Times New Roman" w:cs="Times New Roman"/>
      <w:sz w:val="24"/>
      <w:szCs w:val="24"/>
    </w:rPr>
  </w:style>
  <w:style w:type="paragraph" w:styleId="Revisin">
    <w:name w:val="Revision"/>
    <w:hidden/>
    <w:uiPriority w:val="99"/>
    <w:semiHidden/>
    <w:rsid w:val="001740CF"/>
    <w:pPr>
      <w:spacing w:after="0" w:line="240" w:lineRule="auto"/>
    </w:pPr>
    <w:rPr>
      <w:rFonts w:ascii="ITC Avant Garde" w:hAnsi="ITC Avant Gar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75976">
      <w:bodyDiv w:val="1"/>
      <w:marLeft w:val="0"/>
      <w:marRight w:val="0"/>
      <w:marTop w:val="0"/>
      <w:marBottom w:val="0"/>
      <w:divBdr>
        <w:top w:val="none" w:sz="0" w:space="0" w:color="auto"/>
        <w:left w:val="none" w:sz="0" w:space="0" w:color="auto"/>
        <w:bottom w:val="none" w:sz="0" w:space="0" w:color="auto"/>
        <w:right w:val="none" w:sz="0" w:space="0" w:color="auto"/>
      </w:divBdr>
    </w:div>
    <w:div w:id="8259046">
      <w:bodyDiv w:val="1"/>
      <w:marLeft w:val="0"/>
      <w:marRight w:val="0"/>
      <w:marTop w:val="0"/>
      <w:marBottom w:val="0"/>
      <w:divBdr>
        <w:top w:val="none" w:sz="0" w:space="0" w:color="auto"/>
        <w:left w:val="none" w:sz="0" w:space="0" w:color="auto"/>
        <w:bottom w:val="none" w:sz="0" w:space="0" w:color="auto"/>
        <w:right w:val="none" w:sz="0" w:space="0" w:color="auto"/>
      </w:divBdr>
    </w:div>
    <w:div w:id="8459746">
      <w:bodyDiv w:val="1"/>
      <w:marLeft w:val="0"/>
      <w:marRight w:val="0"/>
      <w:marTop w:val="0"/>
      <w:marBottom w:val="0"/>
      <w:divBdr>
        <w:top w:val="none" w:sz="0" w:space="0" w:color="auto"/>
        <w:left w:val="none" w:sz="0" w:space="0" w:color="auto"/>
        <w:bottom w:val="none" w:sz="0" w:space="0" w:color="auto"/>
        <w:right w:val="none" w:sz="0" w:space="0" w:color="auto"/>
      </w:divBdr>
    </w:div>
    <w:div w:id="11418421">
      <w:bodyDiv w:val="1"/>
      <w:marLeft w:val="0"/>
      <w:marRight w:val="0"/>
      <w:marTop w:val="0"/>
      <w:marBottom w:val="0"/>
      <w:divBdr>
        <w:top w:val="none" w:sz="0" w:space="0" w:color="auto"/>
        <w:left w:val="none" w:sz="0" w:space="0" w:color="auto"/>
        <w:bottom w:val="none" w:sz="0" w:space="0" w:color="auto"/>
        <w:right w:val="none" w:sz="0" w:space="0" w:color="auto"/>
      </w:divBdr>
    </w:div>
    <w:div w:id="18168640">
      <w:bodyDiv w:val="1"/>
      <w:marLeft w:val="0"/>
      <w:marRight w:val="0"/>
      <w:marTop w:val="0"/>
      <w:marBottom w:val="0"/>
      <w:divBdr>
        <w:top w:val="none" w:sz="0" w:space="0" w:color="auto"/>
        <w:left w:val="none" w:sz="0" w:space="0" w:color="auto"/>
        <w:bottom w:val="none" w:sz="0" w:space="0" w:color="auto"/>
        <w:right w:val="none" w:sz="0" w:space="0" w:color="auto"/>
      </w:divBdr>
    </w:div>
    <w:div w:id="20859224">
      <w:bodyDiv w:val="1"/>
      <w:marLeft w:val="0"/>
      <w:marRight w:val="0"/>
      <w:marTop w:val="0"/>
      <w:marBottom w:val="0"/>
      <w:divBdr>
        <w:top w:val="none" w:sz="0" w:space="0" w:color="auto"/>
        <w:left w:val="none" w:sz="0" w:space="0" w:color="auto"/>
        <w:bottom w:val="none" w:sz="0" w:space="0" w:color="auto"/>
        <w:right w:val="none" w:sz="0" w:space="0" w:color="auto"/>
      </w:divBdr>
    </w:div>
    <w:div w:id="21323549">
      <w:bodyDiv w:val="1"/>
      <w:marLeft w:val="0"/>
      <w:marRight w:val="0"/>
      <w:marTop w:val="0"/>
      <w:marBottom w:val="0"/>
      <w:divBdr>
        <w:top w:val="none" w:sz="0" w:space="0" w:color="auto"/>
        <w:left w:val="none" w:sz="0" w:space="0" w:color="auto"/>
        <w:bottom w:val="none" w:sz="0" w:space="0" w:color="auto"/>
        <w:right w:val="none" w:sz="0" w:space="0" w:color="auto"/>
      </w:divBdr>
    </w:div>
    <w:div w:id="23334650">
      <w:bodyDiv w:val="1"/>
      <w:marLeft w:val="0"/>
      <w:marRight w:val="0"/>
      <w:marTop w:val="0"/>
      <w:marBottom w:val="0"/>
      <w:divBdr>
        <w:top w:val="none" w:sz="0" w:space="0" w:color="auto"/>
        <w:left w:val="none" w:sz="0" w:space="0" w:color="auto"/>
        <w:bottom w:val="none" w:sz="0" w:space="0" w:color="auto"/>
        <w:right w:val="none" w:sz="0" w:space="0" w:color="auto"/>
      </w:divBdr>
    </w:div>
    <w:div w:id="24332183">
      <w:bodyDiv w:val="1"/>
      <w:marLeft w:val="0"/>
      <w:marRight w:val="0"/>
      <w:marTop w:val="0"/>
      <w:marBottom w:val="0"/>
      <w:divBdr>
        <w:top w:val="none" w:sz="0" w:space="0" w:color="auto"/>
        <w:left w:val="none" w:sz="0" w:space="0" w:color="auto"/>
        <w:bottom w:val="none" w:sz="0" w:space="0" w:color="auto"/>
        <w:right w:val="none" w:sz="0" w:space="0" w:color="auto"/>
      </w:divBdr>
    </w:div>
    <w:div w:id="38171326">
      <w:bodyDiv w:val="1"/>
      <w:marLeft w:val="0"/>
      <w:marRight w:val="0"/>
      <w:marTop w:val="0"/>
      <w:marBottom w:val="0"/>
      <w:divBdr>
        <w:top w:val="none" w:sz="0" w:space="0" w:color="auto"/>
        <w:left w:val="none" w:sz="0" w:space="0" w:color="auto"/>
        <w:bottom w:val="none" w:sz="0" w:space="0" w:color="auto"/>
        <w:right w:val="none" w:sz="0" w:space="0" w:color="auto"/>
      </w:divBdr>
    </w:div>
    <w:div w:id="42221710">
      <w:bodyDiv w:val="1"/>
      <w:marLeft w:val="0"/>
      <w:marRight w:val="0"/>
      <w:marTop w:val="0"/>
      <w:marBottom w:val="0"/>
      <w:divBdr>
        <w:top w:val="none" w:sz="0" w:space="0" w:color="auto"/>
        <w:left w:val="none" w:sz="0" w:space="0" w:color="auto"/>
        <w:bottom w:val="none" w:sz="0" w:space="0" w:color="auto"/>
        <w:right w:val="none" w:sz="0" w:space="0" w:color="auto"/>
      </w:divBdr>
    </w:div>
    <w:div w:id="43717668">
      <w:bodyDiv w:val="1"/>
      <w:marLeft w:val="0"/>
      <w:marRight w:val="0"/>
      <w:marTop w:val="0"/>
      <w:marBottom w:val="0"/>
      <w:divBdr>
        <w:top w:val="none" w:sz="0" w:space="0" w:color="auto"/>
        <w:left w:val="none" w:sz="0" w:space="0" w:color="auto"/>
        <w:bottom w:val="none" w:sz="0" w:space="0" w:color="auto"/>
        <w:right w:val="none" w:sz="0" w:space="0" w:color="auto"/>
      </w:divBdr>
    </w:div>
    <w:div w:id="46419464">
      <w:bodyDiv w:val="1"/>
      <w:marLeft w:val="0"/>
      <w:marRight w:val="0"/>
      <w:marTop w:val="0"/>
      <w:marBottom w:val="0"/>
      <w:divBdr>
        <w:top w:val="none" w:sz="0" w:space="0" w:color="auto"/>
        <w:left w:val="none" w:sz="0" w:space="0" w:color="auto"/>
        <w:bottom w:val="none" w:sz="0" w:space="0" w:color="auto"/>
        <w:right w:val="none" w:sz="0" w:space="0" w:color="auto"/>
      </w:divBdr>
    </w:div>
    <w:div w:id="53745081">
      <w:bodyDiv w:val="1"/>
      <w:marLeft w:val="0"/>
      <w:marRight w:val="0"/>
      <w:marTop w:val="0"/>
      <w:marBottom w:val="0"/>
      <w:divBdr>
        <w:top w:val="none" w:sz="0" w:space="0" w:color="auto"/>
        <w:left w:val="none" w:sz="0" w:space="0" w:color="auto"/>
        <w:bottom w:val="none" w:sz="0" w:space="0" w:color="auto"/>
        <w:right w:val="none" w:sz="0" w:space="0" w:color="auto"/>
      </w:divBdr>
    </w:div>
    <w:div w:id="62803020">
      <w:bodyDiv w:val="1"/>
      <w:marLeft w:val="0"/>
      <w:marRight w:val="0"/>
      <w:marTop w:val="0"/>
      <w:marBottom w:val="0"/>
      <w:divBdr>
        <w:top w:val="none" w:sz="0" w:space="0" w:color="auto"/>
        <w:left w:val="none" w:sz="0" w:space="0" w:color="auto"/>
        <w:bottom w:val="none" w:sz="0" w:space="0" w:color="auto"/>
        <w:right w:val="none" w:sz="0" w:space="0" w:color="auto"/>
      </w:divBdr>
    </w:div>
    <w:div w:id="63382501">
      <w:bodyDiv w:val="1"/>
      <w:marLeft w:val="0"/>
      <w:marRight w:val="0"/>
      <w:marTop w:val="0"/>
      <w:marBottom w:val="0"/>
      <w:divBdr>
        <w:top w:val="none" w:sz="0" w:space="0" w:color="auto"/>
        <w:left w:val="none" w:sz="0" w:space="0" w:color="auto"/>
        <w:bottom w:val="none" w:sz="0" w:space="0" w:color="auto"/>
        <w:right w:val="none" w:sz="0" w:space="0" w:color="auto"/>
      </w:divBdr>
    </w:div>
    <w:div w:id="71663114">
      <w:bodyDiv w:val="1"/>
      <w:marLeft w:val="0"/>
      <w:marRight w:val="0"/>
      <w:marTop w:val="0"/>
      <w:marBottom w:val="0"/>
      <w:divBdr>
        <w:top w:val="none" w:sz="0" w:space="0" w:color="auto"/>
        <w:left w:val="none" w:sz="0" w:space="0" w:color="auto"/>
        <w:bottom w:val="none" w:sz="0" w:space="0" w:color="auto"/>
        <w:right w:val="none" w:sz="0" w:space="0" w:color="auto"/>
      </w:divBdr>
    </w:div>
    <w:div w:id="75253331">
      <w:bodyDiv w:val="1"/>
      <w:marLeft w:val="0"/>
      <w:marRight w:val="0"/>
      <w:marTop w:val="0"/>
      <w:marBottom w:val="0"/>
      <w:divBdr>
        <w:top w:val="none" w:sz="0" w:space="0" w:color="auto"/>
        <w:left w:val="none" w:sz="0" w:space="0" w:color="auto"/>
        <w:bottom w:val="none" w:sz="0" w:space="0" w:color="auto"/>
        <w:right w:val="none" w:sz="0" w:space="0" w:color="auto"/>
      </w:divBdr>
    </w:div>
    <w:div w:id="90516193">
      <w:bodyDiv w:val="1"/>
      <w:marLeft w:val="0"/>
      <w:marRight w:val="0"/>
      <w:marTop w:val="0"/>
      <w:marBottom w:val="0"/>
      <w:divBdr>
        <w:top w:val="none" w:sz="0" w:space="0" w:color="auto"/>
        <w:left w:val="none" w:sz="0" w:space="0" w:color="auto"/>
        <w:bottom w:val="none" w:sz="0" w:space="0" w:color="auto"/>
        <w:right w:val="none" w:sz="0" w:space="0" w:color="auto"/>
      </w:divBdr>
    </w:div>
    <w:div w:id="91513891">
      <w:bodyDiv w:val="1"/>
      <w:marLeft w:val="0"/>
      <w:marRight w:val="0"/>
      <w:marTop w:val="0"/>
      <w:marBottom w:val="0"/>
      <w:divBdr>
        <w:top w:val="none" w:sz="0" w:space="0" w:color="auto"/>
        <w:left w:val="none" w:sz="0" w:space="0" w:color="auto"/>
        <w:bottom w:val="none" w:sz="0" w:space="0" w:color="auto"/>
        <w:right w:val="none" w:sz="0" w:space="0" w:color="auto"/>
      </w:divBdr>
    </w:div>
    <w:div w:id="98109726">
      <w:bodyDiv w:val="1"/>
      <w:marLeft w:val="0"/>
      <w:marRight w:val="0"/>
      <w:marTop w:val="0"/>
      <w:marBottom w:val="0"/>
      <w:divBdr>
        <w:top w:val="none" w:sz="0" w:space="0" w:color="auto"/>
        <w:left w:val="none" w:sz="0" w:space="0" w:color="auto"/>
        <w:bottom w:val="none" w:sz="0" w:space="0" w:color="auto"/>
        <w:right w:val="none" w:sz="0" w:space="0" w:color="auto"/>
      </w:divBdr>
    </w:div>
    <w:div w:id="102068536">
      <w:bodyDiv w:val="1"/>
      <w:marLeft w:val="0"/>
      <w:marRight w:val="0"/>
      <w:marTop w:val="0"/>
      <w:marBottom w:val="0"/>
      <w:divBdr>
        <w:top w:val="none" w:sz="0" w:space="0" w:color="auto"/>
        <w:left w:val="none" w:sz="0" w:space="0" w:color="auto"/>
        <w:bottom w:val="none" w:sz="0" w:space="0" w:color="auto"/>
        <w:right w:val="none" w:sz="0" w:space="0" w:color="auto"/>
      </w:divBdr>
    </w:div>
    <w:div w:id="102457314">
      <w:bodyDiv w:val="1"/>
      <w:marLeft w:val="0"/>
      <w:marRight w:val="0"/>
      <w:marTop w:val="0"/>
      <w:marBottom w:val="0"/>
      <w:divBdr>
        <w:top w:val="none" w:sz="0" w:space="0" w:color="auto"/>
        <w:left w:val="none" w:sz="0" w:space="0" w:color="auto"/>
        <w:bottom w:val="none" w:sz="0" w:space="0" w:color="auto"/>
        <w:right w:val="none" w:sz="0" w:space="0" w:color="auto"/>
      </w:divBdr>
    </w:div>
    <w:div w:id="114056818">
      <w:bodyDiv w:val="1"/>
      <w:marLeft w:val="0"/>
      <w:marRight w:val="0"/>
      <w:marTop w:val="0"/>
      <w:marBottom w:val="0"/>
      <w:divBdr>
        <w:top w:val="none" w:sz="0" w:space="0" w:color="auto"/>
        <w:left w:val="none" w:sz="0" w:space="0" w:color="auto"/>
        <w:bottom w:val="none" w:sz="0" w:space="0" w:color="auto"/>
        <w:right w:val="none" w:sz="0" w:space="0" w:color="auto"/>
      </w:divBdr>
    </w:div>
    <w:div w:id="118840408">
      <w:bodyDiv w:val="1"/>
      <w:marLeft w:val="0"/>
      <w:marRight w:val="0"/>
      <w:marTop w:val="0"/>
      <w:marBottom w:val="0"/>
      <w:divBdr>
        <w:top w:val="none" w:sz="0" w:space="0" w:color="auto"/>
        <w:left w:val="none" w:sz="0" w:space="0" w:color="auto"/>
        <w:bottom w:val="none" w:sz="0" w:space="0" w:color="auto"/>
        <w:right w:val="none" w:sz="0" w:space="0" w:color="auto"/>
      </w:divBdr>
    </w:div>
    <w:div w:id="122888075">
      <w:bodyDiv w:val="1"/>
      <w:marLeft w:val="0"/>
      <w:marRight w:val="0"/>
      <w:marTop w:val="0"/>
      <w:marBottom w:val="0"/>
      <w:divBdr>
        <w:top w:val="none" w:sz="0" w:space="0" w:color="auto"/>
        <w:left w:val="none" w:sz="0" w:space="0" w:color="auto"/>
        <w:bottom w:val="none" w:sz="0" w:space="0" w:color="auto"/>
        <w:right w:val="none" w:sz="0" w:space="0" w:color="auto"/>
      </w:divBdr>
    </w:div>
    <w:div w:id="136454161">
      <w:bodyDiv w:val="1"/>
      <w:marLeft w:val="0"/>
      <w:marRight w:val="0"/>
      <w:marTop w:val="0"/>
      <w:marBottom w:val="0"/>
      <w:divBdr>
        <w:top w:val="none" w:sz="0" w:space="0" w:color="auto"/>
        <w:left w:val="none" w:sz="0" w:space="0" w:color="auto"/>
        <w:bottom w:val="none" w:sz="0" w:space="0" w:color="auto"/>
        <w:right w:val="none" w:sz="0" w:space="0" w:color="auto"/>
      </w:divBdr>
    </w:div>
    <w:div w:id="137385502">
      <w:bodyDiv w:val="1"/>
      <w:marLeft w:val="0"/>
      <w:marRight w:val="0"/>
      <w:marTop w:val="0"/>
      <w:marBottom w:val="0"/>
      <w:divBdr>
        <w:top w:val="none" w:sz="0" w:space="0" w:color="auto"/>
        <w:left w:val="none" w:sz="0" w:space="0" w:color="auto"/>
        <w:bottom w:val="none" w:sz="0" w:space="0" w:color="auto"/>
        <w:right w:val="none" w:sz="0" w:space="0" w:color="auto"/>
      </w:divBdr>
    </w:div>
    <w:div w:id="138885529">
      <w:bodyDiv w:val="1"/>
      <w:marLeft w:val="0"/>
      <w:marRight w:val="0"/>
      <w:marTop w:val="0"/>
      <w:marBottom w:val="0"/>
      <w:divBdr>
        <w:top w:val="none" w:sz="0" w:space="0" w:color="auto"/>
        <w:left w:val="none" w:sz="0" w:space="0" w:color="auto"/>
        <w:bottom w:val="none" w:sz="0" w:space="0" w:color="auto"/>
        <w:right w:val="none" w:sz="0" w:space="0" w:color="auto"/>
      </w:divBdr>
    </w:div>
    <w:div w:id="145097892">
      <w:bodyDiv w:val="1"/>
      <w:marLeft w:val="0"/>
      <w:marRight w:val="0"/>
      <w:marTop w:val="0"/>
      <w:marBottom w:val="0"/>
      <w:divBdr>
        <w:top w:val="none" w:sz="0" w:space="0" w:color="auto"/>
        <w:left w:val="none" w:sz="0" w:space="0" w:color="auto"/>
        <w:bottom w:val="none" w:sz="0" w:space="0" w:color="auto"/>
        <w:right w:val="none" w:sz="0" w:space="0" w:color="auto"/>
      </w:divBdr>
    </w:div>
    <w:div w:id="148912494">
      <w:bodyDiv w:val="1"/>
      <w:marLeft w:val="0"/>
      <w:marRight w:val="0"/>
      <w:marTop w:val="0"/>
      <w:marBottom w:val="0"/>
      <w:divBdr>
        <w:top w:val="none" w:sz="0" w:space="0" w:color="auto"/>
        <w:left w:val="none" w:sz="0" w:space="0" w:color="auto"/>
        <w:bottom w:val="none" w:sz="0" w:space="0" w:color="auto"/>
        <w:right w:val="none" w:sz="0" w:space="0" w:color="auto"/>
      </w:divBdr>
    </w:div>
    <w:div w:id="151527474">
      <w:bodyDiv w:val="1"/>
      <w:marLeft w:val="0"/>
      <w:marRight w:val="0"/>
      <w:marTop w:val="0"/>
      <w:marBottom w:val="0"/>
      <w:divBdr>
        <w:top w:val="none" w:sz="0" w:space="0" w:color="auto"/>
        <w:left w:val="none" w:sz="0" w:space="0" w:color="auto"/>
        <w:bottom w:val="none" w:sz="0" w:space="0" w:color="auto"/>
        <w:right w:val="none" w:sz="0" w:space="0" w:color="auto"/>
      </w:divBdr>
    </w:div>
    <w:div w:id="154104421">
      <w:bodyDiv w:val="1"/>
      <w:marLeft w:val="0"/>
      <w:marRight w:val="0"/>
      <w:marTop w:val="0"/>
      <w:marBottom w:val="0"/>
      <w:divBdr>
        <w:top w:val="none" w:sz="0" w:space="0" w:color="auto"/>
        <w:left w:val="none" w:sz="0" w:space="0" w:color="auto"/>
        <w:bottom w:val="none" w:sz="0" w:space="0" w:color="auto"/>
        <w:right w:val="none" w:sz="0" w:space="0" w:color="auto"/>
      </w:divBdr>
    </w:div>
    <w:div w:id="156113427">
      <w:bodyDiv w:val="1"/>
      <w:marLeft w:val="0"/>
      <w:marRight w:val="0"/>
      <w:marTop w:val="0"/>
      <w:marBottom w:val="0"/>
      <w:divBdr>
        <w:top w:val="none" w:sz="0" w:space="0" w:color="auto"/>
        <w:left w:val="none" w:sz="0" w:space="0" w:color="auto"/>
        <w:bottom w:val="none" w:sz="0" w:space="0" w:color="auto"/>
        <w:right w:val="none" w:sz="0" w:space="0" w:color="auto"/>
      </w:divBdr>
    </w:div>
    <w:div w:id="159271987">
      <w:bodyDiv w:val="1"/>
      <w:marLeft w:val="0"/>
      <w:marRight w:val="0"/>
      <w:marTop w:val="0"/>
      <w:marBottom w:val="0"/>
      <w:divBdr>
        <w:top w:val="none" w:sz="0" w:space="0" w:color="auto"/>
        <w:left w:val="none" w:sz="0" w:space="0" w:color="auto"/>
        <w:bottom w:val="none" w:sz="0" w:space="0" w:color="auto"/>
        <w:right w:val="none" w:sz="0" w:space="0" w:color="auto"/>
      </w:divBdr>
    </w:div>
    <w:div w:id="173345974">
      <w:bodyDiv w:val="1"/>
      <w:marLeft w:val="0"/>
      <w:marRight w:val="0"/>
      <w:marTop w:val="0"/>
      <w:marBottom w:val="0"/>
      <w:divBdr>
        <w:top w:val="none" w:sz="0" w:space="0" w:color="auto"/>
        <w:left w:val="none" w:sz="0" w:space="0" w:color="auto"/>
        <w:bottom w:val="none" w:sz="0" w:space="0" w:color="auto"/>
        <w:right w:val="none" w:sz="0" w:space="0" w:color="auto"/>
      </w:divBdr>
    </w:div>
    <w:div w:id="179904190">
      <w:bodyDiv w:val="1"/>
      <w:marLeft w:val="0"/>
      <w:marRight w:val="0"/>
      <w:marTop w:val="0"/>
      <w:marBottom w:val="0"/>
      <w:divBdr>
        <w:top w:val="none" w:sz="0" w:space="0" w:color="auto"/>
        <w:left w:val="none" w:sz="0" w:space="0" w:color="auto"/>
        <w:bottom w:val="none" w:sz="0" w:space="0" w:color="auto"/>
        <w:right w:val="none" w:sz="0" w:space="0" w:color="auto"/>
      </w:divBdr>
    </w:div>
    <w:div w:id="180820699">
      <w:bodyDiv w:val="1"/>
      <w:marLeft w:val="0"/>
      <w:marRight w:val="0"/>
      <w:marTop w:val="0"/>
      <w:marBottom w:val="0"/>
      <w:divBdr>
        <w:top w:val="none" w:sz="0" w:space="0" w:color="auto"/>
        <w:left w:val="none" w:sz="0" w:space="0" w:color="auto"/>
        <w:bottom w:val="none" w:sz="0" w:space="0" w:color="auto"/>
        <w:right w:val="none" w:sz="0" w:space="0" w:color="auto"/>
      </w:divBdr>
    </w:div>
    <w:div w:id="181863512">
      <w:bodyDiv w:val="1"/>
      <w:marLeft w:val="0"/>
      <w:marRight w:val="0"/>
      <w:marTop w:val="0"/>
      <w:marBottom w:val="0"/>
      <w:divBdr>
        <w:top w:val="none" w:sz="0" w:space="0" w:color="auto"/>
        <w:left w:val="none" w:sz="0" w:space="0" w:color="auto"/>
        <w:bottom w:val="none" w:sz="0" w:space="0" w:color="auto"/>
        <w:right w:val="none" w:sz="0" w:space="0" w:color="auto"/>
      </w:divBdr>
    </w:div>
    <w:div w:id="182670406">
      <w:bodyDiv w:val="1"/>
      <w:marLeft w:val="0"/>
      <w:marRight w:val="0"/>
      <w:marTop w:val="0"/>
      <w:marBottom w:val="0"/>
      <w:divBdr>
        <w:top w:val="none" w:sz="0" w:space="0" w:color="auto"/>
        <w:left w:val="none" w:sz="0" w:space="0" w:color="auto"/>
        <w:bottom w:val="none" w:sz="0" w:space="0" w:color="auto"/>
        <w:right w:val="none" w:sz="0" w:space="0" w:color="auto"/>
      </w:divBdr>
    </w:div>
    <w:div w:id="188615802">
      <w:bodyDiv w:val="1"/>
      <w:marLeft w:val="0"/>
      <w:marRight w:val="0"/>
      <w:marTop w:val="0"/>
      <w:marBottom w:val="0"/>
      <w:divBdr>
        <w:top w:val="none" w:sz="0" w:space="0" w:color="auto"/>
        <w:left w:val="none" w:sz="0" w:space="0" w:color="auto"/>
        <w:bottom w:val="none" w:sz="0" w:space="0" w:color="auto"/>
        <w:right w:val="none" w:sz="0" w:space="0" w:color="auto"/>
      </w:divBdr>
    </w:div>
    <w:div w:id="188690436">
      <w:bodyDiv w:val="1"/>
      <w:marLeft w:val="0"/>
      <w:marRight w:val="0"/>
      <w:marTop w:val="0"/>
      <w:marBottom w:val="0"/>
      <w:divBdr>
        <w:top w:val="none" w:sz="0" w:space="0" w:color="auto"/>
        <w:left w:val="none" w:sz="0" w:space="0" w:color="auto"/>
        <w:bottom w:val="none" w:sz="0" w:space="0" w:color="auto"/>
        <w:right w:val="none" w:sz="0" w:space="0" w:color="auto"/>
      </w:divBdr>
    </w:div>
    <w:div w:id="193615529">
      <w:bodyDiv w:val="1"/>
      <w:marLeft w:val="0"/>
      <w:marRight w:val="0"/>
      <w:marTop w:val="0"/>
      <w:marBottom w:val="0"/>
      <w:divBdr>
        <w:top w:val="none" w:sz="0" w:space="0" w:color="auto"/>
        <w:left w:val="none" w:sz="0" w:space="0" w:color="auto"/>
        <w:bottom w:val="none" w:sz="0" w:space="0" w:color="auto"/>
        <w:right w:val="none" w:sz="0" w:space="0" w:color="auto"/>
      </w:divBdr>
    </w:div>
    <w:div w:id="197818137">
      <w:bodyDiv w:val="1"/>
      <w:marLeft w:val="0"/>
      <w:marRight w:val="0"/>
      <w:marTop w:val="0"/>
      <w:marBottom w:val="0"/>
      <w:divBdr>
        <w:top w:val="none" w:sz="0" w:space="0" w:color="auto"/>
        <w:left w:val="none" w:sz="0" w:space="0" w:color="auto"/>
        <w:bottom w:val="none" w:sz="0" w:space="0" w:color="auto"/>
        <w:right w:val="none" w:sz="0" w:space="0" w:color="auto"/>
      </w:divBdr>
    </w:div>
    <w:div w:id="204029822">
      <w:bodyDiv w:val="1"/>
      <w:marLeft w:val="0"/>
      <w:marRight w:val="0"/>
      <w:marTop w:val="0"/>
      <w:marBottom w:val="0"/>
      <w:divBdr>
        <w:top w:val="none" w:sz="0" w:space="0" w:color="auto"/>
        <w:left w:val="none" w:sz="0" w:space="0" w:color="auto"/>
        <w:bottom w:val="none" w:sz="0" w:space="0" w:color="auto"/>
        <w:right w:val="none" w:sz="0" w:space="0" w:color="auto"/>
      </w:divBdr>
    </w:div>
    <w:div w:id="205798190">
      <w:bodyDiv w:val="1"/>
      <w:marLeft w:val="0"/>
      <w:marRight w:val="0"/>
      <w:marTop w:val="0"/>
      <w:marBottom w:val="0"/>
      <w:divBdr>
        <w:top w:val="none" w:sz="0" w:space="0" w:color="auto"/>
        <w:left w:val="none" w:sz="0" w:space="0" w:color="auto"/>
        <w:bottom w:val="none" w:sz="0" w:space="0" w:color="auto"/>
        <w:right w:val="none" w:sz="0" w:space="0" w:color="auto"/>
      </w:divBdr>
    </w:div>
    <w:div w:id="208147661">
      <w:bodyDiv w:val="1"/>
      <w:marLeft w:val="0"/>
      <w:marRight w:val="0"/>
      <w:marTop w:val="0"/>
      <w:marBottom w:val="0"/>
      <w:divBdr>
        <w:top w:val="none" w:sz="0" w:space="0" w:color="auto"/>
        <w:left w:val="none" w:sz="0" w:space="0" w:color="auto"/>
        <w:bottom w:val="none" w:sz="0" w:space="0" w:color="auto"/>
        <w:right w:val="none" w:sz="0" w:space="0" w:color="auto"/>
      </w:divBdr>
    </w:div>
    <w:div w:id="212238247">
      <w:bodyDiv w:val="1"/>
      <w:marLeft w:val="0"/>
      <w:marRight w:val="0"/>
      <w:marTop w:val="0"/>
      <w:marBottom w:val="0"/>
      <w:divBdr>
        <w:top w:val="none" w:sz="0" w:space="0" w:color="auto"/>
        <w:left w:val="none" w:sz="0" w:space="0" w:color="auto"/>
        <w:bottom w:val="none" w:sz="0" w:space="0" w:color="auto"/>
        <w:right w:val="none" w:sz="0" w:space="0" w:color="auto"/>
      </w:divBdr>
    </w:div>
    <w:div w:id="219248862">
      <w:bodyDiv w:val="1"/>
      <w:marLeft w:val="0"/>
      <w:marRight w:val="0"/>
      <w:marTop w:val="0"/>
      <w:marBottom w:val="0"/>
      <w:divBdr>
        <w:top w:val="none" w:sz="0" w:space="0" w:color="auto"/>
        <w:left w:val="none" w:sz="0" w:space="0" w:color="auto"/>
        <w:bottom w:val="none" w:sz="0" w:space="0" w:color="auto"/>
        <w:right w:val="none" w:sz="0" w:space="0" w:color="auto"/>
      </w:divBdr>
    </w:div>
    <w:div w:id="223882030">
      <w:bodyDiv w:val="1"/>
      <w:marLeft w:val="0"/>
      <w:marRight w:val="0"/>
      <w:marTop w:val="0"/>
      <w:marBottom w:val="0"/>
      <w:divBdr>
        <w:top w:val="none" w:sz="0" w:space="0" w:color="auto"/>
        <w:left w:val="none" w:sz="0" w:space="0" w:color="auto"/>
        <w:bottom w:val="none" w:sz="0" w:space="0" w:color="auto"/>
        <w:right w:val="none" w:sz="0" w:space="0" w:color="auto"/>
      </w:divBdr>
    </w:div>
    <w:div w:id="224413319">
      <w:bodyDiv w:val="1"/>
      <w:marLeft w:val="0"/>
      <w:marRight w:val="0"/>
      <w:marTop w:val="0"/>
      <w:marBottom w:val="0"/>
      <w:divBdr>
        <w:top w:val="none" w:sz="0" w:space="0" w:color="auto"/>
        <w:left w:val="none" w:sz="0" w:space="0" w:color="auto"/>
        <w:bottom w:val="none" w:sz="0" w:space="0" w:color="auto"/>
        <w:right w:val="none" w:sz="0" w:space="0" w:color="auto"/>
      </w:divBdr>
    </w:div>
    <w:div w:id="240483851">
      <w:bodyDiv w:val="1"/>
      <w:marLeft w:val="0"/>
      <w:marRight w:val="0"/>
      <w:marTop w:val="0"/>
      <w:marBottom w:val="0"/>
      <w:divBdr>
        <w:top w:val="none" w:sz="0" w:space="0" w:color="auto"/>
        <w:left w:val="none" w:sz="0" w:space="0" w:color="auto"/>
        <w:bottom w:val="none" w:sz="0" w:space="0" w:color="auto"/>
        <w:right w:val="none" w:sz="0" w:space="0" w:color="auto"/>
      </w:divBdr>
    </w:div>
    <w:div w:id="240725595">
      <w:bodyDiv w:val="1"/>
      <w:marLeft w:val="0"/>
      <w:marRight w:val="0"/>
      <w:marTop w:val="0"/>
      <w:marBottom w:val="0"/>
      <w:divBdr>
        <w:top w:val="none" w:sz="0" w:space="0" w:color="auto"/>
        <w:left w:val="none" w:sz="0" w:space="0" w:color="auto"/>
        <w:bottom w:val="none" w:sz="0" w:space="0" w:color="auto"/>
        <w:right w:val="none" w:sz="0" w:space="0" w:color="auto"/>
      </w:divBdr>
    </w:div>
    <w:div w:id="241911682">
      <w:bodyDiv w:val="1"/>
      <w:marLeft w:val="0"/>
      <w:marRight w:val="0"/>
      <w:marTop w:val="0"/>
      <w:marBottom w:val="0"/>
      <w:divBdr>
        <w:top w:val="none" w:sz="0" w:space="0" w:color="auto"/>
        <w:left w:val="none" w:sz="0" w:space="0" w:color="auto"/>
        <w:bottom w:val="none" w:sz="0" w:space="0" w:color="auto"/>
        <w:right w:val="none" w:sz="0" w:space="0" w:color="auto"/>
      </w:divBdr>
    </w:div>
    <w:div w:id="242106429">
      <w:bodyDiv w:val="1"/>
      <w:marLeft w:val="0"/>
      <w:marRight w:val="0"/>
      <w:marTop w:val="0"/>
      <w:marBottom w:val="0"/>
      <w:divBdr>
        <w:top w:val="none" w:sz="0" w:space="0" w:color="auto"/>
        <w:left w:val="none" w:sz="0" w:space="0" w:color="auto"/>
        <w:bottom w:val="none" w:sz="0" w:space="0" w:color="auto"/>
        <w:right w:val="none" w:sz="0" w:space="0" w:color="auto"/>
      </w:divBdr>
    </w:div>
    <w:div w:id="245503524">
      <w:bodyDiv w:val="1"/>
      <w:marLeft w:val="0"/>
      <w:marRight w:val="0"/>
      <w:marTop w:val="0"/>
      <w:marBottom w:val="0"/>
      <w:divBdr>
        <w:top w:val="none" w:sz="0" w:space="0" w:color="auto"/>
        <w:left w:val="none" w:sz="0" w:space="0" w:color="auto"/>
        <w:bottom w:val="none" w:sz="0" w:space="0" w:color="auto"/>
        <w:right w:val="none" w:sz="0" w:space="0" w:color="auto"/>
      </w:divBdr>
    </w:div>
    <w:div w:id="248077090">
      <w:bodyDiv w:val="1"/>
      <w:marLeft w:val="0"/>
      <w:marRight w:val="0"/>
      <w:marTop w:val="0"/>
      <w:marBottom w:val="0"/>
      <w:divBdr>
        <w:top w:val="none" w:sz="0" w:space="0" w:color="auto"/>
        <w:left w:val="none" w:sz="0" w:space="0" w:color="auto"/>
        <w:bottom w:val="none" w:sz="0" w:space="0" w:color="auto"/>
        <w:right w:val="none" w:sz="0" w:space="0" w:color="auto"/>
      </w:divBdr>
    </w:div>
    <w:div w:id="250159217">
      <w:bodyDiv w:val="1"/>
      <w:marLeft w:val="0"/>
      <w:marRight w:val="0"/>
      <w:marTop w:val="0"/>
      <w:marBottom w:val="0"/>
      <w:divBdr>
        <w:top w:val="none" w:sz="0" w:space="0" w:color="auto"/>
        <w:left w:val="none" w:sz="0" w:space="0" w:color="auto"/>
        <w:bottom w:val="none" w:sz="0" w:space="0" w:color="auto"/>
        <w:right w:val="none" w:sz="0" w:space="0" w:color="auto"/>
      </w:divBdr>
    </w:div>
    <w:div w:id="259027710">
      <w:bodyDiv w:val="1"/>
      <w:marLeft w:val="0"/>
      <w:marRight w:val="0"/>
      <w:marTop w:val="0"/>
      <w:marBottom w:val="0"/>
      <w:divBdr>
        <w:top w:val="none" w:sz="0" w:space="0" w:color="auto"/>
        <w:left w:val="none" w:sz="0" w:space="0" w:color="auto"/>
        <w:bottom w:val="none" w:sz="0" w:space="0" w:color="auto"/>
        <w:right w:val="none" w:sz="0" w:space="0" w:color="auto"/>
      </w:divBdr>
    </w:div>
    <w:div w:id="260718916">
      <w:bodyDiv w:val="1"/>
      <w:marLeft w:val="0"/>
      <w:marRight w:val="0"/>
      <w:marTop w:val="0"/>
      <w:marBottom w:val="0"/>
      <w:divBdr>
        <w:top w:val="none" w:sz="0" w:space="0" w:color="auto"/>
        <w:left w:val="none" w:sz="0" w:space="0" w:color="auto"/>
        <w:bottom w:val="none" w:sz="0" w:space="0" w:color="auto"/>
        <w:right w:val="none" w:sz="0" w:space="0" w:color="auto"/>
      </w:divBdr>
    </w:div>
    <w:div w:id="261649454">
      <w:bodyDiv w:val="1"/>
      <w:marLeft w:val="0"/>
      <w:marRight w:val="0"/>
      <w:marTop w:val="0"/>
      <w:marBottom w:val="0"/>
      <w:divBdr>
        <w:top w:val="none" w:sz="0" w:space="0" w:color="auto"/>
        <w:left w:val="none" w:sz="0" w:space="0" w:color="auto"/>
        <w:bottom w:val="none" w:sz="0" w:space="0" w:color="auto"/>
        <w:right w:val="none" w:sz="0" w:space="0" w:color="auto"/>
      </w:divBdr>
    </w:div>
    <w:div w:id="262228845">
      <w:bodyDiv w:val="1"/>
      <w:marLeft w:val="0"/>
      <w:marRight w:val="0"/>
      <w:marTop w:val="0"/>
      <w:marBottom w:val="0"/>
      <w:divBdr>
        <w:top w:val="none" w:sz="0" w:space="0" w:color="auto"/>
        <w:left w:val="none" w:sz="0" w:space="0" w:color="auto"/>
        <w:bottom w:val="none" w:sz="0" w:space="0" w:color="auto"/>
        <w:right w:val="none" w:sz="0" w:space="0" w:color="auto"/>
      </w:divBdr>
    </w:div>
    <w:div w:id="268970116">
      <w:bodyDiv w:val="1"/>
      <w:marLeft w:val="0"/>
      <w:marRight w:val="0"/>
      <w:marTop w:val="0"/>
      <w:marBottom w:val="0"/>
      <w:divBdr>
        <w:top w:val="none" w:sz="0" w:space="0" w:color="auto"/>
        <w:left w:val="none" w:sz="0" w:space="0" w:color="auto"/>
        <w:bottom w:val="none" w:sz="0" w:space="0" w:color="auto"/>
        <w:right w:val="none" w:sz="0" w:space="0" w:color="auto"/>
      </w:divBdr>
    </w:div>
    <w:div w:id="269820453">
      <w:bodyDiv w:val="1"/>
      <w:marLeft w:val="0"/>
      <w:marRight w:val="0"/>
      <w:marTop w:val="0"/>
      <w:marBottom w:val="0"/>
      <w:divBdr>
        <w:top w:val="none" w:sz="0" w:space="0" w:color="auto"/>
        <w:left w:val="none" w:sz="0" w:space="0" w:color="auto"/>
        <w:bottom w:val="none" w:sz="0" w:space="0" w:color="auto"/>
        <w:right w:val="none" w:sz="0" w:space="0" w:color="auto"/>
      </w:divBdr>
    </w:div>
    <w:div w:id="270284102">
      <w:bodyDiv w:val="1"/>
      <w:marLeft w:val="0"/>
      <w:marRight w:val="0"/>
      <w:marTop w:val="0"/>
      <w:marBottom w:val="0"/>
      <w:divBdr>
        <w:top w:val="none" w:sz="0" w:space="0" w:color="auto"/>
        <w:left w:val="none" w:sz="0" w:space="0" w:color="auto"/>
        <w:bottom w:val="none" w:sz="0" w:space="0" w:color="auto"/>
        <w:right w:val="none" w:sz="0" w:space="0" w:color="auto"/>
      </w:divBdr>
    </w:div>
    <w:div w:id="270666897">
      <w:bodyDiv w:val="1"/>
      <w:marLeft w:val="0"/>
      <w:marRight w:val="0"/>
      <w:marTop w:val="0"/>
      <w:marBottom w:val="0"/>
      <w:divBdr>
        <w:top w:val="none" w:sz="0" w:space="0" w:color="auto"/>
        <w:left w:val="none" w:sz="0" w:space="0" w:color="auto"/>
        <w:bottom w:val="none" w:sz="0" w:space="0" w:color="auto"/>
        <w:right w:val="none" w:sz="0" w:space="0" w:color="auto"/>
      </w:divBdr>
    </w:div>
    <w:div w:id="272789994">
      <w:bodyDiv w:val="1"/>
      <w:marLeft w:val="0"/>
      <w:marRight w:val="0"/>
      <w:marTop w:val="0"/>
      <w:marBottom w:val="0"/>
      <w:divBdr>
        <w:top w:val="none" w:sz="0" w:space="0" w:color="auto"/>
        <w:left w:val="none" w:sz="0" w:space="0" w:color="auto"/>
        <w:bottom w:val="none" w:sz="0" w:space="0" w:color="auto"/>
        <w:right w:val="none" w:sz="0" w:space="0" w:color="auto"/>
      </w:divBdr>
    </w:div>
    <w:div w:id="281812232">
      <w:bodyDiv w:val="1"/>
      <w:marLeft w:val="0"/>
      <w:marRight w:val="0"/>
      <w:marTop w:val="0"/>
      <w:marBottom w:val="0"/>
      <w:divBdr>
        <w:top w:val="none" w:sz="0" w:space="0" w:color="auto"/>
        <w:left w:val="none" w:sz="0" w:space="0" w:color="auto"/>
        <w:bottom w:val="none" w:sz="0" w:space="0" w:color="auto"/>
        <w:right w:val="none" w:sz="0" w:space="0" w:color="auto"/>
      </w:divBdr>
    </w:div>
    <w:div w:id="283312290">
      <w:bodyDiv w:val="1"/>
      <w:marLeft w:val="0"/>
      <w:marRight w:val="0"/>
      <w:marTop w:val="0"/>
      <w:marBottom w:val="0"/>
      <w:divBdr>
        <w:top w:val="none" w:sz="0" w:space="0" w:color="auto"/>
        <w:left w:val="none" w:sz="0" w:space="0" w:color="auto"/>
        <w:bottom w:val="none" w:sz="0" w:space="0" w:color="auto"/>
        <w:right w:val="none" w:sz="0" w:space="0" w:color="auto"/>
      </w:divBdr>
    </w:div>
    <w:div w:id="283658720">
      <w:bodyDiv w:val="1"/>
      <w:marLeft w:val="0"/>
      <w:marRight w:val="0"/>
      <w:marTop w:val="0"/>
      <w:marBottom w:val="0"/>
      <w:divBdr>
        <w:top w:val="none" w:sz="0" w:space="0" w:color="auto"/>
        <w:left w:val="none" w:sz="0" w:space="0" w:color="auto"/>
        <w:bottom w:val="none" w:sz="0" w:space="0" w:color="auto"/>
        <w:right w:val="none" w:sz="0" w:space="0" w:color="auto"/>
      </w:divBdr>
    </w:div>
    <w:div w:id="290866418">
      <w:bodyDiv w:val="1"/>
      <w:marLeft w:val="0"/>
      <w:marRight w:val="0"/>
      <w:marTop w:val="0"/>
      <w:marBottom w:val="0"/>
      <w:divBdr>
        <w:top w:val="none" w:sz="0" w:space="0" w:color="auto"/>
        <w:left w:val="none" w:sz="0" w:space="0" w:color="auto"/>
        <w:bottom w:val="none" w:sz="0" w:space="0" w:color="auto"/>
        <w:right w:val="none" w:sz="0" w:space="0" w:color="auto"/>
      </w:divBdr>
    </w:div>
    <w:div w:id="298075440">
      <w:bodyDiv w:val="1"/>
      <w:marLeft w:val="0"/>
      <w:marRight w:val="0"/>
      <w:marTop w:val="0"/>
      <w:marBottom w:val="0"/>
      <w:divBdr>
        <w:top w:val="none" w:sz="0" w:space="0" w:color="auto"/>
        <w:left w:val="none" w:sz="0" w:space="0" w:color="auto"/>
        <w:bottom w:val="none" w:sz="0" w:space="0" w:color="auto"/>
        <w:right w:val="none" w:sz="0" w:space="0" w:color="auto"/>
      </w:divBdr>
    </w:div>
    <w:div w:id="298993712">
      <w:bodyDiv w:val="1"/>
      <w:marLeft w:val="0"/>
      <w:marRight w:val="0"/>
      <w:marTop w:val="0"/>
      <w:marBottom w:val="0"/>
      <w:divBdr>
        <w:top w:val="none" w:sz="0" w:space="0" w:color="auto"/>
        <w:left w:val="none" w:sz="0" w:space="0" w:color="auto"/>
        <w:bottom w:val="none" w:sz="0" w:space="0" w:color="auto"/>
        <w:right w:val="none" w:sz="0" w:space="0" w:color="auto"/>
      </w:divBdr>
    </w:div>
    <w:div w:id="303319672">
      <w:bodyDiv w:val="1"/>
      <w:marLeft w:val="0"/>
      <w:marRight w:val="0"/>
      <w:marTop w:val="0"/>
      <w:marBottom w:val="0"/>
      <w:divBdr>
        <w:top w:val="none" w:sz="0" w:space="0" w:color="auto"/>
        <w:left w:val="none" w:sz="0" w:space="0" w:color="auto"/>
        <w:bottom w:val="none" w:sz="0" w:space="0" w:color="auto"/>
        <w:right w:val="none" w:sz="0" w:space="0" w:color="auto"/>
      </w:divBdr>
    </w:div>
    <w:div w:id="309209604">
      <w:bodyDiv w:val="1"/>
      <w:marLeft w:val="0"/>
      <w:marRight w:val="0"/>
      <w:marTop w:val="0"/>
      <w:marBottom w:val="0"/>
      <w:divBdr>
        <w:top w:val="none" w:sz="0" w:space="0" w:color="auto"/>
        <w:left w:val="none" w:sz="0" w:space="0" w:color="auto"/>
        <w:bottom w:val="none" w:sz="0" w:space="0" w:color="auto"/>
        <w:right w:val="none" w:sz="0" w:space="0" w:color="auto"/>
      </w:divBdr>
    </w:div>
    <w:div w:id="314071487">
      <w:bodyDiv w:val="1"/>
      <w:marLeft w:val="0"/>
      <w:marRight w:val="0"/>
      <w:marTop w:val="0"/>
      <w:marBottom w:val="0"/>
      <w:divBdr>
        <w:top w:val="none" w:sz="0" w:space="0" w:color="auto"/>
        <w:left w:val="none" w:sz="0" w:space="0" w:color="auto"/>
        <w:bottom w:val="none" w:sz="0" w:space="0" w:color="auto"/>
        <w:right w:val="none" w:sz="0" w:space="0" w:color="auto"/>
      </w:divBdr>
    </w:div>
    <w:div w:id="318123131">
      <w:bodyDiv w:val="1"/>
      <w:marLeft w:val="0"/>
      <w:marRight w:val="0"/>
      <w:marTop w:val="0"/>
      <w:marBottom w:val="0"/>
      <w:divBdr>
        <w:top w:val="none" w:sz="0" w:space="0" w:color="auto"/>
        <w:left w:val="none" w:sz="0" w:space="0" w:color="auto"/>
        <w:bottom w:val="none" w:sz="0" w:space="0" w:color="auto"/>
        <w:right w:val="none" w:sz="0" w:space="0" w:color="auto"/>
      </w:divBdr>
    </w:div>
    <w:div w:id="321391432">
      <w:bodyDiv w:val="1"/>
      <w:marLeft w:val="0"/>
      <w:marRight w:val="0"/>
      <w:marTop w:val="0"/>
      <w:marBottom w:val="0"/>
      <w:divBdr>
        <w:top w:val="none" w:sz="0" w:space="0" w:color="auto"/>
        <w:left w:val="none" w:sz="0" w:space="0" w:color="auto"/>
        <w:bottom w:val="none" w:sz="0" w:space="0" w:color="auto"/>
        <w:right w:val="none" w:sz="0" w:space="0" w:color="auto"/>
      </w:divBdr>
    </w:div>
    <w:div w:id="341400629">
      <w:bodyDiv w:val="1"/>
      <w:marLeft w:val="0"/>
      <w:marRight w:val="0"/>
      <w:marTop w:val="0"/>
      <w:marBottom w:val="0"/>
      <w:divBdr>
        <w:top w:val="none" w:sz="0" w:space="0" w:color="auto"/>
        <w:left w:val="none" w:sz="0" w:space="0" w:color="auto"/>
        <w:bottom w:val="none" w:sz="0" w:space="0" w:color="auto"/>
        <w:right w:val="none" w:sz="0" w:space="0" w:color="auto"/>
      </w:divBdr>
    </w:div>
    <w:div w:id="347174790">
      <w:bodyDiv w:val="1"/>
      <w:marLeft w:val="0"/>
      <w:marRight w:val="0"/>
      <w:marTop w:val="0"/>
      <w:marBottom w:val="0"/>
      <w:divBdr>
        <w:top w:val="none" w:sz="0" w:space="0" w:color="auto"/>
        <w:left w:val="none" w:sz="0" w:space="0" w:color="auto"/>
        <w:bottom w:val="none" w:sz="0" w:space="0" w:color="auto"/>
        <w:right w:val="none" w:sz="0" w:space="0" w:color="auto"/>
      </w:divBdr>
    </w:div>
    <w:div w:id="349138564">
      <w:bodyDiv w:val="1"/>
      <w:marLeft w:val="0"/>
      <w:marRight w:val="0"/>
      <w:marTop w:val="0"/>
      <w:marBottom w:val="0"/>
      <w:divBdr>
        <w:top w:val="none" w:sz="0" w:space="0" w:color="auto"/>
        <w:left w:val="none" w:sz="0" w:space="0" w:color="auto"/>
        <w:bottom w:val="none" w:sz="0" w:space="0" w:color="auto"/>
        <w:right w:val="none" w:sz="0" w:space="0" w:color="auto"/>
      </w:divBdr>
    </w:div>
    <w:div w:id="361444807">
      <w:bodyDiv w:val="1"/>
      <w:marLeft w:val="0"/>
      <w:marRight w:val="0"/>
      <w:marTop w:val="0"/>
      <w:marBottom w:val="0"/>
      <w:divBdr>
        <w:top w:val="none" w:sz="0" w:space="0" w:color="auto"/>
        <w:left w:val="none" w:sz="0" w:space="0" w:color="auto"/>
        <w:bottom w:val="none" w:sz="0" w:space="0" w:color="auto"/>
        <w:right w:val="none" w:sz="0" w:space="0" w:color="auto"/>
      </w:divBdr>
    </w:div>
    <w:div w:id="362901440">
      <w:bodyDiv w:val="1"/>
      <w:marLeft w:val="0"/>
      <w:marRight w:val="0"/>
      <w:marTop w:val="0"/>
      <w:marBottom w:val="0"/>
      <w:divBdr>
        <w:top w:val="none" w:sz="0" w:space="0" w:color="auto"/>
        <w:left w:val="none" w:sz="0" w:space="0" w:color="auto"/>
        <w:bottom w:val="none" w:sz="0" w:space="0" w:color="auto"/>
        <w:right w:val="none" w:sz="0" w:space="0" w:color="auto"/>
      </w:divBdr>
    </w:div>
    <w:div w:id="364404885">
      <w:bodyDiv w:val="1"/>
      <w:marLeft w:val="0"/>
      <w:marRight w:val="0"/>
      <w:marTop w:val="0"/>
      <w:marBottom w:val="0"/>
      <w:divBdr>
        <w:top w:val="none" w:sz="0" w:space="0" w:color="auto"/>
        <w:left w:val="none" w:sz="0" w:space="0" w:color="auto"/>
        <w:bottom w:val="none" w:sz="0" w:space="0" w:color="auto"/>
        <w:right w:val="none" w:sz="0" w:space="0" w:color="auto"/>
      </w:divBdr>
    </w:div>
    <w:div w:id="367027410">
      <w:bodyDiv w:val="1"/>
      <w:marLeft w:val="0"/>
      <w:marRight w:val="0"/>
      <w:marTop w:val="0"/>
      <w:marBottom w:val="0"/>
      <w:divBdr>
        <w:top w:val="none" w:sz="0" w:space="0" w:color="auto"/>
        <w:left w:val="none" w:sz="0" w:space="0" w:color="auto"/>
        <w:bottom w:val="none" w:sz="0" w:space="0" w:color="auto"/>
        <w:right w:val="none" w:sz="0" w:space="0" w:color="auto"/>
      </w:divBdr>
    </w:div>
    <w:div w:id="367486337">
      <w:bodyDiv w:val="1"/>
      <w:marLeft w:val="0"/>
      <w:marRight w:val="0"/>
      <w:marTop w:val="0"/>
      <w:marBottom w:val="0"/>
      <w:divBdr>
        <w:top w:val="none" w:sz="0" w:space="0" w:color="auto"/>
        <w:left w:val="none" w:sz="0" w:space="0" w:color="auto"/>
        <w:bottom w:val="none" w:sz="0" w:space="0" w:color="auto"/>
        <w:right w:val="none" w:sz="0" w:space="0" w:color="auto"/>
      </w:divBdr>
    </w:div>
    <w:div w:id="368382772">
      <w:bodyDiv w:val="1"/>
      <w:marLeft w:val="0"/>
      <w:marRight w:val="0"/>
      <w:marTop w:val="0"/>
      <w:marBottom w:val="0"/>
      <w:divBdr>
        <w:top w:val="none" w:sz="0" w:space="0" w:color="auto"/>
        <w:left w:val="none" w:sz="0" w:space="0" w:color="auto"/>
        <w:bottom w:val="none" w:sz="0" w:space="0" w:color="auto"/>
        <w:right w:val="none" w:sz="0" w:space="0" w:color="auto"/>
      </w:divBdr>
    </w:div>
    <w:div w:id="378356458">
      <w:bodyDiv w:val="1"/>
      <w:marLeft w:val="0"/>
      <w:marRight w:val="0"/>
      <w:marTop w:val="0"/>
      <w:marBottom w:val="0"/>
      <w:divBdr>
        <w:top w:val="none" w:sz="0" w:space="0" w:color="auto"/>
        <w:left w:val="none" w:sz="0" w:space="0" w:color="auto"/>
        <w:bottom w:val="none" w:sz="0" w:space="0" w:color="auto"/>
        <w:right w:val="none" w:sz="0" w:space="0" w:color="auto"/>
      </w:divBdr>
    </w:div>
    <w:div w:id="378893890">
      <w:bodyDiv w:val="1"/>
      <w:marLeft w:val="0"/>
      <w:marRight w:val="0"/>
      <w:marTop w:val="0"/>
      <w:marBottom w:val="0"/>
      <w:divBdr>
        <w:top w:val="none" w:sz="0" w:space="0" w:color="auto"/>
        <w:left w:val="none" w:sz="0" w:space="0" w:color="auto"/>
        <w:bottom w:val="none" w:sz="0" w:space="0" w:color="auto"/>
        <w:right w:val="none" w:sz="0" w:space="0" w:color="auto"/>
      </w:divBdr>
    </w:div>
    <w:div w:id="386146805">
      <w:bodyDiv w:val="1"/>
      <w:marLeft w:val="0"/>
      <w:marRight w:val="0"/>
      <w:marTop w:val="0"/>
      <w:marBottom w:val="0"/>
      <w:divBdr>
        <w:top w:val="none" w:sz="0" w:space="0" w:color="auto"/>
        <w:left w:val="none" w:sz="0" w:space="0" w:color="auto"/>
        <w:bottom w:val="none" w:sz="0" w:space="0" w:color="auto"/>
        <w:right w:val="none" w:sz="0" w:space="0" w:color="auto"/>
      </w:divBdr>
    </w:div>
    <w:div w:id="392462323">
      <w:bodyDiv w:val="1"/>
      <w:marLeft w:val="0"/>
      <w:marRight w:val="0"/>
      <w:marTop w:val="0"/>
      <w:marBottom w:val="0"/>
      <w:divBdr>
        <w:top w:val="none" w:sz="0" w:space="0" w:color="auto"/>
        <w:left w:val="none" w:sz="0" w:space="0" w:color="auto"/>
        <w:bottom w:val="none" w:sz="0" w:space="0" w:color="auto"/>
        <w:right w:val="none" w:sz="0" w:space="0" w:color="auto"/>
      </w:divBdr>
    </w:div>
    <w:div w:id="392696603">
      <w:bodyDiv w:val="1"/>
      <w:marLeft w:val="0"/>
      <w:marRight w:val="0"/>
      <w:marTop w:val="0"/>
      <w:marBottom w:val="0"/>
      <w:divBdr>
        <w:top w:val="none" w:sz="0" w:space="0" w:color="auto"/>
        <w:left w:val="none" w:sz="0" w:space="0" w:color="auto"/>
        <w:bottom w:val="none" w:sz="0" w:space="0" w:color="auto"/>
        <w:right w:val="none" w:sz="0" w:space="0" w:color="auto"/>
      </w:divBdr>
    </w:div>
    <w:div w:id="396321852">
      <w:bodyDiv w:val="1"/>
      <w:marLeft w:val="0"/>
      <w:marRight w:val="0"/>
      <w:marTop w:val="0"/>
      <w:marBottom w:val="0"/>
      <w:divBdr>
        <w:top w:val="none" w:sz="0" w:space="0" w:color="auto"/>
        <w:left w:val="none" w:sz="0" w:space="0" w:color="auto"/>
        <w:bottom w:val="none" w:sz="0" w:space="0" w:color="auto"/>
        <w:right w:val="none" w:sz="0" w:space="0" w:color="auto"/>
      </w:divBdr>
    </w:div>
    <w:div w:id="398484810">
      <w:bodyDiv w:val="1"/>
      <w:marLeft w:val="0"/>
      <w:marRight w:val="0"/>
      <w:marTop w:val="0"/>
      <w:marBottom w:val="0"/>
      <w:divBdr>
        <w:top w:val="none" w:sz="0" w:space="0" w:color="auto"/>
        <w:left w:val="none" w:sz="0" w:space="0" w:color="auto"/>
        <w:bottom w:val="none" w:sz="0" w:space="0" w:color="auto"/>
        <w:right w:val="none" w:sz="0" w:space="0" w:color="auto"/>
      </w:divBdr>
    </w:div>
    <w:div w:id="403845118">
      <w:bodyDiv w:val="1"/>
      <w:marLeft w:val="0"/>
      <w:marRight w:val="0"/>
      <w:marTop w:val="0"/>
      <w:marBottom w:val="0"/>
      <w:divBdr>
        <w:top w:val="none" w:sz="0" w:space="0" w:color="auto"/>
        <w:left w:val="none" w:sz="0" w:space="0" w:color="auto"/>
        <w:bottom w:val="none" w:sz="0" w:space="0" w:color="auto"/>
        <w:right w:val="none" w:sz="0" w:space="0" w:color="auto"/>
      </w:divBdr>
    </w:div>
    <w:div w:id="413094049">
      <w:bodyDiv w:val="1"/>
      <w:marLeft w:val="0"/>
      <w:marRight w:val="0"/>
      <w:marTop w:val="0"/>
      <w:marBottom w:val="0"/>
      <w:divBdr>
        <w:top w:val="none" w:sz="0" w:space="0" w:color="auto"/>
        <w:left w:val="none" w:sz="0" w:space="0" w:color="auto"/>
        <w:bottom w:val="none" w:sz="0" w:space="0" w:color="auto"/>
        <w:right w:val="none" w:sz="0" w:space="0" w:color="auto"/>
      </w:divBdr>
    </w:div>
    <w:div w:id="415055028">
      <w:bodyDiv w:val="1"/>
      <w:marLeft w:val="0"/>
      <w:marRight w:val="0"/>
      <w:marTop w:val="0"/>
      <w:marBottom w:val="0"/>
      <w:divBdr>
        <w:top w:val="none" w:sz="0" w:space="0" w:color="auto"/>
        <w:left w:val="none" w:sz="0" w:space="0" w:color="auto"/>
        <w:bottom w:val="none" w:sz="0" w:space="0" w:color="auto"/>
        <w:right w:val="none" w:sz="0" w:space="0" w:color="auto"/>
      </w:divBdr>
    </w:div>
    <w:div w:id="421415601">
      <w:bodyDiv w:val="1"/>
      <w:marLeft w:val="0"/>
      <w:marRight w:val="0"/>
      <w:marTop w:val="0"/>
      <w:marBottom w:val="0"/>
      <w:divBdr>
        <w:top w:val="none" w:sz="0" w:space="0" w:color="auto"/>
        <w:left w:val="none" w:sz="0" w:space="0" w:color="auto"/>
        <w:bottom w:val="none" w:sz="0" w:space="0" w:color="auto"/>
        <w:right w:val="none" w:sz="0" w:space="0" w:color="auto"/>
      </w:divBdr>
    </w:div>
    <w:div w:id="421873260">
      <w:bodyDiv w:val="1"/>
      <w:marLeft w:val="0"/>
      <w:marRight w:val="0"/>
      <w:marTop w:val="0"/>
      <w:marBottom w:val="0"/>
      <w:divBdr>
        <w:top w:val="none" w:sz="0" w:space="0" w:color="auto"/>
        <w:left w:val="none" w:sz="0" w:space="0" w:color="auto"/>
        <w:bottom w:val="none" w:sz="0" w:space="0" w:color="auto"/>
        <w:right w:val="none" w:sz="0" w:space="0" w:color="auto"/>
      </w:divBdr>
    </w:div>
    <w:div w:id="430244981">
      <w:bodyDiv w:val="1"/>
      <w:marLeft w:val="0"/>
      <w:marRight w:val="0"/>
      <w:marTop w:val="0"/>
      <w:marBottom w:val="0"/>
      <w:divBdr>
        <w:top w:val="none" w:sz="0" w:space="0" w:color="auto"/>
        <w:left w:val="none" w:sz="0" w:space="0" w:color="auto"/>
        <w:bottom w:val="none" w:sz="0" w:space="0" w:color="auto"/>
        <w:right w:val="none" w:sz="0" w:space="0" w:color="auto"/>
      </w:divBdr>
    </w:div>
    <w:div w:id="432627032">
      <w:bodyDiv w:val="1"/>
      <w:marLeft w:val="0"/>
      <w:marRight w:val="0"/>
      <w:marTop w:val="0"/>
      <w:marBottom w:val="0"/>
      <w:divBdr>
        <w:top w:val="none" w:sz="0" w:space="0" w:color="auto"/>
        <w:left w:val="none" w:sz="0" w:space="0" w:color="auto"/>
        <w:bottom w:val="none" w:sz="0" w:space="0" w:color="auto"/>
        <w:right w:val="none" w:sz="0" w:space="0" w:color="auto"/>
      </w:divBdr>
    </w:div>
    <w:div w:id="435714581">
      <w:bodyDiv w:val="1"/>
      <w:marLeft w:val="0"/>
      <w:marRight w:val="0"/>
      <w:marTop w:val="0"/>
      <w:marBottom w:val="0"/>
      <w:divBdr>
        <w:top w:val="none" w:sz="0" w:space="0" w:color="auto"/>
        <w:left w:val="none" w:sz="0" w:space="0" w:color="auto"/>
        <w:bottom w:val="none" w:sz="0" w:space="0" w:color="auto"/>
        <w:right w:val="none" w:sz="0" w:space="0" w:color="auto"/>
      </w:divBdr>
    </w:div>
    <w:div w:id="440413920">
      <w:bodyDiv w:val="1"/>
      <w:marLeft w:val="0"/>
      <w:marRight w:val="0"/>
      <w:marTop w:val="0"/>
      <w:marBottom w:val="0"/>
      <w:divBdr>
        <w:top w:val="none" w:sz="0" w:space="0" w:color="auto"/>
        <w:left w:val="none" w:sz="0" w:space="0" w:color="auto"/>
        <w:bottom w:val="none" w:sz="0" w:space="0" w:color="auto"/>
        <w:right w:val="none" w:sz="0" w:space="0" w:color="auto"/>
      </w:divBdr>
    </w:div>
    <w:div w:id="444930493">
      <w:bodyDiv w:val="1"/>
      <w:marLeft w:val="0"/>
      <w:marRight w:val="0"/>
      <w:marTop w:val="0"/>
      <w:marBottom w:val="0"/>
      <w:divBdr>
        <w:top w:val="none" w:sz="0" w:space="0" w:color="auto"/>
        <w:left w:val="none" w:sz="0" w:space="0" w:color="auto"/>
        <w:bottom w:val="none" w:sz="0" w:space="0" w:color="auto"/>
        <w:right w:val="none" w:sz="0" w:space="0" w:color="auto"/>
      </w:divBdr>
    </w:div>
    <w:div w:id="446853607">
      <w:bodyDiv w:val="1"/>
      <w:marLeft w:val="0"/>
      <w:marRight w:val="0"/>
      <w:marTop w:val="0"/>
      <w:marBottom w:val="0"/>
      <w:divBdr>
        <w:top w:val="none" w:sz="0" w:space="0" w:color="auto"/>
        <w:left w:val="none" w:sz="0" w:space="0" w:color="auto"/>
        <w:bottom w:val="none" w:sz="0" w:space="0" w:color="auto"/>
        <w:right w:val="none" w:sz="0" w:space="0" w:color="auto"/>
      </w:divBdr>
    </w:div>
    <w:div w:id="447352665">
      <w:bodyDiv w:val="1"/>
      <w:marLeft w:val="0"/>
      <w:marRight w:val="0"/>
      <w:marTop w:val="0"/>
      <w:marBottom w:val="0"/>
      <w:divBdr>
        <w:top w:val="none" w:sz="0" w:space="0" w:color="auto"/>
        <w:left w:val="none" w:sz="0" w:space="0" w:color="auto"/>
        <w:bottom w:val="none" w:sz="0" w:space="0" w:color="auto"/>
        <w:right w:val="none" w:sz="0" w:space="0" w:color="auto"/>
      </w:divBdr>
    </w:div>
    <w:div w:id="447966436">
      <w:bodyDiv w:val="1"/>
      <w:marLeft w:val="0"/>
      <w:marRight w:val="0"/>
      <w:marTop w:val="0"/>
      <w:marBottom w:val="0"/>
      <w:divBdr>
        <w:top w:val="none" w:sz="0" w:space="0" w:color="auto"/>
        <w:left w:val="none" w:sz="0" w:space="0" w:color="auto"/>
        <w:bottom w:val="none" w:sz="0" w:space="0" w:color="auto"/>
        <w:right w:val="none" w:sz="0" w:space="0" w:color="auto"/>
      </w:divBdr>
    </w:div>
    <w:div w:id="452138045">
      <w:bodyDiv w:val="1"/>
      <w:marLeft w:val="0"/>
      <w:marRight w:val="0"/>
      <w:marTop w:val="0"/>
      <w:marBottom w:val="0"/>
      <w:divBdr>
        <w:top w:val="none" w:sz="0" w:space="0" w:color="auto"/>
        <w:left w:val="none" w:sz="0" w:space="0" w:color="auto"/>
        <w:bottom w:val="none" w:sz="0" w:space="0" w:color="auto"/>
        <w:right w:val="none" w:sz="0" w:space="0" w:color="auto"/>
      </w:divBdr>
    </w:div>
    <w:div w:id="453137128">
      <w:bodyDiv w:val="1"/>
      <w:marLeft w:val="0"/>
      <w:marRight w:val="0"/>
      <w:marTop w:val="0"/>
      <w:marBottom w:val="0"/>
      <w:divBdr>
        <w:top w:val="none" w:sz="0" w:space="0" w:color="auto"/>
        <w:left w:val="none" w:sz="0" w:space="0" w:color="auto"/>
        <w:bottom w:val="none" w:sz="0" w:space="0" w:color="auto"/>
        <w:right w:val="none" w:sz="0" w:space="0" w:color="auto"/>
      </w:divBdr>
    </w:div>
    <w:div w:id="453670847">
      <w:bodyDiv w:val="1"/>
      <w:marLeft w:val="0"/>
      <w:marRight w:val="0"/>
      <w:marTop w:val="0"/>
      <w:marBottom w:val="0"/>
      <w:divBdr>
        <w:top w:val="none" w:sz="0" w:space="0" w:color="auto"/>
        <w:left w:val="none" w:sz="0" w:space="0" w:color="auto"/>
        <w:bottom w:val="none" w:sz="0" w:space="0" w:color="auto"/>
        <w:right w:val="none" w:sz="0" w:space="0" w:color="auto"/>
      </w:divBdr>
    </w:div>
    <w:div w:id="455636683">
      <w:bodyDiv w:val="1"/>
      <w:marLeft w:val="0"/>
      <w:marRight w:val="0"/>
      <w:marTop w:val="0"/>
      <w:marBottom w:val="0"/>
      <w:divBdr>
        <w:top w:val="none" w:sz="0" w:space="0" w:color="auto"/>
        <w:left w:val="none" w:sz="0" w:space="0" w:color="auto"/>
        <w:bottom w:val="none" w:sz="0" w:space="0" w:color="auto"/>
        <w:right w:val="none" w:sz="0" w:space="0" w:color="auto"/>
      </w:divBdr>
    </w:div>
    <w:div w:id="461458510">
      <w:bodyDiv w:val="1"/>
      <w:marLeft w:val="0"/>
      <w:marRight w:val="0"/>
      <w:marTop w:val="0"/>
      <w:marBottom w:val="0"/>
      <w:divBdr>
        <w:top w:val="none" w:sz="0" w:space="0" w:color="auto"/>
        <w:left w:val="none" w:sz="0" w:space="0" w:color="auto"/>
        <w:bottom w:val="none" w:sz="0" w:space="0" w:color="auto"/>
        <w:right w:val="none" w:sz="0" w:space="0" w:color="auto"/>
      </w:divBdr>
    </w:div>
    <w:div w:id="467014914">
      <w:bodyDiv w:val="1"/>
      <w:marLeft w:val="0"/>
      <w:marRight w:val="0"/>
      <w:marTop w:val="0"/>
      <w:marBottom w:val="0"/>
      <w:divBdr>
        <w:top w:val="none" w:sz="0" w:space="0" w:color="auto"/>
        <w:left w:val="none" w:sz="0" w:space="0" w:color="auto"/>
        <w:bottom w:val="none" w:sz="0" w:space="0" w:color="auto"/>
        <w:right w:val="none" w:sz="0" w:space="0" w:color="auto"/>
      </w:divBdr>
    </w:div>
    <w:div w:id="473719145">
      <w:bodyDiv w:val="1"/>
      <w:marLeft w:val="0"/>
      <w:marRight w:val="0"/>
      <w:marTop w:val="0"/>
      <w:marBottom w:val="0"/>
      <w:divBdr>
        <w:top w:val="none" w:sz="0" w:space="0" w:color="auto"/>
        <w:left w:val="none" w:sz="0" w:space="0" w:color="auto"/>
        <w:bottom w:val="none" w:sz="0" w:space="0" w:color="auto"/>
        <w:right w:val="none" w:sz="0" w:space="0" w:color="auto"/>
      </w:divBdr>
    </w:div>
    <w:div w:id="477693438">
      <w:bodyDiv w:val="1"/>
      <w:marLeft w:val="0"/>
      <w:marRight w:val="0"/>
      <w:marTop w:val="0"/>
      <w:marBottom w:val="0"/>
      <w:divBdr>
        <w:top w:val="none" w:sz="0" w:space="0" w:color="auto"/>
        <w:left w:val="none" w:sz="0" w:space="0" w:color="auto"/>
        <w:bottom w:val="none" w:sz="0" w:space="0" w:color="auto"/>
        <w:right w:val="none" w:sz="0" w:space="0" w:color="auto"/>
      </w:divBdr>
    </w:div>
    <w:div w:id="483207096">
      <w:bodyDiv w:val="1"/>
      <w:marLeft w:val="0"/>
      <w:marRight w:val="0"/>
      <w:marTop w:val="0"/>
      <w:marBottom w:val="0"/>
      <w:divBdr>
        <w:top w:val="none" w:sz="0" w:space="0" w:color="auto"/>
        <w:left w:val="none" w:sz="0" w:space="0" w:color="auto"/>
        <w:bottom w:val="none" w:sz="0" w:space="0" w:color="auto"/>
        <w:right w:val="none" w:sz="0" w:space="0" w:color="auto"/>
      </w:divBdr>
    </w:div>
    <w:div w:id="483471817">
      <w:bodyDiv w:val="1"/>
      <w:marLeft w:val="0"/>
      <w:marRight w:val="0"/>
      <w:marTop w:val="0"/>
      <w:marBottom w:val="0"/>
      <w:divBdr>
        <w:top w:val="none" w:sz="0" w:space="0" w:color="auto"/>
        <w:left w:val="none" w:sz="0" w:space="0" w:color="auto"/>
        <w:bottom w:val="none" w:sz="0" w:space="0" w:color="auto"/>
        <w:right w:val="none" w:sz="0" w:space="0" w:color="auto"/>
      </w:divBdr>
    </w:div>
    <w:div w:id="495146364">
      <w:bodyDiv w:val="1"/>
      <w:marLeft w:val="0"/>
      <w:marRight w:val="0"/>
      <w:marTop w:val="0"/>
      <w:marBottom w:val="0"/>
      <w:divBdr>
        <w:top w:val="none" w:sz="0" w:space="0" w:color="auto"/>
        <w:left w:val="none" w:sz="0" w:space="0" w:color="auto"/>
        <w:bottom w:val="none" w:sz="0" w:space="0" w:color="auto"/>
        <w:right w:val="none" w:sz="0" w:space="0" w:color="auto"/>
      </w:divBdr>
    </w:div>
    <w:div w:id="496851056">
      <w:bodyDiv w:val="1"/>
      <w:marLeft w:val="0"/>
      <w:marRight w:val="0"/>
      <w:marTop w:val="0"/>
      <w:marBottom w:val="0"/>
      <w:divBdr>
        <w:top w:val="none" w:sz="0" w:space="0" w:color="auto"/>
        <w:left w:val="none" w:sz="0" w:space="0" w:color="auto"/>
        <w:bottom w:val="none" w:sz="0" w:space="0" w:color="auto"/>
        <w:right w:val="none" w:sz="0" w:space="0" w:color="auto"/>
      </w:divBdr>
    </w:div>
    <w:div w:id="496923448">
      <w:bodyDiv w:val="1"/>
      <w:marLeft w:val="0"/>
      <w:marRight w:val="0"/>
      <w:marTop w:val="0"/>
      <w:marBottom w:val="0"/>
      <w:divBdr>
        <w:top w:val="none" w:sz="0" w:space="0" w:color="auto"/>
        <w:left w:val="none" w:sz="0" w:space="0" w:color="auto"/>
        <w:bottom w:val="none" w:sz="0" w:space="0" w:color="auto"/>
        <w:right w:val="none" w:sz="0" w:space="0" w:color="auto"/>
      </w:divBdr>
    </w:div>
    <w:div w:id="497577537">
      <w:bodyDiv w:val="1"/>
      <w:marLeft w:val="0"/>
      <w:marRight w:val="0"/>
      <w:marTop w:val="0"/>
      <w:marBottom w:val="0"/>
      <w:divBdr>
        <w:top w:val="none" w:sz="0" w:space="0" w:color="auto"/>
        <w:left w:val="none" w:sz="0" w:space="0" w:color="auto"/>
        <w:bottom w:val="none" w:sz="0" w:space="0" w:color="auto"/>
        <w:right w:val="none" w:sz="0" w:space="0" w:color="auto"/>
      </w:divBdr>
    </w:div>
    <w:div w:id="497618856">
      <w:bodyDiv w:val="1"/>
      <w:marLeft w:val="0"/>
      <w:marRight w:val="0"/>
      <w:marTop w:val="0"/>
      <w:marBottom w:val="0"/>
      <w:divBdr>
        <w:top w:val="none" w:sz="0" w:space="0" w:color="auto"/>
        <w:left w:val="none" w:sz="0" w:space="0" w:color="auto"/>
        <w:bottom w:val="none" w:sz="0" w:space="0" w:color="auto"/>
        <w:right w:val="none" w:sz="0" w:space="0" w:color="auto"/>
      </w:divBdr>
    </w:div>
    <w:div w:id="499195013">
      <w:bodyDiv w:val="1"/>
      <w:marLeft w:val="0"/>
      <w:marRight w:val="0"/>
      <w:marTop w:val="0"/>
      <w:marBottom w:val="0"/>
      <w:divBdr>
        <w:top w:val="none" w:sz="0" w:space="0" w:color="auto"/>
        <w:left w:val="none" w:sz="0" w:space="0" w:color="auto"/>
        <w:bottom w:val="none" w:sz="0" w:space="0" w:color="auto"/>
        <w:right w:val="none" w:sz="0" w:space="0" w:color="auto"/>
      </w:divBdr>
    </w:div>
    <w:div w:id="502284404">
      <w:bodyDiv w:val="1"/>
      <w:marLeft w:val="0"/>
      <w:marRight w:val="0"/>
      <w:marTop w:val="0"/>
      <w:marBottom w:val="0"/>
      <w:divBdr>
        <w:top w:val="none" w:sz="0" w:space="0" w:color="auto"/>
        <w:left w:val="none" w:sz="0" w:space="0" w:color="auto"/>
        <w:bottom w:val="none" w:sz="0" w:space="0" w:color="auto"/>
        <w:right w:val="none" w:sz="0" w:space="0" w:color="auto"/>
      </w:divBdr>
    </w:div>
    <w:div w:id="509493475">
      <w:bodyDiv w:val="1"/>
      <w:marLeft w:val="0"/>
      <w:marRight w:val="0"/>
      <w:marTop w:val="0"/>
      <w:marBottom w:val="0"/>
      <w:divBdr>
        <w:top w:val="none" w:sz="0" w:space="0" w:color="auto"/>
        <w:left w:val="none" w:sz="0" w:space="0" w:color="auto"/>
        <w:bottom w:val="none" w:sz="0" w:space="0" w:color="auto"/>
        <w:right w:val="none" w:sz="0" w:space="0" w:color="auto"/>
      </w:divBdr>
    </w:div>
    <w:div w:id="512574484">
      <w:bodyDiv w:val="1"/>
      <w:marLeft w:val="0"/>
      <w:marRight w:val="0"/>
      <w:marTop w:val="0"/>
      <w:marBottom w:val="0"/>
      <w:divBdr>
        <w:top w:val="none" w:sz="0" w:space="0" w:color="auto"/>
        <w:left w:val="none" w:sz="0" w:space="0" w:color="auto"/>
        <w:bottom w:val="none" w:sz="0" w:space="0" w:color="auto"/>
        <w:right w:val="none" w:sz="0" w:space="0" w:color="auto"/>
      </w:divBdr>
    </w:div>
    <w:div w:id="515386986">
      <w:bodyDiv w:val="1"/>
      <w:marLeft w:val="0"/>
      <w:marRight w:val="0"/>
      <w:marTop w:val="0"/>
      <w:marBottom w:val="0"/>
      <w:divBdr>
        <w:top w:val="none" w:sz="0" w:space="0" w:color="auto"/>
        <w:left w:val="none" w:sz="0" w:space="0" w:color="auto"/>
        <w:bottom w:val="none" w:sz="0" w:space="0" w:color="auto"/>
        <w:right w:val="none" w:sz="0" w:space="0" w:color="auto"/>
      </w:divBdr>
    </w:div>
    <w:div w:id="515577466">
      <w:bodyDiv w:val="1"/>
      <w:marLeft w:val="0"/>
      <w:marRight w:val="0"/>
      <w:marTop w:val="0"/>
      <w:marBottom w:val="0"/>
      <w:divBdr>
        <w:top w:val="none" w:sz="0" w:space="0" w:color="auto"/>
        <w:left w:val="none" w:sz="0" w:space="0" w:color="auto"/>
        <w:bottom w:val="none" w:sz="0" w:space="0" w:color="auto"/>
        <w:right w:val="none" w:sz="0" w:space="0" w:color="auto"/>
      </w:divBdr>
    </w:div>
    <w:div w:id="515845630">
      <w:bodyDiv w:val="1"/>
      <w:marLeft w:val="0"/>
      <w:marRight w:val="0"/>
      <w:marTop w:val="0"/>
      <w:marBottom w:val="0"/>
      <w:divBdr>
        <w:top w:val="none" w:sz="0" w:space="0" w:color="auto"/>
        <w:left w:val="none" w:sz="0" w:space="0" w:color="auto"/>
        <w:bottom w:val="none" w:sz="0" w:space="0" w:color="auto"/>
        <w:right w:val="none" w:sz="0" w:space="0" w:color="auto"/>
      </w:divBdr>
    </w:div>
    <w:div w:id="516844230">
      <w:bodyDiv w:val="1"/>
      <w:marLeft w:val="0"/>
      <w:marRight w:val="0"/>
      <w:marTop w:val="0"/>
      <w:marBottom w:val="0"/>
      <w:divBdr>
        <w:top w:val="none" w:sz="0" w:space="0" w:color="auto"/>
        <w:left w:val="none" w:sz="0" w:space="0" w:color="auto"/>
        <w:bottom w:val="none" w:sz="0" w:space="0" w:color="auto"/>
        <w:right w:val="none" w:sz="0" w:space="0" w:color="auto"/>
      </w:divBdr>
    </w:div>
    <w:div w:id="526722431">
      <w:bodyDiv w:val="1"/>
      <w:marLeft w:val="0"/>
      <w:marRight w:val="0"/>
      <w:marTop w:val="0"/>
      <w:marBottom w:val="0"/>
      <w:divBdr>
        <w:top w:val="none" w:sz="0" w:space="0" w:color="auto"/>
        <w:left w:val="none" w:sz="0" w:space="0" w:color="auto"/>
        <w:bottom w:val="none" w:sz="0" w:space="0" w:color="auto"/>
        <w:right w:val="none" w:sz="0" w:space="0" w:color="auto"/>
      </w:divBdr>
    </w:div>
    <w:div w:id="531310419">
      <w:bodyDiv w:val="1"/>
      <w:marLeft w:val="0"/>
      <w:marRight w:val="0"/>
      <w:marTop w:val="0"/>
      <w:marBottom w:val="0"/>
      <w:divBdr>
        <w:top w:val="none" w:sz="0" w:space="0" w:color="auto"/>
        <w:left w:val="none" w:sz="0" w:space="0" w:color="auto"/>
        <w:bottom w:val="none" w:sz="0" w:space="0" w:color="auto"/>
        <w:right w:val="none" w:sz="0" w:space="0" w:color="auto"/>
      </w:divBdr>
    </w:div>
    <w:div w:id="536351182">
      <w:bodyDiv w:val="1"/>
      <w:marLeft w:val="0"/>
      <w:marRight w:val="0"/>
      <w:marTop w:val="0"/>
      <w:marBottom w:val="0"/>
      <w:divBdr>
        <w:top w:val="none" w:sz="0" w:space="0" w:color="auto"/>
        <w:left w:val="none" w:sz="0" w:space="0" w:color="auto"/>
        <w:bottom w:val="none" w:sz="0" w:space="0" w:color="auto"/>
        <w:right w:val="none" w:sz="0" w:space="0" w:color="auto"/>
      </w:divBdr>
    </w:div>
    <w:div w:id="539392341">
      <w:bodyDiv w:val="1"/>
      <w:marLeft w:val="0"/>
      <w:marRight w:val="0"/>
      <w:marTop w:val="0"/>
      <w:marBottom w:val="0"/>
      <w:divBdr>
        <w:top w:val="none" w:sz="0" w:space="0" w:color="auto"/>
        <w:left w:val="none" w:sz="0" w:space="0" w:color="auto"/>
        <w:bottom w:val="none" w:sz="0" w:space="0" w:color="auto"/>
        <w:right w:val="none" w:sz="0" w:space="0" w:color="auto"/>
      </w:divBdr>
    </w:div>
    <w:div w:id="540020519">
      <w:bodyDiv w:val="1"/>
      <w:marLeft w:val="0"/>
      <w:marRight w:val="0"/>
      <w:marTop w:val="0"/>
      <w:marBottom w:val="0"/>
      <w:divBdr>
        <w:top w:val="none" w:sz="0" w:space="0" w:color="auto"/>
        <w:left w:val="none" w:sz="0" w:space="0" w:color="auto"/>
        <w:bottom w:val="none" w:sz="0" w:space="0" w:color="auto"/>
        <w:right w:val="none" w:sz="0" w:space="0" w:color="auto"/>
      </w:divBdr>
    </w:div>
    <w:div w:id="554898210">
      <w:bodyDiv w:val="1"/>
      <w:marLeft w:val="0"/>
      <w:marRight w:val="0"/>
      <w:marTop w:val="0"/>
      <w:marBottom w:val="0"/>
      <w:divBdr>
        <w:top w:val="none" w:sz="0" w:space="0" w:color="auto"/>
        <w:left w:val="none" w:sz="0" w:space="0" w:color="auto"/>
        <w:bottom w:val="none" w:sz="0" w:space="0" w:color="auto"/>
        <w:right w:val="none" w:sz="0" w:space="0" w:color="auto"/>
      </w:divBdr>
    </w:div>
    <w:div w:id="555507487">
      <w:bodyDiv w:val="1"/>
      <w:marLeft w:val="0"/>
      <w:marRight w:val="0"/>
      <w:marTop w:val="0"/>
      <w:marBottom w:val="0"/>
      <w:divBdr>
        <w:top w:val="none" w:sz="0" w:space="0" w:color="auto"/>
        <w:left w:val="none" w:sz="0" w:space="0" w:color="auto"/>
        <w:bottom w:val="none" w:sz="0" w:space="0" w:color="auto"/>
        <w:right w:val="none" w:sz="0" w:space="0" w:color="auto"/>
      </w:divBdr>
    </w:div>
    <w:div w:id="555815941">
      <w:bodyDiv w:val="1"/>
      <w:marLeft w:val="0"/>
      <w:marRight w:val="0"/>
      <w:marTop w:val="0"/>
      <w:marBottom w:val="0"/>
      <w:divBdr>
        <w:top w:val="none" w:sz="0" w:space="0" w:color="auto"/>
        <w:left w:val="none" w:sz="0" w:space="0" w:color="auto"/>
        <w:bottom w:val="none" w:sz="0" w:space="0" w:color="auto"/>
        <w:right w:val="none" w:sz="0" w:space="0" w:color="auto"/>
      </w:divBdr>
    </w:div>
    <w:div w:id="558826227">
      <w:bodyDiv w:val="1"/>
      <w:marLeft w:val="0"/>
      <w:marRight w:val="0"/>
      <w:marTop w:val="0"/>
      <w:marBottom w:val="0"/>
      <w:divBdr>
        <w:top w:val="none" w:sz="0" w:space="0" w:color="auto"/>
        <w:left w:val="none" w:sz="0" w:space="0" w:color="auto"/>
        <w:bottom w:val="none" w:sz="0" w:space="0" w:color="auto"/>
        <w:right w:val="none" w:sz="0" w:space="0" w:color="auto"/>
      </w:divBdr>
    </w:div>
    <w:div w:id="558975677">
      <w:bodyDiv w:val="1"/>
      <w:marLeft w:val="0"/>
      <w:marRight w:val="0"/>
      <w:marTop w:val="0"/>
      <w:marBottom w:val="0"/>
      <w:divBdr>
        <w:top w:val="none" w:sz="0" w:space="0" w:color="auto"/>
        <w:left w:val="none" w:sz="0" w:space="0" w:color="auto"/>
        <w:bottom w:val="none" w:sz="0" w:space="0" w:color="auto"/>
        <w:right w:val="none" w:sz="0" w:space="0" w:color="auto"/>
      </w:divBdr>
    </w:div>
    <w:div w:id="563223588">
      <w:bodyDiv w:val="1"/>
      <w:marLeft w:val="0"/>
      <w:marRight w:val="0"/>
      <w:marTop w:val="0"/>
      <w:marBottom w:val="0"/>
      <w:divBdr>
        <w:top w:val="none" w:sz="0" w:space="0" w:color="auto"/>
        <w:left w:val="none" w:sz="0" w:space="0" w:color="auto"/>
        <w:bottom w:val="none" w:sz="0" w:space="0" w:color="auto"/>
        <w:right w:val="none" w:sz="0" w:space="0" w:color="auto"/>
      </w:divBdr>
    </w:div>
    <w:div w:id="564923433">
      <w:bodyDiv w:val="1"/>
      <w:marLeft w:val="0"/>
      <w:marRight w:val="0"/>
      <w:marTop w:val="0"/>
      <w:marBottom w:val="0"/>
      <w:divBdr>
        <w:top w:val="none" w:sz="0" w:space="0" w:color="auto"/>
        <w:left w:val="none" w:sz="0" w:space="0" w:color="auto"/>
        <w:bottom w:val="none" w:sz="0" w:space="0" w:color="auto"/>
        <w:right w:val="none" w:sz="0" w:space="0" w:color="auto"/>
      </w:divBdr>
    </w:div>
    <w:div w:id="565646660">
      <w:bodyDiv w:val="1"/>
      <w:marLeft w:val="0"/>
      <w:marRight w:val="0"/>
      <w:marTop w:val="0"/>
      <w:marBottom w:val="0"/>
      <w:divBdr>
        <w:top w:val="none" w:sz="0" w:space="0" w:color="auto"/>
        <w:left w:val="none" w:sz="0" w:space="0" w:color="auto"/>
        <w:bottom w:val="none" w:sz="0" w:space="0" w:color="auto"/>
        <w:right w:val="none" w:sz="0" w:space="0" w:color="auto"/>
      </w:divBdr>
    </w:div>
    <w:div w:id="569578654">
      <w:bodyDiv w:val="1"/>
      <w:marLeft w:val="0"/>
      <w:marRight w:val="0"/>
      <w:marTop w:val="0"/>
      <w:marBottom w:val="0"/>
      <w:divBdr>
        <w:top w:val="none" w:sz="0" w:space="0" w:color="auto"/>
        <w:left w:val="none" w:sz="0" w:space="0" w:color="auto"/>
        <w:bottom w:val="none" w:sz="0" w:space="0" w:color="auto"/>
        <w:right w:val="none" w:sz="0" w:space="0" w:color="auto"/>
      </w:divBdr>
    </w:div>
    <w:div w:id="569657470">
      <w:bodyDiv w:val="1"/>
      <w:marLeft w:val="0"/>
      <w:marRight w:val="0"/>
      <w:marTop w:val="0"/>
      <w:marBottom w:val="0"/>
      <w:divBdr>
        <w:top w:val="none" w:sz="0" w:space="0" w:color="auto"/>
        <w:left w:val="none" w:sz="0" w:space="0" w:color="auto"/>
        <w:bottom w:val="none" w:sz="0" w:space="0" w:color="auto"/>
        <w:right w:val="none" w:sz="0" w:space="0" w:color="auto"/>
      </w:divBdr>
    </w:div>
    <w:div w:id="570503208">
      <w:bodyDiv w:val="1"/>
      <w:marLeft w:val="0"/>
      <w:marRight w:val="0"/>
      <w:marTop w:val="0"/>
      <w:marBottom w:val="0"/>
      <w:divBdr>
        <w:top w:val="none" w:sz="0" w:space="0" w:color="auto"/>
        <w:left w:val="none" w:sz="0" w:space="0" w:color="auto"/>
        <w:bottom w:val="none" w:sz="0" w:space="0" w:color="auto"/>
        <w:right w:val="none" w:sz="0" w:space="0" w:color="auto"/>
      </w:divBdr>
    </w:div>
    <w:div w:id="571550171">
      <w:bodyDiv w:val="1"/>
      <w:marLeft w:val="0"/>
      <w:marRight w:val="0"/>
      <w:marTop w:val="0"/>
      <w:marBottom w:val="0"/>
      <w:divBdr>
        <w:top w:val="none" w:sz="0" w:space="0" w:color="auto"/>
        <w:left w:val="none" w:sz="0" w:space="0" w:color="auto"/>
        <w:bottom w:val="none" w:sz="0" w:space="0" w:color="auto"/>
        <w:right w:val="none" w:sz="0" w:space="0" w:color="auto"/>
      </w:divBdr>
    </w:div>
    <w:div w:id="579752287">
      <w:bodyDiv w:val="1"/>
      <w:marLeft w:val="0"/>
      <w:marRight w:val="0"/>
      <w:marTop w:val="0"/>
      <w:marBottom w:val="0"/>
      <w:divBdr>
        <w:top w:val="none" w:sz="0" w:space="0" w:color="auto"/>
        <w:left w:val="none" w:sz="0" w:space="0" w:color="auto"/>
        <w:bottom w:val="none" w:sz="0" w:space="0" w:color="auto"/>
        <w:right w:val="none" w:sz="0" w:space="0" w:color="auto"/>
      </w:divBdr>
    </w:div>
    <w:div w:id="591663780">
      <w:bodyDiv w:val="1"/>
      <w:marLeft w:val="0"/>
      <w:marRight w:val="0"/>
      <w:marTop w:val="0"/>
      <w:marBottom w:val="0"/>
      <w:divBdr>
        <w:top w:val="none" w:sz="0" w:space="0" w:color="auto"/>
        <w:left w:val="none" w:sz="0" w:space="0" w:color="auto"/>
        <w:bottom w:val="none" w:sz="0" w:space="0" w:color="auto"/>
        <w:right w:val="none" w:sz="0" w:space="0" w:color="auto"/>
      </w:divBdr>
    </w:div>
    <w:div w:id="594872430">
      <w:bodyDiv w:val="1"/>
      <w:marLeft w:val="0"/>
      <w:marRight w:val="0"/>
      <w:marTop w:val="0"/>
      <w:marBottom w:val="0"/>
      <w:divBdr>
        <w:top w:val="none" w:sz="0" w:space="0" w:color="auto"/>
        <w:left w:val="none" w:sz="0" w:space="0" w:color="auto"/>
        <w:bottom w:val="none" w:sz="0" w:space="0" w:color="auto"/>
        <w:right w:val="none" w:sz="0" w:space="0" w:color="auto"/>
      </w:divBdr>
    </w:div>
    <w:div w:id="595093740">
      <w:bodyDiv w:val="1"/>
      <w:marLeft w:val="0"/>
      <w:marRight w:val="0"/>
      <w:marTop w:val="0"/>
      <w:marBottom w:val="0"/>
      <w:divBdr>
        <w:top w:val="none" w:sz="0" w:space="0" w:color="auto"/>
        <w:left w:val="none" w:sz="0" w:space="0" w:color="auto"/>
        <w:bottom w:val="none" w:sz="0" w:space="0" w:color="auto"/>
        <w:right w:val="none" w:sz="0" w:space="0" w:color="auto"/>
      </w:divBdr>
    </w:div>
    <w:div w:id="602806298">
      <w:bodyDiv w:val="1"/>
      <w:marLeft w:val="0"/>
      <w:marRight w:val="0"/>
      <w:marTop w:val="0"/>
      <w:marBottom w:val="0"/>
      <w:divBdr>
        <w:top w:val="none" w:sz="0" w:space="0" w:color="auto"/>
        <w:left w:val="none" w:sz="0" w:space="0" w:color="auto"/>
        <w:bottom w:val="none" w:sz="0" w:space="0" w:color="auto"/>
        <w:right w:val="none" w:sz="0" w:space="0" w:color="auto"/>
      </w:divBdr>
    </w:div>
    <w:div w:id="603270256">
      <w:bodyDiv w:val="1"/>
      <w:marLeft w:val="0"/>
      <w:marRight w:val="0"/>
      <w:marTop w:val="0"/>
      <w:marBottom w:val="0"/>
      <w:divBdr>
        <w:top w:val="none" w:sz="0" w:space="0" w:color="auto"/>
        <w:left w:val="none" w:sz="0" w:space="0" w:color="auto"/>
        <w:bottom w:val="none" w:sz="0" w:space="0" w:color="auto"/>
        <w:right w:val="none" w:sz="0" w:space="0" w:color="auto"/>
      </w:divBdr>
    </w:div>
    <w:div w:id="615675438">
      <w:bodyDiv w:val="1"/>
      <w:marLeft w:val="0"/>
      <w:marRight w:val="0"/>
      <w:marTop w:val="0"/>
      <w:marBottom w:val="0"/>
      <w:divBdr>
        <w:top w:val="none" w:sz="0" w:space="0" w:color="auto"/>
        <w:left w:val="none" w:sz="0" w:space="0" w:color="auto"/>
        <w:bottom w:val="none" w:sz="0" w:space="0" w:color="auto"/>
        <w:right w:val="none" w:sz="0" w:space="0" w:color="auto"/>
      </w:divBdr>
    </w:div>
    <w:div w:id="616722434">
      <w:bodyDiv w:val="1"/>
      <w:marLeft w:val="0"/>
      <w:marRight w:val="0"/>
      <w:marTop w:val="0"/>
      <w:marBottom w:val="0"/>
      <w:divBdr>
        <w:top w:val="none" w:sz="0" w:space="0" w:color="auto"/>
        <w:left w:val="none" w:sz="0" w:space="0" w:color="auto"/>
        <w:bottom w:val="none" w:sz="0" w:space="0" w:color="auto"/>
        <w:right w:val="none" w:sz="0" w:space="0" w:color="auto"/>
      </w:divBdr>
    </w:div>
    <w:div w:id="620691802">
      <w:bodyDiv w:val="1"/>
      <w:marLeft w:val="0"/>
      <w:marRight w:val="0"/>
      <w:marTop w:val="0"/>
      <w:marBottom w:val="0"/>
      <w:divBdr>
        <w:top w:val="none" w:sz="0" w:space="0" w:color="auto"/>
        <w:left w:val="none" w:sz="0" w:space="0" w:color="auto"/>
        <w:bottom w:val="none" w:sz="0" w:space="0" w:color="auto"/>
        <w:right w:val="none" w:sz="0" w:space="0" w:color="auto"/>
      </w:divBdr>
    </w:div>
    <w:div w:id="626661621">
      <w:bodyDiv w:val="1"/>
      <w:marLeft w:val="0"/>
      <w:marRight w:val="0"/>
      <w:marTop w:val="0"/>
      <w:marBottom w:val="0"/>
      <w:divBdr>
        <w:top w:val="none" w:sz="0" w:space="0" w:color="auto"/>
        <w:left w:val="none" w:sz="0" w:space="0" w:color="auto"/>
        <w:bottom w:val="none" w:sz="0" w:space="0" w:color="auto"/>
        <w:right w:val="none" w:sz="0" w:space="0" w:color="auto"/>
      </w:divBdr>
    </w:div>
    <w:div w:id="629366096">
      <w:bodyDiv w:val="1"/>
      <w:marLeft w:val="0"/>
      <w:marRight w:val="0"/>
      <w:marTop w:val="0"/>
      <w:marBottom w:val="0"/>
      <w:divBdr>
        <w:top w:val="none" w:sz="0" w:space="0" w:color="auto"/>
        <w:left w:val="none" w:sz="0" w:space="0" w:color="auto"/>
        <w:bottom w:val="none" w:sz="0" w:space="0" w:color="auto"/>
        <w:right w:val="none" w:sz="0" w:space="0" w:color="auto"/>
      </w:divBdr>
    </w:div>
    <w:div w:id="640884032">
      <w:bodyDiv w:val="1"/>
      <w:marLeft w:val="0"/>
      <w:marRight w:val="0"/>
      <w:marTop w:val="0"/>
      <w:marBottom w:val="0"/>
      <w:divBdr>
        <w:top w:val="none" w:sz="0" w:space="0" w:color="auto"/>
        <w:left w:val="none" w:sz="0" w:space="0" w:color="auto"/>
        <w:bottom w:val="none" w:sz="0" w:space="0" w:color="auto"/>
        <w:right w:val="none" w:sz="0" w:space="0" w:color="auto"/>
      </w:divBdr>
    </w:div>
    <w:div w:id="645747597">
      <w:bodyDiv w:val="1"/>
      <w:marLeft w:val="0"/>
      <w:marRight w:val="0"/>
      <w:marTop w:val="0"/>
      <w:marBottom w:val="0"/>
      <w:divBdr>
        <w:top w:val="none" w:sz="0" w:space="0" w:color="auto"/>
        <w:left w:val="none" w:sz="0" w:space="0" w:color="auto"/>
        <w:bottom w:val="none" w:sz="0" w:space="0" w:color="auto"/>
        <w:right w:val="none" w:sz="0" w:space="0" w:color="auto"/>
      </w:divBdr>
    </w:div>
    <w:div w:id="650327786">
      <w:bodyDiv w:val="1"/>
      <w:marLeft w:val="0"/>
      <w:marRight w:val="0"/>
      <w:marTop w:val="0"/>
      <w:marBottom w:val="0"/>
      <w:divBdr>
        <w:top w:val="none" w:sz="0" w:space="0" w:color="auto"/>
        <w:left w:val="none" w:sz="0" w:space="0" w:color="auto"/>
        <w:bottom w:val="none" w:sz="0" w:space="0" w:color="auto"/>
        <w:right w:val="none" w:sz="0" w:space="0" w:color="auto"/>
      </w:divBdr>
    </w:div>
    <w:div w:id="665477636">
      <w:bodyDiv w:val="1"/>
      <w:marLeft w:val="0"/>
      <w:marRight w:val="0"/>
      <w:marTop w:val="0"/>
      <w:marBottom w:val="0"/>
      <w:divBdr>
        <w:top w:val="none" w:sz="0" w:space="0" w:color="auto"/>
        <w:left w:val="none" w:sz="0" w:space="0" w:color="auto"/>
        <w:bottom w:val="none" w:sz="0" w:space="0" w:color="auto"/>
        <w:right w:val="none" w:sz="0" w:space="0" w:color="auto"/>
      </w:divBdr>
    </w:div>
    <w:div w:id="670907798">
      <w:bodyDiv w:val="1"/>
      <w:marLeft w:val="0"/>
      <w:marRight w:val="0"/>
      <w:marTop w:val="0"/>
      <w:marBottom w:val="0"/>
      <w:divBdr>
        <w:top w:val="none" w:sz="0" w:space="0" w:color="auto"/>
        <w:left w:val="none" w:sz="0" w:space="0" w:color="auto"/>
        <w:bottom w:val="none" w:sz="0" w:space="0" w:color="auto"/>
        <w:right w:val="none" w:sz="0" w:space="0" w:color="auto"/>
      </w:divBdr>
    </w:div>
    <w:div w:id="672222172">
      <w:bodyDiv w:val="1"/>
      <w:marLeft w:val="0"/>
      <w:marRight w:val="0"/>
      <w:marTop w:val="0"/>
      <w:marBottom w:val="0"/>
      <w:divBdr>
        <w:top w:val="none" w:sz="0" w:space="0" w:color="auto"/>
        <w:left w:val="none" w:sz="0" w:space="0" w:color="auto"/>
        <w:bottom w:val="none" w:sz="0" w:space="0" w:color="auto"/>
        <w:right w:val="none" w:sz="0" w:space="0" w:color="auto"/>
      </w:divBdr>
    </w:div>
    <w:div w:id="672535554">
      <w:bodyDiv w:val="1"/>
      <w:marLeft w:val="0"/>
      <w:marRight w:val="0"/>
      <w:marTop w:val="0"/>
      <w:marBottom w:val="0"/>
      <w:divBdr>
        <w:top w:val="none" w:sz="0" w:space="0" w:color="auto"/>
        <w:left w:val="none" w:sz="0" w:space="0" w:color="auto"/>
        <w:bottom w:val="none" w:sz="0" w:space="0" w:color="auto"/>
        <w:right w:val="none" w:sz="0" w:space="0" w:color="auto"/>
      </w:divBdr>
    </w:div>
    <w:div w:id="676152283">
      <w:bodyDiv w:val="1"/>
      <w:marLeft w:val="0"/>
      <w:marRight w:val="0"/>
      <w:marTop w:val="0"/>
      <w:marBottom w:val="0"/>
      <w:divBdr>
        <w:top w:val="none" w:sz="0" w:space="0" w:color="auto"/>
        <w:left w:val="none" w:sz="0" w:space="0" w:color="auto"/>
        <w:bottom w:val="none" w:sz="0" w:space="0" w:color="auto"/>
        <w:right w:val="none" w:sz="0" w:space="0" w:color="auto"/>
      </w:divBdr>
    </w:div>
    <w:div w:id="683436517">
      <w:bodyDiv w:val="1"/>
      <w:marLeft w:val="0"/>
      <w:marRight w:val="0"/>
      <w:marTop w:val="0"/>
      <w:marBottom w:val="0"/>
      <w:divBdr>
        <w:top w:val="none" w:sz="0" w:space="0" w:color="auto"/>
        <w:left w:val="none" w:sz="0" w:space="0" w:color="auto"/>
        <w:bottom w:val="none" w:sz="0" w:space="0" w:color="auto"/>
        <w:right w:val="none" w:sz="0" w:space="0" w:color="auto"/>
      </w:divBdr>
    </w:div>
    <w:div w:id="684089534">
      <w:bodyDiv w:val="1"/>
      <w:marLeft w:val="0"/>
      <w:marRight w:val="0"/>
      <w:marTop w:val="0"/>
      <w:marBottom w:val="0"/>
      <w:divBdr>
        <w:top w:val="none" w:sz="0" w:space="0" w:color="auto"/>
        <w:left w:val="none" w:sz="0" w:space="0" w:color="auto"/>
        <w:bottom w:val="none" w:sz="0" w:space="0" w:color="auto"/>
        <w:right w:val="none" w:sz="0" w:space="0" w:color="auto"/>
      </w:divBdr>
    </w:div>
    <w:div w:id="687175496">
      <w:bodyDiv w:val="1"/>
      <w:marLeft w:val="0"/>
      <w:marRight w:val="0"/>
      <w:marTop w:val="0"/>
      <w:marBottom w:val="0"/>
      <w:divBdr>
        <w:top w:val="none" w:sz="0" w:space="0" w:color="auto"/>
        <w:left w:val="none" w:sz="0" w:space="0" w:color="auto"/>
        <w:bottom w:val="none" w:sz="0" w:space="0" w:color="auto"/>
        <w:right w:val="none" w:sz="0" w:space="0" w:color="auto"/>
      </w:divBdr>
    </w:div>
    <w:div w:id="691960698">
      <w:bodyDiv w:val="1"/>
      <w:marLeft w:val="0"/>
      <w:marRight w:val="0"/>
      <w:marTop w:val="0"/>
      <w:marBottom w:val="0"/>
      <w:divBdr>
        <w:top w:val="none" w:sz="0" w:space="0" w:color="auto"/>
        <w:left w:val="none" w:sz="0" w:space="0" w:color="auto"/>
        <w:bottom w:val="none" w:sz="0" w:space="0" w:color="auto"/>
        <w:right w:val="none" w:sz="0" w:space="0" w:color="auto"/>
      </w:divBdr>
    </w:div>
    <w:div w:id="699862009">
      <w:bodyDiv w:val="1"/>
      <w:marLeft w:val="0"/>
      <w:marRight w:val="0"/>
      <w:marTop w:val="0"/>
      <w:marBottom w:val="0"/>
      <w:divBdr>
        <w:top w:val="none" w:sz="0" w:space="0" w:color="auto"/>
        <w:left w:val="none" w:sz="0" w:space="0" w:color="auto"/>
        <w:bottom w:val="none" w:sz="0" w:space="0" w:color="auto"/>
        <w:right w:val="none" w:sz="0" w:space="0" w:color="auto"/>
      </w:divBdr>
    </w:div>
    <w:div w:id="701705860">
      <w:bodyDiv w:val="1"/>
      <w:marLeft w:val="0"/>
      <w:marRight w:val="0"/>
      <w:marTop w:val="0"/>
      <w:marBottom w:val="0"/>
      <w:divBdr>
        <w:top w:val="none" w:sz="0" w:space="0" w:color="auto"/>
        <w:left w:val="none" w:sz="0" w:space="0" w:color="auto"/>
        <w:bottom w:val="none" w:sz="0" w:space="0" w:color="auto"/>
        <w:right w:val="none" w:sz="0" w:space="0" w:color="auto"/>
      </w:divBdr>
    </w:div>
    <w:div w:id="706491464">
      <w:bodyDiv w:val="1"/>
      <w:marLeft w:val="0"/>
      <w:marRight w:val="0"/>
      <w:marTop w:val="0"/>
      <w:marBottom w:val="0"/>
      <w:divBdr>
        <w:top w:val="none" w:sz="0" w:space="0" w:color="auto"/>
        <w:left w:val="none" w:sz="0" w:space="0" w:color="auto"/>
        <w:bottom w:val="none" w:sz="0" w:space="0" w:color="auto"/>
        <w:right w:val="none" w:sz="0" w:space="0" w:color="auto"/>
      </w:divBdr>
    </w:div>
    <w:div w:id="707723681">
      <w:bodyDiv w:val="1"/>
      <w:marLeft w:val="0"/>
      <w:marRight w:val="0"/>
      <w:marTop w:val="0"/>
      <w:marBottom w:val="0"/>
      <w:divBdr>
        <w:top w:val="none" w:sz="0" w:space="0" w:color="auto"/>
        <w:left w:val="none" w:sz="0" w:space="0" w:color="auto"/>
        <w:bottom w:val="none" w:sz="0" w:space="0" w:color="auto"/>
        <w:right w:val="none" w:sz="0" w:space="0" w:color="auto"/>
      </w:divBdr>
    </w:div>
    <w:div w:id="714964630">
      <w:bodyDiv w:val="1"/>
      <w:marLeft w:val="0"/>
      <w:marRight w:val="0"/>
      <w:marTop w:val="0"/>
      <w:marBottom w:val="0"/>
      <w:divBdr>
        <w:top w:val="none" w:sz="0" w:space="0" w:color="auto"/>
        <w:left w:val="none" w:sz="0" w:space="0" w:color="auto"/>
        <w:bottom w:val="none" w:sz="0" w:space="0" w:color="auto"/>
        <w:right w:val="none" w:sz="0" w:space="0" w:color="auto"/>
      </w:divBdr>
    </w:div>
    <w:div w:id="715200094">
      <w:bodyDiv w:val="1"/>
      <w:marLeft w:val="0"/>
      <w:marRight w:val="0"/>
      <w:marTop w:val="0"/>
      <w:marBottom w:val="0"/>
      <w:divBdr>
        <w:top w:val="none" w:sz="0" w:space="0" w:color="auto"/>
        <w:left w:val="none" w:sz="0" w:space="0" w:color="auto"/>
        <w:bottom w:val="none" w:sz="0" w:space="0" w:color="auto"/>
        <w:right w:val="none" w:sz="0" w:space="0" w:color="auto"/>
      </w:divBdr>
    </w:div>
    <w:div w:id="721759432">
      <w:bodyDiv w:val="1"/>
      <w:marLeft w:val="0"/>
      <w:marRight w:val="0"/>
      <w:marTop w:val="0"/>
      <w:marBottom w:val="0"/>
      <w:divBdr>
        <w:top w:val="none" w:sz="0" w:space="0" w:color="auto"/>
        <w:left w:val="none" w:sz="0" w:space="0" w:color="auto"/>
        <w:bottom w:val="none" w:sz="0" w:space="0" w:color="auto"/>
        <w:right w:val="none" w:sz="0" w:space="0" w:color="auto"/>
      </w:divBdr>
    </w:div>
    <w:div w:id="722212113">
      <w:bodyDiv w:val="1"/>
      <w:marLeft w:val="0"/>
      <w:marRight w:val="0"/>
      <w:marTop w:val="0"/>
      <w:marBottom w:val="0"/>
      <w:divBdr>
        <w:top w:val="none" w:sz="0" w:space="0" w:color="auto"/>
        <w:left w:val="none" w:sz="0" w:space="0" w:color="auto"/>
        <w:bottom w:val="none" w:sz="0" w:space="0" w:color="auto"/>
        <w:right w:val="none" w:sz="0" w:space="0" w:color="auto"/>
      </w:divBdr>
    </w:div>
    <w:div w:id="724336254">
      <w:bodyDiv w:val="1"/>
      <w:marLeft w:val="0"/>
      <w:marRight w:val="0"/>
      <w:marTop w:val="0"/>
      <w:marBottom w:val="0"/>
      <w:divBdr>
        <w:top w:val="none" w:sz="0" w:space="0" w:color="auto"/>
        <w:left w:val="none" w:sz="0" w:space="0" w:color="auto"/>
        <w:bottom w:val="none" w:sz="0" w:space="0" w:color="auto"/>
        <w:right w:val="none" w:sz="0" w:space="0" w:color="auto"/>
      </w:divBdr>
    </w:div>
    <w:div w:id="726222972">
      <w:bodyDiv w:val="1"/>
      <w:marLeft w:val="0"/>
      <w:marRight w:val="0"/>
      <w:marTop w:val="0"/>
      <w:marBottom w:val="0"/>
      <w:divBdr>
        <w:top w:val="none" w:sz="0" w:space="0" w:color="auto"/>
        <w:left w:val="none" w:sz="0" w:space="0" w:color="auto"/>
        <w:bottom w:val="none" w:sz="0" w:space="0" w:color="auto"/>
        <w:right w:val="none" w:sz="0" w:space="0" w:color="auto"/>
      </w:divBdr>
    </w:div>
    <w:div w:id="729159881">
      <w:bodyDiv w:val="1"/>
      <w:marLeft w:val="0"/>
      <w:marRight w:val="0"/>
      <w:marTop w:val="0"/>
      <w:marBottom w:val="0"/>
      <w:divBdr>
        <w:top w:val="none" w:sz="0" w:space="0" w:color="auto"/>
        <w:left w:val="none" w:sz="0" w:space="0" w:color="auto"/>
        <w:bottom w:val="none" w:sz="0" w:space="0" w:color="auto"/>
        <w:right w:val="none" w:sz="0" w:space="0" w:color="auto"/>
      </w:divBdr>
    </w:div>
    <w:div w:id="730349940">
      <w:bodyDiv w:val="1"/>
      <w:marLeft w:val="0"/>
      <w:marRight w:val="0"/>
      <w:marTop w:val="0"/>
      <w:marBottom w:val="0"/>
      <w:divBdr>
        <w:top w:val="none" w:sz="0" w:space="0" w:color="auto"/>
        <w:left w:val="none" w:sz="0" w:space="0" w:color="auto"/>
        <w:bottom w:val="none" w:sz="0" w:space="0" w:color="auto"/>
        <w:right w:val="none" w:sz="0" w:space="0" w:color="auto"/>
      </w:divBdr>
    </w:div>
    <w:div w:id="731393269">
      <w:bodyDiv w:val="1"/>
      <w:marLeft w:val="0"/>
      <w:marRight w:val="0"/>
      <w:marTop w:val="0"/>
      <w:marBottom w:val="0"/>
      <w:divBdr>
        <w:top w:val="none" w:sz="0" w:space="0" w:color="auto"/>
        <w:left w:val="none" w:sz="0" w:space="0" w:color="auto"/>
        <w:bottom w:val="none" w:sz="0" w:space="0" w:color="auto"/>
        <w:right w:val="none" w:sz="0" w:space="0" w:color="auto"/>
      </w:divBdr>
    </w:div>
    <w:div w:id="731393504">
      <w:bodyDiv w:val="1"/>
      <w:marLeft w:val="0"/>
      <w:marRight w:val="0"/>
      <w:marTop w:val="0"/>
      <w:marBottom w:val="0"/>
      <w:divBdr>
        <w:top w:val="none" w:sz="0" w:space="0" w:color="auto"/>
        <w:left w:val="none" w:sz="0" w:space="0" w:color="auto"/>
        <w:bottom w:val="none" w:sz="0" w:space="0" w:color="auto"/>
        <w:right w:val="none" w:sz="0" w:space="0" w:color="auto"/>
      </w:divBdr>
    </w:div>
    <w:div w:id="731736791">
      <w:bodyDiv w:val="1"/>
      <w:marLeft w:val="0"/>
      <w:marRight w:val="0"/>
      <w:marTop w:val="0"/>
      <w:marBottom w:val="0"/>
      <w:divBdr>
        <w:top w:val="none" w:sz="0" w:space="0" w:color="auto"/>
        <w:left w:val="none" w:sz="0" w:space="0" w:color="auto"/>
        <w:bottom w:val="none" w:sz="0" w:space="0" w:color="auto"/>
        <w:right w:val="none" w:sz="0" w:space="0" w:color="auto"/>
      </w:divBdr>
    </w:div>
    <w:div w:id="737019891">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39668200">
      <w:bodyDiv w:val="1"/>
      <w:marLeft w:val="0"/>
      <w:marRight w:val="0"/>
      <w:marTop w:val="0"/>
      <w:marBottom w:val="0"/>
      <w:divBdr>
        <w:top w:val="none" w:sz="0" w:space="0" w:color="auto"/>
        <w:left w:val="none" w:sz="0" w:space="0" w:color="auto"/>
        <w:bottom w:val="none" w:sz="0" w:space="0" w:color="auto"/>
        <w:right w:val="none" w:sz="0" w:space="0" w:color="auto"/>
      </w:divBdr>
    </w:div>
    <w:div w:id="744373193">
      <w:bodyDiv w:val="1"/>
      <w:marLeft w:val="0"/>
      <w:marRight w:val="0"/>
      <w:marTop w:val="0"/>
      <w:marBottom w:val="0"/>
      <w:divBdr>
        <w:top w:val="none" w:sz="0" w:space="0" w:color="auto"/>
        <w:left w:val="none" w:sz="0" w:space="0" w:color="auto"/>
        <w:bottom w:val="none" w:sz="0" w:space="0" w:color="auto"/>
        <w:right w:val="none" w:sz="0" w:space="0" w:color="auto"/>
      </w:divBdr>
    </w:div>
    <w:div w:id="749233222">
      <w:bodyDiv w:val="1"/>
      <w:marLeft w:val="0"/>
      <w:marRight w:val="0"/>
      <w:marTop w:val="0"/>
      <w:marBottom w:val="0"/>
      <w:divBdr>
        <w:top w:val="none" w:sz="0" w:space="0" w:color="auto"/>
        <w:left w:val="none" w:sz="0" w:space="0" w:color="auto"/>
        <w:bottom w:val="none" w:sz="0" w:space="0" w:color="auto"/>
        <w:right w:val="none" w:sz="0" w:space="0" w:color="auto"/>
      </w:divBdr>
    </w:div>
    <w:div w:id="750129020">
      <w:bodyDiv w:val="1"/>
      <w:marLeft w:val="0"/>
      <w:marRight w:val="0"/>
      <w:marTop w:val="0"/>
      <w:marBottom w:val="0"/>
      <w:divBdr>
        <w:top w:val="none" w:sz="0" w:space="0" w:color="auto"/>
        <w:left w:val="none" w:sz="0" w:space="0" w:color="auto"/>
        <w:bottom w:val="none" w:sz="0" w:space="0" w:color="auto"/>
        <w:right w:val="none" w:sz="0" w:space="0" w:color="auto"/>
      </w:divBdr>
    </w:div>
    <w:div w:id="751314544">
      <w:bodyDiv w:val="1"/>
      <w:marLeft w:val="0"/>
      <w:marRight w:val="0"/>
      <w:marTop w:val="0"/>
      <w:marBottom w:val="0"/>
      <w:divBdr>
        <w:top w:val="none" w:sz="0" w:space="0" w:color="auto"/>
        <w:left w:val="none" w:sz="0" w:space="0" w:color="auto"/>
        <w:bottom w:val="none" w:sz="0" w:space="0" w:color="auto"/>
        <w:right w:val="none" w:sz="0" w:space="0" w:color="auto"/>
      </w:divBdr>
    </w:div>
    <w:div w:id="751662779">
      <w:bodyDiv w:val="1"/>
      <w:marLeft w:val="0"/>
      <w:marRight w:val="0"/>
      <w:marTop w:val="0"/>
      <w:marBottom w:val="0"/>
      <w:divBdr>
        <w:top w:val="none" w:sz="0" w:space="0" w:color="auto"/>
        <w:left w:val="none" w:sz="0" w:space="0" w:color="auto"/>
        <w:bottom w:val="none" w:sz="0" w:space="0" w:color="auto"/>
        <w:right w:val="none" w:sz="0" w:space="0" w:color="auto"/>
      </w:divBdr>
    </w:div>
    <w:div w:id="754206983">
      <w:bodyDiv w:val="1"/>
      <w:marLeft w:val="0"/>
      <w:marRight w:val="0"/>
      <w:marTop w:val="0"/>
      <w:marBottom w:val="0"/>
      <w:divBdr>
        <w:top w:val="none" w:sz="0" w:space="0" w:color="auto"/>
        <w:left w:val="none" w:sz="0" w:space="0" w:color="auto"/>
        <w:bottom w:val="none" w:sz="0" w:space="0" w:color="auto"/>
        <w:right w:val="none" w:sz="0" w:space="0" w:color="auto"/>
      </w:divBdr>
    </w:div>
    <w:div w:id="756904534">
      <w:bodyDiv w:val="1"/>
      <w:marLeft w:val="0"/>
      <w:marRight w:val="0"/>
      <w:marTop w:val="0"/>
      <w:marBottom w:val="0"/>
      <w:divBdr>
        <w:top w:val="none" w:sz="0" w:space="0" w:color="auto"/>
        <w:left w:val="none" w:sz="0" w:space="0" w:color="auto"/>
        <w:bottom w:val="none" w:sz="0" w:space="0" w:color="auto"/>
        <w:right w:val="none" w:sz="0" w:space="0" w:color="auto"/>
      </w:divBdr>
    </w:div>
    <w:div w:id="758521965">
      <w:bodyDiv w:val="1"/>
      <w:marLeft w:val="0"/>
      <w:marRight w:val="0"/>
      <w:marTop w:val="0"/>
      <w:marBottom w:val="0"/>
      <w:divBdr>
        <w:top w:val="none" w:sz="0" w:space="0" w:color="auto"/>
        <w:left w:val="none" w:sz="0" w:space="0" w:color="auto"/>
        <w:bottom w:val="none" w:sz="0" w:space="0" w:color="auto"/>
        <w:right w:val="none" w:sz="0" w:space="0" w:color="auto"/>
      </w:divBdr>
    </w:div>
    <w:div w:id="759059920">
      <w:bodyDiv w:val="1"/>
      <w:marLeft w:val="0"/>
      <w:marRight w:val="0"/>
      <w:marTop w:val="0"/>
      <w:marBottom w:val="0"/>
      <w:divBdr>
        <w:top w:val="none" w:sz="0" w:space="0" w:color="auto"/>
        <w:left w:val="none" w:sz="0" w:space="0" w:color="auto"/>
        <w:bottom w:val="none" w:sz="0" w:space="0" w:color="auto"/>
        <w:right w:val="none" w:sz="0" w:space="0" w:color="auto"/>
      </w:divBdr>
    </w:div>
    <w:div w:id="761536728">
      <w:bodyDiv w:val="1"/>
      <w:marLeft w:val="0"/>
      <w:marRight w:val="0"/>
      <w:marTop w:val="0"/>
      <w:marBottom w:val="0"/>
      <w:divBdr>
        <w:top w:val="none" w:sz="0" w:space="0" w:color="auto"/>
        <w:left w:val="none" w:sz="0" w:space="0" w:color="auto"/>
        <w:bottom w:val="none" w:sz="0" w:space="0" w:color="auto"/>
        <w:right w:val="none" w:sz="0" w:space="0" w:color="auto"/>
      </w:divBdr>
    </w:div>
    <w:div w:id="761951290">
      <w:bodyDiv w:val="1"/>
      <w:marLeft w:val="0"/>
      <w:marRight w:val="0"/>
      <w:marTop w:val="0"/>
      <w:marBottom w:val="0"/>
      <w:divBdr>
        <w:top w:val="none" w:sz="0" w:space="0" w:color="auto"/>
        <w:left w:val="none" w:sz="0" w:space="0" w:color="auto"/>
        <w:bottom w:val="none" w:sz="0" w:space="0" w:color="auto"/>
        <w:right w:val="none" w:sz="0" w:space="0" w:color="auto"/>
      </w:divBdr>
    </w:div>
    <w:div w:id="763647379">
      <w:bodyDiv w:val="1"/>
      <w:marLeft w:val="0"/>
      <w:marRight w:val="0"/>
      <w:marTop w:val="0"/>
      <w:marBottom w:val="0"/>
      <w:divBdr>
        <w:top w:val="none" w:sz="0" w:space="0" w:color="auto"/>
        <w:left w:val="none" w:sz="0" w:space="0" w:color="auto"/>
        <w:bottom w:val="none" w:sz="0" w:space="0" w:color="auto"/>
        <w:right w:val="none" w:sz="0" w:space="0" w:color="auto"/>
      </w:divBdr>
    </w:div>
    <w:div w:id="766390482">
      <w:bodyDiv w:val="1"/>
      <w:marLeft w:val="0"/>
      <w:marRight w:val="0"/>
      <w:marTop w:val="0"/>
      <w:marBottom w:val="0"/>
      <w:divBdr>
        <w:top w:val="none" w:sz="0" w:space="0" w:color="auto"/>
        <w:left w:val="none" w:sz="0" w:space="0" w:color="auto"/>
        <w:bottom w:val="none" w:sz="0" w:space="0" w:color="auto"/>
        <w:right w:val="none" w:sz="0" w:space="0" w:color="auto"/>
      </w:divBdr>
    </w:div>
    <w:div w:id="767894625">
      <w:bodyDiv w:val="1"/>
      <w:marLeft w:val="0"/>
      <w:marRight w:val="0"/>
      <w:marTop w:val="0"/>
      <w:marBottom w:val="0"/>
      <w:divBdr>
        <w:top w:val="none" w:sz="0" w:space="0" w:color="auto"/>
        <w:left w:val="none" w:sz="0" w:space="0" w:color="auto"/>
        <w:bottom w:val="none" w:sz="0" w:space="0" w:color="auto"/>
        <w:right w:val="none" w:sz="0" w:space="0" w:color="auto"/>
      </w:divBdr>
    </w:div>
    <w:div w:id="768938580">
      <w:bodyDiv w:val="1"/>
      <w:marLeft w:val="0"/>
      <w:marRight w:val="0"/>
      <w:marTop w:val="0"/>
      <w:marBottom w:val="0"/>
      <w:divBdr>
        <w:top w:val="none" w:sz="0" w:space="0" w:color="auto"/>
        <w:left w:val="none" w:sz="0" w:space="0" w:color="auto"/>
        <w:bottom w:val="none" w:sz="0" w:space="0" w:color="auto"/>
        <w:right w:val="none" w:sz="0" w:space="0" w:color="auto"/>
      </w:divBdr>
    </w:div>
    <w:div w:id="769161671">
      <w:bodyDiv w:val="1"/>
      <w:marLeft w:val="0"/>
      <w:marRight w:val="0"/>
      <w:marTop w:val="0"/>
      <w:marBottom w:val="0"/>
      <w:divBdr>
        <w:top w:val="none" w:sz="0" w:space="0" w:color="auto"/>
        <w:left w:val="none" w:sz="0" w:space="0" w:color="auto"/>
        <w:bottom w:val="none" w:sz="0" w:space="0" w:color="auto"/>
        <w:right w:val="none" w:sz="0" w:space="0" w:color="auto"/>
      </w:divBdr>
    </w:div>
    <w:div w:id="774443156">
      <w:bodyDiv w:val="1"/>
      <w:marLeft w:val="0"/>
      <w:marRight w:val="0"/>
      <w:marTop w:val="0"/>
      <w:marBottom w:val="0"/>
      <w:divBdr>
        <w:top w:val="none" w:sz="0" w:space="0" w:color="auto"/>
        <w:left w:val="none" w:sz="0" w:space="0" w:color="auto"/>
        <w:bottom w:val="none" w:sz="0" w:space="0" w:color="auto"/>
        <w:right w:val="none" w:sz="0" w:space="0" w:color="auto"/>
      </w:divBdr>
    </w:div>
    <w:div w:id="785150377">
      <w:bodyDiv w:val="1"/>
      <w:marLeft w:val="0"/>
      <w:marRight w:val="0"/>
      <w:marTop w:val="0"/>
      <w:marBottom w:val="0"/>
      <w:divBdr>
        <w:top w:val="none" w:sz="0" w:space="0" w:color="auto"/>
        <w:left w:val="none" w:sz="0" w:space="0" w:color="auto"/>
        <w:bottom w:val="none" w:sz="0" w:space="0" w:color="auto"/>
        <w:right w:val="none" w:sz="0" w:space="0" w:color="auto"/>
      </w:divBdr>
    </w:div>
    <w:div w:id="786899038">
      <w:bodyDiv w:val="1"/>
      <w:marLeft w:val="0"/>
      <w:marRight w:val="0"/>
      <w:marTop w:val="0"/>
      <w:marBottom w:val="0"/>
      <w:divBdr>
        <w:top w:val="none" w:sz="0" w:space="0" w:color="auto"/>
        <w:left w:val="none" w:sz="0" w:space="0" w:color="auto"/>
        <w:bottom w:val="none" w:sz="0" w:space="0" w:color="auto"/>
        <w:right w:val="none" w:sz="0" w:space="0" w:color="auto"/>
      </w:divBdr>
    </w:div>
    <w:div w:id="800079631">
      <w:bodyDiv w:val="1"/>
      <w:marLeft w:val="0"/>
      <w:marRight w:val="0"/>
      <w:marTop w:val="0"/>
      <w:marBottom w:val="0"/>
      <w:divBdr>
        <w:top w:val="none" w:sz="0" w:space="0" w:color="auto"/>
        <w:left w:val="none" w:sz="0" w:space="0" w:color="auto"/>
        <w:bottom w:val="none" w:sz="0" w:space="0" w:color="auto"/>
        <w:right w:val="none" w:sz="0" w:space="0" w:color="auto"/>
      </w:divBdr>
    </w:div>
    <w:div w:id="804008185">
      <w:bodyDiv w:val="1"/>
      <w:marLeft w:val="0"/>
      <w:marRight w:val="0"/>
      <w:marTop w:val="0"/>
      <w:marBottom w:val="0"/>
      <w:divBdr>
        <w:top w:val="none" w:sz="0" w:space="0" w:color="auto"/>
        <w:left w:val="none" w:sz="0" w:space="0" w:color="auto"/>
        <w:bottom w:val="none" w:sz="0" w:space="0" w:color="auto"/>
        <w:right w:val="none" w:sz="0" w:space="0" w:color="auto"/>
      </w:divBdr>
    </w:div>
    <w:div w:id="805270412">
      <w:bodyDiv w:val="1"/>
      <w:marLeft w:val="0"/>
      <w:marRight w:val="0"/>
      <w:marTop w:val="0"/>
      <w:marBottom w:val="0"/>
      <w:divBdr>
        <w:top w:val="none" w:sz="0" w:space="0" w:color="auto"/>
        <w:left w:val="none" w:sz="0" w:space="0" w:color="auto"/>
        <w:bottom w:val="none" w:sz="0" w:space="0" w:color="auto"/>
        <w:right w:val="none" w:sz="0" w:space="0" w:color="auto"/>
      </w:divBdr>
    </w:div>
    <w:div w:id="808791900">
      <w:bodyDiv w:val="1"/>
      <w:marLeft w:val="0"/>
      <w:marRight w:val="0"/>
      <w:marTop w:val="0"/>
      <w:marBottom w:val="0"/>
      <w:divBdr>
        <w:top w:val="none" w:sz="0" w:space="0" w:color="auto"/>
        <w:left w:val="none" w:sz="0" w:space="0" w:color="auto"/>
        <w:bottom w:val="none" w:sz="0" w:space="0" w:color="auto"/>
        <w:right w:val="none" w:sz="0" w:space="0" w:color="auto"/>
      </w:divBdr>
    </w:div>
    <w:div w:id="814764853">
      <w:bodyDiv w:val="1"/>
      <w:marLeft w:val="0"/>
      <w:marRight w:val="0"/>
      <w:marTop w:val="0"/>
      <w:marBottom w:val="0"/>
      <w:divBdr>
        <w:top w:val="none" w:sz="0" w:space="0" w:color="auto"/>
        <w:left w:val="none" w:sz="0" w:space="0" w:color="auto"/>
        <w:bottom w:val="none" w:sz="0" w:space="0" w:color="auto"/>
        <w:right w:val="none" w:sz="0" w:space="0" w:color="auto"/>
      </w:divBdr>
    </w:div>
    <w:div w:id="824391998">
      <w:bodyDiv w:val="1"/>
      <w:marLeft w:val="0"/>
      <w:marRight w:val="0"/>
      <w:marTop w:val="0"/>
      <w:marBottom w:val="0"/>
      <w:divBdr>
        <w:top w:val="none" w:sz="0" w:space="0" w:color="auto"/>
        <w:left w:val="none" w:sz="0" w:space="0" w:color="auto"/>
        <w:bottom w:val="none" w:sz="0" w:space="0" w:color="auto"/>
        <w:right w:val="none" w:sz="0" w:space="0" w:color="auto"/>
      </w:divBdr>
    </w:div>
    <w:div w:id="824857437">
      <w:bodyDiv w:val="1"/>
      <w:marLeft w:val="0"/>
      <w:marRight w:val="0"/>
      <w:marTop w:val="0"/>
      <w:marBottom w:val="0"/>
      <w:divBdr>
        <w:top w:val="none" w:sz="0" w:space="0" w:color="auto"/>
        <w:left w:val="none" w:sz="0" w:space="0" w:color="auto"/>
        <w:bottom w:val="none" w:sz="0" w:space="0" w:color="auto"/>
        <w:right w:val="none" w:sz="0" w:space="0" w:color="auto"/>
      </w:divBdr>
    </w:div>
    <w:div w:id="828398202">
      <w:bodyDiv w:val="1"/>
      <w:marLeft w:val="0"/>
      <w:marRight w:val="0"/>
      <w:marTop w:val="0"/>
      <w:marBottom w:val="0"/>
      <w:divBdr>
        <w:top w:val="none" w:sz="0" w:space="0" w:color="auto"/>
        <w:left w:val="none" w:sz="0" w:space="0" w:color="auto"/>
        <w:bottom w:val="none" w:sz="0" w:space="0" w:color="auto"/>
        <w:right w:val="none" w:sz="0" w:space="0" w:color="auto"/>
      </w:divBdr>
    </w:div>
    <w:div w:id="829903349">
      <w:bodyDiv w:val="1"/>
      <w:marLeft w:val="0"/>
      <w:marRight w:val="0"/>
      <w:marTop w:val="0"/>
      <w:marBottom w:val="0"/>
      <w:divBdr>
        <w:top w:val="none" w:sz="0" w:space="0" w:color="auto"/>
        <w:left w:val="none" w:sz="0" w:space="0" w:color="auto"/>
        <w:bottom w:val="none" w:sz="0" w:space="0" w:color="auto"/>
        <w:right w:val="none" w:sz="0" w:space="0" w:color="auto"/>
      </w:divBdr>
    </w:div>
    <w:div w:id="833692380">
      <w:bodyDiv w:val="1"/>
      <w:marLeft w:val="0"/>
      <w:marRight w:val="0"/>
      <w:marTop w:val="0"/>
      <w:marBottom w:val="0"/>
      <w:divBdr>
        <w:top w:val="none" w:sz="0" w:space="0" w:color="auto"/>
        <w:left w:val="none" w:sz="0" w:space="0" w:color="auto"/>
        <w:bottom w:val="none" w:sz="0" w:space="0" w:color="auto"/>
        <w:right w:val="none" w:sz="0" w:space="0" w:color="auto"/>
      </w:divBdr>
    </w:div>
    <w:div w:id="839732737">
      <w:bodyDiv w:val="1"/>
      <w:marLeft w:val="0"/>
      <w:marRight w:val="0"/>
      <w:marTop w:val="0"/>
      <w:marBottom w:val="0"/>
      <w:divBdr>
        <w:top w:val="none" w:sz="0" w:space="0" w:color="auto"/>
        <w:left w:val="none" w:sz="0" w:space="0" w:color="auto"/>
        <w:bottom w:val="none" w:sz="0" w:space="0" w:color="auto"/>
        <w:right w:val="none" w:sz="0" w:space="0" w:color="auto"/>
      </w:divBdr>
    </w:div>
    <w:div w:id="840003682">
      <w:bodyDiv w:val="1"/>
      <w:marLeft w:val="0"/>
      <w:marRight w:val="0"/>
      <w:marTop w:val="0"/>
      <w:marBottom w:val="0"/>
      <w:divBdr>
        <w:top w:val="none" w:sz="0" w:space="0" w:color="auto"/>
        <w:left w:val="none" w:sz="0" w:space="0" w:color="auto"/>
        <w:bottom w:val="none" w:sz="0" w:space="0" w:color="auto"/>
        <w:right w:val="none" w:sz="0" w:space="0" w:color="auto"/>
      </w:divBdr>
    </w:div>
    <w:div w:id="840315194">
      <w:bodyDiv w:val="1"/>
      <w:marLeft w:val="0"/>
      <w:marRight w:val="0"/>
      <w:marTop w:val="0"/>
      <w:marBottom w:val="0"/>
      <w:divBdr>
        <w:top w:val="none" w:sz="0" w:space="0" w:color="auto"/>
        <w:left w:val="none" w:sz="0" w:space="0" w:color="auto"/>
        <w:bottom w:val="none" w:sz="0" w:space="0" w:color="auto"/>
        <w:right w:val="none" w:sz="0" w:space="0" w:color="auto"/>
      </w:divBdr>
    </w:div>
    <w:div w:id="853613563">
      <w:bodyDiv w:val="1"/>
      <w:marLeft w:val="0"/>
      <w:marRight w:val="0"/>
      <w:marTop w:val="0"/>
      <w:marBottom w:val="0"/>
      <w:divBdr>
        <w:top w:val="none" w:sz="0" w:space="0" w:color="auto"/>
        <w:left w:val="none" w:sz="0" w:space="0" w:color="auto"/>
        <w:bottom w:val="none" w:sz="0" w:space="0" w:color="auto"/>
        <w:right w:val="none" w:sz="0" w:space="0" w:color="auto"/>
      </w:divBdr>
    </w:div>
    <w:div w:id="861170636">
      <w:bodyDiv w:val="1"/>
      <w:marLeft w:val="0"/>
      <w:marRight w:val="0"/>
      <w:marTop w:val="0"/>
      <w:marBottom w:val="0"/>
      <w:divBdr>
        <w:top w:val="none" w:sz="0" w:space="0" w:color="auto"/>
        <w:left w:val="none" w:sz="0" w:space="0" w:color="auto"/>
        <w:bottom w:val="none" w:sz="0" w:space="0" w:color="auto"/>
        <w:right w:val="none" w:sz="0" w:space="0" w:color="auto"/>
      </w:divBdr>
    </w:div>
    <w:div w:id="863711225">
      <w:bodyDiv w:val="1"/>
      <w:marLeft w:val="0"/>
      <w:marRight w:val="0"/>
      <w:marTop w:val="0"/>
      <w:marBottom w:val="0"/>
      <w:divBdr>
        <w:top w:val="none" w:sz="0" w:space="0" w:color="auto"/>
        <w:left w:val="none" w:sz="0" w:space="0" w:color="auto"/>
        <w:bottom w:val="none" w:sz="0" w:space="0" w:color="auto"/>
        <w:right w:val="none" w:sz="0" w:space="0" w:color="auto"/>
      </w:divBdr>
    </w:div>
    <w:div w:id="864749268">
      <w:bodyDiv w:val="1"/>
      <w:marLeft w:val="0"/>
      <w:marRight w:val="0"/>
      <w:marTop w:val="0"/>
      <w:marBottom w:val="0"/>
      <w:divBdr>
        <w:top w:val="none" w:sz="0" w:space="0" w:color="auto"/>
        <w:left w:val="none" w:sz="0" w:space="0" w:color="auto"/>
        <w:bottom w:val="none" w:sz="0" w:space="0" w:color="auto"/>
        <w:right w:val="none" w:sz="0" w:space="0" w:color="auto"/>
      </w:divBdr>
    </w:div>
    <w:div w:id="869299246">
      <w:bodyDiv w:val="1"/>
      <w:marLeft w:val="0"/>
      <w:marRight w:val="0"/>
      <w:marTop w:val="0"/>
      <w:marBottom w:val="0"/>
      <w:divBdr>
        <w:top w:val="none" w:sz="0" w:space="0" w:color="auto"/>
        <w:left w:val="none" w:sz="0" w:space="0" w:color="auto"/>
        <w:bottom w:val="none" w:sz="0" w:space="0" w:color="auto"/>
        <w:right w:val="none" w:sz="0" w:space="0" w:color="auto"/>
      </w:divBdr>
    </w:div>
    <w:div w:id="872112392">
      <w:bodyDiv w:val="1"/>
      <w:marLeft w:val="0"/>
      <w:marRight w:val="0"/>
      <w:marTop w:val="0"/>
      <w:marBottom w:val="0"/>
      <w:divBdr>
        <w:top w:val="none" w:sz="0" w:space="0" w:color="auto"/>
        <w:left w:val="none" w:sz="0" w:space="0" w:color="auto"/>
        <w:bottom w:val="none" w:sz="0" w:space="0" w:color="auto"/>
        <w:right w:val="none" w:sz="0" w:space="0" w:color="auto"/>
      </w:divBdr>
    </w:div>
    <w:div w:id="874539492">
      <w:bodyDiv w:val="1"/>
      <w:marLeft w:val="0"/>
      <w:marRight w:val="0"/>
      <w:marTop w:val="0"/>
      <w:marBottom w:val="0"/>
      <w:divBdr>
        <w:top w:val="none" w:sz="0" w:space="0" w:color="auto"/>
        <w:left w:val="none" w:sz="0" w:space="0" w:color="auto"/>
        <w:bottom w:val="none" w:sz="0" w:space="0" w:color="auto"/>
        <w:right w:val="none" w:sz="0" w:space="0" w:color="auto"/>
      </w:divBdr>
    </w:div>
    <w:div w:id="879590854">
      <w:bodyDiv w:val="1"/>
      <w:marLeft w:val="0"/>
      <w:marRight w:val="0"/>
      <w:marTop w:val="0"/>
      <w:marBottom w:val="0"/>
      <w:divBdr>
        <w:top w:val="none" w:sz="0" w:space="0" w:color="auto"/>
        <w:left w:val="none" w:sz="0" w:space="0" w:color="auto"/>
        <w:bottom w:val="none" w:sz="0" w:space="0" w:color="auto"/>
        <w:right w:val="none" w:sz="0" w:space="0" w:color="auto"/>
      </w:divBdr>
    </w:div>
    <w:div w:id="879628672">
      <w:bodyDiv w:val="1"/>
      <w:marLeft w:val="0"/>
      <w:marRight w:val="0"/>
      <w:marTop w:val="0"/>
      <w:marBottom w:val="0"/>
      <w:divBdr>
        <w:top w:val="none" w:sz="0" w:space="0" w:color="auto"/>
        <w:left w:val="none" w:sz="0" w:space="0" w:color="auto"/>
        <w:bottom w:val="none" w:sz="0" w:space="0" w:color="auto"/>
        <w:right w:val="none" w:sz="0" w:space="0" w:color="auto"/>
      </w:divBdr>
    </w:div>
    <w:div w:id="885021422">
      <w:bodyDiv w:val="1"/>
      <w:marLeft w:val="0"/>
      <w:marRight w:val="0"/>
      <w:marTop w:val="0"/>
      <w:marBottom w:val="0"/>
      <w:divBdr>
        <w:top w:val="none" w:sz="0" w:space="0" w:color="auto"/>
        <w:left w:val="none" w:sz="0" w:space="0" w:color="auto"/>
        <w:bottom w:val="none" w:sz="0" w:space="0" w:color="auto"/>
        <w:right w:val="none" w:sz="0" w:space="0" w:color="auto"/>
      </w:divBdr>
    </w:div>
    <w:div w:id="887107786">
      <w:bodyDiv w:val="1"/>
      <w:marLeft w:val="0"/>
      <w:marRight w:val="0"/>
      <w:marTop w:val="0"/>
      <w:marBottom w:val="0"/>
      <w:divBdr>
        <w:top w:val="none" w:sz="0" w:space="0" w:color="auto"/>
        <w:left w:val="none" w:sz="0" w:space="0" w:color="auto"/>
        <w:bottom w:val="none" w:sz="0" w:space="0" w:color="auto"/>
        <w:right w:val="none" w:sz="0" w:space="0" w:color="auto"/>
      </w:divBdr>
    </w:div>
    <w:div w:id="899368835">
      <w:bodyDiv w:val="1"/>
      <w:marLeft w:val="0"/>
      <w:marRight w:val="0"/>
      <w:marTop w:val="0"/>
      <w:marBottom w:val="0"/>
      <w:divBdr>
        <w:top w:val="none" w:sz="0" w:space="0" w:color="auto"/>
        <w:left w:val="none" w:sz="0" w:space="0" w:color="auto"/>
        <w:bottom w:val="none" w:sz="0" w:space="0" w:color="auto"/>
        <w:right w:val="none" w:sz="0" w:space="0" w:color="auto"/>
      </w:divBdr>
    </w:div>
    <w:div w:id="903301502">
      <w:bodyDiv w:val="1"/>
      <w:marLeft w:val="0"/>
      <w:marRight w:val="0"/>
      <w:marTop w:val="0"/>
      <w:marBottom w:val="0"/>
      <w:divBdr>
        <w:top w:val="none" w:sz="0" w:space="0" w:color="auto"/>
        <w:left w:val="none" w:sz="0" w:space="0" w:color="auto"/>
        <w:bottom w:val="none" w:sz="0" w:space="0" w:color="auto"/>
        <w:right w:val="none" w:sz="0" w:space="0" w:color="auto"/>
      </w:divBdr>
    </w:div>
    <w:div w:id="907229177">
      <w:bodyDiv w:val="1"/>
      <w:marLeft w:val="0"/>
      <w:marRight w:val="0"/>
      <w:marTop w:val="0"/>
      <w:marBottom w:val="0"/>
      <w:divBdr>
        <w:top w:val="none" w:sz="0" w:space="0" w:color="auto"/>
        <w:left w:val="none" w:sz="0" w:space="0" w:color="auto"/>
        <w:bottom w:val="none" w:sz="0" w:space="0" w:color="auto"/>
        <w:right w:val="none" w:sz="0" w:space="0" w:color="auto"/>
      </w:divBdr>
    </w:div>
    <w:div w:id="907762310">
      <w:bodyDiv w:val="1"/>
      <w:marLeft w:val="0"/>
      <w:marRight w:val="0"/>
      <w:marTop w:val="0"/>
      <w:marBottom w:val="0"/>
      <w:divBdr>
        <w:top w:val="none" w:sz="0" w:space="0" w:color="auto"/>
        <w:left w:val="none" w:sz="0" w:space="0" w:color="auto"/>
        <w:bottom w:val="none" w:sz="0" w:space="0" w:color="auto"/>
        <w:right w:val="none" w:sz="0" w:space="0" w:color="auto"/>
      </w:divBdr>
    </w:div>
    <w:div w:id="910308699">
      <w:bodyDiv w:val="1"/>
      <w:marLeft w:val="0"/>
      <w:marRight w:val="0"/>
      <w:marTop w:val="0"/>
      <w:marBottom w:val="0"/>
      <w:divBdr>
        <w:top w:val="none" w:sz="0" w:space="0" w:color="auto"/>
        <w:left w:val="none" w:sz="0" w:space="0" w:color="auto"/>
        <w:bottom w:val="none" w:sz="0" w:space="0" w:color="auto"/>
        <w:right w:val="none" w:sz="0" w:space="0" w:color="auto"/>
      </w:divBdr>
    </w:div>
    <w:div w:id="911700100">
      <w:bodyDiv w:val="1"/>
      <w:marLeft w:val="0"/>
      <w:marRight w:val="0"/>
      <w:marTop w:val="0"/>
      <w:marBottom w:val="0"/>
      <w:divBdr>
        <w:top w:val="none" w:sz="0" w:space="0" w:color="auto"/>
        <w:left w:val="none" w:sz="0" w:space="0" w:color="auto"/>
        <w:bottom w:val="none" w:sz="0" w:space="0" w:color="auto"/>
        <w:right w:val="none" w:sz="0" w:space="0" w:color="auto"/>
      </w:divBdr>
    </w:div>
    <w:div w:id="917831849">
      <w:bodyDiv w:val="1"/>
      <w:marLeft w:val="0"/>
      <w:marRight w:val="0"/>
      <w:marTop w:val="0"/>
      <w:marBottom w:val="0"/>
      <w:divBdr>
        <w:top w:val="none" w:sz="0" w:space="0" w:color="auto"/>
        <w:left w:val="none" w:sz="0" w:space="0" w:color="auto"/>
        <w:bottom w:val="none" w:sz="0" w:space="0" w:color="auto"/>
        <w:right w:val="none" w:sz="0" w:space="0" w:color="auto"/>
      </w:divBdr>
    </w:div>
    <w:div w:id="919292356">
      <w:bodyDiv w:val="1"/>
      <w:marLeft w:val="0"/>
      <w:marRight w:val="0"/>
      <w:marTop w:val="0"/>
      <w:marBottom w:val="0"/>
      <w:divBdr>
        <w:top w:val="none" w:sz="0" w:space="0" w:color="auto"/>
        <w:left w:val="none" w:sz="0" w:space="0" w:color="auto"/>
        <w:bottom w:val="none" w:sz="0" w:space="0" w:color="auto"/>
        <w:right w:val="none" w:sz="0" w:space="0" w:color="auto"/>
      </w:divBdr>
    </w:div>
    <w:div w:id="921378039">
      <w:bodyDiv w:val="1"/>
      <w:marLeft w:val="0"/>
      <w:marRight w:val="0"/>
      <w:marTop w:val="0"/>
      <w:marBottom w:val="0"/>
      <w:divBdr>
        <w:top w:val="none" w:sz="0" w:space="0" w:color="auto"/>
        <w:left w:val="none" w:sz="0" w:space="0" w:color="auto"/>
        <w:bottom w:val="none" w:sz="0" w:space="0" w:color="auto"/>
        <w:right w:val="none" w:sz="0" w:space="0" w:color="auto"/>
      </w:divBdr>
    </w:div>
    <w:div w:id="921720184">
      <w:bodyDiv w:val="1"/>
      <w:marLeft w:val="0"/>
      <w:marRight w:val="0"/>
      <w:marTop w:val="0"/>
      <w:marBottom w:val="0"/>
      <w:divBdr>
        <w:top w:val="none" w:sz="0" w:space="0" w:color="auto"/>
        <w:left w:val="none" w:sz="0" w:space="0" w:color="auto"/>
        <w:bottom w:val="none" w:sz="0" w:space="0" w:color="auto"/>
        <w:right w:val="none" w:sz="0" w:space="0" w:color="auto"/>
      </w:divBdr>
    </w:div>
    <w:div w:id="922687789">
      <w:bodyDiv w:val="1"/>
      <w:marLeft w:val="0"/>
      <w:marRight w:val="0"/>
      <w:marTop w:val="0"/>
      <w:marBottom w:val="0"/>
      <w:divBdr>
        <w:top w:val="none" w:sz="0" w:space="0" w:color="auto"/>
        <w:left w:val="none" w:sz="0" w:space="0" w:color="auto"/>
        <w:bottom w:val="none" w:sz="0" w:space="0" w:color="auto"/>
        <w:right w:val="none" w:sz="0" w:space="0" w:color="auto"/>
      </w:divBdr>
    </w:div>
    <w:div w:id="930312545">
      <w:bodyDiv w:val="1"/>
      <w:marLeft w:val="0"/>
      <w:marRight w:val="0"/>
      <w:marTop w:val="0"/>
      <w:marBottom w:val="0"/>
      <w:divBdr>
        <w:top w:val="none" w:sz="0" w:space="0" w:color="auto"/>
        <w:left w:val="none" w:sz="0" w:space="0" w:color="auto"/>
        <w:bottom w:val="none" w:sz="0" w:space="0" w:color="auto"/>
        <w:right w:val="none" w:sz="0" w:space="0" w:color="auto"/>
      </w:divBdr>
    </w:div>
    <w:div w:id="937441648">
      <w:bodyDiv w:val="1"/>
      <w:marLeft w:val="0"/>
      <w:marRight w:val="0"/>
      <w:marTop w:val="0"/>
      <w:marBottom w:val="0"/>
      <w:divBdr>
        <w:top w:val="none" w:sz="0" w:space="0" w:color="auto"/>
        <w:left w:val="none" w:sz="0" w:space="0" w:color="auto"/>
        <w:bottom w:val="none" w:sz="0" w:space="0" w:color="auto"/>
        <w:right w:val="none" w:sz="0" w:space="0" w:color="auto"/>
      </w:divBdr>
    </w:div>
    <w:div w:id="940725239">
      <w:bodyDiv w:val="1"/>
      <w:marLeft w:val="0"/>
      <w:marRight w:val="0"/>
      <w:marTop w:val="0"/>
      <w:marBottom w:val="0"/>
      <w:divBdr>
        <w:top w:val="none" w:sz="0" w:space="0" w:color="auto"/>
        <w:left w:val="none" w:sz="0" w:space="0" w:color="auto"/>
        <w:bottom w:val="none" w:sz="0" w:space="0" w:color="auto"/>
        <w:right w:val="none" w:sz="0" w:space="0" w:color="auto"/>
      </w:divBdr>
    </w:div>
    <w:div w:id="943271792">
      <w:bodyDiv w:val="1"/>
      <w:marLeft w:val="0"/>
      <w:marRight w:val="0"/>
      <w:marTop w:val="0"/>
      <w:marBottom w:val="0"/>
      <w:divBdr>
        <w:top w:val="none" w:sz="0" w:space="0" w:color="auto"/>
        <w:left w:val="none" w:sz="0" w:space="0" w:color="auto"/>
        <w:bottom w:val="none" w:sz="0" w:space="0" w:color="auto"/>
        <w:right w:val="none" w:sz="0" w:space="0" w:color="auto"/>
      </w:divBdr>
    </w:div>
    <w:div w:id="952633259">
      <w:bodyDiv w:val="1"/>
      <w:marLeft w:val="0"/>
      <w:marRight w:val="0"/>
      <w:marTop w:val="0"/>
      <w:marBottom w:val="0"/>
      <w:divBdr>
        <w:top w:val="none" w:sz="0" w:space="0" w:color="auto"/>
        <w:left w:val="none" w:sz="0" w:space="0" w:color="auto"/>
        <w:bottom w:val="none" w:sz="0" w:space="0" w:color="auto"/>
        <w:right w:val="none" w:sz="0" w:space="0" w:color="auto"/>
      </w:divBdr>
    </w:div>
    <w:div w:id="954484134">
      <w:bodyDiv w:val="1"/>
      <w:marLeft w:val="0"/>
      <w:marRight w:val="0"/>
      <w:marTop w:val="0"/>
      <w:marBottom w:val="0"/>
      <w:divBdr>
        <w:top w:val="none" w:sz="0" w:space="0" w:color="auto"/>
        <w:left w:val="none" w:sz="0" w:space="0" w:color="auto"/>
        <w:bottom w:val="none" w:sz="0" w:space="0" w:color="auto"/>
        <w:right w:val="none" w:sz="0" w:space="0" w:color="auto"/>
      </w:divBdr>
    </w:div>
    <w:div w:id="955067437">
      <w:bodyDiv w:val="1"/>
      <w:marLeft w:val="0"/>
      <w:marRight w:val="0"/>
      <w:marTop w:val="0"/>
      <w:marBottom w:val="0"/>
      <w:divBdr>
        <w:top w:val="none" w:sz="0" w:space="0" w:color="auto"/>
        <w:left w:val="none" w:sz="0" w:space="0" w:color="auto"/>
        <w:bottom w:val="none" w:sz="0" w:space="0" w:color="auto"/>
        <w:right w:val="none" w:sz="0" w:space="0" w:color="auto"/>
      </w:divBdr>
    </w:div>
    <w:div w:id="961765805">
      <w:bodyDiv w:val="1"/>
      <w:marLeft w:val="0"/>
      <w:marRight w:val="0"/>
      <w:marTop w:val="0"/>
      <w:marBottom w:val="0"/>
      <w:divBdr>
        <w:top w:val="none" w:sz="0" w:space="0" w:color="auto"/>
        <w:left w:val="none" w:sz="0" w:space="0" w:color="auto"/>
        <w:bottom w:val="none" w:sz="0" w:space="0" w:color="auto"/>
        <w:right w:val="none" w:sz="0" w:space="0" w:color="auto"/>
      </w:divBdr>
    </w:div>
    <w:div w:id="963459986">
      <w:bodyDiv w:val="1"/>
      <w:marLeft w:val="0"/>
      <w:marRight w:val="0"/>
      <w:marTop w:val="0"/>
      <w:marBottom w:val="0"/>
      <w:divBdr>
        <w:top w:val="none" w:sz="0" w:space="0" w:color="auto"/>
        <w:left w:val="none" w:sz="0" w:space="0" w:color="auto"/>
        <w:bottom w:val="none" w:sz="0" w:space="0" w:color="auto"/>
        <w:right w:val="none" w:sz="0" w:space="0" w:color="auto"/>
      </w:divBdr>
    </w:div>
    <w:div w:id="965743840">
      <w:bodyDiv w:val="1"/>
      <w:marLeft w:val="0"/>
      <w:marRight w:val="0"/>
      <w:marTop w:val="0"/>
      <w:marBottom w:val="0"/>
      <w:divBdr>
        <w:top w:val="none" w:sz="0" w:space="0" w:color="auto"/>
        <w:left w:val="none" w:sz="0" w:space="0" w:color="auto"/>
        <w:bottom w:val="none" w:sz="0" w:space="0" w:color="auto"/>
        <w:right w:val="none" w:sz="0" w:space="0" w:color="auto"/>
      </w:divBdr>
    </w:div>
    <w:div w:id="969213478">
      <w:bodyDiv w:val="1"/>
      <w:marLeft w:val="0"/>
      <w:marRight w:val="0"/>
      <w:marTop w:val="0"/>
      <w:marBottom w:val="0"/>
      <w:divBdr>
        <w:top w:val="none" w:sz="0" w:space="0" w:color="auto"/>
        <w:left w:val="none" w:sz="0" w:space="0" w:color="auto"/>
        <w:bottom w:val="none" w:sz="0" w:space="0" w:color="auto"/>
        <w:right w:val="none" w:sz="0" w:space="0" w:color="auto"/>
      </w:divBdr>
    </w:div>
    <w:div w:id="970285472">
      <w:bodyDiv w:val="1"/>
      <w:marLeft w:val="0"/>
      <w:marRight w:val="0"/>
      <w:marTop w:val="0"/>
      <w:marBottom w:val="0"/>
      <w:divBdr>
        <w:top w:val="none" w:sz="0" w:space="0" w:color="auto"/>
        <w:left w:val="none" w:sz="0" w:space="0" w:color="auto"/>
        <w:bottom w:val="none" w:sz="0" w:space="0" w:color="auto"/>
        <w:right w:val="none" w:sz="0" w:space="0" w:color="auto"/>
      </w:divBdr>
    </w:div>
    <w:div w:id="979457560">
      <w:bodyDiv w:val="1"/>
      <w:marLeft w:val="0"/>
      <w:marRight w:val="0"/>
      <w:marTop w:val="0"/>
      <w:marBottom w:val="0"/>
      <w:divBdr>
        <w:top w:val="none" w:sz="0" w:space="0" w:color="auto"/>
        <w:left w:val="none" w:sz="0" w:space="0" w:color="auto"/>
        <w:bottom w:val="none" w:sz="0" w:space="0" w:color="auto"/>
        <w:right w:val="none" w:sz="0" w:space="0" w:color="auto"/>
      </w:divBdr>
    </w:div>
    <w:div w:id="981739663">
      <w:bodyDiv w:val="1"/>
      <w:marLeft w:val="0"/>
      <w:marRight w:val="0"/>
      <w:marTop w:val="0"/>
      <w:marBottom w:val="0"/>
      <w:divBdr>
        <w:top w:val="none" w:sz="0" w:space="0" w:color="auto"/>
        <w:left w:val="none" w:sz="0" w:space="0" w:color="auto"/>
        <w:bottom w:val="none" w:sz="0" w:space="0" w:color="auto"/>
        <w:right w:val="none" w:sz="0" w:space="0" w:color="auto"/>
      </w:divBdr>
    </w:div>
    <w:div w:id="982344133">
      <w:bodyDiv w:val="1"/>
      <w:marLeft w:val="0"/>
      <w:marRight w:val="0"/>
      <w:marTop w:val="0"/>
      <w:marBottom w:val="0"/>
      <w:divBdr>
        <w:top w:val="none" w:sz="0" w:space="0" w:color="auto"/>
        <w:left w:val="none" w:sz="0" w:space="0" w:color="auto"/>
        <w:bottom w:val="none" w:sz="0" w:space="0" w:color="auto"/>
        <w:right w:val="none" w:sz="0" w:space="0" w:color="auto"/>
      </w:divBdr>
    </w:div>
    <w:div w:id="991761981">
      <w:bodyDiv w:val="1"/>
      <w:marLeft w:val="0"/>
      <w:marRight w:val="0"/>
      <w:marTop w:val="0"/>
      <w:marBottom w:val="0"/>
      <w:divBdr>
        <w:top w:val="none" w:sz="0" w:space="0" w:color="auto"/>
        <w:left w:val="none" w:sz="0" w:space="0" w:color="auto"/>
        <w:bottom w:val="none" w:sz="0" w:space="0" w:color="auto"/>
        <w:right w:val="none" w:sz="0" w:space="0" w:color="auto"/>
      </w:divBdr>
    </w:div>
    <w:div w:id="992569053">
      <w:bodyDiv w:val="1"/>
      <w:marLeft w:val="0"/>
      <w:marRight w:val="0"/>
      <w:marTop w:val="0"/>
      <w:marBottom w:val="0"/>
      <w:divBdr>
        <w:top w:val="none" w:sz="0" w:space="0" w:color="auto"/>
        <w:left w:val="none" w:sz="0" w:space="0" w:color="auto"/>
        <w:bottom w:val="none" w:sz="0" w:space="0" w:color="auto"/>
        <w:right w:val="none" w:sz="0" w:space="0" w:color="auto"/>
      </w:divBdr>
    </w:div>
    <w:div w:id="1000505335">
      <w:bodyDiv w:val="1"/>
      <w:marLeft w:val="0"/>
      <w:marRight w:val="0"/>
      <w:marTop w:val="0"/>
      <w:marBottom w:val="0"/>
      <w:divBdr>
        <w:top w:val="none" w:sz="0" w:space="0" w:color="auto"/>
        <w:left w:val="none" w:sz="0" w:space="0" w:color="auto"/>
        <w:bottom w:val="none" w:sz="0" w:space="0" w:color="auto"/>
        <w:right w:val="none" w:sz="0" w:space="0" w:color="auto"/>
      </w:divBdr>
    </w:div>
    <w:div w:id="1005404505">
      <w:bodyDiv w:val="1"/>
      <w:marLeft w:val="0"/>
      <w:marRight w:val="0"/>
      <w:marTop w:val="0"/>
      <w:marBottom w:val="0"/>
      <w:divBdr>
        <w:top w:val="none" w:sz="0" w:space="0" w:color="auto"/>
        <w:left w:val="none" w:sz="0" w:space="0" w:color="auto"/>
        <w:bottom w:val="none" w:sz="0" w:space="0" w:color="auto"/>
        <w:right w:val="none" w:sz="0" w:space="0" w:color="auto"/>
      </w:divBdr>
    </w:div>
    <w:div w:id="1008825103">
      <w:bodyDiv w:val="1"/>
      <w:marLeft w:val="0"/>
      <w:marRight w:val="0"/>
      <w:marTop w:val="0"/>
      <w:marBottom w:val="0"/>
      <w:divBdr>
        <w:top w:val="none" w:sz="0" w:space="0" w:color="auto"/>
        <w:left w:val="none" w:sz="0" w:space="0" w:color="auto"/>
        <w:bottom w:val="none" w:sz="0" w:space="0" w:color="auto"/>
        <w:right w:val="none" w:sz="0" w:space="0" w:color="auto"/>
      </w:divBdr>
    </w:div>
    <w:div w:id="1015036097">
      <w:bodyDiv w:val="1"/>
      <w:marLeft w:val="0"/>
      <w:marRight w:val="0"/>
      <w:marTop w:val="0"/>
      <w:marBottom w:val="0"/>
      <w:divBdr>
        <w:top w:val="none" w:sz="0" w:space="0" w:color="auto"/>
        <w:left w:val="none" w:sz="0" w:space="0" w:color="auto"/>
        <w:bottom w:val="none" w:sz="0" w:space="0" w:color="auto"/>
        <w:right w:val="none" w:sz="0" w:space="0" w:color="auto"/>
      </w:divBdr>
    </w:div>
    <w:div w:id="1015502313">
      <w:bodyDiv w:val="1"/>
      <w:marLeft w:val="0"/>
      <w:marRight w:val="0"/>
      <w:marTop w:val="0"/>
      <w:marBottom w:val="0"/>
      <w:divBdr>
        <w:top w:val="none" w:sz="0" w:space="0" w:color="auto"/>
        <w:left w:val="none" w:sz="0" w:space="0" w:color="auto"/>
        <w:bottom w:val="none" w:sz="0" w:space="0" w:color="auto"/>
        <w:right w:val="none" w:sz="0" w:space="0" w:color="auto"/>
      </w:divBdr>
    </w:div>
    <w:div w:id="1016231814">
      <w:bodyDiv w:val="1"/>
      <w:marLeft w:val="0"/>
      <w:marRight w:val="0"/>
      <w:marTop w:val="0"/>
      <w:marBottom w:val="0"/>
      <w:divBdr>
        <w:top w:val="none" w:sz="0" w:space="0" w:color="auto"/>
        <w:left w:val="none" w:sz="0" w:space="0" w:color="auto"/>
        <w:bottom w:val="none" w:sz="0" w:space="0" w:color="auto"/>
        <w:right w:val="none" w:sz="0" w:space="0" w:color="auto"/>
      </w:divBdr>
    </w:div>
    <w:div w:id="1022707644">
      <w:bodyDiv w:val="1"/>
      <w:marLeft w:val="0"/>
      <w:marRight w:val="0"/>
      <w:marTop w:val="0"/>
      <w:marBottom w:val="0"/>
      <w:divBdr>
        <w:top w:val="none" w:sz="0" w:space="0" w:color="auto"/>
        <w:left w:val="none" w:sz="0" w:space="0" w:color="auto"/>
        <w:bottom w:val="none" w:sz="0" w:space="0" w:color="auto"/>
        <w:right w:val="none" w:sz="0" w:space="0" w:color="auto"/>
      </w:divBdr>
    </w:div>
    <w:div w:id="1023748931">
      <w:bodyDiv w:val="1"/>
      <w:marLeft w:val="0"/>
      <w:marRight w:val="0"/>
      <w:marTop w:val="0"/>
      <w:marBottom w:val="0"/>
      <w:divBdr>
        <w:top w:val="none" w:sz="0" w:space="0" w:color="auto"/>
        <w:left w:val="none" w:sz="0" w:space="0" w:color="auto"/>
        <w:bottom w:val="none" w:sz="0" w:space="0" w:color="auto"/>
        <w:right w:val="none" w:sz="0" w:space="0" w:color="auto"/>
      </w:divBdr>
    </w:div>
    <w:div w:id="1027754364">
      <w:bodyDiv w:val="1"/>
      <w:marLeft w:val="0"/>
      <w:marRight w:val="0"/>
      <w:marTop w:val="0"/>
      <w:marBottom w:val="0"/>
      <w:divBdr>
        <w:top w:val="none" w:sz="0" w:space="0" w:color="auto"/>
        <w:left w:val="none" w:sz="0" w:space="0" w:color="auto"/>
        <w:bottom w:val="none" w:sz="0" w:space="0" w:color="auto"/>
        <w:right w:val="none" w:sz="0" w:space="0" w:color="auto"/>
      </w:divBdr>
    </w:div>
    <w:div w:id="1028408379">
      <w:bodyDiv w:val="1"/>
      <w:marLeft w:val="0"/>
      <w:marRight w:val="0"/>
      <w:marTop w:val="0"/>
      <w:marBottom w:val="0"/>
      <w:divBdr>
        <w:top w:val="none" w:sz="0" w:space="0" w:color="auto"/>
        <w:left w:val="none" w:sz="0" w:space="0" w:color="auto"/>
        <w:bottom w:val="none" w:sz="0" w:space="0" w:color="auto"/>
        <w:right w:val="none" w:sz="0" w:space="0" w:color="auto"/>
      </w:divBdr>
    </w:div>
    <w:div w:id="1029716765">
      <w:bodyDiv w:val="1"/>
      <w:marLeft w:val="0"/>
      <w:marRight w:val="0"/>
      <w:marTop w:val="0"/>
      <w:marBottom w:val="0"/>
      <w:divBdr>
        <w:top w:val="none" w:sz="0" w:space="0" w:color="auto"/>
        <w:left w:val="none" w:sz="0" w:space="0" w:color="auto"/>
        <w:bottom w:val="none" w:sz="0" w:space="0" w:color="auto"/>
        <w:right w:val="none" w:sz="0" w:space="0" w:color="auto"/>
      </w:divBdr>
    </w:div>
    <w:div w:id="1030111109">
      <w:bodyDiv w:val="1"/>
      <w:marLeft w:val="0"/>
      <w:marRight w:val="0"/>
      <w:marTop w:val="0"/>
      <w:marBottom w:val="0"/>
      <w:divBdr>
        <w:top w:val="none" w:sz="0" w:space="0" w:color="auto"/>
        <w:left w:val="none" w:sz="0" w:space="0" w:color="auto"/>
        <w:bottom w:val="none" w:sz="0" w:space="0" w:color="auto"/>
        <w:right w:val="none" w:sz="0" w:space="0" w:color="auto"/>
      </w:divBdr>
    </w:div>
    <w:div w:id="1030951920">
      <w:bodyDiv w:val="1"/>
      <w:marLeft w:val="0"/>
      <w:marRight w:val="0"/>
      <w:marTop w:val="0"/>
      <w:marBottom w:val="0"/>
      <w:divBdr>
        <w:top w:val="none" w:sz="0" w:space="0" w:color="auto"/>
        <w:left w:val="none" w:sz="0" w:space="0" w:color="auto"/>
        <w:bottom w:val="none" w:sz="0" w:space="0" w:color="auto"/>
        <w:right w:val="none" w:sz="0" w:space="0" w:color="auto"/>
      </w:divBdr>
    </w:div>
    <w:div w:id="1031611347">
      <w:bodyDiv w:val="1"/>
      <w:marLeft w:val="0"/>
      <w:marRight w:val="0"/>
      <w:marTop w:val="0"/>
      <w:marBottom w:val="0"/>
      <w:divBdr>
        <w:top w:val="none" w:sz="0" w:space="0" w:color="auto"/>
        <w:left w:val="none" w:sz="0" w:space="0" w:color="auto"/>
        <w:bottom w:val="none" w:sz="0" w:space="0" w:color="auto"/>
        <w:right w:val="none" w:sz="0" w:space="0" w:color="auto"/>
      </w:divBdr>
    </w:div>
    <w:div w:id="1037510131">
      <w:bodyDiv w:val="1"/>
      <w:marLeft w:val="0"/>
      <w:marRight w:val="0"/>
      <w:marTop w:val="0"/>
      <w:marBottom w:val="0"/>
      <w:divBdr>
        <w:top w:val="none" w:sz="0" w:space="0" w:color="auto"/>
        <w:left w:val="none" w:sz="0" w:space="0" w:color="auto"/>
        <w:bottom w:val="none" w:sz="0" w:space="0" w:color="auto"/>
        <w:right w:val="none" w:sz="0" w:space="0" w:color="auto"/>
      </w:divBdr>
    </w:div>
    <w:div w:id="1038705854">
      <w:bodyDiv w:val="1"/>
      <w:marLeft w:val="0"/>
      <w:marRight w:val="0"/>
      <w:marTop w:val="0"/>
      <w:marBottom w:val="0"/>
      <w:divBdr>
        <w:top w:val="none" w:sz="0" w:space="0" w:color="auto"/>
        <w:left w:val="none" w:sz="0" w:space="0" w:color="auto"/>
        <w:bottom w:val="none" w:sz="0" w:space="0" w:color="auto"/>
        <w:right w:val="none" w:sz="0" w:space="0" w:color="auto"/>
      </w:divBdr>
    </w:div>
    <w:div w:id="1040937584">
      <w:bodyDiv w:val="1"/>
      <w:marLeft w:val="0"/>
      <w:marRight w:val="0"/>
      <w:marTop w:val="0"/>
      <w:marBottom w:val="0"/>
      <w:divBdr>
        <w:top w:val="none" w:sz="0" w:space="0" w:color="auto"/>
        <w:left w:val="none" w:sz="0" w:space="0" w:color="auto"/>
        <w:bottom w:val="none" w:sz="0" w:space="0" w:color="auto"/>
        <w:right w:val="none" w:sz="0" w:space="0" w:color="auto"/>
      </w:divBdr>
    </w:div>
    <w:div w:id="1041828542">
      <w:bodyDiv w:val="1"/>
      <w:marLeft w:val="0"/>
      <w:marRight w:val="0"/>
      <w:marTop w:val="0"/>
      <w:marBottom w:val="0"/>
      <w:divBdr>
        <w:top w:val="none" w:sz="0" w:space="0" w:color="auto"/>
        <w:left w:val="none" w:sz="0" w:space="0" w:color="auto"/>
        <w:bottom w:val="none" w:sz="0" w:space="0" w:color="auto"/>
        <w:right w:val="none" w:sz="0" w:space="0" w:color="auto"/>
      </w:divBdr>
    </w:div>
    <w:div w:id="1041856561">
      <w:bodyDiv w:val="1"/>
      <w:marLeft w:val="0"/>
      <w:marRight w:val="0"/>
      <w:marTop w:val="0"/>
      <w:marBottom w:val="0"/>
      <w:divBdr>
        <w:top w:val="none" w:sz="0" w:space="0" w:color="auto"/>
        <w:left w:val="none" w:sz="0" w:space="0" w:color="auto"/>
        <w:bottom w:val="none" w:sz="0" w:space="0" w:color="auto"/>
        <w:right w:val="none" w:sz="0" w:space="0" w:color="auto"/>
      </w:divBdr>
    </w:div>
    <w:div w:id="1046487543">
      <w:bodyDiv w:val="1"/>
      <w:marLeft w:val="0"/>
      <w:marRight w:val="0"/>
      <w:marTop w:val="0"/>
      <w:marBottom w:val="0"/>
      <w:divBdr>
        <w:top w:val="none" w:sz="0" w:space="0" w:color="auto"/>
        <w:left w:val="none" w:sz="0" w:space="0" w:color="auto"/>
        <w:bottom w:val="none" w:sz="0" w:space="0" w:color="auto"/>
        <w:right w:val="none" w:sz="0" w:space="0" w:color="auto"/>
      </w:divBdr>
    </w:div>
    <w:div w:id="1047142584">
      <w:bodyDiv w:val="1"/>
      <w:marLeft w:val="0"/>
      <w:marRight w:val="0"/>
      <w:marTop w:val="0"/>
      <w:marBottom w:val="0"/>
      <w:divBdr>
        <w:top w:val="none" w:sz="0" w:space="0" w:color="auto"/>
        <w:left w:val="none" w:sz="0" w:space="0" w:color="auto"/>
        <w:bottom w:val="none" w:sz="0" w:space="0" w:color="auto"/>
        <w:right w:val="none" w:sz="0" w:space="0" w:color="auto"/>
      </w:divBdr>
    </w:div>
    <w:div w:id="1047333861">
      <w:bodyDiv w:val="1"/>
      <w:marLeft w:val="0"/>
      <w:marRight w:val="0"/>
      <w:marTop w:val="0"/>
      <w:marBottom w:val="0"/>
      <w:divBdr>
        <w:top w:val="none" w:sz="0" w:space="0" w:color="auto"/>
        <w:left w:val="none" w:sz="0" w:space="0" w:color="auto"/>
        <w:bottom w:val="none" w:sz="0" w:space="0" w:color="auto"/>
        <w:right w:val="none" w:sz="0" w:space="0" w:color="auto"/>
      </w:divBdr>
    </w:div>
    <w:div w:id="1053583348">
      <w:bodyDiv w:val="1"/>
      <w:marLeft w:val="0"/>
      <w:marRight w:val="0"/>
      <w:marTop w:val="0"/>
      <w:marBottom w:val="0"/>
      <w:divBdr>
        <w:top w:val="none" w:sz="0" w:space="0" w:color="auto"/>
        <w:left w:val="none" w:sz="0" w:space="0" w:color="auto"/>
        <w:bottom w:val="none" w:sz="0" w:space="0" w:color="auto"/>
        <w:right w:val="none" w:sz="0" w:space="0" w:color="auto"/>
      </w:divBdr>
    </w:div>
    <w:div w:id="1054699697">
      <w:bodyDiv w:val="1"/>
      <w:marLeft w:val="0"/>
      <w:marRight w:val="0"/>
      <w:marTop w:val="0"/>
      <w:marBottom w:val="0"/>
      <w:divBdr>
        <w:top w:val="none" w:sz="0" w:space="0" w:color="auto"/>
        <w:left w:val="none" w:sz="0" w:space="0" w:color="auto"/>
        <w:bottom w:val="none" w:sz="0" w:space="0" w:color="auto"/>
        <w:right w:val="none" w:sz="0" w:space="0" w:color="auto"/>
      </w:divBdr>
    </w:div>
    <w:div w:id="1055352044">
      <w:bodyDiv w:val="1"/>
      <w:marLeft w:val="0"/>
      <w:marRight w:val="0"/>
      <w:marTop w:val="0"/>
      <w:marBottom w:val="0"/>
      <w:divBdr>
        <w:top w:val="none" w:sz="0" w:space="0" w:color="auto"/>
        <w:left w:val="none" w:sz="0" w:space="0" w:color="auto"/>
        <w:bottom w:val="none" w:sz="0" w:space="0" w:color="auto"/>
        <w:right w:val="none" w:sz="0" w:space="0" w:color="auto"/>
      </w:divBdr>
    </w:div>
    <w:div w:id="1057240905">
      <w:bodyDiv w:val="1"/>
      <w:marLeft w:val="0"/>
      <w:marRight w:val="0"/>
      <w:marTop w:val="0"/>
      <w:marBottom w:val="0"/>
      <w:divBdr>
        <w:top w:val="none" w:sz="0" w:space="0" w:color="auto"/>
        <w:left w:val="none" w:sz="0" w:space="0" w:color="auto"/>
        <w:bottom w:val="none" w:sz="0" w:space="0" w:color="auto"/>
        <w:right w:val="none" w:sz="0" w:space="0" w:color="auto"/>
      </w:divBdr>
    </w:div>
    <w:div w:id="1060254518">
      <w:bodyDiv w:val="1"/>
      <w:marLeft w:val="0"/>
      <w:marRight w:val="0"/>
      <w:marTop w:val="0"/>
      <w:marBottom w:val="0"/>
      <w:divBdr>
        <w:top w:val="none" w:sz="0" w:space="0" w:color="auto"/>
        <w:left w:val="none" w:sz="0" w:space="0" w:color="auto"/>
        <w:bottom w:val="none" w:sz="0" w:space="0" w:color="auto"/>
        <w:right w:val="none" w:sz="0" w:space="0" w:color="auto"/>
      </w:divBdr>
    </w:div>
    <w:div w:id="1062172636">
      <w:bodyDiv w:val="1"/>
      <w:marLeft w:val="0"/>
      <w:marRight w:val="0"/>
      <w:marTop w:val="0"/>
      <w:marBottom w:val="0"/>
      <w:divBdr>
        <w:top w:val="none" w:sz="0" w:space="0" w:color="auto"/>
        <w:left w:val="none" w:sz="0" w:space="0" w:color="auto"/>
        <w:bottom w:val="none" w:sz="0" w:space="0" w:color="auto"/>
        <w:right w:val="none" w:sz="0" w:space="0" w:color="auto"/>
      </w:divBdr>
    </w:div>
    <w:div w:id="1070351087">
      <w:bodyDiv w:val="1"/>
      <w:marLeft w:val="0"/>
      <w:marRight w:val="0"/>
      <w:marTop w:val="0"/>
      <w:marBottom w:val="0"/>
      <w:divBdr>
        <w:top w:val="none" w:sz="0" w:space="0" w:color="auto"/>
        <w:left w:val="none" w:sz="0" w:space="0" w:color="auto"/>
        <w:bottom w:val="none" w:sz="0" w:space="0" w:color="auto"/>
        <w:right w:val="none" w:sz="0" w:space="0" w:color="auto"/>
      </w:divBdr>
    </w:div>
    <w:div w:id="1071386822">
      <w:bodyDiv w:val="1"/>
      <w:marLeft w:val="0"/>
      <w:marRight w:val="0"/>
      <w:marTop w:val="0"/>
      <w:marBottom w:val="0"/>
      <w:divBdr>
        <w:top w:val="none" w:sz="0" w:space="0" w:color="auto"/>
        <w:left w:val="none" w:sz="0" w:space="0" w:color="auto"/>
        <w:bottom w:val="none" w:sz="0" w:space="0" w:color="auto"/>
        <w:right w:val="none" w:sz="0" w:space="0" w:color="auto"/>
      </w:divBdr>
    </w:div>
    <w:div w:id="1073744243">
      <w:bodyDiv w:val="1"/>
      <w:marLeft w:val="0"/>
      <w:marRight w:val="0"/>
      <w:marTop w:val="0"/>
      <w:marBottom w:val="0"/>
      <w:divBdr>
        <w:top w:val="none" w:sz="0" w:space="0" w:color="auto"/>
        <w:left w:val="none" w:sz="0" w:space="0" w:color="auto"/>
        <w:bottom w:val="none" w:sz="0" w:space="0" w:color="auto"/>
        <w:right w:val="none" w:sz="0" w:space="0" w:color="auto"/>
      </w:divBdr>
    </w:div>
    <w:div w:id="1074206397">
      <w:bodyDiv w:val="1"/>
      <w:marLeft w:val="0"/>
      <w:marRight w:val="0"/>
      <w:marTop w:val="0"/>
      <w:marBottom w:val="0"/>
      <w:divBdr>
        <w:top w:val="none" w:sz="0" w:space="0" w:color="auto"/>
        <w:left w:val="none" w:sz="0" w:space="0" w:color="auto"/>
        <w:bottom w:val="none" w:sz="0" w:space="0" w:color="auto"/>
        <w:right w:val="none" w:sz="0" w:space="0" w:color="auto"/>
      </w:divBdr>
    </w:div>
    <w:div w:id="1076589202">
      <w:bodyDiv w:val="1"/>
      <w:marLeft w:val="0"/>
      <w:marRight w:val="0"/>
      <w:marTop w:val="0"/>
      <w:marBottom w:val="0"/>
      <w:divBdr>
        <w:top w:val="none" w:sz="0" w:space="0" w:color="auto"/>
        <w:left w:val="none" w:sz="0" w:space="0" w:color="auto"/>
        <w:bottom w:val="none" w:sz="0" w:space="0" w:color="auto"/>
        <w:right w:val="none" w:sz="0" w:space="0" w:color="auto"/>
      </w:divBdr>
    </w:div>
    <w:div w:id="1082458328">
      <w:bodyDiv w:val="1"/>
      <w:marLeft w:val="0"/>
      <w:marRight w:val="0"/>
      <w:marTop w:val="0"/>
      <w:marBottom w:val="0"/>
      <w:divBdr>
        <w:top w:val="none" w:sz="0" w:space="0" w:color="auto"/>
        <w:left w:val="none" w:sz="0" w:space="0" w:color="auto"/>
        <w:bottom w:val="none" w:sz="0" w:space="0" w:color="auto"/>
        <w:right w:val="none" w:sz="0" w:space="0" w:color="auto"/>
      </w:divBdr>
    </w:div>
    <w:div w:id="1083993501">
      <w:bodyDiv w:val="1"/>
      <w:marLeft w:val="0"/>
      <w:marRight w:val="0"/>
      <w:marTop w:val="0"/>
      <w:marBottom w:val="0"/>
      <w:divBdr>
        <w:top w:val="none" w:sz="0" w:space="0" w:color="auto"/>
        <w:left w:val="none" w:sz="0" w:space="0" w:color="auto"/>
        <w:bottom w:val="none" w:sz="0" w:space="0" w:color="auto"/>
        <w:right w:val="none" w:sz="0" w:space="0" w:color="auto"/>
      </w:divBdr>
    </w:div>
    <w:div w:id="1092506971">
      <w:bodyDiv w:val="1"/>
      <w:marLeft w:val="0"/>
      <w:marRight w:val="0"/>
      <w:marTop w:val="0"/>
      <w:marBottom w:val="0"/>
      <w:divBdr>
        <w:top w:val="none" w:sz="0" w:space="0" w:color="auto"/>
        <w:left w:val="none" w:sz="0" w:space="0" w:color="auto"/>
        <w:bottom w:val="none" w:sz="0" w:space="0" w:color="auto"/>
        <w:right w:val="none" w:sz="0" w:space="0" w:color="auto"/>
      </w:divBdr>
    </w:div>
    <w:div w:id="1094982995">
      <w:bodyDiv w:val="1"/>
      <w:marLeft w:val="0"/>
      <w:marRight w:val="0"/>
      <w:marTop w:val="0"/>
      <w:marBottom w:val="0"/>
      <w:divBdr>
        <w:top w:val="none" w:sz="0" w:space="0" w:color="auto"/>
        <w:left w:val="none" w:sz="0" w:space="0" w:color="auto"/>
        <w:bottom w:val="none" w:sz="0" w:space="0" w:color="auto"/>
        <w:right w:val="none" w:sz="0" w:space="0" w:color="auto"/>
      </w:divBdr>
    </w:div>
    <w:div w:id="1095516186">
      <w:bodyDiv w:val="1"/>
      <w:marLeft w:val="0"/>
      <w:marRight w:val="0"/>
      <w:marTop w:val="0"/>
      <w:marBottom w:val="0"/>
      <w:divBdr>
        <w:top w:val="none" w:sz="0" w:space="0" w:color="auto"/>
        <w:left w:val="none" w:sz="0" w:space="0" w:color="auto"/>
        <w:bottom w:val="none" w:sz="0" w:space="0" w:color="auto"/>
        <w:right w:val="none" w:sz="0" w:space="0" w:color="auto"/>
      </w:divBdr>
    </w:div>
    <w:div w:id="1097286703">
      <w:bodyDiv w:val="1"/>
      <w:marLeft w:val="0"/>
      <w:marRight w:val="0"/>
      <w:marTop w:val="0"/>
      <w:marBottom w:val="0"/>
      <w:divBdr>
        <w:top w:val="none" w:sz="0" w:space="0" w:color="auto"/>
        <w:left w:val="none" w:sz="0" w:space="0" w:color="auto"/>
        <w:bottom w:val="none" w:sz="0" w:space="0" w:color="auto"/>
        <w:right w:val="none" w:sz="0" w:space="0" w:color="auto"/>
      </w:divBdr>
    </w:div>
    <w:div w:id="1097599654">
      <w:bodyDiv w:val="1"/>
      <w:marLeft w:val="0"/>
      <w:marRight w:val="0"/>
      <w:marTop w:val="0"/>
      <w:marBottom w:val="0"/>
      <w:divBdr>
        <w:top w:val="none" w:sz="0" w:space="0" w:color="auto"/>
        <w:left w:val="none" w:sz="0" w:space="0" w:color="auto"/>
        <w:bottom w:val="none" w:sz="0" w:space="0" w:color="auto"/>
        <w:right w:val="none" w:sz="0" w:space="0" w:color="auto"/>
      </w:divBdr>
    </w:div>
    <w:div w:id="1104954678">
      <w:bodyDiv w:val="1"/>
      <w:marLeft w:val="0"/>
      <w:marRight w:val="0"/>
      <w:marTop w:val="0"/>
      <w:marBottom w:val="0"/>
      <w:divBdr>
        <w:top w:val="none" w:sz="0" w:space="0" w:color="auto"/>
        <w:left w:val="none" w:sz="0" w:space="0" w:color="auto"/>
        <w:bottom w:val="none" w:sz="0" w:space="0" w:color="auto"/>
        <w:right w:val="none" w:sz="0" w:space="0" w:color="auto"/>
      </w:divBdr>
    </w:div>
    <w:div w:id="1110710426">
      <w:bodyDiv w:val="1"/>
      <w:marLeft w:val="0"/>
      <w:marRight w:val="0"/>
      <w:marTop w:val="0"/>
      <w:marBottom w:val="0"/>
      <w:divBdr>
        <w:top w:val="none" w:sz="0" w:space="0" w:color="auto"/>
        <w:left w:val="none" w:sz="0" w:space="0" w:color="auto"/>
        <w:bottom w:val="none" w:sz="0" w:space="0" w:color="auto"/>
        <w:right w:val="none" w:sz="0" w:space="0" w:color="auto"/>
      </w:divBdr>
    </w:div>
    <w:div w:id="1111626773">
      <w:bodyDiv w:val="1"/>
      <w:marLeft w:val="0"/>
      <w:marRight w:val="0"/>
      <w:marTop w:val="0"/>
      <w:marBottom w:val="0"/>
      <w:divBdr>
        <w:top w:val="none" w:sz="0" w:space="0" w:color="auto"/>
        <w:left w:val="none" w:sz="0" w:space="0" w:color="auto"/>
        <w:bottom w:val="none" w:sz="0" w:space="0" w:color="auto"/>
        <w:right w:val="none" w:sz="0" w:space="0" w:color="auto"/>
      </w:divBdr>
    </w:div>
    <w:div w:id="1111705993">
      <w:bodyDiv w:val="1"/>
      <w:marLeft w:val="0"/>
      <w:marRight w:val="0"/>
      <w:marTop w:val="0"/>
      <w:marBottom w:val="0"/>
      <w:divBdr>
        <w:top w:val="none" w:sz="0" w:space="0" w:color="auto"/>
        <w:left w:val="none" w:sz="0" w:space="0" w:color="auto"/>
        <w:bottom w:val="none" w:sz="0" w:space="0" w:color="auto"/>
        <w:right w:val="none" w:sz="0" w:space="0" w:color="auto"/>
      </w:divBdr>
    </w:div>
    <w:div w:id="1122503007">
      <w:bodyDiv w:val="1"/>
      <w:marLeft w:val="0"/>
      <w:marRight w:val="0"/>
      <w:marTop w:val="0"/>
      <w:marBottom w:val="0"/>
      <w:divBdr>
        <w:top w:val="none" w:sz="0" w:space="0" w:color="auto"/>
        <w:left w:val="none" w:sz="0" w:space="0" w:color="auto"/>
        <w:bottom w:val="none" w:sz="0" w:space="0" w:color="auto"/>
        <w:right w:val="none" w:sz="0" w:space="0" w:color="auto"/>
      </w:divBdr>
    </w:div>
    <w:div w:id="1132089716">
      <w:bodyDiv w:val="1"/>
      <w:marLeft w:val="0"/>
      <w:marRight w:val="0"/>
      <w:marTop w:val="0"/>
      <w:marBottom w:val="0"/>
      <w:divBdr>
        <w:top w:val="none" w:sz="0" w:space="0" w:color="auto"/>
        <w:left w:val="none" w:sz="0" w:space="0" w:color="auto"/>
        <w:bottom w:val="none" w:sz="0" w:space="0" w:color="auto"/>
        <w:right w:val="none" w:sz="0" w:space="0" w:color="auto"/>
      </w:divBdr>
    </w:div>
    <w:div w:id="1138690867">
      <w:bodyDiv w:val="1"/>
      <w:marLeft w:val="0"/>
      <w:marRight w:val="0"/>
      <w:marTop w:val="0"/>
      <w:marBottom w:val="0"/>
      <w:divBdr>
        <w:top w:val="none" w:sz="0" w:space="0" w:color="auto"/>
        <w:left w:val="none" w:sz="0" w:space="0" w:color="auto"/>
        <w:bottom w:val="none" w:sz="0" w:space="0" w:color="auto"/>
        <w:right w:val="none" w:sz="0" w:space="0" w:color="auto"/>
      </w:divBdr>
    </w:div>
    <w:div w:id="1144927913">
      <w:bodyDiv w:val="1"/>
      <w:marLeft w:val="0"/>
      <w:marRight w:val="0"/>
      <w:marTop w:val="0"/>
      <w:marBottom w:val="0"/>
      <w:divBdr>
        <w:top w:val="none" w:sz="0" w:space="0" w:color="auto"/>
        <w:left w:val="none" w:sz="0" w:space="0" w:color="auto"/>
        <w:bottom w:val="none" w:sz="0" w:space="0" w:color="auto"/>
        <w:right w:val="none" w:sz="0" w:space="0" w:color="auto"/>
      </w:divBdr>
    </w:div>
    <w:div w:id="1152986808">
      <w:bodyDiv w:val="1"/>
      <w:marLeft w:val="0"/>
      <w:marRight w:val="0"/>
      <w:marTop w:val="0"/>
      <w:marBottom w:val="0"/>
      <w:divBdr>
        <w:top w:val="none" w:sz="0" w:space="0" w:color="auto"/>
        <w:left w:val="none" w:sz="0" w:space="0" w:color="auto"/>
        <w:bottom w:val="none" w:sz="0" w:space="0" w:color="auto"/>
        <w:right w:val="none" w:sz="0" w:space="0" w:color="auto"/>
      </w:divBdr>
    </w:div>
    <w:div w:id="1165433946">
      <w:bodyDiv w:val="1"/>
      <w:marLeft w:val="0"/>
      <w:marRight w:val="0"/>
      <w:marTop w:val="0"/>
      <w:marBottom w:val="0"/>
      <w:divBdr>
        <w:top w:val="none" w:sz="0" w:space="0" w:color="auto"/>
        <w:left w:val="none" w:sz="0" w:space="0" w:color="auto"/>
        <w:bottom w:val="none" w:sz="0" w:space="0" w:color="auto"/>
        <w:right w:val="none" w:sz="0" w:space="0" w:color="auto"/>
      </w:divBdr>
    </w:div>
    <w:div w:id="1166478711">
      <w:bodyDiv w:val="1"/>
      <w:marLeft w:val="0"/>
      <w:marRight w:val="0"/>
      <w:marTop w:val="0"/>
      <w:marBottom w:val="0"/>
      <w:divBdr>
        <w:top w:val="none" w:sz="0" w:space="0" w:color="auto"/>
        <w:left w:val="none" w:sz="0" w:space="0" w:color="auto"/>
        <w:bottom w:val="none" w:sz="0" w:space="0" w:color="auto"/>
        <w:right w:val="none" w:sz="0" w:space="0" w:color="auto"/>
      </w:divBdr>
    </w:div>
    <w:div w:id="1168250912">
      <w:bodyDiv w:val="1"/>
      <w:marLeft w:val="0"/>
      <w:marRight w:val="0"/>
      <w:marTop w:val="0"/>
      <w:marBottom w:val="0"/>
      <w:divBdr>
        <w:top w:val="none" w:sz="0" w:space="0" w:color="auto"/>
        <w:left w:val="none" w:sz="0" w:space="0" w:color="auto"/>
        <w:bottom w:val="none" w:sz="0" w:space="0" w:color="auto"/>
        <w:right w:val="none" w:sz="0" w:space="0" w:color="auto"/>
      </w:divBdr>
    </w:div>
    <w:div w:id="1172378431">
      <w:bodyDiv w:val="1"/>
      <w:marLeft w:val="0"/>
      <w:marRight w:val="0"/>
      <w:marTop w:val="0"/>
      <w:marBottom w:val="0"/>
      <w:divBdr>
        <w:top w:val="none" w:sz="0" w:space="0" w:color="auto"/>
        <w:left w:val="none" w:sz="0" w:space="0" w:color="auto"/>
        <w:bottom w:val="none" w:sz="0" w:space="0" w:color="auto"/>
        <w:right w:val="none" w:sz="0" w:space="0" w:color="auto"/>
      </w:divBdr>
    </w:div>
    <w:div w:id="1172913098">
      <w:bodyDiv w:val="1"/>
      <w:marLeft w:val="0"/>
      <w:marRight w:val="0"/>
      <w:marTop w:val="0"/>
      <w:marBottom w:val="0"/>
      <w:divBdr>
        <w:top w:val="none" w:sz="0" w:space="0" w:color="auto"/>
        <w:left w:val="none" w:sz="0" w:space="0" w:color="auto"/>
        <w:bottom w:val="none" w:sz="0" w:space="0" w:color="auto"/>
        <w:right w:val="none" w:sz="0" w:space="0" w:color="auto"/>
      </w:divBdr>
    </w:div>
    <w:div w:id="1173955413">
      <w:bodyDiv w:val="1"/>
      <w:marLeft w:val="0"/>
      <w:marRight w:val="0"/>
      <w:marTop w:val="0"/>
      <w:marBottom w:val="0"/>
      <w:divBdr>
        <w:top w:val="none" w:sz="0" w:space="0" w:color="auto"/>
        <w:left w:val="none" w:sz="0" w:space="0" w:color="auto"/>
        <w:bottom w:val="none" w:sz="0" w:space="0" w:color="auto"/>
        <w:right w:val="none" w:sz="0" w:space="0" w:color="auto"/>
      </w:divBdr>
    </w:div>
    <w:div w:id="1181549406">
      <w:bodyDiv w:val="1"/>
      <w:marLeft w:val="0"/>
      <w:marRight w:val="0"/>
      <w:marTop w:val="0"/>
      <w:marBottom w:val="0"/>
      <w:divBdr>
        <w:top w:val="none" w:sz="0" w:space="0" w:color="auto"/>
        <w:left w:val="none" w:sz="0" w:space="0" w:color="auto"/>
        <w:bottom w:val="none" w:sz="0" w:space="0" w:color="auto"/>
        <w:right w:val="none" w:sz="0" w:space="0" w:color="auto"/>
      </w:divBdr>
    </w:div>
    <w:div w:id="1183477853">
      <w:bodyDiv w:val="1"/>
      <w:marLeft w:val="0"/>
      <w:marRight w:val="0"/>
      <w:marTop w:val="0"/>
      <w:marBottom w:val="0"/>
      <w:divBdr>
        <w:top w:val="none" w:sz="0" w:space="0" w:color="auto"/>
        <w:left w:val="none" w:sz="0" w:space="0" w:color="auto"/>
        <w:bottom w:val="none" w:sz="0" w:space="0" w:color="auto"/>
        <w:right w:val="none" w:sz="0" w:space="0" w:color="auto"/>
      </w:divBdr>
    </w:div>
    <w:div w:id="1183516341">
      <w:bodyDiv w:val="1"/>
      <w:marLeft w:val="0"/>
      <w:marRight w:val="0"/>
      <w:marTop w:val="0"/>
      <w:marBottom w:val="0"/>
      <w:divBdr>
        <w:top w:val="none" w:sz="0" w:space="0" w:color="auto"/>
        <w:left w:val="none" w:sz="0" w:space="0" w:color="auto"/>
        <w:bottom w:val="none" w:sz="0" w:space="0" w:color="auto"/>
        <w:right w:val="none" w:sz="0" w:space="0" w:color="auto"/>
      </w:divBdr>
    </w:div>
    <w:div w:id="1197546513">
      <w:bodyDiv w:val="1"/>
      <w:marLeft w:val="0"/>
      <w:marRight w:val="0"/>
      <w:marTop w:val="0"/>
      <w:marBottom w:val="0"/>
      <w:divBdr>
        <w:top w:val="none" w:sz="0" w:space="0" w:color="auto"/>
        <w:left w:val="none" w:sz="0" w:space="0" w:color="auto"/>
        <w:bottom w:val="none" w:sz="0" w:space="0" w:color="auto"/>
        <w:right w:val="none" w:sz="0" w:space="0" w:color="auto"/>
      </w:divBdr>
    </w:div>
    <w:div w:id="1204752729">
      <w:bodyDiv w:val="1"/>
      <w:marLeft w:val="0"/>
      <w:marRight w:val="0"/>
      <w:marTop w:val="0"/>
      <w:marBottom w:val="0"/>
      <w:divBdr>
        <w:top w:val="none" w:sz="0" w:space="0" w:color="auto"/>
        <w:left w:val="none" w:sz="0" w:space="0" w:color="auto"/>
        <w:bottom w:val="none" w:sz="0" w:space="0" w:color="auto"/>
        <w:right w:val="none" w:sz="0" w:space="0" w:color="auto"/>
      </w:divBdr>
    </w:div>
    <w:div w:id="1212695043">
      <w:bodyDiv w:val="1"/>
      <w:marLeft w:val="0"/>
      <w:marRight w:val="0"/>
      <w:marTop w:val="0"/>
      <w:marBottom w:val="0"/>
      <w:divBdr>
        <w:top w:val="none" w:sz="0" w:space="0" w:color="auto"/>
        <w:left w:val="none" w:sz="0" w:space="0" w:color="auto"/>
        <w:bottom w:val="none" w:sz="0" w:space="0" w:color="auto"/>
        <w:right w:val="none" w:sz="0" w:space="0" w:color="auto"/>
      </w:divBdr>
    </w:div>
    <w:div w:id="1214273007">
      <w:bodyDiv w:val="1"/>
      <w:marLeft w:val="0"/>
      <w:marRight w:val="0"/>
      <w:marTop w:val="0"/>
      <w:marBottom w:val="0"/>
      <w:divBdr>
        <w:top w:val="none" w:sz="0" w:space="0" w:color="auto"/>
        <w:left w:val="none" w:sz="0" w:space="0" w:color="auto"/>
        <w:bottom w:val="none" w:sz="0" w:space="0" w:color="auto"/>
        <w:right w:val="none" w:sz="0" w:space="0" w:color="auto"/>
      </w:divBdr>
    </w:div>
    <w:div w:id="1218475223">
      <w:bodyDiv w:val="1"/>
      <w:marLeft w:val="0"/>
      <w:marRight w:val="0"/>
      <w:marTop w:val="0"/>
      <w:marBottom w:val="0"/>
      <w:divBdr>
        <w:top w:val="none" w:sz="0" w:space="0" w:color="auto"/>
        <w:left w:val="none" w:sz="0" w:space="0" w:color="auto"/>
        <w:bottom w:val="none" w:sz="0" w:space="0" w:color="auto"/>
        <w:right w:val="none" w:sz="0" w:space="0" w:color="auto"/>
      </w:divBdr>
    </w:div>
    <w:div w:id="1219828590">
      <w:bodyDiv w:val="1"/>
      <w:marLeft w:val="0"/>
      <w:marRight w:val="0"/>
      <w:marTop w:val="0"/>
      <w:marBottom w:val="0"/>
      <w:divBdr>
        <w:top w:val="none" w:sz="0" w:space="0" w:color="auto"/>
        <w:left w:val="none" w:sz="0" w:space="0" w:color="auto"/>
        <w:bottom w:val="none" w:sz="0" w:space="0" w:color="auto"/>
        <w:right w:val="none" w:sz="0" w:space="0" w:color="auto"/>
      </w:divBdr>
    </w:div>
    <w:div w:id="1220746589">
      <w:bodyDiv w:val="1"/>
      <w:marLeft w:val="0"/>
      <w:marRight w:val="0"/>
      <w:marTop w:val="0"/>
      <w:marBottom w:val="0"/>
      <w:divBdr>
        <w:top w:val="none" w:sz="0" w:space="0" w:color="auto"/>
        <w:left w:val="none" w:sz="0" w:space="0" w:color="auto"/>
        <w:bottom w:val="none" w:sz="0" w:space="0" w:color="auto"/>
        <w:right w:val="none" w:sz="0" w:space="0" w:color="auto"/>
      </w:divBdr>
    </w:div>
    <w:div w:id="1223296180">
      <w:bodyDiv w:val="1"/>
      <w:marLeft w:val="0"/>
      <w:marRight w:val="0"/>
      <w:marTop w:val="0"/>
      <w:marBottom w:val="0"/>
      <w:divBdr>
        <w:top w:val="none" w:sz="0" w:space="0" w:color="auto"/>
        <w:left w:val="none" w:sz="0" w:space="0" w:color="auto"/>
        <w:bottom w:val="none" w:sz="0" w:space="0" w:color="auto"/>
        <w:right w:val="none" w:sz="0" w:space="0" w:color="auto"/>
      </w:divBdr>
    </w:div>
    <w:div w:id="1229877172">
      <w:bodyDiv w:val="1"/>
      <w:marLeft w:val="0"/>
      <w:marRight w:val="0"/>
      <w:marTop w:val="0"/>
      <w:marBottom w:val="0"/>
      <w:divBdr>
        <w:top w:val="none" w:sz="0" w:space="0" w:color="auto"/>
        <w:left w:val="none" w:sz="0" w:space="0" w:color="auto"/>
        <w:bottom w:val="none" w:sz="0" w:space="0" w:color="auto"/>
        <w:right w:val="none" w:sz="0" w:space="0" w:color="auto"/>
      </w:divBdr>
    </w:div>
    <w:div w:id="1233539151">
      <w:bodyDiv w:val="1"/>
      <w:marLeft w:val="0"/>
      <w:marRight w:val="0"/>
      <w:marTop w:val="0"/>
      <w:marBottom w:val="0"/>
      <w:divBdr>
        <w:top w:val="none" w:sz="0" w:space="0" w:color="auto"/>
        <w:left w:val="none" w:sz="0" w:space="0" w:color="auto"/>
        <w:bottom w:val="none" w:sz="0" w:space="0" w:color="auto"/>
        <w:right w:val="none" w:sz="0" w:space="0" w:color="auto"/>
      </w:divBdr>
    </w:div>
    <w:div w:id="1234584403">
      <w:bodyDiv w:val="1"/>
      <w:marLeft w:val="0"/>
      <w:marRight w:val="0"/>
      <w:marTop w:val="0"/>
      <w:marBottom w:val="0"/>
      <w:divBdr>
        <w:top w:val="none" w:sz="0" w:space="0" w:color="auto"/>
        <w:left w:val="none" w:sz="0" w:space="0" w:color="auto"/>
        <w:bottom w:val="none" w:sz="0" w:space="0" w:color="auto"/>
        <w:right w:val="none" w:sz="0" w:space="0" w:color="auto"/>
      </w:divBdr>
    </w:div>
    <w:div w:id="1234923710">
      <w:bodyDiv w:val="1"/>
      <w:marLeft w:val="0"/>
      <w:marRight w:val="0"/>
      <w:marTop w:val="0"/>
      <w:marBottom w:val="0"/>
      <w:divBdr>
        <w:top w:val="none" w:sz="0" w:space="0" w:color="auto"/>
        <w:left w:val="none" w:sz="0" w:space="0" w:color="auto"/>
        <w:bottom w:val="none" w:sz="0" w:space="0" w:color="auto"/>
        <w:right w:val="none" w:sz="0" w:space="0" w:color="auto"/>
      </w:divBdr>
    </w:div>
    <w:div w:id="1237057808">
      <w:bodyDiv w:val="1"/>
      <w:marLeft w:val="0"/>
      <w:marRight w:val="0"/>
      <w:marTop w:val="0"/>
      <w:marBottom w:val="0"/>
      <w:divBdr>
        <w:top w:val="none" w:sz="0" w:space="0" w:color="auto"/>
        <w:left w:val="none" w:sz="0" w:space="0" w:color="auto"/>
        <w:bottom w:val="none" w:sz="0" w:space="0" w:color="auto"/>
        <w:right w:val="none" w:sz="0" w:space="0" w:color="auto"/>
      </w:divBdr>
    </w:div>
    <w:div w:id="1238051139">
      <w:bodyDiv w:val="1"/>
      <w:marLeft w:val="0"/>
      <w:marRight w:val="0"/>
      <w:marTop w:val="0"/>
      <w:marBottom w:val="0"/>
      <w:divBdr>
        <w:top w:val="none" w:sz="0" w:space="0" w:color="auto"/>
        <w:left w:val="none" w:sz="0" w:space="0" w:color="auto"/>
        <w:bottom w:val="none" w:sz="0" w:space="0" w:color="auto"/>
        <w:right w:val="none" w:sz="0" w:space="0" w:color="auto"/>
      </w:divBdr>
    </w:div>
    <w:div w:id="1239510646">
      <w:bodyDiv w:val="1"/>
      <w:marLeft w:val="0"/>
      <w:marRight w:val="0"/>
      <w:marTop w:val="0"/>
      <w:marBottom w:val="0"/>
      <w:divBdr>
        <w:top w:val="none" w:sz="0" w:space="0" w:color="auto"/>
        <w:left w:val="none" w:sz="0" w:space="0" w:color="auto"/>
        <w:bottom w:val="none" w:sz="0" w:space="0" w:color="auto"/>
        <w:right w:val="none" w:sz="0" w:space="0" w:color="auto"/>
      </w:divBdr>
    </w:div>
    <w:div w:id="1243486081">
      <w:bodyDiv w:val="1"/>
      <w:marLeft w:val="0"/>
      <w:marRight w:val="0"/>
      <w:marTop w:val="0"/>
      <w:marBottom w:val="0"/>
      <w:divBdr>
        <w:top w:val="none" w:sz="0" w:space="0" w:color="auto"/>
        <w:left w:val="none" w:sz="0" w:space="0" w:color="auto"/>
        <w:bottom w:val="none" w:sz="0" w:space="0" w:color="auto"/>
        <w:right w:val="none" w:sz="0" w:space="0" w:color="auto"/>
      </w:divBdr>
    </w:div>
    <w:div w:id="1244532147">
      <w:bodyDiv w:val="1"/>
      <w:marLeft w:val="0"/>
      <w:marRight w:val="0"/>
      <w:marTop w:val="0"/>
      <w:marBottom w:val="0"/>
      <w:divBdr>
        <w:top w:val="none" w:sz="0" w:space="0" w:color="auto"/>
        <w:left w:val="none" w:sz="0" w:space="0" w:color="auto"/>
        <w:bottom w:val="none" w:sz="0" w:space="0" w:color="auto"/>
        <w:right w:val="none" w:sz="0" w:space="0" w:color="auto"/>
      </w:divBdr>
    </w:div>
    <w:div w:id="1245651812">
      <w:bodyDiv w:val="1"/>
      <w:marLeft w:val="0"/>
      <w:marRight w:val="0"/>
      <w:marTop w:val="0"/>
      <w:marBottom w:val="0"/>
      <w:divBdr>
        <w:top w:val="none" w:sz="0" w:space="0" w:color="auto"/>
        <w:left w:val="none" w:sz="0" w:space="0" w:color="auto"/>
        <w:bottom w:val="none" w:sz="0" w:space="0" w:color="auto"/>
        <w:right w:val="none" w:sz="0" w:space="0" w:color="auto"/>
      </w:divBdr>
    </w:div>
    <w:div w:id="1245725550">
      <w:bodyDiv w:val="1"/>
      <w:marLeft w:val="0"/>
      <w:marRight w:val="0"/>
      <w:marTop w:val="0"/>
      <w:marBottom w:val="0"/>
      <w:divBdr>
        <w:top w:val="none" w:sz="0" w:space="0" w:color="auto"/>
        <w:left w:val="none" w:sz="0" w:space="0" w:color="auto"/>
        <w:bottom w:val="none" w:sz="0" w:space="0" w:color="auto"/>
        <w:right w:val="none" w:sz="0" w:space="0" w:color="auto"/>
      </w:divBdr>
    </w:div>
    <w:div w:id="1252080021">
      <w:bodyDiv w:val="1"/>
      <w:marLeft w:val="0"/>
      <w:marRight w:val="0"/>
      <w:marTop w:val="0"/>
      <w:marBottom w:val="0"/>
      <w:divBdr>
        <w:top w:val="none" w:sz="0" w:space="0" w:color="auto"/>
        <w:left w:val="none" w:sz="0" w:space="0" w:color="auto"/>
        <w:bottom w:val="none" w:sz="0" w:space="0" w:color="auto"/>
        <w:right w:val="none" w:sz="0" w:space="0" w:color="auto"/>
      </w:divBdr>
    </w:div>
    <w:div w:id="1267809899">
      <w:bodyDiv w:val="1"/>
      <w:marLeft w:val="0"/>
      <w:marRight w:val="0"/>
      <w:marTop w:val="0"/>
      <w:marBottom w:val="0"/>
      <w:divBdr>
        <w:top w:val="none" w:sz="0" w:space="0" w:color="auto"/>
        <w:left w:val="none" w:sz="0" w:space="0" w:color="auto"/>
        <w:bottom w:val="none" w:sz="0" w:space="0" w:color="auto"/>
        <w:right w:val="none" w:sz="0" w:space="0" w:color="auto"/>
      </w:divBdr>
    </w:div>
    <w:div w:id="1270549457">
      <w:bodyDiv w:val="1"/>
      <w:marLeft w:val="0"/>
      <w:marRight w:val="0"/>
      <w:marTop w:val="0"/>
      <w:marBottom w:val="0"/>
      <w:divBdr>
        <w:top w:val="none" w:sz="0" w:space="0" w:color="auto"/>
        <w:left w:val="none" w:sz="0" w:space="0" w:color="auto"/>
        <w:bottom w:val="none" w:sz="0" w:space="0" w:color="auto"/>
        <w:right w:val="none" w:sz="0" w:space="0" w:color="auto"/>
      </w:divBdr>
    </w:div>
    <w:div w:id="1273512865">
      <w:bodyDiv w:val="1"/>
      <w:marLeft w:val="0"/>
      <w:marRight w:val="0"/>
      <w:marTop w:val="0"/>
      <w:marBottom w:val="0"/>
      <w:divBdr>
        <w:top w:val="none" w:sz="0" w:space="0" w:color="auto"/>
        <w:left w:val="none" w:sz="0" w:space="0" w:color="auto"/>
        <w:bottom w:val="none" w:sz="0" w:space="0" w:color="auto"/>
        <w:right w:val="none" w:sz="0" w:space="0" w:color="auto"/>
      </w:divBdr>
    </w:div>
    <w:div w:id="1278023075">
      <w:bodyDiv w:val="1"/>
      <w:marLeft w:val="0"/>
      <w:marRight w:val="0"/>
      <w:marTop w:val="0"/>
      <w:marBottom w:val="0"/>
      <w:divBdr>
        <w:top w:val="none" w:sz="0" w:space="0" w:color="auto"/>
        <w:left w:val="none" w:sz="0" w:space="0" w:color="auto"/>
        <w:bottom w:val="none" w:sz="0" w:space="0" w:color="auto"/>
        <w:right w:val="none" w:sz="0" w:space="0" w:color="auto"/>
      </w:divBdr>
    </w:div>
    <w:div w:id="1280260191">
      <w:bodyDiv w:val="1"/>
      <w:marLeft w:val="0"/>
      <w:marRight w:val="0"/>
      <w:marTop w:val="0"/>
      <w:marBottom w:val="0"/>
      <w:divBdr>
        <w:top w:val="none" w:sz="0" w:space="0" w:color="auto"/>
        <w:left w:val="none" w:sz="0" w:space="0" w:color="auto"/>
        <w:bottom w:val="none" w:sz="0" w:space="0" w:color="auto"/>
        <w:right w:val="none" w:sz="0" w:space="0" w:color="auto"/>
      </w:divBdr>
    </w:div>
    <w:div w:id="1283802431">
      <w:bodyDiv w:val="1"/>
      <w:marLeft w:val="0"/>
      <w:marRight w:val="0"/>
      <w:marTop w:val="0"/>
      <w:marBottom w:val="0"/>
      <w:divBdr>
        <w:top w:val="none" w:sz="0" w:space="0" w:color="auto"/>
        <w:left w:val="none" w:sz="0" w:space="0" w:color="auto"/>
        <w:bottom w:val="none" w:sz="0" w:space="0" w:color="auto"/>
        <w:right w:val="none" w:sz="0" w:space="0" w:color="auto"/>
      </w:divBdr>
    </w:div>
    <w:div w:id="1284462998">
      <w:bodyDiv w:val="1"/>
      <w:marLeft w:val="0"/>
      <w:marRight w:val="0"/>
      <w:marTop w:val="0"/>
      <w:marBottom w:val="0"/>
      <w:divBdr>
        <w:top w:val="none" w:sz="0" w:space="0" w:color="auto"/>
        <w:left w:val="none" w:sz="0" w:space="0" w:color="auto"/>
        <w:bottom w:val="none" w:sz="0" w:space="0" w:color="auto"/>
        <w:right w:val="none" w:sz="0" w:space="0" w:color="auto"/>
      </w:divBdr>
    </w:div>
    <w:div w:id="1291939384">
      <w:bodyDiv w:val="1"/>
      <w:marLeft w:val="0"/>
      <w:marRight w:val="0"/>
      <w:marTop w:val="0"/>
      <w:marBottom w:val="0"/>
      <w:divBdr>
        <w:top w:val="none" w:sz="0" w:space="0" w:color="auto"/>
        <w:left w:val="none" w:sz="0" w:space="0" w:color="auto"/>
        <w:bottom w:val="none" w:sz="0" w:space="0" w:color="auto"/>
        <w:right w:val="none" w:sz="0" w:space="0" w:color="auto"/>
      </w:divBdr>
    </w:div>
    <w:div w:id="1293755922">
      <w:bodyDiv w:val="1"/>
      <w:marLeft w:val="0"/>
      <w:marRight w:val="0"/>
      <w:marTop w:val="0"/>
      <w:marBottom w:val="0"/>
      <w:divBdr>
        <w:top w:val="none" w:sz="0" w:space="0" w:color="auto"/>
        <w:left w:val="none" w:sz="0" w:space="0" w:color="auto"/>
        <w:bottom w:val="none" w:sz="0" w:space="0" w:color="auto"/>
        <w:right w:val="none" w:sz="0" w:space="0" w:color="auto"/>
      </w:divBdr>
    </w:div>
    <w:div w:id="1318342349">
      <w:bodyDiv w:val="1"/>
      <w:marLeft w:val="0"/>
      <w:marRight w:val="0"/>
      <w:marTop w:val="0"/>
      <w:marBottom w:val="0"/>
      <w:divBdr>
        <w:top w:val="none" w:sz="0" w:space="0" w:color="auto"/>
        <w:left w:val="none" w:sz="0" w:space="0" w:color="auto"/>
        <w:bottom w:val="none" w:sz="0" w:space="0" w:color="auto"/>
        <w:right w:val="none" w:sz="0" w:space="0" w:color="auto"/>
      </w:divBdr>
    </w:div>
    <w:div w:id="1319648687">
      <w:bodyDiv w:val="1"/>
      <w:marLeft w:val="0"/>
      <w:marRight w:val="0"/>
      <w:marTop w:val="0"/>
      <w:marBottom w:val="0"/>
      <w:divBdr>
        <w:top w:val="none" w:sz="0" w:space="0" w:color="auto"/>
        <w:left w:val="none" w:sz="0" w:space="0" w:color="auto"/>
        <w:bottom w:val="none" w:sz="0" w:space="0" w:color="auto"/>
        <w:right w:val="none" w:sz="0" w:space="0" w:color="auto"/>
      </w:divBdr>
    </w:div>
    <w:div w:id="1324506934">
      <w:bodyDiv w:val="1"/>
      <w:marLeft w:val="0"/>
      <w:marRight w:val="0"/>
      <w:marTop w:val="0"/>
      <w:marBottom w:val="0"/>
      <w:divBdr>
        <w:top w:val="none" w:sz="0" w:space="0" w:color="auto"/>
        <w:left w:val="none" w:sz="0" w:space="0" w:color="auto"/>
        <w:bottom w:val="none" w:sz="0" w:space="0" w:color="auto"/>
        <w:right w:val="none" w:sz="0" w:space="0" w:color="auto"/>
      </w:divBdr>
    </w:div>
    <w:div w:id="1326129511">
      <w:bodyDiv w:val="1"/>
      <w:marLeft w:val="0"/>
      <w:marRight w:val="0"/>
      <w:marTop w:val="0"/>
      <w:marBottom w:val="0"/>
      <w:divBdr>
        <w:top w:val="none" w:sz="0" w:space="0" w:color="auto"/>
        <w:left w:val="none" w:sz="0" w:space="0" w:color="auto"/>
        <w:bottom w:val="none" w:sz="0" w:space="0" w:color="auto"/>
        <w:right w:val="none" w:sz="0" w:space="0" w:color="auto"/>
      </w:divBdr>
    </w:div>
    <w:div w:id="1326469478">
      <w:bodyDiv w:val="1"/>
      <w:marLeft w:val="0"/>
      <w:marRight w:val="0"/>
      <w:marTop w:val="0"/>
      <w:marBottom w:val="0"/>
      <w:divBdr>
        <w:top w:val="none" w:sz="0" w:space="0" w:color="auto"/>
        <w:left w:val="none" w:sz="0" w:space="0" w:color="auto"/>
        <w:bottom w:val="none" w:sz="0" w:space="0" w:color="auto"/>
        <w:right w:val="none" w:sz="0" w:space="0" w:color="auto"/>
      </w:divBdr>
    </w:div>
    <w:div w:id="1327896924">
      <w:bodyDiv w:val="1"/>
      <w:marLeft w:val="0"/>
      <w:marRight w:val="0"/>
      <w:marTop w:val="0"/>
      <w:marBottom w:val="0"/>
      <w:divBdr>
        <w:top w:val="none" w:sz="0" w:space="0" w:color="auto"/>
        <w:left w:val="none" w:sz="0" w:space="0" w:color="auto"/>
        <w:bottom w:val="none" w:sz="0" w:space="0" w:color="auto"/>
        <w:right w:val="none" w:sz="0" w:space="0" w:color="auto"/>
      </w:divBdr>
    </w:div>
    <w:div w:id="1331909843">
      <w:bodyDiv w:val="1"/>
      <w:marLeft w:val="0"/>
      <w:marRight w:val="0"/>
      <w:marTop w:val="0"/>
      <w:marBottom w:val="0"/>
      <w:divBdr>
        <w:top w:val="none" w:sz="0" w:space="0" w:color="auto"/>
        <w:left w:val="none" w:sz="0" w:space="0" w:color="auto"/>
        <w:bottom w:val="none" w:sz="0" w:space="0" w:color="auto"/>
        <w:right w:val="none" w:sz="0" w:space="0" w:color="auto"/>
      </w:divBdr>
    </w:div>
    <w:div w:id="1332368645">
      <w:bodyDiv w:val="1"/>
      <w:marLeft w:val="0"/>
      <w:marRight w:val="0"/>
      <w:marTop w:val="0"/>
      <w:marBottom w:val="0"/>
      <w:divBdr>
        <w:top w:val="none" w:sz="0" w:space="0" w:color="auto"/>
        <w:left w:val="none" w:sz="0" w:space="0" w:color="auto"/>
        <w:bottom w:val="none" w:sz="0" w:space="0" w:color="auto"/>
        <w:right w:val="none" w:sz="0" w:space="0" w:color="auto"/>
      </w:divBdr>
    </w:div>
    <w:div w:id="1333334858">
      <w:bodyDiv w:val="1"/>
      <w:marLeft w:val="0"/>
      <w:marRight w:val="0"/>
      <w:marTop w:val="0"/>
      <w:marBottom w:val="0"/>
      <w:divBdr>
        <w:top w:val="none" w:sz="0" w:space="0" w:color="auto"/>
        <w:left w:val="none" w:sz="0" w:space="0" w:color="auto"/>
        <w:bottom w:val="none" w:sz="0" w:space="0" w:color="auto"/>
        <w:right w:val="none" w:sz="0" w:space="0" w:color="auto"/>
      </w:divBdr>
    </w:div>
    <w:div w:id="1334456545">
      <w:bodyDiv w:val="1"/>
      <w:marLeft w:val="0"/>
      <w:marRight w:val="0"/>
      <w:marTop w:val="0"/>
      <w:marBottom w:val="0"/>
      <w:divBdr>
        <w:top w:val="none" w:sz="0" w:space="0" w:color="auto"/>
        <w:left w:val="none" w:sz="0" w:space="0" w:color="auto"/>
        <w:bottom w:val="none" w:sz="0" w:space="0" w:color="auto"/>
        <w:right w:val="none" w:sz="0" w:space="0" w:color="auto"/>
      </w:divBdr>
    </w:div>
    <w:div w:id="1343438545">
      <w:bodyDiv w:val="1"/>
      <w:marLeft w:val="0"/>
      <w:marRight w:val="0"/>
      <w:marTop w:val="0"/>
      <w:marBottom w:val="0"/>
      <w:divBdr>
        <w:top w:val="none" w:sz="0" w:space="0" w:color="auto"/>
        <w:left w:val="none" w:sz="0" w:space="0" w:color="auto"/>
        <w:bottom w:val="none" w:sz="0" w:space="0" w:color="auto"/>
        <w:right w:val="none" w:sz="0" w:space="0" w:color="auto"/>
      </w:divBdr>
    </w:div>
    <w:div w:id="1344284708">
      <w:bodyDiv w:val="1"/>
      <w:marLeft w:val="0"/>
      <w:marRight w:val="0"/>
      <w:marTop w:val="0"/>
      <w:marBottom w:val="0"/>
      <w:divBdr>
        <w:top w:val="none" w:sz="0" w:space="0" w:color="auto"/>
        <w:left w:val="none" w:sz="0" w:space="0" w:color="auto"/>
        <w:bottom w:val="none" w:sz="0" w:space="0" w:color="auto"/>
        <w:right w:val="none" w:sz="0" w:space="0" w:color="auto"/>
      </w:divBdr>
    </w:div>
    <w:div w:id="1352222671">
      <w:bodyDiv w:val="1"/>
      <w:marLeft w:val="0"/>
      <w:marRight w:val="0"/>
      <w:marTop w:val="0"/>
      <w:marBottom w:val="0"/>
      <w:divBdr>
        <w:top w:val="none" w:sz="0" w:space="0" w:color="auto"/>
        <w:left w:val="none" w:sz="0" w:space="0" w:color="auto"/>
        <w:bottom w:val="none" w:sz="0" w:space="0" w:color="auto"/>
        <w:right w:val="none" w:sz="0" w:space="0" w:color="auto"/>
      </w:divBdr>
    </w:div>
    <w:div w:id="1354257959">
      <w:bodyDiv w:val="1"/>
      <w:marLeft w:val="0"/>
      <w:marRight w:val="0"/>
      <w:marTop w:val="0"/>
      <w:marBottom w:val="0"/>
      <w:divBdr>
        <w:top w:val="none" w:sz="0" w:space="0" w:color="auto"/>
        <w:left w:val="none" w:sz="0" w:space="0" w:color="auto"/>
        <w:bottom w:val="none" w:sz="0" w:space="0" w:color="auto"/>
        <w:right w:val="none" w:sz="0" w:space="0" w:color="auto"/>
      </w:divBdr>
    </w:div>
    <w:div w:id="1369060480">
      <w:bodyDiv w:val="1"/>
      <w:marLeft w:val="0"/>
      <w:marRight w:val="0"/>
      <w:marTop w:val="0"/>
      <w:marBottom w:val="0"/>
      <w:divBdr>
        <w:top w:val="none" w:sz="0" w:space="0" w:color="auto"/>
        <w:left w:val="none" w:sz="0" w:space="0" w:color="auto"/>
        <w:bottom w:val="none" w:sz="0" w:space="0" w:color="auto"/>
        <w:right w:val="none" w:sz="0" w:space="0" w:color="auto"/>
      </w:divBdr>
    </w:div>
    <w:div w:id="1371224799">
      <w:bodyDiv w:val="1"/>
      <w:marLeft w:val="0"/>
      <w:marRight w:val="0"/>
      <w:marTop w:val="0"/>
      <w:marBottom w:val="0"/>
      <w:divBdr>
        <w:top w:val="none" w:sz="0" w:space="0" w:color="auto"/>
        <w:left w:val="none" w:sz="0" w:space="0" w:color="auto"/>
        <w:bottom w:val="none" w:sz="0" w:space="0" w:color="auto"/>
        <w:right w:val="none" w:sz="0" w:space="0" w:color="auto"/>
      </w:divBdr>
    </w:div>
    <w:div w:id="1371808751">
      <w:bodyDiv w:val="1"/>
      <w:marLeft w:val="0"/>
      <w:marRight w:val="0"/>
      <w:marTop w:val="0"/>
      <w:marBottom w:val="0"/>
      <w:divBdr>
        <w:top w:val="none" w:sz="0" w:space="0" w:color="auto"/>
        <w:left w:val="none" w:sz="0" w:space="0" w:color="auto"/>
        <w:bottom w:val="none" w:sz="0" w:space="0" w:color="auto"/>
        <w:right w:val="none" w:sz="0" w:space="0" w:color="auto"/>
      </w:divBdr>
    </w:div>
    <w:div w:id="1372028624">
      <w:bodyDiv w:val="1"/>
      <w:marLeft w:val="0"/>
      <w:marRight w:val="0"/>
      <w:marTop w:val="0"/>
      <w:marBottom w:val="0"/>
      <w:divBdr>
        <w:top w:val="none" w:sz="0" w:space="0" w:color="auto"/>
        <w:left w:val="none" w:sz="0" w:space="0" w:color="auto"/>
        <w:bottom w:val="none" w:sz="0" w:space="0" w:color="auto"/>
        <w:right w:val="none" w:sz="0" w:space="0" w:color="auto"/>
      </w:divBdr>
    </w:div>
    <w:div w:id="1380084794">
      <w:bodyDiv w:val="1"/>
      <w:marLeft w:val="0"/>
      <w:marRight w:val="0"/>
      <w:marTop w:val="0"/>
      <w:marBottom w:val="0"/>
      <w:divBdr>
        <w:top w:val="none" w:sz="0" w:space="0" w:color="auto"/>
        <w:left w:val="none" w:sz="0" w:space="0" w:color="auto"/>
        <w:bottom w:val="none" w:sz="0" w:space="0" w:color="auto"/>
        <w:right w:val="none" w:sz="0" w:space="0" w:color="auto"/>
      </w:divBdr>
    </w:div>
    <w:div w:id="1380477298">
      <w:bodyDiv w:val="1"/>
      <w:marLeft w:val="0"/>
      <w:marRight w:val="0"/>
      <w:marTop w:val="0"/>
      <w:marBottom w:val="0"/>
      <w:divBdr>
        <w:top w:val="none" w:sz="0" w:space="0" w:color="auto"/>
        <w:left w:val="none" w:sz="0" w:space="0" w:color="auto"/>
        <w:bottom w:val="none" w:sz="0" w:space="0" w:color="auto"/>
        <w:right w:val="none" w:sz="0" w:space="0" w:color="auto"/>
      </w:divBdr>
    </w:div>
    <w:div w:id="1382706216">
      <w:bodyDiv w:val="1"/>
      <w:marLeft w:val="0"/>
      <w:marRight w:val="0"/>
      <w:marTop w:val="0"/>
      <w:marBottom w:val="0"/>
      <w:divBdr>
        <w:top w:val="none" w:sz="0" w:space="0" w:color="auto"/>
        <w:left w:val="none" w:sz="0" w:space="0" w:color="auto"/>
        <w:bottom w:val="none" w:sz="0" w:space="0" w:color="auto"/>
        <w:right w:val="none" w:sz="0" w:space="0" w:color="auto"/>
      </w:divBdr>
    </w:div>
    <w:div w:id="1384058655">
      <w:bodyDiv w:val="1"/>
      <w:marLeft w:val="0"/>
      <w:marRight w:val="0"/>
      <w:marTop w:val="0"/>
      <w:marBottom w:val="0"/>
      <w:divBdr>
        <w:top w:val="none" w:sz="0" w:space="0" w:color="auto"/>
        <w:left w:val="none" w:sz="0" w:space="0" w:color="auto"/>
        <w:bottom w:val="none" w:sz="0" w:space="0" w:color="auto"/>
        <w:right w:val="none" w:sz="0" w:space="0" w:color="auto"/>
      </w:divBdr>
    </w:div>
    <w:div w:id="1397313577">
      <w:bodyDiv w:val="1"/>
      <w:marLeft w:val="0"/>
      <w:marRight w:val="0"/>
      <w:marTop w:val="0"/>
      <w:marBottom w:val="0"/>
      <w:divBdr>
        <w:top w:val="none" w:sz="0" w:space="0" w:color="auto"/>
        <w:left w:val="none" w:sz="0" w:space="0" w:color="auto"/>
        <w:bottom w:val="none" w:sz="0" w:space="0" w:color="auto"/>
        <w:right w:val="none" w:sz="0" w:space="0" w:color="auto"/>
      </w:divBdr>
    </w:div>
    <w:div w:id="1397512394">
      <w:bodyDiv w:val="1"/>
      <w:marLeft w:val="0"/>
      <w:marRight w:val="0"/>
      <w:marTop w:val="0"/>
      <w:marBottom w:val="0"/>
      <w:divBdr>
        <w:top w:val="none" w:sz="0" w:space="0" w:color="auto"/>
        <w:left w:val="none" w:sz="0" w:space="0" w:color="auto"/>
        <w:bottom w:val="none" w:sz="0" w:space="0" w:color="auto"/>
        <w:right w:val="none" w:sz="0" w:space="0" w:color="auto"/>
      </w:divBdr>
    </w:div>
    <w:div w:id="1406537558">
      <w:bodyDiv w:val="1"/>
      <w:marLeft w:val="0"/>
      <w:marRight w:val="0"/>
      <w:marTop w:val="0"/>
      <w:marBottom w:val="0"/>
      <w:divBdr>
        <w:top w:val="none" w:sz="0" w:space="0" w:color="auto"/>
        <w:left w:val="none" w:sz="0" w:space="0" w:color="auto"/>
        <w:bottom w:val="none" w:sz="0" w:space="0" w:color="auto"/>
        <w:right w:val="none" w:sz="0" w:space="0" w:color="auto"/>
      </w:divBdr>
    </w:div>
    <w:div w:id="1412971672">
      <w:bodyDiv w:val="1"/>
      <w:marLeft w:val="0"/>
      <w:marRight w:val="0"/>
      <w:marTop w:val="0"/>
      <w:marBottom w:val="0"/>
      <w:divBdr>
        <w:top w:val="none" w:sz="0" w:space="0" w:color="auto"/>
        <w:left w:val="none" w:sz="0" w:space="0" w:color="auto"/>
        <w:bottom w:val="none" w:sz="0" w:space="0" w:color="auto"/>
        <w:right w:val="none" w:sz="0" w:space="0" w:color="auto"/>
      </w:divBdr>
    </w:div>
    <w:div w:id="1418289832">
      <w:bodyDiv w:val="1"/>
      <w:marLeft w:val="0"/>
      <w:marRight w:val="0"/>
      <w:marTop w:val="0"/>
      <w:marBottom w:val="0"/>
      <w:divBdr>
        <w:top w:val="none" w:sz="0" w:space="0" w:color="auto"/>
        <w:left w:val="none" w:sz="0" w:space="0" w:color="auto"/>
        <w:bottom w:val="none" w:sz="0" w:space="0" w:color="auto"/>
        <w:right w:val="none" w:sz="0" w:space="0" w:color="auto"/>
      </w:divBdr>
    </w:div>
    <w:div w:id="1422069878">
      <w:bodyDiv w:val="1"/>
      <w:marLeft w:val="0"/>
      <w:marRight w:val="0"/>
      <w:marTop w:val="0"/>
      <w:marBottom w:val="0"/>
      <w:divBdr>
        <w:top w:val="none" w:sz="0" w:space="0" w:color="auto"/>
        <w:left w:val="none" w:sz="0" w:space="0" w:color="auto"/>
        <w:bottom w:val="none" w:sz="0" w:space="0" w:color="auto"/>
        <w:right w:val="none" w:sz="0" w:space="0" w:color="auto"/>
      </w:divBdr>
    </w:div>
    <w:div w:id="1428116959">
      <w:bodyDiv w:val="1"/>
      <w:marLeft w:val="0"/>
      <w:marRight w:val="0"/>
      <w:marTop w:val="0"/>
      <w:marBottom w:val="0"/>
      <w:divBdr>
        <w:top w:val="none" w:sz="0" w:space="0" w:color="auto"/>
        <w:left w:val="none" w:sz="0" w:space="0" w:color="auto"/>
        <w:bottom w:val="none" w:sz="0" w:space="0" w:color="auto"/>
        <w:right w:val="none" w:sz="0" w:space="0" w:color="auto"/>
      </w:divBdr>
    </w:div>
    <w:div w:id="1442455900">
      <w:bodyDiv w:val="1"/>
      <w:marLeft w:val="0"/>
      <w:marRight w:val="0"/>
      <w:marTop w:val="0"/>
      <w:marBottom w:val="0"/>
      <w:divBdr>
        <w:top w:val="none" w:sz="0" w:space="0" w:color="auto"/>
        <w:left w:val="none" w:sz="0" w:space="0" w:color="auto"/>
        <w:bottom w:val="none" w:sz="0" w:space="0" w:color="auto"/>
        <w:right w:val="none" w:sz="0" w:space="0" w:color="auto"/>
      </w:divBdr>
    </w:div>
    <w:div w:id="1445494351">
      <w:bodyDiv w:val="1"/>
      <w:marLeft w:val="0"/>
      <w:marRight w:val="0"/>
      <w:marTop w:val="0"/>
      <w:marBottom w:val="0"/>
      <w:divBdr>
        <w:top w:val="none" w:sz="0" w:space="0" w:color="auto"/>
        <w:left w:val="none" w:sz="0" w:space="0" w:color="auto"/>
        <w:bottom w:val="none" w:sz="0" w:space="0" w:color="auto"/>
        <w:right w:val="none" w:sz="0" w:space="0" w:color="auto"/>
      </w:divBdr>
    </w:div>
    <w:div w:id="1452016542">
      <w:bodyDiv w:val="1"/>
      <w:marLeft w:val="0"/>
      <w:marRight w:val="0"/>
      <w:marTop w:val="0"/>
      <w:marBottom w:val="0"/>
      <w:divBdr>
        <w:top w:val="none" w:sz="0" w:space="0" w:color="auto"/>
        <w:left w:val="none" w:sz="0" w:space="0" w:color="auto"/>
        <w:bottom w:val="none" w:sz="0" w:space="0" w:color="auto"/>
        <w:right w:val="none" w:sz="0" w:space="0" w:color="auto"/>
      </w:divBdr>
    </w:div>
    <w:div w:id="1452438743">
      <w:bodyDiv w:val="1"/>
      <w:marLeft w:val="0"/>
      <w:marRight w:val="0"/>
      <w:marTop w:val="0"/>
      <w:marBottom w:val="0"/>
      <w:divBdr>
        <w:top w:val="none" w:sz="0" w:space="0" w:color="auto"/>
        <w:left w:val="none" w:sz="0" w:space="0" w:color="auto"/>
        <w:bottom w:val="none" w:sz="0" w:space="0" w:color="auto"/>
        <w:right w:val="none" w:sz="0" w:space="0" w:color="auto"/>
      </w:divBdr>
    </w:div>
    <w:div w:id="1453673143">
      <w:bodyDiv w:val="1"/>
      <w:marLeft w:val="0"/>
      <w:marRight w:val="0"/>
      <w:marTop w:val="0"/>
      <w:marBottom w:val="0"/>
      <w:divBdr>
        <w:top w:val="none" w:sz="0" w:space="0" w:color="auto"/>
        <w:left w:val="none" w:sz="0" w:space="0" w:color="auto"/>
        <w:bottom w:val="none" w:sz="0" w:space="0" w:color="auto"/>
        <w:right w:val="none" w:sz="0" w:space="0" w:color="auto"/>
      </w:divBdr>
    </w:div>
    <w:div w:id="1457987477">
      <w:bodyDiv w:val="1"/>
      <w:marLeft w:val="0"/>
      <w:marRight w:val="0"/>
      <w:marTop w:val="0"/>
      <w:marBottom w:val="0"/>
      <w:divBdr>
        <w:top w:val="none" w:sz="0" w:space="0" w:color="auto"/>
        <w:left w:val="none" w:sz="0" w:space="0" w:color="auto"/>
        <w:bottom w:val="none" w:sz="0" w:space="0" w:color="auto"/>
        <w:right w:val="none" w:sz="0" w:space="0" w:color="auto"/>
      </w:divBdr>
    </w:div>
    <w:div w:id="1463887882">
      <w:bodyDiv w:val="1"/>
      <w:marLeft w:val="0"/>
      <w:marRight w:val="0"/>
      <w:marTop w:val="0"/>
      <w:marBottom w:val="0"/>
      <w:divBdr>
        <w:top w:val="none" w:sz="0" w:space="0" w:color="auto"/>
        <w:left w:val="none" w:sz="0" w:space="0" w:color="auto"/>
        <w:bottom w:val="none" w:sz="0" w:space="0" w:color="auto"/>
        <w:right w:val="none" w:sz="0" w:space="0" w:color="auto"/>
      </w:divBdr>
    </w:div>
    <w:div w:id="1475027397">
      <w:bodyDiv w:val="1"/>
      <w:marLeft w:val="0"/>
      <w:marRight w:val="0"/>
      <w:marTop w:val="0"/>
      <w:marBottom w:val="0"/>
      <w:divBdr>
        <w:top w:val="none" w:sz="0" w:space="0" w:color="auto"/>
        <w:left w:val="none" w:sz="0" w:space="0" w:color="auto"/>
        <w:bottom w:val="none" w:sz="0" w:space="0" w:color="auto"/>
        <w:right w:val="none" w:sz="0" w:space="0" w:color="auto"/>
      </w:divBdr>
    </w:div>
    <w:div w:id="1476868953">
      <w:bodyDiv w:val="1"/>
      <w:marLeft w:val="0"/>
      <w:marRight w:val="0"/>
      <w:marTop w:val="0"/>
      <w:marBottom w:val="0"/>
      <w:divBdr>
        <w:top w:val="none" w:sz="0" w:space="0" w:color="auto"/>
        <w:left w:val="none" w:sz="0" w:space="0" w:color="auto"/>
        <w:bottom w:val="none" w:sz="0" w:space="0" w:color="auto"/>
        <w:right w:val="none" w:sz="0" w:space="0" w:color="auto"/>
      </w:divBdr>
    </w:div>
    <w:div w:id="1476872615">
      <w:bodyDiv w:val="1"/>
      <w:marLeft w:val="0"/>
      <w:marRight w:val="0"/>
      <w:marTop w:val="0"/>
      <w:marBottom w:val="0"/>
      <w:divBdr>
        <w:top w:val="none" w:sz="0" w:space="0" w:color="auto"/>
        <w:left w:val="none" w:sz="0" w:space="0" w:color="auto"/>
        <w:bottom w:val="none" w:sz="0" w:space="0" w:color="auto"/>
        <w:right w:val="none" w:sz="0" w:space="0" w:color="auto"/>
      </w:divBdr>
    </w:div>
    <w:div w:id="1480225910">
      <w:bodyDiv w:val="1"/>
      <w:marLeft w:val="0"/>
      <w:marRight w:val="0"/>
      <w:marTop w:val="0"/>
      <w:marBottom w:val="0"/>
      <w:divBdr>
        <w:top w:val="none" w:sz="0" w:space="0" w:color="auto"/>
        <w:left w:val="none" w:sz="0" w:space="0" w:color="auto"/>
        <w:bottom w:val="none" w:sz="0" w:space="0" w:color="auto"/>
        <w:right w:val="none" w:sz="0" w:space="0" w:color="auto"/>
      </w:divBdr>
    </w:div>
    <w:div w:id="1480227277">
      <w:bodyDiv w:val="1"/>
      <w:marLeft w:val="0"/>
      <w:marRight w:val="0"/>
      <w:marTop w:val="0"/>
      <w:marBottom w:val="0"/>
      <w:divBdr>
        <w:top w:val="none" w:sz="0" w:space="0" w:color="auto"/>
        <w:left w:val="none" w:sz="0" w:space="0" w:color="auto"/>
        <w:bottom w:val="none" w:sz="0" w:space="0" w:color="auto"/>
        <w:right w:val="none" w:sz="0" w:space="0" w:color="auto"/>
      </w:divBdr>
    </w:div>
    <w:div w:id="1481000567">
      <w:bodyDiv w:val="1"/>
      <w:marLeft w:val="0"/>
      <w:marRight w:val="0"/>
      <w:marTop w:val="0"/>
      <w:marBottom w:val="0"/>
      <w:divBdr>
        <w:top w:val="none" w:sz="0" w:space="0" w:color="auto"/>
        <w:left w:val="none" w:sz="0" w:space="0" w:color="auto"/>
        <w:bottom w:val="none" w:sz="0" w:space="0" w:color="auto"/>
        <w:right w:val="none" w:sz="0" w:space="0" w:color="auto"/>
      </w:divBdr>
    </w:div>
    <w:div w:id="1486820834">
      <w:bodyDiv w:val="1"/>
      <w:marLeft w:val="0"/>
      <w:marRight w:val="0"/>
      <w:marTop w:val="0"/>
      <w:marBottom w:val="0"/>
      <w:divBdr>
        <w:top w:val="none" w:sz="0" w:space="0" w:color="auto"/>
        <w:left w:val="none" w:sz="0" w:space="0" w:color="auto"/>
        <w:bottom w:val="none" w:sz="0" w:space="0" w:color="auto"/>
        <w:right w:val="none" w:sz="0" w:space="0" w:color="auto"/>
      </w:divBdr>
    </w:div>
    <w:div w:id="1487240003">
      <w:bodyDiv w:val="1"/>
      <w:marLeft w:val="0"/>
      <w:marRight w:val="0"/>
      <w:marTop w:val="0"/>
      <w:marBottom w:val="0"/>
      <w:divBdr>
        <w:top w:val="none" w:sz="0" w:space="0" w:color="auto"/>
        <w:left w:val="none" w:sz="0" w:space="0" w:color="auto"/>
        <w:bottom w:val="none" w:sz="0" w:space="0" w:color="auto"/>
        <w:right w:val="none" w:sz="0" w:space="0" w:color="auto"/>
      </w:divBdr>
    </w:div>
    <w:div w:id="1488786393">
      <w:bodyDiv w:val="1"/>
      <w:marLeft w:val="0"/>
      <w:marRight w:val="0"/>
      <w:marTop w:val="0"/>
      <w:marBottom w:val="0"/>
      <w:divBdr>
        <w:top w:val="none" w:sz="0" w:space="0" w:color="auto"/>
        <w:left w:val="none" w:sz="0" w:space="0" w:color="auto"/>
        <w:bottom w:val="none" w:sz="0" w:space="0" w:color="auto"/>
        <w:right w:val="none" w:sz="0" w:space="0" w:color="auto"/>
      </w:divBdr>
    </w:div>
    <w:div w:id="1489663476">
      <w:bodyDiv w:val="1"/>
      <w:marLeft w:val="0"/>
      <w:marRight w:val="0"/>
      <w:marTop w:val="0"/>
      <w:marBottom w:val="0"/>
      <w:divBdr>
        <w:top w:val="none" w:sz="0" w:space="0" w:color="auto"/>
        <w:left w:val="none" w:sz="0" w:space="0" w:color="auto"/>
        <w:bottom w:val="none" w:sz="0" w:space="0" w:color="auto"/>
        <w:right w:val="none" w:sz="0" w:space="0" w:color="auto"/>
      </w:divBdr>
    </w:div>
    <w:div w:id="1495612555">
      <w:bodyDiv w:val="1"/>
      <w:marLeft w:val="0"/>
      <w:marRight w:val="0"/>
      <w:marTop w:val="0"/>
      <w:marBottom w:val="0"/>
      <w:divBdr>
        <w:top w:val="none" w:sz="0" w:space="0" w:color="auto"/>
        <w:left w:val="none" w:sz="0" w:space="0" w:color="auto"/>
        <w:bottom w:val="none" w:sz="0" w:space="0" w:color="auto"/>
        <w:right w:val="none" w:sz="0" w:space="0" w:color="auto"/>
      </w:divBdr>
    </w:div>
    <w:div w:id="1500079200">
      <w:bodyDiv w:val="1"/>
      <w:marLeft w:val="0"/>
      <w:marRight w:val="0"/>
      <w:marTop w:val="0"/>
      <w:marBottom w:val="0"/>
      <w:divBdr>
        <w:top w:val="none" w:sz="0" w:space="0" w:color="auto"/>
        <w:left w:val="none" w:sz="0" w:space="0" w:color="auto"/>
        <w:bottom w:val="none" w:sz="0" w:space="0" w:color="auto"/>
        <w:right w:val="none" w:sz="0" w:space="0" w:color="auto"/>
      </w:divBdr>
    </w:div>
    <w:div w:id="1503542937">
      <w:bodyDiv w:val="1"/>
      <w:marLeft w:val="0"/>
      <w:marRight w:val="0"/>
      <w:marTop w:val="0"/>
      <w:marBottom w:val="0"/>
      <w:divBdr>
        <w:top w:val="none" w:sz="0" w:space="0" w:color="auto"/>
        <w:left w:val="none" w:sz="0" w:space="0" w:color="auto"/>
        <w:bottom w:val="none" w:sz="0" w:space="0" w:color="auto"/>
        <w:right w:val="none" w:sz="0" w:space="0" w:color="auto"/>
      </w:divBdr>
    </w:div>
    <w:div w:id="1503931514">
      <w:bodyDiv w:val="1"/>
      <w:marLeft w:val="0"/>
      <w:marRight w:val="0"/>
      <w:marTop w:val="0"/>
      <w:marBottom w:val="0"/>
      <w:divBdr>
        <w:top w:val="none" w:sz="0" w:space="0" w:color="auto"/>
        <w:left w:val="none" w:sz="0" w:space="0" w:color="auto"/>
        <w:bottom w:val="none" w:sz="0" w:space="0" w:color="auto"/>
        <w:right w:val="none" w:sz="0" w:space="0" w:color="auto"/>
      </w:divBdr>
    </w:div>
    <w:div w:id="1504667756">
      <w:bodyDiv w:val="1"/>
      <w:marLeft w:val="0"/>
      <w:marRight w:val="0"/>
      <w:marTop w:val="0"/>
      <w:marBottom w:val="0"/>
      <w:divBdr>
        <w:top w:val="none" w:sz="0" w:space="0" w:color="auto"/>
        <w:left w:val="none" w:sz="0" w:space="0" w:color="auto"/>
        <w:bottom w:val="none" w:sz="0" w:space="0" w:color="auto"/>
        <w:right w:val="none" w:sz="0" w:space="0" w:color="auto"/>
      </w:divBdr>
    </w:div>
    <w:div w:id="1509369762">
      <w:bodyDiv w:val="1"/>
      <w:marLeft w:val="0"/>
      <w:marRight w:val="0"/>
      <w:marTop w:val="0"/>
      <w:marBottom w:val="0"/>
      <w:divBdr>
        <w:top w:val="none" w:sz="0" w:space="0" w:color="auto"/>
        <w:left w:val="none" w:sz="0" w:space="0" w:color="auto"/>
        <w:bottom w:val="none" w:sz="0" w:space="0" w:color="auto"/>
        <w:right w:val="none" w:sz="0" w:space="0" w:color="auto"/>
      </w:divBdr>
    </w:div>
    <w:div w:id="1514882021">
      <w:bodyDiv w:val="1"/>
      <w:marLeft w:val="0"/>
      <w:marRight w:val="0"/>
      <w:marTop w:val="0"/>
      <w:marBottom w:val="0"/>
      <w:divBdr>
        <w:top w:val="none" w:sz="0" w:space="0" w:color="auto"/>
        <w:left w:val="none" w:sz="0" w:space="0" w:color="auto"/>
        <w:bottom w:val="none" w:sz="0" w:space="0" w:color="auto"/>
        <w:right w:val="none" w:sz="0" w:space="0" w:color="auto"/>
      </w:divBdr>
    </w:div>
    <w:div w:id="1521353765">
      <w:bodyDiv w:val="1"/>
      <w:marLeft w:val="0"/>
      <w:marRight w:val="0"/>
      <w:marTop w:val="0"/>
      <w:marBottom w:val="0"/>
      <w:divBdr>
        <w:top w:val="none" w:sz="0" w:space="0" w:color="auto"/>
        <w:left w:val="none" w:sz="0" w:space="0" w:color="auto"/>
        <w:bottom w:val="none" w:sz="0" w:space="0" w:color="auto"/>
        <w:right w:val="none" w:sz="0" w:space="0" w:color="auto"/>
      </w:divBdr>
    </w:div>
    <w:div w:id="1522550912">
      <w:bodyDiv w:val="1"/>
      <w:marLeft w:val="0"/>
      <w:marRight w:val="0"/>
      <w:marTop w:val="0"/>
      <w:marBottom w:val="0"/>
      <w:divBdr>
        <w:top w:val="none" w:sz="0" w:space="0" w:color="auto"/>
        <w:left w:val="none" w:sz="0" w:space="0" w:color="auto"/>
        <w:bottom w:val="none" w:sz="0" w:space="0" w:color="auto"/>
        <w:right w:val="none" w:sz="0" w:space="0" w:color="auto"/>
      </w:divBdr>
    </w:div>
    <w:div w:id="1530726727">
      <w:bodyDiv w:val="1"/>
      <w:marLeft w:val="0"/>
      <w:marRight w:val="0"/>
      <w:marTop w:val="0"/>
      <w:marBottom w:val="0"/>
      <w:divBdr>
        <w:top w:val="none" w:sz="0" w:space="0" w:color="auto"/>
        <w:left w:val="none" w:sz="0" w:space="0" w:color="auto"/>
        <w:bottom w:val="none" w:sz="0" w:space="0" w:color="auto"/>
        <w:right w:val="none" w:sz="0" w:space="0" w:color="auto"/>
      </w:divBdr>
    </w:div>
    <w:div w:id="1531529502">
      <w:bodyDiv w:val="1"/>
      <w:marLeft w:val="0"/>
      <w:marRight w:val="0"/>
      <w:marTop w:val="0"/>
      <w:marBottom w:val="0"/>
      <w:divBdr>
        <w:top w:val="none" w:sz="0" w:space="0" w:color="auto"/>
        <w:left w:val="none" w:sz="0" w:space="0" w:color="auto"/>
        <w:bottom w:val="none" w:sz="0" w:space="0" w:color="auto"/>
        <w:right w:val="none" w:sz="0" w:space="0" w:color="auto"/>
      </w:divBdr>
    </w:div>
    <w:div w:id="1537813257">
      <w:bodyDiv w:val="1"/>
      <w:marLeft w:val="0"/>
      <w:marRight w:val="0"/>
      <w:marTop w:val="0"/>
      <w:marBottom w:val="0"/>
      <w:divBdr>
        <w:top w:val="none" w:sz="0" w:space="0" w:color="auto"/>
        <w:left w:val="none" w:sz="0" w:space="0" w:color="auto"/>
        <w:bottom w:val="none" w:sz="0" w:space="0" w:color="auto"/>
        <w:right w:val="none" w:sz="0" w:space="0" w:color="auto"/>
      </w:divBdr>
    </w:div>
    <w:div w:id="1538279565">
      <w:bodyDiv w:val="1"/>
      <w:marLeft w:val="0"/>
      <w:marRight w:val="0"/>
      <w:marTop w:val="0"/>
      <w:marBottom w:val="0"/>
      <w:divBdr>
        <w:top w:val="none" w:sz="0" w:space="0" w:color="auto"/>
        <w:left w:val="none" w:sz="0" w:space="0" w:color="auto"/>
        <w:bottom w:val="none" w:sz="0" w:space="0" w:color="auto"/>
        <w:right w:val="none" w:sz="0" w:space="0" w:color="auto"/>
      </w:divBdr>
    </w:div>
    <w:div w:id="1538736446">
      <w:bodyDiv w:val="1"/>
      <w:marLeft w:val="0"/>
      <w:marRight w:val="0"/>
      <w:marTop w:val="0"/>
      <w:marBottom w:val="0"/>
      <w:divBdr>
        <w:top w:val="none" w:sz="0" w:space="0" w:color="auto"/>
        <w:left w:val="none" w:sz="0" w:space="0" w:color="auto"/>
        <w:bottom w:val="none" w:sz="0" w:space="0" w:color="auto"/>
        <w:right w:val="none" w:sz="0" w:space="0" w:color="auto"/>
      </w:divBdr>
    </w:div>
    <w:div w:id="1539202268">
      <w:bodyDiv w:val="1"/>
      <w:marLeft w:val="0"/>
      <w:marRight w:val="0"/>
      <w:marTop w:val="0"/>
      <w:marBottom w:val="0"/>
      <w:divBdr>
        <w:top w:val="none" w:sz="0" w:space="0" w:color="auto"/>
        <w:left w:val="none" w:sz="0" w:space="0" w:color="auto"/>
        <w:bottom w:val="none" w:sz="0" w:space="0" w:color="auto"/>
        <w:right w:val="none" w:sz="0" w:space="0" w:color="auto"/>
      </w:divBdr>
    </w:div>
    <w:div w:id="1541938146">
      <w:bodyDiv w:val="1"/>
      <w:marLeft w:val="0"/>
      <w:marRight w:val="0"/>
      <w:marTop w:val="0"/>
      <w:marBottom w:val="0"/>
      <w:divBdr>
        <w:top w:val="none" w:sz="0" w:space="0" w:color="auto"/>
        <w:left w:val="none" w:sz="0" w:space="0" w:color="auto"/>
        <w:bottom w:val="none" w:sz="0" w:space="0" w:color="auto"/>
        <w:right w:val="none" w:sz="0" w:space="0" w:color="auto"/>
      </w:divBdr>
    </w:div>
    <w:div w:id="1545826574">
      <w:bodyDiv w:val="1"/>
      <w:marLeft w:val="0"/>
      <w:marRight w:val="0"/>
      <w:marTop w:val="0"/>
      <w:marBottom w:val="0"/>
      <w:divBdr>
        <w:top w:val="none" w:sz="0" w:space="0" w:color="auto"/>
        <w:left w:val="none" w:sz="0" w:space="0" w:color="auto"/>
        <w:bottom w:val="none" w:sz="0" w:space="0" w:color="auto"/>
        <w:right w:val="none" w:sz="0" w:space="0" w:color="auto"/>
      </w:divBdr>
    </w:div>
    <w:div w:id="1549796965">
      <w:bodyDiv w:val="1"/>
      <w:marLeft w:val="0"/>
      <w:marRight w:val="0"/>
      <w:marTop w:val="0"/>
      <w:marBottom w:val="0"/>
      <w:divBdr>
        <w:top w:val="none" w:sz="0" w:space="0" w:color="auto"/>
        <w:left w:val="none" w:sz="0" w:space="0" w:color="auto"/>
        <w:bottom w:val="none" w:sz="0" w:space="0" w:color="auto"/>
        <w:right w:val="none" w:sz="0" w:space="0" w:color="auto"/>
      </w:divBdr>
    </w:div>
    <w:div w:id="1553729405">
      <w:bodyDiv w:val="1"/>
      <w:marLeft w:val="0"/>
      <w:marRight w:val="0"/>
      <w:marTop w:val="0"/>
      <w:marBottom w:val="0"/>
      <w:divBdr>
        <w:top w:val="none" w:sz="0" w:space="0" w:color="auto"/>
        <w:left w:val="none" w:sz="0" w:space="0" w:color="auto"/>
        <w:bottom w:val="none" w:sz="0" w:space="0" w:color="auto"/>
        <w:right w:val="none" w:sz="0" w:space="0" w:color="auto"/>
      </w:divBdr>
    </w:div>
    <w:div w:id="1554274400">
      <w:bodyDiv w:val="1"/>
      <w:marLeft w:val="0"/>
      <w:marRight w:val="0"/>
      <w:marTop w:val="0"/>
      <w:marBottom w:val="0"/>
      <w:divBdr>
        <w:top w:val="none" w:sz="0" w:space="0" w:color="auto"/>
        <w:left w:val="none" w:sz="0" w:space="0" w:color="auto"/>
        <w:bottom w:val="none" w:sz="0" w:space="0" w:color="auto"/>
        <w:right w:val="none" w:sz="0" w:space="0" w:color="auto"/>
      </w:divBdr>
    </w:div>
    <w:div w:id="1557398949">
      <w:bodyDiv w:val="1"/>
      <w:marLeft w:val="0"/>
      <w:marRight w:val="0"/>
      <w:marTop w:val="0"/>
      <w:marBottom w:val="0"/>
      <w:divBdr>
        <w:top w:val="none" w:sz="0" w:space="0" w:color="auto"/>
        <w:left w:val="none" w:sz="0" w:space="0" w:color="auto"/>
        <w:bottom w:val="none" w:sz="0" w:space="0" w:color="auto"/>
        <w:right w:val="none" w:sz="0" w:space="0" w:color="auto"/>
      </w:divBdr>
    </w:div>
    <w:div w:id="1557428764">
      <w:bodyDiv w:val="1"/>
      <w:marLeft w:val="0"/>
      <w:marRight w:val="0"/>
      <w:marTop w:val="0"/>
      <w:marBottom w:val="0"/>
      <w:divBdr>
        <w:top w:val="none" w:sz="0" w:space="0" w:color="auto"/>
        <w:left w:val="none" w:sz="0" w:space="0" w:color="auto"/>
        <w:bottom w:val="none" w:sz="0" w:space="0" w:color="auto"/>
        <w:right w:val="none" w:sz="0" w:space="0" w:color="auto"/>
      </w:divBdr>
    </w:div>
    <w:div w:id="1559363703">
      <w:bodyDiv w:val="1"/>
      <w:marLeft w:val="0"/>
      <w:marRight w:val="0"/>
      <w:marTop w:val="0"/>
      <w:marBottom w:val="0"/>
      <w:divBdr>
        <w:top w:val="none" w:sz="0" w:space="0" w:color="auto"/>
        <w:left w:val="none" w:sz="0" w:space="0" w:color="auto"/>
        <w:bottom w:val="none" w:sz="0" w:space="0" w:color="auto"/>
        <w:right w:val="none" w:sz="0" w:space="0" w:color="auto"/>
      </w:divBdr>
    </w:div>
    <w:div w:id="1564023432">
      <w:bodyDiv w:val="1"/>
      <w:marLeft w:val="0"/>
      <w:marRight w:val="0"/>
      <w:marTop w:val="0"/>
      <w:marBottom w:val="0"/>
      <w:divBdr>
        <w:top w:val="none" w:sz="0" w:space="0" w:color="auto"/>
        <w:left w:val="none" w:sz="0" w:space="0" w:color="auto"/>
        <w:bottom w:val="none" w:sz="0" w:space="0" w:color="auto"/>
        <w:right w:val="none" w:sz="0" w:space="0" w:color="auto"/>
      </w:divBdr>
    </w:div>
    <w:div w:id="1564172270">
      <w:bodyDiv w:val="1"/>
      <w:marLeft w:val="0"/>
      <w:marRight w:val="0"/>
      <w:marTop w:val="0"/>
      <w:marBottom w:val="0"/>
      <w:divBdr>
        <w:top w:val="none" w:sz="0" w:space="0" w:color="auto"/>
        <w:left w:val="none" w:sz="0" w:space="0" w:color="auto"/>
        <w:bottom w:val="none" w:sz="0" w:space="0" w:color="auto"/>
        <w:right w:val="none" w:sz="0" w:space="0" w:color="auto"/>
      </w:divBdr>
    </w:div>
    <w:div w:id="1564373196">
      <w:bodyDiv w:val="1"/>
      <w:marLeft w:val="0"/>
      <w:marRight w:val="0"/>
      <w:marTop w:val="0"/>
      <w:marBottom w:val="0"/>
      <w:divBdr>
        <w:top w:val="none" w:sz="0" w:space="0" w:color="auto"/>
        <w:left w:val="none" w:sz="0" w:space="0" w:color="auto"/>
        <w:bottom w:val="none" w:sz="0" w:space="0" w:color="auto"/>
        <w:right w:val="none" w:sz="0" w:space="0" w:color="auto"/>
      </w:divBdr>
    </w:div>
    <w:div w:id="1566522946">
      <w:bodyDiv w:val="1"/>
      <w:marLeft w:val="0"/>
      <w:marRight w:val="0"/>
      <w:marTop w:val="0"/>
      <w:marBottom w:val="0"/>
      <w:divBdr>
        <w:top w:val="none" w:sz="0" w:space="0" w:color="auto"/>
        <w:left w:val="none" w:sz="0" w:space="0" w:color="auto"/>
        <w:bottom w:val="none" w:sz="0" w:space="0" w:color="auto"/>
        <w:right w:val="none" w:sz="0" w:space="0" w:color="auto"/>
      </w:divBdr>
    </w:div>
    <w:div w:id="1567304052">
      <w:bodyDiv w:val="1"/>
      <w:marLeft w:val="0"/>
      <w:marRight w:val="0"/>
      <w:marTop w:val="0"/>
      <w:marBottom w:val="0"/>
      <w:divBdr>
        <w:top w:val="none" w:sz="0" w:space="0" w:color="auto"/>
        <w:left w:val="none" w:sz="0" w:space="0" w:color="auto"/>
        <w:bottom w:val="none" w:sz="0" w:space="0" w:color="auto"/>
        <w:right w:val="none" w:sz="0" w:space="0" w:color="auto"/>
      </w:divBdr>
    </w:div>
    <w:div w:id="1567644204">
      <w:bodyDiv w:val="1"/>
      <w:marLeft w:val="0"/>
      <w:marRight w:val="0"/>
      <w:marTop w:val="0"/>
      <w:marBottom w:val="0"/>
      <w:divBdr>
        <w:top w:val="none" w:sz="0" w:space="0" w:color="auto"/>
        <w:left w:val="none" w:sz="0" w:space="0" w:color="auto"/>
        <w:bottom w:val="none" w:sz="0" w:space="0" w:color="auto"/>
        <w:right w:val="none" w:sz="0" w:space="0" w:color="auto"/>
      </w:divBdr>
    </w:div>
    <w:div w:id="1567687726">
      <w:bodyDiv w:val="1"/>
      <w:marLeft w:val="0"/>
      <w:marRight w:val="0"/>
      <w:marTop w:val="0"/>
      <w:marBottom w:val="0"/>
      <w:divBdr>
        <w:top w:val="none" w:sz="0" w:space="0" w:color="auto"/>
        <w:left w:val="none" w:sz="0" w:space="0" w:color="auto"/>
        <w:bottom w:val="none" w:sz="0" w:space="0" w:color="auto"/>
        <w:right w:val="none" w:sz="0" w:space="0" w:color="auto"/>
      </w:divBdr>
    </w:div>
    <w:div w:id="1568300048">
      <w:bodyDiv w:val="1"/>
      <w:marLeft w:val="0"/>
      <w:marRight w:val="0"/>
      <w:marTop w:val="0"/>
      <w:marBottom w:val="0"/>
      <w:divBdr>
        <w:top w:val="none" w:sz="0" w:space="0" w:color="auto"/>
        <w:left w:val="none" w:sz="0" w:space="0" w:color="auto"/>
        <w:bottom w:val="none" w:sz="0" w:space="0" w:color="auto"/>
        <w:right w:val="none" w:sz="0" w:space="0" w:color="auto"/>
      </w:divBdr>
    </w:div>
    <w:div w:id="1568570481">
      <w:bodyDiv w:val="1"/>
      <w:marLeft w:val="0"/>
      <w:marRight w:val="0"/>
      <w:marTop w:val="0"/>
      <w:marBottom w:val="0"/>
      <w:divBdr>
        <w:top w:val="none" w:sz="0" w:space="0" w:color="auto"/>
        <w:left w:val="none" w:sz="0" w:space="0" w:color="auto"/>
        <w:bottom w:val="none" w:sz="0" w:space="0" w:color="auto"/>
        <w:right w:val="none" w:sz="0" w:space="0" w:color="auto"/>
      </w:divBdr>
    </w:div>
    <w:div w:id="1570849568">
      <w:bodyDiv w:val="1"/>
      <w:marLeft w:val="0"/>
      <w:marRight w:val="0"/>
      <w:marTop w:val="0"/>
      <w:marBottom w:val="0"/>
      <w:divBdr>
        <w:top w:val="none" w:sz="0" w:space="0" w:color="auto"/>
        <w:left w:val="none" w:sz="0" w:space="0" w:color="auto"/>
        <w:bottom w:val="none" w:sz="0" w:space="0" w:color="auto"/>
        <w:right w:val="none" w:sz="0" w:space="0" w:color="auto"/>
      </w:divBdr>
    </w:div>
    <w:div w:id="1570995112">
      <w:bodyDiv w:val="1"/>
      <w:marLeft w:val="0"/>
      <w:marRight w:val="0"/>
      <w:marTop w:val="0"/>
      <w:marBottom w:val="0"/>
      <w:divBdr>
        <w:top w:val="none" w:sz="0" w:space="0" w:color="auto"/>
        <w:left w:val="none" w:sz="0" w:space="0" w:color="auto"/>
        <w:bottom w:val="none" w:sz="0" w:space="0" w:color="auto"/>
        <w:right w:val="none" w:sz="0" w:space="0" w:color="auto"/>
      </w:divBdr>
    </w:div>
    <w:div w:id="1573733237">
      <w:bodyDiv w:val="1"/>
      <w:marLeft w:val="0"/>
      <w:marRight w:val="0"/>
      <w:marTop w:val="0"/>
      <w:marBottom w:val="0"/>
      <w:divBdr>
        <w:top w:val="none" w:sz="0" w:space="0" w:color="auto"/>
        <w:left w:val="none" w:sz="0" w:space="0" w:color="auto"/>
        <w:bottom w:val="none" w:sz="0" w:space="0" w:color="auto"/>
        <w:right w:val="none" w:sz="0" w:space="0" w:color="auto"/>
      </w:divBdr>
    </w:div>
    <w:div w:id="1574849153">
      <w:bodyDiv w:val="1"/>
      <w:marLeft w:val="0"/>
      <w:marRight w:val="0"/>
      <w:marTop w:val="0"/>
      <w:marBottom w:val="0"/>
      <w:divBdr>
        <w:top w:val="none" w:sz="0" w:space="0" w:color="auto"/>
        <w:left w:val="none" w:sz="0" w:space="0" w:color="auto"/>
        <w:bottom w:val="none" w:sz="0" w:space="0" w:color="auto"/>
        <w:right w:val="none" w:sz="0" w:space="0" w:color="auto"/>
      </w:divBdr>
    </w:div>
    <w:div w:id="1577127543">
      <w:bodyDiv w:val="1"/>
      <w:marLeft w:val="0"/>
      <w:marRight w:val="0"/>
      <w:marTop w:val="0"/>
      <w:marBottom w:val="0"/>
      <w:divBdr>
        <w:top w:val="none" w:sz="0" w:space="0" w:color="auto"/>
        <w:left w:val="none" w:sz="0" w:space="0" w:color="auto"/>
        <w:bottom w:val="none" w:sz="0" w:space="0" w:color="auto"/>
        <w:right w:val="none" w:sz="0" w:space="0" w:color="auto"/>
      </w:divBdr>
    </w:div>
    <w:div w:id="1579444057">
      <w:bodyDiv w:val="1"/>
      <w:marLeft w:val="0"/>
      <w:marRight w:val="0"/>
      <w:marTop w:val="0"/>
      <w:marBottom w:val="0"/>
      <w:divBdr>
        <w:top w:val="none" w:sz="0" w:space="0" w:color="auto"/>
        <w:left w:val="none" w:sz="0" w:space="0" w:color="auto"/>
        <w:bottom w:val="none" w:sz="0" w:space="0" w:color="auto"/>
        <w:right w:val="none" w:sz="0" w:space="0" w:color="auto"/>
      </w:divBdr>
    </w:div>
    <w:div w:id="1583374931">
      <w:bodyDiv w:val="1"/>
      <w:marLeft w:val="0"/>
      <w:marRight w:val="0"/>
      <w:marTop w:val="0"/>
      <w:marBottom w:val="0"/>
      <w:divBdr>
        <w:top w:val="none" w:sz="0" w:space="0" w:color="auto"/>
        <w:left w:val="none" w:sz="0" w:space="0" w:color="auto"/>
        <w:bottom w:val="none" w:sz="0" w:space="0" w:color="auto"/>
        <w:right w:val="none" w:sz="0" w:space="0" w:color="auto"/>
      </w:divBdr>
    </w:div>
    <w:div w:id="1584610688">
      <w:bodyDiv w:val="1"/>
      <w:marLeft w:val="0"/>
      <w:marRight w:val="0"/>
      <w:marTop w:val="0"/>
      <w:marBottom w:val="0"/>
      <w:divBdr>
        <w:top w:val="none" w:sz="0" w:space="0" w:color="auto"/>
        <w:left w:val="none" w:sz="0" w:space="0" w:color="auto"/>
        <w:bottom w:val="none" w:sz="0" w:space="0" w:color="auto"/>
        <w:right w:val="none" w:sz="0" w:space="0" w:color="auto"/>
      </w:divBdr>
    </w:div>
    <w:div w:id="1586911558">
      <w:bodyDiv w:val="1"/>
      <w:marLeft w:val="0"/>
      <w:marRight w:val="0"/>
      <w:marTop w:val="0"/>
      <w:marBottom w:val="0"/>
      <w:divBdr>
        <w:top w:val="none" w:sz="0" w:space="0" w:color="auto"/>
        <w:left w:val="none" w:sz="0" w:space="0" w:color="auto"/>
        <w:bottom w:val="none" w:sz="0" w:space="0" w:color="auto"/>
        <w:right w:val="none" w:sz="0" w:space="0" w:color="auto"/>
      </w:divBdr>
    </w:div>
    <w:div w:id="1588464236">
      <w:bodyDiv w:val="1"/>
      <w:marLeft w:val="0"/>
      <w:marRight w:val="0"/>
      <w:marTop w:val="0"/>
      <w:marBottom w:val="0"/>
      <w:divBdr>
        <w:top w:val="none" w:sz="0" w:space="0" w:color="auto"/>
        <w:left w:val="none" w:sz="0" w:space="0" w:color="auto"/>
        <w:bottom w:val="none" w:sz="0" w:space="0" w:color="auto"/>
        <w:right w:val="none" w:sz="0" w:space="0" w:color="auto"/>
      </w:divBdr>
    </w:div>
    <w:div w:id="1589849451">
      <w:bodyDiv w:val="1"/>
      <w:marLeft w:val="0"/>
      <w:marRight w:val="0"/>
      <w:marTop w:val="0"/>
      <w:marBottom w:val="0"/>
      <w:divBdr>
        <w:top w:val="none" w:sz="0" w:space="0" w:color="auto"/>
        <w:left w:val="none" w:sz="0" w:space="0" w:color="auto"/>
        <w:bottom w:val="none" w:sz="0" w:space="0" w:color="auto"/>
        <w:right w:val="none" w:sz="0" w:space="0" w:color="auto"/>
      </w:divBdr>
    </w:div>
    <w:div w:id="1591423753">
      <w:bodyDiv w:val="1"/>
      <w:marLeft w:val="0"/>
      <w:marRight w:val="0"/>
      <w:marTop w:val="0"/>
      <w:marBottom w:val="0"/>
      <w:divBdr>
        <w:top w:val="none" w:sz="0" w:space="0" w:color="auto"/>
        <w:left w:val="none" w:sz="0" w:space="0" w:color="auto"/>
        <w:bottom w:val="none" w:sz="0" w:space="0" w:color="auto"/>
        <w:right w:val="none" w:sz="0" w:space="0" w:color="auto"/>
      </w:divBdr>
    </w:div>
    <w:div w:id="1591740194">
      <w:bodyDiv w:val="1"/>
      <w:marLeft w:val="0"/>
      <w:marRight w:val="0"/>
      <w:marTop w:val="0"/>
      <w:marBottom w:val="0"/>
      <w:divBdr>
        <w:top w:val="none" w:sz="0" w:space="0" w:color="auto"/>
        <w:left w:val="none" w:sz="0" w:space="0" w:color="auto"/>
        <w:bottom w:val="none" w:sz="0" w:space="0" w:color="auto"/>
        <w:right w:val="none" w:sz="0" w:space="0" w:color="auto"/>
      </w:divBdr>
    </w:div>
    <w:div w:id="1593587362">
      <w:bodyDiv w:val="1"/>
      <w:marLeft w:val="0"/>
      <w:marRight w:val="0"/>
      <w:marTop w:val="0"/>
      <w:marBottom w:val="0"/>
      <w:divBdr>
        <w:top w:val="none" w:sz="0" w:space="0" w:color="auto"/>
        <w:left w:val="none" w:sz="0" w:space="0" w:color="auto"/>
        <w:bottom w:val="none" w:sz="0" w:space="0" w:color="auto"/>
        <w:right w:val="none" w:sz="0" w:space="0" w:color="auto"/>
      </w:divBdr>
    </w:div>
    <w:div w:id="1596358190">
      <w:bodyDiv w:val="1"/>
      <w:marLeft w:val="0"/>
      <w:marRight w:val="0"/>
      <w:marTop w:val="0"/>
      <w:marBottom w:val="0"/>
      <w:divBdr>
        <w:top w:val="none" w:sz="0" w:space="0" w:color="auto"/>
        <w:left w:val="none" w:sz="0" w:space="0" w:color="auto"/>
        <w:bottom w:val="none" w:sz="0" w:space="0" w:color="auto"/>
        <w:right w:val="none" w:sz="0" w:space="0" w:color="auto"/>
      </w:divBdr>
    </w:div>
    <w:div w:id="1597790258">
      <w:bodyDiv w:val="1"/>
      <w:marLeft w:val="0"/>
      <w:marRight w:val="0"/>
      <w:marTop w:val="0"/>
      <w:marBottom w:val="0"/>
      <w:divBdr>
        <w:top w:val="none" w:sz="0" w:space="0" w:color="auto"/>
        <w:left w:val="none" w:sz="0" w:space="0" w:color="auto"/>
        <w:bottom w:val="none" w:sz="0" w:space="0" w:color="auto"/>
        <w:right w:val="none" w:sz="0" w:space="0" w:color="auto"/>
      </w:divBdr>
    </w:div>
    <w:div w:id="1600914864">
      <w:bodyDiv w:val="1"/>
      <w:marLeft w:val="0"/>
      <w:marRight w:val="0"/>
      <w:marTop w:val="0"/>
      <w:marBottom w:val="0"/>
      <w:divBdr>
        <w:top w:val="none" w:sz="0" w:space="0" w:color="auto"/>
        <w:left w:val="none" w:sz="0" w:space="0" w:color="auto"/>
        <w:bottom w:val="none" w:sz="0" w:space="0" w:color="auto"/>
        <w:right w:val="none" w:sz="0" w:space="0" w:color="auto"/>
      </w:divBdr>
    </w:div>
    <w:div w:id="1603296315">
      <w:bodyDiv w:val="1"/>
      <w:marLeft w:val="0"/>
      <w:marRight w:val="0"/>
      <w:marTop w:val="0"/>
      <w:marBottom w:val="0"/>
      <w:divBdr>
        <w:top w:val="none" w:sz="0" w:space="0" w:color="auto"/>
        <w:left w:val="none" w:sz="0" w:space="0" w:color="auto"/>
        <w:bottom w:val="none" w:sz="0" w:space="0" w:color="auto"/>
        <w:right w:val="none" w:sz="0" w:space="0" w:color="auto"/>
      </w:divBdr>
    </w:div>
    <w:div w:id="1606111172">
      <w:bodyDiv w:val="1"/>
      <w:marLeft w:val="0"/>
      <w:marRight w:val="0"/>
      <w:marTop w:val="0"/>
      <w:marBottom w:val="0"/>
      <w:divBdr>
        <w:top w:val="none" w:sz="0" w:space="0" w:color="auto"/>
        <w:left w:val="none" w:sz="0" w:space="0" w:color="auto"/>
        <w:bottom w:val="none" w:sz="0" w:space="0" w:color="auto"/>
        <w:right w:val="none" w:sz="0" w:space="0" w:color="auto"/>
      </w:divBdr>
    </w:div>
    <w:div w:id="1614940994">
      <w:bodyDiv w:val="1"/>
      <w:marLeft w:val="0"/>
      <w:marRight w:val="0"/>
      <w:marTop w:val="0"/>
      <w:marBottom w:val="0"/>
      <w:divBdr>
        <w:top w:val="none" w:sz="0" w:space="0" w:color="auto"/>
        <w:left w:val="none" w:sz="0" w:space="0" w:color="auto"/>
        <w:bottom w:val="none" w:sz="0" w:space="0" w:color="auto"/>
        <w:right w:val="none" w:sz="0" w:space="0" w:color="auto"/>
      </w:divBdr>
    </w:div>
    <w:div w:id="1615668512">
      <w:bodyDiv w:val="1"/>
      <w:marLeft w:val="0"/>
      <w:marRight w:val="0"/>
      <w:marTop w:val="0"/>
      <w:marBottom w:val="0"/>
      <w:divBdr>
        <w:top w:val="none" w:sz="0" w:space="0" w:color="auto"/>
        <w:left w:val="none" w:sz="0" w:space="0" w:color="auto"/>
        <w:bottom w:val="none" w:sz="0" w:space="0" w:color="auto"/>
        <w:right w:val="none" w:sz="0" w:space="0" w:color="auto"/>
      </w:divBdr>
    </w:div>
    <w:div w:id="1615864689">
      <w:bodyDiv w:val="1"/>
      <w:marLeft w:val="0"/>
      <w:marRight w:val="0"/>
      <w:marTop w:val="0"/>
      <w:marBottom w:val="0"/>
      <w:divBdr>
        <w:top w:val="none" w:sz="0" w:space="0" w:color="auto"/>
        <w:left w:val="none" w:sz="0" w:space="0" w:color="auto"/>
        <w:bottom w:val="none" w:sz="0" w:space="0" w:color="auto"/>
        <w:right w:val="none" w:sz="0" w:space="0" w:color="auto"/>
      </w:divBdr>
    </w:div>
    <w:div w:id="1620602356">
      <w:bodyDiv w:val="1"/>
      <w:marLeft w:val="0"/>
      <w:marRight w:val="0"/>
      <w:marTop w:val="0"/>
      <w:marBottom w:val="0"/>
      <w:divBdr>
        <w:top w:val="none" w:sz="0" w:space="0" w:color="auto"/>
        <w:left w:val="none" w:sz="0" w:space="0" w:color="auto"/>
        <w:bottom w:val="none" w:sz="0" w:space="0" w:color="auto"/>
        <w:right w:val="none" w:sz="0" w:space="0" w:color="auto"/>
      </w:divBdr>
    </w:div>
    <w:div w:id="1621105903">
      <w:bodyDiv w:val="1"/>
      <w:marLeft w:val="0"/>
      <w:marRight w:val="0"/>
      <w:marTop w:val="0"/>
      <w:marBottom w:val="0"/>
      <w:divBdr>
        <w:top w:val="none" w:sz="0" w:space="0" w:color="auto"/>
        <w:left w:val="none" w:sz="0" w:space="0" w:color="auto"/>
        <w:bottom w:val="none" w:sz="0" w:space="0" w:color="auto"/>
        <w:right w:val="none" w:sz="0" w:space="0" w:color="auto"/>
      </w:divBdr>
    </w:div>
    <w:div w:id="1625230753">
      <w:bodyDiv w:val="1"/>
      <w:marLeft w:val="0"/>
      <w:marRight w:val="0"/>
      <w:marTop w:val="0"/>
      <w:marBottom w:val="0"/>
      <w:divBdr>
        <w:top w:val="none" w:sz="0" w:space="0" w:color="auto"/>
        <w:left w:val="none" w:sz="0" w:space="0" w:color="auto"/>
        <w:bottom w:val="none" w:sz="0" w:space="0" w:color="auto"/>
        <w:right w:val="none" w:sz="0" w:space="0" w:color="auto"/>
      </w:divBdr>
    </w:div>
    <w:div w:id="1626037858">
      <w:bodyDiv w:val="1"/>
      <w:marLeft w:val="0"/>
      <w:marRight w:val="0"/>
      <w:marTop w:val="0"/>
      <w:marBottom w:val="0"/>
      <w:divBdr>
        <w:top w:val="none" w:sz="0" w:space="0" w:color="auto"/>
        <w:left w:val="none" w:sz="0" w:space="0" w:color="auto"/>
        <w:bottom w:val="none" w:sz="0" w:space="0" w:color="auto"/>
        <w:right w:val="none" w:sz="0" w:space="0" w:color="auto"/>
      </w:divBdr>
    </w:div>
    <w:div w:id="1626081035">
      <w:bodyDiv w:val="1"/>
      <w:marLeft w:val="0"/>
      <w:marRight w:val="0"/>
      <w:marTop w:val="0"/>
      <w:marBottom w:val="0"/>
      <w:divBdr>
        <w:top w:val="none" w:sz="0" w:space="0" w:color="auto"/>
        <w:left w:val="none" w:sz="0" w:space="0" w:color="auto"/>
        <w:bottom w:val="none" w:sz="0" w:space="0" w:color="auto"/>
        <w:right w:val="none" w:sz="0" w:space="0" w:color="auto"/>
      </w:divBdr>
    </w:div>
    <w:div w:id="1628508809">
      <w:bodyDiv w:val="1"/>
      <w:marLeft w:val="0"/>
      <w:marRight w:val="0"/>
      <w:marTop w:val="0"/>
      <w:marBottom w:val="0"/>
      <w:divBdr>
        <w:top w:val="none" w:sz="0" w:space="0" w:color="auto"/>
        <w:left w:val="none" w:sz="0" w:space="0" w:color="auto"/>
        <w:bottom w:val="none" w:sz="0" w:space="0" w:color="auto"/>
        <w:right w:val="none" w:sz="0" w:space="0" w:color="auto"/>
      </w:divBdr>
    </w:div>
    <w:div w:id="1628857611">
      <w:bodyDiv w:val="1"/>
      <w:marLeft w:val="0"/>
      <w:marRight w:val="0"/>
      <w:marTop w:val="0"/>
      <w:marBottom w:val="0"/>
      <w:divBdr>
        <w:top w:val="none" w:sz="0" w:space="0" w:color="auto"/>
        <w:left w:val="none" w:sz="0" w:space="0" w:color="auto"/>
        <w:bottom w:val="none" w:sz="0" w:space="0" w:color="auto"/>
        <w:right w:val="none" w:sz="0" w:space="0" w:color="auto"/>
      </w:divBdr>
    </w:div>
    <w:div w:id="1636134117">
      <w:bodyDiv w:val="1"/>
      <w:marLeft w:val="0"/>
      <w:marRight w:val="0"/>
      <w:marTop w:val="0"/>
      <w:marBottom w:val="0"/>
      <w:divBdr>
        <w:top w:val="none" w:sz="0" w:space="0" w:color="auto"/>
        <w:left w:val="none" w:sz="0" w:space="0" w:color="auto"/>
        <w:bottom w:val="none" w:sz="0" w:space="0" w:color="auto"/>
        <w:right w:val="none" w:sz="0" w:space="0" w:color="auto"/>
      </w:divBdr>
    </w:div>
    <w:div w:id="1637099334">
      <w:bodyDiv w:val="1"/>
      <w:marLeft w:val="0"/>
      <w:marRight w:val="0"/>
      <w:marTop w:val="0"/>
      <w:marBottom w:val="0"/>
      <w:divBdr>
        <w:top w:val="none" w:sz="0" w:space="0" w:color="auto"/>
        <w:left w:val="none" w:sz="0" w:space="0" w:color="auto"/>
        <w:bottom w:val="none" w:sz="0" w:space="0" w:color="auto"/>
        <w:right w:val="none" w:sz="0" w:space="0" w:color="auto"/>
      </w:divBdr>
    </w:div>
    <w:div w:id="1640070300">
      <w:bodyDiv w:val="1"/>
      <w:marLeft w:val="0"/>
      <w:marRight w:val="0"/>
      <w:marTop w:val="0"/>
      <w:marBottom w:val="0"/>
      <w:divBdr>
        <w:top w:val="none" w:sz="0" w:space="0" w:color="auto"/>
        <w:left w:val="none" w:sz="0" w:space="0" w:color="auto"/>
        <w:bottom w:val="none" w:sz="0" w:space="0" w:color="auto"/>
        <w:right w:val="none" w:sz="0" w:space="0" w:color="auto"/>
      </w:divBdr>
    </w:div>
    <w:div w:id="1643777204">
      <w:bodyDiv w:val="1"/>
      <w:marLeft w:val="0"/>
      <w:marRight w:val="0"/>
      <w:marTop w:val="0"/>
      <w:marBottom w:val="0"/>
      <w:divBdr>
        <w:top w:val="none" w:sz="0" w:space="0" w:color="auto"/>
        <w:left w:val="none" w:sz="0" w:space="0" w:color="auto"/>
        <w:bottom w:val="none" w:sz="0" w:space="0" w:color="auto"/>
        <w:right w:val="none" w:sz="0" w:space="0" w:color="auto"/>
      </w:divBdr>
    </w:div>
    <w:div w:id="1648703153">
      <w:bodyDiv w:val="1"/>
      <w:marLeft w:val="0"/>
      <w:marRight w:val="0"/>
      <w:marTop w:val="0"/>
      <w:marBottom w:val="0"/>
      <w:divBdr>
        <w:top w:val="none" w:sz="0" w:space="0" w:color="auto"/>
        <w:left w:val="none" w:sz="0" w:space="0" w:color="auto"/>
        <w:bottom w:val="none" w:sz="0" w:space="0" w:color="auto"/>
        <w:right w:val="none" w:sz="0" w:space="0" w:color="auto"/>
      </w:divBdr>
    </w:div>
    <w:div w:id="1658414157">
      <w:bodyDiv w:val="1"/>
      <w:marLeft w:val="0"/>
      <w:marRight w:val="0"/>
      <w:marTop w:val="0"/>
      <w:marBottom w:val="0"/>
      <w:divBdr>
        <w:top w:val="none" w:sz="0" w:space="0" w:color="auto"/>
        <w:left w:val="none" w:sz="0" w:space="0" w:color="auto"/>
        <w:bottom w:val="none" w:sz="0" w:space="0" w:color="auto"/>
        <w:right w:val="none" w:sz="0" w:space="0" w:color="auto"/>
      </w:divBdr>
    </w:div>
    <w:div w:id="1664242043">
      <w:bodyDiv w:val="1"/>
      <w:marLeft w:val="0"/>
      <w:marRight w:val="0"/>
      <w:marTop w:val="0"/>
      <w:marBottom w:val="0"/>
      <w:divBdr>
        <w:top w:val="none" w:sz="0" w:space="0" w:color="auto"/>
        <w:left w:val="none" w:sz="0" w:space="0" w:color="auto"/>
        <w:bottom w:val="none" w:sz="0" w:space="0" w:color="auto"/>
        <w:right w:val="none" w:sz="0" w:space="0" w:color="auto"/>
      </w:divBdr>
    </w:div>
    <w:div w:id="1665821614">
      <w:bodyDiv w:val="1"/>
      <w:marLeft w:val="0"/>
      <w:marRight w:val="0"/>
      <w:marTop w:val="0"/>
      <w:marBottom w:val="0"/>
      <w:divBdr>
        <w:top w:val="none" w:sz="0" w:space="0" w:color="auto"/>
        <w:left w:val="none" w:sz="0" w:space="0" w:color="auto"/>
        <w:bottom w:val="none" w:sz="0" w:space="0" w:color="auto"/>
        <w:right w:val="none" w:sz="0" w:space="0" w:color="auto"/>
      </w:divBdr>
    </w:div>
    <w:div w:id="1666476366">
      <w:bodyDiv w:val="1"/>
      <w:marLeft w:val="0"/>
      <w:marRight w:val="0"/>
      <w:marTop w:val="0"/>
      <w:marBottom w:val="0"/>
      <w:divBdr>
        <w:top w:val="none" w:sz="0" w:space="0" w:color="auto"/>
        <w:left w:val="none" w:sz="0" w:space="0" w:color="auto"/>
        <w:bottom w:val="none" w:sz="0" w:space="0" w:color="auto"/>
        <w:right w:val="none" w:sz="0" w:space="0" w:color="auto"/>
      </w:divBdr>
    </w:div>
    <w:div w:id="1666591916">
      <w:bodyDiv w:val="1"/>
      <w:marLeft w:val="0"/>
      <w:marRight w:val="0"/>
      <w:marTop w:val="0"/>
      <w:marBottom w:val="0"/>
      <w:divBdr>
        <w:top w:val="none" w:sz="0" w:space="0" w:color="auto"/>
        <w:left w:val="none" w:sz="0" w:space="0" w:color="auto"/>
        <w:bottom w:val="none" w:sz="0" w:space="0" w:color="auto"/>
        <w:right w:val="none" w:sz="0" w:space="0" w:color="auto"/>
      </w:divBdr>
    </w:div>
    <w:div w:id="1667509430">
      <w:bodyDiv w:val="1"/>
      <w:marLeft w:val="0"/>
      <w:marRight w:val="0"/>
      <w:marTop w:val="0"/>
      <w:marBottom w:val="0"/>
      <w:divBdr>
        <w:top w:val="none" w:sz="0" w:space="0" w:color="auto"/>
        <w:left w:val="none" w:sz="0" w:space="0" w:color="auto"/>
        <w:bottom w:val="none" w:sz="0" w:space="0" w:color="auto"/>
        <w:right w:val="none" w:sz="0" w:space="0" w:color="auto"/>
      </w:divBdr>
    </w:div>
    <w:div w:id="1668437783">
      <w:bodyDiv w:val="1"/>
      <w:marLeft w:val="0"/>
      <w:marRight w:val="0"/>
      <w:marTop w:val="0"/>
      <w:marBottom w:val="0"/>
      <w:divBdr>
        <w:top w:val="none" w:sz="0" w:space="0" w:color="auto"/>
        <w:left w:val="none" w:sz="0" w:space="0" w:color="auto"/>
        <w:bottom w:val="none" w:sz="0" w:space="0" w:color="auto"/>
        <w:right w:val="none" w:sz="0" w:space="0" w:color="auto"/>
      </w:divBdr>
    </w:div>
    <w:div w:id="1668441337">
      <w:bodyDiv w:val="1"/>
      <w:marLeft w:val="0"/>
      <w:marRight w:val="0"/>
      <w:marTop w:val="0"/>
      <w:marBottom w:val="0"/>
      <w:divBdr>
        <w:top w:val="none" w:sz="0" w:space="0" w:color="auto"/>
        <w:left w:val="none" w:sz="0" w:space="0" w:color="auto"/>
        <w:bottom w:val="none" w:sz="0" w:space="0" w:color="auto"/>
        <w:right w:val="none" w:sz="0" w:space="0" w:color="auto"/>
      </w:divBdr>
    </w:div>
    <w:div w:id="1687097909">
      <w:bodyDiv w:val="1"/>
      <w:marLeft w:val="0"/>
      <w:marRight w:val="0"/>
      <w:marTop w:val="0"/>
      <w:marBottom w:val="0"/>
      <w:divBdr>
        <w:top w:val="none" w:sz="0" w:space="0" w:color="auto"/>
        <w:left w:val="none" w:sz="0" w:space="0" w:color="auto"/>
        <w:bottom w:val="none" w:sz="0" w:space="0" w:color="auto"/>
        <w:right w:val="none" w:sz="0" w:space="0" w:color="auto"/>
      </w:divBdr>
    </w:div>
    <w:div w:id="1688362408">
      <w:bodyDiv w:val="1"/>
      <w:marLeft w:val="0"/>
      <w:marRight w:val="0"/>
      <w:marTop w:val="0"/>
      <w:marBottom w:val="0"/>
      <w:divBdr>
        <w:top w:val="none" w:sz="0" w:space="0" w:color="auto"/>
        <w:left w:val="none" w:sz="0" w:space="0" w:color="auto"/>
        <w:bottom w:val="none" w:sz="0" w:space="0" w:color="auto"/>
        <w:right w:val="none" w:sz="0" w:space="0" w:color="auto"/>
      </w:divBdr>
    </w:div>
    <w:div w:id="1690181887">
      <w:bodyDiv w:val="1"/>
      <w:marLeft w:val="0"/>
      <w:marRight w:val="0"/>
      <w:marTop w:val="0"/>
      <w:marBottom w:val="0"/>
      <w:divBdr>
        <w:top w:val="none" w:sz="0" w:space="0" w:color="auto"/>
        <w:left w:val="none" w:sz="0" w:space="0" w:color="auto"/>
        <w:bottom w:val="none" w:sz="0" w:space="0" w:color="auto"/>
        <w:right w:val="none" w:sz="0" w:space="0" w:color="auto"/>
      </w:divBdr>
    </w:div>
    <w:div w:id="1692150553">
      <w:bodyDiv w:val="1"/>
      <w:marLeft w:val="0"/>
      <w:marRight w:val="0"/>
      <w:marTop w:val="0"/>
      <w:marBottom w:val="0"/>
      <w:divBdr>
        <w:top w:val="none" w:sz="0" w:space="0" w:color="auto"/>
        <w:left w:val="none" w:sz="0" w:space="0" w:color="auto"/>
        <w:bottom w:val="none" w:sz="0" w:space="0" w:color="auto"/>
        <w:right w:val="none" w:sz="0" w:space="0" w:color="auto"/>
      </w:divBdr>
    </w:div>
    <w:div w:id="1695181893">
      <w:bodyDiv w:val="1"/>
      <w:marLeft w:val="0"/>
      <w:marRight w:val="0"/>
      <w:marTop w:val="0"/>
      <w:marBottom w:val="0"/>
      <w:divBdr>
        <w:top w:val="none" w:sz="0" w:space="0" w:color="auto"/>
        <w:left w:val="none" w:sz="0" w:space="0" w:color="auto"/>
        <w:bottom w:val="none" w:sz="0" w:space="0" w:color="auto"/>
        <w:right w:val="none" w:sz="0" w:space="0" w:color="auto"/>
      </w:divBdr>
    </w:div>
    <w:div w:id="1698583695">
      <w:bodyDiv w:val="1"/>
      <w:marLeft w:val="0"/>
      <w:marRight w:val="0"/>
      <w:marTop w:val="0"/>
      <w:marBottom w:val="0"/>
      <w:divBdr>
        <w:top w:val="none" w:sz="0" w:space="0" w:color="auto"/>
        <w:left w:val="none" w:sz="0" w:space="0" w:color="auto"/>
        <w:bottom w:val="none" w:sz="0" w:space="0" w:color="auto"/>
        <w:right w:val="none" w:sz="0" w:space="0" w:color="auto"/>
      </w:divBdr>
    </w:div>
    <w:div w:id="1700356989">
      <w:bodyDiv w:val="1"/>
      <w:marLeft w:val="0"/>
      <w:marRight w:val="0"/>
      <w:marTop w:val="0"/>
      <w:marBottom w:val="0"/>
      <w:divBdr>
        <w:top w:val="none" w:sz="0" w:space="0" w:color="auto"/>
        <w:left w:val="none" w:sz="0" w:space="0" w:color="auto"/>
        <w:bottom w:val="none" w:sz="0" w:space="0" w:color="auto"/>
        <w:right w:val="none" w:sz="0" w:space="0" w:color="auto"/>
      </w:divBdr>
    </w:div>
    <w:div w:id="1701004879">
      <w:bodyDiv w:val="1"/>
      <w:marLeft w:val="0"/>
      <w:marRight w:val="0"/>
      <w:marTop w:val="0"/>
      <w:marBottom w:val="0"/>
      <w:divBdr>
        <w:top w:val="none" w:sz="0" w:space="0" w:color="auto"/>
        <w:left w:val="none" w:sz="0" w:space="0" w:color="auto"/>
        <w:bottom w:val="none" w:sz="0" w:space="0" w:color="auto"/>
        <w:right w:val="none" w:sz="0" w:space="0" w:color="auto"/>
      </w:divBdr>
    </w:div>
    <w:div w:id="1708140299">
      <w:bodyDiv w:val="1"/>
      <w:marLeft w:val="0"/>
      <w:marRight w:val="0"/>
      <w:marTop w:val="0"/>
      <w:marBottom w:val="0"/>
      <w:divBdr>
        <w:top w:val="none" w:sz="0" w:space="0" w:color="auto"/>
        <w:left w:val="none" w:sz="0" w:space="0" w:color="auto"/>
        <w:bottom w:val="none" w:sz="0" w:space="0" w:color="auto"/>
        <w:right w:val="none" w:sz="0" w:space="0" w:color="auto"/>
      </w:divBdr>
    </w:div>
    <w:div w:id="1710109481">
      <w:bodyDiv w:val="1"/>
      <w:marLeft w:val="0"/>
      <w:marRight w:val="0"/>
      <w:marTop w:val="0"/>
      <w:marBottom w:val="0"/>
      <w:divBdr>
        <w:top w:val="none" w:sz="0" w:space="0" w:color="auto"/>
        <w:left w:val="none" w:sz="0" w:space="0" w:color="auto"/>
        <w:bottom w:val="none" w:sz="0" w:space="0" w:color="auto"/>
        <w:right w:val="none" w:sz="0" w:space="0" w:color="auto"/>
      </w:divBdr>
    </w:div>
    <w:div w:id="1710647513">
      <w:bodyDiv w:val="1"/>
      <w:marLeft w:val="0"/>
      <w:marRight w:val="0"/>
      <w:marTop w:val="0"/>
      <w:marBottom w:val="0"/>
      <w:divBdr>
        <w:top w:val="none" w:sz="0" w:space="0" w:color="auto"/>
        <w:left w:val="none" w:sz="0" w:space="0" w:color="auto"/>
        <w:bottom w:val="none" w:sz="0" w:space="0" w:color="auto"/>
        <w:right w:val="none" w:sz="0" w:space="0" w:color="auto"/>
      </w:divBdr>
    </w:div>
    <w:div w:id="1720784172">
      <w:bodyDiv w:val="1"/>
      <w:marLeft w:val="0"/>
      <w:marRight w:val="0"/>
      <w:marTop w:val="0"/>
      <w:marBottom w:val="0"/>
      <w:divBdr>
        <w:top w:val="none" w:sz="0" w:space="0" w:color="auto"/>
        <w:left w:val="none" w:sz="0" w:space="0" w:color="auto"/>
        <w:bottom w:val="none" w:sz="0" w:space="0" w:color="auto"/>
        <w:right w:val="none" w:sz="0" w:space="0" w:color="auto"/>
      </w:divBdr>
    </w:div>
    <w:div w:id="1721322675">
      <w:bodyDiv w:val="1"/>
      <w:marLeft w:val="0"/>
      <w:marRight w:val="0"/>
      <w:marTop w:val="0"/>
      <w:marBottom w:val="0"/>
      <w:divBdr>
        <w:top w:val="none" w:sz="0" w:space="0" w:color="auto"/>
        <w:left w:val="none" w:sz="0" w:space="0" w:color="auto"/>
        <w:bottom w:val="none" w:sz="0" w:space="0" w:color="auto"/>
        <w:right w:val="none" w:sz="0" w:space="0" w:color="auto"/>
      </w:divBdr>
    </w:div>
    <w:div w:id="1722443275">
      <w:bodyDiv w:val="1"/>
      <w:marLeft w:val="0"/>
      <w:marRight w:val="0"/>
      <w:marTop w:val="0"/>
      <w:marBottom w:val="0"/>
      <w:divBdr>
        <w:top w:val="none" w:sz="0" w:space="0" w:color="auto"/>
        <w:left w:val="none" w:sz="0" w:space="0" w:color="auto"/>
        <w:bottom w:val="none" w:sz="0" w:space="0" w:color="auto"/>
        <w:right w:val="none" w:sz="0" w:space="0" w:color="auto"/>
      </w:divBdr>
    </w:div>
    <w:div w:id="1723670409">
      <w:bodyDiv w:val="1"/>
      <w:marLeft w:val="0"/>
      <w:marRight w:val="0"/>
      <w:marTop w:val="0"/>
      <w:marBottom w:val="0"/>
      <w:divBdr>
        <w:top w:val="none" w:sz="0" w:space="0" w:color="auto"/>
        <w:left w:val="none" w:sz="0" w:space="0" w:color="auto"/>
        <w:bottom w:val="none" w:sz="0" w:space="0" w:color="auto"/>
        <w:right w:val="none" w:sz="0" w:space="0" w:color="auto"/>
      </w:divBdr>
    </w:div>
    <w:div w:id="1727223090">
      <w:bodyDiv w:val="1"/>
      <w:marLeft w:val="0"/>
      <w:marRight w:val="0"/>
      <w:marTop w:val="0"/>
      <w:marBottom w:val="0"/>
      <w:divBdr>
        <w:top w:val="none" w:sz="0" w:space="0" w:color="auto"/>
        <w:left w:val="none" w:sz="0" w:space="0" w:color="auto"/>
        <w:bottom w:val="none" w:sz="0" w:space="0" w:color="auto"/>
        <w:right w:val="none" w:sz="0" w:space="0" w:color="auto"/>
      </w:divBdr>
    </w:div>
    <w:div w:id="1729258549">
      <w:bodyDiv w:val="1"/>
      <w:marLeft w:val="0"/>
      <w:marRight w:val="0"/>
      <w:marTop w:val="0"/>
      <w:marBottom w:val="0"/>
      <w:divBdr>
        <w:top w:val="none" w:sz="0" w:space="0" w:color="auto"/>
        <w:left w:val="none" w:sz="0" w:space="0" w:color="auto"/>
        <w:bottom w:val="none" w:sz="0" w:space="0" w:color="auto"/>
        <w:right w:val="none" w:sz="0" w:space="0" w:color="auto"/>
      </w:divBdr>
    </w:div>
    <w:div w:id="1742559049">
      <w:bodyDiv w:val="1"/>
      <w:marLeft w:val="0"/>
      <w:marRight w:val="0"/>
      <w:marTop w:val="0"/>
      <w:marBottom w:val="0"/>
      <w:divBdr>
        <w:top w:val="none" w:sz="0" w:space="0" w:color="auto"/>
        <w:left w:val="none" w:sz="0" w:space="0" w:color="auto"/>
        <w:bottom w:val="none" w:sz="0" w:space="0" w:color="auto"/>
        <w:right w:val="none" w:sz="0" w:space="0" w:color="auto"/>
      </w:divBdr>
    </w:div>
    <w:div w:id="1744329153">
      <w:bodyDiv w:val="1"/>
      <w:marLeft w:val="0"/>
      <w:marRight w:val="0"/>
      <w:marTop w:val="0"/>
      <w:marBottom w:val="0"/>
      <w:divBdr>
        <w:top w:val="none" w:sz="0" w:space="0" w:color="auto"/>
        <w:left w:val="none" w:sz="0" w:space="0" w:color="auto"/>
        <w:bottom w:val="none" w:sz="0" w:space="0" w:color="auto"/>
        <w:right w:val="none" w:sz="0" w:space="0" w:color="auto"/>
      </w:divBdr>
    </w:div>
    <w:div w:id="1749840673">
      <w:bodyDiv w:val="1"/>
      <w:marLeft w:val="0"/>
      <w:marRight w:val="0"/>
      <w:marTop w:val="0"/>
      <w:marBottom w:val="0"/>
      <w:divBdr>
        <w:top w:val="none" w:sz="0" w:space="0" w:color="auto"/>
        <w:left w:val="none" w:sz="0" w:space="0" w:color="auto"/>
        <w:bottom w:val="none" w:sz="0" w:space="0" w:color="auto"/>
        <w:right w:val="none" w:sz="0" w:space="0" w:color="auto"/>
      </w:divBdr>
    </w:div>
    <w:div w:id="1754008217">
      <w:bodyDiv w:val="1"/>
      <w:marLeft w:val="0"/>
      <w:marRight w:val="0"/>
      <w:marTop w:val="0"/>
      <w:marBottom w:val="0"/>
      <w:divBdr>
        <w:top w:val="none" w:sz="0" w:space="0" w:color="auto"/>
        <w:left w:val="none" w:sz="0" w:space="0" w:color="auto"/>
        <w:bottom w:val="none" w:sz="0" w:space="0" w:color="auto"/>
        <w:right w:val="none" w:sz="0" w:space="0" w:color="auto"/>
      </w:divBdr>
    </w:div>
    <w:div w:id="1757089962">
      <w:bodyDiv w:val="1"/>
      <w:marLeft w:val="0"/>
      <w:marRight w:val="0"/>
      <w:marTop w:val="0"/>
      <w:marBottom w:val="0"/>
      <w:divBdr>
        <w:top w:val="none" w:sz="0" w:space="0" w:color="auto"/>
        <w:left w:val="none" w:sz="0" w:space="0" w:color="auto"/>
        <w:bottom w:val="none" w:sz="0" w:space="0" w:color="auto"/>
        <w:right w:val="none" w:sz="0" w:space="0" w:color="auto"/>
      </w:divBdr>
    </w:div>
    <w:div w:id="1757247927">
      <w:bodyDiv w:val="1"/>
      <w:marLeft w:val="0"/>
      <w:marRight w:val="0"/>
      <w:marTop w:val="0"/>
      <w:marBottom w:val="0"/>
      <w:divBdr>
        <w:top w:val="none" w:sz="0" w:space="0" w:color="auto"/>
        <w:left w:val="none" w:sz="0" w:space="0" w:color="auto"/>
        <w:bottom w:val="none" w:sz="0" w:space="0" w:color="auto"/>
        <w:right w:val="none" w:sz="0" w:space="0" w:color="auto"/>
      </w:divBdr>
    </w:div>
    <w:div w:id="1760366809">
      <w:bodyDiv w:val="1"/>
      <w:marLeft w:val="0"/>
      <w:marRight w:val="0"/>
      <w:marTop w:val="0"/>
      <w:marBottom w:val="0"/>
      <w:divBdr>
        <w:top w:val="none" w:sz="0" w:space="0" w:color="auto"/>
        <w:left w:val="none" w:sz="0" w:space="0" w:color="auto"/>
        <w:bottom w:val="none" w:sz="0" w:space="0" w:color="auto"/>
        <w:right w:val="none" w:sz="0" w:space="0" w:color="auto"/>
      </w:divBdr>
    </w:div>
    <w:div w:id="1762681047">
      <w:bodyDiv w:val="1"/>
      <w:marLeft w:val="0"/>
      <w:marRight w:val="0"/>
      <w:marTop w:val="0"/>
      <w:marBottom w:val="0"/>
      <w:divBdr>
        <w:top w:val="none" w:sz="0" w:space="0" w:color="auto"/>
        <w:left w:val="none" w:sz="0" w:space="0" w:color="auto"/>
        <w:bottom w:val="none" w:sz="0" w:space="0" w:color="auto"/>
        <w:right w:val="none" w:sz="0" w:space="0" w:color="auto"/>
      </w:divBdr>
    </w:div>
    <w:div w:id="1763992843">
      <w:bodyDiv w:val="1"/>
      <w:marLeft w:val="0"/>
      <w:marRight w:val="0"/>
      <w:marTop w:val="0"/>
      <w:marBottom w:val="0"/>
      <w:divBdr>
        <w:top w:val="none" w:sz="0" w:space="0" w:color="auto"/>
        <w:left w:val="none" w:sz="0" w:space="0" w:color="auto"/>
        <w:bottom w:val="none" w:sz="0" w:space="0" w:color="auto"/>
        <w:right w:val="none" w:sz="0" w:space="0" w:color="auto"/>
      </w:divBdr>
    </w:div>
    <w:div w:id="1764106973">
      <w:bodyDiv w:val="1"/>
      <w:marLeft w:val="0"/>
      <w:marRight w:val="0"/>
      <w:marTop w:val="0"/>
      <w:marBottom w:val="0"/>
      <w:divBdr>
        <w:top w:val="none" w:sz="0" w:space="0" w:color="auto"/>
        <w:left w:val="none" w:sz="0" w:space="0" w:color="auto"/>
        <w:bottom w:val="none" w:sz="0" w:space="0" w:color="auto"/>
        <w:right w:val="none" w:sz="0" w:space="0" w:color="auto"/>
      </w:divBdr>
    </w:div>
    <w:div w:id="1764834257">
      <w:bodyDiv w:val="1"/>
      <w:marLeft w:val="0"/>
      <w:marRight w:val="0"/>
      <w:marTop w:val="0"/>
      <w:marBottom w:val="0"/>
      <w:divBdr>
        <w:top w:val="none" w:sz="0" w:space="0" w:color="auto"/>
        <w:left w:val="none" w:sz="0" w:space="0" w:color="auto"/>
        <w:bottom w:val="none" w:sz="0" w:space="0" w:color="auto"/>
        <w:right w:val="none" w:sz="0" w:space="0" w:color="auto"/>
      </w:divBdr>
    </w:div>
    <w:div w:id="1765416288">
      <w:bodyDiv w:val="1"/>
      <w:marLeft w:val="0"/>
      <w:marRight w:val="0"/>
      <w:marTop w:val="0"/>
      <w:marBottom w:val="0"/>
      <w:divBdr>
        <w:top w:val="none" w:sz="0" w:space="0" w:color="auto"/>
        <w:left w:val="none" w:sz="0" w:space="0" w:color="auto"/>
        <w:bottom w:val="none" w:sz="0" w:space="0" w:color="auto"/>
        <w:right w:val="none" w:sz="0" w:space="0" w:color="auto"/>
      </w:divBdr>
    </w:div>
    <w:div w:id="1765418195">
      <w:bodyDiv w:val="1"/>
      <w:marLeft w:val="0"/>
      <w:marRight w:val="0"/>
      <w:marTop w:val="0"/>
      <w:marBottom w:val="0"/>
      <w:divBdr>
        <w:top w:val="none" w:sz="0" w:space="0" w:color="auto"/>
        <w:left w:val="none" w:sz="0" w:space="0" w:color="auto"/>
        <w:bottom w:val="none" w:sz="0" w:space="0" w:color="auto"/>
        <w:right w:val="none" w:sz="0" w:space="0" w:color="auto"/>
      </w:divBdr>
    </w:div>
    <w:div w:id="1768114013">
      <w:bodyDiv w:val="1"/>
      <w:marLeft w:val="0"/>
      <w:marRight w:val="0"/>
      <w:marTop w:val="0"/>
      <w:marBottom w:val="0"/>
      <w:divBdr>
        <w:top w:val="none" w:sz="0" w:space="0" w:color="auto"/>
        <w:left w:val="none" w:sz="0" w:space="0" w:color="auto"/>
        <w:bottom w:val="none" w:sz="0" w:space="0" w:color="auto"/>
        <w:right w:val="none" w:sz="0" w:space="0" w:color="auto"/>
      </w:divBdr>
    </w:div>
    <w:div w:id="1768888616">
      <w:bodyDiv w:val="1"/>
      <w:marLeft w:val="0"/>
      <w:marRight w:val="0"/>
      <w:marTop w:val="0"/>
      <w:marBottom w:val="0"/>
      <w:divBdr>
        <w:top w:val="none" w:sz="0" w:space="0" w:color="auto"/>
        <w:left w:val="none" w:sz="0" w:space="0" w:color="auto"/>
        <w:bottom w:val="none" w:sz="0" w:space="0" w:color="auto"/>
        <w:right w:val="none" w:sz="0" w:space="0" w:color="auto"/>
      </w:divBdr>
    </w:div>
    <w:div w:id="1775398926">
      <w:bodyDiv w:val="1"/>
      <w:marLeft w:val="0"/>
      <w:marRight w:val="0"/>
      <w:marTop w:val="0"/>
      <w:marBottom w:val="0"/>
      <w:divBdr>
        <w:top w:val="none" w:sz="0" w:space="0" w:color="auto"/>
        <w:left w:val="none" w:sz="0" w:space="0" w:color="auto"/>
        <w:bottom w:val="none" w:sz="0" w:space="0" w:color="auto"/>
        <w:right w:val="none" w:sz="0" w:space="0" w:color="auto"/>
      </w:divBdr>
    </w:div>
    <w:div w:id="1776974884">
      <w:bodyDiv w:val="1"/>
      <w:marLeft w:val="0"/>
      <w:marRight w:val="0"/>
      <w:marTop w:val="0"/>
      <w:marBottom w:val="0"/>
      <w:divBdr>
        <w:top w:val="none" w:sz="0" w:space="0" w:color="auto"/>
        <w:left w:val="none" w:sz="0" w:space="0" w:color="auto"/>
        <w:bottom w:val="none" w:sz="0" w:space="0" w:color="auto"/>
        <w:right w:val="none" w:sz="0" w:space="0" w:color="auto"/>
      </w:divBdr>
    </w:div>
    <w:div w:id="1778869370">
      <w:bodyDiv w:val="1"/>
      <w:marLeft w:val="0"/>
      <w:marRight w:val="0"/>
      <w:marTop w:val="0"/>
      <w:marBottom w:val="0"/>
      <w:divBdr>
        <w:top w:val="none" w:sz="0" w:space="0" w:color="auto"/>
        <w:left w:val="none" w:sz="0" w:space="0" w:color="auto"/>
        <w:bottom w:val="none" w:sz="0" w:space="0" w:color="auto"/>
        <w:right w:val="none" w:sz="0" w:space="0" w:color="auto"/>
      </w:divBdr>
    </w:div>
    <w:div w:id="1790127076">
      <w:bodyDiv w:val="1"/>
      <w:marLeft w:val="0"/>
      <w:marRight w:val="0"/>
      <w:marTop w:val="0"/>
      <w:marBottom w:val="0"/>
      <w:divBdr>
        <w:top w:val="none" w:sz="0" w:space="0" w:color="auto"/>
        <w:left w:val="none" w:sz="0" w:space="0" w:color="auto"/>
        <w:bottom w:val="none" w:sz="0" w:space="0" w:color="auto"/>
        <w:right w:val="none" w:sz="0" w:space="0" w:color="auto"/>
      </w:divBdr>
    </w:div>
    <w:div w:id="1793137225">
      <w:bodyDiv w:val="1"/>
      <w:marLeft w:val="0"/>
      <w:marRight w:val="0"/>
      <w:marTop w:val="0"/>
      <w:marBottom w:val="0"/>
      <w:divBdr>
        <w:top w:val="none" w:sz="0" w:space="0" w:color="auto"/>
        <w:left w:val="none" w:sz="0" w:space="0" w:color="auto"/>
        <w:bottom w:val="none" w:sz="0" w:space="0" w:color="auto"/>
        <w:right w:val="none" w:sz="0" w:space="0" w:color="auto"/>
      </w:divBdr>
    </w:div>
    <w:div w:id="1803813686">
      <w:bodyDiv w:val="1"/>
      <w:marLeft w:val="0"/>
      <w:marRight w:val="0"/>
      <w:marTop w:val="0"/>
      <w:marBottom w:val="0"/>
      <w:divBdr>
        <w:top w:val="none" w:sz="0" w:space="0" w:color="auto"/>
        <w:left w:val="none" w:sz="0" w:space="0" w:color="auto"/>
        <w:bottom w:val="none" w:sz="0" w:space="0" w:color="auto"/>
        <w:right w:val="none" w:sz="0" w:space="0" w:color="auto"/>
      </w:divBdr>
    </w:div>
    <w:div w:id="1804499907">
      <w:bodyDiv w:val="1"/>
      <w:marLeft w:val="0"/>
      <w:marRight w:val="0"/>
      <w:marTop w:val="0"/>
      <w:marBottom w:val="0"/>
      <w:divBdr>
        <w:top w:val="none" w:sz="0" w:space="0" w:color="auto"/>
        <w:left w:val="none" w:sz="0" w:space="0" w:color="auto"/>
        <w:bottom w:val="none" w:sz="0" w:space="0" w:color="auto"/>
        <w:right w:val="none" w:sz="0" w:space="0" w:color="auto"/>
      </w:divBdr>
    </w:div>
    <w:div w:id="1806775108">
      <w:bodyDiv w:val="1"/>
      <w:marLeft w:val="0"/>
      <w:marRight w:val="0"/>
      <w:marTop w:val="0"/>
      <w:marBottom w:val="0"/>
      <w:divBdr>
        <w:top w:val="none" w:sz="0" w:space="0" w:color="auto"/>
        <w:left w:val="none" w:sz="0" w:space="0" w:color="auto"/>
        <w:bottom w:val="none" w:sz="0" w:space="0" w:color="auto"/>
        <w:right w:val="none" w:sz="0" w:space="0" w:color="auto"/>
      </w:divBdr>
    </w:div>
    <w:div w:id="1808476715">
      <w:bodyDiv w:val="1"/>
      <w:marLeft w:val="0"/>
      <w:marRight w:val="0"/>
      <w:marTop w:val="0"/>
      <w:marBottom w:val="0"/>
      <w:divBdr>
        <w:top w:val="none" w:sz="0" w:space="0" w:color="auto"/>
        <w:left w:val="none" w:sz="0" w:space="0" w:color="auto"/>
        <w:bottom w:val="none" w:sz="0" w:space="0" w:color="auto"/>
        <w:right w:val="none" w:sz="0" w:space="0" w:color="auto"/>
      </w:divBdr>
    </w:div>
    <w:div w:id="1808666927">
      <w:bodyDiv w:val="1"/>
      <w:marLeft w:val="0"/>
      <w:marRight w:val="0"/>
      <w:marTop w:val="0"/>
      <w:marBottom w:val="0"/>
      <w:divBdr>
        <w:top w:val="none" w:sz="0" w:space="0" w:color="auto"/>
        <w:left w:val="none" w:sz="0" w:space="0" w:color="auto"/>
        <w:bottom w:val="none" w:sz="0" w:space="0" w:color="auto"/>
        <w:right w:val="none" w:sz="0" w:space="0" w:color="auto"/>
      </w:divBdr>
    </w:div>
    <w:div w:id="1816097178">
      <w:bodyDiv w:val="1"/>
      <w:marLeft w:val="0"/>
      <w:marRight w:val="0"/>
      <w:marTop w:val="0"/>
      <w:marBottom w:val="0"/>
      <w:divBdr>
        <w:top w:val="none" w:sz="0" w:space="0" w:color="auto"/>
        <w:left w:val="none" w:sz="0" w:space="0" w:color="auto"/>
        <w:bottom w:val="none" w:sz="0" w:space="0" w:color="auto"/>
        <w:right w:val="none" w:sz="0" w:space="0" w:color="auto"/>
      </w:divBdr>
    </w:div>
    <w:div w:id="1816147186">
      <w:bodyDiv w:val="1"/>
      <w:marLeft w:val="0"/>
      <w:marRight w:val="0"/>
      <w:marTop w:val="0"/>
      <w:marBottom w:val="0"/>
      <w:divBdr>
        <w:top w:val="none" w:sz="0" w:space="0" w:color="auto"/>
        <w:left w:val="none" w:sz="0" w:space="0" w:color="auto"/>
        <w:bottom w:val="none" w:sz="0" w:space="0" w:color="auto"/>
        <w:right w:val="none" w:sz="0" w:space="0" w:color="auto"/>
      </w:divBdr>
    </w:div>
    <w:div w:id="1819418122">
      <w:bodyDiv w:val="1"/>
      <w:marLeft w:val="0"/>
      <w:marRight w:val="0"/>
      <w:marTop w:val="0"/>
      <w:marBottom w:val="0"/>
      <w:divBdr>
        <w:top w:val="none" w:sz="0" w:space="0" w:color="auto"/>
        <w:left w:val="none" w:sz="0" w:space="0" w:color="auto"/>
        <w:bottom w:val="none" w:sz="0" w:space="0" w:color="auto"/>
        <w:right w:val="none" w:sz="0" w:space="0" w:color="auto"/>
      </w:divBdr>
    </w:div>
    <w:div w:id="1831096967">
      <w:bodyDiv w:val="1"/>
      <w:marLeft w:val="0"/>
      <w:marRight w:val="0"/>
      <w:marTop w:val="0"/>
      <w:marBottom w:val="0"/>
      <w:divBdr>
        <w:top w:val="none" w:sz="0" w:space="0" w:color="auto"/>
        <w:left w:val="none" w:sz="0" w:space="0" w:color="auto"/>
        <w:bottom w:val="none" w:sz="0" w:space="0" w:color="auto"/>
        <w:right w:val="none" w:sz="0" w:space="0" w:color="auto"/>
      </w:divBdr>
    </w:div>
    <w:div w:id="1839229964">
      <w:bodyDiv w:val="1"/>
      <w:marLeft w:val="0"/>
      <w:marRight w:val="0"/>
      <w:marTop w:val="0"/>
      <w:marBottom w:val="0"/>
      <w:divBdr>
        <w:top w:val="none" w:sz="0" w:space="0" w:color="auto"/>
        <w:left w:val="none" w:sz="0" w:space="0" w:color="auto"/>
        <w:bottom w:val="none" w:sz="0" w:space="0" w:color="auto"/>
        <w:right w:val="none" w:sz="0" w:space="0" w:color="auto"/>
      </w:divBdr>
    </w:div>
    <w:div w:id="1843006954">
      <w:bodyDiv w:val="1"/>
      <w:marLeft w:val="0"/>
      <w:marRight w:val="0"/>
      <w:marTop w:val="0"/>
      <w:marBottom w:val="0"/>
      <w:divBdr>
        <w:top w:val="none" w:sz="0" w:space="0" w:color="auto"/>
        <w:left w:val="none" w:sz="0" w:space="0" w:color="auto"/>
        <w:bottom w:val="none" w:sz="0" w:space="0" w:color="auto"/>
        <w:right w:val="none" w:sz="0" w:space="0" w:color="auto"/>
      </w:divBdr>
    </w:div>
    <w:div w:id="1843426881">
      <w:bodyDiv w:val="1"/>
      <w:marLeft w:val="0"/>
      <w:marRight w:val="0"/>
      <w:marTop w:val="0"/>
      <w:marBottom w:val="0"/>
      <w:divBdr>
        <w:top w:val="none" w:sz="0" w:space="0" w:color="auto"/>
        <w:left w:val="none" w:sz="0" w:space="0" w:color="auto"/>
        <w:bottom w:val="none" w:sz="0" w:space="0" w:color="auto"/>
        <w:right w:val="none" w:sz="0" w:space="0" w:color="auto"/>
      </w:divBdr>
    </w:div>
    <w:div w:id="1846479108">
      <w:bodyDiv w:val="1"/>
      <w:marLeft w:val="0"/>
      <w:marRight w:val="0"/>
      <w:marTop w:val="0"/>
      <w:marBottom w:val="0"/>
      <w:divBdr>
        <w:top w:val="none" w:sz="0" w:space="0" w:color="auto"/>
        <w:left w:val="none" w:sz="0" w:space="0" w:color="auto"/>
        <w:bottom w:val="none" w:sz="0" w:space="0" w:color="auto"/>
        <w:right w:val="none" w:sz="0" w:space="0" w:color="auto"/>
      </w:divBdr>
    </w:div>
    <w:div w:id="1846507299">
      <w:bodyDiv w:val="1"/>
      <w:marLeft w:val="0"/>
      <w:marRight w:val="0"/>
      <w:marTop w:val="0"/>
      <w:marBottom w:val="0"/>
      <w:divBdr>
        <w:top w:val="none" w:sz="0" w:space="0" w:color="auto"/>
        <w:left w:val="none" w:sz="0" w:space="0" w:color="auto"/>
        <w:bottom w:val="none" w:sz="0" w:space="0" w:color="auto"/>
        <w:right w:val="none" w:sz="0" w:space="0" w:color="auto"/>
      </w:divBdr>
    </w:div>
    <w:div w:id="1850633288">
      <w:bodyDiv w:val="1"/>
      <w:marLeft w:val="0"/>
      <w:marRight w:val="0"/>
      <w:marTop w:val="0"/>
      <w:marBottom w:val="0"/>
      <w:divBdr>
        <w:top w:val="none" w:sz="0" w:space="0" w:color="auto"/>
        <w:left w:val="none" w:sz="0" w:space="0" w:color="auto"/>
        <w:bottom w:val="none" w:sz="0" w:space="0" w:color="auto"/>
        <w:right w:val="none" w:sz="0" w:space="0" w:color="auto"/>
      </w:divBdr>
    </w:div>
    <w:div w:id="1852182436">
      <w:bodyDiv w:val="1"/>
      <w:marLeft w:val="0"/>
      <w:marRight w:val="0"/>
      <w:marTop w:val="0"/>
      <w:marBottom w:val="0"/>
      <w:divBdr>
        <w:top w:val="none" w:sz="0" w:space="0" w:color="auto"/>
        <w:left w:val="none" w:sz="0" w:space="0" w:color="auto"/>
        <w:bottom w:val="none" w:sz="0" w:space="0" w:color="auto"/>
        <w:right w:val="none" w:sz="0" w:space="0" w:color="auto"/>
      </w:divBdr>
    </w:div>
    <w:div w:id="1858034736">
      <w:bodyDiv w:val="1"/>
      <w:marLeft w:val="0"/>
      <w:marRight w:val="0"/>
      <w:marTop w:val="0"/>
      <w:marBottom w:val="0"/>
      <w:divBdr>
        <w:top w:val="none" w:sz="0" w:space="0" w:color="auto"/>
        <w:left w:val="none" w:sz="0" w:space="0" w:color="auto"/>
        <w:bottom w:val="none" w:sz="0" w:space="0" w:color="auto"/>
        <w:right w:val="none" w:sz="0" w:space="0" w:color="auto"/>
      </w:divBdr>
    </w:div>
    <w:div w:id="1863282587">
      <w:bodyDiv w:val="1"/>
      <w:marLeft w:val="0"/>
      <w:marRight w:val="0"/>
      <w:marTop w:val="0"/>
      <w:marBottom w:val="0"/>
      <w:divBdr>
        <w:top w:val="none" w:sz="0" w:space="0" w:color="auto"/>
        <w:left w:val="none" w:sz="0" w:space="0" w:color="auto"/>
        <w:bottom w:val="none" w:sz="0" w:space="0" w:color="auto"/>
        <w:right w:val="none" w:sz="0" w:space="0" w:color="auto"/>
      </w:divBdr>
    </w:div>
    <w:div w:id="1865822656">
      <w:bodyDiv w:val="1"/>
      <w:marLeft w:val="0"/>
      <w:marRight w:val="0"/>
      <w:marTop w:val="0"/>
      <w:marBottom w:val="0"/>
      <w:divBdr>
        <w:top w:val="none" w:sz="0" w:space="0" w:color="auto"/>
        <w:left w:val="none" w:sz="0" w:space="0" w:color="auto"/>
        <w:bottom w:val="none" w:sz="0" w:space="0" w:color="auto"/>
        <w:right w:val="none" w:sz="0" w:space="0" w:color="auto"/>
      </w:divBdr>
    </w:div>
    <w:div w:id="1866022643">
      <w:bodyDiv w:val="1"/>
      <w:marLeft w:val="0"/>
      <w:marRight w:val="0"/>
      <w:marTop w:val="0"/>
      <w:marBottom w:val="0"/>
      <w:divBdr>
        <w:top w:val="none" w:sz="0" w:space="0" w:color="auto"/>
        <w:left w:val="none" w:sz="0" w:space="0" w:color="auto"/>
        <w:bottom w:val="none" w:sz="0" w:space="0" w:color="auto"/>
        <w:right w:val="none" w:sz="0" w:space="0" w:color="auto"/>
      </w:divBdr>
    </w:div>
    <w:div w:id="1868131536">
      <w:bodyDiv w:val="1"/>
      <w:marLeft w:val="0"/>
      <w:marRight w:val="0"/>
      <w:marTop w:val="0"/>
      <w:marBottom w:val="0"/>
      <w:divBdr>
        <w:top w:val="none" w:sz="0" w:space="0" w:color="auto"/>
        <w:left w:val="none" w:sz="0" w:space="0" w:color="auto"/>
        <w:bottom w:val="none" w:sz="0" w:space="0" w:color="auto"/>
        <w:right w:val="none" w:sz="0" w:space="0" w:color="auto"/>
      </w:divBdr>
    </w:div>
    <w:div w:id="1869876238">
      <w:bodyDiv w:val="1"/>
      <w:marLeft w:val="0"/>
      <w:marRight w:val="0"/>
      <w:marTop w:val="0"/>
      <w:marBottom w:val="0"/>
      <w:divBdr>
        <w:top w:val="none" w:sz="0" w:space="0" w:color="auto"/>
        <w:left w:val="none" w:sz="0" w:space="0" w:color="auto"/>
        <w:bottom w:val="none" w:sz="0" w:space="0" w:color="auto"/>
        <w:right w:val="none" w:sz="0" w:space="0" w:color="auto"/>
      </w:divBdr>
    </w:div>
    <w:div w:id="1873497256">
      <w:bodyDiv w:val="1"/>
      <w:marLeft w:val="0"/>
      <w:marRight w:val="0"/>
      <w:marTop w:val="0"/>
      <w:marBottom w:val="0"/>
      <w:divBdr>
        <w:top w:val="none" w:sz="0" w:space="0" w:color="auto"/>
        <w:left w:val="none" w:sz="0" w:space="0" w:color="auto"/>
        <w:bottom w:val="none" w:sz="0" w:space="0" w:color="auto"/>
        <w:right w:val="none" w:sz="0" w:space="0" w:color="auto"/>
      </w:divBdr>
    </w:div>
    <w:div w:id="1874421522">
      <w:bodyDiv w:val="1"/>
      <w:marLeft w:val="0"/>
      <w:marRight w:val="0"/>
      <w:marTop w:val="0"/>
      <w:marBottom w:val="0"/>
      <w:divBdr>
        <w:top w:val="none" w:sz="0" w:space="0" w:color="auto"/>
        <w:left w:val="none" w:sz="0" w:space="0" w:color="auto"/>
        <w:bottom w:val="none" w:sz="0" w:space="0" w:color="auto"/>
        <w:right w:val="none" w:sz="0" w:space="0" w:color="auto"/>
      </w:divBdr>
    </w:div>
    <w:div w:id="1879703617">
      <w:bodyDiv w:val="1"/>
      <w:marLeft w:val="0"/>
      <w:marRight w:val="0"/>
      <w:marTop w:val="0"/>
      <w:marBottom w:val="0"/>
      <w:divBdr>
        <w:top w:val="none" w:sz="0" w:space="0" w:color="auto"/>
        <w:left w:val="none" w:sz="0" w:space="0" w:color="auto"/>
        <w:bottom w:val="none" w:sz="0" w:space="0" w:color="auto"/>
        <w:right w:val="none" w:sz="0" w:space="0" w:color="auto"/>
      </w:divBdr>
    </w:div>
    <w:div w:id="1880434357">
      <w:bodyDiv w:val="1"/>
      <w:marLeft w:val="0"/>
      <w:marRight w:val="0"/>
      <w:marTop w:val="0"/>
      <w:marBottom w:val="0"/>
      <w:divBdr>
        <w:top w:val="none" w:sz="0" w:space="0" w:color="auto"/>
        <w:left w:val="none" w:sz="0" w:space="0" w:color="auto"/>
        <w:bottom w:val="none" w:sz="0" w:space="0" w:color="auto"/>
        <w:right w:val="none" w:sz="0" w:space="0" w:color="auto"/>
      </w:divBdr>
    </w:div>
    <w:div w:id="1887371543">
      <w:bodyDiv w:val="1"/>
      <w:marLeft w:val="0"/>
      <w:marRight w:val="0"/>
      <w:marTop w:val="0"/>
      <w:marBottom w:val="0"/>
      <w:divBdr>
        <w:top w:val="none" w:sz="0" w:space="0" w:color="auto"/>
        <w:left w:val="none" w:sz="0" w:space="0" w:color="auto"/>
        <w:bottom w:val="none" w:sz="0" w:space="0" w:color="auto"/>
        <w:right w:val="none" w:sz="0" w:space="0" w:color="auto"/>
      </w:divBdr>
    </w:div>
    <w:div w:id="1888761179">
      <w:bodyDiv w:val="1"/>
      <w:marLeft w:val="0"/>
      <w:marRight w:val="0"/>
      <w:marTop w:val="0"/>
      <w:marBottom w:val="0"/>
      <w:divBdr>
        <w:top w:val="none" w:sz="0" w:space="0" w:color="auto"/>
        <w:left w:val="none" w:sz="0" w:space="0" w:color="auto"/>
        <w:bottom w:val="none" w:sz="0" w:space="0" w:color="auto"/>
        <w:right w:val="none" w:sz="0" w:space="0" w:color="auto"/>
      </w:divBdr>
    </w:div>
    <w:div w:id="1889340965">
      <w:bodyDiv w:val="1"/>
      <w:marLeft w:val="0"/>
      <w:marRight w:val="0"/>
      <w:marTop w:val="0"/>
      <w:marBottom w:val="0"/>
      <w:divBdr>
        <w:top w:val="none" w:sz="0" w:space="0" w:color="auto"/>
        <w:left w:val="none" w:sz="0" w:space="0" w:color="auto"/>
        <w:bottom w:val="none" w:sz="0" w:space="0" w:color="auto"/>
        <w:right w:val="none" w:sz="0" w:space="0" w:color="auto"/>
      </w:divBdr>
    </w:div>
    <w:div w:id="1889955474">
      <w:bodyDiv w:val="1"/>
      <w:marLeft w:val="0"/>
      <w:marRight w:val="0"/>
      <w:marTop w:val="0"/>
      <w:marBottom w:val="0"/>
      <w:divBdr>
        <w:top w:val="none" w:sz="0" w:space="0" w:color="auto"/>
        <w:left w:val="none" w:sz="0" w:space="0" w:color="auto"/>
        <w:bottom w:val="none" w:sz="0" w:space="0" w:color="auto"/>
        <w:right w:val="none" w:sz="0" w:space="0" w:color="auto"/>
      </w:divBdr>
    </w:div>
    <w:div w:id="1892031081">
      <w:bodyDiv w:val="1"/>
      <w:marLeft w:val="0"/>
      <w:marRight w:val="0"/>
      <w:marTop w:val="0"/>
      <w:marBottom w:val="0"/>
      <w:divBdr>
        <w:top w:val="none" w:sz="0" w:space="0" w:color="auto"/>
        <w:left w:val="none" w:sz="0" w:space="0" w:color="auto"/>
        <w:bottom w:val="none" w:sz="0" w:space="0" w:color="auto"/>
        <w:right w:val="none" w:sz="0" w:space="0" w:color="auto"/>
      </w:divBdr>
    </w:div>
    <w:div w:id="1892686966">
      <w:bodyDiv w:val="1"/>
      <w:marLeft w:val="0"/>
      <w:marRight w:val="0"/>
      <w:marTop w:val="0"/>
      <w:marBottom w:val="0"/>
      <w:divBdr>
        <w:top w:val="none" w:sz="0" w:space="0" w:color="auto"/>
        <w:left w:val="none" w:sz="0" w:space="0" w:color="auto"/>
        <w:bottom w:val="none" w:sz="0" w:space="0" w:color="auto"/>
        <w:right w:val="none" w:sz="0" w:space="0" w:color="auto"/>
      </w:divBdr>
    </w:div>
    <w:div w:id="1895432433">
      <w:bodyDiv w:val="1"/>
      <w:marLeft w:val="0"/>
      <w:marRight w:val="0"/>
      <w:marTop w:val="0"/>
      <w:marBottom w:val="0"/>
      <w:divBdr>
        <w:top w:val="none" w:sz="0" w:space="0" w:color="auto"/>
        <w:left w:val="none" w:sz="0" w:space="0" w:color="auto"/>
        <w:bottom w:val="none" w:sz="0" w:space="0" w:color="auto"/>
        <w:right w:val="none" w:sz="0" w:space="0" w:color="auto"/>
      </w:divBdr>
    </w:div>
    <w:div w:id="1900243533">
      <w:bodyDiv w:val="1"/>
      <w:marLeft w:val="0"/>
      <w:marRight w:val="0"/>
      <w:marTop w:val="0"/>
      <w:marBottom w:val="0"/>
      <w:divBdr>
        <w:top w:val="none" w:sz="0" w:space="0" w:color="auto"/>
        <w:left w:val="none" w:sz="0" w:space="0" w:color="auto"/>
        <w:bottom w:val="none" w:sz="0" w:space="0" w:color="auto"/>
        <w:right w:val="none" w:sz="0" w:space="0" w:color="auto"/>
      </w:divBdr>
    </w:div>
    <w:div w:id="1905069971">
      <w:bodyDiv w:val="1"/>
      <w:marLeft w:val="0"/>
      <w:marRight w:val="0"/>
      <w:marTop w:val="0"/>
      <w:marBottom w:val="0"/>
      <w:divBdr>
        <w:top w:val="none" w:sz="0" w:space="0" w:color="auto"/>
        <w:left w:val="none" w:sz="0" w:space="0" w:color="auto"/>
        <w:bottom w:val="none" w:sz="0" w:space="0" w:color="auto"/>
        <w:right w:val="none" w:sz="0" w:space="0" w:color="auto"/>
      </w:divBdr>
    </w:div>
    <w:div w:id="1905799485">
      <w:bodyDiv w:val="1"/>
      <w:marLeft w:val="0"/>
      <w:marRight w:val="0"/>
      <w:marTop w:val="0"/>
      <w:marBottom w:val="0"/>
      <w:divBdr>
        <w:top w:val="none" w:sz="0" w:space="0" w:color="auto"/>
        <w:left w:val="none" w:sz="0" w:space="0" w:color="auto"/>
        <w:bottom w:val="none" w:sz="0" w:space="0" w:color="auto"/>
        <w:right w:val="none" w:sz="0" w:space="0" w:color="auto"/>
      </w:divBdr>
    </w:div>
    <w:div w:id="1914968331">
      <w:bodyDiv w:val="1"/>
      <w:marLeft w:val="0"/>
      <w:marRight w:val="0"/>
      <w:marTop w:val="0"/>
      <w:marBottom w:val="0"/>
      <w:divBdr>
        <w:top w:val="none" w:sz="0" w:space="0" w:color="auto"/>
        <w:left w:val="none" w:sz="0" w:space="0" w:color="auto"/>
        <w:bottom w:val="none" w:sz="0" w:space="0" w:color="auto"/>
        <w:right w:val="none" w:sz="0" w:space="0" w:color="auto"/>
      </w:divBdr>
    </w:div>
    <w:div w:id="1917126171">
      <w:bodyDiv w:val="1"/>
      <w:marLeft w:val="0"/>
      <w:marRight w:val="0"/>
      <w:marTop w:val="0"/>
      <w:marBottom w:val="0"/>
      <w:divBdr>
        <w:top w:val="none" w:sz="0" w:space="0" w:color="auto"/>
        <w:left w:val="none" w:sz="0" w:space="0" w:color="auto"/>
        <w:bottom w:val="none" w:sz="0" w:space="0" w:color="auto"/>
        <w:right w:val="none" w:sz="0" w:space="0" w:color="auto"/>
      </w:divBdr>
    </w:div>
    <w:div w:id="1918320127">
      <w:bodyDiv w:val="1"/>
      <w:marLeft w:val="0"/>
      <w:marRight w:val="0"/>
      <w:marTop w:val="0"/>
      <w:marBottom w:val="0"/>
      <w:divBdr>
        <w:top w:val="none" w:sz="0" w:space="0" w:color="auto"/>
        <w:left w:val="none" w:sz="0" w:space="0" w:color="auto"/>
        <w:bottom w:val="none" w:sz="0" w:space="0" w:color="auto"/>
        <w:right w:val="none" w:sz="0" w:space="0" w:color="auto"/>
      </w:divBdr>
    </w:div>
    <w:div w:id="1919050272">
      <w:bodyDiv w:val="1"/>
      <w:marLeft w:val="0"/>
      <w:marRight w:val="0"/>
      <w:marTop w:val="0"/>
      <w:marBottom w:val="0"/>
      <w:divBdr>
        <w:top w:val="none" w:sz="0" w:space="0" w:color="auto"/>
        <w:left w:val="none" w:sz="0" w:space="0" w:color="auto"/>
        <w:bottom w:val="none" w:sz="0" w:space="0" w:color="auto"/>
        <w:right w:val="none" w:sz="0" w:space="0" w:color="auto"/>
      </w:divBdr>
    </w:div>
    <w:div w:id="1920141231">
      <w:bodyDiv w:val="1"/>
      <w:marLeft w:val="0"/>
      <w:marRight w:val="0"/>
      <w:marTop w:val="0"/>
      <w:marBottom w:val="0"/>
      <w:divBdr>
        <w:top w:val="none" w:sz="0" w:space="0" w:color="auto"/>
        <w:left w:val="none" w:sz="0" w:space="0" w:color="auto"/>
        <w:bottom w:val="none" w:sz="0" w:space="0" w:color="auto"/>
        <w:right w:val="none" w:sz="0" w:space="0" w:color="auto"/>
      </w:divBdr>
    </w:div>
    <w:div w:id="1921476319">
      <w:bodyDiv w:val="1"/>
      <w:marLeft w:val="0"/>
      <w:marRight w:val="0"/>
      <w:marTop w:val="0"/>
      <w:marBottom w:val="0"/>
      <w:divBdr>
        <w:top w:val="none" w:sz="0" w:space="0" w:color="auto"/>
        <w:left w:val="none" w:sz="0" w:space="0" w:color="auto"/>
        <w:bottom w:val="none" w:sz="0" w:space="0" w:color="auto"/>
        <w:right w:val="none" w:sz="0" w:space="0" w:color="auto"/>
      </w:divBdr>
    </w:div>
    <w:div w:id="1933391542">
      <w:bodyDiv w:val="1"/>
      <w:marLeft w:val="0"/>
      <w:marRight w:val="0"/>
      <w:marTop w:val="0"/>
      <w:marBottom w:val="0"/>
      <w:divBdr>
        <w:top w:val="none" w:sz="0" w:space="0" w:color="auto"/>
        <w:left w:val="none" w:sz="0" w:space="0" w:color="auto"/>
        <w:bottom w:val="none" w:sz="0" w:space="0" w:color="auto"/>
        <w:right w:val="none" w:sz="0" w:space="0" w:color="auto"/>
      </w:divBdr>
    </w:div>
    <w:div w:id="1934364149">
      <w:bodyDiv w:val="1"/>
      <w:marLeft w:val="0"/>
      <w:marRight w:val="0"/>
      <w:marTop w:val="0"/>
      <w:marBottom w:val="0"/>
      <w:divBdr>
        <w:top w:val="none" w:sz="0" w:space="0" w:color="auto"/>
        <w:left w:val="none" w:sz="0" w:space="0" w:color="auto"/>
        <w:bottom w:val="none" w:sz="0" w:space="0" w:color="auto"/>
        <w:right w:val="none" w:sz="0" w:space="0" w:color="auto"/>
      </w:divBdr>
    </w:div>
    <w:div w:id="1934777438">
      <w:bodyDiv w:val="1"/>
      <w:marLeft w:val="0"/>
      <w:marRight w:val="0"/>
      <w:marTop w:val="0"/>
      <w:marBottom w:val="0"/>
      <w:divBdr>
        <w:top w:val="none" w:sz="0" w:space="0" w:color="auto"/>
        <w:left w:val="none" w:sz="0" w:space="0" w:color="auto"/>
        <w:bottom w:val="none" w:sz="0" w:space="0" w:color="auto"/>
        <w:right w:val="none" w:sz="0" w:space="0" w:color="auto"/>
      </w:divBdr>
    </w:div>
    <w:div w:id="1935507098">
      <w:bodyDiv w:val="1"/>
      <w:marLeft w:val="0"/>
      <w:marRight w:val="0"/>
      <w:marTop w:val="0"/>
      <w:marBottom w:val="0"/>
      <w:divBdr>
        <w:top w:val="none" w:sz="0" w:space="0" w:color="auto"/>
        <w:left w:val="none" w:sz="0" w:space="0" w:color="auto"/>
        <w:bottom w:val="none" w:sz="0" w:space="0" w:color="auto"/>
        <w:right w:val="none" w:sz="0" w:space="0" w:color="auto"/>
      </w:divBdr>
    </w:div>
    <w:div w:id="1940599529">
      <w:bodyDiv w:val="1"/>
      <w:marLeft w:val="0"/>
      <w:marRight w:val="0"/>
      <w:marTop w:val="0"/>
      <w:marBottom w:val="0"/>
      <w:divBdr>
        <w:top w:val="none" w:sz="0" w:space="0" w:color="auto"/>
        <w:left w:val="none" w:sz="0" w:space="0" w:color="auto"/>
        <w:bottom w:val="none" w:sz="0" w:space="0" w:color="auto"/>
        <w:right w:val="none" w:sz="0" w:space="0" w:color="auto"/>
      </w:divBdr>
    </w:div>
    <w:div w:id="1943490980">
      <w:bodyDiv w:val="1"/>
      <w:marLeft w:val="0"/>
      <w:marRight w:val="0"/>
      <w:marTop w:val="0"/>
      <w:marBottom w:val="0"/>
      <w:divBdr>
        <w:top w:val="none" w:sz="0" w:space="0" w:color="auto"/>
        <w:left w:val="none" w:sz="0" w:space="0" w:color="auto"/>
        <w:bottom w:val="none" w:sz="0" w:space="0" w:color="auto"/>
        <w:right w:val="none" w:sz="0" w:space="0" w:color="auto"/>
      </w:divBdr>
    </w:div>
    <w:div w:id="1945962753">
      <w:bodyDiv w:val="1"/>
      <w:marLeft w:val="0"/>
      <w:marRight w:val="0"/>
      <w:marTop w:val="0"/>
      <w:marBottom w:val="0"/>
      <w:divBdr>
        <w:top w:val="none" w:sz="0" w:space="0" w:color="auto"/>
        <w:left w:val="none" w:sz="0" w:space="0" w:color="auto"/>
        <w:bottom w:val="none" w:sz="0" w:space="0" w:color="auto"/>
        <w:right w:val="none" w:sz="0" w:space="0" w:color="auto"/>
      </w:divBdr>
    </w:div>
    <w:div w:id="1949313189">
      <w:bodyDiv w:val="1"/>
      <w:marLeft w:val="0"/>
      <w:marRight w:val="0"/>
      <w:marTop w:val="0"/>
      <w:marBottom w:val="0"/>
      <w:divBdr>
        <w:top w:val="none" w:sz="0" w:space="0" w:color="auto"/>
        <w:left w:val="none" w:sz="0" w:space="0" w:color="auto"/>
        <w:bottom w:val="none" w:sz="0" w:space="0" w:color="auto"/>
        <w:right w:val="none" w:sz="0" w:space="0" w:color="auto"/>
      </w:divBdr>
    </w:div>
    <w:div w:id="1949851030">
      <w:bodyDiv w:val="1"/>
      <w:marLeft w:val="0"/>
      <w:marRight w:val="0"/>
      <w:marTop w:val="0"/>
      <w:marBottom w:val="0"/>
      <w:divBdr>
        <w:top w:val="none" w:sz="0" w:space="0" w:color="auto"/>
        <w:left w:val="none" w:sz="0" w:space="0" w:color="auto"/>
        <w:bottom w:val="none" w:sz="0" w:space="0" w:color="auto"/>
        <w:right w:val="none" w:sz="0" w:space="0" w:color="auto"/>
      </w:divBdr>
    </w:div>
    <w:div w:id="1956866291">
      <w:bodyDiv w:val="1"/>
      <w:marLeft w:val="0"/>
      <w:marRight w:val="0"/>
      <w:marTop w:val="0"/>
      <w:marBottom w:val="0"/>
      <w:divBdr>
        <w:top w:val="none" w:sz="0" w:space="0" w:color="auto"/>
        <w:left w:val="none" w:sz="0" w:space="0" w:color="auto"/>
        <w:bottom w:val="none" w:sz="0" w:space="0" w:color="auto"/>
        <w:right w:val="none" w:sz="0" w:space="0" w:color="auto"/>
      </w:divBdr>
    </w:div>
    <w:div w:id="1972133914">
      <w:bodyDiv w:val="1"/>
      <w:marLeft w:val="0"/>
      <w:marRight w:val="0"/>
      <w:marTop w:val="0"/>
      <w:marBottom w:val="0"/>
      <w:divBdr>
        <w:top w:val="none" w:sz="0" w:space="0" w:color="auto"/>
        <w:left w:val="none" w:sz="0" w:space="0" w:color="auto"/>
        <w:bottom w:val="none" w:sz="0" w:space="0" w:color="auto"/>
        <w:right w:val="none" w:sz="0" w:space="0" w:color="auto"/>
      </w:divBdr>
    </w:div>
    <w:div w:id="1982535195">
      <w:bodyDiv w:val="1"/>
      <w:marLeft w:val="0"/>
      <w:marRight w:val="0"/>
      <w:marTop w:val="0"/>
      <w:marBottom w:val="0"/>
      <w:divBdr>
        <w:top w:val="none" w:sz="0" w:space="0" w:color="auto"/>
        <w:left w:val="none" w:sz="0" w:space="0" w:color="auto"/>
        <w:bottom w:val="none" w:sz="0" w:space="0" w:color="auto"/>
        <w:right w:val="none" w:sz="0" w:space="0" w:color="auto"/>
      </w:divBdr>
    </w:div>
    <w:div w:id="1982922962">
      <w:bodyDiv w:val="1"/>
      <w:marLeft w:val="0"/>
      <w:marRight w:val="0"/>
      <w:marTop w:val="0"/>
      <w:marBottom w:val="0"/>
      <w:divBdr>
        <w:top w:val="none" w:sz="0" w:space="0" w:color="auto"/>
        <w:left w:val="none" w:sz="0" w:space="0" w:color="auto"/>
        <w:bottom w:val="none" w:sz="0" w:space="0" w:color="auto"/>
        <w:right w:val="none" w:sz="0" w:space="0" w:color="auto"/>
      </w:divBdr>
    </w:div>
    <w:div w:id="1992323960">
      <w:bodyDiv w:val="1"/>
      <w:marLeft w:val="0"/>
      <w:marRight w:val="0"/>
      <w:marTop w:val="0"/>
      <w:marBottom w:val="0"/>
      <w:divBdr>
        <w:top w:val="none" w:sz="0" w:space="0" w:color="auto"/>
        <w:left w:val="none" w:sz="0" w:space="0" w:color="auto"/>
        <w:bottom w:val="none" w:sz="0" w:space="0" w:color="auto"/>
        <w:right w:val="none" w:sz="0" w:space="0" w:color="auto"/>
      </w:divBdr>
    </w:div>
    <w:div w:id="1998923921">
      <w:bodyDiv w:val="1"/>
      <w:marLeft w:val="0"/>
      <w:marRight w:val="0"/>
      <w:marTop w:val="0"/>
      <w:marBottom w:val="0"/>
      <w:divBdr>
        <w:top w:val="none" w:sz="0" w:space="0" w:color="auto"/>
        <w:left w:val="none" w:sz="0" w:space="0" w:color="auto"/>
        <w:bottom w:val="none" w:sz="0" w:space="0" w:color="auto"/>
        <w:right w:val="none" w:sz="0" w:space="0" w:color="auto"/>
      </w:divBdr>
    </w:div>
    <w:div w:id="2000231343">
      <w:bodyDiv w:val="1"/>
      <w:marLeft w:val="0"/>
      <w:marRight w:val="0"/>
      <w:marTop w:val="0"/>
      <w:marBottom w:val="0"/>
      <w:divBdr>
        <w:top w:val="none" w:sz="0" w:space="0" w:color="auto"/>
        <w:left w:val="none" w:sz="0" w:space="0" w:color="auto"/>
        <w:bottom w:val="none" w:sz="0" w:space="0" w:color="auto"/>
        <w:right w:val="none" w:sz="0" w:space="0" w:color="auto"/>
      </w:divBdr>
    </w:div>
    <w:div w:id="2002929217">
      <w:bodyDiv w:val="1"/>
      <w:marLeft w:val="0"/>
      <w:marRight w:val="0"/>
      <w:marTop w:val="0"/>
      <w:marBottom w:val="0"/>
      <w:divBdr>
        <w:top w:val="none" w:sz="0" w:space="0" w:color="auto"/>
        <w:left w:val="none" w:sz="0" w:space="0" w:color="auto"/>
        <w:bottom w:val="none" w:sz="0" w:space="0" w:color="auto"/>
        <w:right w:val="none" w:sz="0" w:space="0" w:color="auto"/>
      </w:divBdr>
    </w:div>
    <w:div w:id="2004384850">
      <w:bodyDiv w:val="1"/>
      <w:marLeft w:val="0"/>
      <w:marRight w:val="0"/>
      <w:marTop w:val="0"/>
      <w:marBottom w:val="0"/>
      <w:divBdr>
        <w:top w:val="none" w:sz="0" w:space="0" w:color="auto"/>
        <w:left w:val="none" w:sz="0" w:space="0" w:color="auto"/>
        <w:bottom w:val="none" w:sz="0" w:space="0" w:color="auto"/>
        <w:right w:val="none" w:sz="0" w:space="0" w:color="auto"/>
      </w:divBdr>
    </w:div>
    <w:div w:id="2006199113">
      <w:bodyDiv w:val="1"/>
      <w:marLeft w:val="0"/>
      <w:marRight w:val="0"/>
      <w:marTop w:val="0"/>
      <w:marBottom w:val="0"/>
      <w:divBdr>
        <w:top w:val="none" w:sz="0" w:space="0" w:color="auto"/>
        <w:left w:val="none" w:sz="0" w:space="0" w:color="auto"/>
        <w:bottom w:val="none" w:sz="0" w:space="0" w:color="auto"/>
        <w:right w:val="none" w:sz="0" w:space="0" w:color="auto"/>
      </w:divBdr>
    </w:div>
    <w:div w:id="2010209291">
      <w:bodyDiv w:val="1"/>
      <w:marLeft w:val="0"/>
      <w:marRight w:val="0"/>
      <w:marTop w:val="0"/>
      <w:marBottom w:val="0"/>
      <w:divBdr>
        <w:top w:val="none" w:sz="0" w:space="0" w:color="auto"/>
        <w:left w:val="none" w:sz="0" w:space="0" w:color="auto"/>
        <w:bottom w:val="none" w:sz="0" w:space="0" w:color="auto"/>
        <w:right w:val="none" w:sz="0" w:space="0" w:color="auto"/>
      </w:divBdr>
    </w:div>
    <w:div w:id="2021927887">
      <w:bodyDiv w:val="1"/>
      <w:marLeft w:val="0"/>
      <w:marRight w:val="0"/>
      <w:marTop w:val="0"/>
      <w:marBottom w:val="0"/>
      <w:divBdr>
        <w:top w:val="none" w:sz="0" w:space="0" w:color="auto"/>
        <w:left w:val="none" w:sz="0" w:space="0" w:color="auto"/>
        <w:bottom w:val="none" w:sz="0" w:space="0" w:color="auto"/>
        <w:right w:val="none" w:sz="0" w:space="0" w:color="auto"/>
      </w:divBdr>
    </w:div>
    <w:div w:id="2024700868">
      <w:bodyDiv w:val="1"/>
      <w:marLeft w:val="0"/>
      <w:marRight w:val="0"/>
      <w:marTop w:val="0"/>
      <w:marBottom w:val="0"/>
      <w:divBdr>
        <w:top w:val="none" w:sz="0" w:space="0" w:color="auto"/>
        <w:left w:val="none" w:sz="0" w:space="0" w:color="auto"/>
        <w:bottom w:val="none" w:sz="0" w:space="0" w:color="auto"/>
        <w:right w:val="none" w:sz="0" w:space="0" w:color="auto"/>
      </w:divBdr>
    </w:div>
    <w:div w:id="2029868438">
      <w:bodyDiv w:val="1"/>
      <w:marLeft w:val="0"/>
      <w:marRight w:val="0"/>
      <w:marTop w:val="0"/>
      <w:marBottom w:val="0"/>
      <w:divBdr>
        <w:top w:val="none" w:sz="0" w:space="0" w:color="auto"/>
        <w:left w:val="none" w:sz="0" w:space="0" w:color="auto"/>
        <w:bottom w:val="none" w:sz="0" w:space="0" w:color="auto"/>
        <w:right w:val="none" w:sz="0" w:space="0" w:color="auto"/>
      </w:divBdr>
    </w:div>
    <w:div w:id="2032874700">
      <w:bodyDiv w:val="1"/>
      <w:marLeft w:val="0"/>
      <w:marRight w:val="0"/>
      <w:marTop w:val="0"/>
      <w:marBottom w:val="0"/>
      <w:divBdr>
        <w:top w:val="none" w:sz="0" w:space="0" w:color="auto"/>
        <w:left w:val="none" w:sz="0" w:space="0" w:color="auto"/>
        <w:bottom w:val="none" w:sz="0" w:space="0" w:color="auto"/>
        <w:right w:val="none" w:sz="0" w:space="0" w:color="auto"/>
      </w:divBdr>
    </w:div>
    <w:div w:id="2040206289">
      <w:bodyDiv w:val="1"/>
      <w:marLeft w:val="0"/>
      <w:marRight w:val="0"/>
      <w:marTop w:val="0"/>
      <w:marBottom w:val="0"/>
      <w:divBdr>
        <w:top w:val="none" w:sz="0" w:space="0" w:color="auto"/>
        <w:left w:val="none" w:sz="0" w:space="0" w:color="auto"/>
        <w:bottom w:val="none" w:sz="0" w:space="0" w:color="auto"/>
        <w:right w:val="none" w:sz="0" w:space="0" w:color="auto"/>
      </w:divBdr>
    </w:div>
    <w:div w:id="2044548429">
      <w:bodyDiv w:val="1"/>
      <w:marLeft w:val="0"/>
      <w:marRight w:val="0"/>
      <w:marTop w:val="0"/>
      <w:marBottom w:val="0"/>
      <w:divBdr>
        <w:top w:val="none" w:sz="0" w:space="0" w:color="auto"/>
        <w:left w:val="none" w:sz="0" w:space="0" w:color="auto"/>
        <w:bottom w:val="none" w:sz="0" w:space="0" w:color="auto"/>
        <w:right w:val="none" w:sz="0" w:space="0" w:color="auto"/>
      </w:divBdr>
    </w:div>
    <w:div w:id="2048794735">
      <w:bodyDiv w:val="1"/>
      <w:marLeft w:val="0"/>
      <w:marRight w:val="0"/>
      <w:marTop w:val="0"/>
      <w:marBottom w:val="0"/>
      <w:divBdr>
        <w:top w:val="none" w:sz="0" w:space="0" w:color="auto"/>
        <w:left w:val="none" w:sz="0" w:space="0" w:color="auto"/>
        <w:bottom w:val="none" w:sz="0" w:space="0" w:color="auto"/>
        <w:right w:val="none" w:sz="0" w:space="0" w:color="auto"/>
      </w:divBdr>
    </w:div>
    <w:div w:id="2048871399">
      <w:bodyDiv w:val="1"/>
      <w:marLeft w:val="0"/>
      <w:marRight w:val="0"/>
      <w:marTop w:val="0"/>
      <w:marBottom w:val="0"/>
      <w:divBdr>
        <w:top w:val="none" w:sz="0" w:space="0" w:color="auto"/>
        <w:left w:val="none" w:sz="0" w:space="0" w:color="auto"/>
        <w:bottom w:val="none" w:sz="0" w:space="0" w:color="auto"/>
        <w:right w:val="none" w:sz="0" w:space="0" w:color="auto"/>
      </w:divBdr>
    </w:div>
    <w:div w:id="2058969172">
      <w:bodyDiv w:val="1"/>
      <w:marLeft w:val="0"/>
      <w:marRight w:val="0"/>
      <w:marTop w:val="0"/>
      <w:marBottom w:val="0"/>
      <w:divBdr>
        <w:top w:val="none" w:sz="0" w:space="0" w:color="auto"/>
        <w:left w:val="none" w:sz="0" w:space="0" w:color="auto"/>
        <w:bottom w:val="none" w:sz="0" w:space="0" w:color="auto"/>
        <w:right w:val="none" w:sz="0" w:space="0" w:color="auto"/>
      </w:divBdr>
    </w:div>
    <w:div w:id="2075084483">
      <w:bodyDiv w:val="1"/>
      <w:marLeft w:val="0"/>
      <w:marRight w:val="0"/>
      <w:marTop w:val="0"/>
      <w:marBottom w:val="0"/>
      <w:divBdr>
        <w:top w:val="none" w:sz="0" w:space="0" w:color="auto"/>
        <w:left w:val="none" w:sz="0" w:space="0" w:color="auto"/>
        <w:bottom w:val="none" w:sz="0" w:space="0" w:color="auto"/>
        <w:right w:val="none" w:sz="0" w:space="0" w:color="auto"/>
      </w:divBdr>
    </w:div>
    <w:div w:id="2078701391">
      <w:bodyDiv w:val="1"/>
      <w:marLeft w:val="0"/>
      <w:marRight w:val="0"/>
      <w:marTop w:val="0"/>
      <w:marBottom w:val="0"/>
      <w:divBdr>
        <w:top w:val="none" w:sz="0" w:space="0" w:color="auto"/>
        <w:left w:val="none" w:sz="0" w:space="0" w:color="auto"/>
        <w:bottom w:val="none" w:sz="0" w:space="0" w:color="auto"/>
        <w:right w:val="none" w:sz="0" w:space="0" w:color="auto"/>
      </w:divBdr>
    </w:div>
    <w:div w:id="2083789807">
      <w:bodyDiv w:val="1"/>
      <w:marLeft w:val="0"/>
      <w:marRight w:val="0"/>
      <w:marTop w:val="0"/>
      <w:marBottom w:val="0"/>
      <w:divBdr>
        <w:top w:val="none" w:sz="0" w:space="0" w:color="auto"/>
        <w:left w:val="none" w:sz="0" w:space="0" w:color="auto"/>
        <w:bottom w:val="none" w:sz="0" w:space="0" w:color="auto"/>
        <w:right w:val="none" w:sz="0" w:space="0" w:color="auto"/>
      </w:divBdr>
    </w:div>
    <w:div w:id="2083865085">
      <w:bodyDiv w:val="1"/>
      <w:marLeft w:val="0"/>
      <w:marRight w:val="0"/>
      <w:marTop w:val="0"/>
      <w:marBottom w:val="0"/>
      <w:divBdr>
        <w:top w:val="none" w:sz="0" w:space="0" w:color="auto"/>
        <w:left w:val="none" w:sz="0" w:space="0" w:color="auto"/>
        <w:bottom w:val="none" w:sz="0" w:space="0" w:color="auto"/>
        <w:right w:val="none" w:sz="0" w:space="0" w:color="auto"/>
      </w:divBdr>
    </w:div>
    <w:div w:id="2092701377">
      <w:bodyDiv w:val="1"/>
      <w:marLeft w:val="0"/>
      <w:marRight w:val="0"/>
      <w:marTop w:val="0"/>
      <w:marBottom w:val="0"/>
      <w:divBdr>
        <w:top w:val="none" w:sz="0" w:space="0" w:color="auto"/>
        <w:left w:val="none" w:sz="0" w:space="0" w:color="auto"/>
        <w:bottom w:val="none" w:sz="0" w:space="0" w:color="auto"/>
        <w:right w:val="none" w:sz="0" w:space="0" w:color="auto"/>
      </w:divBdr>
    </w:div>
    <w:div w:id="2096391664">
      <w:bodyDiv w:val="1"/>
      <w:marLeft w:val="0"/>
      <w:marRight w:val="0"/>
      <w:marTop w:val="0"/>
      <w:marBottom w:val="0"/>
      <w:divBdr>
        <w:top w:val="none" w:sz="0" w:space="0" w:color="auto"/>
        <w:left w:val="none" w:sz="0" w:space="0" w:color="auto"/>
        <w:bottom w:val="none" w:sz="0" w:space="0" w:color="auto"/>
        <w:right w:val="none" w:sz="0" w:space="0" w:color="auto"/>
      </w:divBdr>
    </w:div>
    <w:div w:id="2102292905">
      <w:bodyDiv w:val="1"/>
      <w:marLeft w:val="0"/>
      <w:marRight w:val="0"/>
      <w:marTop w:val="0"/>
      <w:marBottom w:val="0"/>
      <w:divBdr>
        <w:top w:val="none" w:sz="0" w:space="0" w:color="auto"/>
        <w:left w:val="none" w:sz="0" w:space="0" w:color="auto"/>
        <w:bottom w:val="none" w:sz="0" w:space="0" w:color="auto"/>
        <w:right w:val="none" w:sz="0" w:space="0" w:color="auto"/>
      </w:divBdr>
    </w:div>
    <w:div w:id="2105564426">
      <w:bodyDiv w:val="1"/>
      <w:marLeft w:val="0"/>
      <w:marRight w:val="0"/>
      <w:marTop w:val="0"/>
      <w:marBottom w:val="0"/>
      <w:divBdr>
        <w:top w:val="none" w:sz="0" w:space="0" w:color="auto"/>
        <w:left w:val="none" w:sz="0" w:space="0" w:color="auto"/>
        <w:bottom w:val="none" w:sz="0" w:space="0" w:color="auto"/>
        <w:right w:val="none" w:sz="0" w:space="0" w:color="auto"/>
      </w:divBdr>
    </w:div>
    <w:div w:id="2106874465">
      <w:bodyDiv w:val="1"/>
      <w:marLeft w:val="0"/>
      <w:marRight w:val="0"/>
      <w:marTop w:val="0"/>
      <w:marBottom w:val="0"/>
      <w:divBdr>
        <w:top w:val="none" w:sz="0" w:space="0" w:color="auto"/>
        <w:left w:val="none" w:sz="0" w:space="0" w:color="auto"/>
        <w:bottom w:val="none" w:sz="0" w:space="0" w:color="auto"/>
        <w:right w:val="none" w:sz="0" w:space="0" w:color="auto"/>
      </w:divBdr>
    </w:div>
    <w:div w:id="2110732577">
      <w:bodyDiv w:val="1"/>
      <w:marLeft w:val="0"/>
      <w:marRight w:val="0"/>
      <w:marTop w:val="0"/>
      <w:marBottom w:val="0"/>
      <w:divBdr>
        <w:top w:val="none" w:sz="0" w:space="0" w:color="auto"/>
        <w:left w:val="none" w:sz="0" w:space="0" w:color="auto"/>
        <w:bottom w:val="none" w:sz="0" w:space="0" w:color="auto"/>
        <w:right w:val="none" w:sz="0" w:space="0" w:color="auto"/>
      </w:divBdr>
    </w:div>
    <w:div w:id="2114859128">
      <w:bodyDiv w:val="1"/>
      <w:marLeft w:val="0"/>
      <w:marRight w:val="0"/>
      <w:marTop w:val="0"/>
      <w:marBottom w:val="0"/>
      <w:divBdr>
        <w:top w:val="none" w:sz="0" w:space="0" w:color="auto"/>
        <w:left w:val="none" w:sz="0" w:space="0" w:color="auto"/>
        <w:bottom w:val="none" w:sz="0" w:space="0" w:color="auto"/>
        <w:right w:val="none" w:sz="0" w:space="0" w:color="auto"/>
      </w:divBdr>
    </w:div>
    <w:div w:id="2117675662">
      <w:bodyDiv w:val="1"/>
      <w:marLeft w:val="0"/>
      <w:marRight w:val="0"/>
      <w:marTop w:val="0"/>
      <w:marBottom w:val="0"/>
      <w:divBdr>
        <w:top w:val="none" w:sz="0" w:space="0" w:color="auto"/>
        <w:left w:val="none" w:sz="0" w:space="0" w:color="auto"/>
        <w:bottom w:val="none" w:sz="0" w:space="0" w:color="auto"/>
        <w:right w:val="none" w:sz="0" w:space="0" w:color="auto"/>
      </w:divBdr>
    </w:div>
    <w:div w:id="2123449643">
      <w:bodyDiv w:val="1"/>
      <w:marLeft w:val="0"/>
      <w:marRight w:val="0"/>
      <w:marTop w:val="0"/>
      <w:marBottom w:val="0"/>
      <w:divBdr>
        <w:top w:val="none" w:sz="0" w:space="0" w:color="auto"/>
        <w:left w:val="none" w:sz="0" w:space="0" w:color="auto"/>
        <w:bottom w:val="none" w:sz="0" w:space="0" w:color="auto"/>
        <w:right w:val="none" w:sz="0" w:space="0" w:color="auto"/>
      </w:divBdr>
    </w:div>
    <w:div w:id="2125228599">
      <w:bodyDiv w:val="1"/>
      <w:marLeft w:val="0"/>
      <w:marRight w:val="0"/>
      <w:marTop w:val="0"/>
      <w:marBottom w:val="0"/>
      <w:divBdr>
        <w:top w:val="none" w:sz="0" w:space="0" w:color="auto"/>
        <w:left w:val="none" w:sz="0" w:space="0" w:color="auto"/>
        <w:bottom w:val="none" w:sz="0" w:space="0" w:color="auto"/>
        <w:right w:val="none" w:sz="0" w:space="0" w:color="auto"/>
      </w:divBdr>
    </w:div>
    <w:div w:id="2131312240">
      <w:bodyDiv w:val="1"/>
      <w:marLeft w:val="0"/>
      <w:marRight w:val="0"/>
      <w:marTop w:val="0"/>
      <w:marBottom w:val="0"/>
      <w:divBdr>
        <w:top w:val="none" w:sz="0" w:space="0" w:color="auto"/>
        <w:left w:val="none" w:sz="0" w:space="0" w:color="auto"/>
        <w:bottom w:val="none" w:sz="0" w:space="0" w:color="auto"/>
        <w:right w:val="none" w:sz="0" w:space="0" w:color="auto"/>
      </w:divBdr>
    </w:div>
    <w:div w:id="213204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etsi.org/deliver/etsi_tr/103400_103499/103450/01.02.01_60/tr_103450v010201p.pdf" TargetMode="Externa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cc.gov/consumers/guides/operacion-de-microfonos-inalambricos"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f.gob.mx/nota_detalle.php?codigo=5609418&amp;fecha=04/01/2021"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hyperlink" Target="http://dof.gob.mx/nota_detalle.php?codigo=5512847&amp;fecha=12/02/2018" TargetMode="External"/><Relationship Id="rId19" Type="http://schemas.openxmlformats.org/officeDocument/2006/relationships/hyperlink" Target="https://www.fcc.gov/ecfs/document/120623993766/1"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639645&amp;fecha=29/12/2021" TargetMode="External"/><Relationship Id="rId2" Type="http://schemas.openxmlformats.org/officeDocument/2006/relationships/hyperlink" Target="https://www.dof.gob.mx/nota_detalle.php?codigo=5639645&amp;fecha=29/12/2021" TargetMode="External"/><Relationship Id="rId1" Type="http://schemas.openxmlformats.org/officeDocument/2006/relationships/hyperlink" Target="https://www.dof.gob.mx/nota_detalle.php?codigo=5639645&amp;fecha=29/12/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0739F-EF51-4FDC-A7E3-EA9E393D559D}">
  <ds:schemaRefs>
    <ds:schemaRef ds:uri="http://schemas.openxmlformats.org/officeDocument/2006/bibliography"/>
  </ds:schemaRefs>
</ds:datastoreItem>
</file>

<file path=docMetadata/LabelInfo.xml><?xml version="1.0" encoding="utf-8"?>
<clbl:labelList xmlns:clbl="http://schemas.microsoft.com/office/2020/mipLabelMetadata">
  <clbl:label id="{7f4d25dc-0cb0-4908-89bf-16102a1937e6}" enabled="0" method="" siteId="{7f4d25dc-0cb0-4908-89bf-16102a1937e6}" removed="1"/>
</clbl:labelList>
</file>

<file path=docProps/app.xml><?xml version="1.0" encoding="utf-8"?>
<Properties xmlns="http://schemas.openxmlformats.org/officeDocument/2006/extended-properties" xmlns:vt="http://schemas.openxmlformats.org/officeDocument/2006/docPropsVTypes">
  <Template>Normal</Template>
  <TotalTime>11</TotalTime>
  <Pages>110</Pages>
  <Words>23789</Words>
  <Characters>130843</Characters>
  <Application>Microsoft Office Word</Application>
  <DocSecurity>0</DocSecurity>
  <Lines>1090</Lines>
  <Paragraphs>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154324</CharactersWithSpaces>
  <SharedDoc>false</SharedDoc>
  <HLinks>
    <vt:vector size="48" baseType="variant">
      <vt:variant>
        <vt:i4>4194387</vt:i4>
      </vt:variant>
      <vt:variant>
        <vt:i4>18</vt:i4>
      </vt:variant>
      <vt:variant>
        <vt:i4>0</vt:i4>
      </vt:variant>
      <vt:variant>
        <vt:i4>5</vt:i4>
      </vt:variant>
      <vt:variant>
        <vt:lpwstr>https://www.fcc.gov/ecfs/document/120623993766/1</vt:lpwstr>
      </vt:variant>
      <vt:variant>
        <vt:lpwstr/>
      </vt:variant>
      <vt:variant>
        <vt:i4>7209069</vt:i4>
      </vt:variant>
      <vt:variant>
        <vt:i4>15</vt:i4>
      </vt:variant>
      <vt:variant>
        <vt:i4>0</vt:i4>
      </vt:variant>
      <vt:variant>
        <vt:i4>5</vt:i4>
      </vt:variant>
      <vt:variant>
        <vt:lpwstr>https://www.etsi.org/deliver/etsi_tr/103400_103499/103450/01.02.01_60/tr_103450v010201p.pdf</vt:lpwstr>
      </vt:variant>
      <vt:variant>
        <vt:lpwstr/>
      </vt:variant>
      <vt:variant>
        <vt:i4>4390922</vt:i4>
      </vt:variant>
      <vt:variant>
        <vt:i4>12</vt:i4>
      </vt:variant>
      <vt:variant>
        <vt:i4>0</vt:i4>
      </vt:variant>
      <vt:variant>
        <vt:i4>5</vt:i4>
      </vt:variant>
      <vt:variant>
        <vt:lpwstr>https://www.fcc.gov/consumers/guides/operacion-de-microfonos-inalambricos</vt:lpwstr>
      </vt:variant>
      <vt:variant>
        <vt:lpwstr/>
      </vt:variant>
      <vt:variant>
        <vt:i4>2359308</vt:i4>
      </vt:variant>
      <vt:variant>
        <vt:i4>0</vt:i4>
      </vt:variant>
      <vt:variant>
        <vt:i4>0</vt:i4>
      </vt:variant>
      <vt:variant>
        <vt:i4>5</vt:i4>
      </vt:variant>
      <vt:variant>
        <vt:lpwstr>http://dof.gob.mx/nota_detalle.php?codigo=5512847&amp;fecha=12/02/2018</vt:lpwstr>
      </vt:variant>
      <vt:variant>
        <vt:lpwstr/>
      </vt:variant>
      <vt:variant>
        <vt:i4>4325479</vt:i4>
      </vt:variant>
      <vt:variant>
        <vt:i4>9</vt:i4>
      </vt:variant>
      <vt:variant>
        <vt:i4>0</vt:i4>
      </vt:variant>
      <vt:variant>
        <vt:i4>5</vt:i4>
      </vt:variant>
      <vt:variant>
        <vt:lpwstr>https://www.dof.gob.mx/nota_detalle.php?codigo=5639645&amp;fecha=29/12/2021</vt:lpwstr>
      </vt:variant>
      <vt:variant>
        <vt:lpwstr>gsc.tab=0</vt:lpwstr>
      </vt:variant>
      <vt:variant>
        <vt:i4>5177454</vt:i4>
      </vt:variant>
      <vt:variant>
        <vt:i4>6</vt:i4>
      </vt:variant>
      <vt:variant>
        <vt:i4>0</vt:i4>
      </vt:variant>
      <vt:variant>
        <vt:i4>5</vt:i4>
      </vt:variant>
      <vt:variant>
        <vt:lpwstr>https://www.dof.gob.mx/nota_detalle.php?codigo=5609418&amp;fecha=04/01/2021</vt:lpwstr>
      </vt:variant>
      <vt:variant>
        <vt:lpwstr>gsc.tab=0</vt:lpwstr>
      </vt:variant>
      <vt:variant>
        <vt:i4>4325479</vt:i4>
      </vt:variant>
      <vt:variant>
        <vt:i4>3</vt:i4>
      </vt:variant>
      <vt:variant>
        <vt:i4>0</vt:i4>
      </vt:variant>
      <vt:variant>
        <vt:i4>5</vt:i4>
      </vt:variant>
      <vt:variant>
        <vt:lpwstr>https://www.dof.gob.mx/nota_detalle.php?codigo=5639645&amp;fecha=29/12/2021</vt:lpwstr>
      </vt:variant>
      <vt:variant>
        <vt:lpwstr>gsc.tab=0</vt:lpwstr>
      </vt:variant>
      <vt:variant>
        <vt:i4>4325479</vt:i4>
      </vt:variant>
      <vt:variant>
        <vt:i4>0</vt:i4>
      </vt:variant>
      <vt:variant>
        <vt:i4>0</vt:i4>
      </vt:variant>
      <vt:variant>
        <vt:i4>5</vt:i4>
      </vt:variant>
      <vt:variant>
        <vt:lpwstr>https://www.dof.gob.mx/nota_detalle.php?codigo=5639645&amp;fecha=29/12/2021</vt:lpwstr>
      </vt:variant>
      <vt:variant>
        <vt:lpwstr>gsc.tab=0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DDyPTR</dc:creator>
  <cp:keywords/>
  <dc:description/>
  <cp:lastModifiedBy>DDPTR</cp:lastModifiedBy>
  <cp:revision>4</cp:revision>
  <dcterms:created xsi:type="dcterms:W3CDTF">2024-11-19T15:40:00Z</dcterms:created>
  <dcterms:modified xsi:type="dcterms:W3CDTF">2024-11-19T16:05:00Z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0x01010044ABA04BA2B2C14B8E518EFE22709B37</vt:lpwstr>
  </property>
</Properties>
</file>