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EF45" w14:textId="71E7E49E" w:rsidR="008A5A92" w:rsidRPr="003A26FF" w:rsidRDefault="00BC09A3" w:rsidP="00684942">
      <w:pPr>
        <w:spacing w:after="200" w:line="276" w:lineRule="auto"/>
        <w:ind w:right="0"/>
        <w:rPr>
          <w:rFonts w:ascii="ITC Avant Garde" w:hAnsi="ITC Avant Garde" w:cs="Arial"/>
          <w:b/>
        </w:rPr>
      </w:pPr>
      <w:bookmarkStart w:id="0" w:name="_GoBack"/>
      <w:bookmarkEnd w:id="0"/>
      <w:r w:rsidRPr="003A26FF">
        <w:rPr>
          <w:rFonts w:ascii="ITC Avant Garde" w:hAnsi="ITC Avant Garde"/>
          <w:b/>
        </w:rPr>
        <w:t>RESPUESTAS GENERALES QUE BRINDA EL INSTITUTO FEDERAL DE TELECOMUNICACIONES A LAS MANIFESTACIONES, OPINIONES, COMENTARIOS Y PROPUESTAS CONCRETAS, PRESENTADAS DURANTE LA CONSULTA PÚBLICA DE</w:t>
      </w:r>
      <w:r w:rsidR="008A5A92" w:rsidRPr="003A26FF">
        <w:rPr>
          <w:rFonts w:ascii="ITC Avant Garde" w:hAnsi="ITC Avant Garde"/>
          <w:b/>
        </w:rPr>
        <w:t>L</w:t>
      </w:r>
      <w:r w:rsidR="00FF0299" w:rsidRPr="003A26FF">
        <w:rPr>
          <w:rFonts w:ascii="ITC Avant Garde" w:hAnsi="ITC Avant Garde"/>
        </w:rPr>
        <w:t xml:space="preserve"> “</w:t>
      </w:r>
      <w:r w:rsidR="007E5187" w:rsidRPr="003A26FF">
        <w:rPr>
          <w:rFonts w:ascii="ITC Avant Garde" w:hAnsi="ITC Avant Garde" w:cs="Arial"/>
          <w:b/>
        </w:rPr>
        <w:t>ANTEPROYECTO DE</w:t>
      </w:r>
      <w:r w:rsidR="008A5A92" w:rsidRPr="003A26FF">
        <w:rPr>
          <w:rFonts w:ascii="ITC Avant Garde" w:hAnsi="ITC Avant Garde" w:cs="Arial"/>
          <w:b/>
        </w:rPr>
        <w:t xml:space="preserve"> </w:t>
      </w:r>
      <w:r w:rsidR="0078735F" w:rsidRPr="003A26FF">
        <w:rPr>
          <w:rFonts w:ascii="ITC Avant Garde" w:hAnsi="ITC Avant Garde" w:cs="Arial"/>
          <w:b/>
        </w:rPr>
        <w:t xml:space="preserve">LAS </w:t>
      </w:r>
      <w:r w:rsidR="008A5A92" w:rsidRPr="003A26FF">
        <w:rPr>
          <w:rFonts w:ascii="ITC Avant Garde" w:hAnsi="ITC Avant Garde" w:cs="Arial"/>
          <w:b/>
        </w:rPr>
        <w:t>CONDICIONES TÉCNICAS MÍNIMAS PARA LA INTERCONEXIÓN</w:t>
      </w:r>
      <w:r w:rsidR="007E5187" w:rsidRPr="003A26FF">
        <w:rPr>
          <w:rFonts w:ascii="ITC Avant Garde" w:hAnsi="ITC Avant Garde" w:cs="Arial"/>
          <w:b/>
        </w:rPr>
        <w:t xml:space="preserve"> ENTRE CONCESIONARIOS</w:t>
      </w:r>
      <w:r w:rsidR="001F5B75" w:rsidRPr="003A26FF">
        <w:rPr>
          <w:rFonts w:ascii="ITC Avant Garde" w:hAnsi="ITC Avant Garde" w:cs="Arial"/>
          <w:b/>
        </w:rPr>
        <w:t xml:space="preserve"> DE REDES PÚBLICAS</w:t>
      </w:r>
      <w:r w:rsidR="008A5A92" w:rsidRPr="003A26FF">
        <w:rPr>
          <w:rFonts w:ascii="ITC Avant Garde" w:hAnsi="ITC Avant Garde" w:cs="Arial"/>
          <w:b/>
        </w:rPr>
        <w:t xml:space="preserve"> DE TELECOMUNICACIONES Y LAS TARIFAS QUE RESULTEN DE LAS METODOLOGÍAS </w:t>
      </w:r>
      <w:r w:rsidR="0078735F" w:rsidRPr="003A26FF">
        <w:rPr>
          <w:rFonts w:ascii="ITC Avant Garde" w:hAnsi="ITC Avant Garde" w:cs="Arial"/>
          <w:b/>
        </w:rPr>
        <w:t xml:space="preserve">DE </w:t>
      </w:r>
      <w:r w:rsidR="008A5A92" w:rsidRPr="003A26FF">
        <w:rPr>
          <w:rFonts w:ascii="ITC Avant Garde" w:hAnsi="ITC Avant Garde" w:cs="Arial"/>
          <w:b/>
        </w:rPr>
        <w:t>COSTO</w:t>
      </w:r>
      <w:r w:rsidR="007E5187" w:rsidRPr="003A26FF">
        <w:rPr>
          <w:rFonts w:ascii="ITC Avant Garde" w:hAnsi="ITC Avant Garde" w:cs="Arial"/>
          <w:b/>
        </w:rPr>
        <w:t xml:space="preserve">S QUE ESTARÁN VIGENTES </w:t>
      </w:r>
      <w:r w:rsidR="001F5B75" w:rsidRPr="003A26FF">
        <w:rPr>
          <w:rFonts w:ascii="ITC Avant Garde" w:hAnsi="ITC Avant Garde" w:cs="Arial"/>
          <w:b/>
        </w:rPr>
        <w:t>PARA EL AÑO</w:t>
      </w:r>
      <w:r w:rsidR="00411CA3" w:rsidRPr="003A26FF">
        <w:rPr>
          <w:rFonts w:ascii="ITC Avant Garde" w:hAnsi="ITC Avant Garde" w:cs="Arial"/>
          <w:b/>
        </w:rPr>
        <w:t xml:space="preserve"> 202</w:t>
      </w:r>
      <w:r w:rsidR="00EF58FB">
        <w:rPr>
          <w:rFonts w:ascii="ITC Avant Garde" w:hAnsi="ITC Avant Garde" w:cs="Arial"/>
          <w:b/>
        </w:rPr>
        <w:t>4</w:t>
      </w:r>
      <w:r w:rsidR="008A5A92" w:rsidRPr="003A26FF">
        <w:rPr>
          <w:rFonts w:ascii="ITC Avant Garde" w:hAnsi="ITC Avant Garde" w:cs="Arial"/>
          <w:b/>
        </w:rPr>
        <w:t>”.</w:t>
      </w:r>
    </w:p>
    <w:p w14:paraId="00690CFA" w14:textId="340EBF13" w:rsidR="004D77CC" w:rsidRPr="003A26FF" w:rsidRDefault="004D77CC" w:rsidP="004D77CC">
      <w:pPr>
        <w:spacing w:after="0" w:line="276" w:lineRule="auto"/>
        <w:ind w:left="-6" w:hanging="11"/>
        <w:rPr>
          <w:rFonts w:ascii="ITC Avant Garde" w:hAnsi="ITC Avant Garde" w:cs="ITC Avant Garde"/>
        </w:rPr>
      </w:pPr>
      <w:r w:rsidRPr="003A26FF">
        <w:rPr>
          <w:rFonts w:ascii="ITC Avant Garde" w:hAnsi="ITC Avant Garde" w:cs="ITC Avant Garde"/>
          <w:b/>
        </w:rPr>
        <w:t xml:space="preserve">Fecha de Elaboración del Informe de Consideraciones sobre los comentarios, opiniones y aportaciones recibidos </w:t>
      </w:r>
      <w:r w:rsidR="00261B06" w:rsidRPr="003A26FF">
        <w:rPr>
          <w:rFonts w:ascii="ITC Avant Garde" w:hAnsi="ITC Avant Garde" w:cs="ITC Avant Garde"/>
          <w:b/>
        </w:rPr>
        <w:t>con relación a</w:t>
      </w:r>
      <w:r w:rsidRPr="003A26FF">
        <w:rPr>
          <w:rFonts w:ascii="ITC Avant Garde" w:hAnsi="ITC Avant Garde" w:cs="ITC Avant Garde"/>
          <w:b/>
        </w:rPr>
        <w:t xml:space="preserve"> la presente Consulta Pública: </w:t>
      </w:r>
      <w:r w:rsidR="003F1213">
        <w:rPr>
          <w:rFonts w:ascii="ITC Avant Garde" w:hAnsi="ITC Avant Garde" w:cs="ITC Avant Garde"/>
        </w:rPr>
        <w:t>01</w:t>
      </w:r>
      <w:r w:rsidR="003F1213" w:rsidRPr="003A26FF">
        <w:rPr>
          <w:rFonts w:ascii="ITC Avant Garde" w:hAnsi="ITC Avant Garde" w:cs="ITC Avant Garde"/>
        </w:rPr>
        <w:t xml:space="preserve"> </w:t>
      </w:r>
      <w:r w:rsidRPr="003A26FF">
        <w:rPr>
          <w:rFonts w:ascii="ITC Avant Garde" w:hAnsi="ITC Avant Garde" w:cs="ITC Avant Garde"/>
        </w:rPr>
        <w:t xml:space="preserve">de </w:t>
      </w:r>
      <w:r w:rsidR="00B414A3">
        <w:rPr>
          <w:rFonts w:ascii="ITC Avant Garde" w:hAnsi="ITC Avant Garde" w:cs="ITC Avant Garde"/>
        </w:rPr>
        <w:t>octubre</w:t>
      </w:r>
      <w:r w:rsidR="00B414A3" w:rsidRPr="003A26FF">
        <w:rPr>
          <w:rFonts w:ascii="ITC Avant Garde" w:hAnsi="ITC Avant Garde" w:cs="ITC Avant Garde"/>
        </w:rPr>
        <w:t xml:space="preserve"> </w:t>
      </w:r>
      <w:r w:rsidRPr="003A26FF">
        <w:rPr>
          <w:rFonts w:ascii="ITC Avant Garde" w:hAnsi="ITC Avant Garde" w:cs="ITC Avant Garde"/>
        </w:rPr>
        <w:t>de 20</w:t>
      </w:r>
      <w:r w:rsidR="00411CA3" w:rsidRPr="003A26FF">
        <w:rPr>
          <w:rFonts w:ascii="ITC Avant Garde" w:hAnsi="ITC Avant Garde" w:cs="ITC Avant Garde"/>
        </w:rPr>
        <w:t>2</w:t>
      </w:r>
      <w:r w:rsidR="00EF58FB">
        <w:rPr>
          <w:rFonts w:ascii="ITC Avant Garde" w:hAnsi="ITC Avant Garde" w:cs="ITC Avant Garde"/>
        </w:rPr>
        <w:t>3</w:t>
      </w:r>
      <w:r w:rsidRPr="003A26FF">
        <w:rPr>
          <w:rFonts w:ascii="ITC Avant Garde" w:hAnsi="ITC Avant Garde" w:cs="ITC Avant Garde"/>
        </w:rPr>
        <w:t>.</w:t>
      </w:r>
    </w:p>
    <w:p w14:paraId="6F16A288" w14:textId="0104178E" w:rsidR="007E5187" w:rsidRPr="003A26FF" w:rsidRDefault="007E5187" w:rsidP="004D77CC">
      <w:pPr>
        <w:spacing w:after="0" w:line="276" w:lineRule="auto"/>
        <w:ind w:left="-6" w:hanging="11"/>
        <w:rPr>
          <w:rFonts w:ascii="ITC Avant Garde" w:hAnsi="ITC Avant Garde" w:cs="ITC Avant Garde"/>
        </w:rPr>
      </w:pPr>
    </w:p>
    <w:p w14:paraId="2DB7021D" w14:textId="77777777" w:rsidR="007E5187" w:rsidRPr="003A26FF" w:rsidRDefault="007E5187" w:rsidP="007E5187">
      <w:pPr>
        <w:spacing w:after="0" w:line="276" w:lineRule="auto"/>
        <w:ind w:left="-6" w:hanging="11"/>
        <w:rPr>
          <w:rFonts w:ascii="ITC Avant Garde" w:hAnsi="ITC Avant Garde" w:cs="ITC Avant Garde"/>
          <w:b/>
        </w:rPr>
      </w:pPr>
      <w:r w:rsidRPr="003A26FF">
        <w:rPr>
          <w:rFonts w:ascii="ITC Avant Garde" w:hAnsi="ITC Avant Garde" w:cs="ITC Avant Garde"/>
          <w:b/>
        </w:rPr>
        <w:t>Descripción de la Consulta Pública:</w:t>
      </w:r>
    </w:p>
    <w:p w14:paraId="60D8DBBD" w14:textId="5B3E73A1" w:rsidR="007E5187" w:rsidRPr="003A26FF" w:rsidRDefault="007E5187" w:rsidP="007E5187">
      <w:pPr>
        <w:spacing w:after="0" w:line="276" w:lineRule="auto"/>
        <w:ind w:left="-6" w:right="0" w:hanging="11"/>
        <w:rPr>
          <w:rFonts w:ascii="ITC Avant Garde" w:eastAsiaTheme="minorHAnsi" w:hAnsi="ITC Avant Garde" w:cs="ITC Avant Garde"/>
          <w:lang w:eastAsia="en-US"/>
        </w:rPr>
      </w:pPr>
      <w:r w:rsidRPr="003A26FF">
        <w:rPr>
          <w:rFonts w:ascii="ITC Avant Garde" w:hAnsi="ITC Avant Garde"/>
        </w:rPr>
        <w:t xml:space="preserve">El Instituto Federal de Telecomunicaciones (en lo sucesivo, “Instituto”) </w:t>
      </w:r>
      <w:r w:rsidRPr="003A26FF">
        <w:rPr>
          <w:rFonts w:ascii="ITC Avant Garde" w:eastAsiaTheme="minorHAnsi" w:hAnsi="ITC Avant Garde" w:cs="ITC Avant Garde"/>
          <w:lang w:eastAsia="en-US"/>
        </w:rPr>
        <w:t xml:space="preserve">recibió los comentarios, opiniones y aportaciones que se tuvieron con relación al contenido del </w:t>
      </w:r>
      <w:r w:rsidRPr="003A26FF">
        <w:rPr>
          <w:rFonts w:ascii="ITC Avant Garde" w:eastAsiaTheme="minorHAnsi" w:hAnsi="ITC Avant Garde" w:cs="ITC Avant Garde"/>
          <w:b/>
          <w:lang w:eastAsia="en-US"/>
        </w:rPr>
        <w:t>“</w:t>
      </w:r>
      <w:r w:rsidRPr="003A26FF">
        <w:rPr>
          <w:rFonts w:ascii="ITC Avant Garde" w:eastAsiaTheme="minorHAnsi" w:hAnsi="ITC Avant Garde" w:cs="ITC Avant Garde"/>
          <w:b/>
          <w:bCs/>
          <w:i/>
          <w:lang w:eastAsia="en-US"/>
        </w:rPr>
        <w:t xml:space="preserve">Anteproyecto de </w:t>
      </w:r>
      <w:r w:rsidR="003F1BDC" w:rsidRPr="003A26FF">
        <w:rPr>
          <w:rFonts w:ascii="ITC Avant Garde" w:eastAsiaTheme="minorHAnsi" w:hAnsi="ITC Avant Garde" w:cs="ITC Avant Garde"/>
          <w:b/>
          <w:bCs/>
          <w:i/>
          <w:lang w:eastAsia="en-US"/>
        </w:rPr>
        <w:t xml:space="preserve">las </w:t>
      </w:r>
      <w:r w:rsidRPr="003A26FF">
        <w:rPr>
          <w:rFonts w:ascii="ITC Avant Garde" w:eastAsiaTheme="minorHAnsi" w:hAnsi="ITC Avant Garde" w:cs="ITC Avant Garde"/>
          <w:b/>
          <w:bCs/>
          <w:i/>
          <w:lang w:eastAsia="en-US"/>
        </w:rPr>
        <w:t>condiciones técnicas mínimas para la interconexión entre concesionarios que operen redes públicas de telecomunicaciones y las tarifas</w:t>
      </w:r>
      <w:r w:rsidR="00B5742A" w:rsidRPr="003A26FF">
        <w:rPr>
          <w:rFonts w:ascii="ITC Avant Garde" w:eastAsiaTheme="minorHAnsi" w:hAnsi="ITC Avant Garde" w:cs="ITC Avant Garde"/>
          <w:b/>
          <w:bCs/>
          <w:i/>
          <w:lang w:eastAsia="en-US"/>
        </w:rPr>
        <w:t xml:space="preserve"> de interconexión</w:t>
      </w:r>
      <w:r w:rsidRPr="003A26FF">
        <w:rPr>
          <w:rFonts w:ascii="ITC Avant Garde" w:eastAsiaTheme="minorHAnsi" w:hAnsi="ITC Avant Garde" w:cs="ITC Avant Garde"/>
          <w:b/>
          <w:bCs/>
          <w:i/>
          <w:lang w:eastAsia="en-US"/>
        </w:rPr>
        <w:t xml:space="preserve"> que resulten de las metodologías </w:t>
      </w:r>
      <w:r w:rsidR="003F1BDC" w:rsidRPr="003A26FF">
        <w:rPr>
          <w:rFonts w:ascii="ITC Avant Garde" w:eastAsiaTheme="minorHAnsi" w:hAnsi="ITC Avant Garde" w:cs="ITC Avant Garde"/>
          <w:b/>
          <w:bCs/>
          <w:i/>
          <w:lang w:eastAsia="en-US"/>
        </w:rPr>
        <w:t xml:space="preserve">para el cálculo </w:t>
      </w:r>
      <w:r w:rsidRPr="003A26FF">
        <w:rPr>
          <w:rFonts w:ascii="ITC Avant Garde" w:eastAsiaTheme="minorHAnsi" w:hAnsi="ITC Avant Garde" w:cs="ITC Avant Garde"/>
          <w:b/>
          <w:bCs/>
          <w:i/>
          <w:lang w:eastAsia="en-US"/>
        </w:rPr>
        <w:t>de costos que estarán vigentes del 1 de enero al 31 de diciembre de 202</w:t>
      </w:r>
      <w:r w:rsidR="00497F7D">
        <w:rPr>
          <w:rFonts w:ascii="ITC Avant Garde" w:eastAsiaTheme="minorHAnsi" w:hAnsi="ITC Avant Garde" w:cs="ITC Avant Garde"/>
          <w:b/>
          <w:bCs/>
          <w:i/>
          <w:lang w:eastAsia="en-US"/>
        </w:rPr>
        <w:t>4</w:t>
      </w:r>
      <w:r w:rsidRPr="003A26FF">
        <w:rPr>
          <w:rFonts w:ascii="ITC Avant Garde" w:eastAsiaTheme="minorHAnsi" w:hAnsi="ITC Avant Garde" w:cs="ITC Avant Garde"/>
          <w:b/>
          <w:bCs/>
          <w:i/>
          <w:lang w:eastAsia="en-US"/>
        </w:rPr>
        <w:t>”</w:t>
      </w:r>
      <w:r w:rsidR="006C1398" w:rsidRPr="003A26FF">
        <w:rPr>
          <w:rFonts w:ascii="ITC Avant Garde" w:eastAsiaTheme="minorHAnsi" w:hAnsi="ITC Avant Garde" w:cs="ITC Avant Garde"/>
          <w:lang w:eastAsia="en-US"/>
        </w:rPr>
        <w:t xml:space="preserve"> (en lo sucesivo, el “Acuerdo de CTM</w:t>
      </w:r>
      <w:r w:rsidRPr="003A26FF">
        <w:rPr>
          <w:rFonts w:ascii="ITC Avant Garde" w:eastAsiaTheme="minorHAnsi" w:hAnsi="ITC Avant Garde" w:cs="ITC Avant Garde"/>
          <w:lang w:eastAsia="en-US"/>
        </w:rPr>
        <w:t xml:space="preserve">”) materia de la consulta pública de mérito, recibidas durante el periodo comprendido del </w:t>
      </w:r>
      <w:r w:rsidR="00151541" w:rsidRPr="003A26FF">
        <w:rPr>
          <w:rFonts w:ascii="ITC Avant Garde" w:eastAsiaTheme="minorHAnsi" w:hAnsi="ITC Avant Garde" w:cs="ITC Avant Garde"/>
          <w:lang w:eastAsia="en-US"/>
        </w:rPr>
        <w:t>2</w:t>
      </w:r>
      <w:r w:rsidR="00497F7D">
        <w:rPr>
          <w:rFonts w:ascii="ITC Avant Garde" w:eastAsiaTheme="minorHAnsi" w:hAnsi="ITC Avant Garde" w:cs="ITC Avant Garde"/>
          <w:lang w:eastAsia="en-US"/>
        </w:rPr>
        <w:t>1</w:t>
      </w:r>
      <w:r w:rsidRPr="003A26FF">
        <w:rPr>
          <w:rFonts w:ascii="ITC Avant Garde" w:eastAsiaTheme="minorHAnsi" w:hAnsi="ITC Avant Garde" w:cs="ITC Avant Garde"/>
          <w:lang w:eastAsia="en-US"/>
        </w:rPr>
        <w:t xml:space="preserve"> </w:t>
      </w:r>
      <w:r w:rsidR="00411CA3" w:rsidRPr="003A26FF">
        <w:rPr>
          <w:rFonts w:ascii="ITC Avant Garde" w:eastAsiaTheme="minorHAnsi" w:hAnsi="ITC Avant Garde" w:cs="ITC Avant Garde"/>
          <w:lang w:eastAsia="en-US"/>
        </w:rPr>
        <w:t xml:space="preserve">de </w:t>
      </w:r>
      <w:r w:rsidR="00151541" w:rsidRPr="003A26FF">
        <w:rPr>
          <w:rFonts w:ascii="ITC Avant Garde" w:eastAsiaTheme="minorHAnsi" w:hAnsi="ITC Avant Garde" w:cs="ITC Avant Garde"/>
          <w:lang w:eastAsia="en-US"/>
        </w:rPr>
        <w:t>agosto</w:t>
      </w:r>
      <w:r w:rsidR="00411CA3" w:rsidRPr="003A26FF">
        <w:rPr>
          <w:rFonts w:ascii="ITC Avant Garde" w:eastAsiaTheme="minorHAnsi" w:hAnsi="ITC Avant Garde" w:cs="ITC Avant Garde"/>
          <w:lang w:eastAsia="en-US"/>
        </w:rPr>
        <w:t xml:space="preserve"> al </w:t>
      </w:r>
      <w:r w:rsidR="001D45B6" w:rsidRPr="003A26FF">
        <w:rPr>
          <w:rFonts w:ascii="ITC Avant Garde" w:eastAsiaTheme="minorHAnsi" w:hAnsi="ITC Avant Garde" w:cs="ITC Avant Garde"/>
          <w:lang w:eastAsia="en-US"/>
        </w:rPr>
        <w:t>1</w:t>
      </w:r>
      <w:r w:rsidR="00497F7D">
        <w:rPr>
          <w:rFonts w:ascii="ITC Avant Garde" w:eastAsiaTheme="minorHAnsi" w:hAnsi="ITC Avant Garde" w:cs="ITC Avant Garde"/>
          <w:lang w:eastAsia="en-US"/>
        </w:rPr>
        <w:t>5</w:t>
      </w:r>
      <w:r w:rsidR="006C1398" w:rsidRPr="003A26FF">
        <w:rPr>
          <w:rFonts w:ascii="ITC Avant Garde" w:eastAsiaTheme="minorHAnsi" w:hAnsi="ITC Avant Garde" w:cs="ITC Avant Garde"/>
          <w:lang w:eastAsia="en-US"/>
        </w:rPr>
        <w:t xml:space="preserve"> de </w:t>
      </w:r>
      <w:r w:rsidR="00151541" w:rsidRPr="003A26FF">
        <w:rPr>
          <w:rFonts w:ascii="ITC Avant Garde" w:eastAsiaTheme="minorHAnsi" w:hAnsi="ITC Avant Garde" w:cs="ITC Avant Garde"/>
          <w:lang w:eastAsia="en-US"/>
        </w:rPr>
        <w:t>septiembre</w:t>
      </w:r>
      <w:r w:rsidR="006C1398" w:rsidRPr="003A26FF">
        <w:rPr>
          <w:rFonts w:ascii="ITC Avant Garde" w:eastAsiaTheme="minorHAnsi" w:hAnsi="ITC Avant Garde" w:cs="ITC Avant Garde"/>
          <w:lang w:eastAsia="en-US"/>
        </w:rPr>
        <w:t xml:space="preserve"> de 20</w:t>
      </w:r>
      <w:r w:rsidR="00411CA3" w:rsidRPr="003A26FF">
        <w:rPr>
          <w:rFonts w:ascii="ITC Avant Garde" w:eastAsiaTheme="minorHAnsi" w:hAnsi="ITC Avant Garde" w:cs="ITC Avant Garde"/>
          <w:lang w:eastAsia="en-US"/>
        </w:rPr>
        <w:t>2</w:t>
      </w:r>
      <w:r w:rsidR="00497F7D">
        <w:rPr>
          <w:rFonts w:ascii="ITC Avant Garde" w:eastAsiaTheme="minorHAnsi" w:hAnsi="ITC Avant Garde" w:cs="ITC Avant Garde"/>
          <w:lang w:eastAsia="en-US"/>
        </w:rPr>
        <w:t>3</w:t>
      </w:r>
      <w:r w:rsidRPr="003A26FF">
        <w:rPr>
          <w:rFonts w:ascii="ITC Avant Garde" w:eastAsiaTheme="minorHAnsi" w:hAnsi="ITC Avant Garde" w:cs="ITC Avant Garde"/>
          <w:lang w:eastAsia="en-US"/>
        </w:rPr>
        <w:t xml:space="preserve"> a través de la dirección de correo electrónico </w:t>
      </w:r>
      <w:hyperlink r:id="rId8" w:history="1">
        <w:r w:rsidR="006C1398" w:rsidRPr="003A26FF">
          <w:rPr>
            <w:rStyle w:val="Hipervnculo"/>
            <w:rFonts w:ascii="ITC Avant Garde" w:eastAsiaTheme="minorHAnsi" w:hAnsi="ITC Avant Garde" w:cs="ITC Avant Garde"/>
            <w:lang w:eastAsia="en-US"/>
          </w:rPr>
          <w:t>condiciones.tecnicas@ift.org.mx</w:t>
        </w:r>
      </w:hyperlink>
      <w:r w:rsidRPr="003A26FF">
        <w:rPr>
          <w:rFonts w:ascii="ITC Avant Garde" w:eastAsiaTheme="minorHAnsi" w:hAnsi="ITC Avant Garde" w:cs="ITC Avant Garde"/>
          <w:lang w:eastAsia="en-US"/>
        </w:rPr>
        <w:t>, o bien, mediante escrito presentado en la Oficialía de Partes Común del Instituto ubicada en Insurgentes Sur 1143, colonia Nochebuena, Delegación Benito Juárez, C.P. 03720, Ciudad de México.</w:t>
      </w:r>
    </w:p>
    <w:p w14:paraId="4F093382" w14:textId="59B99B55" w:rsidR="009704D0" w:rsidRPr="003A26FF" w:rsidRDefault="009704D0" w:rsidP="007E5187">
      <w:pPr>
        <w:spacing w:after="0" w:line="276" w:lineRule="auto"/>
        <w:ind w:left="-6" w:right="0" w:hanging="11"/>
        <w:rPr>
          <w:rFonts w:ascii="ITC Avant Garde" w:eastAsiaTheme="minorHAnsi" w:hAnsi="ITC Avant Garde" w:cs="ITC Avant Garde"/>
          <w:lang w:eastAsia="en-US"/>
        </w:rPr>
      </w:pPr>
    </w:p>
    <w:p w14:paraId="4DF2462A" w14:textId="45580100" w:rsidR="009704D0" w:rsidRPr="003A26FF" w:rsidRDefault="009704D0" w:rsidP="009704D0">
      <w:pPr>
        <w:spacing w:line="276" w:lineRule="auto"/>
        <w:ind w:left="-5"/>
        <w:rPr>
          <w:rFonts w:ascii="ITC Avant Garde" w:hAnsi="ITC Avant Garde" w:cs="ITC Avant Garde"/>
          <w:b/>
        </w:rPr>
      </w:pPr>
      <w:r w:rsidRPr="003A26FF">
        <w:rPr>
          <w:rFonts w:ascii="ITC Avant Garde" w:hAnsi="ITC Avant Garde" w:cs="ITC Avant Garde"/>
          <w:b/>
        </w:rPr>
        <w:t>Objetivo de la Consulta Pública:</w:t>
      </w:r>
    </w:p>
    <w:p w14:paraId="5C2B473F" w14:textId="77777777" w:rsidR="00BB6648" w:rsidRPr="003A26FF" w:rsidRDefault="00BB6648" w:rsidP="009704D0">
      <w:pPr>
        <w:spacing w:line="276" w:lineRule="auto"/>
        <w:ind w:left="-5"/>
        <w:rPr>
          <w:rFonts w:ascii="ITC Avant Garde" w:hAnsi="ITC Avant Garde" w:cs="ITC Avant Garde"/>
          <w:b/>
        </w:rPr>
      </w:pPr>
    </w:p>
    <w:p w14:paraId="627A9D49" w14:textId="3A07D8A3" w:rsidR="009704D0" w:rsidRPr="003A26FF" w:rsidRDefault="009704D0" w:rsidP="009704D0">
      <w:pPr>
        <w:spacing w:line="276" w:lineRule="auto"/>
        <w:ind w:left="-5" w:right="0"/>
        <w:rPr>
          <w:rFonts w:ascii="ITC Avant Garde" w:hAnsi="ITC Avant Garde"/>
        </w:rPr>
      </w:pPr>
      <w:r w:rsidRPr="003A26FF">
        <w:rPr>
          <w:rFonts w:ascii="ITC Avant Garde" w:hAnsi="ITC Avant Garde"/>
        </w:rPr>
        <w:t>El Instituto convencido de la importancia y relevancia de transparentar su proceso de elaboración de nuevas regulaciones, a través de la consulta pública recibió los comentarios, opiniones y aportaciones de cualquie</w:t>
      </w:r>
      <w:r w:rsidR="001071AD" w:rsidRPr="003A26FF">
        <w:rPr>
          <w:rFonts w:ascii="ITC Avant Garde" w:hAnsi="ITC Avant Garde"/>
        </w:rPr>
        <w:t>r interesado a propósito del Acuerdo de CTM</w:t>
      </w:r>
      <w:r w:rsidRPr="003A26FF">
        <w:rPr>
          <w:rFonts w:ascii="ITC Avant Garde" w:hAnsi="ITC Avant Garde"/>
        </w:rPr>
        <w:t>, las cuales se proponen con base en lo establecido en los artículos 1, 2, 7, 15, fracción X</w:t>
      </w:r>
      <w:r w:rsidR="00BF5428" w:rsidRPr="003A26FF">
        <w:rPr>
          <w:rFonts w:ascii="ITC Avant Garde" w:hAnsi="ITC Avant Garde"/>
        </w:rPr>
        <w:t>L y LXIII, 51 y 137</w:t>
      </w:r>
      <w:r w:rsidRPr="003A26FF">
        <w:rPr>
          <w:rFonts w:ascii="ITC Avant Garde" w:hAnsi="ITC Avant Garde"/>
        </w:rPr>
        <w:t xml:space="preserve"> de la Ley Federal de Telecomunicaciones y Radiodifusión</w:t>
      </w:r>
      <w:r w:rsidR="00BF5428" w:rsidRPr="003A26FF">
        <w:rPr>
          <w:rFonts w:ascii="ITC Avant Garde" w:hAnsi="ITC Avant Garde"/>
        </w:rPr>
        <w:t xml:space="preserve"> (en lo sucesivo, la “LFTR”)</w:t>
      </w:r>
      <w:r w:rsidRPr="003A26FF">
        <w:rPr>
          <w:rFonts w:ascii="ITC Avant Garde" w:hAnsi="ITC Avant Garde"/>
        </w:rPr>
        <w:t>, y 1, 4, frac</w:t>
      </w:r>
      <w:r w:rsidR="00BF5428" w:rsidRPr="003A26FF">
        <w:rPr>
          <w:rFonts w:ascii="ITC Avant Garde" w:hAnsi="ITC Avant Garde"/>
        </w:rPr>
        <w:t xml:space="preserve">ción I, 6, fracción XXXVIII y </w:t>
      </w:r>
      <w:r w:rsidR="00261B06" w:rsidRPr="003A26FF">
        <w:rPr>
          <w:rFonts w:ascii="ITC Avant Garde" w:hAnsi="ITC Avant Garde"/>
        </w:rPr>
        <w:t>25</w:t>
      </w:r>
      <w:r w:rsidRPr="003A26FF">
        <w:rPr>
          <w:rFonts w:ascii="ITC Avant Garde" w:hAnsi="ITC Avant Garde"/>
        </w:rPr>
        <w:t>,</w:t>
      </w:r>
      <w:r w:rsidR="00BF5428" w:rsidRPr="003A26FF">
        <w:rPr>
          <w:rFonts w:ascii="ITC Avant Garde" w:hAnsi="ITC Avant Garde"/>
        </w:rPr>
        <w:t xml:space="preserve"> fracción X </w:t>
      </w:r>
      <w:r w:rsidRPr="003A26FF">
        <w:rPr>
          <w:rFonts w:ascii="ITC Avant Garde" w:hAnsi="ITC Avant Garde"/>
        </w:rPr>
        <w:t>del Estatuto Orgánico del Instituto Federal de Telecomunicaciones.</w:t>
      </w:r>
    </w:p>
    <w:p w14:paraId="14F0E62B" w14:textId="77777777" w:rsidR="009704D0" w:rsidRPr="003A26FF" w:rsidRDefault="009704D0" w:rsidP="009704D0">
      <w:pPr>
        <w:spacing w:line="276" w:lineRule="auto"/>
        <w:ind w:left="-5" w:right="0"/>
        <w:rPr>
          <w:rFonts w:ascii="ITC Avant Garde" w:hAnsi="ITC Avant Garde"/>
        </w:rPr>
      </w:pPr>
    </w:p>
    <w:p w14:paraId="0755765E" w14:textId="048477CC" w:rsidR="006D7DB3" w:rsidRPr="003A26FF" w:rsidRDefault="009704D0" w:rsidP="009704D0">
      <w:pPr>
        <w:spacing w:line="276" w:lineRule="auto"/>
        <w:ind w:left="-5" w:right="0"/>
        <w:rPr>
          <w:rFonts w:ascii="ITC Avant Garde" w:hAnsi="ITC Avant Garde"/>
        </w:rPr>
      </w:pPr>
      <w:r w:rsidRPr="003A26FF">
        <w:rPr>
          <w:rFonts w:ascii="ITC Avant Garde" w:hAnsi="ITC Avant Garde"/>
        </w:rPr>
        <w:t>Los objetivos principales de la consulta pública consistieron en: i)</w:t>
      </w:r>
      <w:r w:rsidR="006D7DB3" w:rsidRPr="003A26FF">
        <w:rPr>
          <w:rFonts w:ascii="ITC Avant Garde" w:hAnsi="ITC Avant Garde"/>
        </w:rPr>
        <w:t xml:space="preserve"> definir las condiciones técnicas mínimas necesarias para que la interoperabilidad e interconexión de las redes públicas de telecomunicaciones se dé de manera eficiente, cumpliendo con los estándares de calidad que determine el Instituto;  y </w:t>
      </w:r>
      <w:proofErr w:type="spellStart"/>
      <w:r w:rsidR="006D7DB3" w:rsidRPr="003A26FF">
        <w:rPr>
          <w:rFonts w:ascii="ITC Avant Garde" w:hAnsi="ITC Avant Garde"/>
        </w:rPr>
        <w:t>ii</w:t>
      </w:r>
      <w:proofErr w:type="spellEnd"/>
      <w:r w:rsidR="006D7DB3" w:rsidRPr="003A26FF">
        <w:rPr>
          <w:rFonts w:ascii="ITC Avant Garde" w:hAnsi="ITC Avant Garde"/>
        </w:rPr>
        <w:t xml:space="preserve">) establecer las características de los modelos de costos que el Instituto utilizará </w:t>
      </w:r>
      <w:r w:rsidR="006D7DB3" w:rsidRPr="003A26FF">
        <w:rPr>
          <w:rFonts w:ascii="ITC Avant Garde" w:hAnsi="ITC Avant Garde"/>
        </w:rPr>
        <w:lastRenderedPageBreak/>
        <w:t>para calcular las tarifas de los Servicios de Interconexión resultado de la metodología de costos para el periodo del 1 de enero al 31 de diciembre de 202</w:t>
      </w:r>
      <w:r w:rsidR="00497F7D">
        <w:rPr>
          <w:rFonts w:ascii="ITC Avant Garde" w:hAnsi="ITC Avant Garde"/>
        </w:rPr>
        <w:t>4</w:t>
      </w:r>
      <w:r w:rsidR="006D7DB3" w:rsidRPr="003A26FF">
        <w:rPr>
          <w:rFonts w:ascii="ITC Avant Garde" w:hAnsi="ITC Avant Garde"/>
        </w:rPr>
        <w:t>.</w:t>
      </w:r>
    </w:p>
    <w:p w14:paraId="22A246EC" w14:textId="3A9BBD07" w:rsidR="006D7DB3" w:rsidRPr="003A26FF" w:rsidRDefault="006D7DB3" w:rsidP="009704D0">
      <w:pPr>
        <w:spacing w:line="276" w:lineRule="auto"/>
        <w:ind w:left="-5" w:right="0"/>
        <w:rPr>
          <w:rFonts w:ascii="ITC Avant Garde" w:hAnsi="ITC Avant Garde"/>
        </w:rPr>
      </w:pPr>
    </w:p>
    <w:p w14:paraId="17952040" w14:textId="77777777" w:rsidR="006D7DB3" w:rsidRPr="003A26FF" w:rsidRDefault="006D7DB3" w:rsidP="006D7DB3">
      <w:pPr>
        <w:spacing w:line="276" w:lineRule="auto"/>
        <w:ind w:left="-5"/>
        <w:rPr>
          <w:rFonts w:ascii="ITC Avant Garde" w:hAnsi="ITC Avant Garde" w:cs="ITC Avant Garde"/>
          <w:b/>
        </w:rPr>
      </w:pPr>
      <w:r w:rsidRPr="003A26FF">
        <w:rPr>
          <w:rFonts w:ascii="ITC Avant Garde" w:hAnsi="ITC Avant Garde" w:cs="ITC Avant Garde"/>
          <w:b/>
        </w:rPr>
        <w:t xml:space="preserve">Unidad Administrativa que promueve el proyecto: </w:t>
      </w:r>
      <w:r w:rsidRPr="003A26FF">
        <w:rPr>
          <w:rFonts w:ascii="ITC Avant Garde" w:hAnsi="ITC Avant Garde" w:cs="ITC Avant Garde"/>
        </w:rPr>
        <w:t>Unidad de Política Regulatoria.</w:t>
      </w:r>
    </w:p>
    <w:p w14:paraId="4F02E674" w14:textId="77777777" w:rsidR="006D7DB3" w:rsidRPr="003A26FF" w:rsidRDefault="006D7DB3" w:rsidP="006D7DB3">
      <w:pPr>
        <w:spacing w:after="0" w:line="276" w:lineRule="auto"/>
        <w:ind w:left="0" w:right="0" w:firstLine="0"/>
        <w:jc w:val="left"/>
        <w:rPr>
          <w:rFonts w:ascii="ITC Avant Garde" w:hAnsi="ITC Avant Garde"/>
        </w:rPr>
      </w:pPr>
    </w:p>
    <w:p w14:paraId="3D4FDA9D" w14:textId="77777777" w:rsidR="006D7DB3" w:rsidRPr="003A26FF" w:rsidRDefault="006D7DB3" w:rsidP="006D7DB3">
      <w:pPr>
        <w:spacing w:after="0" w:line="276" w:lineRule="auto"/>
        <w:ind w:left="-6" w:hanging="11"/>
        <w:rPr>
          <w:rFonts w:ascii="ITC Avant Garde" w:hAnsi="ITC Avant Garde" w:cs="ITC Avant Garde"/>
        </w:rPr>
      </w:pPr>
      <w:r w:rsidRPr="003A26FF">
        <w:rPr>
          <w:rFonts w:ascii="ITC Avant Garde" w:hAnsi="ITC Avant Garde" w:cs="ITC Avant Garde"/>
          <w:b/>
        </w:rPr>
        <w:t>Participantes de la Consulta Pública:</w:t>
      </w:r>
    </w:p>
    <w:p w14:paraId="3B829725" w14:textId="0EE4ECBE" w:rsidR="006D7DB3" w:rsidRPr="003A26FF" w:rsidRDefault="006D7DB3" w:rsidP="006D7DB3">
      <w:pPr>
        <w:spacing w:line="276" w:lineRule="auto"/>
        <w:ind w:left="-5" w:right="0"/>
        <w:rPr>
          <w:rFonts w:ascii="ITC Avant Garde" w:hAnsi="ITC Avant Garde"/>
        </w:rPr>
      </w:pPr>
      <w:r w:rsidRPr="003A26FF">
        <w:rPr>
          <w:rFonts w:ascii="ITC Avant Garde" w:hAnsi="ITC Avant Garde"/>
        </w:rPr>
        <w:t xml:space="preserve">Durante el periodo de la consulta pública de mérito, se recibieron </w:t>
      </w:r>
      <w:r w:rsidR="00BB6648" w:rsidRPr="003A26FF">
        <w:rPr>
          <w:rFonts w:ascii="ITC Avant Garde" w:hAnsi="ITC Avant Garde"/>
        </w:rPr>
        <w:t>6</w:t>
      </w:r>
      <w:r w:rsidRPr="003A26FF">
        <w:rPr>
          <w:rFonts w:ascii="ITC Avant Garde" w:hAnsi="ITC Avant Garde"/>
        </w:rPr>
        <w:t xml:space="preserve"> participaciones por parte de las siguientes personas morales:</w:t>
      </w:r>
    </w:p>
    <w:p w14:paraId="30D7AFD0" w14:textId="77777777" w:rsidR="00442091" w:rsidRPr="003A26FF" w:rsidRDefault="00442091" w:rsidP="00100519">
      <w:pPr>
        <w:spacing w:line="276" w:lineRule="auto"/>
        <w:ind w:left="-5" w:right="0"/>
        <w:rPr>
          <w:rFonts w:ascii="ITC Avant Garde" w:eastAsiaTheme="minorHAnsi" w:hAnsi="ITC Avant Garde" w:cs="ITC Avant Garde"/>
          <w:lang w:eastAsia="en-US"/>
        </w:rPr>
      </w:pPr>
    </w:p>
    <w:p w14:paraId="4E31B706" w14:textId="4A18B379" w:rsidR="00BB6648" w:rsidRPr="003A26FF" w:rsidRDefault="00BB6648" w:rsidP="00BB664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eastAsiaTheme="minorHAnsi" w:hAnsi="ITC Avant Garde" w:cs="ITC Avant Garde"/>
          <w:lang w:eastAsia="en-US"/>
        </w:rPr>
        <w:t xml:space="preserve">Pegaso PCS, S.A. de C.V. </w:t>
      </w:r>
      <w:r w:rsidRPr="003A26FF">
        <w:rPr>
          <w:rFonts w:ascii="ITC Avant Garde" w:hAnsi="ITC Avant Garde"/>
        </w:rPr>
        <w:t>(en lo sucesivo, “Telefónica”);</w:t>
      </w:r>
    </w:p>
    <w:p w14:paraId="49CF3357" w14:textId="30A9F8D5" w:rsidR="00641CEF" w:rsidRPr="00424C08" w:rsidRDefault="00641CEF"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hAnsi="ITC Avant Garde"/>
        </w:rPr>
        <w:t>Mega Cable, S.A. de C.V. (en lo sucesivo, “Mega Cable”)</w:t>
      </w:r>
      <w:r w:rsidR="00BB6648" w:rsidRPr="003A26FF">
        <w:rPr>
          <w:rFonts w:ascii="ITC Avant Garde" w:hAnsi="ITC Avant Garde"/>
        </w:rPr>
        <w:t>;</w:t>
      </w:r>
    </w:p>
    <w:p w14:paraId="2E647718" w14:textId="204BD1AC" w:rsidR="00424C08" w:rsidRPr="003A26FF" w:rsidRDefault="00424C08"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Megacable Comunicaciones de México, S.A: de C.V. (en lo sucesivo, “MCM”);</w:t>
      </w:r>
    </w:p>
    <w:p w14:paraId="74934378" w14:textId="00F768B2" w:rsidR="00BB6648" w:rsidRPr="003A26FF" w:rsidRDefault="00BB6648" w:rsidP="00BB6648">
      <w:pPr>
        <w:pStyle w:val="Prrafodelista"/>
        <w:numPr>
          <w:ilvl w:val="0"/>
          <w:numId w:val="1"/>
        </w:numPr>
        <w:autoSpaceDE w:val="0"/>
        <w:autoSpaceDN w:val="0"/>
        <w:adjustRightInd w:val="0"/>
        <w:spacing w:after="0" w:line="276" w:lineRule="auto"/>
        <w:ind w:right="0"/>
        <w:contextualSpacing w:val="0"/>
        <w:rPr>
          <w:rFonts w:ascii="ITC Avant Garde" w:eastAsiaTheme="minorHAnsi" w:hAnsi="ITC Avant Garde" w:cs="ITC Avant Garde"/>
          <w:lang w:eastAsia="en-US"/>
        </w:rPr>
      </w:pPr>
      <w:r w:rsidRPr="003A26FF">
        <w:rPr>
          <w:rFonts w:ascii="ITC Avant Garde" w:eastAsiaTheme="minorHAnsi" w:hAnsi="ITC Avant Garde" w:cs="ITC Avant Garde"/>
          <w:lang w:eastAsia="en-US"/>
        </w:rPr>
        <w:t xml:space="preserve">Cablevisión, S.A. de C.V., </w:t>
      </w:r>
      <w:proofErr w:type="spellStart"/>
      <w:r w:rsidR="00A56C2F" w:rsidRPr="003A26FF">
        <w:rPr>
          <w:rFonts w:ascii="ITC Avant Garde" w:eastAsiaTheme="minorHAnsi" w:hAnsi="ITC Avant Garde" w:cs="ITC Avant Garde"/>
          <w:lang w:eastAsia="en-US"/>
        </w:rPr>
        <w:t>Operbes</w:t>
      </w:r>
      <w:proofErr w:type="spellEnd"/>
      <w:r w:rsidR="00A56C2F" w:rsidRPr="003A26FF">
        <w:rPr>
          <w:rFonts w:ascii="ITC Avant Garde" w:eastAsiaTheme="minorHAnsi" w:hAnsi="ITC Avant Garde" w:cs="ITC Avant Garde"/>
          <w:lang w:eastAsia="en-US"/>
        </w:rPr>
        <w:t>, S.A. de C.V.,</w:t>
      </w:r>
      <w:r w:rsidR="00A56C2F">
        <w:rPr>
          <w:rFonts w:ascii="ITC Avant Garde" w:eastAsiaTheme="minorHAnsi" w:hAnsi="ITC Avant Garde" w:cs="ITC Avant Garde"/>
          <w:lang w:eastAsia="en-US"/>
        </w:rPr>
        <w:t xml:space="preserve"> </w:t>
      </w:r>
      <w:r w:rsidRPr="003A26FF">
        <w:rPr>
          <w:rFonts w:ascii="ITC Avant Garde" w:eastAsiaTheme="minorHAnsi" w:hAnsi="ITC Avant Garde" w:cs="ITC Avant Garde"/>
          <w:lang w:eastAsia="en-US"/>
        </w:rPr>
        <w:t>Cablemás Telecomunicaciones, S.A. de C.V., México Red de Telecomunicaciones, S. de R.L. de C.V., Televisión Internacional, S.A. de C.V., Cablevisión Red, S.A. de C.V., y TV Cable de Oriente, S.A. de C.V., (en lo sucesivo “Televisa”);</w:t>
      </w:r>
    </w:p>
    <w:p w14:paraId="42AB8BA3" w14:textId="00D3FF83" w:rsidR="00BB6648" w:rsidRPr="003A26FF" w:rsidRDefault="00BB6648" w:rsidP="00BB664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hAnsi="ITC Avant Garde"/>
        </w:rPr>
        <w:t>Radiomóvil Dipsa, S.A. de C.V. (en lo sucesivo, “Telcel”) y,</w:t>
      </w:r>
    </w:p>
    <w:p w14:paraId="77015FD3" w14:textId="37980DB8" w:rsidR="00641CEF" w:rsidRPr="003A26FF" w:rsidRDefault="009C1345"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9" w:tgtFrame="_blank" w:tooltip="Se abrirá en otra pestaña el Archivo PDF" w:history="1">
        <w:r w:rsidR="00641CEF" w:rsidRPr="003A26FF">
          <w:rPr>
            <w:rFonts w:ascii="ITC Avant Garde" w:eastAsiaTheme="minorHAnsi" w:hAnsi="ITC Avant Garde" w:cs="ITC Avant Garde"/>
            <w:lang w:eastAsia="en-US"/>
          </w:rPr>
          <w:t>AT&amp;T Comunicaciones Digitales, S. de R.L. de C.V., Grupo AT&amp;T Celullar, S. de R.L. de C.V.</w:t>
        </w:r>
        <w:r w:rsidR="00522FE2" w:rsidRPr="003A26FF">
          <w:rPr>
            <w:rFonts w:ascii="ITC Avant Garde" w:eastAsiaTheme="minorHAnsi" w:hAnsi="ITC Avant Garde" w:cs="ITC Avant Garde"/>
            <w:lang w:eastAsia="en-US"/>
          </w:rPr>
          <w:t xml:space="preserve">, </w:t>
        </w:r>
        <w:r w:rsidR="00522FE2">
          <w:rPr>
            <w:rFonts w:ascii="ITC Avant Garde" w:eastAsiaTheme="minorHAnsi" w:hAnsi="ITC Avant Garde" w:cs="ITC Avant Garde"/>
            <w:lang w:eastAsia="en-US"/>
          </w:rPr>
          <w:t>y</w:t>
        </w:r>
        <w:r w:rsidR="005F39FE">
          <w:rPr>
            <w:rFonts w:ascii="ITC Avant Garde" w:eastAsiaTheme="minorHAnsi" w:hAnsi="ITC Avant Garde" w:cs="ITC Avant Garde"/>
            <w:lang w:eastAsia="en-US"/>
          </w:rPr>
          <w:t xml:space="preserve"> </w:t>
        </w:r>
        <w:r w:rsidR="00641CEF" w:rsidRPr="003A26FF">
          <w:rPr>
            <w:rFonts w:ascii="ITC Avant Garde" w:eastAsiaTheme="minorHAnsi" w:hAnsi="ITC Avant Garde" w:cs="ITC Avant Garde"/>
            <w:lang w:eastAsia="en-US"/>
          </w:rPr>
          <w:t xml:space="preserve">AT&amp;T Comercialización Móvil, S. de R.L. de C.V. </w:t>
        </w:r>
      </w:hyperlink>
      <w:r w:rsidR="00641CEF" w:rsidRPr="003A26FF">
        <w:rPr>
          <w:rFonts w:ascii="ITC Avant Garde" w:eastAsiaTheme="minorHAnsi" w:hAnsi="ITC Avant Garde" w:cs="ITC Avant Garde"/>
          <w:lang w:eastAsia="en-US"/>
        </w:rPr>
        <w:t>(en lo sucesivo, “AT&amp;T”)</w:t>
      </w:r>
    </w:p>
    <w:p w14:paraId="4D75981A" w14:textId="77777777" w:rsidR="000B5810" w:rsidRPr="003A26FF"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208DE1C2" w:rsidR="00BC09A3" w:rsidRPr="003A26FF" w:rsidRDefault="001A1169"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E</w:t>
      </w:r>
      <w:r w:rsidR="005C2139" w:rsidRPr="003A26FF">
        <w:rPr>
          <w:rFonts w:ascii="ITC Avant Garde" w:eastAsia="Calibri" w:hAnsi="ITC Avant Garde" w:cs="Arial"/>
          <w:color w:val="auto"/>
          <w:lang w:eastAsia="en-US"/>
        </w:rPr>
        <w:t xml:space="preserve">l orden en </w:t>
      </w:r>
      <w:r w:rsidR="005E75EF" w:rsidRPr="003A26FF">
        <w:rPr>
          <w:rFonts w:ascii="ITC Avant Garde" w:eastAsia="Calibri" w:hAnsi="ITC Avant Garde" w:cs="Arial"/>
          <w:color w:val="auto"/>
          <w:lang w:eastAsia="en-US"/>
        </w:rPr>
        <w:t xml:space="preserve">el </w:t>
      </w:r>
      <w:r w:rsidR="005C2139" w:rsidRPr="003A26FF">
        <w:rPr>
          <w:rFonts w:ascii="ITC Avant Garde" w:eastAsia="Calibri" w:hAnsi="ITC Avant Garde" w:cs="Arial"/>
          <w:color w:val="auto"/>
          <w:lang w:eastAsia="en-US"/>
        </w:rPr>
        <w:t xml:space="preserve">que son abordados los </w:t>
      </w:r>
      <w:r w:rsidR="00725476" w:rsidRPr="003A26FF">
        <w:rPr>
          <w:rFonts w:ascii="ITC Avant Garde" w:eastAsia="Calibri" w:hAnsi="ITC Avant Garde" w:cs="Arial"/>
          <w:color w:val="auto"/>
          <w:lang w:eastAsia="en-US"/>
        </w:rPr>
        <w:t>temas</w:t>
      </w:r>
      <w:r w:rsidR="005C2139" w:rsidRPr="003A26FF">
        <w:rPr>
          <w:rFonts w:ascii="ITC Avant Garde" w:eastAsia="Calibri" w:hAnsi="ITC Avant Garde" w:cs="Arial"/>
          <w:color w:val="auto"/>
          <w:lang w:eastAsia="en-US"/>
        </w:rPr>
        <w:t xml:space="preserve"> obedece primordialmente al orden en que cada uno de éstos aparece</w:t>
      </w:r>
      <w:r w:rsidR="001368EC" w:rsidRPr="003A26FF">
        <w:rPr>
          <w:rFonts w:ascii="ITC Avant Garde" w:eastAsia="Calibri" w:hAnsi="ITC Avant Garde" w:cs="Arial"/>
          <w:color w:val="auto"/>
          <w:lang w:eastAsia="en-US"/>
        </w:rPr>
        <w:t>n</w:t>
      </w:r>
      <w:r w:rsidR="005C2139" w:rsidRPr="003A26FF">
        <w:rPr>
          <w:rFonts w:ascii="ITC Avant Garde" w:eastAsia="Calibri" w:hAnsi="ITC Avant Garde" w:cs="Arial"/>
          <w:color w:val="auto"/>
          <w:lang w:eastAsia="en-US"/>
        </w:rPr>
        <w:t xml:space="preserve"> en</w:t>
      </w:r>
      <w:r w:rsidRPr="003A26FF">
        <w:rPr>
          <w:rFonts w:ascii="ITC Avant Garde" w:eastAsia="Calibri" w:hAnsi="ITC Avant Garde" w:cs="Arial"/>
          <w:color w:val="auto"/>
          <w:lang w:eastAsia="en-US"/>
        </w:rPr>
        <w:t xml:space="preserve"> el Acuerdo de CTM. </w:t>
      </w:r>
      <w:r w:rsidR="00BC09A3" w:rsidRPr="003A26FF">
        <w:rPr>
          <w:rFonts w:ascii="ITC Avant Garde" w:eastAsia="Calibri" w:hAnsi="ITC Avant Garde" w:cs="Arial"/>
          <w:color w:val="auto"/>
          <w:lang w:eastAsia="en-US"/>
        </w:rPr>
        <w:t>Por lo anterior, el Instituto emite las siguientes respuestas y con</w:t>
      </w:r>
      <w:r w:rsidR="007B0E47" w:rsidRPr="003A26FF">
        <w:rPr>
          <w:rFonts w:ascii="ITC Avant Garde" w:eastAsia="Calibri" w:hAnsi="ITC Avant Garde" w:cs="Arial"/>
          <w:color w:val="auto"/>
          <w:lang w:eastAsia="en-US"/>
        </w:rPr>
        <w:t>sideraciones para cada una de la</w:t>
      </w:r>
      <w:r w:rsidR="00BC09A3" w:rsidRPr="003A26FF">
        <w:rPr>
          <w:rFonts w:ascii="ITC Avant Garde" w:eastAsia="Calibri" w:hAnsi="ITC Avant Garde" w:cs="Arial"/>
          <w:color w:val="auto"/>
          <w:lang w:eastAsia="en-US"/>
        </w:rPr>
        <w:t>s</w:t>
      </w:r>
      <w:r w:rsidR="007B0E47" w:rsidRPr="003A26FF">
        <w:rPr>
          <w:rFonts w:ascii="ITC Avant Garde" w:eastAsia="Calibri" w:hAnsi="ITC Avant Garde" w:cs="Arial"/>
          <w:color w:val="auto"/>
          <w:lang w:eastAsia="en-US"/>
        </w:rPr>
        <w:t xml:space="preserve"> participaciones</w:t>
      </w:r>
      <w:r w:rsidR="004B5491" w:rsidRPr="003A26FF">
        <w:rPr>
          <w:rFonts w:ascii="ITC Avant Garde" w:eastAsia="Calibri" w:hAnsi="ITC Avant Garde" w:cs="Arial"/>
          <w:color w:val="auto"/>
          <w:lang w:eastAsia="en-US"/>
        </w:rPr>
        <w:t xml:space="preserve"> recibidas</w:t>
      </w:r>
      <w:r w:rsidR="00BC09A3" w:rsidRPr="003A26FF">
        <w:rPr>
          <w:rFonts w:ascii="ITC Avant Garde" w:eastAsia="Calibri" w:hAnsi="ITC Avant Garde" w:cs="Arial"/>
          <w:color w:val="auto"/>
          <w:lang w:eastAsia="en-US"/>
        </w:rPr>
        <w:t xml:space="preserve">:  </w:t>
      </w:r>
    </w:p>
    <w:p w14:paraId="7B71C229" w14:textId="7D21E1DB" w:rsidR="00192F9F" w:rsidRPr="003A26FF" w:rsidRDefault="00192F9F" w:rsidP="001A1169">
      <w:pPr>
        <w:spacing w:after="0" w:line="276" w:lineRule="auto"/>
        <w:ind w:left="0" w:right="0" w:firstLine="0"/>
        <w:rPr>
          <w:rFonts w:ascii="ITC Avant Garde" w:hAnsi="ITC Avant Garde"/>
        </w:rPr>
      </w:pPr>
    </w:p>
    <w:p w14:paraId="7BD84B99" w14:textId="75FABE9A" w:rsidR="00192F9F" w:rsidRPr="003A26FF" w:rsidRDefault="00192F9F"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Comentar</w:t>
      </w:r>
      <w:r w:rsidR="00AE48D8" w:rsidRPr="003A26FF">
        <w:rPr>
          <w:rFonts w:ascii="ITC Avant Garde" w:hAnsi="ITC Avant Garde"/>
          <w:b/>
          <w:color w:val="auto"/>
          <w:u w:val="single"/>
        </w:rPr>
        <w:t xml:space="preserve">ios emitidos sobre el Capítulo II </w:t>
      </w:r>
      <w:r w:rsidRPr="003A26FF">
        <w:rPr>
          <w:rFonts w:ascii="ITC Avant Garde" w:hAnsi="ITC Avant Garde"/>
          <w:b/>
          <w:color w:val="auto"/>
          <w:u w:val="single"/>
        </w:rPr>
        <w:t>Definiciones</w:t>
      </w:r>
    </w:p>
    <w:p w14:paraId="2F6F1AC0" w14:textId="7F7F8C22" w:rsidR="009922AA" w:rsidRPr="003A26FF" w:rsidRDefault="009922AA" w:rsidP="00684942">
      <w:pPr>
        <w:spacing w:after="0" w:line="276" w:lineRule="auto"/>
        <w:ind w:right="0"/>
        <w:rPr>
          <w:rFonts w:ascii="ITC Avant Garde" w:hAnsi="ITC Avant Garde"/>
          <w:b/>
          <w:color w:val="auto"/>
          <w:u w:val="single"/>
        </w:rPr>
      </w:pPr>
    </w:p>
    <w:p w14:paraId="5B2FEF75" w14:textId="52B99ACC" w:rsidR="009922AA" w:rsidRPr="003A26FF" w:rsidRDefault="009922AA" w:rsidP="00684942">
      <w:pPr>
        <w:spacing w:after="0" w:line="276" w:lineRule="auto"/>
        <w:ind w:right="0"/>
        <w:rPr>
          <w:rFonts w:ascii="ITC Avant Garde" w:hAnsi="ITC Avant Garde"/>
          <w:b/>
          <w:color w:val="auto"/>
        </w:rPr>
      </w:pPr>
      <w:r w:rsidRPr="003A26FF">
        <w:rPr>
          <w:rFonts w:ascii="ITC Avant Garde" w:hAnsi="ITC Avant Garde"/>
          <w:b/>
          <w:color w:val="auto"/>
        </w:rPr>
        <w:t>Telcel</w:t>
      </w:r>
    </w:p>
    <w:p w14:paraId="35745675" w14:textId="0B191421" w:rsidR="009922AA" w:rsidRPr="003A26FF" w:rsidRDefault="00513D2B" w:rsidP="009922AA">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En Capítulo II Definiciones del Acuerdo de Condiciones Técnicas Mínimas, p</w:t>
      </w:r>
      <w:r w:rsidR="009922AA" w:rsidRPr="003A26FF">
        <w:rPr>
          <w:rFonts w:ascii="ITC Avant Garde" w:eastAsia="Calibri" w:hAnsi="ITC Avant Garde" w:cs="Arial"/>
          <w:color w:val="auto"/>
          <w:lang w:eastAsia="en-US"/>
        </w:rPr>
        <w:t xml:space="preserve">ropone agregar un listado de acrónimos </w:t>
      </w:r>
      <w:r w:rsidRPr="003A26FF">
        <w:rPr>
          <w:rFonts w:ascii="ITC Avant Garde" w:eastAsia="Calibri" w:hAnsi="ITC Avant Garde" w:cs="Arial"/>
          <w:color w:val="auto"/>
          <w:lang w:eastAsia="en-US"/>
        </w:rPr>
        <w:t>y modificar el título del capítulo.</w:t>
      </w:r>
    </w:p>
    <w:p w14:paraId="4F3CC928" w14:textId="1508E10B" w:rsidR="009922AA" w:rsidRPr="003A26FF" w:rsidRDefault="009922AA" w:rsidP="009922AA">
      <w:pPr>
        <w:spacing w:after="0" w:line="276" w:lineRule="auto"/>
        <w:ind w:left="0" w:right="0" w:firstLine="0"/>
        <w:rPr>
          <w:rFonts w:ascii="ITC Avant Garde" w:eastAsia="Calibri" w:hAnsi="ITC Avant Garde" w:cs="Arial"/>
          <w:color w:val="auto"/>
          <w:lang w:eastAsia="en-US"/>
        </w:rPr>
      </w:pPr>
    </w:p>
    <w:p w14:paraId="15326EA4" w14:textId="0BB7B12A" w:rsidR="009922AA" w:rsidRPr="003A26FF" w:rsidRDefault="009922AA" w:rsidP="009922AA">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21144B96" w14:textId="77777777" w:rsidR="00B856FA" w:rsidRPr="003A26FF" w:rsidRDefault="00B856FA" w:rsidP="009922AA">
      <w:pPr>
        <w:spacing w:after="0" w:line="276" w:lineRule="auto"/>
        <w:ind w:left="0" w:right="0" w:firstLine="0"/>
        <w:rPr>
          <w:rFonts w:ascii="ITC Avant Garde" w:hAnsi="ITC Avant Garde"/>
          <w:b/>
          <w:color w:val="auto"/>
          <w:u w:val="single"/>
        </w:rPr>
      </w:pPr>
    </w:p>
    <w:p w14:paraId="10AE0CA9" w14:textId="074A69C2" w:rsidR="009922AA" w:rsidRPr="003A26FF" w:rsidRDefault="009922AA" w:rsidP="009922AA">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El objetivo de esta sección es brindar claridad a los términos relacionados con el marco regulatorio que establece el Instituto, mientras que el significado de los acrónimos ya se encuentra contenido en los estándares y recomendaciones emitidos por los distintos organismos internacionales como la Unión Internacional de Telecomunicaciones (“UIT”) o la 3GPP (“3rd </w:t>
      </w:r>
      <w:proofErr w:type="spellStart"/>
      <w:r w:rsidRPr="003A26FF">
        <w:rPr>
          <w:rFonts w:ascii="ITC Avant Garde" w:eastAsia="Calibri" w:hAnsi="ITC Avant Garde" w:cs="Arial"/>
          <w:color w:val="auto"/>
          <w:lang w:eastAsia="en-US"/>
        </w:rPr>
        <w:t>Generation</w:t>
      </w:r>
      <w:proofErr w:type="spellEnd"/>
      <w:r w:rsidRPr="003A26FF">
        <w:rPr>
          <w:rFonts w:ascii="ITC Avant Garde" w:eastAsia="Calibri" w:hAnsi="ITC Avant Garde" w:cs="Arial"/>
          <w:color w:val="auto"/>
          <w:lang w:eastAsia="en-US"/>
        </w:rPr>
        <w:t xml:space="preserve"> </w:t>
      </w:r>
      <w:proofErr w:type="spellStart"/>
      <w:r w:rsidRPr="003A26FF">
        <w:rPr>
          <w:rFonts w:ascii="ITC Avant Garde" w:eastAsia="Calibri" w:hAnsi="ITC Avant Garde" w:cs="Arial"/>
          <w:color w:val="auto"/>
          <w:lang w:eastAsia="en-US"/>
        </w:rPr>
        <w:t>Partnership</w:t>
      </w:r>
      <w:proofErr w:type="spellEnd"/>
      <w:r w:rsidRPr="003A26FF">
        <w:rPr>
          <w:rFonts w:ascii="ITC Avant Garde" w:eastAsia="Calibri" w:hAnsi="ITC Avant Garde" w:cs="Arial"/>
          <w:color w:val="auto"/>
          <w:lang w:eastAsia="en-US"/>
        </w:rPr>
        <w:t xml:space="preserve"> Project”)</w:t>
      </w:r>
      <w:r w:rsidR="00855898" w:rsidRPr="003A26FF">
        <w:rPr>
          <w:rFonts w:ascii="ITC Avant Garde" w:eastAsia="Calibri" w:hAnsi="ITC Avant Garde" w:cs="Arial"/>
          <w:color w:val="auto"/>
          <w:lang w:eastAsia="en-US"/>
        </w:rPr>
        <w:t xml:space="preserve">, </w:t>
      </w:r>
      <w:r w:rsidR="00855898" w:rsidRPr="003A26FF">
        <w:rPr>
          <w:rFonts w:ascii="ITC Avant Garde" w:eastAsia="Calibri" w:hAnsi="ITC Avant Garde" w:cs="Arial"/>
          <w:color w:val="auto"/>
          <w:lang w:eastAsia="en-US"/>
        </w:rPr>
        <w:lastRenderedPageBreak/>
        <w:t>mismos a los que se hace referencia a pie de página a lo largo del Acuerdo de CTM</w:t>
      </w:r>
      <w:r w:rsidRPr="003A26FF">
        <w:rPr>
          <w:rFonts w:ascii="ITC Avant Garde" w:eastAsia="Calibri" w:hAnsi="ITC Avant Garde" w:cs="Arial"/>
          <w:color w:val="auto"/>
          <w:lang w:eastAsia="en-US"/>
        </w:rPr>
        <w:t>.</w:t>
      </w:r>
    </w:p>
    <w:p w14:paraId="3DE3F06A" w14:textId="3340C9D0" w:rsidR="00D81321" w:rsidRPr="003A26FF" w:rsidRDefault="00D81321" w:rsidP="003A4377">
      <w:pPr>
        <w:spacing w:after="0" w:line="276" w:lineRule="auto"/>
        <w:ind w:left="-5" w:right="49"/>
        <w:rPr>
          <w:rFonts w:ascii="ITC Avant Garde" w:hAnsi="ITC Avant Garde"/>
          <w:color w:val="auto"/>
        </w:rPr>
      </w:pPr>
    </w:p>
    <w:p w14:paraId="279F3E73" w14:textId="3414049E" w:rsidR="00973576" w:rsidRPr="003A26FF" w:rsidRDefault="00A91102" w:rsidP="00684942">
      <w:pPr>
        <w:spacing w:after="0" w:line="276" w:lineRule="auto"/>
        <w:ind w:right="0"/>
        <w:rPr>
          <w:rFonts w:ascii="ITC Avant Garde" w:hAnsi="ITC Avant Garde"/>
          <w:b/>
          <w:color w:val="auto"/>
        </w:rPr>
      </w:pPr>
      <w:r w:rsidRPr="003A26FF">
        <w:rPr>
          <w:rFonts w:ascii="ITC Avant Garde" w:hAnsi="ITC Avant Garde"/>
          <w:b/>
          <w:color w:val="auto"/>
        </w:rPr>
        <w:t>Telcel</w:t>
      </w:r>
    </w:p>
    <w:p w14:paraId="21601640" w14:textId="2FE190AC" w:rsidR="00973576" w:rsidRPr="003A26FF" w:rsidRDefault="00973576"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Señala que</w:t>
      </w:r>
      <w:r w:rsidR="00BA6165" w:rsidRPr="003A26FF">
        <w:rPr>
          <w:rFonts w:ascii="ITC Avant Garde" w:eastAsia="Calibri" w:hAnsi="ITC Avant Garde" w:cs="Arial"/>
          <w:color w:val="auto"/>
          <w:lang w:eastAsia="en-US"/>
        </w:rPr>
        <w:t xml:space="preserve"> en la definición de “Servicios Auxiliares y Conexos”</w:t>
      </w:r>
      <w:r w:rsidR="005C6298" w:rsidRPr="003A26FF">
        <w:rPr>
          <w:rFonts w:ascii="ITC Avant Garde" w:eastAsia="Calibri" w:hAnsi="ITC Avant Garde" w:cs="Arial"/>
          <w:color w:val="auto"/>
          <w:lang w:eastAsia="en-US"/>
        </w:rPr>
        <w:t xml:space="preserve"> se </w:t>
      </w:r>
      <w:r w:rsidR="00A53608" w:rsidRPr="003A26FF">
        <w:rPr>
          <w:rFonts w:ascii="ITC Avant Garde" w:eastAsia="Calibri" w:hAnsi="ITC Avant Garde" w:cs="Arial"/>
          <w:color w:val="auto"/>
          <w:lang w:eastAsia="en-US"/>
        </w:rPr>
        <w:t>sustituya</w:t>
      </w:r>
      <w:r w:rsidR="00BA6165" w:rsidRPr="003A26FF">
        <w:rPr>
          <w:rFonts w:ascii="ITC Avant Garde" w:eastAsia="Calibri" w:hAnsi="ITC Avant Garde" w:cs="Arial"/>
          <w:color w:val="auto"/>
          <w:lang w:eastAsia="en-US"/>
        </w:rPr>
        <w:t xml:space="preserve"> el término “</w:t>
      </w:r>
      <w:r w:rsidRPr="003A26FF">
        <w:rPr>
          <w:rFonts w:ascii="ITC Avant Garde" w:eastAsia="Calibri" w:hAnsi="ITC Avant Garde" w:cs="Arial"/>
          <w:color w:val="auto"/>
          <w:lang w:eastAsia="en-US"/>
        </w:rPr>
        <w:t>p</w:t>
      </w:r>
      <w:r w:rsidR="00BA6165" w:rsidRPr="003A26FF">
        <w:rPr>
          <w:rFonts w:ascii="ITC Avant Garde" w:eastAsia="Calibri" w:hAnsi="ITC Avant Garde" w:cs="Arial"/>
          <w:color w:val="auto"/>
          <w:lang w:eastAsia="en-US"/>
        </w:rPr>
        <w:t>roveedor” por “concesionario”</w:t>
      </w:r>
      <w:r w:rsidR="00A53608" w:rsidRPr="003A26FF">
        <w:rPr>
          <w:rFonts w:ascii="ITC Avant Garde" w:eastAsia="Calibri" w:hAnsi="ITC Avant Garde" w:cs="Arial"/>
          <w:color w:val="auto"/>
          <w:lang w:eastAsia="en-US"/>
        </w:rPr>
        <w:t xml:space="preserve"> </w:t>
      </w:r>
      <w:r w:rsidRPr="003A26FF">
        <w:rPr>
          <w:rFonts w:ascii="ITC Avant Garde" w:eastAsia="Calibri" w:hAnsi="ITC Avant Garde" w:cs="Arial"/>
          <w:color w:val="auto"/>
          <w:lang w:eastAsia="en-US"/>
        </w:rPr>
        <w:t xml:space="preserve">en consistencia con la definición de </w:t>
      </w:r>
      <w:r w:rsidR="00BA6165" w:rsidRPr="003A26FF">
        <w:rPr>
          <w:rFonts w:ascii="ITC Avant Garde" w:eastAsia="Calibri" w:hAnsi="ITC Avant Garde" w:cs="Arial"/>
          <w:color w:val="auto"/>
          <w:lang w:eastAsia="en-US"/>
        </w:rPr>
        <w:t>“Interconexión”</w:t>
      </w:r>
      <w:r w:rsidR="002A7C01" w:rsidRPr="003A26FF">
        <w:rPr>
          <w:rFonts w:ascii="ITC Avant Garde" w:eastAsia="Calibri" w:hAnsi="ITC Avant Garde" w:cs="Arial"/>
          <w:color w:val="auto"/>
          <w:lang w:eastAsia="en-US"/>
        </w:rPr>
        <w:t xml:space="preserve"> contenida en la </w:t>
      </w:r>
      <w:r w:rsidRPr="003A26FF">
        <w:rPr>
          <w:rFonts w:ascii="ITC Avant Garde" w:eastAsia="Calibri" w:hAnsi="ITC Avant Garde" w:cs="Arial"/>
          <w:color w:val="auto"/>
          <w:lang w:eastAsia="en-US"/>
        </w:rPr>
        <w:t>LFTR</w:t>
      </w:r>
      <w:r w:rsidR="002A7C01" w:rsidRPr="003A26FF">
        <w:rPr>
          <w:rFonts w:ascii="ITC Avant Garde" w:eastAsia="Calibri" w:hAnsi="ITC Avant Garde" w:cs="Arial"/>
          <w:color w:val="auto"/>
          <w:lang w:eastAsia="en-US"/>
        </w:rPr>
        <w:t>,</w:t>
      </w:r>
      <w:r w:rsidRPr="003A26FF">
        <w:rPr>
          <w:rFonts w:ascii="ITC Avant Garde" w:eastAsia="Calibri" w:hAnsi="ITC Avant Garde" w:cs="Arial"/>
          <w:color w:val="auto"/>
          <w:lang w:eastAsia="en-US"/>
        </w:rPr>
        <w:t xml:space="preserve"> ya que las relaciones de interconexión son relaciones entre concesionarios de redes públicas de telecomunicaciones y no existe ningún otro</w:t>
      </w:r>
      <w:r w:rsidR="005C6298" w:rsidRPr="003A26FF">
        <w:rPr>
          <w:rFonts w:ascii="ITC Avant Garde" w:eastAsia="Calibri" w:hAnsi="ITC Avant Garde" w:cs="Arial"/>
          <w:color w:val="auto"/>
          <w:lang w:eastAsia="en-US"/>
        </w:rPr>
        <w:t xml:space="preserve"> proveedor autorizado para ello. P</w:t>
      </w:r>
      <w:r w:rsidRPr="003A26FF">
        <w:rPr>
          <w:rFonts w:ascii="ITC Avant Garde" w:eastAsia="Calibri" w:hAnsi="ITC Avant Garde" w:cs="Arial"/>
          <w:color w:val="auto"/>
          <w:lang w:eastAsia="en-US"/>
        </w:rPr>
        <w:t>or lo</w:t>
      </w:r>
      <w:r w:rsidR="005C6298" w:rsidRPr="003A26FF">
        <w:rPr>
          <w:rFonts w:ascii="ITC Avant Garde" w:eastAsia="Calibri" w:hAnsi="ITC Avant Garde" w:cs="Arial"/>
          <w:color w:val="auto"/>
          <w:lang w:eastAsia="en-US"/>
        </w:rPr>
        <w:t xml:space="preserve"> anterior,</w:t>
      </w:r>
      <w:r w:rsidRPr="003A26FF">
        <w:rPr>
          <w:rFonts w:ascii="ITC Avant Garde" w:eastAsia="Calibri" w:hAnsi="ITC Avant Garde" w:cs="Arial"/>
          <w:color w:val="auto"/>
          <w:lang w:eastAsia="en-US"/>
        </w:rPr>
        <w:t xml:space="preserve"> propone la siguiente modificación:</w:t>
      </w:r>
    </w:p>
    <w:p w14:paraId="7E4264BF" w14:textId="77777777" w:rsidR="00973576" w:rsidRPr="003A26FF" w:rsidRDefault="00973576" w:rsidP="00973576">
      <w:pPr>
        <w:spacing w:after="0" w:line="276" w:lineRule="auto"/>
        <w:ind w:left="-5" w:right="49"/>
        <w:rPr>
          <w:rFonts w:ascii="ITC Avant Garde" w:hAnsi="ITC Avant Garde"/>
          <w:color w:val="auto"/>
        </w:rPr>
      </w:pPr>
    </w:p>
    <w:p w14:paraId="0389D127" w14:textId="2DD9DBAD" w:rsidR="00973576" w:rsidRPr="003A26FF" w:rsidRDefault="00973576" w:rsidP="005C629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 xml:space="preserve">“Servicios Auxiliares y Conexos: 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Pr="003A26FF">
        <w:rPr>
          <w:rFonts w:ascii="ITC Avant Garde" w:hAnsi="ITC Avant Garde"/>
          <w:i/>
          <w:color w:val="auto"/>
          <w:sz w:val="18"/>
          <w:szCs w:val="18"/>
          <w:u w:val="single"/>
        </w:rPr>
        <w:t>concesionario</w:t>
      </w:r>
      <w:r w:rsidRPr="003A26FF">
        <w:rPr>
          <w:rFonts w:ascii="ITC Avant Garde" w:hAnsi="ITC Avant Garde"/>
          <w:i/>
          <w:color w:val="auto"/>
          <w:sz w:val="18"/>
          <w:szCs w:val="18"/>
        </w:rPr>
        <w:t xml:space="preserve"> autorizado al efecto.”</w:t>
      </w:r>
    </w:p>
    <w:p w14:paraId="19CD444E" w14:textId="343EFFAD" w:rsidR="00E66FFE" w:rsidRPr="003A26FF" w:rsidRDefault="00E66FFE" w:rsidP="00E66FFE">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FE3620B" w14:textId="6C542544" w:rsidR="00E66FFE" w:rsidRPr="003A26FF" w:rsidRDefault="00E66FFE" w:rsidP="00E66FFE">
      <w:pPr>
        <w:spacing w:after="0" w:line="276" w:lineRule="auto"/>
        <w:ind w:left="567" w:right="615" w:firstLine="0"/>
        <w:jc w:val="right"/>
        <w:rPr>
          <w:rFonts w:ascii="ITC Avant Garde" w:hAnsi="ITC Avant Garde"/>
          <w:i/>
          <w:color w:val="auto"/>
          <w:sz w:val="18"/>
          <w:szCs w:val="18"/>
        </w:rPr>
      </w:pPr>
    </w:p>
    <w:p w14:paraId="1B54C00C" w14:textId="0C18F5DF" w:rsidR="00E66FFE" w:rsidRPr="003A26FF" w:rsidRDefault="00CE6F64" w:rsidP="00E66FFE">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349D1872" w14:textId="77777777" w:rsidR="00B856FA" w:rsidRPr="003A26FF" w:rsidRDefault="00B856FA" w:rsidP="00E66FFE">
      <w:pPr>
        <w:spacing w:after="0" w:line="276" w:lineRule="auto"/>
        <w:ind w:left="0" w:right="0" w:firstLine="0"/>
        <w:rPr>
          <w:rFonts w:ascii="ITC Avant Garde" w:hAnsi="ITC Avant Garde"/>
          <w:b/>
          <w:color w:val="auto"/>
          <w:u w:val="single"/>
        </w:rPr>
      </w:pPr>
    </w:p>
    <w:p w14:paraId="73269457" w14:textId="7EDD8830" w:rsidR="00E66FFE" w:rsidRPr="003A26FF" w:rsidRDefault="00E66FFE"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La definición de Servicios Auxiliares Conexos </w:t>
      </w:r>
      <w:r w:rsidR="00EA48ED" w:rsidRPr="003A26FF">
        <w:rPr>
          <w:rFonts w:ascii="ITC Avant Garde" w:eastAsia="Calibri" w:hAnsi="ITC Avant Garde" w:cs="Arial"/>
          <w:color w:val="auto"/>
          <w:lang w:eastAsia="en-US"/>
        </w:rPr>
        <w:t xml:space="preserve">del Acuerdo de CTM </w:t>
      </w:r>
      <w:r w:rsidRPr="003A26FF">
        <w:rPr>
          <w:rFonts w:ascii="ITC Avant Garde" w:eastAsia="Calibri" w:hAnsi="ITC Avant Garde" w:cs="Arial"/>
          <w:color w:val="auto"/>
          <w:lang w:eastAsia="en-US"/>
        </w:rPr>
        <w:t>es acorde a</w:t>
      </w:r>
      <w:r w:rsidR="00EA48ED" w:rsidRPr="003A26FF">
        <w:rPr>
          <w:rFonts w:ascii="ITC Avant Garde" w:eastAsia="Calibri" w:hAnsi="ITC Avant Garde" w:cs="Arial"/>
          <w:color w:val="auto"/>
          <w:lang w:eastAsia="en-US"/>
        </w:rPr>
        <w:t>l marco regulatorio vigente, esto es el Plan de Interconexión</w:t>
      </w:r>
      <w:r w:rsidR="00EA48ED" w:rsidRPr="003A26FF">
        <w:rPr>
          <w:rStyle w:val="Refdenotaalpie"/>
          <w:rFonts w:ascii="ITC Avant Garde" w:eastAsia="Calibri" w:hAnsi="ITC Avant Garde" w:cs="Arial"/>
          <w:color w:val="auto"/>
          <w:lang w:eastAsia="en-US"/>
        </w:rPr>
        <w:footnoteReference w:id="2"/>
      </w:r>
      <w:r w:rsidR="009B457A" w:rsidRPr="003A26FF">
        <w:rPr>
          <w:rFonts w:ascii="ITC Avant Garde" w:eastAsia="Calibri" w:hAnsi="ITC Avant Garde" w:cs="Arial"/>
          <w:color w:val="auto"/>
          <w:lang w:eastAsia="en-US"/>
        </w:rPr>
        <w:t>:</w:t>
      </w:r>
    </w:p>
    <w:p w14:paraId="233035E2" w14:textId="77777777" w:rsidR="00E66FFE" w:rsidRPr="003A26FF" w:rsidRDefault="00E66FFE" w:rsidP="00E66FFE">
      <w:pPr>
        <w:autoSpaceDE w:val="0"/>
        <w:autoSpaceDN w:val="0"/>
        <w:adjustRightInd w:val="0"/>
        <w:spacing w:after="0" w:line="240" w:lineRule="auto"/>
        <w:ind w:left="0" w:right="0" w:firstLine="0"/>
        <w:jc w:val="left"/>
        <w:rPr>
          <w:rFonts w:ascii="Century Gothic" w:eastAsiaTheme="minorHAnsi" w:hAnsi="Century Gothic" w:cs="Century Gothic"/>
          <w:sz w:val="24"/>
          <w:szCs w:val="24"/>
          <w:lang w:eastAsia="en-US"/>
        </w:rPr>
      </w:pPr>
    </w:p>
    <w:p w14:paraId="5ABDED3D" w14:textId="3F029E67" w:rsidR="00102C28" w:rsidRPr="003A26FF" w:rsidRDefault="00102C28" w:rsidP="00102C2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 xml:space="preserve">“Servicios Auxiliares Conexos: Servicios que forman parte de los Servicios de Interconexión necesarios para la Interoperabilidad de las </w:t>
      </w:r>
      <w:proofErr w:type="spellStart"/>
      <w:r w:rsidRPr="003A26FF">
        <w:rPr>
          <w:rFonts w:ascii="ITC Avant Garde" w:hAnsi="ITC Avant Garde"/>
          <w:i/>
          <w:color w:val="auto"/>
          <w:sz w:val="18"/>
          <w:szCs w:val="18"/>
        </w:rPr>
        <w:t>RPTs</w:t>
      </w:r>
      <w:proofErr w:type="spellEnd"/>
      <w:r w:rsidRPr="003A26FF">
        <w:rPr>
          <w:rFonts w:ascii="ITC Avant Garde" w:hAnsi="ITC Avant Garde"/>
          <w:i/>
          <w:color w:val="auto"/>
          <w:sz w:val="18"/>
          <w:szCs w:val="18"/>
        </w:rPr>
        <w:t xml:space="preserve">, que incluyen, entre otros, los servicios de información, de directorio, de emergencia, de cobro revertido o de origen, vía operadora, de Facturación y de Cobranza, y los demás que se requieran para permitir a los usuarios de un Concesionario comunicarse con los usuarios de otro Concesionario y </w:t>
      </w:r>
      <w:r w:rsidRPr="003A26FF">
        <w:rPr>
          <w:rFonts w:ascii="ITC Avant Garde" w:hAnsi="ITC Avant Garde"/>
          <w:i/>
          <w:color w:val="auto"/>
          <w:sz w:val="18"/>
          <w:szCs w:val="18"/>
          <w:u w:val="single"/>
        </w:rPr>
        <w:t>tener acceso a los servicios suministrados por este último o por algún otro proveedor autorizado al efecto</w:t>
      </w:r>
      <w:r w:rsidRPr="003A26FF">
        <w:rPr>
          <w:rFonts w:ascii="ITC Avant Garde" w:hAnsi="ITC Avant Garde"/>
          <w:i/>
          <w:color w:val="auto"/>
          <w:sz w:val="18"/>
          <w:szCs w:val="18"/>
        </w:rPr>
        <w:t>;</w:t>
      </w:r>
    </w:p>
    <w:p w14:paraId="01F142CE" w14:textId="2393ADFD" w:rsidR="0094716C" w:rsidRPr="003A26FF" w:rsidRDefault="0094716C" w:rsidP="0094716C">
      <w:pPr>
        <w:spacing w:after="0" w:line="276" w:lineRule="auto"/>
        <w:ind w:left="567" w:right="615" w:firstLine="0"/>
        <w:jc w:val="right"/>
        <w:rPr>
          <w:rFonts w:ascii="ITC Avant Garde" w:hAnsi="ITC Avant Garde"/>
          <w:i/>
          <w:color w:val="auto"/>
          <w:sz w:val="18"/>
          <w:szCs w:val="18"/>
        </w:rPr>
      </w:pPr>
    </w:p>
    <w:p w14:paraId="73867E1A" w14:textId="5098366A" w:rsidR="0094716C" w:rsidRPr="003A26FF" w:rsidRDefault="0094716C" w:rsidP="0094716C">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7A6C6A87" w14:textId="610CFB02" w:rsidR="00B11E85" w:rsidRPr="003A26FF" w:rsidRDefault="00B11E85" w:rsidP="0094716C">
      <w:pPr>
        <w:spacing w:after="0" w:line="276" w:lineRule="auto"/>
        <w:ind w:left="567" w:right="615" w:firstLine="0"/>
        <w:jc w:val="right"/>
        <w:rPr>
          <w:rFonts w:ascii="ITC Avant Garde" w:hAnsi="ITC Avant Garde"/>
          <w:i/>
          <w:color w:val="auto"/>
          <w:sz w:val="18"/>
          <w:szCs w:val="18"/>
        </w:rPr>
      </w:pPr>
    </w:p>
    <w:p w14:paraId="4A06539E" w14:textId="3369025E" w:rsidR="0042627B" w:rsidRPr="003A26FF" w:rsidRDefault="0042627B" w:rsidP="00684942">
      <w:pPr>
        <w:spacing w:after="0" w:line="276" w:lineRule="auto"/>
        <w:ind w:left="0" w:right="0" w:firstLine="0"/>
        <w:rPr>
          <w:rFonts w:ascii="ITC Avant Garde" w:eastAsia="Calibri" w:hAnsi="ITC Avant Garde" w:cs="Arial"/>
          <w:color w:val="auto"/>
          <w:lang w:eastAsia="en-US"/>
        </w:rPr>
      </w:pPr>
      <w:r w:rsidRPr="003A26FF">
        <w:rPr>
          <w:rFonts w:ascii="ITC Avant Garde" w:eastAsia="Calibri" w:hAnsi="ITC Avant Garde" w:cs="Arial"/>
          <w:color w:val="auto"/>
          <w:lang w:eastAsia="en-US"/>
        </w:rPr>
        <w:t xml:space="preserve">Por lo </w:t>
      </w:r>
      <w:r w:rsidR="00EA48ED" w:rsidRPr="003A26FF">
        <w:rPr>
          <w:rFonts w:ascii="ITC Avant Garde" w:eastAsia="Calibri" w:hAnsi="ITC Avant Garde" w:cs="Arial"/>
          <w:color w:val="auto"/>
          <w:lang w:eastAsia="en-US"/>
        </w:rPr>
        <w:t xml:space="preserve">que la modificación de un instrumento regulatorio vigente se encuentra fuera del alcance del </w:t>
      </w:r>
      <w:r w:rsidRPr="003A26FF">
        <w:rPr>
          <w:rFonts w:ascii="ITC Avant Garde" w:eastAsia="Calibri" w:hAnsi="ITC Avant Garde" w:cs="Arial"/>
          <w:color w:val="auto"/>
          <w:lang w:eastAsia="en-US"/>
        </w:rPr>
        <w:t>Acuerdo de CTM.</w:t>
      </w:r>
    </w:p>
    <w:p w14:paraId="338FECF7" w14:textId="0DAF27F9" w:rsidR="00E66FFE" w:rsidRPr="003A26FF" w:rsidRDefault="00E66FFE" w:rsidP="00E66FFE">
      <w:pPr>
        <w:spacing w:after="0" w:line="276" w:lineRule="auto"/>
        <w:ind w:right="615"/>
        <w:rPr>
          <w:rFonts w:ascii="ITC Avant Garde" w:hAnsi="ITC Avant Garde"/>
          <w:color w:val="auto"/>
        </w:rPr>
      </w:pPr>
    </w:p>
    <w:p w14:paraId="63FBF4CC" w14:textId="680BF23B" w:rsidR="00EE0FF7" w:rsidRPr="003A26FF" w:rsidRDefault="00EE0FF7" w:rsidP="00684942">
      <w:pPr>
        <w:spacing w:after="0" w:line="276" w:lineRule="auto"/>
        <w:ind w:left="0" w:right="0" w:firstLine="0"/>
        <w:rPr>
          <w:rFonts w:ascii="ITC Avant Garde" w:eastAsia="Calibri" w:hAnsi="ITC Avant Garde" w:cs="Arial"/>
          <w:b/>
          <w:color w:val="auto"/>
          <w:u w:val="single"/>
          <w:lang w:eastAsia="en-US"/>
        </w:rPr>
      </w:pPr>
      <w:r w:rsidRPr="003A26FF">
        <w:rPr>
          <w:rFonts w:ascii="ITC Avant Garde" w:eastAsia="Calibri" w:hAnsi="ITC Avant Garde" w:cs="Arial"/>
          <w:b/>
          <w:color w:val="auto"/>
          <w:u w:val="single"/>
          <w:lang w:eastAsia="en-US"/>
        </w:rPr>
        <w:t>Comentarios emitidos sobre el Capítulo III Condiciones Técnicas Mínimas</w:t>
      </w:r>
    </w:p>
    <w:p w14:paraId="2D58B8F2" w14:textId="11297352" w:rsidR="00ED3450" w:rsidRPr="003A26FF" w:rsidRDefault="00ED3450" w:rsidP="00684942">
      <w:pPr>
        <w:spacing w:after="0" w:line="276" w:lineRule="auto"/>
        <w:ind w:left="0" w:right="0" w:firstLine="0"/>
        <w:rPr>
          <w:rFonts w:ascii="ITC Avant Garde" w:eastAsia="Calibri" w:hAnsi="ITC Avant Garde" w:cs="Arial"/>
          <w:b/>
          <w:color w:val="auto"/>
          <w:u w:val="single"/>
          <w:lang w:eastAsia="en-US"/>
        </w:rPr>
      </w:pPr>
    </w:p>
    <w:p w14:paraId="23843E55" w14:textId="24CA14B9" w:rsidR="00ED3450" w:rsidRPr="003A26FF" w:rsidRDefault="00ED3450" w:rsidP="00ED3450">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 Tercera</w:t>
      </w:r>
    </w:p>
    <w:p w14:paraId="7789BD31" w14:textId="7A2C05A5" w:rsidR="007E38AB" w:rsidRPr="003A26FF" w:rsidRDefault="007E38AB" w:rsidP="00ED3450">
      <w:pPr>
        <w:spacing w:after="0" w:line="276" w:lineRule="auto"/>
        <w:ind w:right="0"/>
        <w:rPr>
          <w:rFonts w:ascii="ITC Avant Garde" w:hAnsi="ITC Avant Garde"/>
          <w:b/>
          <w:color w:val="auto"/>
          <w:u w:val="single"/>
        </w:rPr>
      </w:pPr>
    </w:p>
    <w:p w14:paraId="5AA5BCCD" w14:textId="1D8B46AD" w:rsidR="00C6280C" w:rsidRPr="000D3CC1" w:rsidRDefault="00C6280C" w:rsidP="00C6280C">
      <w:pPr>
        <w:spacing w:after="0" w:line="276" w:lineRule="auto"/>
        <w:ind w:right="0"/>
        <w:rPr>
          <w:rFonts w:ascii="ITC Avant Garde" w:hAnsi="ITC Avant Garde"/>
          <w:b/>
          <w:color w:val="auto"/>
        </w:rPr>
      </w:pPr>
      <w:r w:rsidRPr="000D3CC1">
        <w:rPr>
          <w:rFonts w:ascii="ITC Avant Garde" w:hAnsi="ITC Avant Garde"/>
          <w:b/>
          <w:color w:val="auto"/>
        </w:rPr>
        <w:lastRenderedPageBreak/>
        <w:t>MCM</w:t>
      </w:r>
    </w:p>
    <w:p w14:paraId="3158DA99" w14:textId="3ADA3205" w:rsidR="00CE030B" w:rsidRPr="000D3CC1" w:rsidRDefault="00CE030B" w:rsidP="00CE030B">
      <w:pPr>
        <w:spacing w:after="0" w:line="276" w:lineRule="auto"/>
        <w:ind w:right="0"/>
        <w:rPr>
          <w:rFonts w:ascii="ITC Avant Garde" w:hAnsi="ITC Avant Garde"/>
          <w:bCs/>
          <w:color w:val="auto"/>
        </w:rPr>
      </w:pPr>
      <w:r w:rsidRPr="000D3CC1">
        <w:rPr>
          <w:rFonts w:ascii="ITC Avant Garde" w:hAnsi="ITC Avant Garde"/>
          <w:bCs/>
          <w:color w:val="auto"/>
        </w:rPr>
        <w:t>Solicita agregar la siguiente redacción:</w:t>
      </w:r>
    </w:p>
    <w:p w14:paraId="425EACCC" w14:textId="77777777" w:rsidR="00CE030B" w:rsidRPr="000D3CC1" w:rsidRDefault="00CE030B" w:rsidP="0049089B">
      <w:pPr>
        <w:spacing w:after="0" w:line="276" w:lineRule="auto"/>
        <w:ind w:left="567" w:right="615" w:firstLine="0"/>
        <w:rPr>
          <w:rFonts w:ascii="ITC Avant Garde" w:hAnsi="ITC Avant Garde"/>
          <w:i/>
          <w:color w:val="auto"/>
          <w:sz w:val="18"/>
          <w:szCs w:val="18"/>
        </w:rPr>
      </w:pPr>
      <w:r w:rsidRPr="000D3CC1">
        <w:rPr>
          <w:rFonts w:ascii="ITC Avant Garde" w:hAnsi="ITC Avant Garde"/>
          <w:i/>
          <w:color w:val="auto"/>
          <w:sz w:val="18"/>
          <w:szCs w:val="18"/>
        </w:rPr>
        <w:t>“[…]</w:t>
      </w:r>
    </w:p>
    <w:p w14:paraId="76C34B76" w14:textId="4517E806" w:rsidR="00C6280C" w:rsidRPr="00722EA7" w:rsidRDefault="00CE030B" w:rsidP="0049089B">
      <w:pPr>
        <w:spacing w:after="0" w:line="276" w:lineRule="auto"/>
        <w:ind w:left="567" w:right="615" w:firstLine="0"/>
        <w:rPr>
          <w:rFonts w:ascii="ITC Avant Garde" w:hAnsi="ITC Avant Garde"/>
          <w:i/>
          <w:color w:val="auto"/>
          <w:sz w:val="18"/>
          <w:szCs w:val="18"/>
        </w:rPr>
      </w:pPr>
      <w:r w:rsidRPr="000D3CC1">
        <w:rPr>
          <w:rFonts w:ascii="ITC Avant Garde" w:hAnsi="ITC Avant Garde"/>
          <w:i/>
          <w:color w:val="auto"/>
          <w:sz w:val="18"/>
          <w:szCs w:val="18"/>
        </w:rPr>
        <w:t xml:space="preserve">Los concesionarios deberán contar con redundancia entre sitios o entre puntos de interconexión para garantizar la continuidad en la prestación del </w:t>
      </w:r>
      <w:r w:rsidRPr="000D3CC1">
        <w:rPr>
          <w:rFonts w:ascii="ITC Avant Garde" w:hAnsi="ITC Avant Garde"/>
          <w:b/>
          <w:bCs/>
          <w:i/>
          <w:color w:val="auto"/>
          <w:sz w:val="18"/>
          <w:szCs w:val="18"/>
          <w:u w:val="single"/>
        </w:rPr>
        <w:t>servicio y capacidad suficiente para que los servicios se presten con buena calidad.</w:t>
      </w:r>
      <w:r w:rsidRPr="000D3CC1">
        <w:rPr>
          <w:rFonts w:ascii="ITC Avant Garde" w:hAnsi="ITC Avant Garde"/>
          <w:i/>
          <w:color w:val="auto"/>
          <w:sz w:val="18"/>
          <w:szCs w:val="18"/>
        </w:rPr>
        <w:t>”</w:t>
      </w:r>
    </w:p>
    <w:p w14:paraId="01BB4B2F" w14:textId="77777777" w:rsidR="00757E6B" w:rsidRPr="00722EA7" w:rsidRDefault="00757E6B" w:rsidP="00757E6B">
      <w:pPr>
        <w:spacing w:after="0" w:line="276" w:lineRule="auto"/>
        <w:ind w:left="567" w:right="615" w:firstLine="0"/>
        <w:jc w:val="right"/>
        <w:rPr>
          <w:rFonts w:ascii="ITC Avant Garde" w:hAnsi="ITC Avant Garde"/>
          <w:iCs/>
          <w:color w:val="auto"/>
          <w:sz w:val="18"/>
          <w:szCs w:val="18"/>
        </w:rPr>
      </w:pPr>
      <w:r w:rsidRPr="000D3CC1">
        <w:rPr>
          <w:rFonts w:ascii="ITC Avant Garde" w:hAnsi="ITC Avant Garde"/>
          <w:iCs/>
          <w:color w:val="auto"/>
          <w:sz w:val="18"/>
          <w:szCs w:val="18"/>
        </w:rPr>
        <w:t>(Énfasis añadido)</w:t>
      </w:r>
    </w:p>
    <w:p w14:paraId="103FFC36" w14:textId="77777777" w:rsidR="00757E6B" w:rsidRPr="00722EA7" w:rsidRDefault="00757E6B" w:rsidP="00CE030B">
      <w:pPr>
        <w:spacing w:after="0" w:line="276" w:lineRule="auto"/>
        <w:ind w:left="0" w:right="0" w:firstLine="0"/>
        <w:rPr>
          <w:rFonts w:ascii="ITC Avant Garde" w:hAnsi="ITC Avant Garde"/>
          <w:b/>
          <w:color w:val="auto"/>
          <w:u w:val="single"/>
        </w:rPr>
      </w:pPr>
    </w:p>
    <w:p w14:paraId="61FA2C0C" w14:textId="5578BB60" w:rsidR="00CE030B" w:rsidRDefault="00CE030B" w:rsidP="00CE030B">
      <w:pPr>
        <w:spacing w:after="0" w:line="276" w:lineRule="auto"/>
        <w:ind w:left="0" w:right="0" w:firstLine="0"/>
        <w:rPr>
          <w:rFonts w:ascii="ITC Avant Garde" w:hAnsi="ITC Avant Garde"/>
          <w:b/>
          <w:color w:val="auto"/>
          <w:u w:val="single"/>
        </w:rPr>
      </w:pPr>
      <w:r w:rsidRPr="000D3CC1">
        <w:rPr>
          <w:rFonts w:ascii="ITC Avant Garde" w:hAnsi="ITC Avant Garde"/>
          <w:b/>
          <w:color w:val="auto"/>
          <w:u w:val="single"/>
        </w:rPr>
        <w:t>Consideraciones del Instituto</w:t>
      </w:r>
    </w:p>
    <w:p w14:paraId="004D8648" w14:textId="77777777" w:rsidR="0042289A" w:rsidRPr="003A26FF" w:rsidRDefault="0042289A" w:rsidP="00CE030B">
      <w:pPr>
        <w:spacing w:after="0" w:line="276" w:lineRule="auto"/>
        <w:ind w:left="0" w:right="0" w:firstLine="0"/>
        <w:rPr>
          <w:rFonts w:ascii="ITC Avant Garde" w:hAnsi="ITC Avant Garde"/>
          <w:b/>
          <w:color w:val="auto"/>
          <w:u w:val="single"/>
        </w:rPr>
      </w:pPr>
    </w:p>
    <w:p w14:paraId="78F557DF" w14:textId="77777777" w:rsidR="0042289A" w:rsidRPr="002446CA" w:rsidRDefault="0042289A" w:rsidP="0042289A">
      <w:pPr>
        <w:spacing w:after="0" w:line="276" w:lineRule="auto"/>
        <w:ind w:left="-5" w:right="49"/>
        <w:rPr>
          <w:rFonts w:ascii="ITC Avant Garde" w:hAnsi="ITC Avant Garde"/>
          <w:color w:val="auto"/>
        </w:rPr>
      </w:pPr>
      <w:r w:rsidRPr="002446CA">
        <w:rPr>
          <w:rFonts w:ascii="ITC Avant Garde" w:hAnsi="ITC Avant Garde"/>
          <w:color w:val="auto"/>
        </w:rPr>
        <w:t>La condición sexta del Acuerdo de CTM establece que los puertos de acceso serán de capacidades acordes a la capacidad del enlace de transmisión:</w:t>
      </w:r>
    </w:p>
    <w:p w14:paraId="77390EC1" w14:textId="77777777" w:rsidR="0042289A" w:rsidRPr="002446CA" w:rsidRDefault="0042289A" w:rsidP="0042289A">
      <w:pPr>
        <w:spacing w:after="0" w:line="276" w:lineRule="auto"/>
        <w:ind w:left="-5" w:right="49"/>
        <w:rPr>
          <w:rFonts w:ascii="ITC Avant Garde" w:hAnsi="ITC Avant Garde"/>
          <w:color w:val="auto"/>
        </w:rPr>
      </w:pPr>
    </w:p>
    <w:p w14:paraId="62F7EEFB" w14:textId="77777777" w:rsidR="0042289A" w:rsidRPr="002446CA" w:rsidRDefault="0042289A" w:rsidP="0042289A">
      <w:pPr>
        <w:spacing w:after="0" w:line="276" w:lineRule="auto"/>
        <w:ind w:left="567" w:right="615" w:firstLine="0"/>
        <w:rPr>
          <w:rFonts w:ascii="Arial" w:hAnsi="Arial" w:cs="Arial"/>
        </w:rPr>
      </w:pPr>
      <w:r w:rsidRPr="002446CA">
        <w:rPr>
          <w:rFonts w:ascii="ITC Avant Garde" w:hAnsi="ITC Avant Garde"/>
          <w:i/>
          <w:color w:val="auto"/>
          <w:sz w:val="18"/>
          <w:szCs w:val="18"/>
        </w:rPr>
        <w:t>“Sexta.- Los puertos de acceso que proporcione el Concesionario Solicitado serán de capacidades acordes a la capacidad del enlace de transmisión de interconexión.</w:t>
      </w:r>
      <w:r w:rsidRPr="002446CA">
        <w:rPr>
          <w:rFonts w:ascii="Arial" w:hAnsi="Arial" w:cs="Arial"/>
        </w:rPr>
        <w:t xml:space="preserve"> </w:t>
      </w:r>
    </w:p>
    <w:p w14:paraId="5C98108A"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w:t>
      </w:r>
    </w:p>
    <w:p w14:paraId="50BF538D" w14:textId="77777777" w:rsidR="0042289A" w:rsidRPr="002446CA" w:rsidRDefault="0042289A" w:rsidP="0042289A">
      <w:pPr>
        <w:spacing w:after="0" w:line="276" w:lineRule="auto"/>
        <w:ind w:left="-5" w:right="49"/>
        <w:rPr>
          <w:rFonts w:ascii="ITC Avant Garde" w:hAnsi="ITC Avant Garde"/>
          <w:color w:val="auto"/>
        </w:rPr>
      </w:pPr>
    </w:p>
    <w:p w14:paraId="56F524C2" w14:textId="77777777" w:rsidR="0042289A" w:rsidRPr="002446CA" w:rsidRDefault="0042289A" w:rsidP="0042289A">
      <w:pPr>
        <w:spacing w:after="0" w:line="276" w:lineRule="auto"/>
        <w:ind w:left="-5" w:right="49"/>
        <w:rPr>
          <w:rFonts w:ascii="ITC Avant Garde" w:hAnsi="ITC Avant Garde"/>
          <w:color w:val="auto"/>
        </w:rPr>
      </w:pPr>
      <w:r w:rsidRPr="002446CA">
        <w:rPr>
          <w:rFonts w:ascii="ITC Avant Garde" w:hAnsi="ITC Avant Garde"/>
          <w:color w:val="auto"/>
        </w:rPr>
        <w:t xml:space="preserve">Asimismo, establece que los enlaces y los puertos de acceso deberán proporcionarse con una capacidad inicial de 10 Mbps o 100 bps y deberán ser modulares en incrementos de 10 Mbps o 100 Mbps a elección del concesionario solicitante: </w:t>
      </w:r>
    </w:p>
    <w:p w14:paraId="15900CD5" w14:textId="77777777" w:rsidR="0042289A" w:rsidRPr="002446CA" w:rsidRDefault="0042289A" w:rsidP="0042289A">
      <w:pPr>
        <w:spacing w:after="0" w:line="276" w:lineRule="auto"/>
        <w:ind w:left="0" w:right="0" w:firstLine="0"/>
        <w:rPr>
          <w:rFonts w:ascii="ITC Avant Garde" w:hAnsi="ITC Avant Garde"/>
          <w:b/>
          <w:color w:val="auto"/>
          <w:u w:val="single"/>
        </w:rPr>
      </w:pPr>
    </w:p>
    <w:p w14:paraId="5248FF80"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“Los enlaces de transmisión y puertos de acceso deberán proporcionarse con una capacidad inicial de al menos 10 Mbps o 100 Mbps y deberán ser modulares en saltos de 10 Mbps o 100 Mbps, todo ello a elección del Concesionario Solicitante, con independencia de que el canal físico soporte las velocidades señaladas en la Condición Quinta.</w:t>
      </w:r>
    </w:p>
    <w:p w14:paraId="557EAD36"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w:t>
      </w:r>
    </w:p>
    <w:p w14:paraId="77C7D70B" w14:textId="77777777" w:rsidR="0042289A" w:rsidRPr="002446CA" w:rsidRDefault="0042289A" w:rsidP="0042289A">
      <w:pPr>
        <w:spacing w:after="0" w:line="276" w:lineRule="auto"/>
        <w:ind w:left="0" w:right="0" w:firstLine="0"/>
        <w:rPr>
          <w:rFonts w:ascii="ITC Avant Garde" w:hAnsi="ITC Avant Garde"/>
          <w:b/>
          <w:color w:val="auto"/>
          <w:u w:val="single"/>
        </w:rPr>
      </w:pPr>
    </w:p>
    <w:p w14:paraId="4891A673" w14:textId="77777777" w:rsidR="0042289A" w:rsidRPr="002446CA" w:rsidRDefault="0042289A" w:rsidP="0042289A">
      <w:pPr>
        <w:spacing w:after="0" w:line="276" w:lineRule="auto"/>
        <w:ind w:left="-5" w:right="49"/>
        <w:rPr>
          <w:rFonts w:ascii="ITC Avant Garde" w:hAnsi="ITC Avant Garde"/>
          <w:color w:val="auto"/>
        </w:rPr>
      </w:pPr>
      <w:r w:rsidRPr="002446CA">
        <w:rPr>
          <w:rFonts w:ascii="ITC Avant Garde" w:hAnsi="ITC Avant Garde"/>
          <w:color w:val="auto"/>
        </w:rPr>
        <w:t>Por otra parte, la condición 2.8 establece las recomendaciones de calidad que deberán seguir los concesionarios:</w:t>
      </w:r>
    </w:p>
    <w:p w14:paraId="16AB6185" w14:textId="77777777" w:rsidR="0042289A" w:rsidRPr="002446CA" w:rsidRDefault="0042289A" w:rsidP="0042289A">
      <w:pPr>
        <w:spacing w:after="0" w:line="276" w:lineRule="auto"/>
        <w:ind w:left="-5" w:right="49"/>
        <w:rPr>
          <w:rFonts w:ascii="ITC Avant Garde" w:hAnsi="ITC Avant Garde"/>
          <w:color w:val="auto"/>
        </w:rPr>
      </w:pPr>
    </w:p>
    <w:p w14:paraId="47C8F9B1"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“2.8 Calidad de servicio</w:t>
      </w:r>
    </w:p>
    <w:p w14:paraId="041FD4FE"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p>
    <w:p w14:paraId="543AD802"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Los Concesionarios habrán de respetar las Recomendaciones ITU Y 1540</w:t>
      </w:r>
      <w:r w:rsidRPr="002446CA">
        <w:rPr>
          <w:rFonts w:ascii="ITC Avant Garde" w:hAnsi="ITC Avant Garde"/>
          <w:i/>
          <w:color w:val="auto"/>
          <w:sz w:val="18"/>
          <w:szCs w:val="18"/>
          <w:vertAlign w:val="superscript"/>
        </w:rPr>
        <w:footnoteReference w:id="3"/>
      </w:r>
      <w:r w:rsidRPr="002446CA">
        <w:rPr>
          <w:rFonts w:ascii="ITC Avant Garde" w:hAnsi="ITC Avant Garde"/>
          <w:i/>
          <w:color w:val="auto"/>
          <w:sz w:val="18"/>
          <w:szCs w:val="18"/>
        </w:rPr>
        <w:t xml:space="preserve"> e ITU Y 1541</w:t>
      </w:r>
      <w:r w:rsidRPr="002446CA">
        <w:rPr>
          <w:rFonts w:ascii="ITC Avant Garde" w:hAnsi="ITC Avant Garde"/>
          <w:i/>
          <w:color w:val="auto"/>
          <w:sz w:val="18"/>
          <w:szCs w:val="18"/>
          <w:vertAlign w:val="superscript"/>
        </w:rPr>
        <w:footnoteReference w:id="4"/>
      </w:r>
      <w:r w:rsidRPr="002446CA">
        <w:rPr>
          <w:rFonts w:ascii="ITC Avant Garde" w:hAnsi="ITC Avant Garde"/>
          <w:i/>
          <w:color w:val="auto"/>
          <w:sz w:val="18"/>
          <w:szCs w:val="18"/>
        </w:rPr>
        <w:t>, debiéndose alcanzar niveles de calidad correspondientes a la clase de servicio 0 para el tráfico de voz y a la clase de servicio 2 para el tráfico de señalización.</w:t>
      </w:r>
    </w:p>
    <w:p w14:paraId="707DA65B"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p>
    <w:p w14:paraId="1F63E4E6"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Los concesionarios podrán identificar el tráfico de acuerdo con la arquitectura de Diferenciación de Servicio (</w:t>
      </w:r>
      <w:proofErr w:type="spellStart"/>
      <w:r w:rsidRPr="002446CA">
        <w:rPr>
          <w:rFonts w:ascii="ITC Avant Garde" w:hAnsi="ITC Avant Garde"/>
          <w:i/>
          <w:color w:val="auto"/>
          <w:sz w:val="18"/>
          <w:szCs w:val="18"/>
        </w:rPr>
        <w:t>DiffServ</w:t>
      </w:r>
      <w:proofErr w:type="spellEnd"/>
      <w:r w:rsidRPr="002446CA">
        <w:rPr>
          <w:rFonts w:ascii="ITC Avant Garde" w:hAnsi="ITC Avant Garde"/>
          <w:i/>
          <w:color w:val="auto"/>
          <w:sz w:val="18"/>
          <w:szCs w:val="18"/>
        </w:rPr>
        <w:t>) y de acuerdo con la Recomendación RFC 4594</w:t>
      </w:r>
      <w:r w:rsidRPr="002446CA">
        <w:rPr>
          <w:rFonts w:ascii="ITC Avant Garde" w:hAnsi="ITC Avant Garde"/>
          <w:i/>
          <w:color w:val="auto"/>
          <w:sz w:val="18"/>
          <w:szCs w:val="18"/>
          <w:vertAlign w:val="superscript"/>
        </w:rPr>
        <w:footnoteReference w:id="5"/>
      </w:r>
      <w:r w:rsidRPr="002446CA">
        <w:rPr>
          <w:rFonts w:ascii="ITC Avant Garde" w:hAnsi="ITC Avant Garde"/>
          <w:i/>
          <w:color w:val="auto"/>
          <w:sz w:val="18"/>
          <w:szCs w:val="18"/>
        </w:rPr>
        <w:t xml:space="preserve"> con el fin de facilitar la gestión de la calidad de servicio de los tráficos de voz y señalización IP. </w:t>
      </w:r>
    </w:p>
    <w:p w14:paraId="56511E80" w14:textId="77777777" w:rsidR="0042289A" w:rsidRPr="002446CA" w:rsidRDefault="0042289A" w:rsidP="0042289A">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w:t>
      </w:r>
    </w:p>
    <w:p w14:paraId="010BF144" w14:textId="77777777" w:rsidR="0042289A" w:rsidRPr="00C77B5C" w:rsidRDefault="0042289A" w:rsidP="0042289A">
      <w:pPr>
        <w:spacing w:after="0" w:line="276" w:lineRule="auto"/>
        <w:ind w:left="-5" w:right="49"/>
        <w:rPr>
          <w:rFonts w:ascii="ITC Avant Garde" w:hAnsi="ITC Avant Garde"/>
          <w:color w:val="auto"/>
        </w:rPr>
      </w:pPr>
      <w:r w:rsidRPr="002446CA">
        <w:rPr>
          <w:rFonts w:ascii="ITC Avant Garde" w:hAnsi="ITC Avant Garde"/>
          <w:color w:val="auto"/>
        </w:rPr>
        <w:lastRenderedPageBreak/>
        <w:t>Dado lo anterior, se observa que el Acuerdo de CTM establece con precisión tanto la capacidad como las condiciones de calidad que los concesionarios se deberán brindar mutuamente, por lo que éste se mantiene en los mismos términos.</w:t>
      </w:r>
      <w:r>
        <w:rPr>
          <w:rFonts w:ascii="ITC Avant Garde" w:hAnsi="ITC Avant Garde"/>
          <w:color w:val="auto"/>
        </w:rPr>
        <w:t xml:space="preserve"> </w:t>
      </w:r>
    </w:p>
    <w:p w14:paraId="031BC01D" w14:textId="77777777" w:rsidR="00C6280C" w:rsidRDefault="00C6280C" w:rsidP="007E38AB">
      <w:pPr>
        <w:spacing w:after="0" w:line="276" w:lineRule="auto"/>
        <w:ind w:right="0"/>
        <w:rPr>
          <w:rFonts w:ascii="ITC Avant Garde" w:hAnsi="ITC Avant Garde"/>
          <w:b/>
          <w:color w:val="auto"/>
        </w:rPr>
      </w:pPr>
    </w:p>
    <w:p w14:paraId="662EC5D6" w14:textId="272E9753" w:rsidR="00B11E85" w:rsidRPr="003A26FF" w:rsidRDefault="003B2433"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B11E85" w:rsidRPr="003A26FF">
        <w:rPr>
          <w:rFonts w:ascii="ITC Avant Garde" w:hAnsi="ITC Avant Garde"/>
          <w:b/>
          <w:color w:val="auto"/>
          <w:u w:val="single"/>
        </w:rPr>
        <w:t xml:space="preserve"> Cuarta</w:t>
      </w:r>
    </w:p>
    <w:p w14:paraId="139D3382" w14:textId="77777777" w:rsidR="00A26FEC" w:rsidRPr="003A26FF" w:rsidRDefault="00A26FEC" w:rsidP="00E66FFE">
      <w:pPr>
        <w:spacing w:after="0" w:line="276" w:lineRule="auto"/>
        <w:ind w:right="615"/>
        <w:rPr>
          <w:rFonts w:ascii="ITC Avant Garde" w:hAnsi="ITC Avant Garde"/>
          <w:i/>
          <w:color w:val="auto"/>
          <w:sz w:val="18"/>
          <w:szCs w:val="18"/>
        </w:rPr>
      </w:pPr>
    </w:p>
    <w:p w14:paraId="55B0C031" w14:textId="492D0EAB" w:rsidR="00ED7633" w:rsidRPr="003A26FF" w:rsidRDefault="00CE6F64" w:rsidP="004A3739">
      <w:pPr>
        <w:spacing w:after="0" w:line="276" w:lineRule="auto"/>
        <w:ind w:right="0"/>
        <w:rPr>
          <w:rFonts w:ascii="ITC Avant Garde" w:hAnsi="ITC Avant Garde"/>
          <w:color w:val="auto"/>
        </w:rPr>
      </w:pPr>
      <w:r w:rsidRPr="003A26FF">
        <w:rPr>
          <w:rFonts w:ascii="ITC Avant Garde" w:hAnsi="ITC Avant Garde"/>
          <w:b/>
          <w:color w:val="auto"/>
        </w:rPr>
        <w:t>Televisa</w:t>
      </w:r>
    </w:p>
    <w:p w14:paraId="7D144D6A" w14:textId="3B23F358" w:rsidR="000C0452" w:rsidRPr="003A26FF" w:rsidRDefault="00ED7633" w:rsidP="008618D5">
      <w:pPr>
        <w:spacing w:after="0" w:line="276" w:lineRule="auto"/>
        <w:ind w:left="-5" w:right="49"/>
        <w:rPr>
          <w:rFonts w:ascii="ITC Avant Garde" w:hAnsi="ITC Avant Garde"/>
          <w:color w:val="auto"/>
        </w:rPr>
      </w:pPr>
      <w:r w:rsidRPr="003A26FF">
        <w:rPr>
          <w:rFonts w:ascii="ITC Avant Garde" w:hAnsi="ITC Avant Garde"/>
          <w:color w:val="auto"/>
        </w:rPr>
        <w:t>Solicita modificar la Condición Cuarta a fin de que no exista espacio a malinterpretación por parte del AEPT y quede de manera explícita que las solicitudes de interconexión y el uso de los servicios asociados podrá llevarse a cabo por CS o por GIE, lo que mejor resulte en términos de eficiencia para el solicitante.</w:t>
      </w:r>
    </w:p>
    <w:p w14:paraId="04E36AD1" w14:textId="77777777" w:rsidR="00ED7633" w:rsidRPr="003A26FF" w:rsidRDefault="00ED7633" w:rsidP="00A26FEC">
      <w:pPr>
        <w:spacing w:after="0" w:line="276" w:lineRule="auto"/>
        <w:ind w:right="615"/>
        <w:rPr>
          <w:rFonts w:ascii="ITC Avant Garde" w:hAnsi="ITC Avant Garde"/>
          <w:color w:val="auto"/>
        </w:rPr>
      </w:pPr>
    </w:p>
    <w:p w14:paraId="6DE74511" w14:textId="37DA0DFB" w:rsidR="005F6C4D" w:rsidRPr="003A26FF" w:rsidRDefault="005F6C4D" w:rsidP="005F6C4D">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 xml:space="preserve">Consideraciones del Instituto </w:t>
      </w:r>
    </w:p>
    <w:p w14:paraId="43573A10" w14:textId="77777777" w:rsidR="00B856FA" w:rsidRPr="003A26FF" w:rsidRDefault="00B856FA" w:rsidP="005F6C4D">
      <w:pPr>
        <w:spacing w:after="0" w:line="276" w:lineRule="auto"/>
        <w:ind w:left="0" w:right="0" w:firstLine="0"/>
        <w:rPr>
          <w:rFonts w:ascii="ITC Avant Garde" w:hAnsi="ITC Avant Garde"/>
          <w:b/>
          <w:color w:val="auto"/>
          <w:u w:val="single"/>
        </w:rPr>
      </w:pPr>
    </w:p>
    <w:p w14:paraId="7706F667" w14:textId="13A08358" w:rsidR="004C2D19" w:rsidRPr="002446CA" w:rsidRDefault="004C2D19" w:rsidP="004C2D19">
      <w:pPr>
        <w:spacing w:after="0" w:line="276" w:lineRule="auto"/>
        <w:ind w:right="0"/>
        <w:rPr>
          <w:rFonts w:ascii="ITC Avant Garde" w:hAnsi="ITC Avant Garde"/>
          <w:color w:val="auto"/>
        </w:rPr>
      </w:pPr>
      <w:r w:rsidRPr="002446CA">
        <w:rPr>
          <w:rFonts w:ascii="ITC Avant Garde" w:hAnsi="ITC Avant Garde"/>
          <w:color w:val="auto"/>
        </w:rPr>
        <w:t>En el Plan Técnico Fundamental de Numeración y Señalización</w:t>
      </w:r>
      <w:r w:rsidRPr="002446CA">
        <w:rPr>
          <w:rStyle w:val="Refdenotaalpie"/>
          <w:rFonts w:ascii="ITC Avant Garde" w:hAnsi="ITC Avant Garde"/>
          <w:color w:val="auto"/>
        </w:rPr>
        <w:footnoteReference w:id="6"/>
      </w:r>
      <w:r w:rsidRPr="002446CA">
        <w:rPr>
          <w:rFonts w:ascii="ITC Avant Garde" w:hAnsi="ITC Avant Garde"/>
          <w:color w:val="auto"/>
        </w:rPr>
        <w:t>, en su numeral 11.4.2, establece las reglas de operación de los códigos de identificación de los proveedores de servicios para que dos o más concesionarios, cuando así lo acuerden, utilicen un mismo código IDO e IDD siempre y cuando sean empresas filiales, afiliadas o subsidiarias</w:t>
      </w:r>
    </w:p>
    <w:p w14:paraId="6127CC45" w14:textId="77777777" w:rsidR="004C2D19" w:rsidRPr="002446CA" w:rsidRDefault="004C2D19" w:rsidP="004C2D19">
      <w:pPr>
        <w:spacing w:after="0" w:line="276" w:lineRule="auto"/>
        <w:ind w:right="0"/>
        <w:rPr>
          <w:rFonts w:ascii="ITC Avant Garde" w:hAnsi="ITC Avant Garde"/>
          <w:color w:val="auto"/>
        </w:rPr>
      </w:pPr>
    </w:p>
    <w:p w14:paraId="4ED460D6" w14:textId="77777777" w:rsidR="004C2D19" w:rsidRDefault="004C2D19" w:rsidP="004C2D19">
      <w:pPr>
        <w:spacing w:after="0" w:line="276" w:lineRule="auto"/>
        <w:ind w:right="0"/>
        <w:rPr>
          <w:rFonts w:ascii="ITC Avant Garde" w:hAnsi="ITC Avant Garde"/>
          <w:color w:val="auto"/>
        </w:rPr>
      </w:pPr>
      <w:r w:rsidRPr="002446CA">
        <w:rPr>
          <w:rFonts w:ascii="ITC Avant Garde" w:hAnsi="ITC Avant Garde"/>
          <w:color w:val="auto"/>
        </w:rPr>
        <w:t xml:space="preserve">Por lo tanto, las reglas de intercambio de tráfico de forma grupal se encuentran establecidas en dicho Plan. </w:t>
      </w:r>
    </w:p>
    <w:p w14:paraId="1F72FBB6" w14:textId="77777777" w:rsidR="00327D93" w:rsidRPr="003A26FF" w:rsidRDefault="00327D93" w:rsidP="00327D93">
      <w:pPr>
        <w:spacing w:after="0" w:line="276" w:lineRule="auto"/>
        <w:ind w:left="-5" w:right="49"/>
        <w:rPr>
          <w:rFonts w:ascii="ITC Avant Garde" w:hAnsi="ITC Avant Garde"/>
          <w:color w:val="auto"/>
        </w:rPr>
      </w:pPr>
    </w:p>
    <w:p w14:paraId="052748E3" w14:textId="50ADAF7D" w:rsidR="00745827" w:rsidRPr="0048329A" w:rsidRDefault="003B2433" w:rsidP="00684942">
      <w:pPr>
        <w:spacing w:after="0" w:line="276" w:lineRule="auto"/>
        <w:ind w:right="0"/>
        <w:rPr>
          <w:rFonts w:ascii="ITC Avant Garde" w:hAnsi="ITC Avant Garde"/>
          <w:b/>
          <w:color w:val="auto"/>
          <w:u w:val="single"/>
        </w:rPr>
      </w:pPr>
      <w:r w:rsidRPr="0048329A">
        <w:rPr>
          <w:rFonts w:ascii="ITC Avant Garde" w:hAnsi="ITC Avant Garde"/>
          <w:b/>
          <w:color w:val="auto"/>
          <w:u w:val="single"/>
        </w:rPr>
        <w:t>Condición Quinta</w:t>
      </w:r>
    </w:p>
    <w:p w14:paraId="5628F9F7" w14:textId="31553EAF" w:rsidR="008A0D74" w:rsidRDefault="008A0D74" w:rsidP="00684942">
      <w:pPr>
        <w:spacing w:after="0" w:line="276" w:lineRule="auto"/>
        <w:ind w:right="0"/>
        <w:rPr>
          <w:rFonts w:ascii="ITC Avant Garde" w:hAnsi="ITC Avant Garde"/>
          <w:color w:val="auto"/>
        </w:rPr>
      </w:pPr>
    </w:p>
    <w:p w14:paraId="3D11BA04" w14:textId="1892B39A" w:rsidR="00C34389" w:rsidRPr="00C4491C" w:rsidRDefault="00C34389" w:rsidP="00C34389">
      <w:pPr>
        <w:spacing w:after="0" w:line="276" w:lineRule="auto"/>
        <w:ind w:right="0"/>
        <w:rPr>
          <w:rFonts w:ascii="ITC Avant Garde" w:hAnsi="ITC Avant Garde"/>
          <w:b/>
          <w:color w:val="auto"/>
        </w:rPr>
      </w:pPr>
      <w:r w:rsidRPr="00C4491C">
        <w:rPr>
          <w:rFonts w:ascii="ITC Avant Garde" w:hAnsi="ITC Avant Garde"/>
          <w:b/>
          <w:color w:val="auto"/>
        </w:rPr>
        <w:t>Mega Cable</w:t>
      </w:r>
    </w:p>
    <w:p w14:paraId="6BD983F7" w14:textId="77777777" w:rsidR="00C34389" w:rsidRPr="00C4491C" w:rsidRDefault="00C34389" w:rsidP="00C34389">
      <w:pPr>
        <w:spacing w:after="0" w:line="276" w:lineRule="auto"/>
        <w:ind w:right="0"/>
        <w:rPr>
          <w:rFonts w:ascii="ITC Avant Garde" w:hAnsi="ITC Avant Garde"/>
          <w:b/>
          <w:color w:val="auto"/>
        </w:rPr>
      </w:pPr>
    </w:p>
    <w:p w14:paraId="685DFF3A" w14:textId="4FBE266F" w:rsidR="00C34389" w:rsidRPr="00C4491C" w:rsidRDefault="00C34389" w:rsidP="00C34389">
      <w:pPr>
        <w:spacing w:after="0" w:line="276" w:lineRule="auto"/>
        <w:ind w:right="0"/>
        <w:rPr>
          <w:rFonts w:ascii="ITC Avant Garde" w:hAnsi="ITC Avant Garde"/>
          <w:bCs/>
          <w:color w:val="auto"/>
        </w:rPr>
      </w:pPr>
      <w:r w:rsidRPr="00C4491C">
        <w:rPr>
          <w:rFonts w:ascii="ITC Avant Garde" w:hAnsi="ITC Avant Garde"/>
          <w:bCs/>
          <w:color w:val="auto"/>
        </w:rPr>
        <w:t xml:space="preserve">Solicita modificar la condición quinta, conforme los siguiente: </w:t>
      </w:r>
    </w:p>
    <w:p w14:paraId="23DD0DF5" w14:textId="63CB2B41" w:rsidR="00C34389" w:rsidRPr="00C4491C" w:rsidRDefault="00C34389" w:rsidP="00684942">
      <w:pPr>
        <w:spacing w:after="0" w:line="276" w:lineRule="auto"/>
        <w:ind w:right="0"/>
        <w:rPr>
          <w:rFonts w:ascii="ITC Avant Garde" w:hAnsi="ITC Avant Garde"/>
          <w:color w:val="auto"/>
        </w:rPr>
      </w:pPr>
    </w:p>
    <w:p w14:paraId="66412A15" w14:textId="3A88B399" w:rsidR="00C34389" w:rsidRPr="00C4491C" w:rsidRDefault="00700994" w:rsidP="00700994">
      <w:pPr>
        <w:spacing w:after="0" w:line="276" w:lineRule="auto"/>
        <w:ind w:left="567" w:right="615" w:firstLine="0"/>
        <w:rPr>
          <w:rFonts w:ascii="ITC Avant Garde" w:hAnsi="ITC Avant Garde"/>
          <w:i/>
          <w:color w:val="auto"/>
          <w:sz w:val="18"/>
          <w:szCs w:val="18"/>
        </w:rPr>
      </w:pPr>
      <w:r w:rsidRPr="00C4491C">
        <w:rPr>
          <w:rFonts w:ascii="ITC Avant Garde" w:hAnsi="ITC Avant Garde"/>
          <w:i/>
          <w:color w:val="auto"/>
          <w:sz w:val="18"/>
          <w:szCs w:val="18"/>
        </w:rPr>
        <w:t>"•</w:t>
      </w:r>
      <w:r w:rsidRPr="00C4491C">
        <w:rPr>
          <w:rFonts w:ascii="ITC Avant Garde" w:hAnsi="ITC Avant Garde"/>
          <w:i/>
          <w:color w:val="auto"/>
          <w:sz w:val="18"/>
          <w:szCs w:val="18"/>
        </w:rPr>
        <w:tab/>
        <w:t xml:space="preserve">Tecnología Ethernet de 1 Gbps </w:t>
      </w:r>
      <w:r w:rsidRPr="00C4491C">
        <w:rPr>
          <w:rFonts w:ascii="ITC Avant Garde" w:hAnsi="ITC Avant Garde"/>
          <w:b/>
          <w:bCs/>
          <w:i/>
          <w:color w:val="auto"/>
          <w:sz w:val="18"/>
          <w:szCs w:val="18"/>
          <w:u w:val="single"/>
        </w:rPr>
        <w:t>y capacidades superiores.</w:t>
      </w:r>
      <w:r w:rsidRPr="00C4491C">
        <w:rPr>
          <w:rFonts w:ascii="ITC Avant Garde" w:hAnsi="ITC Avant Garde"/>
          <w:i/>
          <w:color w:val="auto"/>
          <w:sz w:val="18"/>
          <w:szCs w:val="18"/>
        </w:rPr>
        <w:t>"</w:t>
      </w:r>
    </w:p>
    <w:p w14:paraId="2BA209FF" w14:textId="77777777" w:rsidR="00700994" w:rsidRPr="003A26FF" w:rsidRDefault="00700994" w:rsidP="00700994">
      <w:pPr>
        <w:spacing w:after="0" w:line="276" w:lineRule="auto"/>
        <w:ind w:left="0" w:right="0" w:firstLine="0"/>
        <w:rPr>
          <w:rFonts w:ascii="ITC Avant Garde" w:hAnsi="ITC Avant Garde"/>
          <w:b/>
          <w:color w:val="auto"/>
          <w:u w:val="single"/>
        </w:rPr>
      </w:pPr>
      <w:r w:rsidRPr="00C4491C">
        <w:rPr>
          <w:rFonts w:ascii="ITC Avant Garde" w:hAnsi="ITC Avant Garde"/>
          <w:b/>
          <w:color w:val="auto"/>
          <w:u w:val="single"/>
        </w:rPr>
        <w:t>Consideraciones del Instituto</w:t>
      </w:r>
      <w:r w:rsidRPr="003A26FF">
        <w:rPr>
          <w:rFonts w:ascii="ITC Avant Garde" w:hAnsi="ITC Avant Garde"/>
          <w:b/>
          <w:color w:val="auto"/>
          <w:u w:val="single"/>
        </w:rPr>
        <w:t xml:space="preserve"> </w:t>
      </w:r>
    </w:p>
    <w:p w14:paraId="16980A7F" w14:textId="77777777" w:rsidR="00AD36C4" w:rsidRDefault="00AD36C4" w:rsidP="00AD36C4">
      <w:pPr>
        <w:spacing w:after="0" w:line="276" w:lineRule="auto"/>
        <w:ind w:right="0"/>
        <w:rPr>
          <w:rFonts w:ascii="ITC Avant Garde" w:hAnsi="ITC Avant Garde"/>
          <w:color w:val="auto"/>
        </w:rPr>
      </w:pPr>
      <w:bookmarkStart w:id="1" w:name="_Hlk148948244"/>
    </w:p>
    <w:p w14:paraId="615CA20B" w14:textId="3E9C8B47" w:rsidR="00AD36C4" w:rsidRPr="002446CA" w:rsidRDefault="00AD36C4" w:rsidP="00AD36C4">
      <w:pPr>
        <w:spacing w:after="0" w:line="276" w:lineRule="auto"/>
        <w:ind w:right="0"/>
        <w:rPr>
          <w:rFonts w:ascii="ITC Avant Garde" w:hAnsi="ITC Avant Garde"/>
          <w:color w:val="auto"/>
        </w:rPr>
      </w:pPr>
      <w:r w:rsidRPr="002446CA">
        <w:rPr>
          <w:rFonts w:ascii="ITC Avant Garde" w:hAnsi="ITC Avant Garde"/>
          <w:color w:val="auto"/>
        </w:rPr>
        <w:t xml:space="preserve">La finalidad del Acuerdo de CTM es establecer las condiciones técnicas mínimas para que los concesionarios realicen la interconexión de sus redes; sin embargo, este permite que los concesionarios establezcan otros esquemas siempre que ello les permita llevar a cabo una efectiva y eficaz interconexión:  </w:t>
      </w:r>
    </w:p>
    <w:p w14:paraId="39C16F6A" w14:textId="77777777" w:rsidR="00AD36C4" w:rsidRPr="002446CA" w:rsidRDefault="00AD36C4" w:rsidP="00AD36C4">
      <w:pPr>
        <w:spacing w:after="0" w:line="276" w:lineRule="auto"/>
        <w:ind w:right="0"/>
        <w:rPr>
          <w:rFonts w:ascii="ITC Avant Garde" w:hAnsi="ITC Avant Garde"/>
          <w:color w:val="auto"/>
        </w:rPr>
      </w:pPr>
    </w:p>
    <w:p w14:paraId="4CDC132B" w14:textId="77777777" w:rsidR="00AD36C4" w:rsidRPr="002446CA" w:rsidRDefault="00AD36C4" w:rsidP="00AD36C4">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lastRenderedPageBreak/>
        <w:t>“Los concesionarios podrán establecer otros esquemas de interconexión siempre que ello les permita llevar a cabo una efectiva y eficaz interconexión e interoperabilidad de sus redes públicas de telecomunicaciones.</w:t>
      </w:r>
    </w:p>
    <w:p w14:paraId="31D83469" w14:textId="77777777" w:rsidR="00AD36C4" w:rsidRPr="002446CA" w:rsidRDefault="00AD36C4" w:rsidP="00AD36C4">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w:t>
      </w:r>
    </w:p>
    <w:p w14:paraId="4E5F672D" w14:textId="77777777" w:rsidR="00AD36C4" w:rsidRPr="002446CA" w:rsidRDefault="00AD36C4" w:rsidP="00AD36C4">
      <w:pPr>
        <w:spacing w:after="0" w:line="276" w:lineRule="auto"/>
        <w:ind w:right="0"/>
        <w:rPr>
          <w:rFonts w:ascii="ITC Avant Garde" w:hAnsi="ITC Avant Garde"/>
          <w:color w:val="auto"/>
        </w:rPr>
      </w:pPr>
      <w:r w:rsidRPr="002446CA">
        <w:rPr>
          <w:rFonts w:ascii="ITC Avant Garde" w:hAnsi="ITC Avant Garde"/>
          <w:color w:val="auto"/>
        </w:rPr>
        <w:t xml:space="preserve">  </w:t>
      </w:r>
    </w:p>
    <w:p w14:paraId="3D060AAE" w14:textId="77777777" w:rsidR="00AD36C4" w:rsidRDefault="00AD36C4" w:rsidP="00AD36C4">
      <w:pPr>
        <w:spacing w:after="0" w:line="276" w:lineRule="auto"/>
        <w:ind w:right="0"/>
        <w:rPr>
          <w:rFonts w:ascii="ITC Avant Garde" w:hAnsi="ITC Avant Garde"/>
          <w:color w:val="auto"/>
        </w:rPr>
      </w:pPr>
      <w:r w:rsidRPr="002446CA">
        <w:rPr>
          <w:rFonts w:ascii="ITC Avant Garde" w:hAnsi="ITC Avant Garde"/>
          <w:color w:val="auto"/>
        </w:rPr>
        <w:t>Por lo anterior, el Acuerdo de CTM se mantiene en los mismos términos.</w:t>
      </w:r>
    </w:p>
    <w:bookmarkEnd w:id="1"/>
    <w:p w14:paraId="6CC93792" w14:textId="77777777" w:rsidR="00A75AF6" w:rsidRPr="003A26FF" w:rsidRDefault="00A75AF6" w:rsidP="00684942">
      <w:pPr>
        <w:spacing w:after="0" w:line="276" w:lineRule="auto"/>
        <w:ind w:right="0"/>
        <w:rPr>
          <w:rFonts w:ascii="ITC Avant Garde" w:hAnsi="ITC Avant Garde"/>
          <w:color w:val="auto"/>
        </w:rPr>
      </w:pPr>
    </w:p>
    <w:p w14:paraId="45048EAE" w14:textId="7F26A6EF" w:rsidR="008C3FCD" w:rsidRPr="003A26FF" w:rsidRDefault="008C3FCD" w:rsidP="008A0D74">
      <w:pPr>
        <w:spacing w:after="0" w:line="276" w:lineRule="auto"/>
        <w:ind w:right="0"/>
        <w:rPr>
          <w:rFonts w:ascii="ITC Avant Garde" w:hAnsi="ITC Avant Garde"/>
          <w:b/>
          <w:color w:val="auto"/>
        </w:rPr>
      </w:pPr>
      <w:r w:rsidRPr="003A26FF">
        <w:rPr>
          <w:rFonts w:ascii="ITC Avant Garde" w:hAnsi="ITC Avant Garde"/>
          <w:b/>
          <w:color w:val="auto"/>
        </w:rPr>
        <w:t>Telcel</w:t>
      </w:r>
    </w:p>
    <w:p w14:paraId="22969DE1" w14:textId="1AB7B38F" w:rsidR="008C3FCD" w:rsidRPr="003A26FF" w:rsidRDefault="00E82081" w:rsidP="008C3FCD">
      <w:pPr>
        <w:spacing w:after="0" w:line="276" w:lineRule="auto"/>
        <w:ind w:right="0"/>
        <w:rPr>
          <w:rFonts w:ascii="ITC Avant Garde" w:hAnsi="ITC Avant Garde"/>
          <w:color w:val="auto"/>
        </w:rPr>
      </w:pPr>
      <w:r w:rsidRPr="003A26FF">
        <w:rPr>
          <w:rFonts w:ascii="ITC Avant Garde" w:hAnsi="ITC Avant Garde"/>
          <w:color w:val="auto"/>
        </w:rPr>
        <w:t>C</w:t>
      </w:r>
      <w:r w:rsidR="008C3FCD" w:rsidRPr="003A26FF">
        <w:rPr>
          <w:rFonts w:ascii="ITC Avant Garde" w:hAnsi="ITC Avant Garde"/>
          <w:color w:val="auto"/>
        </w:rPr>
        <w:t>on la finalidad de evitar que se permita la posibilidad de que un usuario de un concesionario env</w:t>
      </w:r>
      <w:r w:rsidR="00061701" w:rsidRPr="003A26FF">
        <w:rPr>
          <w:rFonts w:ascii="ITC Avant Garde" w:hAnsi="ITC Avant Garde"/>
          <w:color w:val="auto"/>
        </w:rPr>
        <w:t>íe</w:t>
      </w:r>
      <w:r w:rsidR="008C3FCD" w:rsidRPr="003A26FF">
        <w:rPr>
          <w:rFonts w:ascii="ITC Avant Garde" w:hAnsi="ITC Avant Garde"/>
          <w:color w:val="auto"/>
        </w:rPr>
        <w:t xml:space="preserve"> tráfico malicioso que pudiera ocasionar daños en la red que recibe el tráfico, </w:t>
      </w:r>
      <w:r w:rsidRPr="003A26FF">
        <w:rPr>
          <w:rFonts w:ascii="ITC Avant Garde" w:hAnsi="ITC Avant Garde"/>
          <w:color w:val="auto"/>
        </w:rPr>
        <w:t>solicita la modificación del</w:t>
      </w:r>
      <w:r w:rsidR="008C3FCD" w:rsidRPr="003A26FF">
        <w:rPr>
          <w:rFonts w:ascii="ITC Avant Garde" w:hAnsi="ITC Avant Garde"/>
          <w:color w:val="auto"/>
        </w:rPr>
        <w:t xml:space="preserve"> tercer párrafo de la cláusula en comento, de la siguiente manera:</w:t>
      </w:r>
    </w:p>
    <w:p w14:paraId="0733920A" w14:textId="77777777" w:rsidR="008C3FCD" w:rsidRPr="003A26FF" w:rsidRDefault="008C3FCD" w:rsidP="008C3FCD">
      <w:pPr>
        <w:spacing w:after="0" w:line="276" w:lineRule="auto"/>
        <w:ind w:right="0"/>
        <w:rPr>
          <w:rFonts w:ascii="ITC Avant Garde" w:hAnsi="ITC Avant Garde"/>
          <w:b/>
          <w:color w:val="auto"/>
        </w:rPr>
      </w:pPr>
    </w:p>
    <w:p w14:paraId="60764DD1" w14:textId="5CF91889" w:rsidR="008C3FCD" w:rsidRPr="003A26FF" w:rsidRDefault="008C3FCD" w:rsidP="008C3FCD">
      <w:pPr>
        <w:spacing w:after="0" w:line="276" w:lineRule="auto"/>
        <w:ind w:left="567" w:right="615" w:firstLine="0"/>
        <w:rPr>
          <w:rFonts w:ascii="ITC Avant Garde" w:hAnsi="ITC Avant Garde"/>
          <w:i/>
          <w:color w:val="auto"/>
          <w:sz w:val="18"/>
          <w:szCs w:val="18"/>
          <w:u w:val="single"/>
        </w:rPr>
      </w:pPr>
      <w:r w:rsidRPr="003A26FF">
        <w:rPr>
          <w:rFonts w:ascii="ITC Avant Garde" w:hAnsi="ITC Avant Garde"/>
          <w:i/>
          <w:color w:val="auto"/>
          <w:sz w:val="18"/>
          <w:szCs w:val="18"/>
        </w:rPr>
        <w:t xml:space="preserve">“Los SBC deberán contar con la capacidad de procesamiento de tráfico necesaria para soportar la totalidad de tráfico de interconexión que reciban </w:t>
      </w:r>
      <w:r w:rsidRPr="003A26FF">
        <w:rPr>
          <w:rFonts w:ascii="ITC Avant Garde" w:hAnsi="ITC Avant Garde"/>
          <w:i/>
          <w:color w:val="auto"/>
          <w:sz w:val="18"/>
          <w:szCs w:val="18"/>
          <w:u w:val="single"/>
        </w:rPr>
        <w:t>hacia un destino válido</w:t>
      </w:r>
      <w:r w:rsidRPr="003A26FF">
        <w:rPr>
          <w:rFonts w:ascii="ITC Avant Garde" w:hAnsi="ITC Avant Garde"/>
          <w:i/>
          <w:color w:val="auto"/>
          <w:sz w:val="18"/>
          <w:szCs w:val="18"/>
          <w:u w:val="single"/>
          <w:vertAlign w:val="superscript"/>
        </w:rPr>
        <w:t>1</w:t>
      </w:r>
      <w:r w:rsidR="006F4AEE" w:rsidRPr="003A26FF">
        <w:rPr>
          <w:rFonts w:ascii="ITC Avant Garde" w:hAnsi="ITC Avant Garde"/>
          <w:i/>
          <w:color w:val="auto"/>
          <w:sz w:val="18"/>
          <w:szCs w:val="18"/>
          <w:u w:val="single"/>
        </w:rPr>
        <w:t xml:space="preserve">, ya sea a través de interconexión directa o indirecta. </w:t>
      </w:r>
    </w:p>
    <w:p w14:paraId="5D5DE7F2" w14:textId="77777777" w:rsidR="008C3FCD" w:rsidRPr="003A26FF" w:rsidRDefault="008C3FCD" w:rsidP="008C3FCD">
      <w:pPr>
        <w:spacing w:after="0" w:line="276" w:lineRule="auto"/>
        <w:ind w:left="567" w:right="615" w:firstLine="0"/>
        <w:rPr>
          <w:rFonts w:ascii="ITC Avant Garde" w:hAnsi="ITC Avant Garde"/>
          <w:i/>
          <w:color w:val="auto"/>
          <w:sz w:val="16"/>
          <w:szCs w:val="18"/>
        </w:rPr>
      </w:pPr>
    </w:p>
    <w:p w14:paraId="35943001" w14:textId="40995E9D" w:rsidR="008C3FCD" w:rsidRPr="003A26FF" w:rsidRDefault="008C3FCD" w:rsidP="008C3FCD">
      <w:pPr>
        <w:spacing w:after="0" w:line="276" w:lineRule="auto"/>
        <w:ind w:left="567" w:right="615" w:firstLine="0"/>
        <w:rPr>
          <w:rFonts w:ascii="ITC Avant Garde" w:hAnsi="ITC Avant Garde"/>
          <w:i/>
          <w:color w:val="auto"/>
          <w:sz w:val="16"/>
          <w:szCs w:val="18"/>
          <w:u w:val="single"/>
        </w:rPr>
      </w:pPr>
      <w:r w:rsidRPr="003A26FF">
        <w:rPr>
          <w:rFonts w:ascii="ITC Avant Garde" w:hAnsi="ITC Avant Garde"/>
          <w:i/>
          <w:color w:val="auto"/>
          <w:sz w:val="16"/>
          <w:szCs w:val="18"/>
          <w:u w:val="single"/>
        </w:rPr>
        <w:t xml:space="preserve">1. </w:t>
      </w:r>
      <w:r w:rsidR="00BA4792" w:rsidRPr="003A26FF">
        <w:rPr>
          <w:rFonts w:ascii="ITC Avant Garde" w:hAnsi="ITC Avant Garde"/>
          <w:i/>
          <w:color w:val="auto"/>
          <w:sz w:val="16"/>
          <w:szCs w:val="18"/>
          <w:u w:val="single"/>
        </w:rPr>
        <w:t>Destino Valido: C</w:t>
      </w:r>
      <w:r w:rsidRPr="003A26FF">
        <w:rPr>
          <w:rFonts w:ascii="ITC Avant Garde" w:hAnsi="ITC Avant Garde"/>
          <w:i/>
          <w:color w:val="auto"/>
          <w:sz w:val="16"/>
          <w:szCs w:val="18"/>
          <w:u w:val="single"/>
        </w:rPr>
        <w:t xml:space="preserve">ualquier número asignado por el </w:t>
      </w:r>
      <w:r w:rsidR="00BA4792" w:rsidRPr="003A26FF">
        <w:rPr>
          <w:rFonts w:ascii="ITC Avant Garde" w:hAnsi="ITC Avant Garde"/>
          <w:i/>
          <w:color w:val="auto"/>
          <w:sz w:val="16"/>
          <w:szCs w:val="18"/>
          <w:u w:val="single"/>
        </w:rPr>
        <w:t>concesionario</w:t>
      </w:r>
      <w:r w:rsidRPr="003A26FF">
        <w:rPr>
          <w:rFonts w:ascii="ITC Avant Garde" w:hAnsi="ITC Avant Garde"/>
          <w:i/>
          <w:color w:val="auto"/>
          <w:sz w:val="16"/>
          <w:szCs w:val="18"/>
          <w:u w:val="single"/>
        </w:rPr>
        <w:t xml:space="preserve"> a sus </w:t>
      </w:r>
      <w:r w:rsidR="00BA4792" w:rsidRPr="003A26FF">
        <w:rPr>
          <w:rFonts w:ascii="ITC Avant Garde" w:hAnsi="ITC Avant Garde"/>
          <w:i/>
          <w:color w:val="auto"/>
          <w:sz w:val="16"/>
          <w:szCs w:val="18"/>
          <w:u w:val="single"/>
        </w:rPr>
        <w:t>usuarios</w:t>
      </w:r>
      <w:r w:rsidRPr="003A26FF">
        <w:rPr>
          <w:rFonts w:ascii="ITC Avant Garde" w:hAnsi="ITC Avant Garde"/>
          <w:i/>
          <w:color w:val="auto"/>
          <w:sz w:val="16"/>
          <w:szCs w:val="18"/>
          <w:u w:val="single"/>
        </w:rPr>
        <w:t xml:space="preserve"> finales para el envío y recepción de tráfico.”</w:t>
      </w:r>
    </w:p>
    <w:p w14:paraId="6EFCC9A3" w14:textId="77777777" w:rsidR="008C3FCD" w:rsidRPr="003A26FF" w:rsidRDefault="008C3FCD" w:rsidP="008C3FCD">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0AE8D6DA" w14:textId="719CE10F" w:rsidR="008C3FCD" w:rsidRPr="003A26FF" w:rsidRDefault="008C3FCD" w:rsidP="008C3FCD">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46D43B6" w14:textId="77777777" w:rsidR="003E75CD" w:rsidRPr="003A26FF" w:rsidRDefault="003E75CD" w:rsidP="008C3FCD">
      <w:pPr>
        <w:spacing w:after="0" w:line="276" w:lineRule="auto"/>
        <w:ind w:right="0"/>
        <w:rPr>
          <w:rFonts w:ascii="ITC Avant Garde" w:hAnsi="ITC Avant Garde"/>
          <w:color w:val="auto"/>
        </w:rPr>
      </w:pPr>
    </w:p>
    <w:p w14:paraId="6E284F22" w14:textId="0CF8C281" w:rsidR="008C3FCD" w:rsidRPr="003A26FF" w:rsidRDefault="008C3FCD" w:rsidP="008C3FCD">
      <w:pPr>
        <w:spacing w:after="0" w:line="276" w:lineRule="auto"/>
        <w:ind w:right="0"/>
        <w:rPr>
          <w:rFonts w:ascii="ITC Avant Garde" w:hAnsi="ITC Avant Garde"/>
          <w:color w:val="auto"/>
        </w:rPr>
      </w:pPr>
      <w:r w:rsidRPr="003A26FF">
        <w:rPr>
          <w:rFonts w:ascii="ITC Avant Garde" w:hAnsi="ITC Avant Garde"/>
          <w:color w:val="auto"/>
        </w:rPr>
        <w:t>El numeral 2.4 del Acuerdo de CTM establece que el formato de numeración</w:t>
      </w:r>
      <w:r w:rsidR="0079296D" w:rsidRPr="003A26FF">
        <w:rPr>
          <w:rFonts w:ascii="ITC Avant Garde" w:hAnsi="ITC Avant Garde"/>
          <w:color w:val="auto"/>
        </w:rPr>
        <w:t xml:space="preserve"> que deberá ser utilizado por los concesionarios </w:t>
      </w:r>
      <w:r w:rsidRPr="003A26FF">
        <w:rPr>
          <w:rFonts w:ascii="ITC Avant Garde" w:hAnsi="ITC Avant Garde"/>
          <w:color w:val="auto"/>
        </w:rPr>
        <w:t>para el enrutamiento de llamadas será conforme a lo establecido en el Plan Técnico Fundamental de Numeración</w:t>
      </w:r>
      <w:r w:rsidR="0079296D" w:rsidRPr="003A26FF">
        <w:rPr>
          <w:rFonts w:ascii="ITC Avant Garde" w:hAnsi="ITC Avant Garde"/>
          <w:color w:val="auto"/>
        </w:rPr>
        <w:t>, por lo cual, n</w:t>
      </w:r>
      <w:r w:rsidRPr="003A26FF">
        <w:rPr>
          <w:rFonts w:ascii="ITC Avant Garde" w:hAnsi="ITC Avant Garde"/>
          <w:color w:val="auto"/>
        </w:rPr>
        <w:t xml:space="preserve">o resulta necesaria la precisión referente a un </w:t>
      </w:r>
      <w:r w:rsidR="00680A3A" w:rsidRPr="003A26FF">
        <w:rPr>
          <w:rFonts w:ascii="ITC Avant Garde" w:hAnsi="ITC Avant Garde"/>
          <w:color w:val="auto"/>
        </w:rPr>
        <w:t>“</w:t>
      </w:r>
      <w:r w:rsidRPr="003A26FF">
        <w:rPr>
          <w:rFonts w:ascii="ITC Avant Garde" w:hAnsi="ITC Avant Garde"/>
          <w:i/>
          <w:iCs/>
          <w:color w:val="auto"/>
        </w:rPr>
        <w:t>destino válido</w:t>
      </w:r>
      <w:r w:rsidR="00680A3A" w:rsidRPr="003A26FF">
        <w:rPr>
          <w:rFonts w:ascii="ITC Avant Garde" w:hAnsi="ITC Avant Garde"/>
          <w:color w:val="auto"/>
        </w:rPr>
        <w:t>”</w:t>
      </w:r>
      <w:r w:rsidRPr="003A26FF">
        <w:rPr>
          <w:rFonts w:ascii="ITC Avant Garde" w:hAnsi="ITC Avant Garde"/>
          <w:color w:val="auto"/>
        </w:rPr>
        <w:t>.</w:t>
      </w:r>
      <w:r w:rsidR="00B146E4" w:rsidRPr="003A26FF">
        <w:rPr>
          <w:rFonts w:ascii="ITC Avant Garde" w:hAnsi="ITC Avant Garde"/>
          <w:color w:val="auto"/>
        </w:rPr>
        <w:t xml:space="preserve"> Asimismo, lo referente a las consideraciones para prevenir el envío de tráfico malicioso entre redes excede el alcance del Acuerdo de CTM.</w:t>
      </w:r>
    </w:p>
    <w:p w14:paraId="353CEBF6" w14:textId="13977744" w:rsidR="00086C5F" w:rsidRPr="003A26FF" w:rsidRDefault="00086C5F" w:rsidP="008A0D74">
      <w:pPr>
        <w:spacing w:after="0" w:line="276" w:lineRule="auto"/>
        <w:ind w:left="0" w:right="0" w:firstLine="0"/>
        <w:rPr>
          <w:rFonts w:ascii="ITC Avant Garde" w:hAnsi="ITC Avant Garde"/>
          <w:color w:val="auto"/>
        </w:rPr>
      </w:pPr>
    </w:p>
    <w:p w14:paraId="2B6EFF97" w14:textId="363FA653" w:rsidR="00086C5F" w:rsidRPr="003A26FF" w:rsidRDefault="00086C5F" w:rsidP="00086C5F">
      <w:pPr>
        <w:spacing w:after="0" w:line="276" w:lineRule="auto"/>
        <w:ind w:right="0"/>
        <w:rPr>
          <w:rFonts w:ascii="ITC Avant Garde" w:hAnsi="ITC Avant Garde"/>
          <w:b/>
          <w:color w:val="auto"/>
        </w:rPr>
      </w:pPr>
      <w:r w:rsidRPr="003A26FF">
        <w:rPr>
          <w:rFonts w:ascii="ITC Avant Garde" w:hAnsi="ITC Avant Garde"/>
          <w:b/>
          <w:color w:val="auto"/>
        </w:rPr>
        <w:t>Telcel</w:t>
      </w:r>
    </w:p>
    <w:p w14:paraId="5C501DD8" w14:textId="0A213633"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 xml:space="preserve">Indica que el Instituto debe establecer detalladamente los términos y condiciones del servicio mensajes cortos que le sean aplicables a los concesionarios del servicio local fijo. Resalta que el servicio de mensajes cortos es de naturaleza Persona a Persona (P2P) como se establece en la definición de Interconexión. </w:t>
      </w:r>
    </w:p>
    <w:p w14:paraId="0895C715" w14:textId="77777777" w:rsidR="00086C5F" w:rsidRPr="003A26FF" w:rsidRDefault="00086C5F" w:rsidP="00086C5F">
      <w:pPr>
        <w:spacing w:after="0" w:line="276" w:lineRule="auto"/>
        <w:ind w:right="0"/>
        <w:rPr>
          <w:rFonts w:ascii="ITC Avant Garde" w:hAnsi="ITC Avant Garde"/>
          <w:color w:val="auto"/>
        </w:rPr>
      </w:pPr>
    </w:p>
    <w:p w14:paraId="5BA798AB" w14:textId="77777777" w:rsidR="006C01AA" w:rsidRPr="003A26FF" w:rsidRDefault="006C01AA" w:rsidP="00086C5F">
      <w:pPr>
        <w:spacing w:after="0" w:line="276" w:lineRule="auto"/>
        <w:ind w:right="0"/>
        <w:rPr>
          <w:rFonts w:ascii="ITC Avant Garde" w:hAnsi="ITC Avant Garde"/>
          <w:color w:val="auto"/>
        </w:rPr>
      </w:pPr>
      <w:r w:rsidRPr="003A26FF">
        <w:rPr>
          <w:rFonts w:ascii="ITC Avant Garde" w:hAnsi="ITC Avant Garde"/>
          <w:color w:val="auto"/>
        </w:rPr>
        <w:t>Señala que el Instituto, a través de los cambios realizados al Convenio Marco de Interconexión de Telcel y mediante resoluciones a desacuerdos de interconexión, permite a los concesionarios del servicio fijo la entrega masiva y unilateral de tráfico de mensajes cortos A2P, ocasionando distorsiones que no solo atentan a tranquilidad de los usuarios, sino incluso su seguridad.</w:t>
      </w:r>
    </w:p>
    <w:p w14:paraId="48EFD087" w14:textId="77777777" w:rsidR="006C01AA" w:rsidRPr="003A26FF" w:rsidRDefault="006C01AA" w:rsidP="00086C5F">
      <w:pPr>
        <w:spacing w:after="0" w:line="276" w:lineRule="auto"/>
        <w:ind w:right="0"/>
        <w:rPr>
          <w:rFonts w:ascii="ITC Avant Garde" w:hAnsi="ITC Avant Garde"/>
          <w:color w:val="auto"/>
        </w:rPr>
      </w:pPr>
    </w:p>
    <w:p w14:paraId="75031B69" w14:textId="3E4A8004"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 xml:space="preserve">Señala que el </w:t>
      </w:r>
      <w:r w:rsidR="00756852" w:rsidRPr="003A26FF">
        <w:rPr>
          <w:rFonts w:ascii="ITC Avant Garde" w:hAnsi="ITC Avant Garde"/>
          <w:color w:val="auto"/>
        </w:rPr>
        <w:t xml:space="preserve">Convenio Marco de Interconexión contempla diversas conductas o prácticas prohibidas, y que el </w:t>
      </w:r>
      <w:r w:rsidRPr="003A26FF">
        <w:rPr>
          <w:rFonts w:ascii="ITC Avant Garde" w:hAnsi="ITC Avant Garde"/>
          <w:color w:val="auto"/>
        </w:rPr>
        <w:t xml:space="preserve">propio Instituto ha reconocido que el envío de </w:t>
      </w:r>
      <w:r w:rsidRPr="003A26FF">
        <w:rPr>
          <w:rFonts w:ascii="ITC Avant Garde" w:hAnsi="ITC Avant Garde"/>
          <w:color w:val="auto"/>
        </w:rPr>
        <w:lastRenderedPageBreak/>
        <w:t xml:space="preserve">comunicaciones electrónicas masivas no solicitadas constituye una práctica que de ninguna manera debe ser consentida. </w:t>
      </w:r>
    </w:p>
    <w:p w14:paraId="133F807C" w14:textId="77777777" w:rsidR="00086C5F" w:rsidRPr="003A26FF" w:rsidRDefault="00086C5F" w:rsidP="00086C5F">
      <w:pPr>
        <w:spacing w:after="0" w:line="276" w:lineRule="auto"/>
        <w:ind w:left="0" w:right="0" w:firstLine="0"/>
        <w:rPr>
          <w:rFonts w:ascii="ITC Avant Garde" w:hAnsi="ITC Avant Garde"/>
          <w:color w:val="auto"/>
        </w:rPr>
      </w:pPr>
    </w:p>
    <w:p w14:paraId="0630D9E9" w14:textId="6AE9DFA3"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 xml:space="preserve">Asimismo, manifiesta que si se permite la prestación del servicio de mensajes cortos con redes fijas se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w:t>
      </w:r>
      <w:proofErr w:type="spellStart"/>
      <w:r w:rsidRPr="003A26FF">
        <w:rPr>
          <w:rFonts w:ascii="ITC Avant Garde" w:hAnsi="ITC Avant Garde"/>
          <w:color w:val="auto"/>
        </w:rPr>
        <w:t>layout</w:t>
      </w:r>
      <w:proofErr w:type="spellEnd"/>
      <w:r w:rsidRPr="003A26FF">
        <w:rPr>
          <w:rFonts w:ascii="ITC Avant Garde" w:hAnsi="ITC Avant Garde"/>
          <w:color w:val="auto"/>
        </w:rPr>
        <w:t xml:space="preserve"> que utilizarán dentro del proceso de facturación para liquidar las contraprestaciones derivadas del SIEMC, el cual incluye los registros y detalles de los mensajes cortos, así como el resto de la información que deberán entregarse para poder llevar a cabo las actividades de: conciliación, el catálogo de Prácticas Prohibidas, las actividades o acciones para la detección, prevención y, en su caso, erradicación de dichas prácticas, entre otros.</w:t>
      </w:r>
    </w:p>
    <w:p w14:paraId="2612B0AF" w14:textId="3942DBED" w:rsidR="007C314F" w:rsidRPr="003A26FF" w:rsidRDefault="007C314F" w:rsidP="007C314F">
      <w:pPr>
        <w:spacing w:after="0" w:line="276" w:lineRule="auto"/>
        <w:ind w:right="0"/>
        <w:rPr>
          <w:rFonts w:ascii="ITC Avant Garde" w:hAnsi="ITC Avant Garde"/>
          <w:color w:val="auto"/>
        </w:rPr>
      </w:pPr>
    </w:p>
    <w:p w14:paraId="54FBDF39" w14:textId="3375C9B7" w:rsidR="007156B2" w:rsidRPr="003A26FF" w:rsidRDefault="007156B2" w:rsidP="007C314F">
      <w:pPr>
        <w:spacing w:after="0" w:line="276" w:lineRule="auto"/>
        <w:ind w:right="0"/>
        <w:rPr>
          <w:rFonts w:ascii="ITC Avant Garde" w:hAnsi="ITC Avant Garde"/>
          <w:color w:val="auto"/>
        </w:rPr>
      </w:pPr>
      <w:r w:rsidRPr="003A26FF">
        <w:rPr>
          <w:rFonts w:ascii="ITC Avant Garde" w:hAnsi="ITC Avant Garde"/>
          <w:color w:val="auto"/>
        </w:rPr>
        <w:t xml:space="preserve">Telcel requiere que el Instituto resuelva no sólo en el Convenio Marco de Interconexión de Telcel, sino también en el Acuerdo de Condiciones Técnicas Mínimas, que la </w:t>
      </w:r>
      <w:r w:rsidR="00CE6EAF" w:rsidRPr="003A26FF">
        <w:rPr>
          <w:rFonts w:ascii="ITC Avant Garde" w:hAnsi="ITC Avant Garde"/>
          <w:color w:val="auto"/>
        </w:rPr>
        <w:t>i</w:t>
      </w:r>
      <w:r w:rsidRPr="003A26FF">
        <w:rPr>
          <w:rFonts w:ascii="ITC Avant Garde" w:hAnsi="ITC Avant Garde"/>
          <w:color w:val="auto"/>
        </w:rPr>
        <w:t xml:space="preserve">nterconexión de mensajes cortos sólo debe ser </w:t>
      </w:r>
      <w:r w:rsidR="00CE6EAF" w:rsidRPr="003A26FF">
        <w:rPr>
          <w:rFonts w:ascii="ITC Avant Garde" w:hAnsi="ITC Avant Garde"/>
          <w:color w:val="auto"/>
        </w:rPr>
        <w:t>P2P</w:t>
      </w:r>
      <w:r w:rsidRPr="003A26FF">
        <w:rPr>
          <w:rFonts w:ascii="ITC Avant Garde" w:hAnsi="ITC Avant Garde"/>
          <w:color w:val="auto"/>
        </w:rPr>
        <w:t xml:space="preserve">, actualizando y robusteciendo los controles </w:t>
      </w:r>
      <w:proofErr w:type="spellStart"/>
      <w:r w:rsidRPr="003A26FF">
        <w:rPr>
          <w:rFonts w:ascii="ITC Avant Garde" w:hAnsi="ITC Avant Garde"/>
          <w:color w:val="auto"/>
        </w:rPr>
        <w:t>anti-spam</w:t>
      </w:r>
      <w:proofErr w:type="spellEnd"/>
      <w:r w:rsidRPr="003A26FF">
        <w:rPr>
          <w:rFonts w:ascii="ITC Avant Garde" w:hAnsi="ITC Avant Garde"/>
          <w:color w:val="auto"/>
        </w:rPr>
        <w:t xml:space="preserve"> en beneficio de los usuarios de las redes interconectadas.</w:t>
      </w:r>
    </w:p>
    <w:p w14:paraId="6EE8AF1C" w14:textId="77777777" w:rsidR="007156B2" w:rsidRPr="003A26FF" w:rsidRDefault="007156B2" w:rsidP="007C314F">
      <w:pPr>
        <w:spacing w:after="0" w:line="276" w:lineRule="auto"/>
        <w:ind w:right="0"/>
        <w:rPr>
          <w:rFonts w:ascii="ITC Avant Garde" w:hAnsi="ITC Avant Garde"/>
          <w:color w:val="auto"/>
        </w:rPr>
      </w:pPr>
    </w:p>
    <w:p w14:paraId="40134B0D" w14:textId="346C594E" w:rsidR="007C314F" w:rsidRPr="003A26FF" w:rsidRDefault="007C314F" w:rsidP="007C314F">
      <w:pPr>
        <w:spacing w:after="0" w:line="276" w:lineRule="auto"/>
        <w:ind w:right="0"/>
        <w:rPr>
          <w:rFonts w:ascii="ITC Avant Garde" w:hAnsi="ITC Avant Garde"/>
          <w:color w:val="auto"/>
        </w:rPr>
      </w:pPr>
      <w:r w:rsidRPr="003A26FF">
        <w:rPr>
          <w:rFonts w:ascii="ITC Avant Garde" w:hAnsi="ITC Avant Garde"/>
          <w:color w:val="auto"/>
        </w:rPr>
        <w:t>Por último, solicita agregar los diagramas referentes a la interconexión entre redes móviles, así como entre redes móviles y redes fijas, especificando que para la debida prestación del SIEMC, los concesionarios fijos deberán garantizar que el intercambio de tráfico de mensajes cortos se realizará conforme al estándar ETSI ES 201 912 V1.2.1 (2004-08) y a través de terminales fijas homologadas.</w:t>
      </w:r>
    </w:p>
    <w:p w14:paraId="1B24705A" w14:textId="77777777" w:rsidR="00086C5F" w:rsidRPr="003A26FF" w:rsidRDefault="00086C5F" w:rsidP="00086C5F">
      <w:pPr>
        <w:spacing w:after="0" w:line="276" w:lineRule="auto"/>
        <w:ind w:left="0" w:right="0" w:firstLine="0"/>
        <w:rPr>
          <w:rFonts w:ascii="ITC Avant Garde" w:hAnsi="ITC Avant Garde"/>
          <w:color w:val="auto"/>
        </w:rPr>
      </w:pPr>
    </w:p>
    <w:p w14:paraId="5FF6E2B8" w14:textId="77777777" w:rsidR="00086C5F" w:rsidRPr="003A26FF" w:rsidRDefault="00086C5F" w:rsidP="00086C5F">
      <w:pPr>
        <w:spacing w:after="0" w:line="276" w:lineRule="auto"/>
        <w:ind w:left="0" w:right="0" w:firstLine="0"/>
        <w:rPr>
          <w:rFonts w:ascii="ITC Avant Garde" w:hAnsi="ITC Avant Garde"/>
          <w:color w:val="auto"/>
        </w:rPr>
      </w:pPr>
      <w:r w:rsidRPr="003A26FF">
        <w:rPr>
          <w:rFonts w:ascii="ITC Avant Garde" w:hAnsi="ITC Avant Garde"/>
          <w:b/>
          <w:color w:val="auto"/>
          <w:u w:val="single"/>
        </w:rPr>
        <w:t>Consideraciones del Instituto</w:t>
      </w:r>
    </w:p>
    <w:p w14:paraId="0BD022B6" w14:textId="77777777" w:rsidR="003E75CD" w:rsidRPr="003A26FF" w:rsidRDefault="003E75CD" w:rsidP="00086C5F">
      <w:pPr>
        <w:spacing w:after="0" w:line="276" w:lineRule="auto"/>
        <w:ind w:right="0"/>
        <w:rPr>
          <w:rFonts w:ascii="ITC Avant Garde" w:hAnsi="ITC Avant Garde"/>
          <w:color w:val="auto"/>
        </w:rPr>
      </w:pPr>
    </w:p>
    <w:p w14:paraId="34591BB4" w14:textId="2B844176" w:rsidR="00086C5F" w:rsidRPr="003A26FF" w:rsidRDefault="00086C5F" w:rsidP="00086C5F">
      <w:pPr>
        <w:spacing w:after="0" w:line="276" w:lineRule="auto"/>
        <w:ind w:right="0"/>
        <w:rPr>
          <w:rFonts w:ascii="ITC Avant Garde" w:hAnsi="ITC Avant Garde"/>
          <w:color w:val="auto"/>
        </w:rPr>
      </w:pPr>
      <w:r w:rsidRPr="003A26FF">
        <w:rPr>
          <w:rFonts w:ascii="ITC Avant Garde" w:hAnsi="ITC Avant Garde"/>
          <w:color w:val="auto"/>
        </w:rPr>
        <w:t>Al respecto se señala que el Acuerdo de CTM, establece las condiciones bajo las cuales se realizará la interconexión entre redes públicas de telecomunicaciones.  En este sentido, el establecer los aspectos para la prestación del servicio de mensajes cortos en redes fijas como la arquitectura, topología, numeración o demás aspectos relacionados con la prestación de dicho servicio, incluyendo la naturaleza P2P o A2P</w:t>
      </w:r>
      <w:r w:rsidR="007C314F" w:rsidRPr="003A26FF">
        <w:rPr>
          <w:rFonts w:ascii="ITC Avant Garde" w:hAnsi="ITC Avant Garde"/>
          <w:color w:val="auto"/>
        </w:rPr>
        <w:t>, y lo referente al envío de tráfico considerado como prácticas prohibidas,</w:t>
      </w:r>
      <w:r w:rsidRPr="003A26FF">
        <w:rPr>
          <w:rFonts w:ascii="ITC Avant Garde" w:hAnsi="ITC Avant Garde"/>
          <w:color w:val="auto"/>
        </w:rPr>
        <w:t xml:space="preserve"> no se encuentra dentro del alcance del Acuerdo de CTM.</w:t>
      </w:r>
    </w:p>
    <w:p w14:paraId="2AC37795" w14:textId="77777777" w:rsidR="001D7C17" w:rsidRPr="003A26FF" w:rsidRDefault="001D7C17" w:rsidP="001D7C17">
      <w:pPr>
        <w:spacing w:after="0" w:line="276" w:lineRule="auto"/>
        <w:ind w:right="0"/>
        <w:rPr>
          <w:rFonts w:ascii="ITC Avant Garde" w:hAnsi="ITC Avant Garde"/>
          <w:b/>
          <w:color w:val="auto"/>
        </w:rPr>
      </w:pPr>
    </w:p>
    <w:p w14:paraId="2B71569A" w14:textId="1AF4673E" w:rsidR="00881341" w:rsidRPr="003A26FF" w:rsidRDefault="00E103DB" w:rsidP="00684942">
      <w:pPr>
        <w:spacing w:after="0" w:line="276" w:lineRule="auto"/>
        <w:ind w:right="0"/>
        <w:rPr>
          <w:rFonts w:ascii="ITC Avant Garde" w:hAnsi="ITC Avant Garde"/>
          <w:b/>
          <w:color w:val="auto"/>
        </w:rPr>
      </w:pPr>
      <w:r w:rsidRPr="003A26FF">
        <w:rPr>
          <w:rFonts w:ascii="ITC Avant Garde" w:hAnsi="ITC Avant Garde"/>
          <w:b/>
          <w:color w:val="auto"/>
        </w:rPr>
        <w:t xml:space="preserve">Televisa </w:t>
      </w:r>
    </w:p>
    <w:p w14:paraId="5F770EAB" w14:textId="2478B9F6" w:rsidR="00881341" w:rsidRPr="003A26FF" w:rsidRDefault="00881341" w:rsidP="00684942">
      <w:pPr>
        <w:spacing w:after="0" w:line="276" w:lineRule="auto"/>
        <w:ind w:right="0"/>
        <w:rPr>
          <w:rFonts w:ascii="ITC Avant Garde" w:hAnsi="ITC Avant Garde"/>
          <w:color w:val="auto"/>
        </w:rPr>
      </w:pPr>
      <w:r w:rsidRPr="003A26FF">
        <w:rPr>
          <w:rFonts w:ascii="ITC Avant Garde" w:hAnsi="ITC Avant Garde"/>
          <w:color w:val="auto"/>
        </w:rPr>
        <w:lastRenderedPageBreak/>
        <w:t xml:space="preserve">Mencionan que el Instituto no especifica </w:t>
      </w:r>
      <w:r w:rsidR="003B67FC" w:rsidRPr="003A26FF">
        <w:rPr>
          <w:rFonts w:ascii="ITC Avant Garde" w:hAnsi="ITC Avant Garde"/>
          <w:color w:val="auto"/>
        </w:rPr>
        <w:t>objetivos concretos de r</w:t>
      </w:r>
      <w:r w:rsidRPr="003A26FF">
        <w:rPr>
          <w:rFonts w:ascii="ITC Avant Garde" w:hAnsi="ITC Avant Garde"/>
          <w:color w:val="auto"/>
        </w:rPr>
        <w:t>edundancia</w:t>
      </w:r>
      <w:r w:rsidR="003B67FC" w:rsidRPr="003A26FF">
        <w:rPr>
          <w:rFonts w:ascii="ITC Avant Garde" w:hAnsi="ITC Avant Garde"/>
          <w:color w:val="auto"/>
        </w:rPr>
        <w:t>, así como los lineamientos que orienten al tipo de redundancia requerida en los enlaces de t</w:t>
      </w:r>
      <w:r w:rsidRPr="003A26FF">
        <w:rPr>
          <w:rFonts w:ascii="ITC Avant Garde" w:hAnsi="ITC Avant Garde"/>
          <w:color w:val="auto"/>
        </w:rPr>
        <w:t>rans</w:t>
      </w:r>
      <w:r w:rsidR="007878BA" w:rsidRPr="003A26FF">
        <w:rPr>
          <w:rFonts w:ascii="ITC Avant Garde" w:hAnsi="ITC Avant Garde"/>
          <w:color w:val="auto"/>
        </w:rPr>
        <w:t>misión</w:t>
      </w:r>
      <w:r w:rsidRPr="003A26FF">
        <w:rPr>
          <w:rFonts w:ascii="ITC Avant Garde" w:hAnsi="ITC Avant Garde"/>
          <w:color w:val="auto"/>
        </w:rPr>
        <w:t xml:space="preserve">, por lo que solicita que se especifique </w:t>
      </w:r>
      <w:r w:rsidR="00023D6E" w:rsidRPr="003A26FF">
        <w:rPr>
          <w:rFonts w:ascii="ITC Avant Garde" w:hAnsi="ITC Avant Garde"/>
          <w:color w:val="auto"/>
        </w:rPr>
        <w:t>dicha redundancia</w:t>
      </w:r>
      <w:r w:rsidRPr="003A26FF">
        <w:rPr>
          <w:rFonts w:ascii="ITC Avant Garde" w:hAnsi="ITC Avant Garde"/>
          <w:color w:val="auto"/>
        </w:rPr>
        <w:t>.</w:t>
      </w:r>
    </w:p>
    <w:p w14:paraId="6A02DCDD" w14:textId="2F1F234C" w:rsidR="00881341" w:rsidRPr="003A26FF" w:rsidRDefault="00881341" w:rsidP="00881341">
      <w:pPr>
        <w:spacing w:after="0" w:line="276" w:lineRule="auto"/>
        <w:ind w:left="0" w:right="0" w:firstLine="0"/>
        <w:rPr>
          <w:rFonts w:ascii="ITC Avant Garde" w:hAnsi="ITC Avant Garde"/>
          <w:color w:val="auto"/>
        </w:rPr>
      </w:pPr>
    </w:p>
    <w:p w14:paraId="69B4D31F" w14:textId="7803DD85" w:rsidR="00881341" w:rsidRPr="003A26FF" w:rsidRDefault="00BF780B" w:rsidP="0088134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0C75E94" w14:textId="77777777" w:rsidR="003E75CD" w:rsidRPr="003A26FF" w:rsidRDefault="003E75CD" w:rsidP="00684942">
      <w:pPr>
        <w:spacing w:after="0" w:line="276" w:lineRule="auto"/>
        <w:ind w:right="0"/>
        <w:rPr>
          <w:rFonts w:ascii="ITC Avant Garde" w:hAnsi="ITC Avant Garde"/>
          <w:color w:val="auto"/>
        </w:rPr>
      </w:pPr>
    </w:p>
    <w:p w14:paraId="5899F29B" w14:textId="607B2F03" w:rsidR="00881341" w:rsidRPr="003A26FF" w:rsidRDefault="00023D6E" w:rsidP="00684942">
      <w:pPr>
        <w:spacing w:after="0" w:line="276" w:lineRule="auto"/>
        <w:ind w:right="0"/>
        <w:rPr>
          <w:rFonts w:ascii="ITC Avant Garde" w:hAnsi="ITC Avant Garde"/>
          <w:color w:val="auto"/>
        </w:rPr>
      </w:pPr>
      <w:r w:rsidRPr="003A26FF">
        <w:rPr>
          <w:rFonts w:ascii="ITC Avant Garde" w:hAnsi="ITC Avant Garde"/>
          <w:color w:val="auto"/>
        </w:rPr>
        <w:t>Al respecto se señala que e</w:t>
      </w:r>
      <w:r w:rsidR="00881341" w:rsidRPr="003A26FF">
        <w:rPr>
          <w:rFonts w:ascii="ITC Avant Garde" w:hAnsi="ITC Avant Garde"/>
          <w:color w:val="auto"/>
        </w:rPr>
        <w:t xml:space="preserve">l </w:t>
      </w:r>
      <w:r w:rsidR="00FA7F9D" w:rsidRPr="003A26FF">
        <w:rPr>
          <w:rFonts w:ascii="ITC Avant Garde" w:hAnsi="ITC Avant Garde"/>
          <w:color w:val="auto"/>
        </w:rPr>
        <w:t xml:space="preserve">Acuerdo de </w:t>
      </w:r>
      <w:r w:rsidR="00881341" w:rsidRPr="003A26FF">
        <w:rPr>
          <w:rFonts w:ascii="ITC Avant Garde" w:hAnsi="ITC Avant Garde"/>
          <w:color w:val="auto"/>
        </w:rPr>
        <w:t xml:space="preserve">CTM </w:t>
      </w:r>
      <w:r w:rsidRPr="003A26FF">
        <w:rPr>
          <w:rFonts w:ascii="ITC Avant Garde" w:hAnsi="ITC Avant Garde"/>
          <w:color w:val="auto"/>
        </w:rPr>
        <w:t>es</w:t>
      </w:r>
      <w:r w:rsidR="00881341" w:rsidRPr="003A26FF">
        <w:rPr>
          <w:rFonts w:ascii="ITC Avant Garde" w:hAnsi="ITC Avant Garde"/>
          <w:color w:val="auto"/>
        </w:rPr>
        <w:t xml:space="preserve"> </w:t>
      </w:r>
      <w:r w:rsidRPr="003A26FF">
        <w:rPr>
          <w:rFonts w:ascii="ITC Avant Garde" w:hAnsi="ITC Avant Garde"/>
          <w:color w:val="auto"/>
        </w:rPr>
        <w:t xml:space="preserve">un marco de referencia para los aspectos necesarios para la </w:t>
      </w:r>
      <w:r w:rsidR="00491562" w:rsidRPr="003A26FF">
        <w:rPr>
          <w:rFonts w:ascii="ITC Avant Garde" w:hAnsi="ITC Avant Garde"/>
          <w:color w:val="auto"/>
        </w:rPr>
        <w:t>interconexión de las redes públicas de telecomunicaciones</w:t>
      </w:r>
      <w:r w:rsidR="00881341" w:rsidRPr="003A26FF">
        <w:rPr>
          <w:rFonts w:ascii="ITC Avant Garde" w:hAnsi="ITC Avant Garde"/>
          <w:color w:val="auto"/>
        </w:rPr>
        <w:t xml:space="preserve">. </w:t>
      </w:r>
      <w:r w:rsidRPr="003A26FF">
        <w:rPr>
          <w:rFonts w:ascii="ITC Avant Garde" w:hAnsi="ITC Avant Garde"/>
          <w:color w:val="auto"/>
        </w:rPr>
        <w:t xml:space="preserve">En este sentido, la implementación de los esquemas de redundancia dependerá de factores exclusivos de cada red pública a interconectarse como son: arquitectura de las redes, volumen de tráfico, tamaño de las redes, presencia geográfica, entre otros factores, por lo que, definir un único esquema de redundancia restringiría la implementación de </w:t>
      </w:r>
      <w:r w:rsidR="00061701" w:rsidRPr="003A26FF">
        <w:rPr>
          <w:rFonts w:ascii="ITC Avant Garde" w:hAnsi="ITC Avant Garde"/>
          <w:color w:val="auto"/>
        </w:rPr>
        <w:t>esta</w:t>
      </w:r>
      <w:r w:rsidRPr="003A26FF">
        <w:rPr>
          <w:rFonts w:ascii="ITC Avant Garde" w:hAnsi="ITC Avant Garde"/>
          <w:color w:val="auto"/>
        </w:rPr>
        <w:t>.</w:t>
      </w:r>
    </w:p>
    <w:p w14:paraId="4C6F95B0" w14:textId="77777777" w:rsidR="00F20336" w:rsidRPr="003A26FF" w:rsidRDefault="00F20336" w:rsidP="00881341">
      <w:pPr>
        <w:spacing w:after="0" w:line="276" w:lineRule="auto"/>
        <w:ind w:left="0" w:right="0" w:firstLine="0"/>
        <w:rPr>
          <w:rFonts w:ascii="ITC Avant Garde" w:hAnsi="ITC Avant Garde"/>
          <w:color w:val="auto"/>
        </w:rPr>
      </w:pPr>
    </w:p>
    <w:p w14:paraId="41301162" w14:textId="610B505E" w:rsidR="0048329A" w:rsidRPr="000B4356" w:rsidRDefault="0048329A" w:rsidP="00684942">
      <w:pPr>
        <w:spacing w:after="0" w:line="276" w:lineRule="auto"/>
        <w:ind w:right="0"/>
        <w:rPr>
          <w:rFonts w:ascii="ITC Avant Garde" w:hAnsi="ITC Avant Garde"/>
          <w:b/>
          <w:color w:val="auto"/>
        </w:rPr>
      </w:pPr>
      <w:r w:rsidRPr="000B4356">
        <w:rPr>
          <w:rFonts w:ascii="ITC Avant Garde" w:hAnsi="ITC Avant Garde"/>
          <w:b/>
          <w:color w:val="auto"/>
        </w:rPr>
        <w:t>Telcel</w:t>
      </w:r>
    </w:p>
    <w:p w14:paraId="38C3C9FF" w14:textId="52AD7E25" w:rsidR="0048329A" w:rsidRPr="000B4356" w:rsidRDefault="0048329A" w:rsidP="0048329A">
      <w:pPr>
        <w:spacing w:after="0" w:line="276" w:lineRule="auto"/>
        <w:ind w:right="0"/>
        <w:rPr>
          <w:rFonts w:ascii="ITC Avant Garde" w:hAnsi="ITC Avant Garde"/>
          <w:bCs/>
          <w:color w:val="auto"/>
        </w:rPr>
      </w:pPr>
      <w:r w:rsidRPr="000B4356">
        <w:rPr>
          <w:rFonts w:ascii="ITC Avant Garde" w:hAnsi="ITC Avant Garde"/>
          <w:bCs/>
          <w:color w:val="auto"/>
        </w:rPr>
        <w:t>Señala que el cambio de la palabra "favorezca" por la palabra "garantice" no puede otorgar garantía absoluta sobre la continuidad de un servic</w:t>
      </w:r>
      <w:r w:rsidR="004B1BCB" w:rsidRPr="000B4356">
        <w:rPr>
          <w:rFonts w:ascii="ITC Avant Garde" w:hAnsi="ITC Avant Garde"/>
          <w:bCs/>
          <w:color w:val="auto"/>
        </w:rPr>
        <w:t>io</w:t>
      </w:r>
      <w:r w:rsidRPr="000B4356">
        <w:rPr>
          <w:rFonts w:ascii="ITC Avant Garde" w:hAnsi="ITC Avant Garde"/>
          <w:bCs/>
          <w:color w:val="auto"/>
        </w:rPr>
        <w:t xml:space="preserve">, debido a que técnicamente la redundancia puede ayudar en la continuidad de la prestación del servicio, pero de ninguna manera garantizarla, ya </w:t>
      </w:r>
      <w:r w:rsidR="00014AA1" w:rsidRPr="000B4356">
        <w:rPr>
          <w:rFonts w:ascii="ITC Avant Garde" w:hAnsi="ITC Avant Garde"/>
          <w:bCs/>
          <w:color w:val="auto"/>
        </w:rPr>
        <w:t>que puede</w:t>
      </w:r>
      <w:r w:rsidRPr="000B4356">
        <w:rPr>
          <w:rFonts w:ascii="ITC Avant Garde" w:hAnsi="ITC Avant Garde"/>
          <w:bCs/>
          <w:color w:val="auto"/>
        </w:rPr>
        <w:t xml:space="preserve"> existir un segundo evento en algún elemento de la ruta redundante que cause que se pierda la continuidad del servicio, por lo que solicita mantener el párrafo conforme lo siguiente: </w:t>
      </w:r>
    </w:p>
    <w:p w14:paraId="4A291B52" w14:textId="77777777" w:rsidR="0048329A" w:rsidRPr="000B4356" w:rsidRDefault="0048329A" w:rsidP="0048329A">
      <w:pPr>
        <w:spacing w:after="0" w:line="276" w:lineRule="auto"/>
        <w:ind w:left="567" w:right="616" w:firstLine="0"/>
        <w:rPr>
          <w:rFonts w:ascii="ITC Avant Garde" w:hAnsi="ITC Avant Garde"/>
          <w:bCs/>
          <w:i/>
          <w:iCs/>
          <w:color w:val="auto"/>
          <w:sz w:val="18"/>
          <w:szCs w:val="18"/>
        </w:rPr>
      </w:pPr>
    </w:p>
    <w:p w14:paraId="330AB4AE" w14:textId="469CE196" w:rsidR="0048329A" w:rsidRPr="000B4356" w:rsidRDefault="0048329A" w:rsidP="0048329A">
      <w:pPr>
        <w:spacing w:after="0" w:line="276" w:lineRule="auto"/>
        <w:ind w:left="567" w:right="616" w:firstLine="0"/>
        <w:rPr>
          <w:rFonts w:ascii="ITC Avant Garde" w:hAnsi="ITC Avant Garde"/>
          <w:i/>
          <w:iCs/>
          <w:color w:val="auto"/>
          <w:sz w:val="18"/>
          <w:szCs w:val="18"/>
        </w:rPr>
      </w:pPr>
      <w:r w:rsidRPr="000B4356">
        <w:rPr>
          <w:rFonts w:ascii="ITC Avant Garde" w:hAnsi="ITC Avant Garde"/>
          <w:i/>
          <w:iCs/>
          <w:color w:val="auto"/>
          <w:sz w:val="18"/>
          <w:szCs w:val="18"/>
        </w:rPr>
        <w:t xml:space="preserve">"Los concesionarios interconectados deberán tener redundancia en los enlaces de transmisión que </w:t>
      </w:r>
      <w:r w:rsidRPr="000B4356">
        <w:rPr>
          <w:rFonts w:ascii="ITC Avant Garde" w:hAnsi="ITC Avant Garde"/>
          <w:b/>
          <w:bCs/>
          <w:i/>
          <w:iCs/>
          <w:color w:val="auto"/>
          <w:sz w:val="18"/>
          <w:szCs w:val="18"/>
          <w:u w:val="single"/>
        </w:rPr>
        <w:t>favorezca</w:t>
      </w:r>
      <w:r w:rsidRPr="000B4356">
        <w:rPr>
          <w:rFonts w:ascii="ITC Avant Garde" w:hAnsi="ITC Avant Garde"/>
          <w:i/>
          <w:iCs/>
          <w:color w:val="auto"/>
          <w:sz w:val="18"/>
          <w:szCs w:val="18"/>
        </w:rPr>
        <w:t xml:space="preserve"> la continuidad en la prestación del servicio.”</w:t>
      </w:r>
    </w:p>
    <w:p w14:paraId="64A7DFC1" w14:textId="77777777" w:rsidR="0048329A" w:rsidRPr="000B4356" w:rsidRDefault="0048329A" w:rsidP="00684942">
      <w:pPr>
        <w:spacing w:after="0" w:line="276" w:lineRule="auto"/>
        <w:ind w:right="0"/>
        <w:rPr>
          <w:rFonts w:ascii="ITC Avant Garde" w:hAnsi="ITC Avant Garde"/>
          <w:b/>
          <w:color w:val="auto"/>
          <w:u w:val="single"/>
        </w:rPr>
      </w:pPr>
    </w:p>
    <w:p w14:paraId="642C3206" w14:textId="77777777" w:rsidR="00F710BC" w:rsidRPr="003A26FF" w:rsidRDefault="00F710BC" w:rsidP="00F710BC">
      <w:pPr>
        <w:spacing w:after="0" w:line="276" w:lineRule="auto"/>
        <w:ind w:left="0" w:right="0" w:firstLine="0"/>
        <w:rPr>
          <w:rFonts w:ascii="ITC Avant Garde" w:hAnsi="ITC Avant Garde"/>
          <w:b/>
          <w:color w:val="auto"/>
          <w:u w:val="single"/>
        </w:rPr>
      </w:pPr>
      <w:r w:rsidRPr="000B4356">
        <w:rPr>
          <w:rFonts w:ascii="ITC Avant Garde" w:hAnsi="ITC Avant Garde"/>
          <w:b/>
          <w:color w:val="auto"/>
          <w:u w:val="single"/>
        </w:rPr>
        <w:t>Consideraciones del Instituto</w:t>
      </w:r>
    </w:p>
    <w:p w14:paraId="79B253A2" w14:textId="77777777" w:rsidR="00F710BC" w:rsidRDefault="00F710BC" w:rsidP="00684942">
      <w:pPr>
        <w:spacing w:after="0" w:line="276" w:lineRule="auto"/>
        <w:ind w:right="0"/>
        <w:rPr>
          <w:rFonts w:ascii="ITC Avant Garde" w:hAnsi="ITC Avant Garde"/>
          <w:b/>
          <w:color w:val="auto"/>
          <w:u w:val="single"/>
        </w:rPr>
      </w:pPr>
    </w:p>
    <w:p w14:paraId="1615F6BC" w14:textId="77777777" w:rsidR="008549AC" w:rsidRPr="002446CA" w:rsidRDefault="008549AC" w:rsidP="008549AC">
      <w:pPr>
        <w:tabs>
          <w:tab w:val="left" w:pos="426"/>
        </w:tabs>
        <w:spacing w:line="276" w:lineRule="auto"/>
        <w:ind w:right="49"/>
        <w:rPr>
          <w:rFonts w:ascii="ITC Avant Garde" w:hAnsi="ITC Avant Garde" w:cs="Arial"/>
          <w:bCs/>
          <w:iCs/>
          <w:lang w:eastAsia="en-US"/>
        </w:rPr>
      </w:pPr>
      <w:r w:rsidRPr="002446CA">
        <w:rPr>
          <w:rFonts w:ascii="ITC Avant Garde" w:hAnsi="ITC Avant Garde" w:cs="Arial"/>
          <w:bCs/>
          <w:iCs/>
          <w:lang w:eastAsia="en-US"/>
        </w:rPr>
        <w:t>La Recomendación UIT-T G.911</w:t>
      </w:r>
      <w:r w:rsidRPr="002446CA">
        <w:rPr>
          <w:rFonts w:ascii="ITC Avant Garde" w:hAnsi="ITC Avant Garde" w:cs="Arial"/>
          <w:bCs/>
          <w:iCs/>
          <w:vertAlign w:val="superscript"/>
          <w:lang w:eastAsia="en-US"/>
        </w:rPr>
        <w:footnoteReference w:id="7"/>
      </w:r>
      <w:r w:rsidRPr="002446CA">
        <w:rPr>
          <w:rFonts w:ascii="ITC Avant Garde" w:hAnsi="ITC Avant Garde" w:cs="Arial"/>
          <w:bCs/>
          <w:iCs/>
          <w:lang w:eastAsia="en-US"/>
        </w:rPr>
        <w:t>, señala que el objetivo de una red redundante es que los usuarios perciban un alto nivel de disponibilidad de los servicios, lo que un operador puede conseguir, pero, a un cierto costo.</w:t>
      </w:r>
    </w:p>
    <w:p w14:paraId="63A753F3" w14:textId="77777777" w:rsidR="008549AC" w:rsidRPr="002446CA" w:rsidRDefault="008549AC" w:rsidP="008549AC">
      <w:pPr>
        <w:tabs>
          <w:tab w:val="left" w:pos="426"/>
        </w:tabs>
        <w:spacing w:line="276" w:lineRule="auto"/>
        <w:ind w:right="49"/>
        <w:rPr>
          <w:rFonts w:ascii="ITC Avant Garde" w:hAnsi="ITC Avant Garde" w:cs="Arial"/>
          <w:bCs/>
          <w:iCs/>
          <w:lang w:eastAsia="en-US"/>
        </w:rPr>
      </w:pPr>
    </w:p>
    <w:p w14:paraId="254C8053" w14:textId="77777777" w:rsidR="008549AC" w:rsidRPr="002446CA" w:rsidRDefault="008549AC" w:rsidP="008549AC">
      <w:pPr>
        <w:tabs>
          <w:tab w:val="left" w:pos="426"/>
        </w:tabs>
        <w:spacing w:line="276" w:lineRule="auto"/>
        <w:ind w:right="49"/>
        <w:rPr>
          <w:rFonts w:ascii="ITC Avant Garde" w:hAnsi="ITC Avant Garde" w:cs="Arial"/>
          <w:bCs/>
          <w:iCs/>
          <w:lang w:eastAsia="en-US"/>
        </w:rPr>
      </w:pPr>
      <w:r w:rsidRPr="002446CA">
        <w:rPr>
          <w:rFonts w:ascii="ITC Avant Garde" w:hAnsi="ITC Avant Garde" w:cs="Arial"/>
          <w:bCs/>
          <w:iCs/>
          <w:lang w:eastAsia="en-US"/>
        </w:rPr>
        <w:t>Asimismo, es importante considerar el carácter aleatorio y temporal de una falla, por lo que el esquema de redundancia con la que deben contar los enlaces de interconexión a efecto de generar la menor afectación posible en caso de falla debe lograr un equilibrio entre la capacidad sin utilizar y disponible todo el tiempo (ociosa), y la capacidad que permita atender la mayor cantidad de tráfico en el peor escenario de falla (la hora pico), a través de un uso eficiente de los recursos de red.</w:t>
      </w:r>
    </w:p>
    <w:p w14:paraId="02E3AAFA" w14:textId="77777777" w:rsidR="008549AC" w:rsidRPr="002446CA" w:rsidRDefault="008549AC" w:rsidP="008549AC">
      <w:pPr>
        <w:tabs>
          <w:tab w:val="left" w:pos="426"/>
        </w:tabs>
        <w:spacing w:line="276" w:lineRule="auto"/>
        <w:ind w:right="49"/>
        <w:rPr>
          <w:rFonts w:ascii="ITC Avant Garde" w:hAnsi="ITC Avant Garde" w:cs="Arial"/>
          <w:bCs/>
          <w:iCs/>
          <w:lang w:eastAsia="en-US"/>
        </w:rPr>
      </w:pPr>
    </w:p>
    <w:p w14:paraId="7CA79698" w14:textId="4933B757" w:rsidR="008549AC" w:rsidRPr="002446CA" w:rsidRDefault="008549AC" w:rsidP="008549AC">
      <w:pPr>
        <w:tabs>
          <w:tab w:val="left" w:pos="426"/>
        </w:tabs>
        <w:spacing w:line="276" w:lineRule="auto"/>
        <w:ind w:right="49"/>
        <w:rPr>
          <w:rFonts w:ascii="ITC Avant Garde" w:hAnsi="ITC Avant Garde" w:cs="Arial"/>
          <w:bCs/>
          <w:iCs/>
          <w:lang w:eastAsia="en-US"/>
        </w:rPr>
      </w:pPr>
      <w:r w:rsidRPr="002446CA">
        <w:rPr>
          <w:rFonts w:ascii="ITC Avant Garde" w:hAnsi="ITC Avant Garde" w:cs="Arial"/>
          <w:bCs/>
          <w:iCs/>
          <w:lang w:eastAsia="en-US"/>
        </w:rPr>
        <w:lastRenderedPageBreak/>
        <w:t xml:space="preserve">En tal sentido, el considerar un esquema de redundancia que garantice que no se presente ningún grado de degradación del servicio en todo momento, podría implicar escenarios de uso ineficiente de la capacidad y de los equipos de red, además de los costos que </w:t>
      </w:r>
      <w:r w:rsidR="003E0C28">
        <w:rPr>
          <w:rFonts w:ascii="ITC Avant Garde" w:hAnsi="ITC Avant Garde" w:cs="Arial"/>
          <w:bCs/>
          <w:iCs/>
          <w:lang w:eastAsia="en-US"/>
        </w:rPr>
        <w:t>podría</w:t>
      </w:r>
      <w:r w:rsidRPr="002446CA">
        <w:rPr>
          <w:rFonts w:ascii="ITC Avant Garde" w:hAnsi="ITC Avant Garde" w:cs="Arial"/>
          <w:bCs/>
          <w:iCs/>
          <w:lang w:eastAsia="en-US"/>
        </w:rPr>
        <w:t xml:space="preserve"> implicar</w:t>
      </w:r>
      <w:r w:rsidR="003E0C28">
        <w:rPr>
          <w:rFonts w:ascii="ITC Avant Garde" w:hAnsi="ITC Avant Garde" w:cs="Arial"/>
          <w:bCs/>
          <w:iCs/>
          <w:lang w:eastAsia="en-US"/>
        </w:rPr>
        <w:t>.</w:t>
      </w:r>
      <w:r w:rsidR="00CA0B76">
        <w:rPr>
          <w:rFonts w:ascii="ITC Avant Garde" w:hAnsi="ITC Avant Garde" w:cs="Arial"/>
          <w:bCs/>
          <w:iCs/>
          <w:lang w:eastAsia="en-US"/>
        </w:rPr>
        <w:t xml:space="preserve"> Por lo ant</w:t>
      </w:r>
      <w:r w:rsidRPr="002446CA">
        <w:rPr>
          <w:rFonts w:ascii="ITC Avant Garde" w:hAnsi="ITC Avant Garde" w:cs="Arial"/>
          <w:bCs/>
          <w:iCs/>
          <w:lang w:eastAsia="en-US"/>
        </w:rPr>
        <w:t xml:space="preserve">erior, se modifica el Acuerdo en los términos </w:t>
      </w:r>
      <w:r w:rsidR="00CA0B76">
        <w:rPr>
          <w:rFonts w:ascii="ITC Avant Garde" w:hAnsi="ITC Avant Garde" w:cs="Arial"/>
          <w:bCs/>
          <w:iCs/>
          <w:lang w:eastAsia="en-US"/>
        </w:rPr>
        <w:t>de</w:t>
      </w:r>
      <w:r w:rsidR="00FA3786">
        <w:rPr>
          <w:rFonts w:ascii="ITC Avant Garde" w:hAnsi="ITC Avant Garde" w:cs="Arial"/>
          <w:bCs/>
          <w:iCs/>
          <w:lang w:eastAsia="en-US"/>
        </w:rPr>
        <w:t xml:space="preserve"> </w:t>
      </w:r>
      <w:r w:rsidR="00CA0B76">
        <w:rPr>
          <w:rFonts w:ascii="ITC Avant Garde" w:hAnsi="ITC Avant Garde" w:cs="Arial"/>
          <w:bCs/>
          <w:iCs/>
          <w:lang w:eastAsia="en-US"/>
        </w:rPr>
        <w:t>l</w:t>
      </w:r>
      <w:r w:rsidR="00FA3786">
        <w:rPr>
          <w:rFonts w:ascii="ITC Avant Garde" w:hAnsi="ITC Avant Garde" w:cs="Arial"/>
          <w:bCs/>
          <w:iCs/>
          <w:lang w:eastAsia="en-US"/>
        </w:rPr>
        <w:t>as</w:t>
      </w:r>
      <w:r w:rsidR="00CA0B76">
        <w:rPr>
          <w:rFonts w:ascii="ITC Avant Garde" w:hAnsi="ITC Avant Garde" w:cs="Arial"/>
          <w:bCs/>
          <w:iCs/>
          <w:lang w:eastAsia="en-US"/>
        </w:rPr>
        <w:t xml:space="preserve"> </w:t>
      </w:r>
      <w:r w:rsidR="00FA3786">
        <w:rPr>
          <w:rFonts w:ascii="ITC Avant Garde" w:hAnsi="ITC Avant Garde" w:cs="Arial"/>
          <w:bCs/>
          <w:iCs/>
          <w:lang w:eastAsia="en-US"/>
        </w:rPr>
        <w:t>CTM</w:t>
      </w:r>
      <w:r w:rsidR="00CA0B76">
        <w:rPr>
          <w:rFonts w:ascii="ITC Avant Garde" w:hAnsi="ITC Avant Garde" w:cs="Arial"/>
          <w:bCs/>
          <w:iCs/>
          <w:lang w:eastAsia="en-US"/>
        </w:rPr>
        <w:t xml:space="preserve"> vigente</w:t>
      </w:r>
      <w:r w:rsidR="00FA3786">
        <w:rPr>
          <w:rFonts w:ascii="ITC Avant Garde" w:hAnsi="ITC Avant Garde" w:cs="Arial"/>
          <w:bCs/>
          <w:iCs/>
          <w:lang w:eastAsia="en-US"/>
        </w:rPr>
        <w:t>s</w:t>
      </w:r>
      <w:r w:rsidR="00CA0B76">
        <w:rPr>
          <w:rFonts w:ascii="ITC Avant Garde" w:hAnsi="ITC Avant Garde" w:cs="Arial"/>
          <w:bCs/>
          <w:iCs/>
          <w:lang w:eastAsia="en-US"/>
        </w:rPr>
        <w:t xml:space="preserve">. </w:t>
      </w:r>
    </w:p>
    <w:p w14:paraId="2713F11F" w14:textId="77777777" w:rsidR="008549AC" w:rsidRDefault="008549AC" w:rsidP="00684942">
      <w:pPr>
        <w:spacing w:after="0" w:line="276" w:lineRule="auto"/>
        <w:ind w:right="0"/>
        <w:rPr>
          <w:rFonts w:ascii="ITC Avant Garde" w:hAnsi="ITC Avant Garde"/>
          <w:b/>
          <w:color w:val="auto"/>
          <w:u w:val="single"/>
        </w:rPr>
      </w:pPr>
    </w:p>
    <w:p w14:paraId="09F251EE" w14:textId="02F67C9F" w:rsidR="0048329A" w:rsidRPr="00F92409" w:rsidRDefault="00F710BC" w:rsidP="00684942">
      <w:pPr>
        <w:spacing w:after="0" w:line="276" w:lineRule="auto"/>
        <w:ind w:right="0"/>
        <w:rPr>
          <w:rFonts w:ascii="ITC Avant Garde" w:hAnsi="ITC Avant Garde"/>
          <w:b/>
          <w:color w:val="auto"/>
        </w:rPr>
      </w:pPr>
      <w:r w:rsidRPr="00F92409">
        <w:rPr>
          <w:rFonts w:ascii="ITC Avant Garde" w:hAnsi="ITC Avant Garde"/>
          <w:b/>
          <w:color w:val="auto"/>
        </w:rPr>
        <w:t>MCM</w:t>
      </w:r>
    </w:p>
    <w:p w14:paraId="4C0D85A5" w14:textId="77777777" w:rsidR="00F710BC" w:rsidRPr="00F92409" w:rsidRDefault="00F710BC" w:rsidP="00F710BC">
      <w:pPr>
        <w:spacing w:after="0" w:line="276" w:lineRule="auto"/>
        <w:ind w:right="0"/>
        <w:rPr>
          <w:rFonts w:ascii="ITC Avant Garde" w:hAnsi="ITC Avant Garde"/>
          <w:bCs/>
          <w:color w:val="auto"/>
        </w:rPr>
      </w:pPr>
      <w:r w:rsidRPr="00F92409">
        <w:rPr>
          <w:rFonts w:ascii="ITC Avant Garde" w:hAnsi="ITC Avant Garde"/>
          <w:bCs/>
          <w:color w:val="auto"/>
        </w:rPr>
        <w:t>Señala adecuar la redacción conforme lo siguiente:</w:t>
      </w:r>
    </w:p>
    <w:p w14:paraId="3DCCF8F0" w14:textId="77777777" w:rsidR="00F710BC" w:rsidRPr="00F92409" w:rsidRDefault="00F710BC" w:rsidP="00F710BC">
      <w:pPr>
        <w:spacing w:after="0" w:line="276" w:lineRule="auto"/>
        <w:ind w:right="0"/>
        <w:rPr>
          <w:rFonts w:ascii="ITC Avant Garde" w:hAnsi="ITC Avant Garde"/>
          <w:bCs/>
          <w:color w:val="auto"/>
        </w:rPr>
      </w:pPr>
    </w:p>
    <w:p w14:paraId="7B76DB89" w14:textId="77777777" w:rsidR="00F710BC" w:rsidRPr="00F92409" w:rsidRDefault="00F710BC" w:rsidP="00F710BC">
      <w:pPr>
        <w:spacing w:after="0" w:line="276" w:lineRule="auto"/>
        <w:ind w:left="567" w:right="616" w:firstLine="0"/>
        <w:rPr>
          <w:rFonts w:ascii="ITC Avant Garde" w:hAnsi="ITC Avant Garde"/>
          <w:i/>
          <w:iCs/>
          <w:color w:val="auto"/>
          <w:sz w:val="18"/>
          <w:szCs w:val="18"/>
        </w:rPr>
      </w:pPr>
      <w:r w:rsidRPr="00F92409">
        <w:rPr>
          <w:rFonts w:ascii="ITC Avant Garde" w:hAnsi="ITC Avant Garde"/>
          <w:b/>
          <w:bCs/>
          <w:i/>
          <w:iCs/>
          <w:color w:val="auto"/>
          <w:sz w:val="18"/>
          <w:szCs w:val="18"/>
          <w:u w:val="single"/>
        </w:rPr>
        <w:t>3.4</w:t>
      </w:r>
      <w:r w:rsidRPr="00F92409">
        <w:rPr>
          <w:rFonts w:ascii="ITC Avant Garde" w:hAnsi="ITC Avant Garde"/>
          <w:i/>
          <w:iCs/>
          <w:color w:val="auto"/>
          <w:sz w:val="18"/>
          <w:szCs w:val="18"/>
        </w:rPr>
        <w:t xml:space="preserve">, se llevará a cabo de manera directa, mediante el establecimiento de enlaces dedicados </w:t>
      </w:r>
      <w:r w:rsidRPr="00F92409">
        <w:rPr>
          <w:rFonts w:ascii="ITC Avant Garde" w:hAnsi="ITC Avant Garde"/>
          <w:b/>
          <w:bCs/>
          <w:i/>
          <w:iCs/>
          <w:color w:val="auto"/>
          <w:sz w:val="18"/>
          <w:szCs w:val="18"/>
          <w:u w:val="single"/>
        </w:rPr>
        <w:t>o mediante enlaces VPN (Red Privada Virtual)</w:t>
      </w:r>
      <w:r w:rsidRPr="00F92409">
        <w:rPr>
          <w:rFonts w:ascii="ITC Avant Garde" w:hAnsi="ITC Avant Garde"/>
          <w:i/>
          <w:iCs/>
          <w:color w:val="auto"/>
          <w:sz w:val="18"/>
          <w:szCs w:val="18"/>
        </w:rPr>
        <w:t xml:space="preserve"> entre los concesionarios que intercambian tráfico.</w:t>
      </w:r>
    </w:p>
    <w:p w14:paraId="19D11A7F" w14:textId="77777777" w:rsidR="00F710BC" w:rsidRPr="00F92409" w:rsidRDefault="00F710BC" w:rsidP="00F710BC">
      <w:pPr>
        <w:spacing w:after="0" w:line="276" w:lineRule="auto"/>
        <w:ind w:left="567" w:right="616" w:firstLine="0"/>
        <w:rPr>
          <w:rFonts w:ascii="ITC Avant Garde" w:hAnsi="ITC Avant Garde"/>
          <w:i/>
          <w:iCs/>
          <w:color w:val="auto"/>
          <w:sz w:val="18"/>
          <w:szCs w:val="18"/>
        </w:rPr>
      </w:pPr>
    </w:p>
    <w:p w14:paraId="05F23A34" w14:textId="77777777" w:rsidR="00F710BC" w:rsidRPr="00F92409" w:rsidRDefault="00F710BC" w:rsidP="00F710BC">
      <w:pPr>
        <w:spacing w:after="0" w:line="276" w:lineRule="auto"/>
        <w:ind w:left="567" w:right="616" w:firstLine="0"/>
        <w:rPr>
          <w:rFonts w:ascii="ITC Avant Garde" w:hAnsi="ITC Avant Garde"/>
          <w:b/>
          <w:bCs/>
          <w:i/>
          <w:iCs/>
          <w:color w:val="auto"/>
          <w:sz w:val="18"/>
          <w:szCs w:val="18"/>
          <w:u w:val="single"/>
        </w:rPr>
      </w:pPr>
      <w:r w:rsidRPr="00F92409">
        <w:rPr>
          <w:rFonts w:ascii="ITC Avant Garde" w:hAnsi="ITC Avant Garde"/>
          <w:b/>
          <w:bCs/>
          <w:i/>
          <w:iCs/>
          <w:color w:val="auto"/>
          <w:sz w:val="18"/>
          <w:szCs w:val="18"/>
          <w:u w:val="single"/>
        </w:rPr>
        <w:t xml:space="preserve">Los </w:t>
      </w:r>
      <w:proofErr w:type="spellStart"/>
      <w:r w:rsidRPr="00F92409">
        <w:rPr>
          <w:rFonts w:ascii="ITC Avant Garde" w:hAnsi="ITC Avant Garde"/>
          <w:b/>
          <w:bCs/>
          <w:i/>
          <w:iCs/>
          <w:color w:val="auto"/>
          <w:sz w:val="18"/>
          <w:szCs w:val="18"/>
          <w:u w:val="single"/>
        </w:rPr>
        <w:t>Binds</w:t>
      </w:r>
      <w:proofErr w:type="spellEnd"/>
      <w:r w:rsidRPr="00F92409">
        <w:rPr>
          <w:rFonts w:ascii="ITC Avant Garde" w:hAnsi="ITC Avant Garde"/>
          <w:b/>
          <w:bCs/>
          <w:i/>
          <w:iCs/>
          <w:color w:val="auto"/>
          <w:sz w:val="18"/>
          <w:szCs w:val="18"/>
          <w:u w:val="single"/>
        </w:rPr>
        <w:t xml:space="preserve"> que acuerden implementar los concesionarios que intercambian tráfico deberán ser redundantes y contar con la capacidad suficiente de procesamiento de tráfico necesaria para soportar la totalidad de tráfico de interconexión que reciban para garantizar buena calidad de servicio.”</w:t>
      </w:r>
    </w:p>
    <w:p w14:paraId="38AF9BFB" w14:textId="77777777" w:rsidR="00F710BC" w:rsidRPr="00F92409" w:rsidRDefault="00F710BC" w:rsidP="00F710BC">
      <w:pPr>
        <w:spacing w:after="0" w:line="276" w:lineRule="auto"/>
        <w:ind w:left="567" w:right="616" w:firstLine="0"/>
        <w:rPr>
          <w:rFonts w:ascii="ITC Avant Garde" w:hAnsi="ITC Avant Garde"/>
          <w:b/>
          <w:bCs/>
          <w:i/>
          <w:iCs/>
          <w:color w:val="auto"/>
          <w:sz w:val="18"/>
          <w:szCs w:val="18"/>
          <w:u w:val="single"/>
        </w:rPr>
      </w:pPr>
      <w:r w:rsidRPr="00F92409">
        <w:rPr>
          <w:rFonts w:ascii="ITC Avant Garde" w:hAnsi="ITC Avant Garde"/>
          <w:b/>
          <w:bCs/>
          <w:i/>
          <w:iCs/>
          <w:color w:val="auto"/>
          <w:sz w:val="18"/>
          <w:szCs w:val="18"/>
          <w:u w:val="single"/>
        </w:rPr>
        <w:t>[…]</w:t>
      </w:r>
    </w:p>
    <w:p w14:paraId="43FFC3C6" w14:textId="77777777" w:rsidR="00F710BC" w:rsidRPr="00F92409" w:rsidRDefault="00F710BC" w:rsidP="00F710BC">
      <w:pPr>
        <w:spacing w:after="0" w:line="276" w:lineRule="auto"/>
        <w:ind w:left="567" w:right="616" w:firstLine="0"/>
        <w:rPr>
          <w:rFonts w:ascii="ITC Avant Garde" w:hAnsi="ITC Avant Garde"/>
          <w:i/>
          <w:iCs/>
          <w:color w:val="auto"/>
          <w:sz w:val="18"/>
          <w:szCs w:val="18"/>
        </w:rPr>
      </w:pPr>
    </w:p>
    <w:p w14:paraId="460669BB" w14:textId="77777777" w:rsidR="00F710BC" w:rsidRPr="00F92409" w:rsidRDefault="00F710BC" w:rsidP="00F710BC">
      <w:pPr>
        <w:spacing w:after="0" w:line="276" w:lineRule="auto"/>
        <w:ind w:left="567" w:right="616" w:firstLine="0"/>
        <w:rPr>
          <w:rFonts w:ascii="ITC Avant Garde" w:hAnsi="ITC Avant Garde"/>
          <w:b/>
          <w:bCs/>
          <w:i/>
          <w:iCs/>
          <w:color w:val="auto"/>
          <w:sz w:val="18"/>
          <w:szCs w:val="18"/>
          <w:u w:val="single"/>
        </w:rPr>
      </w:pPr>
      <w:r w:rsidRPr="00F92409">
        <w:rPr>
          <w:rFonts w:ascii="ITC Avant Garde" w:hAnsi="ITC Avant Garde"/>
          <w:b/>
          <w:bCs/>
          <w:i/>
          <w:iCs/>
          <w:color w:val="auto"/>
          <w:sz w:val="18"/>
          <w:szCs w:val="18"/>
          <w:u w:val="single"/>
        </w:rPr>
        <w:t>A elección del Concesionario Solicitante el tipo de tráfico del servicio de mensajes cortos que se podrá intercambiar a través de los enlaces de transmisión será de cualquier origen o destino dentro del territorio nacional, así como en cualquier modalidad (P2P persona a persona, A2P aplicación a persona, P2A persona a aplicación) y de cualquier tipo (local, entre localidades, móvil y/o fijo).</w:t>
      </w:r>
    </w:p>
    <w:p w14:paraId="7F130CDD" w14:textId="77777777" w:rsidR="00F710BC" w:rsidRPr="00F92409" w:rsidRDefault="00F710BC" w:rsidP="00F710BC">
      <w:pPr>
        <w:spacing w:after="0" w:line="276" w:lineRule="auto"/>
        <w:ind w:left="567" w:right="616" w:firstLine="0"/>
        <w:rPr>
          <w:rFonts w:ascii="ITC Avant Garde" w:hAnsi="ITC Avant Garde"/>
          <w:i/>
          <w:iCs/>
          <w:color w:val="auto"/>
          <w:sz w:val="18"/>
          <w:szCs w:val="18"/>
        </w:rPr>
      </w:pPr>
    </w:p>
    <w:p w14:paraId="18E163A3" w14:textId="77777777" w:rsidR="00F710BC" w:rsidRPr="00F92409" w:rsidRDefault="00F710BC" w:rsidP="00F710BC">
      <w:pPr>
        <w:spacing w:after="0" w:line="276" w:lineRule="auto"/>
        <w:ind w:left="567" w:right="616" w:firstLine="0"/>
        <w:rPr>
          <w:rFonts w:ascii="ITC Avant Garde" w:hAnsi="ITC Avant Garde"/>
          <w:i/>
          <w:iCs/>
          <w:color w:val="auto"/>
          <w:sz w:val="18"/>
          <w:szCs w:val="18"/>
        </w:rPr>
      </w:pPr>
      <w:r w:rsidRPr="00F92409">
        <w:rPr>
          <w:rFonts w:ascii="ITC Avant Garde" w:hAnsi="ITC Avant Garde"/>
          <w:i/>
          <w:iCs/>
          <w:color w:val="auto"/>
          <w:sz w:val="18"/>
          <w:szCs w:val="18"/>
        </w:rPr>
        <w:t>Los concesionarios interconectados en el servicio de voz deberán tener redundancia en los enlaces de transmisión que garantice la continuidad en la prestación del servicio.</w:t>
      </w:r>
    </w:p>
    <w:p w14:paraId="19B826AE" w14:textId="77777777" w:rsidR="00F710BC" w:rsidRPr="00F92409" w:rsidRDefault="00F710BC" w:rsidP="00F710BC">
      <w:pPr>
        <w:spacing w:after="0" w:line="276" w:lineRule="auto"/>
        <w:ind w:left="567" w:right="616" w:firstLine="0"/>
        <w:rPr>
          <w:rFonts w:ascii="ITC Avant Garde" w:hAnsi="ITC Avant Garde"/>
          <w:i/>
          <w:iCs/>
          <w:color w:val="auto"/>
          <w:sz w:val="18"/>
          <w:szCs w:val="18"/>
        </w:rPr>
      </w:pPr>
    </w:p>
    <w:p w14:paraId="3413C15D" w14:textId="48B0991B" w:rsidR="00F710BC" w:rsidRPr="00D4424A" w:rsidRDefault="00F710BC" w:rsidP="00F710BC">
      <w:pPr>
        <w:spacing w:after="0" w:line="276" w:lineRule="auto"/>
        <w:ind w:left="567" w:right="616" w:firstLine="0"/>
        <w:rPr>
          <w:rFonts w:ascii="ITC Avant Garde" w:hAnsi="ITC Avant Garde"/>
          <w:b/>
          <w:bCs/>
          <w:i/>
          <w:iCs/>
          <w:color w:val="auto"/>
          <w:sz w:val="18"/>
          <w:szCs w:val="18"/>
          <w:u w:val="single"/>
        </w:rPr>
      </w:pPr>
      <w:r w:rsidRPr="00F92409">
        <w:rPr>
          <w:rFonts w:ascii="ITC Avant Garde" w:hAnsi="ITC Avant Garde"/>
          <w:b/>
          <w:bCs/>
          <w:i/>
          <w:iCs/>
          <w:color w:val="auto"/>
          <w:sz w:val="18"/>
          <w:szCs w:val="18"/>
          <w:u w:val="single"/>
        </w:rPr>
        <w:t>Los concesionarios interconectados en el servicio de mensajes cortos deberán tener redundancia en los enlaces de transmisión y estarán obligados a proveer capacidad suficiente de interconexión (TPS) en sus SMS que garantice buena calidad y la continuidad en la prestación del servicio.”</w:t>
      </w:r>
    </w:p>
    <w:p w14:paraId="4E7F60C5" w14:textId="77777777" w:rsidR="0048329A" w:rsidRPr="00D4424A" w:rsidRDefault="0048329A" w:rsidP="00F710BC">
      <w:pPr>
        <w:spacing w:after="0" w:line="276" w:lineRule="auto"/>
        <w:ind w:left="567" w:right="616" w:firstLine="0"/>
        <w:rPr>
          <w:rFonts w:ascii="ITC Avant Garde" w:hAnsi="ITC Avant Garde"/>
          <w:i/>
          <w:iCs/>
          <w:color w:val="auto"/>
          <w:sz w:val="18"/>
          <w:szCs w:val="18"/>
        </w:rPr>
      </w:pPr>
    </w:p>
    <w:p w14:paraId="6ED0F216" w14:textId="77777777" w:rsidR="000E1948" w:rsidRPr="00BC4A47" w:rsidRDefault="000E1948" w:rsidP="000E1948">
      <w:pPr>
        <w:spacing w:after="0" w:line="276" w:lineRule="auto"/>
        <w:ind w:right="0"/>
        <w:rPr>
          <w:rFonts w:ascii="ITC Avant Garde" w:hAnsi="ITC Avant Garde"/>
          <w:b/>
          <w:color w:val="auto"/>
          <w:u w:val="single"/>
        </w:rPr>
      </w:pPr>
    </w:p>
    <w:p w14:paraId="60E43166" w14:textId="77777777" w:rsidR="000E1948" w:rsidRPr="003A26FF" w:rsidRDefault="000E1948" w:rsidP="000E1948">
      <w:pPr>
        <w:spacing w:after="0" w:line="276" w:lineRule="auto"/>
        <w:ind w:left="0" w:right="0" w:firstLine="0"/>
        <w:rPr>
          <w:rFonts w:ascii="ITC Avant Garde" w:hAnsi="ITC Avant Garde"/>
          <w:b/>
          <w:color w:val="auto"/>
          <w:u w:val="single"/>
        </w:rPr>
      </w:pPr>
      <w:r w:rsidRPr="00BC4A47">
        <w:rPr>
          <w:rFonts w:ascii="ITC Avant Garde" w:hAnsi="ITC Avant Garde"/>
          <w:b/>
          <w:color w:val="auto"/>
          <w:u w:val="single"/>
        </w:rPr>
        <w:t>Consideraciones del Instituto</w:t>
      </w:r>
    </w:p>
    <w:p w14:paraId="71F028CD" w14:textId="77777777" w:rsidR="006F0F5D" w:rsidRDefault="006F0F5D" w:rsidP="006F0F5D">
      <w:pPr>
        <w:tabs>
          <w:tab w:val="left" w:pos="426"/>
        </w:tabs>
        <w:spacing w:line="276" w:lineRule="auto"/>
        <w:ind w:right="49"/>
        <w:rPr>
          <w:rFonts w:ascii="ITC Avant Garde" w:hAnsi="ITC Avant Garde" w:cs="Arial"/>
          <w:bCs/>
          <w:iCs/>
          <w:lang w:eastAsia="en-US"/>
        </w:rPr>
      </w:pPr>
    </w:p>
    <w:p w14:paraId="7E19650B" w14:textId="3BA2DC74" w:rsidR="006F0F5D" w:rsidRPr="002446CA" w:rsidRDefault="006F0F5D" w:rsidP="006F0F5D">
      <w:pPr>
        <w:tabs>
          <w:tab w:val="left" w:pos="426"/>
        </w:tabs>
        <w:spacing w:line="276" w:lineRule="auto"/>
        <w:ind w:right="49"/>
        <w:rPr>
          <w:rFonts w:ascii="ITC Avant Garde" w:hAnsi="ITC Avant Garde" w:cs="Arial"/>
          <w:bCs/>
          <w:iCs/>
          <w:lang w:eastAsia="en-US"/>
        </w:rPr>
      </w:pPr>
      <w:r w:rsidRPr="002446CA">
        <w:rPr>
          <w:rFonts w:ascii="ITC Avant Garde" w:hAnsi="ITC Avant Garde" w:cs="Arial"/>
          <w:bCs/>
          <w:iCs/>
          <w:lang w:eastAsia="en-US"/>
        </w:rPr>
        <w:t>La Recomendación UIT-T G.911</w:t>
      </w:r>
      <w:r w:rsidRPr="002446CA">
        <w:rPr>
          <w:rFonts w:ascii="ITC Avant Garde" w:hAnsi="ITC Avant Garde" w:cs="Arial"/>
          <w:bCs/>
          <w:iCs/>
          <w:vertAlign w:val="superscript"/>
          <w:lang w:eastAsia="en-US"/>
        </w:rPr>
        <w:footnoteReference w:id="8"/>
      </w:r>
      <w:r w:rsidRPr="002446CA">
        <w:rPr>
          <w:rFonts w:ascii="ITC Avant Garde" w:hAnsi="ITC Avant Garde" w:cs="Arial"/>
          <w:bCs/>
          <w:iCs/>
          <w:lang w:eastAsia="en-US"/>
        </w:rPr>
        <w:t>, señala que el objetivo de una red redundante es que los usuarios perciban un alto nivel de disponibilidad de los servicios, lo que un operador puede conseguir, pero, a un cierto costo.</w:t>
      </w:r>
    </w:p>
    <w:p w14:paraId="2F4661FD" w14:textId="77777777" w:rsidR="006F0F5D" w:rsidRPr="002446CA" w:rsidRDefault="006F0F5D" w:rsidP="006F0F5D">
      <w:pPr>
        <w:tabs>
          <w:tab w:val="left" w:pos="426"/>
        </w:tabs>
        <w:spacing w:line="276" w:lineRule="auto"/>
        <w:ind w:right="49"/>
        <w:rPr>
          <w:rFonts w:ascii="ITC Avant Garde" w:hAnsi="ITC Avant Garde" w:cs="Arial"/>
          <w:bCs/>
          <w:iCs/>
          <w:lang w:eastAsia="en-US"/>
        </w:rPr>
      </w:pPr>
    </w:p>
    <w:p w14:paraId="3A29FEA7" w14:textId="77777777" w:rsidR="006F0F5D" w:rsidRPr="002446CA" w:rsidRDefault="006F0F5D" w:rsidP="006F0F5D">
      <w:pPr>
        <w:tabs>
          <w:tab w:val="left" w:pos="426"/>
        </w:tabs>
        <w:spacing w:line="276" w:lineRule="auto"/>
        <w:ind w:right="49"/>
        <w:rPr>
          <w:rFonts w:ascii="ITC Avant Garde" w:hAnsi="ITC Avant Garde" w:cs="Arial"/>
          <w:bCs/>
          <w:iCs/>
          <w:lang w:eastAsia="en-US"/>
        </w:rPr>
      </w:pPr>
      <w:r w:rsidRPr="002446CA">
        <w:rPr>
          <w:rFonts w:ascii="ITC Avant Garde" w:hAnsi="ITC Avant Garde" w:cs="Arial"/>
          <w:bCs/>
          <w:iCs/>
          <w:lang w:eastAsia="en-US"/>
        </w:rPr>
        <w:t xml:space="preserve">Asimismo, es importante considerar el carácter aleatorio y temporal de una falla, por lo que el esquema de redundancia con la que deben contar los enlaces de interconexión a efecto de generar la menor afectación posible en caso de falla debe lograr un equilibrio entre la capacidad sin utilizar y disponible todo el tiempo </w:t>
      </w:r>
      <w:r w:rsidRPr="002446CA">
        <w:rPr>
          <w:rFonts w:ascii="ITC Avant Garde" w:hAnsi="ITC Avant Garde" w:cs="Arial"/>
          <w:bCs/>
          <w:iCs/>
          <w:lang w:eastAsia="en-US"/>
        </w:rPr>
        <w:lastRenderedPageBreak/>
        <w:t>(ociosa), y la capacidad que permita atender la mayor cantidad de tráfico en el peor escenario de falla (la hora pico), a través de un uso eficiente de los recursos de red.</w:t>
      </w:r>
    </w:p>
    <w:p w14:paraId="781B1B0A" w14:textId="77777777" w:rsidR="006F0F5D" w:rsidRDefault="006F0F5D" w:rsidP="006F0F5D">
      <w:pPr>
        <w:tabs>
          <w:tab w:val="left" w:pos="426"/>
        </w:tabs>
        <w:spacing w:line="276" w:lineRule="auto"/>
        <w:ind w:right="49"/>
        <w:rPr>
          <w:rFonts w:ascii="ITC Avant Garde" w:hAnsi="ITC Avant Garde" w:cs="Arial"/>
          <w:bCs/>
          <w:iCs/>
          <w:lang w:eastAsia="en-US"/>
        </w:rPr>
      </w:pPr>
    </w:p>
    <w:p w14:paraId="4DBD0E42" w14:textId="209AB597" w:rsidR="00375AFC" w:rsidRPr="002446CA" w:rsidRDefault="00375AFC" w:rsidP="00375AFC">
      <w:pPr>
        <w:tabs>
          <w:tab w:val="left" w:pos="426"/>
        </w:tabs>
        <w:spacing w:line="276" w:lineRule="auto"/>
        <w:ind w:right="49"/>
        <w:rPr>
          <w:rFonts w:ascii="ITC Avant Garde" w:hAnsi="ITC Avant Garde" w:cs="Arial"/>
          <w:bCs/>
          <w:iCs/>
          <w:lang w:eastAsia="en-US"/>
        </w:rPr>
      </w:pPr>
      <w:r>
        <w:rPr>
          <w:rFonts w:ascii="ITC Avant Garde" w:hAnsi="ITC Avant Garde" w:cs="Arial"/>
          <w:bCs/>
          <w:iCs/>
          <w:lang w:eastAsia="en-US"/>
        </w:rPr>
        <w:t>Del mismo modo, se debe considerar que l</w:t>
      </w:r>
      <w:r w:rsidRPr="002446CA">
        <w:rPr>
          <w:rFonts w:ascii="ITC Avant Garde" w:hAnsi="ITC Avant Garde" w:cs="Arial"/>
          <w:bCs/>
          <w:iCs/>
          <w:lang w:eastAsia="en-US"/>
        </w:rPr>
        <w:t>os esquemas de redundancia depende</w:t>
      </w:r>
      <w:r>
        <w:rPr>
          <w:rFonts w:ascii="ITC Avant Garde" w:hAnsi="ITC Avant Garde" w:cs="Arial"/>
          <w:bCs/>
          <w:iCs/>
          <w:lang w:eastAsia="en-US"/>
        </w:rPr>
        <w:t>n</w:t>
      </w:r>
      <w:r w:rsidRPr="002446CA">
        <w:rPr>
          <w:rFonts w:ascii="ITC Avant Garde" w:hAnsi="ITC Avant Garde" w:cs="Arial"/>
          <w:bCs/>
          <w:iCs/>
          <w:lang w:eastAsia="en-US"/>
        </w:rPr>
        <w:t xml:space="preserve"> de factores exclusivos de cada red pública a interconectarse como son: arquitectura de las redes, volumen de tráfico, tamaño de las redes, presencia geográfica, entre otros factores, y que permitan hacer un uso eficiente de los recursos de red.</w:t>
      </w:r>
    </w:p>
    <w:p w14:paraId="0E755D15" w14:textId="77777777" w:rsidR="00375AFC" w:rsidRDefault="00375AFC" w:rsidP="006F0F5D">
      <w:pPr>
        <w:tabs>
          <w:tab w:val="left" w:pos="426"/>
        </w:tabs>
        <w:spacing w:line="276" w:lineRule="auto"/>
        <w:ind w:right="49"/>
        <w:rPr>
          <w:rFonts w:ascii="ITC Avant Garde" w:hAnsi="ITC Avant Garde" w:cs="Arial"/>
          <w:bCs/>
          <w:iCs/>
          <w:lang w:eastAsia="en-US"/>
        </w:rPr>
      </w:pPr>
    </w:p>
    <w:p w14:paraId="3239CF42" w14:textId="70FE64C4" w:rsidR="000E1948" w:rsidRDefault="00E86372" w:rsidP="00375AFC">
      <w:pPr>
        <w:tabs>
          <w:tab w:val="left" w:pos="426"/>
        </w:tabs>
        <w:spacing w:line="276" w:lineRule="auto"/>
        <w:ind w:right="49"/>
        <w:rPr>
          <w:rFonts w:ascii="ITC Avant Garde" w:hAnsi="ITC Avant Garde" w:cs="Arial"/>
          <w:bCs/>
          <w:iCs/>
          <w:lang w:eastAsia="en-US"/>
        </w:rPr>
      </w:pPr>
      <w:r>
        <w:rPr>
          <w:rFonts w:ascii="ITC Avant Garde" w:hAnsi="ITC Avant Garde" w:cs="Arial"/>
          <w:bCs/>
          <w:iCs/>
          <w:lang w:eastAsia="en-US"/>
        </w:rPr>
        <w:t xml:space="preserve">Además, </w:t>
      </w:r>
      <w:r w:rsidR="00215DB8">
        <w:rPr>
          <w:rFonts w:ascii="ITC Avant Garde" w:hAnsi="ITC Avant Garde" w:cs="Arial"/>
          <w:bCs/>
          <w:iCs/>
          <w:lang w:eastAsia="en-US"/>
        </w:rPr>
        <w:t>la Condición Tercera establece que, para garantizar la continuidad en la prestación del servicio, los concesionarios deberán contar con redundancia entre sitios o entre puntos de interconexión, además de poder establecer, cuando así convenga a sus necesidades de tráfico, redundancia física con conexión a dos puntos de interconexión en la misma ciudad con diversidad de trayectoria</w:t>
      </w:r>
      <w:r w:rsidR="00F34E01">
        <w:rPr>
          <w:rFonts w:ascii="ITC Avant Garde" w:hAnsi="ITC Avant Garde" w:cs="Arial"/>
          <w:bCs/>
          <w:iCs/>
          <w:lang w:eastAsia="en-US"/>
        </w:rPr>
        <w:t>.</w:t>
      </w:r>
      <w:r w:rsidR="0083039C">
        <w:rPr>
          <w:rFonts w:ascii="ITC Avant Garde" w:hAnsi="ITC Avant Garde" w:cs="Arial"/>
          <w:bCs/>
          <w:iCs/>
          <w:lang w:eastAsia="en-US"/>
        </w:rPr>
        <w:t xml:space="preserve"> </w:t>
      </w:r>
      <w:r w:rsidR="006F0F5D" w:rsidRPr="002446CA">
        <w:rPr>
          <w:rFonts w:ascii="ITC Avant Garde" w:hAnsi="ITC Avant Garde" w:cs="Arial"/>
          <w:bCs/>
          <w:iCs/>
          <w:lang w:eastAsia="en-US"/>
        </w:rPr>
        <w:t xml:space="preserve">Por lo anterior, el Acuerdo de CTM </w:t>
      </w:r>
      <w:r w:rsidR="00781583">
        <w:rPr>
          <w:rFonts w:ascii="ITC Avant Garde" w:hAnsi="ITC Avant Garde" w:cs="Arial"/>
          <w:bCs/>
          <w:iCs/>
          <w:lang w:eastAsia="en-US"/>
        </w:rPr>
        <w:t xml:space="preserve">se mantiene </w:t>
      </w:r>
      <w:r w:rsidR="006F0F5D" w:rsidRPr="002446CA">
        <w:rPr>
          <w:rFonts w:ascii="ITC Avant Garde" w:hAnsi="ITC Avant Garde" w:cs="Arial"/>
          <w:bCs/>
          <w:iCs/>
          <w:lang w:eastAsia="en-US"/>
        </w:rPr>
        <w:t xml:space="preserve">en los </w:t>
      </w:r>
      <w:r w:rsidR="00B96E54">
        <w:rPr>
          <w:rFonts w:ascii="ITC Avant Garde" w:hAnsi="ITC Avant Garde" w:cs="Arial"/>
          <w:bCs/>
          <w:iCs/>
          <w:lang w:eastAsia="en-US"/>
        </w:rPr>
        <w:t xml:space="preserve">mismos </w:t>
      </w:r>
      <w:r w:rsidR="006F0F5D" w:rsidRPr="002446CA">
        <w:rPr>
          <w:rFonts w:ascii="ITC Avant Garde" w:hAnsi="ITC Avant Garde" w:cs="Arial"/>
          <w:bCs/>
          <w:iCs/>
          <w:lang w:eastAsia="en-US"/>
        </w:rPr>
        <w:t>términos</w:t>
      </w:r>
      <w:r w:rsidR="00375AFC">
        <w:rPr>
          <w:rFonts w:ascii="ITC Avant Garde" w:hAnsi="ITC Avant Garde" w:cs="Arial"/>
          <w:bCs/>
          <w:iCs/>
          <w:lang w:eastAsia="en-US"/>
        </w:rPr>
        <w:t>.</w:t>
      </w:r>
    </w:p>
    <w:p w14:paraId="74B915FB" w14:textId="77777777" w:rsidR="00375AFC" w:rsidRDefault="00375AFC" w:rsidP="00BC4A47">
      <w:pPr>
        <w:tabs>
          <w:tab w:val="left" w:pos="426"/>
        </w:tabs>
        <w:spacing w:line="276" w:lineRule="auto"/>
        <w:ind w:right="49"/>
        <w:rPr>
          <w:rFonts w:ascii="ITC Avant Garde" w:hAnsi="ITC Avant Garde"/>
          <w:b/>
          <w:color w:val="auto"/>
          <w:u w:val="single"/>
        </w:rPr>
      </w:pPr>
    </w:p>
    <w:p w14:paraId="2DCAEA47" w14:textId="4228CC7E" w:rsidR="00F20336" w:rsidRPr="003A26FF" w:rsidRDefault="00D1024C"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BF780B" w:rsidRPr="003A26FF">
        <w:rPr>
          <w:rFonts w:ascii="ITC Avant Garde" w:hAnsi="ITC Avant Garde"/>
          <w:b/>
          <w:color w:val="auto"/>
          <w:u w:val="single"/>
        </w:rPr>
        <w:t xml:space="preserve"> Sexta</w:t>
      </w:r>
    </w:p>
    <w:p w14:paraId="2F0B1046" w14:textId="6D1621D7" w:rsidR="00F20336" w:rsidRPr="003A26FF" w:rsidRDefault="00F20336" w:rsidP="00881341">
      <w:pPr>
        <w:spacing w:after="0" w:line="276" w:lineRule="auto"/>
        <w:ind w:left="0" w:right="0" w:firstLine="0"/>
        <w:rPr>
          <w:rFonts w:ascii="ITC Avant Garde" w:hAnsi="ITC Avant Garde"/>
          <w:color w:val="auto"/>
        </w:rPr>
      </w:pPr>
    </w:p>
    <w:p w14:paraId="2E0C27C1" w14:textId="54B50957" w:rsidR="001A6BC1" w:rsidRPr="003A26FF" w:rsidRDefault="001A6BC1" w:rsidP="00684942">
      <w:pPr>
        <w:spacing w:after="0" w:line="276" w:lineRule="auto"/>
        <w:ind w:right="0"/>
        <w:rPr>
          <w:rFonts w:ascii="ITC Avant Garde" w:hAnsi="ITC Avant Garde"/>
          <w:b/>
          <w:color w:val="auto"/>
        </w:rPr>
      </w:pPr>
      <w:r w:rsidRPr="003A26FF">
        <w:rPr>
          <w:rFonts w:ascii="ITC Avant Garde" w:hAnsi="ITC Avant Garde"/>
          <w:b/>
          <w:color w:val="auto"/>
        </w:rPr>
        <w:t>Televisa</w:t>
      </w:r>
    </w:p>
    <w:p w14:paraId="41B3382F" w14:textId="05463101" w:rsidR="001A6BC1" w:rsidRPr="003A26FF" w:rsidRDefault="001A6BC1" w:rsidP="001A6BC1">
      <w:pPr>
        <w:spacing w:after="0" w:line="276" w:lineRule="auto"/>
        <w:ind w:right="0"/>
        <w:rPr>
          <w:rFonts w:ascii="ITC Avant Garde" w:hAnsi="ITC Avant Garde"/>
          <w:color w:val="auto"/>
        </w:rPr>
      </w:pPr>
      <w:r w:rsidRPr="003A26FF">
        <w:rPr>
          <w:rFonts w:ascii="ITC Avant Garde" w:hAnsi="ITC Avant Garde"/>
          <w:color w:val="auto"/>
        </w:rPr>
        <w:t>Solicita que se defina explícitamente un esquema de carga que tenga en cuenta la distribución geográfica y la carga de red de los diferentes puntos de interconexión. Esto con el objetivo de favorecer un reparto lo más uniforme posible entre los puntos de interconexión.</w:t>
      </w:r>
    </w:p>
    <w:p w14:paraId="628A4FD7" w14:textId="77777777" w:rsidR="0043425D" w:rsidRPr="003A26FF" w:rsidRDefault="0043425D" w:rsidP="000A6620">
      <w:pPr>
        <w:spacing w:after="0" w:line="276" w:lineRule="auto"/>
        <w:ind w:left="0" w:right="0" w:firstLine="0"/>
        <w:rPr>
          <w:rFonts w:ascii="ITC Avant Garde" w:hAnsi="ITC Avant Garde"/>
          <w:b/>
          <w:color w:val="auto"/>
          <w:u w:val="single"/>
        </w:rPr>
      </w:pPr>
    </w:p>
    <w:p w14:paraId="717E69D3" w14:textId="6161085A" w:rsidR="000A6620" w:rsidRPr="003A26FF" w:rsidRDefault="000A6620" w:rsidP="000A6620">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51B3240F" w14:textId="77777777" w:rsidR="003E75CD" w:rsidRPr="003A26FF" w:rsidRDefault="003E75CD" w:rsidP="001A6BC1">
      <w:pPr>
        <w:spacing w:after="0" w:line="276" w:lineRule="auto"/>
        <w:ind w:right="0"/>
        <w:rPr>
          <w:rFonts w:ascii="ITC Avant Garde" w:hAnsi="ITC Avant Garde"/>
          <w:color w:val="auto"/>
        </w:rPr>
      </w:pPr>
    </w:p>
    <w:p w14:paraId="70D2B48C" w14:textId="600F9AD1" w:rsidR="000A6620" w:rsidRPr="00371D60" w:rsidRDefault="00E679EC" w:rsidP="001A6BC1">
      <w:pPr>
        <w:spacing w:after="0" w:line="276" w:lineRule="auto"/>
        <w:ind w:right="0"/>
        <w:rPr>
          <w:rFonts w:ascii="ITC Avant Garde" w:hAnsi="ITC Avant Garde"/>
          <w:color w:val="auto"/>
        </w:rPr>
      </w:pPr>
      <w:r w:rsidRPr="003A26FF">
        <w:rPr>
          <w:rFonts w:ascii="ITC Avant Garde" w:hAnsi="ITC Avant Garde"/>
          <w:color w:val="auto"/>
        </w:rPr>
        <w:t xml:space="preserve">Un esquema de carga depende de factores exclusivos de cada </w:t>
      </w:r>
      <w:r w:rsidR="00823171" w:rsidRPr="003A26FF">
        <w:rPr>
          <w:rFonts w:ascii="ITC Avant Garde" w:hAnsi="ITC Avant Garde"/>
          <w:color w:val="auto"/>
        </w:rPr>
        <w:t xml:space="preserve">una de las </w:t>
      </w:r>
      <w:r w:rsidRPr="003A26FF">
        <w:rPr>
          <w:rFonts w:ascii="ITC Avant Garde" w:hAnsi="ITC Avant Garde"/>
          <w:color w:val="auto"/>
        </w:rPr>
        <w:t>red</w:t>
      </w:r>
      <w:r w:rsidR="00823171" w:rsidRPr="003A26FF">
        <w:rPr>
          <w:rFonts w:ascii="ITC Avant Garde" w:hAnsi="ITC Avant Garde"/>
          <w:color w:val="auto"/>
        </w:rPr>
        <w:t>es</w:t>
      </w:r>
      <w:r w:rsidRPr="003A26FF">
        <w:rPr>
          <w:rFonts w:ascii="ITC Avant Garde" w:hAnsi="ITC Avant Garde"/>
          <w:color w:val="auto"/>
        </w:rPr>
        <w:t xml:space="preserve"> pública</w:t>
      </w:r>
      <w:r w:rsidR="00823171" w:rsidRPr="003A26FF">
        <w:rPr>
          <w:rFonts w:ascii="ITC Avant Garde" w:hAnsi="ITC Avant Garde"/>
          <w:color w:val="auto"/>
        </w:rPr>
        <w:t>s</w:t>
      </w:r>
      <w:r w:rsidRPr="003A26FF">
        <w:rPr>
          <w:rFonts w:ascii="ITC Avant Garde" w:hAnsi="ITC Avant Garde"/>
          <w:color w:val="auto"/>
        </w:rPr>
        <w:t xml:space="preserve"> a interconectarse, como son: arquitectura de las redes, volumen de tráfico, tamaño de las redes, presencia geográfica, entre otros factores, por lo que l</w:t>
      </w:r>
      <w:r w:rsidR="000A6620" w:rsidRPr="003A26FF">
        <w:rPr>
          <w:rFonts w:ascii="ITC Avant Garde" w:hAnsi="ITC Avant Garde"/>
          <w:color w:val="auto"/>
        </w:rPr>
        <w:t xml:space="preserve">a distribución geográfica y la carga se puede determinar de común acuerdo entre </w:t>
      </w:r>
      <w:r w:rsidR="000A6620" w:rsidRPr="00371D60">
        <w:rPr>
          <w:rFonts w:ascii="ITC Avant Garde" w:hAnsi="ITC Avant Garde"/>
          <w:color w:val="auto"/>
        </w:rPr>
        <w:t>los concesionarios que se interconectan.</w:t>
      </w:r>
    </w:p>
    <w:p w14:paraId="1B178E05" w14:textId="77777777" w:rsidR="00371D60" w:rsidRDefault="00371D60" w:rsidP="00684942">
      <w:pPr>
        <w:spacing w:after="0" w:line="276" w:lineRule="auto"/>
        <w:ind w:right="0"/>
        <w:rPr>
          <w:rFonts w:ascii="ITC Avant Garde" w:hAnsi="ITC Avant Garde"/>
          <w:b/>
          <w:color w:val="auto"/>
        </w:rPr>
      </w:pPr>
    </w:p>
    <w:p w14:paraId="2B58AF17" w14:textId="199C4534" w:rsidR="00F710BC" w:rsidRDefault="00F710BC" w:rsidP="00684942">
      <w:pPr>
        <w:spacing w:after="0" w:line="276" w:lineRule="auto"/>
        <w:ind w:right="0"/>
        <w:rPr>
          <w:rFonts w:ascii="ITC Avant Garde" w:hAnsi="ITC Avant Garde"/>
          <w:b/>
          <w:color w:val="auto"/>
        </w:rPr>
      </w:pPr>
      <w:r w:rsidRPr="00F710BC">
        <w:rPr>
          <w:rFonts w:ascii="ITC Avant Garde" w:hAnsi="ITC Avant Garde"/>
          <w:b/>
          <w:color w:val="auto"/>
        </w:rPr>
        <w:t>MCM</w:t>
      </w:r>
    </w:p>
    <w:p w14:paraId="29083A50" w14:textId="77777777" w:rsidR="00F710BC" w:rsidRPr="005208FE" w:rsidRDefault="00F710BC" w:rsidP="00F710BC">
      <w:pPr>
        <w:spacing w:after="0" w:line="276" w:lineRule="auto"/>
        <w:ind w:right="0"/>
        <w:rPr>
          <w:rFonts w:ascii="ITC Avant Garde" w:hAnsi="ITC Avant Garde"/>
          <w:bCs/>
          <w:color w:val="auto"/>
        </w:rPr>
      </w:pPr>
      <w:r w:rsidRPr="005208FE">
        <w:rPr>
          <w:rFonts w:ascii="ITC Avant Garde" w:hAnsi="ITC Avant Garde"/>
          <w:bCs/>
          <w:color w:val="auto"/>
        </w:rPr>
        <w:t>Menciona que se debe de añadir la siguiente redacción:</w:t>
      </w:r>
    </w:p>
    <w:p w14:paraId="3BB1DE56" w14:textId="77777777" w:rsidR="00F710BC" w:rsidRPr="005208FE" w:rsidRDefault="00F710BC" w:rsidP="00F710BC">
      <w:pPr>
        <w:spacing w:after="0" w:line="276" w:lineRule="auto"/>
        <w:ind w:right="0"/>
        <w:rPr>
          <w:rFonts w:ascii="ITC Avant Garde" w:hAnsi="ITC Avant Garde"/>
          <w:b/>
          <w:color w:val="auto"/>
        </w:rPr>
      </w:pPr>
    </w:p>
    <w:p w14:paraId="31AB69D3" w14:textId="77777777" w:rsidR="00F710BC" w:rsidRPr="005208FE" w:rsidRDefault="00F710BC" w:rsidP="00F710BC">
      <w:pPr>
        <w:spacing w:after="0" w:line="276" w:lineRule="auto"/>
        <w:ind w:left="567" w:right="616" w:firstLine="0"/>
        <w:rPr>
          <w:rFonts w:ascii="ITC Avant Garde" w:hAnsi="ITC Avant Garde"/>
          <w:b/>
          <w:bCs/>
          <w:i/>
          <w:iCs/>
          <w:color w:val="auto"/>
          <w:sz w:val="18"/>
          <w:szCs w:val="18"/>
          <w:u w:val="single"/>
        </w:rPr>
      </w:pPr>
      <w:r w:rsidRPr="005208FE">
        <w:rPr>
          <w:rFonts w:ascii="ITC Avant Garde" w:hAnsi="ITC Avant Garde"/>
          <w:i/>
          <w:iCs/>
          <w:color w:val="auto"/>
          <w:sz w:val="18"/>
          <w:szCs w:val="18"/>
        </w:rPr>
        <w:t xml:space="preserve">“Sexta.- Los puertos de acceso que proporcione el Concesionario Solicitado serán de capacidades acordes a la capacidad del enlace de transmisión de interconexión. </w:t>
      </w:r>
      <w:r w:rsidRPr="005208FE">
        <w:rPr>
          <w:rFonts w:ascii="ITC Avant Garde" w:hAnsi="ITC Avant Garde"/>
          <w:b/>
          <w:bCs/>
          <w:i/>
          <w:iCs/>
          <w:color w:val="auto"/>
          <w:sz w:val="18"/>
          <w:szCs w:val="18"/>
          <w:u w:val="single"/>
        </w:rPr>
        <w:t xml:space="preserve">Tratándose del servicio de mensajes cortos los TPS que proporcione el Concesionario Solicitado serán de capacidades acordes a la capacidad del enlace de transmisión de interconexión y al volumen de mensajes enviados por el Concesionario Solicitante con el fin de garantizar buena calidad de servicio. </w:t>
      </w:r>
    </w:p>
    <w:p w14:paraId="1807A2AA" w14:textId="77777777" w:rsidR="00F710BC" w:rsidRPr="005208FE" w:rsidRDefault="00F710BC" w:rsidP="00F710BC">
      <w:pPr>
        <w:spacing w:after="0" w:line="276" w:lineRule="auto"/>
        <w:ind w:left="567" w:right="616" w:firstLine="0"/>
        <w:rPr>
          <w:rFonts w:ascii="ITC Avant Garde" w:hAnsi="ITC Avant Garde"/>
          <w:i/>
          <w:iCs/>
          <w:color w:val="auto"/>
          <w:sz w:val="18"/>
          <w:szCs w:val="18"/>
        </w:rPr>
      </w:pPr>
    </w:p>
    <w:p w14:paraId="77F81385" w14:textId="77777777" w:rsidR="00F710BC" w:rsidRPr="005208FE" w:rsidRDefault="00F710BC" w:rsidP="00F710BC">
      <w:pPr>
        <w:spacing w:after="0" w:line="276" w:lineRule="auto"/>
        <w:ind w:left="567" w:right="616" w:firstLine="0"/>
        <w:rPr>
          <w:rFonts w:ascii="ITC Avant Garde" w:hAnsi="ITC Avant Garde"/>
          <w:i/>
          <w:iCs/>
          <w:color w:val="auto"/>
          <w:sz w:val="18"/>
          <w:szCs w:val="18"/>
        </w:rPr>
      </w:pPr>
      <w:r w:rsidRPr="005208FE">
        <w:rPr>
          <w:rFonts w:ascii="ITC Avant Garde" w:hAnsi="ITC Avant Garde"/>
          <w:i/>
          <w:iCs/>
          <w:color w:val="auto"/>
          <w:sz w:val="18"/>
          <w:szCs w:val="18"/>
        </w:rPr>
        <w:t>A elección del Concesionario Solicitante el tipo de tráfico del servicio de voz que se podrá intercambiar a través de los puertos de acceso será de cualquier origen o destino dentro del territorio nacional, así como de cualquier tipo (local, entre localidades, tránsito, móvil, fijo).</w:t>
      </w:r>
    </w:p>
    <w:p w14:paraId="0311C543" w14:textId="77777777" w:rsidR="00F710BC" w:rsidRPr="005208FE" w:rsidRDefault="00F710BC" w:rsidP="00F710BC">
      <w:pPr>
        <w:spacing w:after="0" w:line="276" w:lineRule="auto"/>
        <w:ind w:left="567" w:right="616" w:firstLine="0"/>
        <w:rPr>
          <w:rFonts w:ascii="ITC Avant Garde" w:hAnsi="ITC Avant Garde"/>
          <w:i/>
          <w:iCs/>
          <w:color w:val="auto"/>
          <w:sz w:val="18"/>
          <w:szCs w:val="18"/>
        </w:rPr>
      </w:pPr>
    </w:p>
    <w:p w14:paraId="5BC95D33" w14:textId="77777777" w:rsidR="00F710BC" w:rsidRPr="005208FE" w:rsidRDefault="00F710BC" w:rsidP="00F710BC">
      <w:pPr>
        <w:spacing w:after="0" w:line="276" w:lineRule="auto"/>
        <w:ind w:left="567" w:right="616" w:firstLine="0"/>
        <w:rPr>
          <w:rFonts w:ascii="ITC Avant Garde" w:hAnsi="ITC Avant Garde"/>
          <w:b/>
          <w:bCs/>
          <w:i/>
          <w:iCs/>
          <w:color w:val="auto"/>
          <w:sz w:val="18"/>
          <w:szCs w:val="18"/>
          <w:u w:val="single"/>
        </w:rPr>
      </w:pPr>
      <w:r w:rsidRPr="005208FE">
        <w:rPr>
          <w:rFonts w:ascii="ITC Avant Garde" w:hAnsi="ITC Avant Garde"/>
          <w:b/>
          <w:bCs/>
          <w:i/>
          <w:iCs/>
          <w:color w:val="auto"/>
          <w:sz w:val="18"/>
          <w:szCs w:val="18"/>
          <w:u w:val="single"/>
        </w:rPr>
        <w:t>Tratándose del servicio de mensajes cortos el tipo de tráfico que se podrá intercambiar a través de la interconexión será de cualquier modalidad P2P, A2P y P2A.</w:t>
      </w:r>
    </w:p>
    <w:p w14:paraId="570960C5" w14:textId="77777777" w:rsidR="00F710BC" w:rsidRPr="005208FE" w:rsidRDefault="00F710BC" w:rsidP="00F710BC">
      <w:pPr>
        <w:spacing w:after="0" w:line="276" w:lineRule="auto"/>
        <w:ind w:left="567" w:right="616" w:firstLine="0"/>
        <w:rPr>
          <w:rFonts w:ascii="ITC Avant Garde" w:hAnsi="ITC Avant Garde"/>
          <w:b/>
          <w:bCs/>
          <w:i/>
          <w:iCs/>
          <w:color w:val="auto"/>
          <w:sz w:val="18"/>
          <w:szCs w:val="18"/>
          <w:u w:val="single"/>
        </w:rPr>
      </w:pPr>
      <w:r w:rsidRPr="005208FE">
        <w:rPr>
          <w:rFonts w:ascii="ITC Avant Garde" w:hAnsi="ITC Avant Garde"/>
          <w:b/>
          <w:bCs/>
          <w:i/>
          <w:iCs/>
          <w:color w:val="auto"/>
          <w:sz w:val="18"/>
          <w:szCs w:val="18"/>
          <w:u w:val="single"/>
        </w:rPr>
        <w:t>[….]</w:t>
      </w:r>
    </w:p>
    <w:p w14:paraId="1DD23DFC" w14:textId="77777777" w:rsidR="00F710BC" w:rsidRPr="005208FE" w:rsidRDefault="00F710BC" w:rsidP="00F710BC">
      <w:pPr>
        <w:spacing w:after="0" w:line="276" w:lineRule="auto"/>
        <w:ind w:left="567" w:right="616" w:firstLine="0"/>
        <w:rPr>
          <w:rFonts w:ascii="ITC Avant Garde" w:hAnsi="ITC Avant Garde"/>
          <w:i/>
          <w:iCs/>
          <w:color w:val="auto"/>
          <w:sz w:val="18"/>
          <w:szCs w:val="18"/>
        </w:rPr>
      </w:pPr>
      <w:r w:rsidRPr="005208FE">
        <w:rPr>
          <w:rFonts w:ascii="ITC Avant Garde" w:hAnsi="ITC Avant Garde"/>
          <w:i/>
          <w:iCs/>
          <w:color w:val="auto"/>
          <w:sz w:val="18"/>
          <w:szCs w:val="18"/>
        </w:rPr>
        <w:t>Mensajes Cortos</w:t>
      </w:r>
    </w:p>
    <w:p w14:paraId="5C9FDD0B" w14:textId="25A0ACEA" w:rsidR="00F710BC" w:rsidRPr="005208FE" w:rsidRDefault="00F710BC" w:rsidP="00F710BC">
      <w:pPr>
        <w:spacing w:after="0" w:line="276" w:lineRule="auto"/>
        <w:ind w:left="567" w:right="616" w:firstLine="0"/>
        <w:rPr>
          <w:rFonts w:ascii="ITC Avant Garde" w:hAnsi="ITC Avant Garde"/>
          <w:b/>
          <w:bCs/>
          <w:i/>
          <w:iCs/>
          <w:color w:val="auto"/>
          <w:sz w:val="18"/>
          <w:szCs w:val="18"/>
          <w:u w:val="single"/>
        </w:rPr>
      </w:pPr>
      <w:r w:rsidRPr="005208FE">
        <w:rPr>
          <w:rFonts w:ascii="ITC Avant Garde" w:hAnsi="ITC Avant Garde"/>
          <w:b/>
          <w:bCs/>
          <w:i/>
          <w:iCs/>
          <w:color w:val="auto"/>
          <w:sz w:val="18"/>
          <w:szCs w:val="18"/>
          <w:u w:val="single"/>
        </w:rPr>
        <w:t>Los enlaces de transmisión deberán proporcionarse con una capacidad inicial de al menos 10 Mbps o 100 Mbps y deberán ser modulares en saltos de 10 Mbps o 100 Mbps, todo ello a elección del Concesionario Solicitante, con independencia de que el canal físico soporte las velocidades señaladas en la Condición Quinta.”</w:t>
      </w:r>
    </w:p>
    <w:p w14:paraId="59F23EB9" w14:textId="77777777" w:rsidR="00E77208" w:rsidRPr="005208FE" w:rsidRDefault="00E77208" w:rsidP="00E77208">
      <w:pPr>
        <w:spacing w:after="0" w:line="276" w:lineRule="auto"/>
        <w:ind w:left="0" w:right="0" w:firstLine="0"/>
        <w:rPr>
          <w:rFonts w:ascii="ITC Avant Garde" w:hAnsi="ITC Avant Garde"/>
          <w:b/>
          <w:color w:val="auto"/>
          <w:u w:val="single"/>
        </w:rPr>
      </w:pPr>
    </w:p>
    <w:p w14:paraId="0E4CF4DC" w14:textId="395A5817" w:rsidR="00E77208" w:rsidRDefault="00E77208" w:rsidP="00E77208">
      <w:pPr>
        <w:spacing w:after="0" w:line="276" w:lineRule="auto"/>
        <w:ind w:left="0" w:right="0" w:firstLine="0"/>
        <w:rPr>
          <w:rFonts w:ascii="ITC Avant Garde" w:hAnsi="ITC Avant Garde"/>
          <w:b/>
          <w:color w:val="auto"/>
          <w:u w:val="single"/>
        </w:rPr>
      </w:pPr>
      <w:r w:rsidRPr="005208FE">
        <w:rPr>
          <w:rFonts w:ascii="ITC Avant Garde" w:hAnsi="ITC Avant Garde"/>
          <w:b/>
          <w:color w:val="auto"/>
          <w:u w:val="single"/>
        </w:rPr>
        <w:t>Consideraciones del Instituto</w:t>
      </w:r>
    </w:p>
    <w:p w14:paraId="7BAFE05D" w14:textId="77777777" w:rsidR="00BC1731" w:rsidRDefault="00BC1731" w:rsidP="00E77208">
      <w:pPr>
        <w:spacing w:after="0" w:line="276" w:lineRule="auto"/>
        <w:ind w:left="0" w:right="0" w:firstLine="0"/>
        <w:rPr>
          <w:rFonts w:ascii="ITC Avant Garde" w:hAnsi="ITC Avant Garde"/>
          <w:b/>
          <w:color w:val="auto"/>
          <w:u w:val="single"/>
        </w:rPr>
      </w:pPr>
    </w:p>
    <w:p w14:paraId="2B66EBAB" w14:textId="77777777" w:rsidR="00BC1731" w:rsidRPr="002446CA" w:rsidRDefault="00BC1731" w:rsidP="00BC1731">
      <w:pPr>
        <w:spacing w:after="0" w:line="276" w:lineRule="auto"/>
        <w:ind w:left="-5" w:right="49"/>
        <w:rPr>
          <w:rFonts w:ascii="ITC Avant Garde" w:hAnsi="ITC Avant Garde"/>
          <w:color w:val="auto"/>
        </w:rPr>
      </w:pPr>
      <w:r w:rsidRPr="002446CA">
        <w:rPr>
          <w:rFonts w:ascii="ITC Avant Garde" w:hAnsi="ITC Avant Garde"/>
          <w:color w:val="auto"/>
        </w:rPr>
        <w:t>La condición sexta del Acuerdo de CTM establece que los puertos de acceso serán de capacidades acordes a la capacidad del enlace de transmisión:</w:t>
      </w:r>
    </w:p>
    <w:p w14:paraId="266BBFDC" w14:textId="77777777" w:rsidR="00BC1731" w:rsidRPr="002446CA" w:rsidRDefault="00BC1731" w:rsidP="00BC1731">
      <w:pPr>
        <w:spacing w:after="0" w:line="276" w:lineRule="auto"/>
        <w:ind w:left="-5" w:right="49"/>
        <w:rPr>
          <w:rFonts w:ascii="ITC Avant Garde" w:hAnsi="ITC Avant Garde"/>
          <w:color w:val="auto"/>
        </w:rPr>
      </w:pPr>
    </w:p>
    <w:p w14:paraId="0EAC325E" w14:textId="77777777" w:rsidR="00BC1731" w:rsidRPr="002446CA" w:rsidRDefault="00BC1731" w:rsidP="00BC1731">
      <w:pPr>
        <w:spacing w:after="0" w:line="276" w:lineRule="auto"/>
        <w:ind w:left="567" w:right="615" w:firstLine="0"/>
        <w:rPr>
          <w:rFonts w:ascii="Arial" w:hAnsi="Arial" w:cs="Arial"/>
        </w:rPr>
      </w:pPr>
      <w:r w:rsidRPr="002446CA">
        <w:rPr>
          <w:rFonts w:ascii="ITC Avant Garde" w:hAnsi="ITC Avant Garde"/>
          <w:i/>
          <w:color w:val="auto"/>
          <w:sz w:val="18"/>
          <w:szCs w:val="18"/>
        </w:rPr>
        <w:t>“Sexta.- Los puertos de acceso que proporcione el Concesionario Solicitado serán de capacidades acordes a la capacidad del enlace de transmisión de interconexión.</w:t>
      </w:r>
      <w:r w:rsidRPr="002446CA">
        <w:rPr>
          <w:rFonts w:ascii="Arial" w:hAnsi="Arial" w:cs="Arial"/>
        </w:rPr>
        <w:t xml:space="preserve"> </w:t>
      </w:r>
    </w:p>
    <w:p w14:paraId="7F14F2A6" w14:textId="77777777" w:rsidR="00BC1731" w:rsidRPr="002446CA" w:rsidRDefault="00BC1731" w:rsidP="00BC1731">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w:t>
      </w:r>
    </w:p>
    <w:p w14:paraId="61ADB47A" w14:textId="77777777" w:rsidR="00BC1731" w:rsidRPr="002446CA" w:rsidRDefault="00BC1731" w:rsidP="00BC1731">
      <w:pPr>
        <w:spacing w:after="0" w:line="276" w:lineRule="auto"/>
        <w:ind w:left="-5" w:right="49"/>
        <w:rPr>
          <w:rFonts w:ascii="ITC Avant Garde" w:hAnsi="ITC Avant Garde"/>
          <w:color w:val="auto"/>
        </w:rPr>
      </w:pPr>
    </w:p>
    <w:p w14:paraId="5FF194FE" w14:textId="77777777" w:rsidR="00BC1731" w:rsidRPr="002446CA" w:rsidRDefault="00BC1731" w:rsidP="00BC1731">
      <w:pPr>
        <w:spacing w:after="0" w:line="276" w:lineRule="auto"/>
        <w:ind w:left="-5" w:right="49"/>
        <w:rPr>
          <w:rFonts w:ascii="ITC Avant Garde" w:hAnsi="ITC Avant Garde"/>
          <w:color w:val="auto"/>
        </w:rPr>
      </w:pPr>
      <w:r w:rsidRPr="002446CA">
        <w:rPr>
          <w:rFonts w:ascii="ITC Avant Garde" w:hAnsi="ITC Avant Garde"/>
          <w:color w:val="auto"/>
        </w:rPr>
        <w:t xml:space="preserve">Asimismo, establece que los enlaces y los puertos de acceso deberán proporcionarse con una capacidad inicial de 10 Mbps o 100 bps y deberán ser modulares en incrementos de 10 Mbps o 100 Mbps a elección del concesionario solicitante: </w:t>
      </w:r>
    </w:p>
    <w:p w14:paraId="51EDCAF6" w14:textId="77777777" w:rsidR="00BC1731" w:rsidRPr="002446CA" w:rsidRDefault="00BC1731" w:rsidP="00BC1731">
      <w:pPr>
        <w:spacing w:after="0" w:line="276" w:lineRule="auto"/>
        <w:ind w:left="0" w:right="0" w:firstLine="0"/>
        <w:rPr>
          <w:rFonts w:ascii="ITC Avant Garde" w:hAnsi="ITC Avant Garde"/>
          <w:b/>
          <w:color w:val="auto"/>
          <w:u w:val="single"/>
        </w:rPr>
      </w:pPr>
    </w:p>
    <w:p w14:paraId="2A900E6B" w14:textId="77777777" w:rsidR="00BC1731" w:rsidRPr="002446CA" w:rsidRDefault="00BC1731" w:rsidP="00BC1731">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“Los enlaces de transmisión y puertos de acceso deberán proporcionarse con una capacidad inicial de al menos 10 Mbps o 100 Mbps y deberán ser modulares en saltos de 10 Mbps o 100 Mbps, todo ello a elección del Concesionario Solicitante, con independencia de que el canal físico soporte las velocidades señaladas en la Condición Quinta.</w:t>
      </w:r>
    </w:p>
    <w:p w14:paraId="7385EA8C" w14:textId="77777777" w:rsidR="00BC1731" w:rsidRPr="002446CA" w:rsidRDefault="00BC1731" w:rsidP="00BC1731">
      <w:pPr>
        <w:spacing w:after="0" w:line="276" w:lineRule="auto"/>
        <w:ind w:left="567" w:right="615" w:firstLine="0"/>
        <w:rPr>
          <w:rFonts w:ascii="ITC Avant Garde" w:hAnsi="ITC Avant Garde"/>
          <w:i/>
          <w:color w:val="auto"/>
          <w:sz w:val="18"/>
          <w:szCs w:val="18"/>
        </w:rPr>
      </w:pPr>
      <w:r w:rsidRPr="002446CA">
        <w:rPr>
          <w:rFonts w:ascii="ITC Avant Garde" w:hAnsi="ITC Avant Garde"/>
          <w:i/>
          <w:color w:val="auto"/>
          <w:sz w:val="18"/>
          <w:szCs w:val="18"/>
        </w:rPr>
        <w:t>(…)”</w:t>
      </w:r>
    </w:p>
    <w:p w14:paraId="7383E83B" w14:textId="77777777" w:rsidR="00BC1731" w:rsidRPr="002446CA" w:rsidRDefault="00BC1731" w:rsidP="00BC1731">
      <w:pPr>
        <w:spacing w:after="0" w:line="276" w:lineRule="auto"/>
        <w:ind w:left="0" w:right="0" w:firstLine="0"/>
        <w:rPr>
          <w:rFonts w:ascii="ITC Avant Garde" w:hAnsi="ITC Avant Garde"/>
          <w:b/>
          <w:color w:val="auto"/>
          <w:u w:val="single"/>
        </w:rPr>
      </w:pPr>
    </w:p>
    <w:p w14:paraId="26710484" w14:textId="77777777" w:rsidR="00BC1731" w:rsidRPr="00C77B5C" w:rsidRDefault="00BC1731" w:rsidP="00BC1731">
      <w:pPr>
        <w:spacing w:after="0" w:line="276" w:lineRule="auto"/>
        <w:ind w:left="-5" w:right="49"/>
        <w:rPr>
          <w:rFonts w:ascii="ITC Avant Garde" w:hAnsi="ITC Avant Garde"/>
          <w:color w:val="auto"/>
        </w:rPr>
      </w:pPr>
      <w:r w:rsidRPr="002446CA">
        <w:rPr>
          <w:rFonts w:ascii="ITC Avant Garde" w:hAnsi="ITC Avant Garde"/>
          <w:color w:val="auto"/>
        </w:rPr>
        <w:t>Por lo anterior, se observa que el Acuerdo de CTM establece con precisión la capacidad que los concesionarios se deberán brindar mutuamente, por lo que éste se mantiene en los mismos términos.</w:t>
      </w:r>
      <w:r>
        <w:rPr>
          <w:rFonts w:ascii="ITC Avant Garde" w:hAnsi="ITC Avant Garde"/>
          <w:color w:val="auto"/>
        </w:rPr>
        <w:t xml:space="preserve"> </w:t>
      </w:r>
    </w:p>
    <w:p w14:paraId="6A1A2101" w14:textId="77777777" w:rsidR="00F710BC" w:rsidRDefault="00F710BC" w:rsidP="00684942">
      <w:pPr>
        <w:spacing w:after="0" w:line="276" w:lineRule="auto"/>
        <w:ind w:right="0"/>
        <w:rPr>
          <w:rFonts w:ascii="ITC Avant Garde" w:hAnsi="ITC Avant Garde"/>
          <w:b/>
          <w:color w:val="auto"/>
          <w:u w:val="single"/>
        </w:rPr>
      </w:pPr>
    </w:p>
    <w:p w14:paraId="15E68136" w14:textId="07710A2B" w:rsidR="00BE365F" w:rsidRPr="003A26FF" w:rsidRDefault="00597260"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BF780B" w:rsidRPr="003A26FF">
        <w:rPr>
          <w:rFonts w:ascii="ITC Avant Garde" w:hAnsi="ITC Avant Garde"/>
          <w:b/>
          <w:color w:val="auto"/>
          <w:u w:val="single"/>
        </w:rPr>
        <w:t xml:space="preserve"> Séptima</w:t>
      </w:r>
    </w:p>
    <w:p w14:paraId="7DE5F7EE" w14:textId="1AE82AC1" w:rsidR="00852B8A" w:rsidRPr="003A26FF" w:rsidRDefault="00852B8A" w:rsidP="00BE365F">
      <w:pPr>
        <w:spacing w:after="0" w:line="276" w:lineRule="auto"/>
        <w:ind w:left="-5" w:right="49"/>
        <w:rPr>
          <w:rFonts w:ascii="ITC Avant Garde" w:hAnsi="ITC Avant Garde"/>
          <w:b/>
          <w:color w:val="auto"/>
          <w:u w:val="single"/>
        </w:rPr>
      </w:pPr>
    </w:p>
    <w:p w14:paraId="57BCEA34" w14:textId="19124517" w:rsidR="00852B8A" w:rsidRPr="003A26FF" w:rsidRDefault="00852B8A"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Métodos SIP aplicables para sesiones de VoIP</w:t>
      </w:r>
    </w:p>
    <w:p w14:paraId="46F7C4DE" w14:textId="77777777" w:rsidR="00BE365F" w:rsidRPr="003A26FF" w:rsidRDefault="00BE365F" w:rsidP="00BE365F">
      <w:pPr>
        <w:spacing w:after="0" w:line="276" w:lineRule="auto"/>
        <w:ind w:left="0" w:right="0" w:firstLine="0"/>
        <w:rPr>
          <w:rFonts w:ascii="ITC Avant Garde" w:hAnsi="ITC Avant Garde"/>
          <w:color w:val="auto"/>
        </w:rPr>
      </w:pPr>
    </w:p>
    <w:p w14:paraId="2A4840BB" w14:textId="226BA952" w:rsidR="00BE365F" w:rsidRPr="003A26FF" w:rsidRDefault="00125583" w:rsidP="00684942">
      <w:pPr>
        <w:spacing w:after="0" w:line="276" w:lineRule="auto"/>
        <w:ind w:right="0"/>
        <w:rPr>
          <w:rFonts w:ascii="ITC Avant Garde" w:hAnsi="ITC Avant Garde"/>
          <w:b/>
          <w:color w:val="auto"/>
        </w:rPr>
      </w:pPr>
      <w:r w:rsidRPr="003A26FF">
        <w:rPr>
          <w:rFonts w:ascii="ITC Avant Garde" w:hAnsi="ITC Avant Garde"/>
          <w:b/>
          <w:color w:val="auto"/>
        </w:rPr>
        <w:t>Televisa</w:t>
      </w:r>
    </w:p>
    <w:p w14:paraId="06927043" w14:textId="5CEEBD01" w:rsidR="00BE365F" w:rsidRPr="003A26FF" w:rsidRDefault="002C626F" w:rsidP="00684942">
      <w:pPr>
        <w:spacing w:after="0" w:line="276" w:lineRule="auto"/>
        <w:ind w:right="0"/>
        <w:rPr>
          <w:rFonts w:ascii="ITC Avant Garde" w:hAnsi="ITC Avant Garde"/>
          <w:color w:val="auto"/>
        </w:rPr>
      </w:pPr>
      <w:r w:rsidRPr="003A26FF">
        <w:rPr>
          <w:rFonts w:ascii="ITC Avant Garde" w:hAnsi="ITC Avant Garde"/>
          <w:color w:val="auto"/>
        </w:rPr>
        <w:lastRenderedPageBreak/>
        <w:t xml:space="preserve">Indica que no se define la frecuencia de </w:t>
      </w:r>
      <w:r w:rsidR="00BF780B" w:rsidRPr="003A26FF">
        <w:rPr>
          <w:rFonts w:ascii="ITC Avant Garde" w:hAnsi="ITC Avant Garde"/>
          <w:color w:val="auto"/>
        </w:rPr>
        <w:t>envío</w:t>
      </w:r>
      <w:r w:rsidRPr="003A26FF">
        <w:rPr>
          <w:rFonts w:ascii="ITC Avant Garde" w:hAnsi="ITC Avant Garde"/>
          <w:color w:val="auto"/>
        </w:rPr>
        <w:t xml:space="preserve"> del mensaje </w:t>
      </w:r>
      <w:r w:rsidRPr="003A26FF">
        <w:rPr>
          <w:rFonts w:ascii="ITC Avant Garde" w:hAnsi="ITC Avant Garde"/>
          <w:i/>
          <w:color w:val="auto"/>
        </w:rPr>
        <w:t>"OPTIONS"</w:t>
      </w:r>
      <w:r w:rsidRPr="003A26FF">
        <w:rPr>
          <w:rFonts w:ascii="ITC Avant Garde" w:hAnsi="ITC Avant Garde"/>
          <w:color w:val="auto"/>
        </w:rPr>
        <w:t xml:space="preserve"> por lo que sugieren que se defina un tiempo estándar de 60 segundos. Asimismo, señala que es necesario especificar el tiempo y número de respuestas necesarias para poner la dirección IP en cuestión en la </w:t>
      </w:r>
      <w:r w:rsidRPr="003A26FF">
        <w:rPr>
          <w:rFonts w:ascii="ITC Avant Garde" w:hAnsi="ITC Avant Garde"/>
          <w:i/>
          <w:color w:val="auto"/>
        </w:rPr>
        <w:t>"</w:t>
      </w:r>
      <w:proofErr w:type="spellStart"/>
      <w:r w:rsidRPr="003A26FF">
        <w:rPr>
          <w:rFonts w:ascii="ITC Avant Garde" w:hAnsi="ITC Avant Garde"/>
          <w:i/>
          <w:color w:val="auto"/>
        </w:rPr>
        <w:t>black</w:t>
      </w:r>
      <w:proofErr w:type="spellEnd"/>
      <w:r w:rsidRPr="003A26FF">
        <w:rPr>
          <w:rFonts w:ascii="ITC Avant Garde" w:hAnsi="ITC Avant Garde"/>
          <w:i/>
          <w:color w:val="auto"/>
        </w:rPr>
        <w:t xml:space="preserve"> </w:t>
      </w:r>
      <w:proofErr w:type="spellStart"/>
      <w:r w:rsidRPr="003A26FF">
        <w:rPr>
          <w:rFonts w:ascii="ITC Avant Garde" w:hAnsi="ITC Avant Garde"/>
          <w:i/>
          <w:color w:val="auto"/>
        </w:rPr>
        <w:t>list</w:t>
      </w:r>
      <w:proofErr w:type="spellEnd"/>
      <w:r w:rsidRPr="003A26FF">
        <w:rPr>
          <w:rFonts w:ascii="ITC Avant Garde" w:hAnsi="ITC Avant Garde"/>
          <w:i/>
          <w:color w:val="auto"/>
        </w:rPr>
        <w:t>"</w:t>
      </w:r>
      <w:r w:rsidRPr="003A26FF">
        <w:rPr>
          <w:rFonts w:ascii="ITC Avant Garde" w:hAnsi="ITC Avant Garde"/>
          <w:color w:val="auto"/>
        </w:rPr>
        <w:t>.</w:t>
      </w:r>
    </w:p>
    <w:p w14:paraId="13793074" w14:textId="26DD6354" w:rsidR="00ED43A5" w:rsidRPr="003A26FF" w:rsidRDefault="00ED43A5" w:rsidP="002C626F">
      <w:pPr>
        <w:spacing w:after="0" w:line="276" w:lineRule="auto"/>
        <w:ind w:right="615"/>
        <w:rPr>
          <w:rFonts w:ascii="ITC Avant Garde" w:hAnsi="ITC Avant Garde"/>
          <w:color w:val="auto"/>
        </w:rPr>
      </w:pPr>
    </w:p>
    <w:p w14:paraId="1558B723" w14:textId="7A4F2FDE" w:rsidR="00ED43A5" w:rsidRPr="003A26FF" w:rsidRDefault="00ED43A5" w:rsidP="00ED43A5">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4A710FC9" w14:textId="77777777" w:rsidR="003E75CD" w:rsidRPr="003A26FF" w:rsidRDefault="003E75CD" w:rsidP="00684942">
      <w:pPr>
        <w:spacing w:after="0" w:line="276" w:lineRule="auto"/>
        <w:ind w:right="0"/>
        <w:rPr>
          <w:rFonts w:ascii="ITC Avant Garde" w:hAnsi="ITC Avant Garde"/>
          <w:color w:val="auto"/>
        </w:rPr>
      </w:pPr>
    </w:p>
    <w:p w14:paraId="079C656F" w14:textId="6FCA9989" w:rsidR="007B68F4" w:rsidRPr="003A26FF" w:rsidRDefault="00305285" w:rsidP="00684942">
      <w:pPr>
        <w:spacing w:after="0" w:line="276" w:lineRule="auto"/>
        <w:ind w:right="0"/>
        <w:rPr>
          <w:rFonts w:ascii="ITC Avant Garde" w:hAnsi="ITC Avant Garde"/>
          <w:color w:val="auto"/>
        </w:rPr>
      </w:pPr>
      <w:r w:rsidRPr="003A26FF">
        <w:rPr>
          <w:rFonts w:ascii="ITC Avant Garde" w:hAnsi="ITC Avant Garde"/>
          <w:color w:val="auto"/>
        </w:rPr>
        <w:t>El intervalo de tiempo necesario para el envío del mensaje “</w:t>
      </w:r>
      <w:proofErr w:type="spellStart"/>
      <w:r w:rsidRPr="003A26FF">
        <w:rPr>
          <w:rFonts w:ascii="ITC Avant Garde" w:hAnsi="ITC Avant Garde"/>
          <w:color w:val="auto"/>
        </w:rPr>
        <w:t>Options</w:t>
      </w:r>
      <w:proofErr w:type="spellEnd"/>
      <w:r w:rsidRPr="003A26FF">
        <w:rPr>
          <w:rFonts w:ascii="ITC Avant Garde" w:hAnsi="ITC Avant Garde"/>
          <w:color w:val="auto"/>
        </w:rPr>
        <w:t>” debe ser establecido por los concesionarios que interconectan sus redes, de forma que no se ocasione</w:t>
      </w:r>
      <w:r w:rsidR="000E6F48" w:rsidRPr="003A26FF">
        <w:rPr>
          <w:rFonts w:ascii="ITC Avant Garde" w:hAnsi="ITC Avant Garde"/>
          <w:color w:val="auto"/>
        </w:rPr>
        <w:t xml:space="preserve"> un envío excesivo de este mensaje</w:t>
      </w:r>
      <w:r w:rsidR="007B68F4" w:rsidRPr="003A26FF">
        <w:rPr>
          <w:rFonts w:ascii="ITC Avant Garde" w:hAnsi="ITC Avant Garde"/>
          <w:color w:val="auto"/>
        </w:rPr>
        <w:t>, lo cual consumiría recursos de forma desproporcionada.</w:t>
      </w:r>
    </w:p>
    <w:p w14:paraId="63FD8CC4" w14:textId="77777777" w:rsidR="007B68F4" w:rsidRPr="003A26FF" w:rsidRDefault="007B68F4" w:rsidP="00684942">
      <w:pPr>
        <w:spacing w:after="0" w:line="276" w:lineRule="auto"/>
        <w:ind w:right="0"/>
        <w:rPr>
          <w:rFonts w:ascii="ITC Avant Garde" w:hAnsi="ITC Avant Garde"/>
          <w:color w:val="auto"/>
        </w:rPr>
      </w:pPr>
    </w:p>
    <w:p w14:paraId="18596280" w14:textId="5C408B2C" w:rsidR="00ED43A5" w:rsidRPr="003A26FF" w:rsidRDefault="007B68F4" w:rsidP="00684942">
      <w:pPr>
        <w:spacing w:after="0" w:line="276" w:lineRule="auto"/>
        <w:ind w:right="0"/>
        <w:rPr>
          <w:rFonts w:ascii="ITC Avant Garde" w:hAnsi="ITC Avant Garde"/>
          <w:color w:val="auto"/>
        </w:rPr>
      </w:pPr>
      <w:r w:rsidRPr="003A26FF">
        <w:rPr>
          <w:rFonts w:ascii="ITC Avant Garde" w:hAnsi="ITC Avant Garde"/>
          <w:color w:val="auto"/>
        </w:rPr>
        <w:t>En el mismo sentido, los concesionarios deben</w:t>
      </w:r>
      <w:r w:rsidR="000E6F48" w:rsidRPr="003A26FF">
        <w:rPr>
          <w:rFonts w:ascii="ITC Avant Garde" w:hAnsi="ITC Avant Garde"/>
          <w:color w:val="auto"/>
        </w:rPr>
        <w:t xml:space="preserve"> definir el número de mensajes OPTIONS sin responder o con respuesta 503 (Servicio no disponible) antes de bloquear una determinada ruta.</w:t>
      </w:r>
    </w:p>
    <w:p w14:paraId="3327EC2E" w14:textId="22B1AE3B" w:rsidR="007B68F4" w:rsidRPr="003A26FF" w:rsidRDefault="007B68F4" w:rsidP="00684942">
      <w:pPr>
        <w:spacing w:after="0" w:line="276" w:lineRule="auto"/>
        <w:ind w:right="0"/>
        <w:rPr>
          <w:rFonts w:ascii="ITC Avant Garde" w:hAnsi="ITC Avant Garde"/>
          <w:color w:val="auto"/>
        </w:rPr>
      </w:pPr>
    </w:p>
    <w:p w14:paraId="1575CC00" w14:textId="726CC037" w:rsidR="007B68F4" w:rsidRPr="003A26FF" w:rsidRDefault="007B68F4" w:rsidP="00684942">
      <w:pPr>
        <w:spacing w:after="0" w:line="276" w:lineRule="auto"/>
        <w:ind w:right="0"/>
        <w:rPr>
          <w:rFonts w:ascii="ITC Avant Garde" w:hAnsi="ITC Avant Garde"/>
          <w:color w:val="auto"/>
        </w:rPr>
      </w:pPr>
      <w:r w:rsidRPr="003A26FF">
        <w:rPr>
          <w:rFonts w:ascii="ITC Avant Garde" w:hAnsi="ITC Avant Garde"/>
          <w:color w:val="auto"/>
        </w:rPr>
        <w:t>Es así que, bajo el principio de eficiencia en el manejo de los recursos cada uno de los concesionarios determinará el intervalo y el número de mensajes necesarios para bloquear una ruta.</w:t>
      </w:r>
    </w:p>
    <w:p w14:paraId="4C7CA730" w14:textId="34D52C1B" w:rsidR="00751530" w:rsidRPr="003A26FF" w:rsidRDefault="00751530" w:rsidP="00BF780B">
      <w:pPr>
        <w:spacing w:after="0" w:line="276" w:lineRule="auto"/>
        <w:ind w:left="0" w:right="615" w:firstLine="0"/>
        <w:rPr>
          <w:rFonts w:ascii="ITC Avant Garde" w:hAnsi="ITC Avant Garde"/>
          <w:color w:val="auto"/>
        </w:rPr>
      </w:pPr>
    </w:p>
    <w:p w14:paraId="43FAE820" w14:textId="6DF6F67B" w:rsidR="00CD23ED" w:rsidRPr="003A26FF" w:rsidRDefault="00805508"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Peticiones</w:t>
      </w:r>
    </w:p>
    <w:p w14:paraId="5BED02E1" w14:textId="24E3DA1A" w:rsidR="009366E3" w:rsidRPr="003A26FF" w:rsidRDefault="009366E3" w:rsidP="00CD23ED">
      <w:pPr>
        <w:spacing w:after="0" w:line="276" w:lineRule="auto"/>
        <w:ind w:left="-5" w:right="49"/>
        <w:rPr>
          <w:rFonts w:ascii="ITC Avant Garde" w:hAnsi="ITC Avant Garde"/>
          <w:b/>
          <w:color w:val="auto"/>
          <w:u w:val="single"/>
        </w:rPr>
      </w:pPr>
    </w:p>
    <w:p w14:paraId="6E5AA9DF" w14:textId="2916C460" w:rsidR="009366E3" w:rsidRPr="003A26FF" w:rsidRDefault="00805508" w:rsidP="00684942">
      <w:pPr>
        <w:spacing w:after="0" w:line="276" w:lineRule="auto"/>
        <w:ind w:right="0"/>
        <w:rPr>
          <w:rFonts w:ascii="ITC Avant Garde" w:hAnsi="ITC Avant Garde"/>
          <w:b/>
          <w:color w:val="auto"/>
        </w:rPr>
      </w:pPr>
      <w:r w:rsidRPr="003A26FF">
        <w:rPr>
          <w:rFonts w:ascii="ITC Avant Garde" w:hAnsi="ITC Avant Garde"/>
          <w:b/>
          <w:color w:val="auto"/>
        </w:rPr>
        <w:t>Telcel</w:t>
      </w:r>
    </w:p>
    <w:p w14:paraId="093D2100" w14:textId="74903A5E" w:rsidR="000F1128" w:rsidRPr="003A26FF" w:rsidRDefault="00805508" w:rsidP="009366E3">
      <w:pPr>
        <w:spacing w:after="0" w:line="276" w:lineRule="auto"/>
        <w:ind w:left="-5" w:right="49"/>
        <w:rPr>
          <w:rFonts w:ascii="ITC Avant Garde" w:hAnsi="ITC Avant Garde"/>
          <w:color w:val="auto"/>
        </w:rPr>
      </w:pPr>
      <w:r w:rsidRPr="003A26FF">
        <w:rPr>
          <w:rFonts w:ascii="ITC Avant Garde" w:hAnsi="ITC Avant Garde"/>
          <w:color w:val="auto"/>
        </w:rPr>
        <w:t xml:space="preserve">Propone agregar al pie del diagrama la leyenda: </w:t>
      </w:r>
      <w:r w:rsidRPr="003A26FF">
        <w:rPr>
          <w:rFonts w:ascii="ITC Avant Garde" w:hAnsi="ITC Avant Garde"/>
          <w:i/>
          <w:color w:val="auto"/>
        </w:rPr>
        <w:t>"Solicitud IP".</w:t>
      </w:r>
    </w:p>
    <w:p w14:paraId="70CA4A57" w14:textId="77777777" w:rsidR="00805508" w:rsidRPr="003A26FF" w:rsidRDefault="00805508" w:rsidP="009366E3">
      <w:pPr>
        <w:spacing w:after="0" w:line="276" w:lineRule="auto"/>
        <w:ind w:left="-5" w:right="49"/>
        <w:rPr>
          <w:rFonts w:ascii="ITC Avant Garde" w:hAnsi="ITC Avant Garde"/>
          <w:color w:val="auto"/>
        </w:rPr>
      </w:pPr>
    </w:p>
    <w:p w14:paraId="1FCAA977" w14:textId="7BCB30BC" w:rsidR="000F1128" w:rsidRPr="003A26FF" w:rsidRDefault="003E7F46" w:rsidP="000F1128">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31B0CE5" w14:textId="77777777" w:rsidR="003E75CD" w:rsidRPr="003A26FF" w:rsidRDefault="003E75CD" w:rsidP="00805508">
      <w:pPr>
        <w:spacing w:after="0" w:line="276" w:lineRule="auto"/>
        <w:ind w:left="-5" w:right="49"/>
        <w:rPr>
          <w:rFonts w:ascii="ITC Avant Garde" w:hAnsi="ITC Avant Garde"/>
          <w:color w:val="auto"/>
        </w:rPr>
      </w:pPr>
    </w:p>
    <w:p w14:paraId="696311DF" w14:textId="574AFEBA" w:rsidR="003744EA" w:rsidRPr="003A26FF" w:rsidRDefault="00805508" w:rsidP="00805508">
      <w:pPr>
        <w:spacing w:after="0" w:line="276" w:lineRule="auto"/>
        <w:ind w:left="-5" w:right="49"/>
        <w:rPr>
          <w:rFonts w:ascii="ITC Avant Garde" w:hAnsi="ITC Avant Garde"/>
          <w:color w:val="auto"/>
        </w:rPr>
      </w:pPr>
      <w:r w:rsidRPr="003A26FF">
        <w:rPr>
          <w:rFonts w:ascii="ITC Avant Garde" w:hAnsi="ITC Avant Garde"/>
          <w:color w:val="auto"/>
        </w:rPr>
        <w:t>El Acuerdo de CTM establece que este numeral trata sobre las solicitudes de SIP,</w:t>
      </w:r>
      <w:r w:rsidR="003744EA" w:rsidRPr="003A26FF">
        <w:rPr>
          <w:rFonts w:ascii="ITC Avant Garde" w:hAnsi="ITC Avant Garde"/>
          <w:color w:val="auto"/>
        </w:rPr>
        <w:t xml:space="preserve"> tal como se muestra a continuación:</w:t>
      </w:r>
    </w:p>
    <w:p w14:paraId="2C5A8C8E" w14:textId="77777777" w:rsidR="003744EA" w:rsidRPr="003A26FF" w:rsidRDefault="003744EA" w:rsidP="00805508">
      <w:pPr>
        <w:spacing w:after="0" w:line="276" w:lineRule="auto"/>
        <w:ind w:left="-5" w:right="49"/>
        <w:rPr>
          <w:rFonts w:ascii="ITC Avant Garde" w:hAnsi="ITC Avant Garde"/>
          <w:color w:val="auto"/>
        </w:rPr>
      </w:pPr>
    </w:p>
    <w:p w14:paraId="3898D734" w14:textId="428C6A6C" w:rsidR="003744EA" w:rsidRPr="003A26FF" w:rsidRDefault="003744EA" w:rsidP="003744EA">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u w:val="single"/>
        </w:rPr>
        <w:t>“Las solicitudes SIP</w:t>
      </w:r>
      <w:r w:rsidRPr="003A26FF">
        <w:rPr>
          <w:rFonts w:ascii="ITC Avant Garde" w:hAnsi="ITC Avant Garde"/>
          <w:i/>
          <w:color w:val="auto"/>
          <w:sz w:val="18"/>
          <w:szCs w:val="18"/>
        </w:rPr>
        <w:t xml:space="preserve"> se deben componer de un formato básico, la primera línea debe contener información del nombre del método o petición, la URI a la que se está realizando la solicitud y la versión del protocolo separados por un espacio simple:</w:t>
      </w:r>
    </w:p>
    <w:p w14:paraId="1FDB93C4" w14:textId="6F2501D0" w:rsidR="003744EA" w:rsidRPr="003A26FF" w:rsidRDefault="003744EA" w:rsidP="003744EA">
      <w:pPr>
        <w:spacing w:after="0" w:line="276" w:lineRule="auto"/>
        <w:ind w:left="567" w:right="615" w:firstLine="0"/>
        <w:rPr>
          <w:rFonts w:ascii="ITC Avant Garde" w:hAnsi="ITC Avant Garde"/>
          <w:i/>
          <w:color w:val="auto"/>
          <w:sz w:val="18"/>
          <w:szCs w:val="18"/>
        </w:rPr>
      </w:pPr>
    </w:p>
    <w:p w14:paraId="79C38444" w14:textId="72974619" w:rsidR="003744EA" w:rsidRPr="003A26FF" w:rsidRDefault="003744EA" w:rsidP="003744EA">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30692D96" w14:textId="468C613D" w:rsidR="003744EA" w:rsidRPr="003A26FF" w:rsidRDefault="003744EA" w:rsidP="003744EA">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2D75873" w14:textId="77777777" w:rsidR="00805508" w:rsidRPr="003A26FF" w:rsidRDefault="00805508" w:rsidP="00CE6EAF">
      <w:pPr>
        <w:spacing w:after="0" w:line="276" w:lineRule="auto"/>
        <w:ind w:left="0" w:right="49" w:firstLine="0"/>
        <w:rPr>
          <w:rFonts w:ascii="ITC Avant Garde" w:hAnsi="ITC Avant Garde"/>
          <w:color w:val="auto"/>
        </w:rPr>
      </w:pPr>
    </w:p>
    <w:p w14:paraId="0E530A2C" w14:textId="5D9472CF" w:rsidR="003B7B22" w:rsidRPr="003A26FF" w:rsidRDefault="003B7B22" w:rsidP="00684942">
      <w:pPr>
        <w:spacing w:after="0" w:line="276" w:lineRule="auto"/>
        <w:ind w:right="0"/>
        <w:rPr>
          <w:rFonts w:ascii="ITC Avant Garde" w:hAnsi="ITC Avant Garde"/>
          <w:b/>
          <w:color w:val="auto"/>
          <w:u w:val="single"/>
        </w:rPr>
      </w:pPr>
      <w:r w:rsidRPr="003A26FF">
        <w:rPr>
          <w:rFonts w:ascii="ITC Avant Garde" w:hAnsi="ITC Avant Garde"/>
          <w:b/>
          <w:color w:val="auto"/>
          <w:u w:val="single"/>
        </w:rPr>
        <w:t>Encabezados adicionales SIP aplicables para sesiones de VoIP</w:t>
      </w:r>
    </w:p>
    <w:p w14:paraId="026BA746" w14:textId="25B62EFC" w:rsidR="008D2A2D" w:rsidRPr="003A26FF" w:rsidRDefault="008D2A2D" w:rsidP="009366E3">
      <w:pPr>
        <w:spacing w:after="0" w:line="276" w:lineRule="auto"/>
        <w:ind w:left="-5" w:right="49"/>
        <w:rPr>
          <w:rFonts w:ascii="ITC Avant Garde" w:hAnsi="ITC Avant Garde"/>
          <w:color w:val="auto"/>
        </w:rPr>
      </w:pPr>
    </w:p>
    <w:p w14:paraId="4C2C13D0" w14:textId="79CF5697" w:rsidR="00751530" w:rsidRPr="003A26FF" w:rsidRDefault="00343F3F" w:rsidP="00751530">
      <w:pPr>
        <w:spacing w:after="0" w:line="276" w:lineRule="auto"/>
        <w:ind w:right="0"/>
        <w:rPr>
          <w:rFonts w:ascii="ITC Avant Garde" w:hAnsi="ITC Avant Garde"/>
          <w:color w:val="auto"/>
        </w:rPr>
      </w:pPr>
      <w:r w:rsidRPr="003A26FF">
        <w:rPr>
          <w:rFonts w:ascii="ITC Avant Garde" w:hAnsi="ITC Avant Garde"/>
          <w:b/>
          <w:color w:val="auto"/>
        </w:rPr>
        <w:t>Televisa</w:t>
      </w:r>
    </w:p>
    <w:p w14:paraId="59354765" w14:textId="530E37F2" w:rsidR="00936880" w:rsidRPr="003A26FF" w:rsidRDefault="00751530" w:rsidP="007B68F4">
      <w:pPr>
        <w:spacing w:after="0" w:line="276" w:lineRule="auto"/>
        <w:ind w:left="0" w:right="0" w:firstLine="0"/>
        <w:rPr>
          <w:rFonts w:ascii="ITC Avant Garde" w:hAnsi="ITC Avant Garde"/>
          <w:color w:val="auto"/>
        </w:rPr>
      </w:pPr>
      <w:r w:rsidRPr="003A26FF">
        <w:rPr>
          <w:rFonts w:ascii="ITC Avant Garde" w:hAnsi="ITC Avant Garde"/>
          <w:color w:val="auto"/>
        </w:rPr>
        <w:lastRenderedPageBreak/>
        <w:t>P</w:t>
      </w:r>
      <w:r w:rsidR="00C309DE" w:rsidRPr="003A26FF">
        <w:rPr>
          <w:rFonts w:ascii="ITC Avant Garde" w:hAnsi="ITC Avant Garde"/>
          <w:color w:val="auto"/>
        </w:rPr>
        <w:t xml:space="preserve">ropone agregar el encabezado </w:t>
      </w:r>
      <w:r w:rsidR="007B68F4" w:rsidRPr="003A26FF">
        <w:rPr>
          <w:rFonts w:ascii="ITC Avant Garde" w:hAnsi="ITC Avant Garde"/>
          <w:color w:val="auto"/>
        </w:rPr>
        <w:t>“P-CHARGING-VECTOR”</w:t>
      </w:r>
      <w:r w:rsidR="00C309DE" w:rsidRPr="003A26FF">
        <w:rPr>
          <w:rFonts w:ascii="ITC Avant Garde" w:hAnsi="ITC Avant Garde"/>
          <w:color w:val="auto"/>
        </w:rPr>
        <w:t xml:space="preserve"> </w:t>
      </w:r>
      <w:r w:rsidRPr="003A26FF">
        <w:rPr>
          <w:rFonts w:ascii="ITC Avant Garde" w:hAnsi="ITC Avant Garde"/>
          <w:color w:val="auto"/>
        </w:rPr>
        <w:t>en las opciones a efecto de que</w:t>
      </w:r>
      <w:r w:rsidR="00C309DE" w:rsidRPr="003A26FF">
        <w:rPr>
          <w:rFonts w:ascii="ITC Avant Garde" w:hAnsi="ITC Avant Garde"/>
          <w:color w:val="auto"/>
        </w:rPr>
        <w:t xml:space="preserve"> pued</w:t>
      </w:r>
      <w:r w:rsidRPr="003A26FF">
        <w:rPr>
          <w:rFonts w:ascii="ITC Avant Garde" w:hAnsi="ITC Avant Garde"/>
          <w:color w:val="auto"/>
        </w:rPr>
        <w:t>a</w:t>
      </w:r>
      <w:r w:rsidR="00C309DE" w:rsidRPr="003A26FF">
        <w:rPr>
          <w:rFonts w:ascii="ITC Avant Garde" w:hAnsi="ITC Avant Garde"/>
          <w:color w:val="auto"/>
        </w:rPr>
        <w:t xml:space="preserve"> servir para el envío de cierta información útil como la red utilizada por un </w:t>
      </w:r>
      <w:r w:rsidR="007B68F4" w:rsidRPr="003A26FF">
        <w:rPr>
          <w:rFonts w:ascii="ITC Avant Garde" w:hAnsi="ITC Avant Garde"/>
          <w:color w:val="auto"/>
        </w:rPr>
        <w:t>Operador Móvil Virtual.</w:t>
      </w:r>
    </w:p>
    <w:p w14:paraId="63D541D5" w14:textId="77129E93" w:rsidR="00FF5DD2" w:rsidRPr="003A26FF" w:rsidRDefault="00FF5DD2" w:rsidP="009366E3">
      <w:pPr>
        <w:spacing w:after="0" w:line="276" w:lineRule="auto"/>
        <w:ind w:left="-5" w:right="49"/>
        <w:rPr>
          <w:rFonts w:ascii="ITC Avant Garde" w:hAnsi="ITC Avant Garde"/>
          <w:color w:val="auto"/>
        </w:rPr>
      </w:pPr>
    </w:p>
    <w:p w14:paraId="2EFEF198" w14:textId="65CA48FE" w:rsidR="00FF5DD2" w:rsidRPr="003A26FF" w:rsidRDefault="003E7F46" w:rsidP="00FF5DD2">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42D4209" w14:textId="77777777" w:rsidR="003E75CD" w:rsidRPr="003A26FF" w:rsidRDefault="003E75CD" w:rsidP="001F55C6">
      <w:pPr>
        <w:spacing w:after="0" w:line="276" w:lineRule="auto"/>
        <w:ind w:left="0" w:right="0" w:firstLine="0"/>
        <w:rPr>
          <w:rFonts w:ascii="ITC Avant Garde" w:hAnsi="ITC Avant Garde"/>
          <w:color w:val="auto"/>
        </w:rPr>
      </w:pPr>
    </w:p>
    <w:p w14:paraId="7EE0868B" w14:textId="525AE5C3" w:rsidR="00612174" w:rsidRPr="003A26FF" w:rsidRDefault="00AF4E8F" w:rsidP="001F55C6">
      <w:pPr>
        <w:spacing w:after="0" w:line="276" w:lineRule="auto"/>
        <w:ind w:left="0" w:right="0" w:firstLine="0"/>
        <w:rPr>
          <w:rFonts w:ascii="ITC Avant Garde" w:hAnsi="ITC Avant Garde"/>
          <w:color w:val="auto"/>
        </w:rPr>
      </w:pPr>
      <w:r w:rsidRPr="003A26FF">
        <w:rPr>
          <w:rFonts w:ascii="ITC Avant Garde" w:hAnsi="ITC Avant Garde"/>
          <w:color w:val="auto"/>
        </w:rPr>
        <w:t xml:space="preserve">El envío de encabezados distintos debe ser de común acuerdo entre los concesionarios, </w:t>
      </w:r>
      <w:r w:rsidR="00502E4C" w:rsidRPr="003A26FF">
        <w:rPr>
          <w:rFonts w:ascii="ITC Avant Garde" w:hAnsi="ITC Avant Garde"/>
          <w:color w:val="auto"/>
        </w:rPr>
        <w:t>e</w:t>
      </w:r>
      <w:r w:rsidR="0082085F" w:rsidRPr="003A26FF">
        <w:rPr>
          <w:rFonts w:ascii="ITC Avant Garde" w:hAnsi="ITC Avant Garde"/>
          <w:color w:val="auto"/>
        </w:rPr>
        <w:t xml:space="preserve">l </w:t>
      </w:r>
      <w:r w:rsidR="00612174" w:rsidRPr="003A26FF">
        <w:rPr>
          <w:rFonts w:ascii="ITC Avant Garde" w:hAnsi="ITC Avant Garde"/>
          <w:color w:val="auto"/>
        </w:rPr>
        <w:t xml:space="preserve">numeral 1.3 del </w:t>
      </w:r>
      <w:r w:rsidR="00343F3F" w:rsidRPr="003A26FF">
        <w:rPr>
          <w:rFonts w:ascii="ITC Avant Garde" w:hAnsi="ITC Avant Garde"/>
          <w:color w:val="auto"/>
        </w:rPr>
        <w:t>Acuerdo de CTM establece</w:t>
      </w:r>
      <w:r w:rsidR="00612174" w:rsidRPr="003A26FF">
        <w:rPr>
          <w:rFonts w:ascii="ITC Avant Garde" w:hAnsi="ITC Avant Garde"/>
          <w:color w:val="auto"/>
        </w:rPr>
        <w:t xml:space="preserve"> que el concesionario receptor es libre de procesarlos o ignorarlos, tal como se muestra a continuación:</w:t>
      </w:r>
    </w:p>
    <w:p w14:paraId="6DEA4836" w14:textId="77777777" w:rsidR="00612174" w:rsidRPr="003A26FF" w:rsidRDefault="00612174" w:rsidP="00FF5DD2">
      <w:pPr>
        <w:spacing w:after="0" w:line="276" w:lineRule="auto"/>
        <w:ind w:left="-5" w:right="49"/>
        <w:rPr>
          <w:rFonts w:ascii="ITC Avant Garde" w:hAnsi="ITC Avant Garde"/>
          <w:color w:val="auto"/>
        </w:rPr>
      </w:pPr>
    </w:p>
    <w:p w14:paraId="74414232" w14:textId="20B24547" w:rsidR="00612174" w:rsidRPr="003A26FF" w:rsidRDefault="00612174" w:rsidP="00612174">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Pr="003A26FF">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3A26FF">
        <w:rPr>
          <w:rFonts w:ascii="ITC Avant Garde" w:hAnsi="ITC Avant Garde"/>
          <w:i/>
          <w:color w:val="auto"/>
          <w:sz w:val="18"/>
          <w:szCs w:val="18"/>
        </w:rPr>
        <w:t>”</w:t>
      </w:r>
    </w:p>
    <w:p w14:paraId="72188A22" w14:textId="7BAE529A" w:rsidR="00612174" w:rsidRPr="003A26FF" w:rsidRDefault="00612174" w:rsidP="00612174">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D6F50EB" w14:textId="00879EF8" w:rsidR="00F607A9" w:rsidRPr="003A26FF" w:rsidRDefault="00612174" w:rsidP="00FF5DD2">
      <w:pPr>
        <w:spacing w:after="0" w:line="276" w:lineRule="auto"/>
        <w:ind w:left="-5" w:right="49"/>
        <w:rPr>
          <w:rFonts w:ascii="ITC Avant Garde" w:hAnsi="ITC Avant Garde"/>
          <w:color w:val="auto"/>
        </w:rPr>
      </w:pPr>
      <w:r w:rsidRPr="003A26FF">
        <w:rPr>
          <w:rFonts w:ascii="ITC Avant Garde" w:hAnsi="ITC Avant Garde"/>
          <w:color w:val="auto"/>
        </w:rPr>
        <w:t xml:space="preserve"> </w:t>
      </w:r>
      <w:r w:rsidR="0082085F" w:rsidRPr="003A26FF">
        <w:rPr>
          <w:rFonts w:ascii="ITC Avant Garde" w:hAnsi="ITC Avant Garde"/>
          <w:color w:val="auto"/>
        </w:rPr>
        <w:t xml:space="preserve"> </w:t>
      </w:r>
    </w:p>
    <w:p w14:paraId="574B488A" w14:textId="6FF6AE64" w:rsidR="00F607A9" w:rsidRPr="003A26FF" w:rsidRDefault="00F607A9" w:rsidP="00684942">
      <w:pPr>
        <w:spacing w:after="0" w:line="276" w:lineRule="auto"/>
        <w:ind w:right="0"/>
        <w:rPr>
          <w:rFonts w:ascii="ITC Avant Garde" w:hAnsi="ITC Avant Garde"/>
          <w:b/>
          <w:color w:val="auto"/>
        </w:rPr>
      </w:pPr>
      <w:r w:rsidRPr="003A26FF">
        <w:rPr>
          <w:rFonts w:ascii="ITC Avant Garde" w:hAnsi="ITC Avant Garde"/>
          <w:b/>
          <w:color w:val="auto"/>
        </w:rPr>
        <w:t>T</w:t>
      </w:r>
      <w:r w:rsidR="00AF4E8F" w:rsidRPr="003A26FF">
        <w:rPr>
          <w:rFonts w:ascii="ITC Avant Garde" w:hAnsi="ITC Avant Garde"/>
          <w:b/>
          <w:color w:val="auto"/>
        </w:rPr>
        <w:t xml:space="preserve">elcel </w:t>
      </w:r>
    </w:p>
    <w:p w14:paraId="5474BA18" w14:textId="431047BA" w:rsidR="00F607A9" w:rsidRPr="003A26FF" w:rsidRDefault="00AF4E8F" w:rsidP="00684942">
      <w:pPr>
        <w:spacing w:after="0" w:line="276" w:lineRule="auto"/>
        <w:ind w:right="0"/>
        <w:rPr>
          <w:rFonts w:ascii="ITC Avant Garde" w:hAnsi="ITC Avant Garde"/>
          <w:color w:val="auto"/>
        </w:rPr>
      </w:pPr>
      <w:r w:rsidRPr="003A26FF">
        <w:rPr>
          <w:rFonts w:ascii="ITC Avant Garde" w:hAnsi="ITC Avant Garde"/>
          <w:color w:val="auto"/>
        </w:rPr>
        <w:t xml:space="preserve">Solicita clasificar </w:t>
      </w:r>
      <w:r w:rsidR="00F607A9" w:rsidRPr="003A26FF">
        <w:rPr>
          <w:rFonts w:ascii="ITC Avant Garde" w:hAnsi="ITC Avant Garde"/>
          <w:color w:val="auto"/>
        </w:rPr>
        <w:t xml:space="preserve">el uso del encabezado </w:t>
      </w:r>
      <w:r w:rsidR="006879BD" w:rsidRPr="003A26FF">
        <w:rPr>
          <w:rFonts w:ascii="ITC Avant Garde" w:hAnsi="ITC Avant Garde"/>
          <w:color w:val="auto"/>
        </w:rPr>
        <w:t>“</w:t>
      </w:r>
      <w:r w:rsidR="00F607A9" w:rsidRPr="003A26FF">
        <w:rPr>
          <w:rFonts w:ascii="ITC Avant Garde" w:hAnsi="ITC Avant Garde"/>
          <w:color w:val="auto"/>
        </w:rPr>
        <w:t>P-</w:t>
      </w:r>
      <w:proofErr w:type="spellStart"/>
      <w:r w:rsidR="00F607A9" w:rsidRPr="003A26FF">
        <w:rPr>
          <w:rFonts w:ascii="ITC Avant Garde" w:hAnsi="ITC Avant Garde"/>
          <w:color w:val="auto"/>
        </w:rPr>
        <w:t>Early</w:t>
      </w:r>
      <w:proofErr w:type="spellEnd"/>
      <w:r w:rsidR="00F607A9" w:rsidRPr="003A26FF">
        <w:rPr>
          <w:rFonts w:ascii="ITC Avant Garde" w:hAnsi="ITC Avant Garde"/>
          <w:color w:val="auto"/>
        </w:rPr>
        <w:t>-Media</w:t>
      </w:r>
      <w:r w:rsidR="006879BD" w:rsidRPr="003A26FF">
        <w:rPr>
          <w:rFonts w:ascii="ITC Avant Garde" w:hAnsi="ITC Avant Garde"/>
          <w:color w:val="auto"/>
        </w:rPr>
        <w:t>”</w:t>
      </w:r>
      <w:r w:rsidR="00F607A9" w:rsidRPr="003A26FF">
        <w:rPr>
          <w:rFonts w:ascii="ITC Avant Garde" w:hAnsi="ITC Avant Garde"/>
          <w:color w:val="auto"/>
        </w:rPr>
        <w:t xml:space="preserve"> como </w:t>
      </w:r>
      <w:r w:rsidR="00CE6EAF" w:rsidRPr="003A26FF">
        <w:rPr>
          <w:rFonts w:ascii="ITC Avant Garde" w:hAnsi="ITC Avant Garde"/>
          <w:color w:val="auto"/>
        </w:rPr>
        <w:t>m</w:t>
      </w:r>
      <w:r w:rsidR="00F607A9" w:rsidRPr="003A26FF">
        <w:rPr>
          <w:rFonts w:ascii="ITC Avant Garde" w:hAnsi="ITC Avant Garde"/>
          <w:color w:val="auto"/>
        </w:rPr>
        <w:t xml:space="preserve">andatorio debido a que es el mecanismo de seguridad </w:t>
      </w:r>
      <w:r w:rsidR="00061701" w:rsidRPr="003A26FF">
        <w:rPr>
          <w:rFonts w:ascii="ITC Avant Garde" w:hAnsi="ITC Avant Garde"/>
          <w:color w:val="auto"/>
        </w:rPr>
        <w:t>de acuerdo con</w:t>
      </w:r>
      <w:r w:rsidR="00F607A9" w:rsidRPr="003A26FF">
        <w:rPr>
          <w:rFonts w:ascii="ITC Avant Garde" w:hAnsi="ITC Avant Garde"/>
          <w:color w:val="auto"/>
        </w:rPr>
        <w:t xml:space="preserve"> los </w:t>
      </w:r>
      <w:r w:rsidR="005127B3" w:rsidRPr="003A26FF">
        <w:rPr>
          <w:rFonts w:ascii="ITC Avant Garde" w:hAnsi="ITC Avant Garde"/>
          <w:color w:val="auto"/>
        </w:rPr>
        <w:t>estándares</w:t>
      </w:r>
      <w:r w:rsidR="00F607A9" w:rsidRPr="003A26FF">
        <w:rPr>
          <w:rFonts w:ascii="ITC Avant Garde" w:hAnsi="ITC Avant Garde"/>
          <w:color w:val="auto"/>
        </w:rPr>
        <w:t xml:space="preserve"> para interconexión de redes con SIP (3GPP TS 29.165) y</w:t>
      </w:r>
      <w:r w:rsidR="007064D1" w:rsidRPr="003A26FF">
        <w:rPr>
          <w:rFonts w:ascii="ITC Avant Garde" w:hAnsi="ITC Avant Garde"/>
          <w:color w:val="auto"/>
        </w:rPr>
        <w:t xml:space="preserve"> a la recomendación</w:t>
      </w:r>
      <w:r w:rsidR="00F607A9" w:rsidRPr="003A26FF">
        <w:rPr>
          <w:rFonts w:ascii="ITC Avant Garde" w:hAnsi="ITC Avant Garde"/>
          <w:color w:val="auto"/>
        </w:rPr>
        <w:t xml:space="preserve"> RFC 5009.</w:t>
      </w:r>
      <w:r w:rsidR="00625C6C" w:rsidRPr="003A26FF">
        <w:rPr>
          <w:rFonts w:ascii="ITC Avant Garde" w:hAnsi="ITC Avant Garde"/>
          <w:color w:val="auto"/>
        </w:rPr>
        <w:t xml:space="preserve"> Indica que e</w:t>
      </w:r>
      <w:r w:rsidR="00F607A9" w:rsidRPr="003A26FF">
        <w:rPr>
          <w:rFonts w:ascii="ITC Avant Garde" w:hAnsi="ITC Avant Garde"/>
          <w:color w:val="auto"/>
        </w:rPr>
        <w:t>l no manejar este encabezado como mandatorio en la interconexión implica que los equipos de los usuarios SIP puedan intercambiar información (voz y datos) antes de que se establezca la llamada vía señalización, lo cual conlleva a que se pueda presentar el robo de los servicios al usar los recursos de teleco</w:t>
      </w:r>
      <w:r w:rsidR="009077E2" w:rsidRPr="003A26FF">
        <w:rPr>
          <w:rFonts w:ascii="ITC Avant Garde" w:hAnsi="ITC Avant Garde"/>
          <w:color w:val="auto"/>
        </w:rPr>
        <w:t>municaciones sin que el concesionario</w:t>
      </w:r>
      <w:r w:rsidR="00F607A9" w:rsidRPr="003A26FF">
        <w:rPr>
          <w:rFonts w:ascii="ITC Avant Garde" w:hAnsi="ITC Avant Garde"/>
          <w:color w:val="auto"/>
        </w:rPr>
        <w:t xml:space="preserve"> pueda facturar la sesión prematura que se permitió entre los usuarios terminales.</w:t>
      </w:r>
    </w:p>
    <w:p w14:paraId="50B5AA08" w14:textId="1AE55628" w:rsidR="008C7B1E" w:rsidRPr="003A26FF" w:rsidRDefault="008C7B1E" w:rsidP="00496DD9">
      <w:pPr>
        <w:spacing w:after="0" w:line="276" w:lineRule="auto"/>
        <w:ind w:right="615"/>
        <w:rPr>
          <w:rFonts w:ascii="ITC Avant Garde" w:hAnsi="ITC Avant Garde"/>
          <w:color w:val="auto"/>
        </w:rPr>
      </w:pPr>
    </w:p>
    <w:p w14:paraId="6DF30300" w14:textId="045B5687" w:rsidR="008C7B1E" w:rsidRPr="003A26FF" w:rsidRDefault="008C7B1E" w:rsidP="008C7B1E">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 xml:space="preserve">Consideraciones del Instituto </w:t>
      </w:r>
    </w:p>
    <w:p w14:paraId="3F131CEF" w14:textId="77777777" w:rsidR="00B856FA" w:rsidRPr="003A26FF" w:rsidRDefault="00B856FA" w:rsidP="008C7B1E">
      <w:pPr>
        <w:spacing w:after="0" w:line="276" w:lineRule="auto"/>
        <w:ind w:left="0" w:right="0" w:firstLine="0"/>
        <w:rPr>
          <w:rFonts w:ascii="ITC Avant Garde" w:hAnsi="ITC Avant Garde"/>
          <w:b/>
          <w:color w:val="auto"/>
          <w:u w:val="single"/>
        </w:rPr>
      </w:pPr>
    </w:p>
    <w:p w14:paraId="32F73A22" w14:textId="45BB0583" w:rsidR="001E696A" w:rsidRPr="003A26FF" w:rsidRDefault="00192A8F" w:rsidP="00192A8F">
      <w:pPr>
        <w:spacing w:after="0" w:line="276" w:lineRule="auto"/>
        <w:ind w:right="0"/>
        <w:rPr>
          <w:rFonts w:ascii="ITC Avant Garde" w:hAnsi="ITC Avant Garde"/>
          <w:color w:val="auto"/>
        </w:rPr>
      </w:pPr>
      <w:r w:rsidRPr="003A26FF">
        <w:rPr>
          <w:rFonts w:ascii="ITC Avant Garde" w:hAnsi="ITC Avant Garde"/>
          <w:color w:val="auto"/>
        </w:rPr>
        <w:t>El uso obligatorio de este encabezado puede ocasionar problemas de medio cortado cuando se presenta el uso de la funcionalidad de "</w:t>
      </w:r>
      <w:proofErr w:type="spellStart"/>
      <w:r w:rsidRPr="003A26FF">
        <w:rPr>
          <w:rFonts w:ascii="ITC Avant Garde" w:hAnsi="ITC Avant Garde"/>
          <w:color w:val="auto"/>
        </w:rPr>
        <w:t>Forking</w:t>
      </w:r>
      <w:proofErr w:type="spellEnd"/>
      <w:r w:rsidRPr="003A26FF">
        <w:rPr>
          <w:rFonts w:ascii="ITC Avant Garde" w:hAnsi="ITC Avant Garde"/>
          <w:color w:val="auto"/>
        </w:rPr>
        <w:t>" de SIP, la cual permite terminar una sola llamada en múltiples dispositivos SIP, por lo que el uso de este encabezado es opcional.</w:t>
      </w:r>
    </w:p>
    <w:p w14:paraId="32CF3D72" w14:textId="77777777" w:rsidR="00192A8F" w:rsidRPr="003A26FF" w:rsidRDefault="00192A8F" w:rsidP="00496DD9">
      <w:pPr>
        <w:spacing w:after="0" w:line="276" w:lineRule="auto"/>
        <w:ind w:right="615"/>
        <w:rPr>
          <w:rFonts w:ascii="ITC Avant Garde" w:hAnsi="ITC Avant Garde"/>
          <w:color w:val="auto"/>
        </w:rPr>
      </w:pPr>
    </w:p>
    <w:p w14:paraId="77C05644" w14:textId="55642FC2" w:rsidR="001E696A" w:rsidRPr="003A26FF" w:rsidRDefault="001E696A" w:rsidP="00C66879">
      <w:pPr>
        <w:spacing w:after="0" w:line="276" w:lineRule="auto"/>
        <w:ind w:right="49"/>
        <w:rPr>
          <w:rFonts w:ascii="ITC Avant Garde" w:hAnsi="ITC Avant Garde"/>
          <w:b/>
          <w:color w:val="auto"/>
          <w:u w:val="single"/>
        </w:rPr>
      </w:pPr>
      <w:r w:rsidRPr="003A26FF">
        <w:rPr>
          <w:rFonts w:ascii="ITC Avant Garde" w:hAnsi="ITC Avant Garde"/>
          <w:b/>
          <w:color w:val="auto"/>
          <w:u w:val="single"/>
        </w:rPr>
        <w:t>Descripción del medio de transporte</w:t>
      </w:r>
    </w:p>
    <w:p w14:paraId="21C8A453" w14:textId="77314C1B" w:rsidR="001E696A" w:rsidRPr="003A26FF" w:rsidRDefault="001E696A" w:rsidP="001E696A">
      <w:pPr>
        <w:spacing w:after="0" w:line="276" w:lineRule="auto"/>
        <w:ind w:left="-5" w:right="49"/>
        <w:rPr>
          <w:rFonts w:ascii="ITC Avant Garde" w:hAnsi="ITC Avant Garde"/>
          <w:b/>
          <w:color w:val="auto"/>
          <w:u w:val="single"/>
        </w:rPr>
      </w:pPr>
    </w:p>
    <w:p w14:paraId="3BAF0FBF" w14:textId="71631334" w:rsidR="001E696A" w:rsidRPr="003A26FF" w:rsidRDefault="002C04FC" w:rsidP="00222F56">
      <w:pPr>
        <w:spacing w:after="0" w:line="276" w:lineRule="auto"/>
        <w:ind w:right="49"/>
        <w:rPr>
          <w:rFonts w:ascii="ITC Avant Garde" w:hAnsi="ITC Avant Garde"/>
          <w:b/>
          <w:color w:val="auto"/>
        </w:rPr>
      </w:pPr>
      <w:r w:rsidRPr="003A26FF">
        <w:rPr>
          <w:rFonts w:ascii="ITC Avant Garde" w:hAnsi="ITC Avant Garde"/>
          <w:b/>
          <w:color w:val="auto"/>
        </w:rPr>
        <w:t>Telcel</w:t>
      </w:r>
    </w:p>
    <w:p w14:paraId="1DE9DFBC" w14:textId="0EC61DDE" w:rsidR="001E696A" w:rsidRPr="003A26FF" w:rsidRDefault="001E696A" w:rsidP="00D61069">
      <w:pPr>
        <w:spacing w:after="0" w:line="276" w:lineRule="auto"/>
        <w:ind w:right="0"/>
        <w:rPr>
          <w:rFonts w:ascii="ITC Avant Garde" w:hAnsi="ITC Avant Garde"/>
          <w:color w:val="auto"/>
        </w:rPr>
      </w:pPr>
      <w:r w:rsidRPr="003A26FF">
        <w:rPr>
          <w:rFonts w:ascii="ITC Avant Garde" w:hAnsi="ITC Avant Garde"/>
          <w:color w:val="auto"/>
        </w:rPr>
        <w:t>Propone adic</w:t>
      </w:r>
      <w:r w:rsidR="005D3A86" w:rsidRPr="003A26FF">
        <w:rPr>
          <w:rFonts w:ascii="ITC Avant Garde" w:hAnsi="ITC Avant Garde"/>
          <w:color w:val="auto"/>
        </w:rPr>
        <w:t>ionar el atributo SDP</w:t>
      </w:r>
      <w:r w:rsidR="008D52CD" w:rsidRPr="003A26FF">
        <w:rPr>
          <w:rFonts w:ascii="ITC Avant Garde" w:hAnsi="ITC Avant Garde"/>
          <w:color w:val="auto"/>
        </w:rPr>
        <w:t xml:space="preserve"> (</w:t>
      </w:r>
      <w:proofErr w:type="spellStart"/>
      <w:r w:rsidR="008D52CD" w:rsidRPr="003A26FF">
        <w:rPr>
          <w:rFonts w:ascii="ITC Avant Garde" w:hAnsi="ITC Avant Garde"/>
          <w:color w:val="auto"/>
        </w:rPr>
        <w:t>Session</w:t>
      </w:r>
      <w:proofErr w:type="spellEnd"/>
      <w:r w:rsidR="008D52CD" w:rsidRPr="003A26FF">
        <w:rPr>
          <w:rFonts w:ascii="ITC Avant Garde" w:hAnsi="ITC Avant Garde"/>
          <w:color w:val="auto"/>
        </w:rPr>
        <w:t xml:space="preserve"> </w:t>
      </w:r>
      <w:proofErr w:type="spellStart"/>
      <w:r w:rsidR="008D52CD" w:rsidRPr="003A26FF">
        <w:rPr>
          <w:rFonts w:ascii="ITC Avant Garde" w:hAnsi="ITC Avant Garde"/>
          <w:color w:val="auto"/>
        </w:rPr>
        <w:t>Description</w:t>
      </w:r>
      <w:proofErr w:type="spellEnd"/>
      <w:r w:rsidR="008D52CD" w:rsidRPr="003A26FF">
        <w:rPr>
          <w:rFonts w:ascii="ITC Avant Garde" w:hAnsi="ITC Avant Garde"/>
          <w:color w:val="auto"/>
        </w:rPr>
        <w:t xml:space="preserve"> </w:t>
      </w:r>
      <w:proofErr w:type="spellStart"/>
      <w:r w:rsidR="008D52CD" w:rsidRPr="003A26FF">
        <w:rPr>
          <w:rFonts w:ascii="ITC Avant Garde" w:hAnsi="ITC Avant Garde"/>
          <w:color w:val="auto"/>
        </w:rPr>
        <w:t>Protocol</w:t>
      </w:r>
      <w:proofErr w:type="spellEnd"/>
      <w:r w:rsidR="00366BC3" w:rsidRPr="003A26FF">
        <w:rPr>
          <w:rFonts w:ascii="ITC Avant Garde" w:hAnsi="ITC Avant Garde"/>
          <w:color w:val="auto"/>
        </w:rPr>
        <w:t>,</w:t>
      </w:r>
      <w:r w:rsidR="008D52CD" w:rsidRPr="003A26FF">
        <w:rPr>
          <w:rFonts w:ascii="ITC Avant Garde" w:hAnsi="ITC Avant Garde"/>
          <w:color w:val="auto"/>
        </w:rPr>
        <w:t xml:space="preserve"> por sus siglas en inglés)</w:t>
      </w:r>
      <w:r w:rsidR="00CB1239" w:rsidRPr="003A26FF">
        <w:rPr>
          <w:rFonts w:ascii="ITC Avant Garde" w:hAnsi="ITC Avant Garde"/>
          <w:color w:val="auto"/>
        </w:rPr>
        <w:t xml:space="preserve"> </w:t>
      </w:r>
      <w:r w:rsidR="005D3A86" w:rsidRPr="003A26FF">
        <w:rPr>
          <w:rFonts w:ascii="ITC Avant Garde" w:hAnsi="ITC Avant Garde"/>
          <w:color w:val="auto"/>
        </w:rPr>
        <w:t>“</w:t>
      </w:r>
      <w:proofErr w:type="spellStart"/>
      <w:r w:rsidR="005D3A86" w:rsidRPr="003A26FF">
        <w:rPr>
          <w:rFonts w:ascii="ITC Avant Garde" w:hAnsi="ITC Avant Garde"/>
          <w:color w:val="auto"/>
        </w:rPr>
        <w:t>a:fmtp</w:t>
      </w:r>
      <w:proofErr w:type="spellEnd"/>
      <w:r w:rsidR="005D3A86" w:rsidRPr="003A26FF">
        <w:rPr>
          <w:rFonts w:ascii="ITC Avant Garde" w:hAnsi="ITC Avant Garde"/>
          <w:color w:val="auto"/>
        </w:rPr>
        <w:t>”</w:t>
      </w:r>
      <w:r w:rsidRPr="003A26FF">
        <w:rPr>
          <w:rFonts w:ascii="ITC Avant Garde" w:hAnsi="ITC Avant Garde"/>
          <w:color w:val="auto"/>
        </w:rPr>
        <w:t xml:space="preserve"> definido en </w:t>
      </w:r>
      <w:r w:rsidR="007064D1" w:rsidRPr="003A26FF">
        <w:rPr>
          <w:rFonts w:ascii="ITC Avant Garde" w:hAnsi="ITC Avant Garde"/>
          <w:color w:val="auto"/>
        </w:rPr>
        <w:t>la recomendación</w:t>
      </w:r>
      <w:r w:rsidRPr="003A26FF">
        <w:rPr>
          <w:rFonts w:ascii="ITC Avant Garde" w:hAnsi="ITC Avant Garde"/>
          <w:color w:val="auto"/>
        </w:rPr>
        <w:t xml:space="preserve"> RFC 4566, el cual permite agregar parámetros específicos de los códecs, </w:t>
      </w:r>
      <w:r w:rsidR="00D61069" w:rsidRPr="003A26FF">
        <w:rPr>
          <w:rFonts w:ascii="ITC Avant Garde" w:hAnsi="ITC Avant Garde"/>
          <w:color w:val="auto"/>
        </w:rPr>
        <w:t>en el siguiente sentido:</w:t>
      </w:r>
    </w:p>
    <w:p w14:paraId="1425E8F0" w14:textId="77777777" w:rsidR="00D61069" w:rsidRPr="003A26FF" w:rsidRDefault="00D61069" w:rsidP="00D61069">
      <w:pPr>
        <w:spacing w:after="0" w:line="276" w:lineRule="auto"/>
        <w:ind w:right="0"/>
        <w:rPr>
          <w:rFonts w:ascii="ITC Avant Garde" w:hAnsi="ITC Avant Garde"/>
          <w:color w:val="auto"/>
        </w:rPr>
      </w:pPr>
    </w:p>
    <w:p w14:paraId="39418D43" w14:textId="4F33E728" w:rsidR="001E696A" w:rsidRPr="003A26FF" w:rsidRDefault="001E696A" w:rsidP="001E696A">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lastRenderedPageBreak/>
        <w:t>"</w:t>
      </w:r>
      <w:r w:rsidRPr="003A26FF">
        <w:rPr>
          <w:rFonts w:ascii="ITC Avant Garde" w:hAnsi="ITC Avant Garde"/>
          <w:i/>
          <w:color w:val="auto"/>
          <w:sz w:val="18"/>
          <w:szCs w:val="18"/>
          <w:u w:val="single"/>
        </w:rPr>
        <w:t>Se puede usar el atributo "</w:t>
      </w:r>
      <w:proofErr w:type="spellStart"/>
      <w:r w:rsidRPr="003A26FF">
        <w:rPr>
          <w:rFonts w:ascii="ITC Avant Garde" w:hAnsi="ITC Avant Garde"/>
          <w:i/>
          <w:color w:val="auto"/>
          <w:sz w:val="18"/>
          <w:szCs w:val="18"/>
          <w:u w:val="single"/>
        </w:rPr>
        <w:t>fmtp</w:t>
      </w:r>
      <w:proofErr w:type="spellEnd"/>
      <w:r w:rsidRPr="003A26FF">
        <w:rPr>
          <w:rFonts w:ascii="ITC Avant Garde" w:hAnsi="ITC Avant Garde"/>
          <w:i/>
          <w:color w:val="auto"/>
          <w:sz w:val="18"/>
          <w:szCs w:val="18"/>
          <w:u w:val="single"/>
        </w:rPr>
        <w:t xml:space="preserve">" para adicionar los parámetros específicos del códec. Se permite cuando mucho una instancia de este atributo para cada formato, por ejemplo: a=fmtp:18 </w:t>
      </w:r>
      <w:proofErr w:type="spellStart"/>
      <w:r w:rsidRPr="003A26FF">
        <w:rPr>
          <w:rFonts w:ascii="ITC Avant Garde" w:hAnsi="ITC Avant Garde"/>
          <w:i/>
          <w:color w:val="auto"/>
          <w:sz w:val="18"/>
          <w:szCs w:val="18"/>
          <w:u w:val="single"/>
        </w:rPr>
        <w:t>annexb</w:t>
      </w:r>
      <w:proofErr w:type="spellEnd"/>
      <w:r w:rsidRPr="003A26FF">
        <w:rPr>
          <w:rFonts w:ascii="ITC Avant Garde" w:hAnsi="ITC Avant Garde"/>
          <w:i/>
          <w:color w:val="auto"/>
          <w:sz w:val="18"/>
          <w:szCs w:val="18"/>
          <w:u w:val="single"/>
        </w:rPr>
        <w:t>=yes</w:t>
      </w:r>
      <w:r w:rsidRPr="003A26FF">
        <w:rPr>
          <w:rFonts w:ascii="ITC Avant Garde" w:hAnsi="ITC Avant Garde"/>
          <w:i/>
          <w:color w:val="auto"/>
          <w:sz w:val="18"/>
          <w:szCs w:val="18"/>
        </w:rPr>
        <w:t>"</w:t>
      </w:r>
    </w:p>
    <w:p w14:paraId="17D31F3D" w14:textId="77777777" w:rsidR="00957213" w:rsidRPr="003A26FF" w:rsidRDefault="00957213" w:rsidP="00957213">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1537C6D2" w14:textId="77777777" w:rsidR="00957213" w:rsidRPr="003A26FF" w:rsidRDefault="00957213" w:rsidP="001E696A">
      <w:pPr>
        <w:spacing w:after="0" w:line="276" w:lineRule="auto"/>
        <w:ind w:left="567" w:right="615" w:firstLine="0"/>
        <w:rPr>
          <w:rFonts w:ascii="ITC Avant Garde" w:hAnsi="ITC Avant Garde"/>
          <w:i/>
          <w:color w:val="auto"/>
          <w:sz w:val="18"/>
          <w:szCs w:val="18"/>
        </w:rPr>
      </w:pPr>
    </w:p>
    <w:p w14:paraId="7DEC96D6" w14:textId="47F218B8" w:rsidR="00CB1239" w:rsidRPr="003A26FF" w:rsidRDefault="005D3A86" w:rsidP="00CB1239">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FAAF9A2" w14:textId="77777777" w:rsidR="003E75CD" w:rsidRPr="003A26FF" w:rsidRDefault="003E75CD" w:rsidP="00091EC4">
      <w:pPr>
        <w:spacing w:after="0" w:line="276" w:lineRule="auto"/>
        <w:ind w:right="0"/>
        <w:rPr>
          <w:rFonts w:ascii="ITC Avant Garde" w:hAnsi="ITC Avant Garde"/>
          <w:color w:val="auto"/>
        </w:rPr>
      </w:pPr>
    </w:p>
    <w:p w14:paraId="6EC07FC3" w14:textId="1411886A" w:rsidR="00C0336F" w:rsidRPr="003A26FF" w:rsidRDefault="00687F9F" w:rsidP="00091EC4">
      <w:pPr>
        <w:spacing w:after="0" w:line="276" w:lineRule="auto"/>
        <w:ind w:right="0"/>
        <w:rPr>
          <w:rFonts w:ascii="ITC Avant Garde" w:hAnsi="ITC Avant Garde"/>
          <w:color w:val="auto"/>
        </w:rPr>
      </w:pPr>
      <w:r w:rsidRPr="003A26FF">
        <w:rPr>
          <w:rFonts w:ascii="ITC Avant Garde" w:hAnsi="ITC Avant Garde"/>
          <w:color w:val="auto"/>
        </w:rPr>
        <w:t>E</w:t>
      </w:r>
      <w:r w:rsidR="00C0336F" w:rsidRPr="003A26FF">
        <w:rPr>
          <w:rFonts w:ascii="ITC Avant Garde" w:hAnsi="ITC Avant Garde"/>
          <w:color w:val="auto"/>
        </w:rPr>
        <w:t xml:space="preserve">l numeral 1.3 del Acuerdo de CTM </w:t>
      </w:r>
      <w:r w:rsidRPr="003A26FF">
        <w:rPr>
          <w:rFonts w:ascii="ITC Avant Garde" w:hAnsi="ITC Avant Garde"/>
          <w:color w:val="auto"/>
        </w:rPr>
        <w:t xml:space="preserve">establece </w:t>
      </w:r>
      <w:r w:rsidR="00C0336F" w:rsidRPr="003A26FF">
        <w:rPr>
          <w:rFonts w:ascii="ITC Avant Garde" w:hAnsi="ITC Avant Garde"/>
          <w:color w:val="auto"/>
        </w:rPr>
        <w:t>que el concesionario receptor de atributos no definidos es libre de procesarlos o ignorarlos, tal como se muestra a continuación:</w:t>
      </w:r>
    </w:p>
    <w:p w14:paraId="69F24616" w14:textId="77777777" w:rsidR="00C0336F" w:rsidRPr="003A26FF" w:rsidRDefault="00C0336F" w:rsidP="00C0336F">
      <w:pPr>
        <w:spacing w:after="0" w:line="276" w:lineRule="auto"/>
        <w:ind w:left="-5" w:right="49"/>
        <w:rPr>
          <w:rFonts w:ascii="ITC Avant Garde" w:hAnsi="ITC Avant Garde"/>
          <w:color w:val="auto"/>
        </w:rPr>
      </w:pPr>
    </w:p>
    <w:p w14:paraId="0E77A9B7" w14:textId="77777777" w:rsidR="00C0336F" w:rsidRPr="003A26FF" w:rsidRDefault="00C0336F" w:rsidP="00C0336F">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Pr="003A26FF">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3A26FF">
        <w:rPr>
          <w:rFonts w:ascii="ITC Avant Garde" w:hAnsi="ITC Avant Garde"/>
          <w:i/>
          <w:color w:val="auto"/>
          <w:sz w:val="18"/>
          <w:szCs w:val="18"/>
        </w:rPr>
        <w:t>”</w:t>
      </w:r>
    </w:p>
    <w:p w14:paraId="1FB67E4A" w14:textId="77777777" w:rsidR="00C0336F" w:rsidRPr="003A26FF" w:rsidRDefault="00C0336F" w:rsidP="00C0336F">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2F86BA5D" w14:textId="44A71598" w:rsidR="000F20E2" w:rsidRPr="003A26FF" w:rsidRDefault="000F20E2" w:rsidP="00574D75">
      <w:pPr>
        <w:spacing w:after="0" w:line="276" w:lineRule="auto"/>
        <w:ind w:left="0" w:right="49" w:firstLine="0"/>
        <w:rPr>
          <w:rFonts w:ascii="ITC Avant Garde" w:hAnsi="ITC Avant Garde"/>
          <w:color w:val="auto"/>
        </w:rPr>
      </w:pPr>
    </w:p>
    <w:p w14:paraId="2B329FA6" w14:textId="48A196CD" w:rsidR="000F20E2" w:rsidRPr="003A26FF" w:rsidRDefault="000F20E2" w:rsidP="00E939C2">
      <w:pPr>
        <w:spacing w:after="0" w:line="276" w:lineRule="auto"/>
        <w:ind w:right="49"/>
        <w:rPr>
          <w:rFonts w:ascii="ITC Avant Garde" w:hAnsi="ITC Avant Garde"/>
          <w:b/>
          <w:color w:val="auto"/>
          <w:u w:val="single"/>
        </w:rPr>
      </w:pPr>
      <w:r w:rsidRPr="003A26FF">
        <w:rPr>
          <w:rFonts w:ascii="ITC Avant Garde" w:hAnsi="ITC Avant Garde"/>
          <w:b/>
          <w:color w:val="auto"/>
          <w:u w:val="single"/>
        </w:rPr>
        <w:t>Modelo de Oferta/Contestación</w:t>
      </w:r>
    </w:p>
    <w:p w14:paraId="03156A53" w14:textId="0BE65E15" w:rsidR="0014253B" w:rsidRPr="003A26FF" w:rsidRDefault="0014253B" w:rsidP="00CB1239">
      <w:pPr>
        <w:spacing w:after="0" w:line="276" w:lineRule="auto"/>
        <w:ind w:left="-5" w:right="49"/>
        <w:rPr>
          <w:rFonts w:ascii="ITC Avant Garde" w:hAnsi="ITC Avant Garde"/>
          <w:b/>
          <w:color w:val="auto"/>
          <w:u w:val="single"/>
        </w:rPr>
      </w:pPr>
    </w:p>
    <w:p w14:paraId="40FAC0F4" w14:textId="77777777" w:rsidR="004A732E" w:rsidRPr="003A26FF" w:rsidRDefault="004A732E" w:rsidP="004A732E">
      <w:pPr>
        <w:spacing w:after="0" w:line="276" w:lineRule="auto"/>
        <w:ind w:right="49"/>
        <w:rPr>
          <w:rFonts w:ascii="ITC Avant Garde" w:hAnsi="ITC Avant Garde"/>
          <w:b/>
          <w:color w:val="auto"/>
        </w:rPr>
      </w:pPr>
      <w:r w:rsidRPr="003A26FF">
        <w:rPr>
          <w:rFonts w:ascii="ITC Avant Garde" w:hAnsi="ITC Avant Garde"/>
          <w:b/>
          <w:color w:val="auto"/>
        </w:rPr>
        <w:t>Telcel</w:t>
      </w:r>
    </w:p>
    <w:p w14:paraId="776D03D0" w14:textId="4671FF37" w:rsidR="004A732E" w:rsidRPr="003A26FF" w:rsidRDefault="004A732E" w:rsidP="00CB1239">
      <w:pPr>
        <w:spacing w:after="0" w:line="276" w:lineRule="auto"/>
        <w:ind w:left="-5" w:right="49"/>
        <w:rPr>
          <w:rFonts w:ascii="ITC Avant Garde" w:hAnsi="ITC Avant Garde"/>
          <w:color w:val="auto"/>
        </w:rPr>
      </w:pPr>
      <w:r w:rsidRPr="003A26FF">
        <w:rPr>
          <w:rFonts w:ascii="ITC Avant Garde" w:hAnsi="ITC Avant Garde"/>
          <w:color w:val="auto"/>
        </w:rPr>
        <w:t>Señala que la contestación de la oferta solamente debe ser dada en la respuesta provisional SIP 18X y no en el 200 OK, ya que esta última respuesta se da cuando se establece de manera definitiva la llamada y se procede a su tarificación.</w:t>
      </w:r>
    </w:p>
    <w:p w14:paraId="1E58B8E0" w14:textId="77777777" w:rsidR="004A732E" w:rsidRPr="003A26FF" w:rsidRDefault="004A732E" w:rsidP="00CB1239">
      <w:pPr>
        <w:spacing w:after="0" w:line="276" w:lineRule="auto"/>
        <w:ind w:left="-5" w:right="49"/>
        <w:rPr>
          <w:rFonts w:ascii="ITC Avant Garde" w:hAnsi="ITC Avant Garde"/>
          <w:color w:val="auto"/>
        </w:rPr>
      </w:pPr>
    </w:p>
    <w:p w14:paraId="319B82D7" w14:textId="509D1403" w:rsidR="007A1FCD" w:rsidRPr="003A26FF" w:rsidRDefault="00574D75" w:rsidP="007A1FCD">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7EB22A66" w14:textId="77777777" w:rsidR="003E75CD" w:rsidRPr="003A26FF" w:rsidRDefault="003E75CD" w:rsidP="00CB1239">
      <w:pPr>
        <w:spacing w:after="0" w:line="276" w:lineRule="auto"/>
        <w:ind w:left="-5" w:right="49"/>
        <w:rPr>
          <w:rFonts w:ascii="ITC Avant Garde" w:hAnsi="ITC Avant Garde"/>
          <w:color w:val="auto"/>
        </w:rPr>
      </w:pPr>
    </w:p>
    <w:p w14:paraId="1F2FEB38" w14:textId="52F43C17" w:rsidR="00243A92" w:rsidRPr="003A26FF" w:rsidRDefault="004A732E" w:rsidP="00CB1239">
      <w:pPr>
        <w:spacing w:after="0" w:line="276" w:lineRule="auto"/>
        <w:ind w:left="-5" w:right="49"/>
        <w:rPr>
          <w:rFonts w:ascii="ITC Avant Garde" w:hAnsi="ITC Avant Garde"/>
          <w:color w:val="auto"/>
        </w:rPr>
      </w:pPr>
      <w:r w:rsidRPr="003A26FF">
        <w:rPr>
          <w:rFonts w:ascii="ITC Avant Garde" w:hAnsi="ITC Avant Garde"/>
          <w:color w:val="auto"/>
        </w:rPr>
        <w:t>No es obligatori</w:t>
      </w:r>
      <w:r w:rsidR="00061701" w:rsidRPr="003A26FF">
        <w:rPr>
          <w:rFonts w:ascii="ITC Avant Garde" w:hAnsi="ITC Avant Garde"/>
          <w:color w:val="auto"/>
        </w:rPr>
        <w:t>a</w:t>
      </w:r>
      <w:r w:rsidRPr="003A26FF">
        <w:rPr>
          <w:rFonts w:ascii="ITC Avant Garde" w:hAnsi="ITC Avant Garde"/>
          <w:color w:val="auto"/>
        </w:rPr>
        <w:t xml:space="preserve"> la generación de respuestas provisionales (1XX) de conformidad al RFC 3261, por lo que no siempre se generará la respuesta provisional 18X. </w:t>
      </w:r>
    </w:p>
    <w:p w14:paraId="115213AB" w14:textId="2B43E9E6" w:rsidR="003A5650" w:rsidRPr="003A26FF" w:rsidRDefault="003A5650" w:rsidP="003A5650">
      <w:pPr>
        <w:spacing w:after="0" w:line="276" w:lineRule="auto"/>
        <w:ind w:left="-5" w:right="49"/>
        <w:rPr>
          <w:rFonts w:ascii="ITC Avant Garde" w:hAnsi="ITC Avant Garde"/>
          <w:color w:val="auto"/>
        </w:rPr>
      </w:pPr>
    </w:p>
    <w:p w14:paraId="269F90D6" w14:textId="6B47AA06" w:rsidR="00243A92" w:rsidRPr="003A26FF" w:rsidRDefault="00243A92" w:rsidP="00E939C2">
      <w:pPr>
        <w:spacing w:after="0" w:line="276" w:lineRule="auto"/>
        <w:ind w:right="49"/>
        <w:rPr>
          <w:rFonts w:ascii="ITC Avant Garde" w:hAnsi="ITC Avant Garde"/>
          <w:b/>
          <w:color w:val="auto"/>
          <w:u w:val="single"/>
        </w:rPr>
      </w:pPr>
      <w:r w:rsidRPr="003A26FF">
        <w:rPr>
          <w:rFonts w:ascii="ITC Avant Garde" w:hAnsi="ITC Avant Garde"/>
          <w:b/>
          <w:color w:val="auto"/>
          <w:u w:val="single"/>
        </w:rPr>
        <w:t>1.8 Manejo de Respuesta 180</w:t>
      </w:r>
    </w:p>
    <w:p w14:paraId="37528E02" w14:textId="5D77FB4A" w:rsidR="004C18B2" w:rsidRPr="003A26FF" w:rsidRDefault="004C18B2" w:rsidP="00E939C2">
      <w:pPr>
        <w:spacing w:after="0" w:line="276" w:lineRule="auto"/>
        <w:ind w:right="49"/>
        <w:rPr>
          <w:rFonts w:ascii="ITC Avant Garde" w:hAnsi="ITC Avant Garde"/>
          <w:b/>
          <w:color w:val="auto"/>
          <w:u w:val="single"/>
        </w:rPr>
      </w:pPr>
    </w:p>
    <w:p w14:paraId="62B33D53" w14:textId="181975DB" w:rsidR="00243A92" w:rsidRPr="003A26FF" w:rsidRDefault="00CE6F64" w:rsidP="00E939C2">
      <w:pPr>
        <w:spacing w:after="0" w:line="276" w:lineRule="auto"/>
        <w:ind w:right="49"/>
        <w:rPr>
          <w:rFonts w:ascii="ITC Avant Garde" w:hAnsi="ITC Avant Garde"/>
          <w:b/>
          <w:color w:val="auto"/>
        </w:rPr>
      </w:pPr>
      <w:r w:rsidRPr="003A26FF">
        <w:rPr>
          <w:rFonts w:ascii="ITC Avant Garde" w:hAnsi="ITC Avant Garde"/>
          <w:b/>
          <w:color w:val="auto"/>
        </w:rPr>
        <w:t>Televisa</w:t>
      </w:r>
    </w:p>
    <w:p w14:paraId="6BE0B38D" w14:textId="2ACB0135" w:rsidR="00293A0C" w:rsidRPr="003A26FF" w:rsidRDefault="00293A0C" w:rsidP="00091EC4">
      <w:pPr>
        <w:spacing w:after="0" w:line="276" w:lineRule="auto"/>
        <w:ind w:right="0"/>
        <w:rPr>
          <w:rFonts w:ascii="ITC Avant Garde" w:hAnsi="ITC Avant Garde"/>
          <w:color w:val="auto"/>
        </w:rPr>
      </w:pPr>
      <w:r w:rsidRPr="003A26FF">
        <w:rPr>
          <w:rFonts w:ascii="ITC Avant Garde" w:hAnsi="ITC Avant Garde"/>
          <w:color w:val="auto"/>
        </w:rPr>
        <w:t>Propone modificar el manejo de la respuesta 180</w:t>
      </w:r>
      <w:r w:rsidR="00574D75" w:rsidRPr="003A26FF">
        <w:rPr>
          <w:rFonts w:ascii="ITC Avant Garde" w:hAnsi="ITC Avant Garde"/>
          <w:color w:val="auto"/>
        </w:rPr>
        <w:t xml:space="preserve"> señalando que, si se recibe la respuesta 180 sin medio temprano, se debe generar un ring back </w:t>
      </w:r>
      <w:proofErr w:type="spellStart"/>
      <w:r w:rsidR="00574D75" w:rsidRPr="003A26FF">
        <w:rPr>
          <w:rFonts w:ascii="ITC Avant Garde" w:hAnsi="ITC Avant Garde"/>
          <w:color w:val="auto"/>
        </w:rPr>
        <w:t>tone</w:t>
      </w:r>
      <w:proofErr w:type="spellEnd"/>
      <w:r w:rsidR="00574D75" w:rsidRPr="003A26FF">
        <w:rPr>
          <w:rFonts w:ascii="ITC Avant Garde" w:hAnsi="ITC Avant Garde"/>
          <w:color w:val="auto"/>
        </w:rPr>
        <w:t xml:space="preserve"> estándar de forma local.</w:t>
      </w:r>
    </w:p>
    <w:p w14:paraId="38F79EC5" w14:textId="77777777" w:rsidR="00EA5759" w:rsidRPr="003A26FF" w:rsidRDefault="00EA5759" w:rsidP="00EA5759">
      <w:pPr>
        <w:spacing w:after="0" w:line="276" w:lineRule="auto"/>
        <w:ind w:left="0" w:right="49" w:firstLine="0"/>
        <w:rPr>
          <w:rFonts w:ascii="ITC Avant Garde" w:hAnsi="ITC Avant Garde"/>
          <w:color w:val="auto"/>
        </w:rPr>
      </w:pPr>
    </w:p>
    <w:p w14:paraId="51EA7F49" w14:textId="378842D3" w:rsidR="00B7320E" w:rsidRPr="003A26FF" w:rsidRDefault="00CE6F64" w:rsidP="00B7320E">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B7320E" w:rsidRPr="003A26FF">
        <w:rPr>
          <w:rFonts w:ascii="ITC Avant Garde" w:hAnsi="ITC Avant Garde"/>
          <w:b/>
          <w:color w:val="auto"/>
          <w:u w:val="single"/>
        </w:rPr>
        <w:t xml:space="preserve"> </w:t>
      </w:r>
    </w:p>
    <w:p w14:paraId="342D8FD9" w14:textId="77777777" w:rsidR="003E75CD" w:rsidRPr="003A26FF" w:rsidRDefault="003E75CD" w:rsidP="00091EC4">
      <w:pPr>
        <w:spacing w:after="0" w:line="276" w:lineRule="auto"/>
        <w:ind w:right="0"/>
        <w:rPr>
          <w:rFonts w:ascii="ITC Avant Garde" w:hAnsi="ITC Avant Garde"/>
          <w:color w:val="auto"/>
        </w:rPr>
      </w:pPr>
    </w:p>
    <w:p w14:paraId="722F71EF" w14:textId="50DC72D1" w:rsidR="00B7320E" w:rsidRPr="003A26FF" w:rsidRDefault="002C3B21" w:rsidP="00091EC4">
      <w:pPr>
        <w:spacing w:after="0" w:line="276" w:lineRule="auto"/>
        <w:ind w:right="0"/>
        <w:rPr>
          <w:rFonts w:ascii="ITC Avant Garde" w:hAnsi="ITC Avant Garde"/>
          <w:color w:val="auto"/>
        </w:rPr>
      </w:pPr>
      <w:r w:rsidRPr="003A26FF">
        <w:rPr>
          <w:rFonts w:ascii="ITC Avant Garde" w:hAnsi="ITC Avant Garde"/>
          <w:color w:val="auto"/>
        </w:rPr>
        <w:t>E</w:t>
      </w:r>
      <w:r w:rsidR="00574D75" w:rsidRPr="003A26FF">
        <w:rPr>
          <w:rFonts w:ascii="ITC Avant Garde" w:hAnsi="ITC Avant Garde"/>
          <w:color w:val="auto"/>
        </w:rPr>
        <w:t>n e</w:t>
      </w:r>
      <w:r w:rsidRPr="003A26FF">
        <w:rPr>
          <w:rFonts w:ascii="ITC Avant Garde" w:hAnsi="ITC Avant Garde"/>
          <w:color w:val="auto"/>
        </w:rPr>
        <w:t xml:space="preserve">l Acuerdo de CTM </w:t>
      </w:r>
      <w:r w:rsidR="00574D75" w:rsidRPr="003A26FF">
        <w:rPr>
          <w:rFonts w:ascii="ITC Avant Garde" w:hAnsi="ITC Avant Garde"/>
          <w:color w:val="auto"/>
        </w:rPr>
        <w:t>se</w:t>
      </w:r>
      <w:r w:rsidRPr="003A26FF">
        <w:rPr>
          <w:rFonts w:ascii="ITC Avant Garde" w:hAnsi="ITC Avant Garde"/>
          <w:color w:val="auto"/>
        </w:rPr>
        <w:t xml:space="preserve"> establece que, si se recibe una respuesta 180 sin medio temprano, entonces se debe proveer un “Ring back </w:t>
      </w:r>
      <w:proofErr w:type="spellStart"/>
      <w:r w:rsidRPr="003A26FF">
        <w:rPr>
          <w:rFonts w:ascii="ITC Avant Garde" w:hAnsi="ITC Avant Garde"/>
          <w:color w:val="auto"/>
        </w:rPr>
        <w:t>tone</w:t>
      </w:r>
      <w:proofErr w:type="spellEnd"/>
      <w:r w:rsidRPr="003A26FF">
        <w:rPr>
          <w:rFonts w:ascii="ITC Avant Garde" w:hAnsi="ITC Avant Garde"/>
          <w:color w:val="auto"/>
        </w:rPr>
        <w:t>”, tal como se muestra a continuación:</w:t>
      </w:r>
    </w:p>
    <w:p w14:paraId="40A748E3" w14:textId="192609E1" w:rsidR="002C3B21" w:rsidRPr="003A26FF" w:rsidRDefault="002C3B21" w:rsidP="007B194A">
      <w:pPr>
        <w:spacing w:after="0" w:line="276" w:lineRule="auto"/>
        <w:ind w:left="-5" w:right="49"/>
        <w:rPr>
          <w:rFonts w:ascii="ITC Avant Garde" w:hAnsi="ITC Avant Garde"/>
          <w:color w:val="auto"/>
        </w:rPr>
      </w:pPr>
    </w:p>
    <w:p w14:paraId="31CB21D9" w14:textId="5F3A3087" w:rsidR="002C3B21" w:rsidRPr="003A26FF" w:rsidRDefault="002C3B21" w:rsidP="002C3B2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“Manejo de respuesta 180</w:t>
      </w:r>
    </w:p>
    <w:p w14:paraId="58DE51B4" w14:textId="77777777" w:rsidR="002C3B21" w:rsidRPr="003A26FF" w:rsidRDefault="002C3B21" w:rsidP="002C3B21">
      <w:pPr>
        <w:spacing w:after="0" w:line="276" w:lineRule="auto"/>
        <w:ind w:left="567" w:right="615" w:firstLine="0"/>
        <w:rPr>
          <w:rFonts w:ascii="ITC Avant Garde" w:hAnsi="ITC Avant Garde"/>
          <w:i/>
          <w:color w:val="auto"/>
          <w:sz w:val="18"/>
          <w:szCs w:val="18"/>
        </w:rPr>
      </w:pPr>
    </w:p>
    <w:p w14:paraId="63F1585B" w14:textId="7E5C1CF5" w:rsidR="002C3B21" w:rsidRPr="003A26FF" w:rsidRDefault="002C3B21" w:rsidP="002C3B2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lastRenderedPageBreak/>
        <w:t xml:space="preserve">La respuesta 180 debe cumplir con las reglas para la reproducción de tono de llamada de acuerdo a la Recomendación RFC 3960. </w:t>
      </w:r>
      <w:r w:rsidRPr="003A26FF">
        <w:rPr>
          <w:rFonts w:ascii="ITC Avant Garde" w:hAnsi="ITC Avant Garde"/>
          <w:i/>
          <w:color w:val="auto"/>
          <w:sz w:val="18"/>
          <w:szCs w:val="18"/>
          <w:u w:val="single"/>
        </w:rPr>
        <w:t xml:space="preserve">Si se recibe la respuesta 180 sin medio temprano entonces se deberá proveer un “Ring back </w:t>
      </w:r>
      <w:proofErr w:type="spellStart"/>
      <w:r w:rsidRPr="003A26FF">
        <w:rPr>
          <w:rFonts w:ascii="ITC Avant Garde" w:hAnsi="ITC Avant Garde"/>
          <w:i/>
          <w:color w:val="auto"/>
          <w:sz w:val="18"/>
          <w:szCs w:val="18"/>
          <w:u w:val="single"/>
        </w:rPr>
        <w:t>tone</w:t>
      </w:r>
      <w:proofErr w:type="spellEnd"/>
      <w:r w:rsidRPr="003A26FF">
        <w:rPr>
          <w:rFonts w:ascii="ITC Avant Garde" w:hAnsi="ITC Avant Garde"/>
          <w:i/>
          <w:color w:val="auto"/>
          <w:sz w:val="18"/>
          <w:szCs w:val="18"/>
          <w:u w:val="single"/>
        </w:rPr>
        <w:t>” sin exceder de 90 s.</w:t>
      </w:r>
      <w:r w:rsidRPr="003A26FF">
        <w:rPr>
          <w:rFonts w:ascii="ITC Avant Garde" w:hAnsi="ITC Avant Garde"/>
          <w:i/>
          <w:color w:val="auto"/>
          <w:sz w:val="18"/>
          <w:szCs w:val="18"/>
        </w:rPr>
        <w:t>”</w:t>
      </w:r>
    </w:p>
    <w:p w14:paraId="2ECFD93E" w14:textId="0E5FF909" w:rsidR="002C3B21" w:rsidRPr="003A26FF" w:rsidRDefault="002C3B21" w:rsidP="002C3B21">
      <w:pPr>
        <w:spacing w:after="0" w:line="276" w:lineRule="auto"/>
        <w:ind w:left="567" w:right="615" w:firstLine="0"/>
        <w:rPr>
          <w:rFonts w:ascii="ITC Avant Garde" w:hAnsi="ITC Avant Garde"/>
          <w:i/>
          <w:color w:val="auto"/>
          <w:sz w:val="18"/>
          <w:szCs w:val="18"/>
        </w:rPr>
      </w:pPr>
    </w:p>
    <w:p w14:paraId="12E19A1A" w14:textId="5F5F646E" w:rsidR="002C3B21" w:rsidRPr="003A26FF" w:rsidRDefault="002C3B21" w:rsidP="002C3B21">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6355BE99" w14:textId="05A31384" w:rsidR="002C3B21" w:rsidRPr="003A26FF" w:rsidRDefault="002C3B21" w:rsidP="007B194A">
      <w:pPr>
        <w:spacing w:after="0" w:line="276" w:lineRule="auto"/>
        <w:ind w:left="-5" w:right="49"/>
        <w:rPr>
          <w:rFonts w:ascii="ITC Avant Garde" w:hAnsi="ITC Avant Garde"/>
          <w:color w:val="auto"/>
        </w:rPr>
      </w:pPr>
    </w:p>
    <w:p w14:paraId="7CFF1661" w14:textId="5BA71D29" w:rsidR="00BE2C08" w:rsidRPr="003A26FF" w:rsidRDefault="007064D1" w:rsidP="00BE2C08">
      <w:pPr>
        <w:spacing w:after="0" w:line="276" w:lineRule="auto"/>
        <w:ind w:right="0"/>
        <w:rPr>
          <w:rFonts w:ascii="ITC Avant Garde" w:hAnsi="ITC Avant Garde"/>
          <w:color w:val="auto"/>
        </w:rPr>
      </w:pPr>
      <w:r w:rsidRPr="003A26FF">
        <w:rPr>
          <w:rFonts w:ascii="ITC Avant Garde" w:hAnsi="ITC Avant Garde"/>
          <w:color w:val="auto"/>
        </w:rPr>
        <w:t>Esto es acorde a la r</w:t>
      </w:r>
      <w:r w:rsidR="00BE2C08" w:rsidRPr="003A26FF">
        <w:rPr>
          <w:rFonts w:ascii="ITC Avant Garde" w:hAnsi="ITC Avant Garde"/>
          <w:color w:val="auto"/>
        </w:rPr>
        <w:t>ecomendación RFC3960 publicado por el IETF (</w:t>
      </w:r>
      <w:r w:rsidR="00BE2C08" w:rsidRPr="003A26FF">
        <w:rPr>
          <w:rFonts w:ascii="ITC Avant Garde" w:hAnsi="ITC Avant Garde"/>
          <w:i/>
          <w:color w:val="auto"/>
        </w:rPr>
        <w:t xml:space="preserve">Internet </w:t>
      </w:r>
      <w:proofErr w:type="spellStart"/>
      <w:r w:rsidR="00BE2C08" w:rsidRPr="003A26FF">
        <w:rPr>
          <w:rFonts w:ascii="ITC Avant Garde" w:hAnsi="ITC Avant Garde"/>
          <w:i/>
          <w:color w:val="auto"/>
        </w:rPr>
        <w:t>Engineering</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Task</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Force</w:t>
      </w:r>
      <w:proofErr w:type="spellEnd"/>
      <w:r w:rsidR="00BE2C08" w:rsidRPr="003A26FF">
        <w:rPr>
          <w:rFonts w:ascii="ITC Avant Garde" w:hAnsi="ITC Avant Garde"/>
          <w:color w:val="auto"/>
        </w:rPr>
        <w:t xml:space="preserve"> por sus siglas en inglés), la cual establece que el UAC (</w:t>
      </w:r>
      <w:proofErr w:type="spellStart"/>
      <w:r w:rsidR="00BE2C08" w:rsidRPr="003A26FF">
        <w:rPr>
          <w:rFonts w:ascii="ITC Avant Garde" w:hAnsi="ITC Avant Garde"/>
          <w:i/>
          <w:color w:val="auto"/>
        </w:rPr>
        <w:t>User</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Agent</w:t>
      </w:r>
      <w:proofErr w:type="spellEnd"/>
      <w:r w:rsidR="00BE2C08" w:rsidRPr="003A26FF">
        <w:rPr>
          <w:rFonts w:ascii="ITC Avant Garde" w:hAnsi="ITC Avant Garde"/>
          <w:i/>
          <w:color w:val="auto"/>
        </w:rPr>
        <w:t xml:space="preserve"> Client</w:t>
      </w:r>
      <w:r w:rsidR="00BE2C08" w:rsidRPr="003A26FF">
        <w:rPr>
          <w:rFonts w:ascii="ITC Avant Garde" w:hAnsi="ITC Avant Garde"/>
          <w:color w:val="auto"/>
        </w:rPr>
        <w:t xml:space="preserve"> por sus siglas en inglés) debe generar un tono local mientras no se reciba un “medio temprano” (audio o video, por ejemplo) por parte del UAS (</w:t>
      </w:r>
      <w:proofErr w:type="spellStart"/>
      <w:r w:rsidR="00BE2C08" w:rsidRPr="003A26FF">
        <w:rPr>
          <w:rFonts w:ascii="ITC Avant Garde" w:hAnsi="ITC Avant Garde"/>
          <w:i/>
          <w:color w:val="auto"/>
        </w:rPr>
        <w:t>User</w:t>
      </w:r>
      <w:proofErr w:type="spellEnd"/>
      <w:r w:rsidR="00BE2C08" w:rsidRPr="003A26FF">
        <w:rPr>
          <w:rFonts w:ascii="ITC Avant Garde" w:hAnsi="ITC Avant Garde"/>
          <w:i/>
          <w:color w:val="auto"/>
        </w:rPr>
        <w:t xml:space="preserve"> </w:t>
      </w:r>
      <w:proofErr w:type="spellStart"/>
      <w:r w:rsidR="00BE2C08" w:rsidRPr="003A26FF">
        <w:rPr>
          <w:rFonts w:ascii="ITC Avant Garde" w:hAnsi="ITC Avant Garde"/>
          <w:i/>
          <w:color w:val="auto"/>
        </w:rPr>
        <w:t>Agent</w:t>
      </w:r>
      <w:proofErr w:type="spellEnd"/>
      <w:r w:rsidR="00BE2C08" w:rsidRPr="003A26FF">
        <w:rPr>
          <w:rFonts w:ascii="ITC Avant Garde" w:hAnsi="ITC Avant Garde"/>
          <w:i/>
          <w:color w:val="auto"/>
        </w:rPr>
        <w:t xml:space="preserve"> Server</w:t>
      </w:r>
      <w:r w:rsidR="00BE2C08" w:rsidRPr="003A26FF">
        <w:rPr>
          <w:rFonts w:ascii="ITC Avant Garde" w:hAnsi="ITC Avant Garde"/>
          <w:color w:val="auto"/>
        </w:rPr>
        <w:t xml:space="preserve"> por sus siglas en inglés). Sin embargo, si el UAS genera un “medio temprano” entonces el UAC debe reproducirlo en vez de generar un tono local, tal como se muestra a continuación:</w:t>
      </w:r>
    </w:p>
    <w:p w14:paraId="610A92AE" w14:textId="77777777" w:rsidR="00BE2C08" w:rsidRPr="003A26FF" w:rsidRDefault="00BE2C08" w:rsidP="00BE2C08">
      <w:pPr>
        <w:spacing w:after="0" w:line="276" w:lineRule="auto"/>
        <w:ind w:right="0"/>
        <w:rPr>
          <w:rFonts w:ascii="ITC Avant Garde" w:hAnsi="ITC Avant Garde"/>
          <w:color w:val="auto"/>
        </w:rPr>
      </w:pPr>
    </w:p>
    <w:p w14:paraId="2CAB3D11" w14:textId="1CAF95F8" w:rsidR="00BE2C08" w:rsidRPr="003A26FF" w:rsidRDefault="00BE2C08" w:rsidP="00C05AC6">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w:t>
      </w:r>
    </w:p>
    <w:p w14:paraId="4052911D" w14:textId="77777777" w:rsidR="00BE2C08" w:rsidRPr="003A26FF" w:rsidRDefault="00BE2C08" w:rsidP="00BE2C08">
      <w:pPr>
        <w:spacing w:after="0" w:line="276" w:lineRule="auto"/>
        <w:ind w:left="567" w:right="615" w:firstLine="0"/>
        <w:rPr>
          <w:rFonts w:ascii="ITC Avant Garde" w:hAnsi="ITC Avant Garde"/>
          <w:i/>
          <w:color w:val="auto"/>
          <w:sz w:val="18"/>
          <w:szCs w:val="18"/>
          <w:lang w:val="en-US"/>
        </w:rPr>
      </w:pPr>
    </w:p>
    <w:p w14:paraId="3A95DA81" w14:textId="77777777" w:rsidR="00BE2C08" w:rsidRPr="003A26FF" w:rsidRDefault="00BE2C08" w:rsidP="00BE2C0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 xml:space="preserve">Many SIP UAs choose to imitate the user interface of the PSTN phones. They provide a ringing tone to the caller when the callee is being alerted. </w:t>
      </w:r>
      <w:r w:rsidRPr="003A26FF">
        <w:rPr>
          <w:rFonts w:ascii="ITC Avant Garde" w:hAnsi="ITC Avant Garde"/>
          <w:i/>
          <w:color w:val="auto"/>
          <w:sz w:val="18"/>
          <w:szCs w:val="18"/>
          <w:u w:val="single"/>
          <w:lang w:val="en-US"/>
        </w:rPr>
        <w:t>Such a UAC is supposed to generate ringing tones locally for its user as long as no early media is received from the UAS. If the UAS generates early media (e.g., an announcement or a special ringing tone), the UAC is supposed to play it rather than generate the ringing tone locally</w:t>
      </w:r>
      <w:r w:rsidRPr="003A26FF">
        <w:rPr>
          <w:rFonts w:ascii="ITC Avant Garde" w:hAnsi="ITC Avant Garde"/>
          <w:i/>
          <w:color w:val="auto"/>
          <w:sz w:val="18"/>
          <w:szCs w:val="18"/>
          <w:lang w:val="en-US"/>
        </w:rPr>
        <w:t>.</w:t>
      </w:r>
    </w:p>
    <w:p w14:paraId="21EC5FF5" w14:textId="77777777" w:rsidR="00BE2C08" w:rsidRPr="003A26FF" w:rsidRDefault="00BE2C08" w:rsidP="00BE2C08">
      <w:pPr>
        <w:spacing w:after="0" w:line="276" w:lineRule="auto"/>
        <w:ind w:left="567" w:right="615" w:firstLine="0"/>
        <w:rPr>
          <w:rFonts w:ascii="ITC Avant Garde" w:hAnsi="ITC Avant Garde"/>
          <w:i/>
          <w:color w:val="auto"/>
          <w:sz w:val="18"/>
          <w:szCs w:val="18"/>
          <w:lang w:val="en-US"/>
        </w:rPr>
      </w:pPr>
    </w:p>
    <w:p w14:paraId="0429EC5C" w14:textId="77777777" w:rsidR="00BE2C08" w:rsidRPr="003A26FF" w:rsidRDefault="00BE2C08" w:rsidP="00BE2C08">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p>
    <w:p w14:paraId="575D3B4B" w14:textId="77777777" w:rsidR="00BE2C08" w:rsidRPr="003A26FF" w:rsidRDefault="00BE2C08" w:rsidP="00BE2C08">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37F9F206" w14:textId="77777777" w:rsidR="00BE2C08" w:rsidRPr="003A26FF" w:rsidRDefault="00BE2C08" w:rsidP="00091EC4">
      <w:pPr>
        <w:spacing w:after="0" w:line="276" w:lineRule="auto"/>
        <w:ind w:right="0"/>
        <w:rPr>
          <w:rFonts w:ascii="ITC Avant Garde" w:hAnsi="ITC Avant Garde"/>
          <w:color w:val="auto"/>
        </w:rPr>
      </w:pPr>
    </w:p>
    <w:p w14:paraId="1D5CC00C" w14:textId="5F7B5794" w:rsidR="002C3B21" w:rsidRPr="003A26FF" w:rsidRDefault="002C3B21" w:rsidP="00091EC4">
      <w:pPr>
        <w:spacing w:after="0" w:line="276" w:lineRule="auto"/>
        <w:ind w:right="0"/>
        <w:rPr>
          <w:rFonts w:ascii="ITC Avant Garde" w:hAnsi="ITC Avant Garde"/>
          <w:color w:val="auto"/>
        </w:rPr>
      </w:pPr>
      <w:r w:rsidRPr="003A26FF">
        <w:rPr>
          <w:rFonts w:ascii="ITC Avant Garde" w:hAnsi="ITC Avant Garde"/>
          <w:color w:val="auto"/>
        </w:rPr>
        <w:t xml:space="preserve">Por lo anterior, </w:t>
      </w:r>
      <w:r w:rsidR="00574D75" w:rsidRPr="003A26FF">
        <w:rPr>
          <w:rFonts w:ascii="ITC Avant Garde" w:hAnsi="ITC Avant Garde"/>
          <w:color w:val="auto"/>
        </w:rPr>
        <w:t>el comentario anterior ya se encuentra considerado en el Acuerdo</w:t>
      </w:r>
      <w:r w:rsidR="00A70861" w:rsidRPr="003A26FF">
        <w:rPr>
          <w:rFonts w:ascii="ITC Avant Garde" w:hAnsi="ITC Avant Garde"/>
          <w:color w:val="auto"/>
        </w:rPr>
        <w:t xml:space="preserve"> de CTM</w:t>
      </w:r>
      <w:r w:rsidR="00574D75" w:rsidRPr="003A26FF">
        <w:rPr>
          <w:rFonts w:ascii="ITC Avant Garde" w:hAnsi="ITC Avant Garde"/>
          <w:color w:val="auto"/>
        </w:rPr>
        <w:t>.</w:t>
      </w:r>
    </w:p>
    <w:p w14:paraId="4EA06B31" w14:textId="77777777" w:rsidR="00084D62" w:rsidRPr="003A26FF" w:rsidRDefault="00084D62" w:rsidP="00084D62">
      <w:pPr>
        <w:autoSpaceDE w:val="0"/>
        <w:autoSpaceDN w:val="0"/>
        <w:adjustRightInd w:val="0"/>
        <w:spacing w:after="0" w:line="240" w:lineRule="auto"/>
        <w:ind w:left="0" w:right="0" w:firstLine="0"/>
        <w:jc w:val="left"/>
        <w:rPr>
          <w:rFonts w:ascii="Times New Roman" w:eastAsiaTheme="minorHAnsi" w:hAnsi="Times New Roman" w:cs="Times New Roman"/>
          <w:sz w:val="24"/>
          <w:szCs w:val="24"/>
          <w:lang w:eastAsia="en-US"/>
        </w:rPr>
      </w:pPr>
    </w:p>
    <w:p w14:paraId="7B3D23D1" w14:textId="69C65604" w:rsidR="00084D62" w:rsidRPr="003A26FF" w:rsidRDefault="00084D62" w:rsidP="00084D62">
      <w:pPr>
        <w:spacing w:after="0" w:line="276" w:lineRule="auto"/>
        <w:ind w:right="49"/>
        <w:rPr>
          <w:rFonts w:ascii="ITC Avant Garde" w:hAnsi="ITC Avant Garde"/>
          <w:b/>
          <w:color w:val="auto"/>
          <w:u w:val="single"/>
        </w:rPr>
      </w:pPr>
      <w:r w:rsidRPr="003A26FF">
        <w:rPr>
          <w:rFonts w:ascii="ITC Avant Garde" w:hAnsi="ITC Avant Garde"/>
          <w:b/>
          <w:color w:val="auto"/>
          <w:u w:val="single"/>
        </w:rPr>
        <w:t xml:space="preserve">1.10 Transmisión de Fax y DTMF </w:t>
      </w:r>
    </w:p>
    <w:p w14:paraId="73941424" w14:textId="77777777" w:rsidR="00084D62" w:rsidRPr="003A26FF" w:rsidRDefault="00084D62" w:rsidP="00084D62">
      <w:pPr>
        <w:autoSpaceDE w:val="0"/>
        <w:autoSpaceDN w:val="0"/>
        <w:adjustRightInd w:val="0"/>
        <w:spacing w:after="0" w:line="240" w:lineRule="auto"/>
        <w:ind w:left="0" w:right="0" w:firstLine="0"/>
        <w:jc w:val="left"/>
        <w:rPr>
          <w:rFonts w:ascii="Times New Roman" w:eastAsiaTheme="minorHAnsi" w:hAnsi="Times New Roman" w:cs="Times New Roman"/>
          <w:sz w:val="24"/>
          <w:szCs w:val="24"/>
          <w:lang w:eastAsia="en-US"/>
        </w:rPr>
      </w:pPr>
    </w:p>
    <w:p w14:paraId="21157DF7" w14:textId="77777777" w:rsidR="00084D62" w:rsidRPr="003A26FF" w:rsidRDefault="00084D62" w:rsidP="00084D62">
      <w:pPr>
        <w:spacing w:after="0" w:line="276" w:lineRule="auto"/>
        <w:ind w:right="49"/>
        <w:rPr>
          <w:rFonts w:ascii="ITC Avant Garde" w:hAnsi="ITC Avant Garde"/>
          <w:b/>
          <w:color w:val="auto"/>
        </w:rPr>
      </w:pPr>
      <w:r w:rsidRPr="003A26FF">
        <w:rPr>
          <w:rFonts w:ascii="ITC Avant Garde" w:hAnsi="ITC Avant Garde"/>
          <w:b/>
          <w:color w:val="auto"/>
        </w:rPr>
        <w:t>Televisa</w:t>
      </w:r>
    </w:p>
    <w:p w14:paraId="508E4179" w14:textId="7AA687F7" w:rsidR="00084D62" w:rsidRPr="003A26FF" w:rsidRDefault="00084D62" w:rsidP="00084D62">
      <w:pPr>
        <w:spacing w:after="0" w:line="276" w:lineRule="auto"/>
        <w:ind w:right="0"/>
        <w:rPr>
          <w:rFonts w:ascii="ITC Avant Garde" w:hAnsi="ITC Avant Garde"/>
          <w:color w:val="auto"/>
        </w:rPr>
      </w:pPr>
      <w:r w:rsidRPr="003A26FF">
        <w:rPr>
          <w:rFonts w:ascii="ITC Avant Garde" w:hAnsi="ITC Avant Garde"/>
          <w:color w:val="auto"/>
        </w:rPr>
        <w:t xml:space="preserve">Señala que los tonos de fax y DTMF son protocolos poco utilizados y que su implementación es costosa respecto a las nuevas señalizaciones de SIP, por lo que solicita que se reconsidere su uso. </w:t>
      </w:r>
    </w:p>
    <w:p w14:paraId="0353437C" w14:textId="3DEC5D32" w:rsidR="00084D62" w:rsidRPr="003A26FF" w:rsidRDefault="00084D62" w:rsidP="00091EC4">
      <w:pPr>
        <w:spacing w:after="0" w:line="276" w:lineRule="auto"/>
        <w:ind w:right="0"/>
        <w:rPr>
          <w:rFonts w:ascii="ITC Avant Garde" w:hAnsi="ITC Avant Garde"/>
          <w:color w:val="auto"/>
        </w:rPr>
      </w:pPr>
    </w:p>
    <w:p w14:paraId="7A9C1F90" w14:textId="77777777" w:rsidR="00084D62" w:rsidRPr="003A26FF" w:rsidRDefault="00084D62" w:rsidP="00084D62">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 xml:space="preserve">Consideraciones del Instituto </w:t>
      </w:r>
    </w:p>
    <w:p w14:paraId="5273DD82" w14:textId="77777777" w:rsidR="00084D62" w:rsidRPr="003A26FF" w:rsidRDefault="00084D62" w:rsidP="00084D62">
      <w:pPr>
        <w:spacing w:after="0" w:line="276" w:lineRule="auto"/>
        <w:ind w:right="0"/>
        <w:rPr>
          <w:rFonts w:ascii="ITC Avant Garde" w:hAnsi="ITC Avant Garde"/>
          <w:color w:val="auto"/>
        </w:rPr>
      </w:pPr>
    </w:p>
    <w:p w14:paraId="5BFD8CE5" w14:textId="2B6325F9" w:rsidR="00084D62" w:rsidRPr="003A26FF" w:rsidRDefault="00084D62" w:rsidP="00084D62">
      <w:pPr>
        <w:spacing w:after="0" w:line="276" w:lineRule="auto"/>
        <w:ind w:right="0"/>
        <w:rPr>
          <w:rFonts w:ascii="ITC Avant Garde" w:hAnsi="ITC Avant Garde"/>
          <w:color w:val="auto"/>
        </w:rPr>
      </w:pPr>
      <w:r w:rsidRPr="003A26FF">
        <w:rPr>
          <w:rFonts w:ascii="ITC Avant Garde" w:hAnsi="ITC Avant Garde"/>
          <w:color w:val="auto"/>
        </w:rPr>
        <w:t xml:space="preserve">El RFC 4733 y 4734 definen dos formatos o </w:t>
      </w:r>
      <w:r w:rsidRPr="003A26FF">
        <w:rPr>
          <w:rFonts w:ascii="ITC Avant Garde" w:hAnsi="ITC Avant Garde"/>
          <w:i/>
          <w:iCs/>
          <w:color w:val="auto"/>
        </w:rPr>
        <w:t>"</w:t>
      </w:r>
      <w:proofErr w:type="spellStart"/>
      <w:r w:rsidRPr="003A26FF">
        <w:rPr>
          <w:rFonts w:ascii="ITC Avant Garde" w:hAnsi="ITC Avant Garde"/>
          <w:i/>
          <w:iCs/>
          <w:color w:val="auto"/>
        </w:rPr>
        <w:t>payloads</w:t>
      </w:r>
      <w:proofErr w:type="spellEnd"/>
      <w:r w:rsidRPr="003A26FF">
        <w:rPr>
          <w:rFonts w:ascii="ITC Avant Garde" w:hAnsi="ITC Avant Garde"/>
          <w:i/>
          <w:iCs/>
          <w:color w:val="auto"/>
        </w:rPr>
        <w:t>"</w:t>
      </w:r>
      <w:r w:rsidRPr="003A26FF">
        <w:rPr>
          <w:rFonts w:ascii="ITC Avant Garde" w:hAnsi="ITC Avant Garde"/>
          <w:color w:val="auto"/>
        </w:rPr>
        <w:t xml:space="preserve"> para los tonos telefónicos debido a que los códecs de baja velocidad no pueden garantizar el reproducir estas señales con suficiente precisión para realizar el Reconocimiento de voz Automatizado (</w:t>
      </w:r>
      <w:r w:rsidRPr="003A26FF">
        <w:rPr>
          <w:rFonts w:ascii="ITC Avant Garde" w:hAnsi="ITC Avant Garde"/>
          <w:i/>
          <w:iCs/>
          <w:color w:val="auto"/>
        </w:rPr>
        <w:t>"ASR"</w:t>
      </w:r>
      <w:r w:rsidRPr="003A26FF">
        <w:rPr>
          <w:rFonts w:ascii="ITC Avant Garde" w:hAnsi="ITC Avant Garde"/>
          <w:color w:val="auto"/>
        </w:rPr>
        <w:t>), el cual se encarga del procesamiento de los flujos de audio. Además, estos formatos permiten una mayor redundancia mientras mantienen una tasa baja de transmisión, por lo que no se considera procedente su eliminación.</w:t>
      </w:r>
    </w:p>
    <w:p w14:paraId="6A203230" w14:textId="77777777" w:rsidR="00CC7137" w:rsidRDefault="00CC7137" w:rsidP="00091EC4">
      <w:pPr>
        <w:spacing w:after="0" w:line="276" w:lineRule="auto"/>
        <w:ind w:right="0"/>
        <w:rPr>
          <w:rFonts w:ascii="ITC Avant Garde" w:hAnsi="ITC Avant Garde"/>
          <w:b/>
          <w:color w:val="auto"/>
          <w:u w:val="single"/>
        </w:rPr>
      </w:pPr>
    </w:p>
    <w:p w14:paraId="2BC319C9" w14:textId="15B55F92" w:rsidR="00770D9B" w:rsidRPr="003A26FF" w:rsidRDefault="00770D9B"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lastRenderedPageBreak/>
        <w:t>Códec de Voz</w:t>
      </w:r>
    </w:p>
    <w:p w14:paraId="17E5234A" w14:textId="77777777" w:rsidR="00100C62" w:rsidRPr="003A26FF" w:rsidRDefault="00100C62" w:rsidP="00676681">
      <w:pPr>
        <w:rPr>
          <w:rFonts w:ascii="ITC Avant Garde" w:hAnsi="ITC Avant Garde"/>
          <w:b/>
          <w:color w:val="auto"/>
          <w:u w:val="single"/>
        </w:rPr>
      </w:pPr>
    </w:p>
    <w:p w14:paraId="52200535" w14:textId="06FEF7F8" w:rsidR="00770D9B" w:rsidRPr="003A26FF" w:rsidRDefault="00CE6F64" w:rsidP="00091EC4">
      <w:pPr>
        <w:spacing w:after="0" w:line="276" w:lineRule="auto"/>
        <w:ind w:right="0"/>
        <w:rPr>
          <w:rFonts w:ascii="ITC Avant Garde" w:hAnsi="ITC Avant Garde"/>
          <w:b/>
          <w:color w:val="auto"/>
        </w:rPr>
      </w:pPr>
      <w:r w:rsidRPr="003A26FF">
        <w:rPr>
          <w:rFonts w:ascii="ITC Avant Garde" w:hAnsi="ITC Avant Garde"/>
          <w:b/>
          <w:color w:val="auto"/>
        </w:rPr>
        <w:t>Televisa</w:t>
      </w:r>
    </w:p>
    <w:p w14:paraId="0B3A16D8" w14:textId="0980A547" w:rsidR="00770D9B" w:rsidRPr="003A26FF" w:rsidRDefault="008F4250" w:rsidP="00091EC4">
      <w:pPr>
        <w:spacing w:after="0" w:line="276" w:lineRule="auto"/>
        <w:ind w:right="0"/>
        <w:rPr>
          <w:rFonts w:ascii="ITC Avant Garde" w:hAnsi="ITC Avant Garde"/>
          <w:color w:val="auto"/>
        </w:rPr>
      </w:pPr>
      <w:r w:rsidRPr="003A26FF">
        <w:rPr>
          <w:rFonts w:ascii="ITC Avant Garde" w:hAnsi="ITC Avant Garde"/>
          <w:color w:val="auto"/>
        </w:rPr>
        <w:t>Sugiere que se implemente un orden predefinido de los perfiles de codificación, proponiendo c</w:t>
      </w:r>
      <w:r w:rsidR="00770D9B" w:rsidRPr="003A26FF">
        <w:rPr>
          <w:rFonts w:ascii="ITC Avant Garde" w:hAnsi="ITC Avant Garde"/>
          <w:color w:val="auto"/>
        </w:rPr>
        <w:t>onfigurar como primer códec el G711 Ley A para fomentar la transparencia, sugiriendo el siguiente orden de configuración</w:t>
      </w:r>
      <w:r w:rsidR="00297A77" w:rsidRPr="003A26FF">
        <w:rPr>
          <w:rFonts w:ascii="ITC Avant Garde" w:hAnsi="ITC Avant Garde"/>
          <w:color w:val="auto"/>
        </w:rPr>
        <w:t>:</w:t>
      </w:r>
    </w:p>
    <w:p w14:paraId="4E8B229A" w14:textId="77777777" w:rsidR="00770D9B" w:rsidRPr="003A26FF" w:rsidRDefault="00770D9B" w:rsidP="00770D9B">
      <w:pPr>
        <w:spacing w:after="0" w:line="276" w:lineRule="auto"/>
        <w:ind w:left="-5" w:right="49"/>
        <w:rPr>
          <w:rFonts w:ascii="ITC Avant Garde" w:hAnsi="ITC Avant Garde"/>
          <w:color w:val="auto"/>
        </w:rPr>
      </w:pPr>
    </w:p>
    <w:p w14:paraId="4ABB4862" w14:textId="228FE987" w:rsidR="00770D9B" w:rsidRPr="003A26FF" w:rsidRDefault="00A25898" w:rsidP="00A2589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w:t>
      </w:r>
      <w:r w:rsidR="00770D9B" w:rsidRPr="003A26FF">
        <w:rPr>
          <w:rFonts w:ascii="ITC Avant Garde" w:hAnsi="ITC Avant Garde"/>
          <w:i/>
          <w:color w:val="auto"/>
          <w:sz w:val="18"/>
          <w:szCs w:val="18"/>
          <w:lang w:val="en-US"/>
        </w:rPr>
        <w:t>G.711 Ley A Payload Type: 8</w:t>
      </w:r>
    </w:p>
    <w:p w14:paraId="0DD4BAA9" w14:textId="77777777" w:rsidR="00770D9B" w:rsidRPr="003A26FF" w:rsidRDefault="00770D9B" w:rsidP="00A2589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G.729 Payload Type: 18</w:t>
      </w:r>
    </w:p>
    <w:p w14:paraId="35099DD1" w14:textId="3C1DA19D" w:rsidR="00770D9B" w:rsidRPr="003A26FF" w:rsidRDefault="00770D9B" w:rsidP="00A25898">
      <w:pPr>
        <w:spacing w:after="0" w:line="276" w:lineRule="auto"/>
        <w:ind w:left="567" w:right="615" w:firstLine="0"/>
        <w:rPr>
          <w:rFonts w:ascii="ITC Avant Garde" w:hAnsi="ITC Avant Garde"/>
          <w:i/>
          <w:color w:val="auto"/>
          <w:sz w:val="18"/>
          <w:szCs w:val="18"/>
          <w:lang w:val="en-US"/>
        </w:rPr>
      </w:pPr>
      <w:r w:rsidRPr="003A26FF">
        <w:rPr>
          <w:rFonts w:ascii="ITC Avant Garde" w:hAnsi="ITC Avant Garde"/>
          <w:i/>
          <w:color w:val="auto"/>
          <w:sz w:val="18"/>
          <w:szCs w:val="18"/>
          <w:lang w:val="en-US"/>
        </w:rPr>
        <w:t>G.729b Payload Type: 18</w:t>
      </w:r>
      <w:r w:rsidR="00A61346" w:rsidRPr="003A26FF">
        <w:rPr>
          <w:rFonts w:ascii="ITC Avant Garde" w:hAnsi="ITC Avant Garde"/>
          <w:i/>
          <w:color w:val="auto"/>
          <w:sz w:val="18"/>
          <w:szCs w:val="18"/>
          <w:lang w:val="en-US"/>
        </w:rPr>
        <w:t>”</w:t>
      </w:r>
    </w:p>
    <w:p w14:paraId="3A6C533D" w14:textId="33D30D5D" w:rsidR="00770D9B" w:rsidRPr="003A26FF" w:rsidRDefault="00770D9B" w:rsidP="00A94D15">
      <w:pPr>
        <w:spacing w:after="0" w:line="276" w:lineRule="auto"/>
        <w:ind w:left="-5" w:right="49"/>
        <w:rPr>
          <w:rFonts w:ascii="ITC Avant Garde" w:hAnsi="ITC Avant Garde"/>
          <w:b/>
          <w:color w:val="auto"/>
          <w:u w:val="single"/>
          <w:lang w:val="en-US"/>
        </w:rPr>
      </w:pPr>
    </w:p>
    <w:p w14:paraId="25E81B48" w14:textId="4F236C37" w:rsidR="00A25898" w:rsidRPr="003A26FF" w:rsidRDefault="00CE6F64" w:rsidP="00A25898">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A25898" w:rsidRPr="003A26FF">
        <w:rPr>
          <w:rFonts w:ascii="ITC Avant Garde" w:hAnsi="ITC Avant Garde"/>
          <w:b/>
          <w:color w:val="auto"/>
          <w:u w:val="single"/>
        </w:rPr>
        <w:t xml:space="preserve"> </w:t>
      </w:r>
    </w:p>
    <w:p w14:paraId="57617543" w14:textId="77777777" w:rsidR="003E75CD" w:rsidRPr="003A26FF" w:rsidRDefault="003E75CD" w:rsidP="00091EC4">
      <w:pPr>
        <w:spacing w:after="0" w:line="276" w:lineRule="auto"/>
        <w:ind w:right="0"/>
        <w:rPr>
          <w:rFonts w:ascii="ITC Avant Garde" w:hAnsi="ITC Avant Garde"/>
          <w:color w:val="auto"/>
        </w:rPr>
      </w:pPr>
    </w:p>
    <w:p w14:paraId="754F027C" w14:textId="5DBDDA02" w:rsidR="00032B4B" w:rsidRPr="003A26FF" w:rsidRDefault="00CA2DE6" w:rsidP="00091EC4">
      <w:pPr>
        <w:spacing w:after="0" w:line="276" w:lineRule="auto"/>
        <w:ind w:right="0"/>
        <w:rPr>
          <w:rFonts w:ascii="ITC Avant Garde" w:hAnsi="ITC Avant Garde"/>
          <w:color w:val="auto"/>
        </w:rPr>
      </w:pPr>
      <w:r w:rsidRPr="003A26FF">
        <w:rPr>
          <w:rFonts w:ascii="ITC Avant Garde" w:hAnsi="ITC Avant Garde"/>
          <w:color w:val="auto"/>
        </w:rPr>
        <w:t xml:space="preserve">El orden propuesto podría resultar ineficiente para otras redes. </w:t>
      </w:r>
      <w:r w:rsidR="00416086" w:rsidRPr="003A26FF">
        <w:rPr>
          <w:rFonts w:ascii="ITC Avant Garde" w:hAnsi="ITC Avant Garde"/>
          <w:color w:val="auto"/>
        </w:rPr>
        <w:t>C</w:t>
      </w:r>
      <w:r w:rsidR="00A25898" w:rsidRPr="003A26FF">
        <w:rPr>
          <w:rFonts w:ascii="ITC Avant Garde" w:hAnsi="ITC Avant Garde"/>
          <w:color w:val="auto"/>
        </w:rPr>
        <w:t>onforme al modelo de oferta/</w:t>
      </w:r>
      <w:r w:rsidR="00F020A9" w:rsidRPr="003A26FF">
        <w:rPr>
          <w:rFonts w:ascii="ITC Avant Garde" w:hAnsi="ITC Avant Garde"/>
          <w:color w:val="auto"/>
        </w:rPr>
        <w:t>respuesta establecida</w:t>
      </w:r>
      <w:r w:rsidR="00416086" w:rsidRPr="003A26FF">
        <w:rPr>
          <w:rFonts w:ascii="ITC Avant Garde" w:hAnsi="ITC Avant Garde"/>
          <w:color w:val="auto"/>
        </w:rPr>
        <w:t xml:space="preserve"> en </w:t>
      </w:r>
      <w:r w:rsidR="007064D1" w:rsidRPr="003A26FF">
        <w:rPr>
          <w:rFonts w:ascii="ITC Avant Garde" w:hAnsi="ITC Avant Garde"/>
          <w:color w:val="auto"/>
        </w:rPr>
        <w:t>la recomendación</w:t>
      </w:r>
      <w:r w:rsidR="00416086" w:rsidRPr="003A26FF">
        <w:rPr>
          <w:rFonts w:ascii="ITC Avant Garde" w:hAnsi="ITC Avant Garde"/>
          <w:color w:val="auto"/>
        </w:rPr>
        <w:t xml:space="preserve"> RFC 3264</w:t>
      </w:r>
      <w:r w:rsidR="00E445BC" w:rsidRPr="003A26FF">
        <w:rPr>
          <w:rFonts w:ascii="ITC Avant Garde" w:hAnsi="ITC Avant Garde"/>
          <w:color w:val="auto"/>
        </w:rPr>
        <w:t>,</w:t>
      </w:r>
      <w:r w:rsidR="00416086" w:rsidRPr="003A26FF">
        <w:rPr>
          <w:rFonts w:ascii="ITC Avant Garde" w:hAnsi="ITC Avant Garde"/>
          <w:color w:val="auto"/>
        </w:rPr>
        <w:t xml:space="preserve"> </w:t>
      </w:r>
      <w:r w:rsidR="00A25898" w:rsidRPr="003A26FF">
        <w:rPr>
          <w:rFonts w:ascii="ITC Avant Garde" w:hAnsi="ITC Avant Garde"/>
          <w:color w:val="auto"/>
        </w:rPr>
        <w:t xml:space="preserve">la red que envía la petición </w:t>
      </w:r>
      <w:r w:rsidR="00032B4B" w:rsidRPr="003A26FF">
        <w:rPr>
          <w:rFonts w:ascii="ITC Avant Garde" w:hAnsi="ITC Avant Garde"/>
          <w:color w:val="auto"/>
        </w:rPr>
        <w:t>propone</w:t>
      </w:r>
      <w:r w:rsidR="00DB756F" w:rsidRPr="003A26FF">
        <w:rPr>
          <w:rFonts w:ascii="ITC Avant Garde" w:hAnsi="ITC Avant Garde"/>
          <w:color w:val="auto"/>
        </w:rPr>
        <w:t xml:space="preserve"> la preferencia en el orden de uso de los</w:t>
      </w:r>
      <w:r w:rsidR="00416086" w:rsidRPr="003A26FF">
        <w:rPr>
          <w:rFonts w:ascii="ITC Avant Garde" w:hAnsi="ITC Avant Garde"/>
          <w:color w:val="auto"/>
        </w:rPr>
        <w:t xml:space="preserve"> códec y la red que</w:t>
      </w:r>
      <w:r w:rsidR="00A25898" w:rsidRPr="003A26FF">
        <w:rPr>
          <w:rFonts w:ascii="ITC Avant Garde" w:hAnsi="ITC Avant Garde"/>
          <w:color w:val="auto"/>
        </w:rPr>
        <w:t xml:space="preserve"> recibe la petición </w:t>
      </w:r>
      <w:r w:rsidR="00032B4B" w:rsidRPr="003A26FF">
        <w:rPr>
          <w:rFonts w:ascii="ITC Avant Garde" w:hAnsi="ITC Avant Garde"/>
          <w:color w:val="auto"/>
        </w:rPr>
        <w:t>selecciona</w:t>
      </w:r>
      <w:r w:rsidR="00A25898" w:rsidRPr="003A26FF">
        <w:rPr>
          <w:rFonts w:ascii="ITC Avant Garde" w:hAnsi="ITC Avant Garde"/>
          <w:color w:val="auto"/>
        </w:rPr>
        <w:t xml:space="preserve"> el códec, por lo cual </w:t>
      </w:r>
      <w:r w:rsidR="00032B4B" w:rsidRPr="003A26FF">
        <w:rPr>
          <w:rFonts w:ascii="ITC Avant Garde" w:hAnsi="ITC Avant Garde"/>
          <w:color w:val="auto"/>
        </w:rPr>
        <w:t>el orden en la preferencia es establecido por la red que envía la petición</w:t>
      </w:r>
      <w:r w:rsidR="00A25898" w:rsidRPr="003A26FF">
        <w:rPr>
          <w:rFonts w:ascii="ITC Avant Garde" w:hAnsi="ITC Avant Garde"/>
          <w:color w:val="auto"/>
        </w:rPr>
        <w:t xml:space="preserve">. </w:t>
      </w:r>
    </w:p>
    <w:p w14:paraId="7FEF13D0" w14:textId="77777777" w:rsidR="00032B4B" w:rsidRPr="003A26FF" w:rsidRDefault="00032B4B" w:rsidP="00091EC4">
      <w:pPr>
        <w:spacing w:after="0" w:line="276" w:lineRule="auto"/>
        <w:ind w:right="0"/>
        <w:rPr>
          <w:rFonts w:ascii="ITC Avant Garde" w:hAnsi="ITC Avant Garde"/>
          <w:color w:val="auto"/>
        </w:rPr>
      </w:pPr>
    </w:p>
    <w:p w14:paraId="2DC5F432" w14:textId="48566FDA" w:rsidR="00032B4B" w:rsidRPr="003A26FF" w:rsidRDefault="00032B4B" w:rsidP="00032B4B">
      <w:pPr>
        <w:spacing w:after="0" w:line="276" w:lineRule="auto"/>
        <w:ind w:left="-5" w:right="49"/>
        <w:rPr>
          <w:rFonts w:ascii="ITC Avant Garde" w:hAnsi="ITC Avant Garde"/>
          <w:color w:val="auto"/>
        </w:rPr>
      </w:pPr>
      <w:r w:rsidRPr="003A26FF">
        <w:rPr>
          <w:rFonts w:ascii="ITC Avant Garde" w:hAnsi="ITC Avant Garde"/>
          <w:color w:val="auto"/>
        </w:rPr>
        <w:t>Lo anterior, se encuentra considerado en el Acuerdo de CTM en el siguiente sentido:</w:t>
      </w:r>
    </w:p>
    <w:p w14:paraId="1E35FBB5" w14:textId="77777777" w:rsidR="00032B4B" w:rsidRPr="003A26FF" w:rsidRDefault="00032B4B" w:rsidP="00032B4B">
      <w:pPr>
        <w:spacing w:after="0" w:line="276" w:lineRule="auto"/>
        <w:ind w:left="-5" w:right="49"/>
        <w:rPr>
          <w:rFonts w:ascii="ITC Avant Garde" w:hAnsi="ITC Avant Garde"/>
          <w:color w:val="auto"/>
        </w:rPr>
      </w:pPr>
      <w:r w:rsidRPr="003A26FF">
        <w:rPr>
          <w:rFonts w:ascii="ITC Avant Garde" w:hAnsi="ITC Avant Garde"/>
          <w:color w:val="auto"/>
        </w:rPr>
        <w:tab/>
      </w:r>
      <w:r w:rsidRPr="003A26FF">
        <w:rPr>
          <w:rFonts w:ascii="ITC Avant Garde" w:hAnsi="ITC Avant Garde"/>
          <w:color w:val="auto"/>
        </w:rPr>
        <w:tab/>
      </w:r>
    </w:p>
    <w:p w14:paraId="66F1D363" w14:textId="44173B60" w:rsidR="00032B4B" w:rsidRPr="003A26FF" w:rsidRDefault="00032B4B" w:rsidP="00032B4B">
      <w:pPr>
        <w:spacing w:after="0" w:line="276" w:lineRule="auto"/>
        <w:ind w:left="567" w:right="616" w:firstLine="0"/>
        <w:rPr>
          <w:rFonts w:ascii="ITC Avant Garde" w:hAnsi="ITC Avant Garde"/>
          <w:i/>
          <w:color w:val="auto"/>
          <w:sz w:val="18"/>
          <w:szCs w:val="18"/>
        </w:rPr>
      </w:pPr>
      <w:r w:rsidRPr="003A26FF">
        <w:rPr>
          <w:rFonts w:ascii="ITC Avant Garde" w:hAnsi="ITC Avant Garde"/>
          <w:i/>
          <w:color w:val="auto"/>
          <w:sz w:val="18"/>
          <w:szCs w:val="18"/>
        </w:rPr>
        <w:t>“En el modelo de oferta/contestación la red origen propondrá la preferencia en el orden de uso de los códecs y la red destino determinará el códec a utilizar.”</w:t>
      </w:r>
    </w:p>
    <w:p w14:paraId="447918DB" w14:textId="77777777" w:rsidR="00FA4068" w:rsidRPr="003A26FF" w:rsidRDefault="00FA4068" w:rsidP="00CE6EAF">
      <w:pPr>
        <w:spacing w:after="0" w:line="276" w:lineRule="auto"/>
        <w:ind w:left="0" w:right="0" w:firstLine="0"/>
        <w:rPr>
          <w:rFonts w:ascii="ITC Avant Garde" w:hAnsi="ITC Avant Garde"/>
          <w:b/>
          <w:color w:val="auto"/>
        </w:rPr>
      </w:pPr>
    </w:p>
    <w:p w14:paraId="774A79D2" w14:textId="3446D219" w:rsidR="00D94054" w:rsidRPr="003A26FF" w:rsidRDefault="00BF63EC" w:rsidP="00091EC4">
      <w:pPr>
        <w:spacing w:after="0" w:line="276" w:lineRule="auto"/>
        <w:ind w:right="0"/>
        <w:rPr>
          <w:rFonts w:ascii="ITC Avant Garde" w:hAnsi="ITC Avant Garde"/>
          <w:b/>
          <w:color w:val="auto"/>
        </w:rPr>
      </w:pPr>
      <w:r w:rsidRPr="003A26FF">
        <w:rPr>
          <w:rFonts w:ascii="ITC Avant Garde" w:hAnsi="ITC Avant Garde"/>
          <w:b/>
          <w:color w:val="auto"/>
        </w:rPr>
        <w:t>Telcel</w:t>
      </w:r>
    </w:p>
    <w:p w14:paraId="25FD7C5A" w14:textId="1BF6EB2A" w:rsidR="00D94054" w:rsidRPr="003A26FF" w:rsidRDefault="00D94054" w:rsidP="00091EC4">
      <w:pPr>
        <w:spacing w:after="0" w:line="276" w:lineRule="auto"/>
        <w:ind w:right="0"/>
        <w:rPr>
          <w:rFonts w:ascii="ITC Avant Garde" w:hAnsi="ITC Avant Garde"/>
          <w:color w:val="auto"/>
        </w:rPr>
      </w:pPr>
      <w:r w:rsidRPr="003A26FF">
        <w:rPr>
          <w:rFonts w:ascii="ITC Avant Garde" w:hAnsi="ITC Avant Garde"/>
          <w:color w:val="auto"/>
        </w:rPr>
        <w:t>Señala que aun cuando se han especificado los cinco códecs de voz que se deben enviar en el modelo de oferta /contestación, algunos concesionarios no ofertan todos los códecs por lo que la red de destino no cuenta con el total de opciones de códecs para poder elegir. Por lo tanto, solicitan modificar el segundo párrafo del numeral 2.3 en los siguientes términos:</w:t>
      </w:r>
    </w:p>
    <w:p w14:paraId="08984311" w14:textId="77777777" w:rsidR="00D94054" w:rsidRPr="003A26FF" w:rsidRDefault="00D94054" w:rsidP="00D94054">
      <w:pPr>
        <w:spacing w:after="0" w:line="276" w:lineRule="auto"/>
        <w:ind w:left="-5" w:right="49"/>
        <w:rPr>
          <w:rFonts w:ascii="ITC Avant Garde" w:hAnsi="ITC Avant Garde"/>
          <w:color w:val="auto"/>
        </w:rPr>
      </w:pPr>
    </w:p>
    <w:p w14:paraId="7DE2C397" w14:textId="54E8FB91" w:rsidR="00D94054" w:rsidRPr="003A26FF" w:rsidRDefault="00CE6EAF" w:rsidP="00C26EB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w:t>
      </w:r>
      <w:r w:rsidR="00D94054" w:rsidRPr="003A26FF">
        <w:rPr>
          <w:rFonts w:ascii="ITC Avant Garde" w:hAnsi="ITC Avant Garde"/>
          <w:i/>
          <w:color w:val="auto"/>
          <w:sz w:val="18"/>
          <w:szCs w:val="18"/>
        </w:rPr>
        <w:t>En el modelo de oferta/conte</w:t>
      </w:r>
      <w:r w:rsidR="005B136C" w:rsidRPr="003A26FF">
        <w:rPr>
          <w:rFonts w:ascii="ITC Avant Garde" w:hAnsi="ITC Avant Garde"/>
          <w:i/>
          <w:color w:val="auto"/>
          <w:sz w:val="18"/>
          <w:szCs w:val="18"/>
        </w:rPr>
        <w:t>stación la red origen propondrá</w:t>
      </w:r>
      <w:r w:rsidR="00D94054" w:rsidRPr="003A26FF">
        <w:rPr>
          <w:rFonts w:ascii="ITC Avant Garde" w:hAnsi="ITC Avant Garde"/>
          <w:i/>
          <w:color w:val="auto"/>
          <w:sz w:val="18"/>
          <w:szCs w:val="18"/>
        </w:rPr>
        <w:t xml:space="preserve"> la preferencia en el uso</w:t>
      </w:r>
      <w:r w:rsidR="005B136C" w:rsidRPr="003A26FF">
        <w:rPr>
          <w:rFonts w:ascii="ITC Avant Garde" w:hAnsi="ITC Avant Garde"/>
          <w:i/>
          <w:color w:val="auto"/>
          <w:sz w:val="18"/>
          <w:szCs w:val="18"/>
        </w:rPr>
        <w:t xml:space="preserve"> de los códecs </w:t>
      </w:r>
      <w:r w:rsidR="005B136C" w:rsidRPr="003A26FF">
        <w:rPr>
          <w:rFonts w:ascii="ITC Avant Garde" w:hAnsi="ITC Avant Garde"/>
          <w:i/>
          <w:color w:val="auto"/>
          <w:sz w:val="18"/>
          <w:szCs w:val="18"/>
          <w:u w:val="single"/>
        </w:rPr>
        <w:t xml:space="preserve">y deberá incluir todos los códecs listados </w:t>
      </w:r>
      <w:r w:rsidR="00AF544C" w:rsidRPr="003A26FF">
        <w:rPr>
          <w:rFonts w:ascii="ITC Avant Garde" w:hAnsi="ITC Avant Garde"/>
          <w:i/>
          <w:color w:val="auto"/>
          <w:sz w:val="18"/>
          <w:szCs w:val="18"/>
          <w:u w:val="single"/>
        </w:rPr>
        <w:t>anteriormente</w:t>
      </w:r>
      <w:r w:rsidR="005B136C" w:rsidRPr="003A26FF">
        <w:rPr>
          <w:rFonts w:ascii="ITC Avant Garde" w:hAnsi="ITC Avant Garde"/>
          <w:i/>
          <w:color w:val="auto"/>
          <w:sz w:val="18"/>
          <w:szCs w:val="18"/>
          <w:u w:val="single"/>
        </w:rPr>
        <w:t>,</w:t>
      </w:r>
      <w:r w:rsidR="00C70DBA">
        <w:rPr>
          <w:rFonts w:ascii="ITC Avant Garde" w:hAnsi="ITC Avant Garde"/>
          <w:i/>
          <w:color w:val="auto"/>
          <w:sz w:val="18"/>
          <w:szCs w:val="18"/>
          <w:u w:val="single"/>
        </w:rPr>
        <w:t xml:space="preserve"> </w:t>
      </w:r>
      <w:r w:rsidR="00C70DBA" w:rsidRPr="00C70DBA">
        <w:rPr>
          <w:rFonts w:ascii="ITC Avant Garde" w:hAnsi="ITC Avant Garde"/>
          <w:i/>
          <w:strike/>
          <w:color w:val="auto"/>
          <w:sz w:val="18"/>
          <w:szCs w:val="18"/>
          <w:u w:val="single"/>
        </w:rPr>
        <w:t>y</w:t>
      </w:r>
      <w:r w:rsidR="005B136C" w:rsidRPr="003A26FF">
        <w:rPr>
          <w:rFonts w:ascii="ITC Avant Garde" w:hAnsi="ITC Avant Garde"/>
          <w:i/>
          <w:color w:val="auto"/>
          <w:sz w:val="18"/>
          <w:szCs w:val="18"/>
          <w:u w:val="single"/>
        </w:rPr>
        <w:t xml:space="preserve"> siendo</w:t>
      </w:r>
      <w:r w:rsidR="00D94054" w:rsidRPr="003A26FF">
        <w:rPr>
          <w:rFonts w:ascii="ITC Avant Garde" w:hAnsi="ITC Avant Garde"/>
          <w:i/>
          <w:color w:val="auto"/>
          <w:sz w:val="18"/>
          <w:szCs w:val="18"/>
        </w:rPr>
        <w:t xml:space="preserve"> la red destino</w:t>
      </w:r>
      <w:r w:rsidR="005B136C" w:rsidRPr="003A26FF">
        <w:rPr>
          <w:rFonts w:ascii="ITC Avant Garde" w:hAnsi="ITC Avant Garde"/>
          <w:i/>
          <w:color w:val="auto"/>
          <w:sz w:val="18"/>
          <w:szCs w:val="18"/>
        </w:rPr>
        <w:t xml:space="preserve"> </w:t>
      </w:r>
      <w:r w:rsidR="005B136C" w:rsidRPr="003A26FF">
        <w:rPr>
          <w:rFonts w:ascii="ITC Avant Garde" w:hAnsi="ITC Avant Garde"/>
          <w:i/>
          <w:color w:val="auto"/>
          <w:sz w:val="18"/>
          <w:szCs w:val="18"/>
          <w:u w:val="single"/>
        </w:rPr>
        <w:t>la que</w:t>
      </w:r>
      <w:r w:rsidR="00D94054" w:rsidRPr="003A26FF">
        <w:rPr>
          <w:rFonts w:ascii="ITC Avant Garde" w:hAnsi="ITC Avant Garde"/>
          <w:i/>
          <w:color w:val="auto"/>
          <w:sz w:val="18"/>
          <w:szCs w:val="18"/>
        </w:rPr>
        <w:t xml:space="preserve"> determinará el códec a utilizar</w:t>
      </w:r>
      <w:r w:rsidRPr="003A26FF">
        <w:rPr>
          <w:rFonts w:ascii="ITC Avant Garde" w:hAnsi="ITC Avant Garde"/>
          <w:i/>
          <w:color w:val="auto"/>
          <w:sz w:val="18"/>
          <w:szCs w:val="18"/>
        </w:rPr>
        <w:t>”.</w:t>
      </w:r>
    </w:p>
    <w:p w14:paraId="2D53AA07" w14:textId="23C098AA" w:rsidR="009C02BB" w:rsidRPr="003A26FF" w:rsidRDefault="009C02BB" w:rsidP="00C26EB1">
      <w:pPr>
        <w:spacing w:after="0" w:line="276" w:lineRule="auto"/>
        <w:ind w:left="567" w:right="615" w:firstLine="0"/>
        <w:rPr>
          <w:rFonts w:ascii="ITC Avant Garde" w:hAnsi="ITC Avant Garde"/>
          <w:i/>
          <w:color w:val="auto"/>
          <w:sz w:val="18"/>
          <w:szCs w:val="18"/>
        </w:rPr>
      </w:pPr>
    </w:p>
    <w:p w14:paraId="2EAD82AF" w14:textId="2389BCAC" w:rsidR="009C02BB" w:rsidRPr="003A26FF" w:rsidRDefault="009C02BB" w:rsidP="009C02BB">
      <w:pPr>
        <w:spacing w:after="0" w:line="276" w:lineRule="auto"/>
        <w:ind w:left="567" w:right="615" w:firstLine="0"/>
        <w:jc w:val="right"/>
        <w:rPr>
          <w:rFonts w:ascii="ITC Avant Garde" w:hAnsi="ITC Avant Garde"/>
          <w:iCs/>
          <w:color w:val="auto"/>
          <w:sz w:val="18"/>
          <w:szCs w:val="18"/>
        </w:rPr>
      </w:pPr>
      <w:r w:rsidRPr="003A26FF">
        <w:rPr>
          <w:rFonts w:ascii="ITC Avant Garde" w:hAnsi="ITC Avant Garde"/>
          <w:iCs/>
          <w:color w:val="auto"/>
          <w:sz w:val="18"/>
          <w:szCs w:val="18"/>
        </w:rPr>
        <w:t>(Énfasis añadido)</w:t>
      </w:r>
    </w:p>
    <w:p w14:paraId="7F768072" w14:textId="2B069220" w:rsidR="00D94054" w:rsidRPr="003A26FF" w:rsidRDefault="006E4BD7" w:rsidP="00D94054">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4BF05370" w14:textId="77777777" w:rsidR="003E75CD" w:rsidRPr="003A26FF" w:rsidRDefault="003E75CD" w:rsidP="0001435C">
      <w:pPr>
        <w:spacing w:after="0" w:line="276" w:lineRule="auto"/>
        <w:ind w:right="0"/>
        <w:rPr>
          <w:rFonts w:ascii="ITC Avant Garde" w:hAnsi="ITC Avant Garde"/>
          <w:color w:val="auto"/>
        </w:rPr>
      </w:pPr>
    </w:p>
    <w:p w14:paraId="66EBA79D" w14:textId="048F8AB4" w:rsidR="004F4577" w:rsidRPr="003A26FF" w:rsidRDefault="004F4577" w:rsidP="0001435C">
      <w:pPr>
        <w:spacing w:after="0" w:line="276" w:lineRule="auto"/>
        <w:ind w:right="0"/>
        <w:rPr>
          <w:rFonts w:ascii="ITC Avant Garde" w:hAnsi="ITC Avant Garde"/>
          <w:color w:val="auto"/>
        </w:rPr>
      </w:pPr>
      <w:r w:rsidRPr="003A26FF">
        <w:rPr>
          <w:rFonts w:ascii="ITC Avant Garde" w:hAnsi="ITC Avant Garde"/>
          <w:color w:val="auto"/>
        </w:rPr>
        <w:t xml:space="preserve">El Acuerdo de CTM </w:t>
      </w:r>
      <w:r w:rsidR="0091614E" w:rsidRPr="003A26FF">
        <w:rPr>
          <w:rFonts w:ascii="ITC Avant Garde" w:hAnsi="ITC Avant Garde"/>
          <w:color w:val="auto"/>
        </w:rPr>
        <w:t xml:space="preserve">ya </w:t>
      </w:r>
      <w:r w:rsidRPr="003A26FF">
        <w:rPr>
          <w:rFonts w:ascii="ITC Avant Garde" w:hAnsi="ITC Avant Garde"/>
          <w:color w:val="auto"/>
        </w:rPr>
        <w:t>establece la obligatoriedad de</w:t>
      </w:r>
      <w:r w:rsidR="0091614E" w:rsidRPr="003A26FF">
        <w:rPr>
          <w:rFonts w:ascii="ITC Avant Garde" w:hAnsi="ITC Avant Garde"/>
          <w:color w:val="auto"/>
        </w:rPr>
        <w:t xml:space="preserve"> la red origen de</w:t>
      </w:r>
      <w:r w:rsidRPr="003A26FF">
        <w:rPr>
          <w:rFonts w:ascii="ITC Avant Garde" w:hAnsi="ITC Avant Garde"/>
          <w:color w:val="auto"/>
        </w:rPr>
        <w:t xml:space="preserve"> ofertar los códecs G729, G729b, G711, AMR-NB y AMR-WB. Por lo anterior, el numeral en cuestión se mantiene en sus términos.</w:t>
      </w:r>
    </w:p>
    <w:p w14:paraId="497B33A9" w14:textId="77777777" w:rsidR="00C613AC" w:rsidRPr="003A26FF" w:rsidRDefault="00C613AC" w:rsidP="00C613AC">
      <w:pPr>
        <w:spacing w:after="0" w:line="276" w:lineRule="auto"/>
        <w:ind w:left="567" w:right="615" w:firstLine="0"/>
        <w:rPr>
          <w:rFonts w:ascii="ITC Avant Garde" w:hAnsi="ITC Avant Garde"/>
          <w:i/>
          <w:color w:val="auto"/>
          <w:sz w:val="18"/>
          <w:szCs w:val="18"/>
        </w:rPr>
      </w:pPr>
    </w:p>
    <w:p w14:paraId="268E0A0C" w14:textId="57196FD2" w:rsidR="009F3FD7" w:rsidRPr="003A26FF" w:rsidRDefault="009F3FD7"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lastRenderedPageBreak/>
        <w:t>Identificación del número llamante</w:t>
      </w:r>
    </w:p>
    <w:p w14:paraId="45D43201" w14:textId="77777777" w:rsidR="00F42821" w:rsidRPr="003A26FF" w:rsidRDefault="00F42821" w:rsidP="00F42821">
      <w:pPr>
        <w:spacing w:after="0" w:line="276" w:lineRule="auto"/>
        <w:ind w:right="0"/>
        <w:rPr>
          <w:rFonts w:ascii="ITC Avant Garde" w:hAnsi="ITC Avant Garde"/>
          <w:color w:val="auto"/>
        </w:rPr>
      </w:pPr>
    </w:p>
    <w:p w14:paraId="7FEB664C" w14:textId="6A2CB63E" w:rsidR="009E49A3" w:rsidRPr="003A26FF" w:rsidRDefault="00AA550A" w:rsidP="00091EC4">
      <w:pPr>
        <w:spacing w:after="0" w:line="276" w:lineRule="auto"/>
        <w:ind w:right="0"/>
        <w:rPr>
          <w:rFonts w:ascii="ITC Avant Garde" w:hAnsi="ITC Avant Garde"/>
          <w:b/>
          <w:color w:val="auto"/>
        </w:rPr>
      </w:pPr>
      <w:r w:rsidRPr="003A26FF">
        <w:rPr>
          <w:rFonts w:ascii="ITC Avant Garde" w:hAnsi="ITC Avant Garde"/>
          <w:b/>
          <w:color w:val="auto"/>
        </w:rPr>
        <w:t xml:space="preserve">Televisa </w:t>
      </w:r>
    </w:p>
    <w:p w14:paraId="3D04C6E8" w14:textId="3B05C1C0" w:rsidR="009E49A3" w:rsidRPr="003A26FF" w:rsidRDefault="009E49A3" w:rsidP="00091EC4">
      <w:pPr>
        <w:spacing w:after="0" w:line="276" w:lineRule="auto"/>
        <w:ind w:right="0"/>
        <w:rPr>
          <w:rFonts w:ascii="ITC Avant Garde" w:hAnsi="ITC Avant Garde"/>
          <w:color w:val="auto"/>
        </w:rPr>
      </w:pPr>
      <w:r w:rsidRPr="003A26FF">
        <w:rPr>
          <w:rFonts w:ascii="ITC Avant Garde" w:hAnsi="ITC Avant Garde"/>
          <w:color w:val="auto"/>
        </w:rPr>
        <w:t>Solicitan especificar el formato que debe tener la SIP URI del originador en las llamadas provenientes de interconexiones internacionales cuando el número llamante A (internacional) esté presente, ya que solo se especifica el formato para los casos donde el numero llamante A no está presente.</w:t>
      </w:r>
    </w:p>
    <w:p w14:paraId="66E6AE33" w14:textId="2DCE8D8F" w:rsidR="009E3001" w:rsidRPr="003A26FF" w:rsidRDefault="009E3001" w:rsidP="008A3E1C">
      <w:pPr>
        <w:spacing w:after="0" w:line="276" w:lineRule="auto"/>
        <w:ind w:right="49"/>
        <w:rPr>
          <w:rFonts w:ascii="ITC Avant Garde" w:hAnsi="ITC Avant Garde"/>
          <w:color w:val="auto"/>
        </w:rPr>
      </w:pPr>
    </w:p>
    <w:p w14:paraId="3387D66C" w14:textId="00CD4124" w:rsidR="009E3001" w:rsidRPr="003A26FF" w:rsidRDefault="004A557B" w:rsidP="009E300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9E3001" w:rsidRPr="003A26FF">
        <w:rPr>
          <w:rFonts w:ascii="ITC Avant Garde" w:hAnsi="ITC Avant Garde"/>
          <w:b/>
          <w:color w:val="auto"/>
          <w:u w:val="single"/>
        </w:rPr>
        <w:t xml:space="preserve"> </w:t>
      </w:r>
    </w:p>
    <w:p w14:paraId="30200289" w14:textId="77777777" w:rsidR="00F23483" w:rsidRPr="003A26FF" w:rsidRDefault="00F23483" w:rsidP="00091EC4">
      <w:pPr>
        <w:spacing w:after="0" w:line="276" w:lineRule="auto"/>
        <w:ind w:right="0"/>
        <w:rPr>
          <w:rFonts w:ascii="ITC Avant Garde" w:hAnsi="ITC Avant Garde"/>
          <w:color w:val="auto"/>
        </w:rPr>
      </w:pPr>
    </w:p>
    <w:p w14:paraId="4BD811A5" w14:textId="2EE285B9" w:rsidR="00A46D8B" w:rsidRPr="003A26FF" w:rsidRDefault="00F23483" w:rsidP="00F03508">
      <w:pPr>
        <w:spacing w:after="0" w:line="276" w:lineRule="auto"/>
        <w:ind w:right="0"/>
        <w:rPr>
          <w:rFonts w:ascii="ITC Avant Garde" w:hAnsi="ITC Avant Garde"/>
          <w:color w:val="auto"/>
        </w:rPr>
      </w:pPr>
      <w:r w:rsidRPr="003A26FF">
        <w:rPr>
          <w:rFonts w:ascii="ITC Avant Garde" w:hAnsi="ITC Avant Garde"/>
          <w:color w:val="auto"/>
        </w:rPr>
        <w:t>E</w:t>
      </w:r>
      <w:r w:rsidR="00F03508" w:rsidRPr="003A26FF">
        <w:rPr>
          <w:rFonts w:ascii="ITC Avant Garde" w:hAnsi="ITC Avant Garde"/>
          <w:color w:val="auto"/>
        </w:rPr>
        <w:t>n</w:t>
      </w:r>
      <w:r w:rsidRPr="003A26FF">
        <w:rPr>
          <w:rFonts w:ascii="ITC Avant Garde" w:hAnsi="ITC Avant Garde"/>
          <w:color w:val="auto"/>
        </w:rPr>
        <w:t xml:space="preserve"> </w:t>
      </w:r>
      <w:r w:rsidR="00F03508" w:rsidRPr="003A26FF">
        <w:rPr>
          <w:rFonts w:ascii="ITC Avant Garde" w:hAnsi="ITC Avant Garde"/>
          <w:color w:val="auto"/>
        </w:rPr>
        <w:t xml:space="preserve">el </w:t>
      </w:r>
      <w:r w:rsidRPr="003A26FF">
        <w:rPr>
          <w:rFonts w:ascii="ITC Avant Garde" w:hAnsi="ITC Avant Garde"/>
          <w:color w:val="auto"/>
        </w:rPr>
        <w:t xml:space="preserve">Acuerdo de CTM </w:t>
      </w:r>
      <w:r w:rsidR="00F03508" w:rsidRPr="003A26FF">
        <w:rPr>
          <w:rFonts w:ascii="ITC Avant Garde" w:hAnsi="ITC Avant Garde"/>
          <w:color w:val="auto"/>
        </w:rPr>
        <w:t xml:space="preserve">se </w:t>
      </w:r>
      <w:r w:rsidRPr="003A26FF">
        <w:rPr>
          <w:rFonts w:ascii="ITC Avant Garde" w:hAnsi="ITC Avant Garde"/>
          <w:color w:val="auto"/>
        </w:rPr>
        <w:t xml:space="preserve">considera el caso </w:t>
      </w:r>
      <w:r w:rsidR="00F03508" w:rsidRPr="003A26FF">
        <w:rPr>
          <w:rFonts w:ascii="ITC Avant Garde" w:hAnsi="ITC Avant Garde"/>
          <w:color w:val="auto"/>
        </w:rPr>
        <w:t>en</w:t>
      </w:r>
      <w:r w:rsidRPr="003A26FF">
        <w:rPr>
          <w:rFonts w:ascii="ITC Avant Garde" w:hAnsi="ITC Avant Garde"/>
          <w:color w:val="auto"/>
        </w:rPr>
        <w:t xml:space="preserve"> el que no se encuentre presente el número de origen internacional, dado que su formato no se encuentra regulado internacionalmente</w:t>
      </w:r>
      <w:r w:rsidR="00F03508" w:rsidRPr="003A26FF">
        <w:rPr>
          <w:rFonts w:ascii="ITC Avant Garde" w:hAnsi="ITC Avant Garde"/>
          <w:color w:val="auto"/>
        </w:rPr>
        <w:t>, en este sentido el formato de número de A en interconexión internacional excede el alcance del Acuerdo.</w:t>
      </w:r>
    </w:p>
    <w:p w14:paraId="7285B970" w14:textId="77777777" w:rsidR="00F03508" w:rsidRPr="003A26FF" w:rsidRDefault="00F03508" w:rsidP="00F03508">
      <w:pPr>
        <w:spacing w:after="0" w:line="276" w:lineRule="auto"/>
        <w:ind w:right="0"/>
        <w:rPr>
          <w:rFonts w:ascii="ITC Avant Garde" w:hAnsi="ITC Avant Garde"/>
          <w:color w:val="auto"/>
        </w:rPr>
      </w:pPr>
    </w:p>
    <w:p w14:paraId="68565F1C" w14:textId="031949B9" w:rsidR="00A46D8B" w:rsidRPr="003A26FF" w:rsidRDefault="00A46D8B"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t>Liberación de las peticiones</w:t>
      </w:r>
    </w:p>
    <w:p w14:paraId="6D10B1AD" w14:textId="139D8C9A" w:rsidR="000C25A1" w:rsidRPr="003A26FF" w:rsidRDefault="000C25A1" w:rsidP="00A46D8B">
      <w:pPr>
        <w:spacing w:after="0" w:line="276" w:lineRule="auto"/>
        <w:ind w:left="-5" w:right="49"/>
        <w:rPr>
          <w:rFonts w:ascii="ITC Avant Garde" w:hAnsi="ITC Avant Garde"/>
          <w:b/>
          <w:color w:val="auto"/>
          <w:u w:val="single"/>
        </w:rPr>
      </w:pPr>
    </w:p>
    <w:p w14:paraId="6DE573D3" w14:textId="566B6019" w:rsidR="000C25A1" w:rsidRPr="003A26FF" w:rsidRDefault="009413A9" w:rsidP="00091EC4">
      <w:pPr>
        <w:spacing w:after="0" w:line="276" w:lineRule="auto"/>
        <w:ind w:right="0"/>
        <w:rPr>
          <w:rFonts w:ascii="ITC Avant Garde" w:hAnsi="ITC Avant Garde"/>
          <w:b/>
          <w:color w:val="auto"/>
        </w:rPr>
      </w:pPr>
      <w:r w:rsidRPr="003A26FF">
        <w:rPr>
          <w:rFonts w:ascii="ITC Avant Garde" w:hAnsi="ITC Avant Garde"/>
          <w:b/>
          <w:color w:val="auto"/>
        </w:rPr>
        <w:t>Telcel</w:t>
      </w:r>
    </w:p>
    <w:p w14:paraId="1E27B88E" w14:textId="6FDA2408" w:rsidR="000C25A1" w:rsidRPr="003A26FF" w:rsidRDefault="005B6DDB" w:rsidP="00091EC4">
      <w:pPr>
        <w:spacing w:after="0" w:line="276" w:lineRule="auto"/>
        <w:ind w:right="0"/>
        <w:rPr>
          <w:rFonts w:ascii="ITC Avant Garde" w:hAnsi="ITC Avant Garde"/>
          <w:color w:val="auto"/>
        </w:rPr>
      </w:pPr>
      <w:r w:rsidRPr="003A26FF">
        <w:rPr>
          <w:rFonts w:ascii="ITC Avant Garde" w:hAnsi="ITC Avant Garde"/>
          <w:color w:val="auto"/>
        </w:rPr>
        <w:t xml:space="preserve">Sugiere eliminar la Tabla 9: Códigos de respuesta SIP y </w:t>
      </w:r>
      <w:r w:rsidR="000C25A1" w:rsidRPr="003A26FF">
        <w:rPr>
          <w:rFonts w:ascii="ITC Avant Garde" w:hAnsi="ITC Avant Garde"/>
          <w:color w:val="auto"/>
        </w:rPr>
        <w:t>especificar que los códigos de respuesta se</w:t>
      </w:r>
      <w:r w:rsidRPr="003A26FF">
        <w:rPr>
          <w:rFonts w:ascii="ITC Avant Garde" w:hAnsi="ITC Avant Garde"/>
          <w:color w:val="auto"/>
        </w:rPr>
        <w:t>rán los definidos en la</w:t>
      </w:r>
      <w:r w:rsidR="000C25A1" w:rsidRPr="003A26FF">
        <w:rPr>
          <w:rFonts w:ascii="ITC Avant Garde" w:hAnsi="ITC Avant Garde"/>
          <w:color w:val="auto"/>
        </w:rPr>
        <w:t xml:space="preserve"> recomendación RFC 3261.</w:t>
      </w:r>
    </w:p>
    <w:p w14:paraId="7AC7E562" w14:textId="6CF6AEB6" w:rsidR="000C25A1" w:rsidRPr="003A26FF" w:rsidRDefault="000C25A1" w:rsidP="00A46D8B">
      <w:pPr>
        <w:spacing w:after="0" w:line="276" w:lineRule="auto"/>
        <w:ind w:left="-5" w:right="49"/>
        <w:rPr>
          <w:rFonts w:ascii="ITC Avant Garde" w:hAnsi="ITC Avant Garde"/>
          <w:color w:val="auto"/>
        </w:rPr>
      </w:pPr>
    </w:p>
    <w:p w14:paraId="435F4C69" w14:textId="4787ECF8" w:rsidR="000C25A1" w:rsidRPr="003A26FF" w:rsidRDefault="00CE6F64" w:rsidP="000C25A1">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r w:rsidR="000C25A1" w:rsidRPr="003A26FF">
        <w:rPr>
          <w:rFonts w:ascii="ITC Avant Garde" w:hAnsi="ITC Avant Garde"/>
          <w:b/>
          <w:color w:val="auto"/>
          <w:u w:val="single"/>
        </w:rPr>
        <w:t xml:space="preserve"> </w:t>
      </w:r>
    </w:p>
    <w:p w14:paraId="0AC557B8" w14:textId="77777777" w:rsidR="003E75CD" w:rsidRPr="003A26FF" w:rsidRDefault="003E75CD" w:rsidP="00091EC4">
      <w:pPr>
        <w:spacing w:after="0" w:line="276" w:lineRule="auto"/>
        <w:ind w:right="0"/>
        <w:rPr>
          <w:rFonts w:ascii="ITC Avant Garde" w:hAnsi="ITC Avant Garde"/>
          <w:color w:val="auto"/>
        </w:rPr>
      </w:pPr>
    </w:p>
    <w:p w14:paraId="4E997CC5" w14:textId="17E36C7B" w:rsidR="000C25A1" w:rsidRPr="003A26FF" w:rsidRDefault="004A557B" w:rsidP="00091EC4">
      <w:pPr>
        <w:spacing w:after="0" w:line="276" w:lineRule="auto"/>
        <w:ind w:right="0"/>
        <w:rPr>
          <w:rFonts w:ascii="ITC Avant Garde" w:hAnsi="ITC Avant Garde"/>
          <w:color w:val="auto"/>
        </w:rPr>
      </w:pPr>
      <w:r w:rsidRPr="003A26FF">
        <w:rPr>
          <w:rFonts w:ascii="ITC Avant Garde" w:hAnsi="ITC Avant Garde"/>
          <w:color w:val="auto"/>
        </w:rPr>
        <w:t>La condición Séptima</w:t>
      </w:r>
      <w:r w:rsidR="000C25A1" w:rsidRPr="003A26FF">
        <w:rPr>
          <w:rFonts w:ascii="ITC Avant Garde" w:hAnsi="ITC Avant Garde"/>
          <w:color w:val="auto"/>
        </w:rPr>
        <w:t xml:space="preserve"> establece que la interconexión SIP-IP se realizará de conformidad a</w:t>
      </w:r>
      <w:r w:rsidR="007064D1" w:rsidRPr="003A26FF">
        <w:rPr>
          <w:rFonts w:ascii="ITC Avant Garde" w:hAnsi="ITC Avant Garde"/>
          <w:color w:val="auto"/>
        </w:rPr>
        <w:t xml:space="preserve"> la recomendación</w:t>
      </w:r>
      <w:r w:rsidR="000C25A1" w:rsidRPr="003A26FF">
        <w:rPr>
          <w:rFonts w:ascii="ITC Avant Garde" w:hAnsi="ITC Avant Garde"/>
          <w:color w:val="auto"/>
        </w:rPr>
        <w:t xml:space="preserve"> RFC 3261:</w:t>
      </w:r>
    </w:p>
    <w:p w14:paraId="67976AC5" w14:textId="58E1B45A" w:rsidR="000C25A1" w:rsidRPr="003A26FF" w:rsidRDefault="000C25A1" w:rsidP="000C25A1">
      <w:pPr>
        <w:spacing w:after="0" w:line="276" w:lineRule="auto"/>
        <w:ind w:left="-5" w:right="49"/>
        <w:rPr>
          <w:rFonts w:ascii="ITC Avant Garde" w:hAnsi="ITC Avant Garde"/>
          <w:color w:val="auto"/>
        </w:rPr>
      </w:pPr>
    </w:p>
    <w:p w14:paraId="0A261BF7" w14:textId="4A2F7CE8" w:rsidR="000C25A1" w:rsidRPr="003A26FF" w:rsidRDefault="000C25A1" w:rsidP="000C25A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“SÉPTIMA. - La interconexión de redes públicas de telecomunicaciones se sujetará a la utilización de los siguientes protocolos de señalización.</w:t>
      </w:r>
    </w:p>
    <w:p w14:paraId="730B9976" w14:textId="77777777" w:rsidR="000C25A1" w:rsidRPr="003A26FF" w:rsidRDefault="000C25A1" w:rsidP="000C25A1">
      <w:pPr>
        <w:spacing w:after="0" w:line="276" w:lineRule="auto"/>
        <w:ind w:left="567" w:right="615" w:firstLine="0"/>
        <w:rPr>
          <w:rFonts w:ascii="ITC Avant Garde" w:hAnsi="ITC Avant Garde"/>
          <w:i/>
          <w:color w:val="auto"/>
          <w:sz w:val="18"/>
          <w:szCs w:val="18"/>
        </w:rPr>
      </w:pPr>
    </w:p>
    <w:p w14:paraId="1F0B2FB1" w14:textId="77777777" w:rsidR="000C25A1" w:rsidRPr="003A26FF" w:rsidRDefault="000C25A1" w:rsidP="000C25A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Interconexión IP</w:t>
      </w:r>
    </w:p>
    <w:p w14:paraId="0B315B77" w14:textId="77777777" w:rsidR="000C25A1" w:rsidRPr="003A26FF" w:rsidRDefault="000C25A1" w:rsidP="000C25A1">
      <w:pPr>
        <w:spacing w:after="0" w:line="276" w:lineRule="auto"/>
        <w:ind w:left="567" w:right="615" w:firstLine="0"/>
        <w:rPr>
          <w:rFonts w:ascii="ITC Avant Garde" w:hAnsi="ITC Avant Garde"/>
          <w:i/>
          <w:color w:val="auto"/>
          <w:sz w:val="18"/>
          <w:szCs w:val="18"/>
        </w:rPr>
      </w:pPr>
    </w:p>
    <w:p w14:paraId="7F8EA69D" w14:textId="2FDE23CE" w:rsidR="000C25A1" w:rsidRPr="003A26FF" w:rsidRDefault="000C25A1" w:rsidP="000C25A1">
      <w:pPr>
        <w:spacing w:after="0" w:line="276" w:lineRule="auto"/>
        <w:ind w:left="567" w:right="615" w:firstLine="0"/>
        <w:rPr>
          <w:rFonts w:ascii="ITC Avant Garde" w:hAnsi="ITC Avant Garde"/>
          <w:i/>
          <w:color w:val="auto"/>
          <w:sz w:val="18"/>
          <w:szCs w:val="18"/>
        </w:rPr>
      </w:pPr>
      <w:r w:rsidRPr="003A26FF">
        <w:rPr>
          <w:rFonts w:ascii="ITC Avant Garde" w:hAnsi="ITC Avant Garde"/>
          <w:i/>
          <w:color w:val="auto"/>
          <w:sz w:val="18"/>
          <w:szCs w:val="18"/>
        </w:rPr>
        <w:t>El protocolo de señalización SIP-IP será obligatorio para la interconexión directa entre concesionarios y de acuerdo a la Recomendación IETF RFC 3261 y recomendaciones complementarias.”</w:t>
      </w:r>
    </w:p>
    <w:p w14:paraId="0B63CF8A" w14:textId="7C3E8266" w:rsidR="00352A73" w:rsidRPr="003A26FF" w:rsidRDefault="00352A73" w:rsidP="00F03508">
      <w:pPr>
        <w:spacing w:after="0" w:line="276" w:lineRule="auto"/>
        <w:ind w:left="0" w:right="49" w:firstLine="0"/>
        <w:rPr>
          <w:rFonts w:ascii="ITC Avant Garde" w:hAnsi="ITC Avant Garde"/>
          <w:color w:val="auto"/>
        </w:rPr>
      </w:pPr>
    </w:p>
    <w:p w14:paraId="22DF68B2" w14:textId="1EC6167E" w:rsidR="00294BF1" w:rsidRDefault="00294BF1" w:rsidP="00294BF1">
      <w:pPr>
        <w:spacing w:after="0" w:line="276" w:lineRule="auto"/>
        <w:ind w:right="0"/>
        <w:rPr>
          <w:rFonts w:ascii="ITC Avant Garde" w:hAnsi="ITC Avant Garde"/>
          <w:b/>
          <w:color w:val="auto"/>
          <w:u w:val="single"/>
        </w:rPr>
      </w:pPr>
      <w:r>
        <w:rPr>
          <w:rFonts w:ascii="ITC Avant Garde" w:hAnsi="ITC Avant Garde"/>
          <w:b/>
          <w:color w:val="auto"/>
          <w:u w:val="single"/>
        </w:rPr>
        <w:t>Interconexión IP</w:t>
      </w:r>
    </w:p>
    <w:p w14:paraId="417FFFE1" w14:textId="77777777" w:rsidR="004A62E9" w:rsidRDefault="004A62E9" w:rsidP="00294BF1">
      <w:pPr>
        <w:spacing w:after="0" w:line="276" w:lineRule="auto"/>
        <w:ind w:right="0"/>
        <w:rPr>
          <w:rFonts w:ascii="ITC Avant Garde" w:hAnsi="ITC Avant Garde"/>
          <w:b/>
          <w:color w:val="auto"/>
        </w:rPr>
      </w:pPr>
    </w:p>
    <w:p w14:paraId="6FC03CE5" w14:textId="0130A03D" w:rsidR="00294BF1" w:rsidRPr="00D4424A" w:rsidRDefault="00294BF1" w:rsidP="00294BF1">
      <w:pPr>
        <w:spacing w:after="0" w:line="276" w:lineRule="auto"/>
        <w:ind w:right="0"/>
        <w:rPr>
          <w:rFonts w:ascii="ITC Avant Garde" w:hAnsi="ITC Avant Garde"/>
          <w:b/>
          <w:color w:val="auto"/>
        </w:rPr>
      </w:pPr>
      <w:r w:rsidRPr="00D4424A">
        <w:rPr>
          <w:rFonts w:ascii="ITC Avant Garde" w:hAnsi="ITC Avant Garde"/>
          <w:b/>
          <w:color w:val="auto"/>
        </w:rPr>
        <w:t>MCM</w:t>
      </w:r>
    </w:p>
    <w:p w14:paraId="793DF0A6" w14:textId="77777777" w:rsidR="00971643" w:rsidRPr="00D4424A" w:rsidRDefault="00971643" w:rsidP="00971643">
      <w:pPr>
        <w:spacing w:after="0" w:line="276" w:lineRule="auto"/>
        <w:ind w:left="0" w:right="49" w:firstLine="0"/>
        <w:rPr>
          <w:rFonts w:ascii="ITC Avant Garde" w:hAnsi="ITC Avant Garde"/>
          <w:color w:val="auto"/>
        </w:rPr>
      </w:pPr>
      <w:r w:rsidRPr="00BC4A47">
        <w:rPr>
          <w:rFonts w:ascii="ITC Avant Garde" w:hAnsi="ITC Avant Garde"/>
          <w:color w:val="auto"/>
        </w:rPr>
        <w:t>Señala que en el apartado de interconexión IP es necesario incluir una sección B) con la descripción detallada de las condiciones técnicas mínimas de interconexión para el servicio de mensajes cortos que asegure la calidad de los servicios que se prestan a los usuarios.</w:t>
      </w:r>
    </w:p>
    <w:p w14:paraId="7155C9EE" w14:textId="77777777" w:rsidR="0024773C" w:rsidRPr="00D4424A" w:rsidRDefault="0024773C" w:rsidP="00F03508">
      <w:pPr>
        <w:spacing w:after="0" w:line="276" w:lineRule="auto"/>
        <w:ind w:left="0" w:right="49" w:firstLine="0"/>
        <w:rPr>
          <w:rFonts w:ascii="ITC Avant Garde" w:hAnsi="ITC Avant Garde"/>
          <w:color w:val="auto"/>
        </w:rPr>
      </w:pPr>
    </w:p>
    <w:p w14:paraId="20CFF669" w14:textId="77777777" w:rsidR="0024773C" w:rsidRPr="00D4424A" w:rsidRDefault="0024773C" w:rsidP="0024773C">
      <w:pPr>
        <w:spacing w:after="0" w:line="276" w:lineRule="auto"/>
        <w:ind w:left="0" w:right="0" w:firstLine="0"/>
        <w:rPr>
          <w:rFonts w:ascii="ITC Avant Garde" w:hAnsi="ITC Avant Garde"/>
          <w:b/>
          <w:color w:val="auto"/>
          <w:u w:val="single"/>
        </w:rPr>
      </w:pPr>
      <w:r w:rsidRPr="00BC4A47">
        <w:rPr>
          <w:rFonts w:ascii="ITC Avant Garde" w:hAnsi="ITC Avant Garde"/>
          <w:b/>
          <w:color w:val="auto"/>
          <w:u w:val="single"/>
        </w:rPr>
        <w:lastRenderedPageBreak/>
        <w:t>Consideraciones del Instituto</w:t>
      </w:r>
    </w:p>
    <w:p w14:paraId="02AC30F9" w14:textId="77777777" w:rsidR="00294BF1" w:rsidRPr="00D4424A" w:rsidRDefault="00294BF1" w:rsidP="00091EC4">
      <w:pPr>
        <w:spacing w:after="0" w:line="276" w:lineRule="auto"/>
        <w:ind w:right="0"/>
        <w:rPr>
          <w:rFonts w:ascii="ITC Avant Garde" w:hAnsi="ITC Avant Garde"/>
          <w:b/>
          <w:color w:val="auto"/>
          <w:u w:val="single"/>
        </w:rPr>
      </w:pPr>
    </w:p>
    <w:p w14:paraId="53D83356" w14:textId="00C4A139" w:rsidR="00B857DF" w:rsidRPr="00BC4A47" w:rsidRDefault="00FE27B8" w:rsidP="00B857DF">
      <w:pPr>
        <w:spacing w:after="0" w:line="276" w:lineRule="auto"/>
        <w:ind w:right="0"/>
        <w:rPr>
          <w:rFonts w:ascii="ITC Avant Garde" w:hAnsi="ITC Avant Garde"/>
          <w:color w:val="auto"/>
        </w:rPr>
      </w:pPr>
      <w:r>
        <w:rPr>
          <w:rFonts w:ascii="ITC Avant Garde" w:hAnsi="ITC Avant Garde"/>
          <w:color w:val="auto"/>
        </w:rPr>
        <w:t>L</w:t>
      </w:r>
      <w:r w:rsidR="00B857DF" w:rsidRPr="00BC4A47">
        <w:rPr>
          <w:rFonts w:ascii="ITC Avant Garde" w:hAnsi="ITC Avant Garde"/>
          <w:color w:val="auto"/>
        </w:rPr>
        <w:t>a recomendación TR 23.039 de la 3GPP</w:t>
      </w:r>
      <w:r w:rsidR="002030F8">
        <w:rPr>
          <w:rFonts w:ascii="ITC Avant Garde" w:hAnsi="ITC Avant Garde"/>
          <w:color w:val="auto"/>
        </w:rPr>
        <w:t xml:space="preserve"> indica que </w:t>
      </w:r>
      <w:r w:rsidR="00F43E1F">
        <w:rPr>
          <w:rFonts w:ascii="ITC Avant Garde" w:hAnsi="ITC Avant Garde"/>
          <w:color w:val="auto"/>
        </w:rPr>
        <w:t xml:space="preserve">no existen interfaces estandarizas </w:t>
      </w:r>
      <w:r w:rsidRPr="006C2387">
        <w:rPr>
          <w:rFonts w:ascii="ITC Avant Garde" w:hAnsi="ITC Avant Garde"/>
          <w:color w:val="auto"/>
        </w:rPr>
        <w:t>para la conexión del SME (</w:t>
      </w:r>
      <w:r w:rsidRPr="006C2387">
        <w:rPr>
          <w:rFonts w:ascii="ITC Avant Garde" w:hAnsi="ITC Avant Garde"/>
          <w:i/>
          <w:iCs/>
          <w:color w:val="auto"/>
        </w:rPr>
        <w:t xml:space="preserve">“Short </w:t>
      </w:r>
      <w:proofErr w:type="spellStart"/>
      <w:r w:rsidRPr="006C2387">
        <w:rPr>
          <w:rFonts w:ascii="ITC Avant Garde" w:hAnsi="ITC Avant Garde"/>
          <w:i/>
          <w:iCs/>
          <w:color w:val="auto"/>
        </w:rPr>
        <w:t>Message</w:t>
      </w:r>
      <w:proofErr w:type="spellEnd"/>
      <w:r w:rsidRPr="006C2387">
        <w:rPr>
          <w:rFonts w:ascii="ITC Avant Garde" w:hAnsi="ITC Avant Garde"/>
          <w:i/>
          <w:iCs/>
          <w:color w:val="auto"/>
        </w:rPr>
        <w:t xml:space="preserve"> </w:t>
      </w:r>
      <w:proofErr w:type="spellStart"/>
      <w:r w:rsidRPr="006C2387">
        <w:rPr>
          <w:rFonts w:ascii="ITC Avant Garde" w:hAnsi="ITC Avant Garde"/>
          <w:i/>
          <w:iCs/>
          <w:color w:val="auto"/>
        </w:rPr>
        <w:t>Entity</w:t>
      </w:r>
      <w:proofErr w:type="spellEnd"/>
      <w:r w:rsidRPr="006C2387">
        <w:rPr>
          <w:rFonts w:ascii="ITC Avant Garde" w:hAnsi="ITC Avant Garde"/>
          <w:i/>
          <w:iCs/>
          <w:color w:val="auto"/>
        </w:rPr>
        <w:t>”</w:t>
      </w:r>
      <w:r w:rsidRPr="006C2387">
        <w:rPr>
          <w:rFonts w:ascii="ITC Avant Garde" w:hAnsi="ITC Avant Garde"/>
          <w:color w:val="auto"/>
        </w:rPr>
        <w:t>) y el SMSC (</w:t>
      </w:r>
      <w:r w:rsidRPr="006C2387">
        <w:rPr>
          <w:rFonts w:ascii="ITC Avant Garde" w:hAnsi="ITC Avant Garde"/>
          <w:i/>
          <w:iCs/>
          <w:color w:val="auto"/>
        </w:rPr>
        <w:t xml:space="preserve">“Short </w:t>
      </w:r>
      <w:proofErr w:type="spellStart"/>
      <w:r w:rsidRPr="006C2387">
        <w:rPr>
          <w:rFonts w:ascii="ITC Avant Garde" w:hAnsi="ITC Avant Garde"/>
          <w:i/>
          <w:iCs/>
          <w:color w:val="auto"/>
        </w:rPr>
        <w:t>Message</w:t>
      </w:r>
      <w:proofErr w:type="spellEnd"/>
      <w:r w:rsidRPr="006C2387">
        <w:rPr>
          <w:rFonts w:ascii="ITC Avant Garde" w:hAnsi="ITC Avant Garde"/>
          <w:i/>
          <w:iCs/>
          <w:color w:val="auto"/>
        </w:rPr>
        <w:t xml:space="preserve"> </w:t>
      </w:r>
      <w:proofErr w:type="spellStart"/>
      <w:r w:rsidRPr="006C2387">
        <w:rPr>
          <w:rFonts w:ascii="ITC Avant Garde" w:hAnsi="ITC Avant Garde"/>
          <w:i/>
          <w:iCs/>
          <w:color w:val="auto"/>
        </w:rPr>
        <w:t>Service</w:t>
      </w:r>
      <w:proofErr w:type="spellEnd"/>
      <w:r w:rsidRPr="006C2387">
        <w:rPr>
          <w:rFonts w:ascii="ITC Avant Garde" w:hAnsi="ITC Avant Garde"/>
          <w:i/>
          <w:iCs/>
          <w:color w:val="auto"/>
        </w:rPr>
        <w:t xml:space="preserve"> Centre”</w:t>
      </w:r>
      <w:r w:rsidRPr="006C2387">
        <w:rPr>
          <w:rFonts w:ascii="ITC Avant Garde" w:hAnsi="ITC Avant Garde"/>
          <w:color w:val="auto"/>
        </w:rPr>
        <w:t xml:space="preserve">) </w:t>
      </w:r>
      <w:r w:rsidR="00F43E1F">
        <w:rPr>
          <w:rFonts w:ascii="ITC Avant Garde" w:hAnsi="ITC Avant Garde"/>
          <w:color w:val="auto"/>
        </w:rPr>
        <w:t>o</w:t>
      </w:r>
      <w:r w:rsidR="00B857DF" w:rsidRPr="00BC4A47">
        <w:rPr>
          <w:rFonts w:ascii="ITC Avant Garde" w:hAnsi="ITC Avant Garde"/>
          <w:color w:val="auto"/>
        </w:rPr>
        <w:t xml:space="preserve"> un protocolo preferido, por lo que </w:t>
      </w:r>
      <w:r w:rsidR="00412AB9">
        <w:rPr>
          <w:rFonts w:ascii="ITC Avant Garde" w:hAnsi="ITC Avant Garde"/>
          <w:color w:val="auto"/>
        </w:rPr>
        <w:t>el esquema de operación</w:t>
      </w:r>
      <w:r w:rsidR="000D1C4C">
        <w:rPr>
          <w:rFonts w:ascii="ITC Avant Garde" w:hAnsi="ITC Avant Garde"/>
          <w:color w:val="auto"/>
        </w:rPr>
        <w:t xml:space="preserve"> y funcionalidades</w:t>
      </w:r>
      <w:r w:rsidR="00D261CF">
        <w:rPr>
          <w:rFonts w:ascii="ITC Avant Garde" w:hAnsi="ITC Avant Garde"/>
          <w:color w:val="auto"/>
        </w:rPr>
        <w:t xml:space="preserve"> </w:t>
      </w:r>
      <w:r w:rsidR="00412AB9">
        <w:rPr>
          <w:rFonts w:ascii="ITC Avant Garde" w:hAnsi="ITC Avant Garde"/>
          <w:color w:val="auto"/>
        </w:rPr>
        <w:t>propuest</w:t>
      </w:r>
      <w:r w:rsidR="000D1C4C">
        <w:rPr>
          <w:rFonts w:ascii="ITC Avant Garde" w:hAnsi="ITC Avant Garde"/>
          <w:color w:val="auto"/>
        </w:rPr>
        <w:t>as</w:t>
      </w:r>
      <w:r w:rsidR="00412AB9">
        <w:rPr>
          <w:rFonts w:ascii="ITC Avant Garde" w:hAnsi="ITC Avant Garde"/>
          <w:color w:val="auto"/>
        </w:rPr>
        <w:t xml:space="preserve"> por el participante </w:t>
      </w:r>
      <w:r w:rsidR="00D261CF">
        <w:rPr>
          <w:rFonts w:ascii="ITC Avant Garde" w:hAnsi="ITC Avant Garde"/>
          <w:color w:val="auto"/>
        </w:rPr>
        <w:t>no puede</w:t>
      </w:r>
      <w:r w:rsidR="000D1C4C">
        <w:rPr>
          <w:rFonts w:ascii="ITC Avant Garde" w:hAnsi="ITC Avant Garde"/>
          <w:color w:val="auto"/>
        </w:rPr>
        <w:t>n</w:t>
      </w:r>
      <w:r w:rsidR="00DA74F1">
        <w:rPr>
          <w:rFonts w:ascii="ITC Avant Garde" w:hAnsi="ITC Avant Garde"/>
          <w:color w:val="auto"/>
        </w:rPr>
        <w:t xml:space="preserve"> considerarse como condiciones técnicas mínimas </w:t>
      </w:r>
      <w:r w:rsidR="00D67873">
        <w:rPr>
          <w:rFonts w:ascii="ITC Avant Garde" w:hAnsi="ITC Avant Garde"/>
          <w:color w:val="auto"/>
        </w:rPr>
        <w:t xml:space="preserve">de interconexión </w:t>
      </w:r>
      <w:r w:rsidR="00DA74F1">
        <w:rPr>
          <w:rFonts w:ascii="ITC Avant Garde" w:hAnsi="ITC Avant Garde"/>
          <w:color w:val="auto"/>
        </w:rPr>
        <w:t>y</w:t>
      </w:r>
      <w:r w:rsidR="00F91571">
        <w:rPr>
          <w:rFonts w:ascii="ITC Avant Garde" w:hAnsi="ITC Avant Garde"/>
          <w:color w:val="auto"/>
        </w:rPr>
        <w:t>, en su caso,</w:t>
      </w:r>
      <w:r w:rsidR="00DA74F1">
        <w:rPr>
          <w:rFonts w:ascii="ITC Avant Garde" w:hAnsi="ITC Avant Garde"/>
          <w:color w:val="auto"/>
        </w:rPr>
        <w:t xml:space="preserve"> </w:t>
      </w:r>
      <w:r w:rsidR="00412AB9">
        <w:rPr>
          <w:rFonts w:ascii="ITC Avant Garde" w:hAnsi="ITC Avant Garde"/>
          <w:color w:val="auto"/>
        </w:rPr>
        <w:t>debe</w:t>
      </w:r>
      <w:r w:rsidR="00F91571">
        <w:rPr>
          <w:rFonts w:ascii="ITC Avant Garde" w:hAnsi="ITC Avant Garde"/>
          <w:color w:val="auto"/>
        </w:rPr>
        <w:t>n</w:t>
      </w:r>
      <w:r w:rsidR="00412AB9">
        <w:rPr>
          <w:rFonts w:ascii="ITC Avant Garde" w:hAnsi="ITC Avant Garde"/>
          <w:color w:val="auto"/>
        </w:rPr>
        <w:t xml:space="preserve"> ser acordad</w:t>
      </w:r>
      <w:r w:rsidR="009C1A14">
        <w:rPr>
          <w:rFonts w:ascii="ITC Avant Garde" w:hAnsi="ITC Avant Garde"/>
          <w:color w:val="auto"/>
        </w:rPr>
        <w:t>as</w:t>
      </w:r>
      <w:r w:rsidR="00412AB9">
        <w:rPr>
          <w:rFonts w:ascii="ITC Avant Garde" w:hAnsi="ITC Avant Garde"/>
          <w:color w:val="auto"/>
        </w:rPr>
        <w:t xml:space="preserve"> entre las redes a interconectarse con </w:t>
      </w:r>
      <w:r w:rsidR="00B857DF" w:rsidRPr="00BC4A47">
        <w:rPr>
          <w:rFonts w:ascii="ITC Avant Garde" w:hAnsi="ITC Avant Garde"/>
          <w:color w:val="auto"/>
        </w:rPr>
        <w:t xml:space="preserve">base </w:t>
      </w:r>
      <w:r w:rsidR="00F66EE2">
        <w:rPr>
          <w:rFonts w:ascii="ITC Avant Garde" w:hAnsi="ITC Avant Garde"/>
          <w:color w:val="auto"/>
        </w:rPr>
        <w:t>en</w:t>
      </w:r>
      <w:r w:rsidR="00B857DF" w:rsidRPr="00BC4A47">
        <w:rPr>
          <w:rFonts w:ascii="ITC Avant Garde" w:hAnsi="ITC Avant Garde"/>
          <w:color w:val="auto"/>
        </w:rPr>
        <w:t xml:space="preserve"> la implementación en particular, aplicación o </w:t>
      </w:r>
      <w:r w:rsidR="00155047">
        <w:rPr>
          <w:rFonts w:ascii="ITC Avant Garde" w:hAnsi="ITC Avant Garde"/>
          <w:color w:val="auto"/>
        </w:rPr>
        <w:t>servicios</w:t>
      </w:r>
      <w:r w:rsidR="00B857DF" w:rsidRPr="00BC4A47">
        <w:rPr>
          <w:rFonts w:ascii="ITC Avant Garde" w:hAnsi="ITC Avant Garde"/>
          <w:color w:val="auto"/>
        </w:rPr>
        <w:t>.</w:t>
      </w:r>
    </w:p>
    <w:p w14:paraId="6167E90A" w14:textId="77777777" w:rsidR="00B857DF" w:rsidRDefault="00B857DF" w:rsidP="00091EC4">
      <w:pPr>
        <w:spacing w:after="0" w:line="276" w:lineRule="auto"/>
        <w:ind w:right="0"/>
        <w:rPr>
          <w:rFonts w:ascii="ITC Avant Garde" w:hAnsi="ITC Avant Garde"/>
          <w:b/>
          <w:color w:val="auto"/>
          <w:u w:val="single"/>
        </w:rPr>
      </w:pPr>
    </w:p>
    <w:p w14:paraId="4D7DBE52" w14:textId="5EFF494E" w:rsidR="00DA3605" w:rsidRPr="003A26FF" w:rsidRDefault="00A91102" w:rsidP="00091EC4">
      <w:pPr>
        <w:spacing w:after="0" w:line="276" w:lineRule="auto"/>
        <w:ind w:right="0"/>
        <w:rPr>
          <w:rFonts w:ascii="ITC Avant Garde" w:hAnsi="ITC Avant Garde"/>
          <w:b/>
          <w:color w:val="auto"/>
          <w:u w:val="single"/>
        </w:rPr>
      </w:pPr>
      <w:r w:rsidRPr="003A26FF">
        <w:rPr>
          <w:rFonts w:ascii="ITC Avant Garde" w:hAnsi="ITC Avant Garde"/>
          <w:b/>
          <w:color w:val="auto"/>
          <w:u w:val="single"/>
        </w:rPr>
        <w:t>Condición</w:t>
      </w:r>
      <w:r w:rsidR="00453420" w:rsidRPr="003A26FF">
        <w:rPr>
          <w:rFonts w:ascii="ITC Avant Garde" w:hAnsi="ITC Avant Garde"/>
          <w:b/>
          <w:color w:val="auto"/>
          <w:u w:val="single"/>
        </w:rPr>
        <w:t xml:space="preserve"> Octava</w:t>
      </w:r>
    </w:p>
    <w:p w14:paraId="3DF1EB3F" w14:textId="77777777" w:rsidR="009779DE" w:rsidRDefault="009779DE" w:rsidP="0046195F">
      <w:pPr>
        <w:spacing w:after="0" w:line="276" w:lineRule="auto"/>
        <w:ind w:right="0"/>
        <w:rPr>
          <w:rFonts w:ascii="ITC Avant Garde" w:hAnsi="ITC Avant Garde"/>
          <w:b/>
          <w:color w:val="auto"/>
          <w:u w:val="single"/>
        </w:rPr>
      </w:pPr>
    </w:p>
    <w:p w14:paraId="284AEA30" w14:textId="18628E17" w:rsidR="00621CE3" w:rsidRPr="003A26FF" w:rsidRDefault="00CE6F64" w:rsidP="00091EC4">
      <w:pPr>
        <w:spacing w:after="0" w:line="276" w:lineRule="auto"/>
        <w:ind w:right="0"/>
        <w:rPr>
          <w:rFonts w:ascii="ITC Avant Garde" w:hAnsi="ITC Avant Garde"/>
          <w:b/>
          <w:color w:val="auto"/>
        </w:rPr>
      </w:pPr>
      <w:r w:rsidRPr="003A26FF">
        <w:rPr>
          <w:rFonts w:ascii="ITC Avant Garde" w:hAnsi="ITC Avant Garde"/>
          <w:b/>
          <w:color w:val="auto"/>
        </w:rPr>
        <w:t>Mega</w:t>
      </w:r>
      <w:r w:rsidR="00F31413" w:rsidRPr="003A26FF">
        <w:rPr>
          <w:rFonts w:ascii="ITC Avant Garde" w:hAnsi="ITC Avant Garde"/>
          <w:b/>
          <w:color w:val="auto"/>
        </w:rPr>
        <w:t xml:space="preserve"> C</w:t>
      </w:r>
      <w:r w:rsidRPr="003A26FF">
        <w:rPr>
          <w:rFonts w:ascii="ITC Avant Garde" w:hAnsi="ITC Avant Garde"/>
          <w:b/>
          <w:color w:val="auto"/>
        </w:rPr>
        <w:t>able</w:t>
      </w:r>
    </w:p>
    <w:p w14:paraId="3C8465B2" w14:textId="51F2258D" w:rsidR="00F31413" w:rsidRPr="003A26FF" w:rsidRDefault="00F31413" w:rsidP="00F31413">
      <w:pPr>
        <w:spacing w:after="0" w:line="276" w:lineRule="auto"/>
        <w:ind w:left="-5" w:right="49"/>
        <w:rPr>
          <w:rFonts w:ascii="ITC Avant Garde" w:hAnsi="ITC Avant Garde"/>
          <w:color w:val="auto"/>
        </w:rPr>
      </w:pPr>
      <w:r w:rsidRPr="003A26FF">
        <w:rPr>
          <w:rFonts w:ascii="ITC Avant Garde" w:hAnsi="ITC Avant Garde"/>
          <w:color w:val="auto"/>
        </w:rPr>
        <w:t>Propone la siguiente modificación</w:t>
      </w:r>
      <w:r w:rsidR="009D3BDF" w:rsidRPr="003A26FF">
        <w:rPr>
          <w:rFonts w:ascii="ITC Avant Garde" w:hAnsi="ITC Avant Garde"/>
          <w:color w:val="auto"/>
        </w:rPr>
        <w:t xml:space="preserve"> con el propósito de que las condiciones técnicas mínimas no establezcan limitantes para garantizar la prestación de los servicios</w:t>
      </w:r>
      <w:r w:rsidRPr="003A26FF">
        <w:rPr>
          <w:rFonts w:ascii="ITC Avant Garde" w:hAnsi="ITC Avant Garde"/>
          <w:color w:val="auto"/>
        </w:rPr>
        <w:t>:</w:t>
      </w:r>
    </w:p>
    <w:p w14:paraId="0650D092" w14:textId="77777777" w:rsidR="00F31413" w:rsidRPr="003A26FF" w:rsidRDefault="00F31413" w:rsidP="00F31413">
      <w:pPr>
        <w:spacing w:after="0" w:line="276" w:lineRule="auto"/>
        <w:ind w:left="-5" w:right="49"/>
        <w:rPr>
          <w:rFonts w:ascii="ITC Avant Garde" w:hAnsi="ITC Avant Garde"/>
          <w:color w:val="auto"/>
        </w:rPr>
      </w:pPr>
    </w:p>
    <w:p w14:paraId="51A8EA4E" w14:textId="573411DF" w:rsidR="00F31413" w:rsidRPr="003A26FF" w:rsidRDefault="005F031C" w:rsidP="009D3BDF">
      <w:pPr>
        <w:spacing w:after="0" w:line="276" w:lineRule="auto"/>
        <w:ind w:left="567" w:right="616" w:firstLine="0"/>
        <w:rPr>
          <w:rFonts w:ascii="ITC Avant Garde" w:hAnsi="ITC Avant Garde"/>
          <w:i/>
          <w:color w:val="auto"/>
          <w:sz w:val="18"/>
          <w:szCs w:val="18"/>
        </w:rPr>
      </w:pPr>
      <w:r w:rsidRPr="003A26FF">
        <w:rPr>
          <w:rFonts w:ascii="ITC Avant Garde" w:hAnsi="ITC Avant Garde"/>
          <w:i/>
          <w:color w:val="auto"/>
          <w:sz w:val="18"/>
          <w:szCs w:val="18"/>
        </w:rPr>
        <w:t>“</w:t>
      </w:r>
      <w:r w:rsidR="000C58AE" w:rsidRPr="003A26FF">
        <w:rPr>
          <w:rFonts w:ascii="ITC Avant Garde" w:hAnsi="ITC Avant Garde"/>
          <w:i/>
          <w:color w:val="auto"/>
          <w:sz w:val="18"/>
          <w:szCs w:val="18"/>
        </w:rPr>
        <w:t>El servicio de tránsito se proporcionará entre las redes que se encuentren interconectadas</w:t>
      </w:r>
      <w:r w:rsidR="007B614F" w:rsidRPr="003A26FF">
        <w:rPr>
          <w:rFonts w:ascii="ITC Avant Garde" w:hAnsi="ITC Avant Garde"/>
          <w:i/>
          <w:color w:val="auto"/>
          <w:sz w:val="18"/>
          <w:szCs w:val="18"/>
        </w:rPr>
        <w:t xml:space="preserve"> de manera directa y bidireccional con la red que presta el servicio de tránsito. </w:t>
      </w:r>
    </w:p>
    <w:p w14:paraId="784D1BC9" w14:textId="0A0BA641" w:rsidR="000C58AE" w:rsidRPr="003A26FF" w:rsidRDefault="000C58AE" w:rsidP="009D3BDF">
      <w:pPr>
        <w:spacing w:after="0" w:line="276" w:lineRule="auto"/>
        <w:ind w:left="567" w:right="616" w:firstLine="0"/>
        <w:rPr>
          <w:rFonts w:ascii="ITC Avant Garde" w:hAnsi="ITC Avant Garde"/>
          <w:i/>
          <w:color w:val="auto"/>
          <w:sz w:val="18"/>
          <w:szCs w:val="18"/>
        </w:rPr>
      </w:pPr>
    </w:p>
    <w:p w14:paraId="7BF5B14D" w14:textId="33C9BB46" w:rsidR="000C58AE" w:rsidRPr="003A26FF" w:rsidRDefault="000C58AE" w:rsidP="009D3BDF">
      <w:pPr>
        <w:spacing w:after="0" w:line="276" w:lineRule="auto"/>
        <w:ind w:left="567" w:right="616" w:firstLine="0"/>
        <w:rPr>
          <w:rFonts w:ascii="ITC Avant Garde" w:hAnsi="ITC Avant Garde"/>
          <w:i/>
          <w:color w:val="auto"/>
          <w:sz w:val="18"/>
          <w:szCs w:val="18"/>
        </w:rPr>
      </w:pPr>
      <w:r w:rsidRPr="003A26FF">
        <w:rPr>
          <w:rFonts w:ascii="ITC Avant Garde" w:hAnsi="ITC Avant Garde"/>
          <w:i/>
          <w:color w:val="auto"/>
          <w:sz w:val="18"/>
          <w:szCs w:val="18"/>
        </w:rPr>
        <w:t xml:space="preserve">En términos de la regulación de preponderancia, el Agente Económico Preponderante estará obligado a prestar el servicio de Tránsito a los Concesionarios Solicitantes que así se lo requieran, </w:t>
      </w:r>
      <w:r w:rsidRPr="003A26FF">
        <w:rPr>
          <w:rFonts w:ascii="ITC Avant Garde" w:hAnsi="ITC Avant Garde"/>
          <w:i/>
          <w:color w:val="auto"/>
          <w:sz w:val="18"/>
          <w:szCs w:val="18"/>
          <w:u w:val="single"/>
        </w:rPr>
        <w:t>por lo que deberá garantizar la prestación de dicho servicio a través de</w:t>
      </w:r>
      <w:r w:rsidR="007B614F" w:rsidRPr="003A26FF">
        <w:rPr>
          <w:rFonts w:ascii="ITC Avant Garde" w:hAnsi="ITC Avant Garde"/>
          <w:i/>
          <w:color w:val="auto"/>
          <w:sz w:val="18"/>
          <w:szCs w:val="18"/>
          <w:u w:val="single"/>
        </w:rPr>
        <w:t xml:space="preserve"> cualquiera de</w:t>
      </w:r>
      <w:r w:rsidRPr="003A26FF">
        <w:rPr>
          <w:rFonts w:ascii="ITC Avant Garde" w:hAnsi="ITC Avant Garde"/>
          <w:i/>
          <w:color w:val="auto"/>
          <w:sz w:val="18"/>
          <w:szCs w:val="18"/>
          <w:u w:val="single"/>
        </w:rPr>
        <w:t xml:space="preserve"> sus redes</w:t>
      </w:r>
      <w:r w:rsidR="007B614F" w:rsidRPr="003A26FF">
        <w:rPr>
          <w:rFonts w:ascii="ITC Avant Garde" w:hAnsi="ITC Avant Garde"/>
          <w:i/>
          <w:color w:val="auto"/>
          <w:sz w:val="18"/>
          <w:szCs w:val="18"/>
          <w:u w:val="single"/>
        </w:rPr>
        <w:t xml:space="preserve"> fija y móvil</w:t>
      </w:r>
      <w:r w:rsidRPr="003A26FF">
        <w:rPr>
          <w:rFonts w:ascii="ITC Avant Garde" w:hAnsi="ITC Avant Garde"/>
          <w:i/>
          <w:color w:val="auto"/>
          <w:sz w:val="18"/>
          <w:szCs w:val="18"/>
          <w:u w:val="single"/>
        </w:rPr>
        <w:t>.</w:t>
      </w:r>
      <w:r w:rsidR="005F031C" w:rsidRPr="003A26FF">
        <w:rPr>
          <w:rFonts w:ascii="ITC Avant Garde" w:hAnsi="ITC Avant Garde"/>
          <w:i/>
          <w:color w:val="auto"/>
          <w:sz w:val="18"/>
          <w:szCs w:val="18"/>
          <w:u w:val="single"/>
        </w:rPr>
        <w:t>”</w:t>
      </w:r>
    </w:p>
    <w:p w14:paraId="72A8D1AA" w14:textId="77777777" w:rsidR="000C58AE" w:rsidRPr="003A26FF" w:rsidRDefault="000C58AE" w:rsidP="00F31413">
      <w:pPr>
        <w:spacing w:after="0" w:line="276" w:lineRule="auto"/>
        <w:ind w:left="-5" w:right="49"/>
        <w:rPr>
          <w:rFonts w:ascii="ITC Avant Garde" w:hAnsi="ITC Avant Garde"/>
          <w:color w:val="auto"/>
        </w:rPr>
      </w:pPr>
    </w:p>
    <w:p w14:paraId="7E5F5912" w14:textId="62E41C9A" w:rsidR="00621CE3" w:rsidRPr="003A26FF" w:rsidRDefault="00CE6F64" w:rsidP="00621CE3">
      <w:pPr>
        <w:spacing w:after="0" w:line="276" w:lineRule="auto"/>
        <w:ind w:left="0" w:right="0" w:firstLine="0"/>
        <w:rPr>
          <w:rFonts w:ascii="ITC Avant Garde" w:hAnsi="ITC Avant Garde"/>
          <w:b/>
          <w:color w:val="auto"/>
          <w:u w:val="single"/>
        </w:rPr>
      </w:pPr>
      <w:r w:rsidRPr="003A26FF">
        <w:rPr>
          <w:rFonts w:ascii="ITC Avant Garde" w:hAnsi="ITC Avant Garde"/>
          <w:b/>
          <w:color w:val="auto"/>
          <w:u w:val="single"/>
        </w:rPr>
        <w:t>Consideraciones del Instituto</w:t>
      </w:r>
    </w:p>
    <w:p w14:paraId="01B55C1F" w14:textId="77777777" w:rsidR="00FF3D8E" w:rsidRPr="003A26FF" w:rsidRDefault="00FF3D8E" w:rsidP="00621CE3">
      <w:pPr>
        <w:spacing w:after="0" w:line="276" w:lineRule="auto"/>
        <w:ind w:left="0" w:right="0" w:firstLine="0"/>
        <w:rPr>
          <w:rFonts w:ascii="ITC Avant Garde" w:hAnsi="ITC Avant Garde"/>
          <w:b/>
          <w:color w:val="auto"/>
          <w:u w:val="single"/>
        </w:rPr>
      </w:pPr>
    </w:p>
    <w:p w14:paraId="06A08927" w14:textId="0734243D" w:rsidR="009C3E12" w:rsidRPr="003A26FF" w:rsidRDefault="000860C5" w:rsidP="00421613">
      <w:pPr>
        <w:spacing w:after="0" w:line="276" w:lineRule="auto"/>
        <w:ind w:left="0" w:right="0" w:firstLine="0"/>
        <w:rPr>
          <w:rFonts w:ascii="ITC Avant Garde" w:eastAsia="Calibri" w:hAnsi="ITC Avant Garde" w:cs="Arial"/>
          <w:color w:val="auto"/>
          <w:lang w:eastAsia="en-US"/>
        </w:rPr>
      </w:pPr>
      <w:r w:rsidRPr="003A26FF">
        <w:rPr>
          <w:rFonts w:ascii="ITC Avant Garde" w:hAnsi="ITC Avant Garde"/>
          <w:color w:val="auto"/>
        </w:rPr>
        <w:t xml:space="preserve">El Acuerdo de CTM estable la condición técnica necesaria para </w:t>
      </w:r>
      <w:r w:rsidR="00F22D7D" w:rsidRPr="003A26FF">
        <w:rPr>
          <w:rFonts w:ascii="ITC Avant Garde" w:hAnsi="ITC Avant Garde"/>
          <w:color w:val="auto"/>
        </w:rPr>
        <w:t>la prestación del</w:t>
      </w:r>
      <w:r w:rsidRPr="003A26FF">
        <w:rPr>
          <w:rFonts w:ascii="ITC Avant Garde" w:hAnsi="ITC Avant Garde"/>
          <w:color w:val="auto"/>
        </w:rPr>
        <w:t xml:space="preserve"> servicio de tránsito. Por otra parte, </w:t>
      </w:r>
      <w:r w:rsidR="00321A2B" w:rsidRPr="003A26FF">
        <w:rPr>
          <w:rFonts w:ascii="ITC Avant Garde" w:hAnsi="ITC Avant Garde"/>
          <w:color w:val="auto"/>
        </w:rPr>
        <w:t>la obligación</w:t>
      </w:r>
      <w:r w:rsidR="00D26030" w:rsidRPr="003A26FF">
        <w:rPr>
          <w:rFonts w:ascii="ITC Avant Garde" w:hAnsi="ITC Avant Garde"/>
          <w:color w:val="auto"/>
        </w:rPr>
        <w:t xml:space="preserve"> del </w:t>
      </w:r>
      <w:r w:rsidR="00F02D5F" w:rsidRPr="003A26FF">
        <w:rPr>
          <w:rFonts w:ascii="ITC Avant Garde" w:hAnsi="ITC Avant Garde"/>
          <w:color w:val="auto"/>
        </w:rPr>
        <w:t>Agente Económico Preponderante</w:t>
      </w:r>
      <w:r w:rsidR="00321A2B" w:rsidRPr="003A26FF">
        <w:rPr>
          <w:rFonts w:ascii="ITC Avant Garde" w:hAnsi="ITC Avant Garde"/>
          <w:color w:val="auto"/>
        </w:rPr>
        <w:t xml:space="preserve"> de prestar el servicio de tránsito</w:t>
      </w:r>
      <w:r w:rsidR="00F22D7D" w:rsidRPr="003A26FF">
        <w:rPr>
          <w:rFonts w:ascii="ITC Avant Garde" w:hAnsi="ITC Avant Garde"/>
          <w:color w:val="auto"/>
        </w:rPr>
        <w:t>, así como las consideraciones para considerar el cumplimiento</w:t>
      </w:r>
      <w:r w:rsidR="00252A53" w:rsidRPr="003A26FF">
        <w:rPr>
          <w:rFonts w:ascii="ITC Avant Garde" w:hAnsi="ITC Avant Garde"/>
          <w:color w:val="auto"/>
        </w:rPr>
        <w:t xml:space="preserve"> </w:t>
      </w:r>
      <w:r w:rsidR="00F22D7D" w:rsidRPr="003A26FF">
        <w:rPr>
          <w:rFonts w:ascii="ITC Avant Garde" w:hAnsi="ITC Avant Garde"/>
          <w:color w:val="auto"/>
        </w:rPr>
        <w:t>de dicha obligación</w:t>
      </w:r>
      <w:r w:rsidR="00321A2B" w:rsidRPr="003A26FF">
        <w:rPr>
          <w:rFonts w:ascii="ITC Avant Garde" w:hAnsi="ITC Avant Garde"/>
          <w:color w:val="auto"/>
        </w:rPr>
        <w:t xml:space="preserve"> se encuentra</w:t>
      </w:r>
      <w:r w:rsidR="00BA5EC4" w:rsidRPr="003A26FF">
        <w:rPr>
          <w:rFonts w:ascii="ITC Avant Garde" w:hAnsi="ITC Avant Garde"/>
          <w:color w:val="auto"/>
        </w:rPr>
        <w:t>n</w:t>
      </w:r>
      <w:r w:rsidR="00321A2B" w:rsidRPr="003A26FF">
        <w:rPr>
          <w:rFonts w:ascii="ITC Avant Garde" w:hAnsi="ITC Avant Garde"/>
          <w:color w:val="auto"/>
        </w:rPr>
        <w:t xml:space="preserve"> establecida</w:t>
      </w:r>
      <w:r w:rsidR="00BA5EC4" w:rsidRPr="003A26FF">
        <w:rPr>
          <w:rFonts w:ascii="ITC Avant Garde" w:hAnsi="ITC Avant Garde"/>
          <w:color w:val="auto"/>
        </w:rPr>
        <w:t>s</w:t>
      </w:r>
      <w:r w:rsidR="00321A2B" w:rsidRPr="003A26FF">
        <w:rPr>
          <w:rFonts w:ascii="ITC Avant Garde" w:hAnsi="ITC Avant Garde"/>
          <w:color w:val="auto"/>
        </w:rPr>
        <w:t xml:space="preserve"> en las</w:t>
      </w:r>
      <w:r w:rsidR="001D43C0" w:rsidRPr="003A26FF">
        <w:rPr>
          <w:rFonts w:ascii="ITC Avant Garde" w:hAnsi="ITC Avant Garde"/>
          <w:color w:val="auto"/>
        </w:rPr>
        <w:t xml:space="preserve"> </w:t>
      </w:r>
      <w:r w:rsidR="00F22D7D" w:rsidRPr="003A26FF">
        <w:rPr>
          <w:rFonts w:ascii="ITC Avant Garde" w:hAnsi="ITC Avant Garde"/>
          <w:color w:val="auto"/>
        </w:rPr>
        <w:t xml:space="preserve">Medidas Fijas y en las </w:t>
      </w:r>
      <w:r w:rsidR="001D43C0" w:rsidRPr="003A26FF">
        <w:rPr>
          <w:rFonts w:ascii="ITC Avant Garde" w:hAnsi="ITC Avant Garde"/>
          <w:color w:val="auto"/>
        </w:rPr>
        <w:t>Medidas</w:t>
      </w:r>
      <w:r w:rsidR="00321A2B" w:rsidRPr="003A26FF">
        <w:rPr>
          <w:rFonts w:ascii="ITC Avant Garde" w:hAnsi="ITC Avant Garde"/>
          <w:color w:val="auto"/>
        </w:rPr>
        <w:t xml:space="preserve"> Móviles</w:t>
      </w:r>
      <w:r w:rsidR="00476009" w:rsidRPr="003A26FF">
        <w:rPr>
          <w:rFonts w:ascii="ITC Avant Garde" w:hAnsi="ITC Avant Garde"/>
          <w:color w:val="auto"/>
        </w:rPr>
        <w:t xml:space="preserve"> del AEP</w:t>
      </w:r>
      <w:r w:rsidR="00252A53" w:rsidRPr="003A26FF">
        <w:rPr>
          <w:rFonts w:ascii="ITC Avant Garde" w:hAnsi="ITC Avant Garde"/>
          <w:color w:val="auto"/>
        </w:rPr>
        <w:t xml:space="preserve">, por lo que </w:t>
      </w:r>
      <w:r w:rsidR="00252A53" w:rsidRPr="003A26FF">
        <w:rPr>
          <w:rFonts w:ascii="ITC Avant Garde" w:eastAsia="Calibri" w:hAnsi="ITC Avant Garde" w:cs="Arial"/>
          <w:color w:val="auto"/>
          <w:lang w:eastAsia="en-US"/>
        </w:rPr>
        <w:t>la modificación solicitada se encuentra fuera del alcance del Acuerdo de CTM.</w:t>
      </w:r>
    </w:p>
    <w:p w14:paraId="765EDC46" w14:textId="30355866" w:rsidR="0035711E" w:rsidRDefault="0035711E" w:rsidP="00421613">
      <w:pPr>
        <w:spacing w:after="0" w:line="276" w:lineRule="auto"/>
        <w:ind w:left="0" w:right="0" w:firstLine="0"/>
        <w:rPr>
          <w:rFonts w:ascii="ITC Avant Garde" w:eastAsia="Calibri" w:hAnsi="ITC Avant Garde" w:cs="Arial"/>
          <w:color w:val="auto"/>
          <w:lang w:eastAsia="en-US"/>
        </w:rPr>
      </w:pPr>
    </w:p>
    <w:p w14:paraId="6C5DDC1D" w14:textId="77777777" w:rsidR="00F65D5B" w:rsidRPr="003A26FF" w:rsidRDefault="00F65D5B" w:rsidP="00F65D5B">
      <w:pPr>
        <w:spacing w:after="0" w:line="276" w:lineRule="auto"/>
        <w:ind w:right="0"/>
        <w:rPr>
          <w:rFonts w:ascii="ITC Avant Garde" w:hAnsi="ITC Avant Garde"/>
          <w:b/>
          <w:color w:val="auto"/>
          <w:u w:val="single"/>
        </w:rPr>
      </w:pPr>
      <w:r w:rsidRPr="003A26FF">
        <w:rPr>
          <w:rFonts w:ascii="ITC Avant Garde" w:hAnsi="ITC Avant Garde"/>
          <w:b/>
          <w:color w:val="auto"/>
          <w:u w:val="single"/>
        </w:rPr>
        <w:t xml:space="preserve">Condición </w:t>
      </w:r>
      <w:r>
        <w:rPr>
          <w:rFonts w:ascii="ITC Avant Garde" w:hAnsi="ITC Avant Garde"/>
          <w:b/>
          <w:color w:val="auto"/>
          <w:u w:val="single"/>
        </w:rPr>
        <w:t>Novena</w:t>
      </w:r>
    </w:p>
    <w:p w14:paraId="67D2239E" w14:textId="77777777" w:rsidR="00F65D5B" w:rsidRDefault="00F65D5B" w:rsidP="00F65D5B">
      <w:pPr>
        <w:spacing w:after="0" w:line="276" w:lineRule="auto"/>
        <w:ind w:right="0"/>
        <w:rPr>
          <w:rFonts w:ascii="ITC Avant Garde" w:hAnsi="ITC Avant Garde"/>
          <w:b/>
          <w:color w:val="auto"/>
          <w:u w:val="single"/>
        </w:rPr>
      </w:pPr>
    </w:p>
    <w:p w14:paraId="03AD5193" w14:textId="77777777" w:rsidR="00F65D5B" w:rsidRPr="00D4424A" w:rsidRDefault="00F65D5B" w:rsidP="00F65D5B">
      <w:pPr>
        <w:spacing w:after="0" w:line="276" w:lineRule="auto"/>
        <w:ind w:right="0"/>
        <w:rPr>
          <w:rFonts w:ascii="ITC Avant Garde" w:hAnsi="ITC Avant Garde"/>
          <w:b/>
          <w:color w:val="auto"/>
        </w:rPr>
      </w:pPr>
      <w:r w:rsidRPr="000C5019">
        <w:rPr>
          <w:rFonts w:ascii="ITC Avant Garde" w:hAnsi="ITC Avant Garde"/>
          <w:b/>
          <w:color w:val="auto"/>
        </w:rPr>
        <w:t>Mega Cable</w:t>
      </w:r>
    </w:p>
    <w:p w14:paraId="2B1F1A78" w14:textId="77777777" w:rsidR="00F65D5B" w:rsidRPr="00D4424A" w:rsidRDefault="00F65D5B" w:rsidP="00F65D5B">
      <w:pPr>
        <w:spacing w:after="0" w:line="276" w:lineRule="auto"/>
        <w:ind w:right="0"/>
        <w:rPr>
          <w:rFonts w:ascii="ITC Avant Garde" w:hAnsi="ITC Avant Garde"/>
          <w:b/>
          <w:color w:val="auto"/>
          <w:u w:val="single"/>
        </w:rPr>
      </w:pPr>
    </w:p>
    <w:p w14:paraId="63472B8F" w14:textId="77777777" w:rsidR="00F65D5B" w:rsidRPr="000C5019" w:rsidRDefault="00F65D5B" w:rsidP="00F65D5B">
      <w:pPr>
        <w:spacing w:after="0" w:line="276" w:lineRule="auto"/>
        <w:ind w:right="0"/>
        <w:rPr>
          <w:rFonts w:ascii="ITC Avant Garde" w:hAnsi="ITC Avant Garde"/>
          <w:b/>
          <w:color w:val="auto"/>
          <w:u w:val="single"/>
        </w:rPr>
      </w:pPr>
      <w:r w:rsidRPr="000C5019">
        <w:rPr>
          <w:rFonts w:ascii="ITC Avant Garde" w:hAnsi="ITC Avant Garde"/>
          <w:b/>
          <w:color w:val="auto"/>
          <w:u w:val="single"/>
        </w:rPr>
        <w:t>b) Tipos de Coubicación</w:t>
      </w:r>
    </w:p>
    <w:p w14:paraId="3C5EEF1B" w14:textId="42B9FCB2" w:rsidR="00F65D5B" w:rsidRPr="00D4424A" w:rsidRDefault="00F65D5B" w:rsidP="00F65D5B">
      <w:pPr>
        <w:spacing w:after="0" w:line="276" w:lineRule="auto"/>
        <w:ind w:right="0"/>
        <w:rPr>
          <w:rFonts w:ascii="ITC Avant Garde" w:hAnsi="ITC Avant Garde"/>
          <w:bCs/>
          <w:color w:val="auto"/>
        </w:rPr>
      </w:pPr>
      <w:r w:rsidRPr="000C5019">
        <w:rPr>
          <w:rFonts w:ascii="ITC Avant Garde" w:hAnsi="ITC Avant Garde"/>
          <w:bCs/>
          <w:color w:val="auto"/>
        </w:rPr>
        <w:t xml:space="preserve">Menciona que en la elección del tipo de coubicación, mientras exista la disponibilidad de espacio, esta debería de poder ser a elección del Concesionario Solicitante y no del Solicitado cuando este último sea el AEP, ya que de lo contrario </w:t>
      </w:r>
      <w:r w:rsidRPr="000C5019">
        <w:rPr>
          <w:rFonts w:ascii="ITC Avant Garde" w:hAnsi="ITC Avant Garde"/>
          <w:bCs/>
          <w:color w:val="auto"/>
        </w:rPr>
        <w:lastRenderedPageBreak/>
        <w:t>se presta a que este pueda dar un trato desigual e incluso discriminatorio a algunos Concesionarios Solicitantes.</w:t>
      </w:r>
    </w:p>
    <w:p w14:paraId="3F00BC1F" w14:textId="6C0646C9" w:rsidR="00F65D5B" w:rsidRPr="00D4424A" w:rsidRDefault="00F65D5B" w:rsidP="00421613">
      <w:pPr>
        <w:spacing w:after="0" w:line="276" w:lineRule="auto"/>
        <w:ind w:left="0" w:right="0" w:firstLine="0"/>
        <w:rPr>
          <w:rFonts w:ascii="ITC Avant Garde" w:eastAsia="Calibri" w:hAnsi="ITC Avant Garde" w:cs="Arial"/>
          <w:color w:val="auto"/>
          <w:lang w:eastAsia="en-US"/>
        </w:rPr>
      </w:pPr>
    </w:p>
    <w:p w14:paraId="347A75CA" w14:textId="318ADE46" w:rsidR="00AC046F" w:rsidRPr="000C5019" w:rsidRDefault="000C5019" w:rsidP="00AC046F">
      <w:pPr>
        <w:spacing w:after="0" w:line="276" w:lineRule="auto"/>
        <w:ind w:left="0" w:right="0" w:firstLine="0"/>
        <w:rPr>
          <w:rFonts w:ascii="ITC Avant Garde" w:eastAsia="Calibri" w:hAnsi="ITC Avant Garde" w:cs="Arial"/>
          <w:color w:val="auto"/>
          <w:lang w:eastAsia="en-US"/>
        </w:rPr>
      </w:pPr>
      <w:r w:rsidRPr="000C5019">
        <w:rPr>
          <w:rFonts w:ascii="ITC Avant Garde" w:hAnsi="ITC Avant Garde"/>
          <w:bCs/>
          <w:color w:val="auto"/>
        </w:rPr>
        <w:t>Además, s</w:t>
      </w:r>
      <w:r w:rsidR="00AC046F" w:rsidRPr="000C5019">
        <w:rPr>
          <w:rFonts w:ascii="ITC Avant Garde" w:hAnsi="ITC Avant Garde"/>
          <w:bCs/>
          <w:color w:val="auto"/>
        </w:rPr>
        <w:t>olicita</w:t>
      </w:r>
      <w:r w:rsidR="00AC046F" w:rsidRPr="000C5019">
        <w:rPr>
          <w:rFonts w:ascii="ITC Avant Garde" w:eastAsia="Calibri" w:hAnsi="ITC Avant Garde" w:cs="Arial"/>
          <w:color w:val="auto"/>
          <w:lang w:eastAsia="en-US"/>
        </w:rPr>
        <w:t xml:space="preserve"> modificar el último </w:t>
      </w:r>
      <w:r w:rsidR="00C35F89" w:rsidRPr="000C5019">
        <w:rPr>
          <w:rFonts w:ascii="ITC Avant Garde" w:eastAsia="Calibri" w:hAnsi="ITC Avant Garde" w:cs="Arial"/>
          <w:color w:val="auto"/>
          <w:lang w:eastAsia="en-US"/>
        </w:rPr>
        <w:t>párrafo</w:t>
      </w:r>
      <w:r w:rsidR="00AC046F" w:rsidRPr="000C5019">
        <w:rPr>
          <w:rFonts w:ascii="ITC Avant Garde" w:eastAsia="Calibri" w:hAnsi="ITC Avant Garde" w:cs="Arial"/>
          <w:color w:val="auto"/>
          <w:lang w:eastAsia="en-US"/>
        </w:rPr>
        <w:t xml:space="preserve"> de la condición en comento, de la siguiente manera:</w:t>
      </w:r>
    </w:p>
    <w:p w14:paraId="5905A0E5" w14:textId="77777777" w:rsidR="00AC046F" w:rsidRPr="000C5019" w:rsidRDefault="00AC046F" w:rsidP="00AC046F">
      <w:pPr>
        <w:spacing w:after="0" w:line="276" w:lineRule="auto"/>
        <w:ind w:left="-5" w:right="49"/>
        <w:rPr>
          <w:rFonts w:ascii="ITC Avant Garde" w:hAnsi="ITC Avant Garde"/>
          <w:color w:val="auto"/>
        </w:rPr>
      </w:pPr>
    </w:p>
    <w:p w14:paraId="58619D9D" w14:textId="47FA5B37" w:rsidR="00F65D5B" w:rsidRPr="000C5019" w:rsidRDefault="00AC046F" w:rsidP="00AC046F">
      <w:pPr>
        <w:spacing w:after="0" w:line="276" w:lineRule="auto"/>
        <w:ind w:left="426" w:right="333"/>
        <w:rPr>
          <w:rFonts w:ascii="ITC Avant Garde" w:hAnsi="ITC Avant Garde"/>
          <w:i/>
          <w:iCs/>
          <w:color w:val="auto"/>
          <w:sz w:val="18"/>
          <w:szCs w:val="18"/>
        </w:rPr>
      </w:pPr>
      <w:r w:rsidRPr="000C5019">
        <w:rPr>
          <w:rFonts w:ascii="ITC Avant Garde" w:hAnsi="ITC Avant Garde"/>
          <w:i/>
          <w:iCs/>
          <w:color w:val="auto"/>
          <w:sz w:val="18"/>
          <w:szCs w:val="18"/>
        </w:rPr>
        <w:t xml:space="preserve">“Los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 y el Concesionario Solicitante, </w:t>
      </w:r>
      <w:r w:rsidRPr="000C5019">
        <w:rPr>
          <w:rFonts w:ascii="ITC Avant Garde" w:hAnsi="ITC Avant Garde"/>
          <w:b/>
          <w:bCs/>
          <w:i/>
          <w:iCs/>
          <w:color w:val="auto"/>
          <w:sz w:val="18"/>
          <w:szCs w:val="18"/>
          <w:u w:val="single"/>
        </w:rPr>
        <w:t>[las condiciones específicas contenidas en la Resolución de Preponderancia que le sean aplicables]</w:t>
      </w:r>
      <w:r w:rsidRPr="000C5019">
        <w:rPr>
          <w:rFonts w:ascii="ITC Avant Garde" w:hAnsi="ITC Avant Garde"/>
          <w:i/>
          <w:iCs/>
          <w:color w:val="auto"/>
          <w:sz w:val="18"/>
          <w:szCs w:val="18"/>
        </w:rPr>
        <w:t xml:space="preserve"> y en su caso, de lo que determine el Instituto al resolver un desacuerdo de interconexión sobre dichos servicios.”</w:t>
      </w:r>
    </w:p>
    <w:p w14:paraId="7B58F214" w14:textId="77777777" w:rsidR="00F65D5B" w:rsidRPr="000C5019" w:rsidRDefault="00F65D5B" w:rsidP="00AC046F">
      <w:pPr>
        <w:spacing w:after="0" w:line="276" w:lineRule="auto"/>
        <w:ind w:left="426" w:right="333"/>
        <w:rPr>
          <w:rFonts w:ascii="ITC Avant Garde" w:hAnsi="ITC Avant Garde"/>
          <w:i/>
          <w:iCs/>
          <w:color w:val="auto"/>
          <w:sz w:val="18"/>
          <w:szCs w:val="18"/>
        </w:rPr>
      </w:pPr>
    </w:p>
    <w:p w14:paraId="214B6B1B" w14:textId="77777777" w:rsidR="00AC046F" w:rsidRPr="00D4424A" w:rsidRDefault="00AC046F" w:rsidP="00AC046F">
      <w:pPr>
        <w:spacing w:after="0" w:line="276" w:lineRule="auto"/>
        <w:ind w:left="0" w:right="0" w:firstLine="0"/>
        <w:rPr>
          <w:rFonts w:ascii="ITC Avant Garde" w:hAnsi="ITC Avant Garde"/>
          <w:b/>
          <w:color w:val="auto"/>
          <w:u w:val="single"/>
        </w:rPr>
      </w:pPr>
      <w:r w:rsidRPr="000C5019">
        <w:rPr>
          <w:rFonts w:ascii="ITC Avant Garde" w:hAnsi="ITC Avant Garde"/>
          <w:b/>
          <w:color w:val="auto"/>
          <w:u w:val="single"/>
        </w:rPr>
        <w:t>Consideraciones del Instituto</w:t>
      </w:r>
    </w:p>
    <w:p w14:paraId="0D8FCBC1" w14:textId="77777777" w:rsidR="009C3B7D" w:rsidRPr="00D4424A" w:rsidRDefault="009C3B7D" w:rsidP="00AC046F">
      <w:pPr>
        <w:spacing w:after="0" w:line="276" w:lineRule="auto"/>
        <w:ind w:left="0" w:right="0" w:firstLine="0"/>
        <w:rPr>
          <w:rFonts w:ascii="ITC Avant Garde" w:hAnsi="ITC Avant Garde"/>
          <w:b/>
          <w:color w:val="auto"/>
          <w:u w:val="single"/>
        </w:rPr>
      </w:pPr>
    </w:p>
    <w:p w14:paraId="13B0EA2A" w14:textId="77777777" w:rsidR="009C3B7D" w:rsidRPr="000F316D" w:rsidRDefault="009C3B7D" w:rsidP="009C3B7D">
      <w:pPr>
        <w:spacing w:after="0" w:line="276" w:lineRule="auto"/>
        <w:ind w:left="0" w:right="0" w:firstLine="0"/>
        <w:rPr>
          <w:rFonts w:ascii="ITC Avant Garde" w:eastAsia="Calibri" w:hAnsi="ITC Avant Garde" w:cs="Arial"/>
          <w:color w:val="auto"/>
          <w:lang w:eastAsia="en-US"/>
        </w:rPr>
      </w:pPr>
      <w:r w:rsidRPr="000F316D">
        <w:rPr>
          <w:rFonts w:ascii="ITC Avant Garde" w:eastAsia="Calibri" w:hAnsi="ITC Avant Garde" w:cs="Arial"/>
          <w:color w:val="auto"/>
          <w:lang w:eastAsia="en-US"/>
        </w:rPr>
        <w:t>Se señala que este es un Acuerdo de aplicación general a todos los concesionarios. Asimismo, las condiciones específicas aplicables al AEP se establecen en los respectivos Convenios Marcos de Interconexión tal como indica la medida Undécima de las Medidas Móviles:</w:t>
      </w:r>
    </w:p>
    <w:p w14:paraId="0513F6B2" w14:textId="77777777" w:rsidR="009C3B7D" w:rsidRPr="000F316D" w:rsidRDefault="009C3B7D" w:rsidP="009C3B7D">
      <w:pPr>
        <w:spacing w:after="0" w:line="276" w:lineRule="auto"/>
        <w:ind w:left="0" w:right="0" w:firstLine="0"/>
        <w:rPr>
          <w:rFonts w:ascii="ITC Avant Garde" w:eastAsia="Calibri" w:hAnsi="ITC Avant Garde" w:cs="Arial"/>
          <w:color w:val="auto"/>
          <w:lang w:eastAsia="en-US"/>
        </w:rPr>
      </w:pPr>
    </w:p>
    <w:p w14:paraId="69EBCF4C" w14:textId="77777777" w:rsidR="009C3B7D" w:rsidRPr="000F316D" w:rsidRDefault="009C3B7D" w:rsidP="009C3B7D">
      <w:pPr>
        <w:spacing w:after="0" w:line="276" w:lineRule="auto"/>
        <w:ind w:left="567" w:right="616" w:firstLine="0"/>
        <w:rPr>
          <w:rFonts w:ascii="ITC Avant Garde" w:hAnsi="ITC Avant Garde"/>
          <w:i/>
          <w:color w:val="auto"/>
          <w:sz w:val="18"/>
          <w:szCs w:val="18"/>
        </w:rPr>
      </w:pPr>
      <w:r w:rsidRPr="000F316D">
        <w:rPr>
          <w:rFonts w:ascii="ITC Avant Garde" w:hAnsi="ITC Avant Garde"/>
          <w:i/>
          <w:color w:val="auto"/>
          <w:sz w:val="18"/>
          <w:szCs w:val="18"/>
        </w:rPr>
        <w:t>“UNDÉCIMA.- (…)</w:t>
      </w:r>
    </w:p>
    <w:p w14:paraId="167C7F23" w14:textId="77777777" w:rsidR="009C3B7D" w:rsidRPr="000F316D" w:rsidRDefault="009C3B7D" w:rsidP="009C3B7D">
      <w:pPr>
        <w:spacing w:after="0" w:line="276" w:lineRule="auto"/>
        <w:ind w:left="567" w:right="616" w:firstLine="0"/>
        <w:rPr>
          <w:rFonts w:ascii="ITC Avant Garde" w:hAnsi="ITC Avant Garde"/>
          <w:i/>
          <w:color w:val="auto"/>
          <w:sz w:val="18"/>
          <w:szCs w:val="18"/>
        </w:rPr>
      </w:pPr>
      <w:r w:rsidRPr="000F316D">
        <w:rPr>
          <w:rFonts w:ascii="ITC Avant Garde" w:hAnsi="ITC Avant Garde"/>
          <w:i/>
          <w:color w:val="auto"/>
          <w:sz w:val="18"/>
          <w:szCs w:val="18"/>
        </w:rPr>
        <w:t>El Agente Económico Preponderante deberá, en el primer trimestre de cada año, presentar para autorización del Instituto una propuesta de Convenio Marco de Interconexión que cumpla con lo establecido en la legislación aplicable, así como cualquier otra disposición en materia de Interconexión.</w:t>
      </w:r>
    </w:p>
    <w:p w14:paraId="4126241A" w14:textId="77777777" w:rsidR="009C3B7D" w:rsidRPr="000F316D" w:rsidRDefault="009C3B7D" w:rsidP="009C3B7D">
      <w:pPr>
        <w:spacing w:after="0" w:line="276" w:lineRule="auto"/>
        <w:ind w:left="567" w:right="616" w:firstLine="0"/>
        <w:rPr>
          <w:rFonts w:ascii="ITC Avant Garde" w:hAnsi="ITC Avant Garde"/>
          <w:i/>
          <w:color w:val="auto"/>
          <w:sz w:val="18"/>
          <w:szCs w:val="18"/>
        </w:rPr>
      </w:pPr>
      <w:r w:rsidRPr="000F316D">
        <w:rPr>
          <w:rFonts w:ascii="ITC Avant Garde" w:hAnsi="ITC Avant Garde"/>
          <w:i/>
          <w:color w:val="auto"/>
          <w:sz w:val="18"/>
          <w:szCs w:val="18"/>
        </w:rPr>
        <w:t>(…)”</w:t>
      </w:r>
    </w:p>
    <w:p w14:paraId="6F43D0BC" w14:textId="77777777" w:rsidR="009C3B7D" w:rsidRPr="000F316D" w:rsidRDefault="009C3B7D" w:rsidP="009C3B7D">
      <w:pPr>
        <w:spacing w:after="0" w:line="276" w:lineRule="auto"/>
        <w:ind w:left="567" w:right="616" w:firstLine="0"/>
        <w:rPr>
          <w:rFonts w:ascii="ITC Avant Garde" w:hAnsi="ITC Avant Garde"/>
          <w:i/>
          <w:color w:val="auto"/>
          <w:sz w:val="18"/>
          <w:szCs w:val="18"/>
        </w:rPr>
      </w:pPr>
    </w:p>
    <w:p w14:paraId="17ABAD97" w14:textId="77777777" w:rsidR="009C3B7D" w:rsidRPr="000F316D" w:rsidRDefault="009C3B7D" w:rsidP="009C3B7D">
      <w:pPr>
        <w:spacing w:after="0" w:line="276" w:lineRule="auto"/>
        <w:ind w:left="567" w:right="616" w:firstLine="0"/>
        <w:rPr>
          <w:rFonts w:ascii="ITC Avant Garde" w:hAnsi="ITC Avant Garde"/>
          <w:i/>
          <w:color w:val="auto"/>
          <w:sz w:val="18"/>
          <w:szCs w:val="18"/>
        </w:rPr>
      </w:pPr>
    </w:p>
    <w:p w14:paraId="302F45E9" w14:textId="77777777" w:rsidR="009C3B7D" w:rsidRDefault="009C3B7D" w:rsidP="009C3B7D">
      <w:pPr>
        <w:spacing w:after="0" w:line="276" w:lineRule="auto"/>
        <w:ind w:left="0" w:right="0" w:firstLine="0"/>
        <w:rPr>
          <w:rFonts w:ascii="ITC Avant Garde" w:eastAsia="Calibri" w:hAnsi="ITC Avant Garde" w:cs="Arial"/>
          <w:color w:val="auto"/>
          <w:lang w:eastAsia="en-US"/>
        </w:rPr>
      </w:pPr>
      <w:r w:rsidRPr="000F316D">
        <w:rPr>
          <w:rFonts w:ascii="ITC Avant Garde" w:eastAsia="Calibri" w:hAnsi="ITC Avant Garde" w:cs="Arial"/>
          <w:color w:val="auto"/>
          <w:lang w:eastAsia="en-US"/>
        </w:rPr>
        <w:t>Por lo anterior, el Acuerdo de CTM se mantiene en los mismos términos.</w:t>
      </w:r>
    </w:p>
    <w:p w14:paraId="6ADB6526" w14:textId="77777777" w:rsidR="002D35E1" w:rsidRDefault="002D35E1" w:rsidP="00E91A63">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
          <w:bCs/>
          <w:color w:val="auto"/>
          <w:lang w:eastAsia="en-US"/>
        </w:rPr>
      </w:pPr>
    </w:p>
    <w:p w14:paraId="2B32D60B" w14:textId="474CDD87" w:rsidR="00E91A63" w:rsidRPr="00A271F1" w:rsidRDefault="00E91A63" w:rsidP="00E91A63">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
          <w:bCs/>
          <w:color w:val="auto"/>
          <w:lang w:eastAsia="en-US"/>
        </w:rPr>
      </w:pPr>
      <w:r w:rsidRPr="00A271F1">
        <w:rPr>
          <w:rFonts w:ascii="ITC Avant Garde" w:eastAsia="Times New Roman" w:hAnsi="ITC Avant Garde" w:cs="Times New Roman"/>
          <w:b/>
          <w:bCs/>
          <w:color w:val="auto"/>
          <w:lang w:eastAsia="en-US"/>
        </w:rPr>
        <w:t>COMENTARIOS GENERALES A LOS MODELOS DE COSTOS Y TARIFAS</w:t>
      </w:r>
    </w:p>
    <w:p w14:paraId="584A2542" w14:textId="77777777" w:rsidR="00E91A63" w:rsidRPr="00A271F1" w:rsidRDefault="00E91A63" w:rsidP="00E91A63">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2F8436D6" w14:textId="77777777" w:rsidR="00E91A63" w:rsidRPr="00A271F1" w:rsidRDefault="00E91A63" w:rsidP="00E91A63">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 xml:space="preserve">Comentarios emitidos sobre asimetría de tarifas de terminación entre fijos y móviles </w:t>
      </w:r>
    </w:p>
    <w:p w14:paraId="7E386BC2"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eastAsia="en-US"/>
        </w:rPr>
      </w:pPr>
    </w:p>
    <w:p w14:paraId="4B7DF361" w14:textId="35FC989B"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 xml:space="preserve">Mega Cable </w:t>
      </w:r>
    </w:p>
    <w:p w14:paraId="39EEA2CF" w14:textId="36774122" w:rsidR="00E91A63" w:rsidRPr="00A271F1" w:rsidRDefault="00CE1085" w:rsidP="00E91A63">
      <w:pPr>
        <w:shd w:val="clear" w:color="auto" w:fill="FFFFFF" w:themeFill="background1"/>
        <w:spacing w:after="0" w:line="259" w:lineRule="auto"/>
        <w:ind w:left="0" w:right="0" w:firstLine="0"/>
        <w:rPr>
          <w:rFonts w:ascii="ITC Avant Garde" w:eastAsia="ITC Avant Garde" w:hAnsi="ITC Avant Garde" w:cs="ITC Avant Garde"/>
          <w:color w:val="auto"/>
          <w:lang w:eastAsia="en-US"/>
        </w:rPr>
      </w:pPr>
      <w:r>
        <w:rPr>
          <w:rFonts w:ascii="ITC Avant Garde" w:eastAsia="ITC Avant Garde" w:hAnsi="ITC Avant Garde" w:cs="ITC Avant Garde"/>
          <w:color w:val="auto"/>
          <w:lang w:eastAsia="en-US"/>
        </w:rPr>
        <w:t>C</w:t>
      </w:r>
      <w:r w:rsidR="00E91A63" w:rsidRPr="00A271F1">
        <w:rPr>
          <w:rFonts w:ascii="ITC Avant Garde" w:eastAsia="ITC Avant Garde" w:hAnsi="ITC Avant Garde" w:cs="ITC Avant Garde"/>
          <w:color w:val="auto"/>
          <w:lang w:eastAsia="en-US"/>
        </w:rPr>
        <w:t xml:space="preserve">onsidera que existe un elevado grado de asimetría entre las tarifas de terminación móviles y fijas que no se justifica en términos económicos, comerciales o tecnológicos y que se traducen en mantener un subsidio injustificado de los usuarios y operadores de redes fijas a los operadores móviles, tendencia que se mantiene para 2024. </w:t>
      </w:r>
    </w:p>
    <w:p w14:paraId="12E8BF7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606BB30"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5C5471">
        <w:rPr>
          <w:rFonts w:ascii="ITC Avant Garde" w:eastAsia="Calibri" w:hAnsi="ITC Avant Garde" w:cs="Times New Roman"/>
          <w:b/>
          <w:color w:val="auto"/>
          <w:u w:val="single"/>
          <w:lang w:eastAsia="en-US"/>
        </w:rPr>
        <w:t>Consideraciones del Instituto</w:t>
      </w:r>
    </w:p>
    <w:p w14:paraId="4B47CA52"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199EA3E" w14:textId="6930109A" w:rsidR="00310166" w:rsidRDefault="00255C3A" w:rsidP="00C840DB">
      <w:pPr>
        <w:spacing w:after="0" w:line="276" w:lineRule="auto"/>
        <w:rPr>
          <w:rFonts w:ascii="ITC Avant Garde" w:hAnsi="ITC Avant Garde"/>
          <w:spacing w:val="-4"/>
        </w:rPr>
      </w:pPr>
      <w:r>
        <w:rPr>
          <w:rFonts w:ascii="ITC Avant Garde" w:hAnsi="ITC Avant Garde"/>
          <w:spacing w:val="-4"/>
        </w:rPr>
        <w:lastRenderedPageBreak/>
        <w:t xml:space="preserve">La regulación asimétrica </w:t>
      </w:r>
      <w:r w:rsidR="005A5F46">
        <w:rPr>
          <w:rFonts w:ascii="ITC Avant Garde" w:hAnsi="ITC Avant Garde"/>
          <w:spacing w:val="-4"/>
        </w:rPr>
        <w:t>deviene</w:t>
      </w:r>
      <w:r w:rsidR="005B2E12">
        <w:rPr>
          <w:rFonts w:ascii="ITC Avant Garde" w:hAnsi="ITC Avant Garde"/>
          <w:spacing w:val="-4"/>
        </w:rPr>
        <w:t xml:space="preserve"> d</w:t>
      </w:r>
      <w:r w:rsidR="00B32933">
        <w:rPr>
          <w:rFonts w:ascii="ITC Avant Garde" w:hAnsi="ITC Avant Garde"/>
          <w:spacing w:val="-4"/>
        </w:rPr>
        <w:t xml:space="preserve">el marco regulatorio nacional </w:t>
      </w:r>
      <w:r w:rsidR="0005625B">
        <w:rPr>
          <w:rFonts w:ascii="ITC Avant Garde" w:hAnsi="ITC Avant Garde"/>
          <w:spacing w:val="-4"/>
        </w:rPr>
        <w:t>vigente</w:t>
      </w:r>
      <w:r w:rsidR="005B2E12">
        <w:rPr>
          <w:rFonts w:ascii="ITC Avant Garde" w:hAnsi="ITC Avant Garde"/>
          <w:spacing w:val="-4"/>
        </w:rPr>
        <w:t xml:space="preserve"> que</w:t>
      </w:r>
      <w:r w:rsidR="00B32933">
        <w:rPr>
          <w:rFonts w:ascii="ITC Avant Garde" w:hAnsi="ITC Avant Garde"/>
          <w:spacing w:val="-4"/>
        </w:rPr>
        <w:t xml:space="preserve"> </w:t>
      </w:r>
      <w:r w:rsidR="006E512D">
        <w:rPr>
          <w:rFonts w:ascii="ITC Avant Garde" w:hAnsi="ITC Avant Garde"/>
          <w:spacing w:val="-4"/>
        </w:rPr>
        <w:t xml:space="preserve">establece </w:t>
      </w:r>
      <w:r w:rsidR="00A03D3E">
        <w:rPr>
          <w:rFonts w:ascii="ITC Avant Garde" w:hAnsi="ITC Avant Garde"/>
          <w:spacing w:val="-4"/>
        </w:rPr>
        <w:t>que las tarifas de interconexión aplicables deben reflejar las asimetrías</w:t>
      </w:r>
      <w:r w:rsidR="007663F9">
        <w:rPr>
          <w:rFonts w:ascii="ITC Avant Garde" w:hAnsi="ITC Avant Garde"/>
          <w:spacing w:val="-4"/>
        </w:rPr>
        <w:t xml:space="preserve"> naturales</w:t>
      </w:r>
      <w:r w:rsidR="00A03D3E">
        <w:rPr>
          <w:rFonts w:ascii="ITC Avant Garde" w:hAnsi="ITC Avant Garde"/>
          <w:spacing w:val="-4"/>
        </w:rPr>
        <w:t xml:space="preserve"> </w:t>
      </w:r>
      <w:r w:rsidR="00C93E24">
        <w:rPr>
          <w:rFonts w:ascii="ITC Avant Garde" w:hAnsi="ITC Avant Garde"/>
          <w:spacing w:val="-4"/>
        </w:rPr>
        <w:t xml:space="preserve">de las redes a ser interconectadas.  Por tal motivo, para estimar los costos de los servicios </w:t>
      </w:r>
      <w:r w:rsidR="000F1EED">
        <w:rPr>
          <w:rFonts w:ascii="ITC Avant Garde" w:hAnsi="ITC Avant Garde"/>
          <w:spacing w:val="-4"/>
        </w:rPr>
        <w:t xml:space="preserve">de interconexión móviles y fijas se hace necesario </w:t>
      </w:r>
      <w:r w:rsidR="003A5270">
        <w:rPr>
          <w:rFonts w:ascii="ITC Avant Garde" w:hAnsi="ITC Avant Garde"/>
          <w:spacing w:val="-4"/>
        </w:rPr>
        <w:t xml:space="preserve">modelar las asimetrías existentes entre las redes </w:t>
      </w:r>
      <w:r w:rsidR="0018495E">
        <w:rPr>
          <w:rFonts w:ascii="ITC Avant Garde" w:hAnsi="ITC Avant Garde"/>
          <w:spacing w:val="-4"/>
        </w:rPr>
        <w:t>de estos operadores</w:t>
      </w:r>
      <w:r w:rsidR="00B80E84">
        <w:rPr>
          <w:rFonts w:ascii="ITC Avant Garde" w:hAnsi="ITC Avant Garde"/>
          <w:spacing w:val="-4"/>
        </w:rPr>
        <w:t xml:space="preserve"> que reflejen las características del AEP y de los opera</w:t>
      </w:r>
      <w:r w:rsidR="000E1F92">
        <w:rPr>
          <w:rFonts w:ascii="ITC Avant Garde" w:hAnsi="ITC Avant Garde"/>
          <w:spacing w:val="-4"/>
        </w:rPr>
        <w:t xml:space="preserve">dores alternativos que también proveen </w:t>
      </w:r>
      <w:r w:rsidR="00D161AF">
        <w:rPr>
          <w:rFonts w:ascii="ITC Avant Garde" w:hAnsi="ITC Avant Garde"/>
          <w:spacing w:val="-4"/>
        </w:rPr>
        <w:t xml:space="preserve">el servicio </w:t>
      </w:r>
      <w:r w:rsidR="007F67E0">
        <w:rPr>
          <w:rFonts w:ascii="ITC Avant Garde" w:hAnsi="ITC Avant Garde"/>
          <w:spacing w:val="-4"/>
        </w:rPr>
        <w:t xml:space="preserve">de interconexión </w:t>
      </w:r>
      <w:r w:rsidR="00D161AF">
        <w:rPr>
          <w:rFonts w:ascii="ITC Avant Garde" w:hAnsi="ITC Avant Garde"/>
          <w:spacing w:val="-4"/>
        </w:rPr>
        <w:t>en México</w:t>
      </w:r>
      <w:r w:rsidR="007F67E0">
        <w:rPr>
          <w:rFonts w:ascii="ITC Avant Garde" w:hAnsi="ITC Avant Garde"/>
          <w:spacing w:val="-4"/>
        </w:rPr>
        <w:t>.</w:t>
      </w:r>
    </w:p>
    <w:p w14:paraId="0C42BF68" w14:textId="77777777" w:rsidR="007F67E0" w:rsidRDefault="007F67E0" w:rsidP="00C840DB">
      <w:pPr>
        <w:spacing w:after="0" w:line="276" w:lineRule="auto"/>
        <w:rPr>
          <w:rFonts w:ascii="ITC Avant Garde" w:hAnsi="ITC Avant Garde"/>
          <w:spacing w:val="-4"/>
        </w:rPr>
      </w:pPr>
    </w:p>
    <w:p w14:paraId="1FEC75FF" w14:textId="13B3671F" w:rsidR="0044678D" w:rsidRDefault="0090300C" w:rsidP="00C840DB">
      <w:pPr>
        <w:spacing w:after="0" w:line="276" w:lineRule="auto"/>
        <w:rPr>
          <w:rFonts w:ascii="ITC Avant Garde" w:hAnsi="ITC Avant Garde"/>
          <w:spacing w:val="-4"/>
        </w:rPr>
      </w:pPr>
      <w:r>
        <w:rPr>
          <w:rFonts w:ascii="ITC Avant Garde" w:hAnsi="ITC Avant Garde"/>
          <w:spacing w:val="-4"/>
        </w:rPr>
        <w:t xml:space="preserve">En ese sentido, el nivel de asimetría está dado por la aplicación de los modelos de costos para el AEP y para los </w:t>
      </w:r>
      <w:r w:rsidR="00C75F22">
        <w:rPr>
          <w:rFonts w:ascii="ITC Avant Garde" w:hAnsi="ITC Avant Garde"/>
          <w:spacing w:val="-4"/>
        </w:rPr>
        <w:t xml:space="preserve">operadores alternativos, que replican las condiciones existentes en el mercado, es decir, los modelos toman en cuenta que </w:t>
      </w:r>
      <w:r w:rsidR="00F54C9F">
        <w:rPr>
          <w:rFonts w:ascii="ITC Avant Garde" w:hAnsi="ITC Avant Garde"/>
          <w:spacing w:val="-4"/>
        </w:rPr>
        <w:t>existen diferencias tanto en el despliegue de red como en la participación de mercado entre los competidores</w:t>
      </w:r>
      <w:r w:rsidR="002E682B">
        <w:rPr>
          <w:rFonts w:ascii="ITC Avant Garde" w:hAnsi="ITC Avant Garde"/>
          <w:spacing w:val="-4"/>
        </w:rPr>
        <w:t xml:space="preserve">; </w:t>
      </w:r>
      <w:r w:rsidR="008250A0">
        <w:rPr>
          <w:rFonts w:ascii="ITC Avant Garde" w:hAnsi="ITC Avant Garde"/>
          <w:spacing w:val="-4"/>
        </w:rPr>
        <w:t>es decir la asimetría en las tarifas reflejan las asimetrías del mercado.</w:t>
      </w:r>
      <w:r w:rsidR="002E682B">
        <w:rPr>
          <w:rFonts w:ascii="ITC Avant Garde" w:hAnsi="ITC Avant Garde"/>
          <w:spacing w:val="-4"/>
        </w:rPr>
        <w:t xml:space="preserve"> </w:t>
      </w:r>
    </w:p>
    <w:p w14:paraId="47544E56" w14:textId="77777777" w:rsidR="002E682B" w:rsidRDefault="002E682B" w:rsidP="00C840DB">
      <w:pPr>
        <w:spacing w:after="0" w:line="276" w:lineRule="auto"/>
        <w:rPr>
          <w:rFonts w:ascii="ITC Avant Garde" w:hAnsi="ITC Avant Garde"/>
          <w:spacing w:val="-4"/>
        </w:rPr>
      </w:pPr>
    </w:p>
    <w:p w14:paraId="7961B1E9" w14:textId="7B502D73" w:rsidR="00C840DB" w:rsidRDefault="00E941BF" w:rsidP="00C840DB">
      <w:pPr>
        <w:spacing w:after="0" w:line="276" w:lineRule="auto"/>
        <w:rPr>
          <w:rFonts w:ascii="ITC Avant Garde" w:hAnsi="ITC Avant Garde"/>
          <w:spacing w:val="-4"/>
          <w:lang w:val="es-ES"/>
        </w:rPr>
      </w:pPr>
      <w:r>
        <w:rPr>
          <w:rFonts w:ascii="ITC Avant Garde" w:hAnsi="ITC Avant Garde"/>
          <w:spacing w:val="-4"/>
        </w:rPr>
        <w:t>Por lo anterior, l</w:t>
      </w:r>
      <w:r w:rsidR="00C840DB" w:rsidRPr="009A5313">
        <w:rPr>
          <w:rFonts w:ascii="ITC Avant Garde" w:hAnsi="ITC Avant Garde"/>
          <w:spacing w:val="-4"/>
        </w:rPr>
        <w:t>as dinámicas</w:t>
      </w:r>
      <w:r w:rsidR="00C840DB" w:rsidRPr="007440DF">
        <w:rPr>
          <w:rFonts w:ascii="ITC Avant Garde" w:hAnsi="ITC Avant Garde"/>
          <w:spacing w:val="-4"/>
          <w:lang w:val="es-ES"/>
        </w:rPr>
        <w:t xml:space="preserve"> entre las redes fijas y móviles son muy diferentes y, por lo tanto, el nivel de asimetría resultante no tiene por qué ser comparable entre ambas redes. </w:t>
      </w:r>
    </w:p>
    <w:p w14:paraId="540E9538" w14:textId="77777777" w:rsidR="004F131F" w:rsidRPr="004F131F" w:rsidRDefault="004F131F"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624A750" w14:textId="77777777" w:rsidR="00E91A63" w:rsidRPr="00A271F1" w:rsidRDefault="00E91A63" w:rsidP="00E91A63">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Comentarios emitidos sobre la asimetría tarifaria</w:t>
      </w:r>
    </w:p>
    <w:p w14:paraId="67336A26"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p>
    <w:p w14:paraId="06D20286"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bCs/>
          <w:color w:val="auto"/>
          <w:lang w:eastAsia="en-US"/>
        </w:rPr>
      </w:pPr>
      <w:r w:rsidRPr="00A271F1">
        <w:rPr>
          <w:rFonts w:ascii="ITC Avant Garde" w:eastAsia="Calibri" w:hAnsi="ITC Avant Garde" w:cs="Times New Roman"/>
          <w:b/>
          <w:bCs/>
          <w:color w:val="auto"/>
          <w:lang w:eastAsia="en-US"/>
        </w:rPr>
        <w:t>Telefónica</w:t>
      </w:r>
    </w:p>
    <w:p w14:paraId="3656FDBB" w14:textId="770A008A" w:rsidR="00E91A63" w:rsidRPr="00A271F1" w:rsidRDefault="00824192" w:rsidP="00E91A63">
      <w:pPr>
        <w:shd w:val="clear" w:color="auto" w:fill="FFFFFF" w:themeFill="background1"/>
        <w:spacing w:after="0" w:line="259" w:lineRule="auto"/>
        <w:ind w:left="0" w:right="0" w:firstLine="0"/>
        <w:rPr>
          <w:rFonts w:ascii="ITC Avant Garde" w:eastAsia="Calibri" w:hAnsi="ITC Avant Garde" w:cs="Times New Roman"/>
          <w:color w:val="auto"/>
          <w:lang w:eastAsia="en-US"/>
        </w:rPr>
      </w:pPr>
      <w:r w:rsidRPr="005C5471">
        <w:rPr>
          <w:rFonts w:ascii="ITC Avant Garde" w:eastAsia="Calibri" w:hAnsi="ITC Avant Garde" w:cs="Times New Roman"/>
          <w:color w:val="auto"/>
          <w:lang w:eastAsia="en-US"/>
        </w:rPr>
        <w:t>I</w:t>
      </w:r>
      <w:r w:rsidR="00E91A63" w:rsidRPr="005C5471">
        <w:rPr>
          <w:rFonts w:ascii="ITC Avant Garde" w:eastAsia="Calibri" w:hAnsi="ITC Avant Garde" w:cs="Times New Roman"/>
          <w:color w:val="auto"/>
          <w:lang w:eastAsia="en-US"/>
        </w:rPr>
        <w:t>ndica</w:t>
      </w:r>
      <w:r w:rsidR="00E91A63" w:rsidRPr="00A271F1">
        <w:rPr>
          <w:rFonts w:ascii="ITC Avant Garde" w:eastAsia="Calibri" w:hAnsi="ITC Avant Garde" w:cs="Times New Roman"/>
          <w:color w:val="auto"/>
          <w:lang w:eastAsia="en-US"/>
        </w:rPr>
        <w:t xml:space="preserve"> que </w:t>
      </w:r>
      <w:r w:rsidR="00E91A63" w:rsidRPr="005C5471">
        <w:rPr>
          <w:rFonts w:ascii="ITC Avant Garde" w:eastAsia="Calibri" w:hAnsi="ITC Avant Garde" w:cs="Times New Roman"/>
          <w:color w:val="auto"/>
          <w:lang w:eastAsia="en-US"/>
        </w:rPr>
        <w:t>el enfoque de costos incrementales puros no refleja</w:t>
      </w:r>
      <w:r w:rsidR="00E91A63" w:rsidRPr="00A271F1">
        <w:rPr>
          <w:rFonts w:ascii="ITC Avant Garde" w:eastAsia="Calibri" w:hAnsi="ITC Avant Garde" w:cs="Times New Roman"/>
          <w:color w:val="auto"/>
          <w:lang w:eastAsia="en-US"/>
        </w:rPr>
        <w:t xml:space="preserve"> adecuadamente las asimetrías naturales del mercado móvil. Que se ha reducido la asimetría en sentido contrario a la reconcentración del mercado móvil. </w:t>
      </w:r>
    </w:p>
    <w:p w14:paraId="4250D0CA" w14:textId="77777777" w:rsidR="00E91A63" w:rsidRPr="00A271F1" w:rsidRDefault="00E91A63" w:rsidP="00E91A63">
      <w:pPr>
        <w:shd w:val="clear" w:color="auto" w:fill="FFFFFF" w:themeFill="background1"/>
        <w:spacing w:after="0" w:line="259" w:lineRule="auto"/>
        <w:ind w:left="0" w:right="0" w:firstLine="0"/>
        <w:rPr>
          <w:rFonts w:ascii="ITC Avant Garde" w:eastAsia="Calibri" w:hAnsi="ITC Avant Garde" w:cs="Times New Roman"/>
          <w:color w:val="auto"/>
          <w:lang w:eastAsia="en-US"/>
        </w:rPr>
      </w:pPr>
    </w:p>
    <w:p w14:paraId="3166B7C4" w14:textId="26DE3876" w:rsidR="00E91A63" w:rsidRDefault="00E91A63" w:rsidP="00E91A63">
      <w:pPr>
        <w:shd w:val="clear" w:color="auto" w:fill="FFFFFF" w:themeFill="background1"/>
        <w:spacing w:after="0" w:line="259" w:lineRule="auto"/>
        <w:ind w:left="0" w:right="0" w:firstLine="0"/>
        <w:rPr>
          <w:rFonts w:ascii="ITC Avant Garde" w:eastAsia="Calibri" w:hAnsi="ITC Avant Garde" w:cs="Times New Roman"/>
          <w:bCs/>
          <w:color w:val="auto"/>
          <w:lang w:eastAsia="en-US"/>
        </w:rPr>
      </w:pPr>
      <w:r w:rsidRPr="00A271F1">
        <w:rPr>
          <w:rFonts w:ascii="ITC Avant Garde" w:eastAsia="Calibri" w:hAnsi="ITC Avant Garde" w:cs="Times New Roman"/>
          <w:bCs/>
          <w:color w:val="auto"/>
          <w:lang w:eastAsia="en-US"/>
        </w:rPr>
        <w:t xml:space="preserve">Asimismo, manifiesta que la manera más efectiva para reflejar las asimetrías existentes en el mercado móvil </w:t>
      </w:r>
      <w:r w:rsidRPr="005C5471">
        <w:rPr>
          <w:rFonts w:ascii="ITC Avant Garde" w:eastAsia="Calibri" w:hAnsi="ITC Avant Garde" w:cs="Times New Roman"/>
          <w:color w:val="auto"/>
          <w:lang w:eastAsia="en-US"/>
        </w:rPr>
        <w:t>habría sido vincular la tarifa del AEP móvil a la tarifa</w:t>
      </w:r>
      <w:r w:rsidRPr="00A271F1">
        <w:rPr>
          <w:rFonts w:ascii="ITC Avant Garde" w:eastAsia="Calibri" w:hAnsi="ITC Avant Garde" w:cs="Times New Roman"/>
          <w:bCs/>
          <w:color w:val="auto"/>
          <w:lang w:eastAsia="en-US"/>
        </w:rPr>
        <w:t xml:space="preserve"> de los operadores móviles no preponderantes mediante un nivel de asimetría fijado mientras exista la alta concentración en el mercado móvil. </w:t>
      </w:r>
    </w:p>
    <w:p w14:paraId="3DBCE230" w14:textId="77777777" w:rsidR="008216EF" w:rsidRDefault="008216EF" w:rsidP="00E91A63">
      <w:pPr>
        <w:shd w:val="clear" w:color="auto" w:fill="FFFFFF" w:themeFill="background1"/>
        <w:spacing w:after="0" w:line="259" w:lineRule="auto"/>
        <w:ind w:left="0" w:right="0" w:firstLine="0"/>
        <w:rPr>
          <w:rFonts w:ascii="ITC Avant Garde" w:eastAsia="Calibri" w:hAnsi="ITC Avant Garde" w:cs="Times New Roman"/>
          <w:bCs/>
          <w:color w:val="auto"/>
          <w:lang w:eastAsia="en-US"/>
        </w:rPr>
      </w:pPr>
    </w:p>
    <w:p w14:paraId="72FCD3AB" w14:textId="77777777" w:rsidR="008216EF" w:rsidRPr="00A271F1" w:rsidRDefault="008216EF" w:rsidP="008216EF">
      <w:pPr>
        <w:shd w:val="clear" w:color="auto" w:fill="FFFFFF"/>
        <w:spacing w:after="0" w:line="259" w:lineRule="auto"/>
        <w:ind w:left="0" w:right="0" w:firstLine="0"/>
        <w:rPr>
          <w:rFonts w:ascii="ITC Avant Garde" w:eastAsia="Calibri" w:hAnsi="ITC Avant Garde" w:cs="Times New Roman"/>
          <w:b/>
          <w:color w:val="auto"/>
          <w:lang w:eastAsia="en-US"/>
        </w:rPr>
      </w:pPr>
      <w:r w:rsidRPr="00A271F1">
        <w:rPr>
          <w:rFonts w:ascii="ITC Avant Garde" w:eastAsia="Calibri" w:hAnsi="ITC Avant Garde" w:cs="Times New Roman"/>
          <w:b/>
          <w:color w:val="auto"/>
          <w:lang w:eastAsia="en-US"/>
        </w:rPr>
        <w:t>AT&amp;T</w:t>
      </w:r>
    </w:p>
    <w:p w14:paraId="0F050587" w14:textId="527DEEA8" w:rsidR="008216EF" w:rsidRPr="00A271F1" w:rsidRDefault="00824192" w:rsidP="008216EF">
      <w:pPr>
        <w:shd w:val="clear" w:color="auto" w:fill="FFFFFF"/>
        <w:spacing w:after="0" w:line="259" w:lineRule="auto"/>
        <w:ind w:left="0" w:right="0" w:firstLine="0"/>
        <w:rPr>
          <w:rFonts w:ascii="ITC Avant Garde" w:eastAsia="Calibri" w:hAnsi="ITC Avant Garde" w:cs="Times New Roman"/>
          <w:color w:val="auto"/>
          <w:lang w:eastAsia="en-US"/>
        </w:rPr>
      </w:pPr>
      <w:r w:rsidRPr="005C5471">
        <w:rPr>
          <w:rFonts w:ascii="ITC Avant Garde" w:eastAsia="Calibri" w:hAnsi="ITC Avant Garde" w:cs="Times New Roman"/>
          <w:color w:val="auto"/>
          <w:lang w:eastAsia="en-US"/>
        </w:rPr>
        <w:t>O</w:t>
      </w:r>
      <w:r w:rsidR="008216EF" w:rsidRPr="005C5471">
        <w:rPr>
          <w:rFonts w:ascii="ITC Avant Garde" w:eastAsia="Calibri" w:hAnsi="ITC Avant Garde" w:cs="Times New Roman"/>
          <w:color w:val="auto"/>
          <w:lang w:eastAsia="en-US"/>
        </w:rPr>
        <w:t>pina que continuar con la disminución drástica de las tarifas de interconexión móvil</w:t>
      </w:r>
      <w:r w:rsidR="008216EF" w:rsidRPr="00A271F1">
        <w:rPr>
          <w:rFonts w:ascii="ITC Avant Garde" w:eastAsia="Calibri" w:hAnsi="ITC Avant Garde" w:cs="Times New Roman"/>
          <w:color w:val="auto"/>
          <w:lang w:eastAsia="en-US"/>
        </w:rPr>
        <w:t xml:space="preserve"> para los operadores distintos al AEP y por tanto de la asimetría tarifaria, es contraria al objetivo de la reforma constitucional que exige que se utilice la asimetría en las tarifas de interconexión para promover la competencia efectiva en el sector de telecomunicaciones, por lo que exhorta a considerar el impacto adverso de la reducción acelerada en las tarifas de interconexión en la efectividad de estas como herramienta regulatoria de competencia. </w:t>
      </w:r>
    </w:p>
    <w:p w14:paraId="4CA4A0A3" w14:textId="77777777" w:rsidR="00E91A63" w:rsidRPr="00A271F1" w:rsidRDefault="00E91A63" w:rsidP="00E91A63">
      <w:pPr>
        <w:shd w:val="clear" w:color="auto" w:fill="FFFFFF" w:themeFill="background1"/>
        <w:spacing w:after="0" w:line="259" w:lineRule="auto"/>
        <w:ind w:left="0" w:right="0" w:firstLine="0"/>
        <w:rPr>
          <w:color w:val="auto"/>
          <w:lang w:eastAsia="en-US"/>
        </w:rPr>
      </w:pPr>
    </w:p>
    <w:p w14:paraId="62B35D2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6E6844">
        <w:rPr>
          <w:rFonts w:ascii="ITC Avant Garde" w:eastAsia="Calibri" w:hAnsi="ITC Avant Garde" w:cs="Times New Roman"/>
          <w:b/>
          <w:color w:val="auto"/>
          <w:u w:val="single"/>
          <w:lang w:eastAsia="en-US"/>
        </w:rPr>
        <w:t>Consideraciones del Instituto</w:t>
      </w:r>
    </w:p>
    <w:p w14:paraId="1609E6D5"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96A72ED" w14:textId="47895D36" w:rsidR="00CC5936" w:rsidRDefault="00445205"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 xml:space="preserve">Respecto al enfoque </w:t>
      </w:r>
      <w:r w:rsidR="007C3E85">
        <w:rPr>
          <w:rFonts w:ascii="ITC Avant Garde" w:eastAsia="Calibri" w:hAnsi="ITC Avant Garde" w:cs="Times New Roman"/>
          <w:color w:val="auto"/>
          <w:lang w:val="es-ES" w:eastAsia="en-US"/>
        </w:rPr>
        <w:t xml:space="preserve">metodológico </w:t>
      </w:r>
      <w:r w:rsidR="0049528B">
        <w:rPr>
          <w:rFonts w:ascii="ITC Avant Garde" w:eastAsia="Calibri" w:hAnsi="ITC Avant Garde" w:cs="Times New Roman"/>
          <w:color w:val="auto"/>
          <w:lang w:val="es-ES" w:eastAsia="en-US"/>
        </w:rPr>
        <w:t>de costo incremental de largo plazo puro</w:t>
      </w:r>
      <w:r w:rsidR="002636FD">
        <w:rPr>
          <w:rFonts w:ascii="ITC Avant Garde" w:eastAsia="Calibri" w:hAnsi="ITC Avant Garde" w:cs="Times New Roman"/>
          <w:color w:val="auto"/>
          <w:lang w:val="es-ES" w:eastAsia="en-US"/>
        </w:rPr>
        <w:t xml:space="preserve"> (CILP Puro)</w:t>
      </w:r>
      <w:r w:rsidR="0049528B">
        <w:rPr>
          <w:rFonts w:ascii="ITC Avant Garde" w:eastAsia="Calibri" w:hAnsi="ITC Avant Garde" w:cs="Times New Roman"/>
          <w:color w:val="auto"/>
          <w:lang w:val="es-ES" w:eastAsia="en-US"/>
        </w:rPr>
        <w:t xml:space="preserve">, </w:t>
      </w:r>
      <w:r w:rsidR="00CC5936">
        <w:rPr>
          <w:rFonts w:ascii="ITC Avant Garde" w:eastAsia="Calibri" w:hAnsi="ITC Avant Garde" w:cs="Times New Roman"/>
          <w:color w:val="auto"/>
          <w:lang w:val="es-ES" w:eastAsia="en-US"/>
        </w:rPr>
        <w:t xml:space="preserve">se menciona </w:t>
      </w:r>
      <w:r w:rsidR="00446097">
        <w:rPr>
          <w:rFonts w:ascii="ITC Avant Garde" w:eastAsia="Calibri" w:hAnsi="ITC Avant Garde" w:cs="Times New Roman"/>
          <w:color w:val="auto"/>
          <w:lang w:val="es-ES" w:eastAsia="en-US"/>
        </w:rPr>
        <w:t>que,</w:t>
      </w:r>
      <w:r w:rsidR="00CC5936">
        <w:rPr>
          <w:rFonts w:ascii="ITC Avant Garde" w:eastAsia="Calibri" w:hAnsi="ITC Avant Garde" w:cs="Times New Roman"/>
          <w:color w:val="auto"/>
          <w:lang w:val="es-ES" w:eastAsia="en-US"/>
        </w:rPr>
        <w:t xml:space="preserve"> </w:t>
      </w:r>
      <w:r w:rsidR="00616D40">
        <w:rPr>
          <w:rFonts w:ascii="ITC Avant Garde" w:eastAsia="Calibri" w:hAnsi="ITC Avant Garde" w:cs="Times New Roman"/>
          <w:color w:val="auto"/>
          <w:lang w:val="es-ES" w:eastAsia="en-US"/>
        </w:rPr>
        <w:t>el</w:t>
      </w:r>
      <w:r w:rsidR="00606F45">
        <w:rPr>
          <w:rFonts w:ascii="ITC Avant Garde" w:eastAsia="Calibri" w:hAnsi="ITC Avant Garde" w:cs="Times New Roman"/>
          <w:color w:val="auto"/>
          <w:lang w:val="es-ES" w:eastAsia="en-US"/>
        </w:rPr>
        <w:t xml:space="preserve"> Instituto </w:t>
      </w:r>
      <w:r w:rsidR="00837D0E">
        <w:rPr>
          <w:rFonts w:ascii="ITC Avant Garde" w:eastAsia="Calibri" w:hAnsi="ITC Avant Garde" w:cs="Times New Roman"/>
          <w:color w:val="auto"/>
          <w:lang w:val="es-ES" w:eastAsia="en-US"/>
        </w:rPr>
        <w:t xml:space="preserve">procede </w:t>
      </w:r>
      <w:r w:rsidR="002D3435">
        <w:rPr>
          <w:rFonts w:ascii="ITC Avant Garde" w:eastAsia="Calibri" w:hAnsi="ITC Avant Garde" w:cs="Times New Roman"/>
          <w:color w:val="auto"/>
          <w:lang w:val="es-ES" w:eastAsia="en-US"/>
        </w:rPr>
        <w:t xml:space="preserve">a determinar las tarifas de </w:t>
      </w:r>
      <w:r w:rsidR="002D3435">
        <w:rPr>
          <w:rFonts w:ascii="ITC Avant Garde" w:eastAsia="Calibri" w:hAnsi="ITC Avant Garde" w:cs="Times New Roman"/>
          <w:color w:val="auto"/>
          <w:lang w:val="es-ES" w:eastAsia="en-US"/>
        </w:rPr>
        <w:lastRenderedPageBreak/>
        <w:t>interconexión en estricto cumplimiento a</w:t>
      </w:r>
      <w:r w:rsidR="00AC5926">
        <w:rPr>
          <w:rFonts w:ascii="ITC Avant Garde" w:eastAsia="Calibri" w:hAnsi="ITC Avant Garde" w:cs="Times New Roman"/>
          <w:color w:val="auto"/>
          <w:lang w:val="es-ES" w:eastAsia="en-US"/>
        </w:rPr>
        <w:t xml:space="preserve"> lo establecido </w:t>
      </w:r>
      <w:r w:rsidR="00CC5936">
        <w:rPr>
          <w:rFonts w:ascii="ITC Avant Garde" w:eastAsia="Calibri" w:hAnsi="ITC Avant Garde" w:cs="Times New Roman"/>
          <w:color w:val="auto"/>
          <w:lang w:val="es-ES" w:eastAsia="en-US"/>
        </w:rPr>
        <w:t xml:space="preserve">en </w:t>
      </w:r>
      <w:r w:rsidR="00F211B8">
        <w:rPr>
          <w:rFonts w:ascii="ITC Avant Garde" w:eastAsia="Calibri" w:hAnsi="ITC Avant Garde" w:cs="Times New Roman"/>
          <w:color w:val="auto"/>
          <w:lang w:val="es-ES" w:eastAsia="en-US"/>
        </w:rPr>
        <w:t>los</w:t>
      </w:r>
      <w:r w:rsidR="00CC5936">
        <w:rPr>
          <w:rFonts w:ascii="ITC Avant Garde" w:eastAsia="Calibri" w:hAnsi="ITC Avant Garde" w:cs="Times New Roman"/>
          <w:color w:val="auto"/>
          <w:lang w:val="es-ES" w:eastAsia="en-US"/>
        </w:rPr>
        <w:t xml:space="preserve"> lineamiento</w:t>
      </w:r>
      <w:r w:rsidR="00F211B8">
        <w:rPr>
          <w:rFonts w:ascii="ITC Avant Garde" w:eastAsia="Calibri" w:hAnsi="ITC Avant Garde" w:cs="Times New Roman"/>
          <w:color w:val="auto"/>
          <w:lang w:val="es-ES" w:eastAsia="en-US"/>
        </w:rPr>
        <w:t>s</w:t>
      </w:r>
      <w:r w:rsidR="00CC5936">
        <w:rPr>
          <w:rFonts w:ascii="ITC Avant Garde" w:eastAsia="Calibri" w:hAnsi="ITC Avant Garde" w:cs="Times New Roman"/>
          <w:color w:val="auto"/>
          <w:lang w:val="es-ES" w:eastAsia="en-US"/>
        </w:rPr>
        <w:t xml:space="preserve"> </w:t>
      </w:r>
      <w:r w:rsidR="00F211B8">
        <w:rPr>
          <w:rFonts w:ascii="ITC Avant Garde" w:eastAsia="Calibri" w:hAnsi="ITC Avant Garde" w:cs="Times New Roman"/>
          <w:color w:val="auto"/>
          <w:lang w:val="es-ES" w:eastAsia="en-US"/>
        </w:rPr>
        <w:t>T</w:t>
      </w:r>
      <w:r w:rsidR="00CC5936">
        <w:rPr>
          <w:rFonts w:ascii="ITC Avant Garde" w:eastAsia="Calibri" w:hAnsi="ITC Avant Garde" w:cs="Times New Roman"/>
          <w:color w:val="auto"/>
          <w:lang w:val="es-ES" w:eastAsia="en-US"/>
        </w:rPr>
        <w:t xml:space="preserve">ercero y </w:t>
      </w:r>
      <w:r w:rsidR="00F211B8">
        <w:rPr>
          <w:rFonts w:ascii="ITC Avant Garde" w:eastAsia="Calibri" w:hAnsi="ITC Avant Garde" w:cs="Times New Roman"/>
          <w:color w:val="auto"/>
          <w:lang w:val="es-ES" w:eastAsia="en-US"/>
        </w:rPr>
        <w:t>C</w:t>
      </w:r>
      <w:r w:rsidR="00CC5936">
        <w:rPr>
          <w:rFonts w:ascii="ITC Avant Garde" w:eastAsia="Calibri" w:hAnsi="ITC Avant Garde" w:cs="Times New Roman"/>
          <w:color w:val="auto"/>
          <w:lang w:val="es-ES" w:eastAsia="en-US"/>
        </w:rPr>
        <w:t>uarto de la Metodología de Costos</w:t>
      </w:r>
      <w:r w:rsidR="002C4AF5">
        <w:rPr>
          <w:rStyle w:val="Refdenotaalpie"/>
          <w:rFonts w:ascii="ITC Avant Garde" w:eastAsia="Calibri" w:hAnsi="ITC Avant Garde" w:cs="Times New Roman"/>
          <w:color w:val="auto"/>
          <w:lang w:val="es-ES" w:eastAsia="en-US"/>
        </w:rPr>
        <w:footnoteReference w:id="9"/>
      </w:r>
      <w:r w:rsidR="00CC5936">
        <w:rPr>
          <w:rFonts w:ascii="ITC Avant Garde" w:eastAsia="Calibri" w:hAnsi="ITC Avant Garde" w:cs="Times New Roman"/>
          <w:color w:val="auto"/>
          <w:lang w:val="es-ES" w:eastAsia="en-US"/>
        </w:rPr>
        <w:t xml:space="preserve">, </w:t>
      </w:r>
      <w:r w:rsidR="003B2E28">
        <w:rPr>
          <w:rFonts w:ascii="ITC Avant Garde" w:eastAsia="Calibri" w:hAnsi="ITC Avant Garde" w:cs="Times New Roman"/>
          <w:color w:val="auto"/>
          <w:lang w:val="es-ES" w:eastAsia="en-US"/>
        </w:rPr>
        <w:t>utiliza</w:t>
      </w:r>
      <w:r w:rsidR="0063698F">
        <w:rPr>
          <w:rFonts w:ascii="ITC Avant Garde" w:eastAsia="Calibri" w:hAnsi="ITC Avant Garde" w:cs="Times New Roman"/>
          <w:color w:val="auto"/>
          <w:lang w:val="es-ES" w:eastAsia="en-US"/>
        </w:rPr>
        <w:t>ndo</w:t>
      </w:r>
      <w:r w:rsidR="003B2E28">
        <w:rPr>
          <w:rFonts w:ascii="ITC Avant Garde" w:eastAsia="Calibri" w:hAnsi="ITC Avant Garde" w:cs="Times New Roman"/>
          <w:color w:val="auto"/>
          <w:lang w:val="es-ES" w:eastAsia="en-US"/>
        </w:rPr>
        <w:t xml:space="preserve"> un Modelo elaborado </w:t>
      </w:r>
      <w:r w:rsidR="00341A62">
        <w:rPr>
          <w:rFonts w:ascii="ITC Avant Garde" w:eastAsia="Calibri" w:hAnsi="ITC Avant Garde" w:cs="Times New Roman"/>
          <w:color w:val="auto"/>
          <w:lang w:val="es-ES" w:eastAsia="en-US"/>
        </w:rPr>
        <w:t>bajo el enfoque de</w:t>
      </w:r>
      <w:r w:rsidR="002636FD">
        <w:rPr>
          <w:rFonts w:ascii="ITC Avant Garde" w:eastAsia="Calibri" w:hAnsi="ITC Avant Garde" w:cs="Times New Roman"/>
          <w:color w:val="auto"/>
          <w:lang w:val="es-ES" w:eastAsia="en-US"/>
        </w:rPr>
        <w:t xml:space="preserve"> CILP Puro</w:t>
      </w:r>
      <w:r w:rsidR="00341A62">
        <w:rPr>
          <w:rFonts w:ascii="ITC Avant Garde" w:eastAsia="Calibri" w:hAnsi="ITC Avant Garde" w:cs="Times New Roman"/>
          <w:color w:val="auto"/>
          <w:lang w:val="es-ES" w:eastAsia="en-US"/>
        </w:rPr>
        <w:t xml:space="preserve"> desarrollado conforme a bases internacionalmente reconocidas y siguiendo los principios dispuestos en la Metodología de Costos</w:t>
      </w:r>
      <w:r w:rsidR="00446097">
        <w:rPr>
          <w:rFonts w:ascii="ITC Avant Garde" w:eastAsia="Calibri" w:hAnsi="ITC Avant Garde" w:cs="Times New Roman"/>
          <w:color w:val="auto"/>
          <w:lang w:val="es-ES" w:eastAsia="en-US"/>
        </w:rPr>
        <w:t>.</w:t>
      </w:r>
    </w:p>
    <w:p w14:paraId="23CF259E" w14:textId="77777777" w:rsidR="00446097" w:rsidRDefault="00446097"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F07BC1B" w14:textId="622BEC58" w:rsidR="0059548D" w:rsidRDefault="00311E4F" w:rsidP="0059548D">
      <w:pPr>
        <w:shd w:val="clear" w:color="auto" w:fill="FFFFFF"/>
        <w:spacing w:after="0" w:line="259"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 xml:space="preserve">Por otro lado, </w:t>
      </w:r>
      <w:r w:rsidR="004253D2">
        <w:rPr>
          <w:rFonts w:ascii="ITC Avant Garde" w:eastAsia="Calibri" w:hAnsi="ITC Avant Garde" w:cs="Times New Roman"/>
          <w:color w:val="auto"/>
          <w:lang w:val="es-ES" w:eastAsia="en-US"/>
        </w:rPr>
        <w:t>con relación a</w:t>
      </w:r>
      <w:r>
        <w:rPr>
          <w:rFonts w:ascii="ITC Avant Garde" w:eastAsia="Calibri" w:hAnsi="ITC Avant Garde" w:cs="Times New Roman"/>
          <w:color w:val="auto"/>
          <w:lang w:val="es-ES" w:eastAsia="en-US"/>
        </w:rPr>
        <w:t xml:space="preserve"> l</w:t>
      </w:r>
      <w:r w:rsidR="0059548D" w:rsidRPr="00F82526">
        <w:rPr>
          <w:rFonts w:ascii="ITC Avant Garde" w:eastAsia="Calibri" w:hAnsi="ITC Avant Garde" w:cs="Times New Roman"/>
          <w:color w:val="auto"/>
          <w:lang w:val="es-ES" w:eastAsia="en-US"/>
        </w:rPr>
        <w:t>a asimetría entre las tarifas del AEP y el concesionario alternativ</w:t>
      </w:r>
      <w:r w:rsidR="0059548D">
        <w:rPr>
          <w:rFonts w:ascii="ITC Avant Garde" w:eastAsia="Calibri" w:hAnsi="ITC Avant Garde" w:cs="Times New Roman"/>
          <w:color w:val="auto"/>
          <w:lang w:val="es-ES" w:eastAsia="en-US"/>
        </w:rPr>
        <w:t xml:space="preserve">o </w:t>
      </w:r>
      <w:r w:rsidR="0059548D" w:rsidRPr="009C3F78">
        <w:rPr>
          <w:rFonts w:ascii="ITC Avant Garde" w:eastAsia="Calibri" w:hAnsi="ITC Avant Garde" w:cs="Times New Roman"/>
          <w:color w:val="auto"/>
          <w:lang w:val="es-ES" w:eastAsia="en-US"/>
        </w:rPr>
        <w:t>está determinada por las diferencias entre los parámetros técnicos, operativos y costos de dichos operadores</w:t>
      </w:r>
      <w:r w:rsidR="0059548D">
        <w:rPr>
          <w:rFonts w:ascii="ITC Avant Garde" w:eastAsia="Calibri" w:hAnsi="ITC Avant Garde" w:cs="Times New Roman"/>
          <w:color w:val="auto"/>
          <w:lang w:val="es-ES" w:eastAsia="en-US"/>
        </w:rPr>
        <w:t>. De tal modo, que la asimetría tarifaria sólo refleja la diferencia entre los costos del AEP y sus competidores (diferencias de costos objetivas).</w:t>
      </w:r>
    </w:p>
    <w:p w14:paraId="75172108" w14:textId="77777777" w:rsidR="0059548D" w:rsidRDefault="0059548D"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3D3D9D6" w14:textId="4D94A113" w:rsidR="007813F5" w:rsidRPr="00A271F1" w:rsidRDefault="00AE6CDB"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Por lo anterior</w:t>
      </w:r>
      <w:r w:rsidR="006136D3">
        <w:rPr>
          <w:rFonts w:ascii="ITC Avant Garde" w:eastAsia="Calibri" w:hAnsi="ITC Avant Garde" w:cs="Times New Roman"/>
          <w:color w:val="auto"/>
          <w:lang w:val="es-ES" w:eastAsia="en-US"/>
        </w:rPr>
        <w:t>, e</w:t>
      </w:r>
      <w:r w:rsidR="00727406">
        <w:rPr>
          <w:rFonts w:ascii="ITC Avant Garde" w:eastAsia="Calibri" w:hAnsi="ITC Avant Garde" w:cs="Times New Roman"/>
          <w:color w:val="auto"/>
          <w:lang w:val="es-ES" w:eastAsia="en-US"/>
        </w:rPr>
        <w:t xml:space="preserve">l Instituto utiliza para la determinación </w:t>
      </w:r>
      <w:r w:rsidR="00A308C6">
        <w:rPr>
          <w:rFonts w:ascii="ITC Avant Garde" w:eastAsia="Calibri" w:hAnsi="ITC Avant Garde" w:cs="Times New Roman"/>
          <w:color w:val="auto"/>
          <w:lang w:val="es-ES" w:eastAsia="en-US"/>
        </w:rPr>
        <w:t>de la política tarifaria en materia de Interconexión de todos los concesionarios</w:t>
      </w:r>
      <w:r w:rsidR="00554EF8">
        <w:rPr>
          <w:rFonts w:ascii="ITC Avant Garde" w:eastAsia="Calibri" w:hAnsi="ITC Avant Garde" w:cs="Times New Roman"/>
          <w:color w:val="auto"/>
          <w:lang w:val="es-ES" w:eastAsia="en-US"/>
        </w:rPr>
        <w:t>,</w:t>
      </w:r>
      <w:r w:rsidR="00601041" w:rsidDel="00554EF8">
        <w:rPr>
          <w:rFonts w:ascii="ITC Avant Garde" w:eastAsia="Calibri" w:hAnsi="ITC Avant Garde" w:cs="Times New Roman"/>
          <w:color w:val="auto"/>
          <w:lang w:val="es-ES" w:eastAsia="en-US"/>
        </w:rPr>
        <w:t xml:space="preserve"> </w:t>
      </w:r>
      <w:r w:rsidR="00601041">
        <w:rPr>
          <w:rFonts w:ascii="ITC Avant Garde" w:eastAsia="Calibri" w:hAnsi="ITC Avant Garde" w:cs="Times New Roman"/>
          <w:color w:val="auto"/>
          <w:lang w:val="es-ES" w:eastAsia="en-US"/>
        </w:rPr>
        <w:t xml:space="preserve">la instrumentación </w:t>
      </w:r>
      <w:r w:rsidR="00DF664A">
        <w:rPr>
          <w:rFonts w:ascii="ITC Avant Garde" w:eastAsia="Calibri" w:hAnsi="ITC Avant Garde" w:cs="Times New Roman"/>
          <w:color w:val="auto"/>
          <w:lang w:val="es-ES" w:eastAsia="en-US"/>
        </w:rPr>
        <w:t>de un modelo de costos</w:t>
      </w:r>
      <w:r w:rsidR="005A2362">
        <w:rPr>
          <w:rFonts w:ascii="ITC Avant Garde" w:eastAsia="Calibri" w:hAnsi="ITC Avant Garde" w:cs="Times New Roman"/>
          <w:color w:val="auto"/>
          <w:lang w:val="es-ES" w:eastAsia="en-US"/>
        </w:rPr>
        <w:t xml:space="preserve"> </w:t>
      </w:r>
      <w:r w:rsidR="00041151">
        <w:rPr>
          <w:rFonts w:ascii="ITC Avant Garde" w:eastAsia="Calibri" w:hAnsi="ITC Avant Garde" w:cs="Times New Roman"/>
          <w:color w:val="auto"/>
          <w:lang w:val="es-ES" w:eastAsia="en-US"/>
        </w:rPr>
        <w:t xml:space="preserve">CILP Puro </w:t>
      </w:r>
      <w:r w:rsidR="00FE7438">
        <w:rPr>
          <w:rFonts w:ascii="ITC Avant Garde" w:eastAsia="Calibri" w:hAnsi="ITC Avant Garde" w:cs="Times New Roman"/>
          <w:color w:val="auto"/>
          <w:lang w:val="es-ES" w:eastAsia="en-US"/>
        </w:rPr>
        <w:t xml:space="preserve">que toma en cuenta los costos en que incurre un operador representativo eficiente, y </w:t>
      </w:r>
      <w:r w:rsidR="00996DF8">
        <w:rPr>
          <w:rFonts w:ascii="ITC Avant Garde" w:eastAsia="Calibri" w:hAnsi="ITC Avant Garde" w:cs="Times New Roman"/>
          <w:color w:val="auto"/>
          <w:lang w:val="es-ES" w:eastAsia="en-US"/>
        </w:rPr>
        <w:t>que en el caso del AEP móvil, toma en cuenta sus características representativas (</w:t>
      </w:r>
      <w:r w:rsidR="0085034E">
        <w:rPr>
          <w:rFonts w:ascii="ITC Avant Garde" w:eastAsia="Calibri" w:hAnsi="ITC Avant Garde" w:cs="Times New Roman"/>
          <w:color w:val="auto"/>
          <w:lang w:val="es-ES" w:eastAsia="en-US"/>
        </w:rPr>
        <w:t xml:space="preserve">participación de mercado, volúmenes de </w:t>
      </w:r>
      <w:r w:rsidR="000752BD">
        <w:rPr>
          <w:rFonts w:ascii="ITC Avant Garde" w:eastAsia="Calibri" w:hAnsi="ITC Avant Garde" w:cs="Times New Roman"/>
          <w:color w:val="auto"/>
          <w:lang w:val="es-ES" w:eastAsia="en-US"/>
        </w:rPr>
        <w:t>tráfico</w:t>
      </w:r>
      <w:r w:rsidR="0085034E">
        <w:rPr>
          <w:rFonts w:ascii="ITC Avant Garde" w:eastAsia="Calibri" w:hAnsi="ITC Avant Garde" w:cs="Times New Roman"/>
          <w:color w:val="auto"/>
          <w:lang w:val="es-ES" w:eastAsia="en-US"/>
        </w:rPr>
        <w:t xml:space="preserve">, espectro y presencia geográfica) con la intención de reflejar </w:t>
      </w:r>
      <w:r w:rsidR="000752BD">
        <w:rPr>
          <w:rFonts w:ascii="ITC Avant Garde" w:eastAsia="Calibri" w:hAnsi="ITC Avant Garde" w:cs="Times New Roman"/>
          <w:color w:val="auto"/>
          <w:lang w:val="es-ES" w:eastAsia="en-US"/>
        </w:rPr>
        <w:t>las mencionadas asimetrías entre su red y las de los operadores móviles no preponderantes.</w:t>
      </w:r>
    </w:p>
    <w:p w14:paraId="5161D41C" w14:textId="77777777" w:rsidR="00E91A63" w:rsidRPr="00A271F1" w:rsidRDefault="00E91A63" w:rsidP="00E91A63">
      <w:pPr>
        <w:keepNext/>
        <w:keepLines/>
        <w:shd w:val="clear" w:color="auto" w:fill="FFFFFF" w:themeFill="background1"/>
        <w:spacing w:after="0" w:line="259" w:lineRule="auto"/>
        <w:ind w:left="0" w:right="0" w:firstLine="0"/>
        <w:outlineLvl w:val="1"/>
        <w:rPr>
          <w:b/>
          <w:bCs/>
          <w:color w:val="auto"/>
          <w:lang w:eastAsia="en-US"/>
        </w:rPr>
      </w:pPr>
    </w:p>
    <w:p w14:paraId="3113066C" w14:textId="77777777" w:rsidR="00E91A63" w:rsidRPr="00A271F1" w:rsidRDefault="00E91A63" w:rsidP="00E91A63">
      <w:pPr>
        <w:keepNext/>
        <w:keepLines/>
        <w:shd w:val="clear" w:color="auto" w:fill="FFFFFF" w:themeFill="background1"/>
        <w:spacing w:after="0" w:line="257" w:lineRule="auto"/>
        <w:ind w:left="0" w:right="0" w:firstLine="0"/>
        <w:jc w:val="left"/>
        <w:outlineLvl w:val="2"/>
        <w:rPr>
          <w:rFonts w:ascii="ITC Avant Garde" w:eastAsia="ITC Avant Garde" w:hAnsi="ITC Avant Garde" w:cs="ITC Avant Garde"/>
          <w:b/>
          <w:color w:val="auto"/>
          <w:u w:val="single"/>
          <w:lang w:eastAsia="en-US"/>
        </w:rPr>
      </w:pPr>
      <w:r w:rsidRPr="00A271F1">
        <w:rPr>
          <w:rFonts w:ascii="ITC Avant Garde" w:eastAsia="ITC Avant Garde" w:hAnsi="ITC Avant Garde" w:cs="ITC Avant Garde"/>
          <w:b/>
          <w:color w:val="auto"/>
          <w:u w:val="single"/>
          <w:lang w:eastAsia="en-US"/>
        </w:rPr>
        <w:t xml:space="preserve">Comentarios emitidos sobre la </w:t>
      </w:r>
      <w:r w:rsidRPr="00A271F1">
        <w:rPr>
          <w:rFonts w:ascii="ITC Avant Garde" w:eastAsia="ITC Avant Garde" w:hAnsi="ITC Avant Garde" w:cs="ITC Avant Garde"/>
          <w:b/>
          <w:bCs/>
          <w:color w:val="auto"/>
          <w:u w:val="single"/>
          <w:lang w:eastAsia="en-US"/>
        </w:rPr>
        <w:t>actualización</w:t>
      </w:r>
      <w:r w:rsidRPr="00A271F1">
        <w:rPr>
          <w:rFonts w:ascii="ITC Avant Garde" w:eastAsia="ITC Avant Garde" w:hAnsi="ITC Avant Garde" w:cs="ITC Avant Garde"/>
          <w:b/>
          <w:color w:val="auto"/>
          <w:u w:val="single"/>
          <w:lang w:eastAsia="en-US"/>
        </w:rPr>
        <w:t xml:space="preserve"> del modelo </w:t>
      </w:r>
    </w:p>
    <w:p w14:paraId="41EA2551" w14:textId="77777777" w:rsidR="00E91A63" w:rsidRPr="00A271F1" w:rsidRDefault="00E91A63" w:rsidP="00E91A63">
      <w:pPr>
        <w:keepNext/>
        <w:keepLines/>
        <w:shd w:val="clear" w:color="auto" w:fill="FFFFFF" w:themeFill="background1"/>
        <w:spacing w:after="0" w:line="259" w:lineRule="auto"/>
        <w:ind w:left="0" w:right="0" w:firstLine="0"/>
        <w:outlineLvl w:val="1"/>
        <w:rPr>
          <w:rFonts w:ascii="ITC Avant Garde" w:eastAsia="ITC Avant Garde" w:hAnsi="ITC Avant Garde" w:cs="ITC Avant Garde"/>
          <w:b/>
          <w:color w:val="auto"/>
          <w:lang w:eastAsia="en-US"/>
        </w:rPr>
      </w:pPr>
    </w:p>
    <w:p w14:paraId="605FC9B4" w14:textId="74F5EFB9" w:rsidR="00E91A63" w:rsidRPr="00A271F1" w:rsidRDefault="00E91A63" w:rsidP="00E91A63">
      <w:pPr>
        <w:keepNext/>
        <w:keepLines/>
        <w:shd w:val="clear" w:color="auto" w:fill="FFFFFF" w:themeFill="background1"/>
        <w:spacing w:after="0" w:line="259" w:lineRule="auto"/>
        <w:ind w:left="0" w:right="0" w:firstLine="0"/>
        <w:outlineLvl w:val="1"/>
        <w:rPr>
          <w:b/>
          <w:bCs/>
          <w:color w:val="auto"/>
          <w:lang w:eastAsia="en-US"/>
        </w:rPr>
      </w:pPr>
      <w:r w:rsidRPr="00A271F1">
        <w:rPr>
          <w:rFonts w:ascii="ITC Avant Garde" w:eastAsia="ITC Avant Garde" w:hAnsi="ITC Avant Garde" w:cs="ITC Avant Garde"/>
          <w:b/>
          <w:color w:val="auto"/>
          <w:lang w:eastAsia="en-US"/>
        </w:rPr>
        <w:t>Mega Cable</w:t>
      </w:r>
    </w:p>
    <w:p w14:paraId="55C9E6EA" w14:textId="59F42F4A" w:rsidR="00E91A63" w:rsidRPr="00A271F1" w:rsidRDefault="00E91A63" w:rsidP="00E91A63">
      <w:pPr>
        <w:spacing w:after="0" w:line="259" w:lineRule="auto"/>
        <w:rPr>
          <w:rFonts w:ascii="ITC Avant Garde" w:eastAsia="ITC Avant Garde" w:hAnsi="ITC Avant Garde" w:cs="ITC Avant Garde"/>
          <w:color w:val="auto"/>
        </w:rPr>
      </w:pPr>
      <w:r w:rsidRPr="00A271F1">
        <w:rPr>
          <w:rFonts w:ascii="ITC Avant Garde" w:eastAsia="ITC Avant Garde" w:hAnsi="ITC Avant Garde" w:cs="ITC Avant Garde"/>
          <w:color w:val="auto"/>
        </w:rPr>
        <w:t>Menciona que se debe hacer una revisión y actualización anual de las variables económicas y de mercado más relevantes de los Modelos para efectos de publicar las tarifas que resulten de dichos modelos.</w:t>
      </w:r>
    </w:p>
    <w:p w14:paraId="3DAC87C2" w14:textId="77777777" w:rsidR="00E91A63" w:rsidRPr="00551A9C"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p>
    <w:p w14:paraId="1EE0F4C5" w14:textId="77777777" w:rsidR="00E91A63" w:rsidRPr="00A271F1" w:rsidRDefault="00E91A63" w:rsidP="00E91A63">
      <w:pPr>
        <w:shd w:val="clear" w:color="auto" w:fill="FFFFFF" w:themeFill="background1"/>
        <w:spacing w:after="0" w:line="259" w:lineRule="auto"/>
        <w:ind w:left="0" w:right="0" w:firstLine="0"/>
        <w:rPr>
          <w:rFonts w:ascii="ITC Avant Garde" w:eastAsia="Calibri" w:hAnsi="ITC Avant Garde" w:cs="Times New Roman"/>
          <w:b/>
          <w:color w:val="auto"/>
          <w:u w:val="single"/>
          <w:lang w:eastAsia="en-US"/>
        </w:rPr>
      </w:pPr>
      <w:r w:rsidRPr="006E6844">
        <w:rPr>
          <w:rFonts w:ascii="ITC Avant Garde" w:eastAsia="Calibri" w:hAnsi="ITC Avant Garde" w:cs="Times New Roman"/>
          <w:b/>
          <w:color w:val="auto"/>
          <w:u w:val="single"/>
          <w:lang w:eastAsia="en-US"/>
        </w:rPr>
        <w:t>Consideraciones del Instituto</w:t>
      </w:r>
    </w:p>
    <w:p w14:paraId="371AF47F" w14:textId="77777777" w:rsidR="00E91A63" w:rsidRPr="00A271F1" w:rsidRDefault="00E91A63" w:rsidP="00E91A63">
      <w:pPr>
        <w:spacing w:after="0" w:line="276" w:lineRule="auto"/>
        <w:ind w:left="0" w:firstLine="0"/>
        <w:rPr>
          <w:rFonts w:ascii="ITC Avant Garde" w:eastAsia="ITC Avant Garde" w:hAnsi="ITC Avant Garde" w:cs="ITC Avant Garde"/>
          <w:color w:val="auto"/>
          <w:lang w:val="es-ES"/>
        </w:rPr>
      </w:pPr>
    </w:p>
    <w:p w14:paraId="04D981FD" w14:textId="77777777" w:rsidR="00532D3A" w:rsidRPr="00E30DA7" w:rsidRDefault="00D40E06" w:rsidP="00532D3A">
      <w:pPr>
        <w:spacing w:after="0" w:line="240" w:lineRule="auto"/>
        <w:rPr>
          <w:rFonts w:ascii="ITC Avant Garde" w:hAnsi="ITC Avant Garde" w:cs="Arial"/>
          <w:lang w:val="es-ES_tradnl" w:eastAsia="es-ES"/>
        </w:rPr>
      </w:pPr>
      <w:r>
        <w:rPr>
          <w:rFonts w:ascii="ITC Avant Garde" w:eastAsia="ITC Avant Garde" w:hAnsi="ITC Avant Garde" w:cs="ITC Avant Garde"/>
          <w:color w:val="auto"/>
          <w:lang w:val="es-ES"/>
        </w:rPr>
        <w:t>El Instituto tiene la potestad e</w:t>
      </w:r>
      <w:r w:rsidR="001A2814">
        <w:rPr>
          <w:rFonts w:ascii="ITC Avant Garde" w:eastAsia="ITC Avant Garde" w:hAnsi="ITC Avant Garde" w:cs="ITC Avant Garde"/>
          <w:color w:val="auto"/>
          <w:lang w:val="es-ES"/>
        </w:rPr>
        <w:t>xplicita de actualizar, o no, anualmente la información de los modelos</w:t>
      </w:r>
      <w:r w:rsidR="00AD3484">
        <w:rPr>
          <w:rFonts w:ascii="ITC Avant Garde" w:eastAsia="ITC Avant Garde" w:hAnsi="ITC Avant Garde" w:cs="ITC Avant Garde"/>
          <w:color w:val="auto"/>
          <w:lang w:val="es-ES"/>
        </w:rPr>
        <w:t xml:space="preserve"> </w:t>
      </w:r>
      <w:r w:rsidR="00774BA8">
        <w:rPr>
          <w:rFonts w:ascii="ITC Avant Garde" w:eastAsia="ITC Avant Garde" w:hAnsi="ITC Avant Garde" w:cs="ITC Avant Garde"/>
          <w:color w:val="auto"/>
          <w:lang w:val="es-ES"/>
        </w:rPr>
        <w:t xml:space="preserve">de conformidad </w:t>
      </w:r>
      <w:r w:rsidR="00201D94">
        <w:rPr>
          <w:rFonts w:ascii="ITC Avant Garde" w:eastAsia="ITC Avant Garde" w:hAnsi="ITC Avant Garde" w:cs="ITC Avant Garde"/>
          <w:color w:val="auto"/>
          <w:lang w:val="es-ES"/>
        </w:rPr>
        <w:t>con el lineamiento Décimo Tercero de la Metodología de Costos</w:t>
      </w:r>
      <w:r w:rsidR="00532D3A">
        <w:rPr>
          <w:rFonts w:ascii="ITC Avant Garde" w:eastAsia="ITC Avant Garde" w:hAnsi="ITC Avant Garde" w:cs="ITC Avant Garde"/>
          <w:color w:val="auto"/>
          <w:lang w:val="es-ES"/>
        </w:rPr>
        <w:t xml:space="preserve"> </w:t>
      </w:r>
      <w:r w:rsidR="00532D3A" w:rsidRPr="00E30DA7">
        <w:rPr>
          <w:rFonts w:ascii="ITC Avant Garde" w:hAnsi="ITC Avant Garde" w:cs="Arial"/>
          <w:lang w:val="es-ES_tradnl" w:eastAsia="es-ES"/>
        </w:rPr>
        <w:t>que indica textualmente lo siguiente:</w:t>
      </w:r>
    </w:p>
    <w:p w14:paraId="275C8541" w14:textId="77777777" w:rsidR="00532D3A" w:rsidRPr="00E30DA7" w:rsidRDefault="00532D3A" w:rsidP="00532D3A">
      <w:pPr>
        <w:spacing w:after="0" w:line="240" w:lineRule="auto"/>
        <w:rPr>
          <w:rFonts w:ascii="ITC Avant Garde" w:hAnsi="ITC Avant Garde" w:cs="Arial"/>
          <w:lang w:val="es-ES_tradnl" w:eastAsia="es-ES"/>
        </w:rPr>
      </w:pPr>
    </w:p>
    <w:p w14:paraId="2370C6E3" w14:textId="77777777" w:rsidR="00532D3A" w:rsidRPr="00E30DA7" w:rsidRDefault="00532D3A" w:rsidP="00532D3A">
      <w:pPr>
        <w:spacing w:after="0" w:line="240" w:lineRule="auto"/>
        <w:ind w:left="567" w:right="616"/>
        <w:rPr>
          <w:rFonts w:ascii="ITC Avant Garde" w:hAnsi="ITC Avant Garde"/>
          <w:sz w:val="18"/>
          <w:szCs w:val="18"/>
        </w:rPr>
      </w:pPr>
      <w:r w:rsidRPr="00E30DA7">
        <w:rPr>
          <w:rFonts w:ascii="ITC Avant Garde" w:hAnsi="ITC Avant Garde"/>
          <w:sz w:val="18"/>
          <w:szCs w:val="18"/>
        </w:rPr>
        <w:t xml:space="preserve">“DÉCIMO TERCERO. Los resultados del Modelo de Costos del Servicio de Interconexión relevante tendrán vigencia del 1o. de enero al 31 de diciembre de cada año. </w:t>
      </w:r>
      <w:r w:rsidRPr="00E30DA7">
        <w:rPr>
          <w:rFonts w:ascii="ITC Avant Garde" w:hAnsi="ITC Avant Garde"/>
          <w:b/>
          <w:bCs/>
          <w:sz w:val="18"/>
          <w:szCs w:val="18"/>
          <w:u w:val="single"/>
        </w:rPr>
        <w:t>El Instituto Federal de Telecomunicaciones podrá actualizar anualmente</w:t>
      </w:r>
      <w:r w:rsidRPr="00E30DA7">
        <w:rPr>
          <w:rFonts w:ascii="ITC Avant Garde" w:hAnsi="ITC Avant Garde"/>
          <w:sz w:val="18"/>
          <w:szCs w:val="18"/>
        </w:rPr>
        <w:t xml:space="preserv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88AB5C0" w14:textId="77777777" w:rsidR="00532D3A" w:rsidRPr="00E30DA7" w:rsidRDefault="00532D3A" w:rsidP="00532D3A">
      <w:pPr>
        <w:spacing w:after="0" w:line="240" w:lineRule="auto"/>
        <w:ind w:left="567" w:right="616"/>
        <w:rPr>
          <w:rFonts w:ascii="ITC Avant Garde" w:hAnsi="ITC Avant Garde"/>
          <w:sz w:val="18"/>
          <w:szCs w:val="18"/>
        </w:rPr>
      </w:pPr>
    </w:p>
    <w:p w14:paraId="3C6B64EF" w14:textId="77777777" w:rsidR="00532D3A" w:rsidRPr="00E30DA7" w:rsidRDefault="00532D3A" w:rsidP="00532D3A">
      <w:pPr>
        <w:spacing w:after="0" w:line="240" w:lineRule="auto"/>
        <w:ind w:left="567" w:right="616"/>
        <w:jc w:val="right"/>
        <w:rPr>
          <w:rFonts w:ascii="ITC Avant Garde" w:hAnsi="ITC Avant Garde"/>
          <w:sz w:val="18"/>
          <w:szCs w:val="18"/>
        </w:rPr>
      </w:pPr>
      <w:r w:rsidRPr="00E30DA7">
        <w:rPr>
          <w:rFonts w:ascii="ITC Avant Garde" w:hAnsi="ITC Avant Garde"/>
          <w:sz w:val="18"/>
          <w:szCs w:val="18"/>
        </w:rPr>
        <w:t>(Énfasis añadido)</w:t>
      </w:r>
    </w:p>
    <w:p w14:paraId="1BD3E801" w14:textId="7F0C0B06" w:rsidR="007B7663" w:rsidRDefault="007B7663" w:rsidP="00807ED5">
      <w:pPr>
        <w:shd w:val="clear" w:color="auto" w:fill="FFFFFF" w:themeFill="background1"/>
        <w:spacing w:after="0" w:line="259" w:lineRule="auto"/>
        <w:ind w:left="0" w:right="0" w:firstLine="0"/>
        <w:rPr>
          <w:rFonts w:ascii="ITC Avant Garde" w:eastAsia="ITC Avant Garde" w:hAnsi="ITC Avant Garde" w:cs="ITC Avant Garde"/>
          <w:color w:val="auto"/>
          <w:lang w:val="es-ES"/>
        </w:rPr>
      </w:pPr>
    </w:p>
    <w:p w14:paraId="722FCA9F" w14:textId="77777777" w:rsidR="007B7663" w:rsidRDefault="007B7663" w:rsidP="00807ED5">
      <w:pPr>
        <w:shd w:val="clear" w:color="auto" w:fill="FFFFFF" w:themeFill="background1"/>
        <w:spacing w:after="0" w:line="259" w:lineRule="auto"/>
        <w:ind w:left="0" w:right="0" w:firstLine="0"/>
        <w:rPr>
          <w:rFonts w:ascii="ITC Avant Garde" w:eastAsia="ITC Avant Garde" w:hAnsi="ITC Avant Garde" w:cs="ITC Avant Garde"/>
          <w:color w:val="auto"/>
          <w:lang w:val="es-ES"/>
        </w:rPr>
      </w:pPr>
    </w:p>
    <w:p w14:paraId="4BFAE0A3" w14:textId="537F740B" w:rsidR="00070F52" w:rsidRDefault="007C7543" w:rsidP="00807ED5">
      <w:pPr>
        <w:shd w:val="clear" w:color="auto" w:fill="FFFFFF" w:themeFill="background1"/>
        <w:spacing w:after="0" w:line="259" w:lineRule="auto"/>
        <w:ind w:left="0" w:right="0" w:firstLine="0"/>
        <w:rPr>
          <w:rFonts w:ascii="ITC Avant Garde" w:hAnsi="ITC Avant Garde"/>
          <w:lang w:val="es-ES"/>
        </w:rPr>
      </w:pPr>
      <w:r>
        <w:rPr>
          <w:rFonts w:ascii="ITC Avant Garde" w:eastAsia="ITC Avant Garde" w:hAnsi="ITC Avant Garde" w:cs="ITC Avant Garde"/>
          <w:color w:val="auto"/>
          <w:lang w:val="es-ES"/>
        </w:rPr>
        <w:lastRenderedPageBreak/>
        <w:t xml:space="preserve">En ese </w:t>
      </w:r>
      <w:r w:rsidR="0054186A">
        <w:rPr>
          <w:rFonts w:ascii="ITC Avant Garde" w:eastAsia="ITC Avant Garde" w:hAnsi="ITC Avant Garde" w:cs="ITC Avant Garde"/>
          <w:color w:val="auto"/>
          <w:lang w:val="es-ES"/>
        </w:rPr>
        <w:t>sentido, si</w:t>
      </w:r>
      <w:r w:rsidR="00405868" w:rsidRPr="003A26FF">
        <w:rPr>
          <w:rFonts w:ascii="ITC Avant Garde" w:eastAsia="ITC Avant Garde" w:hAnsi="ITC Avant Garde" w:cs="ITC Avant Garde"/>
          <w:color w:val="auto"/>
          <w:lang w:val="es-ES"/>
        </w:rPr>
        <w:t xml:space="preserve"> bien, los principios de la metodología de costos no han cambiado, el modelo de costos sí lo ha hecho para reflejar </w:t>
      </w:r>
      <w:r w:rsidR="00125AF1">
        <w:rPr>
          <w:rFonts w:ascii="ITC Avant Garde" w:eastAsia="ITC Avant Garde" w:hAnsi="ITC Avant Garde" w:cs="ITC Avant Garde"/>
          <w:color w:val="auto"/>
          <w:lang w:val="es-ES"/>
        </w:rPr>
        <w:t xml:space="preserve">de mejor manera las realidades </w:t>
      </w:r>
      <w:r w:rsidR="00405868" w:rsidRPr="003A26FF">
        <w:rPr>
          <w:rFonts w:ascii="ITC Avant Garde" w:eastAsia="ITC Avant Garde" w:hAnsi="ITC Avant Garde" w:cs="ITC Avant Garde"/>
          <w:color w:val="auto"/>
          <w:lang w:val="es-ES"/>
        </w:rPr>
        <w:t>del mercado (sin necesidad de modificar la metodología)</w:t>
      </w:r>
      <w:r w:rsidR="002C0B41" w:rsidRPr="00954869">
        <w:rPr>
          <w:rFonts w:ascii="ITC Avant Garde" w:hAnsi="ITC Avant Garde"/>
          <w:lang w:val="es-ES"/>
        </w:rPr>
        <w:t>. Además, en cada una de las actualizaciones llevad</w:t>
      </w:r>
      <w:r w:rsidR="002052D8">
        <w:rPr>
          <w:rFonts w:ascii="ITC Avant Garde" w:hAnsi="ITC Avant Garde"/>
          <w:lang w:val="es-ES"/>
        </w:rPr>
        <w:t>as</w:t>
      </w:r>
      <w:r w:rsidR="002C0B41" w:rsidRPr="00954869">
        <w:rPr>
          <w:rFonts w:ascii="ITC Avant Garde" w:hAnsi="ITC Avant Garde"/>
          <w:lang w:val="es-ES"/>
        </w:rPr>
        <w:t xml:space="preserve"> </w:t>
      </w:r>
      <w:r w:rsidR="0011509F">
        <w:rPr>
          <w:rFonts w:ascii="ITC Avant Garde" w:hAnsi="ITC Avant Garde"/>
          <w:lang w:val="es-ES"/>
        </w:rPr>
        <w:t xml:space="preserve">a cabo </w:t>
      </w:r>
      <w:r w:rsidR="002C0B41" w:rsidRPr="00954869">
        <w:rPr>
          <w:rFonts w:ascii="ITC Avant Garde" w:hAnsi="ITC Avant Garde"/>
          <w:lang w:val="es-ES"/>
        </w:rPr>
        <w:t>se han revisado distintos parámetros económicos (como la inflación, el tipo de cambio, etc.) y de mercado</w:t>
      </w:r>
      <w:r w:rsidR="00FF562A">
        <w:rPr>
          <w:rFonts w:ascii="ITC Avant Garde" w:hAnsi="ITC Avant Garde"/>
          <w:lang w:val="es-ES"/>
        </w:rPr>
        <w:t xml:space="preserve"> relevantes</w:t>
      </w:r>
      <w:r w:rsidR="002C0B41" w:rsidRPr="00954869">
        <w:rPr>
          <w:rFonts w:ascii="ITC Avant Garde" w:hAnsi="ITC Avant Garde"/>
          <w:lang w:val="es-ES"/>
        </w:rPr>
        <w:t xml:space="preserve"> (demanda, uso de red, etc.)</w:t>
      </w:r>
      <w:r w:rsidR="00653367">
        <w:rPr>
          <w:rFonts w:ascii="ITC Avant Garde" w:hAnsi="ITC Avant Garde"/>
          <w:lang w:val="es-ES"/>
        </w:rPr>
        <w:t xml:space="preserve"> y se ha </w:t>
      </w:r>
      <w:r w:rsidR="004E425A">
        <w:rPr>
          <w:rFonts w:ascii="ITC Avant Garde" w:hAnsi="ITC Avant Garde"/>
          <w:lang w:val="es-ES"/>
        </w:rPr>
        <w:t>evaluado la pertinencia o no de hacer modificaciones</w:t>
      </w:r>
      <w:r w:rsidR="00337E18">
        <w:rPr>
          <w:rFonts w:ascii="ITC Avant Garde" w:hAnsi="ITC Avant Garde"/>
          <w:lang w:val="es-ES"/>
        </w:rPr>
        <w:t xml:space="preserve"> bajo la premisa </w:t>
      </w:r>
      <w:r w:rsidR="00EE3E41">
        <w:rPr>
          <w:rFonts w:ascii="ITC Avant Garde" w:hAnsi="ITC Avant Garde"/>
          <w:lang w:val="es-ES"/>
        </w:rPr>
        <w:t xml:space="preserve">de no perjudicar la certeza o no incluir efectos coyunturales </w:t>
      </w:r>
      <w:r w:rsidR="00070F52">
        <w:rPr>
          <w:rFonts w:ascii="ITC Avant Garde" w:hAnsi="ITC Avant Garde"/>
          <w:lang w:val="es-ES"/>
        </w:rPr>
        <w:t xml:space="preserve">en modelos de largo plazo. </w:t>
      </w:r>
    </w:p>
    <w:p w14:paraId="1D4C2F14" w14:textId="77777777" w:rsidR="00070F52" w:rsidRDefault="00070F52" w:rsidP="00807ED5">
      <w:pPr>
        <w:shd w:val="clear" w:color="auto" w:fill="FFFFFF" w:themeFill="background1"/>
        <w:spacing w:after="0" w:line="259" w:lineRule="auto"/>
        <w:ind w:left="0" w:right="0" w:firstLine="0"/>
        <w:rPr>
          <w:rFonts w:ascii="ITC Avant Garde" w:hAnsi="ITC Avant Garde"/>
          <w:lang w:val="es-ES"/>
        </w:rPr>
      </w:pPr>
    </w:p>
    <w:p w14:paraId="5CA226B5" w14:textId="4CF48440" w:rsidR="004A0329" w:rsidRPr="003A26FF" w:rsidRDefault="00070F52" w:rsidP="00807ED5">
      <w:pPr>
        <w:shd w:val="clear" w:color="auto" w:fill="FFFFFF" w:themeFill="background1"/>
        <w:spacing w:after="0" w:line="259" w:lineRule="auto"/>
        <w:ind w:left="0" w:right="0" w:firstLine="0"/>
        <w:rPr>
          <w:rFonts w:ascii="ITC Avant Garde" w:eastAsia="ITC Avant Garde" w:hAnsi="ITC Avant Garde" w:cs="ITC Avant Garde"/>
          <w:color w:val="auto"/>
          <w:lang w:val="es-ES"/>
        </w:rPr>
      </w:pPr>
      <w:r>
        <w:rPr>
          <w:rFonts w:ascii="ITC Avant Garde" w:hAnsi="ITC Avant Garde"/>
          <w:lang w:val="es-ES"/>
        </w:rPr>
        <w:t xml:space="preserve">Sin embargo, en el desarrollo de este modelo, se hace una actualización completa de los factores económico, garantizando </w:t>
      </w:r>
      <w:r w:rsidR="00981596">
        <w:rPr>
          <w:rFonts w:ascii="ITC Avant Garde" w:hAnsi="ITC Avant Garde"/>
          <w:lang w:val="es-ES"/>
        </w:rPr>
        <w:t xml:space="preserve">el reflejo de las realidades de los mercados. </w:t>
      </w:r>
    </w:p>
    <w:p w14:paraId="6FC1672C" w14:textId="77777777" w:rsidR="0011509F" w:rsidRDefault="0011509F" w:rsidP="002C0B41">
      <w:pPr>
        <w:shd w:val="clear" w:color="auto" w:fill="FFFFFF" w:themeFill="background1"/>
        <w:spacing w:after="0" w:line="259" w:lineRule="auto"/>
        <w:ind w:left="0" w:right="0" w:firstLine="0"/>
        <w:rPr>
          <w:rFonts w:ascii="ITC Avant Garde" w:hAnsi="ITC Avant Garde"/>
          <w:lang w:val="es-ES"/>
        </w:rPr>
      </w:pPr>
    </w:p>
    <w:p w14:paraId="22C33448" w14:textId="77777777" w:rsidR="00E91A63" w:rsidRPr="00A271F1" w:rsidRDefault="00E91A63" w:rsidP="00E91A63">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 xml:space="preserve">Comentarios emitidos sobre el operador eficiente </w:t>
      </w:r>
    </w:p>
    <w:p w14:paraId="35B9842D"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eastAsia="en-US"/>
        </w:rPr>
      </w:pPr>
    </w:p>
    <w:p w14:paraId="78217EA9" w14:textId="1FF57E6B"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Mega Cable</w:t>
      </w:r>
    </w:p>
    <w:p w14:paraId="3805213E" w14:textId="4CF4B6BC"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6E6844">
        <w:rPr>
          <w:rFonts w:ascii="ITC Avant Garde" w:eastAsia="Calibri" w:hAnsi="ITC Avant Garde" w:cs="Times New Roman"/>
          <w:color w:val="auto"/>
          <w:lang w:eastAsia="en-US"/>
        </w:rPr>
        <w:t>Menciona</w:t>
      </w:r>
      <w:r w:rsidRPr="00A271F1">
        <w:rPr>
          <w:rFonts w:ascii="ITC Avant Garde" w:eastAsia="Calibri" w:hAnsi="ITC Avant Garde" w:cs="Times New Roman"/>
          <w:color w:val="auto"/>
          <w:lang w:eastAsia="en-US"/>
        </w:rPr>
        <w:t xml:space="preserve"> que la determinación de los operadores hipotéticos, sobre todo en el caso de los Modelos de Costos del </w:t>
      </w:r>
      <w:r w:rsidRPr="006E6844">
        <w:rPr>
          <w:rFonts w:ascii="ITC Avant Garde" w:eastAsia="Calibri" w:hAnsi="ITC Avant Garde" w:cs="Times New Roman"/>
          <w:color w:val="auto"/>
          <w:lang w:eastAsia="en-US"/>
        </w:rPr>
        <w:t>AEP</w:t>
      </w:r>
      <w:r w:rsidRPr="00A271F1">
        <w:rPr>
          <w:rFonts w:ascii="ITC Avant Garde" w:eastAsia="Calibri" w:hAnsi="ITC Avant Garde" w:cs="Times New Roman"/>
          <w:color w:val="auto"/>
          <w:lang w:eastAsia="en-US"/>
        </w:rPr>
        <w:t xml:space="preserve"> se han inclinado demasiado a considerar la información y características de los operadores actuales, más que las características de </w:t>
      </w:r>
      <w:r w:rsidRPr="006E6844">
        <w:rPr>
          <w:rFonts w:ascii="ITC Avant Garde" w:eastAsia="Calibri" w:hAnsi="ITC Avant Garde" w:cs="Times New Roman"/>
          <w:color w:val="auto"/>
          <w:lang w:eastAsia="en-US"/>
        </w:rPr>
        <w:t>un operador hipotético eficiente</w:t>
      </w:r>
      <w:r w:rsidRPr="00A271F1">
        <w:rPr>
          <w:rFonts w:ascii="ITC Avant Garde" w:eastAsia="Calibri" w:hAnsi="ITC Avant Garde" w:cs="Times New Roman"/>
          <w:color w:val="auto"/>
          <w:lang w:eastAsia="en-US"/>
        </w:rPr>
        <w:t xml:space="preserve"> que refleje las condiciones que habría en condiciones de competencia.</w:t>
      </w:r>
    </w:p>
    <w:p w14:paraId="37D90723"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1BF3ABB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6E6844">
        <w:rPr>
          <w:rFonts w:ascii="ITC Avant Garde" w:eastAsia="Calibri" w:hAnsi="ITC Avant Garde" w:cs="Times New Roman"/>
          <w:b/>
          <w:color w:val="auto"/>
          <w:u w:val="single"/>
          <w:lang w:eastAsia="en-US"/>
        </w:rPr>
        <w:t>Consideraciones del Instituto</w:t>
      </w:r>
    </w:p>
    <w:p w14:paraId="6E0FA22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p>
    <w:p w14:paraId="5F19002B" w14:textId="1F1D54FB" w:rsidR="00F63D46" w:rsidRPr="00234B5E" w:rsidRDefault="00F63D46" w:rsidP="00F63D46">
      <w:pPr>
        <w:spacing w:line="276" w:lineRule="auto"/>
        <w:rPr>
          <w:rFonts w:ascii="ITC Avant Garde" w:hAnsi="ITC Avant Garde"/>
        </w:rPr>
      </w:pPr>
      <w:r w:rsidRPr="00234B5E">
        <w:rPr>
          <w:rFonts w:ascii="ITC Avant Garde" w:hAnsi="ITC Avant Garde"/>
        </w:rPr>
        <w:t xml:space="preserve">Los modelos buscan reflejar la realidad del mercado mexicano en redes de telecomunicaciones móviles y fijas desplegadas tomando en consideración un operador hipotético con características similares a/o derivadas de los concesionarios existentes en el mercado, en el que se ajustan ciertos aspectos hipotéticos, esto es, se modela una red moderna equivalente </w:t>
      </w:r>
      <w:r w:rsidR="004522A1">
        <w:rPr>
          <w:rFonts w:ascii="ITC Avant Garde" w:hAnsi="ITC Avant Garde"/>
        </w:rPr>
        <w:t xml:space="preserve">con características </w:t>
      </w:r>
      <w:r w:rsidR="00BE5A72">
        <w:rPr>
          <w:rFonts w:ascii="ITC Avant Garde" w:hAnsi="ITC Avant Garde"/>
        </w:rPr>
        <w:t>de</w:t>
      </w:r>
      <w:r w:rsidRPr="00234B5E">
        <w:rPr>
          <w:rFonts w:ascii="ITC Avant Garde" w:hAnsi="ITC Avant Garde"/>
        </w:rPr>
        <w:t xml:space="preserve"> los operadores reales, es decir, un operador representativo del mercado, no obstante, esto no significa que se modelen las características exactas y los costos reales de algún operador o grupo de ellos</w:t>
      </w:r>
      <w:r w:rsidR="001876B1">
        <w:rPr>
          <w:rFonts w:ascii="ITC Avant Garde" w:hAnsi="ITC Avant Garde"/>
        </w:rPr>
        <w:t>.</w:t>
      </w:r>
    </w:p>
    <w:p w14:paraId="6167BFF1" w14:textId="77777777" w:rsidR="00AD0264" w:rsidRDefault="00AD0264" w:rsidP="00E91A63">
      <w:pPr>
        <w:shd w:val="clear" w:color="auto" w:fill="FFFFFF"/>
        <w:spacing w:after="0" w:line="259" w:lineRule="auto"/>
        <w:ind w:left="0" w:right="0" w:firstLine="0"/>
        <w:rPr>
          <w:rFonts w:ascii="ITC Avant Garde" w:eastAsia="Calibri" w:hAnsi="ITC Avant Garde" w:cs="Times New Roman"/>
          <w:color w:val="auto"/>
          <w:highlight w:val="red"/>
          <w:lang w:eastAsia="en-US"/>
        </w:rPr>
      </w:pPr>
    </w:p>
    <w:p w14:paraId="12A1F80D" w14:textId="0CA54974"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Mega Cable</w:t>
      </w:r>
    </w:p>
    <w:p w14:paraId="6AB5D25A" w14:textId="7FBE970E" w:rsidR="00E91A63" w:rsidRPr="00A271F1" w:rsidRDefault="00205729"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6E6844">
        <w:rPr>
          <w:rFonts w:ascii="ITC Avant Garde" w:eastAsia="Calibri" w:hAnsi="ITC Avant Garde" w:cs="Times New Roman"/>
          <w:color w:val="auto"/>
          <w:lang w:eastAsia="en-US"/>
        </w:rPr>
        <w:t>M</w:t>
      </w:r>
      <w:r w:rsidR="00E91A63" w:rsidRPr="006E6844">
        <w:rPr>
          <w:rFonts w:ascii="ITC Avant Garde" w:eastAsia="Calibri" w:hAnsi="ITC Avant Garde" w:cs="Times New Roman"/>
          <w:color w:val="auto"/>
          <w:lang w:eastAsia="en-US"/>
        </w:rPr>
        <w:t>enciona</w:t>
      </w:r>
      <w:r w:rsidR="00E91A63" w:rsidRPr="00A271F1">
        <w:rPr>
          <w:rFonts w:ascii="ITC Avant Garde" w:eastAsia="Calibri" w:hAnsi="ITC Avant Garde" w:cs="Times New Roman"/>
          <w:color w:val="auto"/>
          <w:lang w:eastAsia="en-US"/>
        </w:rPr>
        <w:t xml:space="preserve"> que la calibración de los Modelos de Costos nunca ha sido un proceso </w:t>
      </w:r>
      <w:r w:rsidR="00E91A63" w:rsidRPr="006E6844">
        <w:rPr>
          <w:rFonts w:ascii="ITC Avant Garde" w:eastAsia="Calibri" w:hAnsi="ITC Avant Garde" w:cs="Times New Roman"/>
          <w:color w:val="auto"/>
          <w:lang w:eastAsia="en-US"/>
        </w:rPr>
        <w:t>claro y transparente</w:t>
      </w:r>
      <w:r w:rsidR="00E91A63" w:rsidRPr="00A271F1">
        <w:rPr>
          <w:rFonts w:ascii="ITC Avant Garde" w:eastAsia="Calibri" w:hAnsi="ITC Avant Garde" w:cs="Times New Roman"/>
          <w:color w:val="auto"/>
          <w:lang w:eastAsia="en-US"/>
        </w:rPr>
        <w:t>.</w:t>
      </w:r>
    </w:p>
    <w:p w14:paraId="5C53B96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12FCCE82"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6E6844">
        <w:rPr>
          <w:rFonts w:ascii="ITC Avant Garde" w:eastAsia="Calibri" w:hAnsi="ITC Avant Garde" w:cs="Times New Roman"/>
          <w:b/>
          <w:color w:val="auto"/>
          <w:u w:val="single"/>
          <w:lang w:eastAsia="en-US"/>
        </w:rPr>
        <w:t>Consideraciones del Instituto</w:t>
      </w:r>
    </w:p>
    <w:p w14:paraId="078B1125"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ACA1787" w14:textId="298F9C6D" w:rsidR="0011509F" w:rsidRDefault="004F4D74" w:rsidP="00C74DDD">
      <w:pPr>
        <w:spacing w:after="0" w:line="276" w:lineRule="auto"/>
        <w:rPr>
          <w:rFonts w:ascii="ITC Avant Garde" w:hAnsi="ITC Avant Garde"/>
          <w:lang w:val="es-ES"/>
        </w:rPr>
      </w:pPr>
      <w:r>
        <w:rPr>
          <w:rFonts w:ascii="ITC Avant Garde" w:hAnsi="ITC Avant Garde"/>
          <w:lang w:val="es-ES"/>
        </w:rPr>
        <w:t>L</w:t>
      </w:r>
      <w:r w:rsidR="00F038B1">
        <w:rPr>
          <w:rFonts w:ascii="ITC Avant Garde" w:hAnsi="ITC Avant Garde"/>
          <w:lang w:val="es-ES"/>
        </w:rPr>
        <w:t>os</w:t>
      </w:r>
      <w:r w:rsidR="004C0F8A">
        <w:rPr>
          <w:rFonts w:ascii="ITC Avant Garde" w:hAnsi="ITC Avant Garde"/>
          <w:lang w:val="es-ES"/>
        </w:rPr>
        <w:t xml:space="preserve"> modelo</w:t>
      </w:r>
      <w:r w:rsidR="00F038B1">
        <w:rPr>
          <w:rFonts w:ascii="ITC Avant Garde" w:hAnsi="ITC Avant Garde"/>
          <w:lang w:val="es-ES"/>
        </w:rPr>
        <w:t>s</w:t>
      </w:r>
      <w:r w:rsidR="004C0F8A">
        <w:rPr>
          <w:rFonts w:ascii="ITC Avant Garde" w:hAnsi="ITC Avant Garde"/>
          <w:lang w:val="es-ES"/>
        </w:rPr>
        <w:t xml:space="preserve"> de costos</w:t>
      </w:r>
      <w:r w:rsidR="00F664FB">
        <w:rPr>
          <w:rFonts w:ascii="ITC Avant Garde" w:hAnsi="ITC Avant Garde"/>
          <w:lang w:val="es-ES"/>
        </w:rPr>
        <w:t xml:space="preserve">, </w:t>
      </w:r>
      <w:r w:rsidR="00915404">
        <w:rPr>
          <w:rFonts w:ascii="ITC Avant Garde" w:hAnsi="ITC Avant Garde"/>
          <w:lang w:val="es-ES"/>
        </w:rPr>
        <w:t>están disponibles al público en general así como los respectivos documentos sobre los principales insumos y cálculos que lo componen; el marco metodológico que describe los principios teóricos que rigen los modelos, así como la implementación de la metodología aplicada</w:t>
      </w:r>
      <w:r w:rsidR="00F664FB">
        <w:rPr>
          <w:rFonts w:ascii="ITC Avant Garde" w:hAnsi="ITC Avant Garde"/>
          <w:lang w:val="es-ES"/>
        </w:rPr>
        <w:t xml:space="preserve">, parámetros </w:t>
      </w:r>
      <w:r w:rsidR="00F664FB">
        <w:rPr>
          <w:rFonts w:ascii="ITC Avant Garde" w:hAnsi="ITC Avant Garde"/>
          <w:lang w:val="es-ES"/>
        </w:rPr>
        <w:lastRenderedPageBreak/>
        <w:t>considerados en su diseño</w:t>
      </w:r>
      <w:r w:rsidR="008B380F">
        <w:rPr>
          <w:rFonts w:ascii="ITC Avant Garde" w:hAnsi="ITC Avant Garde"/>
          <w:lang w:val="es-ES"/>
        </w:rPr>
        <w:t>,</w:t>
      </w:r>
      <w:r w:rsidR="00C302C4">
        <w:rPr>
          <w:rFonts w:ascii="ITC Avant Garde" w:hAnsi="ITC Avant Garde"/>
          <w:lang w:val="es-ES"/>
        </w:rPr>
        <w:t xml:space="preserve"> los </w:t>
      </w:r>
      <w:r w:rsidR="00DE609C">
        <w:rPr>
          <w:rFonts w:ascii="ITC Avant Garde" w:hAnsi="ITC Avant Garde"/>
          <w:lang w:val="es-ES"/>
        </w:rPr>
        <w:t>al</w:t>
      </w:r>
      <w:r w:rsidR="00C302C4">
        <w:rPr>
          <w:rFonts w:ascii="ITC Avant Garde" w:hAnsi="ITC Avant Garde"/>
          <w:lang w:val="es-ES"/>
        </w:rPr>
        <w:t>g</w:t>
      </w:r>
      <w:r w:rsidR="00DE609C">
        <w:rPr>
          <w:rFonts w:ascii="ITC Avant Garde" w:hAnsi="ITC Avant Garde"/>
          <w:lang w:val="es-ES"/>
        </w:rPr>
        <w:t>o</w:t>
      </w:r>
      <w:r w:rsidR="00C302C4">
        <w:rPr>
          <w:rFonts w:ascii="ITC Avant Garde" w:hAnsi="ITC Avant Garde"/>
          <w:lang w:val="es-ES"/>
        </w:rPr>
        <w:t>ritmos considerados</w:t>
      </w:r>
      <w:r w:rsidR="007124E3">
        <w:rPr>
          <w:rFonts w:ascii="ITC Avant Garde" w:hAnsi="ITC Avant Garde"/>
          <w:lang w:val="es-ES"/>
        </w:rPr>
        <w:t xml:space="preserve"> y</w:t>
      </w:r>
      <w:r w:rsidR="006957E6">
        <w:rPr>
          <w:rFonts w:ascii="ITC Avant Garde" w:hAnsi="ITC Avant Garde"/>
          <w:lang w:val="es-ES"/>
        </w:rPr>
        <w:t xml:space="preserve"> sus fuentes</w:t>
      </w:r>
      <w:r w:rsidR="009F76AA">
        <w:rPr>
          <w:rFonts w:ascii="ITC Avant Garde" w:hAnsi="ITC Avant Garde"/>
          <w:lang w:val="es-ES"/>
        </w:rPr>
        <w:t xml:space="preserve">, por </w:t>
      </w:r>
      <w:r w:rsidR="008B380F">
        <w:rPr>
          <w:rFonts w:ascii="ITC Avant Garde" w:hAnsi="ITC Avant Garde"/>
          <w:lang w:val="es-ES"/>
        </w:rPr>
        <w:t>lo que</w:t>
      </w:r>
      <w:r w:rsidR="009F76AA">
        <w:rPr>
          <w:rFonts w:ascii="ITC Avant Garde" w:hAnsi="ITC Avant Garde"/>
          <w:lang w:val="es-ES"/>
        </w:rPr>
        <w:t xml:space="preserve">, </w:t>
      </w:r>
      <w:r w:rsidR="00FF5D62">
        <w:rPr>
          <w:rFonts w:ascii="ITC Avant Garde" w:hAnsi="ITC Avant Garde"/>
          <w:lang w:val="es-ES"/>
        </w:rPr>
        <w:t xml:space="preserve">hay transparencia </w:t>
      </w:r>
      <w:r w:rsidR="00B347D7">
        <w:rPr>
          <w:rFonts w:ascii="ITC Avant Garde" w:hAnsi="ITC Avant Garde"/>
          <w:lang w:val="es-ES"/>
        </w:rPr>
        <w:t xml:space="preserve">en </w:t>
      </w:r>
      <w:r w:rsidR="00FF5D62">
        <w:rPr>
          <w:rFonts w:ascii="ITC Avant Garde" w:hAnsi="ITC Avant Garde"/>
          <w:lang w:val="es-ES"/>
        </w:rPr>
        <w:t xml:space="preserve">el </w:t>
      </w:r>
      <w:r w:rsidR="001F6828">
        <w:rPr>
          <w:rFonts w:ascii="ITC Avant Garde" w:hAnsi="ITC Avant Garde"/>
          <w:lang w:val="es-ES"/>
        </w:rPr>
        <w:t xml:space="preserve">proceso de </w:t>
      </w:r>
      <w:r w:rsidR="009269BB">
        <w:rPr>
          <w:rFonts w:ascii="ITC Avant Garde" w:hAnsi="ITC Avant Garde"/>
          <w:lang w:val="es-ES"/>
        </w:rPr>
        <w:t>calibración</w:t>
      </w:r>
      <w:r w:rsidR="00D055E2">
        <w:rPr>
          <w:rFonts w:ascii="ITC Avant Garde" w:hAnsi="ITC Avant Garde"/>
          <w:lang w:val="es-ES"/>
        </w:rPr>
        <w:t xml:space="preserve"> ya sea revisa</w:t>
      </w:r>
      <w:r w:rsidR="00C74DDD">
        <w:rPr>
          <w:rFonts w:ascii="ITC Avant Garde" w:hAnsi="ITC Avant Garde"/>
          <w:lang w:val="es-ES"/>
        </w:rPr>
        <w:t>ndo</w:t>
      </w:r>
      <w:r w:rsidR="008B380F">
        <w:rPr>
          <w:rFonts w:ascii="ITC Avant Garde" w:hAnsi="ITC Avant Garde"/>
          <w:lang w:val="es-ES"/>
        </w:rPr>
        <w:t xml:space="preserve"> los</w:t>
      </w:r>
      <w:r w:rsidR="00D055E2">
        <w:rPr>
          <w:rFonts w:ascii="ITC Avant Garde" w:hAnsi="ITC Avant Garde"/>
          <w:lang w:val="es-ES"/>
        </w:rPr>
        <w:t xml:space="preserve"> resultados o modifica</w:t>
      </w:r>
      <w:r w:rsidR="00C74DDD">
        <w:rPr>
          <w:rFonts w:ascii="ITC Avant Garde" w:hAnsi="ITC Avant Garde"/>
          <w:lang w:val="es-ES"/>
        </w:rPr>
        <w:t>ndo</w:t>
      </w:r>
      <w:r w:rsidR="00D055E2">
        <w:rPr>
          <w:rFonts w:ascii="ITC Avant Garde" w:hAnsi="ITC Avant Garde"/>
          <w:lang w:val="es-ES"/>
        </w:rPr>
        <w:t xml:space="preserve"> algunos </w:t>
      </w:r>
      <w:r w:rsidR="008B380F">
        <w:rPr>
          <w:rFonts w:ascii="ITC Avant Garde" w:hAnsi="ITC Avant Garde"/>
          <w:lang w:val="es-ES"/>
        </w:rPr>
        <w:t xml:space="preserve">de los </w:t>
      </w:r>
      <w:r w:rsidR="00D055E2">
        <w:rPr>
          <w:rFonts w:ascii="ITC Avant Garde" w:hAnsi="ITC Avant Garde"/>
          <w:lang w:val="es-ES"/>
        </w:rPr>
        <w:t>insumos del modelo</w:t>
      </w:r>
      <w:r w:rsidR="009F76AA">
        <w:rPr>
          <w:rFonts w:ascii="ITC Avant Garde" w:hAnsi="ITC Avant Garde"/>
          <w:lang w:val="es-ES"/>
        </w:rPr>
        <w:t>.</w:t>
      </w:r>
    </w:p>
    <w:p w14:paraId="02E3074E" w14:textId="77777777" w:rsidR="0011509F" w:rsidRDefault="0011509F" w:rsidP="00E91A63">
      <w:pPr>
        <w:shd w:val="clear" w:color="auto" w:fill="FFFFFF"/>
        <w:spacing w:after="0" w:line="259" w:lineRule="auto"/>
        <w:ind w:left="0" w:right="0" w:firstLine="0"/>
        <w:rPr>
          <w:rFonts w:ascii="ITC Avant Garde" w:hAnsi="ITC Avant Garde"/>
          <w:highlight w:val="red"/>
          <w:lang w:val="es-ES"/>
        </w:rPr>
      </w:pPr>
    </w:p>
    <w:p w14:paraId="548618D9" w14:textId="5ACA750C"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Mega Cable</w:t>
      </w:r>
    </w:p>
    <w:p w14:paraId="37742BE0" w14:textId="5C9A3688" w:rsidR="00E91A63" w:rsidRPr="00A271F1" w:rsidRDefault="0011509F" w:rsidP="00E91A63">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M</w:t>
      </w:r>
      <w:r w:rsidR="00804DC6">
        <w:rPr>
          <w:rFonts w:ascii="ITC Avant Garde" w:eastAsia="Calibri" w:hAnsi="ITC Avant Garde" w:cs="Times New Roman"/>
          <w:color w:val="auto"/>
          <w:lang w:eastAsia="en-US"/>
        </w:rPr>
        <w:t>enciona</w:t>
      </w:r>
      <w:r w:rsidR="00E91A63" w:rsidRPr="00A271F1" w:rsidDel="0011509F">
        <w:rPr>
          <w:rFonts w:ascii="ITC Avant Garde" w:eastAsia="Calibri" w:hAnsi="ITC Avant Garde" w:cs="Times New Roman"/>
          <w:color w:val="auto"/>
          <w:lang w:eastAsia="en-US"/>
        </w:rPr>
        <w:t xml:space="preserve"> </w:t>
      </w:r>
      <w:r w:rsidR="00E91A63" w:rsidRPr="00A271F1">
        <w:rPr>
          <w:rFonts w:ascii="ITC Avant Garde" w:eastAsia="Calibri" w:hAnsi="ITC Avant Garde" w:cs="Times New Roman"/>
          <w:color w:val="auto"/>
          <w:lang w:eastAsia="en-US"/>
        </w:rPr>
        <w:t>que utilizar un promedio ponderado por entidad federativa sobreestima la presencia y por lo tanto la participación total de cualquier operador fijo alternativo, ya que la red de éstos se enfoca en algunas localidades y no en toda una entidad federativa.</w:t>
      </w:r>
    </w:p>
    <w:p w14:paraId="7EC4118E"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2E264FB"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6E6844">
        <w:rPr>
          <w:rFonts w:ascii="ITC Avant Garde" w:eastAsia="Calibri" w:hAnsi="ITC Avant Garde" w:cs="Times New Roman"/>
          <w:b/>
          <w:color w:val="auto"/>
          <w:u w:val="single"/>
          <w:lang w:eastAsia="en-US"/>
        </w:rPr>
        <w:t>Consideraciones del Instituto</w:t>
      </w:r>
    </w:p>
    <w:p w14:paraId="0248B65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94138B0" w14:textId="574F95E5" w:rsidR="00804DC6" w:rsidRDefault="008B757C" w:rsidP="00804DC6">
      <w:pPr>
        <w:pStyle w:val="01"/>
        <w:spacing w:line="276" w:lineRule="auto"/>
        <w:rPr>
          <w:rFonts w:ascii="ITC Avant Garde" w:hAnsi="ITC Avant Garde"/>
          <w:lang w:val="es-ES"/>
        </w:rPr>
      </w:pPr>
      <w:r>
        <w:rPr>
          <w:rFonts w:ascii="ITC Avant Garde" w:hAnsi="ITC Avant Garde"/>
          <w:lang w:val="es-ES"/>
        </w:rPr>
        <w:t>En el mercado fijo se observa que, si bien no existe un concesionario alternativo al AEP con una red de tamaño nacional, existen varios con presencia dispersa, pero relevante, en las distintas entidades federativas, por lo cual, e</w:t>
      </w:r>
      <w:r w:rsidR="00804DC6" w:rsidRPr="007440DF">
        <w:rPr>
          <w:rFonts w:ascii="ITC Avant Garde" w:hAnsi="ITC Avant Garde"/>
          <w:lang w:val="es-ES"/>
        </w:rPr>
        <w:t xml:space="preserve">l modelo considera que el operador </w:t>
      </w:r>
      <w:r>
        <w:rPr>
          <w:rFonts w:ascii="ITC Avant Garde" w:hAnsi="ITC Avant Garde"/>
          <w:lang w:val="es-ES"/>
        </w:rPr>
        <w:t xml:space="preserve">hipotético alternativo de redes fijas </w:t>
      </w:r>
      <w:r w:rsidR="00804DC6" w:rsidRPr="007440DF">
        <w:rPr>
          <w:rFonts w:ascii="ITC Avant Garde" w:hAnsi="ITC Avant Garde"/>
          <w:lang w:val="es-ES"/>
        </w:rPr>
        <w:t>modelado disponga de escala nacional para asegurar que los resultados sean representativos</w:t>
      </w:r>
      <w:r w:rsidR="007F2879">
        <w:rPr>
          <w:rFonts w:ascii="ITC Avant Garde" w:hAnsi="ITC Avant Garde"/>
          <w:lang w:val="es-ES"/>
        </w:rPr>
        <w:t xml:space="preserve"> a </w:t>
      </w:r>
      <w:r w:rsidR="00804DC6" w:rsidRPr="007440DF">
        <w:rPr>
          <w:rFonts w:ascii="ITC Avant Garde" w:hAnsi="ITC Avant Garde"/>
          <w:lang w:val="es-ES"/>
        </w:rPr>
        <w:t xml:space="preserve">las realidades </w:t>
      </w:r>
      <w:r w:rsidR="006A0AEE">
        <w:rPr>
          <w:rFonts w:ascii="ITC Avant Garde" w:hAnsi="ITC Avant Garde"/>
          <w:lang w:val="es-ES"/>
        </w:rPr>
        <w:t>del</w:t>
      </w:r>
      <w:r w:rsidR="00804DC6" w:rsidRPr="007440DF">
        <w:rPr>
          <w:rFonts w:ascii="ITC Avant Garde" w:hAnsi="ITC Avant Garde"/>
          <w:lang w:val="es-ES"/>
        </w:rPr>
        <w:t xml:space="preserve"> conjunto del país. Un escenario contrafactual en el que el operador hipotético modelado se limitara a proveer servicios en un área concreta del país generaría resultados representativos únicamente para los operadores que provean servicio en esa área, pero no para el resto de </w:t>
      </w:r>
      <w:r w:rsidR="006471AB" w:rsidRPr="007440DF">
        <w:rPr>
          <w:rFonts w:ascii="ITC Avant Garde" w:hAnsi="ITC Avant Garde"/>
          <w:lang w:val="es-ES"/>
        </w:rPr>
        <w:t>los concesionarios</w:t>
      </w:r>
      <w:r w:rsidR="00804DC6" w:rsidRPr="007440DF">
        <w:rPr>
          <w:rFonts w:ascii="ITC Avant Garde" w:hAnsi="ITC Avant Garde"/>
          <w:lang w:val="es-ES"/>
        </w:rPr>
        <w:t>.</w:t>
      </w:r>
    </w:p>
    <w:p w14:paraId="5628BFA2" w14:textId="77777777" w:rsidR="00804DC6" w:rsidRPr="007440DF" w:rsidRDefault="00804DC6" w:rsidP="00804DC6">
      <w:pPr>
        <w:pStyle w:val="01"/>
        <w:spacing w:line="276" w:lineRule="auto"/>
        <w:rPr>
          <w:rFonts w:ascii="ITC Avant Garde" w:hAnsi="ITC Avant Garde"/>
          <w:lang w:val="es-ES"/>
        </w:rPr>
      </w:pPr>
    </w:p>
    <w:p w14:paraId="3E6E468E" w14:textId="0C49D42D" w:rsidR="00AD0264" w:rsidRDefault="00804DC6" w:rsidP="00804DC6">
      <w:pPr>
        <w:shd w:val="clear" w:color="auto" w:fill="FFFFFF"/>
        <w:spacing w:after="0" w:line="259" w:lineRule="auto"/>
        <w:ind w:left="0" w:right="0" w:firstLine="0"/>
        <w:rPr>
          <w:rFonts w:ascii="ITC Avant Garde" w:hAnsi="ITC Avant Garde"/>
          <w:lang w:val="es-ES"/>
        </w:rPr>
      </w:pPr>
      <w:r>
        <w:rPr>
          <w:rFonts w:ascii="ITC Avant Garde" w:hAnsi="ITC Avant Garde"/>
          <w:lang w:val="es-ES"/>
        </w:rPr>
        <w:t>E</w:t>
      </w:r>
      <w:r w:rsidRPr="007440DF">
        <w:rPr>
          <w:rFonts w:ascii="ITC Avant Garde" w:hAnsi="ITC Avant Garde"/>
          <w:lang w:val="es-ES"/>
        </w:rPr>
        <w:t>s importante asegurar que la escala en términos de usuarios del operador hipotético modelado también sea proporcional a esta escala nacional. Por este motivo, la escala final determinada para el operador modelado es sensiblemente superior a la cuota de mercado real que ostentan los concesionarios alternativos en México.</w:t>
      </w:r>
      <w:r w:rsidR="006A0AEE">
        <w:rPr>
          <w:rFonts w:ascii="ITC Avant Garde" w:hAnsi="ITC Avant Garde"/>
          <w:lang w:val="es-ES"/>
        </w:rPr>
        <w:t xml:space="preserve"> Por </w:t>
      </w:r>
      <w:r w:rsidR="00D03CAF">
        <w:rPr>
          <w:rFonts w:ascii="ITC Avant Garde" w:hAnsi="ITC Avant Garde"/>
          <w:lang w:val="es-ES"/>
        </w:rPr>
        <w:t>lo que</w:t>
      </w:r>
      <w:r w:rsidRPr="007440DF">
        <w:rPr>
          <w:rFonts w:ascii="ITC Avant Garde" w:hAnsi="ITC Avant Garde"/>
          <w:lang w:val="es-ES"/>
        </w:rPr>
        <w:t>,</w:t>
      </w:r>
      <w:r w:rsidR="007F2879">
        <w:rPr>
          <w:rFonts w:ascii="ITC Avant Garde" w:hAnsi="ITC Avant Garde"/>
          <w:lang w:val="es-ES"/>
        </w:rPr>
        <w:t xml:space="preserve"> es razonable estimar la cuota de mercado de los principales operadores en cada una de las entidades federativas, obteniendo el tamaño a nivel nacional como el promedio ponderado de las cuotas de mercado de los concesionarios alternativos al AEP en las distintas entidades federativas. </w:t>
      </w:r>
      <w:r w:rsidRPr="007440DF">
        <w:rPr>
          <w:rFonts w:ascii="ITC Avant Garde" w:hAnsi="ITC Avant Garde"/>
          <w:lang w:val="es-ES"/>
        </w:rPr>
        <w:t xml:space="preserve"> </w:t>
      </w:r>
    </w:p>
    <w:p w14:paraId="2EB23C00" w14:textId="77777777" w:rsidR="0011509F" w:rsidRDefault="0011509F" w:rsidP="00E91A63">
      <w:pPr>
        <w:shd w:val="clear" w:color="auto" w:fill="FFFFFF"/>
        <w:spacing w:after="0" w:line="259" w:lineRule="auto"/>
        <w:ind w:left="0" w:right="0" w:firstLine="0"/>
        <w:rPr>
          <w:rFonts w:ascii="ITC Avant Garde" w:eastAsia="Calibri" w:hAnsi="ITC Avant Garde" w:cs="Times New Roman"/>
          <w:color w:val="auto"/>
          <w:highlight w:val="red"/>
          <w:lang w:val="es-ES" w:eastAsia="en-US"/>
        </w:rPr>
      </w:pPr>
    </w:p>
    <w:p w14:paraId="331AF938" w14:textId="17ADB360" w:rsidR="00A21E31" w:rsidRPr="00897071" w:rsidRDefault="00A21E31" w:rsidP="00A21E31">
      <w:pPr>
        <w:shd w:val="clear" w:color="auto" w:fill="FFFFFF"/>
        <w:spacing w:after="0" w:line="259" w:lineRule="auto"/>
        <w:ind w:left="0" w:right="0" w:firstLine="0"/>
        <w:rPr>
          <w:rFonts w:ascii="ITC Avant Garde" w:eastAsia="Calibri" w:hAnsi="ITC Avant Garde" w:cs="Times New Roman"/>
          <w:color w:val="auto"/>
          <w:lang w:val="es-ES" w:eastAsia="en-US"/>
        </w:rPr>
      </w:pPr>
      <w:r w:rsidRPr="00897071">
        <w:rPr>
          <w:rFonts w:ascii="ITC Avant Garde" w:eastAsia="Calibri" w:hAnsi="ITC Avant Garde" w:cs="Times New Roman"/>
          <w:b/>
          <w:color w:val="auto"/>
          <w:lang w:eastAsia="en-US"/>
        </w:rPr>
        <w:t>AT&amp;T</w:t>
      </w:r>
    </w:p>
    <w:p w14:paraId="4C28BB58" w14:textId="70118F45" w:rsidR="00A21E31" w:rsidRPr="00897071" w:rsidRDefault="00A21E31" w:rsidP="00A21E31">
      <w:pPr>
        <w:shd w:val="clear" w:color="auto" w:fill="FFFFFF"/>
        <w:spacing w:after="0" w:line="259" w:lineRule="auto"/>
        <w:ind w:left="0" w:right="0" w:firstLine="0"/>
        <w:rPr>
          <w:rFonts w:ascii="ITC Avant Garde" w:eastAsia="Calibri" w:hAnsi="ITC Avant Garde" w:cs="Times New Roman"/>
          <w:color w:val="auto"/>
          <w:lang w:eastAsia="en-US"/>
        </w:rPr>
      </w:pPr>
      <w:r w:rsidRPr="00897071">
        <w:rPr>
          <w:rFonts w:ascii="ITC Avant Garde" w:eastAsia="Calibri" w:hAnsi="ITC Avant Garde" w:cs="Times New Roman"/>
          <w:color w:val="auto"/>
          <w:lang w:val="es-ES" w:eastAsia="en-US"/>
        </w:rPr>
        <w:t>Menciona que el número de operadores alternativos ha disminuido, con lo cual las características del concesionario hipotético de redes móviles son distintas ahora, por lo que es necesario que el número de los componentes de red para el concesionario alternativo sea consistente con la infraestructura instalada de AT&amp;T, que es conocida por el IFT.</w:t>
      </w:r>
    </w:p>
    <w:p w14:paraId="126F38C4" w14:textId="77777777" w:rsidR="00E91A63" w:rsidRPr="00A21E31" w:rsidRDefault="00E91A63" w:rsidP="00E91A63">
      <w:pPr>
        <w:keepNext/>
        <w:keepLines/>
        <w:shd w:val="clear" w:color="auto" w:fill="FFFFFF"/>
        <w:spacing w:after="0" w:line="259" w:lineRule="auto"/>
        <w:ind w:left="0" w:right="0" w:firstLine="0"/>
        <w:outlineLvl w:val="2"/>
        <w:rPr>
          <w:rFonts w:ascii="ITC Avant Garde" w:eastAsia="Times New Roman" w:hAnsi="ITC Avant Garde" w:cs="Times New Roman"/>
          <w:b/>
          <w:color w:val="auto"/>
          <w:highlight w:val="yellow"/>
          <w:lang w:val="es-ES" w:eastAsia="en-US"/>
        </w:rPr>
      </w:pPr>
    </w:p>
    <w:p w14:paraId="79327820" w14:textId="77777777" w:rsidR="000B061D" w:rsidRDefault="00A21E31" w:rsidP="000B061D">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FC6F6D">
        <w:rPr>
          <w:rFonts w:ascii="ITC Avant Garde" w:eastAsia="Calibri" w:hAnsi="ITC Avant Garde" w:cs="Times New Roman"/>
          <w:b/>
          <w:color w:val="auto"/>
          <w:u w:val="single"/>
          <w:lang w:eastAsia="en-US"/>
        </w:rPr>
        <w:t>Consideraciones del Instituto</w:t>
      </w:r>
    </w:p>
    <w:p w14:paraId="05AD6868" w14:textId="77777777" w:rsidR="000B061D" w:rsidRDefault="000B061D" w:rsidP="000B061D">
      <w:pPr>
        <w:shd w:val="clear" w:color="auto" w:fill="FFFFFF"/>
        <w:spacing w:after="0" w:line="259" w:lineRule="auto"/>
        <w:ind w:left="0" w:right="0" w:firstLine="0"/>
      </w:pPr>
    </w:p>
    <w:p w14:paraId="6851C5E6" w14:textId="140D3244" w:rsidR="000B061D" w:rsidRDefault="000B061D" w:rsidP="000B061D">
      <w:pPr>
        <w:shd w:val="clear" w:color="auto" w:fill="FFFFFF"/>
        <w:spacing w:after="0" w:line="259" w:lineRule="auto"/>
        <w:ind w:left="0" w:right="0" w:firstLine="0"/>
        <w:rPr>
          <w:rFonts w:ascii="ITC Avant Garde" w:hAnsi="ITC Avant Garde"/>
          <w:color w:val="auto"/>
          <w:lang w:val="es-ES"/>
        </w:rPr>
      </w:pPr>
      <w:r w:rsidRPr="000B061D">
        <w:rPr>
          <w:rFonts w:ascii="ITC Avant Garde" w:hAnsi="ITC Avant Garde"/>
          <w:color w:val="auto"/>
          <w:lang w:val="es-ES"/>
        </w:rPr>
        <w:t xml:space="preserve">Cabe reseñar que la red es representativa de los concesionarios alternativos, y que no tiene que ser necesariamente calibrada con exactitud a la de un operador concreto. No obstante, </w:t>
      </w:r>
      <w:r w:rsidR="00FC6F6D">
        <w:rPr>
          <w:rFonts w:ascii="ITC Avant Garde" w:hAnsi="ITC Avant Garde"/>
          <w:color w:val="auto"/>
          <w:lang w:val="es-ES"/>
        </w:rPr>
        <w:t xml:space="preserve">se ha </w:t>
      </w:r>
      <w:r w:rsidRPr="000B061D">
        <w:rPr>
          <w:rFonts w:ascii="ITC Avant Garde" w:hAnsi="ITC Avant Garde"/>
          <w:color w:val="auto"/>
          <w:lang w:val="es-ES"/>
        </w:rPr>
        <w:t xml:space="preserve">revisado la información proporcionada por el </w:t>
      </w:r>
      <w:r w:rsidRPr="000B061D">
        <w:rPr>
          <w:rFonts w:ascii="ITC Avant Garde" w:hAnsi="ITC Avant Garde"/>
          <w:color w:val="auto"/>
          <w:lang w:val="es-ES"/>
        </w:rPr>
        <w:lastRenderedPageBreak/>
        <w:t xml:space="preserve">operador y, como resultado, </w:t>
      </w:r>
      <w:r w:rsidR="00FC6F6D">
        <w:rPr>
          <w:rFonts w:ascii="ITC Avant Garde" w:hAnsi="ITC Avant Garde"/>
          <w:color w:val="auto"/>
          <w:lang w:val="es-ES"/>
        </w:rPr>
        <w:t>se han</w:t>
      </w:r>
      <w:r w:rsidRPr="000B061D">
        <w:rPr>
          <w:rFonts w:ascii="ITC Avant Garde" w:hAnsi="ITC Avant Garde"/>
          <w:color w:val="auto"/>
          <w:lang w:val="es-ES"/>
        </w:rPr>
        <w:t xml:space="preserve"> ajustado los radios de celda aplicados al </w:t>
      </w:r>
      <w:r w:rsidR="00E41DD1">
        <w:rPr>
          <w:rFonts w:ascii="ITC Avant Garde" w:hAnsi="ITC Avant Garde"/>
          <w:color w:val="auto"/>
          <w:lang w:val="es-ES"/>
        </w:rPr>
        <w:t>concesionario alternativo</w:t>
      </w:r>
      <w:r w:rsidRPr="000B061D">
        <w:rPr>
          <w:rFonts w:ascii="ITC Avant Garde" w:hAnsi="ITC Avant Garde"/>
          <w:color w:val="auto"/>
          <w:lang w:val="es-ES"/>
        </w:rPr>
        <w:t xml:space="preserve"> para asegurar un mayor alineamiento entre el número de emplazamientos resultantes del modelo y la realidad de los CS</w:t>
      </w:r>
      <w:r>
        <w:rPr>
          <w:rFonts w:ascii="ITC Avant Garde" w:hAnsi="ITC Avant Garde"/>
          <w:color w:val="auto"/>
          <w:lang w:val="es-ES"/>
        </w:rPr>
        <w:t>.</w:t>
      </w:r>
    </w:p>
    <w:p w14:paraId="35E567E6" w14:textId="77777777" w:rsidR="006E6844" w:rsidRDefault="006E6844" w:rsidP="000B061D">
      <w:pPr>
        <w:shd w:val="clear" w:color="auto" w:fill="FFFFFF"/>
        <w:spacing w:after="0" w:line="259" w:lineRule="auto"/>
        <w:ind w:left="0" w:right="0" w:firstLine="0"/>
        <w:rPr>
          <w:rFonts w:ascii="ITC Avant Garde" w:eastAsia="Times New Roman" w:hAnsi="ITC Avant Garde" w:cs="Times New Roman"/>
          <w:b/>
          <w:color w:val="auto"/>
          <w:lang w:val="es-ES" w:eastAsia="en-US"/>
        </w:rPr>
      </w:pPr>
    </w:p>
    <w:p w14:paraId="47878C51" w14:textId="366B5A56" w:rsidR="00E914FA" w:rsidRPr="008414F4" w:rsidRDefault="00E914FA" w:rsidP="00E914FA">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8414F4">
        <w:rPr>
          <w:rFonts w:ascii="ITC Avant Garde" w:eastAsia="Times New Roman" w:hAnsi="ITC Avant Garde" w:cs="Times New Roman"/>
          <w:b/>
          <w:color w:val="auto"/>
          <w:u w:val="single"/>
          <w:lang w:eastAsia="en-US"/>
        </w:rPr>
        <w:t xml:space="preserve">Comentarios emitidos relacionados con los servicios </w:t>
      </w:r>
    </w:p>
    <w:p w14:paraId="65619F40" w14:textId="77777777" w:rsidR="00E914FA" w:rsidRPr="008414F4" w:rsidRDefault="00E914FA" w:rsidP="00E914FA">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p>
    <w:p w14:paraId="4547B85F" w14:textId="1B30603F" w:rsidR="003A51B8" w:rsidRPr="008414F4" w:rsidRDefault="003A51B8" w:rsidP="00E914FA">
      <w:pPr>
        <w:keepNext/>
        <w:keepLines/>
        <w:shd w:val="clear" w:color="auto" w:fill="FFFFFF"/>
        <w:spacing w:after="0" w:line="259" w:lineRule="auto"/>
        <w:ind w:left="0" w:right="0" w:firstLine="0"/>
        <w:outlineLvl w:val="2"/>
        <w:rPr>
          <w:rFonts w:ascii="ITC Avant Garde" w:eastAsia="Times New Roman" w:hAnsi="ITC Avant Garde" w:cs="Times New Roman"/>
          <w:b/>
          <w:color w:val="auto"/>
          <w:lang w:eastAsia="en-US"/>
        </w:rPr>
      </w:pPr>
      <w:r w:rsidRPr="008414F4">
        <w:rPr>
          <w:rFonts w:ascii="ITC Avant Garde" w:eastAsia="Times New Roman" w:hAnsi="ITC Avant Garde" w:cs="Times New Roman"/>
          <w:b/>
          <w:color w:val="auto"/>
          <w:lang w:eastAsia="en-US"/>
        </w:rPr>
        <w:t>MCM</w:t>
      </w:r>
    </w:p>
    <w:p w14:paraId="4267D801" w14:textId="77777777" w:rsidR="003A51B8" w:rsidRPr="008414F4" w:rsidRDefault="003A51B8" w:rsidP="003A51B8">
      <w:pPr>
        <w:shd w:val="clear" w:color="auto" w:fill="FFFFFF"/>
        <w:spacing w:after="0" w:line="259" w:lineRule="auto"/>
        <w:ind w:left="0" w:right="0" w:firstLine="0"/>
        <w:rPr>
          <w:rFonts w:ascii="ITC Avant Garde" w:eastAsia="Calibri" w:hAnsi="ITC Avant Garde" w:cs="Times New Roman"/>
          <w:color w:val="auto"/>
          <w:lang w:eastAsia="en-US"/>
        </w:rPr>
      </w:pPr>
      <w:r w:rsidRPr="008414F4">
        <w:rPr>
          <w:rFonts w:ascii="ITC Avant Garde" w:eastAsia="Calibri" w:hAnsi="ITC Avant Garde" w:cs="Times New Roman"/>
          <w:color w:val="auto"/>
          <w:lang w:eastAsia="en-US"/>
        </w:rPr>
        <w:t>Señala que se debe de agregar la siguiente redacción:</w:t>
      </w:r>
    </w:p>
    <w:p w14:paraId="24D670A3" w14:textId="77777777" w:rsidR="003A51B8" w:rsidRPr="008414F4" w:rsidRDefault="003A51B8" w:rsidP="003A51B8">
      <w:pPr>
        <w:spacing w:after="0" w:line="276" w:lineRule="auto"/>
        <w:ind w:left="567" w:right="615" w:firstLine="0"/>
        <w:rPr>
          <w:rFonts w:ascii="ITC Avant Garde" w:hAnsi="ITC Avant Garde"/>
          <w:i/>
          <w:color w:val="auto"/>
          <w:sz w:val="18"/>
          <w:szCs w:val="18"/>
        </w:rPr>
      </w:pPr>
    </w:p>
    <w:p w14:paraId="51ABE1A0" w14:textId="77777777" w:rsidR="003A51B8" w:rsidRPr="008414F4" w:rsidRDefault="003A51B8" w:rsidP="003A51B8">
      <w:pPr>
        <w:spacing w:after="0" w:line="276" w:lineRule="auto"/>
        <w:ind w:left="567" w:right="615" w:firstLine="0"/>
        <w:rPr>
          <w:rFonts w:ascii="ITC Avant Garde" w:hAnsi="ITC Avant Garde"/>
          <w:i/>
          <w:color w:val="auto"/>
          <w:sz w:val="18"/>
          <w:szCs w:val="18"/>
        </w:rPr>
      </w:pPr>
      <w:r w:rsidRPr="008414F4">
        <w:rPr>
          <w:rFonts w:ascii="ITC Avant Garde" w:hAnsi="ITC Avant Garde"/>
          <w:i/>
          <w:color w:val="auto"/>
          <w:sz w:val="18"/>
          <w:szCs w:val="18"/>
        </w:rPr>
        <w:t>[…]</w:t>
      </w:r>
    </w:p>
    <w:p w14:paraId="16450E2A" w14:textId="49FB8ABF" w:rsidR="00E914FA" w:rsidRPr="003A51B8" w:rsidRDefault="003A51B8" w:rsidP="003A51B8">
      <w:pPr>
        <w:spacing w:after="0" w:line="276" w:lineRule="auto"/>
        <w:ind w:left="567" w:right="615" w:firstLine="0"/>
        <w:rPr>
          <w:rFonts w:ascii="ITC Avant Garde" w:hAnsi="ITC Avant Garde"/>
          <w:i/>
          <w:color w:val="auto"/>
          <w:sz w:val="18"/>
          <w:szCs w:val="18"/>
        </w:rPr>
      </w:pPr>
      <w:r w:rsidRPr="008414F4">
        <w:rPr>
          <w:rFonts w:ascii="ITC Avant Garde" w:hAnsi="ITC Avant Garde"/>
          <w:i/>
          <w:color w:val="auto"/>
          <w:sz w:val="18"/>
          <w:szCs w:val="18"/>
        </w:rPr>
        <w:t xml:space="preserve">• redes fijas: servicios de voz (originación y terminación de voz, VoIP, tránsito e interconexión) que tengan volúmenes de tráfico relevantes, </w:t>
      </w:r>
      <w:r w:rsidRPr="008414F4">
        <w:rPr>
          <w:rFonts w:ascii="ITC Avant Garde" w:hAnsi="ITC Avant Garde"/>
          <w:b/>
          <w:i/>
          <w:color w:val="auto"/>
          <w:sz w:val="18"/>
          <w:szCs w:val="18"/>
          <w:u w:val="single"/>
        </w:rPr>
        <w:t>servicio de mensajes cortos (originación y terminación de mensajes cortos)</w:t>
      </w:r>
      <w:r w:rsidRPr="008414F4">
        <w:rPr>
          <w:rFonts w:ascii="ITC Avant Garde" w:hAnsi="ITC Avant Garde"/>
          <w:i/>
          <w:color w:val="auto"/>
          <w:sz w:val="18"/>
          <w:szCs w:val="18"/>
        </w:rPr>
        <w:t>, banda ancha (minorista y mayorista) y enlaces dedicados.”</w:t>
      </w:r>
    </w:p>
    <w:p w14:paraId="16E5A9EA" w14:textId="77777777" w:rsidR="003A51B8" w:rsidRPr="008414F4" w:rsidRDefault="003A51B8" w:rsidP="003A51B8">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5CD2AB64" w14:textId="2414D820" w:rsidR="003A51B8" w:rsidRPr="006D52BB" w:rsidRDefault="003A51B8" w:rsidP="003A51B8">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8414F4">
        <w:rPr>
          <w:rFonts w:ascii="ITC Avant Garde" w:eastAsia="Calibri" w:hAnsi="ITC Avant Garde" w:cs="Times New Roman"/>
          <w:b/>
          <w:color w:val="auto"/>
          <w:u w:val="single"/>
          <w:lang w:eastAsia="en-US"/>
        </w:rPr>
        <w:t>Consideraciones del Instituto</w:t>
      </w:r>
    </w:p>
    <w:p w14:paraId="4EB40363" w14:textId="6AF2DCE8" w:rsidR="00CA677F" w:rsidRPr="00061E39" w:rsidRDefault="00CA677F" w:rsidP="003A51B8">
      <w:pPr>
        <w:shd w:val="clear" w:color="auto" w:fill="FFFFFF"/>
        <w:spacing w:after="0" w:line="259" w:lineRule="auto"/>
        <w:ind w:left="0" w:right="0" w:firstLine="0"/>
        <w:rPr>
          <w:rFonts w:ascii="ITC Avant Garde" w:eastAsia="Calibri" w:hAnsi="ITC Avant Garde" w:cs="Times New Roman"/>
          <w:color w:val="auto"/>
          <w:lang w:eastAsia="en-US"/>
        </w:rPr>
      </w:pPr>
    </w:p>
    <w:p w14:paraId="7F1D5CB8" w14:textId="40CD1F63" w:rsidR="005241E4" w:rsidRDefault="00BF363B" w:rsidP="003A51B8">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E</w:t>
      </w:r>
      <w:r w:rsidR="00B1152F">
        <w:rPr>
          <w:rFonts w:ascii="ITC Avant Garde" w:eastAsia="Calibri" w:hAnsi="ITC Avant Garde" w:cs="Times New Roman"/>
          <w:color w:val="auto"/>
          <w:lang w:eastAsia="en-US"/>
        </w:rPr>
        <w:t xml:space="preserve">l modelo </w:t>
      </w:r>
      <w:r w:rsidR="00F91EC5">
        <w:rPr>
          <w:rFonts w:ascii="ITC Avant Garde" w:eastAsia="Calibri" w:hAnsi="ITC Avant Garde" w:cs="Times New Roman"/>
          <w:color w:val="auto"/>
          <w:lang w:eastAsia="en-US"/>
        </w:rPr>
        <w:t>fijo</w:t>
      </w:r>
      <w:r w:rsidR="00B1152F">
        <w:rPr>
          <w:rFonts w:ascii="ITC Avant Garde" w:eastAsia="Calibri" w:hAnsi="ITC Avant Garde" w:cs="Times New Roman"/>
          <w:color w:val="auto"/>
          <w:lang w:eastAsia="en-US"/>
        </w:rPr>
        <w:t xml:space="preserve"> </w:t>
      </w:r>
      <w:r w:rsidR="007949CB">
        <w:rPr>
          <w:rFonts w:ascii="ITC Avant Garde" w:eastAsia="Calibri" w:hAnsi="ITC Avant Garde" w:cs="Times New Roman"/>
          <w:color w:val="auto"/>
          <w:lang w:eastAsia="en-US"/>
        </w:rPr>
        <w:t xml:space="preserve">toma </w:t>
      </w:r>
      <w:r w:rsidR="005C741C">
        <w:rPr>
          <w:rFonts w:ascii="ITC Avant Garde" w:eastAsia="Calibri" w:hAnsi="ITC Avant Garde" w:cs="Times New Roman"/>
          <w:color w:val="auto"/>
          <w:lang w:eastAsia="en-US"/>
        </w:rPr>
        <w:t xml:space="preserve">en cuenta </w:t>
      </w:r>
      <w:r w:rsidR="007949CB">
        <w:rPr>
          <w:rFonts w:ascii="ITC Avant Garde" w:eastAsia="Calibri" w:hAnsi="ITC Avant Garde" w:cs="Times New Roman"/>
          <w:color w:val="auto"/>
          <w:lang w:eastAsia="en-US"/>
        </w:rPr>
        <w:t xml:space="preserve">todos </w:t>
      </w:r>
      <w:r w:rsidR="000540C5">
        <w:rPr>
          <w:rFonts w:ascii="ITC Avant Garde" w:eastAsia="Calibri" w:hAnsi="ITC Avant Garde" w:cs="Times New Roman"/>
          <w:color w:val="auto"/>
          <w:lang w:eastAsia="en-US"/>
        </w:rPr>
        <w:t xml:space="preserve">los </w:t>
      </w:r>
      <w:r w:rsidR="005C741C">
        <w:rPr>
          <w:rFonts w:ascii="ITC Avant Garde" w:eastAsia="Calibri" w:hAnsi="ITC Avant Garde" w:cs="Times New Roman"/>
          <w:color w:val="auto"/>
          <w:lang w:eastAsia="en-US"/>
        </w:rPr>
        <w:t>servicios que se consideran</w:t>
      </w:r>
      <w:r>
        <w:rPr>
          <w:rFonts w:ascii="ITC Avant Garde" w:eastAsia="Calibri" w:hAnsi="ITC Avant Garde" w:cs="Times New Roman"/>
          <w:color w:val="auto"/>
          <w:lang w:eastAsia="en-US"/>
        </w:rPr>
        <w:t xml:space="preserve"> </w:t>
      </w:r>
      <w:r w:rsidR="000540C5">
        <w:rPr>
          <w:rFonts w:ascii="ITC Avant Garde" w:eastAsia="Calibri" w:hAnsi="ITC Avant Garde" w:cs="Times New Roman"/>
          <w:color w:val="auto"/>
          <w:lang w:eastAsia="en-US"/>
        </w:rPr>
        <w:t>relevantes</w:t>
      </w:r>
      <w:r>
        <w:rPr>
          <w:rFonts w:ascii="ITC Avant Garde" w:eastAsia="Calibri" w:hAnsi="ITC Avant Garde" w:cs="Times New Roman"/>
          <w:color w:val="auto"/>
          <w:lang w:eastAsia="en-US"/>
        </w:rPr>
        <w:t xml:space="preserve"> </w:t>
      </w:r>
      <w:r w:rsidR="005C741C">
        <w:rPr>
          <w:rFonts w:ascii="ITC Avant Garde" w:eastAsia="Calibri" w:hAnsi="ITC Avant Garde" w:cs="Times New Roman"/>
          <w:color w:val="auto"/>
          <w:lang w:eastAsia="en-US"/>
        </w:rPr>
        <w:t>para el modelad</w:t>
      </w:r>
      <w:r w:rsidR="00FC7958">
        <w:rPr>
          <w:rFonts w:ascii="ITC Avant Garde" w:eastAsia="Calibri" w:hAnsi="ITC Avant Garde" w:cs="Times New Roman"/>
          <w:color w:val="auto"/>
          <w:lang w:eastAsia="en-US"/>
        </w:rPr>
        <w:t>o</w:t>
      </w:r>
      <w:r w:rsidR="00795AF3">
        <w:rPr>
          <w:rFonts w:ascii="ITC Avant Garde" w:eastAsia="Calibri" w:hAnsi="ITC Avant Garde" w:cs="Times New Roman"/>
          <w:color w:val="auto"/>
          <w:lang w:eastAsia="en-US"/>
        </w:rPr>
        <w:t>, tal</w:t>
      </w:r>
      <w:r w:rsidR="00740E71">
        <w:rPr>
          <w:rFonts w:ascii="ITC Avant Garde" w:eastAsia="Calibri" w:hAnsi="ITC Avant Garde" w:cs="Times New Roman"/>
          <w:color w:val="auto"/>
          <w:lang w:eastAsia="en-US"/>
        </w:rPr>
        <w:t xml:space="preserve"> como</w:t>
      </w:r>
      <w:r w:rsidR="00F36443">
        <w:rPr>
          <w:rFonts w:ascii="ITC Avant Garde" w:eastAsia="Calibri" w:hAnsi="ITC Avant Garde" w:cs="Times New Roman"/>
          <w:color w:val="auto"/>
          <w:lang w:eastAsia="en-US"/>
        </w:rPr>
        <w:t xml:space="preserve"> </w:t>
      </w:r>
      <w:r w:rsidR="008E4DAA">
        <w:rPr>
          <w:rFonts w:ascii="ITC Avant Garde" w:eastAsia="Calibri" w:hAnsi="ITC Avant Garde" w:cs="Times New Roman"/>
          <w:color w:val="auto"/>
          <w:lang w:eastAsia="en-US"/>
        </w:rPr>
        <w:t xml:space="preserve">se </w:t>
      </w:r>
      <w:r w:rsidR="00795AF3">
        <w:rPr>
          <w:rFonts w:ascii="ITC Avant Garde" w:eastAsia="Calibri" w:hAnsi="ITC Avant Garde" w:cs="Times New Roman"/>
          <w:color w:val="auto"/>
          <w:lang w:eastAsia="en-US"/>
        </w:rPr>
        <w:t>puede notar</w:t>
      </w:r>
      <w:r w:rsidR="008E4DAA">
        <w:rPr>
          <w:rFonts w:ascii="ITC Avant Garde" w:eastAsia="Calibri" w:hAnsi="ITC Avant Garde" w:cs="Times New Roman"/>
          <w:color w:val="auto"/>
          <w:lang w:eastAsia="en-US"/>
        </w:rPr>
        <w:t xml:space="preserve"> en l</w:t>
      </w:r>
      <w:r>
        <w:rPr>
          <w:rFonts w:ascii="ITC Avant Garde" w:eastAsia="Calibri" w:hAnsi="ITC Avant Garde" w:cs="Times New Roman"/>
          <w:color w:val="auto"/>
          <w:lang w:eastAsia="en-US"/>
        </w:rPr>
        <w:t xml:space="preserve">a siguiente tabla </w:t>
      </w:r>
      <w:r w:rsidR="008E4DAA">
        <w:rPr>
          <w:rFonts w:ascii="ITC Avant Garde" w:eastAsia="Calibri" w:hAnsi="ITC Avant Garde" w:cs="Times New Roman"/>
          <w:color w:val="auto"/>
          <w:lang w:eastAsia="en-US"/>
        </w:rPr>
        <w:t xml:space="preserve">donde </w:t>
      </w:r>
      <w:r w:rsidR="00F578F4">
        <w:rPr>
          <w:rFonts w:ascii="ITC Avant Garde" w:eastAsia="Calibri" w:hAnsi="ITC Avant Garde" w:cs="Times New Roman"/>
          <w:color w:val="auto"/>
          <w:lang w:eastAsia="en-US"/>
        </w:rPr>
        <w:t xml:space="preserve">se presentan los servicios de voz </w:t>
      </w:r>
      <w:r>
        <w:rPr>
          <w:rFonts w:ascii="ITC Avant Garde" w:eastAsia="Calibri" w:hAnsi="ITC Avant Garde" w:cs="Times New Roman"/>
          <w:color w:val="auto"/>
          <w:lang w:eastAsia="en-US"/>
        </w:rPr>
        <w:t>consider</w:t>
      </w:r>
      <w:r w:rsidR="00AD0646">
        <w:rPr>
          <w:rFonts w:ascii="ITC Avant Garde" w:eastAsia="Calibri" w:hAnsi="ITC Avant Garde" w:cs="Times New Roman"/>
          <w:color w:val="auto"/>
          <w:lang w:eastAsia="en-US"/>
        </w:rPr>
        <w:t>a</w:t>
      </w:r>
      <w:r w:rsidR="00F578F4">
        <w:rPr>
          <w:rFonts w:ascii="ITC Avant Garde" w:eastAsia="Calibri" w:hAnsi="ITC Avant Garde" w:cs="Times New Roman"/>
          <w:color w:val="auto"/>
          <w:lang w:eastAsia="en-US"/>
        </w:rPr>
        <w:t>dos</w:t>
      </w:r>
      <w:r w:rsidR="002A4486">
        <w:rPr>
          <w:rFonts w:ascii="ITC Avant Garde" w:eastAsia="Calibri" w:hAnsi="ITC Avant Garde" w:cs="Times New Roman"/>
          <w:color w:val="auto"/>
          <w:lang w:eastAsia="en-US"/>
        </w:rPr>
        <w:t>:</w:t>
      </w:r>
    </w:p>
    <w:p w14:paraId="4937D2E3" w14:textId="77777777" w:rsidR="002A4486" w:rsidRDefault="002A4486" w:rsidP="003A51B8">
      <w:pPr>
        <w:shd w:val="clear" w:color="auto" w:fill="FFFFFF"/>
        <w:spacing w:after="0" w:line="259" w:lineRule="auto"/>
        <w:ind w:left="0" w:right="0" w:firstLine="0"/>
        <w:rPr>
          <w:rFonts w:ascii="ITC Avant Garde" w:eastAsia="Calibri" w:hAnsi="ITC Avant Garde" w:cs="Times New Roman"/>
          <w:color w:val="auto"/>
          <w:lang w:eastAsia="en-US"/>
        </w:rPr>
      </w:pPr>
    </w:p>
    <w:tbl>
      <w:tblPr>
        <w:tblStyle w:val="Tabladecuadrcula4"/>
        <w:tblW w:w="8796" w:type="dxa"/>
        <w:jc w:val="center"/>
        <w:tblLook w:val="0420" w:firstRow="1" w:lastRow="0" w:firstColumn="0" w:lastColumn="0" w:noHBand="0" w:noVBand="1"/>
      </w:tblPr>
      <w:tblGrid>
        <w:gridCol w:w="2090"/>
        <w:gridCol w:w="6706"/>
      </w:tblGrid>
      <w:tr w:rsidR="005241E4" w:rsidRPr="005241E4" w14:paraId="7C9F7C4A" w14:textId="77777777" w:rsidTr="00061E39">
        <w:trPr>
          <w:cnfStyle w:val="100000000000" w:firstRow="1" w:lastRow="0" w:firstColumn="0" w:lastColumn="0" w:oddVBand="0" w:evenVBand="0" w:oddHBand="0" w:evenHBand="0" w:firstRowFirstColumn="0" w:firstRowLastColumn="0" w:lastRowFirstColumn="0" w:lastRowLastColumn="0"/>
          <w:trHeight w:val="9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5549C53" w14:textId="77777777" w:rsidR="005241E4" w:rsidRPr="00061E39" w:rsidRDefault="005241E4" w:rsidP="0027154B">
            <w:pPr>
              <w:spacing w:after="0"/>
              <w:ind w:right="113"/>
              <w:jc w:val="center"/>
              <w:rPr>
                <w:rFonts w:ascii="ITC Avant Garde" w:hAnsi="ITC Avant Garde" w:cs="Arial"/>
                <w:b w:val="0"/>
                <w:color w:val="auto"/>
                <w:sz w:val="16"/>
                <w:szCs w:val="18"/>
              </w:rPr>
            </w:pPr>
            <w:r w:rsidRPr="00061E39">
              <w:rPr>
                <w:rFonts w:ascii="ITC Avant Garde" w:hAnsi="ITC Avant Garde" w:cs="Arial"/>
                <w:color w:val="auto"/>
                <w:sz w:val="16"/>
                <w:szCs w:val="18"/>
              </w:rPr>
              <w:t>Servicio</w:t>
            </w:r>
          </w:p>
        </w:tc>
        <w:tc>
          <w:tcPr>
            <w:tcW w:w="0" w:type="auto"/>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9FDE74E" w14:textId="77777777" w:rsidR="005241E4" w:rsidRPr="00061E39" w:rsidRDefault="005241E4" w:rsidP="0027154B">
            <w:pPr>
              <w:spacing w:after="0"/>
              <w:ind w:right="113"/>
              <w:jc w:val="center"/>
              <w:rPr>
                <w:rFonts w:ascii="ITC Avant Garde" w:hAnsi="ITC Avant Garde" w:cs="Arial"/>
                <w:b w:val="0"/>
                <w:color w:val="auto"/>
                <w:sz w:val="16"/>
                <w:szCs w:val="18"/>
              </w:rPr>
            </w:pPr>
            <w:r w:rsidRPr="00061E39">
              <w:rPr>
                <w:rFonts w:ascii="ITC Avant Garde" w:hAnsi="ITC Avant Garde" w:cs="Arial"/>
                <w:color w:val="auto"/>
                <w:sz w:val="16"/>
                <w:szCs w:val="18"/>
              </w:rPr>
              <w:t>Descripción del servicio</w:t>
            </w:r>
          </w:p>
        </w:tc>
      </w:tr>
      <w:tr w:rsidR="005241E4" w:rsidRPr="005241E4" w14:paraId="4241509D" w14:textId="77777777" w:rsidTr="00BF363B">
        <w:trPr>
          <w:cnfStyle w:val="000000100000" w:firstRow="0" w:lastRow="0" w:firstColumn="0" w:lastColumn="0" w:oddVBand="0" w:evenVBand="0" w:oddHBand="1" w:evenHBand="0" w:firstRowFirstColumn="0" w:firstRowLastColumn="0" w:lastRowFirstColumn="0" w:lastRowLastColumn="0"/>
          <w:trHeight w:val="189"/>
          <w:jc w:val="center"/>
        </w:trPr>
        <w:tc>
          <w:tcPr>
            <w:tcW w:w="0" w:type="auto"/>
            <w:tcBorders>
              <w:top w:val="single" w:sz="4" w:space="0" w:color="000000"/>
            </w:tcBorders>
          </w:tcPr>
          <w:p w14:paraId="0D7024BD"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salientes on-net</w:t>
            </w:r>
          </w:p>
        </w:tc>
        <w:tc>
          <w:tcPr>
            <w:tcW w:w="0" w:type="auto"/>
            <w:tcBorders>
              <w:top w:val="single" w:sz="4" w:space="0" w:color="000000"/>
            </w:tcBorders>
          </w:tcPr>
          <w:p w14:paraId="223E11E5"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entre dos suscriptores minoristas del operador fijo modelado.</w:t>
            </w:r>
          </w:p>
        </w:tc>
      </w:tr>
      <w:tr w:rsidR="005241E4" w:rsidRPr="005241E4" w14:paraId="564F2FAE" w14:textId="77777777" w:rsidTr="00BF363B">
        <w:trPr>
          <w:trHeight w:val="198"/>
          <w:jc w:val="center"/>
        </w:trPr>
        <w:tc>
          <w:tcPr>
            <w:tcW w:w="0" w:type="auto"/>
          </w:tcPr>
          <w:p w14:paraId="5EBE6961"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salientes a otros operadores fijos</w:t>
            </w:r>
          </w:p>
        </w:tc>
        <w:tc>
          <w:tcPr>
            <w:tcW w:w="0" w:type="auto"/>
          </w:tcPr>
          <w:p w14:paraId="49DD9FFB"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de un suscriptor minorista del operador fijo modelado a un operador fijo doméstico.</w:t>
            </w:r>
          </w:p>
        </w:tc>
      </w:tr>
      <w:tr w:rsidR="005241E4" w:rsidRPr="005241E4" w14:paraId="3EDCD1BC" w14:textId="77777777" w:rsidTr="00BF363B">
        <w:trPr>
          <w:cnfStyle w:val="000000100000" w:firstRow="0" w:lastRow="0" w:firstColumn="0" w:lastColumn="0" w:oddVBand="0" w:evenVBand="0" w:oddHBand="1" w:evenHBand="0" w:firstRowFirstColumn="0" w:firstRowLastColumn="0" w:lastRowFirstColumn="0" w:lastRowLastColumn="0"/>
          <w:trHeight w:val="198"/>
          <w:jc w:val="center"/>
        </w:trPr>
        <w:tc>
          <w:tcPr>
            <w:tcW w:w="0" w:type="auto"/>
          </w:tcPr>
          <w:p w14:paraId="36E51BB3"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salientes a móvil</w:t>
            </w:r>
          </w:p>
        </w:tc>
        <w:tc>
          <w:tcPr>
            <w:tcW w:w="0" w:type="auto"/>
          </w:tcPr>
          <w:p w14:paraId="0E6474AD"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de un suscriptor minorista del operador fijo modelado a un operador móvil doméstico.</w:t>
            </w:r>
          </w:p>
        </w:tc>
      </w:tr>
      <w:tr w:rsidR="005241E4" w:rsidRPr="005241E4" w14:paraId="0CA2FD85" w14:textId="77777777" w:rsidTr="00BF363B">
        <w:trPr>
          <w:trHeight w:val="198"/>
          <w:jc w:val="center"/>
        </w:trPr>
        <w:tc>
          <w:tcPr>
            <w:tcW w:w="0" w:type="auto"/>
          </w:tcPr>
          <w:p w14:paraId="3866FEAD"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salientes a internacional</w:t>
            </w:r>
          </w:p>
        </w:tc>
        <w:tc>
          <w:tcPr>
            <w:tcW w:w="0" w:type="auto"/>
          </w:tcPr>
          <w:p w14:paraId="62450378"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de un suscriptor minorista del operador fijo modelado a un destino internacional.</w:t>
            </w:r>
          </w:p>
        </w:tc>
      </w:tr>
      <w:tr w:rsidR="005241E4" w:rsidRPr="005241E4" w14:paraId="6186FFFF" w14:textId="77777777" w:rsidTr="00BF363B">
        <w:trPr>
          <w:cnfStyle w:val="000000100000" w:firstRow="0" w:lastRow="0" w:firstColumn="0" w:lastColumn="0" w:oddVBand="0" w:evenVBand="0" w:oddHBand="1" w:evenHBand="0" w:firstRowFirstColumn="0" w:firstRowLastColumn="0" w:lastRowFirstColumn="0" w:lastRowLastColumn="0"/>
          <w:trHeight w:val="297"/>
          <w:jc w:val="center"/>
        </w:trPr>
        <w:tc>
          <w:tcPr>
            <w:tcW w:w="0" w:type="auto"/>
          </w:tcPr>
          <w:p w14:paraId="63E49282"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 xml:space="preserve">Llamadas salientes a números no geográficos </w:t>
            </w:r>
          </w:p>
        </w:tc>
        <w:tc>
          <w:tcPr>
            <w:tcW w:w="0" w:type="auto"/>
          </w:tcPr>
          <w:p w14:paraId="52D57219"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de un suscriptor minorista del operador fijo modelado a números no geográficos, incluidos números comerciales de pago, consultas del directorio y servicios de emergencia.</w:t>
            </w:r>
          </w:p>
        </w:tc>
      </w:tr>
      <w:tr w:rsidR="005241E4" w:rsidRPr="005241E4" w14:paraId="2FFC724E" w14:textId="77777777" w:rsidTr="00BF363B">
        <w:trPr>
          <w:trHeight w:val="388"/>
          <w:jc w:val="center"/>
        </w:trPr>
        <w:tc>
          <w:tcPr>
            <w:tcW w:w="0" w:type="auto"/>
          </w:tcPr>
          <w:p w14:paraId="1317CE74"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entrantes de otros operadores fijos</w:t>
            </w:r>
          </w:p>
        </w:tc>
        <w:tc>
          <w:tcPr>
            <w:tcW w:w="0" w:type="auto"/>
          </w:tcPr>
          <w:p w14:paraId="1357F270"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recibidas de otro operador fijo y terminadas en la red de un suscriptor minorista del operador fijo modelado, tras transitar en otro conmutador troncal del operador fijo modelado; consideradas exclusivamente a nivel de enrutamiento.</w:t>
            </w:r>
          </w:p>
        </w:tc>
      </w:tr>
      <w:tr w:rsidR="005241E4" w:rsidRPr="005241E4" w14:paraId="38D4CB46" w14:textId="77777777" w:rsidTr="00BF363B">
        <w:trPr>
          <w:cnfStyle w:val="000000100000" w:firstRow="0" w:lastRow="0" w:firstColumn="0" w:lastColumn="0" w:oddVBand="0" w:evenVBand="0" w:oddHBand="1" w:evenHBand="0" w:firstRowFirstColumn="0" w:firstRowLastColumn="0" w:lastRowFirstColumn="0" w:lastRowLastColumn="0"/>
          <w:trHeight w:val="198"/>
          <w:jc w:val="center"/>
        </w:trPr>
        <w:tc>
          <w:tcPr>
            <w:tcW w:w="0" w:type="auto"/>
          </w:tcPr>
          <w:p w14:paraId="02B9D5FC"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entrantes de móvil</w:t>
            </w:r>
          </w:p>
        </w:tc>
        <w:tc>
          <w:tcPr>
            <w:tcW w:w="0" w:type="auto"/>
          </w:tcPr>
          <w:p w14:paraId="2E52C824"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recibidas de otro operador móvil y terminadas en la red de un suscriptor minorista del operador fijo modelado.</w:t>
            </w:r>
          </w:p>
        </w:tc>
      </w:tr>
      <w:tr w:rsidR="005241E4" w:rsidRPr="005241E4" w14:paraId="1BDFB7CE" w14:textId="77777777" w:rsidTr="00BF363B">
        <w:trPr>
          <w:trHeight w:val="297"/>
          <w:jc w:val="center"/>
        </w:trPr>
        <w:tc>
          <w:tcPr>
            <w:tcW w:w="0" w:type="auto"/>
          </w:tcPr>
          <w:p w14:paraId="5686FDC4"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entrantes de tráfico internacional</w:t>
            </w:r>
          </w:p>
        </w:tc>
        <w:tc>
          <w:tcPr>
            <w:tcW w:w="0" w:type="auto"/>
          </w:tcPr>
          <w:p w14:paraId="13C23108"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recibidas de otro operador internacional y terminadas en la red de un suscriptor minorista del operador fijo modelado.</w:t>
            </w:r>
          </w:p>
        </w:tc>
      </w:tr>
      <w:tr w:rsidR="005241E4" w:rsidRPr="005241E4" w14:paraId="5A0CC87A" w14:textId="77777777" w:rsidTr="00BF363B">
        <w:trPr>
          <w:cnfStyle w:val="000000100000" w:firstRow="0" w:lastRow="0" w:firstColumn="0" w:lastColumn="0" w:oddVBand="0" w:evenVBand="0" w:oddHBand="1" w:evenHBand="0" w:firstRowFirstColumn="0" w:firstRowLastColumn="0" w:lastRowFirstColumn="0" w:lastRowLastColumn="0"/>
          <w:trHeight w:val="297"/>
          <w:jc w:val="center"/>
        </w:trPr>
        <w:tc>
          <w:tcPr>
            <w:tcW w:w="0" w:type="auto"/>
          </w:tcPr>
          <w:p w14:paraId="709B20A4"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entrantes a números no geográficos</w:t>
            </w:r>
          </w:p>
        </w:tc>
        <w:tc>
          <w:tcPr>
            <w:tcW w:w="0" w:type="auto"/>
          </w:tcPr>
          <w:p w14:paraId="0A40265F"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recibidas de un suscriptor minorista de otro operador a números no geográficos, incluidos números comerciales de pago, consultas del Directorio y servicios de emergencia.</w:t>
            </w:r>
          </w:p>
        </w:tc>
      </w:tr>
      <w:tr w:rsidR="005241E4" w:rsidRPr="005241E4" w14:paraId="4E1D75EE" w14:textId="77777777" w:rsidTr="00BF363B">
        <w:trPr>
          <w:trHeight w:val="189"/>
          <w:jc w:val="center"/>
        </w:trPr>
        <w:tc>
          <w:tcPr>
            <w:tcW w:w="0" w:type="auto"/>
          </w:tcPr>
          <w:p w14:paraId="3773D27A"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en tránsito</w:t>
            </w:r>
          </w:p>
        </w:tc>
        <w:tc>
          <w:tcPr>
            <w:tcW w:w="0" w:type="auto"/>
          </w:tcPr>
          <w:p w14:paraId="715E6A35"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Llamadas de voz recibidas de otro operador, móvil o fijo y terminadas en la red de otro operador internacional, móvil o fijo.</w:t>
            </w:r>
          </w:p>
        </w:tc>
      </w:tr>
      <w:tr w:rsidR="005241E4" w:rsidRPr="005241E4" w14:paraId="71393B93" w14:textId="77777777" w:rsidTr="00BF363B">
        <w:trPr>
          <w:cnfStyle w:val="000000100000" w:firstRow="0" w:lastRow="0" w:firstColumn="0" w:lastColumn="0" w:oddVBand="0" w:evenVBand="0" w:oddHBand="1" w:evenHBand="0" w:firstRowFirstColumn="0" w:firstRowLastColumn="0" w:lastRowFirstColumn="0" w:lastRowLastColumn="0"/>
          <w:trHeight w:val="98"/>
          <w:jc w:val="center"/>
        </w:trPr>
        <w:tc>
          <w:tcPr>
            <w:tcW w:w="0" w:type="auto"/>
          </w:tcPr>
          <w:p w14:paraId="5B41FCE8"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SMS salientes</w:t>
            </w:r>
          </w:p>
        </w:tc>
        <w:tc>
          <w:tcPr>
            <w:tcW w:w="0" w:type="auto"/>
          </w:tcPr>
          <w:p w14:paraId="0D903B22"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SMS de un suscriptor del operador fijo modelado a otro operador.</w:t>
            </w:r>
          </w:p>
        </w:tc>
      </w:tr>
      <w:tr w:rsidR="005241E4" w:rsidRPr="005241E4" w14:paraId="4FF823C5" w14:textId="77777777" w:rsidTr="00BF363B">
        <w:trPr>
          <w:trHeight w:val="198"/>
          <w:jc w:val="center"/>
        </w:trPr>
        <w:tc>
          <w:tcPr>
            <w:tcW w:w="0" w:type="auto"/>
          </w:tcPr>
          <w:p w14:paraId="3BAF6765"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SMS entrantes</w:t>
            </w:r>
          </w:p>
        </w:tc>
        <w:tc>
          <w:tcPr>
            <w:tcW w:w="0" w:type="auto"/>
          </w:tcPr>
          <w:p w14:paraId="531E643C" w14:textId="77777777" w:rsidR="005241E4" w:rsidRPr="00061E39" w:rsidRDefault="005241E4" w:rsidP="0027154B">
            <w:pPr>
              <w:spacing w:after="0"/>
              <w:ind w:right="113"/>
              <w:rPr>
                <w:rFonts w:ascii="ITC Avant Garde" w:hAnsi="ITC Avant Garde" w:cs="Arial"/>
                <w:sz w:val="16"/>
                <w:szCs w:val="18"/>
              </w:rPr>
            </w:pPr>
            <w:r w:rsidRPr="00061E39">
              <w:rPr>
                <w:rFonts w:ascii="ITC Avant Garde" w:hAnsi="ITC Avant Garde" w:cs="Arial"/>
                <w:sz w:val="16"/>
                <w:szCs w:val="18"/>
              </w:rPr>
              <w:t>SMS recibido de otro operador y terminado en la red de un suscriptor del operador fijo modelado.</w:t>
            </w:r>
          </w:p>
        </w:tc>
      </w:tr>
    </w:tbl>
    <w:p w14:paraId="1B8C18A5" w14:textId="77777777" w:rsidR="005241E4" w:rsidRDefault="005241E4" w:rsidP="003A51B8">
      <w:pPr>
        <w:shd w:val="clear" w:color="auto" w:fill="FFFFFF"/>
        <w:spacing w:after="0" w:line="259" w:lineRule="auto"/>
        <w:ind w:left="0" w:right="0" w:firstLine="0"/>
        <w:rPr>
          <w:rFonts w:ascii="ITC Avant Garde" w:eastAsia="Calibri" w:hAnsi="ITC Avant Garde" w:cs="Times New Roman"/>
          <w:color w:val="auto"/>
          <w:lang w:eastAsia="en-US"/>
        </w:rPr>
      </w:pPr>
    </w:p>
    <w:p w14:paraId="662ACD6F" w14:textId="53B27417" w:rsidR="00061E39" w:rsidRPr="00061E39" w:rsidRDefault="00F1222B" w:rsidP="00A835CD">
      <w:pPr>
        <w:spacing w:after="0" w:line="259" w:lineRule="auto"/>
        <w:ind w:left="0" w:right="0" w:firstLine="0"/>
        <w:rPr>
          <w:rFonts w:ascii="ITC Avant Garde" w:eastAsia="Times New Roman" w:hAnsi="ITC Avant Garde" w:cs="Arial"/>
          <w:szCs w:val="18"/>
          <w:lang w:eastAsia="es-ES"/>
        </w:rPr>
      </w:pPr>
      <w:r>
        <w:rPr>
          <w:rFonts w:ascii="ITC Avant Garde" w:eastAsia="Calibri" w:hAnsi="ITC Avant Garde" w:cs="Times New Roman"/>
          <w:color w:val="auto"/>
          <w:lang w:eastAsia="en-US"/>
        </w:rPr>
        <w:t xml:space="preserve">Así como, </w:t>
      </w:r>
      <w:r>
        <w:rPr>
          <w:rFonts w:ascii="ITC Avant Garde" w:eastAsia="Times New Roman" w:hAnsi="ITC Avant Garde" w:cs="Arial"/>
          <w:szCs w:val="18"/>
          <w:lang w:eastAsia="es-ES"/>
        </w:rPr>
        <w:t>l</w:t>
      </w:r>
      <w:r w:rsidR="00061E39" w:rsidRPr="00061E39">
        <w:rPr>
          <w:rFonts w:ascii="ITC Avant Garde" w:eastAsia="Times New Roman" w:hAnsi="ITC Avant Garde" w:cs="Arial"/>
          <w:szCs w:val="18"/>
          <w:lang w:eastAsia="es-ES"/>
        </w:rPr>
        <w:t>os servicios relacionados con el acceso a Internet que se presentan en la siguiente tabla</w:t>
      </w:r>
      <w:r w:rsidR="003B1714">
        <w:rPr>
          <w:rFonts w:ascii="ITC Avant Garde" w:eastAsia="Times New Roman" w:hAnsi="ITC Avant Garde" w:cs="Arial"/>
          <w:szCs w:val="18"/>
          <w:lang w:eastAsia="es-ES"/>
        </w:rPr>
        <w:t>:</w:t>
      </w:r>
    </w:p>
    <w:p w14:paraId="5A346F58" w14:textId="77777777" w:rsidR="00637AD5" w:rsidRDefault="00637AD5" w:rsidP="003A51B8">
      <w:pPr>
        <w:shd w:val="clear" w:color="auto" w:fill="FFFFFF"/>
        <w:spacing w:after="0" w:line="259" w:lineRule="auto"/>
        <w:ind w:left="0" w:right="0" w:firstLine="0"/>
        <w:rPr>
          <w:rFonts w:ascii="ITC Avant Garde" w:eastAsia="Calibri" w:hAnsi="ITC Avant Garde" w:cs="Times New Roman"/>
          <w:color w:val="auto"/>
          <w:lang w:eastAsia="en-US"/>
        </w:rPr>
      </w:pPr>
    </w:p>
    <w:tbl>
      <w:tblPr>
        <w:tblStyle w:val="Tabladecuadrcula4"/>
        <w:tblpPr w:leftFromText="141" w:rightFromText="141" w:vertAnchor="text" w:horzAnchor="margin" w:tblpXSpec="center" w:tblpY="119"/>
        <w:tblW w:w="8740" w:type="dxa"/>
        <w:tblLook w:val="0420" w:firstRow="1" w:lastRow="0" w:firstColumn="0" w:lastColumn="0" w:noHBand="0" w:noVBand="1"/>
      </w:tblPr>
      <w:tblGrid>
        <w:gridCol w:w="2122"/>
        <w:gridCol w:w="6618"/>
      </w:tblGrid>
      <w:tr w:rsidR="00637AD5" w:rsidRPr="00637AD5" w14:paraId="3939BAE9" w14:textId="77777777" w:rsidTr="00061E39">
        <w:trPr>
          <w:cnfStyle w:val="100000000000" w:firstRow="1" w:lastRow="0" w:firstColumn="0" w:lastColumn="0" w:oddVBand="0" w:evenVBand="0" w:oddHBand="0" w:evenHBand="0" w:firstRowFirstColumn="0" w:firstRowLastColumn="0" w:lastRowFirstColumn="0" w:lastRowLastColumn="0"/>
          <w:trHeight w:val="274"/>
        </w:trPr>
        <w:tc>
          <w:tcPr>
            <w:tcW w:w="212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CC9134D" w14:textId="77777777" w:rsidR="00637AD5" w:rsidRPr="00061E39" w:rsidRDefault="00637AD5" w:rsidP="003767D0">
            <w:pPr>
              <w:spacing w:after="0"/>
              <w:ind w:left="426" w:right="113"/>
              <w:jc w:val="center"/>
              <w:rPr>
                <w:rFonts w:ascii="ITC Avant Garde" w:hAnsi="ITC Avant Garde" w:cs="Arial"/>
                <w:color w:val="auto"/>
                <w:sz w:val="16"/>
                <w:szCs w:val="18"/>
              </w:rPr>
            </w:pPr>
            <w:r w:rsidRPr="00061E39">
              <w:rPr>
                <w:rFonts w:ascii="ITC Avant Garde" w:hAnsi="ITC Avant Garde" w:cs="Arial"/>
                <w:color w:val="auto"/>
                <w:sz w:val="16"/>
                <w:szCs w:val="18"/>
              </w:rPr>
              <w:t>Servicio</w:t>
            </w:r>
          </w:p>
        </w:tc>
        <w:tc>
          <w:tcPr>
            <w:tcW w:w="66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F63AC8" w14:textId="77777777" w:rsidR="00637AD5" w:rsidRPr="00061E39" w:rsidRDefault="00637AD5" w:rsidP="003767D0">
            <w:pPr>
              <w:keepNext/>
              <w:tabs>
                <w:tab w:val="center" w:pos="2990"/>
              </w:tabs>
              <w:spacing w:after="0"/>
              <w:ind w:right="113"/>
              <w:jc w:val="center"/>
              <w:rPr>
                <w:rFonts w:ascii="ITC Avant Garde" w:hAnsi="ITC Avant Garde" w:cs="Arial"/>
                <w:color w:val="auto"/>
                <w:sz w:val="16"/>
                <w:szCs w:val="18"/>
              </w:rPr>
            </w:pPr>
            <w:r w:rsidRPr="00061E39">
              <w:rPr>
                <w:rFonts w:ascii="ITC Avant Garde" w:hAnsi="ITC Avant Garde" w:cs="Arial"/>
                <w:color w:val="auto"/>
                <w:sz w:val="16"/>
                <w:szCs w:val="18"/>
              </w:rPr>
              <w:t>Descripción del servicio</w:t>
            </w:r>
          </w:p>
        </w:tc>
      </w:tr>
      <w:tr w:rsidR="00637AD5" w:rsidRPr="00637AD5" w14:paraId="510D09B2" w14:textId="77777777" w:rsidTr="00061E39">
        <w:trPr>
          <w:cnfStyle w:val="000000100000" w:firstRow="0" w:lastRow="0" w:firstColumn="0" w:lastColumn="0" w:oddVBand="0" w:evenVBand="0" w:oddHBand="1" w:evenHBand="0" w:firstRowFirstColumn="0" w:firstRowLastColumn="0" w:lastRowFirstColumn="0" w:lastRowLastColumn="0"/>
          <w:trHeight w:val="413"/>
        </w:trPr>
        <w:tc>
          <w:tcPr>
            <w:tcW w:w="2122" w:type="dxa"/>
            <w:tcBorders>
              <w:top w:val="single" w:sz="4" w:space="0" w:color="000000"/>
            </w:tcBorders>
          </w:tcPr>
          <w:p w14:paraId="76C45595"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lastRenderedPageBreak/>
              <w:t>Banda ancha propia (líneas)</w:t>
            </w:r>
          </w:p>
        </w:tc>
        <w:tc>
          <w:tcPr>
            <w:tcW w:w="6618" w:type="dxa"/>
            <w:tcBorders>
              <w:top w:val="single" w:sz="4" w:space="0" w:color="000000"/>
            </w:tcBorders>
          </w:tcPr>
          <w:p w14:paraId="65142645"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Provisión de una línea de acceso para el servicio de internet comercializado por el departamento minorista del operador modelado</w:t>
            </w:r>
          </w:p>
        </w:tc>
      </w:tr>
      <w:tr w:rsidR="00637AD5" w:rsidRPr="00637AD5" w14:paraId="66B89367" w14:textId="77777777" w:rsidTr="00061E39">
        <w:trPr>
          <w:trHeight w:val="557"/>
        </w:trPr>
        <w:tc>
          <w:tcPr>
            <w:tcW w:w="2122" w:type="dxa"/>
          </w:tcPr>
          <w:p w14:paraId="7C39C954"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Banda ancha propia (contenido)</w:t>
            </w:r>
          </w:p>
        </w:tc>
        <w:tc>
          <w:tcPr>
            <w:tcW w:w="6618" w:type="dxa"/>
          </w:tcPr>
          <w:p w14:paraId="4FED8949"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Ancho de banda en una línea para el servicio de internet comercializado por el departamento minorista del operador modelado, independiente de la tecnología de acceso</w:t>
            </w:r>
          </w:p>
        </w:tc>
      </w:tr>
      <w:tr w:rsidR="00637AD5" w:rsidRPr="00637AD5" w14:paraId="32B4D359" w14:textId="77777777" w:rsidTr="00061E39">
        <w:trPr>
          <w:cnfStyle w:val="000000100000" w:firstRow="0" w:lastRow="0" w:firstColumn="0" w:lastColumn="0" w:oddVBand="0" w:evenVBand="0" w:oddHBand="1" w:evenHBand="0" w:firstRowFirstColumn="0" w:firstRowLastColumn="0" w:lastRowFirstColumn="0" w:lastRowLastColumn="0"/>
          <w:trHeight w:val="443"/>
        </w:trPr>
        <w:tc>
          <w:tcPr>
            <w:tcW w:w="2122" w:type="dxa"/>
            <w:shd w:val="clear" w:color="auto" w:fill="D0CECE" w:themeFill="background2" w:themeFillShade="E6"/>
          </w:tcPr>
          <w:p w14:paraId="51FBC71C"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Banda ancha ajena (líneas)</w:t>
            </w:r>
          </w:p>
        </w:tc>
        <w:tc>
          <w:tcPr>
            <w:tcW w:w="6618" w:type="dxa"/>
            <w:shd w:val="clear" w:color="auto" w:fill="D0CECE" w:themeFill="background2" w:themeFillShade="E6"/>
          </w:tcPr>
          <w:p w14:paraId="43125E34"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Provisión de una línea de acceso para el servicio de internet comercializado por el departamento mayorista del operador modelado</w:t>
            </w:r>
          </w:p>
        </w:tc>
      </w:tr>
      <w:tr w:rsidR="00637AD5" w:rsidRPr="00637AD5" w14:paraId="7A9FCDCC" w14:textId="77777777" w:rsidTr="00061E39">
        <w:trPr>
          <w:trHeight w:val="922"/>
        </w:trPr>
        <w:tc>
          <w:tcPr>
            <w:tcW w:w="2122" w:type="dxa"/>
          </w:tcPr>
          <w:p w14:paraId="5E1CCABB"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 xml:space="preserve">Servicio de concentración y distribución por nivel de agregación de tráfico (nacional, regional, local) </w:t>
            </w:r>
          </w:p>
        </w:tc>
        <w:tc>
          <w:tcPr>
            <w:tcW w:w="6618" w:type="dxa"/>
          </w:tcPr>
          <w:p w14:paraId="119A5A21" w14:textId="77777777" w:rsidR="00637AD5" w:rsidRPr="00061E39" w:rsidRDefault="00637AD5" w:rsidP="003767D0">
            <w:pPr>
              <w:pStyle w:val="Tablecells"/>
              <w:spacing w:before="0" w:after="0" w:line="276" w:lineRule="auto"/>
              <w:jc w:val="both"/>
              <w:rPr>
                <w:rFonts w:ascii="ITC Avant Garde" w:hAnsi="ITC Avant Garde" w:cs="Arial"/>
                <w:spacing w:val="-4"/>
                <w:sz w:val="16"/>
                <w:szCs w:val="18"/>
                <w:lang w:val="es-MX"/>
              </w:rPr>
            </w:pPr>
            <w:r w:rsidRPr="00061E39">
              <w:rPr>
                <w:rFonts w:ascii="ITC Avant Garde" w:hAnsi="ITC Avant Garde" w:cs="Arial"/>
                <w:spacing w:val="-4"/>
                <w:sz w:val="16"/>
                <w:szCs w:val="18"/>
                <w:lang w:val="es-MX"/>
              </w:rPr>
              <w:t>Ancho de banda en una línea para el servicio de internet comercializado por el departamento mayorista del operador modelado, independiente de la tecnología de acceso.</w:t>
            </w:r>
          </w:p>
          <w:p w14:paraId="69805092" w14:textId="77777777" w:rsidR="00637AD5" w:rsidRPr="00061E39" w:rsidRDefault="00637AD5" w:rsidP="003767D0">
            <w:pPr>
              <w:spacing w:after="0"/>
              <w:ind w:left="26"/>
              <w:rPr>
                <w:rFonts w:ascii="ITC Avant Garde" w:hAnsi="ITC Avant Garde" w:cs="Arial"/>
                <w:spacing w:val="-4"/>
                <w:sz w:val="16"/>
                <w:szCs w:val="18"/>
              </w:rPr>
            </w:pPr>
          </w:p>
        </w:tc>
      </w:tr>
    </w:tbl>
    <w:p w14:paraId="2D4009EA" w14:textId="77777777" w:rsidR="00637AD5" w:rsidRDefault="00637AD5" w:rsidP="003A51B8">
      <w:pPr>
        <w:shd w:val="clear" w:color="auto" w:fill="FFFFFF"/>
        <w:spacing w:after="0" w:line="259" w:lineRule="auto"/>
        <w:ind w:left="0" w:right="0" w:firstLine="0"/>
        <w:rPr>
          <w:rFonts w:ascii="ITC Avant Garde" w:eastAsia="Calibri" w:hAnsi="ITC Avant Garde" w:cs="Times New Roman"/>
          <w:color w:val="auto"/>
          <w:lang w:eastAsia="en-US"/>
        </w:rPr>
      </w:pPr>
    </w:p>
    <w:tbl>
      <w:tblPr>
        <w:tblStyle w:val="Tabladecuadrcula4"/>
        <w:tblpPr w:leftFromText="141" w:rightFromText="141" w:vertAnchor="text" w:horzAnchor="margin" w:tblpXSpec="center" w:tblpY="119"/>
        <w:tblW w:w="8772" w:type="dxa"/>
        <w:tblLook w:val="0420" w:firstRow="1" w:lastRow="0" w:firstColumn="0" w:lastColumn="0" w:noHBand="0" w:noVBand="1"/>
      </w:tblPr>
      <w:tblGrid>
        <w:gridCol w:w="2122"/>
        <w:gridCol w:w="6650"/>
      </w:tblGrid>
      <w:tr w:rsidR="00637AD5" w:rsidRPr="00637AD5" w14:paraId="17DCDFEE" w14:textId="77777777" w:rsidTr="00637AD5">
        <w:trPr>
          <w:cnfStyle w:val="100000000000" w:firstRow="1" w:lastRow="0" w:firstColumn="0" w:lastColumn="0" w:oddVBand="0" w:evenVBand="0" w:oddHBand="0" w:evenHBand="0" w:firstRowFirstColumn="0" w:firstRowLastColumn="0" w:lastRowFirstColumn="0" w:lastRowLastColumn="0"/>
          <w:trHeight w:val="192"/>
        </w:trPr>
        <w:tc>
          <w:tcPr>
            <w:tcW w:w="212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2C2C9B5" w14:textId="77777777" w:rsidR="00637AD5" w:rsidRPr="00061E39" w:rsidRDefault="00637AD5" w:rsidP="003767D0">
            <w:pPr>
              <w:spacing w:after="0"/>
              <w:ind w:left="426" w:right="113"/>
              <w:jc w:val="center"/>
              <w:rPr>
                <w:rFonts w:ascii="ITC Avant Garde" w:hAnsi="ITC Avant Garde" w:cs="Arial"/>
                <w:color w:val="auto"/>
                <w:sz w:val="16"/>
                <w:szCs w:val="18"/>
              </w:rPr>
            </w:pPr>
            <w:r w:rsidRPr="00061E39">
              <w:rPr>
                <w:rFonts w:ascii="ITC Avant Garde" w:hAnsi="ITC Avant Garde" w:cs="Arial"/>
                <w:color w:val="auto"/>
                <w:sz w:val="16"/>
                <w:szCs w:val="18"/>
              </w:rPr>
              <w:t>Servicio</w:t>
            </w:r>
          </w:p>
        </w:tc>
        <w:tc>
          <w:tcPr>
            <w:tcW w:w="66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5C0FDFE" w14:textId="77777777" w:rsidR="00637AD5" w:rsidRPr="00061E39" w:rsidRDefault="00637AD5" w:rsidP="003767D0">
            <w:pPr>
              <w:keepNext/>
              <w:tabs>
                <w:tab w:val="center" w:pos="2990"/>
              </w:tabs>
              <w:spacing w:after="0"/>
              <w:ind w:right="113"/>
              <w:jc w:val="center"/>
              <w:rPr>
                <w:rFonts w:ascii="ITC Avant Garde" w:hAnsi="ITC Avant Garde" w:cs="Arial"/>
                <w:color w:val="auto"/>
                <w:sz w:val="16"/>
                <w:szCs w:val="18"/>
              </w:rPr>
            </w:pPr>
            <w:r w:rsidRPr="00061E39">
              <w:rPr>
                <w:rFonts w:ascii="ITC Avant Garde" w:hAnsi="ITC Avant Garde" w:cs="Arial"/>
                <w:color w:val="auto"/>
                <w:sz w:val="16"/>
                <w:szCs w:val="18"/>
              </w:rPr>
              <w:t>Descripción del servicio</w:t>
            </w:r>
          </w:p>
        </w:tc>
      </w:tr>
      <w:tr w:rsidR="00637AD5" w:rsidRPr="00637AD5" w14:paraId="634C95D6" w14:textId="77777777" w:rsidTr="00061E39">
        <w:trPr>
          <w:cnfStyle w:val="000000100000" w:firstRow="0" w:lastRow="0" w:firstColumn="0" w:lastColumn="0" w:oddVBand="0" w:evenVBand="0" w:oddHBand="1" w:evenHBand="0" w:firstRowFirstColumn="0" w:firstRowLastColumn="0" w:lastRowFirstColumn="0" w:lastRowLastColumn="0"/>
          <w:trHeight w:val="384"/>
        </w:trPr>
        <w:tc>
          <w:tcPr>
            <w:tcW w:w="2122" w:type="dxa"/>
            <w:tcBorders>
              <w:top w:val="single" w:sz="4" w:space="0" w:color="000000"/>
            </w:tcBorders>
          </w:tcPr>
          <w:p w14:paraId="0F875B18"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Enlaces dedicados</w:t>
            </w:r>
          </w:p>
        </w:tc>
        <w:tc>
          <w:tcPr>
            <w:tcW w:w="6650" w:type="dxa"/>
            <w:tcBorders>
              <w:top w:val="single" w:sz="4" w:space="0" w:color="000000"/>
            </w:tcBorders>
          </w:tcPr>
          <w:p w14:paraId="56BE72F2"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Incluye servicios de líneas alquiladas, ya sea para aprovisionar a clientes minoristas u otros operadores</w:t>
            </w:r>
          </w:p>
        </w:tc>
      </w:tr>
      <w:tr w:rsidR="00637AD5" w:rsidRPr="00637AD5" w14:paraId="6CD8907D" w14:textId="77777777" w:rsidTr="00061E39">
        <w:trPr>
          <w:trHeight w:val="370"/>
        </w:trPr>
        <w:tc>
          <w:tcPr>
            <w:tcW w:w="2122" w:type="dxa"/>
          </w:tcPr>
          <w:p w14:paraId="0C1D307A"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Televisión</w:t>
            </w:r>
          </w:p>
        </w:tc>
        <w:tc>
          <w:tcPr>
            <w:tcW w:w="6650" w:type="dxa"/>
          </w:tcPr>
          <w:p w14:paraId="56D963DA" w14:textId="77777777" w:rsidR="00637AD5" w:rsidRPr="00061E39" w:rsidRDefault="00637AD5" w:rsidP="003767D0">
            <w:pPr>
              <w:spacing w:after="0"/>
              <w:ind w:left="26"/>
              <w:rPr>
                <w:rFonts w:ascii="ITC Avant Garde" w:hAnsi="ITC Avant Garde" w:cs="Arial"/>
                <w:spacing w:val="-4"/>
                <w:sz w:val="16"/>
                <w:szCs w:val="18"/>
              </w:rPr>
            </w:pPr>
            <w:r w:rsidRPr="00061E39">
              <w:rPr>
                <w:rFonts w:ascii="ITC Avant Garde" w:hAnsi="ITC Avant Garde" w:cs="Arial"/>
                <w:spacing w:val="-4"/>
                <w:sz w:val="16"/>
                <w:szCs w:val="18"/>
              </w:rPr>
              <w:t>Provisión del servicio de televisión, ya sea lineal o de vídeo bajo demanda, comercializado por el departamento minorista del operador modelado</w:t>
            </w:r>
          </w:p>
        </w:tc>
      </w:tr>
    </w:tbl>
    <w:p w14:paraId="40E42DB3" w14:textId="77777777" w:rsidR="00CA677F" w:rsidRPr="00A271F1" w:rsidRDefault="00CA677F" w:rsidP="003A51B8">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FE181C2" w14:textId="7ECB79B0" w:rsidR="00E91A63" w:rsidRPr="00A271F1" w:rsidRDefault="00E91A63" w:rsidP="00E91A63">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Comentarios emitidos sobre el Tipo de cambio real</w:t>
      </w:r>
    </w:p>
    <w:p w14:paraId="193BBF0E" w14:textId="77777777" w:rsidR="00E91A63" w:rsidRPr="00A271F1" w:rsidRDefault="00E91A63" w:rsidP="00E91A63">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0E26BF74" w14:textId="1D9EF79B"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AT&amp;T</w:t>
      </w:r>
    </w:p>
    <w:p w14:paraId="7F8B8666"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color w:val="auto"/>
          <w:lang w:val="es-ES" w:eastAsia="en-US"/>
        </w:rPr>
        <w:t>Expresa que su preocupación por la decisión del Instituto de eliminar el tipo de cambio nominal como parámetro para los modelos de costos debido, ya que la mayor parte de los insumos para las redes de telecomunicaciones se cotizan en dólares.</w:t>
      </w:r>
    </w:p>
    <w:p w14:paraId="26AFFF47"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8E102F6"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5D2FFF">
        <w:rPr>
          <w:rFonts w:ascii="ITC Avant Garde" w:eastAsia="Calibri" w:hAnsi="ITC Avant Garde" w:cs="Times New Roman"/>
          <w:b/>
          <w:color w:val="auto"/>
          <w:u w:val="single"/>
          <w:lang w:eastAsia="en-US"/>
        </w:rPr>
        <w:t>Consideraciones del Instituto</w:t>
      </w:r>
    </w:p>
    <w:p w14:paraId="7B3B6BB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1A0F95E" w14:textId="04459F76"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5D2FFF">
        <w:rPr>
          <w:rFonts w:ascii="ITC Avant Garde" w:eastAsia="Calibri" w:hAnsi="ITC Avant Garde" w:cs="Times New Roman"/>
          <w:color w:val="auto"/>
          <w:lang w:val="es-ES" w:eastAsia="en-US"/>
        </w:rPr>
        <w:t>E</w:t>
      </w:r>
      <w:r w:rsidR="006665A7">
        <w:rPr>
          <w:rFonts w:ascii="ITC Avant Garde" w:eastAsia="Calibri" w:hAnsi="ITC Avant Garde" w:cs="Times New Roman"/>
          <w:color w:val="auto"/>
          <w:lang w:val="es-ES" w:eastAsia="en-US"/>
        </w:rPr>
        <w:t xml:space="preserve">n </w:t>
      </w:r>
      <w:r w:rsidR="000928F4">
        <w:rPr>
          <w:rFonts w:ascii="ITC Avant Garde" w:eastAsia="Calibri" w:hAnsi="ITC Avant Garde" w:cs="Times New Roman"/>
          <w:color w:val="auto"/>
          <w:lang w:val="es-ES" w:eastAsia="en-US"/>
        </w:rPr>
        <w:t>e</w:t>
      </w:r>
      <w:r w:rsidR="00CA43C9">
        <w:rPr>
          <w:rFonts w:ascii="ITC Avant Garde" w:eastAsia="Calibri" w:hAnsi="ITC Avant Garde" w:cs="Times New Roman"/>
          <w:color w:val="auto"/>
          <w:lang w:val="es-ES" w:eastAsia="en-US"/>
        </w:rPr>
        <w:t>l</w:t>
      </w:r>
      <w:r w:rsidR="000928F4">
        <w:rPr>
          <w:rFonts w:ascii="ITC Avant Garde" w:eastAsia="Calibri" w:hAnsi="ITC Avant Garde" w:cs="Times New Roman"/>
          <w:color w:val="auto"/>
          <w:lang w:val="es-ES" w:eastAsia="en-US"/>
        </w:rPr>
        <w:t xml:space="preserve"> mo</w:t>
      </w:r>
      <w:r w:rsidRPr="005D2FFF">
        <w:rPr>
          <w:rFonts w:ascii="ITC Avant Garde" w:eastAsia="Calibri" w:hAnsi="ITC Avant Garde" w:cs="Times New Roman"/>
          <w:color w:val="auto"/>
          <w:lang w:val="es-ES" w:eastAsia="en-US"/>
        </w:rPr>
        <w:t xml:space="preserve">delo </w:t>
      </w:r>
      <w:r w:rsidR="006665A7">
        <w:rPr>
          <w:rFonts w:ascii="ITC Avant Garde" w:eastAsia="Calibri" w:hAnsi="ITC Avant Garde" w:cs="Times New Roman"/>
          <w:color w:val="auto"/>
          <w:lang w:val="es-ES" w:eastAsia="en-US"/>
        </w:rPr>
        <w:t xml:space="preserve">de costos se actualizan </w:t>
      </w:r>
      <w:r w:rsidR="000928F4">
        <w:rPr>
          <w:rFonts w:ascii="ITC Avant Garde" w:eastAsia="Calibri" w:hAnsi="ITC Avant Garde" w:cs="Times New Roman"/>
          <w:color w:val="auto"/>
          <w:lang w:val="es-ES" w:eastAsia="en-US"/>
        </w:rPr>
        <w:t xml:space="preserve">los costos de entrada </w:t>
      </w:r>
      <w:r w:rsidRPr="005D2FFF">
        <w:rPr>
          <w:rFonts w:ascii="ITC Avant Garde" w:eastAsia="Calibri" w:hAnsi="ITC Avant Garde" w:cs="Times New Roman"/>
          <w:color w:val="auto"/>
          <w:lang w:val="es-ES" w:eastAsia="en-US"/>
        </w:rPr>
        <w:t>con un único vector de precios (lista de precios de activos); los cuales son los precios que los activos para el año 20</w:t>
      </w:r>
      <w:r w:rsidR="00CD17E8" w:rsidRPr="005D2FFF">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xml:space="preserve"> en dólares, para todos los demás años (incluyendo el pasado y el futuro) se tiene que hacer una estimación de los costos aplicables que debe considerar la tendencia real de costos (que incluye las eficiencias tecnológicas) y los ajustes necesarios para llevar los dólares reales de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xml:space="preserve"> a pesos mexicanos del año en curso. Es decir, no se tiene una lista de precios para cada año aplicado, sino lo que se tiene </w:t>
      </w:r>
      <w:r w:rsidR="006665A7">
        <w:rPr>
          <w:rFonts w:ascii="ITC Avant Garde" w:eastAsia="Calibri" w:hAnsi="ITC Avant Garde" w:cs="Times New Roman"/>
          <w:color w:val="auto"/>
          <w:lang w:val="es-ES" w:eastAsia="en-US"/>
        </w:rPr>
        <w:t>e</w:t>
      </w:r>
      <w:r w:rsidRPr="00A271F1">
        <w:rPr>
          <w:rFonts w:ascii="ITC Avant Garde" w:eastAsia="Calibri" w:hAnsi="ITC Avant Garde" w:cs="Times New Roman"/>
          <w:color w:val="auto"/>
          <w:lang w:val="es-ES" w:eastAsia="en-US"/>
        </w:rPr>
        <w:t>s</w:t>
      </w:r>
      <w:r w:rsidR="006665A7">
        <w:rPr>
          <w:rFonts w:ascii="ITC Avant Garde" w:eastAsia="Calibri" w:hAnsi="ITC Avant Garde" w:cs="Times New Roman"/>
          <w:color w:val="auto"/>
          <w:lang w:val="es-ES" w:eastAsia="en-US"/>
        </w:rPr>
        <w:t xml:space="preserve"> la</w:t>
      </w:r>
      <w:r w:rsidRPr="00A271F1">
        <w:rPr>
          <w:rFonts w:ascii="ITC Avant Garde" w:eastAsia="Calibri" w:hAnsi="ITC Avant Garde" w:cs="Times New Roman"/>
          <w:color w:val="auto"/>
          <w:lang w:val="es-ES" w:eastAsia="en-US"/>
        </w:rPr>
        <w:t xml:space="preserve"> estimación con base en los costos reales de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w:t>
      </w:r>
    </w:p>
    <w:p w14:paraId="078B5E8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8B6DAB5" w14:textId="28F77610"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A271F1">
        <w:rPr>
          <w:rFonts w:ascii="ITC Avant Garde" w:eastAsia="Calibri" w:hAnsi="ITC Avant Garde" w:cs="Times New Roman"/>
          <w:color w:val="auto"/>
          <w:lang w:val="es-ES" w:eastAsia="en-US"/>
        </w:rPr>
        <w:t>En este sentido se debe aplicar una metodología que actualice las estimaciones de costo a cada año, la metodología empleada por una que permite representar la disminución de costos que implica la eficiencia tecnológica. Para lograr lo anterior, primero se toma el vector de precios base (dólares de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y se trasforma en pesos de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xml:space="preserve"> al multiplicarlo por el tipo de cambio del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después se aplica la tendencia de costos reales a la lista de precios para obtener los costos reales para cada año en términos de pesos reales de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w:t>
      </w:r>
    </w:p>
    <w:p w14:paraId="69F10DEB"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FAFEB1A" w14:textId="38790753"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A271F1">
        <w:rPr>
          <w:rFonts w:ascii="ITC Avant Garde" w:eastAsia="Calibri" w:hAnsi="ITC Avant Garde" w:cs="Times New Roman"/>
          <w:color w:val="auto"/>
          <w:lang w:val="es-ES" w:eastAsia="en-US"/>
        </w:rPr>
        <w:t>De lo cual se tiene un modelo representado en su totalidad en pesos mexicanos con base en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xml:space="preserve"> que representa la evolución de la eficiencia tecnológica proyectada en costos reales. </w:t>
      </w:r>
    </w:p>
    <w:p w14:paraId="7ADB3283"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62DC546" w14:textId="1C72DC94"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sidRPr="00A271F1">
        <w:rPr>
          <w:rFonts w:ascii="ITC Avant Garde" w:eastAsia="Calibri" w:hAnsi="ITC Avant Garde" w:cs="Times New Roman"/>
          <w:color w:val="auto"/>
          <w:lang w:val="es-ES" w:eastAsia="en-US"/>
        </w:rPr>
        <w:t>Por último, los pesos reales de 20</w:t>
      </w:r>
      <w:r w:rsidR="007A04F2">
        <w:rPr>
          <w:rFonts w:ascii="ITC Avant Garde" w:eastAsia="Calibri" w:hAnsi="ITC Avant Garde" w:cs="Times New Roman"/>
          <w:color w:val="auto"/>
          <w:lang w:val="es-ES" w:eastAsia="en-US"/>
        </w:rPr>
        <w:t>22</w:t>
      </w:r>
      <w:r w:rsidRPr="00A271F1">
        <w:rPr>
          <w:rFonts w:ascii="ITC Avant Garde" w:eastAsia="Calibri" w:hAnsi="ITC Avant Garde" w:cs="Times New Roman"/>
          <w:color w:val="auto"/>
          <w:lang w:val="es-ES" w:eastAsia="en-US"/>
        </w:rPr>
        <w:t xml:space="preserve"> se transforman en pesos nominales del año en curso aplicando la inflación acumulada de México, lo que permite representar adecuadamente la variación nominal de precios. Así se garantiza que la estimación de costos represente razonablemente las variaciones reales y nominales de los precios de los activos.</w:t>
      </w:r>
    </w:p>
    <w:p w14:paraId="64F5E7AB"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8C571C6" w14:textId="77777777" w:rsidR="00E91A63" w:rsidRPr="00A271F1" w:rsidRDefault="00E91A63" w:rsidP="00E91A63">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Comentarios emitidos sobre el Costo de Capital Promedio Ponderado (CCPP)</w:t>
      </w:r>
    </w:p>
    <w:p w14:paraId="59AA8CE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eastAsia="en-US"/>
        </w:rPr>
      </w:pPr>
    </w:p>
    <w:p w14:paraId="7EED2B52" w14:textId="77777777" w:rsidR="00E91A63" w:rsidRPr="00A271F1" w:rsidRDefault="00E91A63" w:rsidP="00FE06F9">
      <w:pPr>
        <w:shd w:val="clear" w:color="auto" w:fill="FFFFFF"/>
        <w:spacing w:after="0" w:line="259" w:lineRule="auto"/>
        <w:ind w:left="0" w:right="0" w:firstLine="0"/>
        <w:rPr>
          <w:rFonts w:ascii="ITC Avant Garde" w:eastAsia="Calibri" w:hAnsi="ITC Avant Garde" w:cs="Times New Roman"/>
          <w:b/>
          <w:color w:val="auto"/>
          <w:lang w:eastAsia="en-US"/>
        </w:rPr>
      </w:pPr>
      <w:r w:rsidRPr="00A271F1">
        <w:rPr>
          <w:rFonts w:ascii="ITC Avant Garde" w:eastAsia="Calibri" w:hAnsi="ITC Avant Garde" w:cs="Times New Roman"/>
          <w:b/>
          <w:color w:val="auto"/>
          <w:lang w:eastAsia="en-US"/>
        </w:rPr>
        <w:t>AT&amp;T</w:t>
      </w:r>
    </w:p>
    <w:p w14:paraId="6BA3F713" w14:textId="469C7550" w:rsidR="00E91A63" w:rsidRPr="00A271F1" w:rsidRDefault="007D3E09" w:rsidP="00E91A63">
      <w:pPr>
        <w:shd w:val="clear" w:color="auto" w:fill="FFFFFF"/>
        <w:spacing w:after="0" w:line="259" w:lineRule="auto"/>
        <w:ind w:left="0" w:right="0" w:firstLine="0"/>
        <w:rPr>
          <w:rFonts w:ascii="ITC Avant Garde" w:eastAsia="Calibri" w:hAnsi="ITC Avant Garde" w:cs="Times New Roman"/>
          <w:bCs/>
          <w:color w:val="auto"/>
          <w:lang w:eastAsia="en-US"/>
        </w:rPr>
      </w:pPr>
      <w:r w:rsidRPr="00FE06F9">
        <w:rPr>
          <w:rFonts w:ascii="ITC Avant Garde" w:eastAsia="Calibri" w:hAnsi="ITC Avant Garde" w:cs="Times New Roman"/>
          <w:bCs/>
          <w:color w:val="auto"/>
          <w:lang w:eastAsia="en-US"/>
        </w:rPr>
        <w:t>R</w:t>
      </w:r>
      <w:r w:rsidR="00E91A63" w:rsidRPr="00A271F1">
        <w:rPr>
          <w:rFonts w:ascii="ITC Avant Garde" w:eastAsia="Calibri" w:hAnsi="ITC Avant Garde" w:cs="Times New Roman"/>
          <w:bCs/>
          <w:color w:val="auto"/>
          <w:lang w:eastAsia="en-US"/>
        </w:rPr>
        <w:t>ecomienda mayor transparencia mediante la publicación del detalle de los cálculos para llegar a los parámetros desglosados en la tabla del CCPP fijo y móvil contenida en el Anteproyecto.</w:t>
      </w:r>
    </w:p>
    <w:p w14:paraId="0C4A91B6" w14:textId="77777777" w:rsidR="00E91A63" w:rsidRPr="00A271F1" w:rsidRDefault="00E91A63" w:rsidP="00E91A63">
      <w:pPr>
        <w:shd w:val="clear" w:color="auto" w:fill="FFFFFF" w:themeFill="background1"/>
        <w:spacing w:after="0" w:line="259" w:lineRule="auto"/>
        <w:ind w:left="0" w:right="0" w:firstLine="0"/>
        <w:rPr>
          <w:rFonts w:ascii="ITC Avant Garde" w:eastAsia="Calibri" w:hAnsi="ITC Avant Garde" w:cs="Times New Roman"/>
          <w:color w:val="auto"/>
          <w:lang w:eastAsia="en-US"/>
        </w:rPr>
      </w:pPr>
    </w:p>
    <w:p w14:paraId="4A156871" w14:textId="2774A476"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Telefónica</w:t>
      </w:r>
    </w:p>
    <w:p w14:paraId="32549B88" w14:textId="7B4D5B32" w:rsidR="00E91A63" w:rsidRPr="00A271F1" w:rsidRDefault="007D3E09" w:rsidP="00E91A63">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S</w:t>
      </w:r>
      <w:r w:rsidR="00E91A63" w:rsidRPr="00A271F1">
        <w:rPr>
          <w:rFonts w:ascii="ITC Avant Garde" w:eastAsia="Calibri" w:hAnsi="ITC Avant Garde" w:cs="Times New Roman"/>
          <w:color w:val="auto"/>
          <w:lang w:eastAsia="en-US"/>
        </w:rPr>
        <w:t>ugiere establecer una CCPP diferenciado dada la gran participación de mercado del AEP y el mantenimiento e incluso reconcentración de su preponderancia, le otorga, entre otras ventajas, un menor riesgo de la inversión motivada por las condiciones competitivas existentes.</w:t>
      </w:r>
    </w:p>
    <w:p w14:paraId="72DF7A22" w14:textId="77777777" w:rsidR="00E91A63" w:rsidRPr="00A271F1" w:rsidRDefault="00E91A63" w:rsidP="00E91A63">
      <w:pPr>
        <w:shd w:val="clear" w:color="auto" w:fill="FFFFFF" w:themeFill="background1"/>
        <w:spacing w:after="0" w:line="259" w:lineRule="auto"/>
        <w:ind w:left="0" w:right="0" w:firstLine="0"/>
        <w:rPr>
          <w:color w:val="auto"/>
          <w:lang w:eastAsia="en-US"/>
        </w:rPr>
      </w:pPr>
    </w:p>
    <w:p w14:paraId="5346ACEC" w14:textId="1111B872"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bCs/>
          <w:color w:val="auto"/>
          <w:lang w:eastAsia="en-US"/>
        </w:rPr>
        <w:t>Televisa</w:t>
      </w:r>
    </w:p>
    <w:p w14:paraId="5964AB1C" w14:textId="61B084E6" w:rsidR="00E91A63" w:rsidRPr="00A271F1" w:rsidRDefault="007D3E09" w:rsidP="00E91A63">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P</w:t>
      </w:r>
      <w:r w:rsidR="00E91A63" w:rsidRPr="00A271F1">
        <w:rPr>
          <w:rFonts w:ascii="ITC Avant Garde" w:eastAsia="Calibri" w:hAnsi="ITC Avant Garde" w:cs="Times New Roman"/>
          <w:color w:val="auto"/>
          <w:lang w:eastAsia="en-US"/>
        </w:rPr>
        <w:t>ropone la introducción de un CCPP móvil.</w:t>
      </w:r>
    </w:p>
    <w:p w14:paraId="060525B2"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bCs/>
          <w:color w:val="auto"/>
          <w:lang w:eastAsia="en-US"/>
        </w:rPr>
      </w:pPr>
    </w:p>
    <w:p w14:paraId="0E83CCF2"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945C58">
        <w:rPr>
          <w:rFonts w:ascii="ITC Avant Garde" w:eastAsia="Calibri" w:hAnsi="ITC Avant Garde" w:cs="Times New Roman"/>
          <w:b/>
          <w:color w:val="auto"/>
          <w:u w:val="single"/>
          <w:lang w:eastAsia="en-US"/>
        </w:rPr>
        <w:t>Consideraciones del Instituto</w:t>
      </w:r>
    </w:p>
    <w:p w14:paraId="715A2AFD"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B302C44" w14:textId="5D6AE540" w:rsidR="00E91A63" w:rsidRPr="00A271F1" w:rsidRDefault="003270BA"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Pr>
          <w:rFonts w:ascii="ITC Avant Garde" w:hAnsi="ITC Avant Garde"/>
          <w:lang w:val="es-ES"/>
        </w:rPr>
        <w:t xml:space="preserve">El Instituto </w:t>
      </w:r>
      <w:r w:rsidR="007A04F2" w:rsidRPr="007440DF">
        <w:rPr>
          <w:rFonts w:ascii="ITC Avant Garde" w:hAnsi="ITC Avant Garde"/>
          <w:lang w:val="es-ES"/>
        </w:rPr>
        <w:t>ha</w:t>
      </w:r>
      <w:r>
        <w:rPr>
          <w:rFonts w:ascii="ITC Avant Garde" w:hAnsi="ITC Avant Garde"/>
          <w:lang w:val="es-ES"/>
        </w:rPr>
        <w:t xml:space="preserve"> tomado en consideración los comentarios por lo que en la consulta pública se puso a disposición del público en general el documento metodológico para el cálculo del CCPP que describe los conceptos generales de su definición, la metodología para la estimación de los distintos parámetros para su cálculo, así como los valores propuestos involucrados en su cálculo</w:t>
      </w:r>
      <w:r w:rsidR="00542C8B">
        <w:rPr>
          <w:rFonts w:ascii="ITC Avant Garde" w:hAnsi="ITC Avant Garde"/>
          <w:lang w:val="es-ES"/>
        </w:rPr>
        <w:t xml:space="preserve"> </w:t>
      </w:r>
      <w:r w:rsidR="007A04F2" w:rsidRPr="007440DF">
        <w:rPr>
          <w:rFonts w:ascii="ITC Avant Garde" w:hAnsi="ITC Avant Garde"/>
          <w:lang w:val="es-ES"/>
        </w:rPr>
        <w:t>para aportar mayor transparencia de los diferentes parámetros del</w:t>
      </w:r>
      <w:r w:rsidR="007A04F2">
        <w:rPr>
          <w:rFonts w:ascii="ITC Avant Garde" w:hAnsi="ITC Avant Garde"/>
          <w:lang w:val="es-ES"/>
        </w:rPr>
        <w:t xml:space="preserve"> </w:t>
      </w:r>
      <w:r w:rsidR="007A04F2" w:rsidRPr="007440DF">
        <w:rPr>
          <w:rFonts w:ascii="ITC Avant Garde" w:hAnsi="ITC Avant Garde"/>
          <w:lang w:val="es-ES"/>
        </w:rPr>
        <w:t>CC</w:t>
      </w:r>
      <w:r w:rsidR="007A04F2">
        <w:rPr>
          <w:rFonts w:ascii="ITC Avant Garde" w:hAnsi="ITC Avant Garde"/>
          <w:lang w:val="es-ES"/>
        </w:rPr>
        <w:t>PP.</w:t>
      </w:r>
    </w:p>
    <w:p w14:paraId="721EE605"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3569317" w14:textId="68906DA8" w:rsidR="007A04F2" w:rsidRDefault="00542C8B" w:rsidP="00F85E65">
      <w:pPr>
        <w:spacing w:after="0" w:line="276" w:lineRule="auto"/>
        <w:rPr>
          <w:rFonts w:ascii="ITC Avant Garde" w:hAnsi="ITC Avant Garde"/>
        </w:rPr>
      </w:pPr>
      <w:r>
        <w:rPr>
          <w:rFonts w:ascii="ITC Avant Garde" w:hAnsi="ITC Avant Garde"/>
        </w:rPr>
        <w:t>En cuanto a</w:t>
      </w:r>
      <w:r w:rsidR="00D26335">
        <w:rPr>
          <w:rFonts w:ascii="ITC Avant Garde" w:hAnsi="ITC Avant Garde"/>
        </w:rPr>
        <w:t xml:space="preserve"> los comentarios de</w:t>
      </w:r>
      <w:r>
        <w:rPr>
          <w:rFonts w:ascii="ITC Avant Garde" w:hAnsi="ITC Avant Garde"/>
        </w:rPr>
        <w:t xml:space="preserve"> establecer un CCPP diferenciado, e</w:t>
      </w:r>
      <w:r w:rsidR="007A04F2" w:rsidRPr="00361093">
        <w:rPr>
          <w:rFonts w:ascii="ITC Avant Garde" w:hAnsi="ITC Avant Garde"/>
        </w:rPr>
        <w:t>l I</w:t>
      </w:r>
      <w:r w:rsidR="007A04F2">
        <w:rPr>
          <w:rFonts w:ascii="ITC Avant Garde" w:hAnsi="ITC Avant Garde"/>
        </w:rPr>
        <w:t>nstituto</w:t>
      </w:r>
      <w:r w:rsidR="007A04F2" w:rsidRPr="00361093">
        <w:rPr>
          <w:rFonts w:ascii="ITC Avant Garde" w:hAnsi="ITC Avant Garde"/>
        </w:rPr>
        <w:t xml:space="preserve"> </w:t>
      </w:r>
      <w:r w:rsidR="00D26335">
        <w:rPr>
          <w:rFonts w:ascii="ITC Avant Garde" w:hAnsi="ITC Avant Garde"/>
        </w:rPr>
        <w:t>mantiene que</w:t>
      </w:r>
      <w:r w:rsidR="007F27A7">
        <w:rPr>
          <w:rFonts w:ascii="ITC Avant Garde" w:hAnsi="ITC Avant Garde"/>
        </w:rPr>
        <w:t xml:space="preserve"> la</w:t>
      </w:r>
      <w:r w:rsidR="007A04F2" w:rsidRPr="00361093">
        <w:rPr>
          <w:rFonts w:ascii="ITC Avant Garde" w:hAnsi="ITC Avant Garde"/>
        </w:rPr>
        <w:t xml:space="preserve"> definición de un </w:t>
      </w:r>
      <w:r w:rsidR="007A04F2">
        <w:rPr>
          <w:rFonts w:ascii="ITC Avant Garde" w:hAnsi="ITC Avant Garde"/>
        </w:rPr>
        <w:t>CCPP</w:t>
      </w:r>
      <w:r w:rsidR="007A04F2" w:rsidRPr="00361093">
        <w:rPr>
          <w:rFonts w:ascii="ITC Avant Garde" w:hAnsi="ITC Avant Garde"/>
        </w:rPr>
        <w:t xml:space="preserve"> promedio industrial, con una diferenciación entre el </w:t>
      </w:r>
      <w:r w:rsidR="007A04F2">
        <w:rPr>
          <w:rFonts w:ascii="ITC Avant Garde" w:hAnsi="ITC Avant Garde"/>
        </w:rPr>
        <w:t>CCPP</w:t>
      </w:r>
      <w:r w:rsidR="007A04F2" w:rsidRPr="00361093">
        <w:rPr>
          <w:rFonts w:ascii="ITC Avant Garde" w:hAnsi="ITC Avant Garde"/>
        </w:rPr>
        <w:t xml:space="preserve"> asociado a redes fijas y el </w:t>
      </w:r>
      <w:r w:rsidR="007A04F2">
        <w:rPr>
          <w:rFonts w:ascii="ITC Avant Garde" w:hAnsi="ITC Avant Garde"/>
        </w:rPr>
        <w:t>CCPP</w:t>
      </w:r>
      <w:r w:rsidR="007A04F2" w:rsidRPr="00361093">
        <w:rPr>
          <w:rFonts w:ascii="ITC Avant Garde" w:hAnsi="ITC Avant Garde"/>
        </w:rPr>
        <w:t xml:space="preserve"> asociado a redes móviles, </w:t>
      </w:r>
      <w:r w:rsidR="00D26335">
        <w:rPr>
          <w:rFonts w:ascii="ITC Avant Garde" w:hAnsi="ITC Avant Garde"/>
        </w:rPr>
        <w:t xml:space="preserve">es la alternativa más apropiada </w:t>
      </w:r>
      <w:r w:rsidR="007A04F2" w:rsidRPr="00361093">
        <w:rPr>
          <w:rFonts w:ascii="ITC Avant Garde" w:hAnsi="ITC Avant Garde"/>
        </w:rPr>
        <w:t xml:space="preserve">dado que </w:t>
      </w:r>
      <w:r w:rsidR="00D26335">
        <w:rPr>
          <w:rFonts w:ascii="ITC Avant Garde" w:hAnsi="ITC Avant Garde"/>
        </w:rPr>
        <w:t>muestra de manera</w:t>
      </w:r>
      <w:r w:rsidR="007F27A7">
        <w:rPr>
          <w:rFonts w:ascii="ITC Avant Garde" w:hAnsi="ITC Avant Garde"/>
        </w:rPr>
        <w:t xml:space="preserve"> </w:t>
      </w:r>
      <w:r w:rsidR="007A04F2" w:rsidRPr="00361093">
        <w:rPr>
          <w:rFonts w:ascii="ITC Avant Garde" w:hAnsi="ITC Avant Garde"/>
        </w:rPr>
        <w:t xml:space="preserve">más acorde a un operador eficiente, </w:t>
      </w:r>
      <w:r w:rsidR="00D26335">
        <w:rPr>
          <w:rFonts w:ascii="ITC Avant Garde" w:hAnsi="ITC Avant Garde"/>
        </w:rPr>
        <w:t>evi</w:t>
      </w:r>
      <w:r w:rsidR="00F85E65">
        <w:rPr>
          <w:rFonts w:ascii="ITC Avant Garde" w:hAnsi="ITC Avant Garde"/>
        </w:rPr>
        <w:t xml:space="preserve">tando posibles ineficiencias al considerar parámetros específicos de un operador concreto. </w:t>
      </w:r>
      <w:r w:rsidR="007A04F2" w:rsidRPr="00361093">
        <w:rPr>
          <w:rFonts w:ascii="ITC Avant Garde" w:hAnsi="ITC Avant Garde"/>
        </w:rPr>
        <w:t xml:space="preserve">Asimismo, la utilización de </w:t>
      </w:r>
      <w:r w:rsidR="00F35A34">
        <w:rPr>
          <w:rFonts w:ascii="ITC Avant Garde" w:hAnsi="ITC Avant Garde"/>
        </w:rPr>
        <w:t>diversos</w:t>
      </w:r>
      <w:r w:rsidR="007A04F2" w:rsidRPr="00361093">
        <w:rPr>
          <w:rFonts w:ascii="ITC Avant Garde" w:hAnsi="ITC Avant Garde"/>
        </w:rPr>
        <w:t xml:space="preserve"> </w:t>
      </w:r>
      <w:r w:rsidR="007A04F2">
        <w:rPr>
          <w:rFonts w:ascii="ITC Avant Garde" w:hAnsi="ITC Avant Garde"/>
        </w:rPr>
        <w:t>CCPP</w:t>
      </w:r>
      <w:r w:rsidR="007A04F2" w:rsidRPr="00361093">
        <w:rPr>
          <w:rFonts w:ascii="ITC Avant Garde" w:hAnsi="ITC Avant Garde"/>
        </w:rPr>
        <w:t xml:space="preserve"> solo introduciría mayor subjetividad al ejercicio regulatorio.</w:t>
      </w:r>
    </w:p>
    <w:p w14:paraId="3BAFF31C" w14:textId="77777777" w:rsidR="00A51248" w:rsidRDefault="00A51248" w:rsidP="00F85E65">
      <w:pPr>
        <w:spacing w:after="0" w:line="276" w:lineRule="auto"/>
        <w:rPr>
          <w:rFonts w:ascii="ITC Avant Garde" w:hAnsi="ITC Avant Garde"/>
        </w:rPr>
      </w:pPr>
    </w:p>
    <w:p w14:paraId="20D6CB79" w14:textId="086AC715" w:rsidR="00A51248" w:rsidRPr="00A51248" w:rsidRDefault="00A51248" w:rsidP="00A51248">
      <w:pPr>
        <w:spacing w:after="0" w:line="276" w:lineRule="auto"/>
        <w:rPr>
          <w:rFonts w:ascii="ITC Avant Garde" w:hAnsi="ITC Avant Garde"/>
          <w:lang w:val="es-ES"/>
        </w:rPr>
      </w:pPr>
      <w:r>
        <w:rPr>
          <w:rFonts w:ascii="ITC Avant Garde" w:hAnsi="ITC Avant Garde"/>
          <w:lang w:val="es-ES"/>
        </w:rPr>
        <w:t>E</w:t>
      </w:r>
      <w:r w:rsidR="00911D1A">
        <w:rPr>
          <w:rFonts w:ascii="ITC Avant Garde" w:hAnsi="ITC Avant Garde"/>
          <w:lang w:val="es-ES"/>
        </w:rPr>
        <w:t>n</w:t>
      </w:r>
      <w:r>
        <w:rPr>
          <w:rFonts w:ascii="ITC Avant Garde" w:hAnsi="ITC Avant Garde"/>
          <w:lang w:val="es-ES"/>
        </w:rPr>
        <w:t xml:space="preserve"> este sentido, h</w:t>
      </w:r>
      <w:r w:rsidRPr="00A51248">
        <w:rPr>
          <w:rFonts w:ascii="ITC Avant Garde" w:hAnsi="ITC Avant Garde"/>
          <w:lang w:val="es-ES"/>
        </w:rPr>
        <w:t xml:space="preserve">istóricamente se ha desarrollado estimaciones de CCPP diferenciadas para redes fijas y redes móviles. Esta diferenciación surge de la necesidad normativa de reflejar las diferencias naturales de las redes, por lo que la </w:t>
      </w:r>
      <w:r w:rsidRPr="00A51248">
        <w:rPr>
          <w:rFonts w:ascii="ITC Avant Garde" w:hAnsi="ITC Avant Garde"/>
          <w:lang w:val="es-ES"/>
        </w:rPr>
        <w:lastRenderedPageBreak/>
        <w:t>diferenciación permite asegurar que la estimación de los costos de los servicios cursados a través de cada red hace el mayor uso posible de parámetros específicos, a fin de lograr la estimación más precisa en cada caso. Por este motivo, es que se continúa manteniendo la desagregación entre el CCPP de redes fijas y redes móviles.</w:t>
      </w:r>
    </w:p>
    <w:p w14:paraId="6B4897E1" w14:textId="77777777" w:rsidR="00A51248" w:rsidRPr="00A51248" w:rsidRDefault="00A51248" w:rsidP="00A51248">
      <w:pPr>
        <w:spacing w:after="0" w:line="276" w:lineRule="auto"/>
        <w:rPr>
          <w:rFonts w:ascii="ITC Avant Garde" w:hAnsi="ITC Avant Garde"/>
          <w:lang w:val="es-ES"/>
        </w:rPr>
      </w:pPr>
    </w:p>
    <w:p w14:paraId="5AF7720C" w14:textId="77777777" w:rsidR="00A51248" w:rsidRPr="00A51248" w:rsidRDefault="00A51248" w:rsidP="00A51248">
      <w:pPr>
        <w:spacing w:after="0" w:line="276" w:lineRule="auto"/>
        <w:rPr>
          <w:rFonts w:ascii="ITC Avant Garde" w:hAnsi="ITC Avant Garde"/>
          <w:lang w:val="es-ES"/>
        </w:rPr>
      </w:pPr>
      <w:r w:rsidRPr="00A51248">
        <w:rPr>
          <w:rFonts w:ascii="ITC Avant Garde" w:hAnsi="ITC Avant Garde"/>
          <w:lang w:val="es-ES"/>
        </w:rPr>
        <w:t>Asimismo, se realizará una estimación de un CCPP promedio de la industria de las telecomunicaciones en México (diferenciado entre redes fijas y redes móviles) aplicables a los diferentes modelos de costos que pueda desarrollar el Instituto. Esta alternativa se considera apropiada para la definición del CCPP por los siguientes motivos:</w:t>
      </w:r>
    </w:p>
    <w:p w14:paraId="61DF11FF" w14:textId="77777777" w:rsidR="00A51248" w:rsidRPr="00A51248" w:rsidRDefault="00A51248" w:rsidP="00A51248">
      <w:pPr>
        <w:spacing w:after="0" w:line="276" w:lineRule="auto"/>
        <w:rPr>
          <w:rFonts w:ascii="ITC Avant Garde" w:hAnsi="ITC Avant Garde"/>
          <w:lang w:val="es-ES"/>
        </w:rPr>
      </w:pPr>
    </w:p>
    <w:p w14:paraId="45C24318" w14:textId="77777777" w:rsidR="00A51248" w:rsidRPr="00A51248" w:rsidRDefault="00A51248" w:rsidP="00A51248">
      <w:pPr>
        <w:numPr>
          <w:ilvl w:val="0"/>
          <w:numId w:val="28"/>
        </w:numPr>
        <w:spacing w:after="0" w:line="276" w:lineRule="auto"/>
        <w:rPr>
          <w:rFonts w:ascii="ITC Avant Garde" w:hAnsi="ITC Avant Garde"/>
          <w:lang w:val="es-ES"/>
        </w:rPr>
      </w:pPr>
      <w:r w:rsidRPr="00A51248">
        <w:rPr>
          <w:rFonts w:ascii="ITC Avant Garde" w:hAnsi="ITC Avant Garde"/>
          <w:lang w:val="es-ES"/>
        </w:rPr>
        <w:t>Permite una definición objetiva de un operador eficiente, ya que la utilización de parámetros específicos por operador llevaría a contabilizar las posibles ineficiencias de los operadores.</w:t>
      </w:r>
    </w:p>
    <w:p w14:paraId="4894D94B" w14:textId="77777777" w:rsidR="00A51248" w:rsidRPr="00A51248" w:rsidRDefault="00A51248" w:rsidP="00A51248">
      <w:pPr>
        <w:numPr>
          <w:ilvl w:val="0"/>
          <w:numId w:val="28"/>
        </w:numPr>
        <w:spacing w:after="0" w:line="276" w:lineRule="auto"/>
        <w:rPr>
          <w:rFonts w:ascii="ITC Avant Garde" w:hAnsi="ITC Avant Garde"/>
          <w:lang w:val="es-ES"/>
        </w:rPr>
      </w:pPr>
      <w:r w:rsidRPr="00A51248">
        <w:rPr>
          <w:rFonts w:ascii="ITC Avant Garde" w:hAnsi="ITC Avant Garde"/>
          <w:lang w:val="es-ES"/>
        </w:rPr>
        <w:t>Desde un punto de vista estadístico, los valores de un parámetro de un único operador tendrán un mayor error estadístico que aquellos sobre una muestra de empresas.</w:t>
      </w:r>
    </w:p>
    <w:p w14:paraId="1160E977" w14:textId="77777777" w:rsidR="00A51248" w:rsidRPr="00A51248" w:rsidRDefault="00A51248" w:rsidP="00A51248">
      <w:pPr>
        <w:spacing w:after="0" w:line="276" w:lineRule="auto"/>
        <w:rPr>
          <w:rFonts w:ascii="ITC Avant Garde" w:hAnsi="ITC Avant Garde"/>
          <w:lang w:val="es-ES"/>
        </w:rPr>
      </w:pPr>
    </w:p>
    <w:p w14:paraId="4DE93E31" w14:textId="69946F20" w:rsidR="00A51248" w:rsidRPr="00A51248" w:rsidRDefault="00A51248" w:rsidP="00A51248">
      <w:pPr>
        <w:spacing w:after="0" w:line="276" w:lineRule="auto"/>
        <w:rPr>
          <w:rFonts w:ascii="ITC Avant Garde" w:hAnsi="ITC Avant Garde"/>
          <w:lang w:val="es-ES"/>
        </w:rPr>
      </w:pPr>
      <w:r w:rsidRPr="00A51248">
        <w:rPr>
          <w:rFonts w:ascii="ITC Avant Garde" w:hAnsi="ITC Avant Garde"/>
          <w:lang w:val="es-ES"/>
        </w:rPr>
        <w:t xml:space="preserve">Cabe destacar que los modelos de costos no representan, directamente, a ningún operador real del mercado. Los modelos desarrollan las hipótesis necesarias para modelar operadores eficientes con una escala o características determinadas. Por este motivo, la utilización de un CCPP específico de un operador concreto no sería apropiado en el contexto de la definición de los operadores modelados. En esta misma línea, no se considera apropiado establecer un cálculo diferenciado para </w:t>
      </w:r>
      <w:r w:rsidR="00FC7074">
        <w:rPr>
          <w:rFonts w:ascii="ITC Avant Garde" w:hAnsi="ITC Avant Garde"/>
          <w:lang w:val="es-ES"/>
        </w:rPr>
        <w:t xml:space="preserve">proveedores de </w:t>
      </w:r>
      <w:r w:rsidR="00471482">
        <w:rPr>
          <w:rFonts w:ascii="ITC Avant Garde" w:hAnsi="ITC Avant Garde"/>
          <w:lang w:val="es-ES"/>
        </w:rPr>
        <w:t xml:space="preserve">diferentes servicios mayoristas </w:t>
      </w:r>
      <w:r w:rsidRPr="00A51248">
        <w:rPr>
          <w:rFonts w:ascii="ITC Avant Garde" w:hAnsi="ITC Avant Garde"/>
          <w:lang w:val="es-ES"/>
        </w:rPr>
        <w:t>de las empresas de telecomunicaciones más que la diferenciación entre redes fijas y móviles la cual surge de una definición normativa.</w:t>
      </w:r>
    </w:p>
    <w:p w14:paraId="466AD0EE" w14:textId="77777777" w:rsidR="00A51248" w:rsidRPr="005D2FFF" w:rsidRDefault="00A51248" w:rsidP="00F85E65">
      <w:pPr>
        <w:spacing w:after="0" w:line="276" w:lineRule="auto"/>
        <w:rPr>
          <w:rFonts w:ascii="ITC Avant Garde" w:hAnsi="ITC Avant Garde"/>
          <w:lang w:val="es-ES"/>
        </w:rPr>
      </w:pPr>
    </w:p>
    <w:p w14:paraId="1F15FC51" w14:textId="77777777" w:rsidR="00E91A63" w:rsidRPr="00A271F1" w:rsidRDefault="00E91A63" w:rsidP="00E91A63">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r w:rsidRPr="00A271F1">
        <w:rPr>
          <w:rFonts w:ascii="ITC Avant Garde" w:eastAsia="Times New Roman" w:hAnsi="ITC Avant Garde" w:cs="Times New Roman"/>
          <w:b/>
          <w:color w:val="auto"/>
          <w:lang w:eastAsia="en-US"/>
        </w:rPr>
        <w:t xml:space="preserve">COMENTARIOS AL MODELO DE INTERCONEXIÓN MÓVIL </w:t>
      </w:r>
    </w:p>
    <w:p w14:paraId="297D7530" w14:textId="77777777" w:rsidR="00E91A63" w:rsidRPr="00A271F1" w:rsidRDefault="00E91A63" w:rsidP="00E91A63">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p>
    <w:p w14:paraId="4D056A09" w14:textId="77777777" w:rsidR="00E91A63" w:rsidRPr="00A271F1" w:rsidRDefault="00E91A63" w:rsidP="00E91A63">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Comentarios emitidos sobre participación de mercado y tráfico</w:t>
      </w:r>
    </w:p>
    <w:p w14:paraId="63C1AC91" w14:textId="77777777" w:rsidR="00E91A63" w:rsidRPr="00A271F1" w:rsidRDefault="00E91A63" w:rsidP="00E91A63">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3C2A4453" w14:textId="3AD3685E"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Mega Cable</w:t>
      </w:r>
    </w:p>
    <w:p w14:paraId="3C8BEE08" w14:textId="76C97751" w:rsidR="00E91A63" w:rsidRPr="00A271F1" w:rsidRDefault="00E91A63" w:rsidP="00E91A63">
      <w:pPr>
        <w:shd w:val="clear" w:color="auto" w:fill="FFFFFF" w:themeFill="background1"/>
        <w:spacing w:after="0" w:line="257"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color w:val="auto"/>
          <w:lang w:eastAsia="en-US"/>
        </w:rPr>
        <w:t>Menciona que en la determinación de las tarifas de terminación móviles 2023, no se incorpora el tráfico no contabilizado al usuario (</w:t>
      </w:r>
      <w:r w:rsidRPr="00A271F1">
        <w:rPr>
          <w:rFonts w:ascii="ITC Avant Garde" w:eastAsia="Calibri" w:hAnsi="ITC Avant Garde" w:cs="Times New Roman"/>
          <w:i/>
          <w:iCs/>
          <w:color w:val="auto"/>
          <w:lang w:eastAsia="en-US"/>
        </w:rPr>
        <w:t>zero rating</w:t>
      </w:r>
      <w:r w:rsidRPr="00A271F1">
        <w:rPr>
          <w:rFonts w:ascii="ITC Avant Garde" w:eastAsia="Calibri" w:hAnsi="ITC Avant Garde" w:cs="Times New Roman"/>
          <w:color w:val="auto"/>
          <w:lang w:eastAsia="en-US"/>
        </w:rPr>
        <w:t>), pero que incide sustancialmente en la utilización total de la red, subestimando la proporción de tráfico de datos en las redes móviles, particularmente la del AEP.</w:t>
      </w:r>
    </w:p>
    <w:p w14:paraId="5F37867D"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702F6497" w14:textId="0F381211"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9F15FD">
        <w:rPr>
          <w:rFonts w:ascii="ITC Avant Garde" w:eastAsia="Calibri" w:hAnsi="ITC Avant Garde" w:cs="Times New Roman"/>
          <w:b/>
          <w:color w:val="auto"/>
          <w:u w:val="single"/>
          <w:lang w:eastAsia="en-US"/>
        </w:rPr>
        <w:t>Consideraciones del Instituto</w:t>
      </w:r>
    </w:p>
    <w:p w14:paraId="6532E65F"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3646AF6" w14:textId="6FBFD9F3" w:rsidR="00CB0D91" w:rsidRPr="00CB0D91" w:rsidRDefault="00E91A63" w:rsidP="009F15FD">
      <w:pPr>
        <w:shd w:val="clear" w:color="auto" w:fill="FFFFFF"/>
        <w:spacing w:after="0" w:line="259" w:lineRule="auto"/>
        <w:ind w:left="0" w:right="0" w:firstLine="0"/>
        <w:rPr>
          <w:rFonts w:ascii="ITC Avant Garde" w:hAnsi="ITC Avant Garde"/>
          <w:lang w:val="es-ES"/>
        </w:rPr>
      </w:pPr>
      <w:r w:rsidRPr="00A271F1">
        <w:rPr>
          <w:rFonts w:ascii="ITC Avant Garde" w:eastAsia="ITC Avant Garde" w:hAnsi="ITC Avant Garde" w:cs="ITC Avant Garde"/>
          <w:color w:val="auto"/>
          <w:lang w:val="es-ES" w:eastAsia="en-US"/>
        </w:rPr>
        <w:lastRenderedPageBreak/>
        <w:t>Se debe considerar que en el contexto donde pueden existir grandes asimetrías de información, es razonable que la autoridad reguladora utilice estimaciones con la información que se tiene disponible, además, en el modelo de costos se considera un operador hipotético y no un operador en particular</w:t>
      </w:r>
      <w:r w:rsidR="00347FFA">
        <w:rPr>
          <w:rFonts w:ascii="ITC Avant Garde" w:eastAsia="ITC Avant Garde" w:hAnsi="ITC Avant Garde" w:cs="ITC Avant Garde"/>
          <w:color w:val="auto"/>
          <w:lang w:val="es-ES" w:eastAsia="en-US"/>
        </w:rPr>
        <w:t>. Además, de que e</w:t>
      </w:r>
      <w:r w:rsidR="00CB0D91" w:rsidRPr="00CB0D91">
        <w:rPr>
          <w:rFonts w:ascii="ITC Avant Garde" w:hAnsi="ITC Avant Garde"/>
          <w:lang w:val="es-ES"/>
        </w:rPr>
        <w:t xml:space="preserve">xiste una notable incertidumbre relativa a la potencial evolución de la demanda de datos móviles. </w:t>
      </w:r>
    </w:p>
    <w:p w14:paraId="7540A669" w14:textId="4C3D0DF1" w:rsidR="00CB0D91" w:rsidRPr="00CB0D91" w:rsidRDefault="00CB0D91" w:rsidP="00E91A63">
      <w:pPr>
        <w:shd w:val="clear" w:color="auto" w:fill="FFFFFF"/>
        <w:spacing w:after="0" w:line="259" w:lineRule="auto"/>
        <w:ind w:left="0" w:right="0" w:firstLine="0"/>
        <w:rPr>
          <w:rFonts w:ascii="ITC Avant Garde" w:eastAsia="Calibri" w:hAnsi="ITC Avant Garde" w:cs="Times New Roman"/>
          <w:b/>
          <w:color w:val="auto"/>
          <w:u w:val="single"/>
          <w:lang w:val="es-ES" w:eastAsia="en-US"/>
        </w:rPr>
      </w:pPr>
    </w:p>
    <w:p w14:paraId="36D5BF31" w14:textId="77777777" w:rsidR="00E91A63" w:rsidRPr="00A271F1" w:rsidRDefault="00E91A63" w:rsidP="00E91A63">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 xml:space="preserve">Comentarios emitidos sobre espectro </w:t>
      </w:r>
    </w:p>
    <w:p w14:paraId="41149491"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eastAsia="en-US"/>
        </w:rPr>
      </w:pPr>
    </w:p>
    <w:p w14:paraId="4CCFEBC0" w14:textId="248FC030"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Televisa</w:t>
      </w:r>
      <w:r w:rsidRPr="00A271F1">
        <w:rPr>
          <w:rFonts w:ascii="ITC Avant Garde" w:eastAsia="Calibri" w:hAnsi="ITC Avant Garde" w:cs="Times New Roman"/>
          <w:color w:val="auto"/>
          <w:lang w:eastAsia="en-US"/>
        </w:rPr>
        <w:t xml:space="preserve"> </w:t>
      </w:r>
    </w:p>
    <w:p w14:paraId="5F93F29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color w:val="auto"/>
          <w:lang w:eastAsia="en-US"/>
        </w:rPr>
        <w:t>Menciona que es necesario se tome en cuenta la asignación de la banda de 700 MHz a Altán, considerando los costos y capacidades asociados con esta asignación.</w:t>
      </w:r>
    </w:p>
    <w:p w14:paraId="49CECD38"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p>
    <w:p w14:paraId="1DA3BDEE"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0E3C13">
        <w:rPr>
          <w:rFonts w:ascii="ITC Avant Garde" w:eastAsia="Calibri" w:hAnsi="ITC Avant Garde" w:cs="Times New Roman"/>
          <w:b/>
          <w:color w:val="auto"/>
          <w:u w:val="single"/>
          <w:lang w:eastAsia="en-US"/>
        </w:rPr>
        <w:t>Consideraciones del Instituto</w:t>
      </w:r>
    </w:p>
    <w:p w14:paraId="2DBA0C1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56F4DEF" w14:textId="50180AAF" w:rsidR="00E91A63" w:rsidRPr="00E162E6" w:rsidRDefault="00CB0D91"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sidRPr="00E162E6">
        <w:rPr>
          <w:rFonts w:ascii="ITC Avant Garde" w:hAnsi="ITC Avant Garde"/>
          <w:lang w:val="es-ES"/>
        </w:rPr>
        <w:t xml:space="preserve">Altán todavía no goza de una escala suficiente como para ser considerado un operador eficiente, y de incluirse como parte del </w:t>
      </w:r>
      <w:r w:rsidR="00C00E52">
        <w:rPr>
          <w:rFonts w:ascii="ITC Avant Garde" w:hAnsi="ITC Avant Garde"/>
          <w:lang w:val="es-ES"/>
        </w:rPr>
        <w:t>concesionario alternativo</w:t>
      </w:r>
      <w:r w:rsidRPr="00E162E6">
        <w:rPr>
          <w:rFonts w:ascii="ITC Avant Garde" w:hAnsi="ITC Avant Garde"/>
          <w:lang w:val="es-ES"/>
        </w:rPr>
        <w:t>, esto proporcionaría incentivos inadecuados en los precios de los servicios mayoristas.</w:t>
      </w:r>
    </w:p>
    <w:p w14:paraId="2A0DB9C5" w14:textId="77777777" w:rsidR="00E91A63" w:rsidRPr="00A271F1" w:rsidRDefault="00E91A63" w:rsidP="00E91A63">
      <w:pPr>
        <w:shd w:val="clear" w:color="auto" w:fill="FFFFFF"/>
        <w:autoSpaceDE w:val="0"/>
        <w:autoSpaceDN w:val="0"/>
        <w:adjustRightInd w:val="0"/>
        <w:spacing w:after="0" w:line="259" w:lineRule="auto"/>
        <w:ind w:left="0" w:right="0" w:firstLine="0"/>
        <w:rPr>
          <w:rFonts w:ascii="ITC Avant Garde" w:eastAsia="Times New Roman" w:hAnsi="ITC Avant Garde" w:cs="Times New Roman"/>
          <w:b/>
          <w:color w:val="auto"/>
          <w:lang w:eastAsia="en-US"/>
        </w:rPr>
      </w:pPr>
    </w:p>
    <w:p w14:paraId="6B9C7C47" w14:textId="77777777" w:rsidR="00E91A63" w:rsidRPr="00A271F1" w:rsidRDefault="00E91A63" w:rsidP="00E91A63">
      <w:pPr>
        <w:shd w:val="clear" w:color="auto" w:fill="FFFFFF"/>
        <w:autoSpaceDE w:val="0"/>
        <w:autoSpaceDN w:val="0"/>
        <w:adjustRightInd w:val="0"/>
        <w:spacing w:after="0" w:line="259" w:lineRule="auto"/>
        <w:ind w:left="0" w:right="0" w:firstLine="0"/>
        <w:rPr>
          <w:rFonts w:ascii="ITC Avant Garde" w:eastAsia="Times New Roman" w:hAnsi="ITC Avant Garde" w:cs="Times New Roman"/>
          <w:b/>
          <w:color w:val="auto"/>
          <w:lang w:eastAsia="en-US"/>
        </w:rPr>
      </w:pPr>
      <w:r w:rsidRPr="00A271F1">
        <w:rPr>
          <w:rFonts w:ascii="ITC Avant Garde" w:eastAsia="Times New Roman" w:hAnsi="ITC Avant Garde" w:cs="Times New Roman"/>
          <w:b/>
          <w:color w:val="auto"/>
          <w:lang w:eastAsia="en-US"/>
        </w:rPr>
        <w:t>COMENTARIOS AL EL MODELO DE ENLACES DEDICADOS</w:t>
      </w:r>
    </w:p>
    <w:p w14:paraId="6D589518"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eastAsia="en-US"/>
        </w:rPr>
      </w:pPr>
    </w:p>
    <w:p w14:paraId="4FE8806A" w14:textId="14AB4B7B"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Televisa</w:t>
      </w:r>
      <w:r w:rsidRPr="00A271F1">
        <w:rPr>
          <w:rFonts w:ascii="ITC Avant Garde" w:eastAsia="Calibri" w:hAnsi="ITC Avant Garde" w:cs="Times New Roman"/>
          <w:color w:val="auto"/>
          <w:lang w:eastAsia="en-US"/>
        </w:rPr>
        <w:t xml:space="preserve"> </w:t>
      </w:r>
    </w:p>
    <w:p w14:paraId="25934ABC" w14:textId="455EADFF" w:rsidR="00E91A63" w:rsidRPr="00A271F1" w:rsidRDefault="007D3E09" w:rsidP="00E91A63">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S</w:t>
      </w:r>
      <w:r w:rsidR="00E91A63" w:rsidRPr="00A271F1">
        <w:rPr>
          <w:rFonts w:ascii="ITC Avant Garde" w:eastAsia="Calibri" w:hAnsi="ITC Avant Garde" w:cs="Times New Roman"/>
          <w:color w:val="auto"/>
          <w:lang w:eastAsia="en-US"/>
        </w:rPr>
        <w:t>olicita que el modelo de enlaces dedicados sea enlazado al modelo de interconexión fijo de tal manera que pueda trazarse y validarse el origen de los distintos insumos de ese modelo, para poder analizar el escenario e insumos de entrada utilizado en el modelo de interconexión fijo.</w:t>
      </w:r>
    </w:p>
    <w:p w14:paraId="1EA6DB2D"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2330EC4"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color w:val="auto"/>
          <w:u w:val="single"/>
          <w:lang w:eastAsia="en-US"/>
        </w:rPr>
        <w:t>Consideraciones del Instituto</w:t>
      </w:r>
    </w:p>
    <w:p w14:paraId="7BCA1844"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4B40AAE" w14:textId="5C45E1FB" w:rsidR="00E162E6" w:rsidRPr="00E162E6" w:rsidRDefault="00065A0C" w:rsidP="00E91A63">
      <w:pPr>
        <w:shd w:val="clear" w:color="auto" w:fill="FFFFFF"/>
        <w:spacing w:after="0" w:line="259" w:lineRule="auto"/>
        <w:ind w:left="0" w:right="0" w:firstLine="0"/>
        <w:rPr>
          <w:rFonts w:ascii="ITC Avant Garde" w:hAnsi="ITC Avant Garde"/>
          <w:lang w:val="es-ES"/>
        </w:rPr>
      </w:pPr>
      <w:r>
        <w:rPr>
          <w:rFonts w:ascii="ITC Avant Garde" w:hAnsi="ITC Avant Garde"/>
          <w:lang w:val="es-ES"/>
        </w:rPr>
        <w:t xml:space="preserve">En el proyecto de consulta </w:t>
      </w:r>
      <w:r w:rsidR="00E25DF5">
        <w:rPr>
          <w:rFonts w:ascii="ITC Avant Garde" w:hAnsi="ITC Avant Garde"/>
          <w:lang w:val="es-ES"/>
        </w:rPr>
        <w:t>s</w:t>
      </w:r>
      <w:r w:rsidR="00E162E6" w:rsidRPr="00E162E6">
        <w:rPr>
          <w:rFonts w:ascii="ITC Avant Garde" w:hAnsi="ITC Avant Garde"/>
          <w:lang w:val="es-ES"/>
        </w:rPr>
        <w:t>e han incluido dos hojas de cálculo en el módulo de mercado (</w:t>
      </w:r>
      <w:r w:rsidR="00E162E6" w:rsidRPr="00E162E6">
        <w:rPr>
          <w:rFonts w:ascii="ITC Avant Garde" w:hAnsi="ITC Avant Garde"/>
          <w:i/>
          <w:iCs/>
          <w:lang w:val="es-ES"/>
        </w:rPr>
        <w:t>ED</w:t>
      </w:r>
      <w:r w:rsidR="00E162E6" w:rsidRPr="00E162E6">
        <w:rPr>
          <w:rFonts w:ascii="ITC Avant Garde" w:hAnsi="ITC Avant Garde"/>
          <w:lang w:val="es-ES"/>
        </w:rPr>
        <w:t xml:space="preserve"> </w:t>
      </w:r>
      <w:r w:rsidR="00E162E6" w:rsidRPr="00E162E6">
        <w:rPr>
          <w:rFonts w:ascii="ITC Avant Garde" w:hAnsi="ITC Avant Garde"/>
          <w:i/>
          <w:iCs/>
          <w:lang w:val="es-ES"/>
        </w:rPr>
        <w:t>- Locales</w:t>
      </w:r>
      <w:r w:rsidR="00E162E6" w:rsidRPr="00E162E6">
        <w:rPr>
          <w:rFonts w:ascii="ITC Avant Garde" w:hAnsi="ITC Avant Garde"/>
          <w:lang w:val="es-ES"/>
        </w:rPr>
        <w:t xml:space="preserve"> y </w:t>
      </w:r>
      <w:r w:rsidR="00E162E6" w:rsidRPr="00E162E6">
        <w:rPr>
          <w:rFonts w:ascii="ITC Avant Garde" w:hAnsi="ITC Avant Garde"/>
          <w:i/>
          <w:iCs/>
          <w:lang w:val="es-ES"/>
        </w:rPr>
        <w:t>ED - Entre localidades</w:t>
      </w:r>
      <w:r w:rsidR="00E162E6" w:rsidRPr="00E162E6">
        <w:rPr>
          <w:rFonts w:ascii="ITC Avant Garde" w:hAnsi="ITC Avant Garde"/>
          <w:lang w:val="es-ES"/>
        </w:rPr>
        <w:t>) que muestran cómo se han realizado las proyecciones de la demanda. Sin embargo, dado que esta información proviene del AEP y es confidencial, se han anonimizado los datos de entrada (estos están indicados con un recuadro rosa). Esto quiere decir que los valores que aparecen en el módulo de enlaces dedicados son algo distintos a los valores que aparecen en el módulo de mercado</w:t>
      </w:r>
      <w:r w:rsidR="00E25DF5">
        <w:rPr>
          <w:rFonts w:ascii="ITC Avant Garde" w:hAnsi="ITC Avant Garde"/>
          <w:lang w:val="es-ES"/>
        </w:rPr>
        <w:t xml:space="preserve"> para mantener la confidencialidad</w:t>
      </w:r>
      <w:r w:rsidR="00E162E6" w:rsidRPr="00E162E6">
        <w:rPr>
          <w:rFonts w:ascii="ITC Avant Garde" w:hAnsi="ITC Avant Garde"/>
          <w:lang w:val="es-ES"/>
        </w:rPr>
        <w:t>.</w:t>
      </w:r>
    </w:p>
    <w:p w14:paraId="312C7471" w14:textId="77777777" w:rsidR="00E91A63" w:rsidRPr="00E162E6" w:rsidRDefault="00E91A63" w:rsidP="00E91A63">
      <w:pPr>
        <w:shd w:val="clear" w:color="auto" w:fill="FFFFFF"/>
        <w:spacing w:after="0" w:line="259" w:lineRule="auto"/>
        <w:ind w:left="0" w:right="0" w:firstLine="0"/>
        <w:rPr>
          <w:rFonts w:ascii="ITC Avant Garde" w:eastAsia="Times New Roman" w:hAnsi="ITC Avant Garde" w:cs="Times New Roman"/>
          <w:color w:val="auto"/>
          <w:u w:val="single"/>
          <w:lang w:eastAsia="en-US"/>
        </w:rPr>
      </w:pPr>
    </w:p>
    <w:p w14:paraId="117BD2E5" w14:textId="77777777" w:rsidR="00E91A63" w:rsidRPr="00A271F1" w:rsidRDefault="00E91A63" w:rsidP="00E91A63">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 xml:space="preserve">Comentarios emitidos sobre el gradiente </w:t>
      </w:r>
    </w:p>
    <w:p w14:paraId="56564560"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lang w:eastAsia="en-US"/>
        </w:rPr>
      </w:pPr>
    </w:p>
    <w:p w14:paraId="762645B1" w14:textId="5D1BCBAE"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eastAsia="en-US"/>
        </w:rPr>
      </w:pPr>
      <w:r w:rsidRPr="00A271F1">
        <w:rPr>
          <w:rFonts w:ascii="ITC Avant Garde" w:eastAsia="Calibri" w:hAnsi="ITC Avant Garde" w:cs="Times New Roman"/>
          <w:b/>
          <w:color w:val="auto"/>
          <w:lang w:eastAsia="en-US"/>
        </w:rPr>
        <w:t>Televisa</w:t>
      </w:r>
    </w:p>
    <w:p w14:paraId="354C83CC" w14:textId="6B2F3C30" w:rsidR="00E91A63" w:rsidRPr="00A271F1" w:rsidRDefault="00717960" w:rsidP="00E91A63">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S</w:t>
      </w:r>
      <w:r w:rsidR="00E91A63" w:rsidRPr="00A271F1">
        <w:rPr>
          <w:rFonts w:ascii="ITC Avant Garde" w:eastAsia="Calibri" w:hAnsi="ITC Avant Garde" w:cs="Times New Roman"/>
          <w:color w:val="auto"/>
          <w:lang w:eastAsia="en-US"/>
        </w:rPr>
        <w:t xml:space="preserve">eñala que los gradientes utilizados en el modelo de enlaces para TDM y Ethernet hacen que los costos no se redistribuyan de manera causal, sino obedeciendo a </w:t>
      </w:r>
      <w:r w:rsidR="00E91A63" w:rsidRPr="00A271F1">
        <w:rPr>
          <w:rFonts w:ascii="ITC Avant Garde" w:eastAsia="Calibri" w:hAnsi="ITC Avant Garde" w:cs="Times New Roman"/>
          <w:color w:val="auto"/>
          <w:lang w:eastAsia="en-US"/>
        </w:rPr>
        <w:lastRenderedPageBreak/>
        <w:t>una política regulatoria. Por lo que solicita la eliminación de los gradientes y que se estimen los costos de los enlaces dedicados de manera estricta mediante una orientación a costos eficientes.</w:t>
      </w:r>
    </w:p>
    <w:p w14:paraId="5369038C" w14:textId="77777777" w:rsidR="00E91A63" w:rsidRPr="00A271F1" w:rsidRDefault="00E91A63" w:rsidP="00E91A63">
      <w:pPr>
        <w:shd w:val="clear" w:color="auto" w:fill="FFFFFF"/>
        <w:spacing w:after="0" w:line="259" w:lineRule="auto"/>
        <w:ind w:left="708" w:right="0" w:hanging="708"/>
        <w:rPr>
          <w:rFonts w:ascii="ITC Avant Garde" w:eastAsia="Calibri" w:hAnsi="ITC Avant Garde" w:cs="Times New Roman"/>
          <w:b/>
          <w:color w:val="auto"/>
          <w:u w:val="single"/>
          <w:lang w:eastAsia="en-US"/>
        </w:rPr>
      </w:pPr>
    </w:p>
    <w:p w14:paraId="7EB9F4E9"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color w:val="auto"/>
          <w:u w:val="single"/>
          <w:lang w:eastAsia="en-US"/>
        </w:rPr>
        <w:t>Consideraciones del Instituto</w:t>
      </w:r>
    </w:p>
    <w:p w14:paraId="3EF593CB"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E33A40A"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sidRPr="00A271F1">
        <w:rPr>
          <w:rFonts w:ascii="ITC Avant Garde" w:eastAsia="Calibri" w:hAnsi="ITC Avant Garde" w:cs="Times New Roman"/>
          <w:color w:val="auto"/>
          <w:lang w:val="es-ES" w:eastAsia="en-US"/>
        </w:rPr>
        <w:t>El uso del gradiente es un elemento de cálculo que permite distribuir los costos totales del servicio mayorista de arrendamiento de enlaces dedicados entre las distintas capacidades.</w:t>
      </w:r>
    </w:p>
    <w:p w14:paraId="4E2916E8"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960A51D" w14:textId="72153EE2"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r w:rsidRPr="00A271F1">
        <w:rPr>
          <w:rFonts w:ascii="ITC Avant Garde" w:eastAsia="Calibri" w:hAnsi="ITC Avant Garde" w:cs="Times New Roman"/>
          <w:color w:val="auto"/>
          <w:lang w:val="es-ES" w:eastAsia="en-US"/>
        </w:rPr>
        <w:t xml:space="preserve">Por otro lado, </w:t>
      </w:r>
      <w:r w:rsidR="00E162E6">
        <w:rPr>
          <w:rFonts w:ascii="ITC Avant Garde" w:eastAsia="Calibri" w:hAnsi="ITC Avant Garde" w:cs="Times New Roman"/>
          <w:color w:val="auto"/>
          <w:lang w:val="es-ES" w:eastAsia="en-US"/>
        </w:rPr>
        <w:t>c</w:t>
      </w:r>
      <w:r w:rsidRPr="00A271F1">
        <w:rPr>
          <w:rFonts w:ascii="ITC Avant Garde" w:eastAsia="Calibri" w:hAnsi="ITC Avant Garde" w:cs="Times New Roman"/>
          <w:color w:val="auto"/>
          <w:lang w:val="es-ES" w:eastAsia="en-US"/>
        </w:rPr>
        <w:t>onforme las tecnologías se vuelven más eficientes, la capacidad transmitida se incrementa sin que el costo por proveer el servicio lo haga de manera directamente proporcional.</w:t>
      </w:r>
    </w:p>
    <w:p w14:paraId="2BAB136B"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C310DDA" w14:textId="1A0DB93D" w:rsidR="00E162E6" w:rsidRDefault="00E162E6" w:rsidP="00E162E6">
      <w:pPr>
        <w:shd w:val="clear" w:color="auto" w:fill="FFFFFF"/>
        <w:spacing w:after="0" w:line="259" w:lineRule="auto"/>
        <w:ind w:left="0" w:right="0" w:firstLine="0"/>
        <w:rPr>
          <w:rFonts w:ascii="ITC Avant Garde" w:hAnsi="ITC Avant Garde"/>
          <w:lang w:val="es-ES"/>
        </w:rPr>
      </w:pPr>
      <w:r w:rsidRPr="00E162E6">
        <w:rPr>
          <w:rFonts w:ascii="ITC Avant Garde" w:hAnsi="ITC Avant Garde"/>
          <w:lang w:val="es-ES"/>
        </w:rPr>
        <w:t>Existen dinámicas a nivel comercial en lo que respecta a los precios como resultado de la elasticidad de la demanda que son imposibles de capturar a través de criterios puramente técnicos, y el objetivo del gradiente es capturar estas dinámicas y asegurar una recuperación de los costos completamente causal</w:t>
      </w:r>
      <w:r>
        <w:rPr>
          <w:rFonts w:ascii="ITC Avant Garde" w:hAnsi="ITC Avant Garde"/>
          <w:lang w:val="es-ES"/>
        </w:rPr>
        <w:t>.</w:t>
      </w:r>
    </w:p>
    <w:p w14:paraId="1B8824C4" w14:textId="77777777" w:rsidR="00E162E6" w:rsidRPr="00E162E6" w:rsidRDefault="00E162E6" w:rsidP="00E162E6">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C5B1889" w14:textId="77777777" w:rsidR="00E91A63" w:rsidRPr="00A271F1" w:rsidRDefault="00E91A63" w:rsidP="00E91A63">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
          <w:color w:val="auto"/>
          <w:lang w:eastAsia="en-US"/>
        </w:rPr>
      </w:pPr>
      <w:r w:rsidRPr="00A271F1">
        <w:rPr>
          <w:rFonts w:ascii="ITC Avant Garde" w:eastAsia="Times New Roman" w:hAnsi="ITC Avant Garde" w:cs="Times New Roman"/>
          <w:b/>
          <w:color w:val="auto"/>
          <w:lang w:eastAsia="en-US"/>
        </w:rPr>
        <w:t>COMENTARIOS AL MODELO DE COUBICACIÓN</w:t>
      </w:r>
    </w:p>
    <w:p w14:paraId="4DC93149" w14:textId="77777777" w:rsidR="00E91A63" w:rsidRPr="00A271F1" w:rsidRDefault="00E91A63" w:rsidP="00E91A63">
      <w:pPr>
        <w:keepNext/>
        <w:keepLines/>
        <w:shd w:val="clear" w:color="auto" w:fill="FFFFFF"/>
        <w:spacing w:after="0" w:line="257" w:lineRule="auto"/>
        <w:ind w:left="0" w:right="0" w:firstLine="0"/>
        <w:jc w:val="left"/>
        <w:outlineLvl w:val="2"/>
        <w:rPr>
          <w:rFonts w:ascii="ITC Avant Garde" w:eastAsia="Times New Roman" w:hAnsi="ITC Avant Garde" w:cs="Times New Roman"/>
          <w:b/>
          <w:color w:val="auto"/>
          <w:u w:val="single"/>
          <w:lang w:eastAsia="en-US"/>
        </w:rPr>
      </w:pPr>
    </w:p>
    <w:p w14:paraId="3A749E8D" w14:textId="77777777" w:rsidR="00E91A63" w:rsidRPr="00A271F1" w:rsidRDefault="00E91A63" w:rsidP="00E91A63">
      <w:pPr>
        <w:keepNext/>
        <w:keepLines/>
        <w:shd w:val="clear" w:color="auto" w:fill="FFFFFF" w:themeFill="background1"/>
        <w:spacing w:after="0" w:line="257" w:lineRule="auto"/>
        <w:ind w:left="0" w:right="0" w:firstLine="0"/>
        <w:jc w:val="left"/>
        <w:outlineLvl w:val="2"/>
        <w:rPr>
          <w:rFonts w:ascii="ITC Avant Garde" w:eastAsia="Times New Roman" w:hAnsi="ITC Avant Garde" w:cs="Times New Roman"/>
          <w:b/>
          <w:color w:val="auto"/>
          <w:u w:val="single"/>
          <w:lang w:eastAsia="en-US"/>
        </w:rPr>
      </w:pPr>
      <w:r w:rsidRPr="00A271F1">
        <w:rPr>
          <w:rFonts w:ascii="ITC Avant Garde" w:eastAsia="Times New Roman" w:hAnsi="ITC Avant Garde" w:cs="Times New Roman"/>
          <w:b/>
          <w:color w:val="auto"/>
          <w:u w:val="single"/>
          <w:lang w:eastAsia="en-US"/>
        </w:rPr>
        <w:t>Comentarios emitidos sobre publicación del modelo de coubicación</w:t>
      </w:r>
    </w:p>
    <w:p w14:paraId="26F369AE" w14:textId="77777777" w:rsidR="00E91A63" w:rsidRPr="00A271F1" w:rsidRDefault="00E91A63" w:rsidP="00E91A63">
      <w:pPr>
        <w:keepNext/>
        <w:keepLines/>
        <w:shd w:val="clear" w:color="auto" w:fill="FFFFFF" w:themeFill="background1"/>
        <w:spacing w:after="0" w:line="257" w:lineRule="auto"/>
        <w:ind w:left="0" w:right="0" w:firstLine="0"/>
        <w:jc w:val="left"/>
        <w:outlineLvl w:val="2"/>
        <w:rPr>
          <w:b/>
          <w:bCs/>
          <w:color w:val="auto"/>
          <w:u w:val="single"/>
          <w:lang w:eastAsia="en-US"/>
        </w:rPr>
      </w:pPr>
    </w:p>
    <w:p w14:paraId="5E2623DC" w14:textId="4086E01E" w:rsidR="00E91A63" w:rsidRPr="00DB46B9" w:rsidRDefault="00E91A63" w:rsidP="00E91A63">
      <w:pPr>
        <w:shd w:val="clear" w:color="auto" w:fill="FFFFFF" w:themeFill="background1"/>
        <w:spacing w:after="0" w:line="259" w:lineRule="auto"/>
        <w:ind w:left="0" w:right="0" w:firstLine="0"/>
        <w:rPr>
          <w:color w:val="auto"/>
          <w:lang w:val="es-ES" w:eastAsia="en-US"/>
        </w:rPr>
      </w:pPr>
      <w:r w:rsidRPr="00DB46B9">
        <w:rPr>
          <w:rFonts w:ascii="ITC Avant Garde" w:eastAsia="Calibri" w:hAnsi="ITC Avant Garde" w:cs="Times New Roman"/>
          <w:b/>
          <w:color w:val="auto"/>
          <w:u w:val="single"/>
          <w:lang w:eastAsia="en-US"/>
        </w:rPr>
        <w:t>Televisa</w:t>
      </w:r>
    </w:p>
    <w:p w14:paraId="783AA83A" w14:textId="3A2BEBE0" w:rsidR="00E91A63" w:rsidRPr="00DB46B9" w:rsidRDefault="00BE0F4E"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r w:rsidRPr="00DB46B9">
        <w:rPr>
          <w:rFonts w:ascii="ITC Avant Garde" w:eastAsia="ITC Avant Garde" w:hAnsi="ITC Avant Garde" w:cs="ITC Avant Garde"/>
          <w:color w:val="auto"/>
          <w:lang w:val="es-ES" w:eastAsia="en-US"/>
        </w:rPr>
        <w:t>S</w:t>
      </w:r>
      <w:r w:rsidR="00E91A63" w:rsidRPr="00DB46B9">
        <w:rPr>
          <w:rFonts w:ascii="ITC Avant Garde" w:eastAsia="ITC Avant Garde" w:hAnsi="ITC Avant Garde" w:cs="ITC Avant Garde"/>
          <w:color w:val="auto"/>
          <w:lang w:val="es-ES" w:eastAsia="en-US"/>
        </w:rPr>
        <w:t xml:space="preserve">eñala que el espacio físico libre no deja de ser propiedad del AEP y no deja de ser gestionado por este hasta que puede asignarlo o arrendarlo a un tercero. </w:t>
      </w:r>
    </w:p>
    <w:p w14:paraId="7D54BC31" w14:textId="77777777" w:rsidR="00E91A63" w:rsidRPr="00DB46B9" w:rsidRDefault="00E91A63"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36C49F35" w14:textId="1CDEE7A1" w:rsidR="00E91A63" w:rsidRPr="00A271F1" w:rsidRDefault="00E91A63"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r w:rsidRPr="00DB46B9">
        <w:rPr>
          <w:rFonts w:ascii="ITC Avant Garde" w:eastAsia="ITC Avant Garde" w:hAnsi="ITC Avant Garde" w:cs="ITC Avant Garde"/>
          <w:color w:val="auto"/>
          <w:lang w:val="es-ES" w:eastAsia="en-US"/>
        </w:rPr>
        <w:t xml:space="preserve">De igual manera, comenta que el costo de la infraestructura pasiva sea ajustado a su punto de amortización actual para evitar la </w:t>
      </w:r>
      <w:r w:rsidR="00E162E6" w:rsidRPr="00DB46B9">
        <w:rPr>
          <w:rFonts w:ascii="ITC Avant Garde" w:eastAsia="ITC Avant Garde" w:hAnsi="ITC Avant Garde" w:cs="ITC Avant Garde"/>
          <w:color w:val="auto"/>
          <w:lang w:val="es-ES" w:eastAsia="en-US"/>
        </w:rPr>
        <w:t>sobre recuperación</w:t>
      </w:r>
      <w:r w:rsidRPr="00DB46B9">
        <w:rPr>
          <w:rFonts w:ascii="ITC Avant Garde" w:eastAsia="ITC Avant Garde" w:hAnsi="ITC Avant Garde" w:cs="ITC Avant Garde"/>
          <w:color w:val="auto"/>
          <w:lang w:val="es-ES" w:eastAsia="en-US"/>
        </w:rPr>
        <w:t xml:space="preserve"> de estos costos.</w:t>
      </w:r>
    </w:p>
    <w:p w14:paraId="301C9463" w14:textId="77777777" w:rsidR="00E91A63" w:rsidRPr="00A271F1" w:rsidRDefault="00E91A63" w:rsidP="00E91A63">
      <w:pPr>
        <w:shd w:val="clear" w:color="auto" w:fill="FFFFFF" w:themeFill="background1"/>
        <w:spacing w:after="0" w:line="259" w:lineRule="auto"/>
        <w:ind w:left="0" w:right="0" w:firstLine="0"/>
        <w:rPr>
          <w:rFonts w:ascii="ITC Avant Garde" w:eastAsia="Calibri" w:hAnsi="ITC Avant Garde" w:cs="Times New Roman"/>
          <w:b/>
          <w:bCs/>
          <w:color w:val="auto"/>
          <w:u w:val="single"/>
          <w:lang w:eastAsia="en-US"/>
        </w:rPr>
      </w:pPr>
    </w:p>
    <w:p w14:paraId="53757587"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DB46B9">
        <w:rPr>
          <w:rFonts w:ascii="ITC Avant Garde" w:eastAsia="Calibri" w:hAnsi="ITC Avant Garde" w:cs="Times New Roman"/>
          <w:b/>
          <w:color w:val="auto"/>
          <w:u w:val="single"/>
          <w:lang w:eastAsia="en-US"/>
        </w:rPr>
        <w:t>Consideraciones del Instituto</w:t>
      </w:r>
    </w:p>
    <w:p w14:paraId="69524A80" w14:textId="77777777" w:rsidR="0094516E" w:rsidRDefault="0094516E"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5C6724B" w14:textId="3015C165" w:rsidR="0094516E" w:rsidRPr="000E3C13" w:rsidRDefault="0094516E" w:rsidP="00E91A63">
      <w:pPr>
        <w:shd w:val="clear" w:color="auto" w:fill="FFFFFF"/>
        <w:spacing w:after="0" w:line="259" w:lineRule="auto"/>
        <w:ind w:left="0" w:right="0" w:firstLine="0"/>
        <w:rPr>
          <w:rFonts w:ascii="ITC Avant Garde" w:eastAsia="Calibri" w:hAnsi="ITC Avant Garde" w:cs="Times New Roman"/>
          <w:bCs/>
          <w:color w:val="auto"/>
          <w:lang w:eastAsia="en-US"/>
        </w:rPr>
      </w:pPr>
      <w:r>
        <w:rPr>
          <w:rFonts w:ascii="ITC Avant Garde" w:eastAsia="Calibri" w:hAnsi="ITC Avant Garde" w:cs="Times New Roman"/>
          <w:bCs/>
          <w:color w:val="auto"/>
          <w:lang w:eastAsia="en-US"/>
        </w:rPr>
        <w:t xml:space="preserve">Se </w:t>
      </w:r>
      <w:r w:rsidR="00291FBB">
        <w:rPr>
          <w:rFonts w:ascii="ITC Avant Garde" w:eastAsia="Calibri" w:hAnsi="ITC Avant Garde" w:cs="Times New Roman"/>
          <w:bCs/>
          <w:color w:val="auto"/>
          <w:lang w:eastAsia="en-US"/>
        </w:rPr>
        <w:t>insiste en que los modelos de costos se desarrollan bajo el principio de operadores hipotéticos</w:t>
      </w:r>
      <w:r w:rsidR="000D41A5">
        <w:rPr>
          <w:rFonts w:ascii="ITC Avant Garde" w:eastAsia="Calibri" w:hAnsi="ITC Avant Garde" w:cs="Times New Roman"/>
          <w:bCs/>
          <w:color w:val="auto"/>
          <w:lang w:eastAsia="en-US"/>
        </w:rPr>
        <w:t xml:space="preserve"> eficientes, los cuales se pueden </w:t>
      </w:r>
      <w:r w:rsidR="00EA769D">
        <w:rPr>
          <w:rFonts w:ascii="ITC Avant Garde" w:eastAsia="Calibri" w:hAnsi="ITC Avant Garde" w:cs="Times New Roman"/>
          <w:bCs/>
          <w:color w:val="auto"/>
          <w:lang w:eastAsia="en-US"/>
        </w:rPr>
        <w:t xml:space="preserve">caracterizar </w:t>
      </w:r>
      <w:r w:rsidR="008B2EF9">
        <w:rPr>
          <w:rFonts w:ascii="ITC Avant Garde" w:eastAsia="Calibri" w:hAnsi="ITC Avant Garde" w:cs="Times New Roman"/>
          <w:bCs/>
          <w:color w:val="auto"/>
          <w:lang w:eastAsia="en-US"/>
        </w:rPr>
        <w:t xml:space="preserve">o no </w:t>
      </w:r>
      <w:r w:rsidR="00EA769D">
        <w:rPr>
          <w:rFonts w:ascii="ITC Avant Garde" w:eastAsia="Calibri" w:hAnsi="ITC Avant Garde" w:cs="Times New Roman"/>
          <w:bCs/>
          <w:color w:val="auto"/>
          <w:lang w:eastAsia="en-US"/>
        </w:rPr>
        <w:t xml:space="preserve">con datos o información de operadores reales para su calibración. </w:t>
      </w:r>
    </w:p>
    <w:p w14:paraId="5C2A9488"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E03155D" w14:textId="229A5E48" w:rsidR="00E91A63" w:rsidRPr="00A271F1" w:rsidRDefault="00E91A63" w:rsidP="00E91A63">
      <w:pPr>
        <w:shd w:val="clear" w:color="auto" w:fill="FFFFFF" w:themeFill="background1"/>
        <w:spacing w:after="0" w:line="259" w:lineRule="auto"/>
        <w:ind w:left="0" w:right="0" w:firstLine="0"/>
        <w:rPr>
          <w:color w:val="auto"/>
          <w:lang w:val="es-ES" w:eastAsia="en-US"/>
        </w:rPr>
      </w:pPr>
      <w:r w:rsidRPr="00130F22">
        <w:rPr>
          <w:rFonts w:ascii="ITC Avant Garde" w:eastAsia="Calibri" w:hAnsi="ITC Avant Garde" w:cs="Times New Roman"/>
          <w:b/>
          <w:bCs/>
          <w:color w:val="auto"/>
          <w:lang w:eastAsia="en-US"/>
        </w:rPr>
        <w:t>Mega Cable</w:t>
      </w:r>
    </w:p>
    <w:p w14:paraId="67577590" w14:textId="055F037F" w:rsidR="00E91A63" w:rsidRPr="00A271F1" w:rsidRDefault="00BE0F4E"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r w:rsidRPr="00DB46B9">
        <w:rPr>
          <w:rFonts w:ascii="ITC Avant Garde" w:eastAsia="ITC Avant Garde" w:hAnsi="ITC Avant Garde" w:cs="ITC Avant Garde"/>
          <w:color w:val="auto"/>
          <w:lang w:val="es-ES" w:eastAsia="en-US"/>
        </w:rPr>
        <w:t>S</w:t>
      </w:r>
      <w:r w:rsidR="00E91A63" w:rsidRPr="00DB46B9">
        <w:rPr>
          <w:rFonts w:ascii="ITC Avant Garde" w:eastAsia="ITC Avant Garde" w:hAnsi="ITC Avant Garde" w:cs="ITC Avant Garde"/>
          <w:color w:val="auto"/>
          <w:lang w:val="es-ES" w:eastAsia="en-US"/>
        </w:rPr>
        <w:t>eñala</w:t>
      </w:r>
      <w:r w:rsidR="00E91A63" w:rsidRPr="00A271F1">
        <w:rPr>
          <w:rFonts w:ascii="ITC Avant Garde" w:eastAsia="ITC Avant Garde" w:hAnsi="ITC Avant Garde" w:cs="ITC Avant Garde"/>
          <w:color w:val="auto"/>
          <w:lang w:val="es-ES" w:eastAsia="en-US"/>
        </w:rPr>
        <w:t xml:space="preserve"> que no se ofrece mucho </w:t>
      </w:r>
      <w:r w:rsidR="00E91A63" w:rsidRPr="00DB46B9">
        <w:rPr>
          <w:rFonts w:ascii="ITC Avant Garde" w:eastAsia="ITC Avant Garde" w:hAnsi="ITC Avant Garde" w:cs="ITC Avant Garde"/>
          <w:color w:val="auto"/>
          <w:lang w:val="es-ES" w:eastAsia="en-US"/>
        </w:rPr>
        <w:t>detalle sobre las fuentes de los costos de los insumos considerados</w:t>
      </w:r>
      <w:r w:rsidR="00E91A63" w:rsidRPr="00A271F1">
        <w:rPr>
          <w:rFonts w:ascii="ITC Avant Garde" w:eastAsia="ITC Avant Garde" w:hAnsi="ITC Avant Garde" w:cs="ITC Avant Garde"/>
          <w:color w:val="auto"/>
          <w:lang w:val="es-ES" w:eastAsia="en-US"/>
        </w:rPr>
        <w:t xml:space="preserve">. Si la información se basara en la provista por el AEP como parte de sus obligaciones de separación contable u otras establecidas, no supondría información </w:t>
      </w:r>
      <w:r w:rsidR="00E91A63" w:rsidRPr="00DB46B9">
        <w:rPr>
          <w:rFonts w:ascii="ITC Avant Garde" w:eastAsia="ITC Avant Garde" w:hAnsi="ITC Avant Garde" w:cs="ITC Avant Garde"/>
          <w:color w:val="auto"/>
          <w:lang w:val="es-ES" w:eastAsia="en-US"/>
        </w:rPr>
        <w:t>de un operador hipotético eficiente</w:t>
      </w:r>
      <w:r w:rsidR="00E91A63" w:rsidRPr="00A271F1">
        <w:rPr>
          <w:rFonts w:ascii="ITC Avant Garde" w:eastAsia="ITC Avant Garde" w:hAnsi="ITC Avant Garde" w:cs="ITC Avant Garde"/>
          <w:color w:val="auto"/>
          <w:lang w:val="es-ES" w:eastAsia="en-US"/>
        </w:rPr>
        <w:t xml:space="preserve"> en un entorno competitivo.</w:t>
      </w:r>
    </w:p>
    <w:p w14:paraId="2145FAEB" w14:textId="77777777" w:rsidR="00E91A63" w:rsidRPr="00A271F1" w:rsidRDefault="00E91A63"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14B7C88A"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DB46B9">
        <w:rPr>
          <w:rFonts w:ascii="ITC Avant Garde" w:eastAsia="Calibri" w:hAnsi="ITC Avant Garde" w:cs="Times New Roman"/>
          <w:b/>
          <w:color w:val="auto"/>
          <w:u w:val="single"/>
          <w:lang w:eastAsia="en-US"/>
        </w:rPr>
        <w:lastRenderedPageBreak/>
        <w:t>Consideraciones del Instituto</w:t>
      </w:r>
    </w:p>
    <w:p w14:paraId="69950E54" w14:textId="77777777" w:rsidR="00E91A63"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37E4B31" w14:textId="1F22428C" w:rsidR="00EB6195" w:rsidRPr="00256826" w:rsidRDefault="00EB6195" w:rsidP="00E91A63">
      <w:pPr>
        <w:shd w:val="clear" w:color="auto" w:fill="FFFFFF"/>
        <w:spacing w:after="0" w:line="259" w:lineRule="auto"/>
        <w:ind w:left="0" w:right="0" w:firstLine="0"/>
        <w:rPr>
          <w:rFonts w:ascii="ITC Avant Garde" w:eastAsia="Calibri" w:hAnsi="ITC Avant Garde" w:cs="Times New Roman"/>
          <w:bCs/>
          <w:color w:val="auto"/>
          <w:lang w:eastAsia="en-US"/>
        </w:rPr>
      </w:pPr>
      <w:r w:rsidRPr="00256826">
        <w:rPr>
          <w:rFonts w:ascii="ITC Avant Garde" w:eastAsia="Calibri" w:hAnsi="ITC Avant Garde" w:cs="Times New Roman"/>
          <w:bCs/>
          <w:color w:val="auto"/>
          <w:lang w:eastAsia="en-US"/>
        </w:rPr>
        <w:t xml:space="preserve">El propio modelo </w:t>
      </w:r>
      <w:r w:rsidR="00256826">
        <w:rPr>
          <w:rFonts w:ascii="ITC Avant Garde" w:eastAsia="Calibri" w:hAnsi="ITC Avant Garde" w:cs="Times New Roman"/>
          <w:bCs/>
          <w:color w:val="auto"/>
          <w:lang w:eastAsia="en-US"/>
        </w:rPr>
        <w:t xml:space="preserve">desarrollado </w:t>
      </w:r>
      <w:r w:rsidRPr="00256826">
        <w:rPr>
          <w:rFonts w:ascii="ITC Avant Garde" w:eastAsia="Calibri" w:hAnsi="ITC Avant Garde" w:cs="Times New Roman"/>
          <w:bCs/>
          <w:color w:val="auto"/>
          <w:lang w:eastAsia="en-US"/>
        </w:rPr>
        <w:t xml:space="preserve">presenta </w:t>
      </w:r>
      <w:r>
        <w:rPr>
          <w:rFonts w:ascii="ITC Avant Garde" w:eastAsia="Calibri" w:hAnsi="ITC Avant Garde" w:cs="Times New Roman"/>
          <w:bCs/>
          <w:color w:val="auto"/>
          <w:lang w:eastAsia="en-US"/>
        </w:rPr>
        <w:t xml:space="preserve">las estimaciones y las fuentes </w:t>
      </w:r>
      <w:r w:rsidR="00256826">
        <w:rPr>
          <w:rFonts w:ascii="ITC Avant Garde" w:eastAsia="Calibri" w:hAnsi="ITC Avant Garde" w:cs="Times New Roman"/>
          <w:bCs/>
          <w:color w:val="auto"/>
          <w:lang w:eastAsia="en-US"/>
        </w:rPr>
        <w:t xml:space="preserve">empleadas en cada uno de los insumos incluidos </w:t>
      </w:r>
      <w:r>
        <w:rPr>
          <w:rFonts w:ascii="ITC Avant Garde" w:eastAsia="Calibri" w:hAnsi="ITC Avant Garde" w:cs="Times New Roman"/>
          <w:bCs/>
          <w:color w:val="auto"/>
          <w:lang w:eastAsia="en-US"/>
        </w:rPr>
        <w:t xml:space="preserve">que pueden provenir </w:t>
      </w:r>
      <w:r w:rsidR="00256826">
        <w:rPr>
          <w:rFonts w:ascii="ITC Avant Garde" w:eastAsia="Calibri" w:hAnsi="ITC Avant Garde" w:cs="Times New Roman"/>
          <w:bCs/>
          <w:color w:val="auto"/>
          <w:lang w:eastAsia="en-US"/>
        </w:rPr>
        <w:t xml:space="preserve">de </w:t>
      </w:r>
      <w:r>
        <w:rPr>
          <w:rFonts w:ascii="ITC Avant Garde" w:eastAsia="Calibri" w:hAnsi="ITC Avant Garde" w:cs="Times New Roman"/>
          <w:bCs/>
          <w:color w:val="auto"/>
          <w:lang w:eastAsia="en-US"/>
        </w:rPr>
        <w:t>los operadores que brindan el servicio</w:t>
      </w:r>
      <w:r w:rsidR="00256826">
        <w:rPr>
          <w:rFonts w:ascii="ITC Avant Garde" w:eastAsia="Calibri" w:hAnsi="ITC Avant Garde" w:cs="Times New Roman"/>
          <w:bCs/>
          <w:color w:val="auto"/>
          <w:lang w:eastAsia="en-US"/>
        </w:rPr>
        <w:t xml:space="preserve">, </w:t>
      </w:r>
      <w:r>
        <w:rPr>
          <w:rFonts w:ascii="ITC Avant Garde" w:eastAsia="Calibri" w:hAnsi="ITC Avant Garde" w:cs="Times New Roman"/>
          <w:bCs/>
          <w:color w:val="auto"/>
          <w:lang w:eastAsia="en-US"/>
        </w:rPr>
        <w:t xml:space="preserve">incluido el AEP.  </w:t>
      </w:r>
      <w:r w:rsidR="00256826">
        <w:rPr>
          <w:rFonts w:ascii="ITC Avant Garde" w:eastAsia="Calibri" w:hAnsi="ITC Avant Garde" w:cs="Times New Roman"/>
          <w:bCs/>
          <w:color w:val="auto"/>
          <w:lang w:eastAsia="en-US"/>
        </w:rPr>
        <w:t xml:space="preserve">En ese sentido, los datos incluidos en el modelo se basan en la </w:t>
      </w:r>
      <w:r w:rsidR="00CF0A53">
        <w:rPr>
          <w:rFonts w:ascii="ITC Avant Garde" w:eastAsia="Calibri" w:hAnsi="ITC Avant Garde" w:cs="Times New Roman"/>
          <w:bCs/>
          <w:color w:val="auto"/>
          <w:lang w:eastAsia="en-US"/>
        </w:rPr>
        <w:t xml:space="preserve">mejor </w:t>
      </w:r>
      <w:r w:rsidR="00256826">
        <w:rPr>
          <w:rFonts w:ascii="ITC Avant Garde" w:eastAsia="Calibri" w:hAnsi="ITC Avant Garde" w:cs="Times New Roman"/>
          <w:bCs/>
          <w:color w:val="auto"/>
          <w:lang w:eastAsia="en-US"/>
        </w:rPr>
        <w:t>información disponible para el proceso de calibración misma que puede ser con los valores reportados por los operadores.</w:t>
      </w:r>
    </w:p>
    <w:p w14:paraId="1EA95379" w14:textId="77777777" w:rsidR="00E91A63" w:rsidRPr="00EB6195" w:rsidRDefault="00E91A63" w:rsidP="00E91A63">
      <w:pPr>
        <w:spacing w:after="0" w:line="276" w:lineRule="auto"/>
        <w:ind w:left="0" w:right="0" w:firstLine="0"/>
        <w:rPr>
          <w:rFonts w:ascii="ITC Avant Garde" w:eastAsia="ITC Avant Garde" w:hAnsi="ITC Avant Garde" w:cs="ITC Avant Garde"/>
          <w:color w:val="000000" w:themeColor="text1"/>
          <w:highlight w:val="red"/>
          <w:lang w:val="es-ES" w:eastAsia="en-US"/>
        </w:rPr>
      </w:pPr>
    </w:p>
    <w:p w14:paraId="60F4086B" w14:textId="77777777" w:rsidR="00E91A63" w:rsidRPr="00A271F1" w:rsidRDefault="00E91A63" w:rsidP="00E91A63">
      <w:pPr>
        <w:spacing w:after="0" w:line="276" w:lineRule="auto"/>
        <w:ind w:left="0" w:right="0" w:firstLine="0"/>
        <w:rPr>
          <w:rFonts w:ascii="ITC Avant Garde" w:eastAsia="Times New Roman" w:hAnsi="ITC Avant Garde" w:cs="Times New Roman"/>
          <w:b/>
          <w:color w:val="auto"/>
          <w:lang w:eastAsia="en-US"/>
        </w:rPr>
      </w:pPr>
      <w:r w:rsidRPr="00A271F1">
        <w:rPr>
          <w:rFonts w:ascii="ITC Avant Garde" w:eastAsia="Times New Roman" w:hAnsi="ITC Avant Garde" w:cs="Times New Roman"/>
          <w:b/>
          <w:color w:val="auto"/>
          <w:lang w:eastAsia="en-US"/>
        </w:rPr>
        <w:t>COMENTARIOS GENERALES</w:t>
      </w:r>
    </w:p>
    <w:p w14:paraId="0CF3EB4F" w14:textId="77777777" w:rsidR="00E91A63" w:rsidRPr="00A271F1" w:rsidRDefault="00E91A63" w:rsidP="00E91A63">
      <w:pPr>
        <w:spacing w:after="0" w:line="276" w:lineRule="auto"/>
        <w:ind w:left="0" w:right="0" w:firstLine="0"/>
        <w:rPr>
          <w:rFonts w:ascii="ITC Avant Garde" w:eastAsia="Times New Roman" w:hAnsi="ITC Avant Garde" w:cs="Times New Roman"/>
          <w:b/>
          <w:color w:val="auto"/>
          <w:lang w:eastAsia="en-US"/>
        </w:rPr>
      </w:pPr>
    </w:p>
    <w:p w14:paraId="2B570236" w14:textId="056C7122" w:rsidR="00E91A63" w:rsidRPr="00A271F1" w:rsidRDefault="00E91A63" w:rsidP="00E91A63">
      <w:pPr>
        <w:spacing w:after="0" w:line="276" w:lineRule="auto"/>
        <w:ind w:left="0" w:right="0" w:firstLine="0"/>
        <w:rPr>
          <w:rFonts w:ascii="ITC Avant Garde" w:eastAsia="ITC Avant Garde" w:hAnsi="ITC Avant Garde" w:cs="ITC Avant Garde"/>
          <w:b/>
          <w:bCs/>
          <w:color w:val="auto"/>
        </w:rPr>
      </w:pPr>
      <w:r w:rsidRPr="00A271F1">
        <w:rPr>
          <w:rFonts w:ascii="ITC Avant Garde" w:eastAsia="ITC Avant Garde" w:hAnsi="ITC Avant Garde" w:cs="ITC Avant Garde"/>
          <w:b/>
          <w:bCs/>
          <w:color w:val="auto"/>
        </w:rPr>
        <w:t xml:space="preserve">Mega Cable </w:t>
      </w:r>
    </w:p>
    <w:p w14:paraId="43FCA95C" w14:textId="37774379"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r w:rsidRPr="00A271F1">
        <w:rPr>
          <w:rFonts w:ascii="ITC Avant Garde" w:eastAsia="Calibri" w:hAnsi="ITC Avant Garde" w:cs="Times New Roman"/>
          <w:color w:val="auto"/>
          <w:lang w:val="es-ES" w:eastAsia="en-US"/>
        </w:rPr>
        <w:t>Menciona que las metodologías para determinar tarifas de interconexión ideados y desarrollados con la situación tecnológica, comercial y de mercado existente hace más de una década, no corresponden a la dinámica de innovación tecnológica y comercial observada en los últimos años y por lo tanto a la realidad actual del sector, ni las expectativas del sector en el corto plazo.</w:t>
      </w:r>
    </w:p>
    <w:p w14:paraId="4EF9FCCC" w14:textId="77777777" w:rsidR="00E91A63" w:rsidRPr="00A271F1" w:rsidRDefault="00E91A63"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6763F7C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color w:val="auto"/>
          <w:u w:val="single"/>
          <w:lang w:eastAsia="en-US"/>
        </w:rPr>
        <w:t>Consideraciones del Instituto</w:t>
      </w:r>
    </w:p>
    <w:p w14:paraId="01263736" w14:textId="77777777"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p>
    <w:p w14:paraId="3220CDE3" w14:textId="7564495A"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r w:rsidRPr="00A271F1">
        <w:rPr>
          <w:rFonts w:ascii="ITC Avant Garde" w:eastAsia="Calibri" w:hAnsi="ITC Avant Garde" w:cs="Times New Roman"/>
          <w:color w:val="auto"/>
          <w:lang w:val="es-ES" w:eastAsia="en-US"/>
        </w:rPr>
        <w:t>Si bien, los principios de la metodología de costos no han cambiado, el modelo de costos sí lo ha hecho para reflejar la realidad del mercado en cada periodo (sin necesidad de modificar la metodología). Además, los principios de la metodología de costos son coincidentes tanto con las mejores prácticas internacionales que se aplican actualmente como con el marco regulatorio vigente.</w:t>
      </w:r>
      <w:r w:rsidR="00640B38">
        <w:rPr>
          <w:rFonts w:ascii="ITC Avant Garde" w:eastAsia="Calibri" w:hAnsi="ITC Avant Garde" w:cs="Times New Roman"/>
          <w:color w:val="auto"/>
          <w:lang w:val="es-ES" w:eastAsia="en-US"/>
        </w:rPr>
        <w:t xml:space="preserve"> Asimismo, los modelos </w:t>
      </w:r>
      <w:r w:rsidR="00192C8A">
        <w:rPr>
          <w:rFonts w:ascii="ITC Avant Garde" w:eastAsia="Calibri" w:hAnsi="ITC Avant Garde" w:cs="Times New Roman"/>
          <w:color w:val="auto"/>
          <w:lang w:val="es-ES" w:eastAsia="en-US"/>
        </w:rPr>
        <w:t xml:space="preserve">consideran tendencias de costos, ya sean reales o nominales, en las cuales incorporan </w:t>
      </w:r>
      <w:r w:rsidR="000300F0">
        <w:rPr>
          <w:rFonts w:ascii="ITC Avant Garde" w:eastAsia="Calibri" w:hAnsi="ITC Avant Garde" w:cs="Times New Roman"/>
          <w:color w:val="auto"/>
          <w:lang w:val="es-ES" w:eastAsia="en-US"/>
        </w:rPr>
        <w:t>directamente el sentido de eficiencia tecnológica.</w:t>
      </w:r>
    </w:p>
    <w:p w14:paraId="2F874AF1" w14:textId="77777777"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p>
    <w:p w14:paraId="2A15AB4F" w14:textId="275B8993"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r w:rsidRPr="00A271F1">
        <w:rPr>
          <w:rFonts w:ascii="ITC Avant Garde" w:eastAsia="Times New Roman" w:hAnsi="ITC Avant Garde" w:cs="Times New Roman"/>
          <w:b/>
          <w:color w:val="auto"/>
          <w:lang w:eastAsia="en-US"/>
        </w:rPr>
        <w:t xml:space="preserve">Mega Cable </w:t>
      </w:r>
    </w:p>
    <w:p w14:paraId="1C59ACED" w14:textId="70E1FAC0"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r w:rsidRPr="0001335A">
        <w:rPr>
          <w:rFonts w:ascii="ITC Avant Garde" w:eastAsia="Calibri" w:hAnsi="ITC Avant Garde" w:cs="Times New Roman"/>
          <w:color w:val="auto"/>
          <w:lang w:val="es-ES" w:eastAsia="en-US"/>
        </w:rPr>
        <w:t>Menciona</w:t>
      </w:r>
      <w:r w:rsidRPr="00A271F1">
        <w:rPr>
          <w:rFonts w:ascii="ITC Avant Garde" w:eastAsia="Calibri" w:hAnsi="ITC Avant Garde" w:cs="Times New Roman"/>
          <w:color w:val="auto"/>
          <w:lang w:val="es-ES" w:eastAsia="en-US"/>
        </w:rPr>
        <w:t xml:space="preserve"> que </w:t>
      </w:r>
      <w:r w:rsidRPr="0001335A">
        <w:rPr>
          <w:rFonts w:ascii="ITC Avant Garde" w:eastAsia="Calibri" w:hAnsi="ITC Avant Garde" w:cs="Times New Roman"/>
          <w:color w:val="auto"/>
          <w:lang w:val="es-ES" w:eastAsia="en-US"/>
        </w:rPr>
        <w:t>las tarifas del servicio de terminación OMV</w:t>
      </w:r>
      <w:r w:rsidRPr="00A271F1">
        <w:rPr>
          <w:rFonts w:ascii="ITC Avant Garde" w:eastAsia="Calibri" w:hAnsi="ITC Avant Garde" w:cs="Times New Roman"/>
          <w:color w:val="auto"/>
          <w:lang w:val="es-ES" w:eastAsia="en-US"/>
        </w:rPr>
        <w:t>, al ser demasiado elevadas, tampoco han sido efectivas en promover el desarrollo de servicios OMVs competitivos</w:t>
      </w:r>
      <w:r w:rsidR="00CF0A53">
        <w:rPr>
          <w:rFonts w:ascii="ITC Avant Garde" w:eastAsia="Calibri" w:hAnsi="ITC Avant Garde" w:cs="Times New Roman"/>
          <w:color w:val="auto"/>
          <w:lang w:val="es-ES" w:eastAsia="en-US"/>
        </w:rPr>
        <w:t>.</w:t>
      </w:r>
    </w:p>
    <w:p w14:paraId="6D7448BD"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01335A">
        <w:rPr>
          <w:rFonts w:ascii="ITC Avant Garde" w:eastAsia="Calibri" w:hAnsi="ITC Avant Garde" w:cs="Times New Roman"/>
          <w:b/>
          <w:color w:val="auto"/>
          <w:u w:val="single"/>
          <w:lang w:eastAsia="en-US"/>
        </w:rPr>
        <w:t>Consideraciones del Instituto</w:t>
      </w:r>
    </w:p>
    <w:p w14:paraId="21175B9F" w14:textId="77777777"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p>
    <w:p w14:paraId="1822980A" w14:textId="4BDEA041" w:rsidR="00E91A63" w:rsidRPr="00A271F1" w:rsidRDefault="006A7AF9" w:rsidP="00E91A63">
      <w:pPr>
        <w:spacing w:after="0" w:line="276" w:lineRule="auto"/>
        <w:ind w:left="0" w:right="0" w:firstLine="0"/>
        <w:rPr>
          <w:rFonts w:ascii="ITC Avant Garde" w:eastAsia="Calibri" w:hAnsi="ITC Avant Garde" w:cs="Times New Roman"/>
          <w:color w:val="auto"/>
          <w:lang w:val="es-ES" w:eastAsia="en-US"/>
        </w:rPr>
      </w:pPr>
      <w:r w:rsidRPr="006A7AF9">
        <w:rPr>
          <w:rFonts w:ascii="ITC Avant Garde" w:eastAsia="Calibri" w:hAnsi="ITC Avant Garde" w:cs="Times New Roman"/>
          <w:color w:val="auto"/>
          <w:lang w:val="es-ES" w:eastAsia="en-US"/>
        </w:rPr>
        <w:t>La tarifa de terminación de un OMV es solo un traslado de la tarifa de terminación cobrada por el operador host</w:t>
      </w:r>
      <w:r w:rsidR="001350EC" w:rsidRPr="0001335A">
        <w:rPr>
          <w:rFonts w:ascii="ITC Avant Garde" w:eastAsia="Calibri" w:hAnsi="ITC Avant Garde" w:cs="Times New Roman"/>
          <w:color w:val="auto"/>
          <w:lang w:val="es-ES" w:eastAsia="en-US"/>
        </w:rPr>
        <w:t xml:space="preserve">, esto porque </w:t>
      </w:r>
      <w:r w:rsidR="00141EFE" w:rsidRPr="0001335A">
        <w:rPr>
          <w:rFonts w:ascii="ITC Avant Garde" w:eastAsia="Calibri" w:hAnsi="ITC Avant Garde" w:cs="Times New Roman"/>
          <w:color w:val="auto"/>
          <w:lang w:val="es-ES" w:eastAsia="en-US"/>
        </w:rPr>
        <w:t>es este último quien efectivamente hace</w:t>
      </w:r>
      <w:r w:rsidRPr="006A7AF9">
        <w:rPr>
          <w:rFonts w:ascii="ITC Avant Garde" w:eastAsia="Calibri" w:hAnsi="ITC Avant Garde" w:cs="Times New Roman"/>
          <w:color w:val="auto"/>
          <w:lang w:val="es-ES" w:eastAsia="en-US"/>
        </w:rPr>
        <w:t xml:space="preserve"> la </w:t>
      </w:r>
      <w:r w:rsidR="00141EFE" w:rsidRPr="0001335A">
        <w:rPr>
          <w:rFonts w:ascii="ITC Avant Garde" w:eastAsia="Calibri" w:hAnsi="ITC Avant Garde" w:cs="Times New Roman"/>
          <w:color w:val="auto"/>
          <w:lang w:val="es-ES" w:eastAsia="en-US"/>
        </w:rPr>
        <w:t>terminación</w:t>
      </w:r>
      <w:r w:rsidR="00141EFE">
        <w:rPr>
          <w:rFonts w:ascii="ITC Avant Garde" w:eastAsia="Calibri" w:hAnsi="ITC Avant Garde" w:cs="Times New Roman"/>
          <w:color w:val="auto"/>
          <w:lang w:val="es-ES" w:eastAsia="en-US"/>
        </w:rPr>
        <w:t xml:space="preserve"> y </w:t>
      </w:r>
      <w:r w:rsidR="00E91A63" w:rsidDel="00E80778">
        <w:rPr>
          <w:rFonts w:ascii="ITC Avant Garde" w:eastAsia="Calibri" w:hAnsi="ITC Avant Garde" w:cs="Times New Roman"/>
          <w:color w:val="auto"/>
          <w:lang w:val="es-ES" w:eastAsia="en-US"/>
        </w:rPr>
        <w:t xml:space="preserve">el </w:t>
      </w:r>
      <w:r w:rsidR="00141EFE">
        <w:rPr>
          <w:rFonts w:ascii="ITC Avant Garde" w:eastAsia="Calibri" w:hAnsi="ITC Avant Garde" w:cs="Times New Roman"/>
          <w:color w:val="auto"/>
          <w:lang w:val="es-ES" w:eastAsia="en-US"/>
        </w:rPr>
        <w:t>tráfico</w:t>
      </w:r>
      <w:r w:rsidR="00E91A63" w:rsidDel="00E80778">
        <w:rPr>
          <w:rFonts w:ascii="ITC Avant Garde" w:eastAsia="Calibri" w:hAnsi="ITC Avant Garde" w:cs="Times New Roman"/>
          <w:color w:val="auto"/>
          <w:lang w:val="es-ES" w:eastAsia="en-US"/>
        </w:rPr>
        <w:t xml:space="preserve"> que </w:t>
      </w:r>
      <w:r w:rsidR="00E46510">
        <w:rPr>
          <w:rFonts w:ascii="ITC Avant Garde" w:eastAsia="Calibri" w:hAnsi="ITC Avant Garde" w:cs="Times New Roman"/>
          <w:color w:val="auto"/>
          <w:lang w:val="es-ES" w:eastAsia="en-US"/>
        </w:rPr>
        <w:t xml:space="preserve">genera el OMV solo es un agregado </w:t>
      </w:r>
      <w:r w:rsidR="00E91A63" w:rsidDel="00E80778">
        <w:rPr>
          <w:rFonts w:ascii="ITC Avant Garde" w:eastAsia="Calibri" w:hAnsi="ITC Avant Garde" w:cs="Times New Roman"/>
          <w:color w:val="auto"/>
          <w:lang w:val="es-ES" w:eastAsia="en-US"/>
        </w:rPr>
        <w:t xml:space="preserve">que </w:t>
      </w:r>
      <w:r w:rsidR="00E46510">
        <w:rPr>
          <w:rFonts w:ascii="ITC Avant Garde" w:eastAsia="Calibri" w:hAnsi="ITC Avant Garde" w:cs="Times New Roman"/>
          <w:color w:val="auto"/>
          <w:lang w:val="es-ES" w:eastAsia="en-US"/>
        </w:rPr>
        <w:t xml:space="preserve">contribuye a </w:t>
      </w:r>
      <w:r w:rsidR="00E91A63" w:rsidDel="00E80778">
        <w:rPr>
          <w:rFonts w:ascii="ITC Avant Garde" w:eastAsia="Calibri" w:hAnsi="ITC Avant Garde" w:cs="Times New Roman"/>
          <w:color w:val="auto"/>
          <w:lang w:val="es-ES" w:eastAsia="en-US"/>
        </w:rPr>
        <w:t xml:space="preserve">la </w:t>
      </w:r>
      <w:r w:rsidR="00E46510">
        <w:rPr>
          <w:rFonts w:ascii="ITC Avant Garde" w:eastAsia="Calibri" w:hAnsi="ITC Avant Garde" w:cs="Times New Roman"/>
          <w:color w:val="auto"/>
          <w:lang w:val="es-ES" w:eastAsia="en-US"/>
        </w:rPr>
        <w:t>escala del operados host</w:t>
      </w:r>
      <w:r w:rsidR="00E91A63" w:rsidDel="00E80778">
        <w:rPr>
          <w:rFonts w:ascii="ITC Avant Garde" w:eastAsia="Calibri" w:hAnsi="ITC Avant Garde" w:cs="Times New Roman"/>
          <w:color w:val="auto"/>
          <w:lang w:val="es-ES" w:eastAsia="en-US"/>
        </w:rPr>
        <w:t>.</w:t>
      </w:r>
    </w:p>
    <w:p w14:paraId="022F70BB" w14:textId="77777777"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p>
    <w:p w14:paraId="0E4AF683" w14:textId="4603328E" w:rsidR="00F85CD3" w:rsidRPr="00A271F1" w:rsidRDefault="00130F22" w:rsidP="00F85CD3">
      <w:pPr>
        <w:spacing w:after="0" w:line="276" w:lineRule="auto"/>
        <w:ind w:left="0" w:right="0" w:firstLine="0"/>
        <w:rPr>
          <w:rFonts w:ascii="ITC Avant Garde" w:eastAsia="Calibri" w:hAnsi="ITC Avant Garde" w:cs="Times New Roman"/>
          <w:color w:val="auto"/>
          <w:lang w:val="es-ES" w:eastAsia="en-US"/>
        </w:rPr>
      </w:pPr>
      <w:r>
        <w:rPr>
          <w:rFonts w:ascii="ITC Avant Garde" w:eastAsia="Times New Roman" w:hAnsi="ITC Avant Garde" w:cs="Times New Roman"/>
          <w:b/>
          <w:color w:val="auto"/>
          <w:lang w:eastAsia="en-US"/>
        </w:rPr>
        <w:t>Telefónica</w:t>
      </w:r>
    </w:p>
    <w:p w14:paraId="5BFC8F52" w14:textId="6F3B15BB" w:rsidR="00F85CD3" w:rsidRPr="003E7AF2" w:rsidRDefault="00022232" w:rsidP="00F85CD3">
      <w:pPr>
        <w:shd w:val="clear" w:color="auto" w:fill="FFFFFF" w:themeFill="background1"/>
        <w:spacing w:after="0" w:line="259"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S</w:t>
      </w:r>
      <w:r w:rsidR="00F85CD3" w:rsidRPr="003E7AF2">
        <w:rPr>
          <w:rFonts w:ascii="ITC Avant Garde" w:eastAsia="Calibri" w:hAnsi="ITC Avant Garde" w:cs="Times New Roman"/>
          <w:color w:val="auto"/>
          <w:lang w:val="es-ES" w:eastAsia="en-US"/>
        </w:rPr>
        <w:t xml:space="preserve">eñala que se debe de ajustar y considerar como mercado OMV, el tráfico que es cursado únicamente por fuera de los operadores de red minorista, ya que este </w:t>
      </w:r>
      <w:r w:rsidR="00F85CD3" w:rsidRPr="003E7AF2">
        <w:rPr>
          <w:rFonts w:ascii="ITC Avant Garde" w:eastAsia="Calibri" w:hAnsi="ITC Avant Garde" w:cs="Times New Roman"/>
          <w:color w:val="auto"/>
          <w:lang w:val="es-ES" w:eastAsia="en-US"/>
        </w:rPr>
        <w:lastRenderedPageBreak/>
        <w:t>estaría lejos de ser el 5%, por lo que solicita el ajuste del valor de mercado OMV al valor que es cursado estrictamente por la Red Compartida.</w:t>
      </w:r>
    </w:p>
    <w:p w14:paraId="2FEDF2E6" w14:textId="4023943B" w:rsidR="00F85CD3" w:rsidRPr="003E7AF2" w:rsidRDefault="00F85CD3" w:rsidP="00F85CD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76249C60" w14:textId="35EDE9C6" w:rsidR="00130F22" w:rsidRPr="00A271F1" w:rsidRDefault="00130F22" w:rsidP="00130F22">
      <w:pPr>
        <w:spacing w:after="0" w:line="276" w:lineRule="auto"/>
        <w:ind w:left="0" w:right="0" w:firstLine="0"/>
        <w:rPr>
          <w:rFonts w:ascii="ITC Avant Garde" w:eastAsia="Calibri" w:hAnsi="ITC Avant Garde" w:cs="Times New Roman"/>
          <w:color w:val="auto"/>
          <w:lang w:val="es-ES" w:eastAsia="en-US"/>
        </w:rPr>
      </w:pPr>
      <w:r w:rsidRPr="003E7AF2">
        <w:rPr>
          <w:rFonts w:ascii="ITC Avant Garde" w:eastAsia="Calibri" w:hAnsi="ITC Avant Garde" w:cs="Times New Roman"/>
          <w:color w:val="auto"/>
          <w:lang w:val="es-ES" w:eastAsia="en-US"/>
        </w:rPr>
        <w:t>Además,</w:t>
      </w:r>
      <w:r w:rsidRPr="003E7AF2" w:rsidDel="00823165">
        <w:rPr>
          <w:rFonts w:ascii="ITC Avant Garde" w:eastAsia="Calibri" w:hAnsi="ITC Avant Garde" w:cs="Times New Roman"/>
          <w:color w:val="auto"/>
          <w:lang w:val="es-ES" w:eastAsia="en-US"/>
        </w:rPr>
        <w:t xml:space="preserve"> </w:t>
      </w:r>
      <w:r w:rsidRPr="003E7AF2">
        <w:rPr>
          <w:rFonts w:ascii="ITC Avant Garde" w:eastAsia="Calibri" w:hAnsi="ITC Avant Garde" w:cs="Times New Roman"/>
          <w:color w:val="auto"/>
          <w:lang w:val="es-ES" w:eastAsia="en-US"/>
        </w:rPr>
        <w:t>menciona que la cuota de mercado de OMV se sustrae únicamente de la cuota de mercado del operador no preponderante modelado en el modelo de costos para la tarifa de terminación móvil de los CS no preponderantes.</w:t>
      </w:r>
    </w:p>
    <w:p w14:paraId="1DE33C37" w14:textId="3189BAD6" w:rsidR="00130F22" w:rsidRDefault="00130F22" w:rsidP="00F85CD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03133128" w14:textId="27D7635E" w:rsidR="00F85CD3" w:rsidRPr="00A271F1" w:rsidRDefault="00F85CD3" w:rsidP="00F85CD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color w:val="auto"/>
          <w:u w:val="single"/>
          <w:lang w:eastAsia="en-US"/>
        </w:rPr>
        <w:t>Consideraciones del Instituto</w:t>
      </w:r>
    </w:p>
    <w:p w14:paraId="12518262" w14:textId="77777777" w:rsidR="00F85CD3" w:rsidRDefault="00F85CD3" w:rsidP="00F85CD3">
      <w:pPr>
        <w:spacing w:after="0" w:line="276" w:lineRule="auto"/>
        <w:ind w:left="0" w:right="0" w:firstLine="0"/>
        <w:rPr>
          <w:rFonts w:ascii="ITC Avant Garde" w:eastAsia="Calibri" w:hAnsi="ITC Avant Garde" w:cs="Times New Roman"/>
          <w:color w:val="auto"/>
          <w:lang w:val="es-ES" w:eastAsia="en-US"/>
        </w:rPr>
      </w:pPr>
    </w:p>
    <w:p w14:paraId="03377567" w14:textId="22557EC6" w:rsidR="00E91A63" w:rsidRPr="00130F22" w:rsidRDefault="00130F22" w:rsidP="00E91A63">
      <w:pPr>
        <w:shd w:val="clear" w:color="auto" w:fill="FFFFFF" w:themeFill="background1"/>
        <w:spacing w:after="0" w:line="259" w:lineRule="auto"/>
        <w:ind w:left="0" w:right="0" w:firstLine="0"/>
        <w:rPr>
          <w:rFonts w:ascii="ITC Avant Garde" w:hAnsi="ITC Avant Garde"/>
          <w:color w:val="auto"/>
          <w:lang w:val="es-ES"/>
        </w:rPr>
      </w:pPr>
      <w:r w:rsidRPr="00130F22">
        <w:rPr>
          <w:rFonts w:ascii="ITC Avant Garde" w:hAnsi="ITC Avant Garde"/>
          <w:color w:val="auto"/>
          <w:lang w:val="es-ES"/>
        </w:rPr>
        <w:t>Se ha ajustado la cuota del AEP modelado, de tal manera que incorpore la demanda de los OMV que operan sobre su red. Esta modificación aumenta la cuota de mercado del AEP de 62.6% a 63.5% en el año 2022.</w:t>
      </w:r>
    </w:p>
    <w:p w14:paraId="45447349" w14:textId="77777777" w:rsidR="00130F22" w:rsidRPr="00A271F1" w:rsidRDefault="00130F22"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019FAE63" w14:textId="77777777" w:rsidR="00E91A63"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color w:val="auto"/>
          <w:u w:val="single"/>
          <w:lang w:eastAsia="en-US"/>
        </w:rPr>
        <w:t>Consideraciones del Instituto</w:t>
      </w:r>
    </w:p>
    <w:p w14:paraId="07894C5E" w14:textId="77777777"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p>
    <w:p w14:paraId="6B8446F0" w14:textId="78B89130"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r w:rsidRPr="00A271F1">
        <w:rPr>
          <w:rFonts w:ascii="ITC Avant Garde" w:eastAsia="Times New Roman" w:hAnsi="ITC Avant Garde" w:cs="Times New Roman"/>
          <w:b/>
          <w:color w:val="auto"/>
          <w:lang w:eastAsia="en-US"/>
        </w:rPr>
        <w:t xml:space="preserve">Televisa </w:t>
      </w:r>
    </w:p>
    <w:p w14:paraId="4CA25F05" w14:textId="081B69FF" w:rsidR="00E91A63" w:rsidRPr="00A271F1" w:rsidRDefault="00074FBF" w:rsidP="00E91A63">
      <w:pPr>
        <w:spacing w:after="0" w:line="276"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S</w:t>
      </w:r>
      <w:r w:rsidR="00E91A63" w:rsidRPr="00DF0B0D">
        <w:rPr>
          <w:rFonts w:ascii="ITC Avant Garde" w:eastAsia="Calibri" w:hAnsi="ITC Avant Garde" w:cs="Times New Roman"/>
          <w:color w:val="auto"/>
          <w:lang w:val="es-ES" w:eastAsia="en-US"/>
        </w:rPr>
        <w:t>ugiere reconocer a los OMV como agentes relevantes y diferentes en la determinación de tarifas reguladas que resulten de los modelos de Interconexión.</w:t>
      </w:r>
    </w:p>
    <w:p w14:paraId="0C242A25" w14:textId="77777777" w:rsidR="00E91A63" w:rsidRPr="00A271F1" w:rsidRDefault="00E91A63"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6271936C"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CE143C">
        <w:rPr>
          <w:rFonts w:ascii="ITC Avant Garde" w:eastAsia="Calibri" w:hAnsi="ITC Avant Garde" w:cs="Times New Roman"/>
          <w:b/>
          <w:color w:val="auto"/>
          <w:u w:val="single"/>
          <w:lang w:eastAsia="en-US"/>
        </w:rPr>
        <w:t>Consideraciones del Instituto</w:t>
      </w:r>
    </w:p>
    <w:p w14:paraId="3A31891A" w14:textId="77777777" w:rsidR="00E91A63" w:rsidRDefault="00E91A63" w:rsidP="00E91A63">
      <w:pPr>
        <w:spacing w:after="0" w:line="276" w:lineRule="auto"/>
        <w:ind w:left="0" w:right="0" w:firstLine="0"/>
        <w:rPr>
          <w:rFonts w:ascii="ITC Avant Garde" w:eastAsia="Calibri" w:hAnsi="ITC Avant Garde" w:cs="Times New Roman"/>
          <w:color w:val="auto"/>
          <w:lang w:val="es-ES" w:eastAsia="en-US"/>
        </w:rPr>
      </w:pPr>
    </w:p>
    <w:p w14:paraId="2147C135" w14:textId="60B662AB" w:rsidR="00130F22" w:rsidRDefault="002733B4" w:rsidP="00E91A63">
      <w:pPr>
        <w:spacing w:after="0" w:line="276" w:lineRule="auto"/>
        <w:ind w:left="0" w:right="0" w:firstLine="0"/>
        <w:rPr>
          <w:rFonts w:ascii="ITC Avant Garde" w:eastAsia="Calibri" w:hAnsi="ITC Avant Garde" w:cs="Times New Roman"/>
          <w:color w:val="auto"/>
          <w:lang w:val="es-ES" w:eastAsia="en-US"/>
        </w:rPr>
      </w:pPr>
      <w:r w:rsidRPr="006A7AF9">
        <w:rPr>
          <w:rFonts w:ascii="ITC Avant Garde" w:eastAsia="Calibri" w:hAnsi="ITC Avant Garde" w:cs="Times New Roman"/>
          <w:color w:val="auto"/>
          <w:lang w:val="es-ES" w:eastAsia="en-US"/>
        </w:rPr>
        <w:t>La tarifa de terminación de un OMV es solo un traslado de la tarifa de terminación cobrada por el operador host</w:t>
      </w:r>
      <w:r>
        <w:rPr>
          <w:rFonts w:ascii="ITC Avant Garde" w:eastAsia="Calibri" w:hAnsi="ITC Avant Garde" w:cs="Times New Roman"/>
          <w:color w:val="auto"/>
          <w:lang w:val="es-ES" w:eastAsia="en-US"/>
        </w:rPr>
        <w:t>, esto porque es este último quien efectivamente hace la terminación y el tráfico que genera el OMV solo es un agregado que contribuye a la escala del operados host.</w:t>
      </w:r>
    </w:p>
    <w:p w14:paraId="101C3C7B" w14:textId="77777777" w:rsidR="0001335A" w:rsidRPr="00130F22" w:rsidRDefault="0001335A" w:rsidP="00E91A63">
      <w:pPr>
        <w:spacing w:after="0" w:line="276" w:lineRule="auto"/>
        <w:ind w:left="0" w:right="0" w:firstLine="0"/>
        <w:rPr>
          <w:rFonts w:ascii="ITC Avant Garde" w:eastAsia="Times New Roman" w:hAnsi="ITC Avant Garde" w:cs="Times New Roman"/>
          <w:color w:val="auto"/>
          <w:lang w:eastAsia="en-US"/>
        </w:rPr>
      </w:pPr>
    </w:p>
    <w:p w14:paraId="29ECE7B2" w14:textId="01A6F258"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r w:rsidRPr="00A271F1">
        <w:rPr>
          <w:rFonts w:ascii="ITC Avant Garde" w:eastAsia="Times New Roman" w:hAnsi="ITC Avant Garde" w:cs="Times New Roman"/>
          <w:b/>
          <w:color w:val="auto"/>
          <w:lang w:eastAsia="en-US"/>
        </w:rPr>
        <w:t>Tele</w:t>
      </w:r>
      <w:r>
        <w:rPr>
          <w:rFonts w:ascii="ITC Avant Garde" w:eastAsia="Times New Roman" w:hAnsi="ITC Avant Garde" w:cs="Times New Roman"/>
          <w:b/>
          <w:color w:val="auto"/>
          <w:lang w:eastAsia="en-US"/>
        </w:rPr>
        <w:t>visa</w:t>
      </w:r>
    </w:p>
    <w:p w14:paraId="00817075" w14:textId="4FF42412" w:rsidR="00E91A63" w:rsidRPr="00911AFE" w:rsidRDefault="00CE143C" w:rsidP="00E91A63">
      <w:pPr>
        <w:spacing w:after="0" w:line="276"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S</w:t>
      </w:r>
      <w:r w:rsidR="00E91A63" w:rsidRPr="00911AFE">
        <w:rPr>
          <w:rFonts w:ascii="ITC Avant Garde" w:eastAsia="Calibri" w:hAnsi="ITC Avant Garde" w:cs="Times New Roman"/>
          <w:color w:val="auto"/>
          <w:lang w:val="es-ES" w:eastAsia="en-US"/>
        </w:rPr>
        <w:t>ugiere ajustar el dimensionamiento del tráfico en el modelo de costos para considerar nodos nacionales.</w:t>
      </w:r>
    </w:p>
    <w:p w14:paraId="00C3F55A" w14:textId="77777777" w:rsidR="00E91A63" w:rsidRPr="00A271F1" w:rsidRDefault="00E91A63" w:rsidP="00E91A63">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78A81DB0" w14:textId="77777777" w:rsidR="00E91A63" w:rsidRPr="00A271F1" w:rsidRDefault="00E91A63" w:rsidP="00E91A63">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271F1">
        <w:rPr>
          <w:rFonts w:ascii="ITC Avant Garde" w:eastAsia="Calibri" w:hAnsi="ITC Avant Garde" w:cs="Times New Roman"/>
          <w:b/>
          <w:color w:val="auto"/>
          <w:u w:val="single"/>
          <w:lang w:eastAsia="en-US"/>
        </w:rPr>
        <w:t>Consideraciones del Instituto</w:t>
      </w:r>
    </w:p>
    <w:p w14:paraId="6487E3C7" w14:textId="77777777" w:rsidR="00E91A63" w:rsidRPr="00A271F1" w:rsidRDefault="00E91A63" w:rsidP="00E91A63">
      <w:pPr>
        <w:spacing w:after="0" w:line="276" w:lineRule="auto"/>
        <w:ind w:left="0" w:right="0" w:firstLine="0"/>
        <w:rPr>
          <w:rFonts w:ascii="ITC Avant Garde" w:eastAsia="Calibri" w:hAnsi="ITC Avant Garde" w:cs="Times New Roman"/>
          <w:color w:val="auto"/>
          <w:lang w:val="es-ES" w:eastAsia="en-US"/>
        </w:rPr>
      </w:pPr>
    </w:p>
    <w:p w14:paraId="4C3A3E1B" w14:textId="77777777" w:rsidR="00E91A63" w:rsidRPr="00B71970" w:rsidRDefault="00E91A63" w:rsidP="00E91A63">
      <w:pPr>
        <w:spacing w:after="0" w:line="276" w:lineRule="auto"/>
        <w:ind w:left="0" w:right="0" w:firstLine="0"/>
        <w:rPr>
          <w:rFonts w:ascii="ITC Avant Garde" w:eastAsia="Calibri" w:hAnsi="ITC Avant Garde" w:cs="Times New Roman"/>
          <w:color w:val="auto"/>
          <w:lang w:val="es-ES" w:eastAsia="en-US"/>
        </w:rPr>
      </w:pPr>
      <w:r w:rsidRPr="00A271F1">
        <w:rPr>
          <w:rFonts w:ascii="ITC Avant Garde" w:eastAsia="Calibri" w:hAnsi="ITC Avant Garde" w:cs="Times New Roman"/>
          <w:color w:val="auto"/>
          <w:lang w:val="es-ES" w:eastAsia="en-US"/>
        </w:rPr>
        <w:t>Las redes de cobertura del operador se modelan teniendo en cuenta la ubicación de la población y de las principales vías de comunicación del país. La proporción de tráfico por región se calcula para el AEP y el CS con base en el número de líneas fijas reportadas por el Instituto, tomando como referencia los datos a nivel estatal. Estos datos abarcan tanto las líneas residenciales como las corporativas. Debido a la falta de información detallada, se utiliza un tráfico promedio por usuario para estimar la demanda en cada región.</w:t>
      </w:r>
    </w:p>
    <w:p w14:paraId="2DC73E35" w14:textId="77777777" w:rsidR="00E91A63" w:rsidRPr="00FD7555" w:rsidRDefault="00E91A63" w:rsidP="0035711E">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Cs/>
          <w:color w:val="auto"/>
          <w:lang w:eastAsia="en-US"/>
        </w:rPr>
      </w:pPr>
      <w:bookmarkStart w:id="2" w:name="_Int_LKaVa0OY"/>
    </w:p>
    <w:p w14:paraId="7FB3CBA0" w14:textId="03C3AF91" w:rsidR="005D356C" w:rsidRPr="004A6412" w:rsidRDefault="005D356C" w:rsidP="005D356C">
      <w:pPr>
        <w:spacing w:after="0" w:line="276" w:lineRule="auto"/>
        <w:ind w:left="0" w:right="0" w:firstLine="0"/>
        <w:rPr>
          <w:rFonts w:ascii="ITC Avant Garde" w:eastAsia="Calibri" w:hAnsi="ITC Avant Garde" w:cs="Times New Roman"/>
          <w:color w:val="auto"/>
          <w:lang w:val="es-ES" w:eastAsia="en-US"/>
        </w:rPr>
      </w:pPr>
      <w:r w:rsidRPr="004A6412">
        <w:rPr>
          <w:rFonts w:ascii="ITC Avant Garde" w:eastAsia="Times New Roman" w:hAnsi="ITC Avant Garde" w:cs="Times New Roman"/>
          <w:b/>
          <w:color w:val="auto"/>
          <w:lang w:eastAsia="en-US"/>
        </w:rPr>
        <w:t xml:space="preserve">AT&amp;T </w:t>
      </w:r>
    </w:p>
    <w:p w14:paraId="6999A9AD" w14:textId="54BCAC0F" w:rsidR="005D356C" w:rsidRPr="004A6412" w:rsidRDefault="005D356C" w:rsidP="005D356C">
      <w:pPr>
        <w:shd w:val="clear" w:color="auto" w:fill="FFFFFF" w:themeFill="background1"/>
        <w:spacing w:after="0" w:line="259" w:lineRule="auto"/>
        <w:ind w:left="0" w:right="0" w:firstLine="0"/>
        <w:rPr>
          <w:rFonts w:ascii="ITC Avant Garde" w:eastAsia="Calibri" w:hAnsi="ITC Avant Garde" w:cs="Times New Roman"/>
          <w:color w:val="auto"/>
          <w:lang w:val="es-ES" w:eastAsia="en-US"/>
        </w:rPr>
      </w:pPr>
      <w:r w:rsidRPr="004A6412">
        <w:rPr>
          <w:rFonts w:ascii="ITC Avant Garde" w:eastAsia="Calibri" w:hAnsi="ITC Avant Garde" w:cs="Times New Roman"/>
          <w:color w:val="auto"/>
          <w:lang w:val="es-ES" w:eastAsia="en-US"/>
        </w:rPr>
        <w:lastRenderedPageBreak/>
        <w:t>Señala que la proporción de tráfico de voz que viajará por la red 5G será muy limitada en el periodo comprendido por los Modelos 2024-2026, llegando a 3% del tráfico total de voz en el 2026.</w:t>
      </w:r>
    </w:p>
    <w:p w14:paraId="5365C33E" w14:textId="77777777" w:rsidR="005D356C" w:rsidRPr="0001335A" w:rsidRDefault="005D356C" w:rsidP="005D356C">
      <w:pPr>
        <w:shd w:val="clear" w:color="auto" w:fill="FFFFFF" w:themeFill="background1"/>
        <w:spacing w:after="0" w:line="259" w:lineRule="auto"/>
        <w:ind w:left="0" w:right="0" w:firstLine="0"/>
        <w:rPr>
          <w:rFonts w:ascii="ITC Avant Garde" w:eastAsia="ITC Avant Garde" w:hAnsi="ITC Avant Garde" w:cs="ITC Avant Garde"/>
          <w:color w:val="auto"/>
          <w:lang w:val="es-ES" w:eastAsia="en-US"/>
        </w:rPr>
      </w:pPr>
    </w:p>
    <w:p w14:paraId="470F3E32" w14:textId="372B765A" w:rsidR="005D356C" w:rsidRPr="00520A2A" w:rsidRDefault="005D356C" w:rsidP="005D356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01335A">
        <w:rPr>
          <w:rFonts w:ascii="ITC Avant Garde" w:eastAsia="Calibri" w:hAnsi="ITC Avant Garde" w:cs="Times New Roman"/>
          <w:b/>
          <w:color w:val="auto"/>
          <w:u w:val="single"/>
          <w:lang w:eastAsia="en-US"/>
        </w:rPr>
        <w:t>Consideraciones del Instituto</w:t>
      </w:r>
    </w:p>
    <w:p w14:paraId="19682F5E" w14:textId="4CEDE65D" w:rsidR="00E94500" w:rsidRPr="00FD7555" w:rsidRDefault="00E94500" w:rsidP="005D356C">
      <w:pPr>
        <w:shd w:val="clear" w:color="auto" w:fill="FFFFFF"/>
        <w:spacing w:after="0" w:line="259" w:lineRule="auto"/>
        <w:ind w:left="0" w:right="0" w:firstLine="0"/>
        <w:rPr>
          <w:rFonts w:ascii="ITC Avant Garde" w:eastAsia="Calibri" w:hAnsi="ITC Avant Garde" w:cs="Times New Roman"/>
          <w:color w:val="auto"/>
          <w:u w:val="single"/>
          <w:lang w:eastAsia="en-US"/>
        </w:rPr>
      </w:pPr>
    </w:p>
    <w:p w14:paraId="70EB763E" w14:textId="77777777" w:rsidR="00552C11" w:rsidRDefault="00552C11" w:rsidP="00552C11">
      <w:pPr>
        <w:spacing w:after="0" w:line="276" w:lineRule="auto"/>
        <w:rPr>
          <w:rFonts w:ascii="ITC Avant Garde" w:hAnsi="ITC Avant Garde"/>
          <w:lang w:val="es-ES"/>
        </w:rPr>
      </w:pPr>
      <w:r w:rsidRPr="007440DF">
        <w:rPr>
          <w:rFonts w:ascii="ITC Avant Garde" w:hAnsi="ITC Avant Garde"/>
          <w:lang w:val="es-ES"/>
        </w:rPr>
        <w:t xml:space="preserve">Respecto a las proyecciones del tráfico de 5G, </w:t>
      </w:r>
      <w:r>
        <w:rPr>
          <w:rFonts w:ascii="ITC Avant Garde" w:hAnsi="ITC Avant Garde"/>
          <w:lang w:val="es-ES"/>
        </w:rPr>
        <w:t xml:space="preserve">se </w:t>
      </w:r>
      <w:r w:rsidRPr="007440DF">
        <w:rPr>
          <w:rFonts w:ascii="ITC Avant Garde" w:hAnsi="ITC Avant Garde"/>
          <w:lang w:val="es-ES"/>
        </w:rPr>
        <w:t>realiz</w:t>
      </w:r>
      <w:r>
        <w:rPr>
          <w:rFonts w:ascii="ITC Avant Garde" w:hAnsi="ITC Avant Garde"/>
          <w:lang w:val="es-ES"/>
        </w:rPr>
        <w:t>ó</w:t>
      </w:r>
      <w:r w:rsidRPr="007440DF">
        <w:rPr>
          <w:rFonts w:ascii="ITC Avant Garde" w:hAnsi="ITC Avant Garde"/>
          <w:lang w:val="es-ES"/>
        </w:rPr>
        <w:t xml:space="preserve"> una estimación, ya que la adopción de esta tecnología depende de múltiples factores que podrían limitar el crecimiento del uso del 5G en el corto plazo, como puede ser el ecosistema de dispositivos que pueden soportar esta tecnología, el estado de madurez de aplicaciones específicas del 5G, etc.</w:t>
      </w:r>
    </w:p>
    <w:p w14:paraId="15454B2C" w14:textId="77777777" w:rsidR="005D356C" w:rsidRPr="00552C11" w:rsidRDefault="005D356C" w:rsidP="0035711E">
      <w:pPr>
        <w:keepNext/>
        <w:keepLines/>
        <w:shd w:val="clear" w:color="auto" w:fill="FFFFFF" w:themeFill="background1"/>
        <w:spacing w:after="0" w:line="259" w:lineRule="auto"/>
        <w:ind w:left="0" w:right="0" w:firstLine="0"/>
        <w:outlineLvl w:val="1"/>
        <w:rPr>
          <w:rFonts w:ascii="ITC Avant Garde" w:eastAsia="Times New Roman" w:hAnsi="ITC Avant Garde" w:cs="Times New Roman"/>
          <w:bCs/>
          <w:color w:val="auto"/>
          <w:lang w:val="es-ES" w:eastAsia="en-US"/>
        </w:rPr>
      </w:pPr>
    </w:p>
    <w:p w14:paraId="76A64098" w14:textId="149C135D" w:rsidR="005D356C" w:rsidRPr="004A6412" w:rsidRDefault="005D356C" w:rsidP="005D356C">
      <w:pPr>
        <w:spacing w:after="0" w:line="276" w:lineRule="auto"/>
        <w:ind w:left="0" w:right="0" w:firstLine="0"/>
        <w:rPr>
          <w:rFonts w:ascii="ITC Avant Garde" w:eastAsia="Calibri" w:hAnsi="ITC Avant Garde" w:cs="Times New Roman"/>
          <w:color w:val="auto"/>
          <w:lang w:val="es-ES" w:eastAsia="en-US"/>
        </w:rPr>
      </w:pPr>
      <w:r w:rsidRPr="004A6412">
        <w:rPr>
          <w:rFonts w:ascii="ITC Avant Garde" w:eastAsia="Times New Roman" w:hAnsi="ITC Avant Garde" w:cs="Times New Roman"/>
          <w:b/>
          <w:color w:val="auto"/>
          <w:lang w:eastAsia="en-US"/>
        </w:rPr>
        <w:t xml:space="preserve">AT&amp;T </w:t>
      </w:r>
    </w:p>
    <w:p w14:paraId="6CBF085C" w14:textId="5FB6C496" w:rsidR="005D356C" w:rsidRPr="004A6412" w:rsidRDefault="005D356C" w:rsidP="005D356C">
      <w:pPr>
        <w:shd w:val="clear" w:color="auto" w:fill="FFFFFF" w:themeFill="background1"/>
        <w:spacing w:after="0" w:line="259" w:lineRule="auto"/>
        <w:ind w:left="0" w:right="0" w:firstLine="0"/>
        <w:rPr>
          <w:rFonts w:ascii="ITC Avant Garde" w:eastAsia="Calibri" w:hAnsi="ITC Avant Garde" w:cs="Times New Roman"/>
          <w:color w:val="auto"/>
          <w:lang w:val="es-ES" w:eastAsia="en-US"/>
        </w:rPr>
      </w:pPr>
      <w:r w:rsidRPr="004A6412">
        <w:rPr>
          <w:rFonts w:ascii="ITC Avant Garde" w:eastAsia="Calibri" w:hAnsi="ITC Avant Garde" w:cs="Times New Roman"/>
          <w:color w:val="auto"/>
          <w:lang w:val="es-ES" w:eastAsia="en-US"/>
        </w:rPr>
        <w:t>Menciona que se debe de calcular las tarifas mediante modelos que consideren las características de la red fija y móvil, de manera separada, ya que la diferenciación de los elementos de red dependientes del tráfico tiene un impacto sustancial, lo cual deriva en una asimetría considerable entre las tarifas de interconexión fijas y móviles.</w:t>
      </w:r>
    </w:p>
    <w:p w14:paraId="0651C649" w14:textId="77777777" w:rsidR="005D356C" w:rsidRPr="005D356C" w:rsidRDefault="005D356C" w:rsidP="005D356C">
      <w:pPr>
        <w:shd w:val="clear" w:color="auto" w:fill="FFFFFF" w:themeFill="background1"/>
        <w:spacing w:after="0" w:line="259" w:lineRule="auto"/>
        <w:ind w:left="0" w:right="0" w:firstLine="0"/>
        <w:rPr>
          <w:rFonts w:ascii="ITC Avant Garde" w:eastAsia="ITC Avant Garde" w:hAnsi="ITC Avant Garde" w:cs="ITC Avant Garde"/>
          <w:color w:val="auto"/>
          <w:highlight w:val="yellow"/>
          <w:lang w:val="es-ES" w:eastAsia="en-US"/>
        </w:rPr>
      </w:pPr>
    </w:p>
    <w:p w14:paraId="163817DA" w14:textId="44776C2F" w:rsidR="005D356C" w:rsidRPr="00DE45DB" w:rsidRDefault="005D356C" w:rsidP="00FD7555">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DE45DB">
        <w:rPr>
          <w:rFonts w:ascii="ITC Avant Garde" w:eastAsia="Calibri" w:hAnsi="ITC Avant Garde" w:cs="Times New Roman"/>
          <w:b/>
          <w:color w:val="auto"/>
          <w:u w:val="single"/>
          <w:lang w:eastAsia="en-US"/>
        </w:rPr>
        <w:t>Consideraciones del Instituto</w:t>
      </w:r>
      <w:bookmarkEnd w:id="2"/>
    </w:p>
    <w:p w14:paraId="347E2124" w14:textId="65CA224A" w:rsidR="00FD7555" w:rsidRPr="00FD7555" w:rsidRDefault="00FD7555" w:rsidP="00FD7555">
      <w:pPr>
        <w:shd w:val="clear" w:color="auto" w:fill="FFFFFF"/>
        <w:spacing w:after="0" w:line="259" w:lineRule="auto"/>
        <w:ind w:left="0" w:right="0" w:firstLine="0"/>
        <w:rPr>
          <w:rFonts w:ascii="ITC Avant Garde" w:eastAsia="Times New Roman" w:hAnsi="ITC Avant Garde" w:cs="Times New Roman"/>
          <w:bCs/>
          <w:color w:val="auto"/>
          <w:lang w:eastAsia="en-US"/>
        </w:rPr>
      </w:pPr>
    </w:p>
    <w:p w14:paraId="3C8EE3EB" w14:textId="381E8D1C" w:rsidR="00FD7555" w:rsidRPr="00DE45DB" w:rsidRDefault="00DE45DB" w:rsidP="00FD7555">
      <w:pPr>
        <w:shd w:val="clear" w:color="auto" w:fill="FFFFFF"/>
        <w:spacing w:after="0" w:line="259" w:lineRule="auto"/>
        <w:ind w:left="0" w:right="0" w:firstLine="0"/>
        <w:rPr>
          <w:rFonts w:ascii="ITC Avant Garde" w:hAnsi="ITC Avant Garde"/>
          <w:color w:val="auto"/>
          <w:lang w:val="es-ES"/>
        </w:rPr>
      </w:pPr>
      <w:r>
        <w:rPr>
          <w:rFonts w:ascii="ITC Avant Garde" w:hAnsi="ITC Avant Garde"/>
          <w:color w:val="auto"/>
        </w:rPr>
        <w:t>Se considera</w:t>
      </w:r>
      <w:r w:rsidR="00FD7555" w:rsidRPr="00DE45DB">
        <w:rPr>
          <w:rFonts w:ascii="ITC Avant Garde" w:hAnsi="ITC Avant Garde"/>
          <w:color w:val="auto"/>
          <w:lang w:val="es-ES"/>
        </w:rPr>
        <w:t xml:space="preserve"> que en los modelos de costos se emplea un criterio de eficiencia similar para las redes fijas y móviles. Aunque </w:t>
      </w:r>
      <w:r w:rsidR="00FD7555" w:rsidRPr="00DE45DB">
        <w:rPr>
          <w:rFonts w:ascii="ITC Avant Garde" w:hAnsi="ITC Avant Garde"/>
          <w:color w:val="000000" w:themeColor="text1"/>
          <w:lang w:val="es-ES"/>
        </w:rPr>
        <w:t>si bien es cierto que existe una creciente similitud y convergencia entre las redes fijas y las redes móviles, cabe señalar que siguen existiendo diferencias notables entre ambos tipos de redes que justifican el trato diferenciado entre ellas mediante la implantación de tarifas asimétricas</w:t>
      </w:r>
      <w:r w:rsidRPr="00DE45DB">
        <w:rPr>
          <w:rFonts w:ascii="ITC Avant Garde" w:hAnsi="ITC Avant Garde"/>
          <w:color w:val="auto"/>
          <w:lang w:val="es-ES"/>
        </w:rPr>
        <w:t>. Se</w:t>
      </w:r>
      <w:r w:rsidR="00FD7555" w:rsidRPr="00DE45DB">
        <w:rPr>
          <w:rFonts w:ascii="ITC Avant Garde" w:hAnsi="ITC Avant Garde"/>
          <w:lang w:val="es-ES"/>
        </w:rPr>
        <w:t xml:space="preserve"> observa que en el periodo modelado se da una convergencia progresiva en los cargos de terminación fija y móvil, lo cual </w:t>
      </w:r>
      <w:r>
        <w:rPr>
          <w:rFonts w:ascii="ITC Avant Garde" w:hAnsi="ITC Avant Garde"/>
          <w:lang w:val="es-ES"/>
        </w:rPr>
        <w:t xml:space="preserve">se </w:t>
      </w:r>
      <w:r w:rsidR="00FD7555" w:rsidRPr="00DE45DB">
        <w:rPr>
          <w:rFonts w:ascii="ITC Avant Garde" w:hAnsi="ITC Avant Garde"/>
          <w:lang w:val="es-ES"/>
        </w:rPr>
        <w:t>considera que evoluciona en línea con lo esperado según la evolución del mercado en los últimos años.</w:t>
      </w:r>
    </w:p>
    <w:sectPr w:rsidR="00FD7555" w:rsidRPr="00DE45DB" w:rsidSect="0078500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260F2" w14:textId="77777777" w:rsidR="009C1345" w:rsidRDefault="009C1345" w:rsidP="00493685">
      <w:pPr>
        <w:spacing w:after="0" w:line="240" w:lineRule="auto"/>
      </w:pPr>
      <w:r>
        <w:separator/>
      </w:r>
    </w:p>
  </w:endnote>
  <w:endnote w:type="continuationSeparator" w:id="0">
    <w:p w14:paraId="21E2DEA8" w14:textId="77777777" w:rsidR="009C1345" w:rsidRDefault="009C1345" w:rsidP="00493685">
      <w:pPr>
        <w:spacing w:after="0" w:line="240" w:lineRule="auto"/>
      </w:pPr>
      <w:r>
        <w:continuationSeparator/>
      </w:r>
    </w:p>
  </w:endnote>
  <w:endnote w:type="continuationNotice" w:id="1">
    <w:p w14:paraId="546DA0C6" w14:textId="77777777" w:rsidR="009C1345" w:rsidRDefault="009C1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 Garde">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31"/>
      <w:docPartObj>
        <w:docPartGallery w:val="Page Numbers (Bottom of Page)"/>
        <w:docPartUnique/>
      </w:docPartObj>
    </w:sdtPr>
    <w:sdtEndPr/>
    <w:sdtContent>
      <w:p w14:paraId="2C1FCB72" w14:textId="662175ED" w:rsidR="00FB1A86" w:rsidRDefault="00FB1A86">
        <w:pPr>
          <w:pStyle w:val="Piedepgina"/>
          <w:jc w:val="right"/>
        </w:pPr>
        <w:r>
          <w:fldChar w:fldCharType="begin"/>
        </w:r>
        <w:r>
          <w:instrText>PAGE   \* MERGEFORMAT</w:instrText>
        </w:r>
        <w:r>
          <w:fldChar w:fldCharType="separate"/>
        </w:r>
        <w:r w:rsidRPr="00A94F5B">
          <w:rPr>
            <w:noProof/>
            <w:lang w:val="es-ES"/>
          </w:rPr>
          <w:t>16</w:t>
        </w:r>
        <w:r>
          <w:fldChar w:fldCharType="end"/>
        </w:r>
      </w:p>
    </w:sdtContent>
  </w:sdt>
  <w:p w14:paraId="17CF8DEA" w14:textId="77777777" w:rsidR="00FB1A86" w:rsidRDefault="00FB1A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1FB3" w14:textId="77777777" w:rsidR="009C1345" w:rsidRDefault="009C1345" w:rsidP="00493685">
      <w:pPr>
        <w:spacing w:after="0" w:line="240" w:lineRule="auto"/>
      </w:pPr>
      <w:r>
        <w:separator/>
      </w:r>
    </w:p>
  </w:footnote>
  <w:footnote w:type="continuationSeparator" w:id="0">
    <w:p w14:paraId="1E86D1BC" w14:textId="77777777" w:rsidR="009C1345" w:rsidRDefault="009C1345" w:rsidP="00493685">
      <w:pPr>
        <w:spacing w:after="0" w:line="240" w:lineRule="auto"/>
      </w:pPr>
      <w:r>
        <w:continuationSeparator/>
      </w:r>
    </w:p>
  </w:footnote>
  <w:footnote w:type="continuationNotice" w:id="1">
    <w:p w14:paraId="7992361B" w14:textId="77777777" w:rsidR="009C1345" w:rsidRDefault="009C1345">
      <w:pPr>
        <w:spacing w:after="0" w:line="240" w:lineRule="auto"/>
      </w:pPr>
    </w:p>
  </w:footnote>
  <w:footnote w:id="2">
    <w:p w14:paraId="2E8E7C05" w14:textId="77777777" w:rsidR="00FB1A86" w:rsidRPr="00147D49" w:rsidRDefault="00FB1A86" w:rsidP="00147D49">
      <w:pPr>
        <w:pStyle w:val="Textonotapie"/>
        <w:rPr>
          <w:rFonts w:ascii="ITC Avant Garde" w:hAnsi="ITC Avant Garde" w:cs="Arial"/>
          <w:sz w:val="18"/>
          <w:szCs w:val="18"/>
          <w:lang w:val="es-MX"/>
        </w:rPr>
      </w:pPr>
      <w:r w:rsidRPr="00147D49">
        <w:rPr>
          <w:rStyle w:val="Refdenotaalpie"/>
          <w:rFonts w:ascii="ITC Avant Garde" w:hAnsi="ITC Avant Garde"/>
          <w:sz w:val="18"/>
          <w:szCs w:val="18"/>
        </w:rPr>
        <w:footnoteRef/>
      </w:r>
      <w:r w:rsidRPr="00147D49">
        <w:rPr>
          <w:rFonts w:ascii="ITC Avant Garde" w:hAnsi="ITC Avant Garde"/>
          <w:sz w:val="18"/>
          <w:szCs w:val="18"/>
        </w:rPr>
        <w:t xml:space="preserve"> </w:t>
      </w:r>
      <w:r w:rsidRPr="00147D49">
        <w:rPr>
          <w:rFonts w:ascii="ITC Avant Garde" w:hAnsi="ITC Avant Garde" w:cs="Arial"/>
          <w:sz w:val="18"/>
          <w:szCs w:val="18"/>
          <w:lang w:val="es-MX"/>
        </w:rPr>
        <w:t>Plan Técnico Fundamental de Interconexión e Interoperabilidad, publicado el 10 de febrero de 2009 en el DOF.</w:t>
      </w:r>
    </w:p>
    <w:p w14:paraId="4C11C3F8" w14:textId="6BF1B301" w:rsidR="00FB1A86" w:rsidRPr="00EA48ED" w:rsidRDefault="00FB1A86" w:rsidP="00EA48ED">
      <w:pPr>
        <w:pStyle w:val="Textonotapie"/>
        <w:jc w:val="both"/>
        <w:rPr>
          <w:lang w:val="es-MX"/>
        </w:rPr>
      </w:pPr>
    </w:p>
  </w:footnote>
  <w:footnote w:id="3">
    <w:p w14:paraId="42336C3C" w14:textId="77777777" w:rsidR="0042289A" w:rsidRPr="007740FC" w:rsidRDefault="0042289A" w:rsidP="0042289A">
      <w:pPr>
        <w:pStyle w:val="Textonotapie"/>
        <w:spacing w:line="276" w:lineRule="auto"/>
        <w:rPr>
          <w:rFonts w:cs="Arial"/>
          <w:sz w:val="14"/>
          <w:szCs w:val="14"/>
          <w:lang w:val="en-GB"/>
        </w:rPr>
      </w:pPr>
      <w:r w:rsidRPr="007740FC">
        <w:rPr>
          <w:rStyle w:val="Refdenotaalpie"/>
          <w:rFonts w:eastAsia="Batang" w:cs="Arial"/>
          <w:sz w:val="14"/>
          <w:szCs w:val="14"/>
        </w:rPr>
        <w:footnoteRef/>
      </w:r>
      <w:r w:rsidRPr="007740FC">
        <w:rPr>
          <w:rFonts w:cs="Arial"/>
          <w:sz w:val="14"/>
          <w:szCs w:val="14"/>
          <w:lang w:val="en-GB"/>
        </w:rPr>
        <w:t xml:space="preserve"> ITU Y.1540, Internet protocol data communication service – IP packet transfer and availability performance parameters.</w:t>
      </w:r>
    </w:p>
  </w:footnote>
  <w:footnote w:id="4">
    <w:p w14:paraId="49CC0BEB" w14:textId="77777777" w:rsidR="0042289A" w:rsidRPr="007740FC" w:rsidRDefault="0042289A" w:rsidP="0042289A">
      <w:pPr>
        <w:pStyle w:val="Textonotapie"/>
        <w:spacing w:line="276" w:lineRule="auto"/>
        <w:rPr>
          <w:rFonts w:cs="Arial"/>
          <w:sz w:val="14"/>
          <w:szCs w:val="14"/>
          <w:lang w:val="en-GB"/>
        </w:rPr>
      </w:pPr>
      <w:r w:rsidRPr="007740FC">
        <w:rPr>
          <w:rStyle w:val="Refdenotaalpie"/>
          <w:rFonts w:eastAsia="Batang" w:cs="Arial"/>
          <w:sz w:val="14"/>
          <w:szCs w:val="14"/>
        </w:rPr>
        <w:footnoteRef/>
      </w:r>
      <w:r w:rsidRPr="007740FC">
        <w:rPr>
          <w:rFonts w:cs="Arial"/>
          <w:sz w:val="14"/>
          <w:szCs w:val="14"/>
          <w:lang w:val="en-GB"/>
        </w:rPr>
        <w:t xml:space="preserve"> ITU Y.1541, Network performance objectives for IP-based services.</w:t>
      </w:r>
    </w:p>
  </w:footnote>
  <w:footnote w:id="5">
    <w:p w14:paraId="33F21EAC" w14:textId="77777777" w:rsidR="0042289A" w:rsidRPr="005B358C" w:rsidRDefault="0042289A" w:rsidP="0042289A">
      <w:pPr>
        <w:pStyle w:val="Textonotapie"/>
        <w:spacing w:line="276" w:lineRule="auto"/>
        <w:rPr>
          <w:rFonts w:cs="Arial"/>
          <w:sz w:val="16"/>
          <w:szCs w:val="16"/>
          <w:lang w:val="en-GB"/>
        </w:rPr>
      </w:pPr>
      <w:r w:rsidRPr="007740FC">
        <w:rPr>
          <w:rStyle w:val="Refdenotaalpie"/>
          <w:rFonts w:eastAsia="Batang" w:cs="Arial"/>
          <w:sz w:val="14"/>
          <w:szCs w:val="14"/>
        </w:rPr>
        <w:footnoteRef/>
      </w:r>
      <w:r w:rsidRPr="007740FC">
        <w:rPr>
          <w:rFonts w:cs="Arial"/>
          <w:sz w:val="14"/>
          <w:szCs w:val="14"/>
          <w:lang w:val="en-GB"/>
        </w:rPr>
        <w:t xml:space="preserve"> RFC 4594, Configuration Guidelines for DiffServ Service Classes.</w:t>
      </w:r>
    </w:p>
  </w:footnote>
  <w:footnote w:id="6">
    <w:p w14:paraId="4493CF8D" w14:textId="77777777" w:rsidR="004C2D19" w:rsidRPr="00053820" w:rsidRDefault="004C2D19" w:rsidP="004C2D19">
      <w:pPr>
        <w:pStyle w:val="Textonotapie"/>
        <w:jc w:val="both"/>
        <w:rPr>
          <w:rFonts w:ascii="ITC Avant Garde" w:hAnsi="ITC Avant Garde"/>
          <w:sz w:val="18"/>
          <w:szCs w:val="18"/>
          <w:lang w:val="es-MX"/>
        </w:rPr>
      </w:pPr>
      <w:r w:rsidRPr="00053820">
        <w:rPr>
          <w:rStyle w:val="Refdenotaalpie"/>
          <w:rFonts w:ascii="ITC Avant Garde" w:hAnsi="ITC Avant Garde"/>
          <w:sz w:val="18"/>
          <w:szCs w:val="18"/>
        </w:rPr>
        <w:footnoteRef/>
      </w:r>
      <w:r w:rsidRPr="00053820">
        <w:rPr>
          <w:rFonts w:ascii="ITC Avant Garde" w:hAnsi="ITC Avant Garde"/>
          <w:sz w:val="18"/>
          <w:szCs w:val="18"/>
        </w:rPr>
        <w:t xml:space="preserve"> </w:t>
      </w:r>
      <w:r>
        <w:rPr>
          <w:rFonts w:ascii="ITC Avant Garde" w:hAnsi="ITC Avant Garde"/>
          <w:sz w:val="18"/>
          <w:szCs w:val="18"/>
        </w:rPr>
        <w:t>“</w:t>
      </w:r>
      <w:r w:rsidRPr="00ED7633">
        <w:rPr>
          <w:rFonts w:ascii="ITC Avant Garde" w:hAnsi="ITC Avant Garde"/>
          <w:i/>
          <w:iCs/>
          <w:sz w:val="18"/>
          <w:szCs w:val="18"/>
        </w:rPr>
        <w:t>ACUERDO MEDIANTE EL CUAL EL PLENO DEL INSTITUTO FEDERAL DE TELECOMUNICACIONES APRUEBA Y EMITE “EL PLAN TÉCNICO FUNDAMENTAL DE NUMERACIÓN, EL PLAN TÉCNICO FUNDAMENTAL DE SEÑALIZACIÓN Y LA MODIFICACIÓN A LAS REGLAS DE PORTABILIDAD NUMÉRICA</w:t>
      </w:r>
      <w:r>
        <w:rPr>
          <w:rFonts w:ascii="ITC Avant Garde" w:hAnsi="ITC Avant Garde"/>
          <w:sz w:val="18"/>
          <w:szCs w:val="18"/>
        </w:rPr>
        <w:t>”</w:t>
      </w:r>
      <w:r w:rsidRPr="00053820">
        <w:rPr>
          <w:rFonts w:ascii="ITC Avant Garde" w:hAnsi="ITC Avant Garde"/>
          <w:sz w:val="18"/>
          <w:szCs w:val="18"/>
        </w:rPr>
        <w:t>, PUBLICAD</w:t>
      </w:r>
      <w:r>
        <w:rPr>
          <w:rFonts w:ascii="ITC Avant Garde" w:hAnsi="ITC Avant Garde"/>
          <w:sz w:val="18"/>
          <w:szCs w:val="18"/>
        </w:rPr>
        <w:t>O EN</w:t>
      </w:r>
      <w:r w:rsidRPr="00053820">
        <w:rPr>
          <w:rFonts w:ascii="ITC Avant Garde" w:hAnsi="ITC Avant Garde"/>
          <w:sz w:val="18"/>
          <w:szCs w:val="18"/>
        </w:rPr>
        <w:t xml:space="preserve"> EL </w:t>
      </w:r>
      <w:r>
        <w:rPr>
          <w:rFonts w:ascii="ITC Avant Garde" w:hAnsi="ITC Avant Garde"/>
          <w:sz w:val="18"/>
          <w:szCs w:val="18"/>
        </w:rPr>
        <w:t xml:space="preserve">DOF EL </w:t>
      </w:r>
      <w:r w:rsidRPr="00053820">
        <w:rPr>
          <w:rFonts w:ascii="ITC Avant Garde" w:hAnsi="ITC Avant Garde"/>
          <w:sz w:val="18"/>
          <w:szCs w:val="18"/>
        </w:rPr>
        <w:t>12 DE NOVIEMBRE DE 2014</w:t>
      </w:r>
    </w:p>
  </w:footnote>
  <w:footnote w:id="7">
    <w:p w14:paraId="44494652" w14:textId="77777777" w:rsidR="008549AC" w:rsidRPr="00E6123E" w:rsidRDefault="008549AC" w:rsidP="008549AC">
      <w:pPr>
        <w:pStyle w:val="Textonotapie"/>
        <w:rPr>
          <w:rFonts w:cs="Arial"/>
          <w:lang w:val="en-US"/>
        </w:rPr>
      </w:pPr>
      <w:r w:rsidRPr="00053B48">
        <w:rPr>
          <w:rStyle w:val="Refdenotaalpie"/>
          <w:rFonts w:cs="Arial"/>
          <w:sz w:val="16"/>
          <w:szCs w:val="16"/>
        </w:rPr>
        <w:footnoteRef/>
      </w:r>
      <w:r w:rsidRPr="00E6123E">
        <w:rPr>
          <w:rFonts w:cs="Arial"/>
          <w:lang w:val="en-US"/>
        </w:rPr>
        <w:t xml:space="preserve"> </w:t>
      </w:r>
      <w:r w:rsidRPr="00E6123E">
        <w:rPr>
          <w:rFonts w:cs="Arial"/>
          <w:sz w:val="16"/>
          <w:szCs w:val="16"/>
          <w:lang w:val="en-US"/>
        </w:rPr>
        <w:t>G.911: Parameters and calculation methodologies for reliability and availability of fibre optic systems</w:t>
      </w:r>
      <w:r w:rsidRPr="00E6123E">
        <w:rPr>
          <w:rFonts w:cs="Arial"/>
          <w:lang w:val="en-US"/>
        </w:rPr>
        <w:t>.</w:t>
      </w:r>
    </w:p>
  </w:footnote>
  <w:footnote w:id="8">
    <w:p w14:paraId="6B5066DF" w14:textId="77777777" w:rsidR="006F0F5D" w:rsidRPr="00E6123E" w:rsidRDefault="006F0F5D" w:rsidP="006F0F5D">
      <w:pPr>
        <w:pStyle w:val="Textonotapie"/>
        <w:rPr>
          <w:rFonts w:cs="Arial"/>
          <w:lang w:val="en-US"/>
        </w:rPr>
      </w:pPr>
      <w:r w:rsidRPr="00053B48">
        <w:rPr>
          <w:rStyle w:val="Refdenotaalpie"/>
          <w:rFonts w:cs="Arial"/>
          <w:sz w:val="16"/>
          <w:szCs w:val="16"/>
        </w:rPr>
        <w:footnoteRef/>
      </w:r>
      <w:r w:rsidRPr="00E6123E">
        <w:rPr>
          <w:rFonts w:cs="Arial"/>
          <w:lang w:val="en-US"/>
        </w:rPr>
        <w:t xml:space="preserve"> </w:t>
      </w:r>
      <w:r w:rsidRPr="00E6123E">
        <w:rPr>
          <w:rFonts w:cs="Arial"/>
          <w:sz w:val="16"/>
          <w:szCs w:val="16"/>
          <w:lang w:val="en-US"/>
        </w:rPr>
        <w:t>G.911: Parameters and calculation methodologies for reliability and availability of fibre optic systems</w:t>
      </w:r>
      <w:r w:rsidRPr="00E6123E">
        <w:rPr>
          <w:rFonts w:cs="Arial"/>
          <w:lang w:val="en-US"/>
        </w:rPr>
        <w:t>.</w:t>
      </w:r>
    </w:p>
  </w:footnote>
  <w:footnote w:id="9">
    <w:p w14:paraId="7C1903A2" w14:textId="05FD3398" w:rsidR="002C4AF5" w:rsidRPr="009E1B0F" w:rsidRDefault="002C4AF5" w:rsidP="009E1B0F">
      <w:pPr>
        <w:pStyle w:val="Textonotapie"/>
        <w:jc w:val="both"/>
        <w:rPr>
          <w:lang w:val="es-MX"/>
        </w:rPr>
      </w:pPr>
      <w:r w:rsidRPr="00CF01B3">
        <w:rPr>
          <w:rStyle w:val="Refdenotaalpie"/>
          <w:sz w:val="14"/>
        </w:rPr>
        <w:footnoteRef/>
      </w:r>
      <w:r w:rsidRPr="00CF01B3">
        <w:rPr>
          <w:sz w:val="14"/>
        </w:rPr>
        <w:t xml:space="preserve"> </w:t>
      </w:r>
      <w:r w:rsidR="00243893" w:rsidRPr="00CF01B3">
        <w:rPr>
          <w:rFonts w:ascii="ITC Avant Garde" w:hAnsi="ITC Avant Garde"/>
          <w:sz w:val="14"/>
        </w:rPr>
        <w:t>ACUERDO MEDIANTE EL CUAL EL PLENO DEL INSTITUTO FEDERAL DE TELECOMUNICACIONES EMITE LA METODOLOGÍA PARA EL CÁLCULO DE COSTOS DE INTERCONEXIÓN DE CONFORMIDAD CON LA LEY FEDERAL DE TELECOMUNICACIONES Y RADIODIFUSIÓN</w:t>
      </w:r>
      <w:r w:rsidR="008A0514" w:rsidRPr="00CF01B3">
        <w:rPr>
          <w:rFonts w:ascii="ITC Avant Garde" w:hAnsi="ITC Avant Garde"/>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E761B"/>
    <w:multiLevelType w:val="hybridMultilevel"/>
    <w:tmpl w:val="783889DE"/>
    <w:lvl w:ilvl="0" w:tplc="AC967B5E">
      <w:start w:val="1"/>
      <w:numFmt w:val="bullet"/>
      <w:lvlText w:val="•"/>
      <w:lvlJc w:val="left"/>
      <w:pPr>
        <w:tabs>
          <w:tab w:val="num" w:pos="720"/>
        </w:tabs>
        <w:ind w:left="720" w:hanging="360"/>
      </w:pPr>
      <w:rPr>
        <w:rFonts w:ascii="Arial" w:hAnsi="Arial" w:hint="default"/>
      </w:rPr>
    </w:lvl>
    <w:lvl w:ilvl="1" w:tplc="64BCDEFC" w:tentative="1">
      <w:start w:val="1"/>
      <w:numFmt w:val="bullet"/>
      <w:lvlText w:val="•"/>
      <w:lvlJc w:val="left"/>
      <w:pPr>
        <w:tabs>
          <w:tab w:val="num" w:pos="1440"/>
        </w:tabs>
        <w:ind w:left="1440" w:hanging="360"/>
      </w:pPr>
      <w:rPr>
        <w:rFonts w:ascii="Arial" w:hAnsi="Arial" w:hint="default"/>
      </w:rPr>
    </w:lvl>
    <w:lvl w:ilvl="2" w:tplc="0DD05B06" w:tentative="1">
      <w:start w:val="1"/>
      <w:numFmt w:val="bullet"/>
      <w:lvlText w:val="•"/>
      <w:lvlJc w:val="left"/>
      <w:pPr>
        <w:tabs>
          <w:tab w:val="num" w:pos="2160"/>
        </w:tabs>
        <w:ind w:left="2160" w:hanging="360"/>
      </w:pPr>
      <w:rPr>
        <w:rFonts w:ascii="Arial" w:hAnsi="Arial" w:hint="default"/>
      </w:rPr>
    </w:lvl>
    <w:lvl w:ilvl="3" w:tplc="67209466" w:tentative="1">
      <w:start w:val="1"/>
      <w:numFmt w:val="bullet"/>
      <w:lvlText w:val="•"/>
      <w:lvlJc w:val="left"/>
      <w:pPr>
        <w:tabs>
          <w:tab w:val="num" w:pos="2880"/>
        </w:tabs>
        <w:ind w:left="2880" w:hanging="360"/>
      </w:pPr>
      <w:rPr>
        <w:rFonts w:ascii="Arial" w:hAnsi="Arial" w:hint="default"/>
      </w:rPr>
    </w:lvl>
    <w:lvl w:ilvl="4" w:tplc="A0D8E682" w:tentative="1">
      <w:start w:val="1"/>
      <w:numFmt w:val="bullet"/>
      <w:lvlText w:val="•"/>
      <w:lvlJc w:val="left"/>
      <w:pPr>
        <w:tabs>
          <w:tab w:val="num" w:pos="3600"/>
        </w:tabs>
        <w:ind w:left="3600" w:hanging="360"/>
      </w:pPr>
      <w:rPr>
        <w:rFonts w:ascii="Arial" w:hAnsi="Arial" w:hint="default"/>
      </w:rPr>
    </w:lvl>
    <w:lvl w:ilvl="5" w:tplc="C3EE2FD6" w:tentative="1">
      <w:start w:val="1"/>
      <w:numFmt w:val="bullet"/>
      <w:lvlText w:val="•"/>
      <w:lvlJc w:val="left"/>
      <w:pPr>
        <w:tabs>
          <w:tab w:val="num" w:pos="4320"/>
        </w:tabs>
        <w:ind w:left="4320" w:hanging="360"/>
      </w:pPr>
      <w:rPr>
        <w:rFonts w:ascii="Arial" w:hAnsi="Arial" w:hint="default"/>
      </w:rPr>
    </w:lvl>
    <w:lvl w:ilvl="6" w:tplc="91A4AB04" w:tentative="1">
      <w:start w:val="1"/>
      <w:numFmt w:val="bullet"/>
      <w:lvlText w:val="•"/>
      <w:lvlJc w:val="left"/>
      <w:pPr>
        <w:tabs>
          <w:tab w:val="num" w:pos="5040"/>
        </w:tabs>
        <w:ind w:left="5040" w:hanging="360"/>
      </w:pPr>
      <w:rPr>
        <w:rFonts w:ascii="Arial" w:hAnsi="Arial" w:hint="default"/>
      </w:rPr>
    </w:lvl>
    <w:lvl w:ilvl="7" w:tplc="35DA3A90" w:tentative="1">
      <w:start w:val="1"/>
      <w:numFmt w:val="bullet"/>
      <w:lvlText w:val="•"/>
      <w:lvlJc w:val="left"/>
      <w:pPr>
        <w:tabs>
          <w:tab w:val="num" w:pos="5760"/>
        </w:tabs>
        <w:ind w:left="5760" w:hanging="360"/>
      </w:pPr>
      <w:rPr>
        <w:rFonts w:ascii="Arial" w:hAnsi="Arial" w:hint="default"/>
      </w:rPr>
    </w:lvl>
    <w:lvl w:ilvl="8" w:tplc="29CCCE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4D3261"/>
    <w:multiLevelType w:val="hybridMultilevel"/>
    <w:tmpl w:val="D256B01C"/>
    <w:lvl w:ilvl="0" w:tplc="A02AF6F0">
      <w:start w:val="1"/>
      <w:numFmt w:val="bullet"/>
      <w:lvlText w:val="•"/>
      <w:lvlJc w:val="left"/>
      <w:pPr>
        <w:tabs>
          <w:tab w:val="num" w:pos="720"/>
        </w:tabs>
        <w:ind w:left="720" w:hanging="360"/>
      </w:pPr>
      <w:rPr>
        <w:rFonts w:ascii="Arial" w:hAnsi="Arial" w:hint="default"/>
      </w:rPr>
    </w:lvl>
    <w:lvl w:ilvl="1" w:tplc="FAD08450" w:tentative="1">
      <w:start w:val="1"/>
      <w:numFmt w:val="bullet"/>
      <w:lvlText w:val="•"/>
      <w:lvlJc w:val="left"/>
      <w:pPr>
        <w:tabs>
          <w:tab w:val="num" w:pos="1440"/>
        </w:tabs>
        <w:ind w:left="1440" w:hanging="360"/>
      </w:pPr>
      <w:rPr>
        <w:rFonts w:ascii="Arial" w:hAnsi="Arial" w:hint="default"/>
      </w:rPr>
    </w:lvl>
    <w:lvl w:ilvl="2" w:tplc="8E0A8CE2" w:tentative="1">
      <w:start w:val="1"/>
      <w:numFmt w:val="bullet"/>
      <w:lvlText w:val="•"/>
      <w:lvlJc w:val="left"/>
      <w:pPr>
        <w:tabs>
          <w:tab w:val="num" w:pos="2160"/>
        </w:tabs>
        <w:ind w:left="2160" w:hanging="360"/>
      </w:pPr>
      <w:rPr>
        <w:rFonts w:ascii="Arial" w:hAnsi="Arial" w:hint="default"/>
      </w:rPr>
    </w:lvl>
    <w:lvl w:ilvl="3" w:tplc="290C04EE" w:tentative="1">
      <w:start w:val="1"/>
      <w:numFmt w:val="bullet"/>
      <w:lvlText w:val="•"/>
      <w:lvlJc w:val="left"/>
      <w:pPr>
        <w:tabs>
          <w:tab w:val="num" w:pos="2880"/>
        </w:tabs>
        <w:ind w:left="2880" w:hanging="360"/>
      </w:pPr>
      <w:rPr>
        <w:rFonts w:ascii="Arial" w:hAnsi="Arial" w:hint="default"/>
      </w:rPr>
    </w:lvl>
    <w:lvl w:ilvl="4" w:tplc="96608E1C" w:tentative="1">
      <w:start w:val="1"/>
      <w:numFmt w:val="bullet"/>
      <w:lvlText w:val="•"/>
      <w:lvlJc w:val="left"/>
      <w:pPr>
        <w:tabs>
          <w:tab w:val="num" w:pos="3600"/>
        </w:tabs>
        <w:ind w:left="3600" w:hanging="360"/>
      </w:pPr>
      <w:rPr>
        <w:rFonts w:ascii="Arial" w:hAnsi="Arial" w:hint="default"/>
      </w:rPr>
    </w:lvl>
    <w:lvl w:ilvl="5" w:tplc="565EBB9A" w:tentative="1">
      <w:start w:val="1"/>
      <w:numFmt w:val="bullet"/>
      <w:lvlText w:val="•"/>
      <w:lvlJc w:val="left"/>
      <w:pPr>
        <w:tabs>
          <w:tab w:val="num" w:pos="4320"/>
        </w:tabs>
        <w:ind w:left="4320" w:hanging="360"/>
      </w:pPr>
      <w:rPr>
        <w:rFonts w:ascii="Arial" w:hAnsi="Arial" w:hint="default"/>
      </w:rPr>
    </w:lvl>
    <w:lvl w:ilvl="6" w:tplc="B04AA216" w:tentative="1">
      <w:start w:val="1"/>
      <w:numFmt w:val="bullet"/>
      <w:lvlText w:val="•"/>
      <w:lvlJc w:val="left"/>
      <w:pPr>
        <w:tabs>
          <w:tab w:val="num" w:pos="5040"/>
        </w:tabs>
        <w:ind w:left="5040" w:hanging="360"/>
      </w:pPr>
      <w:rPr>
        <w:rFonts w:ascii="Arial" w:hAnsi="Arial" w:hint="default"/>
      </w:rPr>
    </w:lvl>
    <w:lvl w:ilvl="7" w:tplc="D69A54E2" w:tentative="1">
      <w:start w:val="1"/>
      <w:numFmt w:val="bullet"/>
      <w:lvlText w:val="•"/>
      <w:lvlJc w:val="left"/>
      <w:pPr>
        <w:tabs>
          <w:tab w:val="num" w:pos="5760"/>
        </w:tabs>
        <w:ind w:left="5760" w:hanging="360"/>
      </w:pPr>
      <w:rPr>
        <w:rFonts w:ascii="Arial" w:hAnsi="Arial" w:hint="default"/>
      </w:rPr>
    </w:lvl>
    <w:lvl w:ilvl="8" w:tplc="B8F08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2B07734D"/>
    <w:multiLevelType w:val="hybridMultilevel"/>
    <w:tmpl w:val="212E3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2"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1"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3"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
  </w:num>
  <w:num w:numId="4">
    <w:abstractNumId w:val="7"/>
  </w:num>
  <w:num w:numId="5">
    <w:abstractNumId w:val="2"/>
  </w:num>
  <w:num w:numId="6">
    <w:abstractNumId w:val="5"/>
  </w:num>
  <w:num w:numId="7">
    <w:abstractNumId w:val="22"/>
  </w:num>
  <w:num w:numId="8">
    <w:abstractNumId w:val="20"/>
  </w:num>
  <w:num w:numId="9">
    <w:abstractNumId w:val="24"/>
  </w:num>
  <w:num w:numId="10">
    <w:abstractNumId w:val="16"/>
  </w:num>
  <w:num w:numId="11">
    <w:abstractNumId w:val="13"/>
  </w:num>
  <w:num w:numId="12">
    <w:abstractNumId w:val="9"/>
  </w:num>
  <w:num w:numId="13">
    <w:abstractNumId w:val="8"/>
  </w:num>
  <w:num w:numId="14">
    <w:abstractNumId w:val="11"/>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1"/>
  </w:num>
  <w:num w:numId="19">
    <w:abstractNumId w:val="25"/>
  </w:num>
  <w:num w:numId="20">
    <w:abstractNumId w:val="19"/>
  </w:num>
  <w:num w:numId="21">
    <w:abstractNumId w:val="23"/>
  </w:num>
  <w:num w:numId="22">
    <w:abstractNumId w:val="18"/>
  </w:num>
  <w:num w:numId="23">
    <w:abstractNumId w:val="14"/>
  </w:num>
  <w:num w:numId="24">
    <w:abstractNumId w:val="3"/>
  </w:num>
  <w:num w:numId="25">
    <w:abstractNumId w:val="12"/>
  </w:num>
  <w:num w:numId="26">
    <w:abstractNumId w:val="6"/>
  </w:num>
  <w:num w:numId="27">
    <w:abstractNumId w:val="4"/>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35A"/>
    <w:rsid w:val="000136E9"/>
    <w:rsid w:val="00013BAC"/>
    <w:rsid w:val="0001435C"/>
    <w:rsid w:val="00014926"/>
    <w:rsid w:val="00014AA1"/>
    <w:rsid w:val="00014D42"/>
    <w:rsid w:val="00015889"/>
    <w:rsid w:val="00015958"/>
    <w:rsid w:val="00015EB9"/>
    <w:rsid w:val="0001660E"/>
    <w:rsid w:val="00017027"/>
    <w:rsid w:val="0002034F"/>
    <w:rsid w:val="000217AE"/>
    <w:rsid w:val="00021DD2"/>
    <w:rsid w:val="00021EB5"/>
    <w:rsid w:val="00022232"/>
    <w:rsid w:val="00022366"/>
    <w:rsid w:val="00022B72"/>
    <w:rsid w:val="00022BFC"/>
    <w:rsid w:val="00022E01"/>
    <w:rsid w:val="00023182"/>
    <w:rsid w:val="0002351F"/>
    <w:rsid w:val="0002377D"/>
    <w:rsid w:val="000237C0"/>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272BB"/>
    <w:rsid w:val="000300F0"/>
    <w:rsid w:val="00030395"/>
    <w:rsid w:val="000312EA"/>
    <w:rsid w:val="000318C7"/>
    <w:rsid w:val="00031A90"/>
    <w:rsid w:val="00032B4B"/>
    <w:rsid w:val="00032E29"/>
    <w:rsid w:val="00033962"/>
    <w:rsid w:val="00034189"/>
    <w:rsid w:val="000346C1"/>
    <w:rsid w:val="00034F2E"/>
    <w:rsid w:val="00036AD3"/>
    <w:rsid w:val="00036D35"/>
    <w:rsid w:val="00037219"/>
    <w:rsid w:val="00037AF3"/>
    <w:rsid w:val="00037DC7"/>
    <w:rsid w:val="000400AF"/>
    <w:rsid w:val="0004079A"/>
    <w:rsid w:val="00040829"/>
    <w:rsid w:val="000410EF"/>
    <w:rsid w:val="00041151"/>
    <w:rsid w:val="00041A70"/>
    <w:rsid w:val="00041A9E"/>
    <w:rsid w:val="000426D2"/>
    <w:rsid w:val="000427ED"/>
    <w:rsid w:val="00044709"/>
    <w:rsid w:val="00045A86"/>
    <w:rsid w:val="00045D23"/>
    <w:rsid w:val="00045FF3"/>
    <w:rsid w:val="0004645C"/>
    <w:rsid w:val="0004667E"/>
    <w:rsid w:val="00046703"/>
    <w:rsid w:val="00046B10"/>
    <w:rsid w:val="00046CCD"/>
    <w:rsid w:val="00046DB4"/>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820"/>
    <w:rsid w:val="00053A43"/>
    <w:rsid w:val="000540C5"/>
    <w:rsid w:val="00054404"/>
    <w:rsid w:val="0005466F"/>
    <w:rsid w:val="00055671"/>
    <w:rsid w:val="000557B1"/>
    <w:rsid w:val="00055B8F"/>
    <w:rsid w:val="0005625B"/>
    <w:rsid w:val="00056381"/>
    <w:rsid w:val="00056469"/>
    <w:rsid w:val="00056649"/>
    <w:rsid w:val="000569DC"/>
    <w:rsid w:val="00056AF9"/>
    <w:rsid w:val="00056DC9"/>
    <w:rsid w:val="00057EEB"/>
    <w:rsid w:val="00060EEF"/>
    <w:rsid w:val="000611EE"/>
    <w:rsid w:val="00061701"/>
    <w:rsid w:val="00061E39"/>
    <w:rsid w:val="00062045"/>
    <w:rsid w:val="000624F5"/>
    <w:rsid w:val="00062712"/>
    <w:rsid w:val="000627D7"/>
    <w:rsid w:val="00062BC4"/>
    <w:rsid w:val="00065A0C"/>
    <w:rsid w:val="000660A0"/>
    <w:rsid w:val="00066C59"/>
    <w:rsid w:val="00066E87"/>
    <w:rsid w:val="00067B66"/>
    <w:rsid w:val="00067CCA"/>
    <w:rsid w:val="00067D53"/>
    <w:rsid w:val="00067F68"/>
    <w:rsid w:val="000702E6"/>
    <w:rsid w:val="00070F52"/>
    <w:rsid w:val="0007113B"/>
    <w:rsid w:val="000713B2"/>
    <w:rsid w:val="00071494"/>
    <w:rsid w:val="00071815"/>
    <w:rsid w:val="00071E9D"/>
    <w:rsid w:val="00072D92"/>
    <w:rsid w:val="00072DA7"/>
    <w:rsid w:val="000740E0"/>
    <w:rsid w:val="00074422"/>
    <w:rsid w:val="00074C2F"/>
    <w:rsid w:val="00074FBF"/>
    <w:rsid w:val="000752BD"/>
    <w:rsid w:val="00075BCA"/>
    <w:rsid w:val="00076180"/>
    <w:rsid w:val="0007624B"/>
    <w:rsid w:val="00076C01"/>
    <w:rsid w:val="00076D97"/>
    <w:rsid w:val="00076DA6"/>
    <w:rsid w:val="0007752D"/>
    <w:rsid w:val="00077DE8"/>
    <w:rsid w:val="00077E39"/>
    <w:rsid w:val="00080AD0"/>
    <w:rsid w:val="000817FC"/>
    <w:rsid w:val="00081CBE"/>
    <w:rsid w:val="00081DCB"/>
    <w:rsid w:val="00082E6E"/>
    <w:rsid w:val="00083962"/>
    <w:rsid w:val="00084072"/>
    <w:rsid w:val="00084D62"/>
    <w:rsid w:val="00085382"/>
    <w:rsid w:val="00085385"/>
    <w:rsid w:val="00085C21"/>
    <w:rsid w:val="000860A2"/>
    <w:rsid w:val="000860C5"/>
    <w:rsid w:val="0008643B"/>
    <w:rsid w:val="000869C7"/>
    <w:rsid w:val="00086C5F"/>
    <w:rsid w:val="00086FC2"/>
    <w:rsid w:val="0008739D"/>
    <w:rsid w:val="00087545"/>
    <w:rsid w:val="00090469"/>
    <w:rsid w:val="00091B17"/>
    <w:rsid w:val="00091DAF"/>
    <w:rsid w:val="00091EC4"/>
    <w:rsid w:val="000928F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2B9"/>
    <w:rsid w:val="000A18EA"/>
    <w:rsid w:val="000A1959"/>
    <w:rsid w:val="000A2D8A"/>
    <w:rsid w:val="000A2FE6"/>
    <w:rsid w:val="000A381D"/>
    <w:rsid w:val="000A3F9A"/>
    <w:rsid w:val="000A4328"/>
    <w:rsid w:val="000A4462"/>
    <w:rsid w:val="000A494B"/>
    <w:rsid w:val="000A59DD"/>
    <w:rsid w:val="000A631B"/>
    <w:rsid w:val="000A6620"/>
    <w:rsid w:val="000A7644"/>
    <w:rsid w:val="000B03AD"/>
    <w:rsid w:val="000B061D"/>
    <w:rsid w:val="000B0DDB"/>
    <w:rsid w:val="000B24A7"/>
    <w:rsid w:val="000B30D0"/>
    <w:rsid w:val="000B3495"/>
    <w:rsid w:val="000B3A7A"/>
    <w:rsid w:val="000B3BDB"/>
    <w:rsid w:val="000B4356"/>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19"/>
    <w:rsid w:val="000C5059"/>
    <w:rsid w:val="000C5412"/>
    <w:rsid w:val="000C58AE"/>
    <w:rsid w:val="000C74F8"/>
    <w:rsid w:val="000D151D"/>
    <w:rsid w:val="000D1B51"/>
    <w:rsid w:val="000D1C4C"/>
    <w:rsid w:val="000D25F9"/>
    <w:rsid w:val="000D2D00"/>
    <w:rsid w:val="000D3CC1"/>
    <w:rsid w:val="000D3CE4"/>
    <w:rsid w:val="000D3E6A"/>
    <w:rsid w:val="000D4068"/>
    <w:rsid w:val="000D41A5"/>
    <w:rsid w:val="000D4EC6"/>
    <w:rsid w:val="000D5105"/>
    <w:rsid w:val="000D51FD"/>
    <w:rsid w:val="000D5954"/>
    <w:rsid w:val="000D5D2D"/>
    <w:rsid w:val="000D5F43"/>
    <w:rsid w:val="000D6C71"/>
    <w:rsid w:val="000D6D9E"/>
    <w:rsid w:val="000E106A"/>
    <w:rsid w:val="000E1948"/>
    <w:rsid w:val="000E1BB5"/>
    <w:rsid w:val="000E1EAD"/>
    <w:rsid w:val="000E1F92"/>
    <w:rsid w:val="000E223D"/>
    <w:rsid w:val="000E2576"/>
    <w:rsid w:val="000E2672"/>
    <w:rsid w:val="000E2FB1"/>
    <w:rsid w:val="000E32A8"/>
    <w:rsid w:val="000E353D"/>
    <w:rsid w:val="000E3C13"/>
    <w:rsid w:val="000E3E0E"/>
    <w:rsid w:val="000E47CD"/>
    <w:rsid w:val="000E5B37"/>
    <w:rsid w:val="000E61CF"/>
    <w:rsid w:val="000E6431"/>
    <w:rsid w:val="000E64F4"/>
    <w:rsid w:val="000E6A0C"/>
    <w:rsid w:val="000E6F48"/>
    <w:rsid w:val="000E6FE7"/>
    <w:rsid w:val="000F1128"/>
    <w:rsid w:val="000F13C8"/>
    <w:rsid w:val="000F1EED"/>
    <w:rsid w:val="000F20E2"/>
    <w:rsid w:val="000F216A"/>
    <w:rsid w:val="000F22F2"/>
    <w:rsid w:val="000F23FD"/>
    <w:rsid w:val="000F25B0"/>
    <w:rsid w:val="000F3095"/>
    <w:rsid w:val="000F316D"/>
    <w:rsid w:val="000F3283"/>
    <w:rsid w:val="000F347C"/>
    <w:rsid w:val="000F39E4"/>
    <w:rsid w:val="000F4004"/>
    <w:rsid w:val="000F4084"/>
    <w:rsid w:val="000F40ED"/>
    <w:rsid w:val="000F43AD"/>
    <w:rsid w:val="000F4D26"/>
    <w:rsid w:val="000F5C39"/>
    <w:rsid w:val="000F5C83"/>
    <w:rsid w:val="000F6E14"/>
    <w:rsid w:val="000F77F9"/>
    <w:rsid w:val="000F7DAE"/>
    <w:rsid w:val="00100519"/>
    <w:rsid w:val="00100C62"/>
    <w:rsid w:val="0010176A"/>
    <w:rsid w:val="00101A2F"/>
    <w:rsid w:val="00102408"/>
    <w:rsid w:val="00102828"/>
    <w:rsid w:val="00102C28"/>
    <w:rsid w:val="001035CC"/>
    <w:rsid w:val="001037A9"/>
    <w:rsid w:val="00105207"/>
    <w:rsid w:val="0010577B"/>
    <w:rsid w:val="00105BED"/>
    <w:rsid w:val="0010649B"/>
    <w:rsid w:val="00106D8A"/>
    <w:rsid w:val="001071AD"/>
    <w:rsid w:val="00107206"/>
    <w:rsid w:val="00107A7F"/>
    <w:rsid w:val="00110D96"/>
    <w:rsid w:val="00110F3C"/>
    <w:rsid w:val="00111F64"/>
    <w:rsid w:val="001121F9"/>
    <w:rsid w:val="00112282"/>
    <w:rsid w:val="00112D38"/>
    <w:rsid w:val="00112DDF"/>
    <w:rsid w:val="00114092"/>
    <w:rsid w:val="001144FF"/>
    <w:rsid w:val="00114733"/>
    <w:rsid w:val="00114CCB"/>
    <w:rsid w:val="0011509F"/>
    <w:rsid w:val="00115579"/>
    <w:rsid w:val="00115FF1"/>
    <w:rsid w:val="00116D92"/>
    <w:rsid w:val="0011794D"/>
    <w:rsid w:val="00120351"/>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5AF1"/>
    <w:rsid w:val="00126E14"/>
    <w:rsid w:val="001275ED"/>
    <w:rsid w:val="00127741"/>
    <w:rsid w:val="0012784A"/>
    <w:rsid w:val="001278C3"/>
    <w:rsid w:val="00127BB4"/>
    <w:rsid w:val="00130481"/>
    <w:rsid w:val="00130F22"/>
    <w:rsid w:val="00130F75"/>
    <w:rsid w:val="00131237"/>
    <w:rsid w:val="0013172A"/>
    <w:rsid w:val="0013185B"/>
    <w:rsid w:val="001318EA"/>
    <w:rsid w:val="00131916"/>
    <w:rsid w:val="001323BC"/>
    <w:rsid w:val="00132D1A"/>
    <w:rsid w:val="00133669"/>
    <w:rsid w:val="00133A30"/>
    <w:rsid w:val="001350EC"/>
    <w:rsid w:val="00135B8B"/>
    <w:rsid w:val="001368EC"/>
    <w:rsid w:val="00136D1D"/>
    <w:rsid w:val="001378A7"/>
    <w:rsid w:val="00141EFE"/>
    <w:rsid w:val="0014253B"/>
    <w:rsid w:val="00143024"/>
    <w:rsid w:val="00143996"/>
    <w:rsid w:val="00143A99"/>
    <w:rsid w:val="00145020"/>
    <w:rsid w:val="00145573"/>
    <w:rsid w:val="00145B79"/>
    <w:rsid w:val="00145D45"/>
    <w:rsid w:val="00146A15"/>
    <w:rsid w:val="001475AC"/>
    <w:rsid w:val="00147D49"/>
    <w:rsid w:val="00147EED"/>
    <w:rsid w:val="00147F21"/>
    <w:rsid w:val="00150BE6"/>
    <w:rsid w:val="00151228"/>
    <w:rsid w:val="0015142D"/>
    <w:rsid w:val="0015149B"/>
    <w:rsid w:val="00151541"/>
    <w:rsid w:val="001523D2"/>
    <w:rsid w:val="00152517"/>
    <w:rsid w:val="00152D44"/>
    <w:rsid w:val="001532B7"/>
    <w:rsid w:val="001532BB"/>
    <w:rsid w:val="00153AE3"/>
    <w:rsid w:val="00153E95"/>
    <w:rsid w:val="00154285"/>
    <w:rsid w:val="001546E4"/>
    <w:rsid w:val="001549AF"/>
    <w:rsid w:val="00154B61"/>
    <w:rsid w:val="00155047"/>
    <w:rsid w:val="00155155"/>
    <w:rsid w:val="0015580F"/>
    <w:rsid w:val="00155F3E"/>
    <w:rsid w:val="00156451"/>
    <w:rsid w:val="00156804"/>
    <w:rsid w:val="00157C35"/>
    <w:rsid w:val="00157EF0"/>
    <w:rsid w:val="00160DC9"/>
    <w:rsid w:val="00160E90"/>
    <w:rsid w:val="00160F50"/>
    <w:rsid w:val="001632EF"/>
    <w:rsid w:val="001646A0"/>
    <w:rsid w:val="00164F64"/>
    <w:rsid w:val="00166A7B"/>
    <w:rsid w:val="00166AC4"/>
    <w:rsid w:val="00166F30"/>
    <w:rsid w:val="00170B12"/>
    <w:rsid w:val="00170BCA"/>
    <w:rsid w:val="001710A2"/>
    <w:rsid w:val="001715C6"/>
    <w:rsid w:val="00172482"/>
    <w:rsid w:val="00173372"/>
    <w:rsid w:val="00173460"/>
    <w:rsid w:val="00174C34"/>
    <w:rsid w:val="0017518D"/>
    <w:rsid w:val="0017527E"/>
    <w:rsid w:val="0017613E"/>
    <w:rsid w:val="00176D5A"/>
    <w:rsid w:val="00177681"/>
    <w:rsid w:val="00177B38"/>
    <w:rsid w:val="00180209"/>
    <w:rsid w:val="00180690"/>
    <w:rsid w:val="001813B4"/>
    <w:rsid w:val="00181646"/>
    <w:rsid w:val="001817AE"/>
    <w:rsid w:val="00181847"/>
    <w:rsid w:val="00181CD7"/>
    <w:rsid w:val="00182545"/>
    <w:rsid w:val="0018339C"/>
    <w:rsid w:val="00183694"/>
    <w:rsid w:val="00184129"/>
    <w:rsid w:val="00184791"/>
    <w:rsid w:val="00184811"/>
    <w:rsid w:val="0018495E"/>
    <w:rsid w:val="00184EE0"/>
    <w:rsid w:val="0018652B"/>
    <w:rsid w:val="0018652E"/>
    <w:rsid w:val="0018654C"/>
    <w:rsid w:val="0018673E"/>
    <w:rsid w:val="00186BED"/>
    <w:rsid w:val="001870B1"/>
    <w:rsid w:val="001876B1"/>
    <w:rsid w:val="0019000D"/>
    <w:rsid w:val="00190D5C"/>
    <w:rsid w:val="001913DE"/>
    <w:rsid w:val="0019208E"/>
    <w:rsid w:val="001929AB"/>
    <w:rsid w:val="00192A8F"/>
    <w:rsid w:val="00192C8A"/>
    <w:rsid w:val="00192F9F"/>
    <w:rsid w:val="00193095"/>
    <w:rsid w:val="001945D8"/>
    <w:rsid w:val="00194826"/>
    <w:rsid w:val="00194FC8"/>
    <w:rsid w:val="001959A6"/>
    <w:rsid w:val="00195E3D"/>
    <w:rsid w:val="00196E1F"/>
    <w:rsid w:val="001A0303"/>
    <w:rsid w:val="001A04B7"/>
    <w:rsid w:val="001A0A83"/>
    <w:rsid w:val="001A0DC4"/>
    <w:rsid w:val="001A0E2F"/>
    <w:rsid w:val="001A1169"/>
    <w:rsid w:val="001A11A2"/>
    <w:rsid w:val="001A11C5"/>
    <w:rsid w:val="001A2814"/>
    <w:rsid w:val="001A37CB"/>
    <w:rsid w:val="001A43CD"/>
    <w:rsid w:val="001A4642"/>
    <w:rsid w:val="001A64F3"/>
    <w:rsid w:val="001A6BC1"/>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4C7B"/>
    <w:rsid w:val="001B4F51"/>
    <w:rsid w:val="001B5044"/>
    <w:rsid w:val="001B560B"/>
    <w:rsid w:val="001B5A35"/>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35F8"/>
    <w:rsid w:val="001C4228"/>
    <w:rsid w:val="001C4DE6"/>
    <w:rsid w:val="001C5421"/>
    <w:rsid w:val="001C5530"/>
    <w:rsid w:val="001C5553"/>
    <w:rsid w:val="001C6AD8"/>
    <w:rsid w:val="001C7D24"/>
    <w:rsid w:val="001D0569"/>
    <w:rsid w:val="001D1731"/>
    <w:rsid w:val="001D1BA6"/>
    <w:rsid w:val="001D1FAF"/>
    <w:rsid w:val="001D2D3A"/>
    <w:rsid w:val="001D2D8A"/>
    <w:rsid w:val="001D3B3C"/>
    <w:rsid w:val="001D43C0"/>
    <w:rsid w:val="001D45B6"/>
    <w:rsid w:val="001D476E"/>
    <w:rsid w:val="001D4F6E"/>
    <w:rsid w:val="001D50AC"/>
    <w:rsid w:val="001D5AEB"/>
    <w:rsid w:val="001D640B"/>
    <w:rsid w:val="001D6DB8"/>
    <w:rsid w:val="001D7A9C"/>
    <w:rsid w:val="001D7C17"/>
    <w:rsid w:val="001E01B1"/>
    <w:rsid w:val="001E0AA4"/>
    <w:rsid w:val="001E0C9C"/>
    <w:rsid w:val="001E1182"/>
    <w:rsid w:val="001E11B3"/>
    <w:rsid w:val="001E18D0"/>
    <w:rsid w:val="001E20F2"/>
    <w:rsid w:val="001E3756"/>
    <w:rsid w:val="001E462C"/>
    <w:rsid w:val="001E5E2F"/>
    <w:rsid w:val="001E5E93"/>
    <w:rsid w:val="001E607F"/>
    <w:rsid w:val="001E6314"/>
    <w:rsid w:val="001E635C"/>
    <w:rsid w:val="001E673A"/>
    <w:rsid w:val="001E696A"/>
    <w:rsid w:val="001E78C1"/>
    <w:rsid w:val="001F10C3"/>
    <w:rsid w:val="001F12A4"/>
    <w:rsid w:val="001F1BCC"/>
    <w:rsid w:val="001F1DE1"/>
    <w:rsid w:val="001F2635"/>
    <w:rsid w:val="001F33A2"/>
    <w:rsid w:val="001F3DF5"/>
    <w:rsid w:val="001F4098"/>
    <w:rsid w:val="001F488F"/>
    <w:rsid w:val="001F48F6"/>
    <w:rsid w:val="001F4C39"/>
    <w:rsid w:val="001F55C6"/>
    <w:rsid w:val="001F5B75"/>
    <w:rsid w:val="001F628F"/>
    <w:rsid w:val="001F6828"/>
    <w:rsid w:val="001F6A8C"/>
    <w:rsid w:val="001F7369"/>
    <w:rsid w:val="001F78C1"/>
    <w:rsid w:val="002000A2"/>
    <w:rsid w:val="002002F1"/>
    <w:rsid w:val="00201D94"/>
    <w:rsid w:val="00201EAD"/>
    <w:rsid w:val="0020202A"/>
    <w:rsid w:val="00202EFC"/>
    <w:rsid w:val="002030F8"/>
    <w:rsid w:val="002038F5"/>
    <w:rsid w:val="002041A9"/>
    <w:rsid w:val="0020457B"/>
    <w:rsid w:val="002052D8"/>
    <w:rsid w:val="0020547F"/>
    <w:rsid w:val="002056A3"/>
    <w:rsid w:val="00205729"/>
    <w:rsid w:val="00206023"/>
    <w:rsid w:val="00206D64"/>
    <w:rsid w:val="00206DF8"/>
    <w:rsid w:val="00207956"/>
    <w:rsid w:val="00207991"/>
    <w:rsid w:val="00207D97"/>
    <w:rsid w:val="00210148"/>
    <w:rsid w:val="002101FF"/>
    <w:rsid w:val="00210F65"/>
    <w:rsid w:val="002112F4"/>
    <w:rsid w:val="002114C3"/>
    <w:rsid w:val="0021194D"/>
    <w:rsid w:val="00211AD4"/>
    <w:rsid w:val="00212FF7"/>
    <w:rsid w:val="0021380F"/>
    <w:rsid w:val="00214A6E"/>
    <w:rsid w:val="00214DAA"/>
    <w:rsid w:val="00214E2F"/>
    <w:rsid w:val="002157E9"/>
    <w:rsid w:val="00215DB8"/>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38E6"/>
    <w:rsid w:val="002239E5"/>
    <w:rsid w:val="002258D1"/>
    <w:rsid w:val="00225C4D"/>
    <w:rsid w:val="00226A06"/>
    <w:rsid w:val="0022799A"/>
    <w:rsid w:val="00227A48"/>
    <w:rsid w:val="0023025E"/>
    <w:rsid w:val="00231313"/>
    <w:rsid w:val="00231441"/>
    <w:rsid w:val="00231A96"/>
    <w:rsid w:val="00231DBE"/>
    <w:rsid w:val="00231E1E"/>
    <w:rsid w:val="00233324"/>
    <w:rsid w:val="002340B9"/>
    <w:rsid w:val="00234A35"/>
    <w:rsid w:val="002351B6"/>
    <w:rsid w:val="0023578B"/>
    <w:rsid w:val="00237428"/>
    <w:rsid w:val="00237B45"/>
    <w:rsid w:val="00240574"/>
    <w:rsid w:val="00240BC3"/>
    <w:rsid w:val="00241391"/>
    <w:rsid w:val="00241474"/>
    <w:rsid w:val="00241C59"/>
    <w:rsid w:val="002427AB"/>
    <w:rsid w:val="00242A75"/>
    <w:rsid w:val="002430A4"/>
    <w:rsid w:val="00243709"/>
    <w:rsid w:val="00243893"/>
    <w:rsid w:val="002439E1"/>
    <w:rsid w:val="00243A92"/>
    <w:rsid w:val="00243FEA"/>
    <w:rsid w:val="002448ED"/>
    <w:rsid w:val="0024504B"/>
    <w:rsid w:val="00245509"/>
    <w:rsid w:val="00247051"/>
    <w:rsid w:val="0024773C"/>
    <w:rsid w:val="00247864"/>
    <w:rsid w:val="002506E4"/>
    <w:rsid w:val="00250912"/>
    <w:rsid w:val="00250D0C"/>
    <w:rsid w:val="00250D72"/>
    <w:rsid w:val="002518D6"/>
    <w:rsid w:val="00251CBE"/>
    <w:rsid w:val="00252A34"/>
    <w:rsid w:val="00252A53"/>
    <w:rsid w:val="00253B5A"/>
    <w:rsid w:val="00253DB4"/>
    <w:rsid w:val="00253DED"/>
    <w:rsid w:val="00254576"/>
    <w:rsid w:val="00254B5F"/>
    <w:rsid w:val="00254EC9"/>
    <w:rsid w:val="002551C4"/>
    <w:rsid w:val="00255C3A"/>
    <w:rsid w:val="002561F0"/>
    <w:rsid w:val="002562C4"/>
    <w:rsid w:val="0025649D"/>
    <w:rsid w:val="002566F4"/>
    <w:rsid w:val="00256826"/>
    <w:rsid w:val="00256900"/>
    <w:rsid w:val="00256D40"/>
    <w:rsid w:val="00256D54"/>
    <w:rsid w:val="00257C25"/>
    <w:rsid w:val="00260305"/>
    <w:rsid w:val="002611DC"/>
    <w:rsid w:val="00261B06"/>
    <w:rsid w:val="00262859"/>
    <w:rsid w:val="002636FD"/>
    <w:rsid w:val="00263CB3"/>
    <w:rsid w:val="0026402D"/>
    <w:rsid w:val="00265445"/>
    <w:rsid w:val="002668B7"/>
    <w:rsid w:val="002702AE"/>
    <w:rsid w:val="00270F73"/>
    <w:rsid w:val="002710E0"/>
    <w:rsid w:val="0027154B"/>
    <w:rsid w:val="00271552"/>
    <w:rsid w:val="00271A36"/>
    <w:rsid w:val="00271B7F"/>
    <w:rsid w:val="0027218B"/>
    <w:rsid w:val="0027248F"/>
    <w:rsid w:val="002725D4"/>
    <w:rsid w:val="00272D78"/>
    <w:rsid w:val="00272EDE"/>
    <w:rsid w:val="002732E2"/>
    <w:rsid w:val="002733B4"/>
    <w:rsid w:val="00273823"/>
    <w:rsid w:val="00273B26"/>
    <w:rsid w:val="00273EF6"/>
    <w:rsid w:val="002742E3"/>
    <w:rsid w:val="002746A9"/>
    <w:rsid w:val="002746EB"/>
    <w:rsid w:val="00274CEF"/>
    <w:rsid w:val="00275CE7"/>
    <w:rsid w:val="0027654E"/>
    <w:rsid w:val="00276697"/>
    <w:rsid w:val="002768F6"/>
    <w:rsid w:val="00276A1D"/>
    <w:rsid w:val="00277614"/>
    <w:rsid w:val="00280190"/>
    <w:rsid w:val="00280421"/>
    <w:rsid w:val="00280780"/>
    <w:rsid w:val="00280C75"/>
    <w:rsid w:val="00281DFC"/>
    <w:rsid w:val="00281F12"/>
    <w:rsid w:val="0028208B"/>
    <w:rsid w:val="002821A9"/>
    <w:rsid w:val="00284828"/>
    <w:rsid w:val="0028567D"/>
    <w:rsid w:val="002856EC"/>
    <w:rsid w:val="00285A94"/>
    <w:rsid w:val="0028705A"/>
    <w:rsid w:val="00287538"/>
    <w:rsid w:val="0028789C"/>
    <w:rsid w:val="002878F1"/>
    <w:rsid w:val="00290752"/>
    <w:rsid w:val="002907B0"/>
    <w:rsid w:val="00291A24"/>
    <w:rsid w:val="00291AB7"/>
    <w:rsid w:val="00291FBB"/>
    <w:rsid w:val="00291FC7"/>
    <w:rsid w:val="00291FF6"/>
    <w:rsid w:val="0029262E"/>
    <w:rsid w:val="002928B2"/>
    <w:rsid w:val="00292DCA"/>
    <w:rsid w:val="00293A0C"/>
    <w:rsid w:val="00293C6A"/>
    <w:rsid w:val="00294BF1"/>
    <w:rsid w:val="00294DDC"/>
    <w:rsid w:val="00295195"/>
    <w:rsid w:val="0029526D"/>
    <w:rsid w:val="00295449"/>
    <w:rsid w:val="002959C1"/>
    <w:rsid w:val="002963AC"/>
    <w:rsid w:val="002966AD"/>
    <w:rsid w:val="00296904"/>
    <w:rsid w:val="00296B8D"/>
    <w:rsid w:val="00296E04"/>
    <w:rsid w:val="002974A3"/>
    <w:rsid w:val="00297A77"/>
    <w:rsid w:val="002A0167"/>
    <w:rsid w:val="002A0455"/>
    <w:rsid w:val="002A0831"/>
    <w:rsid w:val="002A1A41"/>
    <w:rsid w:val="002A2BE4"/>
    <w:rsid w:val="002A355F"/>
    <w:rsid w:val="002A38B3"/>
    <w:rsid w:val="002A3FCE"/>
    <w:rsid w:val="002A41A0"/>
    <w:rsid w:val="002A4335"/>
    <w:rsid w:val="002A4486"/>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B93"/>
    <w:rsid w:val="002B5DAC"/>
    <w:rsid w:val="002B64C9"/>
    <w:rsid w:val="002B68FA"/>
    <w:rsid w:val="002B6EEA"/>
    <w:rsid w:val="002B6F88"/>
    <w:rsid w:val="002B79B8"/>
    <w:rsid w:val="002B7F7A"/>
    <w:rsid w:val="002C04FC"/>
    <w:rsid w:val="002C0B41"/>
    <w:rsid w:val="002C14DB"/>
    <w:rsid w:val="002C1740"/>
    <w:rsid w:val="002C1A62"/>
    <w:rsid w:val="002C305D"/>
    <w:rsid w:val="002C3451"/>
    <w:rsid w:val="002C375C"/>
    <w:rsid w:val="002C3A95"/>
    <w:rsid w:val="002C3B21"/>
    <w:rsid w:val="002C3EAC"/>
    <w:rsid w:val="002C433A"/>
    <w:rsid w:val="002C46A2"/>
    <w:rsid w:val="002C4AF5"/>
    <w:rsid w:val="002C4C54"/>
    <w:rsid w:val="002C50D0"/>
    <w:rsid w:val="002C580C"/>
    <w:rsid w:val="002C626F"/>
    <w:rsid w:val="002C6703"/>
    <w:rsid w:val="002C6811"/>
    <w:rsid w:val="002C7ECB"/>
    <w:rsid w:val="002C7F0F"/>
    <w:rsid w:val="002D083F"/>
    <w:rsid w:val="002D0EA3"/>
    <w:rsid w:val="002D1F93"/>
    <w:rsid w:val="002D2268"/>
    <w:rsid w:val="002D2818"/>
    <w:rsid w:val="002D3435"/>
    <w:rsid w:val="002D35E1"/>
    <w:rsid w:val="002D4A1C"/>
    <w:rsid w:val="002D55B8"/>
    <w:rsid w:val="002D571E"/>
    <w:rsid w:val="002D5A80"/>
    <w:rsid w:val="002D5FE4"/>
    <w:rsid w:val="002D6486"/>
    <w:rsid w:val="002D75B1"/>
    <w:rsid w:val="002D76C9"/>
    <w:rsid w:val="002E06EC"/>
    <w:rsid w:val="002E0860"/>
    <w:rsid w:val="002E09C8"/>
    <w:rsid w:val="002E0CB1"/>
    <w:rsid w:val="002E144E"/>
    <w:rsid w:val="002E1DF9"/>
    <w:rsid w:val="002E1E19"/>
    <w:rsid w:val="002E23A9"/>
    <w:rsid w:val="002E2868"/>
    <w:rsid w:val="002E2B95"/>
    <w:rsid w:val="002E2C9D"/>
    <w:rsid w:val="002E3889"/>
    <w:rsid w:val="002E3BDC"/>
    <w:rsid w:val="002E4014"/>
    <w:rsid w:val="002E45B0"/>
    <w:rsid w:val="002E4CC4"/>
    <w:rsid w:val="002E4DC8"/>
    <w:rsid w:val="002E4F6E"/>
    <w:rsid w:val="002E5677"/>
    <w:rsid w:val="002E5B02"/>
    <w:rsid w:val="002E5F15"/>
    <w:rsid w:val="002E615F"/>
    <w:rsid w:val="002E61A3"/>
    <w:rsid w:val="002E62FE"/>
    <w:rsid w:val="002E682B"/>
    <w:rsid w:val="002E6853"/>
    <w:rsid w:val="002E6DE0"/>
    <w:rsid w:val="002E76F2"/>
    <w:rsid w:val="002F0087"/>
    <w:rsid w:val="002F06CB"/>
    <w:rsid w:val="002F074E"/>
    <w:rsid w:val="002F1284"/>
    <w:rsid w:val="002F1CC1"/>
    <w:rsid w:val="002F339F"/>
    <w:rsid w:val="002F3457"/>
    <w:rsid w:val="002F3CB2"/>
    <w:rsid w:val="002F47EC"/>
    <w:rsid w:val="002F4FC7"/>
    <w:rsid w:val="002F508B"/>
    <w:rsid w:val="002F52A2"/>
    <w:rsid w:val="002F6DDF"/>
    <w:rsid w:val="002F6E8C"/>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3AC"/>
    <w:rsid w:val="00304815"/>
    <w:rsid w:val="00304DFE"/>
    <w:rsid w:val="003051CB"/>
    <w:rsid w:val="00305285"/>
    <w:rsid w:val="003053DE"/>
    <w:rsid w:val="0030545A"/>
    <w:rsid w:val="0030587E"/>
    <w:rsid w:val="00307709"/>
    <w:rsid w:val="00307B3C"/>
    <w:rsid w:val="00307CAA"/>
    <w:rsid w:val="00310166"/>
    <w:rsid w:val="00310A51"/>
    <w:rsid w:val="00310EE9"/>
    <w:rsid w:val="00311C2C"/>
    <w:rsid w:val="00311E4F"/>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A2B"/>
    <w:rsid w:val="00321D9D"/>
    <w:rsid w:val="00321FB4"/>
    <w:rsid w:val="00322348"/>
    <w:rsid w:val="003225C8"/>
    <w:rsid w:val="003225F8"/>
    <w:rsid w:val="00322EC6"/>
    <w:rsid w:val="00323632"/>
    <w:rsid w:val="0032366D"/>
    <w:rsid w:val="00323C80"/>
    <w:rsid w:val="00323F4A"/>
    <w:rsid w:val="003243D8"/>
    <w:rsid w:val="00324867"/>
    <w:rsid w:val="003248CE"/>
    <w:rsid w:val="00324C88"/>
    <w:rsid w:val="00324E4C"/>
    <w:rsid w:val="00325E77"/>
    <w:rsid w:val="003260DF"/>
    <w:rsid w:val="003267A3"/>
    <w:rsid w:val="00326B3D"/>
    <w:rsid w:val="00326D05"/>
    <w:rsid w:val="003270BA"/>
    <w:rsid w:val="00327B44"/>
    <w:rsid w:val="00327D93"/>
    <w:rsid w:val="00330572"/>
    <w:rsid w:val="00330D28"/>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E18"/>
    <w:rsid w:val="00337FD0"/>
    <w:rsid w:val="0034000A"/>
    <w:rsid w:val="00340185"/>
    <w:rsid w:val="0034096C"/>
    <w:rsid w:val="00341A62"/>
    <w:rsid w:val="00341DBC"/>
    <w:rsid w:val="00342511"/>
    <w:rsid w:val="00342A96"/>
    <w:rsid w:val="00342C06"/>
    <w:rsid w:val="00342C6D"/>
    <w:rsid w:val="00342FD8"/>
    <w:rsid w:val="0034368A"/>
    <w:rsid w:val="00343A1F"/>
    <w:rsid w:val="00343A4F"/>
    <w:rsid w:val="00343D3E"/>
    <w:rsid w:val="00343F3F"/>
    <w:rsid w:val="0034470D"/>
    <w:rsid w:val="00344D7E"/>
    <w:rsid w:val="00344F53"/>
    <w:rsid w:val="003457A4"/>
    <w:rsid w:val="00345833"/>
    <w:rsid w:val="00345D31"/>
    <w:rsid w:val="003461F9"/>
    <w:rsid w:val="00347882"/>
    <w:rsid w:val="00347B01"/>
    <w:rsid w:val="00347FFA"/>
    <w:rsid w:val="00350010"/>
    <w:rsid w:val="00350666"/>
    <w:rsid w:val="00350AE0"/>
    <w:rsid w:val="00350D18"/>
    <w:rsid w:val="0035148F"/>
    <w:rsid w:val="00351B09"/>
    <w:rsid w:val="00352184"/>
    <w:rsid w:val="00352A0E"/>
    <w:rsid w:val="00352A73"/>
    <w:rsid w:val="00352EEF"/>
    <w:rsid w:val="00352FC2"/>
    <w:rsid w:val="003535F8"/>
    <w:rsid w:val="00353B69"/>
    <w:rsid w:val="00354744"/>
    <w:rsid w:val="00354A65"/>
    <w:rsid w:val="00354D78"/>
    <w:rsid w:val="00355E21"/>
    <w:rsid w:val="00355FE5"/>
    <w:rsid w:val="00356FBC"/>
    <w:rsid w:val="0035711E"/>
    <w:rsid w:val="00357B44"/>
    <w:rsid w:val="00357CEA"/>
    <w:rsid w:val="00357E91"/>
    <w:rsid w:val="00357EA4"/>
    <w:rsid w:val="003602B7"/>
    <w:rsid w:val="003602F1"/>
    <w:rsid w:val="003606A1"/>
    <w:rsid w:val="00360BE0"/>
    <w:rsid w:val="003612FA"/>
    <w:rsid w:val="00361B88"/>
    <w:rsid w:val="00362618"/>
    <w:rsid w:val="00363567"/>
    <w:rsid w:val="00363C01"/>
    <w:rsid w:val="00363D3E"/>
    <w:rsid w:val="00363E43"/>
    <w:rsid w:val="00365566"/>
    <w:rsid w:val="00365DDA"/>
    <w:rsid w:val="003665A4"/>
    <w:rsid w:val="00366BC3"/>
    <w:rsid w:val="00366DFE"/>
    <w:rsid w:val="00366E31"/>
    <w:rsid w:val="0036712A"/>
    <w:rsid w:val="0037066C"/>
    <w:rsid w:val="00370CE1"/>
    <w:rsid w:val="00371D60"/>
    <w:rsid w:val="003722E4"/>
    <w:rsid w:val="003726DF"/>
    <w:rsid w:val="0037286C"/>
    <w:rsid w:val="00372EB8"/>
    <w:rsid w:val="00373A37"/>
    <w:rsid w:val="00373BE9"/>
    <w:rsid w:val="00373FDF"/>
    <w:rsid w:val="003744EA"/>
    <w:rsid w:val="00374DDC"/>
    <w:rsid w:val="00374FA6"/>
    <w:rsid w:val="00374FAA"/>
    <w:rsid w:val="003750A9"/>
    <w:rsid w:val="003751A4"/>
    <w:rsid w:val="00375AFC"/>
    <w:rsid w:val="00375E2D"/>
    <w:rsid w:val="003761D3"/>
    <w:rsid w:val="003762F5"/>
    <w:rsid w:val="00376750"/>
    <w:rsid w:val="003767D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73B"/>
    <w:rsid w:val="00387FC3"/>
    <w:rsid w:val="0039034F"/>
    <w:rsid w:val="003908B0"/>
    <w:rsid w:val="00390DBD"/>
    <w:rsid w:val="00390E03"/>
    <w:rsid w:val="00390F37"/>
    <w:rsid w:val="003912EF"/>
    <w:rsid w:val="003918D3"/>
    <w:rsid w:val="00392193"/>
    <w:rsid w:val="0039228A"/>
    <w:rsid w:val="00392711"/>
    <w:rsid w:val="003927A0"/>
    <w:rsid w:val="00392B8C"/>
    <w:rsid w:val="0039380E"/>
    <w:rsid w:val="00393FEC"/>
    <w:rsid w:val="00395A83"/>
    <w:rsid w:val="00395D87"/>
    <w:rsid w:val="003A0208"/>
    <w:rsid w:val="003A0362"/>
    <w:rsid w:val="003A0C11"/>
    <w:rsid w:val="003A1610"/>
    <w:rsid w:val="003A17EA"/>
    <w:rsid w:val="003A1ABA"/>
    <w:rsid w:val="003A1D1D"/>
    <w:rsid w:val="003A251C"/>
    <w:rsid w:val="003A26FF"/>
    <w:rsid w:val="003A3015"/>
    <w:rsid w:val="003A3583"/>
    <w:rsid w:val="003A39F1"/>
    <w:rsid w:val="003A4377"/>
    <w:rsid w:val="003A4568"/>
    <w:rsid w:val="003A4D98"/>
    <w:rsid w:val="003A4FC9"/>
    <w:rsid w:val="003A51B8"/>
    <w:rsid w:val="003A5270"/>
    <w:rsid w:val="003A5650"/>
    <w:rsid w:val="003A60A5"/>
    <w:rsid w:val="003A632D"/>
    <w:rsid w:val="003A69F1"/>
    <w:rsid w:val="003A6C97"/>
    <w:rsid w:val="003A72B3"/>
    <w:rsid w:val="003A7B42"/>
    <w:rsid w:val="003A7FB4"/>
    <w:rsid w:val="003B07BE"/>
    <w:rsid w:val="003B08C1"/>
    <w:rsid w:val="003B1714"/>
    <w:rsid w:val="003B1881"/>
    <w:rsid w:val="003B2433"/>
    <w:rsid w:val="003B2488"/>
    <w:rsid w:val="003B2E28"/>
    <w:rsid w:val="003B3100"/>
    <w:rsid w:val="003B4034"/>
    <w:rsid w:val="003B4E18"/>
    <w:rsid w:val="003B56CC"/>
    <w:rsid w:val="003B5ACF"/>
    <w:rsid w:val="003B5CF5"/>
    <w:rsid w:val="003B5E47"/>
    <w:rsid w:val="003B67FC"/>
    <w:rsid w:val="003B68F9"/>
    <w:rsid w:val="003B6BEE"/>
    <w:rsid w:val="003B7045"/>
    <w:rsid w:val="003B7672"/>
    <w:rsid w:val="003B783E"/>
    <w:rsid w:val="003B7B22"/>
    <w:rsid w:val="003B7D16"/>
    <w:rsid w:val="003B7D21"/>
    <w:rsid w:val="003C0DEE"/>
    <w:rsid w:val="003C1926"/>
    <w:rsid w:val="003C1B93"/>
    <w:rsid w:val="003C4331"/>
    <w:rsid w:val="003C4B55"/>
    <w:rsid w:val="003C4FE4"/>
    <w:rsid w:val="003C5374"/>
    <w:rsid w:val="003C678D"/>
    <w:rsid w:val="003C6815"/>
    <w:rsid w:val="003C69E6"/>
    <w:rsid w:val="003C6E8E"/>
    <w:rsid w:val="003C742D"/>
    <w:rsid w:val="003D004D"/>
    <w:rsid w:val="003D07B4"/>
    <w:rsid w:val="003D08CD"/>
    <w:rsid w:val="003D0922"/>
    <w:rsid w:val="003D0936"/>
    <w:rsid w:val="003D14C1"/>
    <w:rsid w:val="003D19D5"/>
    <w:rsid w:val="003D1EB1"/>
    <w:rsid w:val="003D1FA8"/>
    <w:rsid w:val="003D200F"/>
    <w:rsid w:val="003D203A"/>
    <w:rsid w:val="003D3458"/>
    <w:rsid w:val="003D3749"/>
    <w:rsid w:val="003D3931"/>
    <w:rsid w:val="003D3EA0"/>
    <w:rsid w:val="003D4A06"/>
    <w:rsid w:val="003D5155"/>
    <w:rsid w:val="003D5224"/>
    <w:rsid w:val="003D5459"/>
    <w:rsid w:val="003D5965"/>
    <w:rsid w:val="003D5CC0"/>
    <w:rsid w:val="003D76A1"/>
    <w:rsid w:val="003D7F08"/>
    <w:rsid w:val="003E0258"/>
    <w:rsid w:val="003E0B47"/>
    <w:rsid w:val="003E0C28"/>
    <w:rsid w:val="003E0D98"/>
    <w:rsid w:val="003E10D3"/>
    <w:rsid w:val="003E1D25"/>
    <w:rsid w:val="003E1D46"/>
    <w:rsid w:val="003E28EA"/>
    <w:rsid w:val="003E2BA4"/>
    <w:rsid w:val="003E2D3B"/>
    <w:rsid w:val="003E2F90"/>
    <w:rsid w:val="003E3AA6"/>
    <w:rsid w:val="003E3E34"/>
    <w:rsid w:val="003E4A67"/>
    <w:rsid w:val="003E500C"/>
    <w:rsid w:val="003E74B1"/>
    <w:rsid w:val="003E75CD"/>
    <w:rsid w:val="003E77EB"/>
    <w:rsid w:val="003E7AF2"/>
    <w:rsid w:val="003E7F46"/>
    <w:rsid w:val="003F031C"/>
    <w:rsid w:val="003F08F6"/>
    <w:rsid w:val="003F0A7E"/>
    <w:rsid w:val="003F1213"/>
    <w:rsid w:val="003F1BDC"/>
    <w:rsid w:val="003F25A9"/>
    <w:rsid w:val="003F305C"/>
    <w:rsid w:val="003F3995"/>
    <w:rsid w:val="003F59DD"/>
    <w:rsid w:val="003F6159"/>
    <w:rsid w:val="003F62D3"/>
    <w:rsid w:val="003F63A5"/>
    <w:rsid w:val="003F72F2"/>
    <w:rsid w:val="003F734F"/>
    <w:rsid w:val="003F7C53"/>
    <w:rsid w:val="003F7F76"/>
    <w:rsid w:val="0040024E"/>
    <w:rsid w:val="00400B78"/>
    <w:rsid w:val="00400E24"/>
    <w:rsid w:val="0040178A"/>
    <w:rsid w:val="00401C06"/>
    <w:rsid w:val="00401CDC"/>
    <w:rsid w:val="0040203F"/>
    <w:rsid w:val="00402FD6"/>
    <w:rsid w:val="00403461"/>
    <w:rsid w:val="00404776"/>
    <w:rsid w:val="00404E7F"/>
    <w:rsid w:val="004055AD"/>
    <w:rsid w:val="00405674"/>
    <w:rsid w:val="00405868"/>
    <w:rsid w:val="00405A85"/>
    <w:rsid w:val="00405B00"/>
    <w:rsid w:val="00405F6A"/>
    <w:rsid w:val="00405F8D"/>
    <w:rsid w:val="00406A54"/>
    <w:rsid w:val="00406DAD"/>
    <w:rsid w:val="00407B24"/>
    <w:rsid w:val="00407EF7"/>
    <w:rsid w:val="0041000C"/>
    <w:rsid w:val="00410CB3"/>
    <w:rsid w:val="00411CA3"/>
    <w:rsid w:val="00411D3A"/>
    <w:rsid w:val="00412378"/>
    <w:rsid w:val="0041297C"/>
    <w:rsid w:val="00412AB9"/>
    <w:rsid w:val="00412AEF"/>
    <w:rsid w:val="00412D46"/>
    <w:rsid w:val="004135D2"/>
    <w:rsid w:val="00413693"/>
    <w:rsid w:val="00413B3B"/>
    <w:rsid w:val="004143AC"/>
    <w:rsid w:val="0041506B"/>
    <w:rsid w:val="00415934"/>
    <w:rsid w:val="00415C8F"/>
    <w:rsid w:val="00416086"/>
    <w:rsid w:val="004161EA"/>
    <w:rsid w:val="004164AC"/>
    <w:rsid w:val="004171B1"/>
    <w:rsid w:val="004174A4"/>
    <w:rsid w:val="00420047"/>
    <w:rsid w:val="00421613"/>
    <w:rsid w:val="004225BE"/>
    <w:rsid w:val="0042289A"/>
    <w:rsid w:val="00422A14"/>
    <w:rsid w:val="004232D8"/>
    <w:rsid w:val="004245DD"/>
    <w:rsid w:val="00424AB3"/>
    <w:rsid w:val="00424C08"/>
    <w:rsid w:val="0042514D"/>
    <w:rsid w:val="004253D2"/>
    <w:rsid w:val="00425EDE"/>
    <w:rsid w:val="0042627B"/>
    <w:rsid w:val="00426811"/>
    <w:rsid w:val="0043012E"/>
    <w:rsid w:val="00430C44"/>
    <w:rsid w:val="00430CD2"/>
    <w:rsid w:val="00431032"/>
    <w:rsid w:val="004315E5"/>
    <w:rsid w:val="00431F67"/>
    <w:rsid w:val="00431F9F"/>
    <w:rsid w:val="00432B9B"/>
    <w:rsid w:val="00432C0D"/>
    <w:rsid w:val="00433000"/>
    <w:rsid w:val="00433121"/>
    <w:rsid w:val="00433701"/>
    <w:rsid w:val="004338C4"/>
    <w:rsid w:val="0043425D"/>
    <w:rsid w:val="00434BC7"/>
    <w:rsid w:val="00435BD5"/>
    <w:rsid w:val="00435D92"/>
    <w:rsid w:val="00435F3D"/>
    <w:rsid w:val="00436837"/>
    <w:rsid w:val="004377BA"/>
    <w:rsid w:val="004400DC"/>
    <w:rsid w:val="00440430"/>
    <w:rsid w:val="00440648"/>
    <w:rsid w:val="0044160B"/>
    <w:rsid w:val="00441776"/>
    <w:rsid w:val="00442091"/>
    <w:rsid w:val="00442FD9"/>
    <w:rsid w:val="0044345B"/>
    <w:rsid w:val="0044348D"/>
    <w:rsid w:val="0044395D"/>
    <w:rsid w:val="00443E15"/>
    <w:rsid w:val="00444990"/>
    <w:rsid w:val="00445205"/>
    <w:rsid w:val="004455B6"/>
    <w:rsid w:val="004455C8"/>
    <w:rsid w:val="00446097"/>
    <w:rsid w:val="004461CF"/>
    <w:rsid w:val="0044659A"/>
    <w:rsid w:val="0044678D"/>
    <w:rsid w:val="00446D69"/>
    <w:rsid w:val="004501D8"/>
    <w:rsid w:val="00450526"/>
    <w:rsid w:val="00451DA7"/>
    <w:rsid w:val="004522A1"/>
    <w:rsid w:val="00452433"/>
    <w:rsid w:val="00453420"/>
    <w:rsid w:val="00454641"/>
    <w:rsid w:val="00455C2C"/>
    <w:rsid w:val="004560A0"/>
    <w:rsid w:val="00456263"/>
    <w:rsid w:val="00456437"/>
    <w:rsid w:val="004565FA"/>
    <w:rsid w:val="0045679C"/>
    <w:rsid w:val="00456AA1"/>
    <w:rsid w:val="00456B75"/>
    <w:rsid w:val="00456FDA"/>
    <w:rsid w:val="004608D8"/>
    <w:rsid w:val="00461905"/>
    <w:rsid w:val="0046195F"/>
    <w:rsid w:val="00461F58"/>
    <w:rsid w:val="00462277"/>
    <w:rsid w:val="00462304"/>
    <w:rsid w:val="00462311"/>
    <w:rsid w:val="004626A8"/>
    <w:rsid w:val="00463CD3"/>
    <w:rsid w:val="00463F6E"/>
    <w:rsid w:val="004645FA"/>
    <w:rsid w:val="0046463F"/>
    <w:rsid w:val="00464910"/>
    <w:rsid w:val="004662E0"/>
    <w:rsid w:val="00466BB7"/>
    <w:rsid w:val="00467A5A"/>
    <w:rsid w:val="0047077B"/>
    <w:rsid w:val="004709B2"/>
    <w:rsid w:val="00470BE2"/>
    <w:rsid w:val="0047148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009"/>
    <w:rsid w:val="0047628C"/>
    <w:rsid w:val="004763DA"/>
    <w:rsid w:val="00476734"/>
    <w:rsid w:val="00476CDA"/>
    <w:rsid w:val="004800B2"/>
    <w:rsid w:val="004801AA"/>
    <w:rsid w:val="004813BE"/>
    <w:rsid w:val="0048329A"/>
    <w:rsid w:val="0048337D"/>
    <w:rsid w:val="004834CA"/>
    <w:rsid w:val="00484378"/>
    <w:rsid w:val="004845CC"/>
    <w:rsid w:val="004849E8"/>
    <w:rsid w:val="00485214"/>
    <w:rsid w:val="00485422"/>
    <w:rsid w:val="00485452"/>
    <w:rsid w:val="00487615"/>
    <w:rsid w:val="004879FB"/>
    <w:rsid w:val="00487B08"/>
    <w:rsid w:val="00487DF1"/>
    <w:rsid w:val="00487EA4"/>
    <w:rsid w:val="0049089B"/>
    <w:rsid w:val="004909B4"/>
    <w:rsid w:val="004909E7"/>
    <w:rsid w:val="0049122F"/>
    <w:rsid w:val="004912D6"/>
    <w:rsid w:val="00491562"/>
    <w:rsid w:val="004919B7"/>
    <w:rsid w:val="00493001"/>
    <w:rsid w:val="004930B3"/>
    <w:rsid w:val="00493685"/>
    <w:rsid w:val="00493BA3"/>
    <w:rsid w:val="00494096"/>
    <w:rsid w:val="0049528B"/>
    <w:rsid w:val="004953E0"/>
    <w:rsid w:val="00495B56"/>
    <w:rsid w:val="00495C6B"/>
    <w:rsid w:val="004962D3"/>
    <w:rsid w:val="004966B4"/>
    <w:rsid w:val="00496DD9"/>
    <w:rsid w:val="0049711A"/>
    <w:rsid w:val="00497632"/>
    <w:rsid w:val="00497F7D"/>
    <w:rsid w:val="004A0329"/>
    <w:rsid w:val="004A089B"/>
    <w:rsid w:val="004A0F1B"/>
    <w:rsid w:val="004A0F43"/>
    <w:rsid w:val="004A0F9F"/>
    <w:rsid w:val="004A1599"/>
    <w:rsid w:val="004A16AC"/>
    <w:rsid w:val="004A1CE5"/>
    <w:rsid w:val="004A2DF1"/>
    <w:rsid w:val="004A30A3"/>
    <w:rsid w:val="004A3202"/>
    <w:rsid w:val="004A36FE"/>
    <w:rsid w:val="004A3739"/>
    <w:rsid w:val="004A4078"/>
    <w:rsid w:val="004A4882"/>
    <w:rsid w:val="004A557B"/>
    <w:rsid w:val="004A59A7"/>
    <w:rsid w:val="004A624B"/>
    <w:rsid w:val="004A62E9"/>
    <w:rsid w:val="004A6412"/>
    <w:rsid w:val="004A6B47"/>
    <w:rsid w:val="004A72AC"/>
    <w:rsid w:val="004A732E"/>
    <w:rsid w:val="004A73A8"/>
    <w:rsid w:val="004A74D2"/>
    <w:rsid w:val="004B05B9"/>
    <w:rsid w:val="004B07AC"/>
    <w:rsid w:val="004B0CF9"/>
    <w:rsid w:val="004B1BCB"/>
    <w:rsid w:val="004B1E82"/>
    <w:rsid w:val="004B24A5"/>
    <w:rsid w:val="004B2AFF"/>
    <w:rsid w:val="004B300D"/>
    <w:rsid w:val="004B393D"/>
    <w:rsid w:val="004B4628"/>
    <w:rsid w:val="004B49AE"/>
    <w:rsid w:val="004B50E4"/>
    <w:rsid w:val="004B5491"/>
    <w:rsid w:val="004B619F"/>
    <w:rsid w:val="004B640E"/>
    <w:rsid w:val="004B68CA"/>
    <w:rsid w:val="004B7E72"/>
    <w:rsid w:val="004C04DA"/>
    <w:rsid w:val="004C0F8A"/>
    <w:rsid w:val="004C12AE"/>
    <w:rsid w:val="004C1447"/>
    <w:rsid w:val="004C18B2"/>
    <w:rsid w:val="004C29F9"/>
    <w:rsid w:val="004C2D19"/>
    <w:rsid w:val="004C2EEC"/>
    <w:rsid w:val="004C321C"/>
    <w:rsid w:val="004C338D"/>
    <w:rsid w:val="004C47B9"/>
    <w:rsid w:val="004C4C20"/>
    <w:rsid w:val="004C51E7"/>
    <w:rsid w:val="004C5977"/>
    <w:rsid w:val="004C65CF"/>
    <w:rsid w:val="004C69ED"/>
    <w:rsid w:val="004C6BDB"/>
    <w:rsid w:val="004C7048"/>
    <w:rsid w:val="004C770A"/>
    <w:rsid w:val="004D021A"/>
    <w:rsid w:val="004D07D9"/>
    <w:rsid w:val="004D1128"/>
    <w:rsid w:val="004D1155"/>
    <w:rsid w:val="004D1163"/>
    <w:rsid w:val="004D15C4"/>
    <w:rsid w:val="004D1923"/>
    <w:rsid w:val="004D1F0C"/>
    <w:rsid w:val="004D2E81"/>
    <w:rsid w:val="004D317E"/>
    <w:rsid w:val="004D3EA0"/>
    <w:rsid w:val="004D4214"/>
    <w:rsid w:val="004D45ED"/>
    <w:rsid w:val="004D47C9"/>
    <w:rsid w:val="004D4ABD"/>
    <w:rsid w:val="004D50D7"/>
    <w:rsid w:val="004D5224"/>
    <w:rsid w:val="004D523A"/>
    <w:rsid w:val="004D5451"/>
    <w:rsid w:val="004D5E34"/>
    <w:rsid w:val="004D6A4A"/>
    <w:rsid w:val="004D71FC"/>
    <w:rsid w:val="004D7385"/>
    <w:rsid w:val="004D7623"/>
    <w:rsid w:val="004D77CC"/>
    <w:rsid w:val="004D7CE3"/>
    <w:rsid w:val="004E0825"/>
    <w:rsid w:val="004E0A17"/>
    <w:rsid w:val="004E1A8C"/>
    <w:rsid w:val="004E1DFF"/>
    <w:rsid w:val="004E2586"/>
    <w:rsid w:val="004E2828"/>
    <w:rsid w:val="004E2DC9"/>
    <w:rsid w:val="004E361A"/>
    <w:rsid w:val="004E36F1"/>
    <w:rsid w:val="004E3FE5"/>
    <w:rsid w:val="004E425A"/>
    <w:rsid w:val="004E48E0"/>
    <w:rsid w:val="004E494C"/>
    <w:rsid w:val="004E4B10"/>
    <w:rsid w:val="004E5B94"/>
    <w:rsid w:val="004E647C"/>
    <w:rsid w:val="004E6A51"/>
    <w:rsid w:val="004E6AB0"/>
    <w:rsid w:val="004E7363"/>
    <w:rsid w:val="004E7A65"/>
    <w:rsid w:val="004F02C9"/>
    <w:rsid w:val="004F039B"/>
    <w:rsid w:val="004F0D68"/>
    <w:rsid w:val="004F10CB"/>
    <w:rsid w:val="004F131F"/>
    <w:rsid w:val="004F26E3"/>
    <w:rsid w:val="004F31DB"/>
    <w:rsid w:val="004F3310"/>
    <w:rsid w:val="004F3D93"/>
    <w:rsid w:val="004F4577"/>
    <w:rsid w:val="004F4D74"/>
    <w:rsid w:val="004F6D5B"/>
    <w:rsid w:val="004F7124"/>
    <w:rsid w:val="004F7238"/>
    <w:rsid w:val="004F748E"/>
    <w:rsid w:val="004F79BB"/>
    <w:rsid w:val="004F7B34"/>
    <w:rsid w:val="004F7CC5"/>
    <w:rsid w:val="00500100"/>
    <w:rsid w:val="00500315"/>
    <w:rsid w:val="005016BA"/>
    <w:rsid w:val="00501B9A"/>
    <w:rsid w:val="00501E30"/>
    <w:rsid w:val="00502323"/>
    <w:rsid w:val="00502674"/>
    <w:rsid w:val="00502CF7"/>
    <w:rsid w:val="00502E4C"/>
    <w:rsid w:val="00502F82"/>
    <w:rsid w:val="00504670"/>
    <w:rsid w:val="00504EC8"/>
    <w:rsid w:val="0050524B"/>
    <w:rsid w:val="00505A4C"/>
    <w:rsid w:val="005060F4"/>
    <w:rsid w:val="0050625F"/>
    <w:rsid w:val="00506EC6"/>
    <w:rsid w:val="00507513"/>
    <w:rsid w:val="005078D4"/>
    <w:rsid w:val="00507F62"/>
    <w:rsid w:val="005106BB"/>
    <w:rsid w:val="00510E24"/>
    <w:rsid w:val="0051228B"/>
    <w:rsid w:val="00512408"/>
    <w:rsid w:val="00512793"/>
    <w:rsid w:val="005127B3"/>
    <w:rsid w:val="00512E29"/>
    <w:rsid w:val="00513D2B"/>
    <w:rsid w:val="00513FDF"/>
    <w:rsid w:val="00514765"/>
    <w:rsid w:val="005150F0"/>
    <w:rsid w:val="00515E11"/>
    <w:rsid w:val="00515F51"/>
    <w:rsid w:val="00516C4B"/>
    <w:rsid w:val="005179DE"/>
    <w:rsid w:val="005202DF"/>
    <w:rsid w:val="00520602"/>
    <w:rsid w:val="005208FE"/>
    <w:rsid w:val="00520A2A"/>
    <w:rsid w:val="0052134B"/>
    <w:rsid w:val="00522091"/>
    <w:rsid w:val="00522DCF"/>
    <w:rsid w:val="00522FE2"/>
    <w:rsid w:val="00523100"/>
    <w:rsid w:val="0052352F"/>
    <w:rsid w:val="00523794"/>
    <w:rsid w:val="005241E4"/>
    <w:rsid w:val="00524FAB"/>
    <w:rsid w:val="00525CBD"/>
    <w:rsid w:val="00525E2C"/>
    <w:rsid w:val="00526613"/>
    <w:rsid w:val="0053062A"/>
    <w:rsid w:val="00530CDE"/>
    <w:rsid w:val="005312F2"/>
    <w:rsid w:val="00531658"/>
    <w:rsid w:val="005318ED"/>
    <w:rsid w:val="00532911"/>
    <w:rsid w:val="00532D3A"/>
    <w:rsid w:val="00533D88"/>
    <w:rsid w:val="00533DAB"/>
    <w:rsid w:val="005346AB"/>
    <w:rsid w:val="0053526B"/>
    <w:rsid w:val="0053540C"/>
    <w:rsid w:val="00535898"/>
    <w:rsid w:val="005363AD"/>
    <w:rsid w:val="00536401"/>
    <w:rsid w:val="00536D6C"/>
    <w:rsid w:val="00536DFD"/>
    <w:rsid w:val="00536FE3"/>
    <w:rsid w:val="00537395"/>
    <w:rsid w:val="00537A83"/>
    <w:rsid w:val="00537D0D"/>
    <w:rsid w:val="00540386"/>
    <w:rsid w:val="005405ED"/>
    <w:rsid w:val="00540E23"/>
    <w:rsid w:val="0054186A"/>
    <w:rsid w:val="00542C8B"/>
    <w:rsid w:val="005435BE"/>
    <w:rsid w:val="0054426A"/>
    <w:rsid w:val="005447EE"/>
    <w:rsid w:val="0054498D"/>
    <w:rsid w:val="005449D8"/>
    <w:rsid w:val="00544A32"/>
    <w:rsid w:val="00545BC0"/>
    <w:rsid w:val="00545CE7"/>
    <w:rsid w:val="00545F5C"/>
    <w:rsid w:val="005461E1"/>
    <w:rsid w:val="0054654B"/>
    <w:rsid w:val="005475E3"/>
    <w:rsid w:val="005479B7"/>
    <w:rsid w:val="00547F30"/>
    <w:rsid w:val="00550ED3"/>
    <w:rsid w:val="005514E2"/>
    <w:rsid w:val="0055177F"/>
    <w:rsid w:val="00551A9C"/>
    <w:rsid w:val="00552C11"/>
    <w:rsid w:val="005534A8"/>
    <w:rsid w:val="00553673"/>
    <w:rsid w:val="00553FE5"/>
    <w:rsid w:val="00554BF7"/>
    <w:rsid w:val="00554EF8"/>
    <w:rsid w:val="00555311"/>
    <w:rsid w:val="005554BC"/>
    <w:rsid w:val="00555749"/>
    <w:rsid w:val="00555EBB"/>
    <w:rsid w:val="005577EF"/>
    <w:rsid w:val="005600F9"/>
    <w:rsid w:val="0056012C"/>
    <w:rsid w:val="00560132"/>
    <w:rsid w:val="0056039B"/>
    <w:rsid w:val="005606D7"/>
    <w:rsid w:val="00560B50"/>
    <w:rsid w:val="00561C39"/>
    <w:rsid w:val="00561CEC"/>
    <w:rsid w:val="0056244A"/>
    <w:rsid w:val="00562CE5"/>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13F"/>
    <w:rsid w:val="00586279"/>
    <w:rsid w:val="005863B5"/>
    <w:rsid w:val="0058797B"/>
    <w:rsid w:val="00590CF3"/>
    <w:rsid w:val="00590D4B"/>
    <w:rsid w:val="00591300"/>
    <w:rsid w:val="0059155B"/>
    <w:rsid w:val="00593106"/>
    <w:rsid w:val="005939A3"/>
    <w:rsid w:val="00593A12"/>
    <w:rsid w:val="005945A4"/>
    <w:rsid w:val="005947B3"/>
    <w:rsid w:val="0059548D"/>
    <w:rsid w:val="005954FA"/>
    <w:rsid w:val="0059556E"/>
    <w:rsid w:val="0059575D"/>
    <w:rsid w:val="005962F2"/>
    <w:rsid w:val="00597260"/>
    <w:rsid w:val="00597C08"/>
    <w:rsid w:val="00597C71"/>
    <w:rsid w:val="005A0159"/>
    <w:rsid w:val="005A0470"/>
    <w:rsid w:val="005A0F30"/>
    <w:rsid w:val="005A134C"/>
    <w:rsid w:val="005A13C3"/>
    <w:rsid w:val="005A156C"/>
    <w:rsid w:val="005A1E59"/>
    <w:rsid w:val="005A2362"/>
    <w:rsid w:val="005A2C79"/>
    <w:rsid w:val="005A2C95"/>
    <w:rsid w:val="005A2E53"/>
    <w:rsid w:val="005A34FE"/>
    <w:rsid w:val="005A4489"/>
    <w:rsid w:val="005A4824"/>
    <w:rsid w:val="005A4A67"/>
    <w:rsid w:val="005A4CD2"/>
    <w:rsid w:val="005A55D5"/>
    <w:rsid w:val="005A5F46"/>
    <w:rsid w:val="005A7600"/>
    <w:rsid w:val="005A7990"/>
    <w:rsid w:val="005A7BB3"/>
    <w:rsid w:val="005A7D7B"/>
    <w:rsid w:val="005A7F25"/>
    <w:rsid w:val="005B0016"/>
    <w:rsid w:val="005B0023"/>
    <w:rsid w:val="005B01CF"/>
    <w:rsid w:val="005B0769"/>
    <w:rsid w:val="005B083D"/>
    <w:rsid w:val="005B0897"/>
    <w:rsid w:val="005B0C61"/>
    <w:rsid w:val="005B0CCD"/>
    <w:rsid w:val="005B1077"/>
    <w:rsid w:val="005B11EA"/>
    <w:rsid w:val="005B136C"/>
    <w:rsid w:val="005B265A"/>
    <w:rsid w:val="005B27DE"/>
    <w:rsid w:val="005B2A79"/>
    <w:rsid w:val="005B2E12"/>
    <w:rsid w:val="005B35BE"/>
    <w:rsid w:val="005B36F9"/>
    <w:rsid w:val="005B3D59"/>
    <w:rsid w:val="005B41B7"/>
    <w:rsid w:val="005B4B5E"/>
    <w:rsid w:val="005B6214"/>
    <w:rsid w:val="005B6DDB"/>
    <w:rsid w:val="005B789C"/>
    <w:rsid w:val="005B78EE"/>
    <w:rsid w:val="005B7955"/>
    <w:rsid w:val="005B7968"/>
    <w:rsid w:val="005C038E"/>
    <w:rsid w:val="005C0C70"/>
    <w:rsid w:val="005C0D72"/>
    <w:rsid w:val="005C1E2A"/>
    <w:rsid w:val="005C2139"/>
    <w:rsid w:val="005C2456"/>
    <w:rsid w:val="005C2AF9"/>
    <w:rsid w:val="005C2EA8"/>
    <w:rsid w:val="005C4B4F"/>
    <w:rsid w:val="005C5471"/>
    <w:rsid w:val="005C5B1A"/>
    <w:rsid w:val="005C5DB7"/>
    <w:rsid w:val="005C616B"/>
    <w:rsid w:val="005C6298"/>
    <w:rsid w:val="005C63EC"/>
    <w:rsid w:val="005C687D"/>
    <w:rsid w:val="005C6D2D"/>
    <w:rsid w:val="005C6E03"/>
    <w:rsid w:val="005C741C"/>
    <w:rsid w:val="005D0FBC"/>
    <w:rsid w:val="005D1042"/>
    <w:rsid w:val="005D1171"/>
    <w:rsid w:val="005D1252"/>
    <w:rsid w:val="005D1811"/>
    <w:rsid w:val="005D200F"/>
    <w:rsid w:val="005D268B"/>
    <w:rsid w:val="005D2FB1"/>
    <w:rsid w:val="005D2FFF"/>
    <w:rsid w:val="005D356C"/>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31C"/>
    <w:rsid w:val="005F0534"/>
    <w:rsid w:val="005F07E2"/>
    <w:rsid w:val="005F0A9E"/>
    <w:rsid w:val="005F0AA6"/>
    <w:rsid w:val="005F0C02"/>
    <w:rsid w:val="005F0ED0"/>
    <w:rsid w:val="005F0F25"/>
    <w:rsid w:val="005F0FAA"/>
    <w:rsid w:val="005F0FBC"/>
    <w:rsid w:val="005F185D"/>
    <w:rsid w:val="005F1E25"/>
    <w:rsid w:val="005F22DA"/>
    <w:rsid w:val="005F2379"/>
    <w:rsid w:val="005F2D39"/>
    <w:rsid w:val="005F320B"/>
    <w:rsid w:val="005F3955"/>
    <w:rsid w:val="005F39FE"/>
    <w:rsid w:val="005F3D55"/>
    <w:rsid w:val="005F4323"/>
    <w:rsid w:val="005F4A3A"/>
    <w:rsid w:val="005F5BAC"/>
    <w:rsid w:val="005F5C68"/>
    <w:rsid w:val="005F5E5B"/>
    <w:rsid w:val="005F5F63"/>
    <w:rsid w:val="005F641E"/>
    <w:rsid w:val="005F6B8B"/>
    <w:rsid w:val="005F6C4D"/>
    <w:rsid w:val="005F7268"/>
    <w:rsid w:val="006007A0"/>
    <w:rsid w:val="00600E31"/>
    <w:rsid w:val="00601041"/>
    <w:rsid w:val="00602665"/>
    <w:rsid w:val="00604C63"/>
    <w:rsid w:val="00604D2E"/>
    <w:rsid w:val="006051D9"/>
    <w:rsid w:val="00605E1F"/>
    <w:rsid w:val="00605FEF"/>
    <w:rsid w:val="00606A0F"/>
    <w:rsid w:val="00606B4E"/>
    <w:rsid w:val="00606EDD"/>
    <w:rsid w:val="00606F45"/>
    <w:rsid w:val="00607983"/>
    <w:rsid w:val="00607F11"/>
    <w:rsid w:val="00610396"/>
    <w:rsid w:val="00610611"/>
    <w:rsid w:val="00610876"/>
    <w:rsid w:val="00610D2B"/>
    <w:rsid w:val="00610F9E"/>
    <w:rsid w:val="00612174"/>
    <w:rsid w:val="0061285E"/>
    <w:rsid w:val="00612A1C"/>
    <w:rsid w:val="006136D3"/>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6D40"/>
    <w:rsid w:val="00617FA8"/>
    <w:rsid w:val="006201E8"/>
    <w:rsid w:val="00621CE3"/>
    <w:rsid w:val="00621D97"/>
    <w:rsid w:val="00621F81"/>
    <w:rsid w:val="00623045"/>
    <w:rsid w:val="00623633"/>
    <w:rsid w:val="00624558"/>
    <w:rsid w:val="00624F7E"/>
    <w:rsid w:val="006250BE"/>
    <w:rsid w:val="00625C6C"/>
    <w:rsid w:val="006262A8"/>
    <w:rsid w:val="006270DE"/>
    <w:rsid w:val="006279FF"/>
    <w:rsid w:val="00627BC7"/>
    <w:rsid w:val="006300F5"/>
    <w:rsid w:val="00631456"/>
    <w:rsid w:val="00633355"/>
    <w:rsid w:val="00633749"/>
    <w:rsid w:val="006337F1"/>
    <w:rsid w:val="0063380B"/>
    <w:rsid w:val="00633EEB"/>
    <w:rsid w:val="00634364"/>
    <w:rsid w:val="00634E07"/>
    <w:rsid w:val="00634E5A"/>
    <w:rsid w:val="00635474"/>
    <w:rsid w:val="0063578E"/>
    <w:rsid w:val="006359BF"/>
    <w:rsid w:val="00635B8C"/>
    <w:rsid w:val="00635F57"/>
    <w:rsid w:val="00636219"/>
    <w:rsid w:val="00636906"/>
    <w:rsid w:val="0063698F"/>
    <w:rsid w:val="006376ED"/>
    <w:rsid w:val="0063797D"/>
    <w:rsid w:val="00637AD5"/>
    <w:rsid w:val="00637D3F"/>
    <w:rsid w:val="00637E93"/>
    <w:rsid w:val="00640A73"/>
    <w:rsid w:val="00640B38"/>
    <w:rsid w:val="00641331"/>
    <w:rsid w:val="00641665"/>
    <w:rsid w:val="00641CEF"/>
    <w:rsid w:val="00642040"/>
    <w:rsid w:val="00642C04"/>
    <w:rsid w:val="00642C58"/>
    <w:rsid w:val="00642FAD"/>
    <w:rsid w:val="0064323E"/>
    <w:rsid w:val="00643C5D"/>
    <w:rsid w:val="0064415F"/>
    <w:rsid w:val="00644C9C"/>
    <w:rsid w:val="00644D69"/>
    <w:rsid w:val="00645829"/>
    <w:rsid w:val="00645C6F"/>
    <w:rsid w:val="006471AB"/>
    <w:rsid w:val="006477E8"/>
    <w:rsid w:val="0064782E"/>
    <w:rsid w:val="00650096"/>
    <w:rsid w:val="00650215"/>
    <w:rsid w:val="0065066B"/>
    <w:rsid w:val="0065093A"/>
    <w:rsid w:val="00650D31"/>
    <w:rsid w:val="0065133F"/>
    <w:rsid w:val="00651716"/>
    <w:rsid w:val="00651FAB"/>
    <w:rsid w:val="00652AD4"/>
    <w:rsid w:val="00652EF5"/>
    <w:rsid w:val="00653367"/>
    <w:rsid w:val="00653778"/>
    <w:rsid w:val="006540C9"/>
    <w:rsid w:val="006543A0"/>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5AD7"/>
    <w:rsid w:val="006665A7"/>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A3A"/>
    <w:rsid w:val="00680C7E"/>
    <w:rsid w:val="00681B42"/>
    <w:rsid w:val="00681D09"/>
    <w:rsid w:val="006826E6"/>
    <w:rsid w:val="00682A19"/>
    <w:rsid w:val="00682F41"/>
    <w:rsid w:val="006830C1"/>
    <w:rsid w:val="006830DE"/>
    <w:rsid w:val="006835E8"/>
    <w:rsid w:val="00684056"/>
    <w:rsid w:val="006843F9"/>
    <w:rsid w:val="00684942"/>
    <w:rsid w:val="00684BD3"/>
    <w:rsid w:val="006862B8"/>
    <w:rsid w:val="0068655A"/>
    <w:rsid w:val="006879BD"/>
    <w:rsid w:val="00687E40"/>
    <w:rsid w:val="00687F9F"/>
    <w:rsid w:val="00690B0F"/>
    <w:rsid w:val="00692297"/>
    <w:rsid w:val="0069247E"/>
    <w:rsid w:val="00693982"/>
    <w:rsid w:val="00694303"/>
    <w:rsid w:val="006943B3"/>
    <w:rsid w:val="006948D6"/>
    <w:rsid w:val="00694A02"/>
    <w:rsid w:val="006951D1"/>
    <w:rsid w:val="00695418"/>
    <w:rsid w:val="006957E6"/>
    <w:rsid w:val="00696EE6"/>
    <w:rsid w:val="00697172"/>
    <w:rsid w:val="006A030C"/>
    <w:rsid w:val="006A0378"/>
    <w:rsid w:val="006A0AEE"/>
    <w:rsid w:val="006A0EB6"/>
    <w:rsid w:val="006A0F7A"/>
    <w:rsid w:val="006A18D7"/>
    <w:rsid w:val="006A20A0"/>
    <w:rsid w:val="006A2270"/>
    <w:rsid w:val="006A33DE"/>
    <w:rsid w:val="006A40C1"/>
    <w:rsid w:val="006A4417"/>
    <w:rsid w:val="006A4876"/>
    <w:rsid w:val="006A514E"/>
    <w:rsid w:val="006A5669"/>
    <w:rsid w:val="006A5EC2"/>
    <w:rsid w:val="006A5FAF"/>
    <w:rsid w:val="006A7394"/>
    <w:rsid w:val="006A7A64"/>
    <w:rsid w:val="006A7AF9"/>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1AA"/>
    <w:rsid w:val="006C04F6"/>
    <w:rsid w:val="006C051A"/>
    <w:rsid w:val="006C06C8"/>
    <w:rsid w:val="006C1381"/>
    <w:rsid w:val="006C1398"/>
    <w:rsid w:val="006C152C"/>
    <w:rsid w:val="006C1F2D"/>
    <w:rsid w:val="006C47C3"/>
    <w:rsid w:val="006C49A3"/>
    <w:rsid w:val="006C4E80"/>
    <w:rsid w:val="006C5444"/>
    <w:rsid w:val="006C654A"/>
    <w:rsid w:val="006C675A"/>
    <w:rsid w:val="006C6E5F"/>
    <w:rsid w:val="006D0E13"/>
    <w:rsid w:val="006D0FCB"/>
    <w:rsid w:val="006D2393"/>
    <w:rsid w:val="006D27BA"/>
    <w:rsid w:val="006D3806"/>
    <w:rsid w:val="006D3E3C"/>
    <w:rsid w:val="006D435A"/>
    <w:rsid w:val="006D4C22"/>
    <w:rsid w:val="006D52BB"/>
    <w:rsid w:val="006D5781"/>
    <w:rsid w:val="006D5A02"/>
    <w:rsid w:val="006D62C4"/>
    <w:rsid w:val="006D704D"/>
    <w:rsid w:val="006D7263"/>
    <w:rsid w:val="006D72D6"/>
    <w:rsid w:val="006D72E7"/>
    <w:rsid w:val="006D7A3D"/>
    <w:rsid w:val="006D7DB3"/>
    <w:rsid w:val="006E0CD7"/>
    <w:rsid w:val="006E1597"/>
    <w:rsid w:val="006E2EC7"/>
    <w:rsid w:val="006E3510"/>
    <w:rsid w:val="006E3C57"/>
    <w:rsid w:val="006E4678"/>
    <w:rsid w:val="006E4BD7"/>
    <w:rsid w:val="006E512D"/>
    <w:rsid w:val="006E55B8"/>
    <w:rsid w:val="006E5922"/>
    <w:rsid w:val="006E5BC3"/>
    <w:rsid w:val="006E62CB"/>
    <w:rsid w:val="006E657D"/>
    <w:rsid w:val="006E6844"/>
    <w:rsid w:val="006E6CBC"/>
    <w:rsid w:val="006E6F98"/>
    <w:rsid w:val="006E7F10"/>
    <w:rsid w:val="006E7F30"/>
    <w:rsid w:val="006F0A2E"/>
    <w:rsid w:val="006F0F5D"/>
    <w:rsid w:val="006F1011"/>
    <w:rsid w:val="006F10E4"/>
    <w:rsid w:val="006F2D27"/>
    <w:rsid w:val="006F304B"/>
    <w:rsid w:val="006F3F8F"/>
    <w:rsid w:val="006F40A1"/>
    <w:rsid w:val="006F4AEE"/>
    <w:rsid w:val="006F4D51"/>
    <w:rsid w:val="006F50AF"/>
    <w:rsid w:val="006F5CB8"/>
    <w:rsid w:val="006F5FBB"/>
    <w:rsid w:val="006F6416"/>
    <w:rsid w:val="006F6553"/>
    <w:rsid w:val="006F6C3C"/>
    <w:rsid w:val="006F6C7F"/>
    <w:rsid w:val="006F6D41"/>
    <w:rsid w:val="006F7E03"/>
    <w:rsid w:val="007001E9"/>
    <w:rsid w:val="00700273"/>
    <w:rsid w:val="00700994"/>
    <w:rsid w:val="00700B5E"/>
    <w:rsid w:val="007014FF"/>
    <w:rsid w:val="00701D00"/>
    <w:rsid w:val="00704FB2"/>
    <w:rsid w:val="00705989"/>
    <w:rsid w:val="007064D1"/>
    <w:rsid w:val="00706DB4"/>
    <w:rsid w:val="00710AE8"/>
    <w:rsid w:val="00710D28"/>
    <w:rsid w:val="0071123F"/>
    <w:rsid w:val="007119EC"/>
    <w:rsid w:val="007124E3"/>
    <w:rsid w:val="00712F80"/>
    <w:rsid w:val="00713635"/>
    <w:rsid w:val="007139B2"/>
    <w:rsid w:val="00713B6C"/>
    <w:rsid w:val="00713DB7"/>
    <w:rsid w:val="007146E6"/>
    <w:rsid w:val="007156B2"/>
    <w:rsid w:val="00715AE9"/>
    <w:rsid w:val="00716890"/>
    <w:rsid w:val="00716B63"/>
    <w:rsid w:val="00717369"/>
    <w:rsid w:val="00717960"/>
    <w:rsid w:val="00720775"/>
    <w:rsid w:val="00721BD9"/>
    <w:rsid w:val="007229F6"/>
    <w:rsid w:val="00722EA7"/>
    <w:rsid w:val="0072389C"/>
    <w:rsid w:val="007238E9"/>
    <w:rsid w:val="00723C8F"/>
    <w:rsid w:val="0072427F"/>
    <w:rsid w:val="00724AC7"/>
    <w:rsid w:val="0072534B"/>
    <w:rsid w:val="00725476"/>
    <w:rsid w:val="00725896"/>
    <w:rsid w:val="00726128"/>
    <w:rsid w:val="0072622F"/>
    <w:rsid w:val="00726486"/>
    <w:rsid w:val="0072652F"/>
    <w:rsid w:val="00726896"/>
    <w:rsid w:val="00726B0D"/>
    <w:rsid w:val="00727406"/>
    <w:rsid w:val="0072756C"/>
    <w:rsid w:val="007302B6"/>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0E71"/>
    <w:rsid w:val="007418D6"/>
    <w:rsid w:val="00742AB3"/>
    <w:rsid w:val="007433D6"/>
    <w:rsid w:val="00743653"/>
    <w:rsid w:val="00743BE2"/>
    <w:rsid w:val="00745827"/>
    <w:rsid w:val="007459F9"/>
    <w:rsid w:val="00746FD7"/>
    <w:rsid w:val="0074780B"/>
    <w:rsid w:val="00747D9E"/>
    <w:rsid w:val="00750584"/>
    <w:rsid w:val="00751457"/>
    <w:rsid w:val="00751493"/>
    <w:rsid w:val="00751530"/>
    <w:rsid w:val="007516F5"/>
    <w:rsid w:val="00751C4F"/>
    <w:rsid w:val="00751DD2"/>
    <w:rsid w:val="00752196"/>
    <w:rsid w:val="00752E32"/>
    <w:rsid w:val="0075347F"/>
    <w:rsid w:val="00753619"/>
    <w:rsid w:val="007548A1"/>
    <w:rsid w:val="00754CD2"/>
    <w:rsid w:val="00755BCF"/>
    <w:rsid w:val="00755D57"/>
    <w:rsid w:val="00755F81"/>
    <w:rsid w:val="00756852"/>
    <w:rsid w:val="00757425"/>
    <w:rsid w:val="00757A47"/>
    <w:rsid w:val="00757E44"/>
    <w:rsid w:val="00757E6B"/>
    <w:rsid w:val="007601EB"/>
    <w:rsid w:val="0076085E"/>
    <w:rsid w:val="00760ACC"/>
    <w:rsid w:val="007614E1"/>
    <w:rsid w:val="00761E50"/>
    <w:rsid w:val="00762119"/>
    <w:rsid w:val="00762E91"/>
    <w:rsid w:val="0076343E"/>
    <w:rsid w:val="0076388C"/>
    <w:rsid w:val="00763E6A"/>
    <w:rsid w:val="00764539"/>
    <w:rsid w:val="00764A2C"/>
    <w:rsid w:val="00764DD4"/>
    <w:rsid w:val="007660DA"/>
    <w:rsid w:val="0076614C"/>
    <w:rsid w:val="00766183"/>
    <w:rsid w:val="007663F9"/>
    <w:rsid w:val="00766603"/>
    <w:rsid w:val="007670C5"/>
    <w:rsid w:val="00767491"/>
    <w:rsid w:val="00767B60"/>
    <w:rsid w:val="00767B61"/>
    <w:rsid w:val="00767F7A"/>
    <w:rsid w:val="007702AE"/>
    <w:rsid w:val="0077051C"/>
    <w:rsid w:val="00770D9B"/>
    <w:rsid w:val="00771EC4"/>
    <w:rsid w:val="00772431"/>
    <w:rsid w:val="00774037"/>
    <w:rsid w:val="0077410B"/>
    <w:rsid w:val="00774395"/>
    <w:rsid w:val="0077461A"/>
    <w:rsid w:val="00774BA8"/>
    <w:rsid w:val="00774CD6"/>
    <w:rsid w:val="007752B8"/>
    <w:rsid w:val="0077604F"/>
    <w:rsid w:val="00776085"/>
    <w:rsid w:val="007767A0"/>
    <w:rsid w:val="00776907"/>
    <w:rsid w:val="00776A94"/>
    <w:rsid w:val="00776DD1"/>
    <w:rsid w:val="00777758"/>
    <w:rsid w:val="00777F85"/>
    <w:rsid w:val="00780182"/>
    <w:rsid w:val="0078035D"/>
    <w:rsid w:val="007813F5"/>
    <w:rsid w:val="0078141F"/>
    <w:rsid w:val="00781583"/>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35F"/>
    <w:rsid w:val="00787702"/>
    <w:rsid w:val="00787791"/>
    <w:rsid w:val="007878BA"/>
    <w:rsid w:val="0078795A"/>
    <w:rsid w:val="00787CDB"/>
    <w:rsid w:val="00790323"/>
    <w:rsid w:val="007903BD"/>
    <w:rsid w:val="00791C3F"/>
    <w:rsid w:val="007928BC"/>
    <w:rsid w:val="0079296D"/>
    <w:rsid w:val="00792E3A"/>
    <w:rsid w:val="007930BF"/>
    <w:rsid w:val="00793ACF"/>
    <w:rsid w:val="0079413F"/>
    <w:rsid w:val="00794527"/>
    <w:rsid w:val="0079473A"/>
    <w:rsid w:val="007947C9"/>
    <w:rsid w:val="007949CB"/>
    <w:rsid w:val="00795040"/>
    <w:rsid w:val="00795AF3"/>
    <w:rsid w:val="00796767"/>
    <w:rsid w:val="00796C3A"/>
    <w:rsid w:val="00797824"/>
    <w:rsid w:val="007A04F2"/>
    <w:rsid w:val="007A068D"/>
    <w:rsid w:val="007A0FCA"/>
    <w:rsid w:val="007A17B1"/>
    <w:rsid w:val="007A17E7"/>
    <w:rsid w:val="007A1FCD"/>
    <w:rsid w:val="007A236F"/>
    <w:rsid w:val="007A2798"/>
    <w:rsid w:val="007A2802"/>
    <w:rsid w:val="007A2C24"/>
    <w:rsid w:val="007A2E8C"/>
    <w:rsid w:val="007A3170"/>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14F"/>
    <w:rsid w:val="007B68F4"/>
    <w:rsid w:val="007B6A47"/>
    <w:rsid w:val="007B6BA1"/>
    <w:rsid w:val="007B73AB"/>
    <w:rsid w:val="007B7663"/>
    <w:rsid w:val="007B7735"/>
    <w:rsid w:val="007B7E52"/>
    <w:rsid w:val="007C013D"/>
    <w:rsid w:val="007C1E41"/>
    <w:rsid w:val="007C227F"/>
    <w:rsid w:val="007C2B54"/>
    <w:rsid w:val="007C314F"/>
    <w:rsid w:val="007C3292"/>
    <w:rsid w:val="007C3939"/>
    <w:rsid w:val="007C3E85"/>
    <w:rsid w:val="007C40E7"/>
    <w:rsid w:val="007C4BF3"/>
    <w:rsid w:val="007C4E2E"/>
    <w:rsid w:val="007C7179"/>
    <w:rsid w:val="007C7543"/>
    <w:rsid w:val="007C763E"/>
    <w:rsid w:val="007D05A6"/>
    <w:rsid w:val="007D0E7B"/>
    <w:rsid w:val="007D26E0"/>
    <w:rsid w:val="007D3019"/>
    <w:rsid w:val="007D36B5"/>
    <w:rsid w:val="007D3A92"/>
    <w:rsid w:val="007D3E09"/>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8AB"/>
    <w:rsid w:val="007E3E5E"/>
    <w:rsid w:val="007E462F"/>
    <w:rsid w:val="007E5187"/>
    <w:rsid w:val="007E5C49"/>
    <w:rsid w:val="007E6173"/>
    <w:rsid w:val="007E6191"/>
    <w:rsid w:val="007E6C94"/>
    <w:rsid w:val="007E6CB0"/>
    <w:rsid w:val="007E7C1F"/>
    <w:rsid w:val="007F02EB"/>
    <w:rsid w:val="007F0C5D"/>
    <w:rsid w:val="007F1DAA"/>
    <w:rsid w:val="007F1DC9"/>
    <w:rsid w:val="007F27A7"/>
    <w:rsid w:val="007F2879"/>
    <w:rsid w:val="007F2C37"/>
    <w:rsid w:val="007F465A"/>
    <w:rsid w:val="007F55F8"/>
    <w:rsid w:val="007F5A1B"/>
    <w:rsid w:val="007F5B0A"/>
    <w:rsid w:val="007F5FF4"/>
    <w:rsid w:val="007F67E0"/>
    <w:rsid w:val="007F69AB"/>
    <w:rsid w:val="007F6CB0"/>
    <w:rsid w:val="007F718C"/>
    <w:rsid w:val="008002EB"/>
    <w:rsid w:val="00800C09"/>
    <w:rsid w:val="008015E0"/>
    <w:rsid w:val="00801C97"/>
    <w:rsid w:val="0080206D"/>
    <w:rsid w:val="00802131"/>
    <w:rsid w:val="00802408"/>
    <w:rsid w:val="00802E6D"/>
    <w:rsid w:val="008034E8"/>
    <w:rsid w:val="008039B6"/>
    <w:rsid w:val="00803E83"/>
    <w:rsid w:val="00804090"/>
    <w:rsid w:val="00804AD4"/>
    <w:rsid w:val="00804DC6"/>
    <w:rsid w:val="00804E73"/>
    <w:rsid w:val="00804F1A"/>
    <w:rsid w:val="00805508"/>
    <w:rsid w:val="0080577D"/>
    <w:rsid w:val="00805DC2"/>
    <w:rsid w:val="008060D0"/>
    <w:rsid w:val="00806705"/>
    <w:rsid w:val="00806FD7"/>
    <w:rsid w:val="00807310"/>
    <w:rsid w:val="00807ED5"/>
    <w:rsid w:val="00810509"/>
    <w:rsid w:val="00810712"/>
    <w:rsid w:val="0081082B"/>
    <w:rsid w:val="00812E1E"/>
    <w:rsid w:val="008138FB"/>
    <w:rsid w:val="0081408A"/>
    <w:rsid w:val="00814444"/>
    <w:rsid w:val="008145CA"/>
    <w:rsid w:val="00816448"/>
    <w:rsid w:val="00816AE5"/>
    <w:rsid w:val="00817D79"/>
    <w:rsid w:val="00820098"/>
    <w:rsid w:val="0082015A"/>
    <w:rsid w:val="0082085F"/>
    <w:rsid w:val="00820AC6"/>
    <w:rsid w:val="00820DA5"/>
    <w:rsid w:val="008216EF"/>
    <w:rsid w:val="00821B85"/>
    <w:rsid w:val="00822C19"/>
    <w:rsid w:val="00823165"/>
    <w:rsid w:val="00823171"/>
    <w:rsid w:val="008237D0"/>
    <w:rsid w:val="00823BFA"/>
    <w:rsid w:val="0082414B"/>
    <w:rsid w:val="00824192"/>
    <w:rsid w:val="00824400"/>
    <w:rsid w:val="008250A0"/>
    <w:rsid w:val="0082610F"/>
    <w:rsid w:val="00826115"/>
    <w:rsid w:val="00826397"/>
    <w:rsid w:val="00826600"/>
    <w:rsid w:val="00826B47"/>
    <w:rsid w:val="00827665"/>
    <w:rsid w:val="00827B67"/>
    <w:rsid w:val="00827E0C"/>
    <w:rsid w:val="0083039C"/>
    <w:rsid w:val="00831753"/>
    <w:rsid w:val="00831D5B"/>
    <w:rsid w:val="00831E2A"/>
    <w:rsid w:val="0083233C"/>
    <w:rsid w:val="00832401"/>
    <w:rsid w:val="00832F6F"/>
    <w:rsid w:val="00832F8B"/>
    <w:rsid w:val="00834593"/>
    <w:rsid w:val="00834706"/>
    <w:rsid w:val="00834CCF"/>
    <w:rsid w:val="008355E7"/>
    <w:rsid w:val="00836212"/>
    <w:rsid w:val="00836944"/>
    <w:rsid w:val="00836E2B"/>
    <w:rsid w:val="0083740B"/>
    <w:rsid w:val="00837D0E"/>
    <w:rsid w:val="00840195"/>
    <w:rsid w:val="00840915"/>
    <w:rsid w:val="008414F4"/>
    <w:rsid w:val="008439D9"/>
    <w:rsid w:val="008442E0"/>
    <w:rsid w:val="008447D0"/>
    <w:rsid w:val="008448ED"/>
    <w:rsid w:val="00844DB5"/>
    <w:rsid w:val="00844E24"/>
    <w:rsid w:val="00846802"/>
    <w:rsid w:val="00846CAB"/>
    <w:rsid w:val="0085034E"/>
    <w:rsid w:val="008512D7"/>
    <w:rsid w:val="0085167E"/>
    <w:rsid w:val="00851D57"/>
    <w:rsid w:val="00851ECA"/>
    <w:rsid w:val="008521D3"/>
    <w:rsid w:val="00852371"/>
    <w:rsid w:val="00852838"/>
    <w:rsid w:val="00852B8A"/>
    <w:rsid w:val="00854332"/>
    <w:rsid w:val="008543F0"/>
    <w:rsid w:val="0085469A"/>
    <w:rsid w:val="008549AC"/>
    <w:rsid w:val="00854B67"/>
    <w:rsid w:val="00854C1E"/>
    <w:rsid w:val="0085515E"/>
    <w:rsid w:val="008554FE"/>
    <w:rsid w:val="008556A5"/>
    <w:rsid w:val="00855769"/>
    <w:rsid w:val="00855898"/>
    <w:rsid w:val="00855D92"/>
    <w:rsid w:val="008562D2"/>
    <w:rsid w:val="00856CB3"/>
    <w:rsid w:val="00856FFD"/>
    <w:rsid w:val="00857929"/>
    <w:rsid w:val="008603A5"/>
    <w:rsid w:val="008604D9"/>
    <w:rsid w:val="00860EE1"/>
    <w:rsid w:val="00861404"/>
    <w:rsid w:val="008618D5"/>
    <w:rsid w:val="00861FA6"/>
    <w:rsid w:val="0086312B"/>
    <w:rsid w:val="008641E7"/>
    <w:rsid w:val="008647FC"/>
    <w:rsid w:val="00864990"/>
    <w:rsid w:val="00864A4F"/>
    <w:rsid w:val="00864E3D"/>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77449"/>
    <w:rsid w:val="00880B5A"/>
    <w:rsid w:val="00880F91"/>
    <w:rsid w:val="00881341"/>
    <w:rsid w:val="0088174B"/>
    <w:rsid w:val="00881DA2"/>
    <w:rsid w:val="008832D9"/>
    <w:rsid w:val="0088490C"/>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071"/>
    <w:rsid w:val="00897764"/>
    <w:rsid w:val="00897A87"/>
    <w:rsid w:val="00897A8A"/>
    <w:rsid w:val="008A02EE"/>
    <w:rsid w:val="008A03E7"/>
    <w:rsid w:val="008A0514"/>
    <w:rsid w:val="008A0801"/>
    <w:rsid w:val="008A0D74"/>
    <w:rsid w:val="008A1544"/>
    <w:rsid w:val="008A2BCC"/>
    <w:rsid w:val="008A3D8D"/>
    <w:rsid w:val="008A3DDC"/>
    <w:rsid w:val="008A3E1C"/>
    <w:rsid w:val="008A4E9E"/>
    <w:rsid w:val="008A55D2"/>
    <w:rsid w:val="008A5A92"/>
    <w:rsid w:val="008A7CC9"/>
    <w:rsid w:val="008B05E0"/>
    <w:rsid w:val="008B0AAD"/>
    <w:rsid w:val="008B1648"/>
    <w:rsid w:val="008B166D"/>
    <w:rsid w:val="008B1B3B"/>
    <w:rsid w:val="008B2C45"/>
    <w:rsid w:val="008B2EF9"/>
    <w:rsid w:val="008B380F"/>
    <w:rsid w:val="008B3A38"/>
    <w:rsid w:val="008B3A47"/>
    <w:rsid w:val="008B3F51"/>
    <w:rsid w:val="008B433C"/>
    <w:rsid w:val="008B4425"/>
    <w:rsid w:val="008B48DB"/>
    <w:rsid w:val="008B496B"/>
    <w:rsid w:val="008B508B"/>
    <w:rsid w:val="008B5B27"/>
    <w:rsid w:val="008B6125"/>
    <w:rsid w:val="008B694C"/>
    <w:rsid w:val="008B70D0"/>
    <w:rsid w:val="008B74DD"/>
    <w:rsid w:val="008B757C"/>
    <w:rsid w:val="008B77C5"/>
    <w:rsid w:val="008B7869"/>
    <w:rsid w:val="008C0079"/>
    <w:rsid w:val="008C0A51"/>
    <w:rsid w:val="008C0C3D"/>
    <w:rsid w:val="008C2218"/>
    <w:rsid w:val="008C295E"/>
    <w:rsid w:val="008C33E5"/>
    <w:rsid w:val="008C36A3"/>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18D"/>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003"/>
    <w:rsid w:val="008D61CE"/>
    <w:rsid w:val="008D6C35"/>
    <w:rsid w:val="008E0250"/>
    <w:rsid w:val="008E058E"/>
    <w:rsid w:val="008E098F"/>
    <w:rsid w:val="008E24DD"/>
    <w:rsid w:val="008E27D0"/>
    <w:rsid w:val="008E29C4"/>
    <w:rsid w:val="008E3071"/>
    <w:rsid w:val="008E47E7"/>
    <w:rsid w:val="008E4DAA"/>
    <w:rsid w:val="008E5B05"/>
    <w:rsid w:val="008E5F21"/>
    <w:rsid w:val="008E6A63"/>
    <w:rsid w:val="008E6CF8"/>
    <w:rsid w:val="008E7CFA"/>
    <w:rsid w:val="008F02D0"/>
    <w:rsid w:val="008F0CC0"/>
    <w:rsid w:val="008F10DA"/>
    <w:rsid w:val="008F12C1"/>
    <w:rsid w:val="008F1CCF"/>
    <w:rsid w:val="008F20D8"/>
    <w:rsid w:val="008F21D7"/>
    <w:rsid w:val="008F2AF7"/>
    <w:rsid w:val="008F341F"/>
    <w:rsid w:val="008F370D"/>
    <w:rsid w:val="008F38F4"/>
    <w:rsid w:val="008F4250"/>
    <w:rsid w:val="008F4D11"/>
    <w:rsid w:val="008F59FF"/>
    <w:rsid w:val="008F5CE9"/>
    <w:rsid w:val="008F6B1D"/>
    <w:rsid w:val="00900D11"/>
    <w:rsid w:val="00900DC6"/>
    <w:rsid w:val="009023D5"/>
    <w:rsid w:val="0090287F"/>
    <w:rsid w:val="00902AAC"/>
    <w:rsid w:val="00902DF2"/>
    <w:rsid w:val="00902F38"/>
    <w:rsid w:val="00902FA1"/>
    <w:rsid w:val="0090300C"/>
    <w:rsid w:val="00903410"/>
    <w:rsid w:val="0090383A"/>
    <w:rsid w:val="00903EBE"/>
    <w:rsid w:val="009059D8"/>
    <w:rsid w:val="009063DB"/>
    <w:rsid w:val="00906B79"/>
    <w:rsid w:val="009074D4"/>
    <w:rsid w:val="009077E2"/>
    <w:rsid w:val="00907E56"/>
    <w:rsid w:val="00907E99"/>
    <w:rsid w:val="00907EA3"/>
    <w:rsid w:val="00911713"/>
    <w:rsid w:val="0091184F"/>
    <w:rsid w:val="00911AFE"/>
    <w:rsid w:val="00911D1A"/>
    <w:rsid w:val="00912394"/>
    <w:rsid w:val="009124AA"/>
    <w:rsid w:val="00912C11"/>
    <w:rsid w:val="0091304E"/>
    <w:rsid w:val="009138DD"/>
    <w:rsid w:val="0091467C"/>
    <w:rsid w:val="009146F3"/>
    <w:rsid w:val="009147C4"/>
    <w:rsid w:val="00914ACD"/>
    <w:rsid w:val="0091524F"/>
    <w:rsid w:val="009153EA"/>
    <w:rsid w:val="00915404"/>
    <w:rsid w:val="009154C0"/>
    <w:rsid w:val="009154FB"/>
    <w:rsid w:val="00915EE1"/>
    <w:rsid w:val="0091614E"/>
    <w:rsid w:val="00916B7A"/>
    <w:rsid w:val="009176B3"/>
    <w:rsid w:val="009200AF"/>
    <w:rsid w:val="00920590"/>
    <w:rsid w:val="00921FCD"/>
    <w:rsid w:val="00924F5E"/>
    <w:rsid w:val="009252E5"/>
    <w:rsid w:val="0092587C"/>
    <w:rsid w:val="00926594"/>
    <w:rsid w:val="0092695B"/>
    <w:rsid w:val="009269BB"/>
    <w:rsid w:val="00926ADF"/>
    <w:rsid w:val="00926DC3"/>
    <w:rsid w:val="0092774F"/>
    <w:rsid w:val="009305D7"/>
    <w:rsid w:val="00930A66"/>
    <w:rsid w:val="00930A91"/>
    <w:rsid w:val="00930BC0"/>
    <w:rsid w:val="0093160A"/>
    <w:rsid w:val="00931763"/>
    <w:rsid w:val="009317C6"/>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14D0"/>
    <w:rsid w:val="00943E10"/>
    <w:rsid w:val="00944855"/>
    <w:rsid w:val="009448C8"/>
    <w:rsid w:val="009448F1"/>
    <w:rsid w:val="0094516E"/>
    <w:rsid w:val="00945C58"/>
    <w:rsid w:val="00945E65"/>
    <w:rsid w:val="00946D0E"/>
    <w:rsid w:val="0094705A"/>
    <w:rsid w:val="0094716C"/>
    <w:rsid w:val="009507AF"/>
    <w:rsid w:val="0095184D"/>
    <w:rsid w:val="0095276F"/>
    <w:rsid w:val="009529C5"/>
    <w:rsid w:val="00953139"/>
    <w:rsid w:val="009537D9"/>
    <w:rsid w:val="00953C3F"/>
    <w:rsid w:val="00954B67"/>
    <w:rsid w:val="00954FA4"/>
    <w:rsid w:val="0095546E"/>
    <w:rsid w:val="00955B31"/>
    <w:rsid w:val="00955B80"/>
    <w:rsid w:val="009563C8"/>
    <w:rsid w:val="00957203"/>
    <w:rsid w:val="00957213"/>
    <w:rsid w:val="0095775F"/>
    <w:rsid w:val="00957CA8"/>
    <w:rsid w:val="00960C8B"/>
    <w:rsid w:val="00961394"/>
    <w:rsid w:val="00961864"/>
    <w:rsid w:val="009618D8"/>
    <w:rsid w:val="009621F1"/>
    <w:rsid w:val="00962B42"/>
    <w:rsid w:val="00962B47"/>
    <w:rsid w:val="009631BF"/>
    <w:rsid w:val="009638A6"/>
    <w:rsid w:val="0096403F"/>
    <w:rsid w:val="00964B4E"/>
    <w:rsid w:val="009651D8"/>
    <w:rsid w:val="0096656D"/>
    <w:rsid w:val="009667DE"/>
    <w:rsid w:val="00966D5B"/>
    <w:rsid w:val="00967EDC"/>
    <w:rsid w:val="009704D0"/>
    <w:rsid w:val="00971643"/>
    <w:rsid w:val="00971B99"/>
    <w:rsid w:val="00971B9B"/>
    <w:rsid w:val="00971E06"/>
    <w:rsid w:val="00972349"/>
    <w:rsid w:val="0097271B"/>
    <w:rsid w:val="0097286D"/>
    <w:rsid w:val="00973212"/>
    <w:rsid w:val="0097336B"/>
    <w:rsid w:val="00973576"/>
    <w:rsid w:val="00973823"/>
    <w:rsid w:val="0097390B"/>
    <w:rsid w:val="00976698"/>
    <w:rsid w:val="00976729"/>
    <w:rsid w:val="0097686A"/>
    <w:rsid w:val="00977167"/>
    <w:rsid w:val="009779DE"/>
    <w:rsid w:val="00980170"/>
    <w:rsid w:val="00980B31"/>
    <w:rsid w:val="00981087"/>
    <w:rsid w:val="00981326"/>
    <w:rsid w:val="00981596"/>
    <w:rsid w:val="009818EE"/>
    <w:rsid w:val="00981B05"/>
    <w:rsid w:val="00982F14"/>
    <w:rsid w:val="00983A77"/>
    <w:rsid w:val="00983BE8"/>
    <w:rsid w:val="00983CD6"/>
    <w:rsid w:val="00984226"/>
    <w:rsid w:val="00984902"/>
    <w:rsid w:val="009852C8"/>
    <w:rsid w:val="00985F3B"/>
    <w:rsid w:val="00986264"/>
    <w:rsid w:val="00986AF3"/>
    <w:rsid w:val="00986CA0"/>
    <w:rsid w:val="00990115"/>
    <w:rsid w:val="0099011B"/>
    <w:rsid w:val="0099177C"/>
    <w:rsid w:val="00991EBE"/>
    <w:rsid w:val="0099207D"/>
    <w:rsid w:val="009922AA"/>
    <w:rsid w:val="00992506"/>
    <w:rsid w:val="009928D9"/>
    <w:rsid w:val="00992A9E"/>
    <w:rsid w:val="009931B6"/>
    <w:rsid w:val="009936C3"/>
    <w:rsid w:val="00993C93"/>
    <w:rsid w:val="00994065"/>
    <w:rsid w:val="00994E04"/>
    <w:rsid w:val="00995304"/>
    <w:rsid w:val="00995BA4"/>
    <w:rsid w:val="00995DC5"/>
    <w:rsid w:val="00996052"/>
    <w:rsid w:val="009966C3"/>
    <w:rsid w:val="00996D6E"/>
    <w:rsid w:val="00996DF8"/>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484"/>
    <w:rsid w:val="009A5FFB"/>
    <w:rsid w:val="009A608C"/>
    <w:rsid w:val="009A62EA"/>
    <w:rsid w:val="009A65EB"/>
    <w:rsid w:val="009A68E8"/>
    <w:rsid w:val="009B10F6"/>
    <w:rsid w:val="009B1302"/>
    <w:rsid w:val="009B136D"/>
    <w:rsid w:val="009B1E7E"/>
    <w:rsid w:val="009B1F0E"/>
    <w:rsid w:val="009B457A"/>
    <w:rsid w:val="009B4ECA"/>
    <w:rsid w:val="009B5892"/>
    <w:rsid w:val="009B5951"/>
    <w:rsid w:val="009B5958"/>
    <w:rsid w:val="009B597F"/>
    <w:rsid w:val="009B63D5"/>
    <w:rsid w:val="009C02BB"/>
    <w:rsid w:val="009C0B95"/>
    <w:rsid w:val="009C0ECF"/>
    <w:rsid w:val="009C1345"/>
    <w:rsid w:val="009C1A14"/>
    <w:rsid w:val="009C2177"/>
    <w:rsid w:val="009C231C"/>
    <w:rsid w:val="009C23F0"/>
    <w:rsid w:val="009C2A14"/>
    <w:rsid w:val="009C2C83"/>
    <w:rsid w:val="009C31D6"/>
    <w:rsid w:val="009C3455"/>
    <w:rsid w:val="009C3B7D"/>
    <w:rsid w:val="009C3BF9"/>
    <w:rsid w:val="009C3E12"/>
    <w:rsid w:val="009C4FE5"/>
    <w:rsid w:val="009C5904"/>
    <w:rsid w:val="009C61DB"/>
    <w:rsid w:val="009C6451"/>
    <w:rsid w:val="009C72CD"/>
    <w:rsid w:val="009D07C2"/>
    <w:rsid w:val="009D1A5F"/>
    <w:rsid w:val="009D2B54"/>
    <w:rsid w:val="009D2C65"/>
    <w:rsid w:val="009D2FB0"/>
    <w:rsid w:val="009D3358"/>
    <w:rsid w:val="009D38AE"/>
    <w:rsid w:val="009D3BDF"/>
    <w:rsid w:val="009D413B"/>
    <w:rsid w:val="009D425A"/>
    <w:rsid w:val="009D5CAD"/>
    <w:rsid w:val="009D6703"/>
    <w:rsid w:val="009D6713"/>
    <w:rsid w:val="009D6BB8"/>
    <w:rsid w:val="009D6F74"/>
    <w:rsid w:val="009D6F8D"/>
    <w:rsid w:val="009D74EB"/>
    <w:rsid w:val="009D7CC1"/>
    <w:rsid w:val="009D7E51"/>
    <w:rsid w:val="009E04D2"/>
    <w:rsid w:val="009E0A3F"/>
    <w:rsid w:val="009E0D5C"/>
    <w:rsid w:val="009E1B0F"/>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5FD"/>
    <w:rsid w:val="009F1ABA"/>
    <w:rsid w:val="009F23F9"/>
    <w:rsid w:val="009F25AF"/>
    <w:rsid w:val="009F3FD7"/>
    <w:rsid w:val="009F5B63"/>
    <w:rsid w:val="009F6088"/>
    <w:rsid w:val="009F6457"/>
    <w:rsid w:val="009F6D92"/>
    <w:rsid w:val="009F76AA"/>
    <w:rsid w:val="00A013E1"/>
    <w:rsid w:val="00A01693"/>
    <w:rsid w:val="00A01729"/>
    <w:rsid w:val="00A01DB4"/>
    <w:rsid w:val="00A02770"/>
    <w:rsid w:val="00A0305E"/>
    <w:rsid w:val="00A0354D"/>
    <w:rsid w:val="00A03D3E"/>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156EB"/>
    <w:rsid w:val="00A1657B"/>
    <w:rsid w:val="00A208E0"/>
    <w:rsid w:val="00A20963"/>
    <w:rsid w:val="00A212D0"/>
    <w:rsid w:val="00A21E31"/>
    <w:rsid w:val="00A2258E"/>
    <w:rsid w:val="00A225EE"/>
    <w:rsid w:val="00A22897"/>
    <w:rsid w:val="00A22DFE"/>
    <w:rsid w:val="00A25898"/>
    <w:rsid w:val="00A26BC2"/>
    <w:rsid w:val="00A26FEC"/>
    <w:rsid w:val="00A27434"/>
    <w:rsid w:val="00A308C6"/>
    <w:rsid w:val="00A31778"/>
    <w:rsid w:val="00A317EF"/>
    <w:rsid w:val="00A324D0"/>
    <w:rsid w:val="00A3353E"/>
    <w:rsid w:val="00A336C6"/>
    <w:rsid w:val="00A345FE"/>
    <w:rsid w:val="00A348D5"/>
    <w:rsid w:val="00A34D2F"/>
    <w:rsid w:val="00A36106"/>
    <w:rsid w:val="00A364E6"/>
    <w:rsid w:val="00A36C1B"/>
    <w:rsid w:val="00A41457"/>
    <w:rsid w:val="00A41977"/>
    <w:rsid w:val="00A42214"/>
    <w:rsid w:val="00A42BDD"/>
    <w:rsid w:val="00A42E4C"/>
    <w:rsid w:val="00A42EA0"/>
    <w:rsid w:val="00A45013"/>
    <w:rsid w:val="00A4522A"/>
    <w:rsid w:val="00A45CA9"/>
    <w:rsid w:val="00A4663B"/>
    <w:rsid w:val="00A46D8B"/>
    <w:rsid w:val="00A474BD"/>
    <w:rsid w:val="00A47D82"/>
    <w:rsid w:val="00A502AB"/>
    <w:rsid w:val="00A5054B"/>
    <w:rsid w:val="00A51210"/>
    <w:rsid w:val="00A51243"/>
    <w:rsid w:val="00A51248"/>
    <w:rsid w:val="00A51826"/>
    <w:rsid w:val="00A5203F"/>
    <w:rsid w:val="00A524E1"/>
    <w:rsid w:val="00A526EB"/>
    <w:rsid w:val="00A52FF9"/>
    <w:rsid w:val="00A5321A"/>
    <w:rsid w:val="00A53334"/>
    <w:rsid w:val="00A53608"/>
    <w:rsid w:val="00A53AA8"/>
    <w:rsid w:val="00A53E29"/>
    <w:rsid w:val="00A5403F"/>
    <w:rsid w:val="00A54DC4"/>
    <w:rsid w:val="00A5502B"/>
    <w:rsid w:val="00A55BC8"/>
    <w:rsid w:val="00A55E0B"/>
    <w:rsid w:val="00A569A4"/>
    <w:rsid w:val="00A56C2F"/>
    <w:rsid w:val="00A56EF8"/>
    <w:rsid w:val="00A5713C"/>
    <w:rsid w:val="00A5789B"/>
    <w:rsid w:val="00A57AF8"/>
    <w:rsid w:val="00A6070F"/>
    <w:rsid w:val="00A61346"/>
    <w:rsid w:val="00A62960"/>
    <w:rsid w:val="00A63102"/>
    <w:rsid w:val="00A63552"/>
    <w:rsid w:val="00A6476A"/>
    <w:rsid w:val="00A647C5"/>
    <w:rsid w:val="00A64C58"/>
    <w:rsid w:val="00A65DB6"/>
    <w:rsid w:val="00A664C2"/>
    <w:rsid w:val="00A66A5E"/>
    <w:rsid w:val="00A66C26"/>
    <w:rsid w:val="00A70475"/>
    <w:rsid w:val="00A70861"/>
    <w:rsid w:val="00A70B83"/>
    <w:rsid w:val="00A70FC2"/>
    <w:rsid w:val="00A71872"/>
    <w:rsid w:val="00A71AE7"/>
    <w:rsid w:val="00A72068"/>
    <w:rsid w:val="00A7263F"/>
    <w:rsid w:val="00A72EBA"/>
    <w:rsid w:val="00A73AE3"/>
    <w:rsid w:val="00A745BA"/>
    <w:rsid w:val="00A747E4"/>
    <w:rsid w:val="00A74CE9"/>
    <w:rsid w:val="00A7534A"/>
    <w:rsid w:val="00A7537A"/>
    <w:rsid w:val="00A75AF6"/>
    <w:rsid w:val="00A76128"/>
    <w:rsid w:val="00A764DA"/>
    <w:rsid w:val="00A76971"/>
    <w:rsid w:val="00A81473"/>
    <w:rsid w:val="00A822B1"/>
    <w:rsid w:val="00A82836"/>
    <w:rsid w:val="00A82BD8"/>
    <w:rsid w:val="00A83071"/>
    <w:rsid w:val="00A83546"/>
    <w:rsid w:val="00A835AA"/>
    <w:rsid w:val="00A835CD"/>
    <w:rsid w:val="00A838F1"/>
    <w:rsid w:val="00A844E9"/>
    <w:rsid w:val="00A849CA"/>
    <w:rsid w:val="00A8522F"/>
    <w:rsid w:val="00A86DE8"/>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4F5B"/>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376"/>
    <w:rsid w:val="00AA7948"/>
    <w:rsid w:val="00AB01E2"/>
    <w:rsid w:val="00AB070A"/>
    <w:rsid w:val="00AB1F30"/>
    <w:rsid w:val="00AB26C9"/>
    <w:rsid w:val="00AB2785"/>
    <w:rsid w:val="00AB2A36"/>
    <w:rsid w:val="00AB2DAD"/>
    <w:rsid w:val="00AB3411"/>
    <w:rsid w:val="00AB34D7"/>
    <w:rsid w:val="00AB3870"/>
    <w:rsid w:val="00AB4179"/>
    <w:rsid w:val="00AB453B"/>
    <w:rsid w:val="00AB55A3"/>
    <w:rsid w:val="00AB5C6B"/>
    <w:rsid w:val="00AB5CA1"/>
    <w:rsid w:val="00AB6D27"/>
    <w:rsid w:val="00AB798D"/>
    <w:rsid w:val="00AC046F"/>
    <w:rsid w:val="00AC0D2A"/>
    <w:rsid w:val="00AC1A4D"/>
    <w:rsid w:val="00AC200A"/>
    <w:rsid w:val="00AC2BD8"/>
    <w:rsid w:val="00AC408E"/>
    <w:rsid w:val="00AC478D"/>
    <w:rsid w:val="00AC4ED3"/>
    <w:rsid w:val="00AC5926"/>
    <w:rsid w:val="00AC7F6B"/>
    <w:rsid w:val="00AD0264"/>
    <w:rsid w:val="00AD02E0"/>
    <w:rsid w:val="00AD0646"/>
    <w:rsid w:val="00AD0C46"/>
    <w:rsid w:val="00AD0F27"/>
    <w:rsid w:val="00AD1CAC"/>
    <w:rsid w:val="00AD2626"/>
    <w:rsid w:val="00AD2744"/>
    <w:rsid w:val="00AD2980"/>
    <w:rsid w:val="00AD2BED"/>
    <w:rsid w:val="00AD2C08"/>
    <w:rsid w:val="00AD2F56"/>
    <w:rsid w:val="00AD3484"/>
    <w:rsid w:val="00AD3591"/>
    <w:rsid w:val="00AD36C4"/>
    <w:rsid w:val="00AD4311"/>
    <w:rsid w:val="00AD454B"/>
    <w:rsid w:val="00AD558C"/>
    <w:rsid w:val="00AD695D"/>
    <w:rsid w:val="00AD6CFA"/>
    <w:rsid w:val="00AD6F5F"/>
    <w:rsid w:val="00AD73C8"/>
    <w:rsid w:val="00AD7834"/>
    <w:rsid w:val="00AE04E4"/>
    <w:rsid w:val="00AE0AB7"/>
    <w:rsid w:val="00AE0B3F"/>
    <w:rsid w:val="00AE0B66"/>
    <w:rsid w:val="00AE1406"/>
    <w:rsid w:val="00AE1FF9"/>
    <w:rsid w:val="00AE27F5"/>
    <w:rsid w:val="00AE2B57"/>
    <w:rsid w:val="00AE2E25"/>
    <w:rsid w:val="00AE30F9"/>
    <w:rsid w:val="00AE32ED"/>
    <w:rsid w:val="00AE365B"/>
    <w:rsid w:val="00AE397C"/>
    <w:rsid w:val="00AE48D8"/>
    <w:rsid w:val="00AE66C9"/>
    <w:rsid w:val="00AE66E5"/>
    <w:rsid w:val="00AE6827"/>
    <w:rsid w:val="00AE69ED"/>
    <w:rsid w:val="00AE6CDB"/>
    <w:rsid w:val="00AE76DB"/>
    <w:rsid w:val="00AE7D04"/>
    <w:rsid w:val="00AE7D0F"/>
    <w:rsid w:val="00AE7E2A"/>
    <w:rsid w:val="00AE7FB0"/>
    <w:rsid w:val="00AF01E3"/>
    <w:rsid w:val="00AF0310"/>
    <w:rsid w:val="00AF130F"/>
    <w:rsid w:val="00AF1380"/>
    <w:rsid w:val="00AF1EAF"/>
    <w:rsid w:val="00AF22E2"/>
    <w:rsid w:val="00AF304F"/>
    <w:rsid w:val="00AF37A3"/>
    <w:rsid w:val="00AF426F"/>
    <w:rsid w:val="00AF44E0"/>
    <w:rsid w:val="00AF4DA2"/>
    <w:rsid w:val="00AF4E8F"/>
    <w:rsid w:val="00AF544C"/>
    <w:rsid w:val="00AF586E"/>
    <w:rsid w:val="00AF6188"/>
    <w:rsid w:val="00AF6871"/>
    <w:rsid w:val="00AF755F"/>
    <w:rsid w:val="00AF761E"/>
    <w:rsid w:val="00AF7983"/>
    <w:rsid w:val="00AF7B16"/>
    <w:rsid w:val="00B000E5"/>
    <w:rsid w:val="00B005F4"/>
    <w:rsid w:val="00B0068D"/>
    <w:rsid w:val="00B01326"/>
    <w:rsid w:val="00B01F26"/>
    <w:rsid w:val="00B02239"/>
    <w:rsid w:val="00B0275D"/>
    <w:rsid w:val="00B02BEC"/>
    <w:rsid w:val="00B0366F"/>
    <w:rsid w:val="00B04081"/>
    <w:rsid w:val="00B04873"/>
    <w:rsid w:val="00B06B3C"/>
    <w:rsid w:val="00B07F37"/>
    <w:rsid w:val="00B10774"/>
    <w:rsid w:val="00B10B14"/>
    <w:rsid w:val="00B10D2A"/>
    <w:rsid w:val="00B1152F"/>
    <w:rsid w:val="00B11E3F"/>
    <w:rsid w:val="00B11E85"/>
    <w:rsid w:val="00B12419"/>
    <w:rsid w:val="00B12886"/>
    <w:rsid w:val="00B12C3E"/>
    <w:rsid w:val="00B13906"/>
    <w:rsid w:val="00B1436A"/>
    <w:rsid w:val="00B14396"/>
    <w:rsid w:val="00B146E4"/>
    <w:rsid w:val="00B148CC"/>
    <w:rsid w:val="00B15103"/>
    <w:rsid w:val="00B165EB"/>
    <w:rsid w:val="00B1663C"/>
    <w:rsid w:val="00B16EA0"/>
    <w:rsid w:val="00B16F42"/>
    <w:rsid w:val="00B175EE"/>
    <w:rsid w:val="00B17814"/>
    <w:rsid w:val="00B17BB0"/>
    <w:rsid w:val="00B17BF4"/>
    <w:rsid w:val="00B2129A"/>
    <w:rsid w:val="00B2180D"/>
    <w:rsid w:val="00B22AB2"/>
    <w:rsid w:val="00B24B67"/>
    <w:rsid w:val="00B2513D"/>
    <w:rsid w:val="00B25894"/>
    <w:rsid w:val="00B259DE"/>
    <w:rsid w:val="00B25A82"/>
    <w:rsid w:val="00B25FCD"/>
    <w:rsid w:val="00B26B9C"/>
    <w:rsid w:val="00B270EB"/>
    <w:rsid w:val="00B271E3"/>
    <w:rsid w:val="00B27CA0"/>
    <w:rsid w:val="00B30EB1"/>
    <w:rsid w:val="00B31628"/>
    <w:rsid w:val="00B31A08"/>
    <w:rsid w:val="00B31AE4"/>
    <w:rsid w:val="00B32209"/>
    <w:rsid w:val="00B32933"/>
    <w:rsid w:val="00B32D63"/>
    <w:rsid w:val="00B331BD"/>
    <w:rsid w:val="00B343AF"/>
    <w:rsid w:val="00B344A3"/>
    <w:rsid w:val="00B345F4"/>
    <w:rsid w:val="00B346EA"/>
    <w:rsid w:val="00B347D7"/>
    <w:rsid w:val="00B34FEE"/>
    <w:rsid w:val="00B351B8"/>
    <w:rsid w:val="00B3529C"/>
    <w:rsid w:val="00B358D9"/>
    <w:rsid w:val="00B35FB8"/>
    <w:rsid w:val="00B36080"/>
    <w:rsid w:val="00B367B5"/>
    <w:rsid w:val="00B37455"/>
    <w:rsid w:val="00B3771D"/>
    <w:rsid w:val="00B37891"/>
    <w:rsid w:val="00B414A3"/>
    <w:rsid w:val="00B41A92"/>
    <w:rsid w:val="00B41C48"/>
    <w:rsid w:val="00B421E5"/>
    <w:rsid w:val="00B4266B"/>
    <w:rsid w:val="00B42784"/>
    <w:rsid w:val="00B42840"/>
    <w:rsid w:val="00B4299F"/>
    <w:rsid w:val="00B42C0C"/>
    <w:rsid w:val="00B438C0"/>
    <w:rsid w:val="00B43A91"/>
    <w:rsid w:val="00B443A6"/>
    <w:rsid w:val="00B44803"/>
    <w:rsid w:val="00B44829"/>
    <w:rsid w:val="00B4562D"/>
    <w:rsid w:val="00B45D81"/>
    <w:rsid w:val="00B465DE"/>
    <w:rsid w:val="00B46622"/>
    <w:rsid w:val="00B46874"/>
    <w:rsid w:val="00B4689B"/>
    <w:rsid w:val="00B47253"/>
    <w:rsid w:val="00B4757F"/>
    <w:rsid w:val="00B513EE"/>
    <w:rsid w:val="00B515F7"/>
    <w:rsid w:val="00B5185B"/>
    <w:rsid w:val="00B51C63"/>
    <w:rsid w:val="00B527D1"/>
    <w:rsid w:val="00B541AE"/>
    <w:rsid w:val="00B547C9"/>
    <w:rsid w:val="00B54CB0"/>
    <w:rsid w:val="00B5506A"/>
    <w:rsid w:val="00B55B76"/>
    <w:rsid w:val="00B56363"/>
    <w:rsid w:val="00B56A08"/>
    <w:rsid w:val="00B56D15"/>
    <w:rsid w:val="00B56FA6"/>
    <w:rsid w:val="00B5742A"/>
    <w:rsid w:val="00B574E0"/>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0E84"/>
    <w:rsid w:val="00B824E5"/>
    <w:rsid w:val="00B82C37"/>
    <w:rsid w:val="00B8408E"/>
    <w:rsid w:val="00B840D4"/>
    <w:rsid w:val="00B844E0"/>
    <w:rsid w:val="00B8470E"/>
    <w:rsid w:val="00B84E01"/>
    <w:rsid w:val="00B856FA"/>
    <w:rsid w:val="00B857DF"/>
    <w:rsid w:val="00B86AD3"/>
    <w:rsid w:val="00B86E4D"/>
    <w:rsid w:val="00B87705"/>
    <w:rsid w:val="00B87A6A"/>
    <w:rsid w:val="00B87FF8"/>
    <w:rsid w:val="00B90778"/>
    <w:rsid w:val="00B912FA"/>
    <w:rsid w:val="00B91642"/>
    <w:rsid w:val="00B91781"/>
    <w:rsid w:val="00B918AB"/>
    <w:rsid w:val="00B91C1B"/>
    <w:rsid w:val="00B92C61"/>
    <w:rsid w:val="00B92E5D"/>
    <w:rsid w:val="00B92F64"/>
    <w:rsid w:val="00B93110"/>
    <w:rsid w:val="00B933DD"/>
    <w:rsid w:val="00B94762"/>
    <w:rsid w:val="00B95532"/>
    <w:rsid w:val="00B95BB7"/>
    <w:rsid w:val="00B968B6"/>
    <w:rsid w:val="00B96E54"/>
    <w:rsid w:val="00B9723D"/>
    <w:rsid w:val="00B975E1"/>
    <w:rsid w:val="00B977CA"/>
    <w:rsid w:val="00B97FDB"/>
    <w:rsid w:val="00BA0166"/>
    <w:rsid w:val="00BA0172"/>
    <w:rsid w:val="00BA1981"/>
    <w:rsid w:val="00BA1D6E"/>
    <w:rsid w:val="00BA21F8"/>
    <w:rsid w:val="00BA24AA"/>
    <w:rsid w:val="00BA2BBD"/>
    <w:rsid w:val="00BA3681"/>
    <w:rsid w:val="00BA3698"/>
    <w:rsid w:val="00BA39A8"/>
    <w:rsid w:val="00BA3C80"/>
    <w:rsid w:val="00BA4792"/>
    <w:rsid w:val="00BA56E3"/>
    <w:rsid w:val="00BA5A57"/>
    <w:rsid w:val="00BA5C92"/>
    <w:rsid w:val="00BA5EC4"/>
    <w:rsid w:val="00BA60A4"/>
    <w:rsid w:val="00BA6165"/>
    <w:rsid w:val="00BA6A9A"/>
    <w:rsid w:val="00BA6D48"/>
    <w:rsid w:val="00BA7435"/>
    <w:rsid w:val="00BB0580"/>
    <w:rsid w:val="00BB0862"/>
    <w:rsid w:val="00BB163B"/>
    <w:rsid w:val="00BB24DA"/>
    <w:rsid w:val="00BB25D9"/>
    <w:rsid w:val="00BB2B9D"/>
    <w:rsid w:val="00BB2EDC"/>
    <w:rsid w:val="00BB35AA"/>
    <w:rsid w:val="00BB383D"/>
    <w:rsid w:val="00BB3CE5"/>
    <w:rsid w:val="00BB3EA5"/>
    <w:rsid w:val="00BB5ACB"/>
    <w:rsid w:val="00BB608E"/>
    <w:rsid w:val="00BB6648"/>
    <w:rsid w:val="00BB67A9"/>
    <w:rsid w:val="00BB681F"/>
    <w:rsid w:val="00BB6A48"/>
    <w:rsid w:val="00BB7665"/>
    <w:rsid w:val="00BB7669"/>
    <w:rsid w:val="00BB7773"/>
    <w:rsid w:val="00BB78F4"/>
    <w:rsid w:val="00BB7DB1"/>
    <w:rsid w:val="00BB7FB3"/>
    <w:rsid w:val="00BC0275"/>
    <w:rsid w:val="00BC051F"/>
    <w:rsid w:val="00BC0776"/>
    <w:rsid w:val="00BC08D3"/>
    <w:rsid w:val="00BC09A3"/>
    <w:rsid w:val="00BC0C4E"/>
    <w:rsid w:val="00BC0D8B"/>
    <w:rsid w:val="00BC0E40"/>
    <w:rsid w:val="00BC1450"/>
    <w:rsid w:val="00BC166A"/>
    <w:rsid w:val="00BC1731"/>
    <w:rsid w:val="00BC1755"/>
    <w:rsid w:val="00BC1D15"/>
    <w:rsid w:val="00BC2584"/>
    <w:rsid w:val="00BC3533"/>
    <w:rsid w:val="00BC369E"/>
    <w:rsid w:val="00BC48F3"/>
    <w:rsid w:val="00BC4A47"/>
    <w:rsid w:val="00BC4AF9"/>
    <w:rsid w:val="00BC509C"/>
    <w:rsid w:val="00BC5D8F"/>
    <w:rsid w:val="00BC5DCE"/>
    <w:rsid w:val="00BC6505"/>
    <w:rsid w:val="00BC67D4"/>
    <w:rsid w:val="00BC6D71"/>
    <w:rsid w:val="00BC7399"/>
    <w:rsid w:val="00BD0164"/>
    <w:rsid w:val="00BD0959"/>
    <w:rsid w:val="00BD0A1E"/>
    <w:rsid w:val="00BD0CC4"/>
    <w:rsid w:val="00BD0F95"/>
    <w:rsid w:val="00BD128A"/>
    <w:rsid w:val="00BD1403"/>
    <w:rsid w:val="00BD1E32"/>
    <w:rsid w:val="00BD204E"/>
    <w:rsid w:val="00BD2C1B"/>
    <w:rsid w:val="00BD31B8"/>
    <w:rsid w:val="00BD3408"/>
    <w:rsid w:val="00BD5502"/>
    <w:rsid w:val="00BD5801"/>
    <w:rsid w:val="00BD58E0"/>
    <w:rsid w:val="00BD60CB"/>
    <w:rsid w:val="00BD6B4C"/>
    <w:rsid w:val="00BD750C"/>
    <w:rsid w:val="00BD7966"/>
    <w:rsid w:val="00BD7D12"/>
    <w:rsid w:val="00BE0F4E"/>
    <w:rsid w:val="00BE1C7B"/>
    <w:rsid w:val="00BE1F7D"/>
    <w:rsid w:val="00BE28CE"/>
    <w:rsid w:val="00BE2C08"/>
    <w:rsid w:val="00BE323E"/>
    <w:rsid w:val="00BE35EE"/>
    <w:rsid w:val="00BE365F"/>
    <w:rsid w:val="00BE3706"/>
    <w:rsid w:val="00BE39AA"/>
    <w:rsid w:val="00BE3A35"/>
    <w:rsid w:val="00BE3B56"/>
    <w:rsid w:val="00BE433B"/>
    <w:rsid w:val="00BE468A"/>
    <w:rsid w:val="00BE46D0"/>
    <w:rsid w:val="00BE4A90"/>
    <w:rsid w:val="00BE4B32"/>
    <w:rsid w:val="00BE53BA"/>
    <w:rsid w:val="00BE574A"/>
    <w:rsid w:val="00BE5A72"/>
    <w:rsid w:val="00BE5EB1"/>
    <w:rsid w:val="00BE6EDD"/>
    <w:rsid w:val="00BE7E7F"/>
    <w:rsid w:val="00BF02DC"/>
    <w:rsid w:val="00BF030F"/>
    <w:rsid w:val="00BF0C57"/>
    <w:rsid w:val="00BF0F42"/>
    <w:rsid w:val="00BF1106"/>
    <w:rsid w:val="00BF129D"/>
    <w:rsid w:val="00BF13DA"/>
    <w:rsid w:val="00BF16A8"/>
    <w:rsid w:val="00BF2CD1"/>
    <w:rsid w:val="00BF363B"/>
    <w:rsid w:val="00BF3811"/>
    <w:rsid w:val="00BF4720"/>
    <w:rsid w:val="00BF50EF"/>
    <w:rsid w:val="00BF5428"/>
    <w:rsid w:val="00BF63EC"/>
    <w:rsid w:val="00BF6B90"/>
    <w:rsid w:val="00BF780B"/>
    <w:rsid w:val="00BF7C11"/>
    <w:rsid w:val="00BF7E27"/>
    <w:rsid w:val="00C00548"/>
    <w:rsid w:val="00C00E52"/>
    <w:rsid w:val="00C01C5C"/>
    <w:rsid w:val="00C01E01"/>
    <w:rsid w:val="00C02001"/>
    <w:rsid w:val="00C0336F"/>
    <w:rsid w:val="00C03E9E"/>
    <w:rsid w:val="00C041FE"/>
    <w:rsid w:val="00C042D4"/>
    <w:rsid w:val="00C0446A"/>
    <w:rsid w:val="00C045C4"/>
    <w:rsid w:val="00C048D8"/>
    <w:rsid w:val="00C0496B"/>
    <w:rsid w:val="00C04D2D"/>
    <w:rsid w:val="00C0527E"/>
    <w:rsid w:val="00C057C4"/>
    <w:rsid w:val="00C059D2"/>
    <w:rsid w:val="00C05AC6"/>
    <w:rsid w:val="00C05E66"/>
    <w:rsid w:val="00C06541"/>
    <w:rsid w:val="00C06CE5"/>
    <w:rsid w:val="00C07438"/>
    <w:rsid w:val="00C07835"/>
    <w:rsid w:val="00C0789C"/>
    <w:rsid w:val="00C10267"/>
    <w:rsid w:val="00C10785"/>
    <w:rsid w:val="00C1105A"/>
    <w:rsid w:val="00C119E3"/>
    <w:rsid w:val="00C11CFC"/>
    <w:rsid w:val="00C11F32"/>
    <w:rsid w:val="00C12B4E"/>
    <w:rsid w:val="00C12B77"/>
    <w:rsid w:val="00C12C5B"/>
    <w:rsid w:val="00C13139"/>
    <w:rsid w:val="00C1333A"/>
    <w:rsid w:val="00C13496"/>
    <w:rsid w:val="00C13923"/>
    <w:rsid w:val="00C13E68"/>
    <w:rsid w:val="00C140F9"/>
    <w:rsid w:val="00C15506"/>
    <w:rsid w:val="00C15B6F"/>
    <w:rsid w:val="00C15ECF"/>
    <w:rsid w:val="00C16D6D"/>
    <w:rsid w:val="00C16D9B"/>
    <w:rsid w:val="00C177D3"/>
    <w:rsid w:val="00C17ABA"/>
    <w:rsid w:val="00C200F3"/>
    <w:rsid w:val="00C214C9"/>
    <w:rsid w:val="00C21BB8"/>
    <w:rsid w:val="00C227F2"/>
    <w:rsid w:val="00C2297F"/>
    <w:rsid w:val="00C22D08"/>
    <w:rsid w:val="00C235BF"/>
    <w:rsid w:val="00C24AF9"/>
    <w:rsid w:val="00C25232"/>
    <w:rsid w:val="00C253FD"/>
    <w:rsid w:val="00C259DB"/>
    <w:rsid w:val="00C25F88"/>
    <w:rsid w:val="00C26BB8"/>
    <w:rsid w:val="00C26EB1"/>
    <w:rsid w:val="00C26EF8"/>
    <w:rsid w:val="00C27223"/>
    <w:rsid w:val="00C274E5"/>
    <w:rsid w:val="00C30207"/>
    <w:rsid w:val="00C30288"/>
    <w:rsid w:val="00C302C4"/>
    <w:rsid w:val="00C309DE"/>
    <w:rsid w:val="00C30CDE"/>
    <w:rsid w:val="00C31223"/>
    <w:rsid w:val="00C31BE0"/>
    <w:rsid w:val="00C32DB9"/>
    <w:rsid w:val="00C32E98"/>
    <w:rsid w:val="00C333E4"/>
    <w:rsid w:val="00C334F6"/>
    <w:rsid w:val="00C34380"/>
    <w:rsid w:val="00C34389"/>
    <w:rsid w:val="00C347F5"/>
    <w:rsid w:val="00C34E39"/>
    <w:rsid w:val="00C35F1D"/>
    <w:rsid w:val="00C35F89"/>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91C"/>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13AC"/>
    <w:rsid w:val="00C62490"/>
    <w:rsid w:val="00C625C8"/>
    <w:rsid w:val="00C6280C"/>
    <w:rsid w:val="00C62B78"/>
    <w:rsid w:val="00C632A7"/>
    <w:rsid w:val="00C6359B"/>
    <w:rsid w:val="00C63D92"/>
    <w:rsid w:val="00C641EC"/>
    <w:rsid w:val="00C64739"/>
    <w:rsid w:val="00C648E8"/>
    <w:rsid w:val="00C64CB7"/>
    <w:rsid w:val="00C65C1C"/>
    <w:rsid w:val="00C66879"/>
    <w:rsid w:val="00C673F7"/>
    <w:rsid w:val="00C67AD2"/>
    <w:rsid w:val="00C702C5"/>
    <w:rsid w:val="00C705AC"/>
    <w:rsid w:val="00C7076B"/>
    <w:rsid w:val="00C70A7B"/>
    <w:rsid w:val="00C70DBA"/>
    <w:rsid w:val="00C711FA"/>
    <w:rsid w:val="00C71875"/>
    <w:rsid w:val="00C719FC"/>
    <w:rsid w:val="00C720DA"/>
    <w:rsid w:val="00C7457B"/>
    <w:rsid w:val="00C74DC7"/>
    <w:rsid w:val="00C74DDD"/>
    <w:rsid w:val="00C75F22"/>
    <w:rsid w:val="00C76E5F"/>
    <w:rsid w:val="00C77223"/>
    <w:rsid w:val="00C77792"/>
    <w:rsid w:val="00C77AFC"/>
    <w:rsid w:val="00C8041E"/>
    <w:rsid w:val="00C80479"/>
    <w:rsid w:val="00C806DD"/>
    <w:rsid w:val="00C80798"/>
    <w:rsid w:val="00C8168A"/>
    <w:rsid w:val="00C819C7"/>
    <w:rsid w:val="00C820AD"/>
    <w:rsid w:val="00C82779"/>
    <w:rsid w:val="00C82BFB"/>
    <w:rsid w:val="00C8335D"/>
    <w:rsid w:val="00C833E7"/>
    <w:rsid w:val="00C8359F"/>
    <w:rsid w:val="00C83613"/>
    <w:rsid w:val="00C8365B"/>
    <w:rsid w:val="00C83E6D"/>
    <w:rsid w:val="00C840DB"/>
    <w:rsid w:val="00C84205"/>
    <w:rsid w:val="00C848A5"/>
    <w:rsid w:val="00C84EE1"/>
    <w:rsid w:val="00C85952"/>
    <w:rsid w:val="00C85B18"/>
    <w:rsid w:val="00C865B2"/>
    <w:rsid w:val="00C8684B"/>
    <w:rsid w:val="00C86ACB"/>
    <w:rsid w:val="00C86ED0"/>
    <w:rsid w:val="00C870D1"/>
    <w:rsid w:val="00C876EF"/>
    <w:rsid w:val="00C90127"/>
    <w:rsid w:val="00C901EE"/>
    <w:rsid w:val="00C90A67"/>
    <w:rsid w:val="00C91379"/>
    <w:rsid w:val="00C92E7F"/>
    <w:rsid w:val="00C93E24"/>
    <w:rsid w:val="00C9400F"/>
    <w:rsid w:val="00C9477B"/>
    <w:rsid w:val="00C9514C"/>
    <w:rsid w:val="00C95585"/>
    <w:rsid w:val="00C958AC"/>
    <w:rsid w:val="00C96A15"/>
    <w:rsid w:val="00C97CDD"/>
    <w:rsid w:val="00CA004F"/>
    <w:rsid w:val="00CA0ACF"/>
    <w:rsid w:val="00CA0B76"/>
    <w:rsid w:val="00CA1245"/>
    <w:rsid w:val="00CA205A"/>
    <w:rsid w:val="00CA28FA"/>
    <w:rsid w:val="00CA295E"/>
    <w:rsid w:val="00CA2DE6"/>
    <w:rsid w:val="00CA391F"/>
    <w:rsid w:val="00CA3D26"/>
    <w:rsid w:val="00CA43C9"/>
    <w:rsid w:val="00CA4B85"/>
    <w:rsid w:val="00CA4E7E"/>
    <w:rsid w:val="00CA52C6"/>
    <w:rsid w:val="00CA5512"/>
    <w:rsid w:val="00CA5739"/>
    <w:rsid w:val="00CA5B26"/>
    <w:rsid w:val="00CA5EDF"/>
    <w:rsid w:val="00CA6515"/>
    <w:rsid w:val="00CA677F"/>
    <w:rsid w:val="00CA67F7"/>
    <w:rsid w:val="00CA70A4"/>
    <w:rsid w:val="00CA73A7"/>
    <w:rsid w:val="00CA7B14"/>
    <w:rsid w:val="00CA7CF3"/>
    <w:rsid w:val="00CA7FC7"/>
    <w:rsid w:val="00CB04EF"/>
    <w:rsid w:val="00CB0D91"/>
    <w:rsid w:val="00CB11F8"/>
    <w:rsid w:val="00CB1239"/>
    <w:rsid w:val="00CB1308"/>
    <w:rsid w:val="00CB16F9"/>
    <w:rsid w:val="00CB1EE3"/>
    <w:rsid w:val="00CB1F1F"/>
    <w:rsid w:val="00CB2155"/>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5C"/>
    <w:rsid w:val="00CC3A82"/>
    <w:rsid w:val="00CC4857"/>
    <w:rsid w:val="00CC5564"/>
    <w:rsid w:val="00CC55EF"/>
    <w:rsid w:val="00CC5936"/>
    <w:rsid w:val="00CC5F56"/>
    <w:rsid w:val="00CC6714"/>
    <w:rsid w:val="00CC67C5"/>
    <w:rsid w:val="00CC7137"/>
    <w:rsid w:val="00CC72B9"/>
    <w:rsid w:val="00CC7339"/>
    <w:rsid w:val="00CC7598"/>
    <w:rsid w:val="00CD0B8B"/>
    <w:rsid w:val="00CD11A7"/>
    <w:rsid w:val="00CD1697"/>
    <w:rsid w:val="00CD17E8"/>
    <w:rsid w:val="00CD1A2B"/>
    <w:rsid w:val="00CD1CBD"/>
    <w:rsid w:val="00CD23ED"/>
    <w:rsid w:val="00CD2DEB"/>
    <w:rsid w:val="00CD2DF3"/>
    <w:rsid w:val="00CD2F63"/>
    <w:rsid w:val="00CD4718"/>
    <w:rsid w:val="00CD4AB4"/>
    <w:rsid w:val="00CD5000"/>
    <w:rsid w:val="00CD53C9"/>
    <w:rsid w:val="00CD5574"/>
    <w:rsid w:val="00CD5D2F"/>
    <w:rsid w:val="00CD64E0"/>
    <w:rsid w:val="00CD66DD"/>
    <w:rsid w:val="00CD6DED"/>
    <w:rsid w:val="00CD7350"/>
    <w:rsid w:val="00CD74DA"/>
    <w:rsid w:val="00CD7928"/>
    <w:rsid w:val="00CE02EA"/>
    <w:rsid w:val="00CE030B"/>
    <w:rsid w:val="00CE0E44"/>
    <w:rsid w:val="00CE101F"/>
    <w:rsid w:val="00CE1085"/>
    <w:rsid w:val="00CE143C"/>
    <w:rsid w:val="00CE1CFC"/>
    <w:rsid w:val="00CE2EEE"/>
    <w:rsid w:val="00CE34FE"/>
    <w:rsid w:val="00CE35B2"/>
    <w:rsid w:val="00CE3928"/>
    <w:rsid w:val="00CE40A2"/>
    <w:rsid w:val="00CE4144"/>
    <w:rsid w:val="00CE48BE"/>
    <w:rsid w:val="00CE4A00"/>
    <w:rsid w:val="00CE50AF"/>
    <w:rsid w:val="00CE58E1"/>
    <w:rsid w:val="00CE5E24"/>
    <w:rsid w:val="00CE6ADB"/>
    <w:rsid w:val="00CE6EAF"/>
    <w:rsid w:val="00CE6F64"/>
    <w:rsid w:val="00CE74AD"/>
    <w:rsid w:val="00CE76D3"/>
    <w:rsid w:val="00CE7D0F"/>
    <w:rsid w:val="00CF01B3"/>
    <w:rsid w:val="00CF0247"/>
    <w:rsid w:val="00CF0855"/>
    <w:rsid w:val="00CF0A53"/>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CAF"/>
    <w:rsid w:val="00D03F69"/>
    <w:rsid w:val="00D04334"/>
    <w:rsid w:val="00D04564"/>
    <w:rsid w:val="00D048BD"/>
    <w:rsid w:val="00D048EA"/>
    <w:rsid w:val="00D05340"/>
    <w:rsid w:val="00D0555B"/>
    <w:rsid w:val="00D055E2"/>
    <w:rsid w:val="00D05BDD"/>
    <w:rsid w:val="00D06101"/>
    <w:rsid w:val="00D066A6"/>
    <w:rsid w:val="00D06822"/>
    <w:rsid w:val="00D06D0B"/>
    <w:rsid w:val="00D07230"/>
    <w:rsid w:val="00D1024C"/>
    <w:rsid w:val="00D110FB"/>
    <w:rsid w:val="00D1139C"/>
    <w:rsid w:val="00D11BD2"/>
    <w:rsid w:val="00D1241C"/>
    <w:rsid w:val="00D12671"/>
    <w:rsid w:val="00D12DAE"/>
    <w:rsid w:val="00D12EAF"/>
    <w:rsid w:val="00D13D93"/>
    <w:rsid w:val="00D13FD7"/>
    <w:rsid w:val="00D1421B"/>
    <w:rsid w:val="00D14B0F"/>
    <w:rsid w:val="00D14D08"/>
    <w:rsid w:val="00D158E3"/>
    <w:rsid w:val="00D15C03"/>
    <w:rsid w:val="00D161AF"/>
    <w:rsid w:val="00D16316"/>
    <w:rsid w:val="00D173BF"/>
    <w:rsid w:val="00D17F2E"/>
    <w:rsid w:val="00D20517"/>
    <w:rsid w:val="00D20E2A"/>
    <w:rsid w:val="00D2221E"/>
    <w:rsid w:val="00D223B5"/>
    <w:rsid w:val="00D22775"/>
    <w:rsid w:val="00D22B3E"/>
    <w:rsid w:val="00D2316F"/>
    <w:rsid w:val="00D2327A"/>
    <w:rsid w:val="00D2373C"/>
    <w:rsid w:val="00D24344"/>
    <w:rsid w:val="00D2454C"/>
    <w:rsid w:val="00D2499E"/>
    <w:rsid w:val="00D24D8B"/>
    <w:rsid w:val="00D24DB6"/>
    <w:rsid w:val="00D25C98"/>
    <w:rsid w:val="00D25DD9"/>
    <w:rsid w:val="00D26030"/>
    <w:rsid w:val="00D260C4"/>
    <w:rsid w:val="00D261CF"/>
    <w:rsid w:val="00D26335"/>
    <w:rsid w:val="00D264A0"/>
    <w:rsid w:val="00D26540"/>
    <w:rsid w:val="00D272C5"/>
    <w:rsid w:val="00D2731A"/>
    <w:rsid w:val="00D27EFA"/>
    <w:rsid w:val="00D3001E"/>
    <w:rsid w:val="00D30723"/>
    <w:rsid w:val="00D3128F"/>
    <w:rsid w:val="00D31D38"/>
    <w:rsid w:val="00D326DD"/>
    <w:rsid w:val="00D33CE4"/>
    <w:rsid w:val="00D3454D"/>
    <w:rsid w:val="00D35169"/>
    <w:rsid w:val="00D35A3C"/>
    <w:rsid w:val="00D35A85"/>
    <w:rsid w:val="00D35C12"/>
    <w:rsid w:val="00D362BA"/>
    <w:rsid w:val="00D36E45"/>
    <w:rsid w:val="00D3742A"/>
    <w:rsid w:val="00D37E18"/>
    <w:rsid w:val="00D4006D"/>
    <w:rsid w:val="00D400AF"/>
    <w:rsid w:val="00D401CD"/>
    <w:rsid w:val="00D40E06"/>
    <w:rsid w:val="00D40FDA"/>
    <w:rsid w:val="00D4197D"/>
    <w:rsid w:val="00D41D16"/>
    <w:rsid w:val="00D41E3E"/>
    <w:rsid w:val="00D42A72"/>
    <w:rsid w:val="00D43050"/>
    <w:rsid w:val="00D43A38"/>
    <w:rsid w:val="00D43A93"/>
    <w:rsid w:val="00D43B16"/>
    <w:rsid w:val="00D43EFC"/>
    <w:rsid w:val="00D43FB4"/>
    <w:rsid w:val="00D4424A"/>
    <w:rsid w:val="00D44461"/>
    <w:rsid w:val="00D44DFC"/>
    <w:rsid w:val="00D44E13"/>
    <w:rsid w:val="00D44E2F"/>
    <w:rsid w:val="00D450C5"/>
    <w:rsid w:val="00D45527"/>
    <w:rsid w:val="00D45631"/>
    <w:rsid w:val="00D45C5F"/>
    <w:rsid w:val="00D461AA"/>
    <w:rsid w:val="00D46B91"/>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252"/>
    <w:rsid w:val="00D604DC"/>
    <w:rsid w:val="00D60672"/>
    <w:rsid w:val="00D61069"/>
    <w:rsid w:val="00D61A6D"/>
    <w:rsid w:val="00D61BF6"/>
    <w:rsid w:val="00D628F9"/>
    <w:rsid w:val="00D635B2"/>
    <w:rsid w:val="00D636C6"/>
    <w:rsid w:val="00D63860"/>
    <w:rsid w:val="00D63CBA"/>
    <w:rsid w:val="00D63ECE"/>
    <w:rsid w:val="00D647A3"/>
    <w:rsid w:val="00D647AC"/>
    <w:rsid w:val="00D65646"/>
    <w:rsid w:val="00D6606A"/>
    <w:rsid w:val="00D66B01"/>
    <w:rsid w:val="00D677EE"/>
    <w:rsid w:val="00D67873"/>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5C98"/>
    <w:rsid w:val="00D76CAE"/>
    <w:rsid w:val="00D77BA4"/>
    <w:rsid w:val="00D77E38"/>
    <w:rsid w:val="00D81321"/>
    <w:rsid w:val="00D8164C"/>
    <w:rsid w:val="00D81657"/>
    <w:rsid w:val="00D81BFA"/>
    <w:rsid w:val="00D81EA4"/>
    <w:rsid w:val="00D82287"/>
    <w:rsid w:val="00D82808"/>
    <w:rsid w:val="00D82A59"/>
    <w:rsid w:val="00D82B84"/>
    <w:rsid w:val="00D831EA"/>
    <w:rsid w:val="00D837CB"/>
    <w:rsid w:val="00D83AE3"/>
    <w:rsid w:val="00D84610"/>
    <w:rsid w:val="00D84A39"/>
    <w:rsid w:val="00D85357"/>
    <w:rsid w:val="00D85561"/>
    <w:rsid w:val="00D8558E"/>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0F6"/>
    <w:rsid w:val="00DA2289"/>
    <w:rsid w:val="00DA2D4A"/>
    <w:rsid w:val="00DA2E0B"/>
    <w:rsid w:val="00DA3605"/>
    <w:rsid w:val="00DA40B2"/>
    <w:rsid w:val="00DA42C2"/>
    <w:rsid w:val="00DA4742"/>
    <w:rsid w:val="00DA4876"/>
    <w:rsid w:val="00DA4C57"/>
    <w:rsid w:val="00DA4E40"/>
    <w:rsid w:val="00DA5243"/>
    <w:rsid w:val="00DA53C2"/>
    <w:rsid w:val="00DA5E33"/>
    <w:rsid w:val="00DA6233"/>
    <w:rsid w:val="00DA6EBA"/>
    <w:rsid w:val="00DA74F1"/>
    <w:rsid w:val="00DB03E4"/>
    <w:rsid w:val="00DB06C6"/>
    <w:rsid w:val="00DB0B9B"/>
    <w:rsid w:val="00DB1198"/>
    <w:rsid w:val="00DB13A8"/>
    <w:rsid w:val="00DB17E6"/>
    <w:rsid w:val="00DB2E35"/>
    <w:rsid w:val="00DB2F0A"/>
    <w:rsid w:val="00DB3473"/>
    <w:rsid w:val="00DB3A63"/>
    <w:rsid w:val="00DB41CE"/>
    <w:rsid w:val="00DB46B9"/>
    <w:rsid w:val="00DB47E7"/>
    <w:rsid w:val="00DB5E1E"/>
    <w:rsid w:val="00DB6EAA"/>
    <w:rsid w:val="00DB756F"/>
    <w:rsid w:val="00DC0D3E"/>
    <w:rsid w:val="00DC16C1"/>
    <w:rsid w:val="00DC18CC"/>
    <w:rsid w:val="00DC1BFB"/>
    <w:rsid w:val="00DC3582"/>
    <w:rsid w:val="00DC4379"/>
    <w:rsid w:val="00DC59F0"/>
    <w:rsid w:val="00DC65AB"/>
    <w:rsid w:val="00DC7B9F"/>
    <w:rsid w:val="00DD060C"/>
    <w:rsid w:val="00DD075B"/>
    <w:rsid w:val="00DD111C"/>
    <w:rsid w:val="00DD13FA"/>
    <w:rsid w:val="00DD17AB"/>
    <w:rsid w:val="00DD194A"/>
    <w:rsid w:val="00DD2889"/>
    <w:rsid w:val="00DD3421"/>
    <w:rsid w:val="00DD36F6"/>
    <w:rsid w:val="00DD3879"/>
    <w:rsid w:val="00DD421A"/>
    <w:rsid w:val="00DD42FC"/>
    <w:rsid w:val="00DD4633"/>
    <w:rsid w:val="00DD46E1"/>
    <w:rsid w:val="00DD56A3"/>
    <w:rsid w:val="00DD5B72"/>
    <w:rsid w:val="00DD656D"/>
    <w:rsid w:val="00DD6FC3"/>
    <w:rsid w:val="00DD7458"/>
    <w:rsid w:val="00DD7A21"/>
    <w:rsid w:val="00DE0B42"/>
    <w:rsid w:val="00DE0CF3"/>
    <w:rsid w:val="00DE12E1"/>
    <w:rsid w:val="00DE1802"/>
    <w:rsid w:val="00DE2335"/>
    <w:rsid w:val="00DE2962"/>
    <w:rsid w:val="00DE2BF5"/>
    <w:rsid w:val="00DE327C"/>
    <w:rsid w:val="00DE3758"/>
    <w:rsid w:val="00DE45DB"/>
    <w:rsid w:val="00DE465D"/>
    <w:rsid w:val="00DE481F"/>
    <w:rsid w:val="00DE4EF1"/>
    <w:rsid w:val="00DE5013"/>
    <w:rsid w:val="00DE5239"/>
    <w:rsid w:val="00DE553A"/>
    <w:rsid w:val="00DE595A"/>
    <w:rsid w:val="00DE5D2F"/>
    <w:rsid w:val="00DE609C"/>
    <w:rsid w:val="00DE6A62"/>
    <w:rsid w:val="00DE7461"/>
    <w:rsid w:val="00DE794E"/>
    <w:rsid w:val="00DF078A"/>
    <w:rsid w:val="00DF0B0D"/>
    <w:rsid w:val="00DF0D4C"/>
    <w:rsid w:val="00DF1899"/>
    <w:rsid w:val="00DF1DCF"/>
    <w:rsid w:val="00DF2DCF"/>
    <w:rsid w:val="00DF34D0"/>
    <w:rsid w:val="00DF4B5F"/>
    <w:rsid w:val="00DF5023"/>
    <w:rsid w:val="00DF533B"/>
    <w:rsid w:val="00DF55DD"/>
    <w:rsid w:val="00DF5689"/>
    <w:rsid w:val="00DF602A"/>
    <w:rsid w:val="00DF6158"/>
    <w:rsid w:val="00DF664A"/>
    <w:rsid w:val="00DF67AC"/>
    <w:rsid w:val="00DF6AD0"/>
    <w:rsid w:val="00DF6BF7"/>
    <w:rsid w:val="00DF726D"/>
    <w:rsid w:val="00E00218"/>
    <w:rsid w:val="00E01101"/>
    <w:rsid w:val="00E01162"/>
    <w:rsid w:val="00E0153B"/>
    <w:rsid w:val="00E0217C"/>
    <w:rsid w:val="00E02327"/>
    <w:rsid w:val="00E0283B"/>
    <w:rsid w:val="00E02875"/>
    <w:rsid w:val="00E03F29"/>
    <w:rsid w:val="00E04546"/>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244"/>
    <w:rsid w:val="00E13616"/>
    <w:rsid w:val="00E1367B"/>
    <w:rsid w:val="00E1533F"/>
    <w:rsid w:val="00E161CE"/>
    <w:rsid w:val="00E162E6"/>
    <w:rsid w:val="00E1641B"/>
    <w:rsid w:val="00E167F2"/>
    <w:rsid w:val="00E167F4"/>
    <w:rsid w:val="00E17719"/>
    <w:rsid w:val="00E17A06"/>
    <w:rsid w:val="00E17A48"/>
    <w:rsid w:val="00E2081A"/>
    <w:rsid w:val="00E20822"/>
    <w:rsid w:val="00E20C25"/>
    <w:rsid w:val="00E214A5"/>
    <w:rsid w:val="00E21DE9"/>
    <w:rsid w:val="00E241F6"/>
    <w:rsid w:val="00E24241"/>
    <w:rsid w:val="00E2507A"/>
    <w:rsid w:val="00E2519A"/>
    <w:rsid w:val="00E25AB3"/>
    <w:rsid w:val="00E25DF5"/>
    <w:rsid w:val="00E26017"/>
    <w:rsid w:val="00E27163"/>
    <w:rsid w:val="00E276EA"/>
    <w:rsid w:val="00E27AFE"/>
    <w:rsid w:val="00E30EA8"/>
    <w:rsid w:val="00E30F48"/>
    <w:rsid w:val="00E313C4"/>
    <w:rsid w:val="00E322F6"/>
    <w:rsid w:val="00E3235C"/>
    <w:rsid w:val="00E32604"/>
    <w:rsid w:val="00E32F8E"/>
    <w:rsid w:val="00E333AF"/>
    <w:rsid w:val="00E3432C"/>
    <w:rsid w:val="00E348AE"/>
    <w:rsid w:val="00E34E74"/>
    <w:rsid w:val="00E3593E"/>
    <w:rsid w:val="00E35CF0"/>
    <w:rsid w:val="00E35FFB"/>
    <w:rsid w:val="00E36FBF"/>
    <w:rsid w:val="00E378BD"/>
    <w:rsid w:val="00E37CD6"/>
    <w:rsid w:val="00E40C33"/>
    <w:rsid w:val="00E41149"/>
    <w:rsid w:val="00E4118F"/>
    <w:rsid w:val="00E415AE"/>
    <w:rsid w:val="00E41AE2"/>
    <w:rsid w:val="00E41DD1"/>
    <w:rsid w:val="00E423B3"/>
    <w:rsid w:val="00E4242E"/>
    <w:rsid w:val="00E424E0"/>
    <w:rsid w:val="00E425B9"/>
    <w:rsid w:val="00E42CEE"/>
    <w:rsid w:val="00E42EAC"/>
    <w:rsid w:val="00E437E8"/>
    <w:rsid w:val="00E4400C"/>
    <w:rsid w:val="00E445BC"/>
    <w:rsid w:val="00E45043"/>
    <w:rsid w:val="00E45114"/>
    <w:rsid w:val="00E45554"/>
    <w:rsid w:val="00E46510"/>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5F5B"/>
    <w:rsid w:val="00E663D6"/>
    <w:rsid w:val="00E663DD"/>
    <w:rsid w:val="00E6647A"/>
    <w:rsid w:val="00E66C34"/>
    <w:rsid w:val="00E66FFE"/>
    <w:rsid w:val="00E679EC"/>
    <w:rsid w:val="00E70081"/>
    <w:rsid w:val="00E70330"/>
    <w:rsid w:val="00E709CC"/>
    <w:rsid w:val="00E71B98"/>
    <w:rsid w:val="00E71BD6"/>
    <w:rsid w:val="00E722E5"/>
    <w:rsid w:val="00E724B2"/>
    <w:rsid w:val="00E72684"/>
    <w:rsid w:val="00E727C9"/>
    <w:rsid w:val="00E738E5"/>
    <w:rsid w:val="00E73AD4"/>
    <w:rsid w:val="00E7410E"/>
    <w:rsid w:val="00E74195"/>
    <w:rsid w:val="00E7478C"/>
    <w:rsid w:val="00E748A4"/>
    <w:rsid w:val="00E74C1D"/>
    <w:rsid w:val="00E7525D"/>
    <w:rsid w:val="00E7602C"/>
    <w:rsid w:val="00E763AA"/>
    <w:rsid w:val="00E76642"/>
    <w:rsid w:val="00E76894"/>
    <w:rsid w:val="00E768A2"/>
    <w:rsid w:val="00E76C9F"/>
    <w:rsid w:val="00E76DFB"/>
    <w:rsid w:val="00E76F1C"/>
    <w:rsid w:val="00E77208"/>
    <w:rsid w:val="00E77FDF"/>
    <w:rsid w:val="00E80778"/>
    <w:rsid w:val="00E80802"/>
    <w:rsid w:val="00E80C9D"/>
    <w:rsid w:val="00E80F8E"/>
    <w:rsid w:val="00E82081"/>
    <w:rsid w:val="00E8227A"/>
    <w:rsid w:val="00E837FE"/>
    <w:rsid w:val="00E854F1"/>
    <w:rsid w:val="00E85509"/>
    <w:rsid w:val="00E85DB7"/>
    <w:rsid w:val="00E86372"/>
    <w:rsid w:val="00E871D0"/>
    <w:rsid w:val="00E87379"/>
    <w:rsid w:val="00E8740E"/>
    <w:rsid w:val="00E90632"/>
    <w:rsid w:val="00E90E96"/>
    <w:rsid w:val="00E914FA"/>
    <w:rsid w:val="00E91533"/>
    <w:rsid w:val="00E91A63"/>
    <w:rsid w:val="00E9287A"/>
    <w:rsid w:val="00E9293C"/>
    <w:rsid w:val="00E936D5"/>
    <w:rsid w:val="00E939C2"/>
    <w:rsid w:val="00E941BF"/>
    <w:rsid w:val="00E94500"/>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759"/>
    <w:rsid w:val="00EA5EC0"/>
    <w:rsid w:val="00EA5FDD"/>
    <w:rsid w:val="00EA622E"/>
    <w:rsid w:val="00EA6BE3"/>
    <w:rsid w:val="00EA7344"/>
    <w:rsid w:val="00EA769D"/>
    <w:rsid w:val="00EA7749"/>
    <w:rsid w:val="00EA7B1F"/>
    <w:rsid w:val="00EB0EE4"/>
    <w:rsid w:val="00EB12C8"/>
    <w:rsid w:val="00EB1EBB"/>
    <w:rsid w:val="00EB219C"/>
    <w:rsid w:val="00EB27E8"/>
    <w:rsid w:val="00EB29FF"/>
    <w:rsid w:val="00EB2BB8"/>
    <w:rsid w:val="00EB4990"/>
    <w:rsid w:val="00EB5374"/>
    <w:rsid w:val="00EB59E0"/>
    <w:rsid w:val="00EB6195"/>
    <w:rsid w:val="00EB68AC"/>
    <w:rsid w:val="00EB6CED"/>
    <w:rsid w:val="00EB6E93"/>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1F92"/>
    <w:rsid w:val="00ED3148"/>
    <w:rsid w:val="00ED31FF"/>
    <w:rsid w:val="00ED3450"/>
    <w:rsid w:val="00ED37D8"/>
    <w:rsid w:val="00ED412B"/>
    <w:rsid w:val="00ED43A5"/>
    <w:rsid w:val="00ED5781"/>
    <w:rsid w:val="00ED57FE"/>
    <w:rsid w:val="00ED5DF4"/>
    <w:rsid w:val="00ED712A"/>
    <w:rsid w:val="00ED75CF"/>
    <w:rsid w:val="00ED7633"/>
    <w:rsid w:val="00ED7679"/>
    <w:rsid w:val="00ED7716"/>
    <w:rsid w:val="00ED7961"/>
    <w:rsid w:val="00ED79A9"/>
    <w:rsid w:val="00EE0823"/>
    <w:rsid w:val="00EE082F"/>
    <w:rsid w:val="00EE0FF7"/>
    <w:rsid w:val="00EE22A0"/>
    <w:rsid w:val="00EE298D"/>
    <w:rsid w:val="00EE2EDC"/>
    <w:rsid w:val="00EE3D59"/>
    <w:rsid w:val="00EE3E41"/>
    <w:rsid w:val="00EE42A7"/>
    <w:rsid w:val="00EE48E9"/>
    <w:rsid w:val="00EE4BD1"/>
    <w:rsid w:val="00EE4CD7"/>
    <w:rsid w:val="00EE50C5"/>
    <w:rsid w:val="00EE6FCF"/>
    <w:rsid w:val="00EE72DC"/>
    <w:rsid w:val="00EE73C5"/>
    <w:rsid w:val="00EF01AC"/>
    <w:rsid w:val="00EF1EB8"/>
    <w:rsid w:val="00EF23C2"/>
    <w:rsid w:val="00EF23EE"/>
    <w:rsid w:val="00EF54EB"/>
    <w:rsid w:val="00EF55A5"/>
    <w:rsid w:val="00EF58F2"/>
    <w:rsid w:val="00EF58FB"/>
    <w:rsid w:val="00EF623C"/>
    <w:rsid w:val="00EF6CF2"/>
    <w:rsid w:val="00EF6D14"/>
    <w:rsid w:val="00EF6D65"/>
    <w:rsid w:val="00EF70A8"/>
    <w:rsid w:val="00EF7E76"/>
    <w:rsid w:val="00F00A1A"/>
    <w:rsid w:val="00F020A9"/>
    <w:rsid w:val="00F0265C"/>
    <w:rsid w:val="00F02D5F"/>
    <w:rsid w:val="00F03508"/>
    <w:rsid w:val="00F038B1"/>
    <w:rsid w:val="00F045D5"/>
    <w:rsid w:val="00F05DF2"/>
    <w:rsid w:val="00F06613"/>
    <w:rsid w:val="00F06D2B"/>
    <w:rsid w:val="00F070CB"/>
    <w:rsid w:val="00F07B6A"/>
    <w:rsid w:val="00F10909"/>
    <w:rsid w:val="00F10E1D"/>
    <w:rsid w:val="00F11EBE"/>
    <w:rsid w:val="00F11F36"/>
    <w:rsid w:val="00F1222B"/>
    <w:rsid w:val="00F12406"/>
    <w:rsid w:val="00F12A63"/>
    <w:rsid w:val="00F12A84"/>
    <w:rsid w:val="00F12AF0"/>
    <w:rsid w:val="00F12F4C"/>
    <w:rsid w:val="00F133AD"/>
    <w:rsid w:val="00F142B6"/>
    <w:rsid w:val="00F143CA"/>
    <w:rsid w:val="00F16C8B"/>
    <w:rsid w:val="00F16F9B"/>
    <w:rsid w:val="00F17A2E"/>
    <w:rsid w:val="00F20120"/>
    <w:rsid w:val="00F20336"/>
    <w:rsid w:val="00F208D3"/>
    <w:rsid w:val="00F20B38"/>
    <w:rsid w:val="00F20D46"/>
    <w:rsid w:val="00F211B8"/>
    <w:rsid w:val="00F21266"/>
    <w:rsid w:val="00F219E7"/>
    <w:rsid w:val="00F2276E"/>
    <w:rsid w:val="00F22A94"/>
    <w:rsid w:val="00F22D7D"/>
    <w:rsid w:val="00F23339"/>
    <w:rsid w:val="00F23483"/>
    <w:rsid w:val="00F240DD"/>
    <w:rsid w:val="00F24A78"/>
    <w:rsid w:val="00F24D82"/>
    <w:rsid w:val="00F252F6"/>
    <w:rsid w:val="00F25B2D"/>
    <w:rsid w:val="00F25ECF"/>
    <w:rsid w:val="00F26CB7"/>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4E01"/>
    <w:rsid w:val="00F353FF"/>
    <w:rsid w:val="00F35706"/>
    <w:rsid w:val="00F35808"/>
    <w:rsid w:val="00F35A34"/>
    <w:rsid w:val="00F35A65"/>
    <w:rsid w:val="00F36443"/>
    <w:rsid w:val="00F36BA3"/>
    <w:rsid w:val="00F36CBA"/>
    <w:rsid w:val="00F374A5"/>
    <w:rsid w:val="00F374C6"/>
    <w:rsid w:val="00F37A2F"/>
    <w:rsid w:val="00F410C8"/>
    <w:rsid w:val="00F4119B"/>
    <w:rsid w:val="00F421C1"/>
    <w:rsid w:val="00F423AF"/>
    <w:rsid w:val="00F42533"/>
    <w:rsid w:val="00F42821"/>
    <w:rsid w:val="00F42AD9"/>
    <w:rsid w:val="00F42DD0"/>
    <w:rsid w:val="00F43E16"/>
    <w:rsid w:val="00F43E1F"/>
    <w:rsid w:val="00F43E29"/>
    <w:rsid w:val="00F4447B"/>
    <w:rsid w:val="00F44F3C"/>
    <w:rsid w:val="00F45748"/>
    <w:rsid w:val="00F45F1E"/>
    <w:rsid w:val="00F47057"/>
    <w:rsid w:val="00F47775"/>
    <w:rsid w:val="00F47A5D"/>
    <w:rsid w:val="00F50FDA"/>
    <w:rsid w:val="00F51196"/>
    <w:rsid w:val="00F5242A"/>
    <w:rsid w:val="00F53232"/>
    <w:rsid w:val="00F537A6"/>
    <w:rsid w:val="00F53F23"/>
    <w:rsid w:val="00F5450A"/>
    <w:rsid w:val="00F54766"/>
    <w:rsid w:val="00F54C9F"/>
    <w:rsid w:val="00F55242"/>
    <w:rsid w:val="00F557E6"/>
    <w:rsid w:val="00F55D04"/>
    <w:rsid w:val="00F56BB3"/>
    <w:rsid w:val="00F570C6"/>
    <w:rsid w:val="00F570FA"/>
    <w:rsid w:val="00F578F4"/>
    <w:rsid w:val="00F607A9"/>
    <w:rsid w:val="00F60BE6"/>
    <w:rsid w:val="00F61DD4"/>
    <w:rsid w:val="00F639BA"/>
    <w:rsid w:val="00F639FC"/>
    <w:rsid w:val="00F63D46"/>
    <w:rsid w:val="00F648CD"/>
    <w:rsid w:val="00F64F4A"/>
    <w:rsid w:val="00F650E7"/>
    <w:rsid w:val="00F65423"/>
    <w:rsid w:val="00F65CFA"/>
    <w:rsid w:val="00F65D5B"/>
    <w:rsid w:val="00F66015"/>
    <w:rsid w:val="00F664FB"/>
    <w:rsid w:val="00F66959"/>
    <w:rsid w:val="00F66EE2"/>
    <w:rsid w:val="00F70B13"/>
    <w:rsid w:val="00F710BC"/>
    <w:rsid w:val="00F711C8"/>
    <w:rsid w:val="00F71B22"/>
    <w:rsid w:val="00F71E57"/>
    <w:rsid w:val="00F72413"/>
    <w:rsid w:val="00F72874"/>
    <w:rsid w:val="00F72BF5"/>
    <w:rsid w:val="00F72F96"/>
    <w:rsid w:val="00F731AF"/>
    <w:rsid w:val="00F73470"/>
    <w:rsid w:val="00F738C1"/>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2526"/>
    <w:rsid w:val="00F83091"/>
    <w:rsid w:val="00F84A3D"/>
    <w:rsid w:val="00F84A4E"/>
    <w:rsid w:val="00F84FA1"/>
    <w:rsid w:val="00F85C53"/>
    <w:rsid w:val="00F85CD3"/>
    <w:rsid w:val="00F85E65"/>
    <w:rsid w:val="00F86505"/>
    <w:rsid w:val="00F86A5C"/>
    <w:rsid w:val="00F86EA1"/>
    <w:rsid w:val="00F87465"/>
    <w:rsid w:val="00F9098D"/>
    <w:rsid w:val="00F90C6D"/>
    <w:rsid w:val="00F91571"/>
    <w:rsid w:val="00F91A8B"/>
    <w:rsid w:val="00F91EC5"/>
    <w:rsid w:val="00F91EFB"/>
    <w:rsid w:val="00F92409"/>
    <w:rsid w:val="00F9244B"/>
    <w:rsid w:val="00F93E3D"/>
    <w:rsid w:val="00F94080"/>
    <w:rsid w:val="00F94224"/>
    <w:rsid w:val="00F9422F"/>
    <w:rsid w:val="00F94826"/>
    <w:rsid w:val="00F9582C"/>
    <w:rsid w:val="00F96FDE"/>
    <w:rsid w:val="00F97E50"/>
    <w:rsid w:val="00FA020F"/>
    <w:rsid w:val="00FA0C1A"/>
    <w:rsid w:val="00FA168A"/>
    <w:rsid w:val="00FA30BF"/>
    <w:rsid w:val="00FA3480"/>
    <w:rsid w:val="00FA3786"/>
    <w:rsid w:val="00FA4068"/>
    <w:rsid w:val="00FA4128"/>
    <w:rsid w:val="00FA5A70"/>
    <w:rsid w:val="00FA73A0"/>
    <w:rsid w:val="00FA7F9D"/>
    <w:rsid w:val="00FB0740"/>
    <w:rsid w:val="00FB1245"/>
    <w:rsid w:val="00FB18C9"/>
    <w:rsid w:val="00FB19F4"/>
    <w:rsid w:val="00FB1A31"/>
    <w:rsid w:val="00FB1A86"/>
    <w:rsid w:val="00FB22FA"/>
    <w:rsid w:val="00FB26F0"/>
    <w:rsid w:val="00FB2991"/>
    <w:rsid w:val="00FB3825"/>
    <w:rsid w:val="00FB43C5"/>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7E8"/>
    <w:rsid w:val="00FC28DA"/>
    <w:rsid w:val="00FC293E"/>
    <w:rsid w:val="00FC3152"/>
    <w:rsid w:val="00FC35B2"/>
    <w:rsid w:val="00FC3BA8"/>
    <w:rsid w:val="00FC4BA0"/>
    <w:rsid w:val="00FC61E6"/>
    <w:rsid w:val="00FC6DFA"/>
    <w:rsid w:val="00FC6F6D"/>
    <w:rsid w:val="00FC7074"/>
    <w:rsid w:val="00FC711D"/>
    <w:rsid w:val="00FC74FC"/>
    <w:rsid w:val="00FC7958"/>
    <w:rsid w:val="00FC7C50"/>
    <w:rsid w:val="00FD0454"/>
    <w:rsid w:val="00FD0549"/>
    <w:rsid w:val="00FD0851"/>
    <w:rsid w:val="00FD1853"/>
    <w:rsid w:val="00FD2737"/>
    <w:rsid w:val="00FD2A58"/>
    <w:rsid w:val="00FD4701"/>
    <w:rsid w:val="00FD4DB5"/>
    <w:rsid w:val="00FD56D6"/>
    <w:rsid w:val="00FD5FEC"/>
    <w:rsid w:val="00FD6B4C"/>
    <w:rsid w:val="00FD6FFB"/>
    <w:rsid w:val="00FD70EC"/>
    <w:rsid w:val="00FD7555"/>
    <w:rsid w:val="00FD782C"/>
    <w:rsid w:val="00FE0524"/>
    <w:rsid w:val="00FE06F9"/>
    <w:rsid w:val="00FE0B4A"/>
    <w:rsid w:val="00FE0BDF"/>
    <w:rsid w:val="00FE11EE"/>
    <w:rsid w:val="00FE1559"/>
    <w:rsid w:val="00FE16B6"/>
    <w:rsid w:val="00FE216E"/>
    <w:rsid w:val="00FE27B8"/>
    <w:rsid w:val="00FE2F4C"/>
    <w:rsid w:val="00FE3336"/>
    <w:rsid w:val="00FE44DF"/>
    <w:rsid w:val="00FE45BC"/>
    <w:rsid w:val="00FE4D25"/>
    <w:rsid w:val="00FE4D2E"/>
    <w:rsid w:val="00FE5AF8"/>
    <w:rsid w:val="00FE60B2"/>
    <w:rsid w:val="00FE613B"/>
    <w:rsid w:val="00FE67A2"/>
    <w:rsid w:val="00FE7438"/>
    <w:rsid w:val="00FE78CA"/>
    <w:rsid w:val="00FE7C16"/>
    <w:rsid w:val="00FE7FA1"/>
    <w:rsid w:val="00FF0299"/>
    <w:rsid w:val="00FF0416"/>
    <w:rsid w:val="00FF0692"/>
    <w:rsid w:val="00FF0C54"/>
    <w:rsid w:val="00FF1148"/>
    <w:rsid w:val="00FF1497"/>
    <w:rsid w:val="00FF22E3"/>
    <w:rsid w:val="00FF3061"/>
    <w:rsid w:val="00FF32E4"/>
    <w:rsid w:val="00FF3D8E"/>
    <w:rsid w:val="00FF42A1"/>
    <w:rsid w:val="00FF4551"/>
    <w:rsid w:val="00FF4BF4"/>
    <w:rsid w:val="00FF533B"/>
    <w:rsid w:val="00FF562A"/>
    <w:rsid w:val="00FF5D62"/>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895910FB-269B-4E0F-BF5C-2B4ACB54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numbering" w:customStyle="1" w:styleId="Sinlista1">
    <w:name w:val="Sin lista1"/>
    <w:next w:val="Sinlista"/>
    <w:uiPriority w:val="99"/>
    <w:semiHidden/>
    <w:unhideWhenUsed/>
    <w:rsid w:val="00AF544C"/>
  </w:style>
  <w:style w:type="table" w:customStyle="1" w:styleId="Sombreadomedio2-nfasis11">
    <w:name w:val="Sombreado medio 2 - Énfasis 11"/>
    <w:basedOn w:val="Tablanormal"/>
    <w:next w:val="Sombreadomedio2-nfasis1"/>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Border">
    <w:name w:val="Border"/>
    <w:next w:val="Normal"/>
    <w:qFormat/>
    <w:rsid w:val="00AF544C"/>
    <w:pPr>
      <w:spacing w:after="360" w:line="320" w:lineRule="atLeast"/>
      <w:jc w:val="center"/>
    </w:pPr>
    <w:rPr>
      <w:rFonts w:ascii="Times New Roman" w:hAnsi="Times New Roman"/>
      <w:lang w:val="en-GB"/>
    </w:rPr>
  </w:style>
  <w:style w:type="table" w:customStyle="1" w:styleId="Sombreadomedio2-nfasis111">
    <w:name w:val="Sombreado medio 2 - Énfasis 111"/>
    <w:basedOn w:val="Tablanormal"/>
    <w:next w:val="Sombreadomedio2-nfasis1"/>
    <w:uiPriority w:val="64"/>
    <w:unhideWhenUsed/>
    <w:rsid w:val="00AF544C"/>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ptionsmall">
    <w:name w:val="Caption: small"/>
    <w:basedOn w:val="Descripcin"/>
    <w:next w:val="Normal"/>
    <w:qFormat/>
    <w:rsid w:val="00AF544C"/>
    <w:pPr>
      <w:keepNext/>
      <w:tabs>
        <w:tab w:val="left" w:pos="2041"/>
      </w:tabs>
      <w:spacing w:after="0" w:line="320" w:lineRule="atLeast"/>
      <w:ind w:left="113" w:right="113"/>
    </w:pPr>
    <w:rPr>
      <w:rFonts w:ascii="Franklin Gothic Book" w:eastAsia="Calibri" w:hAnsi="Franklin Gothic Book" w:cs="Arial"/>
      <w:bCs/>
      <w:iCs w:val="0"/>
      <w:color w:val="auto"/>
      <w:sz w:val="20"/>
      <w:lang w:val="en-GB"/>
    </w:rPr>
  </w:style>
  <w:style w:type="paragraph" w:customStyle="1" w:styleId="Bordersmall">
    <w:name w:val="Border: small"/>
    <w:basedOn w:val="Normal"/>
    <w:qFormat/>
    <w:rsid w:val="00AF544C"/>
    <w:pPr>
      <w:spacing w:after="0" w:line="320" w:lineRule="atLeast"/>
      <w:ind w:left="0" w:right="0" w:firstLine="0"/>
      <w:jc w:val="center"/>
    </w:pPr>
    <w:rPr>
      <w:rFonts w:ascii="Times New Roman" w:eastAsia="Calibri" w:hAnsi="Times New Roman" w:cs="Times New Roman"/>
      <w:b/>
      <w:color w:val="auto"/>
      <w:lang w:val="en-GB" w:eastAsia="en-US"/>
    </w:rPr>
  </w:style>
  <w:style w:type="paragraph" w:customStyle="1" w:styleId="Tablecells">
    <w:name w:val="Table: cells"/>
    <w:qFormat/>
    <w:rsid w:val="00AF544C"/>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F544C"/>
    <w:pPr>
      <w:keepNext/>
    </w:pPr>
    <w:rPr>
      <w:b/>
      <w:color w:val="FFFFFF"/>
    </w:rPr>
  </w:style>
  <w:style w:type="table" w:customStyle="1" w:styleId="Tablaconcuadrcula1">
    <w:name w:val="Tabla con cuadrícula1"/>
    <w:basedOn w:val="Tablanormal"/>
    <w:next w:val="Tablaconcuadrcula"/>
    <w:uiPriority w:val="39"/>
    <w:rsid w:val="00A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destacada1">
    <w:name w:val="Cita destacada1"/>
    <w:basedOn w:val="Normal"/>
    <w:next w:val="Normal"/>
    <w:uiPriority w:val="30"/>
    <w:qFormat/>
    <w:rsid w:val="00AF544C"/>
    <w:pPr>
      <w:pBdr>
        <w:top w:val="single" w:sz="4" w:space="10" w:color="5B9BD5"/>
        <w:bottom w:val="single" w:sz="4" w:space="10" w:color="5B9BD5"/>
      </w:pBdr>
      <w:spacing w:before="360" w:after="360" w:line="259" w:lineRule="auto"/>
      <w:ind w:left="864" w:right="864" w:firstLine="0"/>
      <w:jc w:val="center"/>
    </w:pPr>
    <w:rPr>
      <w:rFonts w:ascii="ITC Avant Garde" w:eastAsia="Calibri" w:hAnsi="ITC Avant Garde" w:cs="Times New Roman"/>
      <w:b/>
      <w:i/>
      <w:iCs/>
      <w:color w:val="5B9BD5"/>
      <w:lang w:eastAsia="en-US"/>
    </w:rPr>
  </w:style>
  <w:style w:type="character" w:customStyle="1" w:styleId="CitadestacadaCar">
    <w:name w:val="Cita destacada Car"/>
    <w:basedOn w:val="Fuentedeprrafopredeter"/>
    <w:link w:val="Citadestacada"/>
    <w:uiPriority w:val="30"/>
    <w:rsid w:val="00AF544C"/>
    <w:rPr>
      <w:rFonts w:ascii="ITC Avant Garde" w:hAnsi="ITC Avant Garde"/>
      <w:b/>
      <w:i/>
      <w:iCs/>
      <w:color w:val="5B9BD5"/>
    </w:rPr>
  </w:style>
  <w:style w:type="paragraph" w:customStyle="1" w:styleId="respuestaCP">
    <w:name w:val="respuesta CP"/>
    <w:basedOn w:val="Normal"/>
    <w:link w:val="respuestaCPCar"/>
    <w:qFormat/>
    <w:rsid w:val="00AF544C"/>
    <w:pPr>
      <w:spacing w:after="160" w:line="259" w:lineRule="auto"/>
      <w:ind w:left="0" w:right="0" w:firstLine="0"/>
    </w:pPr>
    <w:rPr>
      <w:rFonts w:ascii="ITC Avant Garde" w:eastAsia="Calibri" w:hAnsi="ITC Avant Garde" w:cs="Times New Roman"/>
      <w:color w:val="5B9BD5"/>
      <w:lang w:val="es-ES" w:eastAsia="en-US"/>
    </w:rPr>
  </w:style>
  <w:style w:type="character" w:customStyle="1" w:styleId="respuestaCPCar">
    <w:name w:val="respuesta CP Car"/>
    <w:basedOn w:val="CitadestacadaCar"/>
    <w:link w:val="respuestaCP"/>
    <w:rsid w:val="00AF544C"/>
    <w:rPr>
      <w:rFonts w:ascii="ITC Avant Garde" w:eastAsia="Calibri" w:hAnsi="ITC Avant Garde" w:cs="Times New Roman"/>
      <w:b w:val="0"/>
      <w:i w:val="0"/>
      <w:iCs w:val="0"/>
      <w:color w:val="5B9BD5"/>
      <w:lang w:val="es-ES"/>
    </w:rPr>
  </w:style>
  <w:style w:type="character" w:styleId="Mencinsinresolver">
    <w:name w:val="Unresolved Mention"/>
    <w:basedOn w:val="Fuentedeprrafopredeter"/>
    <w:uiPriority w:val="99"/>
    <w:semiHidden/>
    <w:unhideWhenUsed/>
    <w:rsid w:val="00AF544C"/>
    <w:rPr>
      <w:color w:val="605E5C"/>
      <w:shd w:val="clear" w:color="auto" w:fill="E1DFDD"/>
    </w:rPr>
  </w:style>
  <w:style w:type="table" w:styleId="Sombreadomedio2-nfasis1">
    <w:name w:val="Medium Shading 2 Accent 1"/>
    <w:basedOn w:val="Tablanormal"/>
    <w:uiPriority w:val="64"/>
    <w:semiHidden/>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itadestacada">
    <w:name w:val="Intense Quote"/>
    <w:basedOn w:val="Normal"/>
    <w:next w:val="Normal"/>
    <w:link w:val="CitadestacadaCar"/>
    <w:uiPriority w:val="30"/>
    <w:qFormat/>
    <w:rsid w:val="00AF544C"/>
    <w:pPr>
      <w:pBdr>
        <w:top w:val="single" w:sz="4" w:space="10" w:color="5B9BD5" w:themeColor="accent1"/>
        <w:bottom w:val="single" w:sz="4" w:space="10" w:color="5B9BD5" w:themeColor="accent1"/>
      </w:pBdr>
      <w:spacing w:before="360" w:after="360"/>
      <w:ind w:left="864" w:right="864"/>
      <w:jc w:val="center"/>
    </w:pPr>
    <w:rPr>
      <w:rFonts w:ascii="ITC Avant Garde" w:eastAsiaTheme="minorHAnsi" w:hAnsi="ITC Avant Garde" w:cstheme="minorBidi"/>
      <w:b/>
      <w:i/>
      <w:iCs/>
      <w:color w:val="5B9BD5"/>
      <w:lang w:eastAsia="en-US"/>
    </w:rPr>
  </w:style>
  <w:style w:type="character" w:customStyle="1" w:styleId="CitadestacadaCar1">
    <w:name w:val="Cita destacada Car1"/>
    <w:basedOn w:val="Fuentedeprrafopredeter"/>
    <w:uiPriority w:val="30"/>
    <w:rsid w:val="00AF544C"/>
    <w:rPr>
      <w:rFonts w:ascii="Avant Garde" w:eastAsia="Avant Garde" w:hAnsi="Avant Garde" w:cs="Avant Garde"/>
      <w:i/>
      <w:iCs/>
      <w:color w:val="5B9BD5" w:themeColor="accent1"/>
      <w:lang w:eastAsia="es-MX"/>
    </w:rPr>
  </w:style>
  <w:style w:type="paragraph" w:customStyle="1" w:styleId="01">
    <w:name w:val="01"/>
    <w:basedOn w:val="Normal"/>
    <w:qFormat/>
    <w:rsid w:val="00804DC6"/>
    <w:pPr>
      <w:spacing w:after="0" w:line="320" w:lineRule="atLeast"/>
      <w:ind w:left="0" w:right="0" w:firstLine="0"/>
    </w:pPr>
    <w:rPr>
      <w:rFonts w:ascii="Times New Roman" w:eastAsiaTheme="minorHAnsi" w:hAnsi="Times New Roman" w:cstheme="minorBidi"/>
      <w:color w:val="auto"/>
      <w:lang w:val="en-GB" w:eastAsia="en-US"/>
    </w:rPr>
  </w:style>
  <w:style w:type="table" w:styleId="Tabladecuadrcula4">
    <w:name w:val="Grid Table 4"/>
    <w:basedOn w:val="Tablanormal"/>
    <w:uiPriority w:val="49"/>
    <w:rsid w:val="003B0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256257503">
          <w:marLeft w:val="0"/>
          <w:marRight w:val="0"/>
          <w:marTop w:val="0"/>
          <w:marBottom w:val="82"/>
          <w:divBdr>
            <w:top w:val="none" w:sz="0" w:space="0" w:color="auto"/>
            <w:left w:val="none" w:sz="0" w:space="0" w:color="auto"/>
            <w:bottom w:val="none" w:sz="0" w:space="0" w:color="auto"/>
            <w:right w:val="none" w:sz="0" w:space="0" w:color="auto"/>
          </w:divBdr>
        </w:div>
        <w:div w:id="1215240754">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iciones.tecnicas@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atytctmytarifas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EE39-14A5-48C8-815B-71AC0100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10332</Words>
  <Characters>56832</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Primitivo Ortiz Maldonado</cp:lastModifiedBy>
  <cp:revision>4</cp:revision>
  <cp:lastPrinted>2022-10-25T23:30:00Z</cp:lastPrinted>
  <dcterms:created xsi:type="dcterms:W3CDTF">2023-10-24T18:59:00Z</dcterms:created>
  <dcterms:modified xsi:type="dcterms:W3CDTF">2023-10-25T15:04:00Z</dcterms:modified>
</cp:coreProperties>
</file>